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FF72B1">
                <w:t>C/MOZ/CO/1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FF72B1">
                <w:rPr>
                  <w:lang w:val="en-US"/>
                </w:rPr>
                <w:t>19 November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FF72B1" w:rsidRPr="00655A1A" w:rsidRDefault="00FF72B1" w:rsidP="00655A1A">
      <w:pPr>
        <w:spacing w:before="120"/>
        <w:rPr>
          <w:b/>
          <w:bCs/>
          <w:sz w:val="24"/>
          <w:szCs w:val="24"/>
        </w:rPr>
      </w:pPr>
      <w:r w:rsidRPr="00655A1A">
        <w:rPr>
          <w:b/>
          <w:bCs/>
          <w:sz w:val="24"/>
          <w:szCs w:val="24"/>
        </w:rPr>
        <w:t>Комитет по правам человека</w:t>
      </w:r>
    </w:p>
    <w:p w:rsidR="00FF72B1" w:rsidRPr="0045736F" w:rsidRDefault="00FF72B1" w:rsidP="00655A1A">
      <w:pPr>
        <w:pStyle w:val="HChGR"/>
        <w:rPr>
          <w:rStyle w:val="FootnoteReference"/>
          <w:b w:val="0"/>
          <w:sz w:val="20"/>
          <w:vertAlign w:val="baseline"/>
        </w:rPr>
      </w:pPr>
      <w:r w:rsidRPr="00FF72B1">
        <w:tab/>
      </w:r>
      <w:r w:rsidRPr="00FF72B1">
        <w:tab/>
        <w:t>Заключительные замечания по первоначальному докладу Мозамб</w:t>
      </w:r>
      <w:r w:rsidRPr="00FF72B1">
        <w:t>и</w:t>
      </w:r>
      <w:r w:rsidR="00655A1A">
        <w:t>ка</w:t>
      </w:r>
      <w:r w:rsidR="0045736F" w:rsidRPr="0045736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FF72B1" w:rsidRPr="00FF72B1" w:rsidRDefault="00FF72B1" w:rsidP="00655A1A">
      <w:pPr>
        <w:pStyle w:val="SingleTxtGR"/>
      </w:pPr>
      <w:r w:rsidRPr="00FF72B1">
        <w:t>1.</w:t>
      </w:r>
      <w:r w:rsidRPr="00FF72B1">
        <w:tab/>
        <w:t>Комитет рассмотрел первоначальный доклад, представленный Мозамб</w:t>
      </w:r>
      <w:r w:rsidRPr="00FF72B1">
        <w:t>и</w:t>
      </w:r>
      <w:r w:rsidRPr="00FF72B1">
        <w:t>ком (</w:t>
      </w:r>
      <w:r w:rsidRPr="00FF72B1">
        <w:rPr>
          <w:lang w:val="en-GB"/>
        </w:rPr>
        <w:t>CCPR</w:t>
      </w:r>
      <w:r w:rsidRPr="00FF72B1">
        <w:t>/</w:t>
      </w:r>
      <w:r w:rsidRPr="00FF72B1">
        <w:rPr>
          <w:lang w:val="en-GB"/>
        </w:rPr>
        <w:t>C</w:t>
      </w:r>
      <w:r w:rsidRPr="00FF72B1">
        <w:t>/</w:t>
      </w:r>
      <w:r w:rsidRPr="00FF72B1">
        <w:rPr>
          <w:lang w:val="en-US"/>
        </w:rPr>
        <w:t>MOZ</w:t>
      </w:r>
      <w:r w:rsidRPr="00FF72B1">
        <w:t>/1), на своих 3020-м и 3021-м заседаниях (</w:t>
      </w:r>
      <w:r w:rsidRPr="00FF72B1">
        <w:rPr>
          <w:lang w:val="en-GB"/>
        </w:rPr>
        <w:t>CCPR</w:t>
      </w:r>
      <w:r w:rsidRPr="00FF72B1">
        <w:t>/</w:t>
      </w:r>
      <w:r w:rsidRPr="00FF72B1">
        <w:rPr>
          <w:lang w:val="en-GB"/>
        </w:rPr>
        <w:t>C</w:t>
      </w:r>
      <w:r w:rsidRPr="00FF72B1">
        <w:t>/</w:t>
      </w:r>
      <w:r w:rsidRPr="00FF72B1">
        <w:rPr>
          <w:lang w:val="en-GB"/>
        </w:rPr>
        <w:t>SR</w:t>
      </w:r>
      <w:r w:rsidRPr="00FF72B1">
        <w:t xml:space="preserve">.3020 и </w:t>
      </w:r>
      <w:r w:rsidR="004F6C5D" w:rsidRPr="00FF72B1">
        <w:rPr>
          <w:lang w:val="en-GB"/>
        </w:rPr>
        <w:t>CCPR</w:t>
      </w:r>
      <w:r w:rsidR="004F6C5D" w:rsidRPr="00FF72B1">
        <w:t>/</w:t>
      </w:r>
      <w:r w:rsidR="004F6C5D" w:rsidRPr="00FF72B1">
        <w:rPr>
          <w:lang w:val="en-GB"/>
        </w:rPr>
        <w:t>C</w:t>
      </w:r>
      <w:r w:rsidR="004F6C5D" w:rsidRPr="00FF72B1">
        <w:t>/</w:t>
      </w:r>
      <w:r w:rsidR="004F6C5D" w:rsidRPr="00FF72B1">
        <w:rPr>
          <w:lang w:val="en-GB"/>
        </w:rPr>
        <w:t>SR</w:t>
      </w:r>
      <w:r w:rsidR="004F6C5D">
        <w:t>.</w:t>
      </w:r>
      <w:r w:rsidRPr="00FF72B1">
        <w:t xml:space="preserve">3021), состоявшихся 22 и 23 октября 2013 года. На своем </w:t>
      </w:r>
      <w:r w:rsidR="004F6C5D">
        <w:br/>
      </w:r>
      <w:r w:rsidRPr="00FF72B1">
        <w:t>3031-м заседании (</w:t>
      </w:r>
      <w:r w:rsidRPr="00FF72B1">
        <w:rPr>
          <w:lang w:val="en-GB"/>
        </w:rPr>
        <w:t>CCPR</w:t>
      </w:r>
      <w:r w:rsidRPr="00FF72B1">
        <w:t>/</w:t>
      </w:r>
      <w:r w:rsidRPr="00FF72B1">
        <w:rPr>
          <w:lang w:val="en-GB"/>
        </w:rPr>
        <w:t>C</w:t>
      </w:r>
      <w:r w:rsidRPr="00FF72B1">
        <w:t>/</w:t>
      </w:r>
      <w:r w:rsidRPr="00FF72B1">
        <w:rPr>
          <w:lang w:val="en-GB"/>
        </w:rPr>
        <w:t>SR</w:t>
      </w:r>
      <w:r w:rsidRPr="00FF72B1">
        <w:t>.3031), состоявшемся 30 октября 2013 года, он принял нижесле</w:t>
      </w:r>
      <w:r w:rsidR="001A736B">
        <w:t>дующие заключительные заме</w:t>
      </w:r>
      <w:r w:rsidRPr="00FF72B1">
        <w:t>чания.</w:t>
      </w:r>
    </w:p>
    <w:p w:rsidR="00FF72B1" w:rsidRPr="00FF72B1" w:rsidRDefault="00FF72B1" w:rsidP="00655A1A">
      <w:pPr>
        <w:pStyle w:val="H1GR"/>
      </w:pPr>
      <w:r w:rsidRPr="00FF72B1">
        <w:tab/>
      </w:r>
      <w:r w:rsidRPr="00FF72B1">
        <w:rPr>
          <w:lang w:val="en-GB"/>
        </w:rPr>
        <w:t>A</w:t>
      </w:r>
      <w:r w:rsidRPr="00FF72B1">
        <w:t>.</w:t>
      </w:r>
      <w:r w:rsidRPr="00FF72B1">
        <w:tab/>
        <w:t>Введение</w:t>
      </w:r>
    </w:p>
    <w:p w:rsidR="00FF72B1" w:rsidRPr="00655A1A" w:rsidRDefault="00FF72B1" w:rsidP="00655A1A">
      <w:pPr>
        <w:pStyle w:val="SingleTxtGR"/>
      </w:pPr>
      <w:r w:rsidRPr="00FF72B1">
        <w:t>2.</w:t>
      </w:r>
      <w:r w:rsidRPr="00FF72B1">
        <w:tab/>
        <w:t>Комитет приветствует представление Мозамбиком первоначального до</w:t>
      </w:r>
      <w:r w:rsidRPr="00FF72B1">
        <w:t>к</w:t>
      </w:r>
      <w:r w:rsidRPr="00FF72B1">
        <w:t>лада и информацию, изложенную в этом докладе, выражая в то же время сож</w:t>
      </w:r>
      <w:r w:rsidRPr="00FF72B1">
        <w:t>а</w:t>
      </w:r>
      <w:r w:rsidRPr="00FF72B1">
        <w:t>ление, что он был представлен с опозданием. Он выражает признательность за возможность начать конструктивный диалог с делегацией государства-участника в отношении мер, принимаемых государством по выполнению пол</w:t>
      </w:r>
      <w:r w:rsidRPr="00FF72B1">
        <w:t>о</w:t>
      </w:r>
      <w:r w:rsidRPr="00FF72B1">
        <w:t xml:space="preserve">жений Пакта. Комитет признателен государству-участнику за его письменные ответы </w:t>
      </w:r>
      <w:bookmarkStart w:id="2" w:name="OLE_LINK1"/>
      <w:r w:rsidRPr="00FF72B1">
        <w:t>(</w:t>
      </w:r>
      <w:r w:rsidRPr="00FF72B1">
        <w:rPr>
          <w:lang w:val="en-GB"/>
        </w:rPr>
        <w:t>CCPR</w:t>
      </w:r>
      <w:r w:rsidRPr="00FF72B1">
        <w:t>/</w:t>
      </w:r>
      <w:r w:rsidRPr="00FF72B1">
        <w:rPr>
          <w:lang w:val="en-GB"/>
        </w:rPr>
        <w:t>C</w:t>
      </w:r>
      <w:r w:rsidRPr="00FF72B1">
        <w:t>/</w:t>
      </w:r>
      <w:r w:rsidRPr="00FF72B1">
        <w:rPr>
          <w:lang w:val="en-GB"/>
        </w:rPr>
        <w:t>MOZ</w:t>
      </w:r>
      <w:r w:rsidRPr="00FF72B1">
        <w:t>/</w:t>
      </w:r>
      <w:r w:rsidRPr="00FF72B1">
        <w:rPr>
          <w:lang w:val="en-GB"/>
        </w:rPr>
        <w:t>Q</w:t>
      </w:r>
      <w:r w:rsidRPr="00FF72B1">
        <w:t>/1/</w:t>
      </w:r>
      <w:r w:rsidRPr="00FF72B1">
        <w:rPr>
          <w:lang w:val="en-GB"/>
        </w:rPr>
        <w:t>Add</w:t>
      </w:r>
      <w:r w:rsidRPr="00FF72B1">
        <w:t>.</w:t>
      </w:r>
      <w:bookmarkEnd w:id="2"/>
      <w:r w:rsidRPr="00FF72B1">
        <w:t>2) на список в</w:t>
      </w:r>
      <w:r w:rsidRPr="00FF72B1">
        <w:t>о</w:t>
      </w:r>
      <w:r w:rsidRPr="00FF72B1">
        <w:t>просов Комитета (</w:t>
      </w:r>
      <w:r w:rsidRPr="00FF72B1">
        <w:rPr>
          <w:lang w:val="en-GB"/>
        </w:rPr>
        <w:t>CCPR</w:t>
      </w:r>
      <w:r w:rsidRPr="00FF72B1">
        <w:t>/</w:t>
      </w:r>
      <w:r w:rsidRPr="00FF72B1">
        <w:rPr>
          <w:lang w:val="en-GB"/>
        </w:rPr>
        <w:t>C</w:t>
      </w:r>
      <w:r w:rsidRPr="00FF72B1">
        <w:t>/</w:t>
      </w:r>
      <w:r w:rsidRPr="00FF72B1">
        <w:rPr>
          <w:lang w:val="en-GB"/>
        </w:rPr>
        <w:t>MOZ</w:t>
      </w:r>
      <w:r w:rsidRPr="00FF72B1">
        <w:t>/</w:t>
      </w:r>
      <w:r w:rsidR="0045736F" w:rsidRPr="0045736F">
        <w:br/>
      </w:r>
      <w:r w:rsidRPr="00FF72B1">
        <w:rPr>
          <w:lang w:val="en-GB"/>
        </w:rPr>
        <w:t>Q</w:t>
      </w:r>
      <w:r w:rsidRPr="00FF72B1">
        <w:t>/1/</w:t>
      </w:r>
      <w:r w:rsidRPr="00FF72B1">
        <w:rPr>
          <w:lang w:val="en-US"/>
        </w:rPr>
        <w:t>Add</w:t>
      </w:r>
      <w:r w:rsidRPr="00FF72B1">
        <w:t>.1), которые были дополнены устными ответами, представленными д</w:t>
      </w:r>
      <w:r w:rsidRPr="00FF72B1">
        <w:t>е</w:t>
      </w:r>
      <w:r w:rsidRPr="00FF72B1">
        <w:t>легацией в процессе диалога,</w:t>
      </w:r>
      <w:r w:rsidRPr="00FF72B1" w:rsidDel="00245A02">
        <w:t xml:space="preserve"> </w:t>
      </w:r>
      <w:r w:rsidRPr="00FF72B1">
        <w:t>и за дополнительную информацию, представле</w:t>
      </w:r>
      <w:r w:rsidRPr="00FF72B1">
        <w:t>н</w:t>
      </w:r>
      <w:r w:rsidRPr="00FF72B1">
        <w:t>ную в письме</w:t>
      </w:r>
      <w:r w:rsidRPr="00FF72B1">
        <w:t>н</w:t>
      </w:r>
      <w:r w:rsidRPr="00FF72B1">
        <w:t>ном виде.</w:t>
      </w:r>
    </w:p>
    <w:p w:rsidR="00FF72B1" w:rsidRPr="00FF72B1" w:rsidRDefault="00FF72B1" w:rsidP="00655A1A">
      <w:pPr>
        <w:pStyle w:val="H1GR"/>
      </w:pPr>
      <w:r w:rsidRPr="00FF72B1">
        <w:tab/>
      </w:r>
      <w:r w:rsidRPr="00FF72B1">
        <w:rPr>
          <w:lang w:val="en-GB"/>
        </w:rPr>
        <w:t>B</w:t>
      </w:r>
      <w:r w:rsidRPr="00FF72B1">
        <w:t>.</w:t>
      </w:r>
      <w:r w:rsidRPr="00FF72B1">
        <w:tab/>
        <w:t>Позитивные аспекты</w:t>
      </w:r>
    </w:p>
    <w:p w:rsidR="00FF72B1" w:rsidRPr="00FF72B1" w:rsidRDefault="00FF72B1" w:rsidP="00655A1A">
      <w:pPr>
        <w:pStyle w:val="SingleTxtGR"/>
      </w:pPr>
      <w:r w:rsidRPr="00FF72B1">
        <w:t>3.</w:t>
      </w:r>
      <w:r w:rsidRPr="00FF72B1">
        <w:tab/>
        <w:t>Комитет приветствует принятые государством-участником следующие з</w:t>
      </w:r>
      <w:r w:rsidRPr="00FF72B1">
        <w:t>а</w:t>
      </w:r>
      <w:r w:rsidRPr="00FF72B1">
        <w:t>конодательные и инст</w:t>
      </w:r>
      <w:r w:rsidRPr="00FF72B1">
        <w:t>и</w:t>
      </w:r>
      <w:r w:rsidRPr="00FF72B1">
        <w:t>туциональные меры:</w:t>
      </w:r>
    </w:p>
    <w:p w:rsidR="00FF72B1" w:rsidRPr="00FF72B1" w:rsidRDefault="00FF72B1" w:rsidP="00655A1A">
      <w:pPr>
        <w:pStyle w:val="SingleTxtGR"/>
      </w:pPr>
      <w:r w:rsidRPr="00FF72B1">
        <w:tab/>
      </w:r>
      <w:r w:rsidRPr="00FF72B1">
        <w:rPr>
          <w:lang w:val="en-GB"/>
        </w:rPr>
        <w:t>a</w:t>
      </w:r>
      <w:r w:rsidRPr="00FF72B1">
        <w:t>)</w:t>
      </w:r>
      <w:r w:rsidRPr="00FF72B1">
        <w:tab/>
        <w:t>принятие Конституции в 2004 году;</w:t>
      </w:r>
    </w:p>
    <w:p w:rsidR="00FF72B1" w:rsidRPr="00FF72B1" w:rsidRDefault="00FF72B1" w:rsidP="00655A1A">
      <w:pPr>
        <w:pStyle w:val="SingleTxtGR"/>
      </w:pPr>
      <w:r w:rsidRPr="00FF72B1">
        <w:tab/>
      </w:r>
      <w:r w:rsidRPr="00FF72B1">
        <w:rPr>
          <w:lang w:val="en-GB"/>
        </w:rPr>
        <w:t>b</w:t>
      </w:r>
      <w:r w:rsidRPr="00FF72B1">
        <w:t>)</w:t>
      </w:r>
      <w:r w:rsidRPr="00FF72B1">
        <w:tab/>
        <w:t>принятие Закона о семье (</w:t>
      </w:r>
      <w:r w:rsidR="0045736F">
        <w:t xml:space="preserve">№ </w:t>
      </w:r>
      <w:r w:rsidRPr="00FF72B1">
        <w:t>10/2004) и Закона о труде (</w:t>
      </w:r>
      <w:r w:rsidR="0045736F">
        <w:t xml:space="preserve">№ </w:t>
      </w:r>
      <w:r w:rsidRPr="00FF72B1">
        <w:t>23/2004) в 2004 году;</w:t>
      </w:r>
    </w:p>
    <w:p w:rsidR="00FF72B1" w:rsidRPr="00FF72B1" w:rsidRDefault="00655A1A" w:rsidP="00655A1A">
      <w:pPr>
        <w:pStyle w:val="SingleTxtGR"/>
      </w:pPr>
      <w:r w:rsidRPr="0045736F">
        <w:tab/>
      </w:r>
      <w:r w:rsidR="00FF72B1" w:rsidRPr="00FF72B1">
        <w:rPr>
          <w:lang w:val="en-GB"/>
        </w:rPr>
        <w:t>c</w:t>
      </w:r>
      <w:r w:rsidR="00FF72B1" w:rsidRPr="00FF72B1">
        <w:t>)</w:t>
      </w:r>
      <w:r w:rsidR="00FF72B1" w:rsidRPr="00FF72B1">
        <w:tab/>
        <w:t>принятие Закона о предупреждении торговли людьми, особенно женщинами и детьми, и борьбе с ней (</w:t>
      </w:r>
      <w:r w:rsidR="0045736F">
        <w:t>№</w:t>
      </w:r>
      <w:r w:rsidR="00FF72B1" w:rsidRPr="00FF72B1">
        <w:t xml:space="preserve"> 6/2008) в 2008 году; и</w:t>
      </w:r>
    </w:p>
    <w:p w:rsidR="00FF72B1" w:rsidRPr="00655A1A" w:rsidRDefault="004F6C5D" w:rsidP="00655A1A">
      <w:pPr>
        <w:pStyle w:val="SingleTxtGR"/>
      </w:pPr>
      <w:r>
        <w:tab/>
      </w:r>
      <w:r w:rsidR="00FF72B1" w:rsidRPr="00FF72B1">
        <w:rPr>
          <w:lang w:val="en-GB"/>
        </w:rPr>
        <w:t>d</w:t>
      </w:r>
      <w:r w:rsidR="00FF72B1" w:rsidRPr="00FF72B1">
        <w:t>)</w:t>
      </w:r>
      <w:r w:rsidR="00FF72B1" w:rsidRPr="00FF72B1">
        <w:tab/>
        <w:t xml:space="preserve">принятие Закона о насилии в семье в отношении женщин </w:t>
      </w:r>
      <w:r>
        <w:br/>
      </w:r>
      <w:r w:rsidR="00FF72B1" w:rsidRPr="00FF72B1">
        <w:t>(</w:t>
      </w:r>
      <w:r w:rsidR="008A7476">
        <w:t>№</w:t>
      </w:r>
      <w:r w:rsidR="00FF72B1" w:rsidRPr="00FF72B1">
        <w:t xml:space="preserve"> 29/2009) в 2009 году.</w:t>
      </w:r>
    </w:p>
    <w:p w:rsidR="00FF72B1" w:rsidRPr="00FF72B1" w:rsidRDefault="00FF72B1" w:rsidP="00655A1A">
      <w:pPr>
        <w:pStyle w:val="SingleTxtGR"/>
      </w:pPr>
      <w:r w:rsidRPr="00FF72B1">
        <w:t>4.</w:t>
      </w:r>
      <w:r w:rsidRPr="00FF72B1">
        <w:tab/>
        <w:t>Комитет приветствует ратификацию международных договоров или пр</w:t>
      </w:r>
      <w:r w:rsidRPr="00FF72B1">
        <w:t>и</w:t>
      </w:r>
      <w:r w:rsidRPr="00FF72B1">
        <w:t>соединение к ним, вкл</w:t>
      </w:r>
      <w:r w:rsidRPr="00FF72B1">
        <w:t>ю</w:t>
      </w:r>
      <w:r w:rsidRPr="00FF72B1">
        <w:t>чая:</w:t>
      </w:r>
    </w:p>
    <w:p w:rsidR="00FF72B1" w:rsidRPr="00FF72B1" w:rsidRDefault="00FF72B1" w:rsidP="00655A1A">
      <w:pPr>
        <w:pStyle w:val="SingleTxtGR"/>
      </w:pPr>
      <w:r w:rsidRPr="00FF72B1">
        <w:tab/>
        <w:t>а)</w:t>
      </w:r>
      <w:r w:rsidRPr="00FF72B1">
        <w:tab/>
        <w:t>Международную конвенцию о ликвидации всех форм расовой ди</w:t>
      </w:r>
      <w:r w:rsidRPr="00FF72B1">
        <w:t>с</w:t>
      </w:r>
      <w:r w:rsidRPr="00FF72B1">
        <w:t>криминации, 18 апреля 1983 года;</w:t>
      </w:r>
    </w:p>
    <w:p w:rsidR="00FF72B1" w:rsidRPr="00FF72B1" w:rsidRDefault="00FF72B1" w:rsidP="00655A1A">
      <w:pPr>
        <w:pStyle w:val="SingleTxtGR"/>
      </w:pPr>
      <w:r w:rsidRPr="00FF72B1">
        <w:tab/>
      </w:r>
      <w:r w:rsidRPr="00FF72B1">
        <w:rPr>
          <w:lang w:val="en-US"/>
        </w:rPr>
        <w:t>b</w:t>
      </w:r>
      <w:r w:rsidRPr="00FF72B1">
        <w:t>)</w:t>
      </w:r>
      <w:r w:rsidRPr="00FF72B1">
        <w:tab/>
        <w:t>второй Факультативный протокол к Пакту, направленный на отмену смертной казни, 21 и</w:t>
      </w:r>
      <w:r w:rsidRPr="00FF72B1">
        <w:t>ю</w:t>
      </w:r>
      <w:r w:rsidRPr="00FF72B1">
        <w:t>ля 1993 года;</w:t>
      </w:r>
    </w:p>
    <w:p w:rsidR="00FF72B1" w:rsidRPr="00FF72B1" w:rsidRDefault="00FF72B1" w:rsidP="00655A1A">
      <w:pPr>
        <w:pStyle w:val="SingleTxtGR"/>
      </w:pPr>
      <w:r w:rsidRPr="00FF72B1">
        <w:tab/>
        <w:t>с)</w:t>
      </w:r>
      <w:r w:rsidRPr="00FF72B1">
        <w:tab/>
        <w:t>Конвенцию о правах ребенка, 26 апреля 1994 года, и Факультати</w:t>
      </w:r>
      <w:r w:rsidRPr="00FF72B1">
        <w:t>в</w:t>
      </w:r>
      <w:r w:rsidRPr="00FF72B1">
        <w:t>ные протоколы к ней, к</w:t>
      </w:r>
      <w:r w:rsidRPr="00FF72B1">
        <w:t>а</w:t>
      </w:r>
      <w:r w:rsidRPr="00FF72B1">
        <w:t>сающиеся торговли детьми, детской проституции и детской порнографии, 6 марта 2003 года, и участия детей в вооруженных ко</w:t>
      </w:r>
      <w:r w:rsidRPr="00FF72B1">
        <w:t>н</w:t>
      </w:r>
      <w:r w:rsidRPr="00FF72B1">
        <w:t>фликтах, 19 октября 2004 года;</w:t>
      </w:r>
    </w:p>
    <w:p w:rsidR="00FF72B1" w:rsidRPr="00FF72B1" w:rsidRDefault="00FF72B1" w:rsidP="00655A1A">
      <w:pPr>
        <w:pStyle w:val="SingleTxtGR"/>
      </w:pPr>
      <w:r w:rsidRPr="00FF72B1">
        <w:tab/>
      </w:r>
      <w:r w:rsidRPr="00FF72B1">
        <w:rPr>
          <w:lang w:val="en-US"/>
        </w:rPr>
        <w:t>d</w:t>
      </w:r>
      <w:r w:rsidRPr="00FF72B1">
        <w:t>)</w:t>
      </w:r>
      <w:r w:rsidRPr="00FF72B1">
        <w:tab/>
        <w:t>Конвенцию о ликвидации всех форм дискриминации в отношении женщин, 21 апреля 1997 года, и Факультативны</w:t>
      </w:r>
      <w:r w:rsidR="00215D47">
        <w:t>й протокол к ней, 4 ноября 2008 </w:t>
      </w:r>
      <w:r w:rsidRPr="00FF72B1">
        <w:t>года;</w:t>
      </w:r>
    </w:p>
    <w:p w:rsidR="00FF72B1" w:rsidRPr="00FF72B1" w:rsidRDefault="00FF72B1" w:rsidP="00655A1A">
      <w:pPr>
        <w:pStyle w:val="SingleTxtGR"/>
      </w:pPr>
      <w:r w:rsidRPr="00FF72B1">
        <w:tab/>
      </w:r>
      <w:r w:rsidRPr="00FF72B1">
        <w:rPr>
          <w:lang w:val="en-US"/>
        </w:rPr>
        <w:t>e</w:t>
      </w:r>
      <w:r w:rsidRPr="00FF72B1">
        <w:t>)</w:t>
      </w:r>
      <w:r w:rsidRPr="00FF72B1">
        <w:tab/>
        <w:t>Конвенцию против пыток и других жестоких, бесчеловечных или унижающих достоинство видов обращения и наказания, 14 сентября 1999 года;</w:t>
      </w:r>
    </w:p>
    <w:p w:rsidR="00FF72B1" w:rsidRPr="00FF72B1" w:rsidRDefault="00FF72B1" w:rsidP="00655A1A">
      <w:pPr>
        <w:pStyle w:val="SingleTxtGR"/>
      </w:pPr>
      <w:r w:rsidRPr="00FF72B1">
        <w:tab/>
      </w:r>
      <w:r w:rsidRPr="00FF72B1">
        <w:rPr>
          <w:lang w:val="en-US"/>
        </w:rPr>
        <w:t>f</w:t>
      </w:r>
      <w:r w:rsidRPr="00FF72B1">
        <w:t>)</w:t>
      </w:r>
      <w:r w:rsidRPr="00FF72B1">
        <w:tab/>
        <w:t>Конвенцию о правах инвалидов и Факультативный протокол к ней, 30 января 2012 года; и</w:t>
      </w:r>
    </w:p>
    <w:p w:rsidR="00FF72B1" w:rsidRPr="00FF72B1" w:rsidRDefault="00FF72B1" w:rsidP="00655A1A">
      <w:pPr>
        <w:pStyle w:val="SingleTxtGR"/>
      </w:pPr>
      <w:r w:rsidRPr="00FF72B1">
        <w:tab/>
      </w:r>
      <w:r w:rsidRPr="00FF72B1">
        <w:rPr>
          <w:lang w:val="en-US"/>
        </w:rPr>
        <w:t>g</w:t>
      </w:r>
      <w:r w:rsidRPr="00FF72B1">
        <w:t>)</w:t>
      </w:r>
      <w:r w:rsidRPr="00FF72B1">
        <w:tab/>
        <w:t>Международную конвенцию о защите прав всех трудящихся-мигрантов и членов их семей, 19 августа 2013 года.</w:t>
      </w:r>
    </w:p>
    <w:p w:rsidR="00FF72B1" w:rsidRPr="00FF72B1" w:rsidRDefault="00FF72B1" w:rsidP="00655A1A">
      <w:pPr>
        <w:pStyle w:val="H1GR"/>
      </w:pPr>
      <w:r w:rsidRPr="00FF72B1">
        <w:tab/>
      </w:r>
      <w:r w:rsidRPr="00FF72B1">
        <w:rPr>
          <w:lang w:val="en-GB"/>
        </w:rPr>
        <w:t>C</w:t>
      </w:r>
      <w:r w:rsidRPr="00FF72B1">
        <w:t>.</w:t>
      </w:r>
      <w:r w:rsidRPr="00FF72B1">
        <w:tab/>
        <w:t>Основные вопросы</w:t>
      </w:r>
      <w:r w:rsidR="00215D47">
        <w:t>, вызывающие обеспокоенность, и </w:t>
      </w:r>
      <w:r w:rsidRPr="00FF72B1">
        <w:t>рекомендации</w:t>
      </w:r>
    </w:p>
    <w:p w:rsidR="00FF72B1" w:rsidRPr="00FF72B1" w:rsidRDefault="00FF72B1" w:rsidP="00655A1A">
      <w:pPr>
        <w:pStyle w:val="SingleTxtGR"/>
      </w:pPr>
      <w:r w:rsidRPr="00FF72B1">
        <w:t>5.</w:t>
      </w:r>
      <w:r w:rsidRPr="00FF72B1">
        <w:tab/>
        <w:t>Приветствуя тот факт, что на положения Пакта можно напрямую ссылат</w:t>
      </w:r>
      <w:r w:rsidRPr="00FF72B1">
        <w:t>ь</w:t>
      </w:r>
      <w:r w:rsidRPr="00FF72B1">
        <w:t>ся в судах, Комитет в то же время с сожалением отмечает, что до сих пор не б</w:t>
      </w:r>
      <w:r w:rsidRPr="00FF72B1">
        <w:t>ы</w:t>
      </w:r>
      <w:r w:rsidRPr="00FF72B1">
        <w:t xml:space="preserve">ло случаев, когда при рассмотрении дел на них напрямую ссылались бы в судах общей юрисдикции государства-участника (статья 2). </w:t>
      </w:r>
    </w:p>
    <w:p w:rsidR="00FF72B1" w:rsidRPr="00655A1A" w:rsidRDefault="00FF72B1" w:rsidP="00655A1A">
      <w:pPr>
        <w:pStyle w:val="SingleTxtGR"/>
        <w:rPr>
          <w:b/>
        </w:rPr>
      </w:pPr>
      <w:r w:rsidRPr="00655A1A">
        <w:rPr>
          <w:b/>
        </w:rPr>
        <w:t>Государству-участнику следует принять меры к тому, чтобы судьи, прок</w:t>
      </w:r>
      <w:r w:rsidRPr="00655A1A">
        <w:rPr>
          <w:b/>
        </w:rPr>
        <w:t>у</w:t>
      </w:r>
      <w:r w:rsidRPr="00655A1A">
        <w:rPr>
          <w:b/>
        </w:rPr>
        <w:t>роры и сотрудники правоохранительных органов проходили надлежащую подготовку, позволяющую им применять и толковать внутреннее законод</w:t>
      </w:r>
      <w:r w:rsidRPr="00655A1A">
        <w:rPr>
          <w:b/>
        </w:rPr>
        <w:t>а</w:t>
      </w:r>
      <w:r w:rsidRPr="00655A1A">
        <w:rPr>
          <w:b/>
        </w:rPr>
        <w:t>тельство в свете Пакта, и распространять знания о положениях Пакта ср</w:t>
      </w:r>
      <w:r w:rsidRPr="00655A1A">
        <w:rPr>
          <w:b/>
        </w:rPr>
        <w:t>е</w:t>
      </w:r>
      <w:r w:rsidRPr="00655A1A">
        <w:rPr>
          <w:b/>
        </w:rPr>
        <w:t>ди юристов и широкой общественности для того, чтобы они могли сс</w:t>
      </w:r>
      <w:r w:rsidRPr="00655A1A">
        <w:rPr>
          <w:b/>
        </w:rPr>
        <w:t>ы</w:t>
      </w:r>
      <w:r w:rsidRPr="00655A1A">
        <w:rPr>
          <w:b/>
        </w:rPr>
        <w:t>латься на его п</w:t>
      </w:r>
      <w:r w:rsidRPr="00655A1A">
        <w:rPr>
          <w:b/>
        </w:rPr>
        <w:t>о</w:t>
      </w:r>
      <w:r w:rsidRPr="00655A1A">
        <w:rPr>
          <w:b/>
        </w:rPr>
        <w:t>ложения в судах. Государству-участнику следует включить в свой следующий периодический доклад подробные примеры применения Пакта национальными судами, а также доступа к средствам правовой з</w:t>
      </w:r>
      <w:r w:rsidRPr="00655A1A">
        <w:rPr>
          <w:b/>
        </w:rPr>
        <w:t>а</w:t>
      </w:r>
      <w:r w:rsidRPr="00655A1A">
        <w:rPr>
          <w:b/>
        </w:rPr>
        <w:t>щиты, которые предусмотрены в законодательстве для граждан, заявля</w:t>
      </w:r>
      <w:r w:rsidRPr="00655A1A">
        <w:rPr>
          <w:b/>
        </w:rPr>
        <w:t>ю</w:t>
      </w:r>
      <w:r w:rsidRPr="00655A1A">
        <w:rPr>
          <w:b/>
        </w:rPr>
        <w:t>щих о нарушении прав, предусмотренных Пактом. Ему также следует ра</w:t>
      </w:r>
      <w:r w:rsidRPr="00655A1A">
        <w:rPr>
          <w:b/>
        </w:rPr>
        <w:t>с</w:t>
      </w:r>
      <w:r w:rsidRPr="00655A1A">
        <w:rPr>
          <w:b/>
        </w:rPr>
        <w:t>смотреть возможность присоединения к первому Факультативному прот</w:t>
      </w:r>
      <w:r w:rsidRPr="00655A1A">
        <w:rPr>
          <w:b/>
        </w:rPr>
        <w:t>о</w:t>
      </w:r>
      <w:r w:rsidRPr="00655A1A">
        <w:rPr>
          <w:b/>
        </w:rPr>
        <w:t>колу к Пакту.</w:t>
      </w:r>
    </w:p>
    <w:p w:rsidR="00FF72B1" w:rsidRPr="00FF72B1" w:rsidRDefault="00FF72B1" w:rsidP="00655A1A">
      <w:pPr>
        <w:pStyle w:val="SingleTxtGR"/>
      </w:pPr>
      <w:r w:rsidRPr="00FF72B1">
        <w:rPr>
          <w:bCs/>
        </w:rPr>
        <w:t>6.</w:t>
      </w:r>
      <w:r w:rsidRPr="00FF72B1">
        <w:rPr>
          <w:bCs/>
        </w:rPr>
        <w:tab/>
      </w:r>
      <w:r w:rsidRPr="00FF72B1">
        <w:t>Комитет с сожалением отмечает отсутствие в первоначальном докладе государства-участника и в письменных ответах на перечень вопросов Комитета подробной информации и статистических данных, которые позволили бы Ком</w:t>
      </w:r>
      <w:r w:rsidRPr="00FF72B1">
        <w:t>и</w:t>
      </w:r>
      <w:r w:rsidRPr="00FF72B1">
        <w:t>тету оценить, насколько эффективно в государстве-участнике осуществляются предусмотренные в Пакте права, и которые, по мнению Комитета, являются крайне необходимыми для мониторинга соблюдения положений Пакта.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</w:rPr>
        <w:t>Государству-участнику рекомендуется представить в его следующем п</w:t>
      </w:r>
      <w:r w:rsidRPr="00655A1A">
        <w:rPr>
          <w:b/>
        </w:rPr>
        <w:t>е</w:t>
      </w:r>
      <w:r w:rsidRPr="00655A1A">
        <w:rPr>
          <w:b/>
        </w:rPr>
        <w:t>риодическом докладе более полную информацию о соблюдении его закон</w:t>
      </w:r>
      <w:r w:rsidRPr="00655A1A">
        <w:rPr>
          <w:b/>
        </w:rPr>
        <w:t>о</w:t>
      </w:r>
      <w:r w:rsidRPr="00655A1A">
        <w:rPr>
          <w:b/>
        </w:rPr>
        <w:t>дательства в различных сферах, охватываемых Пактом. Ему следует также представить и</w:t>
      </w:r>
      <w:r w:rsidRPr="00655A1A">
        <w:rPr>
          <w:b/>
        </w:rPr>
        <w:t>с</w:t>
      </w:r>
      <w:r w:rsidRPr="00655A1A">
        <w:rPr>
          <w:b/>
        </w:rPr>
        <w:t>черпывающие статистические данные по соответствующим вопросам с разби</w:t>
      </w:r>
      <w:r w:rsidRPr="00655A1A">
        <w:rPr>
          <w:b/>
        </w:rPr>
        <w:t>в</w:t>
      </w:r>
      <w:r w:rsidRPr="00655A1A">
        <w:rPr>
          <w:b/>
        </w:rPr>
        <w:t>кой их, в частности, по гендерному признаку</w:t>
      </w:r>
      <w:r w:rsidRPr="00655A1A">
        <w:rPr>
          <w:b/>
          <w:bCs/>
        </w:rPr>
        <w:t>.</w:t>
      </w:r>
    </w:p>
    <w:p w:rsidR="00FF72B1" w:rsidRPr="00FF72B1" w:rsidRDefault="00FF72B1" w:rsidP="00655A1A">
      <w:pPr>
        <w:pStyle w:val="SingleTxtGR"/>
      </w:pPr>
      <w:r w:rsidRPr="00FF72B1">
        <w:rPr>
          <w:bCs/>
        </w:rPr>
        <w:t>7.</w:t>
      </w:r>
      <w:r w:rsidRPr="00FF72B1">
        <w:rPr>
          <w:bCs/>
        </w:rPr>
        <w:tab/>
      </w:r>
      <w:r w:rsidRPr="00FF72B1">
        <w:t>Комитет приветствует создание в 2009 году Национальной комиссии по правам человека и отм</w:t>
      </w:r>
      <w:r w:rsidRPr="00FF72B1">
        <w:t>е</w:t>
      </w:r>
      <w:r w:rsidRPr="00FF72B1">
        <w:t>чает, что она приступила к работе в сентябре 2012 года. Тем не менее Комитет выражает обеспокоенность в связи с сообщениями об о</w:t>
      </w:r>
      <w:r w:rsidRPr="00FF72B1">
        <w:t>т</w:t>
      </w:r>
      <w:r w:rsidRPr="00FF72B1">
        <w:t>сутствии у Комиссии независимости и о недостатках в ее функционировании (статья 2).</w:t>
      </w:r>
    </w:p>
    <w:p w:rsidR="00FF72B1" w:rsidRPr="00655A1A" w:rsidRDefault="00FF72B1" w:rsidP="00655A1A">
      <w:pPr>
        <w:pStyle w:val="SingleTxtGR"/>
        <w:rPr>
          <w:b/>
        </w:rPr>
      </w:pPr>
      <w:r w:rsidRPr="00655A1A">
        <w:rPr>
          <w:b/>
        </w:rPr>
        <w:t>Государству-участнику следует активизировать свои усилия, имеющие ц</w:t>
      </w:r>
      <w:r w:rsidRPr="00655A1A">
        <w:rPr>
          <w:b/>
        </w:rPr>
        <w:t>е</w:t>
      </w:r>
      <w:r w:rsidRPr="00655A1A">
        <w:rPr>
          <w:b/>
        </w:rPr>
        <w:t>лью обеспечить, чтобы Национальная комиссия по правам человека пол</w:t>
      </w:r>
      <w:r w:rsidRPr="00655A1A">
        <w:rPr>
          <w:b/>
        </w:rPr>
        <w:t>ь</w:t>
      </w:r>
      <w:r w:rsidRPr="00655A1A">
        <w:rPr>
          <w:b/>
        </w:rPr>
        <w:t>зовалась полной независимостью и располагала необходимыми ресурсами, позволяющими ей эффективно исполнять свой мандат в полном соответс</w:t>
      </w:r>
      <w:r w:rsidRPr="00655A1A">
        <w:rPr>
          <w:b/>
        </w:rPr>
        <w:t>т</w:t>
      </w:r>
      <w:r w:rsidRPr="00655A1A">
        <w:rPr>
          <w:b/>
        </w:rPr>
        <w:t>вии с принципами, касающимися статуса национальных учреждений по поощрению и защ</w:t>
      </w:r>
      <w:r w:rsidRPr="00655A1A">
        <w:rPr>
          <w:b/>
        </w:rPr>
        <w:t>и</w:t>
      </w:r>
      <w:r w:rsidRPr="00655A1A">
        <w:rPr>
          <w:b/>
        </w:rPr>
        <w:t>те прав че</w:t>
      </w:r>
      <w:r w:rsidR="00215D47">
        <w:rPr>
          <w:b/>
        </w:rPr>
        <w:t>ловека (Парижскими принципами).</w:t>
      </w:r>
    </w:p>
    <w:p w:rsidR="00FF72B1" w:rsidRPr="00FF72B1" w:rsidRDefault="00FF72B1" w:rsidP="00655A1A">
      <w:pPr>
        <w:pStyle w:val="SingleTxtGR"/>
      </w:pPr>
      <w:r w:rsidRPr="00FF72B1">
        <w:t>8.</w:t>
      </w:r>
      <w:r w:rsidRPr="00FF72B1">
        <w:tab/>
        <w:t>Отмечая, что статья 35 Конституции гарантирует всем гражданам раве</w:t>
      </w:r>
      <w:r w:rsidRPr="00FF72B1">
        <w:t>н</w:t>
      </w:r>
      <w:r w:rsidRPr="00FF72B1">
        <w:t>ство перед законом, Комитет вместе с тем обеспокоен сообщениями о расовой дискриминации, практикуемой в отношении местных жителей и местных то</w:t>
      </w:r>
      <w:r w:rsidRPr="00FF72B1">
        <w:t>р</w:t>
      </w:r>
      <w:r w:rsidRPr="00FF72B1">
        <w:t>говцев в туристических районах, особенно на побережьях провинций Иньямб</w:t>
      </w:r>
      <w:r w:rsidRPr="00FF72B1">
        <w:t>а</w:t>
      </w:r>
      <w:r w:rsidRPr="00FF72B1">
        <w:t xml:space="preserve">не, Газа и Кабо Дельгадо, и об ограничениях </w:t>
      </w:r>
      <w:r w:rsidR="00215D47">
        <w:t>их свободы передвижения (ст</w:t>
      </w:r>
      <w:r w:rsidR="00215D47">
        <w:t>а</w:t>
      </w:r>
      <w:r w:rsidR="00215D47">
        <w:t>тьи </w:t>
      </w:r>
      <w:r w:rsidRPr="00FF72B1">
        <w:t>2, 12 и 26).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</w:rPr>
        <w:t>Государству-участнику необходимо наладить с соответствующими субъе</w:t>
      </w:r>
      <w:r w:rsidRPr="00655A1A">
        <w:rPr>
          <w:b/>
        </w:rPr>
        <w:t>к</w:t>
      </w:r>
      <w:r w:rsidRPr="00655A1A">
        <w:rPr>
          <w:b/>
        </w:rPr>
        <w:t>тами, включая местные органы власти и туристические агентства, диалог, нацеле</w:t>
      </w:r>
      <w:r w:rsidRPr="00655A1A">
        <w:rPr>
          <w:b/>
        </w:rPr>
        <w:t>н</w:t>
      </w:r>
      <w:r w:rsidRPr="00655A1A">
        <w:rPr>
          <w:b/>
        </w:rPr>
        <w:t>ный на предупреждение и пресечение любых форм дискр</w:t>
      </w:r>
      <w:r w:rsidR="00215D47">
        <w:rPr>
          <w:b/>
        </w:rPr>
        <w:t xml:space="preserve">иминации в туристских районах. </w:t>
      </w:r>
      <w:r w:rsidRPr="00655A1A">
        <w:rPr>
          <w:b/>
        </w:rPr>
        <w:t>Государству-участнику следует обеспечить эффе</w:t>
      </w:r>
      <w:r w:rsidRPr="00655A1A">
        <w:rPr>
          <w:b/>
        </w:rPr>
        <w:t>к</w:t>
      </w:r>
      <w:r w:rsidRPr="00655A1A">
        <w:rPr>
          <w:b/>
        </w:rPr>
        <w:t>тивное осуществление на практике положений законодательства, отр</w:t>
      </w:r>
      <w:r w:rsidRPr="00655A1A">
        <w:rPr>
          <w:b/>
        </w:rPr>
        <w:t>а</w:t>
      </w:r>
      <w:r w:rsidRPr="00655A1A">
        <w:rPr>
          <w:b/>
        </w:rPr>
        <w:t>жающих обязательства, принятые на себя государством-участником с</w:t>
      </w:r>
      <w:r w:rsidRPr="00655A1A">
        <w:rPr>
          <w:b/>
        </w:rPr>
        <w:t>о</w:t>
      </w:r>
      <w:r w:rsidRPr="00655A1A">
        <w:rPr>
          <w:b/>
        </w:rPr>
        <w:t>гласно Пакту в отношении при</w:t>
      </w:r>
      <w:r w:rsidRPr="00655A1A">
        <w:rPr>
          <w:b/>
        </w:rPr>
        <w:t>н</w:t>
      </w:r>
      <w:r w:rsidRPr="00655A1A">
        <w:rPr>
          <w:b/>
        </w:rPr>
        <w:t>ципа недискриминации. Ему также следует принять надлежащие меры по обеспечению расследования таких а</w:t>
      </w:r>
      <w:r w:rsidRPr="00655A1A">
        <w:rPr>
          <w:b/>
        </w:rPr>
        <w:t>к</w:t>
      </w:r>
      <w:r w:rsidRPr="00655A1A">
        <w:rPr>
          <w:b/>
        </w:rPr>
        <w:t>тов дискриминации</w:t>
      </w:r>
      <w:r w:rsidRPr="00655A1A">
        <w:rPr>
          <w:b/>
          <w:bCs/>
        </w:rPr>
        <w:t>.</w:t>
      </w:r>
    </w:p>
    <w:p w:rsidR="00FF72B1" w:rsidRPr="00FF72B1" w:rsidRDefault="00FF72B1" w:rsidP="00655A1A">
      <w:pPr>
        <w:pStyle w:val="SingleTxtGR"/>
      </w:pPr>
      <w:r w:rsidRPr="00FF72B1">
        <w:rPr>
          <w:bCs/>
        </w:rPr>
        <w:t>9.</w:t>
      </w:r>
      <w:r w:rsidRPr="00FF72B1">
        <w:rPr>
          <w:bCs/>
        </w:rPr>
        <w:tab/>
      </w:r>
      <w:r w:rsidRPr="00FF72B1">
        <w:t>Отмечая меры, принимаемые государством-участником в деле поощрения гендерного равенства, и достигнутый прогресс, особенно на высоких уровнях государственного управления, Комитет, тем не менее, выражает озабоченность по поводу низкой представленности женщин на должностях, связанных с пр</w:t>
      </w:r>
      <w:r w:rsidRPr="00FF72B1">
        <w:t>и</w:t>
      </w:r>
      <w:r w:rsidRPr="00FF72B1">
        <w:t>нятием решений, на местном уровне. Комитет выражает сожаление в связи с тем, что традиционные дискриминационные обычаи и стереотипные предста</w:t>
      </w:r>
      <w:r w:rsidRPr="00FF72B1">
        <w:t>в</w:t>
      </w:r>
      <w:r w:rsidRPr="00FF72B1">
        <w:t>ления о роли и обязанностях женщин и му</w:t>
      </w:r>
      <w:r w:rsidRPr="00FF72B1">
        <w:t>ж</w:t>
      </w:r>
      <w:r w:rsidRPr="00FF72B1">
        <w:t>чин в семье и в обществе по-прежнему сохраняются, и обеспокоен распространенностью таких традицио</w:t>
      </w:r>
      <w:r w:rsidRPr="00FF72B1">
        <w:t>н</w:t>
      </w:r>
      <w:r w:rsidRPr="00FF72B1">
        <w:t>ных обычаев, как принудительные и ранние браки и полигамия, несмотря на их запрещение по Закону о семье № 10/2004. Комитет также обеспокоен тем, что женщины уязвимы перед дискриминацией по обычному праву, в том числе в вопросах наследования и доступа к земле (статьи 2, 3, 23, 24, 25 и 26).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</w:rPr>
        <w:t>Государству-участнику следует принять все необходимые меры к тому, чт</w:t>
      </w:r>
      <w:r w:rsidRPr="00655A1A">
        <w:rPr>
          <w:b/>
        </w:rPr>
        <w:t>о</w:t>
      </w:r>
      <w:r w:rsidRPr="00655A1A">
        <w:rPr>
          <w:b/>
        </w:rPr>
        <w:t>бы обеспечить эффективное применение и соблюдение существующей но</w:t>
      </w:r>
      <w:r w:rsidRPr="00655A1A">
        <w:rPr>
          <w:b/>
        </w:rPr>
        <w:t>р</w:t>
      </w:r>
      <w:r w:rsidRPr="00655A1A">
        <w:rPr>
          <w:b/>
        </w:rPr>
        <w:t>мативно-правовой базы по вопросам гендерного равенства и недискрим</w:t>
      </w:r>
      <w:r w:rsidRPr="00655A1A">
        <w:rPr>
          <w:b/>
        </w:rPr>
        <w:t>и</w:t>
      </w:r>
      <w:r w:rsidRPr="00655A1A">
        <w:rPr>
          <w:b/>
        </w:rPr>
        <w:t>нации, продолжать направлять усилия на увеличение представленности женщин на связанных с принятием решений должностях на местном уро</w:t>
      </w:r>
      <w:r w:rsidRPr="00655A1A">
        <w:rPr>
          <w:b/>
        </w:rPr>
        <w:t>в</w:t>
      </w:r>
      <w:r w:rsidRPr="00655A1A">
        <w:rPr>
          <w:b/>
        </w:rPr>
        <w:t>не и разработать стратегии по борьбе со стереотипными представлениями о роли женщин, в том числе путем информирования населения о необход</w:t>
      </w:r>
      <w:r w:rsidRPr="00655A1A">
        <w:rPr>
          <w:b/>
        </w:rPr>
        <w:t>и</w:t>
      </w:r>
      <w:r w:rsidRPr="00655A1A">
        <w:rPr>
          <w:b/>
        </w:rPr>
        <w:t>мости обеспечивать осущ</w:t>
      </w:r>
      <w:r w:rsidRPr="00655A1A">
        <w:rPr>
          <w:b/>
        </w:rPr>
        <w:t>е</w:t>
      </w:r>
      <w:r w:rsidRPr="00655A1A">
        <w:rPr>
          <w:b/>
        </w:rPr>
        <w:t xml:space="preserve">ствление женщинами их прав. Государству-участнику следует принять надлежащие меры к тому, чтобы: </w:t>
      </w:r>
      <w:r w:rsidRPr="00655A1A">
        <w:rPr>
          <w:b/>
          <w:lang w:val="en-GB"/>
        </w:rPr>
        <w:t>a</w:t>
      </w:r>
      <w:r w:rsidRPr="00655A1A">
        <w:rPr>
          <w:b/>
        </w:rPr>
        <w:t xml:space="preserve">) положить конец принудительным и ранним бракам и полигамии; </w:t>
      </w:r>
      <w:r w:rsidRPr="00655A1A">
        <w:rPr>
          <w:b/>
          <w:lang w:val="en-GB"/>
        </w:rPr>
        <w:t>b</w:t>
      </w:r>
      <w:r w:rsidRPr="00655A1A">
        <w:rPr>
          <w:b/>
        </w:rPr>
        <w:t>) проводить и</w:t>
      </w:r>
      <w:r w:rsidRPr="00655A1A">
        <w:rPr>
          <w:b/>
        </w:rPr>
        <w:t>н</w:t>
      </w:r>
      <w:r w:rsidRPr="00655A1A">
        <w:rPr>
          <w:b/>
        </w:rPr>
        <w:t>формационно-просветительские кампании по вопросам отрицательных п</w:t>
      </w:r>
      <w:r w:rsidRPr="00655A1A">
        <w:rPr>
          <w:b/>
        </w:rPr>
        <w:t>о</w:t>
      </w:r>
      <w:r w:rsidRPr="00655A1A">
        <w:rPr>
          <w:b/>
        </w:rPr>
        <w:t>следствий таких обычаев, особенно в сельской местности; и с) побуждать население сообщать о таких правонарушениях, рассл</w:t>
      </w:r>
      <w:r w:rsidRPr="00655A1A">
        <w:rPr>
          <w:b/>
        </w:rPr>
        <w:t>е</w:t>
      </w:r>
      <w:r w:rsidRPr="00655A1A">
        <w:rPr>
          <w:b/>
        </w:rPr>
        <w:t>довать жалобы жертв и привлекать виновных к ответственности. Ему также следует ус</w:t>
      </w:r>
      <w:r w:rsidRPr="00655A1A">
        <w:rPr>
          <w:b/>
        </w:rPr>
        <w:t>и</w:t>
      </w:r>
      <w:r w:rsidRPr="00655A1A">
        <w:rPr>
          <w:b/>
        </w:rPr>
        <w:t>лить меры, имеющие целью обеспечить, чтобы женщины не подве</w:t>
      </w:r>
      <w:r w:rsidRPr="00655A1A">
        <w:rPr>
          <w:b/>
        </w:rPr>
        <w:t>р</w:t>
      </w:r>
      <w:r w:rsidRPr="00655A1A">
        <w:rPr>
          <w:b/>
        </w:rPr>
        <w:t>гались дискриминации, когда применяются нормы обычного права, в том числе за счет наращивания усилий по повышению осведомленности о преимущ</w:t>
      </w:r>
      <w:r w:rsidRPr="00655A1A">
        <w:rPr>
          <w:b/>
        </w:rPr>
        <w:t>е</w:t>
      </w:r>
      <w:r w:rsidRPr="00655A1A">
        <w:rPr>
          <w:b/>
        </w:rPr>
        <w:t>ственной силе статутного права по сравнению с нормами и практикой обычного права и путем повышения осведомленности женщин об их пр</w:t>
      </w:r>
      <w:r w:rsidRPr="00655A1A">
        <w:rPr>
          <w:b/>
        </w:rPr>
        <w:t>а</w:t>
      </w:r>
      <w:r w:rsidRPr="00655A1A">
        <w:rPr>
          <w:b/>
        </w:rPr>
        <w:t>вах согласно нормам статутного права и положениям Пакта</w:t>
      </w:r>
      <w:r w:rsidRPr="00655A1A">
        <w:rPr>
          <w:b/>
          <w:bCs/>
        </w:rPr>
        <w:t>.</w:t>
      </w:r>
    </w:p>
    <w:p w:rsidR="00FF72B1" w:rsidRPr="00FF72B1" w:rsidRDefault="00FF72B1" w:rsidP="00655A1A">
      <w:pPr>
        <w:pStyle w:val="SingleTxtGR"/>
      </w:pPr>
      <w:r w:rsidRPr="00FF72B1">
        <w:t>10.</w:t>
      </w:r>
      <w:r w:rsidRPr="00FF72B1">
        <w:tab/>
        <w:t>Приветствуя меры, принятые государством-участником в целях борьбы с гендерно мотивирова</w:t>
      </w:r>
      <w:r w:rsidRPr="00FF72B1">
        <w:t>н</w:t>
      </w:r>
      <w:r w:rsidRPr="00FF72B1">
        <w:t>ным насилием, включая насилие в семье, в частности принятие 29 сентября 2009 года Закона о насилии в семье в отношении женщин (№ 29/2009), Комитет вместе с тем выражает обеспокоенность в связи с тем, что это явление по-прежнему сохраняется, и в связи с незначительным числом случаев сообщения о таких преступлениях вследствие бытующих в обществе традиционных представлений. Комитет выражает сожаление по поводу отсу</w:t>
      </w:r>
      <w:r w:rsidRPr="00FF72B1">
        <w:t>т</w:t>
      </w:r>
      <w:r w:rsidRPr="00FF72B1">
        <w:t>ствия данных о наказаниях, вынесенных виновным, средствах правовой защ</w:t>
      </w:r>
      <w:r w:rsidRPr="00FF72B1">
        <w:t>и</w:t>
      </w:r>
      <w:r w:rsidRPr="00FF72B1">
        <w:t>ты, предоставленных жертвам, и о наличии для жертв приютов и реабилитац</w:t>
      </w:r>
      <w:r w:rsidRPr="00FF72B1">
        <w:t>и</w:t>
      </w:r>
      <w:r w:rsidRPr="00FF72B1">
        <w:t>онных услуг. Комитет далее обеспокоен сообщениям</w:t>
      </w:r>
      <w:r w:rsidR="002B4311">
        <w:t>и</w:t>
      </w:r>
      <w:r w:rsidRPr="00FF72B1">
        <w:t xml:space="preserve"> о стигматизации и нас</w:t>
      </w:r>
      <w:r w:rsidRPr="00FF72B1">
        <w:t>и</w:t>
      </w:r>
      <w:r w:rsidRPr="00FF72B1">
        <w:t>лии в отношении пожилых женщин, обвиненных в колдовстве (статьи 2, 3, 6, 7 и 26).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</w:rPr>
        <w:t>Государству-участнику следует наращивать свои усилия по предупрежд</w:t>
      </w:r>
      <w:r w:rsidRPr="00655A1A">
        <w:rPr>
          <w:b/>
        </w:rPr>
        <w:t>е</w:t>
      </w:r>
      <w:r w:rsidRPr="00655A1A">
        <w:rPr>
          <w:b/>
        </w:rPr>
        <w:t>нию и пресечению гендерно мотивированного насилия во всех его формах и проявлениях, в том числе путем обеспечения эффективного соблюдения существующей нормативно-правовой базы. Ему следует проводить инфо</w:t>
      </w:r>
      <w:r w:rsidRPr="00655A1A">
        <w:rPr>
          <w:b/>
        </w:rPr>
        <w:t>р</w:t>
      </w:r>
      <w:r w:rsidRPr="00655A1A">
        <w:rPr>
          <w:b/>
        </w:rPr>
        <w:t>мационно-просветительские кампании по вопросам отрицательных п</w:t>
      </w:r>
      <w:r w:rsidRPr="00655A1A">
        <w:rPr>
          <w:b/>
        </w:rPr>
        <w:t>о</w:t>
      </w:r>
      <w:r w:rsidRPr="00655A1A">
        <w:rPr>
          <w:b/>
        </w:rPr>
        <w:t>следствий насилия в семье, информировать женщин об их правах и сущ</w:t>
      </w:r>
      <w:r w:rsidRPr="00655A1A">
        <w:rPr>
          <w:b/>
        </w:rPr>
        <w:t>е</w:t>
      </w:r>
      <w:r w:rsidRPr="00655A1A">
        <w:rPr>
          <w:b/>
        </w:rPr>
        <w:t>ствующих механизмах защиты и способствовать подаче жертвами жалоб. Государству-участнику следует также обеспечить, чтобы случаи насилия в семье тщательно расследовались, виновные привлекались к ответственн</w:t>
      </w:r>
      <w:r w:rsidRPr="00655A1A">
        <w:rPr>
          <w:b/>
        </w:rPr>
        <w:t>о</w:t>
      </w:r>
      <w:r w:rsidRPr="00655A1A">
        <w:rPr>
          <w:b/>
        </w:rPr>
        <w:t>сти и в случае осуждения наказывались соответствующими санкциями и чтобы жертвы имели доступ к эффективным средствам правовой и физ</w:t>
      </w:r>
      <w:r w:rsidRPr="00655A1A">
        <w:rPr>
          <w:b/>
        </w:rPr>
        <w:t>и</w:t>
      </w:r>
      <w:r w:rsidRPr="00655A1A">
        <w:rPr>
          <w:b/>
        </w:rPr>
        <w:t>ческой защиты, включая наличие достаточного к</w:t>
      </w:r>
      <w:r w:rsidRPr="00655A1A">
        <w:rPr>
          <w:b/>
        </w:rPr>
        <w:t>о</w:t>
      </w:r>
      <w:r w:rsidRPr="00655A1A">
        <w:rPr>
          <w:b/>
        </w:rPr>
        <w:t>личества приютов во всех частях страны. Оно также должно принять эффективные меры по з</w:t>
      </w:r>
      <w:r w:rsidRPr="00655A1A">
        <w:rPr>
          <w:b/>
        </w:rPr>
        <w:t>а</w:t>
      </w:r>
      <w:r w:rsidRPr="00655A1A">
        <w:rPr>
          <w:b/>
        </w:rPr>
        <w:t>щите пожилых женщин, обвиненных в колдовстве, от жестокого обращ</w:t>
      </w:r>
      <w:r w:rsidRPr="00655A1A">
        <w:rPr>
          <w:b/>
        </w:rPr>
        <w:t>е</w:t>
      </w:r>
      <w:r w:rsidRPr="00655A1A">
        <w:rPr>
          <w:b/>
        </w:rPr>
        <w:t>ния и насилия и вести просветительскую работу среди населения, особенно в сельской местности, относительно отрицательных последствий т</w:t>
      </w:r>
      <w:r w:rsidRPr="00655A1A">
        <w:rPr>
          <w:b/>
        </w:rPr>
        <w:t>а</w:t>
      </w:r>
      <w:r w:rsidRPr="00655A1A">
        <w:rPr>
          <w:b/>
        </w:rPr>
        <w:t>кой практики</w:t>
      </w:r>
      <w:r w:rsidRPr="00655A1A">
        <w:rPr>
          <w:b/>
          <w:bCs/>
        </w:rPr>
        <w:t>.</w:t>
      </w:r>
    </w:p>
    <w:p w:rsidR="00FF72B1" w:rsidRPr="00FF72B1" w:rsidRDefault="00FF72B1" w:rsidP="00655A1A">
      <w:pPr>
        <w:pStyle w:val="SingleTxtGR"/>
      </w:pPr>
      <w:r w:rsidRPr="00FF72B1">
        <w:t>11.</w:t>
      </w:r>
      <w:r w:rsidRPr="00FF72B1">
        <w:tab/>
        <w:t>Комитет обеспокоен сообщениями о случаях противозаконного убийства и произвольных казнях подозреваемых преступников, чрезмерном применении силы сотрудниками правоохранительных органов и применении пыток и жест</w:t>
      </w:r>
      <w:r w:rsidRPr="00FF72B1">
        <w:t>о</w:t>
      </w:r>
      <w:r w:rsidRPr="00FF72B1">
        <w:t>ком обращении в местах лишения свободы, включая полицейские участки и тюрьмы. Он также обеспокоен отсутствием конкретной и исчерпывающей и</w:t>
      </w:r>
      <w:r w:rsidRPr="00FF72B1">
        <w:t>н</w:t>
      </w:r>
      <w:r w:rsidRPr="00FF72B1">
        <w:t>формации о проведении расследований, привлечении виновных к ответстве</w:t>
      </w:r>
      <w:r w:rsidRPr="00FF72B1">
        <w:t>н</w:t>
      </w:r>
      <w:r w:rsidRPr="00FF72B1">
        <w:t>ности, приговорах и вынесенных им мерах наказания, а также сообщениями о безнаказанности сотрудников правоохранительных органов, причастных к т</w:t>
      </w:r>
      <w:r w:rsidRPr="00FF72B1">
        <w:t>а</w:t>
      </w:r>
      <w:r w:rsidRPr="00FF72B1">
        <w:t>ким нарушениям прав человека (статьи 2, 6, 7, 9, 10 и 14).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</w:rPr>
        <w:t>Государству-участнику следует предпринять практические шаги, напра</w:t>
      </w:r>
      <w:r w:rsidRPr="00655A1A">
        <w:rPr>
          <w:b/>
        </w:rPr>
        <w:t>в</w:t>
      </w:r>
      <w:r w:rsidRPr="00655A1A">
        <w:rPr>
          <w:b/>
        </w:rPr>
        <w:t>ленные на предупреждение чрезмерного применения силы сотрудниками правоохран</w:t>
      </w:r>
      <w:r w:rsidRPr="00655A1A">
        <w:rPr>
          <w:b/>
        </w:rPr>
        <w:t>и</w:t>
      </w:r>
      <w:r w:rsidRPr="00655A1A">
        <w:rPr>
          <w:b/>
        </w:rPr>
        <w:t>тельных органов, обеспечив</w:t>
      </w:r>
      <w:r w:rsidR="00215D47">
        <w:rPr>
          <w:b/>
        </w:rPr>
        <w:t xml:space="preserve"> соблюдение ими принятых в 1990 </w:t>
      </w:r>
      <w:r w:rsidRPr="00655A1A">
        <w:rPr>
          <w:b/>
        </w:rPr>
        <w:t>году Основных принципов применения силы и огнестрельного ор</w:t>
      </w:r>
      <w:r w:rsidRPr="00655A1A">
        <w:rPr>
          <w:b/>
        </w:rPr>
        <w:t>у</w:t>
      </w:r>
      <w:r w:rsidRPr="00655A1A">
        <w:rPr>
          <w:b/>
        </w:rPr>
        <w:t>жия должностными лицами по поддержанию правопорядка. Ему следует принять надлежащие меры по искоренению пыток и жестокого обращения, в том числе за счет проведения для персонала правоохранительных орг</w:t>
      </w:r>
      <w:r w:rsidRPr="00655A1A">
        <w:rPr>
          <w:b/>
        </w:rPr>
        <w:t>а</w:t>
      </w:r>
      <w:r w:rsidRPr="00655A1A">
        <w:rPr>
          <w:b/>
        </w:rPr>
        <w:t>нов подготовки по вопросам предупреждения пыток и жестокого обращ</w:t>
      </w:r>
      <w:r w:rsidRPr="00655A1A">
        <w:rPr>
          <w:b/>
        </w:rPr>
        <w:t>е</w:t>
      </w:r>
      <w:r w:rsidRPr="00655A1A">
        <w:rPr>
          <w:b/>
        </w:rPr>
        <w:t>ния с использованием во всех учебных программах принятого в 1999 году Руководства по эффективному расследованию и документированию пыток и других жестоких, бесчеловечных или унижающих достоинство видов о</w:t>
      </w:r>
      <w:r w:rsidRPr="00655A1A">
        <w:rPr>
          <w:b/>
        </w:rPr>
        <w:t>б</w:t>
      </w:r>
      <w:r w:rsidRPr="00655A1A">
        <w:rPr>
          <w:b/>
        </w:rPr>
        <w:t>ращения и наказания (Стамбульский протокол). Государство-участник должно обеспечить, чтобы по всем заявлениям о противозаконных убийс</w:t>
      </w:r>
      <w:r w:rsidRPr="00655A1A">
        <w:rPr>
          <w:b/>
        </w:rPr>
        <w:t>т</w:t>
      </w:r>
      <w:r w:rsidRPr="00655A1A">
        <w:rPr>
          <w:b/>
        </w:rPr>
        <w:t>вах, чрезмерном применении силы, пытках и жестоком обращении пров</w:t>
      </w:r>
      <w:r w:rsidRPr="00655A1A">
        <w:rPr>
          <w:b/>
        </w:rPr>
        <w:t>о</w:t>
      </w:r>
      <w:r w:rsidRPr="00655A1A">
        <w:rPr>
          <w:b/>
        </w:rPr>
        <w:t>дилось эффективное расследование, чтобы предполагаемые виновные пр</w:t>
      </w:r>
      <w:r w:rsidRPr="00655A1A">
        <w:rPr>
          <w:b/>
        </w:rPr>
        <w:t>и</w:t>
      </w:r>
      <w:r w:rsidRPr="00655A1A">
        <w:rPr>
          <w:b/>
        </w:rPr>
        <w:t>влекались к ответственности и в случае осуждения наказывались соотве</w:t>
      </w:r>
      <w:r w:rsidRPr="00655A1A">
        <w:rPr>
          <w:b/>
        </w:rPr>
        <w:t>т</w:t>
      </w:r>
      <w:r w:rsidRPr="00655A1A">
        <w:rPr>
          <w:b/>
        </w:rPr>
        <w:t>ствующими санкциями и чтобы жертвы или их семьи получали эффекти</w:t>
      </w:r>
      <w:r w:rsidRPr="00655A1A">
        <w:rPr>
          <w:b/>
        </w:rPr>
        <w:t>в</w:t>
      </w:r>
      <w:r w:rsidRPr="00655A1A">
        <w:rPr>
          <w:b/>
        </w:rPr>
        <w:t>ное во</w:t>
      </w:r>
      <w:r w:rsidRPr="00655A1A">
        <w:rPr>
          <w:b/>
        </w:rPr>
        <w:t>з</w:t>
      </w:r>
      <w:r w:rsidRPr="00655A1A">
        <w:rPr>
          <w:b/>
        </w:rPr>
        <w:t>мещение, включая надлежащую компенсацию</w:t>
      </w:r>
      <w:r w:rsidRPr="00655A1A">
        <w:rPr>
          <w:b/>
          <w:bCs/>
        </w:rPr>
        <w:t xml:space="preserve">. </w:t>
      </w:r>
    </w:p>
    <w:p w:rsidR="00FF72B1" w:rsidRPr="00FF72B1" w:rsidRDefault="00FF72B1" w:rsidP="00655A1A">
      <w:pPr>
        <w:pStyle w:val="SingleTxtGR"/>
      </w:pPr>
      <w:r w:rsidRPr="00FF72B1">
        <w:rPr>
          <w:bCs/>
        </w:rPr>
        <w:t>12.</w:t>
      </w:r>
      <w:r w:rsidRPr="00FF72B1">
        <w:rPr>
          <w:bCs/>
        </w:rPr>
        <w:tab/>
      </w:r>
      <w:r w:rsidRPr="00FF72B1">
        <w:t>Комитет обеспокоен сохраняющейся практикой линчевания и безрезул</w:t>
      </w:r>
      <w:r w:rsidRPr="00FF72B1">
        <w:t>ь</w:t>
      </w:r>
      <w:r w:rsidRPr="00FF72B1">
        <w:t>татностью мер, принятых в целях предупреждения и наказания такого рода деяний (статьи 6, 7 и 14).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</w:rPr>
        <w:t>Государству-участнику следует активизировать свои усилия, направле</w:t>
      </w:r>
      <w:r w:rsidRPr="00655A1A">
        <w:rPr>
          <w:b/>
        </w:rPr>
        <w:t>н</w:t>
      </w:r>
      <w:r w:rsidRPr="00655A1A">
        <w:rPr>
          <w:b/>
        </w:rPr>
        <w:t>ные на предупреждение и расследование случаев линчевания, привлечение к ответс</w:t>
      </w:r>
      <w:r w:rsidRPr="00655A1A">
        <w:rPr>
          <w:b/>
        </w:rPr>
        <w:t>т</w:t>
      </w:r>
      <w:r w:rsidRPr="00655A1A">
        <w:rPr>
          <w:b/>
        </w:rPr>
        <w:t>венности и наказание виновных, и проводить информационные и просветительские кампании в школах и средствах массовой информации по вопросам противозаконности таких актов, какими бы ни были обсто</w:t>
      </w:r>
      <w:r w:rsidRPr="00655A1A">
        <w:rPr>
          <w:b/>
        </w:rPr>
        <w:t>я</w:t>
      </w:r>
      <w:r w:rsidRPr="00655A1A">
        <w:rPr>
          <w:b/>
        </w:rPr>
        <w:t>тельства или причины, и по вопросам уголовной ответственности, которую влекут за собой такие акты</w:t>
      </w:r>
      <w:r w:rsidRPr="00655A1A">
        <w:rPr>
          <w:b/>
          <w:bCs/>
        </w:rPr>
        <w:t>.</w:t>
      </w:r>
    </w:p>
    <w:p w:rsidR="00FF72B1" w:rsidRPr="00FF72B1" w:rsidRDefault="00FF72B1" w:rsidP="00655A1A">
      <w:pPr>
        <w:pStyle w:val="SingleTxtGR"/>
      </w:pPr>
      <w:r w:rsidRPr="00FF72B1">
        <w:t>13.</w:t>
      </w:r>
      <w:r w:rsidRPr="00FF72B1">
        <w:tab/>
        <w:t>Комитет выражает обеспокоенность в связи с сообщениями о произвол</w:t>
      </w:r>
      <w:r w:rsidRPr="00FF72B1">
        <w:t>ь</w:t>
      </w:r>
      <w:r w:rsidRPr="00FF72B1">
        <w:t>ных арестах и задержаниях, в том числе детей, продолжительным досудебным содержанием под стражей дольше предписанных законом сроков, неинформ</w:t>
      </w:r>
      <w:r w:rsidRPr="00FF72B1">
        <w:t>и</w:t>
      </w:r>
      <w:r w:rsidRPr="00FF72B1">
        <w:t>рованием задержанных лиц об их правах, причинах задержания и обвинениях против них, а также по поводу трудностей получения задержанными доступа к адвокату с момента задержания. Он также обеспокоен незнанием задержанн</w:t>
      </w:r>
      <w:r w:rsidRPr="00FF72B1">
        <w:t>ы</w:t>
      </w:r>
      <w:r w:rsidRPr="00FF72B1">
        <w:t>ми лицами их прав, что мешает им требовать компенсацию за нарушения (ст</w:t>
      </w:r>
      <w:r w:rsidRPr="00FF72B1">
        <w:t>а</w:t>
      </w:r>
      <w:r w:rsidRPr="00FF72B1">
        <w:t>тьи 9, 14 и 24).</w:t>
      </w:r>
    </w:p>
    <w:p w:rsidR="00FF72B1" w:rsidRPr="00655A1A" w:rsidRDefault="00FF72B1" w:rsidP="00655A1A">
      <w:pPr>
        <w:pStyle w:val="SingleTxtGR"/>
        <w:rPr>
          <w:b/>
        </w:rPr>
      </w:pPr>
      <w:r w:rsidRPr="00655A1A">
        <w:rPr>
          <w:b/>
        </w:rPr>
        <w:t>Государству-участнику следует принять необходимые меры, направленные на обеспечение того, чтобы ни одно лицо, находящееся под его юрисдикц</w:t>
      </w:r>
      <w:r w:rsidRPr="00655A1A">
        <w:rPr>
          <w:b/>
        </w:rPr>
        <w:t>и</w:t>
      </w:r>
      <w:r w:rsidRPr="00655A1A">
        <w:rPr>
          <w:b/>
        </w:rPr>
        <w:t>ей, не подвергалось произвольному аресту или задержанию и чтобы заде</w:t>
      </w:r>
      <w:r w:rsidRPr="00655A1A">
        <w:rPr>
          <w:b/>
        </w:rPr>
        <w:t>р</w:t>
      </w:r>
      <w:r w:rsidRPr="00655A1A">
        <w:rPr>
          <w:b/>
        </w:rPr>
        <w:t>жанным лицам предоставлялись все правовые гарантии в соотве</w:t>
      </w:r>
      <w:r w:rsidRPr="00655A1A">
        <w:rPr>
          <w:b/>
        </w:rPr>
        <w:t>т</w:t>
      </w:r>
      <w:r w:rsidRPr="00655A1A">
        <w:rPr>
          <w:b/>
        </w:rPr>
        <w:t>ствии со статьями 9 и 14 Пакта. Оно должно обеспечить надлежащее информиров</w:t>
      </w:r>
      <w:r w:rsidRPr="00655A1A">
        <w:rPr>
          <w:b/>
        </w:rPr>
        <w:t>а</w:t>
      </w:r>
      <w:r w:rsidRPr="00655A1A">
        <w:rPr>
          <w:b/>
        </w:rPr>
        <w:t>ние лиц, лишенных свободы, об их правах, с тем чтобы позволить им на практике пользоваться своим правом на эффективные средства правовой защиты и компенсацию, и обеспечить, чтобы виновные в таких нарушен</w:t>
      </w:r>
      <w:r w:rsidRPr="00655A1A">
        <w:rPr>
          <w:b/>
        </w:rPr>
        <w:t>и</w:t>
      </w:r>
      <w:r w:rsidRPr="00655A1A">
        <w:rPr>
          <w:b/>
        </w:rPr>
        <w:t>ях наказывались соответству</w:t>
      </w:r>
      <w:r w:rsidRPr="00655A1A">
        <w:rPr>
          <w:b/>
        </w:rPr>
        <w:t>ю</w:t>
      </w:r>
      <w:r w:rsidRPr="00655A1A">
        <w:rPr>
          <w:b/>
        </w:rPr>
        <w:t xml:space="preserve">щими санкциями. </w:t>
      </w:r>
    </w:p>
    <w:p w:rsidR="00FF72B1" w:rsidRPr="00FF72B1" w:rsidRDefault="00FF72B1" w:rsidP="00655A1A">
      <w:pPr>
        <w:pStyle w:val="SingleTxtGR"/>
        <w:rPr>
          <w:bCs/>
        </w:rPr>
      </w:pPr>
      <w:r w:rsidRPr="00FF72B1">
        <w:rPr>
          <w:bCs/>
        </w:rPr>
        <w:t>14.</w:t>
      </w:r>
      <w:r w:rsidRPr="00FF72B1">
        <w:rPr>
          <w:bCs/>
        </w:rPr>
        <w:tab/>
      </w:r>
      <w:r w:rsidRPr="00FF72B1">
        <w:t>Отмечая усилия государства-участника, направленные на улучшение у</w:t>
      </w:r>
      <w:r w:rsidRPr="00FF72B1">
        <w:t>с</w:t>
      </w:r>
      <w:r w:rsidRPr="00FF72B1">
        <w:t>ловий содержания под стражей, включая ведущееся строительство новой тюр</w:t>
      </w:r>
      <w:r w:rsidRPr="00FF72B1">
        <w:t>ь</w:t>
      </w:r>
      <w:r w:rsidRPr="00FF72B1">
        <w:t>мы, Комитет в то же время выражает обеспокоенность по поводу серьезной п</w:t>
      </w:r>
      <w:r w:rsidRPr="00FF72B1">
        <w:t>е</w:t>
      </w:r>
      <w:r w:rsidRPr="00FF72B1">
        <w:t>реполненности мест содержания под стражей, удручающих условий содерж</w:t>
      </w:r>
      <w:r w:rsidRPr="00FF72B1">
        <w:t>а</w:t>
      </w:r>
      <w:r w:rsidRPr="00FF72B1">
        <w:t>ния, включая антисанитарные условия, неадекватный характер питания и мед</w:t>
      </w:r>
      <w:r w:rsidRPr="00FF72B1">
        <w:t>и</w:t>
      </w:r>
      <w:r w:rsidRPr="00FF72B1">
        <w:t>цинских услуг, а также по поводу случаев смерти при содержании под стражей. Комитет, кроме того, обеспокоен тем, что раздельное содержание несоверше</w:t>
      </w:r>
      <w:r w:rsidRPr="00FF72B1">
        <w:t>н</w:t>
      </w:r>
      <w:r w:rsidRPr="00FF72B1">
        <w:t>нолетних и взрослых не всегда гарантируется и что тюремные вл</w:t>
      </w:r>
      <w:r w:rsidRPr="00FF72B1">
        <w:t>а</w:t>
      </w:r>
      <w:r w:rsidRPr="00FF72B1">
        <w:t>сти иногда не освобождают заключенных, отбывших срок их заключения по приговору (ст</w:t>
      </w:r>
      <w:r w:rsidRPr="00FF72B1">
        <w:t>а</w:t>
      </w:r>
      <w:r w:rsidRPr="00FF72B1">
        <w:t xml:space="preserve">тьи 6, 7, 9, 10, 14 и 24).  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</w:rPr>
        <w:t>Государству-участнику следует срочно принять меры к тому, чтобы создать си</w:t>
      </w:r>
      <w:r w:rsidRPr="00655A1A">
        <w:rPr>
          <w:b/>
        </w:rPr>
        <w:t>с</w:t>
      </w:r>
      <w:r w:rsidRPr="00655A1A">
        <w:rPr>
          <w:b/>
        </w:rPr>
        <w:t>тему регулярного и независимого мониторинга в местах содержания под стражей, уменьшить переполненность тюрем и улучшить условия соде</w:t>
      </w:r>
      <w:r w:rsidRPr="00655A1A">
        <w:rPr>
          <w:b/>
        </w:rPr>
        <w:t>р</w:t>
      </w:r>
      <w:r w:rsidRPr="00655A1A">
        <w:rPr>
          <w:b/>
        </w:rPr>
        <w:t>жания, в том числе несовершеннолетних правонарушителей, как это пр</w:t>
      </w:r>
      <w:r w:rsidRPr="00655A1A">
        <w:rPr>
          <w:b/>
        </w:rPr>
        <w:t>е</w:t>
      </w:r>
      <w:r w:rsidRPr="00655A1A">
        <w:rPr>
          <w:b/>
        </w:rPr>
        <w:t>дусмотрено Пактом и Минимальными стандартными правилами обращ</w:t>
      </w:r>
      <w:r w:rsidRPr="00655A1A">
        <w:rPr>
          <w:b/>
        </w:rPr>
        <w:t>е</w:t>
      </w:r>
      <w:r w:rsidRPr="00655A1A">
        <w:rPr>
          <w:b/>
        </w:rPr>
        <w:t>ния с заключенн</w:t>
      </w:r>
      <w:r w:rsidRPr="00655A1A">
        <w:rPr>
          <w:b/>
        </w:rPr>
        <w:t>ы</w:t>
      </w:r>
      <w:r w:rsidRPr="00655A1A">
        <w:rPr>
          <w:b/>
        </w:rPr>
        <w:t>ми. В этом отношении государству-участнику следует рассмотреть вопрос не только о строительстве новых тюрем, но также об использовании мер, альтернативных досудебному содержанию под стр</w:t>
      </w:r>
      <w:r w:rsidRPr="00655A1A">
        <w:rPr>
          <w:b/>
        </w:rPr>
        <w:t>а</w:t>
      </w:r>
      <w:r w:rsidRPr="00655A1A">
        <w:rPr>
          <w:b/>
        </w:rPr>
        <w:t>жей, таких как залог, домашний арест и т.д., и о вынесении приговоров, не связанных с содержанием под стражей, таких, например, как условное ос</w:t>
      </w:r>
      <w:r w:rsidRPr="00655A1A">
        <w:rPr>
          <w:b/>
        </w:rPr>
        <w:t>у</w:t>
      </w:r>
      <w:r w:rsidRPr="00655A1A">
        <w:rPr>
          <w:b/>
        </w:rPr>
        <w:t>ждение, взятие на поруки и обществе</w:t>
      </w:r>
      <w:r w:rsidRPr="00655A1A">
        <w:rPr>
          <w:b/>
        </w:rPr>
        <w:t>н</w:t>
      </w:r>
      <w:r w:rsidRPr="00655A1A">
        <w:rPr>
          <w:b/>
        </w:rPr>
        <w:t>ные работы. Государству-участнику следует оперативно проводить расследования случаев смерти при содерж</w:t>
      </w:r>
      <w:r w:rsidRPr="00655A1A">
        <w:rPr>
          <w:b/>
        </w:rPr>
        <w:t>а</w:t>
      </w:r>
      <w:r w:rsidRPr="00655A1A">
        <w:rPr>
          <w:b/>
        </w:rPr>
        <w:t>нии под стражей, привлекать к ответственности виновных и предоста</w:t>
      </w:r>
      <w:r w:rsidRPr="00655A1A">
        <w:rPr>
          <w:b/>
        </w:rPr>
        <w:t>в</w:t>
      </w:r>
      <w:r w:rsidRPr="00655A1A">
        <w:rPr>
          <w:b/>
        </w:rPr>
        <w:t>лять надлежащую компенсацию семьям жертв. Оно также должно обесп</w:t>
      </w:r>
      <w:r w:rsidRPr="00655A1A">
        <w:rPr>
          <w:b/>
        </w:rPr>
        <w:t>е</w:t>
      </w:r>
      <w:r w:rsidRPr="00655A1A">
        <w:rPr>
          <w:b/>
        </w:rPr>
        <w:t>чить соблюдение принципа раздельного содержания несове</w:t>
      </w:r>
      <w:r w:rsidRPr="00655A1A">
        <w:rPr>
          <w:b/>
        </w:rPr>
        <w:t>р</w:t>
      </w:r>
      <w:r w:rsidRPr="00655A1A">
        <w:rPr>
          <w:b/>
        </w:rPr>
        <w:t>шеннолетних и взрослых правонарушителей в местах содержания под стражей и незаме</w:t>
      </w:r>
      <w:r w:rsidRPr="00655A1A">
        <w:rPr>
          <w:b/>
        </w:rPr>
        <w:t>д</w:t>
      </w:r>
      <w:r w:rsidRPr="00655A1A">
        <w:rPr>
          <w:b/>
        </w:rPr>
        <w:t>лительное освобождение заключенных, отбывших срок своего закл</w:t>
      </w:r>
      <w:r w:rsidRPr="00655A1A">
        <w:rPr>
          <w:b/>
        </w:rPr>
        <w:t>ю</w:t>
      </w:r>
      <w:r w:rsidRPr="00655A1A">
        <w:rPr>
          <w:b/>
        </w:rPr>
        <w:t>чения</w:t>
      </w:r>
      <w:r w:rsidRPr="00655A1A">
        <w:rPr>
          <w:b/>
          <w:bCs/>
        </w:rPr>
        <w:t>.</w:t>
      </w:r>
    </w:p>
    <w:p w:rsidR="00FF72B1" w:rsidRPr="00FF72B1" w:rsidRDefault="00FF72B1" w:rsidP="00655A1A">
      <w:pPr>
        <w:pStyle w:val="SingleTxtGR"/>
      </w:pPr>
      <w:r w:rsidRPr="00FF72B1">
        <w:t>15.</w:t>
      </w:r>
      <w:r w:rsidRPr="00FF72B1">
        <w:tab/>
        <w:t>Отмечая усилия государства-участника, имеющие целью обеспечить профессиональную подготовку и назначение большего числа судей, Комитет подтверждает свою обеспокоенность по поводу недостаточного количества с</w:t>
      </w:r>
      <w:r w:rsidRPr="00FF72B1">
        <w:t>у</w:t>
      </w:r>
      <w:r w:rsidRPr="00FF72B1">
        <w:t>дей и их недостаточной профессиональной подготовки. Он также обеспокоен продолжительными задержками в отправлении правосудия, отсутствием ясн</w:t>
      </w:r>
      <w:r w:rsidRPr="00FF72B1">
        <w:t>о</w:t>
      </w:r>
      <w:r w:rsidRPr="00FF72B1">
        <w:t>сти на предмет исчисления судебных издержек и трудностями, с которыми сталкиваются лица, находящиеся в неблагоприятном положении, в получении доступа к правовой помощи. Комитет также обеспокоен сообщениями о том, что система общинных судов, унаследованная от колониальных времен, по-видимому, не функционирует в соответствии с основными принципами спр</w:t>
      </w:r>
      <w:r w:rsidRPr="00FF72B1">
        <w:t>а</w:t>
      </w:r>
      <w:r w:rsidRPr="00FF72B1">
        <w:t>ведливого судебного разбирательства, а их решения могут противоречить при</w:t>
      </w:r>
      <w:r w:rsidRPr="00FF72B1">
        <w:t>н</w:t>
      </w:r>
      <w:r w:rsidRPr="00FF72B1">
        <w:t>ципам прав человека (статьи 2 и 14).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</w:rPr>
        <w:t>Государству-участнику в срочном порядке следует и далее увеличивать числе</w:t>
      </w:r>
      <w:r w:rsidRPr="00655A1A">
        <w:rPr>
          <w:b/>
        </w:rPr>
        <w:t>н</w:t>
      </w:r>
      <w:r w:rsidRPr="00655A1A">
        <w:rPr>
          <w:b/>
        </w:rPr>
        <w:t>ность квалифицированного и профессионально подготовленного персонала с</w:t>
      </w:r>
      <w:r w:rsidRPr="00655A1A">
        <w:rPr>
          <w:b/>
        </w:rPr>
        <w:t>у</w:t>
      </w:r>
      <w:r w:rsidRPr="00655A1A">
        <w:rPr>
          <w:b/>
        </w:rPr>
        <w:t>дебных органов; продолжать принимать меры по сокращению задержек в судопроизводстве, упростить процедуры исчисления судебных издержек и гарантировать их транспарентность и обеспечить предоставл</w:t>
      </w:r>
      <w:r w:rsidRPr="00655A1A">
        <w:rPr>
          <w:b/>
        </w:rPr>
        <w:t>е</w:t>
      </w:r>
      <w:r w:rsidRPr="00655A1A">
        <w:rPr>
          <w:b/>
        </w:rPr>
        <w:t>ние правовой помощи во всех случаях, когда того требуют интересы обе</w:t>
      </w:r>
      <w:r w:rsidRPr="00655A1A">
        <w:rPr>
          <w:b/>
        </w:rPr>
        <w:t>с</w:t>
      </w:r>
      <w:r w:rsidRPr="00655A1A">
        <w:rPr>
          <w:b/>
        </w:rPr>
        <w:t>печения правосудия. Государс</w:t>
      </w:r>
      <w:r w:rsidRPr="00655A1A">
        <w:rPr>
          <w:b/>
        </w:rPr>
        <w:t>т</w:t>
      </w:r>
      <w:r w:rsidRPr="00655A1A">
        <w:rPr>
          <w:b/>
        </w:rPr>
        <w:t>ву-участнику следует также принять меры к тому, чтобы система общинных с</w:t>
      </w:r>
      <w:r w:rsidRPr="00655A1A">
        <w:rPr>
          <w:b/>
        </w:rPr>
        <w:t>у</w:t>
      </w:r>
      <w:r w:rsidRPr="00655A1A">
        <w:rPr>
          <w:b/>
        </w:rPr>
        <w:t>дов функционировала с соблюдением статьи 14 Пакта и пункта 24 замечания общего порядка № 32 (2007) о пр</w:t>
      </w:r>
      <w:r w:rsidRPr="00655A1A">
        <w:rPr>
          <w:b/>
        </w:rPr>
        <w:t>а</w:t>
      </w:r>
      <w:r w:rsidRPr="00655A1A">
        <w:rPr>
          <w:b/>
        </w:rPr>
        <w:t>ве на равенство перед судами и трибуналами и на справедливое судебное разбирательство и чтобы решения таких судов не противоречили пред</w:t>
      </w:r>
      <w:r w:rsidRPr="00655A1A">
        <w:rPr>
          <w:b/>
        </w:rPr>
        <w:t>у</w:t>
      </w:r>
      <w:r w:rsidRPr="00655A1A">
        <w:rPr>
          <w:b/>
        </w:rPr>
        <w:t>смотренным Пактом обязательствам государства-участника</w:t>
      </w:r>
      <w:r w:rsidRPr="00655A1A">
        <w:rPr>
          <w:b/>
          <w:bCs/>
        </w:rPr>
        <w:t>.</w:t>
      </w:r>
    </w:p>
    <w:p w:rsidR="00FF72B1" w:rsidRPr="00FF72B1" w:rsidRDefault="00FF72B1" w:rsidP="00655A1A">
      <w:pPr>
        <w:pStyle w:val="SingleTxtGR"/>
        <w:rPr>
          <w:lang/>
        </w:rPr>
      </w:pPr>
      <w:r w:rsidRPr="00FF72B1">
        <w:rPr>
          <w:bCs/>
          <w:lang/>
        </w:rPr>
        <w:t>16.</w:t>
      </w:r>
      <w:r w:rsidRPr="00FF72B1">
        <w:rPr>
          <w:bCs/>
          <w:lang/>
        </w:rPr>
        <w:tab/>
      </w:r>
      <w:r w:rsidRPr="00FF72B1">
        <w:t>Отдавая должное государству-участнику за его отношение к беженцам и просителям убежища, несмотря на его существенные оговорки к Конвенции о статусе беженцев, Комитет с обеспокоенностью отмечает продолжительные з</w:t>
      </w:r>
      <w:r w:rsidRPr="00FF72B1">
        <w:t>а</w:t>
      </w:r>
      <w:r w:rsidRPr="00FF72B1">
        <w:t>держки в процессе определения статуса беженца, влекущие за собой рост числа нерассмотренных ходатайств о предоставлении убежища, и трудности в дост</w:t>
      </w:r>
      <w:r w:rsidRPr="00FF72B1">
        <w:t>у</w:t>
      </w:r>
      <w:r w:rsidRPr="00FF72B1">
        <w:t>пе к процедуре определения такого статуса во второй инстанции, в результате чего оба этих фактора создают для беженцев опасность принудительного во</w:t>
      </w:r>
      <w:r w:rsidRPr="00FF72B1">
        <w:t>з</w:t>
      </w:r>
      <w:r w:rsidRPr="00FF72B1">
        <w:t>вращения (статьи 2 и 7)</w:t>
      </w:r>
      <w:r w:rsidRPr="00FF72B1">
        <w:rPr>
          <w:lang/>
        </w:rPr>
        <w:t>.</w:t>
      </w:r>
    </w:p>
    <w:p w:rsidR="00FF72B1" w:rsidRPr="00655A1A" w:rsidRDefault="00FF72B1" w:rsidP="00655A1A">
      <w:pPr>
        <w:pStyle w:val="SingleTxtGR"/>
        <w:rPr>
          <w:b/>
          <w:lang/>
        </w:rPr>
      </w:pPr>
      <w:r w:rsidRPr="00655A1A">
        <w:rPr>
          <w:b/>
        </w:rPr>
        <w:t>Государству-участнику следует пересмотреть его существующие процедуры определения такого статуса как в законодательном порядке, так и на пра</w:t>
      </w:r>
      <w:r w:rsidRPr="00655A1A">
        <w:rPr>
          <w:b/>
        </w:rPr>
        <w:t>к</w:t>
      </w:r>
      <w:r w:rsidRPr="00655A1A">
        <w:rPr>
          <w:b/>
        </w:rPr>
        <w:t>тике, с тем чтобы принять меры по ликвидации значительных задержек в рассмотрении ходатайств о предоставлении убежища, некоторые из кот</w:t>
      </w:r>
      <w:r w:rsidRPr="00655A1A">
        <w:rPr>
          <w:b/>
        </w:rPr>
        <w:t>о</w:t>
      </w:r>
      <w:r w:rsidRPr="00655A1A">
        <w:rPr>
          <w:b/>
        </w:rPr>
        <w:t>рых ожидают рассмотрения уже более восьми лет. Ему следует установить конкретные сроки для осуществления таких процедур и обеспечить их полную доступность для просителей убежища, особенно в судах второй и</w:t>
      </w:r>
      <w:r w:rsidRPr="00655A1A">
        <w:rPr>
          <w:b/>
        </w:rPr>
        <w:t>н</w:t>
      </w:r>
      <w:r w:rsidRPr="00655A1A">
        <w:rPr>
          <w:b/>
        </w:rPr>
        <w:t>станции. Государству-участнику следует также рассмотреть возможность снятия его оговорок к Ко</w:t>
      </w:r>
      <w:r w:rsidRPr="00655A1A">
        <w:rPr>
          <w:b/>
        </w:rPr>
        <w:t>н</w:t>
      </w:r>
      <w:r w:rsidRPr="00655A1A">
        <w:rPr>
          <w:b/>
        </w:rPr>
        <w:t>венции о статусе беженцев</w:t>
      </w:r>
      <w:r w:rsidRPr="00655A1A">
        <w:rPr>
          <w:b/>
          <w:lang/>
        </w:rPr>
        <w:t>.</w:t>
      </w:r>
    </w:p>
    <w:p w:rsidR="00FF72B1" w:rsidRPr="00FF72B1" w:rsidRDefault="00FF72B1" w:rsidP="00655A1A">
      <w:pPr>
        <w:pStyle w:val="SingleTxtGR"/>
      </w:pPr>
      <w:r w:rsidRPr="00FF72B1">
        <w:rPr>
          <w:bCs/>
        </w:rPr>
        <w:t>17.</w:t>
      </w:r>
      <w:r w:rsidRPr="00FF72B1">
        <w:rPr>
          <w:bCs/>
        </w:rPr>
        <w:tab/>
      </w:r>
      <w:r w:rsidRPr="00FF72B1">
        <w:t>С признательностью отмечая усилия государства-участника, направле</w:t>
      </w:r>
      <w:r w:rsidRPr="00FF72B1">
        <w:t>н</w:t>
      </w:r>
      <w:r w:rsidRPr="00FF72B1">
        <w:t>ные на предупреждение и пресечение торговли людьми, включая при</w:t>
      </w:r>
      <w:r w:rsidR="00A24076">
        <w:t>нятие 9 </w:t>
      </w:r>
      <w:r w:rsidRPr="00FF72B1">
        <w:t>июля 2008 года Закона о предупреждении торговли людьми, особенно же</w:t>
      </w:r>
      <w:r w:rsidRPr="00FF72B1">
        <w:t>н</w:t>
      </w:r>
      <w:r w:rsidRPr="00FF72B1">
        <w:t>щинами и детьми, и борьбе с ней (№ 6/2008), Комитет в то же время выражает обеспокоенность по поводу того, что государство-участник по-прежнему явл</w:t>
      </w:r>
      <w:r w:rsidRPr="00FF72B1">
        <w:t>я</w:t>
      </w:r>
      <w:r w:rsidRPr="00FF72B1">
        <w:t>ется как источником, так и страной транзита мужчин, женщин и детей, прин</w:t>
      </w:r>
      <w:r w:rsidRPr="00FF72B1">
        <w:t>у</w:t>
      </w:r>
      <w:r w:rsidRPr="00FF72B1">
        <w:t>дительно подвергающихся трудовой и сексуальной эксплуатации, что о случаях торговли людьми не сообщается из опасений возмездия со стороны лиц, вход</w:t>
      </w:r>
      <w:r w:rsidRPr="00FF72B1">
        <w:t>я</w:t>
      </w:r>
      <w:r w:rsidRPr="00FF72B1">
        <w:t>щих в сети торговли людьми, которые обычно пользуются экономической вл</w:t>
      </w:r>
      <w:r w:rsidRPr="00FF72B1">
        <w:t>а</w:t>
      </w:r>
      <w:r w:rsidRPr="00FF72B1">
        <w:t>стью и влиянием в общине, и что не было предоставлено никакой информации о существовании эффективных механизмов и услуг по обеспечению защиты жертв, таких как приюты и реабилитационные услуги. Комитет далее обеспок</w:t>
      </w:r>
      <w:r w:rsidRPr="00FF72B1">
        <w:t>о</w:t>
      </w:r>
      <w:r w:rsidRPr="00FF72B1">
        <w:t>ен сообщениями о торговле человеческими органами для использования так н</w:t>
      </w:r>
      <w:r w:rsidRPr="00FF72B1">
        <w:t>а</w:t>
      </w:r>
      <w:r w:rsidRPr="00FF72B1">
        <w:t>зываемыми зн</w:t>
      </w:r>
      <w:r w:rsidRPr="00FF72B1">
        <w:t>а</w:t>
      </w:r>
      <w:r w:rsidRPr="00FF72B1">
        <w:t>харями в их традиционной медицинской практике (статьи 2, 6, 7, 8 и 24).</w:t>
      </w:r>
    </w:p>
    <w:p w:rsidR="00FF72B1" w:rsidRPr="00655A1A" w:rsidRDefault="00FF72B1" w:rsidP="00655A1A">
      <w:pPr>
        <w:pStyle w:val="SingleTxtGR"/>
        <w:rPr>
          <w:b/>
        </w:rPr>
      </w:pPr>
      <w:r w:rsidRPr="00655A1A">
        <w:rPr>
          <w:b/>
        </w:rPr>
        <w:t>Государству-участнику следует наращивать свои усилия по предупрежд</w:t>
      </w:r>
      <w:r w:rsidRPr="00655A1A">
        <w:rPr>
          <w:b/>
        </w:rPr>
        <w:t>е</w:t>
      </w:r>
      <w:r w:rsidRPr="00655A1A">
        <w:rPr>
          <w:b/>
        </w:rPr>
        <w:t>нию и пресечению то</w:t>
      </w:r>
      <w:r w:rsidRPr="00655A1A">
        <w:rPr>
          <w:b/>
        </w:rPr>
        <w:t>р</w:t>
      </w:r>
      <w:r w:rsidRPr="00655A1A">
        <w:rPr>
          <w:b/>
        </w:rPr>
        <w:t>говли людьми и торговли человеческими органами и наказанию за нее, в том числе на регионал</w:t>
      </w:r>
      <w:r w:rsidRPr="00655A1A">
        <w:rPr>
          <w:b/>
        </w:rPr>
        <w:t>ь</w:t>
      </w:r>
      <w:r w:rsidRPr="00655A1A">
        <w:rPr>
          <w:b/>
        </w:rPr>
        <w:t>ном уровне и в сотрудничестве с соседними странами, в частности посредством организации подготовки полицейских, сотрудников пограничной службы, судей, адвокатов и друг</w:t>
      </w:r>
      <w:r w:rsidRPr="00655A1A">
        <w:rPr>
          <w:b/>
        </w:rPr>
        <w:t>о</w:t>
      </w:r>
      <w:r w:rsidRPr="00655A1A">
        <w:rPr>
          <w:b/>
        </w:rPr>
        <w:t>го соответствующего персонала по вопросам выявления жертв и просв</w:t>
      </w:r>
      <w:r w:rsidRPr="00655A1A">
        <w:rPr>
          <w:b/>
        </w:rPr>
        <w:t>е</w:t>
      </w:r>
      <w:r w:rsidRPr="00655A1A">
        <w:rPr>
          <w:b/>
        </w:rPr>
        <w:t>щения по этой проблеме всего населения, и за счет обеспечения их аде</w:t>
      </w:r>
      <w:r w:rsidRPr="00655A1A">
        <w:rPr>
          <w:b/>
        </w:rPr>
        <w:t>к</w:t>
      </w:r>
      <w:r w:rsidRPr="00655A1A">
        <w:rPr>
          <w:b/>
        </w:rPr>
        <w:t>ватными ресурсами. Государству-участнику следует принять надлежащие меры по защите жертв торговли людьми от репрессалий и оказывать им адекватную медицинскую помощь, бесплатное социальное и юридическое содействие и предоставлять возмещение, включая реабилитационные у</w:t>
      </w:r>
      <w:r w:rsidRPr="00655A1A">
        <w:rPr>
          <w:b/>
        </w:rPr>
        <w:t>с</w:t>
      </w:r>
      <w:r w:rsidRPr="00655A1A">
        <w:rPr>
          <w:b/>
        </w:rPr>
        <w:t xml:space="preserve">луги. </w:t>
      </w:r>
    </w:p>
    <w:p w:rsidR="00FF72B1" w:rsidRPr="00FF72B1" w:rsidRDefault="00FF72B1" w:rsidP="00655A1A">
      <w:pPr>
        <w:pStyle w:val="SingleTxtGR"/>
      </w:pPr>
      <w:r w:rsidRPr="00FF72B1">
        <w:t>18.</w:t>
      </w:r>
      <w:r w:rsidRPr="00FF72B1">
        <w:tab/>
        <w:t>Комитет обеспокоен высоким показателем детского труда в стране, ос</w:t>
      </w:r>
      <w:r w:rsidRPr="00FF72B1">
        <w:t>о</w:t>
      </w:r>
      <w:r w:rsidRPr="00FF72B1">
        <w:t>бенно в сельском хозяйстве и в сфере услуг по уходу за домом, и сообщениями о сексуальной эксплуатации детей (статьи 8 и 24).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</w:rPr>
        <w:t>Государству-участнику следует и далее направлять свои усилия на реал</w:t>
      </w:r>
      <w:r w:rsidRPr="00655A1A">
        <w:rPr>
          <w:b/>
        </w:rPr>
        <w:t>и</w:t>
      </w:r>
      <w:r w:rsidRPr="00655A1A">
        <w:rPr>
          <w:b/>
        </w:rPr>
        <w:t>зацию существующей политики и соблюдение законов, направленных на искоренение детского труда и сексуальной эк</w:t>
      </w:r>
      <w:r w:rsidRPr="00655A1A">
        <w:rPr>
          <w:b/>
        </w:rPr>
        <w:t>с</w:t>
      </w:r>
      <w:r w:rsidRPr="00655A1A">
        <w:rPr>
          <w:b/>
        </w:rPr>
        <w:t>плуатации детей, в частности посредством проведения информационно-просветительских кампаний по вопросам защиты прав детей. Государство-участник должно обеспечить специальную защиту детей в соответствии со статьей 24 Пакта и обеспеч</w:t>
      </w:r>
      <w:r w:rsidRPr="00655A1A">
        <w:rPr>
          <w:b/>
        </w:rPr>
        <w:t>и</w:t>
      </w:r>
      <w:r w:rsidRPr="00655A1A">
        <w:rPr>
          <w:b/>
        </w:rPr>
        <w:t>вать ее соблюдение на пра</w:t>
      </w:r>
      <w:r w:rsidRPr="00655A1A">
        <w:rPr>
          <w:b/>
        </w:rPr>
        <w:t>к</w:t>
      </w:r>
      <w:r w:rsidRPr="00655A1A">
        <w:rPr>
          <w:b/>
        </w:rPr>
        <w:t>тике. И наконец, государство-участник должно обеспечить судебное преслед</w:t>
      </w:r>
      <w:r w:rsidRPr="00655A1A">
        <w:rPr>
          <w:b/>
        </w:rPr>
        <w:t>о</w:t>
      </w:r>
      <w:r w:rsidRPr="00655A1A">
        <w:rPr>
          <w:b/>
        </w:rPr>
        <w:t>вание лиц, нарушающих эти законы, а также наличие достоверных статистич</w:t>
      </w:r>
      <w:r w:rsidRPr="00655A1A">
        <w:rPr>
          <w:b/>
        </w:rPr>
        <w:t>е</w:t>
      </w:r>
      <w:r w:rsidRPr="00655A1A">
        <w:rPr>
          <w:b/>
        </w:rPr>
        <w:t>ских данных</w:t>
      </w:r>
      <w:r w:rsidRPr="00655A1A">
        <w:rPr>
          <w:b/>
          <w:bCs/>
        </w:rPr>
        <w:t>.</w:t>
      </w:r>
    </w:p>
    <w:p w:rsidR="00FF72B1" w:rsidRPr="00FF72B1" w:rsidRDefault="00FF72B1" w:rsidP="00655A1A">
      <w:pPr>
        <w:pStyle w:val="SingleTxtGR"/>
      </w:pPr>
      <w:r w:rsidRPr="00FF72B1">
        <w:t>19.</w:t>
      </w:r>
      <w:r w:rsidRPr="00FF72B1">
        <w:tab/>
        <w:t>Комитет выражает обеспокоенность по поводу сообщений о насилии в отношении детей и их сексуальной эксплуатации, в том числе в школах гос</w:t>
      </w:r>
      <w:r w:rsidRPr="00FF72B1">
        <w:t>у</w:t>
      </w:r>
      <w:r w:rsidRPr="00FF72B1">
        <w:t>дарства-участника, и отмечает, что нередко о таких случаях властям не сообщ</w:t>
      </w:r>
      <w:r w:rsidRPr="00FF72B1">
        <w:t>а</w:t>
      </w:r>
      <w:r w:rsidRPr="00FF72B1">
        <w:t>ется, поскольку семьи пытаются получить компенсацию от насильников в обход судебной системы. Комитет выражает сожаление по поводу отсутствия данных о количестве дел, которые были расследованы и по которым виновные были привлечены к ответственности, и о компенс</w:t>
      </w:r>
      <w:r w:rsidRPr="00FF72B1">
        <w:t>а</w:t>
      </w:r>
      <w:r w:rsidRPr="00FF72B1">
        <w:t xml:space="preserve">ции, присужденной жертвам такого насилия (статьи 2, 7 и 24). </w:t>
      </w:r>
    </w:p>
    <w:p w:rsidR="00FF72B1" w:rsidRPr="00655A1A" w:rsidRDefault="00FF72B1" w:rsidP="00655A1A">
      <w:pPr>
        <w:pStyle w:val="SingleTxtGR"/>
        <w:rPr>
          <w:b/>
        </w:rPr>
      </w:pPr>
      <w:r w:rsidRPr="00655A1A">
        <w:rPr>
          <w:b/>
        </w:rPr>
        <w:t>Государству-участнику следует в срочном порядке активизировать свои усилия по борьбе с жестоким обращением с детьми и их сексуальной эк</w:t>
      </w:r>
      <w:r w:rsidRPr="00655A1A">
        <w:rPr>
          <w:b/>
        </w:rPr>
        <w:t>с</w:t>
      </w:r>
      <w:r w:rsidRPr="00655A1A">
        <w:rPr>
          <w:b/>
        </w:rPr>
        <w:t>плуатацией посредством совершенствования механизмов раннего обнар</w:t>
      </w:r>
      <w:r w:rsidRPr="00655A1A">
        <w:rPr>
          <w:b/>
        </w:rPr>
        <w:t>у</w:t>
      </w:r>
      <w:r w:rsidRPr="00655A1A">
        <w:rPr>
          <w:b/>
        </w:rPr>
        <w:t>жения подобных деяний, за счет побуждения сообщать о подозреваемых и фактических нас</w:t>
      </w:r>
      <w:r w:rsidR="0029412E">
        <w:rPr>
          <w:b/>
        </w:rPr>
        <w:t xml:space="preserve">ильственных действиях, а также </w:t>
      </w:r>
      <w:r w:rsidRPr="00655A1A">
        <w:rPr>
          <w:b/>
        </w:rPr>
        <w:t>обеспечивая, чтобы сл</w:t>
      </w:r>
      <w:r w:rsidRPr="00655A1A">
        <w:rPr>
          <w:b/>
        </w:rPr>
        <w:t>у</w:t>
      </w:r>
      <w:r w:rsidRPr="00655A1A">
        <w:rPr>
          <w:b/>
        </w:rPr>
        <w:t>чаи такого насилия тщ</w:t>
      </w:r>
      <w:r w:rsidRPr="00655A1A">
        <w:rPr>
          <w:b/>
        </w:rPr>
        <w:t>а</w:t>
      </w:r>
      <w:r w:rsidRPr="00655A1A">
        <w:rPr>
          <w:b/>
        </w:rPr>
        <w:t>тельно расследовались, виновные привлекались к ответственности и в случае осуждения подвергались соответствующему наказанию, а жертвы получали надлежащую реабилитацию.</w:t>
      </w:r>
    </w:p>
    <w:p w:rsidR="00FF72B1" w:rsidRPr="00FF72B1" w:rsidRDefault="00FF72B1" w:rsidP="00655A1A">
      <w:pPr>
        <w:pStyle w:val="SingleTxtGR"/>
        <w:rPr>
          <w:bCs/>
        </w:rPr>
      </w:pPr>
      <w:r w:rsidRPr="00FF72B1">
        <w:rPr>
          <w:bCs/>
        </w:rPr>
        <w:t>20.</w:t>
      </w:r>
      <w:r w:rsidRPr="00FF72B1">
        <w:rPr>
          <w:bCs/>
        </w:rPr>
        <w:tab/>
      </w:r>
      <w:r w:rsidRPr="00FF72B1">
        <w:t>Приветствуя меры, принимаемые к тому, чтобы улучшить систему рег</w:t>
      </w:r>
      <w:r w:rsidRPr="00FF72B1">
        <w:t>и</w:t>
      </w:r>
      <w:r w:rsidRPr="00FF72B1">
        <w:t>страции рождений, Комитет вместе с тем отмечает, что регистрация рождений по-прежнему находится на низком уровне и что существуют недостатки в рег</w:t>
      </w:r>
      <w:r w:rsidRPr="00FF72B1">
        <w:t>и</w:t>
      </w:r>
      <w:r w:rsidRPr="00FF72B1">
        <w:t>страции детей, родившихся вне родильных домов, и детей, родители которых отсутствуют. Комитет также отмечает, что в настоящее время ведется обсужд</w:t>
      </w:r>
      <w:r w:rsidRPr="00FF72B1">
        <w:t>е</w:t>
      </w:r>
      <w:r w:rsidRPr="00FF72B1">
        <w:t>ние предложений о продлении 120-дневного срока бесплатной регистрации р</w:t>
      </w:r>
      <w:r w:rsidRPr="00FF72B1">
        <w:t>о</w:t>
      </w:r>
      <w:r w:rsidRPr="00FF72B1">
        <w:t>ждений и об уменьшении регистрационного сбора (статьи 16 и 24).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</w:rPr>
        <w:t>Государству-участнику следует умножить свои усилия по обеспечению р</w:t>
      </w:r>
      <w:r w:rsidRPr="00655A1A">
        <w:rPr>
          <w:b/>
        </w:rPr>
        <w:t>е</w:t>
      </w:r>
      <w:r w:rsidRPr="00655A1A">
        <w:rPr>
          <w:b/>
        </w:rPr>
        <w:t>гистрации детей, в том числе посредством создания специальных групп, работающих вне родильных домов и ведущих свою деятельность во всех районах страны, включая самые отдаленные районы, и проводить среди общин, особенно в сельских районах, кампании по повышению информ</w:t>
      </w:r>
      <w:r w:rsidRPr="00655A1A">
        <w:rPr>
          <w:b/>
        </w:rPr>
        <w:t>и</w:t>
      </w:r>
      <w:r w:rsidRPr="00655A1A">
        <w:rPr>
          <w:b/>
        </w:rPr>
        <w:t>рованности о процед</w:t>
      </w:r>
      <w:r w:rsidRPr="00655A1A">
        <w:rPr>
          <w:b/>
        </w:rPr>
        <w:t>у</w:t>
      </w:r>
      <w:r w:rsidRPr="00655A1A">
        <w:rPr>
          <w:b/>
        </w:rPr>
        <w:t>рах регистрации рождений</w:t>
      </w:r>
      <w:r w:rsidRPr="00655A1A">
        <w:rPr>
          <w:b/>
          <w:bCs/>
        </w:rPr>
        <w:t>.</w:t>
      </w:r>
    </w:p>
    <w:p w:rsidR="00FF72B1" w:rsidRPr="00FF72B1" w:rsidRDefault="00FF72B1" w:rsidP="00655A1A">
      <w:pPr>
        <w:pStyle w:val="SingleTxtGR"/>
        <w:rPr>
          <w:lang/>
        </w:rPr>
      </w:pPr>
      <w:r w:rsidRPr="00FF72B1">
        <w:rPr>
          <w:lang/>
        </w:rPr>
        <w:t>21.</w:t>
      </w:r>
      <w:r w:rsidRPr="00FF72B1">
        <w:rPr>
          <w:lang/>
        </w:rPr>
        <w:tab/>
      </w:r>
      <w:r w:rsidRPr="00FF72B1">
        <w:t>Комитет выражает обеспокоенность по поводу криминализации дифф</w:t>
      </w:r>
      <w:r w:rsidRPr="00FF72B1">
        <w:t>а</w:t>
      </w:r>
      <w:r w:rsidRPr="00FF72B1">
        <w:t>мации таким образом, что это сдерживает выражение критических позиций или критического освещения в средствах массовой информации вопросов, пре</w:t>
      </w:r>
      <w:r w:rsidRPr="00FF72B1">
        <w:t>д</w:t>
      </w:r>
      <w:r w:rsidRPr="00FF72B1">
        <w:t>ставляющих общественный интерес, и отрицательно сказывается на реал</w:t>
      </w:r>
      <w:r w:rsidRPr="00FF72B1">
        <w:t>и</w:t>
      </w:r>
      <w:r w:rsidRPr="00FF72B1">
        <w:t>зации права на свободное выражение мнений и доступе к информации любого рода (статья 19)</w:t>
      </w:r>
      <w:r w:rsidRPr="00FF72B1">
        <w:rPr>
          <w:lang/>
        </w:rPr>
        <w:t xml:space="preserve">. 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  <w:bCs/>
        </w:rPr>
        <w:t xml:space="preserve">Государству-участнику следует </w:t>
      </w:r>
      <w:r w:rsidRPr="00655A1A">
        <w:rPr>
          <w:b/>
        </w:rPr>
        <w:t>гарантировать право на свободное выраж</w:t>
      </w:r>
      <w:r w:rsidRPr="00655A1A">
        <w:rPr>
          <w:b/>
        </w:rPr>
        <w:t>е</w:t>
      </w:r>
      <w:r w:rsidRPr="00655A1A">
        <w:rPr>
          <w:b/>
        </w:rPr>
        <w:t>ние мнений и свободу печати, которые закреплены в статье 19 Пакта и подробно разъяснены в принятом Комитетом за</w:t>
      </w:r>
      <w:r w:rsidR="00A24076">
        <w:rPr>
          <w:b/>
        </w:rPr>
        <w:t>мечании общего порядка № </w:t>
      </w:r>
      <w:r w:rsidRPr="00655A1A">
        <w:rPr>
          <w:b/>
        </w:rPr>
        <w:t>34 (2011 года) о свободе мнений и их выражения. В этой связи государс</w:t>
      </w:r>
      <w:r w:rsidRPr="00655A1A">
        <w:rPr>
          <w:b/>
        </w:rPr>
        <w:t>т</w:t>
      </w:r>
      <w:r w:rsidRPr="00655A1A">
        <w:rPr>
          <w:b/>
        </w:rPr>
        <w:t>ву-участнику следует защищать плюрализм средств массовой информации. Ему также следует ра</w:t>
      </w:r>
      <w:r w:rsidRPr="00655A1A">
        <w:rPr>
          <w:b/>
        </w:rPr>
        <w:t>с</w:t>
      </w:r>
      <w:r w:rsidRPr="00655A1A">
        <w:rPr>
          <w:b/>
        </w:rPr>
        <w:t>смотреть вопрос о декриминализации диффамации и в любом случае ограничить сферу применения уголовного законодательс</w:t>
      </w:r>
      <w:r w:rsidRPr="00655A1A">
        <w:rPr>
          <w:b/>
        </w:rPr>
        <w:t>т</w:t>
      </w:r>
      <w:r w:rsidRPr="00655A1A">
        <w:rPr>
          <w:b/>
        </w:rPr>
        <w:t>ва более серьезными правонарушениями</w:t>
      </w:r>
      <w:r w:rsidRPr="00655A1A">
        <w:rPr>
          <w:b/>
          <w:bCs/>
        </w:rPr>
        <w:t>, памятуя о том, что лишение св</w:t>
      </w:r>
      <w:r w:rsidRPr="00655A1A">
        <w:rPr>
          <w:b/>
          <w:bCs/>
        </w:rPr>
        <w:t>о</w:t>
      </w:r>
      <w:r w:rsidRPr="00655A1A">
        <w:rPr>
          <w:b/>
          <w:bCs/>
        </w:rPr>
        <w:t>боды никоим образом не являе</w:t>
      </w:r>
      <w:r w:rsidRPr="00655A1A">
        <w:rPr>
          <w:b/>
          <w:bCs/>
        </w:rPr>
        <w:t>т</w:t>
      </w:r>
      <w:r w:rsidRPr="00655A1A">
        <w:rPr>
          <w:b/>
          <w:bCs/>
        </w:rPr>
        <w:t>ся надлежащей мерой наказания в данных случаях.</w:t>
      </w:r>
    </w:p>
    <w:p w:rsidR="00FF72B1" w:rsidRPr="00FF72B1" w:rsidRDefault="00FF72B1" w:rsidP="00655A1A">
      <w:pPr>
        <w:pStyle w:val="SingleTxtGR"/>
        <w:rPr>
          <w:lang/>
        </w:rPr>
      </w:pPr>
      <w:r w:rsidRPr="00FF72B1">
        <w:rPr>
          <w:lang/>
        </w:rPr>
        <w:t>22.</w:t>
      </w:r>
      <w:r w:rsidRPr="00FF72B1">
        <w:rPr>
          <w:lang/>
        </w:rPr>
        <w:tab/>
      </w:r>
      <w:r w:rsidRPr="00FF72B1">
        <w:rPr>
          <w:bCs/>
        </w:rPr>
        <w:t>Комитет обеспокоен тем, что свобода собраний и ассоциации не всегда эффективно гарантируется. Комитет также обеспокоен утверждениями о прои</w:t>
      </w:r>
      <w:r w:rsidRPr="00FF72B1">
        <w:rPr>
          <w:bCs/>
        </w:rPr>
        <w:t>з</w:t>
      </w:r>
      <w:r w:rsidRPr="00FF72B1">
        <w:rPr>
          <w:bCs/>
        </w:rPr>
        <w:t>вольных арестах и задержаниях участников мирных демонстраций, включая демонстрации, организованные Мозамбикским форумом ветеранов войны, а также о применении полицией во время демонстраций слезоточивого газа, в</w:t>
      </w:r>
      <w:r w:rsidRPr="00FF72B1">
        <w:rPr>
          <w:bCs/>
        </w:rPr>
        <w:t>о</w:t>
      </w:r>
      <w:r w:rsidRPr="00FF72B1">
        <w:rPr>
          <w:bCs/>
        </w:rPr>
        <w:t>дометов, резиновых боеприпасов и дубинок. Комитет, кроме того, обеспокоен продолжительной задержкой в регистрации М</w:t>
      </w:r>
      <w:r w:rsidRPr="00FF72B1">
        <w:rPr>
          <w:bCs/>
        </w:rPr>
        <w:t>о</w:t>
      </w:r>
      <w:r w:rsidRPr="00FF72B1">
        <w:rPr>
          <w:bCs/>
        </w:rPr>
        <w:t>замбикской ассоциации прав сексуальных меньшинств (Ламбда), являющейся неправительственной орган</w:t>
      </w:r>
      <w:r w:rsidRPr="00FF72B1">
        <w:rPr>
          <w:bCs/>
        </w:rPr>
        <w:t>и</w:t>
      </w:r>
      <w:r w:rsidRPr="00FF72B1">
        <w:rPr>
          <w:bCs/>
        </w:rPr>
        <w:t>зацией, защищающей права гомосексуалистов (статьи 7, 9, 19, 21 и 22)</w:t>
      </w:r>
      <w:r w:rsidRPr="00FF72B1">
        <w:rPr>
          <w:lang/>
        </w:rPr>
        <w:t>.</w:t>
      </w:r>
    </w:p>
    <w:p w:rsidR="00FF72B1" w:rsidRPr="00655A1A" w:rsidRDefault="00FF72B1" w:rsidP="00655A1A">
      <w:pPr>
        <w:pStyle w:val="SingleTxtGR"/>
        <w:rPr>
          <w:b/>
          <w:bCs/>
        </w:rPr>
      </w:pPr>
      <w:r w:rsidRPr="00655A1A">
        <w:rPr>
          <w:b/>
          <w:bCs/>
        </w:rPr>
        <w:t>Государству-участнику следует принять все меры к тому, чтобы все люди имели возможность пользоваться своими правами, предусмотренными статьей 21 Пакта, и на практике гарантировать соблюдение права на св</w:t>
      </w:r>
      <w:r w:rsidRPr="00655A1A">
        <w:rPr>
          <w:b/>
          <w:bCs/>
        </w:rPr>
        <w:t>о</w:t>
      </w:r>
      <w:r w:rsidRPr="00655A1A">
        <w:rPr>
          <w:b/>
          <w:bCs/>
        </w:rPr>
        <w:t>боду собраний. Государству-участнику следует также провести расследов</w:t>
      </w:r>
      <w:r w:rsidRPr="00655A1A">
        <w:rPr>
          <w:b/>
          <w:bCs/>
        </w:rPr>
        <w:t>а</w:t>
      </w:r>
      <w:r w:rsidRPr="00655A1A">
        <w:rPr>
          <w:b/>
          <w:bCs/>
        </w:rPr>
        <w:t>ние и привлечь к ответственности лиц, предположительно ответственных за произвольные аресты и задержания и причинение телесных поврежд</w:t>
      </w:r>
      <w:r w:rsidRPr="00655A1A">
        <w:rPr>
          <w:b/>
          <w:bCs/>
        </w:rPr>
        <w:t>е</w:t>
      </w:r>
      <w:r w:rsidRPr="00655A1A">
        <w:rPr>
          <w:b/>
          <w:bCs/>
        </w:rPr>
        <w:t>ний во время мирных демонстраций, и наказать тех, кто будет признан в</w:t>
      </w:r>
      <w:r w:rsidRPr="00655A1A">
        <w:rPr>
          <w:b/>
          <w:bCs/>
        </w:rPr>
        <w:t>и</w:t>
      </w:r>
      <w:r w:rsidRPr="00655A1A">
        <w:rPr>
          <w:b/>
          <w:bCs/>
        </w:rPr>
        <w:t>новным в совершении таких действий. Государство-участник должно обе</w:t>
      </w:r>
      <w:r w:rsidRPr="00655A1A">
        <w:rPr>
          <w:b/>
          <w:bCs/>
        </w:rPr>
        <w:t>с</w:t>
      </w:r>
      <w:r w:rsidRPr="00655A1A">
        <w:rPr>
          <w:b/>
          <w:bCs/>
        </w:rPr>
        <w:t>печить, чтобы решения о регистрации н</w:t>
      </w:r>
      <w:r w:rsidRPr="00655A1A">
        <w:rPr>
          <w:b/>
          <w:bCs/>
        </w:rPr>
        <w:t>е</w:t>
      </w:r>
      <w:r w:rsidRPr="00655A1A">
        <w:rPr>
          <w:b/>
          <w:bCs/>
        </w:rPr>
        <w:t>правительственных организаций, включая Ламбду, принимались без неопра</w:t>
      </w:r>
      <w:r w:rsidRPr="00655A1A">
        <w:rPr>
          <w:b/>
          <w:bCs/>
        </w:rPr>
        <w:t>в</w:t>
      </w:r>
      <w:r w:rsidRPr="00655A1A">
        <w:rPr>
          <w:b/>
          <w:bCs/>
        </w:rPr>
        <w:t>данных задержек.</w:t>
      </w:r>
    </w:p>
    <w:p w:rsidR="00FF72B1" w:rsidRPr="00FF72B1" w:rsidDel="00566F90" w:rsidRDefault="00FF72B1" w:rsidP="00655A1A">
      <w:pPr>
        <w:pStyle w:val="SingleTxtGR"/>
      </w:pPr>
      <w:r w:rsidRPr="00FF72B1">
        <w:t>23.</w:t>
      </w:r>
      <w:r w:rsidRPr="00FF72B1">
        <w:tab/>
        <w:t>Государству-участнику следует обеспечить широкое распространение Пакта, текст второго Факультативного протокола к Пакту, направленного на о</w:t>
      </w:r>
      <w:r w:rsidRPr="00FF72B1">
        <w:t>т</w:t>
      </w:r>
      <w:r w:rsidRPr="00FF72B1">
        <w:t>мену смертной казни, текста его первоначального периодического доклада, письменных ответов на перечень вопросов, подготовленный Комитетом, и н</w:t>
      </w:r>
      <w:r w:rsidRPr="00FF72B1">
        <w:t>а</w:t>
      </w:r>
      <w:r w:rsidRPr="00FF72B1">
        <w:t>стоящих заключительных замечаний с целью повышения уровня информир</w:t>
      </w:r>
      <w:r w:rsidRPr="00FF72B1">
        <w:t>о</w:t>
      </w:r>
      <w:r w:rsidRPr="00FF72B1">
        <w:t>ванности сотрудников с</w:t>
      </w:r>
      <w:r w:rsidRPr="00FF72B1">
        <w:t>у</w:t>
      </w:r>
      <w:r w:rsidRPr="00FF72B1">
        <w:t>дебных, законодательных и административных органов и действующих в стране организаций гражданского общества и неправительс</w:t>
      </w:r>
      <w:r w:rsidRPr="00FF72B1">
        <w:t>т</w:t>
      </w:r>
      <w:r w:rsidRPr="00FF72B1">
        <w:t>венных организаций, а также населения в целом. Комитет считает, что доклад и заключительные замечания следует перевести на официальные языки госуда</w:t>
      </w:r>
      <w:r w:rsidRPr="00FF72B1">
        <w:t>р</w:t>
      </w:r>
      <w:r w:rsidRPr="00FF72B1">
        <w:t>ства-участника. Комитет также просит государство-участник провести при по</w:t>
      </w:r>
      <w:r w:rsidRPr="00FF72B1">
        <w:t>д</w:t>
      </w:r>
      <w:r w:rsidRPr="00FF72B1">
        <w:t>готовке его второго периодического доклада широкие консультации с гражда</w:t>
      </w:r>
      <w:r w:rsidRPr="00FF72B1">
        <w:t>н</w:t>
      </w:r>
      <w:r w:rsidRPr="00FF72B1">
        <w:t>ским обществом и неправительственными организациями.</w:t>
      </w:r>
    </w:p>
    <w:p w:rsidR="00FF72B1" w:rsidRPr="00FF72B1" w:rsidRDefault="00FF72B1" w:rsidP="00655A1A">
      <w:pPr>
        <w:pStyle w:val="SingleTxtGR"/>
        <w:rPr>
          <w:lang/>
        </w:rPr>
      </w:pPr>
      <w:r w:rsidRPr="00FF72B1">
        <w:rPr>
          <w:lang/>
        </w:rPr>
        <w:t>24.</w:t>
      </w:r>
      <w:r w:rsidRPr="00FF72B1">
        <w:rPr>
          <w:lang/>
        </w:rPr>
        <w:tab/>
      </w:r>
      <w:r w:rsidRPr="00FF72B1">
        <w:t>В соответствии с пунктом 5 правила 71 правил процедуры Комитета г</w:t>
      </w:r>
      <w:r w:rsidRPr="00FF72B1">
        <w:t>о</w:t>
      </w:r>
      <w:r w:rsidRPr="00FF72B1">
        <w:t>сударство-участник должно в течение одного года представить соответству</w:t>
      </w:r>
      <w:r w:rsidRPr="00FF72B1">
        <w:t>ю</w:t>
      </w:r>
      <w:r w:rsidRPr="00FF72B1">
        <w:t>щую информацию о выполнении рекомендаций Комитета, изложенных в пун</w:t>
      </w:r>
      <w:r w:rsidRPr="00FF72B1">
        <w:t>к</w:t>
      </w:r>
      <w:r w:rsidRPr="00FF72B1">
        <w:t>тах 13, 14 и 15 выше</w:t>
      </w:r>
      <w:r w:rsidRPr="00FF72B1">
        <w:rPr>
          <w:lang/>
        </w:rPr>
        <w:t>.</w:t>
      </w:r>
    </w:p>
    <w:p w:rsidR="006E7AF7" w:rsidRDefault="00FF72B1" w:rsidP="00655A1A">
      <w:pPr>
        <w:pStyle w:val="SingleTxtGR"/>
        <w:rPr>
          <w:lang w:val="en-US"/>
        </w:rPr>
      </w:pPr>
      <w:r w:rsidRPr="00FF72B1">
        <w:t>25.</w:t>
      </w:r>
      <w:r w:rsidRPr="00FF72B1">
        <w:tab/>
        <w:t>Комитет просит государство-участник включить в его следующий пери</w:t>
      </w:r>
      <w:r w:rsidRPr="00FF72B1">
        <w:t>о</w:t>
      </w:r>
      <w:r w:rsidRPr="00FF72B1">
        <w:t>дический доклад, подлежащий представлению к 1 ноября 2017 года, конкре</w:t>
      </w:r>
      <w:r w:rsidRPr="00FF72B1">
        <w:t>т</w:t>
      </w:r>
      <w:r w:rsidRPr="00FF72B1">
        <w:t>ную и обновленную информацию о ходе выполнения всех рекомендаций Ком</w:t>
      </w:r>
      <w:r w:rsidRPr="00FF72B1">
        <w:t>и</w:t>
      </w:r>
      <w:r w:rsidRPr="00FF72B1">
        <w:t>тета и об осуществлении Пакта в целом.</w:t>
      </w:r>
    </w:p>
    <w:p w:rsidR="00655A1A" w:rsidRPr="00655A1A" w:rsidRDefault="00655A1A" w:rsidP="00655A1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55A1A" w:rsidRPr="00655A1A" w:rsidSect="0084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94" w:rsidRDefault="00DE1D94">
      <w:r>
        <w:rPr>
          <w:lang w:val="en-US"/>
        </w:rPr>
        <w:tab/>
      </w:r>
      <w:r>
        <w:separator/>
      </w:r>
    </w:p>
  </w:endnote>
  <w:endnote w:type="continuationSeparator" w:id="0">
    <w:p w:rsidR="00DE1D94" w:rsidRDefault="00DE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1A" w:rsidRPr="005F0588" w:rsidRDefault="00655A1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440F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</w:r>
    <w:r w:rsidR="001A736B" w:rsidRPr="001A736B">
      <w:rPr>
        <w:lang w:val="en-US"/>
      </w:rPr>
      <w:t>GE.13-48882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1A" w:rsidRPr="005F0588" w:rsidRDefault="001A736B">
    <w:pPr>
      <w:pStyle w:val="Footer"/>
      <w:rPr>
        <w:lang w:val="en-US"/>
      </w:rPr>
    </w:pPr>
    <w:r w:rsidRPr="001A736B">
      <w:rPr>
        <w:lang w:val="en-US"/>
      </w:rPr>
      <w:t>GE.13-48882</w:t>
    </w:r>
    <w:r w:rsidR="00655A1A">
      <w:rPr>
        <w:lang w:val="en-US"/>
      </w:rPr>
      <w:tab/>
    </w:r>
    <w:r w:rsidR="00655A1A">
      <w:rPr>
        <w:rStyle w:val="PageNumber"/>
      </w:rPr>
      <w:fldChar w:fldCharType="begin"/>
    </w:r>
    <w:r w:rsidR="00655A1A">
      <w:rPr>
        <w:rStyle w:val="PageNumber"/>
      </w:rPr>
      <w:instrText xml:space="preserve"> PAGE </w:instrText>
    </w:r>
    <w:r w:rsidR="00655A1A">
      <w:rPr>
        <w:rStyle w:val="PageNumber"/>
      </w:rPr>
      <w:fldChar w:fldCharType="separate"/>
    </w:r>
    <w:r w:rsidR="0010440F">
      <w:rPr>
        <w:rStyle w:val="PageNumber"/>
        <w:noProof/>
      </w:rPr>
      <w:t>9</w:t>
    </w:r>
    <w:r w:rsidR="00655A1A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655A1A" w:rsidTr="00611264">
      <w:trPr>
        <w:trHeight w:val="438"/>
      </w:trPr>
      <w:tc>
        <w:tcPr>
          <w:tcW w:w="4068" w:type="dxa"/>
          <w:vAlign w:val="bottom"/>
        </w:tcPr>
        <w:p w:rsidR="00655A1A" w:rsidRPr="000B49BD" w:rsidRDefault="00655A1A" w:rsidP="00611264">
          <w:r>
            <w:rPr>
              <w:lang w:val="en-US"/>
            </w:rPr>
            <w:t>GE.13-</w:t>
          </w:r>
          <w:r w:rsidR="001A736B">
            <w:rPr>
              <w:lang w:val="en-US"/>
            </w:rPr>
            <w:t>48882</w:t>
          </w:r>
          <w:r>
            <w:rPr>
              <w:lang w:val="en-US"/>
            </w:rPr>
            <w:t xml:space="preserve">  (R)</w:t>
          </w:r>
          <w:r w:rsidR="000B49BD">
            <w:t xml:space="preserve">  231213  231213</w:t>
          </w:r>
        </w:p>
      </w:tc>
      <w:tc>
        <w:tcPr>
          <w:tcW w:w="4663" w:type="dxa"/>
          <w:vMerge w:val="restart"/>
          <w:vAlign w:val="bottom"/>
        </w:tcPr>
        <w:p w:rsidR="00655A1A" w:rsidRDefault="00655A1A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655A1A" w:rsidRDefault="000B49BD" w:rsidP="00611264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655A1A" w:rsidRPr="00797A78" w:rsidTr="00611264">
      <w:tc>
        <w:tcPr>
          <w:tcW w:w="4068" w:type="dxa"/>
          <w:vAlign w:val="bottom"/>
        </w:tcPr>
        <w:p w:rsidR="00655A1A" w:rsidRPr="000B49BD" w:rsidRDefault="000B49BD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B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B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B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0B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B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B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B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B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B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55A1A" w:rsidRDefault="00655A1A" w:rsidP="00611264"/>
      </w:tc>
      <w:tc>
        <w:tcPr>
          <w:tcW w:w="1124" w:type="dxa"/>
          <w:vMerge/>
        </w:tcPr>
        <w:p w:rsidR="00655A1A" w:rsidRDefault="00655A1A" w:rsidP="00611264"/>
      </w:tc>
    </w:tr>
  </w:tbl>
  <w:p w:rsidR="00655A1A" w:rsidRDefault="00655A1A" w:rsidP="00381289">
    <w:pPr>
      <w:spacing w:line="240" w:lineRule="auto"/>
      <w:rPr>
        <w:sz w:val="2"/>
        <w:szCs w:val="2"/>
        <w:lang w:val="en-US"/>
      </w:rPr>
    </w:pPr>
  </w:p>
  <w:p w:rsidR="00655A1A" w:rsidRPr="002D7E3C" w:rsidRDefault="00655A1A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655A1A" w:rsidRDefault="00655A1A" w:rsidP="006E7AF7">
                <w:pPr>
                  <w:rPr>
                    <w:lang w:val="en-US"/>
                  </w:rPr>
                </w:pPr>
              </w:p>
              <w:p w:rsidR="00655A1A" w:rsidRDefault="00655A1A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0440F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94" w:rsidRPr="00F71F63" w:rsidRDefault="00DE1D9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E1D94" w:rsidRPr="00F71F63" w:rsidRDefault="00DE1D9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E1D94" w:rsidRPr="00635E86" w:rsidRDefault="00DE1D94" w:rsidP="00635E86">
      <w:pPr>
        <w:pStyle w:val="Footer"/>
      </w:pPr>
    </w:p>
  </w:footnote>
  <w:footnote w:id="1">
    <w:p w:rsidR="0045736F" w:rsidRPr="0045736F" w:rsidRDefault="0045736F">
      <w:pPr>
        <w:pStyle w:val="FootnoteText"/>
        <w:rPr>
          <w:sz w:val="20"/>
          <w:lang w:val="ru-RU"/>
        </w:rPr>
      </w:pPr>
      <w:r>
        <w:tab/>
      </w:r>
      <w:r w:rsidRPr="0045736F">
        <w:rPr>
          <w:rStyle w:val="FootnoteReference"/>
          <w:sz w:val="20"/>
          <w:vertAlign w:val="baseline"/>
          <w:lang w:val="ru-RU"/>
        </w:rPr>
        <w:t>*</w:t>
      </w:r>
      <w:r w:rsidRPr="0045736F">
        <w:rPr>
          <w:lang w:val="ru-RU"/>
        </w:rPr>
        <w:tab/>
        <w:t>Приняты Комитетом на его 109-й сессии (14 октября</w:t>
      </w:r>
      <w:r w:rsidR="008A7476">
        <w:rPr>
          <w:lang w:val="ru-RU"/>
        </w:rPr>
        <w:t xml:space="preserve"> </w:t>
      </w:r>
      <w:r w:rsidRPr="0045736F">
        <w:rPr>
          <w:lang w:val="ru-RU"/>
        </w:rPr>
        <w:t>–</w:t>
      </w:r>
      <w:r w:rsidR="008A7476">
        <w:rPr>
          <w:lang w:val="ru-RU"/>
        </w:rPr>
        <w:t xml:space="preserve"> </w:t>
      </w:r>
      <w:r w:rsidRPr="0045736F">
        <w:rPr>
          <w:lang w:val="ru-RU"/>
        </w:rPr>
        <w:t>1 ноября 2013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1A" w:rsidRPr="005F0588" w:rsidRDefault="00655A1A">
    <w:pPr>
      <w:pStyle w:val="Header"/>
      <w:rPr>
        <w:lang w:val="en-US"/>
      </w:rPr>
    </w:pPr>
    <w:r>
      <w:rPr>
        <w:lang w:val="en-US"/>
      </w:rPr>
      <w:t>CCPR/</w:t>
    </w:r>
    <w:r w:rsidR="001A736B">
      <w:rPr>
        <w:lang w:val="en-US"/>
      </w:rPr>
      <w:t>C/MOZ/CO/1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1A" w:rsidRPr="005F0588" w:rsidRDefault="00655A1A">
    <w:pPr>
      <w:pStyle w:val="Header"/>
      <w:rPr>
        <w:lang w:val="en-US"/>
      </w:rPr>
    </w:pPr>
    <w:r>
      <w:rPr>
        <w:lang w:val="en-US"/>
      </w:rPr>
      <w:tab/>
    </w:r>
    <w:r w:rsidR="001A736B" w:rsidRPr="001A736B">
      <w:rPr>
        <w:lang w:val="en-US"/>
      </w:rPr>
      <w:t>CCPR/C/MOZ/CO/1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BD" w:rsidRDefault="000B49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3D212F0"/>
    <w:multiLevelType w:val="hybridMultilevel"/>
    <w:tmpl w:val="5C908590"/>
    <w:lvl w:ilvl="0" w:tplc="BC9E9BC0">
      <w:start w:val="1"/>
      <w:numFmt w:val="lowerLetter"/>
      <w:lvlText w:val="(%1)"/>
      <w:lvlJc w:val="left"/>
      <w:pPr>
        <w:ind w:left="1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0" w:hanging="360"/>
      </w:pPr>
    </w:lvl>
    <w:lvl w:ilvl="2" w:tplc="0809001B" w:tentative="1">
      <w:start w:val="1"/>
      <w:numFmt w:val="lowerRoman"/>
      <w:lvlText w:val="%3."/>
      <w:lvlJc w:val="right"/>
      <w:pPr>
        <w:ind w:left="3260" w:hanging="180"/>
      </w:pPr>
    </w:lvl>
    <w:lvl w:ilvl="3" w:tplc="0809000F" w:tentative="1">
      <w:start w:val="1"/>
      <w:numFmt w:val="decimal"/>
      <w:lvlText w:val="%4."/>
      <w:lvlJc w:val="left"/>
      <w:pPr>
        <w:ind w:left="3980" w:hanging="360"/>
      </w:pPr>
    </w:lvl>
    <w:lvl w:ilvl="4" w:tplc="08090019" w:tentative="1">
      <w:start w:val="1"/>
      <w:numFmt w:val="lowerLetter"/>
      <w:lvlText w:val="%5."/>
      <w:lvlJc w:val="left"/>
      <w:pPr>
        <w:ind w:left="4700" w:hanging="360"/>
      </w:pPr>
    </w:lvl>
    <w:lvl w:ilvl="5" w:tplc="0809001B" w:tentative="1">
      <w:start w:val="1"/>
      <w:numFmt w:val="lowerRoman"/>
      <w:lvlText w:val="%6."/>
      <w:lvlJc w:val="right"/>
      <w:pPr>
        <w:ind w:left="5420" w:hanging="180"/>
      </w:pPr>
    </w:lvl>
    <w:lvl w:ilvl="6" w:tplc="0809000F" w:tentative="1">
      <w:start w:val="1"/>
      <w:numFmt w:val="decimal"/>
      <w:lvlText w:val="%7."/>
      <w:lvlJc w:val="left"/>
      <w:pPr>
        <w:ind w:left="6140" w:hanging="360"/>
      </w:pPr>
    </w:lvl>
    <w:lvl w:ilvl="7" w:tplc="08090019" w:tentative="1">
      <w:start w:val="1"/>
      <w:numFmt w:val="lowerLetter"/>
      <w:lvlText w:val="%8."/>
      <w:lvlJc w:val="left"/>
      <w:pPr>
        <w:ind w:left="6860" w:hanging="360"/>
      </w:pPr>
    </w:lvl>
    <w:lvl w:ilvl="8" w:tplc="08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2B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49BD"/>
    <w:rsid w:val="000C3688"/>
    <w:rsid w:val="000D6863"/>
    <w:rsid w:val="000F410F"/>
    <w:rsid w:val="0010440F"/>
    <w:rsid w:val="00117AEE"/>
    <w:rsid w:val="001359E8"/>
    <w:rsid w:val="001463F7"/>
    <w:rsid w:val="0015769C"/>
    <w:rsid w:val="001755A4"/>
    <w:rsid w:val="00180752"/>
    <w:rsid w:val="00185076"/>
    <w:rsid w:val="0018543C"/>
    <w:rsid w:val="00190231"/>
    <w:rsid w:val="00192ABD"/>
    <w:rsid w:val="001A736B"/>
    <w:rsid w:val="001A75D5"/>
    <w:rsid w:val="001A7D40"/>
    <w:rsid w:val="001D07F7"/>
    <w:rsid w:val="001D7B8F"/>
    <w:rsid w:val="001E48EE"/>
    <w:rsid w:val="001F2D04"/>
    <w:rsid w:val="001F737A"/>
    <w:rsid w:val="0020059C"/>
    <w:rsid w:val="002019BD"/>
    <w:rsid w:val="00215D47"/>
    <w:rsid w:val="00232D42"/>
    <w:rsid w:val="00237334"/>
    <w:rsid w:val="002444F4"/>
    <w:rsid w:val="002629A0"/>
    <w:rsid w:val="0028492B"/>
    <w:rsid w:val="00291C8F"/>
    <w:rsid w:val="0029412E"/>
    <w:rsid w:val="002B4311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36F"/>
    <w:rsid w:val="00457634"/>
    <w:rsid w:val="00474F42"/>
    <w:rsid w:val="0048244D"/>
    <w:rsid w:val="00496D78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6C5D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5A1A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476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076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E1D94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2B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9</Pages>
  <Words>3214</Words>
  <Characters>23499</Characters>
  <Application>Microsoft Office Outlook</Application>
  <DocSecurity>4</DocSecurity>
  <Lines>405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Ульяна Масленникова</dc:creator>
  <cp:keywords/>
  <dc:description/>
  <cp:lastModifiedBy>Благодатских Анна</cp:lastModifiedBy>
  <cp:revision>2</cp:revision>
  <cp:lastPrinted>1601-01-01T00:00:00Z</cp:lastPrinted>
  <dcterms:created xsi:type="dcterms:W3CDTF">2013-12-23T15:51:00Z</dcterms:created>
  <dcterms:modified xsi:type="dcterms:W3CDTF">2013-12-23T15:51:00Z</dcterms:modified>
</cp:coreProperties>
</file>