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2990DEE4" w14:textId="77777777" w:rsidTr="003349E4">
        <w:trPr>
          <w:trHeight w:hRule="exact" w:val="851"/>
        </w:trPr>
        <w:tc>
          <w:tcPr>
            <w:tcW w:w="142" w:type="dxa"/>
            <w:tcBorders>
              <w:bottom w:val="single" w:sz="4" w:space="0" w:color="auto"/>
            </w:tcBorders>
          </w:tcPr>
          <w:p w14:paraId="1974AC07" w14:textId="77777777" w:rsidR="002D5AAC" w:rsidRDefault="002D5AAC" w:rsidP="00D60CD4">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BF85293" w14:textId="77777777"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084968F" w14:textId="77777777" w:rsidR="002D5AAC" w:rsidRDefault="00D60CD4" w:rsidP="00D60CD4">
            <w:pPr>
              <w:jc w:val="right"/>
            </w:pPr>
            <w:r w:rsidRPr="00D60CD4">
              <w:rPr>
                <w:sz w:val="40"/>
              </w:rPr>
              <w:t>CRPD</w:t>
            </w:r>
            <w:r>
              <w:t>/C/ZMB/1</w:t>
            </w:r>
          </w:p>
        </w:tc>
      </w:tr>
      <w:tr w:rsidR="002D5AAC" w:rsidRPr="004312AD" w14:paraId="5E868686" w14:textId="77777777" w:rsidTr="003349E4">
        <w:trPr>
          <w:trHeight w:hRule="exact" w:val="2835"/>
        </w:trPr>
        <w:tc>
          <w:tcPr>
            <w:tcW w:w="1280" w:type="dxa"/>
            <w:gridSpan w:val="2"/>
            <w:tcBorders>
              <w:top w:val="single" w:sz="4" w:space="0" w:color="auto"/>
              <w:bottom w:val="single" w:sz="12" w:space="0" w:color="auto"/>
            </w:tcBorders>
          </w:tcPr>
          <w:p w14:paraId="35C39CE2" w14:textId="77777777" w:rsidR="002D5AAC" w:rsidRDefault="002E5067" w:rsidP="003349E4">
            <w:pPr>
              <w:spacing w:before="120"/>
              <w:jc w:val="center"/>
            </w:pPr>
            <w:r>
              <w:rPr>
                <w:noProof/>
                <w:lang w:val="fr-CH" w:eastAsia="fr-CH"/>
              </w:rPr>
              <w:drawing>
                <wp:inline distT="0" distB="0" distL="0" distR="0" wp14:anchorId="053FA899" wp14:editId="7633AA4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C664B97" w14:textId="77777777"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14:paraId="6B6EB040" w14:textId="77777777" w:rsidR="002D5AAC" w:rsidRDefault="00D60CD4" w:rsidP="003349E4">
            <w:pPr>
              <w:spacing w:before="240"/>
              <w:rPr>
                <w:lang w:val="en-US"/>
              </w:rPr>
            </w:pPr>
            <w:r>
              <w:rPr>
                <w:lang w:val="en-US"/>
              </w:rPr>
              <w:t>Distr.: General</w:t>
            </w:r>
          </w:p>
          <w:p w14:paraId="106C83A2" w14:textId="77777777" w:rsidR="00D60CD4" w:rsidRDefault="00D60CD4" w:rsidP="00D60CD4">
            <w:pPr>
              <w:spacing w:line="240" w:lineRule="exact"/>
              <w:rPr>
                <w:lang w:val="en-US"/>
              </w:rPr>
            </w:pPr>
            <w:r>
              <w:rPr>
                <w:lang w:val="en-US"/>
              </w:rPr>
              <w:t>19 October 2020</w:t>
            </w:r>
          </w:p>
          <w:p w14:paraId="2E02A569" w14:textId="77777777" w:rsidR="00D60CD4" w:rsidRDefault="00D60CD4" w:rsidP="00D60CD4">
            <w:pPr>
              <w:spacing w:line="240" w:lineRule="exact"/>
              <w:rPr>
                <w:lang w:val="en-US"/>
              </w:rPr>
            </w:pPr>
            <w:r>
              <w:rPr>
                <w:lang w:val="en-US"/>
              </w:rPr>
              <w:t>Russian</w:t>
            </w:r>
          </w:p>
          <w:p w14:paraId="36907287" w14:textId="77777777" w:rsidR="00D60CD4" w:rsidRPr="00D60CD4" w:rsidRDefault="00D60CD4" w:rsidP="00D60CD4">
            <w:pPr>
              <w:spacing w:line="240" w:lineRule="exact"/>
              <w:rPr>
                <w:lang w:val="en-US"/>
              </w:rPr>
            </w:pPr>
            <w:r>
              <w:rPr>
                <w:lang w:val="en-US"/>
              </w:rPr>
              <w:t>Original: English</w:t>
            </w:r>
            <w:r>
              <w:rPr>
                <w:lang w:val="en-US"/>
              </w:rPr>
              <w:br/>
            </w:r>
            <w:r w:rsidRPr="00D60CD4">
              <w:rPr>
                <w:lang w:val="en-US"/>
              </w:rPr>
              <w:t>English, Russian and Spanish only</w:t>
            </w:r>
          </w:p>
        </w:tc>
      </w:tr>
    </w:tbl>
    <w:p w14:paraId="69E3A894" w14:textId="77777777" w:rsidR="00D60CD4" w:rsidRPr="00D60CD4" w:rsidRDefault="00D60CD4" w:rsidP="00D60CD4">
      <w:pPr>
        <w:spacing w:before="120"/>
        <w:rPr>
          <w:b/>
          <w:bCs/>
          <w:sz w:val="24"/>
          <w:szCs w:val="24"/>
        </w:rPr>
      </w:pPr>
      <w:r w:rsidRPr="00D60CD4">
        <w:rPr>
          <w:b/>
          <w:bCs/>
          <w:sz w:val="24"/>
          <w:szCs w:val="24"/>
        </w:rPr>
        <w:t>Комитет по правам инвалидов</w:t>
      </w:r>
    </w:p>
    <w:p w14:paraId="5DC7372A" w14:textId="77777777" w:rsidR="00D60CD4" w:rsidRPr="00D60CD4" w:rsidRDefault="00D60CD4" w:rsidP="00D60CD4">
      <w:pPr>
        <w:pStyle w:val="HMG"/>
      </w:pPr>
      <w:r w:rsidRPr="00D60CD4">
        <w:tab/>
      </w:r>
      <w:r w:rsidRPr="00D60CD4">
        <w:tab/>
        <w:t xml:space="preserve">Первоначальный доклад, представленный Замбией в соответствии со статьей 35 Конвенции и подлежавший представлению </w:t>
      </w:r>
      <w:r>
        <w:br/>
      </w:r>
      <w:r w:rsidRPr="00D60CD4">
        <w:t>в 2012 году</w:t>
      </w:r>
      <w:r w:rsidRPr="00C87A17">
        <w:rPr>
          <w:b w:val="0"/>
          <w:bCs/>
          <w:sz w:val="20"/>
        </w:rPr>
        <w:footnoteReference w:customMarkFollows="1" w:id="1"/>
        <w:t>*</w:t>
      </w:r>
    </w:p>
    <w:p w14:paraId="3E9C3AB2" w14:textId="77777777" w:rsidR="00D60CD4" w:rsidRDefault="00D60CD4" w:rsidP="00D60CD4">
      <w:pPr>
        <w:pStyle w:val="SingleTxtG"/>
        <w:jc w:val="right"/>
      </w:pPr>
      <w:r w:rsidRPr="00D60CD4">
        <w:t>[Дата получения: 19 сентября 2017 года]</w:t>
      </w:r>
    </w:p>
    <w:p w14:paraId="0A84A2D9" w14:textId="77777777" w:rsidR="00D60CD4" w:rsidRDefault="00D60CD4">
      <w:pPr>
        <w:suppressAutoHyphens w:val="0"/>
        <w:spacing w:line="240" w:lineRule="auto"/>
        <w:rPr>
          <w:rFonts w:eastAsia="Times New Roman" w:cs="Times New Roman"/>
          <w:b/>
          <w:szCs w:val="20"/>
        </w:rPr>
      </w:pPr>
      <w:r>
        <w:rPr>
          <w:b/>
        </w:rPr>
        <w:br w:type="page"/>
      </w:r>
    </w:p>
    <w:p w14:paraId="1D680CB1" w14:textId="77777777" w:rsidR="00D60CD4" w:rsidRPr="00D60CD4" w:rsidRDefault="00D60CD4" w:rsidP="00D60CD4">
      <w:pPr>
        <w:pStyle w:val="HChG"/>
      </w:pPr>
      <w:r w:rsidRPr="00D60CD4">
        <w:lastRenderedPageBreak/>
        <w:tab/>
      </w:r>
      <w:r w:rsidRPr="00D60CD4">
        <w:tab/>
        <w:t>Сокращения</w:t>
      </w:r>
      <w:bookmarkStart w:id="0" w:name="_Toc53587098"/>
      <w:bookmarkEnd w:id="0"/>
    </w:p>
    <w:p w14:paraId="3BBB9C12" w14:textId="77777777" w:rsidR="00AF1E70" w:rsidRPr="00D60CD4" w:rsidRDefault="00AF1E70" w:rsidP="00AF1E70">
      <w:pPr>
        <w:pStyle w:val="SingleTxtG"/>
        <w:tabs>
          <w:tab w:val="clear" w:pos="1701"/>
        </w:tabs>
        <w:ind w:left="2268" w:hanging="1134"/>
      </w:pPr>
      <w:r w:rsidRPr="00D60CD4">
        <w:t>АБР</w:t>
      </w:r>
      <w:r w:rsidRPr="00D60CD4">
        <w:tab/>
        <w:t>Африканский банк развития</w:t>
      </w:r>
    </w:p>
    <w:p w14:paraId="275F3A1A" w14:textId="77777777" w:rsidR="00AF1E70" w:rsidRPr="00D60CD4" w:rsidRDefault="00AF1E70" w:rsidP="00AF1E70">
      <w:pPr>
        <w:pStyle w:val="SingleTxtG"/>
        <w:tabs>
          <w:tab w:val="clear" w:pos="1701"/>
        </w:tabs>
        <w:ind w:left="2268" w:hanging="1134"/>
      </w:pPr>
      <w:r w:rsidRPr="00D60CD4">
        <w:t>ВВП</w:t>
      </w:r>
      <w:r w:rsidRPr="00D60CD4">
        <w:tab/>
        <w:t>Валовой внутренний продукт</w:t>
      </w:r>
    </w:p>
    <w:p w14:paraId="0B44CFF0" w14:textId="77777777" w:rsidR="00AF1E70" w:rsidRPr="00D60CD4" w:rsidRDefault="00AF1E70" w:rsidP="00AF1E70">
      <w:pPr>
        <w:pStyle w:val="SingleTxtG"/>
        <w:tabs>
          <w:tab w:val="clear" w:pos="1701"/>
        </w:tabs>
        <w:ind w:left="2268" w:hanging="1134"/>
      </w:pPr>
      <w:r w:rsidRPr="00D60CD4">
        <w:t>ВИЧ</w:t>
      </w:r>
      <w:r w:rsidRPr="00D60CD4">
        <w:tab/>
        <w:t>Вирус иммунодефицита человека</w:t>
      </w:r>
    </w:p>
    <w:p w14:paraId="69E9F184" w14:textId="77777777" w:rsidR="00AF1E70" w:rsidRPr="00D60CD4" w:rsidRDefault="00AF1E70" w:rsidP="00AF1E70">
      <w:pPr>
        <w:pStyle w:val="SingleTxtG"/>
        <w:tabs>
          <w:tab w:val="clear" w:pos="1701"/>
        </w:tabs>
        <w:ind w:left="2268" w:hanging="1134"/>
      </w:pPr>
      <w:r w:rsidRPr="00D60CD4">
        <w:t>ГН</w:t>
      </w:r>
      <w:r w:rsidRPr="00D60CD4">
        <w:tab/>
        <w:t>Гендерное насилие</w:t>
      </w:r>
    </w:p>
    <w:p w14:paraId="4EE35228" w14:textId="77777777" w:rsidR="00AF1E70" w:rsidRPr="00D60CD4" w:rsidRDefault="00AF1E70" w:rsidP="00AF1E70">
      <w:pPr>
        <w:pStyle w:val="SingleTxtG"/>
        <w:tabs>
          <w:tab w:val="clear" w:pos="1701"/>
        </w:tabs>
        <w:ind w:left="2268" w:hanging="1134"/>
      </w:pPr>
      <w:r w:rsidRPr="00D60CD4">
        <w:t>ГСПБ</w:t>
      </w:r>
      <w:r w:rsidRPr="00D60CD4">
        <w:tab/>
        <w:t xml:space="preserve">Группа </w:t>
      </w:r>
      <w:bookmarkStart w:id="1" w:name="_Hlk67506149"/>
      <w:r w:rsidRPr="00D60CD4">
        <w:t>по смягчению</w:t>
      </w:r>
      <w:bookmarkEnd w:id="1"/>
      <w:r w:rsidRPr="00D60CD4">
        <w:t xml:space="preserve"> последствий стихийных бедствий</w:t>
      </w:r>
    </w:p>
    <w:p w14:paraId="01D3B661" w14:textId="77777777" w:rsidR="00AF1E70" w:rsidRPr="00D60CD4" w:rsidRDefault="00AF1E70" w:rsidP="00AF1E70">
      <w:pPr>
        <w:pStyle w:val="SingleTxtG"/>
        <w:tabs>
          <w:tab w:val="clear" w:pos="1701"/>
        </w:tabs>
        <w:ind w:left="2268" w:hanging="1134"/>
      </w:pPr>
      <w:r w:rsidRPr="00D60CD4">
        <w:t>ЗАДЛИ</w:t>
      </w:r>
      <w:r w:rsidRPr="00D60CD4">
        <w:tab/>
        <w:t>Замбийское агентство по делам людей с инвалидностью</w:t>
      </w:r>
    </w:p>
    <w:p w14:paraId="320865A8" w14:textId="77777777" w:rsidR="00AF1E70" w:rsidRPr="00D60CD4" w:rsidRDefault="00AF1E70" w:rsidP="00AF1E70">
      <w:pPr>
        <w:pStyle w:val="SingleTxtG"/>
        <w:tabs>
          <w:tab w:val="clear" w:pos="1701"/>
        </w:tabs>
        <w:ind w:left="2268" w:hanging="1134"/>
      </w:pPr>
      <w:r w:rsidRPr="00D60CD4">
        <w:t>ИКЗ</w:t>
      </w:r>
      <w:r w:rsidRPr="00D60CD4">
        <w:tab/>
        <w:t>Избирательная комиссия Замбии</w:t>
      </w:r>
    </w:p>
    <w:p w14:paraId="07309D47" w14:textId="77777777" w:rsidR="00AF1E70" w:rsidRPr="00D60CD4" w:rsidRDefault="00AF1E70" w:rsidP="00AF1E70">
      <w:pPr>
        <w:pStyle w:val="SingleTxtG"/>
        <w:tabs>
          <w:tab w:val="clear" w:pos="1701"/>
        </w:tabs>
        <w:ind w:left="2268" w:hanging="1134"/>
      </w:pPr>
      <w:r w:rsidRPr="00D60CD4">
        <w:t>ИКТ</w:t>
      </w:r>
      <w:r w:rsidRPr="00D60CD4">
        <w:tab/>
        <w:t>Информационно-коммуникационные технологии</w:t>
      </w:r>
    </w:p>
    <w:p w14:paraId="6F0E5C98" w14:textId="77777777" w:rsidR="00AF1E70" w:rsidRPr="00D60CD4" w:rsidRDefault="00AF1E70" w:rsidP="00AF1E70">
      <w:pPr>
        <w:pStyle w:val="SingleTxtG"/>
        <w:tabs>
          <w:tab w:val="clear" w:pos="1701"/>
        </w:tabs>
        <w:ind w:left="2268" w:hanging="1134"/>
      </w:pPr>
      <w:r w:rsidRPr="00D60CD4">
        <w:t>ИСОЗ</w:t>
      </w:r>
      <w:r w:rsidRPr="00D60CD4">
        <w:tab/>
        <w:t>Институт специального образования Замбии</w:t>
      </w:r>
    </w:p>
    <w:p w14:paraId="15032F14" w14:textId="77777777" w:rsidR="00AF1E70" w:rsidRPr="00D60CD4" w:rsidRDefault="00AF1E70" w:rsidP="00AF1E70">
      <w:pPr>
        <w:pStyle w:val="SingleTxtG"/>
        <w:tabs>
          <w:tab w:val="clear" w:pos="1701"/>
        </w:tabs>
        <w:ind w:left="2268" w:hanging="1134"/>
        <w:rPr>
          <w:b/>
          <w:bCs/>
        </w:rPr>
      </w:pPr>
      <w:r w:rsidRPr="00D60CD4">
        <w:t>КИУЖ</w:t>
      </w:r>
      <w:r w:rsidRPr="00D60CD4">
        <w:rPr>
          <w:b/>
          <w:bCs/>
        </w:rPr>
        <w:tab/>
      </w:r>
      <w:r w:rsidRPr="00D60CD4">
        <w:t>Контрольное исследование условий жизни</w:t>
      </w:r>
    </w:p>
    <w:p w14:paraId="3631CF7C" w14:textId="77777777" w:rsidR="00AF1E70" w:rsidRPr="00D60CD4" w:rsidRDefault="00AF1E70" w:rsidP="00AF1E70">
      <w:pPr>
        <w:pStyle w:val="SingleTxtG"/>
        <w:tabs>
          <w:tab w:val="clear" w:pos="1701"/>
        </w:tabs>
        <w:ind w:left="2268" w:hanging="1134"/>
      </w:pPr>
      <w:r w:rsidRPr="00D60CD4">
        <w:t>КПИ ООН</w:t>
      </w:r>
      <w:r w:rsidRPr="00D60CD4">
        <w:tab/>
        <w:t>Конвенции о правах инвалидов Организации Объединенных Наций</w:t>
      </w:r>
    </w:p>
    <w:p w14:paraId="2FF18AE2" w14:textId="77777777" w:rsidR="00AF1E70" w:rsidRPr="00D60CD4" w:rsidRDefault="00AF1E70" w:rsidP="00AF1E70">
      <w:pPr>
        <w:pStyle w:val="SingleTxtG"/>
        <w:tabs>
          <w:tab w:val="clear" w:pos="1701"/>
        </w:tabs>
        <w:ind w:left="2268" w:hanging="1134"/>
      </w:pPr>
      <w:r w:rsidRPr="00D60CD4">
        <w:t>КПИ</w:t>
      </w:r>
      <w:r w:rsidRPr="00D60CD4">
        <w:tab/>
        <w:t>Конвенция о правах инвалидов</w:t>
      </w:r>
    </w:p>
    <w:p w14:paraId="6069DAD7" w14:textId="77777777" w:rsidR="00AF1E70" w:rsidRPr="00D60CD4" w:rsidRDefault="00AF1E70" w:rsidP="00AF1E70">
      <w:pPr>
        <w:pStyle w:val="SingleTxtG"/>
        <w:tabs>
          <w:tab w:val="clear" w:pos="1701"/>
        </w:tabs>
        <w:ind w:left="2268" w:hanging="1134"/>
      </w:pPr>
      <w:r w:rsidRPr="00D60CD4">
        <w:t>КПК</w:t>
      </w:r>
      <w:r w:rsidRPr="00D60CD4">
        <w:tab/>
        <w:t>Комиссия по пересмотру Конституции</w:t>
      </w:r>
    </w:p>
    <w:p w14:paraId="57FD42AB" w14:textId="77777777" w:rsidR="00AF1E70" w:rsidRPr="00D60CD4" w:rsidRDefault="00AF1E70" w:rsidP="00AF1E70">
      <w:pPr>
        <w:pStyle w:val="SingleTxtG"/>
        <w:tabs>
          <w:tab w:val="clear" w:pos="1701"/>
        </w:tabs>
        <w:ind w:left="2268" w:hanging="1134"/>
      </w:pPr>
      <w:r w:rsidRPr="00D60CD4">
        <w:t>КПЧ</w:t>
      </w:r>
      <w:r w:rsidRPr="00D60CD4">
        <w:tab/>
        <w:t>Комиссия по правам человека</w:t>
      </w:r>
    </w:p>
    <w:p w14:paraId="29F38EC9" w14:textId="77777777" w:rsidR="00AF1E70" w:rsidRPr="00D60CD4" w:rsidRDefault="00AF1E70" w:rsidP="00AF1E70">
      <w:pPr>
        <w:pStyle w:val="SingleTxtG"/>
        <w:tabs>
          <w:tab w:val="clear" w:pos="1701"/>
        </w:tabs>
        <w:ind w:left="2268" w:hanging="1134"/>
      </w:pPr>
      <w:r w:rsidRPr="00D60CD4">
        <w:t>КРЭПВГ</w:t>
      </w:r>
      <w:r w:rsidRPr="00D60CD4">
        <w:tab/>
        <w:t>Комиссия по расширению экономических прав и возможностей граждан</w:t>
      </w:r>
    </w:p>
    <w:p w14:paraId="7FB987BD" w14:textId="77777777" w:rsidR="00AF1E70" w:rsidRPr="00D60CD4" w:rsidRDefault="00AF1E70" w:rsidP="00AF1E70">
      <w:pPr>
        <w:pStyle w:val="SingleTxtG"/>
        <w:tabs>
          <w:tab w:val="clear" w:pos="1701"/>
        </w:tabs>
        <w:ind w:left="2268" w:hanging="1134"/>
      </w:pPr>
      <w:r w:rsidRPr="00D60CD4">
        <w:t>КТКЛ</w:t>
      </w:r>
      <w:r w:rsidRPr="00D60CD4">
        <w:tab/>
        <w:t>Коммерческий и технический колледж в Лусаке</w:t>
      </w:r>
    </w:p>
    <w:p w14:paraId="0B994BE2" w14:textId="77777777" w:rsidR="00AF1E70" w:rsidRPr="00D60CD4" w:rsidRDefault="00AF1E70" w:rsidP="00AF1E70">
      <w:pPr>
        <w:pStyle w:val="SingleTxtG"/>
        <w:tabs>
          <w:tab w:val="clear" w:pos="1701"/>
        </w:tabs>
        <w:ind w:left="2268" w:hanging="1134"/>
      </w:pPr>
      <w:r w:rsidRPr="00D60CD4">
        <w:t>МЗ</w:t>
      </w:r>
      <w:r w:rsidRPr="00D60CD4">
        <w:tab/>
        <w:t>Министерство здравоохранения</w:t>
      </w:r>
    </w:p>
    <w:p w14:paraId="1300D813" w14:textId="77777777" w:rsidR="00AF1E70" w:rsidRPr="00D60CD4" w:rsidRDefault="00AF1E70" w:rsidP="00AF1E70">
      <w:pPr>
        <w:pStyle w:val="SingleTxtG"/>
        <w:tabs>
          <w:tab w:val="clear" w:pos="1701"/>
        </w:tabs>
        <w:ind w:left="2268" w:hanging="1134"/>
      </w:pPr>
      <w:r w:rsidRPr="00D60CD4">
        <w:t>МОРСС</w:t>
      </w:r>
      <w:r w:rsidRPr="00D60CD4">
        <w:tab/>
        <w:t>Министерство общинного развития и социальных служб</w:t>
      </w:r>
    </w:p>
    <w:p w14:paraId="226E0282" w14:textId="77777777" w:rsidR="00AF1E70" w:rsidRPr="00D60CD4" w:rsidRDefault="00AF1E70" w:rsidP="00AF1E70">
      <w:pPr>
        <w:pStyle w:val="SingleTxtG"/>
        <w:tabs>
          <w:tab w:val="clear" w:pos="1701"/>
        </w:tabs>
        <w:ind w:left="2268" w:hanging="1134"/>
      </w:pPr>
      <w:r w:rsidRPr="00D60CD4">
        <w:t>МОТ</w:t>
      </w:r>
      <w:r w:rsidRPr="00D60CD4">
        <w:tab/>
        <w:t>Международная организация труда</w:t>
      </w:r>
    </w:p>
    <w:p w14:paraId="7162F224" w14:textId="77777777" w:rsidR="00AF1E70" w:rsidRPr="00D60CD4" w:rsidRDefault="00AF1E70" w:rsidP="00AF1E70">
      <w:pPr>
        <w:pStyle w:val="SingleTxtG"/>
        <w:tabs>
          <w:tab w:val="clear" w:pos="1701"/>
        </w:tabs>
        <w:ind w:left="2268" w:hanging="1134"/>
      </w:pPr>
      <w:r w:rsidRPr="00D60CD4">
        <w:t>МПД</w:t>
      </w:r>
      <w:r w:rsidRPr="00D60CD4">
        <w:tab/>
        <w:t>Многопартийная демократия</w:t>
      </w:r>
    </w:p>
    <w:p w14:paraId="7BF042C4" w14:textId="77777777" w:rsidR="00AF1E70" w:rsidRPr="00D60CD4" w:rsidRDefault="00AF1E70" w:rsidP="00AF1E70">
      <w:pPr>
        <w:pStyle w:val="SingleTxtG"/>
        <w:tabs>
          <w:tab w:val="clear" w:pos="1701"/>
        </w:tabs>
        <w:ind w:left="2268" w:hanging="1134"/>
      </w:pPr>
      <w:r w:rsidRPr="00D60CD4">
        <w:t>МСЭ</w:t>
      </w:r>
      <w:r w:rsidRPr="00D60CD4">
        <w:tab/>
        <w:t>Международный союз электросвязи</w:t>
      </w:r>
    </w:p>
    <w:p w14:paraId="4B3E446D" w14:textId="77777777" w:rsidR="00AF1E70" w:rsidRPr="00D60CD4" w:rsidRDefault="00AF1E70" w:rsidP="00AF1E70">
      <w:pPr>
        <w:pStyle w:val="SingleTxtG"/>
        <w:tabs>
          <w:tab w:val="clear" w:pos="1701"/>
        </w:tabs>
        <w:ind w:left="2268" w:hanging="1134"/>
      </w:pPr>
      <w:r w:rsidRPr="00D60CD4">
        <w:t>МФНП</w:t>
      </w:r>
      <w:r w:rsidRPr="00D60CD4">
        <w:tab/>
        <w:t>Министерство финансов и национального планирования</w:t>
      </w:r>
    </w:p>
    <w:p w14:paraId="2ED3E0BE" w14:textId="77777777" w:rsidR="00AF1E70" w:rsidRPr="00D60CD4" w:rsidRDefault="00AF1E70" w:rsidP="00AF1E70">
      <w:pPr>
        <w:pStyle w:val="SingleTxtG"/>
        <w:tabs>
          <w:tab w:val="clear" w:pos="1701"/>
        </w:tabs>
        <w:ind w:left="2268" w:hanging="1134"/>
      </w:pPr>
      <w:r w:rsidRPr="00D60CD4">
        <w:t>НКК</w:t>
      </w:r>
      <w:r w:rsidRPr="00D60CD4">
        <w:tab/>
        <w:t>Национальная конституционная конференция</w:t>
      </w:r>
    </w:p>
    <w:p w14:paraId="11619605" w14:textId="77777777" w:rsidR="00AF1E70" w:rsidRPr="00D60CD4" w:rsidRDefault="00AF1E70" w:rsidP="00AF1E70">
      <w:pPr>
        <w:pStyle w:val="SingleTxtG"/>
        <w:tabs>
          <w:tab w:val="clear" w:pos="1701"/>
        </w:tabs>
        <w:ind w:left="2268" w:hanging="1134"/>
      </w:pPr>
      <w:r w:rsidRPr="00D60CD4">
        <w:t>НПВССГР</w:t>
      </w:r>
      <w:r w:rsidRPr="00D60CD4">
        <w:tab/>
        <w:t>Национальная программа в области водоснабжения и санитарии в сельских и городских районах</w:t>
      </w:r>
    </w:p>
    <w:p w14:paraId="67C4EBBF" w14:textId="77777777" w:rsidR="00AF1E70" w:rsidRPr="00D60CD4" w:rsidRDefault="00AF1E70" w:rsidP="00AF1E70">
      <w:pPr>
        <w:pStyle w:val="SingleTxtG"/>
        <w:tabs>
          <w:tab w:val="clear" w:pos="1701"/>
        </w:tabs>
        <w:ind w:left="2268" w:hanging="1134"/>
      </w:pPr>
      <w:r w:rsidRPr="00D60CD4">
        <w:t>НПК</w:t>
      </w:r>
      <w:r w:rsidRPr="00D60CD4">
        <w:tab/>
        <w:t>Непрерывное повышение квалификации</w:t>
      </w:r>
    </w:p>
    <w:p w14:paraId="0894E57E" w14:textId="77777777" w:rsidR="00AF1E70" w:rsidRPr="00D60CD4" w:rsidRDefault="00AF1E70" w:rsidP="00AF1E70">
      <w:pPr>
        <w:pStyle w:val="SingleTxtG"/>
        <w:tabs>
          <w:tab w:val="clear" w:pos="1701"/>
        </w:tabs>
        <w:ind w:left="2268" w:hanging="1134"/>
      </w:pPr>
      <w:r w:rsidRPr="00D60CD4">
        <w:t>НСВЗ</w:t>
      </w:r>
      <w:r w:rsidRPr="00D60CD4">
        <w:tab/>
        <w:t>Национальные службы вещания Замбии</w:t>
      </w:r>
    </w:p>
    <w:p w14:paraId="5334C3DA" w14:textId="77777777" w:rsidR="00AF1E70" w:rsidRPr="00D60CD4" w:rsidRDefault="00AF1E70" w:rsidP="00AF1E70">
      <w:pPr>
        <w:pStyle w:val="SingleTxtG"/>
        <w:tabs>
          <w:tab w:val="clear" w:pos="1701"/>
        </w:tabs>
        <w:ind w:left="2268" w:hanging="1134"/>
      </w:pPr>
      <w:r w:rsidRPr="00D60CD4">
        <w:t>НЦПР</w:t>
      </w:r>
      <w:r w:rsidRPr="00D60CD4">
        <w:tab/>
        <w:t>Национальный центр профессиональной реабилитации</w:t>
      </w:r>
    </w:p>
    <w:p w14:paraId="2A4A5B10" w14:textId="77777777" w:rsidR="00AF1E70" w:rsidRPr="00D60CD4" w:rsidRDefault="00AF1E70" w:rsidP="00AF1E70">
      <w:pPr>
        <w:pStyle w:val="SingleTxtG"/>
        <w:tabs>
          <w:tab w:val="clear" w:pos="1701"/>
        </w:tabs>
        <w:ind w:left="2268" w:hanging="1134"/>
      </w:pPr>
      <w:r w:rsidRPr="00D60CD4">
        <w:t>НЦФИ</w:t>
      </w:r>
      <w:r w:rsidRPr="00D60CD4">
        <w:tab/>
        <w:t>Национальный целевой фонд для инвалидов</w:t>
      </w:r>
    </w:p>
    <w:p w14:paraId="019438A0" w14:textId="77777777" w:rsidR="00AF1E70" w:rsidRPr="00D60CD4" w:rsidRDefault="00AF1E70" w:rsidP="00AF1E70">
      <w:pPr>
        <w:pStyle w:val="SingleTxtG"/>
        <w:tabs>
          <w:tab w:val="clear" w:pos="1701"/>
        </w:tabs>
        <w:ind w:left="2268" w:hanging="1134"/>
      </w:pPr>
      <w:r w:rsidRPr="00D60CD4">
        <w:t>ОДЗНЗ</w:t>
      </w:r>
      <w:r w:rsidRPr="00D60CD4">
        <w:tab/>
      </w:r>
      <w:bookmarkStart w:id="2" w:name="_Hlk67505401"/>
      <w:r w:rsidRPr="00D60CD4">
        <w:t>Обследование в области демографии и состояния здоровья населения Замбии</w:t>
      </w:r>
      <w:bookmarkEnd w:id="2"/>
    </w:p>
    <w:p w14:paraId="2E4D145D" w14:textId="77777777" w:rsidR="00AF1E70" w:rsidRPr="00D60CD4" w:rsidRDefault="00AF1E70" w:rsidP="00AF1E70">
      <w:pPr>
        <w:pStyle w:val="SingleTxtG"/>
        <w:tabs>
          <w:tab w:val="clear" w:pos="1701"/>
        </w:tabs>
        <w:ind w:left="2268" w:hanging="1134"/>
      </w:pPr>
      <w:r w:rsidRPr="00D60CD4">
        <w:t>ОДРПЖС</w:t>
      </w:r>
      <w:r w:rsidRPr="00D60CD4">
        <w:tab/>
        <w:t xml:space="preserve">Проект </w:t>
      </w:r>
      <w:r>
        <w:t>«</w:t>
      </w:r>
      <w:r w:rsidRPr="00D60CD4">
        <w:t>Образование девочек, расширение прав и возможностей женщин и обеспечение их средствами к существованию</w:t>
      </w:r>
      <w:r>
        <w:t>»</w:t>
      </w:r>
    </w:p>
    <w:p w14:paraId="5E12FD24" w14:textId="77777777" w:rsidR="00AF1E70" w:rsidRPr="00D60CD4" w:rsidRDefault="00AF1E70" w:rsidP="00AF1E70">
      <w:pPr>
        <w:pStyle w:val="SingleTxtG"/>
        <w:tabs>
          <w:tab w:val="clear" w:pos="1701"/>
        </w:tabs>
        <w:ind w:left="2268" w:hanging="1134"/>
      </w:pPr>
      <w:r w:rsidRPr="00D60CD4">
        <w:t>ОПНН</w:t>
      </w:r>
      <w:r w:rsidRPr="00D60CD4">
        <w:tab/>
        <w:t>Объединенная партия национальной независимости</w:t>
      </w:r>
    </w:p>
    <w:p w14:paraId="19862CC1" w14:textId="77777777" w:rsidR="00AF1E70" w:rsidRPr="00D60CD4" w:rsidRDefault="00AF1E70" w:rsidP="00AF1E70">
      <w:pPr>
        <w:pStyle w:val="SingleTxtG"/>
        <w:tabs>
          <w:tab w:val="clear" w:pos="1701"/>
        </w:tabs>
        <w:ind w:left="2268" w:hanging="1134"/>
        <w:rPr>
          <w:b/>
          <w:bCs/>
        </w:rPr>
      </w:pPr>
      <w:r w:rsidRPr="00D60CD4">
        <w:t>ОППИ</w:t>
      </w:r>
      <w:r w:rsidRPr="00D60CD4">
        <w:tab/>
        <w:t>Образование и профессиональная подготовка в области инвалидности</w:t>
      </w:r>
    </w:p>
    <w:p w14:paraId="4B6F9BAA" w14:textId="77777777" w:rsidR="00AF1E70" w:rsidRPr="00D60CD4" w:rsidRDefault="00AF1E70" w:rsidP="00AF1E70">
      <w:pPr>
        <w:pStyle w:val="SingleTxtG"/>
        <w:tabs>
          <w:tab w:val="clear" w:pos="1701"/>
        </w:tabs>
        <w:ind w:left="2268" w:hanging="1134"/>
      </w:pPr>
      <w:r w:rsidRPr="00D60CD4">
        <w:t>ППВИЗЗ</w:t>
      </w:r>
      <w:r w:rsidRPr="00D60CD4">
        <w:tab/>
        <w:t>Поощрение прав и возможностей инвалидов в области занятости с помощью законодательства</w:t>
      </w:r>
    </w:p>
    <w:p w14:paraId="13B3A167" w14:textId="77777777" w:rsidR="00AF1E70" w:rsidRPr="00D60CD4" w:rsidRDefault="00AF1E70" w:rsidP="00AF1E70">
      <w:pPr>
        <w:pStyle w:val="SingleTxtG"/>
        <w:tabs>
          <w:tab w:val="clear" w:pos="1701"/>
        </w:tabs>
        <w:ind w:left="2268" w:hanging="1134"/>
      </w:pPr>
      <w:r w:rsidRPr="00D60CD4">
        <w:t>РМЖ</w:t>
      </w:r>
      <w:r w:rsidRPr="00D60CD4">
        <w:tab/>
        <w:t>Реабилитация по месту жительства</w:t>
      </w:r>
    </w:p>
    <w:p w14:paraId="6D439B52" w14:textId="77777777" w:rsidR="00AF1E70" w:rsidRPr="00D60CD4" w:rsidRDefault="00AF1E70" w:rsidP="00AF1E70">
      <w:pPr>
        <w:pStyle w:val="SingleTxtG"/>
        <w:tabs>
          <w:tab w:val="clear" w:pos="1701"/>
        </w:tabs>
        <w:ind w:left="2268" w:hanging="1134"/>
      </w:pPr>
      <w:r w:rsidRPr="00D60CD4">
        <w:t>СПИД</w:t>
      </w:r>
      <w:r w:rsidRPr="00D60CD4">
        <w:tab/>
      </w:r>
      <w:r w:rsidRPr="00D60CD4">
        <w:rPr>
          <w:lang w:val="en-US"/>
        </w:rPr>
        <w:t>C</w:t>
      </w:r>
      <w:r w:rsidRPr="00D60CD4">
        <w:t>индром приобретенного иммунодефицита</w:t>
      </w:r>
    </w:p>
    <w:p w14:paraId="55AA8DC0" w14:textId="77777777" w:rsidR="00AF1E70" w:rsidRPr="00D60CD4" w:rsidRDefault="00AF1E70" w:rsidP="00AF1E70">
      <w:pPr>
        <w:pStyle w:val="SingleTxtG"/>
        <w:tabs>
          <w:tab w:val="clear" w:pos="1701"/>
        </w:tabs>
        <w:ind w:left="2268" w:hanging="1134"/>
      </w:pPr>
      <w:r w:rsidRPr="00D60CD4">
        <w:lastRenderedPageBreak/>
        <w:t>ТОПОП</w:t>
      </w:r>
      <w:r w:rsidRPr="00D60CD4">
        <w:tab/>
        <w:t>Техническое образование, профессиональное обучение и подготовка предпринимателей</w:t>
      </w:r>
    </w:p>
    <w:p w14:paraId="0B0CED6C" w14:textId="77777777" w:rsidR="00AF1E70" w:rsidRPr="00D60CD4" w:rsidRDefault="00AF1E70" w:rsidP="00AF1E70">
      <w:pPr>
        <w:pStyle w:val="SingleTxtG"/>
        <w:tabs>
          <w:tab w:val="clear" w:pos="1701"/>
        </w:tabs>
        <w:ind w:left="2268" w:hanging="1134"/>
      </w:pPr>
      <w:r w:rsidRPr="00D60CD4">
        <w:t>УИКТЗ</w:t>
      </w:r>
      <w:r w:rsidRPr="00D60CD4">
        <w:tab/>
        <w:t>Управление по информационно-коммуникационным технологиям Замбии</w:t>
      </w:r>
    </w:p>
    <w:p w14:paraId="09FD0694" w14:textId="77777777" w:rsidR="00AF1E70" w:rsidRPr="00D60CD4" w:rsidRDefault="00AF1E70" w:rsidP="00AF1E70">
      <w:pPr>
        <w:pStyle w:val="SingleTxtG"/>
        <w:tabs>
          <w:tab w:val="clear" w:pos="1701"/>
        </w:tabs>
        <w:ind w:left="2268" w:hanging="1134"/>
      </w:pPr>
      <w:r w:rsidRPr="00D60CD4">
        <w:t>УНЗА</w:t>
      </w:r>
      <w:r w:rsidRPr="00D60CD4">
        <w:tab/>
        <w:t>Университет Замбии</w:t>
      </w:r>
    </w:p>
    <w:p w14:paraId="4AF21409" w14:textId="77777777" w:rsidR="00AF1E70" w:rsidRPr="00D60CD4" w:rsidRDefault="00AF1E70" w:rsidP="00AF1E70">
      <w:pPr>
        <w:pStyle w:val="SingleTxtG"/>
        <w:tabs>
          <w:tab w:val="clear" w:pos="1701"/>
        </w:tabs>
        <w:ind w:left="2268" w:hanging="1134"/>
      </w:pPr>
      <w:r w:rsidRPr="00D60CD4">
        <w:t>ФРЗ</w:t>
      </w:r>
      <w:r w:rsidRPr="00D60CD4">
        <w:tab/>
        <w:t>Федерация работодателей Замбии</w:t>
      </w:r>
    </w:p>
    <w:p w14:paraId="43F786EB" w14:textId="77777777" w:rsidR="00AF1E70" w:rsidRPr="00D60CD4" w:rsidRDefault="00AF1E70" w:rsidP="00AF1E70">
      <w:pPr>
        <w:pStyle w:val="SingleTxtG"/>
        <w:tabs>
          <w:tab w:val="clear" w:pos="1701"/>
        </w:tabs>
        <w:ind w:left="2268" w:hanging="1134"/>
      </w:pPr>
      <w:r w:rsidRPr="00D60CD4">
        <w:t>ШНПР</w:t>
      </w:r>
      <w:r w:rsidRPr="00D60CD4">
        <w:tab/>
      </w:r>
      <w:r w:rsidR="00C87A17" w:rsidRPr="00D60CD4">
        <w:t>Ш</w:t>
      </w:r>
      <w:r w:rsidRPr="00D60CD4">
        <w:t>естой Национальный план развития</w:t>
      </w:r>
    </w:p>
    <w:p w14:paraId="09FFC38F" w14:textId="77777777" w:rsidR="00D60CD4" w:rsidRPr="00D60CD4" w:rsidRDefault="00D60CD4" w:rsidP="00D60CD4">
      <w:pPr>
        <w:pStyle w:val="SingleTxtG"/>
      </w:pPr>
      <w:r w:rsidRPr="00D60CD4">
        <w:br w:type="page"/>
      </w:r>
    </w:p>
    <w:p w14:paraId="33FE04CA" w14:textId="77777777" w:rsidR="00D60CD4" w:rsidRPr="00D60CD4" w:rsidRDefault="00AF1E70" w:rsidP="00AF1E70">
      <w:pPr>
        <w:pStyle w:val="HChG"/>
      </w:pPr>
      <w:r>
        <w:lastRenderedPageBreak/>
        <w:tab/>
      </w:r>
      <w:r w:rsidR="00D60CD4" w:rsidRPr="00D60CD4">
        <w:t>I.</w:t>
      </w:r>
      <w:r w:rsidR="00D60CD4" w:rsidRPr="00D60CD4">
        <w:tab/>
      </w:r>
      <w:r w:rsidR="00D60CD4" w:rsidRPr="00D60CD4">
        <w:tab/>
        <w:t>Введение</w:t>
      </w:r>
      <w:bookmarkStart w:id="3" w:name="_Toc53587099"/>
      <w:bookmarkEnd w:id="3"/>
    </w:p>
    <w:p w14:paraId="330A89EF" w14:textId="77777777" w:rsidR="00D60CD4" w:rsidRPr="00D60CD4" w:rsidRDefault="00D60CD4" w:rsidP="00D60CD4">
      <w:pPr>
        <w:pStyle w:val="SingleTxtG"/>
      </w:pPr>
      <w:r w:rsidRPr="00D60CD4">
        <w:t>1.</w:t>
      </w:r>
      <w:r w:rsidRPr="00D60CD4">
        <w:tab/>
        <w:t>Правительство Республики Замбия имеет честь представить Комитету по правам инвалидов в соответствии с пунктом 1 статьи 35 Конвенции о правах инвалидов (КПИ ООН) первоначальный доклад государства-участника.</w:t>
      </w:r>
    </w:p>
    <w:p w14:paraId="365A536B" w14:textId="77777777" w:rsidR="00D60CD4" w:rsidRPr="00D60CD4" w:rsidRDefault="00D60CD4" w:rsidP="00D60CD4">
      <w:pPr>
        <w:pStyle w:val="SingleTxtG"/>
      </w:pPr>
      <w:r w:rsidRPr="00D60CD4">
        <w:t>2.</w:t>
      </w:r>
      <w:r w:rsidRPr="00D60CD4">
        <w:tab/>
        <w:t>Доклад был подготовлен в соответствии с руководящими принципами Комитета, касающимися формы и содержания докладов, подлежащих представлению государствами-участниками.</w:t>
      </w:r>
    </w:p>
    <w:p w14:paraId="423EEF30" w14:textId="77777777" w:rsidR="00D60CD4" w:rsidRPr="00D60CD4" w:rsidRDefault="00D60CD4" w:rsidP="00D60CD4">
      <w:pPr>
        <w:pStyle w:val="SingleTxtG"/>
      </w:pPr>
      <w:r w:rsidRPr="00D60CD4">
        <w:t>3.</w:t>
      </w:r>
      <w:r w:rsidRPr="00D60CD4">
        <w:tab/>
        <w:t>Доклад был подготовлен при координации со стороны Министерства общинного развития и социальных служб (МОРСС) по итогам широких консультаций, в которых участвовали правительство Замбии, организации гражданского общества, Национальная комиссия Замбии по правам человека, организации людей с инвалидностью и организации по защите людей с инвалидностью, а также другие национальные учреждения и неправительственные организации, работающие в области поощрения осуществления прав людей с инвалидностью, с целью отражения в докладе ситуации, существовавшей в стране на момент представления доклада.</w:t>
      </w:r>
    </w:p>
    <w:p w14:paraId="036ACA93" w14:textId="77777777" w:rsidR="00D60CD4" w:rsidRPr="00D60CD4" w:rsidRDefault="00D60CD4" w:rsidP="00D60CD4">
      <w:pPr>
        <w:pStyle w:val="SingleTxtG"/>
      </w:pPr>
      <w:r w:rsidRPr="00D60CD4">
        <w:t>4.</w:t>
      </w:r>
      <w:r w:rsidRPr="00D60CD4">
        <w:tab/>
        <w:t>Доклад был подготовлен в привязке к сложившейся в Замбии обстановке в законодательной, политической, социальной, культурной и экономической областях. В нем содержится общий обзор большого прогресса, достигнутого Замбией в деле улучшения положения инвалидов, а также отражены законодательные, судебные, административные и другие меры, принятые правительством с целью соблюдения КПИ ООН. Наряду с признанием проблем и трудностей, с которыми сталкивается Замбия, в докладе также освещаются принятые или уже осуществляемые стратегии по устранению любых имеющихся пробелов в реализации положений Конвенции, а также некоторые рекомендации в отношении дальнейших действий.</w:t>
      </w:r>
    </w:p>
    <w:p w14:paraId="32EA1D7B" w14:textId="77777777" w:rsidR="00D60CD4" w:rsidRPr="00D60CD4" w:rsidRDefault="00AF1E70" w:rsidP="00AF1E70">
      <w:pPr>
        <w:pStyle w:val="HChG"/>
      </w:pPr>
      <w:bookmarkStart w:id="4" w:name="_Toc303289859"/>
      <w:r>
        <w:tab/>
      </w:r>
      <w:r w:rsidR="00D60CD4" w:rsidRPr="00D60CD4">
        <w:t>II.</w:t>
      </w:r>
      <w:r w:rsidR="00D60CD4" w:rsidRPr="00D60CD4">
        <w:tab/>
      </w:r>
      <w:r w:rsidR="00D60CD4" w:rsidRPr="00D60CD4">
        <w:tab/>
        <w:t xml:space="preserve">Справочная информация о Замбии </w:t>
      </w:r>
      <w:bookmarkStart w:id="5" w:name="_Toc53587100"/>
      <w:bookmarkEnd w:id="5"/>
    </w:p>
    <w:p w14:paraId="5A79B460" w14:textId="77777777" w:rsidR="00D60CD4" w:rsidRPr="00D60CD4" w:rsidRDefault="00D60CD4" w:rsidP="00AF1E70">
      <w:pPr>
        <w:pStyle w:val="H1G"/>
      </w:pPr>
      <w:r w:rsidRPr="00D60CD4">
        <w:tab/>
      </w:r>
      <w:r w:rsidRPr="00D60CD4">
        <w:tab/>
        <w:t>Территория и население</w:t>
      </w:r>
      <w:bookmarkStart w:id="6" w:name="_Toc53587101"/>
      <w:bookmarkEnd w:id="4"/>
      <w:bookmarkEnd w:id="6"/>
    </w:p>
    <w:p w14:paraId="0A09A5AA" w14:textId="77777777" w:rsidR="00D60CD4" w:rsidRPr="00D60CD4" w:rsidRDefault="00D60CD4" w:rsidP="00D60CD4">
      <w:pPr>
        <w:pStyle w:val="SingleTxtG"/>
      </w:pPr>
      <w:r w:rsidRPr="00D60CD4">
        <w:t>5.</w:t>
      </w:r>
      <w:r w:rsidRPr="00D60CD4">
        <w:tab/>
        <w:t>Замбия расположена в южной части Африки и является государством, не</w:t>
      </w:r>
      <w:r w:rsidR="00C31F0D">
        <w:t> </w:t>
      </w:r>
      <w:r w:rsidRPr="00D60CD4">
        <w:t xml:space="preserve">имеющим выхода к морю. Местонахождение: от 8° до 18° южной широты и от </w:t>
      </w:r>
      <w:r w:rsidR="00C31F0D">
        <w:br/>
      </w:r>
      <w:r w:rsidRPr="00D60CD4">
        <w:t>22° до 34° восточной долготы; общая площадь территории</w:t>
      </w:r>
      <w:r w:rsidR="00AF1E70">
        <w:t xml:space="preserve"> — </w:t>
      </w:r>
      <w:r w:rsidRPr="00D60CD4">
        <w:t>752 612 кв. км. Страна граничит на севере с Демократической Республикой Конго, на северо-востоке</w:t>
      </w:r>
      <w:r w:rsidR="00AF1E70">
        <w:t xml:space="preserve"> — </w:t>
      </w:r>
      <w:r w:rsidRPr="00D60CD4">
        <w:t>с</w:t>
      </w:r>
      <w:r w:rsidR="00C31F0D">
        <w:t> </w:t>
      </w:r>
      <w:r w:rsidRPr="00D60CD4">
        <w:t>Танзанией, на востоке</w:t>
      </w:r>
      <w:r w:rsidR="00AF1E70">
        <w:t xml:space="preserve"> — </w:t>
      </w:r>
      <w:r w:rsidRPr="00D60CD4">
        <w:t>с Малави, на юге</w:t>
      </w:r>
      <w:r w:rsidR="00AF1E70">
        <w:t xml:space="preserve"> — </w:t>
      </w:r>
      <w:r w:rsidRPr="00D60CD4">
        <w:t>с Мозамбиком, Зимбабве, Ботсваной и Намибией и на западе</w:t>
      </w:r>
      <w:r w:rsidR="00AF1E70">
        <w:t xml:space="preserve"> — </w:t>
      </w:r>
      <w:r w:rsidRPr="00D60CD4">
        <w:t>с Анголой.</w:t>
      </w:r>
    </w:p>
    <w:p w14:paraId="2F25159E" w14:textId="77777777" w:rsidR="00D60CD4" w:rsidRPr="00D60CD4" w:rsidRDefault="00D60CD4" w:rsidP="00D60CD4">
      <w:pPr>
        <w:pStyle w:val="SingleTxtG"/>
      </w:pPr>
      <w:r w:rsidRPr="00D60CD4">
        <w:t>6.</w:t>
      </w:r>
      <w:r w:rsidRPr="00D60CD4">
        <w:tab/>
        <w:t>Общая численность населения Замбии оценивается в 13 100 000 человек (по</w:t>
      </w:r>
      <w:r w:rsidR="00AF1E70">
        <w:t> </w:t>
      </w:r>
      <w:r w:rsidRPr="00D60CD4">
        <w:t>данным переписи 2010 года), 75</w:t>
      </w:r>
      <w:r w:rsidR="00C31F0D">
        <w:t>–</w:t>
      </w:r>
      <w:r w:rsidRPr="00D60CD4">
        <w:t>80</w:t>
      </w:r>
      <w:r w:rsidR="00AF1E70">
        <w:t xml:space="preserve"> %</w:t>
      </w:r>
      <w:r w:rsidRPr="00D60CD4">
        <w:t xml:space="preserve"> из которых проживают в сельских районах. Плотность населения колеблется от 230 человек на кв. км в районах с высоким потенциалом до трех человек на кв. км</w:t>
      </w:r>
      <w:r w:rsidR="00AF1E70">
        <w:t xml:space="preserve"> — </w:t>
      </w:r>
      <w:r w:rsidRPr="00D60CD4">
        <w:t>в засушливых районах. Лишь около 20</w:t>
      </w:r>
      <w:r w:rsidR="00AF1E70">
        <w:t> % </w:t>
      </w:r>
      <w:r w:rsidRPr="00D60CD4">
        <w:t>земель относятся к сельскохозяйственным угодьям с высоким и средним потенциалом, которые обеспечивают жизнедеятельность 80</w:t>
      </w:r>
      <w:r w:rsidR="00AF1E70">
        <w:t xml:space="preserve"> %</w:t>
      </w:r>
      <w:r w:rsidRPr="00D60CD4">
        <w:t xml:space="preserve"> населения. Остальные 20</w:t>
      </w:r>
      <w:r w:rsidR="00AF1E70">
        <w:t xml:space="preserve"> %</w:t>
      </w:r>
      <w:r w:rsidRPr="00D60CD4">
        <w:t xml:space="preserve"> населения проживают на 80</w:t>
      </w:r>
      <w:r w:rsidR="00AF1E70">
        <w:t xml:space="preserve"> %</w:t>
      </w:r>
      <w:r w:rsidRPr="00D60CD4">
        <w:t xml:space="preserve"> территории, представленной засушливыми и полузасушливыми землями.</w:t>
      </w:r>
    </w:p>
    <w:p w14:paraId="3CBB2457" w14:textId="77777777" w:rsidR="00D60CD4" w:rsidRPr="00D60CD4" w:rsidRDefault="00D60CD4" w:rsidP="00D60CD4">
      <w:pPr>
        <w:pStyle w:val="SingleTxtG"/>
      </w:pPr>
      <w:r w:rsidRPr="00D60CD4">
        <w:t>7.</w:t>
      </w:r>
      <w:r w:rsidRPr="00D60CD4">
        <w:tab/>
        <w:t>По своему административно-территориальному устройству Замбия делится на десять провинций, а именно: Центральную, Коппербелт, Восточную, Луапула, Лусака, Мучинга, Северную, Северо-Западную, Южную и Западную. В Замбии насчитывается 109 округов, 156 избирательных округов и 1</w:t>
      </w:r>
      <w:r w:rsidR="00C31F0D">
        <w:t> </w:t>
      </w:r>
      <w:r w:rsidRPr="00D60CD4">
        <w:t xml:space="preserve">430 административных районов в границах избирательного участка. Лусака является столицей Замбии, а также ее административным центром и местом нахождения правительства. В состав правительства входят центральные и местные органы управления. </w:t>
      </w:r>
    </w:p>
    <w:p w14:paraId="726E048E" w14:textId="77777777" w:rsidR="00D60CD4" w:rsidRPr="00D60CD4" w:rsidRDefault="00D60CD4" w:rsidP="00D60CD4">
      <w:pPr>
        <w:pStyle w:val="SingleTxtG"/>
      </w:pPr>
      <w:r w:rsidRPr="00D60CD4">
        <w:t>8.</w:t>
      </w:r>
      <w:r w:rsidRPr="00D60CD4">
        <w:tab/>
        <w:t>Растительность Замбии в основном представлена саванными лесами и лугами. Климат Замбии</w:t>
      </w:r>
      <w:r w:rsidR="00AF1E70">
        <w:t xml:space="preserve"> — </w:t>
      </w:r>
      <w:r w:rsidRPr="00D60CD4">
        <w:t xml:space="preserve">тропический с тремя различными сезонами: прохладным и сухим, жарким и сухим и жарким и влажным. Страна обладает богатыми запасами природных </w:t>
      </w:r>
      <w:r w:rsidRPr="00D60CD4">
        <w:lastRenderedPageBreak/>
        <w:t>ресурсов. По ее территории протекают пять основных рек, а именно: Замбези, Кафуэ, Луангва, Луапула и Чамбеши. В дополнение к этим рекам в стране также есть такие крупные озера, как Танганьика, Мверу, Мверу-Вантипа, Бангвеулу, а также искусственные озера Кариба и Итежи-Тежи. В Замбии находятся одни из лучших заповедников дикой природы и охотничьих угодий, которые образуют огромный туристический потенциал страны. Национальные парки Луангва и Кафуэ имеют одну из самых продуктивных популяций животных в Африке. В южной части страны основной туристической достопримечательностью является водопад Виктория. Замбия также богата различными полезными ископаемыми и драгоценными камнями, например медью, изумрудами, цинком, свинцом и кобальтом.</w:t>
      </w:r>
    </w:p>
    <w:p w14:paraId="01B1AB75" w14:textId="77777777" w:rsidR="00D60CD4" w:rsidRPr="00D60CD4" w:rsidRDefault="00D60CD4" w:rsidP="00D60CD4">
      <w:pPr>
        <w:pStyle w:val="SingleTxtG"/>
      </w:pPr>
      <w:r w:rsidRPr="00D60CD4">
        <w:t>9.</w:t>
      </w:r>
      <w:r w:rsidRPr="00D60CD4">
        <w:tab/>
        <w:t>Английский язык является официальным языком общения и обучения в Замбии. Основными местными языками являются языки бемба, каонде, лози, лунда, лувале, ньянджа и тонга. Эти языки наряду с английским языком преподаются в государственных школах и используются на национальном телевидении и радио, а</w:t>
      </w:r>
      <w:r w:rsidR="008329A2">
        <w:t> </w:t>
      </w:r>
      <w:r w:rsidRPr="00D60CD4">
        <w:t>также в национальных документах. Вместе с тем в Замбии насчитывается в общей сложности 73 диалекта, на которых говорят по всей стране.</w:t>
      </w:r>
    </w:p>
    <w:p w14:paraId="180B6253" w14:textId="77777777" w:rsidR="00D60CD4" w:rsidRPr="00D60CD4" w:rsidRDefault="00D60CD4" w:rsidP="00D60CD4">
      <w:pPr>
        <w:pStyle w:val="SingleTxtG"/>
      </w:pPr>
      <w:r w:rsidRPr="00D60CD4">
        <w:t>10.</w:t>
      </w:r>
      <w:r w:rsidRPr="00D60CD4">
        <w:tab/>
        <w:t xml:space="preserve">В соответствии с Конституцией 1996 года Замбия официально является христианской страной. Однако в ней распространены и другие религии. </w:t>
      </w:r>
    </w:p>
    <w:p w14:paraId="07C7D430" w14:textId="77777777" w:rsidR="00D60CD4" w:rsidRPr="00D60CD4" w:rsidRDefault="00D60CD4" w:rsidP="00D60CD4">
      <w:pPr>
        <w:pStyle w:val="SingleTxtG"/>
      </w:pPr>
      <w:r w:rsidRPr="00D60CD4">
        <w:t>11.</w:t>
      </w:r>
      <w:r w:rsidRPr="00D60CD4">
        <w:tab/>
        <w:t>Здравоохранение играет крайне важную роль в развитии страны, поскольку без продуманной политики в области здравоохранения невозможно добиться какого-либо действительного развития. Начиная с 1991 года сектор здравоохранения прилагает усилия для улучшения системы медицинского обслуживания в стране. Некоторые из этих усилий включают переход от жестко централизованной системы здравоохранения, при которой центральные структуры оказывали поддержку и обеспечивали руководство периферийными структурами в масштабах с</w:t>
      </w:r>
      <w:r w:rsidR="008329A2">
        <w:t>т</w:t>
      </w:r>
      <w:r w:rsidRPr="00D60CD4">
        <w:t>раны, к более децентрализованной системе.</w:t>
      </w:r>
    </w:p>
    <w:p w14:paraId="1823EB3D" w14:textId="77777777" w:rsidR="00D60CD4" w:rsidRPr="00D60CD4" w:rsidRDefault="00D60CD4" w:rsidP="00D60CD4">
      <w:pPr>
        <w:pStyle w:val="SingleTxtG"/>
        <w:rPr>
          <w:u w:val="single"/>
        </w:rPr>
      </w:pPr>
      <w:r w:rsidRPr="00D60CD4">
        <w:t>12.</w:t>
      </w:r>
      <w:r w:rsidRPr="00D60CD4">
        <w:tab/>
        <w:t>В 2010 году в системе здравоохранения Замбии насчитывалось в общей сложности 1883 медицинских учреждения. Это означает, что количество медицинских учреждений увеличилось на 598 с 1285 в 2000 году. Система здравоохранения состоит из шести специализированных больничных учреждений, 21 больницы общего профиля, 85 окружных больниц, 1495 городских и сельских поликлиник и 275</w:t>
      </w:r>
      <w:r w:rsidR="00AF1E70">
        <w:t> </w:t>
      </w:r>
      <w:r w:rsidRPr="00D60CD4">
        <w:t>медицинских пунктов (источник: Министерство здравоохранения, 2011 год).</w:t>
      </w:r>
    </w:p>
    <w:p w14:paraId="350446AC" w14:textId="77777777" w:rsidR="00D60CD4" w:rsidRPr="00D60CD4" w:rsidRDefault="00D60CD4" w:rsidP="00D60CD4">
      <w:pPr>
        <w:pStyle w:val="SingleTxtG"/>
      </w:pPr>
      <w:r w:rsidRPr="00D60CD4">
        <w:t>13.</w:t>
      </w:r>
      <w:r w:rsidRPr="00D60CD4">
        <w:tab/>
        <w:t>Как и во многих странах, расположенных к югу от Сахары, для Замбии характерны высокие уровни заболеваемости и смертности. По данным обследования в области демографии и здоровья населения Замбии (ОДЗНЗ), в 2013/14 году, каждый восьмой взрослый (13</w:t>
      </w:r>
      <w:r w:rsidR="00AF1E70">
        <w:t> %</w:t>
      </w:r>
      <w:r w:rsidRPr="00D60CD4">
        <w:t>) имел ВИЧ-положительный статус. Коэффициент младенческой смертности составляет 45 случаев смерти на 1000 живорождений, а коэффициент материнской смертности</w:t>
      </w:r>
      <w:r w:rsidR="00AF1E70">
        <w:t xml:space="preserve"> — </w:t>
      </w:r>
      <w:r w:rsidRPr="00D60CD4">
        <w:t>398 случаев смерти на 100</w:t>
      </w:r>
      <w:r w:rsidR="00AF1E70">
        <w:t> </w:t>
      </w:r>
      <w:r w:rsidRPr="00D60CD4">
        <w:t>000</w:t>
      </w:r>
      <w:r w:rsidR="00AF1E70">
        <w:t> </w:t>
      </w:r>
      <w:r w:rsidRPr="00D60CD4">
        <w:t>живорождений.</w:t>
      </w:r>
    </w:p>
    <w:p w14:paraId="00180137" w14:textId="77777777" w:rsidR="00D60CD4" w:rsidRPr="00D60CD4" w:rsidRDefault="00D60CD4" w:rsidP="00D60CD4">
      <w:pPr>
        <w:pStyle w:val="SingleTxtG"/>
      </w:pPr>
      <w:r w:rsidRPr="00D60CD4">
        <w:t>14.</w:t>
      </w:r>
      <w:r w:rsidRPr="00D60CD4">
        <w:tab/>
        <w:t>Основу экономики страны образуют горнодобывающая промышленность, сельское хозяйство, строительство, транспорт и связь. По предварительной оценке, рост реального ВВП в 2015 году достиг 3,2</w:t>
      </w:r>
      <w:r w:rsidR="00AF1E70">
        <w:t> %</w:t>
      </w:r>
      <w:r w:rsidRPr="00D60CD4">
        <w:t xml:space="preserve"> (Статистика национальных счетов, 2016</w:t>
      </w:r>
      <w:r w:rsidR="00AF1E70">
        <w:t> </w:t>
      </w:r>
      <w:r w:rsidRPr="00D60CD4">
        <w:t>год). В течение многих лет в Замбии в современном секторе доминировали полугосударственные организации, в то время как частный сектор играл преобладающую роль в строительстве и сельском хозяйстве. В первые годы постколониальной эпохи основой экономики Замбии являлась добыча меди, на которую приходилось около 95</w:t>
      </w:r>
      <w:r w:rsidR="00AF1E70">
        <w:t> %</w:t>
      </w:r>
      <w:r w:rsidRPr="00D60CD4">
        <w:t xml:space="preserve"> годовых поступлений от экспорта и которая обеспечивала около 45</w:t>
      </w:r>
      <w:r w:rsidR="00AF1E70">
        <w:t xml:space="preserve"> %</w:t>
      </w:r>
      <w:r w:rsidRPr="00D60CD4">
        <w:t xml:space="preserve"> государственных доходов в течение всего десятилетия после обретения независимости (1965–1975 годы).</w:t>
      </w:r>
    </w:p>
    <w:p w14:paraId="33F34E75" w14:textId="77777777" w:rsidR="00D60CD4" w:rsidRPr="00D60CD4" w:rsidRDefault="00D60CD4" w:rsidP="00D60CD4">
      <w:pPr>
        <w:pStyle w:val="SingleTxtG"/>
      </w:pPr>
      <w:r w:rsidRPr="00D60CD4">
        <w:t>15.</w:t>
      </w:r>
      <w:r w:rsidRPr="00D60CD4">
        <w:tab/>
        <w:t>В середине 1970-х годов в связи с резким падением мировых цен на медь положение в экономике Замбии резко ухудшил</w:t>
      </w:r>
      <w:r w:rsidR="008329A2">
        <w:t>о</w:t>
      </w:r>
      <w:r w:rsidRPr="00D60CD4">
        <w:t xml:space="preserve">сь. Были предприняты усилия по минимизации зависимости от добычи меди и диверсификации экономики путем создания импортозамещающих полугосударственных структур. Эти усилия не принесли желаемых результатов, поэтому началось энергичное осуществление программ структурной перестройки. Реализация этих программ не привела к </w:t>
      </w:r>
      <w:r w:rsidRPr="00D60CD4">
        <w:lastRenderedPageBreak/>
        <w:t>существенным изменениям в экономике. Следствием этого явился крайне высокий уровень бедности большинства замбийцев.</w:t>
      </w:r>
    </w:p>
    <w:p w14:paraId="1815B02E" w14:textId="77777777" w:rsidR="00D60CD4" w:rsidRPr="00D60CD4" w:rsidRDefault="00D60CD4" w:rsidP="00D60CD4">
      <w:pPr>
        <w:pStyle w:val="SingleTxtG"/>
      </w:pPr>
      <w:r w:rsidRPr="00D60CD4">
        <w:t>16.</w:t>
      </w:r>
      <w:r w:rsidRPr="00D60CD4">
        <w:tab/>
        <w:t xml:space="preserve">Стремясь смягчить остроту проблемы бедности, Замбия возобновила планирование национального развития. В 2006 году была признана необходимость стратегии, направленной на повсеместное повышение уровня благосостояния и создание рабочих мест посредством участия граждан и развития технологий, что привело к разработке пятого Национального плана развития (ПНПР) на </w:t>
      </w:r>
      <w:r w:rsidR="00AF1E70">
        <w:br/>
      </w:r>
      <w:r w:rsidRPr="00D60CD4">
        <w:t xml:space="preserve">2006–2010 годы. В 2011 году был разработан шестой Национальный план развития (ШНПР на 2011–2015 годы) в целях достижения устойчивого экономического роста и сокращения масштабов бедности на основе развития инфраструктуры и человеческого потенциала. Позднее, в том же году, ШНПР был пересмотрен с целью приведения его в соответствие с политикой руководства Патриотического фронта, который сформировал правительство после ухода из него Движения за многопартийную демократию (ДМД). К числу основных областей роста, определенных в Плане, были отнесены повышение квалификации, развитие сельского хозяйства и инфраструктуры с упором на улучшение водоснабжения и санитарии, образование и медицинское обслуживание (МФНП, 2014 год). В настоящее время государство-участник разрабатывает седьмой Национальный план развития (на 2017–2021 годы), который направлен на включение целей в области устойчивого развития во внутреннее законодательство. </w:t>
      </w:r>
    </w:p>
    <w:p w14:paraId="13149561" w14:textId="77777777" w:rsidR="00D60CD4" w:rsidRPr="00D60CD4" w:rsidRDefault="00D60CD4" w:rsidP="00D60CD4">
      <w:pPr>
        <w:pStyle w:val="SingleTxtG"/>
      </w:pPr>
      <w:r w:rsidRPr="00D60CD4">
        <w:t>17.</w:t>
      </w:r>
      <w:r w:rsidRPr="00D60CD4">
        <w:tab/>
        <w:t>Образование является мощным инструментом экономического развития личности и нации. В шестом Национальном плане развития (ШНПР) в качестве главных движущих сил развития Замбии определены образование, профессиональная подготовка, наука, техника и технология.</w:t>
      </w:r>
    </w:p>
    <w:p w14:paraId="17B3545A" w14:textId="77777777" w:rsidR="00D60CD4" w:rsidRPr="00D60CD4" w:rsidRDefault="00D60CD4" w:rsidP="00D60CD4">
      <w:pPr>
        <w:pStyle w:val="SingleTxtG"/>
      </w:pPr>
      <w:r w:rsidRPr="00D60CD4">
        <w:t>18.</w:t>
      </w:r>
      <w:r w:rsidRPr="00D60CD4">
        <w:tab/>
        <w:t>В Замбии существует трехуровневая система образования, состоящая из семилетнего начального образования, за которым следует пятилетнее среднее образование и послешкольное образование. За последнее десятилетие государство-участник приступило к реализации ряда инициатив по обеспечению всеобщего доступа к образованию. В 2010 году было зарегистрировано увеличение количества базовых школ (1–9 классы) примерно на 0,6</w:t>
      </w:r>
      <w:r w:rsidR="00AF1E70">
        <w:t> %</w:t>
      </w:r>
      <w:r w:rsidRPr="00D60CD4">
        <w:t>. Было также зарегистрировано увеличение количества средних школ (10–12 классы), что в значительной степени связано с преобразованием некоторых базовых школ в средние школы и строительством новых средних школ. В настоящее время система образования начинается с 1–7 классов начальной школы, а заканчивается 8–12 классами средней школы.</w:t>
      </w:r>
    </w:p>
    <w:p w14:paraId="55B7B751" w14:textId="77777777" w:rsidR="00D60CD4" w:rsidRPr="00D60CD4" w:rsidRDefault="00D60CD4" w:rsidP="00D60CD4">
      <w:pPr>
        <w:pStyle w:val="SingleTxtG"/>
      </w:pPr>
      <w:r w:rsidRPr="00D60CD4">
        <w:t>19.</w:t>
      </w:r>
      <w:r w:rsidRPr="00D60CD4">
        <w:tab/>
        <w:t xml:space="preserve">Хорошо известно, что социально-экономическое развитие может быть достигнуто только при условии равноправного участия в процессе развития как мужчин, так и женщин. Концепция Замбии по гендерному вопросу изложена в документе </w:t>
      </w:r>
      <w:r w:rsidR="00AF1E70">
        <w:t>«</w:t>
      </w:r>
      <w:r w:rsidRPr="00D60CD4">
        <w:t>Перспективы развития до 2030 года</w:t>
      </w:r>
      <w:r w:rsidR="00AF1E70">
        <w:t>»</w:t>
      </w:r>
      <w:r w:rsidRPr="00D60CD4">
        <w:t xml:space="preserve">, которым предусмотрено достижение к 2030 году гендерного равенства и равноправия в процессе социально-экономического развития. В этой связи государство-участник разработало гендерную политику, давшую толчок реализации политики и законодательства по интегрированию гендерной проблематики. </w:t>
      </w:r>
    </w:p>
    <w:p w14:paraId="0400883A" w14:textId="77777777" w:rsidR="00D60CD4" w:rsidRPr="00D60CD4" w:rsidRDefault="00D60CD4" w:rsidP="00D60CD4">
      <w:pPr>
        <w:pStyle w:val="SingleTxtG"/>
      </w:pPr>
      <w:r w:rsidRPr="00D60CD4">
        <w:t>20.</w:t>
      </w:r>
      <w:r w:rsidRPr="00D60CD4">
        <w:tab/>
        <w:t>Большинство замбийцев по-прежнему живут в условиях бедности. Результаты проведенных в 2006 и 2010 годах контрольных исследований условий жизни (КИУЖ) указывают на сохранение высоких уровней бедности, несмотря на их снижение в период с 2006 по 2010 годы. Доля населения, живущего за чертой бедности, снизилась с 62,8</w:t>
      </w:r>
      <w:r w:rsidR="00AF1E70">
        <w:t xml:space="preserve"> %</w:t>
      </w:r>
      <w:r w:rsidRPr="00D60CD4">
        <w:t xml:space="preserve"> в 2006 году до 60,5</w:t>
      </w:r>
      <w:r w:rsidR="00AF1E70">
        <w:t xml:space="preserve"> %</w:t>
      </w:r>
      <w:r w:rsidRPr="00D60CD4">
        <w:t xml:space="preserve"> в 2010 году. Процентная доля населения, живущего в условиях крайней бедности, незначительно снизилась с 42,7</w:t>
      </w:r>
      <w:r w:rsidR="00AF1E70">
        <w:t xml:space="preserve"> %</w:t>
      </w:r>
      <w:r w:rsidRPr="00D60CD4">
        <w:t xml:space="preserve"> до 42,3</w:t>
      </w:r>
      <w:r w:rsidR="00AF1E70">
        <w:t xml:space="preserve"> %</w:t>
      </w:r>
      <w:r w:rsidRPr="00D60CD4">
        <w:t>.</w:t>
      </w:r>
    </w:p>
    <w:p w14:paraId="2376DED5" w14:textId="77777777" w:rsidR="00D60CD4" w:rsidRPr="00D60CD4" w:rsidRDefault="00D60CD4" w:rsidP="00D60CD4">
      <w:pPr>
        <w:pStyle w:val="SingleTxtG"/>
      </w:pPr>
      <w:r w:rsidRPr="00D60CD4">
        <w:t>21.</w:t>
      </w:r>
      <w:r w:rsidRPr="00D60CD4">
        <w:tab/>
        <w:t>Бедность в Замбии по-прежнему в большей степени распространена в сельских районах, чем в городских. Показатели бедности в сельских районах в три раза превышают ее показатели в городских районах. В 2010 году доля населения, живущего в условиях бедности, оценивалась в 77,9</w:t>
      </w:r>
      <w:r w:rsidR="00AF1E70">
        <w:t xml:space="preserve"> %</w:t>
      </w:r>
      <w:r w:rsidRPr="00D60CD4">
        <w:t xml:space="preserve"> в сельских районах по сравнению с 27,5</w:t>
      </w:r>
      <w:r w:rsidR="00AF1E70">
        <w:t xml:space="preserve"> %</w:t>
      </w:r>
      <w:r w:rsidRPr="00D60CD4">
        <w:t xml:space="preserve"> в городах.</w:t>
      </w:r>
    </w:p>
    <w:p w14:paraId="224F48FA" w14:textId="77777777" w:rsidR="00D60CD4" w:rsidRPr="00D60CD4" w:rsidRDefault="00D60CD4" w:rsidP="004312AD">
      <w:pPr>
        <w:pStyle w:val="SingleTxtG"/>
        <w:keepNext/>
        <w:keepLines/>
      </w:pPr>
      <w:r w:rsidRPr="00D60CD4">
        <w:lastRenderedPageBreak/>
        <w:t>22.</w:t>
      </w:r>
      <w:r w:rsidRPr="00D60CD4">
        <w:tab/>
        <w:t>Инвалиды в Замбии относятся к наиболее уязвимым группам населения. Согласно предварительным результатам национального обследования по вопросам инвалидности 2015 года, которое охватывало все население Замбии, доля людей с инвалидностью в общей численности населения страны составляет около 7,2</w:t>
      </w:r>
      <w:r w:rsidR="00AF1E70">
        <w:t xml:space="preserve"> %</w:t>
      </w:r>
      <w:r w:rsidRPr="00D60CD4">
        <w:t>.</w:t>
      </w:r>
    </w:p>
    <w:p w14:paraId="56AF701E" w14:textId="77777777" w:rsidR="00D60CD4" w:rsidRPr="00D60CD4" w:rsidRDefault="00D60CD4" w:rsidP="00AF1E70">
      <w:pPr>
        <w:pStyle w:val="HChG"/>
      </w:pPr>
      <w:r w:rsidRPr="00D60CD4">
        <w:tab/>
      </w:r>
      <w:r w:rsidRPr="004312AD">
        <w:t>III.</w:t>
      </w:r>
      <w:r w:rsidRPr="004312AD">
        <w:tab/>
        <w:t>Политическая структура</w:t>
      </w:r>
      <w:bookmarkStart w:id="7" w:name="_Toc53587102"/>
      <w:bookmarkEnd w:id="7"/>
    </w:p>
    <w:p w14:paraId="236D0BD0" w14:textId="77777777" w:rsidR="00D60CD4" w:rsidRPr="00D60CD4" w:rsidRDefault="00D60CD4" w:rsidP="00AF1E70">
      <w:pPr>
        <w:pStyle w:val="H1G"/>
      </w:pPr>
      <w:r w:rsidRPr="00D60CD4">
        <w:tab/>
        <w:t>A.</w:t>
      </w:r>
      <w:r w:rsidRPr="00D60CD4">
        <w:tab/>
        <w:t>Общая политическая структура</w:t>
      </w:r>
      <w:bookmarkStart w:id="8" w:name="_Toc53587103"/>
      <w:bookmarkEnd w:id="8"/>
    </w:p>
    <w:p w14:paraId="296AE708" w14:textId="77777777" w:rsidR="00D60CD4" w:rsidRPr="00D60CD4" w:rsidRDefault="00D60CD4" w:rsidP="00D60CD4">
      <w:pPr>
        <w:pStyle w:val="SingleTxtG"/>
      </w:pPr>
      <w:r w:rsidRPr="00D60CD4">
        <w:t>23.</w:t>
      </w:r>
      <w:r w:rsidRPr="00D60CD4">
        <w:tab/>
        <w:t>Замбия обрела независимость в 1964 году после 70 лет британского колониального правления. После обретения независимости Замбия приняла Конституцию, предусматривающую многопартийную демократическую систему. В</w:t>
      </w:r>
      <w:r w:rsidR="00AF1E70">
        <w:t> </w:t>
      </w:r>
      <w:r w:rsidRPr="00D60CD4">
        <w:t xml:space="preserve">1973 году Замбия приняла новую Конституцию, в соответствии с которой была введена однопартийная система правления. </w:t>
      </w:r>
      <w:r w:rsidRPr="00D60CD4">
        <w:rPr>
          <w:lang w:val="ru"/>
        </w:rPr>
        <w:t>Все политические партии, за исключением тогдашней правящей Объединенной партии национальной независимости (ОПНН), были запрещены</w:t>
      </w:r>
      <w:r w:rsidRPr="00D60CD4">
        <w:t xml:space="preserve">. Начиная с конца 1980-х годов в Замбии произошли важные события в политической и конституционной сферах. Итогом этих событий явилось внесение в Конституцию 1973 года поправки, отменяющей статью 4, которая предусматривала, что </w:t>
      </w:r>
      <w:r w:rsidRPr="00D60CD4">
        <w:rPr>
          <w:lang w:val="ru"/>
        </w:rPr>
        <w:t>ОПНН</w:t>
      </w:r>
      <w:r w:rsidRPr="00D60CD4">
        <w:t xml:space="preserve"> является единственной политической партией. 31 октября 1991 года состоялись многопартийные президентские и всеобщие выборы, в результате которых к власти пришло вновь созданное Движение за многопартийную демократию (ДМД). Эта конституционная поправка также ограничила срок президентских полномочий двумя сроками по пять (5) лет каждый. В 1996 году в Конституцию были внесены дополнительные изменения, в соответствии с которыми кандидат на должность президента должен быть гражданином Замбии во втором поколении. 27 декабря 2001</w:t>
      </w:r>
      <w:r w:rsidR="00AF1E70">
        <w:t> </w:t>
      </w:r>
      <w:r w:rsidRPr="00D60CD4">
        <w:t>года были проведены всеобщие президентские выборы, в результате которых ДМД получило новый пятилетний мандат и находилось у власти в течение двух сроков. В 2011 году были проведены президентские и всеобщие выборы, по итогам которых к власти пришел Патриотический фронт, являющийся в настоящее время правящей партией. В Конституции Республики Замбия предусмотрены прямые гарантии против нарушения государством основных прав и свобод человека. Значительным событием стало создание в 1996 году Комиссии по правам человека в соответствии с Законом № 39 о правах человека 1996 года. Комиссия по правам человека является независимым национальным правозащитным учреждением, созданным в соответствии с пунктом 1 статьи 230 Конституции Замбии с поправками, внесенными Законом № 2 от 2016 года. В соответствии с пунктами 2 и 3 статьи 230 Конституции Комиссия уполномочена проводить расследования и представлять доклады по вопросам соблюдения прав и свобод; принимать необходимые меры для обеспечения надлежащего возмещения в случае нарушения прав и свобод; принимать меры к разрешению споров путем переговоров, посредничества или примирения; проводить исследования в области прав и свобод и связанных с ними вопросов; заниматься гражданским воспитанием в аспекте прав и свобод; и выполнять другие возложенные на нее функции. Создание Комиссии, безусловно, является важной вехой в истории Замбии и свидетельствует о готовности государства-участника содействовать осуществлению прав человека замбийского народа.</w:t>
      </w:r>
    </w:p>
    <w:p w14:paraId="052DE7CA" w14:textId="77777777" w:rsidR="00D60CD4" w:rsidRPr="00D60CD4" w:rsidRDefault="00D60CD4" w:rsidP="00D60CD4">
      <w:pPr>
        <w:pStyle w:val="SingleTxtG"/>
      </w:pPr>
      <w:r w:rsidRPr="00D60CD4">
        <w:t>24.</w:t>
      </w:r>
      <w:r w:rsidRPr="00D60CD4">
        <w:tab/>
        <w:t>В части III Конституции Замбии содержится Билль о правах, предусматривающий основные права и свободы, которыми пользуется каждый человек в Замбии. Эти права и свободы закреплены в Конституции в следующих статьях:</w:t>
      </w:r>
    </w:p>
    <w:p w14:paraId="4D21E79B" w14:textId="77777777" w:rsidR="00D60CD4" w:rsidRPr="00D60CD4" w:rsidRDefault="00D60CD4" w:rsidP="00AF1E70">
      <w:pPr>
        <w:pStyle w:val="Bullet1G"/>
      </w:pPr>
      <w:r w:rsidRPr="00D60CD4">
        <w:t>статье 12 о защите права на жизнь;</w:t>
      </w:r>
    </w:p>
    <w:p w14:paraId="28BEFA21" w14:textId="77777777" w:rsidR="00D60CD4" w:rsidRPr="00D60CD4" w:rsidRDefault="00D60CD4" w:rsidP="00AF1E70">
      <w:pPr>
        <w:pStyle w:val="Bullet1G"/>
      </w:pPr>
      <w:r w:rsidRPr="00D60CD4">
        <w:t>статье 13 о защите права на личную свободу;</w:t>
      </w:r>
    </w:p>
    <w:p w14:paraId="418E8F24" w14:textId="77777777" w:rsidR="00D60CD4" w:rsidRPr="00D60CD4" w:rsidRDefault="00D60CD4" w:rsidP="00AF1E70">
      <w:pPr>
        <w:pStyle w:val="Bullet1G"/>
      </w:pPr>
      <w:r w:rsidRPr="00D60CD4">
        <w:t>статье 14 о запрещении рабства и принудительного труда;</w:t>
      </w:r>
    </w:p>
    <w:p w14:paraId="1516390A" w14:textId="77777777" w:rsidR="00D60CD4" w:rsidRPr="00D60CD4" w:rsidRDefault="00D60CD4" w:rsidP="00AF1E70">
      <w:pPr>
        <w:pStyle w:val="Bullet1G"/>
      </w:pPr>
      <w:r w:rsidRPr="00D60CD4">
        <w:t>статье 15 о защите от жестокого, бесчеловечного и унижающего достоинство обращения;</w:t>
      </w:r>
    </w:p>
    <w:p w14:paraId="1096E9C3" w14:textId="77777777" w:rsidR="00D60CD4" w:rsidRPr="00D60CD4" w:rsidRDefault="00D60CD4" w:rsidP="00AF1E70">
      <w:pPr>
        <w:pStyle w:val="Bullet1G"/>
      </w:pPr>
      <w:r w:rsidRPr="00D60CD4">
        <w:t>статье 16 о защите от лишения имущества;</w:t>
      </w:r>
    </w:p>
    <w:p w14:paraId="08928901" w14:textId="77777777" w:rsidR="00D60CD4" w:rsidRPr="00D60CD4" w:rsidRDefault="00D60CD4" w:rsidP="00AF1E70">
      <w:pPr>
        <w:pStyle w:val="Bullet1G"/>
      </w:pPr>
      <w:r w:rsidRPr="00D60CD4">
        <w:lastRenderedPageBreak/>
        <w:t>статье 17 о защите частной жизни, жилища и имущества;</w:t>
      </w:r>
    </w:p>
    <w:p w14:paraId="789E9073" w14:textId="77777777" w:rsidR="00D60CD4" w:rsidRPr="00D60CD4" w:rsidRDefault="00D60CD4" w:rsidP="00AF1E70">
      <w:pPr>
        <w:pStyle w:val="Bullet1G"/>
      </w:pPr>
      <w:r w:rsidRPr="00D60CD4">
        <w:t>статье 18, содержащей положения, обеспечивающие защиту закона;</w:t>
      </w:r>
    </w:p>
    <w:p w14:paraId="7618889B" w14:textId="77777777" w:rsidR="00D60CD4" w:rsidRPr="00D60CD4" w:rsidRDefault="00D60CD4" w:rsidP="00AF1E70">
      <w:pPr>
        <w:pStyle w:val="Bullet1G"/>
      </w:pPr>
      <w:r w:rsidRPr="00D60CD4">
        <w:t>статье 19 о защите свободы совести;</w:t>
      </w:r>
    </w:p>
    <w:p w14:paraId="263D93D4" w14:textId="77777777" w:rsidR="00D60CD4" w:rsidRPr="00D60CD4" w:rsidRDefault="00D60CD4" w:rsidP="00AF1E70">
      <w:pPr>
        <w:pStyle w:val="Bullet1G"/>
      </w:pPr>
      <w:r w:rsidRPr="00D60CD4">
        <w:t>статье 20 о защите свободы выражения мнений;</w:t>
      </w:r>
    </w:p>
    <w:p w14:paraId="235CE6B0" w14:textId="77777777" w:rsidR="00D60CD4" w:rsidRPr="00D60CD4" w:rsidRDefault="00D60CD4" w:rsidP="00AF1E70">
      <w:pPr>
        <w:pStyle w:val="Bullet1G"/>
      </w:pPr>
      <w:r w:rsidRPr="00D60CD4">
        <w:t>статье 21 о защите свободы собраний и ассоциации;</w:t>
      </w:r>
    </w:p>
    <w:p w14:paraId="3E0AAA08" w14:textId="77777777" w:rsidR="00D60CD4" w:rsidRPr="00D60CD4" w:rsidRDefault="00D60CD4" w:rsidP="00AF1E70">
      <w:pPr>
        <w:pStyle w:val="Bullet1G"/>
      </w:pPr>
      <w:r w:rsidRPr="00D60CD4">
        <w:t>статье 22 о защите свободы передвижения;</w:t>
      </w:r>
    </w:p>
    <w:p w14:paraId="3A29C24F" w14:textId="6F96939A" w:rsidR="00D60CD4" w:rsidRPr="00D60CD4" w:rsidRDefault="00D60CD4" w:rsidP="00AF1E70">
      <w:pPr>
        <w:pStyle w:val="Bullet1G"/>
      </w:pPr>
      <w:r w:rsidRPr="00D60CD4">
        <w:t>статье 23 о защите от дискриминации по признаку расы, пола, племенной принадлежности и т.</w:t>
      </w:r>
      <w:r w:rsidR="004312AD">
        <w:rPr>
          <w:lang w:val="en-US"/>
        </w:rPr>
        <w:t> </w:t>
      </w:r>
      <w:r w:rsidRPr="00D60CD4">
        <w:t>д.; и</w:t>
      </w:r>
    </w:p>
    <w:p w14:paraId="6F101C86" w14:textId="77777777" w:rsidR="00D60CD4" w:rsidRPr="00D60CD4" w:rsidRDefault="00D60CD4" w:rsidP="00AF1E70">
      <w:pPr>
        <w:pStyle w:val="Bullet1G"/>
      </w:pPr>
      <w:r w:rsidRPr="00D60CD4">
        <w:t>статье 24 о защите молодежи от эксплуатации.</w:t>
      </w:r>
    </w:p>
    <w:p w14:paraId="582339FD" w14:textId="77777777" w:rsidR="00D60CD4" w:rsidRPr="00D60CD4" w:rsidRDefault="00D60CD4" w:rsidP="00D60CD4">
      <w:pPr>
        <w:pStyle w:val="SingleTxtG"/>
      </w:pPr>
      <w:r w:rsidRPr="00D60CD4">
        <w:t>25.</w:t>
      </w:r>
      <w:r w:rsidRPr="00D60CD4">
        <w:tab/>
        <w:t>Согласно Конституции, Замбия имеет республиканский государственный строй и три ветви власти: исполнительную, законодательную и судебную, каждая из которых образует отдельный и самостоятельный орган государства.</w:t>
      </w:r>
    </w:p>
    <w:p w14:paraId="5A747BBF" w14:textId="77777777" w:rsidR="00D60CD4" w:rsidRPr="00D60CD4" w:rsidRDefault="00D60CD4" w:rsidP="00AF1E70">
      <w:pPr>
        <w:pStyle w:val="H1G"/>
      </w:pPr>
      <w:r w:rsidRPr="00D60CD4">
        <w:tab/>
        <w:t>B.</w:t>
      </w:r>
      <w:r w:rsidRPr="00D60CD4">
        <w:tab/>
        <w:t>Исполнительная власть</w:t>
      </w:r>
      <w:bookmarkStart w:id="9" w:name="_Toc53587104"/>
      <w:bookmarkEnd w:id="9"/>
    </w:p>
    <w:p w14:paraId="41BC2A40" w14:textId="7EA971DA" w:rsidR="00D60CD4" w:rsidRPr="00D60CD4" w:rsidRDefault="00D60CD4" w:rsidP="00D60CD4">
      <w:pPr>
        <w:pStyle w:val="SingleTxtG"/>
      </w:pPr>
      <w:r w:rsidRPr="00D60CD4">
        <w:t>26.</w:t>
      </w:r>
      <w:r w:rsidRPr="00D60CD4">
        <w:tab/>
        <w:t>Исполнительную власть осуществляет президент, который избирается всеобщим голосованием на пятилетний срок. В соответствии со статьей 100 Конституции лицо имеет право быть выдвинутым в качестве кандидата на должность президента, если оно:</w:t>
      </w:r>
    </w:p>
    <w:p w14:paraId="6AADA740" w14:textId="77777777" w:rsidR="00D60CD4" w:rsidRPr="00D60CD4" w:rsidRDefault="00D60CD4" w:rsidP="00D60CD4">
      <w:pPr>
        <w:pStyle w:val="SingleTxtG"/>
      </w:pPr>
      <w:r w:rsidRPr="00D60CD4">
        <w:tab/>
        <w:t>a)</w:t>
      </w:r>
      <w:r w:rsidRPr="00D60CD4">
        <w:tab/>
        <w:t>является гражданином по рождению и происхождению;</w:t>
      </w:r>
    </w:p>
    <w:p w14:paraId="22F61F77" w14:textId="77777777" w:rsidR="00D60CD4" w:rsidRPr="00D60CD4" w:rsidRDefault="00D60CD4" w:rsidP="00D60CD4">
      <w:pPr>
        <w:pStyle w:val="SingleTxtG"/>
      </w:pPr>
      <w:r w:rsidRPr="00D60CD4">
        <w:tab/>
        <w:t>b)</w:t>
      </w:r>
      <w:r w:rsidRPr="00D60CD4">
        <w:tab/>
        <w:t>постоянно проживает в Замбии;</w:t>
      </w:r>
    </w:p>
    <w:p w14:paraId="5721CA35" w14:textId="77777777" w:rsidR="00D60CD4" w:rsidRPr="00D60CD4" w:rsidRDefault="00D60CD4" w:rsidP="00D60CD4">
      <w:pPr>
        <w:pStyle w:val="SingleTxtG"/>
      </w:pPr>
      <w:r w:rsidRPr="00D60CD4">
        <w:tab/>
        <w:t>с)</w:t>
      </w:r>
      <w:r w:rsidRPr="00D60CD4">
        <w:tab/>
        <w:t>не моложе тридцати пяти лет;</w:t>
      </w:r>
    </w:p>
    <w:p w14:paraId="46573303" w14:textId="77777777" w:rsidR="00D60CD4" w:rsidRPr="00D60CD4" w:rsidRDefault="00D60CD4" w:rsidP="00D60CD4">
      <w:pPr>
        <w:pStyle w:val="SingleTxtG"/>
      </w:pPr>
      <w:r w:rsidRPr="00D60CD4">
        <w:tab/>
        <w:t>d)</w:t>
      </w:r>
      <w:r w:rsidRPr="00D60CD4">
        <w:tab/>
        <w:t>является зарегистрированным избирателем;</w:t>
      </w:r>
    </w:p>
    <w:p w14:paraId="1A4CD92D" w14:textId="77777777" w:rsidR="00D60CD4" w:rsidRPr="00D60CD4" w:rsidRDefault="00D60CD4" w:rsidP="00D60CD4">
      <w:pPr>
        <w:pStyle w:val="SingleTxtG"/>
      </w:pPr>
      <w:r w:rsidRPr="00D60CD4">
        <w:tab/>
        <w:t>e)</w:t>
      </w:r>
      <w:r w:rsidRPr="00D60CD4">
        <w:tab/>
        <w:t>получило в подтверждение минимальной образовательной квалификации свидетельство об окончании двенадцатого класса или эквивалентный документ;</w:t>
      </w:r>
    </w:p>
    <w:p w14:paraId="11345A15" w14:textId="77777777" w:rsidR="00D60CD4" w:rsidRPr="00D60CD4" w:rsidRDefault="00D60CD4" w:rsidP="00D60CD4">
      <w:pPr>
        <w:pStyle w:val="SingleTxtG"/>
      </w:pPr>
      <w:r w:rsidRPr="00D60CD4">
        <w:tab/>
        <w:t>f)</w:t>
      </w:r>
      <w:r w:rsidRPr="00D60CD4">
        <w:tab/>
        <w:t>свободно владеет официальным языком;</w:t>
      </w:r>
    </w:p>
    <w:p w14:paraId="20709D17" w14:textId="77777777" w:rsidR="00D60CD4" w:rsidRPr="00D60CD4" w:rsidRDefault="00D60CD4" w:rsidP="00D60CD4">
      <w:pPr>
        <w:pStyle w:val="SingleTxtG"/>
      </w:pPr>
      <w:r w:rsidRPr="00D60CD4">
        <w:tab/>
        <w:t>g)</w:t>
      </w:r>
      <w:r w:rsidRPr="00D60CD4">
        <w:tab/>
        <w:t>уплатило налоги или приняло меры по уплате налогов, удовлетворяющие соответствующий налоговый орган;</w:t>
      </w:r>
    </w:p>
    <w:p w14:paraId="1B473D72" w14:textId="77777777" w:rsidR="00D60CD4" w:rsidRPr="00D60CD4" w:rsidRDefault="00D60CD4" w:rsidP="00D60CD4">
      <w:pPr>
        <w:pStyle w:val="SingleTxtG"/>
      </w:pPr>
      <w:r w:rsidRPr="00D60CD4">
        <w:tab/>
        <w:t>h)</w:t>
      </w:r>
      <w:r w:rsidRPr="00D60CD4">
        <w:tab/>
        <w:t>в установленном порядке заявляет о своих активах и пассивах;</w:t>
      </w:r>
    </w:p>
    <w:p w14:paraId="170CF9D6" w14:textId="77777777" w:rsidR="00D60CD4" w:rsidRPr="00D60CD4" w:rsidRDefault="00AF1E70" w:rsidP="00D60CD4">
      <w:pPr>
        <w:pStyle w:val="SingleTxtG"/>
      </w:pPr>
      <w:r>
        <w:tab/>
      </w:r>
      <w:r w:rsidR="00D60CD4" w:rsidRPr="00D60CD4">
        <w:t>i)</w:t>
      </w:r>
      <w:r w:rsidR="00D60CD4" w:rsidRPr="00D60CD4">
        <w:tab/>
        <w:t>внесло предусмотренный избирательный залог на дату, установленную для вручения документов о выдвижении кандидатуры, или до ее наступления; и</w:t>
      </w:r>
    </w:p>
    <w:p w14:paraId="67D93BCA" w14:textId="77777777" w:rsidR="00D60CD4" w:rsidRPr="00D60CD4" w:rsidRDefault="00AF1E70" w:rsidP="00D60CD4">
      <w:pPr>
        <w:pStyle w:val="SingleTxtG"/>
      </w:pPr>
      <w:r>
        <w:tab/>
      </w:r>
      <w:r w:rsidR="00D60CD4" w:rsidRPr="00D60CD4">
        <w:t>j)</w:t>
      </w:r>
      <w:r w:rsidR="00D60CD4" w:rsidRPr="00D60CD4">
        <w:tab/>
        <w:t>поддерживается не менее чем стами зарегистрированными избирателями от каждой провинции.</w:t>
      </w:r>
    </w:p>
    <w:p w14:paraId="13D7A54E" w14:textId="77777777" w:rsidR="00D60CD4" w:rsidRPr="00D60CD4" w:rsidRDefault="00D60CD4" w:rsidP="00D60CD4">
      <w:pPr>
        <w:pStyle w:val="SingleTxtG"/>
      </w:pPr>
      <w:r w:rsidRPr="00D60CD4">
        <w:t>27.</w:t>
      </w:r>
      <w:r w:rsidRPr="00D60CD4">
        <w:tab/>
        <w:t>В соответствии с конституционным ограничением президент не может оставаться на посту более двух сроков.</w:t>
      </w:r>
    </w:p>
    <w:p w14:paraId="52ED4A8C" w14:textId="77777777" w:rsidR="00D60CD4" w:rsidRPr="00D60CD4" w:rsidRDefault="00D60CD4" w:rsidP="00D60CD4">
      <w:pPr>
        <w:pStyle w:val="SingleTxtG"/>
      </w:pPr>
      <w:r w:rsidRPr="00D60CD4">
        <w:t>28.</w:t>
      </w:r>
      <w:r w:rsidRPr="00D60CD4">
        <w:tab/>
        <w:t>Должность президента учреждена в соответствии с пунктом 1 статьи 91 Конституции. Президент является главой государства и правительства, а также главнокомандующим сил обороны. Президент председательствует на заседаниях Кабинета.</w:t>
      </w:r>
    </w:p>
    <w:p w14:paraId="7451B2F3" w14:textId="77777777" w:rsidR="00D60CD4" w:rsidRPr="00D60CD4" w:rsidRDefault="00D60CD4" w:rsidP="00D60CD4">
      <w:pPr>
        <w:pStyle w:val="SingleTxtG"/>
      </w:pPr>
      <w:r w:rsidRPr="00D60CD4">
        <w:t>29.</w:t>
      </w:r>
      <w:r w:rsidRPr="00D60CD4">
        <w:tab/>
        <w:t>Функции заместителя президента исполняет вице-президент, чья должность учреждена статьей 110 Конституции. Вице-президент избирается на президентских выборах, на которых он выдвигается совместно с кандидатом на должность президента. Вице-президент выполняет функции, возложенные на него президентом, а также является представителем правительства в Национальной ассамблее.</w:t>
      </w:r>
    </w:p>
    <w:p w14:paraId="7D4B0929" w14:textId="77777777" w:rsidR="00D60CD4" w:rsidRPr="00D60CD4" w:rsidRDefault="00D60CD4" w:rsidP="00D60CD4">
      <w:pPr>
        <w:pStyle w:val="SingleTxtG"/>
      </w:pPr>
      <w:r w:rsidRPr="00D60CD4">
        <w:t>30.</w:t>
      </w:r>
      <w:r w:rsidRPr="00D60CD4">
        <w:tab/>
        <w:t xml:space="preserve">Кабинет учрежден в соответствии со статьей 113 Конституции и работает в составе президента, вице-президента, министров и Генерального прокурора в качестве </w:t>
      </w:r>
      <w:r w:rsidRPr="00D60CD4">
        <w:lastRenderedPageBreak/>
        <w:t>его члена по должности. Кабинет формулирует политику правительства и отвечает за консультирование президента по вопросам национальной политики и по другим вопросам, переданным ему президентом. Кабинет коллективно подотчетен Национальной ассамблее.</w:t>
      </w:r>
    </w:p>
    <w:p w14:paraId="42AB77E2" w14:textId="77777777" w:rsidR="00D60CD4" w:rsidRPr="00D60CD4" w:rsidRDefault="00D60CD4" w:rsidP="00D60CD4">
      <w:pPr>
        <w:pStyle w:val="SingleTxtG"/>
      </w:pPr>
      <w:r w:rsidRPr="00D60CD4">
        <w:t>31.</w:t>
      </w:r>
      <w:r w:rsidRPr="00D60CD4">
        <w:tab/>
        <w:t>Должности министров учреждаются в соответствии со статьей 116 Конституции. Министры назначаются из числа членов Национальной ассамблеи и, работая под руководством президента, отвечают за деятельность правительства, включая управление любым министерством или государственным ведомством, которое может быть вверено им президентом.</w:t>
      </w:r>
    </w:p>
    <w:p w14:paraId="4722FB08" w14:textId="77777777" w:rsidR="00D60CD4" w:rsidRPr="00D60CD4" w:rsidRDefault="00D60CD4" w:rsidP="00AF1E70">
      <w:pPr>
        <w:pStyle w:val="H1G"/>
      </w:pPr>
      <w:r w:rsidRPr="00D60CD4">
        <w:tab/>
        <w:t>C.</w:t>
      </w:r>
      <w:r w:rsidRPr="00D60CD4">
        <w:tab/>
        <w:t>Законодательная власть</w:t>
      </w:r>
      <w:bookmarkStart w:id="10" w:name="_Toc53587105"/>
      <w:bookmarkEnd w:id="10"/>
    </w:p>
    <w:p w14:paraId="24054B42" w14:textId="77777777" w:rsidR="00D60CD4" w:rsidRPr="00D60CD4" w:rsidRDefault="00D60CD4" w:rsidP="00D60CD4">
      <w:pPr>
        <w:pStyle w:val="SingleTxtG"/>
      </w:pPr>
      <w:r w:rsidRPr="00D60CD4">
        <w:t>32.</w:t>
      </w:r>
      <w:r w:rsidRPr="00D60CD4">
        <w:tab/>
        <w:t xml:space="preserve">Законодательная власть учреждена в соответствии со статьей 62 Конституции. Она состоит из президента и Национальной ассамблеи (парламента). Парламент является высшим законодательным органом в Замбии. В состав Национальной ассамблеи входят 156 избираемых членов, восемь назначаемых членов и спикер Национальной ассамблеи. Выборы членов парламента проводятся прямым всеобщим тайным голосованием взрослого населения. Срок полномочий </w:t>
      </w:r>
      <w:bookmarkStart w:id="11" w:name="_Hlk65832029"/>
      <w:r w:rsidRPr="00D60CD4">
        <w:t>Национальной ассамблеи</w:t>
      </w:r>
      <w:bookmarkEnd w:id="11"/>
      <w:r w:rsidRPr="00D60CD4">
        <w:t xml:space="preserve"> составляет пять лет, хотя она может быть распущена в любое время до истечения установленного законом срока. В случае роспуска Национальной ассамблеи незамедлительно проводятся всеобщие выборы.</w:t>
      </w:r>
    </w:p>
    <w:p w14:paraId="7A24E549" w14:textId="77777777" w:rsidR="00D60CD4" w:rsidRPr="00D60CD4" w:rsidRDefault="00D60CD4" w:rsidP="00D60CD4">
      <w:pPr>
        <w:pStyle w:val="SingleTxtG"/>
      </w:pPr>
      <w:r w:rsidRPr="00D60CD4">
        <w:t>33.</w:t>
      </w:r>
      <w:r w:rsidRPr="00D60CD4">
        <w:tab/>
        <w:t>Установление плюрализма в Замбии вновь привело к появлению организованных политических партий. В статье 60 Конституции с внесенными в нее поправками предусмотрены права политических партий и их руководства. На любых выборах в Национальную ассамблею имеют право баллотироваться как кандидаты от политических партий, так и независимые кандидаты. В Национальную ассамблею избирается кандидат, набравший наибольшее количество голосов.</w:t>
      </w:r>
    </w:p>
    <w:p w14:paraId="747D1834" w14:textId="77777777" w:rsidR="00D60CD4" w:rsidRPr="00D60CD4" w:rsidRDefault="00D60CD4" w:rsidP="00D60CD4">
      <w:pPr>
        <w:pStyle w:val="SingleTxtG"/>
      </w:pPr>
      <w:r w:rsidRPr="00D60CD4">
        <w:t>34.</w:t>
      </w:r>
      <w:r w:rsidRPr="00D60CD4">
        <w:tab/>
        <w:t xml:space="preserve">Партия, получившая одну треть мест в Национальной ассамблее, официально признается в качестве </w:t>
      </w:r>
      <w:r w:rsidR="00AF1E70">
        <w:t>«</w:t>
      </w:r>
      <w:r w:rsidRPr="00D60CD4">
        <w:t>официальной оппозиции</w:t>
      </w:r>
      <w:r w:rsidR="00AF1E70">
        <w:t>»</w:t>
      </w:r>
      <w:r w:rsidRPr="00D60CD4">
        <w:t>, а ее руководитель</w:t>
      </w:r>
      <w:r w:rsidR="00AF1E70">
        <w:t xml:space="preserve"> — </w:t>
      </w:r>
      <w:r w:rsidRPr="00D60CD4">
        <w:t>лидером оппозиции.</w:t>
      </w:r>
    </w:p>
    <w:p w14:paraId="7E16784D" w14:textId="77777777" w:rsidR="00D60CD4" w:rsidRPr="00D60CD4" w:rsidRDefault="00D60CD4" w:rsidP="00D60CD4">
      <w:pPr>
        <w:pStyle w:val="SingleTxtG"/>
      </w:pPr>
      <w:r w:rsidRPr="00D60CD4">
        <w:t xml:space="preserve">35. </w:t>
      </w:r>
      <w:r w:rsidR="00AF1E70">
        <w:tab/>
      </w:r>
      <w:r w:rsidRPr="00D60CD4">
        <w:t>Национальная ассамблея уполномочена создавать выборные комитеты в составе представителей оппозиции и рядовых депутатов, в чьи функции входит контроль за деятельностью государственных учреждений. Это позволяет Национальной ассамблее контролировать работу правительства.</w:t>
      </w:r>
    </w:p>
    <w:p w14:paraId="3F121417" w14:textId="77777777" w:rsidR="00D60CD4" w:rsidRPr="00D60CD4" w:rsidRDefault="00D60CD4" w:rsidP="00AF1E70">
      <w:pPr>
        <w:pStyle w:val="H1G"/>
      </w:pPr>
      <w:r w:rsidRPr="00D60CD4">
        <w:tab/>
        <w:t>D.</w:t>
      </w:r>
      <w:r w:rsidRPr="00D60CD4">
        <w:tab/>
        <w:t>Судебная власть</w:t>
      </w:r>
      <w:bookmarkStart w:id="12" w:name="_Toc53587106"/>
      <w:bookmarkEnd w:id="12"/>
    </w:p>
    <w:p w14:paraId="33998269" w14:textId="77777777" w:rsidR="00D60CD4" w:rsidRPr="00D60CD4" w:rsidRDefault="00D60CD4" w:rsidP="00D60CD4">
      <w:pPr>
        <w:pStyle w:val="SingleTxtG"/>
      </w:pPr>
      <w:r w:rsidRPr="00D60CD4">
        <w:t>36.</w:t>
      </w:r>
      <w:r w:rsidRPr="00D60CD4">
        <w:tab/>
        <w:t>Судебная власть учреждена в соответствии со статьями 119 и 120 Конституции и включает:</w:t>
      </w:r>
    </w:p>
    <w:p w14:paraId="232CB7A2" w14:textId="77777777" w:rsidR="00D60CD4" w:rsidRPr="00D60CD4" w:rsidRDefault="00D60CD4" w:rsidP="00AF1E70">
      <w:pPr>
        <w:pStyle w:val="Bullet1G"/>
      </w:pPr>
      <w:r w:rsidRPr="00D60CD4">
        <w:t>Верховный суд Замбии и Конституционный суд, которые являются равными по своим полномочиям инстанциями;</w:t>
      </w:r>
    </w:p>
    <w:p w14:paraId="058D9241" w14:textId="77777777" w:rsidR="00D60CD4" w:rsidRPr="00D60CD4" w:rsidRDefault="00D60CD4" w:rsidP="00AF1E70">
      <w:pPr>
        <w:pStyle w:val="Bullet1G"/>
      </w:pPr>
      <w:r w:rsidRPr="00D60CD4">
        <w:t>Апелляционный суд;</w:t>
      </w:r>
    </w:p>
    <w:p w14:paraId="23307745" w14:textId="77777777" w:rsidR="00D60CD4" w:rsidRPr="00D60CD4" w:rsidRDefault="00D60CD4" w:rsidP="00AF1E70">
      <w:pPr>
        <w:pStyle w:val="Bullet1G"/>
      </w:pPr>
      <w:r w:rsidRPr="00D60CD4">
        <w:t>Высокий суд Замбии;</w:t>
      </w:r>
    </w:p>
    <w:p w14:paraId="155C59A0" w14:textId="77777777" w:rsidR="00D60CD4" w:rsidRPr="00D60CD4" w:rsidRDefault="00D60CD4" w:rsidP="00AF1E70">
      <w:pPr>
        <w:pStyle w:val="Bullet1G"/>
      </w:pPr>
      <w:r w:rsidRPr="00D60CD4">
        <w:t>Суд по трудовым спорам;</w:t>
      </w:r>
    </w:p>
    <w:p w14:paraId="12E71483" w14:textId="77777777" w:rsidR="00D60CD4" w:rsidRPr="00D60CD4" w:rsidRDefault="00D60CD4" w:rsidP="00AF1E70">
      <w:pPr>
        <w:pStyle w:val="Bullet1G"/>
      </w:pPr>
      <w:r w:rsidRPr="00D60CD4">
        <w:t>нижестоящие суды;</w:t>
      </w:r>
    </w:p>
    <w:p w14:paraId="460AA0B5" w14:textId="77777777" w:rsidR="00D60CD4" w:rsidRPr="00D60CD4" w:rsidRDefault="00D60CD4" w:rsidP="00AF1E70">
      <w:pPr>
        <w:pStyle w:val="Bullet1G"/>
      </w:pPr>
      <w:r w:rsidRPr="00D60CD4">
        <w:t>суды по мелким тяжбам;</w:t>
      </w:r>
    </w:p>
    <w:p w14:paraId="20C425A9" w14:textId="77777777" w:rsidR="00D60CD4" w:rsidRPr="00D60CD4" w:rsidRDefault="00D60CD4" w:rsidP="00AF1E70">
      <w:pPr>
        <w:pStyle w:val="Bullet1G"/>
      </w:pPr>
      <w:r w:rsidRPr="00D60CD4">
        <w:t xml:space="preserve">местные суды; </w:t>
      </w:r>
    </w:p>
    <w:p w14:paraId="1FE57912" w14:textId="77777777" w:rsidR="00D60CD4" w:rsidRPr="00D60CD4" w:rsidRDefault="00D60CD4" w:rsidP="00AF1E70">
      <w:pPr>
        <w:pStyle w:val="Bullet1G"/>
      </w:pPr>
      <w:r w:rsidRPr="00D60CD4">
        <w:t>суды, учреждаемые законом.</w:t>
      </w:r>
    </w:p>
    <w:p w14:paraId="4162759D" w14:textId="77777777" w:rsidR="00D60CD4" w:rsidRPr="00D60CD4" w:rsidRDefault="00D60CD4" w:rsidP="00D60CD4">
      <w:pPr>
        <w:pStyle w:val="SingleTxtG"/>
      </w:pPr>
      <w:r w:rsidRPr="00D60CD4">
        <w:t>37.</w:t>
      </w:r>
      <w:r w:rsidRPr="00D60CD4">
        <w:tab/>
        <w:t xml:space="preserve">Судьи Верховного, Конституционного, Апелляционного и Высокого судов, члены Суда по трудовым спорам, магистраты и судьи местных судов независимы, беспристрастны, действуют на основании только Конституции и законодательства и </w:t>
      </w:r>
      <w:r w:rsidRPr="00D60CD4">
        <w:lastRenderedPageBreak/>
        <w:t>обязаны вести себя в соответствии с Кодексом поведения сотрудников судебных органов. Судебная власть является самостоятельной, и ее деятельность регламентируется парламентом.</w:t>
      </w:r>
    </w:p>
    <w:p w14:paraId="7946EC36" w14:textId="77777777" w:rsidR="00D60CD4" w:rsidRPr="00D60CD4" w:rsidRDefault="00D60CD4" w:rsidP="00D60CD4">
      <w:pPr>
        <w:pStyle w:val="SingleTxtG"/>
      </w:pPr>
      <w:r w:rsidRPr="00D60CD4">
        <w:t>38.</w:t>
      </w:r>
      <w:r w:rsidRPr="00D60CD4">
        <w:tab/>
        <w:t>Верховный суд Замбии учрежден в соответствии со статьей 124 Конституции и Законом о Верховном суде (глава 25 Свода законов Замбии). Верховный суд является высшей апелляционной инстанцией. Он является судом письменного производства высшей категории, работающим в составе главного судьи, заместителя главного судьи и судей Верховного суда, число которых определяется в Законе о Верховном суде и которые назначаются президентом.</w:t>
      </w:r>
    </w:p>
    <w:p w14:paraId="30E0CE33" w14:textId="77777777" w:rsidR="00D60CD4" w:rsidRPr="00D60CD4" w:rsidRDefault="00D60CD4" w:rsidP="00D60CD4">
      <w:pPr>
        <w:pStyle w:val="SingleTxtG"/>
      </w:pPr>
      <w:r w:rsidRPr="00D60CD4">
        <w:t>39.</w:t>
      </w:r>
      <w:r w:rsidRPr="00D60CD4">
        <w:tab/>
        <w:t>Конституционный суд Замбии учрежден в соответствии со статьей 127 Конституции и Законом о Конституционном суде 2016 года. По своим полномочиям этот суд является равной Верховному суду инстанцией, и в его состав входят председатель, заместитель председателя и одиннадцать или более судей, число которых определяется в установленном порядке.</w:t>
      </w:r>
    </w:p>
    <w:p w14:paraId="3B535AA9" w14:textId="77777777" w:rsidR="00D60CD4" w:rsidRPr="00D60CD4" w:rsidRDefault="00D60CD4" w:rsidP="00D60CD4">
      <w:pPr>
        <w:pStyle w:val="SingleTxtG"/>
      </w:pPr>
      <w:r w:rsidRPr="00D60CD4">
        <w:t>40.</w:t>
      </w:r>
      <w:r w:rsidRPr="00D60CD4">
        <w:tab/>
        <w:t>Апелляционный суд учрежден в соответствии со статьей 130 и состоит из судей, число которых определяется в установленном порядке. Апелляционный суд уполномочен рассматривать апелляции, поступающие на приговоры Высокого суда, других судов, а также избирательного суда местного органа самоуправления за исключением приговоров по вопросам, относящимся к исключительной юрисдикции Конституционного суда, и квазисудебных органов.</w:t>
      </w:r>
    </w:p>
    <w:p w14:paraId="07C9E0F6" w14:textId="3226F615" w:rsidR="00D60CD4" w:rsidRPr="00D60CD4" w:rsidRDefault="00D60CD4" w:rsidP="00D60CD4">
      <w:pPr>
        <w:pStyle w:val="SingleTxtG"/>
      </w:pPr>
      <w:r w:rsidRPr="00D60CD4">
        <w:t>41.</w:t>
      </w:r>
      <w:r w:rsidRPr="00D60CD4">
        <w:tab/>
        <w:t>Высокий суд Замбии учрежден в соответствии со статьей 133 Конституции и Закона о Высоком суде (глава 27 Свода законов Замбии). В состав Высокого суда входят 30 рядовых судей, а также главный судья, который является его членом по должности. Высокий суд обладает неограниченной юрисдикцией в отношении разбирательства в первой инстанции любого гражданского или уголовного дела, возбужденного в соответствии с любым законом, и в отношении принятия по нему решений, а также такой юрисдикцией и такими полномочиями, которые могут быть предоставлены ему Конституцией или любым другим законом. Однако под его юрисдикцию не подпадают дела, которые рассматриваются Судом по трудовым спорам в соответствии с Законом о производственных и трудовых отношениях (глава</w:t>
      </w:r>
      <w:r w:rsidR="00567CA7">
        <w:rPr>
          <w:lang w:val="en-US"/>
        </w:rPr>
        <w:t> </w:t>
      </w:r>
      <w:r w:rsidRPr="00D60CD4">
        <w:t>269 Свода законов Замбии) и в отношении которых осуществляется исключительная юрисдикция. Высокий суд рассматривает апелляции на решения нижестоящих судов, а стороны, не удовлетворенные его решениями, могут обжаловать их в Апелляционном суде.</w:t>
      </w:r>
    </w:p>
    <w:p w14:paraId="66C7EF7E" w14:textId="77777777" w:rsidR="00D60CD4" w:rsidRPr="00D60CD4" w:rsidRDefault="00D60CD4" w:rsidP="00D60CD4">
      <w:pPr>
        <w:pStyle w:val="SingleTxtG"/>
      </w:pPr>
      <w:r w:rsidRPr="00D60CD4">
        <w:t>42.</w:t>
      </w:r>
      <w:r w:rsidRPr="00D60CD4">
        <w:tab/>
        <w:t xml:space="preserve">Суд по трудовым спорам предусмотрен статьей 119 Конституции и учреждается в соответствии со статьей 84 Закона о производственных и трудовых отношениях (глава 269 </w:t>
      </w:r>
      <w:bookmarkStart w:id="13" w:name="_Hlk66480323"/>
      <w:r w:rsidRPr="00D60CD4">
        <w:t>Свода законов Замбии)</w:t>
      </w:r>
      <w:bookmarkEnd w:id="13"/>
      <w:r w:rsidRPr="00D60CD4">
        <w:t>. Этот суд работает в составе председателя и заместителей председателя, которые назначаются президентом Республики по рекомендации Комиссии по делам судебных органов. Еще четыре члена Суда по трудовым спорам назначаются Министерством труда и социального обеспечения. Суд по трудовым спорам обладает исключительной юрисдикцией в вопросах, касающихся сферы труда. Суд по трудовым спорам уполномочен:</w:t>
      </w:r>
    </w:p>
    <w:p w14:paraId="1F3BA279" w14:textId="77777777" w:rsidR="00D60CD4" w:rsidRPr="00D60CD4" w:rsidRDefault="00D60CD4" w:rsidP="00D60CD4">
      <w:pPr>
        <w:pStyle w:val="SingleTxtG"/>
      </w:pPr>
      <w:r w:rsidRPr="00D60CD4">
        <w:tab/>
      </w:r>
      <w:r w:rsidRPr="00D60CD4">
        <w:rPr>
          <w:lang w:val="en-US"/>
        </w:rPr>
        <w:t>a</w:t>
      </w:r>
      <w:r w:rsidRPr="00D60CD4">
        <w:t>)</w:t>
      </w:r>
      <w:r w:rsidRPr="00D60CD4">
        <w:tab/>
        <w:t>рассматривать и утверждать коллективные договоры;</w:t>
      </w:r>
    </w:p>
    <w:p w14:paraId="4DD4AC6F" w14:textId="77777777" w:rsidR="00D60CD4" w:rsidRPr="00D60CD4" w:rsidRDefault="00D60CD4" w:rsidP="00D60CD4">
      <w:pPr>
        <w:pStyle w:val="SingleTxtG"/>
      </w:pPr>
      <w:r w:rsidRPr="00D60CD4">
        <w:tab/>
      </w:r>
      <w:r w:rsidRPr="00D60CD4">
        <w:rPr>
          <w:lang w:val="en-US"/>
        </w:rPr>
        <w:t>b</w:t>
      </w:r>
      <w:r w:rsidRPr="00D60CD4">
        <w:t>)</w:t>
      </w:r>
      <w:r w:rsidRPr="00D60CD4">
        <w:tab/>
        <w:t xml:space="preserve">проводить разбирательство коллективных споров и </w:t>
      </w:r>
      <w:bookmarkStart w:id="14" w:name="_Hlk66476346"/>
      <w:r w:rsidRPr="00D60CD4">
        <w:t>выносить по ним постановления и решения</w:t>
      </w:r>
      <w:bookmarkEnd w:id="14"/>
      <w:r w:rsidRPr="00D60CD4">
        <w:t>;</w:t>
      </w:r>
    </w:p>
    <w:p w14:paraId="72E80C2B" w14:textId="77777777" w:rsidR="00D60CD4" w:rsidRPr="00D60CD4" w:rsidRDefault="00D60CD4" w:rsidP="00D60CD4">
      <w:pPr>
        <w:pStyle w:val="SingleTxtG"/>
      </w:pPr>
      <w:r w:rsidRPr="00D60CD4">
        <w:tab/>
        <w:t>с)</w:t>
      </w:r>
      <w:r w:rsidRPr="00D60CD4">
        <w:tab/>
        <w:t>проводить разбирательство по любым вопросам, связанным с трудовыми отношениями, которые могут быть переданы на его рассмотрение, и выносить по ним постановления и решения;</w:t>
      </w:r>
    </w:p>
    <w:p w14:paraId="4B27B266" w14:textId="77777777" w:rsidR="00D60CD4" w:rsidRPr="00D60CD4" w:rsidRDefault="00D60CD4" w:rsidP="00D60CD4">
      <w:pPr>
        <w:pStyle w:val="SingleTxtG"/>
      </w:pPr>
      <w:r w:rsidRPr="00D60CD4">
        <w:tab/>
      </w:r>
      <w:r w:rsidRPr="00D60CD4">
        <w:rPr>
          <w:lang w:val="en-US"/>
        </w:rPr>
        <w:t>d</w:t>
      </w:r>
      <w:r w:rsidRPr="00D60CD4">
        <w:t>)</w:t>
      </w:r>
      <w:r w:rsidRPr="00D60CD4">
        <w:tab/>
        <w:t>толковать положения вынесенных постановлений и достигнутых соглашений;</w:t>
      </w:r>
    </w:p>
    <w:p w14:paraId="4CF3D8BB" w14:textId="77777777" w:rsidR="00D60CD4" w:rsidRPr="00D60CD4" w:rsidRDefault="00D60CD4" w:rsidP="00D60CD4">
      <w:pPr>
        <w:pStyle w:val="SingleTxtG"/>
      </w:pPr>
      <w:r w:rsidRPr="00D60CD4">
        <w:tab/>
        <w:t>е)</w:t>
      </w:r>
      <w:r w:rsidRPr="00D60CD4">
        <w:tab/>
        <w:t>привлекать к ответственности и наказывать за неуважение к его решениям любое лицо, которое не подчиняется распоряжениям Суда или незаконно отказывается выполнять его решения или подчиняться им; и</w:t>
      </w:r>
    </w:p>
    <w:p w14:paraId="41CE6A6E" w14:textId="77777777" w:rsidR="00D60CD4" w:rsidRPr="00D60CD4" w:rsidRDefault="00D60CD4" w:rsidP="00D60CD4">
      <w:pPr>
        <w:pStyle w:val="SingleTxtG"/>
      </w:pPr>
      <w:r w:rsidRPr="00D60CD4">
        <w:lastRenderedPageBreak/>
        <w:tab/>
      </w:r>
      <w:r w:rsidRPr="00D60CD4">
        <w:rPr>
          <w:lang w:val="en-US"/>
        </w:rPr>
        <w:t>f</w:t>
      </w:r>
      <w:r w:rsidRPr="00D60CD4">
        <w:t>)</w:t>
      </w:r>
      <w:r w:rsidRPr="00D60CD4">
        <w:tab/>
        <w:t>в целом рассматривать и выносить решения по любым вопросам, затрагивающим права, обязанности и привилегии работников, работодателей и представляющих их организаций.</w:t>
      </w:r>
    </w:p>
    <w:p w14:paraId="26D5D867" w14:textId="77777777" w:rsidR="00D60CD4" w:rsidRPr="00D60CD4" w:rsidRDefault="00D60CD4" w:rsidP="00D60CD4">
      <w:pPr>
        <w:pStyle w:val="SingleTxtG"/>
      </w:pPr>
      <w:r w:rsidRPr="00D60CD4">
        <w:t>43.</w:t>
      </w:r>
      <w:r w:rsidRPr="00D60CD4">
        <w:tab/>
        <w:t xml:space="preserve">Суд по трудовым спорам является квазисудебным органом, который не следует строгим правилам доказывания. Процедура возбуждения дела в этом суде относительно проста по сравнению с процедурой, применяемой в других судах. </w:t>
      </w:r>
    </w:p>
    <w:p w14:paraId="74DBA41B" w14:textId="77777777" w:rsidR="00D60CD4" w:rsidRPr="00D60CD4" w:rsidRDefault="00D60CD4" w:rsidP="00D60CD4">
      <w:pPr>
        <w:pStyle w:val="SingleTxtG"/>
      </w:pPr>
      <w:r w:rsidRPr="00D60CD4">
        <w:t>44.</w:t>
      </w:r>
      <w:r w:rsidRPr="00D60CD4">
        <w:tab/>
        <w:t>Нижестоящие суды предусмотрены статьей 119 Конституции и учреждаются согласно Закону о нижестоящих судах (глава 28 Свода законов Замбии). Все магистраты назначаются Комиссией по делам судебных органов, действующей от имени президента. Юрисдикция нижестоящего суда зависит от его уровня и ранга председательствующего магистрата. Юрисдикция по гражданским делам зависит от их категорий, обусловливаемых суммами возбуждаемых в судах исков, а также от категорий подсудности. Уголовная юрисдикция также зависит от ранга председательствующего магистрата и уровня суда. Нижестоящие суды уполномочены выносить решения по апелляциям на решения местных судов. Неудовлетворенная сторона имеет право обжаловать решение нижестоящего суда в Высоком суде.</w:t>
      </w:r>
    </w:p>
    <w:p w14:paraId="2933A4F5" w14:textId="47A4C790" w:rsidR="00D60CD4" w:rsidRPr="00D60CD4" w:rsidRDefault="00D60CD4" w:rsidP="00D60CD4">
      <w:pPr>
        <w:pStyle w:val="SingleTxtG"/>
      </w:pPr>
      <w:r w:rsidRPr="00D60CD4">
        <w:t>45.</w:t>
      </w:r>
      <w:r w:rsidRPr="00D60CD4">
        <w:tab/>
        <w:t>Суд по мелким тяжбам учрежда</w:t>
      </w:r>
      <w:r w:rsidR="00E11937">
        <w:t>е</w:t>
      </w:r>
      <w:r w:rsidRPr="00D60CD4">
        <w:t>тся в соответствии со статьей 120 Конституции и Законом о суде по мелким тяжбам (глава 47 Свода законов Замбии). Суд по мелким тяжбам представлен единолично заседающим мировым судьей. Для работы в судах по мелким тяжбам Комиссия по делам судебных органов может назначать такое количество лиц, которое она считает необходимым.</w:t>
      </w:r>
    </w:p>
    <w:p w14:paraId="3D4C1C4D" w14:textId="77777777" w:rsidR="00D60CD4" w:rsidRPr="00D60CD4" w:rsidRDefault="00D60CD4" w:rsidP="00D60CD4">
      <w:pPr>
        <w:pStyle w:val="SingleTxtG"/>
      </w:pPr>
      <w:r w:rsidRPr="00D60CD4">
        <w:t>46.</w:t>
      </w:r>
      <w:r w:rsidRPr="00D60CD4">
        <w:tab/>
        <w:t>Учреждение местных судов предусмотрено статьей 120 Конституции. Местные суды учреждаются в соответствии с Законом о местных судах (глава 29 Свода законов Замбии). Эти суды являются в судебной системе самыми низкими инстанциями. В</w:t>
      </w:r>
      <w:r w:rsidR="00AF1E70">
        <w:t> </w:t>
      </w:r>
      <w:r w:rsidRPr="00D60CD4">
        <w:t>Замбии функционирует примерно 454 местных суда. Судьи местных судов назначаются Комиссией по делам судебных органов. Местные суды делятся на категории А и В, и их юрисдикция ограничивается в зависимости от категории, присвоенной им в положении о правомочиях суда. Местный суд может заниматься рассмотрением только семейных дел или дел о наследовании, которое проводится на основе обычного права в случае его применимости. Местные суды уполномочены в основном применять и обеспечивать выполнение норм обычного права. Уголовная юрисдикция местного суда ограничивается такими делами, как простые кражи и простые нападения. Если на рассмотрение местного суда поступает гражданское или уголовное дело, одна из сторон которого желает быть представлена адвокатом, это дело незамедлительно передается для разбирательства в нижестоящий суд, поскольку адвокаты не имеют права выступать в местных судах.</w:t>
      </w:r>
    </w:p>
    <w:p w14:paraId="2BE692E3" w14:textId="77777777" w:rsidR="00D60CD4" w:rsidRPr="00D60CD4" w:rsidRDefault="00D60CD4" w:rsidP="00D60CD4">
      <w:pPr>
        <w:pStyle w:val="SingleTxtG"/>
      </w:pPr>
      <w:r w:rsidRPr="00D60CD4">
        <w:t>47.</w:t>
      </w:r>
      <w:r w:rsidRPr="00D60CD4">
        <w:tab/>
        <w:t>В Замбии придается большое значение самостоятельности судебной власти и ее независимости от законодательной и исполнительной ветвей власти государства-участника. Как отмечалось выше, судьи Верховного и Конституционного судов назначаются президентом. Рядовые судьи Высокого суда назначаются решением президента по рекомендации Комиссии по делам судебных органов, которое подлежит утверждению Национальной ассамблеей. Это требование в отношении утверждения укрепляет независимость судебной власти, поскольку оно гарантирует, что назначающий орган не будет оказывать неправомерного влияния на судебную систему и ее деятельность. Судьи Верховного и Высокого судов пользуются защитой от отстранения от должности, что позволяет им выполнять свои функции беспристрастно и без каких-либо опасений. Судья может быть отстранен от должности только по причине неспособности выполнять свои служебные функции, обусловленной физическим или психическим заболеванием, некомпетентностью или неправомерным поведением, и только после расследования специально назначенным трибуналом сделанных в отношении него утверждений и, в случае их подтверждения, после представления трибуналом рекомендации об отстранении судьи от должности. Еще одна гарантия защиты независимости судебных органов состоит в том, что после назначения судей на должность их заработная плата и срок их полномочий не могут быть изменены в ущерб им.</w:t>
      </w:r>
    </w:p>
    <w:p w14:paraId="479DCAEF" w14:textId="77777777" w:rsidR="00D60CD4" w:rsidRPr="00D60CD4" w:rsidRDefault="00D60CD4" w:rsidP="00D60CD4">
      <w:pPr>
        <w:pStyle w:val="SingleTxtG"/>
      </w:pPr>
      <w:r w:rsidRPr="00D60CD4">
        <w:lastRenderedPageBreak/>
        <w:t>48.</w:t>
      </w:r>
      <w:r w:rsidRPr="00D60CD4">
        <w:tab/>
        <w:t>Законы, применяемые различными судебными инстанциями, которые входят в состав судебной системы, подразделяются на три широкие категории:</w:t>
      </w:r>
    </w:p>
    <w:p w14:paraId="0B7EFCB5" w14:textId="1788B51C" w:rsidR="00D60CD4" w:rsidRPr="00D60CD4" w:rsidRDefault="00AF1E70" w:rsidP="00D60CD4">
      <w:pPr>
        <w:pStyle w:val="SingleTxtG"/>
      </w:pPr>
      <w:r w:rsidRPr="00C87A17">
        <w:tab/>
      </w:r>
      <w:r w:rsidR="00D60CD4" w:rsidRPr="00D60CD4">
        <w:rPr>
          <w:lang w:val="en-US"/>
        </w:rPr>
        <w:t>a</w:t>
      </w:r>
      <w:r w:rsidR="00D60CD4" w:rsidRPr="00D60CD4">
        <w:t>)</w:t>
      </w:r>
      <w:r w:rsidR="00D60CD4" w:rsidRPr="00D60CD4">
        <w:tab/>
        <w:t>законодательство</w:t>
      </w:r>
      <w:r w:rsidR="00E11937">
        <w:t>:</w:t>
      </w:r>
    </w:p>
    <w:p w14:paraId="21B162FA" w14:textId="77777777" w:rsidR="00D60CD4" w:rsidRPr="00D60CD4" w:rsidRDefault="00D60CD4" w:rsidP="00AF1E70">
      <w:pPr>
        <w:pStyle w:val="SingleTxtG"/>
        <w:ind w:left="1701" w:hanging="567"/>
      </w:pPr>
      <w:r w:rsidRPr="00D60CD4">
        <w:tab/>
      </w:r>
      <w:r w:rsidRPr="00D60CD4">
        <w:rPr>
          <w:lang w:val="en-US"/>
        </w:rPr>
        <w:t>i</w:t>
      </w:r>
      <w:r w:rsidRPr="00D60CD4">
        <w:t>)</w:t>
      </w:r>
      <w:r w:rsidRPr="00D60CD4">
        <w:tab/>
        <w:t>в виде законов парламента и подзаконных актов, принятых в соответствии с этими законами;</w:t>
      </w:r>
    </w:p>
    <w:p w14:paraId="2D2EE5A4" w14:textId="651E6166" w:rsidR="00D60CD4" w:rsidRPr="00D60CD4" w:rsidRDefault="00D60CD4" w:rsidP="00AF1E70">
      <w:pPr>
        <w:pStyle w:val="SingleTxtG"/>
        <w:ind w:left="1701" w:hanging="567"/>
      </w:pPr>
      <w:r w:rsidRPr="00D60CD4">
        <w:tab/>
      </w:r>
      <w:r w:rsidRPr="00D60CD4">
        <w:rPr>
          <w:lang w:val="en-US"/>
        </w:rPr>
        <w:t>ii</w:t>
      </w:r>
      <w:r w:rsidRPr="00D60CD4">
        <w:t>)</w:t>
      </w:r>
      <w:r w:rsidRPr="00D60CD4">
        <w:tab/>
        <w:t>положения Закона о дальнейшем применении английского законодательства (глава</w:t>
      </w:r>
      <w:r w:rsidRPr="00D60CD4">
        <w:rPr>
          <w:lang w:val="en-GB"/>
        </w:rPr>
        <w:t> </w:t>
      </w:r>
      <w:r w:rsidRPr="00D60CD4">
        <w:t>10 Свода законов Замбии), который предусматривает, что все законодательные акты, действовавшие в Англии в 1911 году, применяются в Замбии, если они не противоречат действующим замбийским законам, причем этот Закон должен применяться с учетом местных условий. В</w:t>
      </w:r>
      <w:r w:rsidR="00E11937">
        <w:t> </w:t>
      </w:r>
      <w:r w:rsidRPr="00D60CD4">
        <w:t>отношении брачно-семейных дел по</w:t>
      </w:r>
      <w:r w:rsidRPr="00D60CD4">
        <w:noBreakHyphen/>
        <w:t>прежнему применяются английские законы;</w:t>
      </w:r>
    </w:p>
    <w:p w14:paraId="7B2C8FBA" w14:textId="77777777" w:rsidR="00D60CD4" w:rsidRPr="00D60CD4" w:rsidRDefault="00D60CD4" w:rsidP="00D60CD4">
      <w:pPr>
        <w:pStyle w:val="SingleTxtG"/>
      </w:pPr>
      <w:r w:rsidRPr="00D60CD4">
        <w:tab/>
      </w:r>
      <w:r w:rsidRPr="00D60CD4">
        <w:rPr>
          <w:lang w:val="en-US"/>
        </w:rPr>
        <w:t>b</w:t>
      </w:r>
      <w:r w:rsidRPr="00D60CD4">
        <w:t>)</w:t>
      </w:r>
      <w:r w:rsidRPr="00D60CD4">
        <w:tab/>
        <w:t>судебные прецеденты, а именно нормы, вытекающие из решений Высокого суда и Верховного суда Замбии;</w:t>
      </w:r>
    </w:p>
    <w:p w14:paraId="7792D9E3" w14:textId="77777777" w:rsidR="00D60CD4" w:rsidRPr="00D60CD4" w:rsidRDefault="00D60CD4" w:rsidP="00D60CD4">
      <w:pPr>
        <w:pStyle w:val="SingleTxtG"/>
      </w:pPr>
      <w:r w:rsidRPr="00D60CD4">
        <w:tab/>
        <w:t>с)</w:t>
      </w:r>
      <w:r w:rsidRPr="00D60CD4">
        <w:tab/>
        <w:t>обычное право, которое применяется в той степени, в которой оно не противоречит действующему статутному праву или принципам естественного права, справедливости и добросовестности.</w:t>
      </w:r>
    </w:p>
    <w:p w14:paraId="57BDDB77" w14:textId="77777777" w:rsidR="00D60CD4" w:rsidRPr="00D60CD4" w:rsidRDefault="00D60CD4" w:rsidP="00D60CD4">
      <w:pPr>
        <w:pStyle w:val="SingleTxtG"/>
      </w:pPr>
      <w:r w:rsidRPr="00D60CD4">
        <w:t>49.</w:t>
      </w:r>
      <w:r w:rsidRPr="00D60CD4">
        <w:tab/>
        <w:t>Должность Генерального прокурора учреждена в соответствии со статьей 177 Конституции. Генеральный прокурор назначается решением президента, подлежащим утверждению Национальной ассамблеей, и является главным юрисконсультом государства. При исполнении своих обязанностей Генеральный прокурор не подчиняется указаниям и не находится под контролем какого-либо другого лица или органа. Генеральному прокурору поручается, в частности, представлять государство во всех разбирательствах по гражданским делам, в которых государство является стороной. Кроме того, Генеральный прокурор по должности является членом Кабинета.</w:t>
      </w:r>
    </w:p>
    <w:p w14:paraId="299943C4" w14:textId="77777777" w:rsidR="00D60CD4" w:rsidRPr="00D60CD4" w:rsidRDefault="00D60CD4" w:rsidP="00D60CD4">
      <w:pPr>
        <w:pStyle w:val="SingleTxtG"/>
      </w:pPr>
      <w:r w:rsidRPr="00D60CD4">
        <w:t>50.</w:t>
      </w:r>
      <w:r w:rsidRPr="00D60CD4">
        <w:tab/>
        <w:t>Должность Генерального стряпчего учреждена в соответствии со статьей 179 Конституции. Генеральный стряпчий назначается решением президента, подлежащим утверждению Национальной ассамблеей. Генеральный стряпчий замещает Генерального прокурора и осуществляет любые полномочия или обязанности, возлагаемые на Генерального прокурора Конституцией или любым другим писаным законом, в тех случаях, когда Генеральный прокурор не может выполнять их в связи с болезнью или отсутствием или когда Генеральный прокурор поручает это Генеральному стряпчему.</w:t>
      </w:r>
    </w:p>
    <w:p w14:paraId="77C98061" w14:textId="77777777" w:rsidR="00D60CD4" w:rsidRPr="00D60CD4" w:rsidRDefault="00D60CD4" w:rsidP="00D60CD4">
      <w:pPr>
        <w:pStyle w:val="SingleTxtG"/>
      </w:pPr>
      <w:r w:rsidRPr="00D60CD4">
        <w:t>51.</w:t>
      </w:r>
      <w:r w:rsidRPr="00D60CD4">
        <w:tab/>
        <w:t>Директор государственного обвинения назначается решением президента, подлежащим утверждению Национальной ассамблеей. Должность Директора государственного обвинения учреждена в соответствии со статьей 180 Конституции. Директор государственного обвинения уполномочен:</w:t>
      </w:r>
    </w:p>
    <w:p w14:paraId="084F02B3" w14:textId="77777777" w:rsidR="00D60CD4" w:rsidRPr="00D60CD4" w:rsidRDefault="00AF1E70" w:rsidP="00D60CD4">
      <w:pPr>
        <w:pStyle w:val="SingleTxtG"/>
      </w:pPr>
      <w:r>
        <w:tab/>
      </w:r>
      <w:r w:rsidR="00D60CD4" w:rsidRPr="00D60CD4">
        <w:t>a)</w:t>
      </w:r>
      <w:r w:rsidR="00D60CD4" w:rsidRPr="00D60CD4">
        <w:tab/>
        <w:t>возбуждать и осуществлять уголовное преследование в отношении любого лица в любом суде, кроме военного трибунала, в связи с любым правонарушением, которое предположительно совершило это лицо;</w:t>
      </w:r>
    </w:p>
    <w:p w14:paraId="5A275170" w14:textId="77777777" w:rsidR="00D60CD4" w:rsidRPr="00D60CD4" w:rsidRDefault="00AF1E70" w:rsidP="00D60CD4">
      <w:pPr>
        <w:pStyle w:val="SingleTxtG"/>
      </w:pPr>
      <w:r>
        <w:tab/>
      </w:r>
      <w:r w:rsidR="00D60CD4" w:rsidRPr="00D60CD4">
        <w:t>b)</w:t>
      </w:r>
      <w:r w:rsidR="00D60CD4" w:rsidRPr="00D60CD4">
        <w:tab/>
        <w:t>принимать к производству и продолжать любое такое уголовное преследование, которое было возбуждено или ведется любым другим лицом или органом; и</w:t>
      </w:r>
    </w:p>
    <w:p w14:paraId="316C094F" w14:textId="77777777" w:rsidR="00D60CD4" w:rsidRPr="00D60CD4" w:rsidRDefault="00AF1E70" w:rsidP="00D60CD4">
      <w:pPr>
        <w:pStyle w:val="SingleTxtG"/>
      </w:pPr>
      <w:r>
        <w:tab/>
      </w:r>
      <w:r w:rsidR="00D60CD4" w:rsidRPr="00D60CD4">
        <w:t>с)</w:t>
      </w:r>
      <w:r w:rsidR="00D60CD4" w:rsidRPr="00D60CD4">
        <w:tab/>
        <w:t>прекращать на любом этапе до вынесения судебного решения любое такое уголовное преследование, возбужденное или ведущееся им или любым другим лицом или органом.</w:t>
      </w:r>
    </w:p>
    <w:p w14:paraId="18ADEA74" w14:textId="598B667C" w:rsidR="00D60CD4" w:rsidRPr="00D60CD4" w:rsidRDefault="00D60CD4" w:rsidP="00D60CD4">
      <w:pPr>
        <w:pStyle w:val="SingleTxtG"/>
      </w:pPr>
      <w:r w:rsidRPr="00D60CD4">
        <w:t>52.</w:t>
      </w:r>
      <w:r w:rsidRPr="00D60CD4">
        <w:tab/>
        <w:t xml:space="preserve">При выполнении своих обязанностей Директор </w:t>
      </w:r>
      <w:bookmarkStart w:id="15" w:name="_Hlk66528145"/>
      <w:r w:rsidRPr="00D60CD4">
        <w:t>государственного обвинения</w:t>
      </w:r>
      <w:bookmarkEnd w:id="15"/>
      <w:r w:rsidRPr="00D60CD4">
        <w:t xml:space="preserve"> не подчиняется указаниям и не находится под контролем какого-либо другого лица или органа.</w:t>
      </w:r>
    </w:p>
    <w:p w14:paraId="630813F1" w14:textId="77777777" w:rsidR="00D60CD4" w:rsidRPr="00D60CD4" w:rsidRDefault="00D60CD4" w:rsidP="00D60CD4">
      <w:pPr>
        <w:pStyle w:val="SingleTxtG"/>
      </w:pPr>
      <w:r w:rsidRPr="00D60CD4">
        <w:t>53.</w:t>
      </w:r>
      <w:r w:rsidRPr="00D60CD4">
        <w:tab/>
        <w:t xml:space="preserve">Первоначальное решение о проведении уголовного расследования обычно принимается полицией. Полиция уполномочена расследовать все уголовные правонарушения. Однако в порядке уголовного преследования правонарушителя </w:t>
      </w:r>
      <w:r w:rsidRPr="00D60CD4">
        <w:lastRenderedPageBreak/>
        <w:t>полиция уполномочена возбуждать дело в соответствии с законом (за исключением некоторых правонарушений, для которых требуется согласие Директора государственного обвинения).</w:t>
      </w:r>
    </w:p>
    <w:p w14:paraId="47F20068" w14:textId="1C2FDB54" w:rsidR="00D60CD4" w:rsidRPr="00D60CD4" w:rsidRDefault="00D60CD4" w:rsidP="00D60CD4">
      <w:pPr>
        <w:pStyle w:val="SingleTxtG"/>
      </w:pPr>
      <w:r w:rsidRPr="00D60CD4">
        <w:t>54.</w:t>
      </w:r>
      <w:r w:rsidRPr="00D60CD4">
        <w:tab/>
        <w:t>Согласно статье 89 Уголовно-процессуального кодекса (глава 88 Свода законов Замбии) с согласия Директора государственного обвинения частное преследование может возбуждаться также отдельным лицом.</w:t>
      </w:r>
    </w:p>
    <w:p w14:paraId="2A06794A" w14:textId="77777777" w:rsidR="00D60CD4" w:rsidRPr="00D60CD4" w:rsidRDefault="00D60CD4" w:rsidP="00D60CD4">
      <w:pPr>
        <w:pStyle w:val="SingleTxtG"/>
      </w:pPr>
      <w:r w:rsidRPr="00D60CD4">
        <w:t>55.</w:t>
      </w:r>
      <w:r w:rsidRPr="00D60CD4">
        <w:tab/>
        <w:t>В Конституции закреплена презумпция невиновности, и обвиняемый считается невиновным до тех пор, пока его вина не будет доказана. Поэтому бремя доказывания вины подсудимого, вне всяких разумных сомнений, возлагается на обвинение.</w:t>
      </w:r>
    </w:p>
    <w:p w14:paraId="5567C7C0" w14:textId="77777777" w:rsidR="00D60CD4" w:rsidRPr="00D60CD4" w:rsidRDefault="00D60CD4" w:rsidP="00D60CD4">
      <w:pPr>
        <w:pStyle w:val="SingleTxtG"/>
      </w:pPr>
      <w:r w:rsidRPr="00D60CD4">
        <w:t>56.</w:t>
      </w:r>
      <w:r w:rsidRPr="00D60CD4">
        <w:tab/>
        <w:t>Обвиняемый может нанять адвоката по своему выбору. В случае нахождения обвиняемого под стражей адвокат может посещать его, с тем чтобы должным образом обеспечить его защиту. Как правило, разбирательства по уголовным делам проводятся в открытом судебном заседании, на котором скрупулезно применяются правила доказывания (однако в некоторых случаях суд может заседать в закрытом режиме, например при слушании дел несовершеннолетних). Во время суда обвиняемый имеет право лично или с помощью своего адвоката провести перекрестный допрос свидетелей обвинения. Обвиняемый также имеет право не отвечать на заданные вопросы, давать показания под присягой или делать заявление без присяги в свою защиту, а также может вызывать свидетелей для своей защиты.</w:t>
      </w:r>
    </w:p>
    <w:p w14:paraId="0966EF9D" w14:textId="77777777" w:rsidR="00D60CD4" w:rsidRPr="00D60CD4" w:rsidRDefault="00D60CD4" w:rsidP="00D60CD4">
      <w:pPr>
        <w:pStyle w:val="SingleTxtG"/>
      </w:pPr>
      <w:r w:rsidRPr="00D60CD4">
        <w:t>57.</w:t>
      </w:r>
      <w:r w:rsidRPr="00D60CD4">
        <w:tab/>
        <w:t>В гражданских делах потерпевшая сторона имеет право ходатайствовать о возбуждении иска в суде надлежащей юрисдикции. Обычно гражданское судопроизводство возбуждается на основании приказа о вызове в суд, искового заявления или ходатайства. В гражданских делах свидетелей могут вызывать как истец, так и ответчик.</w:t>
      </w:r>
    </w:p>
    <w:p w14:paraId="4D030BDD" w14:textId="77777777" w:rsidR="00D60CD4" w:rsidRPr="00D60CD4" w:rsidRDefault="00D60CD4" w:rsidP="00D60CD4">
      <w:pPr>
        <w:pStyle w:val="SingleTxtG"/>
      </w:pPr>
      <w:r w:rsidRPr="00D60CD4">
        <w:t>58.</w:t>
      </w:r>
      <w:r w:rsidRPr="00D60CD4">
        <w:tab/>
        <w:t>Государство-участник стремится обеспечить доступ к юридическим услугам членам общества, находящимся в неблагоприятном социально-экономическом положении. В этой связи лицо, не располагающее достаточными средствами для найма частного юриста, может ходатайствовать о получении правовой помощи и получать ее по гражданским и уголовным делам в соответствии с Законом о правовой помощи (глава 34 Свода законов Замбии). Лицу, обвиняемому в совершении тяжкого уголовного преступления, правовая помощь предоставляется автоматически, если это лицо не в состоянии оплатить услуги частного юриста. В 2000 году в Закон о правовой помощи были внесены поправки, предусматривающие создание Совета по вопросам правовой помощи и Фонда правовой помощи. Кроме того, лиц, получающих государственную правовую помощь, могут представлять частные юристы, взимая за это небольшую плату. Такой гонорар выплачивается из Фонда правовой помощи, созданного для этой цели. Его создание было обусловлено стремлением к совершенствованию правовой помощи, поскольку Управление правовой помощи сталкивалось с различными ограничениями и было не в состоянии справиться с огромным количеством дел.</w:t>
      </w:r>
    </w:p>
    <w:p w14:paraId="08EAEF1C" w14:textId="77777777" w:rsidR="00D60CD4" w:rsidRPr="00D60CD4" w:rsidRDefault="00D60CD4" w:rsidP="00AF1E70">
      <w:pPr>
        <w:pStyle w:val="HChG"/>
      </w:pPr>
      <w:r w:rsidRPr="00D60CD4">
        <w:tab/>
        <w:t>IV.</w:t>
      </w:r>
      <w:r w:rsidRPr="00D60CD4">
        <w:tab/>
        <w:t>Общие рамки защиты прав человека</w:t>
      </w:r>
      <w:bookmarkStart w:id="16" w:name="_Toc53587107"/>
      <w:bookmarkEnd w:id="16"/>
    </w:p>
    <w:p w14:paraId="37E3C623" w14:textId="77777777" w:rsidR="00D60CD4" w:rsidRPr="00D60CD4" w:rsidRDefault="00D60CD4" w:rsidP="00D60CD4">
      <w:pPr>
        <w:pStyle w:val="SingleTxtG"/>
      </w:pPr>
      <w:r w:rsidRPr="00D60CD4">
        <w:t>59.</w:t>
      </w:r>
      <w:r w:rsidRPr="00D60CD4">
        <w:tab/>
        <w:t xml:space="preserve">Замбия ратифицировала ряд конвенций по правам человека и присоединилась к ним. К числу основных договоров относятся Конвенция о правах инвалидов Организации Объединенных Наций; Международный пакт о гражданских и политических правах; Международный пакт об экономических, социальных и культурных правах; Международная конвенция о ликвидации всех форм расовой дискриминации; Конвенция против пыток и других жестоких, бесчеловечных или унижающих достоинство видов обращения и наказания; Международная конвенция о ликвидации всех форм дискриминации в отношении женщин; Международная конвенция для защиты всех лиц от насильственных исчезновений; Международная конвенция о защите прав всех трудящихся-мигрантов и членов их семей и Конвенция о правах ребенка. Кроме того, государство-участник ратифицировало региональные договоры о защите и поощрении прав человека и основных свобод. Однако международные договоры не имеют прямого действия и требуют законодательной </w:t>
      </w:r>
      <w:r w:rsidRPr="00D60CD4">
        <w:lastRenderedPageBreak/>
        <w:t>инкорпорации для получения силы закона в Замбии. Таким образом, лицо не может подать жалобу в национальный суд о нарушении Замбией своего международного обязательства в области прав человека, если соответствующее право не включено во внутреннее законодательство.</w:t>
      </w:r>
    </w:p>
    <w:p w14:paraId="3834F2B3" w14:textId="77777777" w:rsidR="00D60CD4" w:rsidRPr="00D60CD4" w:rsidRDefault="00D60CD4" w:rsidP="00D60CD4">
      <w:pPr>
        <w:pStyle w:val="SingleTxtG"/>
      </w:pPr>
      <w:r w:rsidRPr="00D60CD4">
        <w:t>60.</w:t>
      </w:r>
      <w:r w:rsidRPr="00D60CD4">
        <w:tab/>
        <w:t>Судебная система играет важную роль в защите основных свобод и прав человека, поскольку жертва любого нарушения прав человека имеет право ходатайствовать о возбуждении дела, и в соответствующих случаях ей предоставляются средства правовой защиты.</w:t>
      </w:r>
      <w:r w:rsidRPr="00D60CD4" w:rsidDel="004D27E4">
        <w:t xml:space="preserve"> </w:t>
      </w:r>
      <w:r w:rsidRPr="00D60CD4">
        <w:t>Создание Комиссии по правам человека способствовало дальнейшему укреплению системы поощрения осуществления прав человека. В случае нарушения прав какого-либо лица это лицо может подать жалобу в Комиссию по правам человека.</w:t>
      </w:r>
      <w:r w:rsidRPr="00D60CD4" w:rsidDel="00EA35DA">
        <w:t xml:space="preserve"> </w:t>
      </w:r>
      <w:r w:rsidRPr="00D60CD4">
        <w:t xml:space="preserve">Как отмечалось ранее, Комиссия может проводить расследование таких нарушений и в случае их подтверждения рекомендовать соответствующим органам меры по исправлению ситуации. Хотя Комиссия по правам человека не обладает правоприменительными полномочиями, возможности Комиссии по выявлению нарушений прав человека способствуют предупреждению дальнейших злоупотреблений. </w:t>
      </w:r>
    </w:p>
    <w:p w14:paraId="624F8987" w14:textId="77777777" w:rsidR="00D60CD4" w:rsidRPr="00D60CD4" w:rsidRDefault="00D60CD4" w:rsidP="00D60CD4">
      <w:pPr>
        <w:pStyle w:val="SingleTxtG"/>
      </w:pPr>
      <w:r w:rsidRPr="00D60CD4">
        <w:t>61.</w:t>
      </w:r>
      <w:r w:rsidRPr="00D60CD4">
        <w:tab/>
        <w:t>Средства массовой информации в Замбии пользуются высокой степенью свободы, что позволяет печати, радио и телевидению играть значительную роль в выявлении нарушений прав человека и основных свобод и в оказании давления с целью принятия мер по исправлению положения. Средства массовой информации могут освещать парламентские слушания, а также судебные разбирательства, касающиеся вопросов прав человека, и запросы парламента часто вызваны вниманием средств массовой информации к тому или иному вопросу.</w:t>
      </w:r>
    </w:p>
    <w:p w14:paraId="205BEB58" w14:textId="4AE10CE0" w:rsidR="00D60CD4" w:rsidRPr="00D60CD4" w:rsidRDefault="00592572" w:rsidP="00AF1E70">
      <w:pPr>
        <w:pStyle w:val="H1G"/>
      </w:pPr>
      <w:bookmarkStart w:id="17" w:name="_Toc303289867"/>
      <w:r>
        <w:tab/>
      </w:r>
      <w:r w:rsidR="00D60CD4" w:rsidRPr="00D60CD4">
        <w:t>A.</w:t>
      </w:r>
      <w:r w:rsidR="00D60CD4" w:rsidRPr="00D60CD4">
        <w:tab/>
      </w:r>
      <w:r w:rsidR="00D60CD4" w:rsidRPr="00D60CD4">
        <w:tab/>
        <w:t xml:space="preserve">Общие положения Конвенции </w:t>
      </w:r>
      <w:bookmarkStart w:id="18" w:name="_Toc53587108"/>
      <w:bookmarkEnd w:id="18"/>
    </w:p>
    <w:p w14:paraId="016046A5" w14:textId="77777777" w:rsidR="00D60CD4" w:rsidRPr="00D60CD4" w:rsidRDefault="00D60CD4" w:rsidP="00AF1E70">
      <w:pPr>
        <w:pStyle w:val="H23G"/>
      </w:pPr>
      <w:r w:rsidRPr="00D60CD4">
        <w:tab/>
      </w:r>
      <w:r w:rsidRPr="00D60CD4">
        <w:tab/>
        <w:t>Статьи 1</w:t>
      </w:r>
      <w:r w:rsidR="00AF1E70">
        <w:t>–</w:t>
      </w:r>
      <w:r w:rsidRPr="00D60CD4">
        <w:t xml:space="preserve">4 </w:t>
      </w:r>
      <w:r w:rsidR="00AF1E70">
        <w:br/>
      </w:r>
      <w:r w:rsidRPr="00D60CD4">
        <w:t>Цель, определения, общие принципы и общие обязательства</w:t>
      </w:r>
      <w:bookmarkStart w:id="19" w:name="_Toc53587109"/>
      <w:bookmarkEnd w:id="17"/>
      <w:bookmarkEnd w:id="19"/>
    </w:p>
    <w:p w14:paraId="6582D9D7" w14:textId="77777777" w:rsidR="00D60CD4" w:rsidRPr="00D60CD4" w:rsidRDefault="00D60CD4" w:rsidP="00D60CD4">
      <w:pPr>
        <w:pStyle w:val="SingleTxtG"/>
      </w:pPr>
      <w:r w:rsidRPr="00D60CD4">
        <w:t>62.</w:t>
      </w:r>
      <w:r w:rsidRPr="00D60CD4">
        <w:tab/>
        <w:t>Государство-участник приняло необходимые меры для обеспечения того, чтобы в Закон о людях с инвалидностью были включены определения и общие принципы, содержащиеся в КПИ ООН.</w:t>
      </w:r>
    </w:p>
    <w:p w14:paraId="67EC0C42" w14:textId="77777777" w:rsidR="00D60CD4" w:rsidRPr="00D60CD4" w:rsidRDefault="00D60CD4" w:rsidP="00D60CD4">
      <w:pPr>
        <w:pStyle w:val="SingleTxtG"/>
      </w:pPr>
      <w:r w:rsidRPr="00D60CD4">
        <w:t>63.</w:t>
      </w:r>
      <w:r w:rsidRPr="00D60CD4">
        <w:tab/>
        <w:t xml:space="preserve">В статье 266 Конституции Республики Замбия инвалидность определяется как </w:t>
      </w:r>
      <w:r w:rsidR="00AF1E70">
        <w:t>«</w:t>
      </w:r>
      <w:r w:rsidRPr="00D60CD4">
        <w:t>постоянное физическое, психическое, интеллектуальное или сенсорное нарушение, которое само по себе или в сочетании с барьерами социальной среды ограничивает способность человека в полной мере или эффективно участвовать в жизни общества наравне с другими</w:t>
      </w:r>
      <w:r w:rsidR="00AF1E70">
        <w:t>»</w:t>
      </w:r>
      <w:r w:rsidRPr="00D60CD4">
        <w:t>. Точно такое же определение содержится в Законе о людях с инвалидностью.</w:t>
      </w:r>
    </w:p>
    <w:p w14:paraId="659F2EA5" w14:textId="77777777" w:rsidR="00D60CD4" w:rsidRPr="00D60CD4" w:rsidRDefault="00D60CD4" w:rsidP="00D60CD4">
      <w:pPr>
        <w:pStyle w:val="SingleTxtG"/>
      </w:pPr>
      <w:r w:rsidRPr="00D60CD4">
        <w:t>64.</w:t>
      </w:r>
      <w:r w:rsidRPr="00D60CD4">
        <w:tab/>
        <w:t xml:space="preserve">По некоторым утверждениям, Закон ориентирован на определенные виды инвалидности, поскольку ни в одном из его положений не упоминаются, например, альбинизм и эпилепсия. </w:t>
      </w:r>
    </w:p>
    <w:p w14:paraId="26CD54A6" w14:textId="77777777" w:rsidR="00D60CD4" w:rsidRPr="00D60CD4" w:rsidRDefault="00D60CD4" w:rsidP="00D60CD4">
      <w:pPr>
        <w:pStyle w:val="SingleTxtG"/>
      </w:pPr>
      <w:r w:rsidRPr="00D60CD4">
        <w:t>65.</w:t>
      </w:r>
      <w:r w:rsidRPr="00D60CD4">
        <w:tab/>
        <w:t>Вместе с тем государство-участник не имеет единого определения инвалидности, и некоторые правовые положения являются дискриминационными в отношении лиц с психосоциальными и интеллектуальными нарушениями, например положения, содержащиеся в Законе о психических расстройствах, Уголовном кодексе, Уголовно-процессуальном кодексе, Законе о тюрьмах, Законе о гражданах Замбии и Законе об Избирательной комиссии. Государство-участник признает наличие указанного недостатка и примет законодательные меры для исправления этих правовых рамок.</w:t>
      </w:r>
    </w:p>
    <w:p w14:paraId="2E351C94" w14:textId="77777777" w:rsidR="00D60CD4" w:rsidRPr="00D60CD4" w:rsidRDefault="00D60CD4" w:rsidP="00D60CD4">
      <w:pPr>
        <w:pStyle w:val="SingleTxtG"/>
      </w:pPr>
      <w:r w:rsidRPr="00D60CD4">
        <w:t>66.</w:t>
      </w:r>
      <w:r w:rsidRPr="00D60CD4">
        <w:tab/>
        <w:t>Государство-участник разработало новый законопроект о психическом здоровье, который призван заменить собой устаревший Закон о психических расстройствах, с тем чтобы обеспечить соответствие положениям Конвенции о правах инвалидов.</w:t>
      </w:r>
    </w:p>
    <w:p w14:paraId="46961D0D" w14:textId="77777777" w:rsidR="00D60CD4" w:rsidRPr="00D60CD4" w:rsidRDefault="00D60CD4" w:rsidP="00AF1E70">
      <w:pPr>
        <w:pStyle w:val="H4G"/>
      </w:pPr>
      <w:r w:rsidRPr="00D60CD4">
        <w:lastRenderedPageBreak/>
        <w:tab/>
      </w:r>
      <w:r w:rsidRPr="00D60CD4">
        <w:tab/>
        <w:t>Разумное приспособление</w:t>
      </w:r>
    </w:p>
    <w:p w14:paraId="07E559E9" w14:textId="04787512" w:rsidR="00D60CD4" w:rsidRPr="00D60CD4" w:rsidRDefault="00D60CD4" w:rsidP="00D60CD4">
      <w:pPr>
        <w:pStyle w:val="SingleTxtG"/>
      </w:pPr>
      <w:r w:rsidRPr="00D60CD4">
        <w:t>67.</w:t>
      </w:r>
      <w:r w:rsidRPr="00D60CD4">
        <w:tab/>
        <w:t xml:space="preserve">В статье 2 Закона о людях с инвалидностью содержится определение разумного приспособления: </w:t>
      </w:r>
      <w:r w:rsidR="00AF1E70">
        <w:t>«</w:t>
      </w:r>
      <w:r w:rsidRPr="00D60CD4">
        <w:t>внесение, когда это нужно в конкретном случае, необходимых и подходящих модификаций, адаптаций и коррективов, не становящихся неоправданным бременем, в целях обеспечения реализации или осуществления инвалидами наравне с другими всех прав человека и основных свобод</w:t>
      </w:r>
      <w:r w:rsidR="00AF1E70">
        <w:t>»</w:t>
      </w:r>
      <w:r w:rsidRPr="00D60CD4">
        <w:t xml:space="preserve">. </w:t>
      </w:r>
      <w:r w:rsidRPr="00D60CD4">
        <w:rPr>
          <w:lang w:val="ru"/>
        </w:rPr>
        <w:t xml:space="preserve">В пункте 3 i) статьи 35 </w:t>
      </w:r>
      <w:r w:rsidRPr="00D60CD4">
        <w:t xml:space="preserve">особо оговаривается, </w:t>
      </w:r>
      <w:r w:rsidRPr="00D60CD4">
        <w:rPr>
          <w:lang w:val="ru"/>
        </w:rPr>
        <w:t>что разумное приспособление предоставляется людям с инвалидностью на рабочем месте.</w:t>
      </w:r>
    </w:p>
    <w:p w14:paraId="04B6FF7D" w14:textId="77777777" w:rsidR="00D60CD4" w:rsidRPr="00D60CD4" w:rsidRDefault="00D60CD4" w:rsidP="00AF1E70">
      <w:pPr>
        <w:pStyle w:val="H4G"/>
      </w:pPr>
      <w:r w:rsidRPr="00D60CD4">
        <w:tab/>
      </w:r>
      <w:r w:rsidRPr="00D60CD4">
        <w:tab/>
      </w:r>
      <w:r w:rsidRPr="00D60CD4">
        <w:rPr>
          <w:lang w:val="ru"/>
        </w:rPr>
        <w:t>Универсальный дизайн</w:t>
      </w:r>
    </w:p>
    <w:p w14:paraId="7B740897" w14:textId="77777777" w:rsidR="00D60CD4" w:rsidRPr="00D60CD4" w:rsidRDefault="00D60CD4" w:rsidP="00D60CD4">
      <w:pPr>
        <w:pStyle w:val="SingleTxtG"/>
      </w:pPr>
      <w:r w:rsidRPr="00D60CD4">
        <w:t>68.</w:t>
      </w:r>
      <w:r w:rsidRPr="00D60CD4">
        <w:tab/>
        <w:t>Согласно статье 2 Закона о людях с инвалидностью универсальный дизайн определяется как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но он не исключает ассистивные устройства для конкретных групп людей с инвалидностью, где это необходимо.</w:t>
      </w:r>
    </w:p>
    <w:p w14:paraId="2D7A932D" w14:textId="77777777" w:rsidR="00D60CD4" w:rsidRPr="00D60CD4" w:rsidRDefault="00D60CD4" w:rsidP="00D60CD4">
      <w:pPr>
        <w:pStyle w:val="SingleTxtG"/>
      </w:pPr>
      <w:r w:rsidRPr="00D60CD4">
        <w:t>69.</w:t>
      </w:r>
      <w:r w:rsidRPr="00D60CD4">
        <w:tab/>
        <w:t xml:space="preserve">С целью реализации этих определений государство-участник, например, ввело в действие через </w:t>
      </w:r>
      <w:bookmarkStart w:id="20" w:name="_Hlk66559425"/>
      <w:r w:rsidRPr="00D60CD4">
        <w:t>Министерство общего образования</w:t>
      </w:r>
      <w:bookmarkEnd w:id="20"/>
      <w:r w:rsidRPr="00D60CD4">
        <w:t xml:space="preserve"> стандарты на строительство всех государственных школ с использованием концепции универсального дизайна.</w:t>
      </w:r>
    </w:p>
    <w:p w14:paraId="526CE4D0" w14:textId="77777777" w:rsidR="00D60CD4" w:rsidRPr="00D60CD4" w:rsidRDefault="00D60CD4" w:rsidP="00AF1E70">
      <w:pPr>
        <w:pStyle w:val="H4G"/>
      </w:pPr>
      <w:r w:rsidRPr="00D60CD4">
        <w:tab/>
      </w:r>
      <w:r w:rsidRPr="00D60CD4">
        <w:tab/>
        <w:t>Нормативные акты, осуществление общих принципов</w:t>
      </w:r>
      <w:r w:rsidRPr="00D60CD4">
        <w:rPr>
          <w:iCs/>
        </w:rPr>
        <w:t xml:space="preserve"> и обязательств</w:t>
      </w:r>
      <w:bookmarkStart w:id="21" w:name="_Toc348505217"/>
      <w:bookmarkEnd w:id="21"/>
    </w:p>
    <w:p w14:paraId="3692D3A2" w14:textId="77777777" w:rsidR="00D60CD4" w:rsidRPr="00D60CD4" w:rsidRDefault="00D60CD4" w:rsidP="00D60CD4">
      <w:pPr>
        <w:pStyle w:val="SingleTxtG"/>
      </w:pPr>
      <w:r w:rsidRPr="00D60CD4">
        <w:t>70.</w:t>
      </w:r>
      <w:r w:rsidRPr="00D60CD4">
        <w:tab/>
        <w:t>В статье 3 КПИ ООН изложены общие принципы. Государство-участник приняло следующие общие принципы, содержащиеся в статье 4 Закона о людях с инвалидностью:</w:t>
      </w:r>
    </w:p>
    <w:p w14:paraId="39CDC00C" w14:textId="77777777" w:rsidR="00D60CD4" w:rsidRPr="00D60CD4" w:rsidRDefault="00D60CD4" w:rsidP="00AF1E70">
      <w:pPr>
        <w:pStyle w:val="Bullet1G"/>
      </w:pPr>
      <w:r w:rsidRPr="00D60CD4">
        <w:t>уважение достоинства, присущего людям с инвалидностью, их личной самостоятельности, включая свободу делать свой собственный выбор, и их независимости;</w:t>
      </w:r>
    </w:p>
    <w:p w14:paraId="254D702A" w14:textId="77777777" w:rsidR="00D60CD4" w:rsidRPr="00D60CD4" w:rsidRDefault="00D60CD4" w:rsidP="00AF1E70">
      <w:pPr>
        <w:pStyle w:val="Bullet1G"/>
      </w:pPr>
      <w:r w:rsidRPr="00D60CD4">
        <w:t>недискриминация;</w:t>
      </w:r>
    </w:p>
    <w:p w14:paraId="26D4D300" w14:textId="77777777" w:rsidR="00D60CD4" w:rsidRPr="00D60CD4" w:rsidRDefault="00D60CD4" w:rsidP="00AF1E70">
      <w:pPr>
        <w:pStyle w:val="Bullet1G"/>
      </w:pPr>
      <w:r w:rsidRPr="00D60CD4">
        <w:t xml:space="preserve">признание правосубъектности; </w:t>
      </w:r>
    </w:p>
    <w:p w14:paraId="4DAF7560" w14:textId="77777777" w:rsidR="00D60CD4" w:rsidRPr="00D60CD4" w:rsidRDefault="00D60CD4" w:rsidP="00AF1E70">
      <w:pPr>
        <w:pStyle w:val="Bullet1G"/>
      </w:pPr>
      <w:r w:rsidRPr="00D60CD4">
        <w:t>уважение физической и психической целостности;</w:t>
      </w:r>
    </w:p>
    <w:p w14:paraId="5F36BD90" w14:textId="77777777" w:rsidR="00D60CD4" w:rsidRPr="00D60CD4" w:rsidRDefault="00D60CD4" w:rsidP="00AF1E70">
      <w:pPr>
        <w:pStyle w:val="Bullet1G"/>
      </w:pPr>
      <w:r w:rsidRPr="00D60CD4">
        <w:t>самостоятельный образ жизни;</w:t>
      </w:r>
    </w:p>
    <w:p w14:paraId="52132769" w14:textId="77777777" w:rsidR="00D60CD4" w:rsidRPr="00D60CD4" w:rsidRDefault="00D60CD4" w:rsidP="00AF1E70">
      <w:pPr>
        <w:pStyle w:val="Bullet1G"/>
      </w:pPr>
      <w:r w:rsidRPr="00D60CD4">
        <w:t>полное и эффективное вовлечение и включение в общество;</w:t>
      </w:r>
    </w:p>
    <w:p w14:paraId="43DBC8C7" w14:textId="77777777" w:rsidR="00D60CD4" w:rsidRPr="00D60CD4" w:rsidRDefault="00D60CD4" w:rsidP="00AF1E70">
      <w:pPr>
        <w:pStyle w:val="Bullet1G"/>
      </w:pPr>
      <w:r w:rsidRPr="00D60CD4">
        <w:t>уважение особенностей людей с инвалидностью и их принятие в качестве компонента человеческого многообразия и части человечества;</w:t>
      </w:r>
    </w:p>
    <w:p w14:paraId="61B247C4" w14:textId="77777777" w:rsidR="00D60CD4" w:rsidRPr="00D60CD4" w:rsidRDefault="00D60CD4" w:rsidP="00AF1E70">
      <w:pPr>
        <w:pStyle w:val="Bullet1G"/>
      </w:pPr>
      <w:r w:rsidRPr="00D60CD4">
        <w:t>равенство возможностей;</w:t>
      </w:r>
    </w:p>
    <w:p w14:paraId="0F78235E" w14:textId="77777777" w:rsidR="00D60CD4" w:rsidRPr="00D60CD4" w:rsidRDefault="00D60CD4" w:rsidP="00AF1E70">
      <w:pPr>
        <w:pStyle w:val="Bullet1G"/>
      </w:pPr>
      <w:r w:rsidRPr="00D60CD4">
        <w:t xml:space="preserve">доступность; </w:t>
      </w:r>
    </w:p>
    <w:p w14:paraId="0EF1759D" w14:textId="77777777" w:rsidR="00D60CD4" w:rsidRPr="00D60CD4" w:rsidRDefault="00D60CD4" w:rsidP="00AF1E70">
      <w:pPr>
        <w:pStyle w:val="Bullet1G"/>
      </w:pPr>
      <w:r w:rsidRPr="00D60CD4">
        <w:t>гендерное равенство;</w:t>
      </w:r>
    </w:p>
    <w:p w14:paraId="6039BECE" w14:textId="77777777" w:rsidR="00D60CD4" w:rsidRPr="00D60CD4" w:rsidRDefault="00D60CD4" w:rsidP="00AF1E70">
      <w:pPr>
        <w:pStyle w:val="Bullet1G"/>
      </w:pPr>
      <w:r w:rsidRPr="00D60CD4">
        <w:t>уважение развивающихся способностей детей-инвалидов; и</w:t>
      </w:r>
    </w:p>
    <w:p w14:paraId="2259DC93" w14:textId="77777777" w:rsidR="00D60CD4" w:rsidRPr="00D60CD4" w:rsidRDefault="00D60CD4" w:rsidP="00AF1E70">
      <w:pPr>
        <w:pStyle w:val="Bullet1G"/>
      </w:pPr>
      <w:r w:rsidRPr="00D60CD4">
        <w:t>уважение права детей-инвалидов сохранять свою индивидуальность.</w:t>
      </w:r>
    </w:p>
    <w:p w14:paraId="6C6FB0EB" w14:textId="77777777" w:rsidR="00D60CD4" w:rsidRPr="00D60CD4" w:rsidRDefault="00D60CD4" w:rsidP="00D60CD4">
      <w:pPr>
        <w:pStyle w:val="SingleTxtG"/>
      </w:pPr>
      <w:r w:rsidRPr="00D60CD4">
        <w:t>71.</w:t>
      </w:r>
      <w:r w:rsidRPr="00D60CD4">
        <w:tab/>
        <w:t xml:space="preserve">В соответствии со статьей 4 КПИ ООН в статье 3 Закона о людях с инвалидностью содержится положение о верховенстве, которое гласит следующее: </w:t>
      </w:r>
      <w:r w:rsidR="00AF1E70">
        <w:t>«</w:t>
      </w:r>
      <w:r w:rsidRPr="00D60CD4">
        <w:t>При условии соблюдения Конституции, в тех случаях, когда существует какое-либо несоответствие между положениями любого другого писаного закона, затрагивающего права людей с инвалидностью, и положениями, предусмотренными в настоящем Законе, или оно существует по какому-либо другому вопросу, определенному или предписанному в отношении людей с инвалидностью в настоящем Законе, то в части такого несоответствия преимущественную силу имеют положения настоящего Закона</w:t>
      </w:r>
      <w:r w:rsidR="00AF1E70">
        <w:t>»</w:t>
      </w:r>
      <w:r w:rsidRPr="00D60CD4">
        <w:t>. Это положение означает, что Закон о людях с инвалидностью имеет преимущественную силу над любым другим писаным законом, затрагивающим права людей с инвалидностью.</w:t>
      </w:r>
    </w:p>
    <w:p w14:paraId="13E30615" w14:textId="77777777" w:rsidR="00D60CD4" w:rsidRPr="00D60CD4" w:rsidRDefault="00D60CD4" w:rsidP="00D60CD4">
      <w:pPr>
        <w:pStyle w:val="SingleTxtG"/>
      </w:pPr>
      <w:r w:rsidRPr="00D60CD4">
        <w:lastRenderedPageBreak/>
        <w:t>72.</w:t>
      </w:r>
      <w:r w:rsidRPr="00D60CD4">
        <w:tab/>
        <w:t xml:space="preserve">Статьей 6 Закона о людях с инвалидностью установлен запрет на обращение к человеку с инвалидностью с использованием уничижительных наименований, указывающих на инвалидность этого человека. Признавая этот факт и положение о верховенстве Закона о людях с инвалидностью, государство-участник принимает меры по внесению изменений в законодательные акты, содержащие уничижительную терминологию, или введению таких изменений в действие. Так, например, в Законе о психических расстройствах, Уголовном кодексе, Уголовно-процессуальном кодексе, Законе о тюрьмах, Законе о гражданах Замбии и Законе об Избирательной комиссии для определения инвалидности используются уничижительные формулировки, например </w:t>
      </w:r>
      <w:r w:rsidR="00AF1E70">
        <w:t>«</w:t>
      </w:r>
      <w:r w:rsidRPr="00D60CD4">
        <w:t>душевнобольной</w:t>
      </w:r>
      <w:r w:rsidR="00AF1E70">
        <w:t xml:space="preserve">» — </w:t>
      </w:r>
      <w:r w:rsidRPr="00D60CD4">
        <w:t xml:space="preserve">для характеристики лиц с психосоциальными нарушениями и </w:t>
      </w:r>
      <w:r w:rsidR="00AF1E70">
        <w:t>«</w:t>
      </w:r>
      <w:r w:rsidRPr="00D60CD4">
        <w:t>умственно отсталый</w:t>
      </w:r>
      <w:r w:rsidR="00AF1E70">
        <w:t>»</w:t>
      </w:r>
      <w:r w:rsidRPr="00D60CD4">
        <w:t xml:space="preserve"> и </w:t>
      </w:r>
      <w:r w:rsidR="00AF1E70">
        <w:t>«</w:t>
      </w:r>
      <w:r w:rsidRPr="00D60CD4">
        <w:t>идиот</w:t>
      </w:r>
      <w:r w:rsidR="00AF1E70">
        <w:t xml:space="preserve">» — </w:t>
      </w:r>
      <w:r w:rsidRPr="00D60CD4">
        <w:t xml:space="preserve">для характеристики лиц с интеллектуальными нарушениями. В соответствии со статьей 4 КПИ ООН часть </w:t>
      </w:r>
      <w:r w:rsidRPr="00D60CD4">
        <w:rPr>
          <w:lang w:val="en-US"/>
        </w:rPr>
        <w:t>IV</w:t>
      </w:r>
      <w:r w:rsidRPr="00D60CD4">
        <w:t xml:space="preserve"> Закона о людях с инвалидностью предусматривает стратегическое планирование в интересах инвалидов. В нем также предусмотрена общая функция министра общинного развития и социальных служб издавать подзаконные акты и готовить правительственные постановления, касающиеся выполнения этого Закона. В нем далее подчеркивается важность разработки национальных стратегий и программ в соответствии с национальным планом развития. В целях реализации этого положения государство-участник включило вопросы инвалидности в шестой Национальный план развития и проект седьмого плана. Кроме того, государство-участник разработало национальную политику в области инвалидности и план ее реализации, на основе которого будет осуществляться учет вопросов инвалидности. Помимо этого, вопросам инвалидности уделяется особое внимание в рамках осуществляемой национальной политики в области социальной защиты.</w:t>
      </w:r>
      <w:bookmarkStart w:id="22" w:name="_Toc141932535"/>
      <w:bookmarkStart w:id="23" w:name="_Toc304981208"/>
      <w:bookmarkStart w:id="24" w:name="_Toc348505220"/>
      <w:bookmarkStart w:id="25" w:name="_Toc334008896"/>
    </w:p>
    <w:p w14:paraId="076D1DE3" w14:textId="77777777" w:rsidR="00D60CD4" w:rsidRPr="00D60CD4" w:rsidRDefault="00533466" w:rsidP="00533466">
      <w:pPr>
        <w:pStyle w:val="H1G"/>
      </w:pPr>
      <w:r w:rsidRPr="00C87A17">
        <w:tab/>
      </w:r>
      <w:r w:rsidR="00D60CD4" w:rsidRPr="00D60CD4">
        <w:rPr>
          <w:lang w:val="en-US"/>
        </w:rPr>
        <w:t>B</w:t>
      </w:r>
      <w:r w:rsidR="00D60CD4" w:rsidRPr="00D60CD4">
        <w:t>.</w:t>
      </w:r>
      <w:r w:rsidR="00D60CD4" w:rsidRPr="00D60CD4">
        <w:tab/>
      </w:r>
      <w:bookmarkStart w:id="26" w:name="_Toc53587110"/>
      <w:bookmarkEnd w:id="26"/>
      <w:r w:rsidR="00D60CD4" w:rsidRPr="00D60CD4">
        <w:tab/>
        <w:t>Реализация конкретных прав и свобод</w:t>
      </w:r>
    </w:p>
    <w:p w14:paraId="0020412B" w14:textId="77777777" w:rsidR="00D60CD4" w:rsidRPr="00D60CD4" w:rsidRDefault="00D60CD4" w:rsidP="00533466">
      <w:pPr>
        <w:pStyle w:val="H23G"/>
      </w:pPr>
      <w:r w:rsidRPr="00D60CD4">
        <w:tab/>
      </w:r>
      <w:r w:rsidRPr="00D60CD4">
        <w:tab/>
        <w:t>Статья 5</w:t>
      </w:r>
      <w:r w:rsidR="00533466">
        <w:br/>
      </w:r>
      <w:r w:rsidRPr="00D60CD4">
        <w:tab/>
        <w:t xml:space="preserve">Равенство и недискриминация </w:t>
      </w:r>
      <w:bookmarkStart w:id="27" w:name="_Toc53587111"/>
      <w:bookmarkEnd w:id="22"/>
      <w:bookmarkEnd w:id="23"/>
      <w:bookmarkEnd w:id="24"/>
      <w:bookmarkEnd w:id="27"/>
    </w:p>
    <w:p w14:paraId="7070CED5" w14:textId="77777777" w:rsidR="00D60CD4" w:rsidRPr="00D60CD4" w:rsidRDefault="00D60CD4" w:rsidP="00D60CD4">
      <w:pPr>
        <w:pStyle w:val="SingleTxtG"/>
      </w:pPr>
      <w:r w:rsidRPr="00D60CD4">
        <w:t>73.</w:t>
      </w:r>
      <w:r w:rsidRPr="00D60CD4">
        <w:tab/>
        <w:t>Государство-участник приняло меры по обеспечению соблюдения принципа равенства и недискриминации на основе Конституции, других законодательных актов и политики.</w:t>
      </w:r>
    </w:p>
    <w:p w14:paraId="32BBB4C5" w14:textId="77777777" w:rsidR="00D60CD4" w:rsidRPr="00D60CD4" w:rsidRDefault="00D60CD4" w:rsidP="00D60CD4">
      <w:pPr>
        <w:pStyle w:val="SingleTxtG"/>
      </w:pPr>
      <w:r w:rsidRPr="00D60CD4">
        <w:t>74.</w:t>
      </w:r>
      <w:r w:rsidRPr="00D60CD4">
        <w:tab/>
        <w:t>В Конституции Замбии закреплено право каждого гражданина на равное обращение и жизнь без дискриминации. Статьей 23 Конституции предусмотрено, что ни один закон не может содержать каких-либо положений, являющихся дискриминационными как по своему содержанию, так и по своим последствиям. В</w:t>
      </w:r>
      <w:r w:rsidR="00533466">
        <w:t> </w:t>
      </w:r>
      <w:r w:rsidRPr="00D60CD4">
        <w:t>статье 266 Закона № 2 от 2016 года о внесении поправок в Конституцию Замбии дискриминация определяется как выражающееся прямо или косвенно неравное обращение с лицом по признаку его/ее рождения, расы, пола, происхождения, цвета кожи, возраста, инвалидности, религии, совести, убеждений, культуры, языка, племенной принадлежности, беременности, состояния здоровья или семейного, этнического, социального или экономического положения этого лица.</w:t>
      </w:r>
    </w:p>
    <w:p w14:paraId="6612C74D" w14:textId="77777777" w:rsidR="00D60CD4" w:rsidRPr="00D60CD4" w:rsidRDefault="00D60CD4" w:rsidP="00D60CD4">
      <w:pPr>
        <w:pStyle w:val="SingleTxtG"/>
      </w:pPr>
      <w:r w:rsidRPr="00D60CD4">
        <w:t>75.</w:t>
      </w:r>
      <w:r w:rsidRPr="00D60CD4">
        <w:tab/>
        <w:t>В пункте 1 статьи 6 Закона о людях с инвалидностью предусмотрено, что никто не может дискриминировать человека с инвалидностью по признаку инвалидности. В</w:t>
      </w:r>
      <w:r w:rsidR="00533466">
        <w:t> </w:t>
      </w:r>
      <w:r w:rsidRPr="00D60CD4">
        <w:t>статье 4 Закона содержатся положения о принципах недискриминации, которые применяются в отношении людей с инвалидностью в соответствии с КПИ ООН.</w:t>
      </w:r>
    </w:p>
    <w:p w14:paraId="7974B7BA" w14:textId="77777777" w:rsidR="00D60CD4" w:rsidRPr="00D60CD4" w:rsidRDefault="00D60CD4" w:rsidP="00D60CD4">
      <w:pPr>
        <w:pStyle w:val="SingleTxtG"/>
      </w:pPr>
      <w:r w:rsidRPr="00D60CD4">
        <w:t>76.</w:t>
      </w:r>
      <w:r w:rsidRPr="00D60CD4">
        <w:tab/>
        <w:t xml:space="preserve">Для обеспечения людям с инвалидностью доступа к своим правам в Законе о людях с инвалидностью установлен прямой запрет на их дискриминацию. Так, например, в пункте 2 статьи 35 указано, что </w:t>
      </w:r>
      <w:r w:rsidR="00AF1E70">
        <w:t>«</w:t>
      </w:r>
      <w:r w:rsidRPr="00D60CD4">
        <w:t>лицо с инвалидностью не должно подвергаться дискриминации по признаку инвалидности в вопросах, касающихся всех форм занятости, включая условия приема на работу, найма и занятости, сохранения работы, создания, классификации и упразднения должностей, определения размеров заработной платы, пенсий и других пособий, ученичества, повышения в должности, продвижения по службе и наличия здоровых условий труда</w:t>
      </w:r>
      <w:r w:rsidR="00AF1E70">
        <w:t>»</w:t>
      </w:r>
      <w:r w:rsidRPr="00D60CD4">
        <w:t>.</w:t>
      </w:r>
    </w:p>
    <w:p w14:paraId="0DB943D9" w14:textId="77777777" w:rsidR="00D60CD4" w:rsidRPr="00D60CD4" w:rsidRDefault="00D60CD4" w:rsidP="00D60CD4">
      <w:pPr>
        <w:pStyle w:val="SingleTxtG"/>
      </w:pPr>
      <w:r w:rsidRPr="00D60CD4">
        <w:lastRenderedPageBreak/>
        <w:t>77.</w:t>
      </w:r>
      <w:r w:rsidRPr="00D60CD4">
        <w:tab/>
      </w:r>
      <w:r w:rsidRPr="00D60CD4">
        <w:rPr>
          <w:lang w:val="ru"/>
        </w:rPr>
        <w:t xml:space="preserve">Национальная политика в области инвалидности направлена на укрепление принципа равенства всех людей перед законом </w:t>
      </w:r>
      <w:r w:rsidRPr="00D60CD4">
        <w:t>и их права на равную защиту закона и равное пользование им без всякой дискриминации</w:t>
      </w:r>
      <w:r w:rsidRPr="00D60CD4">
        <w:rPr>
          <w:lang w:val="ru"/>
        </w:rPr>
        <w:t>.</w:t>
      </w:r>
    </w:p>
    <w:p w14:paraId="176C9741" w14:textId="77777777" w:rsidR="00D60CD4" w:rsidRPr="00D60CD4" w:rsidRDefault="00D60CD4" w:rsidP="00D60CD4">
      <w:pPr>
        <w:pStyle w:val="SingleTxtG"/>
      </w:pPr>
      <w:r w:rsidRPr="00D60CD4">
        <w:t>78.</w:t>
      </w:r>
      <w:r w:rsidRPr="00D60CD4">
        <w:tab/>
        <w:t>Для обеспечения защиты инвалидов от дискриминации государство-участник поручило Замбийскому агентству по делам людей с инвалидностью (ЗАДЛИ), созданному в соответствии с Законом о людях с инвалидностью, провести консультации с соответствующими государственными учреждениями, организациями людей с инвалидностью, а также с другими организациями гражданского общества по вопросу о принятии надлежащих мер по ликвидации дискриминации по признаку инвалидности со стороны любого лица, организации или частного предприятия [пункт</w:t>
      </w:r>
      <w:r w:rsidR="00533466">
        <w:t> </w:t>
      </w:r>
      <w:r w:rsidRPr="00D60CD4">
        <w:t>1 статьи 14].</w:t>
      </w:r>
    </w:p>
    <w:p w14:paraId="3BF34DAA" w14:textId="77777777" w:rsidR="00D60CD4" w:rsidRPr="00D60CD4" w:rsidRDefault="00D60CD4" w:rsidP="00D60CD4">
      <w:pPr>
        <w:pStyle w:val="SingleTxtG"/>
      </w:pPr>
      <w:r w:rsidRPr="00D60CD4">
        <w:t>79.</w:t>
      </w:r>
      <w:r w:rsidRPr="00D60CD4">
        <w:tab/>
        <w:t>В статье 64 Закона о людях с инвалидностью предусмотрено, что Генеральный прокурор принимает надлежащие правовые меры в тех случаях, когда то или иное лицо или группа лиц занимаются практикой, которая в соответствии с этим Законом является дискриминационной, или когда дискриминация представляет собой значительное и существенное нарушение прав инвалидов и затрагивает вопросы, представляющие общественный интерес.</w:t>
      </w:r>
    </w:p>
    <w:p w14:paraId="7FF73D4F" w14:textId="77777777" w:rsidR="00D60CD4" w:rsidRPr="00D60CD4" w:rsidRDefault="00D60CD4" w:rsidP="00D60CD4">
      <w:pPr>
        <w:pStyle w:val="SingleTxtG"/>
      </w:pPr>
      <w:r w:rsidRPr="00D60CD4">
        <w:t xml:space="preserve">Принцип равенства и недискриминации был продемонстрирован </w:t>
      </w:r>
      <w:r w:rsidRPr="00D60CD4">
        <w:rPr>
          <w:i/>
          <w:iCs/>
        </w:rPr>
        <w:t>в деле Села Бразертон против Избирательной комиссии Замбии (Высокий суд Замбии), по итогам рассмотрения которого Суд постановил, что Избирательная комиссия Замбии (ИКЗ) проявила дискриминацию на практике, поскольку она не обеспечила разумное приспособление для инвалидов. Затем Суд вынес в адрес ИКЗ постановления, согласно которым она была обязана подготовить план действий и бюджет для обеспечения доступа ко всеобщим выборам 2016 года. ИКЗ выполнила постановление Суда</w:t>
      </w:r>
      <w:r w:rsidRPr="00D60CD4">
        <w:t>.</w:t>
      </w:r>
    </w:p>
    <w:p w14:paraId="4AF7F5A3" w14:textId="77777777" w:rsidR="00D60CD4" w:rsidRPr="00D60CD4" w:rsidRDefault="00D60CD4" w:rsidP="00D60CD4">
      <w:pPr>
        <w:pStyle w:val="SingleTxtG"/>
      </w:pPr>
      <w:r w:rsidRPr="00D60CD4">
        <w:t>80.</w:t>
      </w:r>
      <w:r w:rsidRPr="00D60CD4">
        <w:tab/>
      </w:r>
      <w:bookmarkStart w:id="28" w:name="_Toc303289892"/>
      <w:bookmarkEnd w:id="25"/>
      <w:r w:rsidRPr="00D60CD4">
        <w:t>По линии Министерства высшего образования государство-участник приняло ряд позитивных мер с целью создания равных возможностей для доступа к высшему образованию. Например, в сфере технического образования и профессиональной подготовки для учащихся-инвалидов было зарезервировано 10</w:t>
      </w:r>
      <w:r w:rsidR="00AF1E70">
        <w:t xml:space="preserve"> %</w:t>
      </w:r>
      <w:r w:rsidRPr="00D60CD4">
        <w:t xml:space="preserve"> стипендиального фонда.</w:t>
      </w:r>
    </w:p>
    <w:p w14:paraId="25974476" w14:textId="77777777" w:rsidR="00D60CD4" w:rsidRPr="00D60CD4" w:rsidRDefault="00D60CD4" w:rsidP="00D60CD4">
      <w:pPr>
        <w:pStyle w:val="SingleTxtG"/>
      </w:pPr>
      <w:r w:rsidRPr="00D60CD4">
        <w:t>81.</w:t>
      </w:r>
      <w:r w:rsidRPr="00D60CD4">
        <w:tab/>
        <w:t>Государство-участник также приняло меры по дальнейшему поощрению и защите прав инвалидов путем вынесения проекта билля о правах, предусматривающего дополнительные гарантии прав, на референдум. К сожалению, этот референдум не состоялся, поскольку участие в нем не достигло требуемого порога явки в 50</w:t>
      </w:r>
      <w:r w:rsidR="00AF1E70">
        <w:t xml:space="preserve"> %</w:t>
      </w:r>
      <w:r w:rsidRPr="00D60CD4">
        <w:t>.</w:t>
      </w:r>
    </w:p>
    <w:p w14:paraId="372A18F7" w14:textId="77777777" w:rsidR="00D60CD4" w:rsidRPr="00D60CD4" w:rsidRDefault="00D60CD4" w:rsidP="00533466">
      <w:pPr>
        <w:pStyle w:val="H23G"/>
      </w:pPr>
      <w:r w:rsidRPr="00D60CD4">
        <w:tab/>
      </w:r>
      <w:r w:rsidRPr="00D60CD4">
        <w:tab/>
        <w:t>Статья 6</w:t>
      </w:r>
      <w:r w:rsidR="00533466">
        <w:br/>
      </w:r>
      <w:r w:rsidRPr="00D60CD4">
        <w:tab/>
        <w:t>Женщины-инвалиды</w:t>
      </w:r>
      <w:bookmarkStart w:id="29" w:name="_Toc53587112"/>
      <w:bookmarkEnd w:id="28"/>
      <w:bookmarkEnd w:id="29"/>
    </w:p>
    <w:p w14:paraId="650C9B1D" w14:textId="77777777" w:rsidR="00D60CD4" w:rsidRPr="00D60CD4" w:rsidRDefault="00D60CD4" w:rsidP="00D60CD4">
      <w:pPr>
        <w:pStyle w:val="SingleTxtG"/>
      </w:pPr>
      <w:r w:rsidRPr="00D60CD4">
        <w:t>82.</w:t>
      </w:r>
      <w:r w:rsidRPr="00D60CD4">
        <w:tab/>
        <w:t>Государство-участник признает, что женщины-инвалиды сталкиваются с множественными формами дискриминации. С учетом этого государство-участник приняло меры по обеспечению равного участия женщин-инвалидов в развитии.</w:t>
      </w:r>
    </w:p>
    <w:p w14:paraId="2FA78A24" w14:textId="504B2A68" w:rsidR="00D60CD4" w:rsidRPr="00D60CD4" w:rsidRDefault="00D60CD4" w:rsidP="00D60CD4">
      <w:pPr>
        <w:pStyle w:val="SingleTxtG"/>
      </w:pPr>
      <w:r w:rsidRPr="00D60CD4">
        <w:t>83.</w:t>
      </w:r>
      <w:r w:rsidRPr="00D60CD4">
        <w:tab/>
        <w:t xml:space="preserve">По линии Министерства по гендерным вопросам государство-участник совместно с Министерством общинного развития и социальных служб, а также Министерством общего образования осуществляет проект </w:t>
      </w:r>
      <w:r w:rsidR="00AF1E70">
        <w:t>«</w:t>
      </w:r>
      <w:r w:rsidRPr="00D60CD4">
        <w:t>Образование девочек, расширение прав и возможностей женщин и обеспечение их средствами к существованию</w:t>
      </w:r>
      <w:r w:rsidR="00AF1E70">
        <w:t>»</w:t>
      </w:r>
      <w:r w:rsidRPr="00D60CD4">
        <w:t xml:space="preserve"> (ОДРПЖС), который направлен на расширении доступа к средствам к существованию для живущих в условиях крайней бедности женщин сельских районов (75</w:t>
      </w:r>
      <w:r w:rsidR="001525E1">
        <w:t> </w:t>
      </w:r>
      <w:r w:rsidRPr="00D60CD4">
        <w:t>000) и доступа к среднему образованию для находящихся в неблагоприятном положении девочек-подростков (14</w:t>
      </w:r>
      <w:r w:rsidR="001525E1">
        <w:t> </w:t>
      </w:r>
      <w:r w:rsidRPr="00D60CD4">
        <w:t xml:space="preserve">000) из домашних хозяйств, живущих в условиях крайней бедности, в отдельных округах. В рамках компонента проекта </w:t>
      </w:r>
      <w:r w:rsidR="00AF1E70">
        <w:t>«</w:t>
      </w:r>
      <w:r w:rsidRPr="00D60CD4">
        <w:t>Средства к существованию</w:t>
      </w:r>
      <w:r w:rsidR="00AF1E70">
        <w:t>»</w:t>
      </w:r>
      <w:r w:rsidRPr="00D60CD4">
        <w:t xml:space="preserve"> женщины-инвалиды специально определены в качестве одной из уязвимых категорий.</w:t>
      </w:r>
    </w:p>
    <w:p w14:paraId="496B626A" w14:textId="77777777" w:rsidR="00D60CD4" w:rsidRPr="00D60CD4" w:rsidRDefault="00D60CD4" w:rsidP="00D60CD4">
      <w:pPr>
        <w:pStyle w:val="SingleTxtG"/>
      </w:pPr>
      <w:r w:rsidRPr="00D60CD4">
        <w:t>84.</w:t>
      </w:r>
      <w:r w:rsidRPr="00D60CD4">
        <w:tab/>
        <w:t>Кроме того, государство-участник предоставляет женским клубам гранты на расширение прав и возможностей женщин, отдавая при этом приоритет женщинам-инвалидам.</w:t>
      </w:r>
    </w:p>
    <w:p w14:paraId="37AB6675" w14:textId="0E829536" w:rsidR="00D60CD4" w:rsidRPr="00D60CD4" w:rsidRDefault="00D60CD4" w:rsidP="00D60CD4">
      <w:pPr>
        <w:pStyle w:val="SingleTxtG"/>
      </w:pPr>
      <w:r w:rsidRPr="00D60CD4">
        <w:lastRenderedPageBreak/>
        <w:t>85.</w:t>
      </w:r>
      <w:r w:rsidRPr="00D60CD4">
        <w:tab/>
        <w:t>Защита и поощрение прав на репродуктивное здоровье, особенно для женщин и девочек, гарантированы Законом о гендерном равенстве и равноправии № 22 от 2015</w:t>
      </w:r>
      <w:r w:rsidR="001525E1">
        <w:t> </w:t>
      </w:r>
      <w:r w:rsidRPr="00D60CD4">
        <w:t>года. Эти права носят инклюзивный характер и распространяются на женщин и девочек с инвалидностью.</w:t>
      </w:r>
    </w:p>
    <w:p w14:paraId="45866A33" w14:textId="42A2E101" w:rsidR="00D60CD4" w:rsidRPr="00D60CD4" w:rsidRDefault="00D60CD4" w:rsidP="00D60CD4">
      <w:pPr>
        <w:pStyle w:val="SingleTxtG"/>
      </w:pPr>
      <w:r w:rsidRPr="00D60CD4">
        <w:t>86.</w:t>
      </w:r>
      <w:r w:rsidRPr="00D60CD4">
        <w:tab/>
        <w:t xml:space="preserve">По вопросу о доступе к земле следует отметить, </w:t>
      </w:r>
      <w:r w:rsidR="001525E1">
        <w:t>ч</w:t>
      </w:r>
      <w:r w:rsidRPr="00D60CD4">
        <w:t>то Министерство по гендерным вопросам сотрудничает с Министерством по земельным вопросам в целях обеспечения доступа женщин к земле на основе права собственности. В результате этих усилий были приняты меры административного характера, которые позволили увеличить пороговое значение государственных земель, зарезервированных за женщинами, с 30</w:t>
      </w:r>
      <w:r w:rsidR="00533466">
        <w:t> </w:t>
      </w:r>
      <w:r w:rsidR="00AF1E70">
        <w:t>%</w:t>
      </w:r>
      <w:r w:rsidRPr="00D60CD4">
        <w:t xml:space="preserve"> до 40</w:t>
      </w:r>
      <w:r w:rsidR="00AF1E70">
        <w:t xml:space="preserve"> %</w:t>
      </w:r>
      <w:r w:rsidRPr="00D60CD4">
        <w:t xml:space="preserve">. Земельная политика предусматривает целенаправленные меры в интересах женщин-инвалидов, и на практике они во все большем количестве случаев получают доступ к земле. Вместе с тем государство-участник признает ограниченность статистических данных о доступе женщин-инвалидов к земле. В этой связи государство-участник примет меры для обеспечения подготовки таких статистических данных. </w:t>
      </w:r>
    </w:p>
    <w:p w14:paraId="50A4FC3F" w14:textId="77777777" w:rsidR="00D60CD4" w:rsidRPr="00D60CD4" w:rsidRDefault="00D60CD4" w:rsidP="00D60CD4">
      <w:pPr>
        <w:pStyle w:val="SingleTxtG"/>
      </w:pPr>
      <w:r w:rsidRPr="00D60CD4">
        <w:t>87.</w:t>
      </w:r>
      <w:r w:rsidRPr="00D60CD4">
        <w:tab/>
        <w:t>Кроме того, государство-участник назначило женщину с инвалидностью на должность генерального директора ЗАДЛИ. Помимо этого, председателем Совета ЗАДЛИ является женщина с инвалидностью, а одним из членов Совета также является женщина-инвалид. Женщина с инвалидностью также занимала должность постоянного секретаря в Министерстве юстиции в 2011–2016 годах.</w:t>
      </w:r>
    </w:p>
    <w:p w14:paraId="646DCEEE" w14:textId="77777777" w:rsidR="00D60CD4" w:rsidRPr="00D60CD4" w:rsidRDefault="00D60CD4" w:rsidP="00D60CD4">
      <w:pPr>
        <w:pStyle w:val="SingleTxtG"/>
      </w:pPr>
      <w:r w:rsidRPr="00D60CD4">
        <w:t>88.</w:t>
      </w:r>
      <w:r w:rsidRPr="00D60CD4">
        <w:tab/>
        <w:t xml:space="preserve">По линии ЗАДЛИ государство-участник поощряет женщин-инвалидов к созданию организаций инвалидов, действующих в интересах инвалидов, в целях активизации пропагандистской деятельности в защиту их прав. </w:t>
      </w:r>
    </w:p>
    <w:p w14:paraId="63A87CB1" w14:textId="77777777" w:rsidR="00D60CD4" w:rsidRPr="00D60CD4" w:rsidRDefault="00D60CD4" w:rsidP="00D60CD4">
      <w:pPr>
        <w:pStyle w:val="SingleTxtG"/>
      </w:pPr>
      <w:r w:rsidRPr="00D60CD4">
        <w:t>89.</w:t>
      </w:r>
      <w:r w:rsidRPr="00D60CD4">
        <w:tab/>
        <w:t>С целью сокращения масштабов бедности государство-участник также расширяет права и возможности женщин-инвалидов для участия в приносящих доход видах деятельности, например в предпринимательстве и сельском хозяйстве. Успех программ по расширению прав и возможностей еще предстоит оценить, поскольку помощь в виде предоставления стартового капитала была оказана лишь немногим женщинам-инвалидам. Для сокращения разрыва между женщинами без инвалидности и женщинами с инвалидностью необходимо приложить дополнительные усилия.</w:t>
      </w:r>
    </w:p>
    <w:p w14:paraId="51C47248" w14:textId="77777777" w:rsidR="00D60CD4" w:rsidRPr="00D60CD4" w:rsidRDefault="00D60CD4" w:rsidP="00533466">
      <w:pPr>
        <w:pStyle w:val="H23G"/>
      </w:pPr>
      <w:r w:rsidRPr="00D60CD4">
        <w:tab/>
      </w:r>
      <w:r w:rsidRPr="00D60CD4">
        <w:tab/>
        <w:t>Статья 7</w:t>
      </w:r>
      <w:r w:rsidR="00533466">
        <w:br/>
      </w:r>
      <w:r w:rsidRPr="00D60CD4">
        <w:tab/>
        <w:t>Дети-инвалиды</w:t>
      </w:r>
      <w:bookmarkStart w:id="30" w:name="_Toc53587113"/>
      <w:bookmarkEnd w:id="30"/>
    </w:p>
    <w:p w14:paraId="78612824" w14:textId="77777777" w:rsidR="00D60CD4" w:rsidRPr="00D60CD4" w:rsidRDefault="00D60CD4" w:rsidP="00D60CD4">
      <w:pPr>
        <w:pStyle w:val="SingleTxtG"/>
      </w:pPr>
      <w:r w:rsidRPr="00D60CD4">
        <w:t>90.</w:t>
      </w:r>
      <w:r w:rsidRPr="00D60CD4">
        <w:tab/>
        <w:t>Государство-участник признает, что дети-инвалиды являются правообладателями, и будет обеспечивать учет их мнений во всех затрагивающих их вопросах, включая все процессы принятия решений, наравне с другими детьми. Государство-участник приняло меры для обеспечения того, чтобы мальчики и девочки с инвалидностью получали соответствующую возрасту помощь в этих процессах. Во</w:t>
      </w:r>
      <w:r w:rsidR="00533466">
        <w:t> </w:t>
      </w:r>
      <w:r w:rsidRPr="00D60CD4">
        <w:t>всех вопросах, затрагивающих детей-инвалидов, государство-участник руководствуется принципом наилучшего обеспечения интересов ребенка.</w:t>
      </w:r>
    </w:p>
    <w:p w14:paraId="424DF42D" w14:textId="77777777" w:rsidR="00D60CD4" w:rsidRPr="00D60CD4" w:rsidRDefault="00D60CD4" w:rsidP="00D60CD4">
      <w:pPr>
        <w:pStyle w:val="SingleTxtG"/>
      </w:pPr>
      <w:r w:rsidRPr="00D60CD4">
        <w:t>91.</w:t>
      </w:r>
      <w:r w:rsidRPr="00D60CD4">
        <w:tab/>
        <w:t>Государство-участник постепенно переходит на систему инклюзивного образования в целях расширения участия детей-инвалидов в жизни их семей, общин и школьной системы.</w:t>
      </w:r>
    </w:p>
    <w:p w14:paraId="439D2901" w14:textId="77777777" w:rsidR="00D60CD4" w:rsidRDefault="00D60CD4" w:rsidP="00D60CD4">
      <w:pPr>
        <w:pStyle w:val="SingleTxtG"/>
      </w:pPr>
      <w:r w:rsidRPr="00D60CD4">
        <w:t>92.</w:t>
      </w:r>
      <w:r w:rsidRPr="00D60CD4">
        <w:tab/>
        <w:t>Государство-участник признает необходимость поощрения участия девочек-инвалидов в образовании и примет меры для обеспечения их эффективного участия. По линии ЗАДЛИ государство-участник приняло меры для обеспечения участия детей-инвалидов в Международной неделе детского телевидения и радиовещания.</w:t>
      </w:r>
    </w:p>
    <w:p w14:paraId="7F3AF037" w14:textId="77777777" w:rsidR="00D60CD4" w:rsidRPr="00533466" w:rsidRDefault="00D60CD4" w:rsidP="00533466">
      <w:pPr>
        <w:pStyle w:val="H23G"/>
      </w:pPr>
      <w:r>
        <w:tab/>
      </w:r>
      <w:r w:rsidR="00533466">
        <w:tab/>
      </w:r>
      <w:r w:rsidRPr="00533466">
        <w:t>Статья 8</w:t>
      </w:r>
      <w:r w:rsidR="00533466">
        <w:br/>
      </w:r>
      <w:r w:rsidRPr="00533466">
        <w:tab/>
        <w:t>Просветительно-воспитательная работа</w:t>
      </w:r>
      <w:bookmarkStart w:id="31" w:name="_Toc53587114"/>
      <w:bookmarkEnd w:id="31"/>
    </w:p>
    <w:p w14:paraId="131E5A8E" w14:textId="77777777" w:rsidR="00D60CD4" w:rsidRPr="00FA6F7B" w:rsidRDefault="00D60CD4" w:rsidP="00D60CD4">
      <w:pPr>
        <w:pStyle w:val="SingleTxtG"/>
      </w:pPr>
      <w:r>
        <w:t>93.</w:t>
      </w:r>
      <w:r>
        <w:tab/>
        <w:t>Государство-участник осознает необходимость</w:t>
      </w:r>
      <w:r w:rsidRPr="004A6737">
        <w:t xml:space="preserve"> </w:t>
      </w:r>
      <w:r>
        <w:t xml:space="preserve">повышения осведомленности населения о правах инвалидов. В настоящее время Комиссия по правам человека Замбии проводит в трех провинциях кампанию по повышению осведомленности о правах инвалидов, ориентированную на правообладателей, широкую общественность </w:t>
      </w:r>
      <w:r>
        <w:lastRenderedPageBreak/>
        <w:t>и основные заинтересованные стороны. Комиссия по правам человека обменивается информацией, как это предусмотрено в КПИ ООН и Законе о людях с инвалидностью.</w:t>
      </w:r>
    </w:p>
    <w:p w14:paraId="0E84B4B5" w14:textId="77777777" w:rsidR="00D60CD4" w:rsidRPr="00FA6F7B" w:rsidRDefault="00D60CD4" w:rsidP="00D60CD4">
      <w:pPr>
        <w:pStyle w:val="SingleTxtG"/>
      </w:pPr>
      <w:r>
        <w:t>94.</w:t>
      </w:r>
      <w:r>
        <w:tab/>
        <w:t xml:space="preserve">В период 2008–2012 годов государство-участник проводило рабочие совещания и сессии с целью конкретного внедрения КПИ с участием всех ключевых заинтересованных сторон, таких как правительственные отраслевые министерства, бюджетные учреждения, частный сектор, НПО, профсоюзы и церковь. </w:t>
      </w:r>
    </w:p>
    <w:p w14:paraId="1415434C" w14:textId="77777777" w:rsidR="00D60CD4" w:rsidRPr="00FA6F7B" w:rsidRDefault="00D60CD4" w:rsidP="00D60CD4">
      <w:pPr>
        <w:pStyle w:val="SingleTxtG"/>
      </w:pPr>
      <w:r>
        <w:t>95.</w:t>
      </w:r>
      <w:r>
        <w:tab/>
        <w:t>С тех пор государство-участник продолжает повышать осведомленность о правах инвалидов. В Законе о людях с инвалидностью признается важность повышения осведомленности в целях сведения к минимуму маргинализации инвалидов и их вовлечения в социальную жизнь, развитие и политическую жизнь. Статья 14 f) Закона о людях с инвалидностью гласит, что Агентство борется со стереотипами, предрассудками и вредными видами практики в отношении инвалидов во всех областях; поощряет расширение возможностей инвалидов и их вклада в жизнь общества; воспитывает восприимчивость к правам инвалидов; и поощряет средства массовой информации изображать позитивные образы инвалидов.</w:t>
      </w:r>
    </w:p>
    <w:p w14:paraId="0EC36F4A" w14:textId="77777777" w:rsidR="00D60CD4" w:rsidRPr="00FA6F7B" w:rsidRDefault="00D60CD4" w:rsidP="00D60CD4">
      <w:pPr>
        <w:pStyle w:val="SingleTxtG"/>
      </w:pPr>
      <w:r>
        <w:t>96.</w:t>
      </w:r>
      <w:r>
        <w:tab/>
        <w:t>По линии ЗАДЛИ государство-участник также сотрудничает с организациями инвалидов и организациями, занимающимися вопросами инвалидов, родительскими группами и другими поставщиками услуг в деле повышения осведомленности о людях с инвалидностью; профессиональной подготовки и наращивания потенциала; и учета проблем инвалидности. В 2010 году ЗАДЛИ в сотрудничестве с организациями инвалидов провело в прямом эфире 26-недельную радиопрограмму в целях повышения осведомленности о правах инвалидов. Большинство участников дискуссии были выбраны из числа представителей организаций инвалидов. Была повышена осведомленность о толковании КПИ ООН, с тем чтобы люди с инвалидностью через свои представительные организации активизировали информационно-пропагандистскую работу в поддержку включения КПИ ООН во внутреннее законодательство. Это привело к тому, что в 2012 году эта конвенция была включена во внутреннее законодательство. Через свои провинциальные отделения ЗАДЛИ также использует общинные радио- и телевизионные станции для повышения осведомленности о правах инвалидов.</w:t>
      </w:r>
    </w:p>
    <w:p w14:paraId="7A911197" w14:textId="77777777" w:rsidR="00D60CD4" w:rsidRPr="00FA6F7B" w:rsidRDefault="00D60CD4" w:rsidP="00D60CD4">
      <w:pPr>
        <w:pStyle w:val="SingleTxtG"/>
      </w:pPr>
      <w:r>
        <w:t>97.</w:t>
      </w:r>
      <w:r>
        <w:tab/>
        <w:t>Государство-участник через Министерство общинного развития и социального обеспечения, организации инвалидов и организации, занимающиеся вопросами инвалидов, при поддержке сотрудничающих партнеров проводит информационно-просветительные кампании и учебные мероприятия по вопросам равенства инвалидов в Южной провинции в рамках экспериментальной программы реабилитации по месту жительства (РМЖ). В рамках этих кампаний используются такие стратегии, как проведение информационно-просветительных совещаний, организация учебных мероприятий по вопросам равенства инвалидов и оказание поддержки в разработке политики в отношении инвалидов на рабочих местах. В результате осуществления программы РМЖ была создана расширяющаяся система инклюзивного образования при активном участии родителей.</w:t>
      </w:r>
    </w:p>
    <w:p w14:paraId="2A5CD866" w14:textId="77777777" w:rsidR="00D60CD4" w:rsidRPr="00FA6F7B" w:rsidRDefault="00D60CD4" w:rsidP="00D60CD4">
      <w:pPr>
        <w:pStyle w:val="SingleTxtG"/>
      </w:pPr>
      <w:r>
        <w:t>98.</w:t>
      </w:r>
      <w:r>
        <w:tab/>
        <w:t xml:space="preserve">Государство-участник через Агентство также взяло на себя ведущую роль в использовании, в частности, таких общественных мероприятий, как Международный день инвалидов (МДИ), День Белой трости, День альбинизма, День психического здоровья и Неделя информирования о глухих, в качестве средства повышения осведомленности по вопросам инвалидности. </w:t>
      </w:r>
    </w:p>
    <w:p w14:paraId="46E69559" w14:textId="77777777" w:rsidR="00D60CD4" w:rsidRPr="00FA6F7B" w:rsidRDefault="00D60CD4" w:rsidP="00D60CD4">
      <w:pPr>
        <w:pStyle w:val="SingleTxtG"/>
      </w:pPr>
      <w:r>
        <w:t>99.</w:t>
      </w:r>
      <w:r>
        <w:tab/>
        <w:t xml:space="preserve">Что касается доступа инвалидов к информации, то государство-участник через Национальные службы вещания Замбии (НСВЗ) попыталось создать соответствующее пространство во всех программах и обеспечить инвалидам доступ к информации наравне с другими. В этой связи данное учреждение стремилось обеспечить освещение программ для инвалидов с помощью флагманских программ и ток-шоу. К таким программам относятся, в частности, программа </w:t>
      </w:r>
      <w:r w:rsidR="00AF1E70">
        <w:t>«</w:t>
      </w:r>
      <w:r>
        <w:t>Полноценная жизнь</w:t>
      </w:r>
      <w:r w:rsidR="00AF1E70">
        <w:t>»</w:t>
      </w:r>
      <w:r>
        <w:t xml:space="preserve">, посвященная людям с инвалидностью, и программа </w:t>
      </w:r>
      <w:r w:rsidR="00AF1E70">
        <w:t>«</w:t>
      </w:r>
      <w:r>
        <w:t>Прекратим молчать</w:t>
      </w:r>
      <w:r w:rsidR="00AF1E70">
        <w:t>»</w:t>
      </w:r>
      <w:r>
        <w:t xml:space="preserve">, в которой рассматриваются вопросы, затрагивающие лиц с альбинизмом. </w:t>
      </w:r>
    </w:p>
    <w:p w14:paraId="16FC5E70" w14:textId="77777777" w:rsidR="00D60CD4" w:rsidRPr="00FA6F7B" w:rsidRDefault="00D60CD4" w:rsidP="00941626">
      <w:pPr>
        <w:pStyle w:val="SingleTxtG"/>
        <w:keepNext/>
        <w:keepLines/>
      </w:pPr>
      <w:r>
        <w:lastRenderedPageBreak/>
        <w:t>100.</w:t>
      </w:r>
      <w:r>
        <w:tab/>
        <w:t>Государство-участник привержено обеспечению для заинтересованных сторон подготовки по проблемам доступности, с которыми сталкиваются инвалиды. Закон о людях с инвалидностью требует, чтобы правительство распространяло информацию о положениях Закона и содействовало повышению осведомленности общественности о правах инвалидов посредством проведения правительством через соответствующие министерства, департаменты, органы власти и другие учреждения всеобъемлющей общенациональной информационно-просветительной кампании.</w:t>
      </w:r>
    </w:p>
    <w:p w14:paraId="6ABF9FC3" w14:textId="77777777" w:rsidR="00D60CD4" w:rsidRPr="00FA6F7B" w:rsidRDefault="00D60CD4" w:rsidP="00D60CD4">
      <w:pPr>
        <w:pStyle w:val="H23G"/>
      </w:pPr>
      <w:bookmarkStart w:id="32" w:name="_Toc303289871"/>
      <w:r>
        <w:tab/>
      </w:r>
      <w:r>
        <w:tab/>
      </w:r>
      <w:r>
        <w:rPr>
          <w:bCs/>
        </w:rPr>
        <w:t>Статья 9</w:t>
      </w:r>
      <w:r w:rsidR="00533466">
        <w:rPr>
          <w:bCs/>
        </w:rPr>
        <w:br/>
      </w:r>
      <w:r>
        <w:rPr>
          <w:bCs/>
        </w:rPr>
        <w:tab/>
        <w:t>Доступность</w:t>
      </w:r>
      <w:bookmarkStart w:id="33" w:name="_Toc53587115"/>
      <w:bookmarkEnd w:id="32"/>
      <w:bookmarkEnd w:id="33"/>
    </w:p>
    <w:p w14:paraId="5460FB11" w14:textId="77777777" w:rsidR="00D60CD4" w:rsidRPr="00FA6F7B" w:rsidRDefault="00D60CD4" w:rsidP="00D60CD4">
      <w:pPr>
        <w:pStyle w:val="SingleTxtG"/>
      </w:pPr>
      <w:r>
        <w:t>101.</w:t>
      </w:r>
      <w:r>
        <w:tab/>
        <w:t>Государство-участник признает, что в своей повседневной жизни инвалиды сталкиваются с различными барьерами. Существуют экологические, коммуникационные, социальные и экономические барьеры. В этой связи государство-участник приняло законодательные, политические и административные меры, направленные на смягчение этих проблем и оказание дальнейшей помощи инвалидам в достижении приемлемого и достойного качества жизни. Эти меры направлены на содействие обеспечению равных возможностей для всестороннего и эффективного участия инвалидов в экономической, социальной, культурной и политической жизни.</w:t>
      </w:r>
    </w:p>
    <w:p w14:paraId="278CA55A" w14:textId="77777777" w:rsidR="00D60CD4" w:rsidRPr="00FA6F7B" w:rsidRDefault="00D60CD4" w:rsidP="00D60CD4">
      <w:pPr>
        <w:pStyle w:val="SingleTxtG"/>
      </w:pPr>
      <w:r>
        <w:t>102.</w:t>
      </w:r>
      <w:r>
        <w:tab/>
        <w:t xml:space="preserve">Права инвалидов гарантированы в соответствии с пунктом 1 а) статьи 40 Закона о людях с инвалидностью, который требует от министра общинного развития и социального обеспечения, в консультации с министром транспорта, работ и связи, принимать надлежащие меры к тому, чтобы людям с инвалидностью был обеспечен доступ, наравне с другими, к физической среде, транспорту, информации и связи, а также к другим объектам и услугам, открытым или предоставляемым населению как в сельских, так и в городских районах. </w:t>
      </w:r>
    </w:p>
    <w:p w14:paraId="59B02FEE" w14:textId="77777777" w:rsidR="00D60CD4" w:rsidRPr="00FA6F7B" w:rsidRDefault="00D60CD4" w:rsidP="00D60CD4">
      <w:pPr>
        <w:pStyle w:val="SingleTxtG"/>
      </w:pPr>
      <w:r>
        <w:t>103.</w:t>
      </w:r>
      <w:r>
        <w:tab/>
        <w:t xml:space="preserve">Национальная политика в области инвалидности признает доступность в качестве сквозной проблемы, которая должна оставаться основополагающим соображением в таких сферах, как антропогенная среда, информация и услуги. С этой целью она обеспечивает политические рамки для создания среды, благоприятной для полной реализации инвалидами своего потенциала и внесения ими вклада в развитие общества. </w:t>
      </w:r>
    </w:p>
    <w:p w14:paraId="572BAD2E" w14:textId="77777777" w:rsidR="00D60CD4" w:rsidRPr="00FA6F7B" w:rsidRDefault="00D60CD4" w:rsidP="00D60CD4">
      <w:pPr>
        <w:pStyle w:val="SingleTxtG"/>
      </w:pPr>
      <w:r>
        <w:t>104.</w:t>
      </w:r>
      <w:r>
        <w:tab/>
        <w:t>В пункте 1 a) и b) статьи 41 указывается, что никто не должен отказывать инвалиду на основании инвалидности в приеме или предоставлении услуг или удобств, на которые имеют право члены общества.</w:t>
      </w:r>
    </w:p>
    <w:p w14:paraId="419F90E2" w14:textId="77777777" w:rsidR="00D60CD4" w:rsidRPr="00FA6F7B" w:rsidRDefault="00D60CD4" w:rsidP="00D60CD4">
      <w:pPr>
        <w:pStyle w:val="SingleTxtG"/>
      </w:pPr>
      <w:r>
        <w:t>105.</w:t>
      </w:r>
      <w:r>
        <w:tab/>
        <w:t xml:space="preserve">Государство-участник приняло во внимание проблему доступности автомобилей для инвалидов. Пункт 1 статьи 44 Закона о людях с инвалидностью предусматривает, что инвалид может импортировать транспортное средство, адаптированное или модифицированное для использования инвалидами. Вместе с тем государство-участник признает, что инвалиды сталкиваются с трудностями при ввозе таких нетрадиционных автотранспортных средств, поскольку Закон и подзаконный акт № 97 требуют от изготовителей внесения изменений в автотранспортные средства. Это привело к тому, что инвалиды вынуждены покупать обычные автомобили без освобождения от уплаты налогов. В этой связи государство-участник занимается подготовкой поправок для внесения в данное положение Закона. </w:t>
      </w:r>
    </w:p>
    <w:p w14:paraId="2185F968" w14:textId="77777777" w:rsidR="00D60CD4" w:rsidRPr="00FA6F7B" w:rsidRDefault="00D60CD4" w:rsidP="00D60CD4">
      <w:pPr>
        <w:pStyle w:val="SingleTxtG"/>
      </w:pPr>
      <w:r>
        <w:t>106.</w:t>
      </w:r>
      <w:r>
        <w:tab/>
        <w:t>Пункт 2 статьи 44 Закона о людях с инвалидностью предусматривает освобождение от уплаты налогов, среди прочего, на ассистивные устройства, такие как инвалидные коляски, и модификацию транспортных средств.</w:t>
      </w:r>
    </w:p>
    <w:p w14:paraId="2BBDD350" w14:textId="77777777" w:rsidR="00D60CD4" w:rsidRPr="00FA6F7B" w:rsidRDefault="00D60CD4" w:rsidP="00D60CD4">
      <w:pPr>
        <w:pStyle w:val="SingleTxtG"/>
      </w:pPr>
      <w:r>
        <w:t>107.</w:t>
      </w:r>
      <w:r>
        <w:tab/>
        <w:t xml:space="preserve">Государство-участник признает, что внутри городов, как правило, не имеется удобных пешеходных дорожек, не говоря уже о дорожках, удобных для инвалидов. Правительство признает, что еще предстоит приложить много усилий к тому, чтобы сделать их более удобными для использования инвалидами. </w:t>
      </w:r>
    </w:p>
    <w:p w14:paraId="2C60774F" w14:textId="7AC49933" w:rsidR="00D60CD4" w:rsidRPr="00FA6F7B" w:rsidRDefault="00D60CD4" w:rsidP="00D60CD4">
      <w:pPr>
        <w:pStyle w:val="SingleTxtG"/>
      </w:pPr>
      <w:r>
        <w:t>108.</w:t>
      </w:r>
      <w:r>
        <w:tab/>
        <w:t xml:space="preserve">Закон о людях с инвалидностью также предусматривает установку звуковых сигналов на светофорах на дорогах общего пользования для лиц с нарушениями зрения; обеспечение наличия вырезов и скосов на бордюрах тротуаров для удобного доступа пользователей инвалидных колясок; нанесение гравировки на поверхность </w:t>
      </w:r>
      <w:r>
        <w:lastRenderedPageBreak/>
        <w:t>пешеходных переходов и края пассажирских железнодорожных платформ в интересах лиц с нарушениями зрения; размещение соответствующих знаков инвалидности; и</w:t>
      </w:r>
      <w:r w:rsidR="008A67E7">
        <w:t> </w:t>
      </w:r>
      <w:r>
        <w:t>размещение предупреждающих сигналов и знаков в соответствующих местах.</w:t>
      </w:r>
    </w:p>
    <w:p w14:paraId="0BCDE3F9" w14:textId="77777777" w:rsidR="00D60CD4" w:rsidRPr="00FA6F7B" w:rsidRDefault="00D60CD4" w:rsidP="00D60CD4">
      <w:pPr>
        <w:pStyle w:val="SingleTxtG"/>
      </w:pPr>
      <w:r>
        <w:t>109.</w:t>
      </w:r>
      <w:r>
        <w:tab/>
        <w:t>По линии ЗАДЛИ государство-участник предоставляет инвалидам бесплатные ассистивные технологии, которые приспособлены с учетом соответствующей инвалидности, с тем чтобы повысить их функциональную эффективность и безопасность для конечных пользователей. Следует упомянуть, что государство-участник не имеет надежного источника ассистивных технологий. Основными производителями ассистивных технологий являются иностранные компании, работающие в Африке и за ее пределами.</w:t>
      </w:r>
    </w:p>
    <w:p w14:paraId="74AF8BDD" w14:textId="77777777" w:rsidR="00D60CD4" w:rsidRPr="00FA6F7B" w:rsidRDefault="00533466" w:rsidP="00533466">
      <w:pPr>
        <w:pStyle w:val="H23G"/>
        <w:rPr>
          <w:bCs/>
        </w:rPr>
      </w:pPr>
      <w:bookmarkStart w:id="34" w:name="_Toc53587116"/>
      <w:r>
        <w:tab/>
      </w:r>
      <w:r>
        <w:tab/>
      </w:r>
      <w:r w:rsidR="00D60CD4" w:rsidRPr="00533466">
        <w:rPr>
          <w:b w:val="0"/>
          <w:bCs/>
        </w:rPr>
        <w:t xml:space="preserve">Таблица 1 </w:t>
      </w:r>
      <w:r>
        <w:br/>
      </w:r>
      <w:r w:rsidR="00D60CD4">
        <w:t xml:space="preserve">Перечень закупленных и безвозмездно переданных ассистивных устройств </w:t>
      </w:r>
      <w:r>
        <w:br/>
      </w:r>
      <w:r w:rsidR="00D60CD4">
        <w:t>за период с 2016 года по март 2017 года</w:t>
      </w:r>
      <w:bookmarkEnd w:id="34"/>
    </w:p>
    <w:tbl>
      <w:tblPr>
        <w:tblW w:w="7370" w:type="dxa"/>
        <w:tblInd w:w="1134" w:type="dxa"/>
        <w:tblLayout w:type="fixed"/>
        <w:tblCellMar>
          <w:left w:w="0" w:type="dxa"/>
          <w:right w:w="0" w:type="dxa"/>
        </w:tblCellMar>
        <w:tblLook w:val="04A0" w:firstRow="1" w:lastRow="0" w:firstColumn="1" w:lastColumn="0" w:noHBand="0" w:noVBand="1"/>
      </w:tblPr>
      <w:tblGrid>
        <w:gridCol w:w="567"/>
        <w:gridCol w:w="3969"/>
        <w:gridCol w:w="2834"/>
      </w:tblGrid>
      <w:tr w:rsidR="00533466" w:rsidRPr="00533466" w14:paraId="156BF637" w14:textId="77777777" w:rsidTr="008A67E7">
        <w:trPr>
          <w:tblHeader/>
        </w:trPr>
        <w:tc>
          <w:tcPr>
            <w:tcW w:w="567" w:type="dxa"/>
            <w:tcBorders>
              <w:top w:val="single" w:sz="4" w:space="0" w:color="auto"/>
              <w:bottom w:val="single" w:sz="12" w:space="0" w:color="auto"/>
            </w:tcBorders>
            <w:shd w:val="clear" w:color="auto" w:fill="auto"/>
            <w:vAlign w:val="bottom"/>
          </w:tcPr>
          <w:p w14:paraId="0D959746" w14:textId="77777777" w:rsidR="00D60CD4" w:rsidRPr="00533466" w:rsidRDefault="00D60CD4" w:rsidP="00533466">
            <w:pPr>
              <w:suppressAutoHyphens w:val="0"/>
              <w:spacing w:before="80" w:after="80" w:line="200" w:lineRule="exact"/>
              <w:ind w:left="28"/>
              <w:rPr>
                <w:rFonts w:cs="Times New Roman"/>
                <w:i/>
                <w:sz w:val="16"/>
              </w:rPr>
            </w:pPr>
            <w:r w:rsidRPr="00533466">
              <w:rPr>
                <w:rFonts w:cs="Times New Roman"/>
                <w:i/>
                <w:sz w:val="16"/>
              </w:rPr>
              <w:t>№</w:t>
            </w:r>
          </w:p>
        </w:tc>
        <w:tc>
          <w:tcPr>
            <w:tcW w:w="3969" w:type="dxa"/>
            <w:tcBorders>
              <w:top w:val="single" w:sz="4" w:space="0" w:color="auto"/>
              <w:bottom w:val="single" w:sz="12" w:space="0" w:color="auto"/>
            </w:tcBorders>
            <w:shd w:val="clear" w:color="auto" w:fill="auto"/>
            <w:vAlign w:val="bottom"/>
          </w:tcPr>
          <w:p w14:paraId="3ED900D1" w14:textId="77777777" w:rsidR="00D60CD4" w:rsidRPr="00533466" w:rsidRDefault="00D60CD4" w:rsidP="008A67E7">
            <w:pPr>
              <w:suppressAutoHyphens w:val="0"/>
              <w:spacing w:before="80" w:after="80" w:line="200" w:lineRule="exact"/>
              <w:ind w:left="28"/>
              <w:rPr>
                <w:rFonts w:cs="Times New Roman"/>
                <w:i/>
                <w:sz w:val="16"/>
              </w:rPr>
            </w:pPr>
            <w:r w:rsidRPr="00533466">
              <w:rPr>
                <w:rFonts w:cs="Times New Roman"/>
                <w:i/>
                <w:sz w:val="16"/>
              </w:rPr>
              <w:t>Тип ассистивных устройств</w:t>
            </w:r>
          </w:p>
        </w:tc>
        <w:tc>
          <w:tcPr>
            <w:tcW w:w="2834" w:type="dxa"/>
            <w:tcBorders>
              <w:top w:val="single" w:sz="4" w:space="0" w:color="auto"/>
              <w:bottom w:val="single" w:sz="12" w:space="0" w:color="auto"/>
            </w:tcBorders>
            <w:shd w:val="clear" w:color="auto" w:fill="auto"/>
            <w:vAlign w:val="bottom"/>
          </w:tcPr>
          <w:p w14:paraId="26012818" w14:textId="77777777" w:rsidR="00D60CD4" w:rsidRPr="00533466" w:rsidRDefault="00D60CD4" w:rsidP="00533466">
            <w:pPr>
              <w:suppressAutoHyphens w:val="0"/>
              <w:spacing w:before="80" w:after="80" w:line="200" w:lineRule="exact"/>
              <w:ind w:left="28"/>
              <w:jc w:val="right"/>
              <w:rPr>
                <w:rFonts w:cs="Times New Roman"/>
                <w:i/>
                <w:sz w:val="16"/>
              </w:rPr>
            </w:pPr>
            <w:r w:rsidRPr="00533466">
              <w:rPr>
                <w:rFonts w:cs="Times New Roman"/>
                <w:i/>
                <w:sz w:val="16"/>
              </w:rPr>
              <w:t>Количество ассистивных устройств</w:t>
            </w:r>
          </w:p>
        </w:tc>
      </w:tr>
      <w:tr w:rsidR="00D60CD4" w:rsidRPr="00533466" w14:paraId="103A9B0C" w14:textId="77777777" w:rsidTr="008A67E7">
        <w:tc>
          <w:tcPr>
            <w:tcW w:w="567" w:type="dxa"/>
            <w:tcBorders>
              <w:top w:val="single" w:sz="12" w:space="0" w:color="auto"/>
            </w:tcBorders>
            <w:shd w:val="clear" w:color="auto" w:fill="auto"/>
          </w:tcPr>
          <w:p w14:paraId="69D1591F" w14:textId="77777777" w:rsidR="00D60CD4" w:rsidRPr="00533466" w:rsidRDefault="00D60CD4" w:rsidP="00533466">
            <w:pPr>
              <w:suppressAutoHyphens w:val="0"/>
              <w:spacing w:before="40" w:after="40" w:line="220" w:lineRule="exact"/>
              <w:rPr>
                <w:rFonts w:cs="Times New Roman"/>
                <w:sz w:val="18"/>
              </w:rPr>
            </w:pPr>
            <w:r w:rsidRPr="00533466">
              <w:rPr>
                <w:rFonts w:cs="Times New Roman"/>
                <w:sz w:val="18"/>
              </w:rPr>
              <w:t>1.</w:t>
            </w:r>
          </w:p>
        </w:tc>
        <w:tc>
          <w:tcPr>
            <w:tcW w:w="3969" w:type="dxa"/>
            <w:tcBorders>
              <w:top w:val="single" w:sz="12" w:space="0" w:color="auto"/>
            </w:tcBorders>
            <w:shd w:val="clear" w:color="auto" w:fill="auto"/>
            <w:vAlign w:val="bottom"/>
          </w:tcPr>
          <w:p w14:paraId="1F54DC7F" w14:textId="77777777" w:rsidR="00D60CD4" w:rsidRPr="00533466" w:rsidRDefault="00D60CD4" w:rsidP="008A67E7">
            <w:pPr>
              <w:suppressAutoHyphens w:val="0"/>
              <w:spacing w:before="40" w:after="40" w:line="220" w:lineRule="exact"/>
              <w:rPr>
                <w:rFonts w:cs="Times New Roman"/>
                <w:sz w:val="18"/>
              </w:rPr>
            </w:pPr>
            <w:r w:rsidRPr="00533466">
              <w:rPr>
                <w:rFonts w:cs="Times New Roman"/>
                <w:sz w:val="18"/>
              </w:rPr>
              <w:t>Костыли</w:t>
            </w:r>
          </w:p>
        </w:tc>
        <w:tc>
          <w:tcPr>
            <w:tcW w:w="2834" w:type="dxa"/>
            <w:tcBorders>
              <w:top w:val="single" w:sz="12" w:space="0" w:color="auto"/>
            </w:tcBorders>
            <w:shd w:val="clear" w:color="auto" w:fill="auto"/>
            <w:vAlign w:val="bottom"/>
          </w:tcPr>
          <w:p w14:paraId="159BACA3" w14:textId="77777777" w:rsidR="00D60CD4" w:rsidRPr="00533466" w:rsidRDefault="00D60CD4" w:rsidP="00533466">
            <w:pPr>
              <w:suppressAutoHyphens w:val="0"/>
              <w:spacing w:before="40" w:after="40" w:line="220" w:lineRule="exact"/>
              <w:jc w:val="right"/>
              <w:rPr>
                <w:rFonts w:cs="Times New Roman"/>
                <w:sz w:val="18"/>
              </w:rPr>
            </w:pPr>
            <w:r w:rsidRPr="00533466">
              <w:rPr>
                <w:rFonts w:cs="Times New Roman"/>
                <w:sz w:val="18"/>
              </w:rPr>
              <w:t>1 158</w:t>
            </w:r>
          </w:p>
        </w:tc>
      </w:tr>
      <w:tr w:rsidR="00D60CD4" w:rsidRPr="00533466" w14:paraId="6A06F015" w14:textId="77777777" w:rsidTr="008A67E7">
        <w:tc>
          <w:tcPr>
            <w:tcW w:w="567" w:type="dxa"/>
            <w:shd w:val="clear" w:color="auto" w:fill="auto"/>
          </w:tcPr>
          <w:p w14:paraId="335AC6D2" w14:textId="77777777" w:rsidR="00D60CD4" w:rsidRPr="00533466" w:rsidRDefault="00D60CD4" w:rsidP="00533466">
            <w:pPr>
              <w:suppressAutoHyphens w:val="0"/>
              <w:spacing w:before="40" w:after="40" w:line="220" w:lineRule="exact"/>
              <w:rPr>
                <w:rFonts w:cs="Times New Roman"/>
                <w:sz w:val="18"/>
              </w:rPr>
            </w:pPr>
            <w:r w:rsidRPr="00533466">
              <w:rPr>
                <w:rFonts w:cs="Times New Roman"/>
                <w:sz w:val="18"/>
              </w:rPr>
              <w:t>2.</w:t>
            </w:r>
          </w:p>
        </w:tc>
        <w:tc>
          <w:tcPr>
            <w:tcW w:w="3969" w:type="dxa"/>
            <w:shd w:val="clear" w:color="auto" w:fill="auto"/>
            <w:vAlign w:val="bottom"/>
          </w:tcPr>
          <w:p w14:paraId="3C8A2741" w14:textId="77777777" w:rsidR="00D60CD4" w:rsidRPr="00533466" w:rsidRDefault="00D60CD4" w:rsidP="008A67E7">
            <w:pPr>
              <w:suppressAutoHyphens w:val="0"/>
              <w:spacing w:before="40" w:after="40" w:line="220" w:lineRule="exact"/>
              <w:rPr>
                <w:rFonts w:cs="Times New Roman"/>
                <w:sz w:val="18"/>
              </w:rPr>
            </w:pPr>
            <w:r w:rsidRPr="00533466">
              <w:rPr>
                <w:rFonts w:cs="Times New Roman"/>
                <w:sz w:val="18"/>
              </w:rPr>
              <w:t>Инвалидные кресла-коляски</w:t>
            </w:r>
          </w:p>
        </w:tc>
        <w:tc>
          <w:tcPr>
            <w:tcW w:w="2834" w:type="dxa"/>
            <w:shd w:val="clear" w:color="auto" w:fill="auto"/>
            <w:vAlign w:val="bottom"/>
          </w:tcPr>
          <w:p w14:paraId="1B10AE99" w14:textId="77777777" w:rsidR="00D60CD4" w:rsidRPr="00533466" w:rsidRDefault="00D60CD4" w:rsidP="00533466">
            <w:pPr>
              <w:suppressAutoHyphens w:val="0"/>
              <w:spacing w:before="40" w:after="40" w:line="220" w:lineRule="exact"/>
              <w:jc w:val="right"/>
              <w:rPr>
                <w:rFonts w:cs="Times New Roman"/>
                <w:sz w:val="18"/>
              </w:rPr>
            </w:pPr>
            <w:r w:rsidRPr="00533466">
              <w:rPr>
                <w:rFonts w:cs="Times New Roman"/>
                <w:sz w:val="18"/>
              </w:rPr>
              <w:t>1 232</w:t>
            </w:r>
          </w:p>
        </w:tc>
      </w:tr>
      <w:tr w:rsidR="00D60CD4" w:rsidRPr="00533466" w14:paraId="67A9E830" w14:textId="77777777" w:rsidTr="008A67E7">
        <w:tc>
          <w:tcPr>
            <w:tcW w:w="567" w:type="dxa"/>
            <w:shd w:val="clear" w:color="auto" w:fill="auto"/>
          </w:tcPr>
          <w:p w14:paraId="273540EE" w14:textId="77777777" w:rsidR="00D60CD4" w:rsidRPr="00533466" w:rsidRDefault="00D60CD4" w:rsidP="00533466">
            <w:pPr>
              <w:suppressAutoHyphens w:val="0"/>
              <w:spacing w:before="40" w:after="40" w:line="220" w:lineRule="exact"/>
              <w:rPr>
                <w:rFonts w:cs="Times New Roman"/>
                <w:sz w:val="18"/>
              </w:rPr>
            </w:pPr>
            <w:r w:rsidRPr="00533466">
              <w:rPr>
                <w:rFonts w:cs="Times New Roman"/>
                <w:sz w:val="18"/>
              </w:rPr>
              <w:t>3.</w:t>
            </w:r>
          </w:p>
        </w:tc>
        <w:tc>
          <w:tcPr>
            <w:tcW w:w="3969" w:type="dxa"/>
            <w:shd w:val="clear" w:color="auto" w:fill="auto"/>
            <w:vAlign w:val="bottom"/>
          </w:tcPr>
          <w:p w14:paraId="4108A222" w14:textId="77777777" w:rsidR="00D60CD4" w:rsidRPr="00533466" w:rsidRDefault="00D60CD4" w:rsidP="008A67E7">
            <w:pPr>
              <w:suppressAutoHyphens w:val="0"/>
              <w:spacing w:before="40" w:after="40" w:line="220" w:lineRule="exact"/>
              <w:rPr>
                <w:rFonts w:cs="Times New Roman"/>
                <w:sz w:val="18"/>
              </w:rPr>
            </w:pPr>
            <w:r w:rsidRPr="00533466">
              <w:rPr>
                <w:rFonts w:cs="Times New Roman"/>
                <w:sz w:val="18"/>
              </w:rPr>
              <w:t>Солнечные очки</w:t>
            </w:r>
          </w:p>
        </w:tc>
        <w:tc>
          <w:tcPr>
            <w:tcW w:w="2834" w:type="dxa"/>
            <w:shd w:val="clear" w:color="auto" w:fill="auto"/>
            <w:vAlign w:val="bottom"/>
          </w:tcPr>
          <w:p w14:paraId="0340CA9F" w14:textId="77777777" w:rsidR="00D60CD4" w:rsidRPr="00533466" w:rsidRDefault="00D60CD4" w:rsidP="00533466">
            <w:pPr>
              <w:suppressAutoHyphens w:val="0"/>
              <w:spacing w:before="40" w:after="40" w:line="220" w:lineRule="exact"/>
              <w:jc w:val="right"/>
              <w:rPr>
                <w:rFonts w:cs="Times New Roman"/>
                <w:sz w:val="18"/>
              </w:rPr>
            </w:pPr>
            <w:r w:rsidRPr="00533466">
              <w:rPr>
                <w:rFonts w:cs="Times New Roman"/>
                <w:sz w:val="18"/>
              </w:rPr>
              <w:t>200</w:t>
            </w:r>
          </w:p>
        </w:tc>
      </w:tr>
      <w:tr w:rsidR="00D60CD4" w:rsidRPr="00533466" w14:paraId="7EAE3981" w14:textId="77777777" w:rsidTr="008A67E7">
        <w:tc>
          <w:tcPr>
            <w:tcW w:w="567" w:type="dxa"/>
            <w:shd w:val="clear" w:color="auto" w:fill="auto"/>
          </w:tcPr>
          <w:p w14:paraId="7C3D5CA4" w14:textId="77777777" w:rsidR="00D60CD4" w:rsidRPr="00533466" w:rsidRDefault="00D60CD4" w:rsidP="00533466">
            <w:pPr>
              <w:suppressAutoHyphens w:val="0"/>
              <w:spacing w:before="40" w:after="40" w:line="220" w:lineRule="exact"/>
              <w:rPr>
                <w:rFonts w:cs="Times New Roman"/>
                <w:sz w:val="18"/>
              </w:rPr>
            </w:pPr>
            <w:r w:rsidRPr="00533466">
              <w:rPr>
                <w:rFonts w:cs="Times New Roman"/>
                <w:sz w:val="18"/>
              </w:rPr>
              <w:t>4.</w:t>
            </w:r>
          </w:p>
        </w:tc>
        <w:tc>
          <w:tcPr>
            <w:tcW w:w="3969" w:type="dxa"/>
            <w:shd w:val="clear" w:color="auto" w:fill="auto"/>
            <w:vAlign w:val="bottom"/>
          </w:tcPr>
          <w:p w14:paraId="5918034D" w14:textId="77777777" w:rsidR="00D60CD4" w:rsidRPr="00533466" w:rsidRDefault="00D60CD4" w:rsidP="008A67E7">
            <w:pPr>
              <w:suppressAutoHyphens w:val="0"/>
              <w:spacing w:before="40" w:after="40" w:line="220" w:lineRule="exact"/>
              <w:rPr>
                <w:rFonts w:cs="Times New Roman"/>
                <w:sz w:val="18"/>
              </w:rPr>
            </w:pPr>
            <w:r w:rsidRPr="00533466">
              <w:rPr>
                <w:rFonts w:cs="Times New Roman"/>
                <w:sz w:val="18"/>
              </w:rPr>
              <w:t>Протезы конечностей</w:t>
            </w:r>
          </w:p>
        </w:tc>
        <w:tc>
          <w:tcPr>
            <w:tcW w:w="2834" w:type="dxa"/>
            <w:shd w:val="clear" w:color="auto" w:fill="auto"/>
            <w:vAlign w:val="bottom"/>
          </w:tcPr>
          <w:p w14:paraId="09438767" w14:textId="77777777" w:rsidR="00D60CD4" w:rsidRPr="00533466" w:rsidRDefault="00D60CD4" w:rsidP="00533466">
            <w:pPr>
              <w:suppressAutoHyphens w:val="0"/>
              <w:spacing w:before="40" w:after="40" w:line="220" w:lineRule="exact"/>
              <w:jc w:val="right"/>
              <w:rPr>
                <w:rFonts w:cs="Times New Roman"/>
                <w:sz w:val="18"/>
              </w:rPr>
            </w:pPr>
            <w:r w:rsidRPr="00533466">
              <w:rPr>
                <w:rFonts w:cs="Times New Roman"/>
                <w:sz w:val="18"/>
              </w:rPr>
              <w:t>52</w:t>
            </w:r>
          </w:p>
        </w:tc>
      </w:tr>
      <w:tr w:rsidR="00D60CD4" w:rsidRPr="00533466" w14:paraId="39CA999C" w14:textId="77777777" w:rsidTr="008A67E7">
        <w:tc>
          <w:tcPr>
            <w:tcW w:w="567" w:type="dxa"/>
            <w:shd w:val="clear" w:color="auto" w:fill="auto"/>
          </w:tcPr>
          <w:p w14:paraId="7CE107D0" w14:textId="77777777" w:rsidR="00D60CD4" w:rsidRPr="00533466" w:rsidRDefault="00D60CD4" w:rsidP="00533466">
            <w:pPr>
              <w:suppressAutoHyphens w:val="0"/>
              <w:spacing w:before="40" w:after="40" w:line="220" w:lineRule="exact"/>
              <w:rPr>
                <w:rFonts w:cs="Times New Roman"/>
                <w:sz w:val="18"/>
              </w:rPr>
            </w:pPr>
            <w:r w:rsidRPr="00533466">
              <w:rPr>
                <w:rFonts w:cs="Times New Roman"/>
                <w:sz w:val="18"/>
              </w:rPr>
              <w:t>5.</w:t>
            </w:r>
          </w:p>
        </w:tc>
        <w:tc>
          <w:tcPr>
            <w:tcW w:w="3969" w:type="dxa"/>
            <w:shd w:val="clear" w:color="auto" w:fill="auto"/>
            <w:vAlign w:val="bottom"/>
          </w:tcPr>
          <w:p w14:paraId="5FF5C3CD" w14:textId="77777777" w:rsidR="00D60CD4" w:rsidRPr="00533466" w:rsidRDefault="00D60CD4" w:rsidP="008A67E7">
            <w:pPr>
              <w:suppressAutoHyphens w:val="0"/>
              <w:spacing w:before="40" w:after="40" w:line="220" w:lineRule="exact"/>
              <w:rPr>
                <w:rFonts w:cs="Times New Roman"/>
                <w:sz w:val="18"/>
              </w:rPr>
            </w:pPr>
            <w:r w:rsidRPr="00533466">
              <w:rPr>
                <w:rFonts w:cs="Times New Roman"/>
                <w:sz w:val="18"/>
              </w:rPr>
              <w:t>Ходунки</w:t>
            </w:r>
          </w:p>
        </w:tc>
        <w:tc>
          <w:tcPr>
            <w:tcW w:w="2834" w:type="dxa"/>
            <w:shd w:val="clear" w:color="auto" w:fill="auto"/>
            <w:vAlign w:val="bottom"/>
          </w:tcPr>
          <w:p w14:paraId="72657872" w14:textId="77777777" w:rsidR="00D60CD4" w:rsidRPr="00533466" w:rsidRDefault="00D60CD4" w:rsidP="00533466">
            <w:pPr>
              <w:suppressAutoHyphens w:val="0"/>
              <w:spacing w:before="40" w:after="40" w:line="220" w:lineRule="exact"/>
              <w:jc w:val="right"/>
              <w:rPr>
                <w:rFonts w:cs="Times New Roman"/>
                <w:sz w:val="18"/>
              </w:rPr>
            </w:pPr>
            <w:r w:rsidRPr="00533466">
              <w:rPr>
                <w:rFonts w:cs="Times New Roman"/>
                <w:sz w:val="18"/>
              </w:rPr>
              <w:t>164</w:t>
            </w:r>
          </w:p>
        </w:tc>
      </w:tr>
      <w:tr w:rsidR="00D60CD4" w:rsidRPr="00533466" w14:paraId="43A5FF3E" w14:textId="77777777" w:rsidTr="008A67E7">
        <w:tc>
          <w:tcPr>
            <w:tcW w:w="567" w:type="dxa"/>
            <w:shd w:val="clear" w:color="auto" w:fill="auto"/>
          </w:tcPr>
          <w:p w14:paraId="2C73DA9A" w14:textId="77777777" w:rsidR="00D60CD4" w:rsidRPr="00533466" w:rsidRDefault="00D60CD4" w:rsidP="00533466">
            <w:pPr>
              <w:suppressAutoHyphens w:val="0"/>
              <w:spacing w:before="40" w:after="40" w:line="220" w:lineRule="exact"/>
              <w:rPr>
                <w:rFonts w:cs="Times New Roman"/>
                <w:sz w:val="18"/>
              </w:rPr>
            </w:pPr>
            <w:r w:rsidRPr="00533466">
              <w:rPr>
                <w:rFonts w:cs="Times New Roman"/>
                <w:sz w:val="18"/>
              </w:rPr>
              <w:t>6.</w:t>
            </w:r>
          </w:p>
        </w:tc>
        <w:tc>
          <w:tcPr>
            <w:tcW w:w="3969" w:type="dxa"/>
            <w:shd w:val="clear" w:color="auto" w:fill="auto"/>
            <w:vAlign w:val="bottom"/>
          </w:tcPr>
          <w:p w14:paraId="7396131E" w14:textId="77777777" w:rsidR="00D60CD4" w:rsidRPr="00533466" w:rsidRDefault="00D60CD4" w:rsidP="008A67E7">
            <w:pPr>
              <w:suppressAutoHyphens w:val="0"/>
              <w:spacing w:before="40" w:after="40" w:line="220" w:lineRule="exact"/>
              <w:rPr>
                <w:rFonts w:cs="Times New Roman"/>
                <w:sz w:val="18"/>
              </w:rPr>
            </w:pPr>
            <w:r w:rsidRPr="00533466">
              <w:rPr>
                <w:rFonts w:cs="Times New Roman"/>
                <w:sz w:val="18"/>
              </w:rPr>
              <w:t>Трехколесные инвалидные коляски</w:t>
            </w:r>
          </w:p>
        </w:tc>
        <w:tc>
          <w:tcPr>
            <w:tcW w:w="2834" w:type="dxa"/>
            <w:shd w:val="clear" w:color="auto" w:fill="auto"/>
            <w:vAlign w:val="bottom"/>
          </w:tcPr>
          <w:p w14:paraId="5F68698C" w14:textId="77777777" w:rsidR="00D60CD4" w:rsidRPr="00533466" w:rsidRDefault="00D60CD4" w:rsidP="00533466">
            <w:pPr>
              <w:suppressAutoHyphens w:val="0"/>
              <w:spacing w:before="40" w:after="40" w:line="220" w:lineRule="exact"/>
              <w:jc w:val="right"/>
              <w:rPr>
                <w:rFonts w:cs="Times New Roman"/>
                <w:sz w:val="18"/>
              </w:rPr>
            </w:pPr>
            <w:r w:rsidRPr="00533466">
              <w:rPr>
                <w:rFonts w:cs="Times New Roman"/>
                <w:sz w:val="18"/>
              </w:rPr>
              <w:t>389</w:t>
            </w:r>
          </w:p>
        </w:tc>
      </w:tr>
      <w:tr w:rsidR="00D60CD4" w:rsidRPr="00533466" w14:paraId="64AA7023" w14:textId="77777777" w:rsidTr="008A67E7">
        <w:tc>
          <w:tcPr>
            <w:tcW w:w="567" w:type="dxa"/>
            <w:shd w:val="clear" w:color="auto" w:fill="auto"/>
          </w:tcPr>
          <w:p w14:paraId="523DD021" w14:textId="77777777" w:rsidR="00D60CD4" w:rsidRPr="00533466" w:rsidRDefault="00D60CD4" w:rsidP="00533466">
            <w:pPr>
              <w:suppressAutoHyphens w:val="0"/>
              <w:spacing w:before="40" w:after="40" w:line="220" w:lineRule="exact"/>
              <w:rPr>
                <w:rFonts w:cs="Times New Roman"/>
                <w:sz w:val="18"/>
              </w:rPr>
            </w:pPr>
            <w:r w:rsidRPr="00533466">
              <w:rPr>
                <w:rFonts w:cs="Times New Roman"/>
                <w:sz w:val="18"/>
              </w:rPr>
              <w:t>7.</w:t>
            </w:r>
          </w:p>
        </w:tc>
        <w:tc>
          <w:tcPr>
            <w:tcW w:w="3969" w:type="dxa"/>
            <w:shd w:val="clear" w:color="auto" w:fill="auto"/>
            <w:vAlign w:val="bottom"/>
          </w:tcPr>
          <w:p w14:paraId="28665D54" w14:textId="77777777" w:rsidR="00D60CD4" w:rsidRPr="00533466" w:rsidRDefault="00D60CD4" w:rsidP="008A67E7">
            <w:pPr>
              <w:suppressAutoHyphens w:val="0"/>
              <w:spacing w:before="40" w:after="40" w:line="220" w:lineRule="exact"/>
              <w:rPr>
                <w:rFonts w:cs="Times New Roman"/>
                <w:sz w:val="18"/>
              </w:rPr>
            </w:pPr>
            <w:r w:rsidRPr="00533466">
              <w:rPr>
                <w:rFonts w:cs="Times New Roman"/>
                <w:sz w:val="18"/>
              </w:rPr>
              <w:t>Роллаторы</w:t>
            </w:r>
          </w:p>
        </w:tc>
        <w:tc>
          <w:tcPr>
            <w:tcW w:w="2834" w:type="dxa"/>
            <w:shd w:val="clear" w:color="auto" w:fill="auto"/>
            <w:vAlign w:val="bottom"/>
          </w:tcPr>
          <w:p w14:paraId="7A172319" w14:textId="77777777" w:rsidR="00D60CD4" w:rsidRPr="00533466" w:rsidRDefault="00D60CD4" w:rsidP="00533466">
            <w:pPr>
              <w:suppressAutoHyphens w:val="0"/>
              <w:spacing w:before="40" w:after="40" w:line="220" w:lineRule="exact"/>
              <w:jc w:val="right"/>
              <w:rPr>
                <w:rFonts w:cs="Times New Roman"/>
                <w:sz w:val="18"/>
              </w:rPr>
            </w:pPr>
            <w:r w:rsidRPr="00533466">
              <w:rPr>
                <w:rFonts w:cs="Times New Roman"/>
                <w:sz w:val="18"/>
              </w:rPr>
              <w:t>10</w:t>
            </w:r>
          </w:p>
        </w:tc>
      </w:tr>
      <w:tr w:rsidR="00D60CD4" w:rsidRPr="00533466" w14:paraId="0E7D933E" w14:textId="77777777" w:rsidTr="008A67E7">
        <w:tc>
          <w:tcPr>
            <w:tcW w:w="567" w:type="dxa"/>
            <w:shd w:val="clear" w:color="auto" w:fill="auto"/>
          </w:tcPr>
          <w:p w14:paraId="799CEADE" w14:textId="77777777" w:rsidR="00D60CD4" w:rsidRPr="00533466" w:rsidRDefault="00D60CD4" w:rsidP="00533466">
            <w:pPr>
              <w:suppressAutoHyphens w:val="0"/>
              <w:spacing w:before="40" w:after="40" w:line="220" w:lineRule="exact"/>
              <w:rPr>
                <w:rFonts w:cs="Times New Roman"/>
                <w:sz w:val="18"/>
              </w:rPr>
            </w:pPr>
            <w:r w:rsidRPr="00533466">
              <w:rPr>
                <w:rFonts w:cs="Times New Roman"/>
                <w:sz w:val="18"/>
              </w:rPr>
              <w:t>8.</w:t>
            </w:r>
          </w:p>
        </w:tc>
        <w:tc>
          <w:tcPr>
            <w:tcW w:w="3969" w:type="dxa"/>
            <w:shd w:val="clear" w:color="auto" w:fill="auto"/>
            <w:vAlign w:val="bottom"/>
          </w:tcPr>
          <w:p w14:paraId="13EB4608" w14:textId="77777777" w:rsidR="00D60CD4" w:rsidRPr="00533466" w:rsidRDefault="00D60CD4" w:rsidP="008A67E7">
            <w:pPr>
              <w:suppressAutoHyphens w:val="0"/>
              <w:spacing w:before="40" w:after="40" w:line="220" w:lineRule="exact"/>
              <w:rPr>
                <w:rFonts w:cs="Times New Roman"/>
                <w:sz w:val="18"/>
              </w:rPr>
            </w:pPr>
            <w:r w:rsidRPr="00533466">
              <w:rPr>
                <w:rFonts w:cs="Times New Roman"/>
                <w:sz w:val="18"/>
              </w:rPr>
              <w:t>Трости</w:t>
            </w:r>
          </w:p>
        </w:tc>
        <w:tc>
          <w:tcPr>
            <w:tcW w:w="2834" w:type="dxa"/>
            <w:shd w:val="clear" w:color="auto" w:fill="auto"/>
            <w:vAlign w:val="bottom"/>
          </w:tcPr>
          <w:p w14:paraId="43EA4C4A" w14:textId="77777777" w:rsidR="00D60CD4" w:rsidRPr="00533466" w:rsidRDefault="00D60CD4" w:rsidP="00533466">
            <w:pPr>
              <w:suppressAutoHyphens w:val="0"/>
              <w:spacing w:before="40" w:after="40" w:line="220" w:lineRule="exact"/>
              <w:jc w:val="right"/>
              <w:rPr>
                <w:rFonts w:cs="Times New Roman"/>
                <w:sz w:val="18"/>
              </w:rPr>
            </w:pPr>
            <w:r w:rsidRPr="00533466">
              <w:rPr>
                <w:rFonts w:cs="Times New Roman"/>
                <w:sz w:val="18"/>
              </w:rPr>
              <w:t>159</w:t>
            </w:r>
          </w:p>
        </w:tc>
      </w:tr>
      <w:tr w:rsidR="00533466" w:rsidRPr="00533466" w14:paraId="04BBE8D8" w14:textId="77777777" w:rsidTr="008A67E7">
        <w:tc>
          <w:tcPr>
            <w:tcW w:w="567" w:type="dxa"/>
            <w:tcBorders>
              <w:bottom w:val="single" w:sz="4" w:space="0" w:color="auto"/>
            </w:tcBorders>
            <w:shd w:val="clear" w:color="auto" w:fill="auto"/>
          </w:tcPr>
          <w:p w14:paraId="02867BA2" w14:textId="77777777" w:rsidR="00D60CD4" w:rsidRPr="00533466" w:rsidRDefault="00D60CD4" w:rsidP="00533466">
            <w:pPr>
              <w:suppressAutoHyphens w:val="0"/>
              <w:spacing w:before="40" w:after="40" w:line="220" w:lineRule="exact"/>
              <w:rPr>
                <w:rFonts w:cs="Times New Roman"/>
                <w:sz w:val="18"/>
              </w:rPr>
            </w:pPr>
            <w:r w:rsidRPr="00533466">
              <w:rPr>
                <w:rFonts w:cs="Times New Roman"/>
                <w:sz w:val="18"/>
              </w:rPr>
              <w:t>9.</w:t>
            </w:r>
          </w:p>
        </w:tc>
        <w:tc>
          <w:tcPr>
            <w:tcW w:w="3969" w:type="dxa"/>
            <w:tcBorders>
              <w:bottom w:val="single" w:sz="4" w:space="0" w:color="auto"/>
            </w:tcBorders>
            <w:shd w:val="clear" w:color="auto" w:fill="auto"/>
            <w:vAlign w:val="bottom"/>
          </w:tcPr>
          <w:p w14:paraId="7C419B9D" w14:textId="77777777" w:rsidR="00D60CD4" w:rsidRPr="00533466" w:rsidRDefault="00D60CD4" w:rsidP="008A67E7">
            <w:pPr>
              <w:suppressAutoHyphens w:val="0"/>
              <w:spacing w:before="40" w:after="40" w:line="220" w:lineRule="exact"/>
              <w:rPr>
                <w:rFonts w:cs="Times New Roman"/>
                <w:sz w:val="18"/>
              </w:rPr>
            </w:pPr>
            <w:r w:rsidRPr="00533466">
              <w:rPr>
                <w:rFonts w:cs="Times New Roman"/>
                <w:sz w:val="18"/>
              </w:rPr>
              <w:t>Суппорты</w:t>
            </w:r>
          </w:p>
        </w:tc>
        <w:tc>
          <w:tcPr>
            <w:tcW w:w="2834" w:type="dxa"/>
            <w:tcBorders>
              <w:bottom w:val="single" w:sz="4" w:space="0" w:color="auto"/>
            </w:tcBorders>
            <w:shd w:val="clear" w:color="auto" w:fill="auto"/>
            <w:vAlign w:val="bottom"/>
          </w:tcPr>
          <w:p w14:paraId="7BFBC4DA" w14:textId="77777777" w:rsidR="00D60CD4" w:rsidRPr="00533466" w:rsidRDefault="00D60CD4" w:rsidP="00533466">
            <w:pPr>
              <w:suppressAutoHyphens w:val="0"/>
              <w:spacing w:before="40" w:after="40" w:line="220" w:lineRule="exact"/>
              <w:jc w:val="right"/>
              <w:rPr>
                <w:rFonts w:cs="Times New Roman"/>
                <w:sz w:val="18"/>
              </w:rPr>
            </w:pPr>
            <w:r w:rsidRPr="00533466">
              <w:rPr>
                <w:rFonts w:cs="Times New Roman"/>
                <w:sz w:val="18"/>
              </w:rPr>
              <w:t>3</w:t>
            </w:r>
          </w:p>
        </w:tc>
      </w:tr>
      <w:tr w:rsidR="00533466" w:rsidRPr="00533466" w14:paraId="2B482C08" w14:textId="77777777" w:rsidTr="00533466">
        <w:tc>
          <w:tcPr>
            <w:tcW w:w="4536" w:type="dxa"/>
            <w:gridSpan w:val="2"/>
            <w:tcBorders>
              <w:top w:val="single" w:sz="4" w:space="0" w:color="auto"/>
              <w:bottom w:val="single" w:sz="12" w:space="0" w:color="auto"/>
            </w:tcBorders>
            <w:shd w:val="clear" w:color="auto" w:fill="auto"/>
          </w:tcPr>
          <w:p w14:paraId="37E04D82" w14:textId="77777777" w:rsidR="00D60CD4" w:rsidRPr="00533466" w:rsidRDefault="00D60CD4" w:rsidP="00533466">
            <w:pPr>
              <w:suppressAutoHyphens w:val="0"/>
              <w:spacing w:before="80" w:after="80" w:line="220" w:lineRule="exact"/>
              <w:ind w:left="283"/>
              <w:rPr>
                <w:rFonts w:cs="Times New Roman"/>
                <w:b/>
                <w:sz w:val="18"/>
              </w:rPr>
            </w:pPr>
            <w:r w:rsidRPr="00533466">
              <w:rPr>
                <w:rFonts w:cs="Times New Roman"/>
                <w:b/>
                <w:sz w:val="18"/>
              </w:rPr>
              <w:t>Итого</w:t>
            </w:r>
          </w:p>
        </w:tc>
        <w:tc>
          <w:tcPr>
            <w:tcW w:w="2834" w:type="dxa"/>
            <w:tcBorders>
              <w:top w:val="single" w:sz="4" w:space="0" w:color="auto"/>
              <w:bottom w:val="single" w:sz="12" w:space="0" w:color="auto"/>
            </w:tcBorders>
            <w:shd w:val="clear" w:color="auto" w:fill="auto"/>
            <w:vAlign w:val="bottom"/>
          </w:tcPr>
          <w:p w14:paraId="330A400E" w14:textId="77777777" w:rsidR="00D60CD4" w:rsidRPr="00533466" w:rsidRDefault="00D60CD4" w:rsidP="00533466">
            <w:pPr>
              <w:suppressAutoHyphens w:val="0"/>
              <w:spacing w:before="80" w:after="80" w:line="220" w:lineRule="exact"/>
              <w:jc w:val="right"/>
              <w:rPr>
                <w:rFonts w:cs="Times New Roman"/>
                <w:b/>
                <w:sz w:val="18"/>
              </w:rPr>
            </w:pPr>
            <w:r w:rsidRPr="00533466">
              <w:rPr>
                <w:rFonts w:cs="Times New Roman"/>
                <w:b/>
                <w:sz w:val="18"/>
              </w:rPr>
              <w:t>3 367</w:t>
            </w:r>
          </w:p>
        </w:tc>
      </w:tr>
    </w:tbl>
    <w:p w14:paraId="0ACE0BAC" w14:textId="77777777" w:rsidR="00D60CD4" w:rsidRPr="00FA6F7B" w:rsidRDefault="00D60CD4" w:rsidP="00D60CD4">
      <w:pPr>
        <w:pStyle w:val="SingleTxtG"/>
        <w:spacing w:before="240"/>
      </w:pPr>
      <w:r>
        <w:t>110.</w:t>
      </w:r>
      <w:r>
        <w:tab/>
        <w:t>Кроме того, Управление по информационно-коммуникационным технологиям Замбии (УИКТЗ) приняло статью 9 Кодекса поведения поставщиков услуг и руководящих принципов защиты потребителей в области ИКТ в целях защиты прав инвалидов в отношении доступа к продуктам и услугам ИКТ. План действий УИКТЗ предусматривает проведение общенациональных инспекций зон обслуживания клиентов у всех поставщиков услуг в секторе ИКТ и почтовой связи с целью проверки соблюдения требований в отношении обеспечения доступности этих зон для людей с инвалидностью.</w:t>
      </w:r>
    </w:p>
    <w:p w14:paraId="1DA27404" w14:textId="77777777" w:rsidR="00D60CD4" w:rsidRPr="00FA6F7B" w:rsidRDefault="00D60CD4" w:rsidP="00D60CD4">
      <w:pPr>
        <w:pStyle w:val="SingleTxtG"/>
      </w:pPr>
      <w:r>
        <w:t>111.</w:t>
      </w:r>
      <w:r>
        <w:tab/>
        <w:t xml:space="preserve">В 2015 году УИКТЗ организовало рабочие совещания для инвалидов и ключевых заинтересованных сторон с целью сбора информации, которая помогла бы в проведении обзора нормативного режима в отношении потребителей с инвалидностью. Управление также выпускает радиопрограммы с целью повышения информированности о проблемах, с которыми сталкиваются инвалиды при получении доступа к ИКТ. </w:t>
      </w:r>
    </w:p>
    <w:p w14:paraId="7C498F92" w14:textId="77777777" w:rsidR="00D60CD4" w:rsidRPr="00FA6F7B" w:rsidRDefault="00D60CD4" w:rsidP="00D60CD4">
      <w:pPr>
        <w:pStyle w:val="SingleTxtG"/>
      </w:pPr>
      <w:r>
        <w:t>112.</w:t>
      </w:r>
      <w:r>
        <w:tab/>
        <w:t xml:space="preserve">Управление содействовало передаче Международным союзом электросвязи (МСЭ) ассистивного оборудования в дар Национальному центру профессиональной реабилитации (НЦПР), Институту специального образования Замбии (ИСОЗ), Центру библиотечного обслуживания, культуры и профессиональной подготовки слепых и слабовидящих, а также Университету Замбии (УНЗА). </w:t>
      </w:r>
    </w:p>
    <w:p w14:paraId="2D15D73D" w14:textId="77777777" w:rsidR="00D60CD4" w:rsidRPr="00FA6F7B" w:rsidRDefault="00D60CD4" w:rsidP="00D60CD4">
      <w:pPr>
        <w:pStyle w:val="SingleTxtG"/>
      </w:pPr>
      <w:r>
        <w:t>113.</w:t>
      </w:r>
      <w:r>
        <w:tab/>
        <w:t>В качестве регулирующего органа УИКТЗ в сотрудничестве с Министерством связи в настоящее время пересматривает политическую, правовую и нормативную базу в целях облегчения доступа к продуктам и услугам ИКТ для инвалидов.</w:t>
      </w:r>
    </w:p>
    <w:p w14:paraId="39EF1B19" w14:textId="77777777" w:rsidR="00D60CD4" w:rsidRPr="00FA6F7B" w:rsidRDefault="00D60CD4" w:rsidP="008A67E7">
      <w:pPr>
        <w:pStyle w:val="SingleTxtG"/>
        <w:keepNext/>
        <w:keepLines/>
      </w:pPr>
      <w:r>
        <w:lastRenderedPageBreak/>
        <w:t>114.</w:t>
      </w:r>
      <w:r>
        <w:tab/>
        <w:t>Кроме того, УИКТЗ стремится сотрудничать с Международным союзом электросвязи и его партнерами с целью повышения осведомленности о необходимости принятия политики и стратегий, которые позволили бы удовлетворить потребности инвалидов в области ИКТ путем обеспечения доступности как оборудования, так и услуг.</w:t>
      </w:r>
    </w:p>
    <w:p w14:paraId="24EF630D" w14:textId="77777777" w:rsidR="00D60CD4" w:rsidRPr="00FA6F7B" w:rsidRDefault="00D60CD4" w:rsidP="00D60CD4">
      <w:pPr>
        <w:pStyle w:val="SingleTxtG"/>
      </w:pPr>
      <w:r>
        <w:t>115.</w:t>
      </w:r>
      <w:r>
        <w:tab/>
        <w:t>Национальная программа в области водоснабжения и санитарии в сельских и городских районах (НПВССГР) на 2006–2015 годы, осуществляемая под руководством Министерства местного самоуправления, предусматривает проектирование всех пунктов водоснабжения, оснащенных оборудованием, которое позволит обеспечить легкий доступ для инвалидов. Аналогичные положения предусмотрены также и в отношении санитарно-технических объектов, таких как вентилируемые уборные улучшенной конструкции. Примером таких построенных объектов являются проекты в области водоснабжения и санитарии в провинции Луапула и Западной провинции, которые осуществлялись на средства Африканского банка развития (АБР).</w:t>
      </w:r>
    </w:p>
    <w:p w14:paraId="0EB7C2D1" w14:textId="77777777" w:rsidR="00D60CD4" w:rsidRPr="00FA6F7B" w:rsidRDefault="00D60CD4" w:rsidP="00D60CD4">
      <w:pPr>
        <w:pStyle w:val="SingleTxtG"/>
      </w:pPr>
      <w:r>
        <w:t>116.</w:t>
      </w:r>
      <w:r>
        <w:tab/>
        <w:t>Немецкий банк развития KFW через Министерство местного самоуправления финансирует деятельность государства-участника по строительству санитарно-технических объектов в отдельных школах в Восточной провинции с учетом потребностей инвалидов</w:t>
      </w:r>
      <w:r w:rsidRPr="00656D6A">
        <w:t xml:space="preserve"> </w:t>
      </w:r>
      <w:r>
        <w:t>в плане доступности.</w:t>
      </w:r>
    </w:p>
    <w:p w14:paraId="3AB97E47" w14:textId="77777777" w:rsidR="00D60CD4" w:rsidRPr="00FA6F7B" w:rsidRDefault="00D60CD4" w:rsidP="00D60CD4">
      <w:pPr>
        <w:pStyle w:val="SingleTxtG"/>
      </w:pPr>
      <w:r>
        <w:t>117.</w:t>
      </w:r>
      <w:r>
        <w:tab/>
        <w:t>Государство-участник приступило к строительству дорог, которые включают доступные пешеходные дорожки, тактильную плитку и пандусы для людей, пользующихся инвалидными колясками.</w:t>
      </w:r>
    </w:p>
    <w:p w14:paraId="792E4607" w14:textId="77777777" w:rsidR="00D60CD4" w:rsidRPr="00FA6F7B" w:rsidRDefault="00D60CD4" w:rsidP="00D60CD4">
      <w:pPr>
        <w:pStyle w:val="SingleTxtG"/>
      </w:pPr>
      <w:r>
        <w:t>118.</w:t>
      </w:r>
      <w:r>
        <w:tab/>
        <w:t xml:space="preserve">Кроме того, в возводимых в настоящее время торговых центрах и гостиницах учитываются потребности в обеспечении доступности для инвалидов. </w:t>
      </w:r>
    </w:p>
    <w:p w14:paraId="7F416B62" w14:textId="77777777" w:rsidR="00D60CD4" w:rsidRPr="00FA6F7B" w:rsidRDefault="00D60CD4" w:rsidP="00D60CD4">
      <w:pPr>
        <w:pStyle w:val="SingleTxtG"/>
      </w:pPr>
      <w:r>
        <w:t>119.</w:t>
      </w:r>
      <w:r>
        <w:tab/>
        <w:t xml:space="preserve">В городе Лусака государство-участник строит аэропорт, в которым будут учтены потребности в обеспечении доступности для инвалидов. </w:t>
      </w:r>
    </w:p>
    <w:p w14:paraId="0BC17DB9" w14:textId="77777777" w:rsidR="00D60CD4" w:rsidRPr="00FA6F7B" w:rsidRDefault="00D60CD4" w:rsidP="00D60CD4">
      <w:pPr>
        <w:pStyle w:val="SingleTxtG"/>
      </w:pPr>
      <w:r>
        <w:t>120.</w:t>
      </w:r>
      <w:r>
        <w:tab/>
        <w:t xml:space="preserve">Наконец, в районе рынка в Ливингстоне близится к завершению строительство современного автовокзала, который располагает доступными для инвалидов удобствами. К удобствам относятся доступные пешеходные дорожки, тактильная плитка, пандусы и вывески. </w:t>
      </w:r>
    </w:p>
    <w:p w14:paraId="1900E412" w14:textId="77777777" w:rsidR="00D60CD4" w:rsidRPr="00FA6F7B" w:rsidRDefault="00D60CD4" w:rsidP="00D60CD4">
      <w:pPr>
        <w:pStyle w:val="SingleTxtG"/>
      </w:pPr>
      <w:r>
        <w:t>121.</w:t>
      </w:r>
      <w:r>
        <w:tab/>
        <w:t xml:space="preserve">Хотя в этих областях был достигнут определенный прогресс, государство-участник будет и впредь обеспечивать удовлетворение потребностей инвалидов в доступности во всех сферах развития. </w:t>
      </w:r>
    </w:p>
    <w:p w14:paraId="523A536A" w14:textId="77777777" w:rsidR="00D60CD4" w:rsidRPr="00FA6F7B" w:rsidRDefault="00D60CD4" w:rsidP="00D60CD4">
      <w:pPr>
        <w:pStyle w:val="H23G"/>
      </w:pPr>
      <w:r>
        <w:tab/>
      </w:r>
      <w:r>
        <w:tab/>
      </w:r>
      <w:r>
        <w:rPr>
          <w:bCs/>
        </w:rPr>
        <w:t>Статья 10</w:t>
      </w:r>
      <w:r w:rsidR="00533466">
        <w:rPr>
          <w:bCs/>
        </w:rPr>
        <w:br/>
      </w:r>
      <w:r>
        <w:rPr>
          <w:bCs/>
        </w:rPr>
        <w:tab/>
        <w:t>Право на жизнь</w:t>
      </w:r>
      <w:r>
        <w:t xml:space="preserve"> </w:t>
      </w:r>
      <w:bookmarkStart w:id="35" w:name="_Toc53587117"/>
      <w:bookmarkEnd w:id="35"/>
    </w:p>
    <w:p w14:paraId="229EF149" w14:textId="77777777" w:rsidR="00D60CD4" w:rsidRPr="00FA6F7B" w:rsidRDefault="00D60CD4" w:rsidP="00D60CD4">
      <w:pPr>
        <w:pStyle w:val="SingleTxtG"/>
      </w:pPr>
      <w:r>
        <w:t>122.</w:t>
      </w:r>
      <w:r>
        <w:tab/>
        <w:t>Государство-участник признает, что право на жизнь является неотъемлемым правом людей с инвалидностью, и будет принимать все соответствующие меры, включая законодательные и политические меры, для поощрения и защиты этого права.</w:t>
      </w:r>
    </w:p>
    <w:p w14:paraId="469B46F3" w14:textId="77777777" w:rsidR="00D60CD4" w:rsidRPr="00FA6F7B" w:rsidRDefault="00D60CD4" w:rsidP="00D60CD4">
      <w:pPr>
        <w:pStyle w:val="SingleTxtG"/>
      </w:pPr>
      <w:r>
        <w:t>123.</w:t>
      </w:r>
      <w:r>
        <w:tab/>
        <w:t xml:space="preserve">Право на жизнь в Замбии защищено статьей 12 Конституции Замбии, которая предусматривает, что </w:t>
      </w:r>
      <w:r w:rsidR="00AF1E70">
        <w:t>«</w:t>
      </w:r>
      <w:r>
        <w:t>человек не может быть лишен жизни умышленно, кроме как во исполнение приговора суда в отношении уголовного преступления в соответствии с действующим в Замбии законом, за которое он было осужден</w:t>
      </w:r>
      <w:r w:rsidR="00AF1E70">
        <w:t>»</w:t>
      </w:r>
      <w:r>
        <w:t>. Государство-участник не поддерживает произвольное лишение жизни или внесудебные казни. В этой связи Конституция Замбии, Закон об исправительных службах и Уголовный кодекс Замбии запрещают произвольное лишение жизни и предусматривают адекватное наказание виновных в случае его совершения.</w:t>
      </w:r>
    </w:p>
    <w:p w14:paraId="4DFDB26A" w14:textId="77777777" w:rsidR="00D60CD4" w:rsidRPr="00FA6F7B" w:rsidRDefault="00D60CD4" w:rsidP="00D60CD4">
      <w:pPr>
        <w:pStyle w:val="H23G"/>
      </w:pPr>
      <w:r>
        <w:tab/>
      </w:r>
      <w:r>
        <w:tab/>
      </w:r>
      <w:r>
        <w:rPr>
          <w:bCs/>
        </w:rPr>
        <w:t>Статья 11</w:t>
      </w:r>
      <w:r w:rsidR="00533466">
        <w:rPr>
          <w:bCs/>
        </w:rPr>
        <w:br/>
      </w:r>
      <w:r>
        <w:rPr>
          <w:bCs/>
        </w:rPr>
        <w:tab/>
        <w:t>Ситуации риска и чрезвычайные гуманитарные ситуации</w:t>
      </w:r>
      <w:r>
        <w:t xml:space="preserve"> </w:t>
      </w:r>
      <w:bookmarkStart w:id="36" w:name="_Toc53587118"/>
      <w:bookmarkEnd w:id="36"/>
    </w:p>
    <w:p w14:paraId="18B27A0E" w14:textId="77777777" w:rsidR="00D60CD4" w:rsidRPr="00FA6F7B" w:rsidRDefault="00D60CD4" w:rsidP="00D60CD4">
      <w:pPr>
        <w:pStyle w:val="SingleTxtG"/>
      </w:pPr>
      <w:r>
        <w:t>124.</w:t>
      </w:r>
      <w:r>
        <w:tab/>
        <w:t xml:space="preserve">В соответствии с пунктом 2 f) статьи 21 Закона о людях с инвалидностью министр общинного развития и социального обеспечения обязан принимать меры по </w:t>
      </w:r>
      <w:r w:rsidR="00AF1E70">
        <w:t>«</w:t>
      </w:r>
      <w:r>
        <w:t xml:space="preserve">обеспечению защиты и безопасности инвалидов в ситуациях риска, к которым </w:t>
      </w:r>
      <w:r>
        <w:lastRenderedPageBreak/>
        <w:t>относятся вооруженные конфликты, чрезвычайные гуманитарные ситуации и стихийные бедствия</w:t>
      </w:r>
      <w:r w:rsidR="00AF1E70">
        <w:t>»</w:t>
      </w:r>
      <w:r>
        <w:t xml:space="preserve">. </w:t>
      </w:r>
    </w:p>
    <w:p w14:paraId="120133FF" w14:textId="77777777" w:rsidR="00D60CD4" w:rsidRPr="00FA6F7B" w:rsidRDefault="00D60CD4" w:rsidP="00D60CD4">
      <w:pPr>
        <w:pStyle w:val="SingleTxtG"/>
      </w:pPr>
      <w:r>
        <w:t>125.</w:t>
      </w:r>
      <w:r>
        <w:tab/>
        <w:t xml:space="preserve">В государстве-участнике действует Закон № 13 о предотвращении и ликвидации последствий стихийных бедствий 2010 года, который регулирует вопросы обеспечения готовности, реагирования и восстановления в рамках деятельности по уменьшению опасности стихийных бедствий. Закон предусматривает создание Группы по </w:t>
      </w:r>
      <w:r w:rsidRPr="005656EF">
        <w:t>смягчению</w:t>
      </w:r>
      <w:r>
        <w:t xml:space="preserve"> последствий стихийных бедствий (ГСПБ), провинциальных комитетов по борьбе со стихийными бедствиями, окружных и вспомогательных комитетов по борьбе со стихийными бедствиями и национального фонда помощи в случае стихийных бедствий. Инвалиды представлены в этих комитетах на уровне провинций и общин. ГСПБ предоставляет инвалидам продовольственную помощь и временное жилье в ситуациях стихийных бедствий, таких как наводнения.</w:t>
      </w:r>
    </w:p>
    <w:p w14:paraId="533466FF" w14:textId="77777777" w:rsidR="00D60CD4" w:rsidRPr="00FA6F7B" w:rsidRDefault="00D60CD4" w:rsidP="00D60CD4">
      <w:pPr>
        <w:pStyle w:val="H23G"/>
      </w:pPr>
      <w:r>
        <w:tab/>
      </w:r>
      <w:r>
        <w:tab/>
      </w:r>
      <w:r>
        <w:rPr>
          <w:bCs/>
        </w:rPr>
        <w:t>Статья 12</w:t>
      </w:r>
      <w:r w:rsidR="00533466">
        <w:rPr>
          <w:bCs/>
        </w:rPr>
        <w:br/>
      </w:r>
      <w:r>
        <w:rPr>
          <w:bCs/>
        </w:rPr>
        <w:tab/>
        <w:t>Равенство перед законом</w:t>
      </w:r>
      <w:bookmarkStart w:id="37" w:name="_Toc53587119"/>
      <w:bookmarkEnd w:id="37"/>
    </w:p>
    <w:p w14:paraId="1C6028AB" w14:textId="77777777" w:rsidR="00D60CD4" w:rsidRPr="00FA6F7B" w:rsidRDefault="00D60CD4" w:rsidP="00D60CD4">
      <w:pPr>
        <w:pStyle w:val="SingleTxtG"/>
      </w:pPr>
      <w:r>
        <w:t>126.</w:t>
      </w:r>
      <w:r>
        <w:tab/>
        <w:t>В статье 11 Конституции Замбии признается, что все люди, включая инвалидов, равны перед законом и имеют право на равную защиту и равное использование закона. Она также гарантирует равное обращение, включая право на равные возможности в политической, экономической, культурной и социальной сферах.</w:t>
      </w:r>
    </w:p>
    <w:p w14:paraId="3004EE68" w14:textId="77777777" w:rsidR="00D60CD4" w:rsidRPr="00FA6F7B" w:rsidRDefault="00D60CD4" w:rsidP="00D60CD4">
      <w:pPr>
        <w:pStyle w:val="SingleTxtG"/>
      </w:pPr>
      <w:r>
        <w:t>127.</w:t>
      </w:r>
      <w:r>
        <w:tab/>
        <w:t xml:space="preserve">Пункт 1 статьи 8 Закона о людях с инвалидностью предусматривает, что инвалиды обладают правоспособностью наравне с другими во всех аспектах жизни. Однако из-за недостаточной осведомленности о правах инвалидов вопрос о правоспособности по-прежнему остается проблемой для некоторых инвалидов, особенно для лиц с психической инвалидностью, интеллектуальной инвалидностью, глухих и слепых, когда решения принимаются от их имени без консультации с ними. </w:t>
      </w:r>
    </w:p>
    <w:p w14:paraId="483ACDCB" w14:textId="77777777" w:rsidR="00D60CD4" w:rsidRPr="00FA6F7B" w:rsidRDefault="00D60CD4" w:rsidP="00D60CD4">
      <w:pPr>
        <w:pStyle w:val="SingleTxtG"/>
      </w:pPr>
      <w:r>
        <w:t>128.</w:t>
      </w:r>
      <w:r>
        <w:tab/>
        <w:t>Государство-участник приняло меры по разработке законопроекта о психическом здоровье, направленного на признание права лиц с психической инвалидностью на правоспособность. В нем также предусмотрено право лиц с психической инвалидностью на владение имуществом. Кроме того, в законопроекте предусмотрены права на поддержку и помощь в принятии решений, особенно в области доступа к услугам здравоохранения. В законопроект также включено положение об информированном согласии.</w:t>
      </w:r>
    </w:p>
    <w:p w14:paraId="12F5BF90" w14:textId="77777777" w:rsidR="00D60CD4" w:rsidRPr="00FA6F7B" w:rsidRDefault="00D60CD4" w:rsidP="00D60CD4">
      <w:pPr>
        <w:pStyle w:val="SingleTxtG"/>
      </w:pPr>
      <w:r>
        <w:t>129.</w:t>
      </w:r>
      <w:r>
        <w:tab/>
        <w:t xml:space="preserve">Через Банк Замбии государство-участник пробовало печатать банковские купюры, распознаваемые по тактильным признакам, которые могли бы использоваться лицами с нарушениями зрения. Это было сделано для того, чтобы содействовать осуществлению их прав на управление собственными финансовыми делами. </w:t>
      </w:r>
    </w:p>
    <w:p w14:paraId="78C2B07B" w14:textId="77777777" w:rsidR="00D60CD4" w:rsidRPr="00FA6F7B" w:rsidRDefault="00D60CD4" w:rsidP="00D60CD4">
      <w:pPr>
        <w:pStyle w:val="SingleTxtG"/>
      </w:pPr>
      <w:r>
        <w:t>130.</w:t>
      </w:r>
      <w:r>
        <w:tab/>
        <w:t>Государство-участник приняло дальнейшие меры для обеспечения того, чтобы в поправки к Закону о людях с инвалидностью были включены лица с альбинизмом.</w:t>
      </w:r>
    </w:p>
    <w:p w14:paraId="5FF94F39" w14:textId="77777777" w:rsidR="00D60CD4" w:rsidRPr="00FA6F7B" w:rsidRDefault="00D60CD4" w:rsidP="00D60CD4">
      <w:pPr>
        <w:pStyle w:val="H23G"/>
      </w:pPr>
      <w:r>
        <w:tab/>
      </w:r>
      <w:r>
        <w:tab/>
      </w:r>
      <w:r>
        <w:rPr>
          <w:bCs/>
        </w:rPr>
        <w:t>Статья 13</w:t>
      </w:r>
      <w:r w:rsidR="00533466">
        <w:rPr>
          <w:bCs/>
        </w:rPr>
        <w:br/>
      </w:r>
      <w:r>
        <w:rPr>
          <w:bCs/>
        </w:rPr>
        <w:tab/>
        <w:t>Доступ к правосудию</w:t>
      </w:r>
      <w:bookmarkStart w:id="38" w:name="_Toc53587120"/>
      <w:bookmarkEnd w:id="38"/>
    </w:p>
    <w:p w14:paraId="7A613750" w14:textId="77777777" w:rsidR="00D60CD4" w:rsidRPr="00FA6F7B" w:rsidRDefault="00D60CD4" w:rsidP="00D60CD4">
      <w:pPr>
        <w:pStyle w:val="SingleTxtG"/>
      </w:pPr>
      <w:r>
        <w:t>131.</w:t>
      </w:r>
      <w:r>
        <w:tab/>
        <w:t>Государство-участник рассматривает доступ к правосудию в качестве одной из приоритетных областей. Отправление правосудия имеет важнейшее значение для сокращения масштабов нищеты и, таким образом, является приоритетным направлением деятельности в рамках национальных планов развития государства-участника.</w:t>
      </w:r>
    </w:p>
    <w:p w14:paraId="7E93F0B2" w14:textId="77777777" w:rsidR="00D60CD4" w:rsidRPr="00FA6F7B" w:rsidRDefault="00D60CD4" w:rsidP="00D60CD4">
      <w:pPr>
        <w:pStyle w:val="SingleTxtG"/>
      </w:pPr>
      <w:r>
        <w:t>132.</w:t>
      </w:r>
      <w:r>
        <w:tab/>
        <w:t>Государство-участник приняло следующие законодательные меры для признания защиты инвалидов в отношении доступа к правосудию.</w:t>
      </w:r>
    </w:p>
    <w:p w14:paraId="0C85C797" w14:textId="77777777" w:rsidR="00D60CD4" w:rsidRPr="00FA6F7B" w:rsidRDefault="00D60CD4" w:rsidP="00D60CD4">
      <w:pPr>
        <w:pStyle w:val="SingleTxtG"/>
      </w:pPr>
      <w:r>
        <w:t>133.</w:t>
      </w:r>
      <w:r>
        <w:tab/>
        <w:t xml:space="preserve">Пункт 2 статьи 8 Закона о людях с инвалидностью гласит, что </w:t>
      </w:r>
      <w:r w:rsidR="00AF1E70">
        <w:t>«</w:t>
      </w:r>
      <w:r>
        <w:t>судебная власть принимает необходимые меры для обеспечения равной и эффективной защиты людей с инвалидностью и равного пользования ими законом без дискриминации</w:t>
      </w:r>
      <w:r w:rsidR="00AF1E70">
        <w:t>»</w:t>
      </w:r>
      <w:r>
        <w:t xml:space="preserve">. </w:t>
      </w:r>
    </w:p>
    <w:p w14:paraId="0346A721" w14:textId="77777777" w:rsidR="00D60CD4" w:rsidRPr="00FA6F7B" w:rsidRDefault="00D60CD4" w:rsidP="00B811F0">
      <w:pPr>
        <w:pStyle w:val="SingleTxtG"/>
        <w:keepNext/>
        <w:keepLines/>
      </w:pPr>
      <w:r>
        <w:lastRenderedPageBreak/>
        <w:t>134.</w:t>
      </w:r>
      <w:r>
        <w:tab/>
        <w:t xml:space="preserve">Пункт 3 статьи 8 гласит, что </w:t>
      </w:r>
      <w:r w:rsidR="00AF1E70">
        <w:t>«</w:t>
      </w:r>
      <w:r>
        <w:t>когда человек с инвалидностью является стороной в каком-либо судебном разбирательстве, судебный орган, рассматривающий дело, принимает во внимание состояние человека с инвалидностью и предоставляет ему процессуальные и другие соответствующие возможности, чтобы позволить ему получить доступ к правосудию и эффективно участвовать в разбирательстве</w:t>
      </w:r>
      <w:r w:rsidR="00AF1E70">
        <w:t>»</w:t>
      </w:r>
      <w:r>
        <w:t xml:space="preserve">. </w:t>
      </w:r>
    </w:p>
    <w:p w14:paraId="4886441A" w14:textId="77777777" w:rsidR="00D60CD4" w:rsidRPr="00FA6F7B" w:rsidRDefault="00D60CD4" w:rsidP="00D60CD4">
      <w:pPr>
        <w:pStyle w:val="SingleTxtG"/>
      </w:pPr>
      <w:r>
        <w:t>135.</w:t>
      </w:r>
      <w:r>
        <w:tab/>
        <w:t xml:space="preserve">Статья 9 предусматривает, что правоохранительные органы принимают во внимание инвалидность лица при аресте, задержании, судебном разбирательстве или заключении в тюрьму и соответствующим образом обеспечивают разумное приспособление для этого лица, в том числе на стадии расследования и других стадиях предварительного производства по делу. </w:t>
      </w:r>
    </w:p>
    <w:p w14:paraId="61EF6C3E" w14:textId="77777777" w:rsidR="00D60CD4" w:rsidRPr="00FA6F7B" w:rsidRDefault="00D60CD4" w:rsidP="00D60CD4">
      <w:pPr>
        <w:pStyle w:val="SingleTxtG"/>
      </w:pPr>
      <w:r>
        <w:t>136.</w:t>
      </w:r>
      <w:r>
        <w:tab/>
        <w:t>Государство-участник через Министерство внутренних дел прилагает усилия по осуществлению статьи 13, а также учету проблем инвалидности в рамках своих стратегий и программ, которые осуществляются через департаменты этого министерства, а именно Полицейскую службу Замбии и Исправительные службы Замбии. Полицейская служба Замбии и Исправительные службы Замбии в сотрудничестве с ОГО разрабатывают новую учебную программу для сотрудников полиции и пенитенциарных учреждений по вопросам обращения с инвалидами в области правосудия.</w:t>
      </w:r>
    </w:p>
    <w:p w14:paraId="39186C5A" w14:textId="77777777" w:rsidR="00D60CD4" w:rsidRPr="00FA6F7B" w:rsidRDefault="00D60CD4" w:rsidP="00D60CD4">
      <w:pPr>
        <w:pStyle w:val="SingleTxtG"/>
      </w:pPr>
      <w:r>
        <w:t>137.</w:t>
      </w:r>
      <w:r>
        <w:tab/>
        <w:t xml:space="preserve">Комиссия по делам судебных органов постепенно набирает для работы в судах переводчиков жестового языка. Например, Высокий суд Лусаки уже нанял двух (2) переводчиков жестового языка. </w:t>
      </w:r>
    </w:p>
    <w:p w14:paraId="79018CC3" w14:textId="77777777" w:rsidR="00D60CD4" w:rsidRPr="00FA6F7B" w:rsidRDefault="00D60CD4" w:rsidP="00D60CD4">
      <w:pPr>
        <w:pStyle w:val="SingleTxtG"/>
      </w:pPr>
      <w:r>
        <w:t>138.</w:t>
      </w:r>
      <w:r>
        <w:tab/>
        <w:t xml:space="preserve">Государство-участник через Совет по вопросам правовой помощи предоставляет бесплатные юридические услуги в целях снижения высоких расходов на оплату юридических услуг. </w:t>
      </w:r>
    </w:p>
    <w:p w14:paraId="4B820D66" w14:textId="77777777" w:rsidR="00D60CD4" w:rsidRPr="00FA6F7B" w:rsidRDefault="00D60CD4" w:rsidP="00D60CD4">
      <w:pPr>
        <w:pStyle w:val="SingleTxtG"/>
      </w:pPr>
      <w:r>
        <w:t>139.</w:t>
      </w:r>
      <w:r>
        <w:tab/>
        <w:t>Государство-участник признает, что широкая общественность недостаточно осведомлена о правах инвалидов, что создает препятствия для доступа к правосудию. С учетом этого государство-участник будет стремиться к повышению осведомленности широкой общественности о правах инвалидов.</w:t>
      </w:r>
    </w:p>
    <w:p w14:paraId="5748E5EF" w14:textId="77777777" w:rsidR="00D60CD4" w:rsidRPr="00FA6F7B" w:rsidRDefault="00D60CD4" w:rsidP="00D60CD4">
      <w:pPr>
        <w:pStyle w:val="H23G"/>
      </w:pPr>
      <w:r>
        <w:tab/>
      </w:r>
      <w:r>
        <w:tab/>
      </w:r>
      <w:r>
        <w:rPr>
          <w:bCs/>
        </w:rPr>
        <w:t>Статья 14</w:t>
      </w:r>
      <w:r w:rsidR="00533466">
        <w:rPr>
          <w:bCs/>
        </w:rPr>
        <w:br/>
      </w:r>
      <w:r>
        <w:rPr>
          <w:bCs/>
        </w:rPr>
        <w:tab/>
        <w:t>Свобода и личная неприкосновенность</w:t>
      </w:r>
      <w:r>
        <w:t xml:space="preserve"> </w:t>
      </w:r>
      <w:bookmarkStart w:id="39" w:name="_Toc53587121"/>
      <w:bookmarkEnd w:id="39"/>
    </w:p>
    <w:p w14:paraId="22A9E089" w14:textId="77777777" w:rsidR="00D60CD4" w:rsidRPr="00FA6F7B" w:rsidRDefault="00D60CD4" w:rsidP="00D60CD4">
      <w:pPr>
        <w:pStyle w:val="SingleTxtG"/>
      </w:pPr>
      <w:r>
        <w:t>140.</w:t>
      </w:r>
      <w:r>
        <w:tab/>
        <w:t xml:space="preserve">Государство-участник отстаивает права на личную свободу и неприкосновенность граждан, в том числе людей с инвалидностью. Статья 13 Конституции предусматривает, что никто не может быть лишен личной свободы иначе, как на основании закона. </w:t>
      </w:r>
    </w:p>
    <w:p w14:paraId="6A17B205" w14:textId="77777777" w:rsidR="00D60CD4" w:rsidRPr="00FA6F7B" w:rsidRDefault="00D60CD4" w:rsidP="00D60CD4">
      <w:pPr>
        <w:pStyle w:val="SingleTxtG"/>
      </w:pPr>
      <w:r>
        <w:t>141.</w:t>
      </w:r>
      <w:r>
        <w:tab/>
        <w:t>В тех случаях, когда лицо может быть лишено свободы, это должно делаться в соответствии с установленным законом. Таким образом, человек с инвалидностью не может быть ограничен в своей свободе и неприкосновенности на том основании, что он/она имеет инвалидность.</w:t>
      </w:r>
    </w:p>
    <w:p w14:paraId="2A156A3F" w14:textId="77777777" w:rsidR="00D60CD4" w:rsidRPr="00FA6F7B" w:rsidRDefault="00D60CD4" w:rsidP="00D60CD4">
      <w:pPr>
        <w:pStyle w:val="SingleTxtG"/>
      </w:pPr>
      <w:r>
        <w:t>142.</w:t>
      </w:r>
      <w:r>
        <w:tab/>
        <w:t>В соответствии со статьей 61 Закона о людях с инвалидностью преступлением является сокрытие инвалидов их родителями, законными опекунами или ближайшими родственниками с целью лишения инвалидов доступных для них возможностей и услуг.</w:t>
      </w:r>
    </w:p>
    <w:p w14:paraId="1299B31A" w14:textId="77777777" w:rsidR="00D60CD4" w:rsidRPr="00FA6F7B" w:rsidRDefault="00D60CD4" w:rsidP="00D60CD4">
      <w:pPr>
        <w:pStyle w:val="SingleTxtG"/>
      </w:pPr>
      <w:r>
        <w:t>143.</w:t>
      </w:r>
      <w:r>
        <w:tab/>
        <w:t xml:space="preserve">Государство-участник находится в процессе отмены Закона о психических расстройствах, который в настоящее время способствует помещению лиц с психическими расстройствами в специальные учреждения. Этот закон будет заменен законом о психическом здоровье, защищающим права лиц с психическими отклонениями. </w:t>
      </w:r>
    </w:p>
    <w:p w14:paraId="2D78B979" w14:textId="77777777" w:rsidR="00D60CD4" w:rsidRPr="00FA6F7B" w:rsidRDefault="00D60CD4" w:rsidP="00D60CD4">
      <w:pPr>
        <w:pStyle w:val="H23G"/>
      </w:pPr>
      <w:r>
        <w:tab/>
      </w:r>
      <w:r>
        <w:tab/>
      </w:r>
      <w:r>
        <w:rPr>
          <w:bCs/>
        </w:rPr>
        <w:t>Статья 15</w:t>
      </w:r>
      <w:r w:rsidR="00533466">
        <w:rPr>
          <w:bCs/>
        </w:rPr>
        <w:br/>
      </w:r>
      <w:r>
        <w:rPr>
          <w:bCs/>
        </w:rPr>
        <w:tab/>
        <w:t>Свобода от пыток и жестоких, бесчеловечных или унижающих достоинство видов обращения и наказания</w:t>
      </w:r>
      <w:bookmarkStart w:id="40" w:name="_Toc53587122"/>
      <w:bookmarkEnd w:id="40"/>
    </w:p>
    <w:p w14:paraId="0B70264F" w14:textId="77777777" w:rsidR="00D60CD4" w:rsidRPr="00FA6F7B" w:rsidRDefault="00D60CD4" w:rsidP="00D60CD4">
      <w:pPr>
        <w:pStyle w:val="SingleTxtG"/>
      </w:pPr>
      <w:r>
        <w:t>144.</w:t>
      </w:r>
      <w:r>
        <w:tab/>
        <w:t xml:space="preserve">Государство-участник признает принципы Всеобщей декларации прав человека (ВДПЧ), которые включают в себя защиту от пыток или жестокого, бесчеловечного </w:t>
      </w:r>
      <w:r>
        <w:lastRenderedPageBreak/>
        <w:t>или унижающего достоинство обращения. Кроме того, государство-участник признает право на свободу от пыток или жестокого, бесчеловечного или унижающего достоинство обращения в качестве абсолютного права.</w:t>
      </w:r>
    </w:p>
    <w:p w14:paraId="687A65E2" w14:textId="77777777" w:rsidR="00D60CD4" w:rsidRPr="00FA6F7B" w:rsidRDefault="00D60CD4" w:rsidP="00D60CD4">
      <w:pPr>
        <w:pStyle w:val="SingleTxtG"/>
      </w:pPr>
      <w:r>
        <w:t>145.</w:t>
      </w:r>
      <w:r>
        <w:tab/>
        <w:t xml:space="preserve">Государство-участник ратифицировало Международную конвенцию против пыток и других жестоких, бесчеловечных или унижающих достоинство видов обращения и наказания. </w:t>
      </w:r>
    </w:p>
    <w:p w14:paraId="3AA3905A" w14:textId="77777777" w:rsidR="00D60CD4" w:rsidRPr="00FA6F7B" w:rsidRDefault="00D60CD4" w:rsidP="00D60CD4">
      <w:pPr>
        <w:pStyle w:val="SingleTxtG"/>
      </w:pPr>
      <w:r>
        <w:t>146.</w:t>
      </w:r>
      <w:r>
        <w:tab/>
        <w:t xml:space="preserve">Статья 15 Конституции предусматривает, что никто не должен подвергаться пыткам либо бесчеловечному или унижающему достоинство наказанию или иному подобному обращению. </w:t>
      </w:r>
    </w:p>
    <w:p w14:paraId="2FE5B333" w14:textId="77777777" w:rsidR="00D60CD4" w:rsidRPr="00FA6F7B" w:rsidRDefault="00D60CD4" w:rsidP="00D60CD4">
      <w:pPr>
        <w:pStyle w:val="SingleTxtG"/>
      </w:pPr>
      <w:r>
        <w:t>147.</w:t>
      </w:r>
      <w:r>
        <w:tab/>
        <w:t xml:space="preserve">В соответствии с положением Конституции государство-участник разработало законопроект о борьбе с пытками, который направлен на криминализацию пыток. </w:t>
      </w:r>
    </w:p>
    <w:p w14:paraId="1A187197" w14:textId="77777777" w:rsidR="00D60CD4" w:rsidRPr="00FA6F7B" w:rsidRDefault="00D60CD4" w:rsidP="00D60CD4">
      <w:pPr>
        <w:pStyle w:val="SingleTxtG"/>
      </w:pPr>
      <w:r>
        <w:t>148.</w:t>
      </w:r>
      <w:r>
        <w:tab/>
        <w:t>Кроме того, государство-участник разработало законопроект о психическом здоровье, который направлен на обеспечение защиты права на информированное согласие и поддерживаемое принятие решений лицами с психическими отклонениями в отношении доступа к медицинским услугам и участия в научных исследованиях.</w:t>
      </w:r>
    </w:p>
    <w:p w14:paraId="36CA5AF7" w14:textId="77777777" w:rsidR="00D60CD4" w:rsidRPr="00FA6F7B" w:rsidRDefault="00D60CD4" w:rsidP="00D60CD4">
      <w:pPr>
        <w:pStyle w:val="H23G"/>
      </w:pPr>
      <w:r>
        <w:tab/>
      </w:r>
      <w:r>
        <w:tab/>
      </w:r>
      <w:r>
        <w:rPr>
          <w:bCs/>
        </w:rPr>
        <w:t>Статья 16</w:t>
      </w:r>
      <w:r w:rsidR="00533466">
        <w:rPr>
          <w:bCs/>
        </w:rPr>
        <w:br/>
      </w:r>
      <w:r>
        <w:rPr>
          <w:bCs/>
        </w:rPr>
        <w:tab/>
        <w:t>Свобода от эксплуатации, насилия и надругательства</w:t>
      </w:r>
      <w:r>
        <w:t xml:space="preserve"> </w:t>
      </w:r>
      <w:bookmarkStart w:id="41" w:name="_Toc53587123"/>
      <w:bookmarkEnd w:id="41"/>
    </w:p>
    <w:p w14:paraId="0C10768C" w14:textId="77777777" w:rsidR="00D60CD4" w:rsidRPr="00FA6F7B" w:rsidRDefault="00D60CD4" w:rsidP="00D60CD4">
      <w:pPr>
        <w:pStyle w:val="SingleTxtG"/>
      </w:pPr>
      <w:r>
        <w:t>149.</w:t>
      </w:r>
      <w:r>
        <w:tab/>
        <w:t>Государство-участник признает, что инвалиды имеют право на свободу от эксплуатации, насилия и надругательства. С учетом этого государство-участник приняло законодательные и административные меры для обеспечения защиты от эксплуатации, насилия и надругательства.</w:t>
      </w:r>
    </w:p>
    <w:p w14:paraId="6EA090E7" w14:textId="77777777" w:rsidR="00D60CD4" w:rsidRPr="00FA6F7B" w:rsidRDefault="00D60CD4" w:rsidP="00D60CD4">
      <w:pPr>
        <w:pStyle w:val="SingleTxtG"/>
      </w:pPr>
      <w:r>
        <w:t>150.</w:t>
      </w:r>
      <w:r>
        <w:tab/>
        <w:t xml:space="preserve">Пункт 2 статьи 24 Конституции предусматривает, что все молодые люди защищены от жестокого физического или психологического обращения, всех форм пренебрежения, жестокости или эксплуатации. </w:t>
      </w:r>
    </w:p>
    <w:p w14:paraId="20E3E907" w14:textId="77777777" w:rsidR="00D60CD4" w:rsidRPr="00FA6F7B" w:rsidRDefault="00D60CD4" w:rsidP="00D60CD4">
      <w:pPr>
        <w:pStyle w:val="SingleTxtG"/>
      </w:pPr>
      <w:r>
        <w:t>151.</w:t>
      </w:r>
      <w:r>
        <w:tab/>
        <w:t xml:space="preserve">Государство-участник сформулировало национальную политику в отношении детей и политику в области социальной защиты в целях защиты детей от жестокого обращения и обеспечения того, чтобы </w:t>
      </w:r>
      <w:r>
        <w:rPr>
          <w:b/>
          <w:bCs/>
        </w:rPr>
        <w:t>ВСЕ</w:t>
      </w:r>
      <w:r>
        <w:t xml:space="preserve"> дети в равной степени пользовались своими правами. </w:t>
      </w:r>
    </w:p>
    <w:p w14:paraId="626F75CD" w14:textId="77777777" w:rsidR="00D60CD4" w:rsidRPr="00FA6F7B" w:rsidRDefault="00D60CD4" w:rsidP="00D60CD4">
      <w:pPr>
        <w:pStyle w:val="SingleTxtG"/>
      </w:pPr>
      <w:r>
        <w:t>152.</w:t>
      </w:r>
      <w:r>
        <w:tab/>
        <w:t>Пункт 1 статьи 6 Закона о людях с инвалидностью предусматривает, что никто не должен эксплуатировать человека с инвалидностью или подвергать его оскорбительному, жестокому или унижающему достоинство обращению, включая его гендерные аспекты.</w:t>
      </w:r>
    </w:p>
    <w:p w14:paraId="69072584" w14:textId="77777777" w:rsidR="00D60CD4" w:rsidRPr="00FA6F7B" w:rsidRDefault="00D60CD4" w:rsidP="00D60CD4">
      <w:pPr>
        <w:pStyle w:val="SingleTxtG"/>
      </w:pPr>
      <w:r>
        <w:t>153.</w:t>
      </w:r>
      <w:r>
        <w:tab/>
        <w:t xml:space="preserve">Государство-участник также приняло Закон № 1 о борьбе с гендерным насилием 2011 года, который предусматривает защиту от гендерного насилия. </w:t>
      </w:r>
    </w:p>
    <w:p w14:paraId="5237364F" w14:textId="77777777" w:rsidR="00D60CD4" w:rsidRPr="00FA6F7B" w:rsidRDefault="00D60CD4" w:rsidP="00D60CD4">
      <w:pPr>
        <w:pStyle w:val="SingleTxtG"/>
      </w:pPr>
      <w:r>
        <w:t>154.</w:t>
      </w:r>
      <w:r>
        <w:tab/>
        <w:t>Закон о борьбе с гендерным насилием также запрещает все формы жестокого обращения с детьми в домашних условиях, в школах и учреждениях по уходу за детьми.</w:t>
      </w:r>
    </w:p>
    <w:p w14:paraId="2B2B4A1E" w14:textId="6BD71960" w:rsidR="00D60CD4" w:rsidRPr="00FA6F7B" w:rsidRDefault="00D60CD4" w:rsidP="00D60CD4">
      <w:pPr>
        <w:pStyle w:val="SingleTxtG"/>
      </w:pPr>
      <w:r>
        <w:t>155.</w:t>
      </w:r>
      <w:r>
        <w:tab/>
        <w:t>В целях защиты женщин и детей от эксплуатации, насилия и надругательства в государстве-участнике действует экспериментальный универсальный центр по вопросам ГН в округе Кабве, Центральная провинция, который предоставляет психосоциальные консультации, направления к специалистам, бесплатные юридические услуги, бесплатную реабилитацию и медицинские услуги. Государство-участник в сотрудничестве с ОГО создало и другие универсальные центры. В</w:t>
      </w:r>
      <w:r w:rsidR="00A05F29">
        <w:t> </w:t>
      </w:r>
      <w:r>
        <w:t xml:space="preserve">дополнение к универсальным центрам государство-участник создало экспериментальный суд ускоренного производства в округе Кабве для рассмотрения дел о ГН. </w:t>
      </w:r>
    </w:p>
    <w:p w14:paraId="36C73D70" w14:textId="77777777" w:rsidR="00D60CD4" w:rsidRPr="00FA6F7B" w:rsidRDefault="00D60CD4" w:rsidP="00D60CD4">
      <w:pPr>
        <w:pStyle w:val="SingleTxtG"/>
      </w:pPr>
      <w:r>
        <w:t>156.</w:t>
      </w:r>
      <w:r>
        <w:tab/>
        <w:t>Государство-участник также постепенно создает центры безопасности для жертв ГН. Одним из таких учреждений является Центр безопасности Манса в провинции Луапула. Через это учреждение проходит большое число женщин и детей с инвалидностью.</w:t>
      </w:r>
    </w:p>
    <w:p w14:paraId="74891854" w14:textId="35F56CEB" w:rsidR="00533466" w:rsidRDefault="00D60CD4" w:rsidP="00A05F29">
      <w:pPr>
        <w:pStyle w:val="SingleTxtG"/>
        <w:rPr>
          <w:b/>
          <w:lang w:eastAsia="ru-RU"/>
        </w:rPr>
      </w:pPr>
      <w:r>
        <w:t>157.</w:t>
      </w:r>
      <w:r>
        <w:tab/>
        <w:t>Государство-участник создало группы поддержки жертв (ГПЖ) при Полицейской службе Замбии по всей стране.</w:t>
      </w:r>
      <w:r w:rsidR="00533466">
        <w:br w:type="page"/>
      </w:r>
    </w:p>
    <w:p w14:paraId="4A775097" w14:textId="77777777" w:rsidR="00D60CD4" w:rsidRPr="00FA6F7B" w:rsidRDefault="00D60CD4" w:rsidP="00D60CD4">
      <w:pPr>
        <w:pStyle w:val="H23G"/>
      </w:pPr>
      <w:r>
        <w:lastRenderedPageBreak/>
        <w:tab/>
      </w:r>
      <w:r>
        <w:tab/>
      </w:r>
      <w:r>
        <w:rPr>
          <w:bCs/>
        </w:rPr>
        <w:t>Статья 17</w:t>
      </w:r>
      <w:r w:rsidR="00533466">
        <w:rPr>
          <w:bCs/>
        </w:rPr>
        <w:br/>
      </w:r>
      <w:r>
        <w:rPr>
          <w:bCs/>
        </w:rPr>
        <w:tab/>
        <w:t>Защита личной целостности</w:t>
      </w:r>
      <w:bookmarkStart w:id="42" w:name="_Toc53587124"/>
      <w:bookmarkEnd w:id="42"/>
    </w:p>
    <w:p w14:paraId="5E5B9748" w14:textId="77777777" w:rsidR="00D60CD4" w:rsidRPr="00FA6F7B" w:rsidRDefault="00D60CD4" w:rsidP="00D60CD4">
      <w:pPr>
        <w:pStyle w:val="SingleTxtG"/>
      </w:pPr>
      <w:r>
        <w:t>158.</w:t>
      </w:r>
      <w:r>
        <w:tab/>
        <w:t>Государство-участник признает необходимость соблюдения права на защиту личной целостности инвалидов. С учетом этого государство-участник приняло законодательные и административные меры для защиты личной целостности инвалидов.</w:t>
      </w:r>
    </w:p>
    <w:p w14:paraId="7AC78A9B" w14:textId="77777777" w:rsidR="00D60CD4" w:rsidRPr="00FA6F7B" w:rsidRDefault="00D60CD4" w:rsidP="00D60CD4">
      <w:pPr>
        <w:pStyle w:val="SingleTxtG"/>
      </w:pPr>
      <w:r>
        <w:t>159.</w:t>
      </w:r>
      <w:r>
        <w:tab/>
        <w:t xml:space="preserve">Статья 4 а) Закона о людях с инвалидностью предусматривает уважение присущего инвалидам достоинства, личной самостоятельности, включая свободу делать свой собственный выбор, и независимости. Кроме того, статья 5 предусматривает, что каждый человек обязан уважать и поддерживать права и достоинство инвалидов. </w:t>
      </w:r>
    </w:p>
    <w:p w14:paraId="541D5A43" w14:textId="77777777" w:rsidR="00D60CD4" w:rsidRPr="00FA6F7B" w:rsidRDefault="00D60CD4" w:rsidP="00D60CD4">
      <w:pPr>
        <w:pStyle w:val="SingleTxtG"/>
      </w:pPr>
      <w:r>
        <w:t>160.</w:t>
      </w:r>
      <w:r>
        <w:tab/>
        <w:t xml:space="preserve">Пункт 3 статьи 6 Закона гласит, что </w:t>
      </w:r>
      <w:r w:rsidR="00AF1E70">
        <w:t>«</w:t>
      </w:r>
      <w:r>
        <w:t>человек не должен называть инвалида уничижительными именами из-за его инвалидности</w:t>
      </w:r>
      <w:r w:rsidR="00AF1E70">
        <w:t>»</w:t>
      </w:r>
      <w:r>
        <w:t xml:space="preserve">. </w:t>
      </w:r>
    </w:p>
    <w:p w14:paraId="051CA338" w14:textId="77777777" w:rsidR="00D60CD4" w:rsidRPr="00FA6F7B" w:rsidRDefault="00D60CD4" w:rsidP="00D60CD4">
      <w:pPr>
        <w:pStyle w:val="SingleTxtG"/>
      </w:pPr>
      <w:r>
        <w:t>161.</w:t>
      </w:r>
      <w:r>
        <w:tab/>
        <w:t>Государство-участник разработало законопроект о психическом здоровье, который направлен на обеспечение информированного согласия и поддерживаемого принятия решений в отношении доступа к услугам в области психического здоровья, включая участие в научных исследованиях. Законопроект о психическом здоровье также предусматривает создание комиссии по вопросам здравоохранения и механизма подачи жалоб по вопросам, связанным с нарушением прав на физическую и психическую целостность.</w:t>
      </w:r>
    </w:p>
    <w:p w14:paraId="36AE5DE2" w14:textId="77777777" w:rsidR="00D60CD4" w:rsidRPr="00FA6F7B" w:rsidRDefault="00D60CD4" w:rsidP="00D60CD4">
      <w:pPr>
        <w:pStyle w:val="SingleTxtG"/>
      </w:pPr>
      <w:r>
        <w:t>162.</w:t>
      </w:r>
      <w:r>
        <w:tab/>
        <w:t xml:space="preserve">Государство-участник также приступило к проведению разъяснительной работы по вопросам поощрения уважения личной целостности инвалидов. </w:t>
      </w:r>
    </w:p>
    <w:p w14:paraId="5A5465F7" w14:textId="77777777" w:rsidR="00D60CD4" w:rsidRPr="00FA6F7B" w:rsidRDefault="00D60CD4" w:rsidP="00D60CD4">
      <w:pPr>
        <w:pStyle w:val="H23G"/>
      </w:pPr>
      <w:r>
        <w:tab/>
      </w:r>
      <w:r>
        <w:tab/>
      </w:r>
      <w:r>
        <w:rPr>
          <w:bCs/>
        </w:rPr>
        <w:t>Статья 18</w:t>
      </w:r>
      <w:r w:rsidR="00533466">
        <w:rPr>
          <w:bCs/>
        </w:rPr>
        <w:br/>
      </w:r>
      <w:r>
        <w:rPr>
          <w:bCs/>
        </w:rPr>
        <w:tab/>
        <w:t>Свобода передвижения и гражданство</w:t>
      </w:r>
      <w:r>
        <w:t xml:space="preserve"> </w:t>
      </w:r>
      <w:bookmarkStart w:id="43" w:name="_Toc53587125"/>
      <w:bookmarkEnd w:id="43"/>
    </w:p>
    <w:p w14:paraId="72D89DC7" w14:textId="77777777" w:rsidR="00D60CD4" w:rsidRPr="00FA6F7B" w:rsidRDefault="00D60CD4" w:rsidP="00D60CD4">
      <w:pPr>
        <w:pStyle w:val="SingleTxtG"/>
      </w:pPr>
      <w:r>
        <w:t>163.</w:t>
      </w:r>
      <w:r>
        <w:tab/>
        <w:t>Государство-участник признает право на свободу передвижения и гражданство и приняло законодательные и административные меры для обеспечения того, чтобы это право сохранялось за инвалидами.</w:t>
      </w:r>
    </w:p>
    <w:p w14:paraId="7B29CE74" w14:textId="77777777" w:rsidR="00D60CD4" w:rsidRPr="00FA6F7B" w:rsidRDefault="00D60CD4" w:rsidP="00D60CD4">
      <w:pPr>
        <w:pStyle w:val="SingleTxtG"/>
      </w:pPr>
      <w:r>
        <w:t>164.</w:t>
      </w:r>
      <w:r>
        <w:tab/>
        <w:t xml:space="preserve">Статья 22 Конституции гарантирует свободу передвижения и право свободно передвигаться по территории Замбии, проживать в любой части Замбии, а также покидать страну и возвращаться в нее. Кроме того, статья 34 гарантирует право на гражданство и предусматривает, что человек может стать гражданином по рождению, в результате регистрации, по национальности и в результате усыновления/удочерения. </w:t>
      </w:r>
    </w:p>
    <w:p w14:paraId="0DE23F64" w14:textId="77777777" w:rsidR="00D60CD4" w:rsidRPr="00FA6F7B" w:rsidRDefault="00D60CD4" w:rsidP="00D60CD4">
      <w:pPr>
        <w:pStyle w:val="SingleTxtG"/>
      </w:pPr>
      <w:r>
        <w:t>165.</w:t>
      </w:r>
      <w:r>
        <w:tab/>
        <w:t>Закон № 33 о гражданстве 2016 года предусматривает, что человек, являющийся гражданином по рождению, должен быть зарегистрирован при рождении в соответствии с Законом о регистрации рождения и смерти. Это защищает права детей-инвалидов быть зарегистрированными при рождении.</w:t>
      </w:r>
    </w:p>
    <w:p w14:paraId="3BA68D8F" w14:textId="77777777" w:rsidR="00D60CD4" w:rsidRPr="00FA6F7B" w:rsidRDefault="00D60CD4" w:rsidP="00D60CD4">
      <w:pPr>
        <w:pStyle w:val="H23G"/>
      </w:pPr>
      <w:bookmarkStart w:id="44" w:name="_Toc141932547"/>
      <w:bookmarkStart w:id="45" w:name="_Toc304981220"/>
      <w:bookmarkStart w:id="46" w:name="_Toc348505232"/>
      <w:r>
        <w:tab/>
      </w:r>
      <w:r>
        <w:tab/>
      </w:r>
      <w:r>
        <w:rPr>
          <w:bCs/>
        </w:rPr>
        <w:t>Статья 19</w:t>
      </w:r>
      <w:r w:rsidR="00533466">
        <w:rPr>
          <w:bCs/>
        </w:rPr>
        <w:br/>
      </w:r>
      <w:r>
        <w:rPr>
          <w:bCs/>
        </w:rPr>
        <w:tab/>
        <w:t>Самостоятельный образ жизни и вовлеченность в местное сообщество</w:t>
      </w:r>
      <w:bookmarkStart w:id="47" w:name="_Toc53587126"/>
      <w:bookmarkEnd w:id="44"/>
      <w:bookmarkEnd w:id="45"/>
      <w:bookmarkEnd w:id="46"/>
      <w:bookmarkEnd w:id="47"/>
    </w:p>
    <w:p w14:paraId="7F91838F" w14:textId="77777777" w:rsidR="00D60CD4" w:rsidRPr="00FA6F7B" w:rsidRDefault="00D60CD4" w:rsidP="00D60CD4">
      <w:pPr>
        <w:pStyle w:val="SingleTxtG"/>
      </w:pPr>
      <w:r>
        <w:t>166.</w:t>
      </w:r>
      <w:r>
        <w:tab/>
        <w:t xml:space="preserve">Национальная политика государства-участника в области инвалидности направлена на поощрение общинной абилитации и реабилитации людей с инвалидностью в их общинах. Кроме того, в рамках этой политики подчеркивается, что реабилитационные центры должны быть доступны для всех. </w:t>
      </w:r>
    </w:p>
    <w:p w14:paraId="0C70F246" w14:textId="77777777" w:rsidR="00D60CD4" w:rsidRPr="00FA6F7B" w:rsidRDefault="00D60CD4" w:rsidP="00D60CD4">
      <w:pPr>
        <w:pStyle w:val="SingleTxtG"/>
      </w:pPr>
      <w:r>
        <w:t>167.</w:t>
      </w:r>
      <w:r>
        <w:tab/>
        <w:t>Кроме того, государство-участник приняло законодательные меры, гарантирующие право инвалидов пользоваться своим правом на самостоятельный образ жизни в общине и осуществлять его.</w:t>
      </w:r>
    </w:p>
    <w:p w14:paraId="640B1B81" w14:textId="77777777" w:rsidR="00D60CD4" w:rsidRPr="00FA6F7B" w:rsidRDefault="00D60CD4" w:rsidP="00D60CD4">
      <w:pPr>
        <w:pStyle w:val="SingleTxtG"/>
      </w:pPr>
      <w:r>
        <w:t>168.</w:t>
      </w:r>
      <w:r>
        <w:tab/>
        <w:t xml:space="preserve">Статья 34 Закона о людях с инвалидностью уполномочивает министра обеспечивать, чтобы инвалиды получали реабилитационные услуги в своих общинах в целях содействия интеграции. </w:t>
      </w:r>
    </w:p>
    <w:p w14:paraId="192B06EC" w14:textId="77777777" w:rsidR="00D60CD4" w:rsidRPr="00FA6F7B" w:rsidRDefault="00D60CD4" w:rsidP="00D60CD4">
      <w:pPr>
        <w:pStyle w:val="SingleTxtG"/>
      </w:pPr>
      <w:r>
        <w:t>169.</w:t>
      </w:r>
      <w:r>
        <w:tab/>
        <w:t xml:space="preserve">Статья 7 Закона о людях с инвалидностью предусматривает, что </w:t>
      </w:r>
      <w:r w:rsidR="00AF1E70">
        <w:t>«</w:t>
      </w:r>
      <w:r>
        <w:t xml:space="preserve">инвалид не должен быть лишен права выбирать свое место жительства и проживать со своей </w:t>
      </w:r>
      <w:r>
        <w:lastRenderedPageBreak/>
        <w:t>семьей или права участвовать в социальной, политической, творческой или рекреационной деятельности</w:t>
      </w:r>
      <w:r w:rsidR="00AF1E70">
        <w:t>»</w:t>
      </w:r>
      <w:r>
        <w:t xml:space="preserve">. </w:t>
      </w:r>
    </w:p>
    <w:p w14:paraId="22B54428" w14:textId="77777777" w:rsidR="00D60CD4" w:rsidRPr="00FA6F7B" w:rsidRDefault="00D60CD4" w:rsidP="00D60CD4">
      <w:pPr>
        <w:pStyle w:val="SingleTxtG"/>
      </w:pPr>
      <w:r>
        <w:t>170.</w:t>
      </w:r>
      <w:r>
        <w:tab/>
        <w:t xml:space="preserve">Статья 32 c) Закона о людях с инвалидностью предусматривает, что государственные учреждения, а также негосударственные субъекты должны поддерживать максимально возможное участие и охват инвалидов во всех аспектах жизни общества. Например, государство-участник через Министерство общинного развития и социальных служб осуществляет на экспериментальной основе программу реабилитации по месту жительства (РМЖ) в округах Казунгула, Ливингстон и Зимба в Южной провинции. В рамках этой программы инвалиды и общины, в которых они живут, получают возможности для участия в аспектах инклюзивного устойчивого развития. </w:t>
      </w:r>
    </w:p>
    <w:p w14:paraId="1F0483C1" w14:textId="77777777" w:rsidR="00D60CD4" w:rsidRPr="00FA6F7B" w:rsidRDefault="00D60CD4" w:rsidP="00D60CD4">
      <w:pPr>
        <w:pStyle w:val="SingleTxtG"/>
      </w:pPr>
      <w:r>
        <w:t>171.</w:t>
      </w:r>
      <w:r>
        <w:tab/>
        <w:t>Государство-участник также оказывает финансовую поддержку Центру библиотечного обслуживания, культуры и профессиональной подготовки слепых и слабовидящих в обучении слепых и слабовидящих людей чтению и письму с использованием шрифта Брайля, навыкам ориентирования и передвижения, навыкам повседневной жизни и навыкам работы с компьютером.</w:t>
      </w:r>
    </w:p>
    <w:p w14:paraId="0B3F590F" w14:textId="77777777" w:rsidR="00D60CD4" w:rsidRPr="00FA6F7B" w:rsidRDefault="00D60CD4" w:rsidP="00D60CD4">
      <w:pPr>
        <w:pStyle w:val="SingleTxtG"/>
      </w:pPr>
      <w:r>
        <w:t>172.</w:t>
      </w:r>
      <w:r>
        <w:tab/>
        <w:t>Кроме того, государство-участник оказывает финансовую поддержку Центру по обучению инвалидов навыкам выживания в Ндоле.</w:t>
      </w:r>
    </w:p>
    <w:p w14:paraId="1848550A" w14:textId="77777777" w:rsidR="00D60CD4" w:rsidRPr="00FA6F7B" w:rsidRDefault="00D60CD4" w:rsidP="00D60CD4">
      <w:pPr>
        <w:pStyle w:val="SingleTxtG"/>
      </w:pPr>
      <w:r>
        <w:t>173.</w:t>
      </w:r>
      <w:r>
        <w:tab/>
        <w:t>По линии ЗАДЛИ государство-участник предоставляет инвалидам бесплатные ассистивные устройства.</w:t>
      </w:r>
    </w:p>
    <w:p w14:paraId="29F32A24" w14:textId="77777777" w:rsidR="00D60CD4" w:rsidRPr="00FA6F7B" w:rsidRDefault="00D60CD4" w:rsidP="00D60CD4">
      <w:pPr>
        <w:pStyle w:val="SingleTxtG"/>
      </w:pPr>
      <w:r>
        <w:t>174.</w:t>
      </w:r>
      <w:r>
        <w:tab/>
        <w:t>Государство-участник создало ортопедические отделы в медицинских центрах, которые производят протезы конечностей.</w:t>
      </w:r>
    </w:p>
    <w:p w14:paraId="70A461D2" w14:textId="77777777" w:rsidR="00D60CD4" w:rsidRPr="00FA6F7B" w:rsidRDefault="00D60CD4" w:rsidP="00D60CD4">
      <w:pPr>
        <w:pStyle w:val="SingleTxtG"/>
      </w:pPr>
      <w:r>
        <w:t>175.</w:t>
      </w:r>
      <w:r>
        <w:tab/>
        <w:t xml:space="preserve">Государство-участник через министерства, отвечающие за образование, обеспечивает профессиональную подготовку инвалидов на протяжении всей жизни, с тем чтобы они могли жить самостоятельно в обществе. В секторе образования разработана альтернативная учебная программа с упором на виды деятельности в повседневной жизни. Это включает предоставление инвалидам вспомогательных услуг на уровне общин. </w:t>
      </w:r>
    </w:p>
    <w:p w14:paraId="6D499EB6" w14:textId="77777777" w:rsidR="00D60CD4" w:rsidRPr="00FA6F7B" w:rsidRDefault="00D60CD4" w:rsidP="00D60CD4">
      <w:pPr>
        <w:pStyle w:val="SingleTxtG"/>
      </w:pPr>
      <w:r>
        <w:t>176.</w:t>
      </w:r>
      <w:r>
        <w:tab/>
        <w:t>Государство-участник, признавая необходимость поощрения прав людей с альбинизмом на самостоятельный образ жизни, оказывает финансовую поддержку Международному дню альбинизма, проводя программы повышения осведомленности о правах таких людей. Государство-участник также участвует в мероприятиях в рамках этого Дня.</w:t>
      </w:r>
    </w:p>
    <w:p w14:paraId="3C5A9BD6" w14:textId="77777777" w:rsidR="00D60CD4" w:rsidRPr="00FA6F7B" w:rsidRDefault="00D60CD4" w:rsidP="00D60CD4">
      <w:pPr>
        <w:pStyle w:val="SingleTxtG"/>
      </w:pPr>
      <w:r>
        <w:t>177.</w:t>
      </w:r>
      <w:r>
        <w:tab/>
        <w:t>Кроме того, в поддержку права инвалидов на самостоятельный образ жизни государство-участник реализует под руководством вице-президента программу переселения, в рамках которой инвалидам предоставляются земельные участки для переселения, например, в Чифвеме, провинция Лусака, в Канчибии, провинция Мучинга, и в Камбиломбило, провинция Коппербелт.</w:t>
      </w:r>
    </w:p>
    <w:p w14:paraId="7B1933FC" w14:textId="77777777" w:rsidR="00D60CD4" w:rsidRPr="00FA6F7B" w:rsidRDefault="00D60CD4" w:rsidP="00D60CD4">
      <w:pPr>
        <w:pStyle w:val="H23G"/>
      </w:pPr>
      <w:bookmarkStart w:id="48" w:name="_Toc141932548"/>
      <w:bookmarkStart w:id="49" w:name="_Toc304981221"/>
      <w:bookmarkStart w:id="50" w:name="_Toc348505233"/>
      <w:r>
        <w:tab/>
      </w:r>
      <w:r>
        <w:tab/>
      </w:r>
      <w:r>
        <w:rPr>
          <w:bCs/>
        </w:rPr>
        <w:t>Статья 20</w:t>
      </w:r>
      <w:r w:rsidR="00533466">
        <w:rPr>
          <w:bCs/>
        </w:rPr>
        <w:br/>
      </w:r>
      <w:r>
        <w:rPr>
          <w:bCs/>
        </w:rPr>
        <w:tab/>
        <w:t>Индивидуальная мобильность</w:t>
      </w:r>
      <w:bookmarkStart w:id="51" w:name="_Toc53587127"/>
      <w:bookmarkEnd w:id="48"/>
      <w:bookmarkEnd w:id="49"/>
      <w:bookmarkEnd w:id="50"/>
      <w:bookmarkEnd w:id="51"/>
    </w:p>
    <w:p w14:paraId="10EC432F" w14:textId="77777777" w:rsidR="00D60CD4" w:rsidRPr="00FA6F7B" w:rsidRDefault="00D60CD4" w:rsidP="00D60CD4">
      <w:pPr>
        <w:pStyle w:val="SingleTxtG"/>
      </w:pPr>
      <w:r>
        <w:t>178.</w:t>
      </w:r>
      <w:r>
        <w:tab/>
        <w:t>Государство-участник уважает право инвалидов на личную мобильность. Об</w:t>
      </w:r>
      <w:r w:rsidR="00533466">
        <w:t> </w:t>
      </w:r>
      <w:r>
        <w:t>этом свидетельствуют принимаемые политические, законодательные и административные меры. В пункте 1 статьи 40 Закона о людях с инвалидностью воспроизведены положения статьи 20 КПИ.</w:t>
      </w:r>
    </w:p>
    <w:p w14:paraId="52DA26A2" w14:textId="77777777" w:rsidR="00D60CD4" w:rsidRPr="00FA6F7B" w:rsidRDefault="00D60CD4" w:rsidP="00D60CD4">
      <w:pPr>
        <w:pStyle w:val="SingleTxtG"/>
      </w:pPr>
      <w:r>
        <w:t>179.</w:t>
      </w:r>
      <w:r>
        <w:tab/>
        <w:t>В соответствии с национальной политикой в области инвалидности государство-участник обязано выделять финансовые средства на приобретение средств мобильности, обеспечивающих инвалидам свободу и самостоятельность передвижения.</w:t>
      </w:r>
    </w:p>
    <w:p w14:paraId="1608F669" w14:textId="77777777" w:rsidR="00D60CD4" w:rsidRPr="00FA6F7B" w:rsidRDefault="00D60CD4" w:rsidP="00D60CD4">
      <w:pPr>
        <w:pStyle w:val="SingleTxtG"/>
      </w:pPr>
      <w:r>
        <w:t>180.</w:t>
      </w:r>
      <w:r>
        <w:tab/>
        <w:t xml:space="preserve">Государство-участник через Министерство образования реализует учебную программу, которая включает в себя тему </w:t>
      </w:r>
      <w:r w:rsidR="00AF1E70">
        <w:t>«</w:t>
      </w:r>
      <w:r>
        <w:t>Ориентация и мобильность</w:t>
      </w:r>
      <w:r w:rsidR="00AF1E70">
        <w:t>»</w:t>
      </w:r>
      <w:r>
        <w:t xml:space="preserve"> в качестве учебного предмета для лиц с нарушениями зрения.</w:t>
      </w:r>
    </w:p>
    <w:p w14:paraId="70E1E0A6" w14:textId="77777777" w:rsidR="00D60CD4" w:rsidRPr="00FA6F7B" w:rsidRDefault="00D60CD4" w:rsidP="00D60CD4">
      <w:pPr>
        <w:pStyle w:val="SingleTxtG"/>
      </w:pPr>
      <w:r>
        <w:lastRenderedPageBreak/>
        <w:t>181.</w:t>
      </w:r>
      <w:r>
        <w:tab/>
        <w:t xml:space="preserve">Государство-участник через посредство высших учебных заведений обеспечивает подготовку специалистов по вопросам ориентации и мобильности для последующего обучения учащихся-инвалидов в школах. </w:t>
      </w:r>
    </w:p>
    <w:p w14:paraId="24743D96" w14:textId="77777777" w:rsidR="00D60CD4" w:rsidRPr="00FA6F7B" w:rsidRDefault="00D60CD4" w:rsidP="00D60CD4">
      <w:pPr>
        <w:pStyle w:val="H23G"/>
      </w:pPr>
      <w:r>
        <w:tab/>
      </w:r>
      <w:r>
        <w:tab/>
      </w:r>
      <w:r>
        <w:rPr>
          <w:bCs/>
        </w:rPr>
        <w:t>Статья 21</w:t>
      </w:r>
      <w:r w:rsidR="00533466">
        <w:rPr>
          <w:bCs/>
        </w:rPr>
        <w:br/>
      </w:r>
      <w:r>
        <w:rPr>
          <w:bCs/>
        </w:rPr>
        <w:tab/>
        <w:t>Свобода выражения мнения и убеждений и доступ к информации</w:t>
      </w:r>
      <w:bookmarkStart w:id="52" w:name="_Toc53587128"/>
      <w:bookmarkEnd w:id="52"/>
    </w:p>
    <w:p w14:paraId="1A6B71F2" w14:textId="77777777" w:rsidR="00D60CD4" w:rsidRPr="00FA6F7B" w:rsidRDefault="00D60CD4" w:rsidP="00D60CD4">
      <w:pPr>
        <w:pStyle w:val="SingleTxtG"/>
      </w:pPr>
      <w:r>
        <w:t>182.</w:t>
      </w:r>
      <w:r>
        <w:tab/>
        <w:t>Государство-участник постепенно принимает меры по обеспечению свободы выражения мнения и убеждений и доступа к информации для инвалидов. К ним относятся принимаемые государством-участником</w:t>
      </w:r>
      <w:r w:rsidRPr="0037154B">
        <w:t xml:space="preserve"> </w:t>
      </w:r>
      <w:r>
        <w:t xml:space="preserve">политические, законодательные и административные меры. </w:t>
      </w:r>
    </w:p>
    <w:p w14:paraId="26FF0B36" w14:textId="77777777" w:rsidR="00D60CD4" w:rsidRPr="00FA6F7B" w:rsidRDefault="00D60CD4" w:rsidP="00D60CD4">
      <w:pPr>
        <w:pStyle w:val="SingleTxtG"/>
      </w:pPr>
      <w:r>
        <w:t>183.</w:t>
      </w:r>
      <w:r>
        <w:tab/>
        <w:t>Национальная политика в области инвалидности предусматривает следующие меры для достижения своей цели</w:t>
      </w:r>
      <w:r w:rsidR="00AF1E70">
        <w:t xml:space="preserve"> — </w:t>
      </w:r>
      <w:r>
        <w:t>обеспечения доступа к информации:</w:t>
      </w:r>
    </w:p>
    <w:p w14:paraId="215DD63C" w14:textId="092ABA9F" w:rsidR="00D60CD4" w:rsidRPr="00FA6F7B" w:rsidRDefault="00D60CD4" w:rsidP="00533466">
      <w:pPr>
        <w:pStyle w:val="Bullet1G"/>
      </w:pPr>
      <w:r>
        <w:t>использование шрифт</w:t>
      </w:r>
      <w:r w:rsidR="005C5A93">
        <w:t>а</w:t>
      </w:r>
      <w:r>
        <w:t xml:space="preserve"> Брайля и крупного шрифта в зданиях и других объектах, открытых для публики;</w:t>
      </w:r>
    </w:p>
    <w:p w14:paraId="27F07771" w14:textId="77777777" w:rsidR="00D60CD4" w:rsidRPr="00FA6F7B" w:rsidRDefault="00D60CD4" w:rsidP="00533466">
      <w:pPr>
        <w:pStyle w:val="Bullet1G"/>
      </w:pPr>
      <w:r>
        <w:t>внедрение надлежащих форм оказания инвалидам помощи и поддержки, обеспечивающих им доступ к информации; и</w:t>
      </w:r>
    </w:p>
    <w:p w14:paraId="4F22F401" w14:textId="77777777" w:rsidR="00D60CD4" w:rsidRPr="00FA6F7B" w:rsidRDefault="00D60CD4" w:rsidP="00533466">
      <w:pPr>
        <w:pStyle w:val="Bullet1G"/>
      </w:pPr>
      <w:r>
        <w:t>обеспечение доступа инвалидов к новым системам, использующим информационно-коммуникационные технологии (ИКТ), включая Интернет. Пункт 3 статьи 40 Закона о людях с инвалидностью предусматривает такой доступ к информации.</w:t>
      </w:r>
    </w:p>
    <w:p w14:paraId="0AF7AEEC" w14:textId="77777777" w:rsidR="00D60CD4" w:rsidRPr="00FA6F7B" w:rsidRDefault="00D60CD4" w:rsidP="00D60CD4">
      <w:pPr>
        <w:pStyle w:val="SingleTxtG"/>
      </w:pPr>
      <w:r>
        <w:t>184.</w:t>
      </w:r>
      <w:r>
        <w:tab/>
        <w:t>Для признания права инвалидов на доступ к информации в Кодекс государства-участника в области информации, коммуникации и технологии была включена статья</w:t>
      </w:r>
      <w:r w:rsidR="00533466">
        <w:t> </w:t>
      </w:r>
      <w:r>
        <w:t xml:space="preserve">9 КПИ. </w:t>
      </w:r>
    </w:p>
    <w:p w14:paraId="5AFE3E11" w14:textId="77777777" w:rsidR="00D60CD4" w:rsidRPr="00FA6F7B" w:rsidRDefault="00D60CD4" w:rsidP="00D60CD4">
      <w:pPr>
        <w:pStyle w:val="SingleTxtG"/>
      </w:pPr>
      <w:r>
        <w:t>185.</w:t>
      </w:r>
      <w:r>
        <w:tab/>
        <w:t xml:space="preserve">Статья 49 Закона о людях с инвалидностью гласит, что </w:t>
      </w:r>
      <w:r w:rsidR="00AF1E70">
        <w:t>«</w:t>
      </w:r>
      <w:r>
        <w:t>все телевизионные станции должны обеспечивать наличие вставок на языке жестов или субтитров во всех выпусках новостей и образовательных программах, а также во всех программах, освещающих события национального значения</w:t>
      </w:r>
      <w:r w:rsidR="00AF1E70">
        <w:t>»</w:t>
      </w:r>
      <w:r>
        <w:t>. В этой связи государство-участник наняло переводчиков жестового языка для обеспечения перевода выпусков новостей для глухих на общественном телевизионном канале. Кроме того, государство-участник нанимает переводчиков жестового языка для обслуживания программ, посвященных государственным торжественным мероприятиям, и других программ национального значения.</w:t>
      </w:r>
    </w:p>
    <w:p w14:paraId="66A00411" w14:textId="77777777" w:rsidR="00D60CD4" w:rsidRPr="00FA6F7B" w:rsidRDefault="00D60CD4" w:rsidP="00D60CD4">
      <w:pPr>
        <w:pStyle w:val="SingleTxtG"/>
      </w:pPr>
      <w:r>
        <w:t>186.</w:t>
      </w:r>
      <w:r>
        <w:tab/>
        <w:t>Однако государство-участник не приняло мер для предоставления информации с использованием крупного шрифта и в легко читаемых форматах. Признавая это, государство-участник будет постепенно обеспечивать, чтобы информация, предназначенная для широкой общественности, также предоставлялась в этих форматах.</w:t>
      </w:r>
    </w:p>
    <w:p w14:paraId="23C8DD9D" w14:textId="77777777" w:rsidR="00D60CD4" w:rsidRPr="00FA6F7B" w:rsidRDefault="00D60CD4" w:rsidP="00D60CD4">
      <w:pPr>
        <w:pStyle w:val="H23G"/>
      </w:pPr>
      <w:r>
        <w:tab/>
      </w:r>
      <w:r>
        <w:tab/>
      </w:r>
      <w:r>
        <w:rPr>
          <w:bCs/>
        </w:rPr>
        <w:t>Статья 22</w:t>
      </w:r>
      <w:r w:rsidR="00533466">
        <w:rPr>
          <w:bCs/>
        </w:rPr>
        <w:br/>
      </w:r>
      <w:r>
        <w:rPr>
          <w:bCs/>
        </w:rPr>
        <w:tab/>
        <w:t>Неприкосновенность частной жизни</w:t>
      </w:r>
      <w:r>
        <w:t xml:space="preserve"> </w:t>
      </w:r>
      <w:bookmarkStart w:id="53" w:name="_Toc53587129"/>
      <w:bookmarkEnd w:id="53"/>
    </w:p>
    <w:p w14:paraId="6BEA96EA" w14:textId="77777777" w:rsidR="00D60CD4" w:rsidRPr="00FA6F7B" w:rsidRDefault="00D60CD4" w:rsidP="00D60CD4">
      <w:pPr>
        <w:pStyle w:val="SingleTxtG"/>
      </w:pPr>
      <w:r>
        <w:t>187.</w:t>
      </w:r>
      <w:r>
        <w:tab/>
        <w:t xml:space="preserve">Государство-участник обязалось уважать право людей, предусмотренное в статье 17 Конституции. Статья 17 предусматривает, что люди должны быть защищены от личного обыска, обыска их жилища или имущества; конфискации их имущества; необоснованного истребования или разглашения информации, касающейся их семейных или частных дел; или нарушения конфиденциальности их сообщений. </w:t>
      </w:r>
    </w:p>
    <w:p w14:paraId="21AC88C5" w14:textId="77777777" w:rsidR="00D60CD4" w:rsidRPr="00FA6F7B" w:rsidRDefault="00D60CD4" w:rsidP="00D60CD4">
      <w:pPr>
        <w:pStyle w:val="SingleTxtG"/>
      </w:pPr>
      <w:r>
        <w:t>188.</w:t>
      </w:r>
      <w:r>
        <w:tab/>
        <w:t>Государство-участник постепенно принимает меры по просвещению соответствующих органов власти в отношении необходимости соблюдения права на неприкосновенность частной жизни.</w:t>
      </w:r>
    </w:p>
    <w:p w14:paraId="7307A77C" w14:textId="77777777" w:rsidR="00D60CD4" w:rsidRPr="00FA6F7B" w:rsidRDefault="00D60CD4" w:rsidP="00D60CD4">
      <w:pPr>
        <w:pStyle w:val="H23G"/>
      </w:pPr>
      <w:r>
        <w:tab/>
      </w:r>
      <w:r>
        <w:tab/>
      </w:r>
      <w:r>
        <w:rPr>
          <w:bCs/>
        </w:rPr>
        <w:t>Статья 23</w:t>
      </w:r>
      <w:r w:rsidR="00533466">
        <w:rPr>
          <w:bCs/>
        </w:rPr>
        <w:br/>
      </w:r>
      <w:r>
        <w:rPr>
          <w:bCs/>
        </w:rPr>
        <w:tab/>
        <w:t>Уважение дома и семьи</w:t>
      </w:r>
      <w:r>
        <w:t xml:space="preserve"> </w:t>
      </w:r>
      <w:bookmarkStart w:id="54" w:name="_Toc53587130"/>
      <w:bookmarkEnd w:id="54"/>
    </w:p>
    <w:p w14:paraId="07B1298D" w14:textId="77777777" w:rsidR="00D60CD4" w:rsidRPr="00FA6F7B" w:rsidRDefault="00D60CD4" w:rsidP="00D60CD4">
      <w:pPr>
        <w:pStyle w:val="SingleTxtG"/>
      </w:pPr>
      <w:r>
        <w:t>189.</w:t>
      </w:r>
      <w:r>
        <w:tab/>
        <w:t>Государство-участник признает право инвалидов на уважение дома и семьи. С</w:t>
      </w:r>
      <w:r w:rsidR="00533466">
        <w:t> </w:t>
      </w:r>
      <w:r>
        <w:t>учетом этого государство-участник приняло политические, законодательные и административные меры.</w:t>
      </w:r>
    </w:p>
    <w:p w14:paraId="3293B01C" w14:textId="77777777" w:rsidR="00D60CD4" w:rsidRPr="00FA6F7B" w:rsidRDefault="00D60CD4" w:rsidP="00D60CD4">
      <w:pPr>
        <w:pStyle w:val="SingleTxtG"/>
      </w:pPr>
      <w:r>
        <w:lastRenderedPageBreak/>
        <w:t>190.</w:t>
      </w:r>
      <w:r>
        <w:tab/>
        <w:t xml:space="preserve">Статья 61 Закона о людях с инвалидностью гласит, что родитель, законный опекун или ближайший родственник не должен скрывать инвалида с целью лишения его возможностей и услуг, доступных в соответствии с этим Законом. </w:t>
      </w:r>
    </w:p>
    <w:p w14:paraId="66D7EA40" w14:textId="77777777" w:rsidR="00D60CD4" w:rsidRPr="00FA6F7B" w:rsidRDefault="00D60CD4" w:rsidP="00D60CD4">
      <w:pPr>
        <w:pStyle w:val="SingleTxtG"/>
      </w:pPr>
      <w:r>
        <w:t>191.</w:t>
      </w:r>
      <w:r>
        <w:tab/>
        <w:t xml:space="preserve">Государство-участник осуществляет национальную политику в области социальной защиты, которая предусматривает программы социальной помощи семьям с инвалидами для обеспечения того, чтобы инвалиды оставались в своих семьях и общинах. </w:t>
      </w:r>
    </w:p>
    <w:p w14:paraId="04428F6A" w14:textId="77777777" w:rsidR="00D60CD4" w:rsidRPr="00FA6F7B" w:rsidRDefault="00D60CD4" w:rsidP="00D60CD4">
      <w:pPr>
        <w:pStyle w:val="SingleTxtG"/>
      </w:pPr>
      <w:r>
        <w:t>192.</w:t>
      </w:r>
      <w:r>
        <w:tab/>
        <w:t xml:space="preserve">Государство-участник разработало законопроект о психическом здоровье, который направлен на защиту инвалидов, особенно лиц с психическими расстройствами, от принудительной стерилизации. </w:t>
      </w:r>
    </w:p>
    <w:p w14:paraId="08849A25" w14:textId="77777777" w:rsidR="00D60CD4" w:rsidRPr="00FA6F7B" w:rsidRDefault="00D60CD4" w:rsidP="00D60CD4">
      <w:pPr>
        <w:pStyle w:val="H23G"/>
      </w:pPr>
      <w:r>
        <w:tab/>
      </w:r>
      <w:r>
        <w:tab/>
      </w:r>
      <w:r>
        <w:rPr>
          <w:bCs/>
        </w:rPr>
        <w:t>Статья 24</w:t>
      </w:r>
      <w:r w:rsidR="00533466">
        <w:rPr>
          <w:bCs/>
        </w:rPr>
        <w:br/>
      </w:r>
      <w:r>
        <w:rPr>
          <w:bCs/>
        </w:rPr>
        <w:tab/>
        <w:t>Образование</w:t>
      </w:r>
      <w:bookmarkStart w:id="55" w:name="_Toc53587131"/>
      <w:bookmarkEnd w:id="55"/>
    </w:p>
    <w:p w14:paraId="621A3F9A" w14:textId="77777777" w:rsidR="00D60CD4" w:rsidRPr="00FA6F7B" w:rsidRDefault="00D60CD4" w:rsidP="00D60CD4">
      <w:pPr>
        <w:pStyle w:val="SingleTxtG"/>
      </w:pPr>
      <w:r>
        <w:t>193.</w:t>
      </w:r>
      <w:r>
        <w:tab/>
        <w:t xml:space="preserve">Государство-участник приняло законодательные меры по поощрению и защите права инвалидов на образование. Пункт 2 а) статьи 22 Закона о людях с инвалидностью гласит, что </w:t>
      </w:r>
      <w:r w:rsidR="00AF1E70">
        <w:t>«</w:t>
      </w:r>
      <w:r>
        <w:t>инвалиды не должны исключаться по причине инвалидности из системы общего образования</w:t>
      </w:r>
      <w:r w:rsidR="00AF1E70">
        <w:t>»</w:t>
      </w:r>
      <w:r>
        <w:t>. Кроме того, в нем предусматривается, что дети-инвалиды не должны исключаться по причине инвалидности из системы бесплатного и обязательного начального образования, среднего образования и высшего образования.</w:t>
      </w:r>
    </w:p>
    <w:p w14:paraId="2406DFB2" w14:textId="07A6A4A6" w:rsidR="00D60CD4" w:rsidRPr="00FA6F7B" w:rsidRDefault="00D60CD4" w:rsidP="00D60CD4">
      <w:pPr>
        <w:pStyle w:val="SingleTxtG"/>
      </w:pPr>
      <w:r>
        <w:t>194.</w:t>
      </w:r>
      <w:r>
        <w:tab/>
        <w:t>Кроме того, в пункт</w:t>
      </w:r>
      <w:r w:rsidR="00D448B2">
        <w:t>е</w:t>
      </w:r>
      <w:r>
        <w:t xml:space="preserve"> 2 b) статьи 22 Закона предусматривается, что инвалиды имеют доступ к инклюзивному бесплатному образованию, начиная с начального и среднего образования и заканчивая высшим образованием, в общине, в которой они проживают.</w:t>
      </w:r>
    </w:p>
    <w:p w14:paraId="36C086F5" w14:textId="77777777" w:rsidR="00D60CD4" w:rsidRPr="00FA6F7B" w:rsidRDefault="00D60CD4" w:rsidP="00D60CD4">
      <w:pPr>
        <w:pStyle w:val="SingleTxtG"/>
      </w:pPr>
      <w:r>
        <w:t>195.</w:t>
      </w:r>
      <w:r>
        <w:tab/>
        <w:t>Закон об образовании 2011 года также предусматривает, что дети без инвалидности и их сверстники-инвалиды имеют право на бесплатное образование с первого по седьмой класс.</w:t>
      </w:r>
    </w:p>
    <w:p w14:paraId="13062FEF" w14:textId="77777777" w:rsidR="00D60CD4" w:rsidRPr="00FA6F7B" w:rsidRDefault="00D60CD4" w:rsidP="00D60CD4">
      <w:pPr>
        <w:pStyle w:val="SingleTxtG"/>
      </w:pPr>
      <w:r>
        <w:t>196.</w:t>
      </w:r>
      <w:r>
        <w:tab/>
        <w:t xml:space="preserve">В 2007 году существовавшее тогда Министерство науки, технологий и профессионального обучения приняло политику в области профессиональной подготовки инвалидов. Эта политика направлена на расширение доступа к обучению, а также на создание основы для улучшения универсального и разумного приспособления в учебных заведениях. Эта политика до сих пор реализуется Министерством высшего образования. </w:t>
      </w:r>
    </w:p>
    <w:p w14:paraId="6F69AFE0" w14:textId="77777777" w:rsidR="00D60CD4" w:rsidRPr="00FA6F7B" w:rsidRDefault="00D60CD4" w:rsidP="00D60CD4">
      <w:pPr>
        <w:pStyle w:val="SingleTxtG"/>
      </w:pPr>
      <w:r>
        <w:t>197.</w:t>
      </w:r>
      <w:r>
        <w:tab/>
        <w:t xml:space="preserve">В 2014 году Международная организация труда (МОТ) сотрудничала с Министерством высшего образования в рамках проекта </w:t>
      </w:r>
      <w:r w:rsidR="00AF1E70">
        <w:t>«</w:t>
      </w:r>
      <w:r>
        <w:t>Поощрение прав и возможностей инвалидов в области занятости с помощью законодательства</w:t>
      </w:r>
      <w:r w:rsidR="00AF1E70">
        <w:t>»</w:t>
      </w:r>
      <w:r>
        <w:t xml:space="preserve"> (ППВИЗЗ). Задача заключалась в обеспечении того, чтобы инвалиды получали профессиональную подготовку и интегрировались в рынок труда. В число учебных заведений, которые участвовали в осуществлении этого экспериментального проекта, входили Институт профессионального обучения в Мансе, Институт профессионального обучения в Каоме, Коммерческий и технический колледж в Луаншья, Коммерческий и технический колледж в Лусаке (КТКЛ) и Национальный центр профессиональной реабилитации (НЦПР). Кроме того, этот проект предусматривал наращивание потенциала инструкторов и преподавателей с помощью программ образования и профессиональной подготовки в области инвалидности (ОППИ) в учебных заведениях системы ТОПОП. В результате осуществления этого проекта была разработана инклюзивная программа профессионально-технического обучения и руководящие принципы включения инвалидов в систему технического образования, профессионального обучения и подготовки предпринимателей, которые были опробованы и утверждены. В настоящее время существует требование о том, чтобы преподаватели учебных заведений, зарегистрированных в системе ТОПОП, проходили обучение по программе </w:t>
      </w:r>
      <w:r w:rsidR="00AF1E70">
        <w:t>«</w:t>
      </w:r>
      <w:r>
        <w:t>Навыки инклюзивного профессионального обучения</w:t>
      </w:r>
      <w:r w:rsidR="00AF1E70">
        <w:t>»</w:t>
      </w:r>
      <w:r>
        <w:t xml:space="preserve">. </w:t>
      </w:r>
    </w:p>
    <w:p w14:paraId="448D0C3A" w14:textId="77777777" w:rsidR="00D60CD4" w:rsidRPr="00FA6F7B" w:rsidRDefault="00D60CD4" w:rsidP="00D448B2">
      <w:pPr>
        <w:pStyle w:val="SingleTxtG"/>
        <w:keepNext/>
        <w:keepLines/>
      </w:pPr>
      <w:r>
        <w:lastRenderedPageBreak/>
        <w:t>198.</w:t>
      </w:r>
      <w:r>
        <w:tab/>
        <w:t>Учащимся с инвалидностью, особенно слабовидящим и глухим, предоставляется дополнительное время во время экзаменов. В ситуациях, когда они не могут самостоятельно выполнить письменное задание, им предоставляются помощники и переводчики.</w:t>
      </w:r>
    </w:p>
    <w:p w14:paraId="721ADD9E" w14:textId="77777777" w:rsidR="00D60CD4" w:rsidRPr="00FA6F7B" w:rsidRDefault="00D60CD4" w:rsidP="00D60CD4">
      <w:pPr>
        <w:pStyle w:val="SingleTxtG"/>
      </w:pPr>
      <w:r>
        <w:t>199.</w:t>
      </w:r>
      <w:r>
        <w:tab/>
        <w:t>При отборе и найме преподавателей с инвалидностью, а также при поступлении в колледжи и университеты</w:t>
      </w:r>
      <w:r w:rsidRPr="00980331">
        <w:t xml:space="preserve"> </w:t>
      </w:r>
      <w:r>
        <w:t>применяются позитивные действия.</w:t>
      </w:r>
    </w:p>
    <w:p w14:paraId="0BB4DA5B" w14:textId="77777777" w:rsidR="00D60CD4" w:rsidRPr="00FA6F7B" w:rsidRDefault="00D60CD4" w:rsidP="00D60CD4">
      <w:pPr>
        <w:pStyle w:val="SingleTxtG"/>
      </w:pPr>
      <w:r>
        <w:t>200.</w:t>
      </w:r>
      <w:r>
        <w:tab/>
        <w:t xml:space="preserve">Кроме того, государство-участник осуществляет принятую в 2014 году политику в области образования детей младшего возраста, которая позволила расширить доступ и возможности для обучения детей младшего возраста, не достигших школьного возраста. Эта политика поощряет дошкольное образование детей-инвалидов. </w:t>
      </w:r>
    </w:p>
    <w:p w14:paraId="34299486" w14:textId="4CBD76EA" w:rsidR="00D60CD4" w:rsidRPr="00FA6F7B" w:rsidRDefault="00D60CD4" w:rsidP="00D60CD4">
      <w:pPr>
        <w:pStyle w:val="SingleTxtG"/>
      </w:pPr>
      <w:r>
        <w:t>201.</w:t>
      </w:r>
      <w:r>
        <w:tab/>
        <w:t>Государство-участник приняло меры к тому, чтобы шрифт Брайля и жестовый язык были введены в качестве обязательных для изучения предметов на уровне первой ступени средней школы и в качестве темы для изучения</w:t>
      </w:r>
      <w:r w:rsidR="00D448B2">
        <w:t>,</w:t>
      </w:r>
      <w:r>
        <w:t xml:space="preserve"> начиная с дошкольного уровня и кончая уровнем среднего образования.</w:t>
      </w:r>
    </w:p>
    <w:p w14:paraId="3A33ACC0" w14:textId="77777777" w:rsidR="00D60CD4" w:rsidRPr="00FA6F7B" w:rsidRDefault="00D60CD4" w:rsidP="00D60CD4">
      <w:pPr>
        <w:pStyle w:val="SingleTxtG"/>
      </w:pPr>
      <w:r>
        <w:t>202.</w:t>
      </w:r>
      <w:r>
        <w:tab/>
        <w:t>Государство-участник через Министерство образования разработало руководящие принципы инклюзивного образования и его осуществления.</w:t>
      </w:r>
    </w:p>
    <w:p w14:paraId="6B7713F2" w14:textId="77777777" w:rsidR="00D60CD4" w:rsidRPr="00FA6F7B" w:rsidRDefault="00D60CD4" w:rsidP="00D60CD4">
      <w:pPr>
        <w:pStyle w:val="SingleTxtG"/>
      </w:pPr>
      <w:r>
        <w:t>203.</w:t>
      </w:r>
      <w:r>
        <w:tab/>
        <w:t xml:space="preserve">Кроме того, государство-участник обеспечивает и поощряет профессиональную подготовку инвалидов в государственных колледжах, в то время как государственные университеты, применяя позитивные действия, принимают инвалидов на учебу по программам получения ученой степени. </w:t>
      </w:r>
    </w:p>
    <w:p w14:paraId="52450EB8" w14:textId="77777777" w:rsidR="00D60CD4" w:rsidRPr="00FA6F7B" w:rsidRDefault="00D60CD4" w:rsidP="00D60CD4">
      <w:pPr>
        <w:pStyle w:val="SingleTxtG"/>
      </w:pPr>
      <w:r>
        <w:t>204.</w:t>
      </w:r>
      <w:r>
        <w:tab/>
        <w:t xml:space="preserve">Государство-участник через ассоциации родителей и учителей повышает осведомленность о правах детей-инвалидов на доступ к образованию в их собственных общинах. </w:t>
      </w:r>
    </w:p>
    <w:p w14:paraId="3E528096" w14:textId="77777777" w:rsidR="00D60CD4" w:rsidRPr="00FA6F7B" w:rsidRDefault="00D60CD4" w:rsidP="00D60CD4">
      <w:pPr>
        <w:pStyle w:val="SingleTxtG"/>
      </w:pPr>
      <w:r>
        <w:t>205.</w:t>
      </w:r>
      <w:r>
        <w:tab/>
        <w:t>Школа непрерывного повышения квалификации (НПК) также проводит среди учителей просветительную работу по вопросам инвалидности и инклюзивного образования.</w:t>
      </w:r>
    </w:p>
    <w:p w14:paraId="7E1BC8DD" w14:textId="77777777" w:rsidR="00D60CD4" w:rsidRPr="00FA6F7B" w:rsidRDefault="00D60CD4" w:rsidP="00D60CD4">
      <w:pPr>
        <w:pStyle w:val="SingleTxtG"/>
      </w:pPr>
      <w:r>
        <w:t>206.</w:t>
      </w:r>
      <w:r>
        <w:tab/>
        <w:t xml:space="preserve">В Национальном центре профессиональной реабилитации и других профессиональных училищах инвалиды обучаются навыкам выживания. </w:t>
      </w:r>
    </w:p>
    <w:p w14:paraId="0AF5C657" w14:textId="45F13ED2" w:rsidR="00D60CD4" w:rsidRPr="00FA6F7B" w:rsidRDefault="00D60CD4" w:rsidP="00D60CD4">
      <w:pPr>
        <w:pStyle w:val="SingleTxtG"/>
      </w:pPr>
      <w:r>
        <w:t>207.</w:t>
      </w:r>
      <w:r>
        <w:tab/>
        <w:t>Государство-участник через Министерство высшего образования предоставляет стипендии находящимся в уязвимом положении студентам, получающим профессиональную подготовку. Десять процентов (10</w:t>
      </w:r>
      <w:r w:rsidR="00D448B2">
        <w:t> </w:t>
      </w:r>
      <w:r w:rsidR="00AF1E70">
        <w:t>%</w:t>
      </w:r>
      <w:r>
        <w:t xml:space="preserve">) от общей суммы стипендий выплачиваются инвалидам. </w:t>
      </w:r>
    </w:p>
    <w:p w14:paraId="11C6BB6B" w14:textId="77777777" w:rsidR="00D60CD4" w:rsidRPr="00FA6F7B" w:rsidRDefault="00D60CD4" w:rsidP="00D60CD4">
      <w:pPr>
        <w:pStyle w:val="SingleTxtG"/>
      </w:pPr>
      <w:r>
        <w:t>208.</w:t>
      </w:r>
      <w:r>
        <w:tab/>
        <w:t xml:space="preserve">Принятая в 2007 году политика в области профессиональной подготовки инвалидов предусматривает равные возможности для получения инвалидами профессиональной подготовки в системе технического образования, профессионального обучения и подготовки предпринимателей (ТОПОП). В таблице 2 ниже приводятся данные о числе инвалидов, обучающихся в учебных заведениях системы ТОПОП. </w:t>
      </w:r>
    </w:p>
    <w:p w14:paraId="1010BA1C" w14:textId="77777777" w:rsidR="00D60CD4" w:rsidRPr="00FA6F7B" w:rsidRDefault="00533466" w:rsidP="00533466">
      <w:pPr>
        <w:pStyle w:val="H23G"/>
        <w:rPr>
          <w:bCs/>
        </w:rPr>
      </w:pPr>
      <w:bookmarkStart w:id="56" w:name="_Toc53587132"/>
      <w:r>
        <w:tab/>
      </w:r>
      <w:r w:rsidRPr="00533466">
        <w:rPr>
          <w:b w:val="0"/>
          <w:bCs/>
        </w:rPr>
        <w:tab/>
      </w:r>
      <w:r w:rsidR="00D60CD4" w:rsidRPr="00533466">
        <w:rPr>
          <w:b w:val="0"/>
          <w:bCs/>
        </w:rPr>
        <w:t xml:space="preserve">Таблица 2 </w:t>
      </w:r>
      <w:r w:rsidRPr="00533466">
        <w:rPr>
          <w:b w:val="0"/>
          <w:bCs/>
        </w:rPr>
        <w:br/>
      </w:r>
      <w:r w:rsidR="00D60CD4">
        <w:t>Число инвалидов, зачисленных в учебные заведения системы ТОПОП</w:t>
      </w:r>
      <w:bookmarkEnd w:id="56"/>
    </w:p>
    <w:tbl>
      <w:tblPr>
        <w:tblW w:w="7370" w:type="dxa"/>
        <w:tblInd w:w="1134" w:type="dxa"/>
        <w:tblLayout w:type="fixed"/>
        <w:tblCellMar>
          <w:left w:w="0" w:type="dxa"/>
          <w:right w:w="0" w:type="dxa"/>
        </w:tblCellMar>
        <w:tblLook w:val="04A0" w:firstRow="1" w:lastRow="0" w:firstColumn="1" w:lastColumn="0" w:noHBand="0" w:noVBand="1"/>
      </w:tblPr>
      <w:tblGrid>
        <w:gridCol w:w="1766"/>
        <w:gridCol w:w="20"/>
        <w:gridCol w:w="1788"/>
        <w:gridCol w:w="1946"/>
        <w:gridCol w:w="1850"/>
      </w:tblGrid>
      <w:tr w:rsidR="00D60CD4" w:rsidRPr="00533466" w14:paraId="777992D8" w14:textId="77777777" w:rsidTr="00533466">
        <w:trPr>
          <w:tblHeader/>
        </w:trPr>
        <w:tc>
          <w:tcPr>
            <w:tcW w:w="1766" w:type="dxa"/>
            <w:tcBorders>
              <w:top w:val="single" w:sz="4" w:space="0" w:color="auto"/>
              <w:bottom w:val="single" w:sz="12" w:space="0" w:color="auto"/>
            </w:tcBorders>
            <w:shd w:val="clear" w:color="auto" w:fill="auto"/>
            <w:vAlign w:val="bottom"/>
          </w:tcPr>
          <w:p w14:paraId="6CC08D86" w14:textId="77777777" w:rsidR="00D60CD4" w:rsidRPr="00533466" w:rsidRDefault="00D60CD4" w:rsidP="00533466">
            <w:pPr>
              <w:suppressAutoHyphens w:val="0"/>
              <w:spacing w:before="80" w:after="80" w:line="200" w:lineRule="exact"/>
              <w:ind w:left="28"/>
              <w:rPr>
                <w:rFonts w:cs="Times New Roman"/>
                <w:i/>
                <w:sz w:val="16"/>
              </w:rPr>
            </w:pPr>
            <w:r w:rsidRPr="00533466">
              <w:rPr>
                <w:rFonts w:cs="Times New Roman"/>
                <w:i/>
                <w:sz w:val="16"/>
              </w:rPr>
              <w:t>Год</w:t>
            </w:r>
          </w:p>
        </w:tc>
        <w:tc>
          <w:tcPr>
            <w:tcW w:w="20" w:type="dxa"/>
            <w:tcBorders>
              <w:top w:val="single" w:sz="4" w:space="0" w:color="auto"/>
              <w:bottom w:val="single" w:sz="12" w:space="0" w:color="auto"/>
            </w:tcBorders>
            <w:shd w:val="clear" w:color="auto" w:fill="auto"/>
            <w:vAlign w:val="bottom"/>
          </w:tcPr>
          <w:p w14:paraId="32024737" w14:textId="77777777" w:rsidR="00D60CD4" w:rsidRPr="00533466" w:rsidRDefault="00D60CD4" w:rsidP="00533466">
            <w:pPr>
              <w:suppressAutoHyphens w:val="0"/>
              <w:spacing w:before="80" w:after="80" w:line="200" w:lineRule="exact"/>
              <w:ind w:left="28"/>
              <w:jc w:val="right"/>
              <w:rPr>
                <w:rFonts w:cs="Times New Roman"/>
                <w:i/>
                <w:sz w:val="16"/>
              </w:rPr>
            </w:pPr>
          </w:p>
        </w:tc>
        <w:tc>
          <w:tcPr>
            <w:tcW w:w="1788" w:type="dxa"/>
            <w:tcBorders>
              <w:top w:val="single" w:sz="4" w:space="0" w:color="auto"/>
              <w:bottom w:val="single" w:sz="12" w:space="0" w:color="auto"/>
            </w:tcBorders>
            <w:shd w:val="clear" w:color="auto" w:fill="auto"/>
            <w:vAlign w:val="bottom"/>
          </w:tcPr>
          <w:p w14:paraId="1C72D470" w14:textId="77777777" w:rsidR="00D60CD4" w:rsidRPr="00533466" w:rsidRDefault="00D60CD4" w:rsidP="00533466">
            <w:pPr>
              <w:suppressAutoHyphens w:val="0"/>
              <w:spacing w:before="80" w:after="80" w:line="200" w:lineRule="exact"/>
              <w:ind w:left="28"/>
              <w:jc w:val="right"/>
              <w:rPr>
                <w:rFonts w:cs="Times New Roman"/>
                <w:i/>
                <w:sz w:val="16"/>
              </w:rPr>
            </w:pPr>
            <w:r w:rsidRPr="00533466">
              <w:rPr>
                <w:rFonts w:cs="Times New Roman"/>
                <w:i/>
                <w:sz w:val="16"/>
              </w:rPr>
              <w:t>Мужчины</w:t>
            </w:r>
          </w:p>
        </w:tc>
        <w:tc>
          <w:tcPr>
            <w:tcW w:w="1946" w:type="dxa"/>
            <w:tcBorders>
              <w:top w:val="single" w:sz="4" w:space="0" w:color="auto"/>
              <w:bottom w:val="single" w:sz="12" w:space="0" w:color="auto"/>
            </w:tcBorders>
            <w:shd w:val="clear" w:color="auto" w:fill="auto"/>
            <w:vAlign w:val="bottom"/>
          </w:tcPr>
          <w:p w14:paraId="7C4C7CCA" w14:textId="77777777" w:rsidR="00D60CD4" w:rsidRPr="00533466" w:rsidRDefault="00D60CD4" w:rsidP="00533466">
            <w:pPr>
              <w:suppressAutoHyphens w:val="0"/>
              <w:spacing w:before="80" w:after="80" w:line="200" w:lineRule="exact"/>
              <w:ind w:left="28"/>
              <w:jc w:val="right"/>
              <w:rPr>
                <w:rFonts w:cs="Times New Roman"/>
                <w:i/>
                <w:sz w:val="16"/>
              </w:rPr>
            </w:pPr>
            <w:r w:rsidRPr="00533466">
              <w:rPr>
                <w:rFonts w:cs="Times New Roman"/>
                <w:i/>
                <w:sz w:val="16"/>
              </w:rPr>
              <w:t>Женщины</w:t>
            </w:r>
          </w:p>
        </w:tc>
        <w:tc>
          <w:tcPr>
            <w:tcW w:w="1850" w:type="dxa"/>
            <w:tcBorders>
              <w:top w:val="single" w:sz="4" w:space="0" w:color="auto"/>
              <w:bottom w:val="single" w:sz="12" w:space="0" w:color="auto"/>
            </w:tcBorders>
            <w:shd w:val="clear" w:color="auto" w:fill="auto"/>
            <w:vAlign w:val="bottom"/>
          </w:tcPr>
          <w:p w14:paraId="1D5C42C0" w14:textId="77777777" w:rsidR="00D60CD4" w:rsidRPr="00533466" w:rsidRDefault="00D60CD4" w:rsidP="00533466">
            <w:pPr>
              <w:suppressAutoHyphens w:val="0"/>
              <w:spacing w:before="80" w:after="80" w:line="200" w:lineRule="exact"/>
              <w:ind w:left="28"/>
              <w:jc w:val="right"/>
              <w:rPr>
                <w:rFonts w:cs="Times New Roman"/>
                <w:i/>
                <w:sz w:val="16"/>
              </w:rPr>
            </w:pPr>
            <w:r w:rsidRPr="00533466">
              <w:rPr>
                <w:rFonts w:cs="Times New Roman"/>
                <w:i/>
                <w:sz w:val="16"/>
              </w:rPr>
              <w:t>Всего</w:t>
            </w:r>
          </w:p>
        </w:tc>
      </w:tr>
      <w:tr w:rsidR="00D60CD4" w:rsidRPr="00533466" w14:paraId="7DA52A16" w14:textId="77777777" w:rsidTr="00533466">
        <w:tc>
          <w:tcPr>
            <w:tcW w:w="1766" w:type="dxa"/>
            <w:tcBorders>
              <w:top w:val="single" w:sz="12" w:space="0" w:color="auto"/>
            </w:tcBorders>
            <w:shd w:val="clear" w:color="auto" w:fill="auto"/>
          </w:tcPr>
          <w:p w14:paraId="0E03532C" w14:textId="77777777" w:rsidR="00D60CD4" w:rsidRPr="00533466" w:rsidRDefault="00D60CD4" w:rsidP="00533466">
            <w:pPr>
              <w:suppressAutoHyphens w:val="0"/>
              <w:spacing w:before="40" w:after="40" w:line="220" w:lineRule="exact"/>
              <w:rPr>
                <w:rFonts w:cs="Times New Roman"/>
                <w:sz w:val="18"/>
              </w:rPr>
            </w:pPr>
            <w:r w:rsidRPr="00533466">
              <w:rPr>
                <w:rFonts w:cs="Times New Roman"/>
                <w:sz w:val="18"/>
              </w:rPr>
              <w:t>2013</w:t>
            </w:r>
          </w:p>
        </w:tc>
        <w:tc>
          <w:tcPr>
            <w:tcW w:w="20" w:type="dxa"/>
            <w:tcBorders>
              <w:top w:val="single" w:sz="12" w:space="0" w:color="auto"/>
            </w:tcBorders>
            <w:shd w:val="clear" w:color="auto" w:fill="auto"/>
            <w:vAlign w:val="bottom"/>
          </w:tcPr>
          <w:p w14:paraId="309A6546" w14:textId="77777777" w:rsidR="00D60CD4" w:rsidRPr="00533466" w:rsidRDefault="00D60CD4" w:rsidP="00533466">
            <w:pPr>
              <w:suppressAutoHyphens w:val="0"/>
              <w:spacing w:before="40" w:after="40" w:line="220" w:lineRule="exact"/>
              <w:jc w:val="right"/>
              <w:rPr>
                <w:rFonts w:cs="Times New Roman"/>
                <w:sz w:val="18"/>
              </w:rPr>
            </w:pPr>
          </w:p>
        </w:tc>
        <w:tc>
          <w:tcPr>
            <w:tcW w:w="1788" w:type="dxa"/>
            <w:tcBorders>
              <w:top w:val="single" w:sz="12" w:space="0" w:color="auto"/>
            </w:tcBorders>
            <w:shd w:val="clear" w:color="auto" w:fill="auto"/>
            <w:vAlign w:val="bottom"/>
          </w:tcPr>
          <w:p w14:paraId="2E2C014D" w14:textId="77777777" w:rsidR="00D60CD4" w:rsidRPr="00533466" w:rsidRDefault="00D60CD4" w:rsidP="00533466">
            <w:pPr>
              <w:suppressAutoHyphens w:val="0"/>
              <w:spacing w:before="40" w:after="40" w:line="220" w:lineRule="exact"/>
              <w:jc w:val="right"/>
              <w:rPr>
                <w:rFonts w:cs="Times New Roman"/>
                <w:sz w:val="18"/>
              </w:rPr>
            </w:pPr>
            <w:r w:rsidRPr="00533466">
              <w:rPr>
                <w:rFonts w:cs="Times New Roman"/>
                <w:sz w:val="18"/>
              </w:rPr>
              <w:t>20</w:t>
            </w:r>
          </w:p>
        </w:tc>
        <w:tc>
          <w:tcPr>
            <w:tcW w:w="1946" w:type="dxa"/>
            <w:tcBorders>
              <w:top w:val="single" w:sz="12" w:space="0" w:color="auto"/>
            </w:tcBorders>
            <w:shd w:val="clear" w:color="auto" w:fill="auto"/>
            <w:vAlign w:val="bottom"/>
          </w:tcPr>
          <w:p w14:paraId="693ABCC3" w14:textId="77777777" w:rsidR="00D60CD4" w:rsidRPr="00533466" w:rsidRDefault="00D60CD4" w:rsidP="00533466">
            <w:pPr>
              <w:suppressAutoHyphens w:val="0"/>
              <w:spacing w:before="40" w:after="40" w:line="220" w:lineRule="exact"/>
              <w:jc w:val="right"/>
              <w:rPr>
                <w:rFonts w:cs="Times New Roman"/>
                <w:sz w:val="18"/>
              </w:rPr>
            </w:pPr>
            <w:r w:rsidRPr="00533466">
              <w:rPr>
                <w:rFonts w:cs="Times New Roman"/>
                <w:sz w:val="18"/>
              </w:rPr>
              <w:t>15</w:t>
            </w:r>
          </w:p>
        </w:tc>
        <w:tc>
          <w:tcPr>
            <w:tcW w:w="1850" w:type="dxa"/>
            <w:tcBorders>
              <w:top w:val="single" w:sz="12" w:space="0" w:color="auto"/>
            </w:tcBorders>
            <w:shd w:val="clear" w:color="auto" w:fill="auto"/>
            <w:vAlign w:val="bottom"/>
          </w:tcPr>
          <w:p w14:paraId="0D688439" w14:textId="77777777" w:rsidR="00D60CD4" w:rsidRPr="00533466" w:rsidRDefault="00D60CD4" w:rsidP="00533466">
            <w:pPr>
              <w:suppressAutoHyphens w:val="0"/>
              <w:spacing w:before="40" w:after="40" w:line="220" w:lineRule="exact"/>
              <w:jc w:val="right"/>
              <w:rPr>
                <w:rFonts w:cs="Times New Roman"/>
                <w:sz w:val="18"/>
              </w:rPr>
            </w:pPr>
            <w:r w:rsidRPr="00533466">
              <w:rPr>
                <w:rFonts w:cs="Times New Roman"/>
                <w:sz w:val="18"/>
              </w:rPr>
              <w:t>35</w:t>
            </w:r>
          </w:p>
        </w:tc>
      </w:tr>
      <w:tr w:rsidR="00D60CD4" w:rsidRPr="00533466" w14:paraId="50A6BCE4" w14:textId="77777777" w:rsidTr="00533466">
        <w:tc>
          <w:tcPr>
            <w:tcW w:w="1766" w:type="dxa"/>
            <w:shd w:val="clear" w:color="auto" w:fill="auto"/>
          </w:tcPr>
          <w:p w14:paraId="444C94B7" w14:textId="77777777" w:rsidR="00D60CD4" w:rsidRPr="00533466" w:rsidRDefault="00D60CD4" w:rsidP="00533466">
            <w:pPr>
              <w:suppressAutoHyphens w:val="0"/>
              <w:spacing w:before="40" w:after="40" w:line="220" w:lineRule="exact"/>
              <w:rPr>
                <w:rFonts w:cs="Times New Roman"/>
                <w:sz w:val="18"/>
              </w:rPr>
            </w:pPr>
            <w:r w:rsidRPr="00533466">
              <w:rPr>
                <w:rFonts w:cs="Times New Roman"/>
                <w:sz w:val="18"/>
              </w:rPr>
              <w:t>2014</w:t>
            </w:r>
          </w:p>
        </w:tc>
        <w:tc>
          <w:tcPr>
            <w:tcW w:w="20" w:type="dxa"/>
            <w:shd w:val="clear" w:color="auto" w:fill="auto"/>
            <w:vAlign w:val="bottom"/>
          </w:tcPr>
          <w:p w14:paraId="48F1FABC" w14:textId="77777777" w:rsidR="00D60CD4" w:rsidRPr="00533466" w:rsidRDefault="00D60CD4" w:rsidP="00533466">
            <w:pPr>
              <w:suppressAutoHyphens w:val="0"/>
              <w:spacing w:before="40" w:after="40" w:line="220" w:lineRule="exact"/>
              <w:jc w:val="right"/>
              <w:rPr>
                <w:rFonts w:cs="Times New Roman"/>
                <w:sz w:val="18"/>
              </w:rPr>
            </w:pPr>
          </w:p>
        </w:tc>
        <w:tc>
          <w:tcPr>
            <w:tcW w:w="1788" w:type="dxa"/>
            <w:shd w:val="clear" w:color="auto" w:fill="auto"/>
            <w:vAlign w:val="bottom"/>
          </w:tcPr>
          <w:p w14:paraId="062CD85D" w14:textId="77777777" w:rsidR="00D60CD4" w:rsidRPr="00533466" w:rsidRDefault="00D60CD4" w:rsidP="00533466">
            <w:pPr>
              <w:suppressAutoHyphens w:val="0"/>
              <w:spacing w:before="40" w:after="40" w:line="220" w:lineRule="exact"/>
              <w:jc w:val="right"/>
              <w:rPr>
                <w:rFonts w:cs="Times New Roman"/>
                <w:sz w:val="18"/>
              </w:rPr>
            </w:pPr>
            <w:r w:rsidRPr="00533466">
              <w:rPr>
                <w:rFonts w:cs="Times New Roman"/>
                <w:sz w:val="18"/>
              </w:rPr>
              <w:t>08</w:t>
            </w:r>
          </w:p>
        </w:tc>
        <w:tc>
          <w:tcPr>
            <w:tcW w:w="1946" w:type="dxa"/>
            <w:shd w:val="clear" w:color="auto" w:fill="auto"/>
            <w:vAlign w:val="bottom"/>
          </w:tcPr>
          <w:p w14:paraId="01752801" w14:textId="77777777" w:rsidR="00D60CD4" w:rsidRPr="00533466" w:rsidRDefault="00D60CD4" w:rsidP="00533466">
            <w:pPr>
              <w:suppressAutoHyphens w:val="0"/>
              <w:spacing w:before="40" w:after="40" w:line="220" w:lineRule="exact"/>
              <w:jc w:val="right"/>
              <w:rPr>
                <w:rFonts w:cs="Times New Roman"/>
                <w:sz w:val="18"/>
              </w:rPr>
            </w:pPr>
            <w:r w:rsidRPr="00533466">
              <w:rPr>
                <w:rFonts w:cs="Times New Roman"/>
                <w:sz w:val="18"/>
              </w:rPr>
              <w:t>11</w:t>
            </w:r>
          </w:p>
        </w:tc>
        <w:tc>
          <w:tcPr>
            <w:tcW w:w="1850" w:type="dxa"/>
            <w:shd w:val="clear" w:color="auto" w:fill="auto"/>
            <w:vAlign w:val="bottom"/>
          </w:tcPr>
          <w:p w14:paraId="068C5508" w14:textId="77777777" w:rsidR="00D60CD4" w:rsidRPr="00533466" w:rsidRDefault="00D60CD4" w:rsidP="00533466">
            <w:pPr>
              <w:suppressAutoHyphens w:val="0"/>
              <w:spacing w:before="40" w:after="40" w:line="220" w:lineRule="exact"/>
              <w:jc w:val="right"/>
              <w:rPr>
                <w:rFonts w:cs="Times New Roman"/>
                <w:sz w:val="18"/>
              </w:rPr>
            </w:pPr>
            <w:r w:rsidRPr="00533466">
              <w:rPr>
                <w:rFonts w:cs="Times New Roman"/>
                <w:sz w:val="18"/>
              </w:rPr>
              <w:t>19</w:t>
            </w:r>
          </w:p>
        </w:tc>
      </w:tr>
      <w:tr w:rsidR="00D60CD4" w:rsidRPr="00533466" w14:paraId="738CE852" w14:textId="77777777" w:rsidTr="00533466">
        <w:tc>
          <w:tcPr>
            <w:tcW w:w="1766" w:type="dxa"/>
            <w:shd w:val="clear" w:color="auto" w:fill="auto"/>
          </w:tcPr>
          <w:p w14:paraId="27A969E1" w14:textId="77777777" w:rsidR="00D60CD4" w:rsidRPr="00533466" w:rsidRDefault="00D60CD4" w:rsidP="00533466">
            <w:pPr>
              <w:suppressAutoHyphens w:val="0"/>
              <w:spacing w:before="40" w:after="40" w:line="220" w:lineRule="exact"/>
              <w:rPr>
                <w:rFonts w:cs="Times New Roman"/>
                <w:sz w:val="18"/>
              </w:rPr>
            </w:pPr>
            <w:r w:rsidRPr="00533466">
              <w:rPr>
                <w:rFonts w:cs="Times New Roman"/>
                <w:sz w:val="18"/>
              </w:rPr>
              <w:t>2015</w:t>
            </w:r>
          </w:p>
        </w:tc>
        <w:tc>
          <w:tcPr>
            <w:tcW w:w="20" w:type="dxa"/>
            <w:shd w:val="clear" w:color="auto" w:fill="auto"/>
            <w:vAlign w:val="bottom"/>
          </w:tcPr>
          <w:p w14:paraId="294F984F" w14:textId="77777777" w:rsidR="00D60CD4" w:rsidRPr="00533466" w:rsidRDefault="00D60CD4" w:rsidP="00533466">
            <w:pPr>
              <w:suppressAutoHyphens w:val="0"/>
              <w:spacing w:before="40" w:after="40" w:line="220" w:lineRule="exact"/>
              <w:jc w:val="right"/>
              <w:rPr>
                <w:rFonts w:cs="Times New Roman"/>
                <w:sz w:val="18"/>
              </w:rPr>
            </w:pPr>
          </w:p>
        </w:tc>
        <w:tc>
          <w:tcPr>
            <w:tcW w:w="1788" w:type="dxa"/>
            <w:shd w:val="clear" w:color="auto" w:fill="auto"/>
            <w:vAlign w:val="bottom"/>
          </w:tcPr>
          <w:p w14:paraId="6D92D1AF" w14:textId="77777777" w:rsidR="00D60CD4" w:rsidRPr="00533466" w:rsidRDefault="00D60CD4" w:rsidP="00533466">
            <w:pPr>
              <w:suppressAutoHyphens w:val="0"/>
              <w:spacing w:before="40" w:after="40" w:line="220" w:lineRule="exact"/>
              <w:jc w:val="right"/>
              <w:rPr>
                <w:rFonts w:cs="Times New Roman"/>
                <w:sz w:val="18"/>
              </w:rPr>
            </w:pPr>
            <w:r w:rsidRPr="00533466">
              <w:rPr>
                <w:rFonts w:cs="Times New Roman"/>
                <w:sz w:val="18"/>
              </w:rPr>
              <w:t>59</w:t>
            </w:r>
          </w:p>
        </w:tc>
        <w:tc>
          <w:tcPr>
            <w:tcW w:w="1946" w:type="dxa"/>
            <w:shd w:val="clear" w:color="auto" w:fill="auto"/>
            <w:vAlign w:val="bottom"/>
          </w:tcPr>
          <w:p w14:paraId="34830F40" w14:textId="77777777" w:rsidR="00D60CD4" w:rsidRPr="00533466" w:rsidRDefault="00D60CD4" w:rsidP="00533466">
            <w:pPr>
              <w:suppressAutoHyphens w:val="0"/>
              <w:spacing w:before="40" w:after="40" w:line="220" w:lineRule="exact"/>
              <w:jc w:val="right"/>
              <w:rPr>
                <w:rFonts w:cs="Times New Roman"/>
                <w:sz w:val="18"/>
              </w:rPr>
            </w:pPr>
            <w:r w:rsidRPr="00533466">
              <w:rPr>
                <w:rFonts w:cs="Times New Roman"/>
                <w:sz w:val="18"/>
              </w:rPr>
              <w:t>67</w:t>
            </w:r>
          </w:p>
        </w:tc>
        <w:tc>
          <w:tcPr>
            <w:tcW w:w="1850" w:type="dxa"/>
            <w:shd w:val="clear" w:color="auto" w:fill="auto"/>
            <w:vAlign w:val="bottom"/>
          </w:tcPr>
          <w:p w14:paraId="22ECDAA6" w14:textId="77777777" w:rsidR="00D60CD4" w:rsidRPr="00533466" w:rsidRDefault="00D60CD4" w:rsidP="00533466">
            <w:pPr>
              <w:suppressAutoHyphens w:val="0"/>
              <w:spacing w:before="40" w:after="40" w:line="220" w:lineRule="exact"/>
              <w:jc w:val="right"/>
              <w:rPr>
                <w:rFonts w:cs="Times New Roman"/>
                <w:sz w:val="18"/>
              </w:rPr>
            </w:pPr>
            <w:r w:rsidRPr="00533466">
              <w:rPr>
                <w:rFonts w:cs="Times New Roman"/>
                <w:sz w:val="18"/>
              </w:rPr>
              <w:t>126</w:t>
            </w:r>
          </w:p>
        </w:tc>
      </w:tr>
      <w:tr w:rsidR="00533466" w:rsidRPr="00533466" w14:paraId="2478078E" w14:textId="77777777" w:rsidTr="00533466">
        <w:tc>
          <w:tcPr>
            <w:tcW w:w="1766" w:type="dxa"/>
            <w:tcBorders>
              <w:bottom w:val="single" w:sz="4" w:space="0" w:color="auto"/>
            </w:tcBorders>
            <w:shd w:val="clear" w:color="auto" w:fill="auto"/>
          </w:tcPr>
          <w:p w14:paraId="7FB97FB5" w14:textId="77777777" w:rsidR="00D60CD4" w:rsidRPr="00533466" w:rsidRDefault="00D60CD4" w:rsidP="00533466">
            <w:pPr>
              <w:suppressAutoHyphens w:val="0"/>
              <w:spacing w:before="40" w:after="40" w:line="220" w:lineRule="exact"/>
              <w:rPr>
                <w:rFonts w:cs="Times New Roman"/>
                <w:sz w:val="18"/>
              </w:rPr>
            </w:pPr>
            <w:r w:rsidRPr="00533466">
              <w:rPr>
                <w:rFonts w:cs="Times New Roman"/>
                <w:sz w:val="18"/>
              </w:rPr>
              <w:t>2016</w:t>
            </w:r>
          </w:p>
        </w:tc>
        <w:tc>
          <w:tcPr>
            <w:tcW w:w="20" w:type="dxa"/>
            <w:tcBorders>
              <w:bottom w:val="single" w:sz="4" w:space="0" w:color="auto"/>
            </w:tcBorders>
            <w:shd w:val="clear" w:color="auto" w:fill="auto"/>
            <w:vAlign w:val="bottom"/>
          </w:tcPr>
          <w:p w14:paraId="0A652E94" w14:textId="77777777" w:rsidR="00D60CD4" w:rsidRPr="00533466" w:rsidRDefault="00D60CD4" w:rsidP="00533466">
            <w:pPr>
              <w:suppressAutoHyphens w:val="0"/>
              <w:spacing w:before="40" w:after="40" w:line="220" w:lineRule="exact"/>
              <w:jc w:val="right"/>
              <w:rPr>
                <w:rFonts w:cs="Times New Roman"/>
                <w:sz w:val="18"/>
              </w:rPr>
            </w:pPr>
          </w:p>
        </w:tc>
        <w:tc>
          <w:tcPr>
            <w:tcW w:w="1788" w:type="dxa"/>
            <w:tcBorders>
              <w:bottom w:val="single" w:sz="4" w:space="0" w:color="auto"/>
            </w:tcBorders>
            <w:shd w:val="clear" w:color="auto" w:fill="auto"/>
            <w:vAlign w:val="bottom"/>
          </w:tcPr>
          <w:p w14:paraId="66B8A5ED" w14:textId="77777777" w:rsidR="00D60CD4" w:rsidRPr="00533466" w:rsidRDefault="00D60CD4" w:rsidP="00533466">
            <w:pPr>
              <w:suppressAutoHyphens w:val="0"/>
              <w:spacing w:before="40" w:after="40" w:line="220" w:lineRule="exact"/>
              <w:jc w:val="right"/>
              <w:rPr>
                <w:rFonts w:cs="Times New Roman"/>
                <w:sz w:val="18"/>
              </w:rPr>
            </w:pPr>
            <w:r w:rsidRPr="00533466">
              <w:rPr>
                <w:rFonts w:cs="Times New Roman"/>
                <w:sz w:val="18"/>
              </w:rPr>
              <w:t>13</w:t>
            </w:r>
          </w:p>
        </w:tc>
        <w:tc>
          <w:tcPr>
            <w:tcW w:w="1946" w:type="dxa"/>
            <w:tcBorders>
              <w:bottom w:val="single" w:sz="4" w:space="0" w:color="auto"/>
            </w:tcBorders>
            <w:shd w:val="clear" w:color="auto" w:fill="auto"/>
            <w:vAlign w:val="bottom"/>
          </w:tcPr>
          <w:p w14:paraId="54C25DD9" w14:textId="77777777" w:rsidR="00D60CD4" w:rsidRPr="00533466" w:rsidRDefault="00D60CD4" w:rsidP="00533466">
            <w:pPr>
              <w:suppressAutoHyphens w:val="0"/>
              <w:spacing w:before="40" w:after="40" w:line="220" w:lineRule="exact"/>
              <w:jc w:val="right"/>
              <w:rPr>
                <w:rFonts w:cs="Times New Roman"/>
                <w:sz w:val="18"/>
              </w:rPr>
            </w:pPr>
            <w:r w:rsidRPr="00533466">
              <w:rPr>
                <w:rFonts w:cs="Times New Roman"/>
                <w:sz w:val="18"/>
              </w:rPr>
              <w:t>10</w:t>
            </w:r>
          </w:p>
        </w:tc>
        <w:tc>
          <w:tcPr>
            <w:tcW w:w="1850" w:type="dxa"/>
            <w:tcBorders>
              <w:bottom w:val="single" w:sz="4" w:space="0" w:color="auto"/>
            </w:tcBorders>
            <w:shd w:val="clear" w:color="auto" w:fill="auto"/>
            <w:vAlign w:val="bottom"/>
          </w:tcPr>
          <w:p w14:paraId="3F972520" w14:textId="77777777" w:rsidR="00D60CD4" w:rsidRPr="00533466" w:rsidRDefault="00D60CD4" w:rsidP="00533466">
            <w:pPr>
              <w:suppressAutoHyphens w:val="0"/>
              <w:spacing w:before="40" w:after="40" w:line="220" w:lineRule="exact"/>
              <w:jc w:val="right"/>
              <w:rPr>
                <w:rFonts w:cs="Times New Roman"/>
                <w:sz w:val="18"/>
              </w:rPr>
            </w:pPr>
            <w:r w:rsidRPr="00533466">
              <w:rPr>
                <w:rFonts w:cs="Times New Roman"/>
                <w:sz w:val="18"/>
              </w:rPr>
              <w:t>23</w:t>
            </w:r>
          </w:p>
        </w:tc>
      </w:tr>
      <w:tr w:rsidR="00D60CD4" w:rsidRPr="00533466" w14:paraId="65D54B92" w14:textId="77777777" w:rsidTr="00533466">
        <w:tc>
          <w:tcPr>
            <w:tcW w:w="5520" w:type="dxa"/>
            <w:gridSpan w:val="4"/>
            <w:tcBorders>
              <w:top w:val="single" w:sz="4" w:space="0" w:color="auto"/>
              <w:bottom w:val="single" w:sz="12" w:space="0" w:color="auto"/>
            </w:tcBorders>
            <w:shd w:val="clear" w:color="auto" w:fill="auto"/>
          </w:tcPr>
          <w:p w14:paraId="2BC69EA4" w14:textId="77777777" w:rsidR="00D60CD4" w:rsidRPr="00533466" w:rsidRDefault="00D60CD4" w:rsidP="00533466">
            <w:pPr>
              <w:suppressAutoHyphens w:val="0"/>
              <w:spacing w:before="80" w:after="80" w:line="220" w:lineRule="exact"/>
              <w:ind w:left="283"/>
              <w:rPr>
                <w:rFonts w:cs="Times New Roman"/>
                <w:b/>
                <w:sz w:val="18"/>
              </w:rPr>
            </w:pPr>
            <w:r w:rsidRPr="00533466">
              <w:rPr>
                <w:rFonts w:cs="Times New Roman"/>
                <w:b/>
                <w:sz w:val="18"/>
              </w:rPr>
              <w:t>Итого</w:t>
            </w:r>
          </w:p>
        </w:tc>
        <w:tc>
          <w:tcPr>
            <w:tcW w:w="1850" w:type="dxa"/>
            <w:tcBorders>
              <w:top w:val="single" w:sz="4" w:space="0" w:color="auto"/>
              <w:bottom w:val="single" w:sz="12" w:space="0" w:color="auto"/>
            </w:tcBorders>
            <w:shd w:val="clear" w:color="auto" w:fill="auto"/>
            <w:vAlign w:val="bottom"/>
          </w:tcPr>
          <w:p w14:paraId="7DC0BB10" w14:textId="77777777" w:rsidR="00D60CD4" w:rsidRPr="00533466" w:rsidRDefault="00D60CD4" w:rsidP="00533466">
            <w:pPr>
              <w:suppressAutoHyphens w:val="0"/>
              <w:spacing w:before="80" w:after="80" w:line="220" w:lineRule="exact"/>
              <w:jc w:val="right"/>
              <w:rPr>
                <w:rFonts w:cs="Times New Roman"/>
                <w:b/>
                <w:sz w:val="18"/>
              </w:rPr>
            </w:pPr>
            <w:r w:rsidRPr="00533466">
              <w:rPr>
                <w:rFonts w:cs="Times New Roman"/>
                <w:b/>
                <w:sz w:val="18"/>
              </w:rPr>
              <w:t>203</w:t>
            </w:r>
          </w:p>
        </w:tc>
      </w:tr>
    </w:tbl>
    <w:p w14:paraId="42C11C7F" w14:textId="77777777" w:rsidR="00D60CD4" w:rsidRPr="00533466" w:rsidRDefault="00D60CD4" w:rsidP="00533466">
      <w:pPr>
        <w:spacing w:before="120" w:after="240" w:line="220" w:lineRule="exact"/>
        <w:ind w:left="1134" w:right="1134" w:firstLine="170"/>
        <w:rPr>
          <w:sz w:val="18"/>
          <w:szCs w:val="18"/>
        </w:rPr>
      </w:pPr>
      <w:r w:rsidRPr="00533466">
        <w:rPr>
          <w:sz w:val="18"/>
          <w:szCs w:val="18"/>
        </w:rPr>
        <w:t>*</w:t>
      </w:r>
      <w:r w:rsidR="00C87A17">
        <w:rPr>
          <w:sz w:val="18"/>
          <w:szCs w:val="18"/>
        </w:rPr>
        <w:t xml:space="preserve"> </w:t>
      </w:r>
      <w:r w:rsidRPr="00533466">
        <w:rPr>
          <w:sz w:val="18"/>
          <w:szCs w:val="18"/>
        </w:rPr>
        <w:t>Данные ТОПОП о зачислении и регистрации в 2013–2016 годах.</w:t>
      </w:r>
    </w:p>
    <w:p w14:paraId="056F02AA" w14:textId="77777777" w:rsidR="00D60CD4" w:rsidRPr="00FA6F7B" w:rsidRDefault="00D60CD4" w:rsidP="00D60CD4">
      <w:pPr>
        <w:spacing w:after="200" w:line="276" w:lineRule="auto"/>
        <w:rPr>
          <w:sz w:val="18"/>
        </w:rPr>
      </w:pPr>
      <w:r w:rsidRPr="00FA6F7B">
        <w:rPr>
          <w:sz w:val="18"/>
        </w:rPr>
        <w:br w:type="page"/>
      </w:r>
    </w:p>
    <w:p w14:paraId="0EC5F506" w14:textId="77777777" w:rsidR="00D60CD4" w:rsidRPr="00FA6F7B" w:rsidRDefault="00533466" w:rsidP="00533466">
      <w:pPr>
        <w:pStyle w:val="H23G"/>
        <w:rPr>
          <w:bCs/>
        </w:rPr>
      </w:pPr>
      <w:bookmarkStart w:id="57" w:name="_Toc53587133"/>
      <w:r>
        <w:lastRenderedPageBreak/>
        <w:tab/>
      </w:r>
      <w:r>
        <w:tab/>
      </w:r>
      <w:r w:rsidR="00D60CD4" w:rsidRPr="00533466">
        <w:rPr>
          <w:b w:val="0"/>
          <w:bCs/>
        </w:rPr>
        <w:t xml:space="preserve">Таблица 3 </w:t>
      </w:r>
      <w:r w:rsidRPr="00533466">
        <w:rPr>
          <w:b w:val="0"/>
          <w:bCs/>
        </w:rPr>
        <w:br/>
      </w:r>
      <w:r>
        <w:tab/>
      </w:r>
      <w:r w:rsidR="00D60CD4">
        <w:t>Зачисление в школы учащихся-инвалидов</w:t>
      </w:r>
      <w:bookmarkEnd w:id="57"/>
    </w:p>
    <w:tbl>
      <w:tblPr>
        <w:tblW w:w="7370" w:type="dxa"/>
        <w:tblInd w:w="1134" w:type="dxa"/>
        <w:tblLayout w:type="fixed"/>
        <w:tblCellMar>
          <w:left w:w="0" w:type="dxa"/>
          <w:right w:w="0" w:type="dxa"/>
        </w:tblCellMar>
        <w:tblLook w:val="04A0" w:firstRow="1" w:lastRow="0" w:firstColumn="1" w:lastColumn="0" w:noHBand="0" w:noVBand="1"/>
      </w:tblPr>
      <w:tblGrid>
        <w:gridCol w:w="2699"/>
        <w:gridCol w:w="2545"/>
        <w:gridCol w:w="2126"/>
      </w:tblGrid>
      <w:tr w:rsidR="00533466" w:rsidRPr="00533466" w14:paraId="390A0694" w14:textId="77777777" w:rsidTr="00533466">
        <w:trPr>
          <w:tblHeader/>
        </w:trPr>
        <w:tc>
          <w:tcPr>
            <w:tcW w:w="2699" w:type="dxa"/>
            <w:tcBorders>
              <w:top w:val="single" w:sz="4" w:space="0" w:color="auto"/>
              <w:bottom w:val="single" w:sz="12" w:space="0" w:color="auto"/>
            </w:tcBorders>
            <w:shd w:val="clear" w:color="auto" w:fill="auto"/>
            <w:vAlign w:val="bottom"/>
          </w:tcPr>
          <w:p w14:paraId="5B55A2AC" w14:textId="77777777" w:rsidR="00D60CD4" w:rsidRPr="00533466" w:rsidRDefault="00D60CD4" w:rsidP="00533466">
            <w:pPr>
              <w:suppressAutoHyphens w:val="0"/>
              <w:spacing w:before="80" w:after="80" w:line="200" w:lineRule="exact"/>
              <w:ind w:left="28"/>
              <w:rPr>
                <w:rFonts w:cs="Times New Roman"/>
                <w:i/>
                <w:sz w:val="16"/>
              </w:rPr>
            </w:pPr>
          </w:p>
        </w:tc>
        <w:tc>
          <w:tcPr>
            <w:tcW w:w="2545" w:type="dxa"/>
            <w:tcBorders>
              <w:top w:val="single" w:sz="4" w:space="0" w:color="auto"/>
              <w:bottom w:val="single" w:sz="12" w:space="0" w:color="auto"/>
            </w:tcBorders>
            <w:shd w:val="clear" w:color="auto" w:fill="auto"/>
            <w:vAlign w:val="bottom"/>
          </w:tcPr>
          <w:p w14:paraId="7F4E82DD" w14:textId="77777777" w:rsidR="00D60CD4" w:rsidRPr="00533466" w:rsidRDefault="00D60CD4" w:rsidP="00533466">
            <w:pPr>
              <w:suppressAutoHyphens w:val="0"/>
              <w:spacing w:before="80" w:after="80" w:line="200" w:lineRule="exact"/>
              <w:ind w:left="28"/>
              <w:jc w:val="right"/>
              <w:rPr>
                <w:rFonts w:cs="Times New Roman"/>
                <w:i/>
                <w:sz w:val="16"/>
              </w:rPr>
            </w:pPr>
          </w:p>
        </w:tc>
        <w:tc>
          <w:tcPr>
            <w:tcW w:w="2126" w:type="dxa"/>
            <w:tcBorders>
              <w:top w:val="single" w:sz="4" w:space="0" w:color="auto"/>
              <w:bottom w:val="single" w:sz="12" w:space="0" w:color="auto"/>
            </w:tcBorders>
            <w:shd w:val="clear" w:color="auto" w:fill="auto"/>
            <w:vAlign w:val="bottom"/>
          </w:tcPr>
          <w:p w14:paraId="01FF4516" w14:textId="77777777" w:rsidR="00D60CD4" w:rsidRPr="00533466" w:rsidRDefault="00D60CD4" w:rsidP="00533466">
            <w:pPr>
              <w:suppressAutoHyphens w:val="0"/>
              <w:spacing w:before="80" w:after="80" w:line="200" w:lineRule="exact"/>
              <w:ind w:left="28"/>
              <w:jc w:val="right"/>
              <w:rPr>
                <w:rFonts w:cs="Times New Roman"/>
                <w:i/>
                <w:sz w:val="16"/>
              </w:rPr>
            </w:pPr>
          </w:p>
        </w:tc>
      </w:tr>
      <w:tr w:rsidR="00D60CD4" w:rsidRPr="00533466" w14:paraId="1CADF865" w14:textId="77777777" w:rsidTr="00533466">
        <w:tc>
          <w:tcPr>
            <w:tcW w:w="2699" w:type="dxa"/>
            <w:vMerge w:val="restart"/>
            <w:tcBorders>
              <w:top w:val="single" w:sz="12" w:space="0" w:color="auto"/>
            </w:tcBorders>
            <w:shd w:val="clear" w:color="auto" w:fill="auto"/>
          </w:tcPr>
          <w:p w14:paraId="50AB2E57" w14:textId="77777777" w:rsidR="00D60CD4" w:rsidRPr="00533466" w:rsidRDefault="00D60CD4" w:rsidP="00D448B2">
            <w:pPr>
              <w:suppressAutoHyphens w:val="0"/>
              <w:spacing w:before="40" w:after="40" w:line="220" w:lineRule="exact"/>
              <w:rPr>
                <w:rFonts w:cs="Times New Roman"/>
                <w:sz w:val="18"/>
              </w:rPr>
            </w:pPr>
            <w:r w:rsidRPr="00533466">
              <w:rPr>
                <w:rFonts w:cs="Times New Roman"/>
                <w:sz w:val="18"/>
              </w:rPr>
              <w:t>Начальные школы</w:t>
            </w:r>
          </w:p>
        </w:tc>
        <w:tc>
          <w:tcPr>
            <w:tcW w:w="2545" w:type="dxa"/>
            <w:tcBorders>
              <w:top w:val="single" w:sz="12" w:space="0" w:color="auto"/>
            </w:tcBorders>
            <w:shd w:val="clear" w:color="auto" w:fill="auto"/>
            <w:vAlign w:val="bottom"/>
          </w:tcPr>
          <w:p w14:paraId="521D9087" w14:textId="77777777" w:rsidR="00D60CD4" w:rsidRPr="00533466" w:rsidRDefault="00D60CD4" w:rsidP="00533466">
            <w:pPr>
              <w:suppressAutoHyphens w:val="0"/>
              <w:spacing w:before="40" w:after="40" w:line="220" w:lineRule="exact"/>
              <w:rPr>
                <w:rFonts w:cs="Times New Roman"/>
                <w:sz w:val="18"/>
              </w:rPr>
            </w:pPr>
            <w:r w:rsidRPr="00533466">
              <w:rPr>
                <w:rFonts w:cs="Times New Roman"/>
                <w:sz w:val="18"/>
              </w:rPr>
              <w:t>Мужчины</w:t>
            </w:r>
          </w:p>
        </w:tc>
        <w:tc>
          <w:tcPr>
            <w:tcW w:w="2126" w:type="dxa"/>
            <w:tcBorders>
              <w:top w:val="single" w:sz="12" w:space="0" w:color="auto"/>
            </w:tcBorders>
            <w:shd w:val="clear" w:color="auto" w:fill="auto"/>
            <w:vAlign w:val="bottom"/>
          </w:tcPr>
          <w:p w14:paraId="533E6B7A" w14:textId="77777777" w:rsidR="00D60CD4" w:rsidRPr="00533466" w:rsidRDefault="00D60CD4" w:rsidP="00533466">
            <w:pPr>
              <w:suppressAutoHyphens w:val="0"/>
              <w:spacing w:before="40" w:after="40" w:line="220" w:lineRule="exact"/>
              <w:jc w:val="right"/>
              <w:rPr>
                <w:rFonts w:cs="Times New Roman"/>
                <w:sz w:val="18"/>
              </w:rPr>
            </w:pPr>
            <w:r w:rsidRPr="00533466">
              <w:rPr>
                <w:rFonts w:cs="Times New Roman"/>
                <w:sz w:val="18"/>
              </w:rPr>
              <w:t>42 955</w:t>
            </w:r>
          </w:p>
        </w:tc>
      </w:tr>
      <w:tr w:rsidR="00533466" w:rsidRPr="00533466" w14:paraId="16F85200" w14:textId="77777777" w:rsidTr="00533466">
        <w:tc>
          <w:tcPr>
            <w:tcW w:w="2699" w:type="dxa"/>
            <w:vMerge/>
            <w:tcBorders>
              <w:top w:val="single" w:sz="4" w:space="0" w:color="auto"/>
            </w:tcBorders>
            <w:shd w:val="clear" w:color="auto" w:fill="auto"/>
          </w:tcPr>
          <w:p w14:paraId="591F02B2" w14:textId="77777777" w:rsidR="00D60CD4" w:rsidRPr="00533466" w:rsidRDefault="00D60CD4" w:rsidP="00D448B2">
            <w:pPr>
              <w:suppressAutoHyphens w:val="0"/>
              <w:spacing w:before="40" w:after="40" w:line="220" w:lineRule="exact"/>
              <w:rPr>
                <w:rFonts w:cs="Times New Roman"/>
                <w:sz w:val="18"/>
              </w:rPr>
            </w:pPr>
          </w:p>
        </w:tc>
        <w:tc>
          <w:tcPr>
            <w:tcW w:w="2545" w:type="dxa"/>
            <w:tcBorders>
              <w:bottom w:val="single" w:sz="4" w:space="0" w:color="auto"/>
            </w:tcBorders>
            <w:shd w:val="clear" w:color="auto" w:fill="auto"/>
            <w:vAlign w:val="bottom"/>
          </w:tcPr>
          <w:p w14:paraId="15B755DC" w14:textId="77777777" w:rsidR="00D60CD4" w:rsidRPr="00533466" w:rsidRDefault="00D60CD4" w:rsidP="00533466">
            <w:pPr>
              <w:suppressAutoHyphens w:val="0"/>
              <w:spacing w:before="40" w:after="40" w:line="220" w:lineRule="exact"/>
              <w:rPr>
                <w:rFonts w:cs="Times New Roman"/>
                <w:sz w:val="18"/>
              </w:rPr>
            </w:pPr>
            <w:r w:rsidRPr="00533466">
              <w:rPr>
                <w:rFonts w:cs="Times New Roman"/>
                <w:sz w:val="18"/>
              </w:rPr>
              <w:t>Женщины</w:t>
            </w:r>
          </w:p>
        </w:tc>
        <w:tc>
          <w:tcPr>
            <w:tcW w:w="2126" w:type="dxa"/>
            <w:tcBorders>
              <w:bottom w:val="single" w:sz="4" w:space="0" w:color="auto"/>
            </w:tcBorders>
            <w:shd w:val="clear" w:color="auto" w:fill="auto"/>
            <w:vAlign w:val="bottom"/>
          </w:tcPr>
          <w:p w14:paraId="3565A1AE" w14:textId="77777777" w:rsidR="00D60CD4" w:rsidRPr="00533466" w:rsidRDefault="00D60CD4" w:rsidP="00533466">
            <w:pPr>
              <w:suppressAutoHyphens w:val="0"/>
              <w:spacing w:before="40" w:after="40" w:line="220" w:lineRule="exact"/>
              <w:jc w:val="right"/>
              <w:rPr>
                <w:rFonts w:cs="Times New Roman"/>
                <w:sz w:val="18"/>
              </w:rPr>
            </w:pPr>
            <w:r w:rsidRPr="00533466">
              <w:rPr>
                <w:rFonts w:cs="Times New Roman"/>
                <w:sz w:val="18"/>
              </w:rPr>
              <w:t>46 691</w:t>
            </w:r>
          </w:p>
        </w:tc>
      </w:tr>
      <w:tr w:rsidR="00533466" w:rsidRPr="00533466" w14:paraId="044010DE" w14:textId="77777777" w:rsidTr="00533466">
        <w:tc>
          <w:tcPr>
            <w:tcW w:w="2699" w:type="dxa"/>
            <w:vMerge/>
            <w:tcBorders>
              <w:top w:val="single" w:sz="4" w:space="0" w:color="auto"/>
            </w:tcBorders>
            <w:shd w:val="clear" w:color="auto" w:fill="auto"/>
          </w:tcPr>
          <w:p w14:paraId="4F6E8FE8" w14:textId="77777777" w:rsidR="00D60CD4" w:rsidRPr="00533466" w:rsidRDefault="00D60CD4" w:rsidP="00D448B2">
            <w:pPr>
              <w:suppressAutoHyphens w:val="0"/>
              <w:spacing w:before="80" w:after="80" w:line="220" w:lineRule="exact"/>
              <w:rPr>
                <w:rFonts w:cs="Times New Roman"/>
                <w:sz w:val="18"/>
              </w:rPr>
            </w:pPr>
          </w:p>
        </w:tc>
        <w:tc>
          <w:tcPr>
            <w:tcW w:w="2545" w:type="dxa"/>
            <w:tcBorders>
              <w:top w:val="single" w:sz="4" w:space="0" w:color="auto"/>
              <w:bottom w:val="single" w:sz="4" w:space="0" w:color="auto"/>
            </w:tcBorders>
            <w:shd w:val="clear" w:color="auto" w:fill="auto"/>
            <w:vAlign w:val="bottom"/>
          </w:tcPr>
          <w:p w14:paraId="5F93A32D" w14:textId="77777777" w:rsidR="00D60CD4" w:rsidRPr="00533466" w:rsidRDefault="00D60CD4" w:rsidP="00533466">
            <w:pPr>
              <w:suppressAutoHyphens w:val="0"/>
              <w:spacing w:before="80" w:after="80" w:line="220" w:lineRule="exact"/>
              <w:ind w:firstLine="281"/>
              <w:rPr>
                <w:rFonts w:cs="Times New Roman"/>
                <w:b/>
                <w:sz w:val="18"/>
              </w:rPr>
            </w:pPr>
            <w:r w:rsidRPr="00533466">
              <w:rPr>
                <w:rFonts w:cs="Times New Roman"/>
                <w:b/>
                <w:sz w:val="18"/>
              </w:rPr>
              <w:t>Всего</w:t>
            </w:r>
          </w:p>
        </w:tc>
        <w:tc>
          <w:tcPr>
            <w:tcW w:w="2126" w:type="dxa"/>
            <w:tcBorders>
              <w:top w:val="single" w:sz="4" w:space="0" w:color="auto"/>
              <w:bottom w:val="single" w:sz="4" w:space="0" w:color="auto"/>
            </w:tcBorders>
            <w:shd w:val="clear" w:color="auto" w:fill="auto"/>
            <w:vAlign w:val="bottom"/>
          </w:tcPr>
          <w:p w14:paraId="3DE7E4C4" w14:textId="77777777" w:rsidR="00D60CD4" w:rsidRPr="00533466" w:rsidRDefault="00D60CD4" w:rsidP="00533466">
            <w:pPr>
              <w:suppressAutoHyphens w:val="0"/>
              <w:spacing w:before="80" w:after="80" w:line="220" w:lineRule="exact"/>
              <w:ind w:firstLine="281"/>
              <w:jc w:val="right"/>
              <w:rPr>
                <w:rFonts w:cs="Times New Roman"/>
                <w:b/>
                <w:sz w:val="18"/>
              </w:rPr>
            </w:pPr>
            <w:r w:rsidRPr="00533466">
              <w:rPr>
                <w:rFonts w:cs="Times New Roman"/>
                <w:b/>
                <w:sz w:val="18"/>
              </w:rPr>
              <w:t>89 646</w:t>
            </w:r>
          </w:p>
        </w:tc>
      </w:tr>
      <w:tr w:rsidR="00533466" w:rsidRPr="00533466" w14:paraId="5EC9497F" w14:textId="77777777" w:rsidTr="00533466">
        <w:tc>
          <w:tcPr>
            <w:tcW w:w="2699" w:type="dxa"/>
            <w:vMerge w:val="restart"/>
            <w:shd w:val="clear" w:color="auto" w:fill="auto"/>
          </w:tcPr>
          <w:p w14:paraId="28D3CA13" w14:textId="77777777" w:rsidR="00D60CD4" w:rsidRPr="00533466" w:rsidRDefault="00D60CD4" w:rsidP="00D448B2">
            <w:pPr>
              <w:suppressAutoHyphens w:val="0"/>
              <w:spacing w:before="40" w:after="40" w:line="220" w:lineRule="exact"/>
              <w:rPr>
                <w:rFonts w:cs="Times New Roman"/>
                <w:sz w:val="18"/>
              </w:rPr>
            </w:pPr>
            <w:r w:rsidRPr="00533466">
              <w:rPr>
                <w:rFonts w:cs="Times New Roman"/>
                <w:sz w:val="18"/>
              </w:rPr>
              <w:t>Средние школы</w:t>
            </w:r>
          </w:p>
        </w:tc>
        <w:tc>
          <w:tcPr>
            <w:tcW w:w="2545" w:type="dxa"/>
            <w:tcBorders>
              <w:top w:val="single" w:sz="4" w:space="0" w:color="auto"/>
            </w:tcBorders>
            <w:shd w:val="clear" w:color="auto" w:fill="auto"/>
            <w:vAlign w:val="bottom"/>
          </w:tcPr>
          <w:p w14:paraId="5FFC01EF" w14:textId="77777777" w:rsidR="00D60CD4" w:rsidRPr="00533466" w:rsidRDefault="00D60CD4" w:rsidP="00533466">
            <w:pPr>
              <w:suppressAutoHyphens w:val="0"/>
              <w:spacing w:before="40" w:after="40" w:line="220" w:lineRule="exact"/>
              <w:rPr>
                <w:rFonts w:cs="Times New Roman"/>
                <w:sz w:val="18"/>
              </w:rPr>
            </w:pPr>
            <w:r w:rsidRPr="00533466">
              <w:rPr>
                <w:rFonts w:cs="Times New Roman"/>
                <w:sz w:val="18"/>
              </w:rPr>
              <w:t>Мужчины</w:t>
            </w:r>
          </w:p>
        </w:tc>
        <w:tc>
          <w:tcPr>
            <w:tcW w:w="2126" w:type="dxa"/>
            <w:tcBorders>
              <w:top w:val="single" w:sz="4" w:space="0" w:color="auto"/>
            </w:tcBorders>
            <w:shd w:val="clear" w:color="auto" w:fill="auto"/>
            <w:vAlign w:val="bottom"/>
          </w:tcPr>
          <w:p w14:paraId="61E30F28" w14:textId="77777777" w:rsidR="00D60CD4" w:rsidRPr="00533466" w:rsidRDefault="00D60CD4" w:rsidP="00533466">
            <w:pPr>
              <w:suppressAutoHyphens w:val="0"/>
              <w:spacing w:before="40" w:after="40" w:line="220" w:lineRule="exact"/>
              <w:jc w:val="right"/>
              <w:rPr>
                <w:rFonts w:cs="Times New Roman"/>
                <w:sz w:val="18"/>
              </w:rPr>
            </w:pPr>
            <w:r w:rsidRPr="00533466">
              <w:rPr>
                <w:rFonts w:cs="Times New Roman"/>
                <w:sz w:val="18"/>
              </w:rPr>
              <w:t>9 090</w:t>
            </w:r>
          </w:p>
        </w:tc>
      </w:tr>
      <w:tr w:rsidR="00533466" w:rsidRPr="00533466" w14:paraId="5DA90808" w14:textId="77777777" w:rsidTr="00533466">
        <w:tc>
          <w:tcPr>
            <w:tcW w:w="2699" w:type="dxa"/>
            <w:vMerge/>
            <w:tcBorders>
              <w:top w:val="single" w:sz="4" w:space="0" w:color="auto"/>
            </w:tcBorders>
            <w:shd w:val="clear" w:color="auto" w:fill="auto"/>
          </w:tcPr>
          <w:p w14:paraId="6B15706A" w14:textId="77777777" w:rsidR="00D60CD4" w:rsidRPr="00533466" w:rsidRDefault="00D60CD4" w:rsidP="00533466">
            <w:pPr>
              <w:suppressAutoHyphens w:val="0"/>
              <w:spacing w:before="40" w:after="40" w:line="220" w:lineRule="exact"/>
              <w:rPr>
                <w:rFonts w:cs="Times New Roman"/>
                <w:sz w:val="18"/>
              </w:rPr>
            </w:pPr>
          </w:p>
        </w:tc>
        <w:tc>
          <w:tcPr>
            <w:tcW w:w="2545" w:type="dxa"/>
            <w:tcBorders>
              <w:bottom w:val="single" w:sz="4" w:space="0" w:color="auto"/>
            </w:tcBorders>
            <w:shd w:val="clear" w:color="auto" w:fill="auto"/>
            <w:vAlign w:val="bottom"/>
          </w:tcPr>
          <w:p w14:paraId="30868633" w14:textId="77777777" w:rsidR="00D60CD4" w:rsidRPr="00533466" w:rsidRDefault="00D60CD4" w:rsidP="00533466">
            <w:pPr>
              <w:suppressAutoHyphens w:val="0"/>
              <w:spacing w:before="40" w:after="40" w:line="220" w:lineRule="exact"/>
              <w:rPr>
                <w:rFonts w:cs="Times New Roman"/>
                <w:sz w:val="18"/>
              </w:rPr>
            </w:pPr>
            <w:r w:rsidRPr="00533466">
              <w:rPr>
                <w:rFonts w:cs="Times New Roman"/>
                <w:sz w:val="18"/>
              </w:rPr>
              <w:t>Женщины</w:t>
            </w:r>
          </w:p>
        </w:tc>
        <w:tc>
          <w:tcPr>
            <w:tcW w:w="2126" w:type="dxa"/>
            <w:tcBorders>
              <w:bottom w:val="single" w:sz="4" w:space="0" w:color="auto"/>
            </w:tcBorders>
            <w:shd w:val="clear" w:color="auto" w:fill="auto"/>
            <w:vAlign w:val="bottom"/>
          </w:tcPr>
          <w:p w14:paraId="33D71763" w14:textId="77777777" w:rsidR="00D60CD4" w:rsidRPr="00533466" w:rsidRDefault="00D60CD4" w:rsidP="00533466">
            <w:pPr>
              <w:suppressAutoHyphens w:val="0"/>
              <w:spacing w:before="40" w:after="40" w:line="220" w:lineRule="exact"/>
              <w:jc w:val="right"/>
              <w:rPr>
                <w:rFonts w:cs="Times New Roman"/>
                <w:sz w:val="18"/>
              </w:rPr>
            </w:pPr>
            <w:r w:rsidRPr="00533466">
              <w:rPr>
                <w:rFonts w:cs="Times New Roman"/>
                <w:sz w:val="18"/>
              </w:rPr>
              <w:t>8 278</w:t>
            </w:r>
          </w:p>
        </w:tc>
      </w:tr>
      <w:tr w:rsidR="00533466" w:rsidRPr="00533466" w14:paraId="362FE23A" w14:textId="77777777" w:rsidTr="00533466">
        <w:tc>
          <w:tcPr>
            <w:tcW w:w="2699" w:type="dxa"/>
            <w:vMerge/>
            <w:tcBorders>
              <w:top w:val="single" w:sz="4" w:space="0" w:color="auto"/>
              <w:bottom w:val="single" w:sz="4" w:space="0" w:color="auto"/>
            </w:tcBorders>
            <w:shd w:val="clear" w:color="auto" w:fill="auto"/>
          </w:tcPr>
          <w:p w14:paraId="38A5F74B" w14:textId="77777777" w:rsidR="00D60CD4" w:rsidRPr="00533466" w:rsidRDefault="00D60CD4" w:rsidP="00533466">
            <w:pPr>
              <w:suppressAutoHyphens w:val="0"/>
              <w:spacing w:before="80" w:after="80" w:line="220" w:lineRule="exact"/>
              <w:rPr>
                <w:rFonts w:cs="Times New Roman"/>
                <w:sz w:val="18"/>
              </w:rPr>
            </w:pPr>
          </w:p>
        </w:tc>
        <w:tc>
          <w:tcPr>
            <w:tcW w:w="2545" w:type="dxa"/>
            <w:tcBorders>
              <w:top w:val="single" w:sz="4" w:space="0" w:color="auto"/>
              <w:bottom w:val="single" w:sz="4" w:space="0" w:color="auto"/>
            </w:tcBorders>
            <w:shd w:val="clear" w:color="auto" w:fill="auto"/>
            <w:vAlign w:val="bottom"/>
          </w:tcPr>
          <w:p w14:paraId="520CD0A9" w14:textId="77777777" w:rsidR="00D60CD4" w:rsidRPr="00533466" w:rsidRDefault="00D60CD4" w:rsidP="00533466">
            <w:pPr>
              <w:suppressAutoHyphens w:val="0"/>
              <w:spacing w:before="80" w:after="80" w:line="220" w:lineRule="exact"/>
              <w:ind w:firstLine="281"/>
              <w:rPr>
                <w:rFonts w:cs="Times New Roman"/>
                <w:b/>
                <w:sz w:val="18"/>
              </w:rPr>
            </w:pPr>
            <w:r w:rsidRPr="00533466">
              <w:rPr>
                <w:rFonts w:cs="Times New Roman"/>
                <w:b/>
                <w:sz w:val="18"/>
              </w:rPr>
              <w:t>Всего</w:t>
            </w:r>
          </w:p>
        </w:tc>
        <w:tc>
          <w:tcPr>
            <w:tcW w:w="2126" w:type="dxa"/>
            <w:tcBorders>
              <w:top w:val="single" w:sz="4" w:space="0" w:color="auto"/>
              <w:bottom w:val="single" w:sz="4" w:space="0" w:color="auto"/>
            </w:tcBorders>
            <w:shd w:val="clear" w:color="auto" w:fill="auto"/>
            <w:vAlign w:val="bottom"/>
          </w:tcPr>
          <w:p w14:paraId="50ADCA1F" w14:textId="77777777" w:rsidR="00D60CD4" w:rsidRPr="00533466" w:rsidRDefault="00D60CD4" w:rsidP="00533466">
            <w:pPr>
              <w:suppressAutoHyphens w:val="0"/>
              <w:spacing w:before="80" w:after="80" w:line="220" w:lineRule="exact"/>
              <w:jc w:val="right"/>
              <w:rPr>
                <w:rFonts w:cs="Times New Roman"/>
                <w:b/>
                <w:sz w:val="18"/>
              </w:rPr>
            </w:pPr>
            <w:r w:rsidRPr="00533466">
              <w:rPr>
                <w:rFonts w:cs="Times New Roman"/>
                <w:b/>
                <w:sz w:val="18"/>
              </w:rPr>
              <w:t>17 368</w:t>
            </w:r>
          </w:p>
        </w:tc>
      </w:tr>
      <w:tr w:rsidR="00533466" w:rsidRPr="00533466" w14:paraId="3EDFA426" w14:textId="77777777" w:rsidTr="00533466">
        <w:tc>
          <w:tcPr>
            <w:tcW w:w="5244" w:type="dxa"/>
            <w:gridSpan w:val="2"/>
            <w:tcBorders>
              <w:top w:val="single" w:sz="4" w:space="0" w:color="auto"/>
              <w:bottom w:val="single" w:sz="12" w:space="0" w:color="auto"/>
            </w:tcBorders>
            <w:shd w:val="clear" w:color="auto" w:fill="auto"/>
          </w:tcPr>
          <w:p w14:paraId="6606922D" w14:textId="77777777" w:rsidR="00D60CD4" w:rsidRPr="00533466" w:rsidRDefault="00D60CD4" w:rsidP="00533466">
            <w:pPr>
              <w:suppressAutoHyphens w:val="0"/>
              <w:spacing w:before="80" w:after="80" w:line="220" w:lineRule="exact"/>
              <w:ind w:left="283"/>
              <w:rPr>
                <w:rFonts w:cs="Times New Roman"/>
                <w:b/>
                <w:sz w:val="18"/>
              </w:rPr>
            </w:pPr>
            <w:r w:rsidRPr="00533466">
              <w:rPr>
                <w:rFonts w:cs="Times New Roman"/>
                <w:b/>
                <w:sz w:val="18"/>
              </w:rPr>
              <w:t>Итого по стране</w:t>
            </w:r>
          </w:p>
        </w:tc>
        <w:tc>
          <w:tcPr>
            <w:tcW w:w="2126" w:type="dxa"/>
            <w:tcBorders>
              <w:top w:val="single" w:sz="4" w:space="0" w:color="auto"/>
              <w:bottom w:val="single" w:sz="12" w:space="0" w:color="auto"/>
            </w:tcBorders>
            <w:shd w:val="clear" w:color="auto" w:fill="auto"/>
            <w:vAlign w:val="bottom"/>
          </w:tcPr>
          <w:p w14:paraId="2522B0A6" w14:textId="77777777" w:rsidR="00D60CD4" w:rsidRPr="00533466" w:rsidRDefault="00D60CD4" w:rsidP="00533466">
            <w:pPr>
              <w:suppressAutoHyphens w:val="0"/>
              <w:spacing w:before="80" w:after="80" w:line="220" w:lineRule="exact"/>
              <w:jc w:val="right"/>
              <w:rPr>
                <w:rFonts w:cs="Times New Roman"/>
                <w:b/>
                <w:sz w:val="18"/>
              </w:rPr>
            </w:pPr>
            <w:r w:rsidRPr="00533466">
              <w:rPr>
                <w:rFonts w:cs="Times New Roman"/>
                <w:b/>
                <w:sz w:val="18"/>
              </w:rPr>
              <w:t>107 014</w:t>
            </w:r>
          </w:p>
        </w:tc>
      </w:tr>
    </w:tbl>
    <w:p w14:paraId="24A92976" w14:textId="04A99E9B" w:rsidR="00D60CD4" w:rsidRPr="00533466" w:rsidRDefault="00D60CD4" w:rsidP="00533466">
      <w:pPr>
        <w:spacing w:before="120" w:after="240" w:line="220" w:lineRule="exact"/>
        <w:ind w:left="1134" w:right="1134" w:firstLine="170"/>
        <w:rPr>
          <w:sz w:val="18"/>
          <w:szCs w:val="18"/>
        </w:rPr>
      </w:pPr>
      <w:r w:rsidRPr="00533466">
        <w:rPr>
          <w:sz w:val="18"/>
          <w:szCs w:val="18"/>
        </w:rPr>
        <w:t>*</w:t>
      </w:r>
      <w:r w:rsidR="00C87A17">
        <w:rPr>
          <w:sz w:val="18"/>
          <w:szCs w:val="18"/>
        </w:rPr>
        <w:t xml:space="preserve"> </w:t>
      </w:r>
      <w:r w:rsidRPr="00533466">
        <w:rPr>
          <w:sz w:val="18"/>
          <w:szCs w:val="18"/>
        </w:rPr>
        <w:t>2015 Educational statistical bulletin</w:t>
      </w:r>
      <w:r w:rsidR="00AF1E70" w:rsidRPr="00533466">
        <w:rPr>
          <w:sz w:val="18"/>
          <w:szCs w:val="18"/>
        </w:rPr>
        <w:t xml:space="preserve"> </w:t>
      </w:r>
      <w:r w:rsidR="00D448B2">
        <w:rPr>
          <w:sz w:val="18"/>
          <w:szCs w:val="18"/>
        </w:rPr>
        <w:t>–</w:t>
      </w:r>
      <w:r w:rsidR="00AF1E70" w:rsidRPr="00533466">
        <w:rPr>
          <w:sz w:val="18"/>
          <w:szCs w:val="18"/>
        </w:rPr>
        <w:t xml:space="preserve"> </w:t>
      </w:r>
      <w:r w:rsidRPr="00533466">
        <w:rPr>
          <w:sz w:val="18"/>
          <w:szCs w:val="18"/>
        </w:rPr>
        <w:t>MOGE 2015</w:t>
      </w:r>
      <w:r w:rsidR="00D448B2">
        <w:rPr>
          <w:sz w:val="18"/>
          <w:szCs w:val="18"/>
        </w:rPr>
        <w:t>.</w:t>
      </w:r>
    </w:p>
    <w:p w14:paraId="08A85DAD" w14:textId="77777777" w:rsidR="00D60CD4" w:rsidRPr="00FA6F7B" w:rsidRDefault="00D60CD4" w:rsidP="00D60CD4">
      <w:pPr>
        <w:pStyle w:val="SingleTxtG"/>
      </w:pPr>
      <w:r>
        <w:t>209.</w:t>
      </w:r>
      <w:r>
        <w:tab/>
        <w:t xml:space="preserve">Несмотря на успехи, достигнутые государством-участником в обеспечении инклюзивного образования для инвалидов, государство-участник по-прежнему сталкивается с такими проблемами, как неадекватные информационно-технологические системы для оказания помощи в сборе точных данных о зачислении и обучении инвалидов в учебных заведениях, неадекватное и несправедливое распределение ресурсов на обучение и негативное отношение со стороны руководителей системы образования, родителей и других заинтересованных сторон к образованию учащихся-инвалидов. Кроме того, программы ликвидации неграмотности среди взрослых не были распространены на инвалидов, особенно на слепых и глухих. </w:t>
      </w:r>
    </w:p>
    <w:p w14:paraId="3E1E661A" w14:textId="77777777" w:rsidR="00D60CD4" w:rsidRPr="00FA6F7B" w:rsidRDefault="00D60CD4" w:rsidP="00D60CD4">
      <w:pPr>
        <w:pStyle w:val="SingleTxtG"/>
      </w:pPr>
      <w:r>
        <w:t>210.</w:t>
      </w:r>
      <w:r>
        <w:tab/>
        <w:t>С учетом вышеизложенного государству-участнику следует:</w:t>
      </w:r>
    </w:p>
    <w:p w14:paraId="2F3FCC63" w14:textId="77777777" w:rsidR="00D60CD4" w:rsidRPr="00FA6F7B" w:rsidRDefault="00D60CD4" w:rsidP="00D60CD4">
      <w:pPr>
        <w:pStyle w:val="SingleTxtG"/>
      </w:pPr>
      <w:r>
        <w:tab/>
        <w:t>a)</w:t>
      </w:r>
      <w:r>
        <w:tab/>
        <w:t>обеспечить справедливое распределение ресурсов для обеспечения качественного образования для инвалидов;</w:t>
      </w:r>
    </w:p>
    <w:p w14:paraId="3D90BCBE" w14:textId="77777777" w:rsidR="00D60CD4" w:rsidRPr="00FA6F7B" w:rsidRDefault="00D60CD4" w:rsidP="00D60CD4">
      <w:pPr>
        <w:pStyle w:val="SingleTxtG"/>
      </w:pPr>
      <w:r>
        <w:tab/>
        <w:t>b)</w:t>
      </w:r>
      <w:r>
        <w:tab/>
        <w:t xml:space="preserve">пересмотреть стратегию </w:t>
      </w:r>
      <w:r w:rsidR="00AF1E70" w:rsidRPr="00D448B2">
        <w:t>«</w:t>
      </w:r>
      <w:r w:rsidRPr="00D448B2">
        <w:t>Образование для нашего будущего</w:t>
      </w:r>
      <w:r w:rsidR="00AF1E70" w:rsidRPr="00D448B2">
        <w:t>»</w:t>
      </w:r>
      <w:r w:rsidRPr="00D448B2">
        <w:t xml:space="preserve">, </w:t>
      </w:r>
      <w:r>
        <w:t>с тем чтобы привести ее в соответствие с КПИ ООН;</w:t>
      </w:r>
    </w:p>
    <w:p w14:paraId="74A5A980" w14:textId="77777777" w:rsidR="00D60CD4" w:rsidRPr="00FA6F7B" w:rsidRDefault="00D60CD4" w:rsidP="00D60CD4">
      <w:pPr>
        <w:pStyle w:val="SingleTxtG"/>
      </w:pPr>
      <w:r>
        <w:tab/>
        <w:t>с)</w:t>
      </w:r>
      <w:r>
        <w:tab/>
        <w:t>активизировать информационно-просветительные кампании с целью позитивного изменения отношения людей к образованию инвалидов;</w:t>
      </w:r>
    </w:p>
    <w:p w14:paraId="12648399" w14:textId="77777777" w:rsidR="00D60CD4" w:rsidRPr="00FA6F7B" w:rsidRDefault="00D60CD4" w:rsidP="00D60CD4">
      <w:pPr>
        <w:pStyle w:val="SingleTxtG"/>
      </w:pPr>
      <w:r>
        <w:tab/>
        <w:t>d)</w:t>
      </w:r>
      <w:r>
        <w:tab/>
        <w:t>распространить программы ликвидации неграмотности среди взрослых на учащихся-инвалидов.</w:t>
      </w:r>
    </w:p>
    <w:p w14:paraId="35192DDE" w14:textId="77777777" w:rsidR="00D60CD4" w:rsidRPr="00FA6F7B" w:rsidRDefault="00D60CD4" w:rsidP="00D60CD4">
      <w:pPr>
        <w:pStyle w:val="H23G"/>
      </w:pPr>
      <w:bookmarkStart w:id="58" w:name="_Toc304981226"/>
      <w:bookmarkStart w:id="59" w:name="_Toc348505238"/>
      <w:r>
        <w:tab/>
      </w:r>
      <w:r>
        <w:tab/>
      </w:r>
      <w:r>
        <w:rPr>
          <w:bCs/>
        </w:rPr>
        <w:t>Статья 25</w:t>
      </w:r>
      <w:r w:rsidR="00533466">
        <w:rPr>
          <w:bCs/>
        </w:rPr>
        <w:br/>
      </w:r>
      <w:r>
        <w:rPr>
          <w:bCs/>
        </w:rPr>
        <w:tab/>
        <w:t>Здоровье</w:t>
      </w:r>
      <w:bookmarkStart w:id="60" w:name="_Toc53587134"/>
      <w:bookmarkEnd w:id="58"/>
      <w:bookmarkEnd w:id="59"/>
      <w:bookmarkEnd w:id="60"/>
    </w:p>
    <w:p w14:paraId="22017AB6" w14:textId="77777777" w:rsidR="00D60CD4" w:rsidRPr="00FA6F7B" w:rsidRDefault="00D60CD4" w:rsidP="00D60CD4">
      <w:pPr>
        <w:pStyle w:val="SingleTxtG"/>
      </w:pPr>
      <w:r>
        <w:t>211.</w:t>
      </w:r>
      <w:r>
        <w:tab/>
        <w:t xml:space="preserve">Национальная политика государства-участника в области инвалидности признает необходимость расширения доступа инвалидов к качественным медицинским услугам. Принятые меры включают в себя обеспечение качества и уровня бесплатного и недорогого медицинского обслуживания, в том числе в области сексуального и репродуктивного здоровья и по линии предлагаемых населению государственных программ здравоохранения. </w:t>
      </w:r>
    </w:p>
    <w:p w14:paraId="2DCD6286" w14:textId="77777777" w:rsidR="00D60CD4" w:rsidRPr="00FA6F7B" w:rsidRDefault="00D60CD4" w:rsidP="00D60CD4">
      <w:pPr>
        <w:pStyle w:val="SingleTxtG"/>
      </w:pPr>
      <w:r>
        <w:t>212.</w:t>
      </w:r>
      <w:r>
        <w:tab/>
        <w:t xml:space="preserve">Кроме того, статья 27 Закона о людях с инвалидностью гарантирует право каждого инвалида на бесплатное или недорогое качественное и стандартное медицинское обслуживание, включая охрану репродуктивного здоровья. Эта статья также предусматривает предоставление конкретных медицинских услуг, в которых нуждаются инвалиды и которые включают раннюю диагностику, а в подходящих случаях — коррекцию и услуги, призванные свести к минимуму и предотвратить дальнейшее возникновение инвалидности. Государство-участник также разработало законопроект о психическом здоровье в целях содействия обеспечению доступа инвалидов к качественным услугам в области психического здоровья. Законопроект также направлен на поощрение права на информированное согласие при обращении за услугами в области психического здоровья. </w:t>
      </w:r>
    </w:p>
    <w:p w14:paraId="3B497051" w14:textId="77777777" w:rsidR="00D60CD4" w:rsidRPr="00FA6F7B" w:rsidRDefault="00D60CD4" w:rsidP="00D60CD4">
      <w:pPr>
        <w:pStyle w:val="SingleTxtG"/>
      </w:pPr>
      <w:r>
        <w:lastRenderedPageBreak/>
        <w:t>213.</w:t>
      </w:r>
      <w:r>
        <w:tab/>
        <w:t xml:space="preserve">Государство-участник признает необходимость поощрения и защиты прав инвалидов на доступ к медицинским услугам, особенно в области сексуального и репродуктивного здоровья. </w:t>
      </w:r>
    </w:p>
    <w:p w14:paraId="0B66B1C4" w14:textId="77777777" w:rsidR="00D60CD4" w:rsidRPr="00FA6F7B" w:rsidRDefault="00D60CD4" w:rsidP="00D60CD4">
      <w:pPr>
        <w:pStyle w:val="SingleTxtG"/>
      </w:pPr>
      <w:r>
        <w:t>214.</w:t>
      </w:r>
      <w:r>
        <w:tab/>
        <w:t xml:space="preserve">В этой связи государство-участник активизирует кампании и принимает меры по обеспечению инвалидам наравне с другими доступа к услугам в области сексуального и репродуктивного здоровья. </w:t>
      </w:r>
    </w:p>
    <w:p w14:paraId="7DBE539D" w14:textId="77777777" w:rsidR="00D60CD4" w:rsidRPr="00FA6F7B" w:rsidRDefault="00D60CD4" w:rsidP="00D60CD4">
      <w:pPr>
        <w:pStyle w:val="SingleTxtG"/>
      </w:pPr>
      <w:r>
        <w:t>215.</w:t>
      </w:r>
      <w:r>
        <w:tab/>
        <w:t>Государство-участник через Национальный совет по СПИДу (НСС) повышает осведомленность об уязвимости инвалидов к ВИЧ-инфекции и о необходимости обеспечения того, чтобы мероприятия по борьбе с ВИЧ и СПИДом отвечали потребностям инвалидов.</w:t>
      </w:r>
    </w:p>
    <w:p w14:paraId="099A9CB5" w14:textId="77777777" w:rsidR="00D60CD4" w:rsidRPr="00FA6F7B" w:rsidRDefault="00D60CD4" w:rsidP="00D60CD4">
      <w:pPr>
        <w:pStyle w:val="H23G"/>
      </w:pPr>
      <w:r>
        <w:tab/>
      </w:r>
      <w:r>
        <w:tab/>
      </w:r>
      <w:r>
        <w:rPr>
          <w:bCs/>
        </w:rPr>
        <w:t>Статья 26</w:t>
      </w:r>
      <w:r w:rsidR="00533466">
        <w:rPr>
          <w:bCs/>
        </w:rPr>
        <w:br/>
      </w:r>
      <w:r>
        <w:rPr>
          <w:bCs/>
        </w:rPr>
        <w:tab/>
        <w:t>Абилитация и реабилитация</w:t>
      </w:r>
      <w:bookmarkStart w:id="61" w:name="_Toc304981227"/>
      <w:bookmarkStart w:id="62" w:name="_Toc348505239"/>
      <w:bookmarkStart w:id="63" w:name="_Toc53587135"/>
      <w:bookmarkEnd w:id="61"/>
      <w:bookmarkEnd w:id="62"/>
      <w:bookmarkEnd w:id="63"/>
    </w:p>
    <w:p w14:paraId="0B7A8A2C" w14:textId="77777777" w:rsidR="00D60CD4" w:rsidRPr="00FA6F7B" w:rsidRDefault="00D60CD4" w:rsidP="00D60CD4">
      <w:pPr>
        <w:pStyle w:val="SingleTxtG"/>
      </w:pPr>
      <w:r>
        <w:t>216.</w:t>
      </w:r>
      <w:r>
        <w:tab/>
        <w:t>Государство-участник признает важность предоставления инвалидам абилитационных и реабилитационных услуг по линии программ реабилитации по месту жительства. В этой связи были приняты политические, законодательные и административные меры.</w:t>
      </w:r>
    </w:p>
    <w:p w14:paraId="77137939" w14:textId="77777777" w:rsidR="00D60CD4" w:rsidRPr="00FA6F7B" w:rsidRDefault="00D60CD4" w:rsidP="00D60CD4">
      <w:pPr>
        <w:pStyle w:val="SingleTxtG"/>
      </w:pPr>
      <w:r>
        <w:t>217.</w:t>
      </w:r>
      <w:r>
        <w:tab/>
        <w:t xml:space="preserve">Национальная политика в области инвалидности определяет абилитацию и реабилитацию в качестве конкретной цели, направленной на содействие предоставлению инвалидам абилитационных и реабилитационных услуг и возможностей и на обеспечение их всестороннего участия в жизни общества. </w:t>
      </w:r>
    </w:p>
    <w:p w14:paraId="411E653C" w14:textId="77777777" w:rsidR="00D60CD4" w:rsidRPr="00FA6F7B" w:rsidRDefault="00D60CD4" w:rsidP="00D60CD4">
      <w:pPr>
        <w:pStyle w:val="SingleTxtG"/>
      </w:pPr>
      <w:r>
        <w:t>218.</w:t>
      </w:r>
      <w:r>
        <w:tab/>
        <w:t xml:space="preserve">Статья 33 Закона о людях с инвалидностью предусматривает, что </w:t>
      </w:r>
      <w:r w:rsidR="00AF1E70">
        <w:t>«</w:t>
      </w:r>
      <w:r>
        <w:t>Министерство социального обеспечения, в консультации с Министерством образования, поощряет развитие начального и непрерывного обучения специалистов и персонала, работающих в абилитационных и реабилитационных центрах</w:t>
      </w:r>
      <w:r w:rsidR="00AF1E70">
        <w:t>»</w:t>
      </w:r>
      <w:r>
        <w:t xml:space="preserve">. Эта статья также предусматривает, что </w:t>
      </w:r>
      <w:r w:rsidR="00AF1E70">
        <w:t>«</w:t>
      </w:r>
      <w:r>
        <w:t>Министерство, в консультации с Агентством, поощряет наличие, знание и использование относящихся к абилитации и реабилитации ассистивных устройств и технологий, предназначенных для инвалидов</w:t>
      </w:r>
      <w:r w:rsidR="00AF1E70">
        <w:t>»</w:t>
      </w:r>
      <w:r>
        <w:t>.</w:t>
      </w:r>
    </w:p>
    <w:p w14:paraId="461E8D6E" w14:textId="77777777" w:rsidR="00D60CD4" w:rsidRPr="00FA6F7B" w:rsidRDefault="00D60CD4" w:rsidP="00D60CD4">
      <w:pPr>
        <w:pStyle w:val="SingleTxtG"/>
      </w:pPr>
      <w:r>
        <w:t>219.</w:t>
      </w:r>
      <w:r>
        <w:tab/>
        <w:t xml:space="preserve">Что касается административных мер, то государство-участник осуществляет всеобъемлющую программу РМЖ в округах Казунгула, Ливингстон и Зимба в Южной провинции и планирует постепенно распространить ее на все округа Замбии. Программа реализуется на основе многодисциплинарного подхода, который включает в себя образование, здравоохранение, занятость, социальное обеспечение и расширение прав и возможностей инвалидов через представляющие их организации. </w:t>
      </w:r>
    </w:p>
    <w:p w14:paraId="1D249E9D" w14:textId="77777777" w:rsidR="00D60CD4" w:rsidRPr="00FA6F7B" w:rsidRDefault="00D60CD4" w:rsidP="00D60CD4">
      <w:pPr>
        <w:pStyle w:val="H23G"/>
      </w:pPr>
      <w:r>
        <w:tab/>
      </w:r>
      <w:r>
        <w:tab/>
      </w:r>
      <w:r>
        <w:rPr>
          <w:bCs/>
        </w:rPr>
        <w:t>Статья 27</w:t>
      </w:r>
      <w:r w:rsidR="00533466">
        <w:rPr>
          <w:bCs/>
        </w:rPr>
        <w:br/>
      </w:r>
      <w:r>
        <w:rPr>
          <w:bCs/>
        </w:rPr>
        <w:tab/>
        <w:t>Труд и занятость</w:t>
      </w:r>
      <w:bookmarkStart w:id="64" w:name="_Toc53587136"/>
      <w:bookmarkEnd w:id="64"/>
    </w:p>
    <w:p w14:paraId="20E5A4DC" w14:textId="77777777" w:rsidR="00D60CD4" w:rsidRPr="00FA6F7B" w:rsidRDefault="00D60CD4" w:rsidP="00D60CD4">
      <w:pPr>
        <w:pStyle w:val="SingleTxtG"/>
      </w:pPr>
      <w:r>
        <w:t>220.</w:t>
      </w:r>
      <w:r>
        <w:tab/>
        <w:t>Право на труд</w:t>
      </w:r>
      <w:r w:rsidR="00AF1E70">
        <w:t xml:space="preserve"> — </w:t>
      </w:r>
      <w:r>
        <w:t>это фундаментальное право каждого человека. Государство-участник привержено обеспечению того, чтобы каждый человек на своем рабочем месте имел равные возможности для занятости, пользовался равным обращением и получал равное вознаграждение, независимо от его жизненного статуса. В случае любой формы дискриминации на рабочем месте затрагиваемым лицам предлагается сообщать об этом в компетентные органы, в том числе в Министерство труда и социального обеспечения, для получения возмещения.</w:t>
      </w:r>
    </w:p>
    <w:p w14:paraId="24F24BC3" w14:textId="77777777" w:rsidR="00D60CD4" w:rsidRPr="00FA6F7B" w:rsidRDefault="00D60CD4" w:rsidP="00D60CD4">
      <w:pPr>
        <w:pStyle w:val="SingleTxtG"/>
      </w:pPr>
      <w:r>
        <w:t>221.</w:t>
      </w:r>
      <w:r>
        <w:tab/>
        <w:t xml:space="preserve">Пункт 2 статьи 35 Закона о людях с инвалидностью предусматривает, что </w:t>
      </w:r>
      <w:r w:rsidR="00AF1E70">
        <w:t>«</w:t>
      </w:r>
      <w:r>
        <w:t>инвалид не должен подвергаться дискриминации по признаку инвалидности в отношении всех форм занятости, включая условия приема на работу, найма и занятости, сохранение работы, создание, классификацию и упразднение должностей, определение размеров заработной платы, пенсии или других льгот, ученичество, продвижение по службе, карьерный рост и здоровые условия труда</w:t>
      </w:r>
      <w:r w:rsidR="00AF1E70">
        <w:t>»</w:t>
      </w:r>
      <w:r>
        <w:t>.</w:t>
      </w:r>
    </w:p>
    <w:p w14:paraId="7E514862" w14:textId="77777777" w:rsidR="00D60CD4" w:rsidRPr="00FA6F7B" w:rsidRDefault="00D60CD4" w:rsidP="00D60CD4">
      <w:pPr>
        <w:pStyle w:val="SingleTxtG"/>
      </w:pPr>
      <w:r>
        <w:t>222.</w:t>
      </w:r>
      <w:r>
        <w:tab/>
        <w:t xml:space="preserve">Государство-участник через Министерство труда и социального обеспечения применяет трудовое законодательство в целях защиты прав трудящихся, включая инвалидов. Закон о занятости (глава 268 Свода законов Замбии) имеет общее применение в сфере занятости, поскольку он охватывает всех людей на рабочих </w:t>
      </w:r>
      <w:r>
        <w:lastRenderedPageBreak/>
        <w:t>местах. Закон о производственных и трудовых отношениях (глава 269 Свода законов Замбии) является еще одним законодательным актом, гарантирующим защиту инвалидов в области трудоустройства.</w:t>
      </w:r>
    </w:p>
    <w:p w14:paraId="0F52E1EC" w14:textId="77777777" w:rsidR="00D60CD4" w:rsidRPr="00FA6F7B" w:rsidRDefault="00D60CD4" w:rsidP="00D60CD4">
      <w:pPr>
        <w:pStyle w:val="SingleTxtG"/>
      </w:pPr>
      <w:r>
        <w:t>223.</w:t>
      </w:r>
      <w:r>
        <w:tab/>
        <w:t>Государство-участник пересмотрело национальную политику в области занятости и рынка труда. В пересмотренную политику были включены политические цели и меры, направленные на расширение участия женщин, молодежи и инвалидов на рынке труда. Кроме того, страновая программа Замбии по обеспечению достойных условий труда, осуществляемая Министерством труда и социального обеспечения, обеспечивает политическую основу для обеспечения достойной работы для всех. Программа направлена, в частности, на создание более широких и качественных возможностей для трудоустройства с уделением особого внимания целевым группам, включая инвалидов.</w:t>
      </w:r>
    </w:p>
    <w:p w14:paraId="79B1DA32" w14:textId="77777777" w:rsidR="00D60CD4" w:rsidRPr="00FA6F7B" w:rsidRDefault="00D60CD4" w:rsidP="00D60CD4">
      <w:pPr>
        <w:pStyle w:val="SingleTxtG"/>
      </w:pPr>
      <w:r>
        <w:t>224.</w:t>
      </w:r>
      <w:r>
        <w:tab/>
        <w:t>Государство-участник является основным работодателем для инвалидов, а сектор образования</w:t>
      </w:r>
      <w:r w:rsidR="00AF1E70">
        <w:t xml:space="preserve"> — </w:t>
      </w:r>
      <w:r>
        <w:t xml:space="preserve">ведущим работодателем, поскольку дискриминация в сфере занятости отсутствует. Преподаватели, приобретающие инвалидность во время работы по найму, не отстраняются от работы, а проходят реабилитацию. В таблице 4 ниже приводятся данные о возвращении на прежние рабочие места сотрудников Министерства общего образования, имеющих инвалидность. </w:t>
      </w:r>
    </w:p>
    <w:p w14:paraId="370CAA99" w14:textId="77777777" w:rsidR="00D60CD4" w:rsidRPr="00FA6F7B" w:rsidRDefault="00533466" w:rsidP="00533466">
      <w:pPr>
        <w:pStyle w:val="H23G"/>
        <w:rPr>
          <w:bCs/>
        </w:rPr>
      </w:pPr>
      <w:bookmarkStart w:id="65" w:name="_Toc53587137"/>
      <w:r>
        <w:tab/>
      </w:r>
      <w:r>
        <w:tab/>
      </w:r>
      <w:r w:rsidR="00D60CD4" w:rsidRPr="00533466">
        <w:rPr>
          <w:b w:val="0"/>
          <w:bCs/>
        </w:rPr>
        <w:t xml:space="preserve">Таблица 4 </w:t>
      </w:r>
      <w:r>
        <w:br/>
      </w:r>
      <w:r w:rsidR="00D60CD4">
        <w:t>Возвращение на прежние рабочие места сотрудников Министерства общего образования, имеющих инвалидность</w:t>
      </w:r>
      <w:bookmarkEnd w:id="65"/>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54"/>
        <w:gridCol w:w="1005"/>
        <w:gridCol w:w="1003"/>
        <w:gridCol w:w="999"/>
        <w:gridCol w:w="1003"/>
        <w:gridCol w:w="1003"/>
        <w:gridCol w:w="1003"/>
      </w:tblGrid>
      <w:tr w:rsidR="00D60CD4" w:rsidRPr="001757C7" w14:paraId="0690A6E8" w14:textId="77777777" w:rsidTr="00615EB5">
        <w:trPr>
          <w:tblHeader/>
        </w:trPr>
        <w:tc>
          <w:tcPr>
            <w:tcW w:w="1354" w:type="dxa"/>
            <w:tcBorders>
              <w:top w:val="single" w:sz="4" w:space="0" w:color="auto"/>
              <w:bottom w:val="nil"/>
            </w:tcBorders>
            <w:shd w:val="clear" w:color="auto" w:fill="auto"/>
            <w:vAlign w:val="bottom"/>
          </w:tcPr>
          <w:p w14:paraId="7BF981ED" w14:textId="77777777" w:rsidR="00D60CD4" w:rsidRPr="00FA6F7B" w:rsidRDefault="00D60CD4" w:rsidP="00D60CD4">
            <w:pPr>
              <w:pStyle w:val="SingleTxtG"/>
              <w:spacing w:before="80" w:after="80" w:line="200" w:lineRule="exact"/>
              <w:ind w:left="0" w:right="113"/>
              <w:jc w:val="left"/>
              <w:rPr>
                <w:i/>
                <w:sz w:val="16"/>
              </w:rPr>
            </w:pPr>
          </w:p>
        </w:tc>
        <w:tc>
          <w:tcPr>
            <w:tcW w:w="2008" w:type="dxa"/>
            <w:gridSpan w:val="2"/>
            <w:tcBorders>
              <w:top w:val="single" w:sz="4" w:space="0" w:color="auto"/>
              <w:bottom w:val="single" w:sz="4" w:space="0" w:color="auto"/>
              <w:right w:val="single" w:sz="24" w:space="0" w:color="FFFFFF" w:themeColor="background1"/>
            </w:tcBorders>
            <w:shd w:val="clear" w:color="auto" w:fill="auto"/>
            <w:vAlign w:val="bottom"/>
          </w:tcPr>
          <w:p w14:paraId="2DFA52D7" w14:textId="77777777" w:rsidR="00D60CD4" w:rsidRPr="001416DB" w:rsidRDefault="00D60CD4" w:rsidP="001416DB">
            <w:pPr>
              <w:suppressAutoHyphens w:val="0"/>
              <w:spacing w:before="80" w:after="80" w:line="200" w:lineRule="exact"/>
              <w:ind w:left="28"/>
              <w:jc w:val="center"/>
              <w:rPr>
                <w:rFonts w:cs="Times New Roman"/>
                <w:i/>
                <w:sz w:val="16"/>
              </w:rPr>
            </w:pPr>
            <w:r w:rsidRPr="001416DB">
              <w:rPr>
                <w:rFonts w:cs="Times New Roman"/>
                <w:i/>
                <w:sz w:val="16"/>
              </w:rPr>
              <w:t>Преподавательский состав</w:t>
            </w:r>
          </w:p>
        </w:tc>
        <w:tc>
          <w:tcPr>
            <w:tcW w:w="200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7748D1C0" w14:textId="77777777" w:rsidR="00D60CD4" w:rsidRPr="001416DB" w:rsidRDefault="00D60CD4" w:rsidP="001416DB">
            <w:pPr>
              <w:suppressAutoHyphens w:val="0"/>
              <w:spacing w:before="80" w:after="80" w:line="200" w:lineRule="exact"/>
              <w:ind w:left="28"/>
              <w:jc w:val="center"/>
              <w:rPr>
                <w:rFonts w:cs="Times New Roman"/>
                <w:i/>
                <w:sz w:val="16"/>
              </w:rPr>
            </w:pPr>
            <w:r w:rsidRPr="001416DB">
              <w:rPr>
                <w:rFonts w:cs="Times New Roman"/>
                <w:i/>
                <w:sz w:val="16"/>
              </w:rPr>
              <w:t>Другие сотрудники</w:t>
            </w:r>
          </w:p>
        </w:tc>
        <w:tc>
          <w:tcPr>
            <w:tcW w:w="2006" w:type="dxa"/>
            <w:gridSpan w:val="2"/>
            <w:tcBorders>
              <w:top w:val="single" w:sz="4" w:space="0" w:color="auto"/>
              <w:left w:val="single" w:sz="24" w:space="0" w:color="FFFFFF" w:themeColor="background1"/>
              <w:bottom w:val="single" w:sz="4" w:space="0" w:color="auto"/>
            </w:tcBorders>
            <w:shd w:val="clear" w:color="auto" w:fill="auto"/>
            <w:vAlign w:val="bottom"/>
          </w:tcPr>
          <w:p w14:paraId="3FA3B62D" w14:textId="77777777" w:rsidR="00D60CD4" w:rsidRPr="001416DB" w:rsidRDefault="00D60CD4" w:rsidP="001416DB">
            <w:pPr>
              <w:suppressAutoHyphens w:val="0"/>
              <w:spacing w:before="80" w:after="80" w:line="200" w:lineRule="exact"/>
              <w:ind w:left="28"/>
              <w:jc w:val="center"/>
              <w:rPr>
                <w:rFonts w:cs="Times New Roman"/>
                <w:i/>
                <w:sz w:val="16"/>
              </w:rPr>
            </w:pPr>
            <w:r w:rsidRPr="001416DB">
              <w:rPr>
                <w:rFonts w:cs="Times New Roman"/>
                <w:i/>
                <w:sz w:val="16"/>
              </w:rPr>
              <w:t>Всего</w:t>
            </w:r>
          </w:p>
        </w:tc>
      </w:tr>
      <w:tr w:rsidR="00D60CD4" w:rsidRPr="001757C7" w14:paraId="2DDABC81" w14:textId="77777777" w:rsidTr="00D60CD4">
        <w:tc>
          <w:tcPr>
            <w:tcW w:w="1354" w:type="dxa"/>
            <w:tcBorders>
              <w:top w:val="nil"/>
              <w:bottom w:val="single" w:sz="12" w:space="0" w:color="auto"/>
            </w:tcBorders>
            <w:shd w:val="clear" w:color="auto" w:fill="auto"/>
          </w:tcPr>
          <w:p w14:paraId="765FBB7D" w14:textId="77777777" w:rsidR="00D60CD4" w:rsidRPr="001416DB" w:rsidRDefault="00D60CD4" w:rsidP="001416DB">
            <w:pPr>
              <w:suppressAutoHyphens w:val="0"/>
              <w:spacing w:before="80" w:after="80" w:line="200" w:lineRule="exact"/>
              <w:ind w:left="28"/>
              <w:rPr>
                <w:rFonts w:cs="Times New Roman"/>
                <w:i/>
                <w:sz w:val="16"/>
              </w:rPr>
            </w:pPr>
            <w:r w:rsidRPr="001416DB">
              <w:rPr>
                <w:rFonts w:cs="Times New Roman"/>
                <w:i/>
                <w:sz w:val="16"/>
              </w:rPr>
              <w:t>Провинция</w:t>
            </w:r>
          </w:p>
        </w:tc>
        <w:tc>
          <w:tcPr>
            <w:tcW w:w="1005" w:type="dxa"/>
            <w:tcBorders>
              <w:top w:val="single" w:sz="4" w:space="0" w:color="auto"/>
              <w:bottom w:val="single" w:sz="12" w:space="0" w:color="auto"/>
            </w:tcBorders>
            <w:shd w:val="clear" w:color="auto" w:fill="auto"/>
            <w:vAlign w:val="bottom"/>
          </w:tcPr>
          <w:p w14:paraId="51A8A6DE" w14:textId="77777777" w:rsidR="00D60CD4" w:rsidRPr="001416DB" w:rsidRDefault="00D60CD4" w:rsidP="001416DB">
            <w:pPr>
              <w:suppressAutoHyphens w:val="0"/>
              <w:spacing w:before="80" w:after="80" w:line="200" w:lineRule="exact"/>
              <w:ind w:left="28" w:right="35"/>
              <w:jc w:val="right"/>
              <w:rPr>
                <w:rFonts w:cs="Times New Roman"/>
                <w:i/>
                <w:sz w:val="16"/>
              </w:rPr>
            </w:pPr>
            <w:r w:rsidRPr="001416DB">
              <w:rPr>
                <w:rFonts w:cs="Times New Roman"/>
                <w:i/>
                <w:sz w:val="16"/>
              </w:rPr>
              <w:t>М</w:t>
            </w:r>
            <w:r w:rsidR="00C87A17">
              <w:rPr>
                <w:rFonts w:cs="Times New Roman"/>
                <w:i/>
                <w:sz w:val="16"/>
              </w:rPr>
              <w:t xml:space="preserve"> </w:t>
            </w:r>
            <w:r w:rsidR="001416DB">
              <w:rPr>
                <w:rFonts w:cs="Times New Roman"/>
                <w:i/>
                <w:sz w:val="16"/>
              </w:rPr>
              <w:t xml:space="preserve"> </w:t>
            </w:r>
          </w:p>
        </w:tc>
        <w:tc>
          <w:tcPr>
            <w:tcW w:w="1003" w:type="dxa"/>
            <w:tcBorders>
              <w:top w:val="single" w:sz="4" w:space="0" w:color="auto"/>
              <w:bottom w:val="single" w:sz="12" w:space="0" w:color="auto"/>
              <w:right w:val="single" w:sz="24" w:space="0" w:color="FFFFFF" w:themeColor="background1"/>
            </w:tcBorders>
            <w:shd w:val="clear" w:color="auto" w:fill="auto"/>
            <w:vAlign w:val="bottom"/>
          </w:tcPr>
          <w:p w14:paraId="4E16613F" w14:textId="132EBB1F" w:rsidR="00D60CD4" w:rsidRPr="001416DB" w:rsidRDefault="00D60CD4" w:rsidP="00673CD6">
            <w:pPr>
              <w:suppressAutoHyphens w:val="0"/>
              <w:spacing w:before="80" w:after="80" w:line="200" w:lineRule="exact"/>
              <w:ind w:left="28" w:right="25"/>
              <w:jc w:val="right"/>
              <w:rPr>
                <w:rFonts w:cs="Times New Roman"/>
                <w:i/>
                <w:sz w:val="16"/>
              </w:rPr>
            </w:pPr>
            <w:r w:rsidRPr="001416DB">
              <w:rPr>
                <w:rFonts w:cs="Times New Roman"/>
                <w:i/>
                <w:sz w:val="16"/>
              </w:rPr>
              <w:t>Ж</w:t>
            </w:r>
          </w:p>
        </w:tc>
        <w:tc>
          <w:tcPr>
            <w:tcW w:w="999" w:type="dxa"/>
            <w:tcBorders>
              <w:top w:val="single" w:sz="4" w:space="0" w:color="auto"/>
              <w:left w:val="single" w:sz="24" w:space="0" w:color="FFFFFF" w:themeColor="background1"/>
              <w:bottom w:val="single" w:sz="12" w:space="0" w:color="auto"/>
            </w:tcBorders>
            <w:shd w:val="clear" w:color="auto" w:fill="auto"/>
            <w:vAlign w:val="bottom"/>
          </w:tcPr>
          <w:p w14:paraId="4B9D9C7B" w14:textId="77777777" w:rsidR="00D60CD4" w:rsidRPr="001416DB" w:rsidRDefault="00D60CD4" w:rsidP="001416DB">
            <w:pPr>
              <w:suppressAutoHyphens w:val="0"/>
              <w:spacing w:before="80" w:after="80" w:line="200" w:lineRule="exact"/>
              <w:ind w:left="28" w:right="48"/>
              <w:jc w:val="right"/>
              <w:rPr>
                <w:rFonts w:cs="Times New Roman"/>
                <w:i/>
                <w:sz w:val="16"/>
              </w:rPr>
            </w:pPr>
            <w:r w:rsidRPr="001416DB">
              <w:rPr>
                <w:rFonts w:cs="Times New Roman"/>
                <w:i/>
                <w:sz w:val="16"/>
              </w:rPr>
              <w:t>M</w:t>
            </w:r>
          </w:p>
        </w:tc>
        <w:tc>
          <w:tcPr>
            <w:tcW w:w="1003" w:type="dxa"/>
            <w:tcBorders>
              <w:top w:val="single" w:sz="4" w:space="0" w:color="auto"/>
              <w:bottom w:val="single" w:sz="12" w:space="0" w:color="auto"/>
              <w:right w:val="single" w:sz="24" w:space="0" w:color="FFFFFF" w:themeColor="background1"/>
            </w:tcBorders>
            <w:shd w:val="clear" w:color="auto" w:fill="auto"/>
            <w:vAlign w:val="bottom"/>
          </w:tcPr>
          <w:p w14:paraId="7888F86A" w14:textId="77777777" w:rsidR="00D60CD4" w:rsidRPr="001416DB" w:rsidRDefault="00D60CD4" w:rsidP="001416DB">
            <w:pPr>
              <w:suppressAutoHyphens w:val="0"/>
              <w:spacing w:before="80" w:after="80" w:line="200" w:lineRule="exact"/>
              <w:ind w:left="28" w:right="12"/>
              <w:jc w:val="right"/>
              <w:rPr>
                <w:rFonts w:cs="Times New Roman"/>
                <w:i/>
                <w:sz w:val="16"/>
              </w:rPr>
            </w:pPr>
            <w:r w:rsidRPr="001416DB">
              <w:rPr>
                <w:rFonts w:cs="Times New Roman"/>
                <w:i/>
                <w:sz w:val="16"/>
              </w:rPr>
              <w:t>Ж</w:t>
            </w:r>
          </w:p>
        </w:tc>
        <w:tc>
          <w:tcPr>
            <w:tcW w:w="1003" w:type="dxa"/>
            <w:tcBorders>
              <w:top w:val="single" w:sz="4" w:space="0" w:color="auto"/>
              <w:left w:val="single" w:sz="24" w:space="0" w:color="FFFFFF" w:themeColor="background1"/>
              <w:bottom w:val="single" w:sz="12" w:space="0" w:color="auto"/>
            </w:tcBorders>
            <w:shd w:val="clear" w:color="auto" w:fill="auto"/>
            <w:vAlign w:val="bottom"/>
          </w:tcPr>
          <w:p w14:paraId="39AF03A1" w14:textId="77777777" w:rsidR="00D60CD4" w:rsidRPr="001416DB" w:rsidRDefault="00D60CD4" w:rsidP="001416DB">
            <w:pPr>
              <w:suppressAutoHyphens w:val="0"/>
              <w:spacing w:before="80" w:after="80" w:line="200" w:lineRule="exact"/>
              <w:ind w:left="28" w:right="49"/>
              <w:jc w:val="right"/>
              <w:rPr>
                <w:rFonts w:cs="Times New Roman"/>
                <w:i/>
                <w:sz w:val="16"/>
              </w:rPr>
            </w:pPr>
            <w:r w:rsidRPr="001416DB">
              <w:rPr>
                <w:rFonts w:cs="Times New Roman"/>
                <w:i/>
                <w:sz w:val="16"/>
              </w:rPr>
              <w:t>М</w:t>
            </w:r>
          </w:p>
        </w:tc>
        <w:tc>
          <w:tcPr>
            <w:tcW w:w="1003" w:type="dxa"/>
            <w:tcBorders>
              <w:top w:val="single" w:sz="4" w:space="0" w:color="auto"/>
              <w:bottom w:val="single" w:sz="12" w:space="0" w:color="auto"/>
            </w:tcBorders>
            <w:shd w:val="clear" w:color="auto" w:fill="auto"/>
            <w:vAlign w:val="bottom"/>
          </w:tcPr>
          <w:p w14:paraId="0A2AFA8D" w14:textId="77777777" w:rsidR="00D60CD4" w:rsidRPr="001416DB" w:rsidRDefault="00D60CD4" w:rsidP="001416DB">
            <w:pPr>
              <w:suppressAutoHyphens w:val="0"/>
              <w:spacing w:before="80" w:after="80" w:line="200" w:lineRule="exact"/>
              <w:ind w:left="28" w:right="38"/>
              <w:jc w:val="right"/>
              <w:rPr>
                <w:rFonts w:cs="Times New Roman"/>
                <w:i/>
                <w:sz w:val="16"/>
              </w:rPr>
            </w:pPr>
            <w:r w:rsidRPr="001416DB">
              <w:rPr>
                <w:rFonts w:cs="Times New Roman"/>
                <w:i/>
                <w:sz w:val="16"/>
              </w:rPr>
              <w:t>Ж</w:t>
            </w:r>
          </w:p>
        </w:tc>
      </w:tr>
      <w:tr w:rsidR="00D60CD4" w:rsidRPr="001757C7" w14:paraId="1AAC9169" w14:textId="77777777" w:rsidTr="00D60CD4">
        <w:tc>
          <w:tcPr>
            <w:tcW w:w="1354" w:type="dxa"/>
            <w:tcBorders>
              <w:top w:val="single" w:sz="12" w:space="0" w:color="auto"/>
            </w:tcBorders>
            <w:shd w:val="clear" w:color="auto" w:fill="auto"/>
          </w:tcPr>
          <w:p w14:paraId="3B7E6D11" w14:textId="77777777" w:rsidR="00D60CD4" w:rsidRPr="001416DB" w:rsidRDefault="00D60CD4" w:rsidP="001416DB">
            <w:pPr>
              <w:suppressAutoHyphens w:val="0"/>
              <w:spacing w:before="40" w:after="40" w:line="220" w:lineRule="exact"/>
              <w:rPr>
                <w:rFonts w:cs="Times New Roman"/>
                <w:sz w:val="18"/>
              </w:rPr>
            </w:pPr>
            <w:r w:rsidRPr="001416DB">
              <w:rPr>
                <w:rFonts w:cs="Times New Roman"/>
                <w:sz w:val="18"/>
              </w:rPr>
              <w:t>Северная</w:t>
            </w:r>
          </w:p>
        </w:tc>
        <w:tc>
          <w:tcPr>
            <w:tcW w:w="1005" w:type="dxa"/>
            <w:tcBorders>
              <w:top w:val="single" w:sz="12" w:space="0" w:color="auto"/>
            </w:tcBorders>
            <w:shd w:val="clear" w:color="auto" w:fill="auto"/>
            <w:vAlign w:val="bottom"/>
          </w:tcPr>
          <w:p w14:paraId="7C2AF499"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44</w:t>
            </w:r>
          </w:p>
        </w:tc>
        <w:tc>
          <w:tcPr>
            <w:tcW w:w="1003" w:type="dxa"/>
            <w:tcBorders>
              <w:top w:val="single" w:sz="12" w:space="0" w:color="auto"/>
            </w:tcBorders>
            <w:shd w:val="clear" w:color="auto" w:fill="auto"/>
            <w:vAlign w:val="bottom"/>
          </w:tcPr>
          <w:p w14:paraId="16F6801B"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24</w:t>
            </w:r>
          </w:p>
        </w:tc>
        <w:tc>
          <w:tcPr>
            <w:tcW w:w="999" w:type="dxa"/>
            <w:tcBorders>
              <w:top w:val="single" w:sz="12" w:space="0" w:color="auto"/>
            </w:tcBorders>
            <w:shd w:val="clear" w:color="auto" w:fill="auto"/>
            <w:vAlign w:val="bottom"/>
          </w:tcPr>
          <w:p w14:paraId="099D3C4A"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0</w:t>
            </w:r>
          </w:p>
        </w:tc>
        <w:tc>
          <w:tcPr>
            <w:tcW w:w="1003" w:type="dxa"/>
            <w:tcBorders>
              <w:top w:val="single" w:sz="12" w:space="0" w:color="auto"/>
            </w:tcBorders>
            <w:shd w:val="clear" w:color="auto" w:fill="auto"/>
            <w:vAlign w:val="bottom"/>
          </w:tcPr>
          <w:p w14:paraId="701EAA5D"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0</w:t>
            </w:r>
          </w:p>
        </w:tc>
        <w:tc>
          <w:tcPr>
            <w:tcW w:w="1003" w:type="dxa"/>
            <w:tcBorders>
              <w:top w:val="single" w:sz="12" w:space="0" w:color="auto"/>
            </w:tcBorders>
            <w:shd w:val="clear" w:color="auto" w:fill="auto"/>
            <w:vAlign w:val="bottom"/>
          </w:tcPr>
          <w:p w14:paraId="637A9690"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44</w:t>
            </w:r>
          </w:p>
        </w:tc>
        <w:tc>
          <w:tcPr>
            <w:tcW w:w="1003" w:type="dxa"/>
            <w:tcBorders>
              <w:top w:val="single" w:sz="12" w:space="0" w:color="auto"/>
            </w:tcBorders>
            <w:shd w:val="clear" w:color="auto" w:fill="auto"/>
            <w:vAlign w:val="bottom"/>
          </w:tcPr>
          <w:p w14:paraId="70EEF7FD"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24</w:t>
            </w:r>
          </w:p>
        </w:tc>
      </w:tr>
      <w:tr w:rsidR="00D60CD4" w:rsidRPr="001757C7" w14:paraId="30DA68E0" w14:textId="77777777" w:rsidTr="00D60CD4">
        <w:tc>
          <w:tcPr>
            <w:tcW w:w="1354" w:type="dxa"/>
            <w:shd w:val="clear" w:color="auto" w:fill="auto"/>
          </w:tcPr>
          <w:p w14:paraId="69531D38" w14:textId="77777777" w:rsidR="00D60CD4" w:rsidRPr="001416DB" w:rsidRDefault="00D60CD4" w:rsidP="001416DB">
            <w:pPr>
              <w:suppressAutoHyphens w:val="0"/>
              <w:spacing w:before="40" w:after="40" w:line="220" w:lineRule="exact"/>
              <w:rPr>
                <w:rFonts w:cs="Times New Roman"/>
                <w:sz w:val="18"/>
              </w:rPr>
            </w:pPr>
            <w:r w:rsidRPr="001416DB">
              <w:rPr>
                <w:rFonts w:cs="Times New Roman"/>
                <w:sz w:val="18"/>
              </w:rPr>
              <w:t>Мучинга</w:t>
            </w:r>
          </w:p>
        </w:tc>
        <w:tc>
          <w:tcPr>
            <w:tcW w:w="1005" w:type="dxa"/>
            <w:shd w:val="clear" w:color="auto" w:fill="auto"/>
            <w:vAlign w:val="bottom"/>
          </w:tcPr>
          <w:p w14:paraId="3494D066"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15</w:t>
            </w:r>
          </w:p>
        </w:tc>
        <w:tc>
          <w:tcPr>
            <w:tcW w:w="1003" w:type="dxa"/>
            <w:shd w:val="clear" w:color="auto" w:fill="auto"/>
            <w:vAlign w:val="bottom"/>
          </w:tcPr>
          <w:p w14:paraId="4C0BB7D7"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7</w:t>
            </w:r>
          </w:p>
        </w:tc>
        <w:tc>
          <w:tcPr>
            <w:tcW w:w="999" w:type="dxa"/>
            <w:shd w:val="clear" w:color="auto" w:fill="auto"/>
            <w:vAlign w:val="bottom"/>
          </w:tcPr>
          <w:p w14:paraId="78988453"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0</w:t>
            </w:r>
          </w:p>
        </w:tc>
        <w:tc>
          <w:tcPr>
            <w:tcW w:w="1003" w:type="dxa"/>
            <w:shd w:val="clear" w:color="auto" w:fill="auto"/>
            <w:vAlign w:val="bottom"/>
          </w:tcPr>
          <w:p w14:paraId="0E196076"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0</w:t>
            </w:r>
          </w:p>
        </w:tc>
        <w:tc>
          <w:tcPr>
            <w:tcW w:w="1003" w:type="dxa"/>
            <w:shd w:val="clear" w:color="auto" w:fill="auto"/>
            <w:vAlign w:val="bottom"/>
          </w:tcPr>
          <w:p w14:paraId="7E964F87"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15</w:t>
            </w:r>
          </w:p>
        </w:tc>
        <w:tc>
          <w:tcPr>
            <w:tcW w:w="1003" w:type="dxa"/>
            <w:shd w:val="clear" w:color="auto" w:fill="auto"/>
            <w:vAlign w:val="bottom"/>
          </w:tcPr>
          <w:p w14:paraId="6775E4E1"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7</w:t>
            </w:r>
          </w:p>
        </w:tc>
      </w:tr>
      <w:tr w:rsidR="00D60CD4" w:rsidRPr="001757C7" w14:paraId="5985059B" w14:textId="77777777" w:rsidTr="00D60CD4">
        <w:tc>
          <w:tcPr>
            <w:tcW w:w="1354" w:type="dxa"/>
            <w:shd w:val="clear" w:color="auto" w:fill="auto"/>
          </w:tcPr>
          <w:p w14:paraId="45F62ABF" w14:textId="77777777" w:rsidR="00D60CD4" w:rsidRPr="001416DB" w:rsidRDefault="00D60CD4" w:rsidP="001416DB">
            <w:pPr>
              <w:suppressAutoHyphens w:val="0"/>
              <w:spacing w:before="40" w:after="40" w:line="220" w:lineRule="exact"/>
              <w:rPr>
                <w:rFonts w:cs="Times New Roman"/>
                <w:sz w:val="18"/>
              </w:rPr>
            </w:pPr>
            <w:r w:rsidRPr="001416DB">
              <w:rPr>
                <w:rFonts w:cs="Times New Roman"/>
                <w:sz w:val="18"/>
              </w:rPr>
              <w:t>Западная</w:t>
            </w:r>
          </w:p>
        </w:tc>
        <w:tc>
          <w:tcPr>
            <w:tcW w:w="1005" w:type="dxa"/>
            <w:shd w:val="clear" w:color="auto" w:fill="auto"/>
            <w:vAlign w:val="bottom"/>
          </w:tcPr>
          <w:p w14:paraId="0FD2C545"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56</w:t>
            </w:r>
          </w:p>
        </w:tc>
        <w:tc>
          <w:tcPr>
            <w:tcW w:w="1003" w:type="dxa"/>
            <w:shd w:val="clear" w:color="auto" w:fill="auto"/>
            <w:vAlign w:val="bottom"/>
          </w:tcPr>
          <w:p w14:paraId="23E6A06A"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29</w:t>
            </w:r>
          </w:p>
        </w:tc>
        <w:tc>
          <w:tcPr>
            <w:tcW w:w="999" w:type="dxa"/>
            <w:shd w:val="clear" w:color="auto" w:fill="auto"/>
            <w:vAlign w:val="bottom"/>
          </w:tcPr>
          <w:p w14:paraId="61A4CCC3"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1</w:t>
            </w:r>
          </w:p>
        </w:tc>
        <w:tc>
          <w:tcPr>
            <w:tcW w:w="1003" w:type="dxa"/>
            <w:shd w:val="clear" w:color="auto" w:fill="auto"/>
            <w:vAlign w:val="bottom"/>
          </w:tcPr>
          <w:p w14:paraId="0A502EE8"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1</w:t>
            </w:r>
          </w:p>
        </w:tc>
        <w:tc>
          <w:tcPr>
            <w:tcW w:w="1003" w:type="dxa"/>
            <w:shd w:val="clear" w:color="auto" w:fill="auto"/>
            <w:vAlign w:val="bottom"/>
          </w:tcPr>
          <w:p w14:paraId="41243A7F"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57</w:t>
            </w:r>
          </w:p>
        </w:tc>
        <w:tc>
          <w:tcPr>
            <w:tcW w:w="1003" w:type="dxa"/>
            <w:shd w:val="clear" w:color="auto" w:fill="auto"/>
            <w:vAlign w:val="bottom"/>
          </w:tcPr>
          <w:p w14:paraId="25E4E72A"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30</w:t>
            </w:r>
          </w:p>
        </w:tc>
      </w:tr>
      <w:tr w:rsidR="00D60CD4" w:rsidRPr="001757C7" w14:paraId="4D325074" w14:textId="77777777" w:rsidTr="00D60CD4">
        <w:tc>
          <w:tcPr>
            <w:tcW w:w="1354" w:type="dxa"/>
            <w:shd w:val="clear" w:color="auto" w:fill="auto"/>
          </w:tcPr>
          <w:p w14:paraId="5F34F2DC" w14:textId="77777777" w:rsidR="00D60CD4" w:rsidRPr="001416DB" w:rsidRDefault="00D60CD4" w:rsidP="001416DB">
            <w:pPr>
              <w:suppressAutoHyphens w:val="0"/>
              <w:spacing w:before="40" w:after="40" w:line="220" w:lineRule="exact"/>
              <w:rPr>
                <w:rFonts w:cs="Times New Roman"/>
                <w:sz w:val="18"/>
              </w:rPr>
            </w:pPr>
            <w:r w:rsidRPr="001416DB">
              <w:rPr>
                <w:rFonts w:cs="Times New Roman"/>
                <w:sz w:val="18"/>
              </w:rPr>
              <w:t>Луапула</w:t>
            </w:r>
          </w:p>
        </w:tc>
        <w:tc>
          <w:tcPr>
            <w:tcW w:w="1005" w:type="dxa"/>
            <w:shd w:val="clear" w:color="auto" w:fill="auto"/>
            <w:vAlign w:val="bottom"/>
          </w:tcPr>
          <w:p w14:paraId="0D55BCD0"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53</w:t>
            </w:r>
          </w:p>
        </w:tc>
        <w:tc>
          <w:tcPr>
            <w:tcW w:w="1003" w:type="dxa"/>
            <w:shd w:val="clear" w:color="auto" w:fill="auto"/>
            <w:vAlign w:val="bottom"/>
          </w:tcPr>
          <w:p w14:paraId="2D3937B4"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15</w:t>
            </w:r>
          </w:p>
        </w:tc>
        <w:tc>
          <w:tcPr>
            <w:tcW w:w="999" w:type="dxa"/>
            <w:shd w:val="clear" w:color="auto" w:fill="auto"/>
            <w:vAlign w:val="bottom"/>
          </w:tcPr>
          <w:p w14:paraId="071ABA74"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0</w:t>
            </w:r>
          </w:p>
        </w:tc>
        <w:tc>
          <w:tcPr>
            <w:tcW w:w="1003" w:type="dxa"/>
            <w:shd w:val="clear" w:color="auto" w:fill="auto"/>
            <w:vAlign w:val="bottom"/>
          </w:tcPr>
          <w:p w14:paraId="276FA140"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0</w:t>
            </w:r>
          </w:p>
        </w:tc>
        <w:tc>
          <w:tcPr>
            <w:tcW w:w="1003" w:type="dxa"/>
            <w:shd w:val="clear" w:color="auto" w:fill="auto"/>
            <w:vAlign w:val="bottom"/>
          </w:tcPr>
          <w:p w14:paraId="0089D511"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53</w:t>
            </w:r>
          </w:p>
        </w:tc>
        <w:tc>
          <w:tcPr>
            <w:tcW w:w="1003" w:type="dxa"/>
            <w:shd w:val="clear" w:color="auto" w:fill="auto"/>
            <w:vAlign w:val="bottom"/>
          </w:tcPr>
          <w:p w14:paraId="42BFA539"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15</w:t>
            </w:r>
          </w:p>
        </w:tc>
      </w:tr>
      <w:tr w:rsidR="00D60CD4" w:rsidRPr="001757C7" w14:paraId="083E0075" w14:textId="77777777" w:rsidTr="00D60CD4">
        <w:tc>
          <w:tcPr>
            <w:tcW w:w="1354" w:type="dxa"/>
            <w:shd w:val="clear" w:color="auto" w:fill="auto"/>
          </w:tcPr>
          <w:p w14:paraId="1E4541CB" w14:textId="77777777" w:rsidR="00D60CD4" w:rsidRPr="001416DB" w:rsidRDefault="00D60CD4" w:rsidP="001416DB">
            <w:pPr>
              <w:suppressAutoHyphens w:val="0"/>
              <w:spacing w:before="40" w:after="40" w:line="220" w:lineRule="exact"/>
              <w:rPr>
                <w:rFonts w:cs="Times New Roman"/>
                <w:sz w:val="18"/>
              </w:rPr>
            </w:pPr>
            <w:r w:rsidRPr="001416DB">
              <w:rPr>
                <w:rFonts w:cs="Times New Roman"/>
                <w:sz w:val="18"/>
              </w:rPr>
              <w:t>Восточная</w:t>
            </w:r>
          </w:p>
        </w:tc>
        <w:tc>
          <w:tcPr>
            <w:tcW w:w="1005" w:type="dxa"/>
            <w:shd w:val="clear" w:color="auto" w:fill="auto"/>
            <w:vAlign w:val="bottom"/>
          </w:tcPr>
          <w:p w14:paraId="61F9BF71"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38</w:t>
            </w:r>
          </w:p>
        </w:tc>
        <w:tc>
          <w:tcPr>
            <w:tcW w:w="1003" w:type="dxa"/>
            <w:shd w:val="clear" w:color="auto" w:fill="auto"/>
            <w:vAlign w:val="bottom"/>
          </w:tcPr>
          <w:p w14:paraId="453242D1"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11</w:t>
            </w:r>
          </w:p>
        </w:tc>
        <w:tc>
          <w:tcPr>
            <w:tcW w:w="999" w:type="dxa"/>
            <w:shd w:val="clear" w:color="auto" w:fill="auto"/>
            <w:vAlign w:val="bottom"/>
          </w:tcPr>
          <w:p w14:paraId="343A33ED"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1</w:t>
            </w:r>
          </w:p>
        </w:tc>
        <w:tc>
          <w:tcPr>
            <w:tcW w:w="1003" w:type="dxa"/>
            <w:shd w:val="clear" w:color="auto" w:fill="auto"/>
            <w:vAlign w:val="bottom"/>
          </w:tcPr>
          <w:p w14:paraId="37E6E96F"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1</w:t>
            </w:r>
          </w:p>
        </w:tc>
        <w:tc>
          <w:tcPr>
            <w:tcW w:w="1003" w:type="dxa"/>
            <w:shd w:val="clear" w:color="auto" w:fill="auto"/>
            <w:vAlign w:val="bottom"/>
          </w:tcPr>
          <w:p w14:paraId="3096151A"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39</w:t>
            </w:r>
          </w:p>
        </w:tc>
        <w:tc>
          <w:tcPr>
            <w:tcW w:w="1003" w:type="dxa"/>
            <w:shd w:val="clear" w:color="auto" w:fill="auto"/>
            <w:vAlign w:val="bottom"/>
          </w:tcPr>
          <w:p w14:paraId="08B44EC1"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12</w:t>
            </w:r>
          </w:p>
        </w:tc>
      </w:tr>
      <w:tr w:rsidR="00D60CD4" w:rsidRPr="001757C7" w14:paraId="5B56C926" w14:textId="77777777" w:rsidTr="00D60CD4">
        <w:tc>
          <w:tcPr>
            <w:tcW w:w="1354" w:type="dxa"/>
            <w:shd w:val="clear" w:color="auto" w:fill="auto"/>
          </w:tcPr>
          <w:p w14:paraId="4DA440C6" w14:textId="77777777" w:rsidR="00D60CD4" w:rsidRPr="001416DB" w:rsidRDefault="00D60CD4" w:rsidP="001416DB">
            <w:pPr>
              <w:suppressAutoHyphens w:val="0"/>
              <w:spacing w:before="40" w:after="40" w:line="220" w:lineRule="exact"/>
              <w:rPr>
                <w:rFonts w:cs="Times New Roman"/>
                <w:sz w:val="18"/>
              </w:rPr>
            </w:pPr>
            <w:r w:rsidRPr="001416DB">
              <w:rPr>
                <w:rFonts w:cs="Times New Roman"/>
                <w:sz w:val="18"/>
              </w:rPr>
              <w:t>Северо-Западная</w:t>
            </w:r>
          </w:p>
        </w:tc>
        <w:tc>
          <w:tcPr>
            <w:tcW w:w="1005" w:type="dxa"/>
            <w:shd w:val="clear" w:color="auto" w:fill="auto"/>
            <w:vAlign w:val="bottom"/>
          </w:tcPr>
          <w:p w14:paraId="3155D594"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54</w:t>
            </w:r>
          </w:p>
        </w:tc>
        <w:tc>
          <w:tcPr>
            <w:tcW w:w="1003" w:type="dxa"/>
            <w:shd w:val="clear" w:color="auto" w:fill="auto"/>
            <w:vAlign w:val="bottom"/>
          </w:tcPr>
          <w:p w14:paraId="44EF6CF3"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22</w:t>
            </w:r>
          </w:p>
        </w:tc>
        <w:tc>
          <w:tcPr>
            <w:tcW w:w="999" w:type="dxa"/>
            <w:shd w:val="clear" w:color="auto" w:fill="auto"/>
            <w:vAlign w:val="bottom"/>
          </w:tcPr>
          <w:p w14:paraId="30338C7B"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2</w:t>
            </w:r>
          </w:p>
        </w:tc>
        <w:tc>
          <w:tcPr>
            <w:tcW w:w="1003" w:type="dxa"/>
            <w:shd w:val="clear" w:color="auto" w:fill="auto"/>
            <w:vAlign w:val="bottom"/>
          </w:tcPr>
          <w:p w14:paraId="44A11B3B"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0</w:t>
            </w:r>
          </w:p>
        </w:tc>
        <w:tc>
          <w:tcPr>
            <w:tcW w:w="1003" w:type="dxa"/>
            <w:shd w:val="clear" w:color="auto" w:fill="auto"/>
            <w:vAlign w:val="bottom"/>
          </w:tcPr>
          <w:p w14:paraId="739E8A63"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56</w:t>
            </w:r>
          </w:p>
        </w:tc>
        <w:tc>
          <w:tcPr>
            <w:tcW w:w="1003" w:type="dxa"/>
            <w:shd w:val="clear" w:color="auto" w:fill="auto"/>
            <w:vAlign w:val="bottom"/>
          </w:tcPr>
          <w:p w14:paraId="242FDDA5"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22</w:t>
            </w:r>
          </w:p>
        </w:tc>
      </w:tr>
      <w:tr w:rsidR="00D60CD4" w:rsidRPr="001757C7" w14:paraId="44FCEDDB" w14:textId="77777777" w:rsidTr="00D60CD4">
        <w:tc>
          <w:tcPr>
            <w:tcW w:w="1354" w:type="dxa"/>
            <w:shd w:val="clear" w:color="auto" w:fill="auto"/>
          </w:tcPr>
          <w:p w14:paraId="2B6F9837" w14:textId="77777777" w:rsidR="00D60CD4" w:rsidRPr="001416DB" w:rsidRDefault="00D60CD4" w:rsidP="001416DB">
            <w:pPr>
              <w:suppressAutoHyphens w:val="0"/>
              <w:spacing w:before="40" w:after="40" w:line="220" w:lineRule="exact"/>
              <w:rPr>
                <w:rFonts w:cs="Times New Roman"/>
                <w:sz w:val="18"/>
              </w:rPr>
            </w:pPr>
            <w:r w:rsidRPr="001416DB">
              <w:rPr>
                <w:rFonts w:cs="Times New Roman"/>
                <w:sz w:val="18"/>
              </w:rPr>
              <w:t>Коппербелт</w:t>
            </w:r>
          </w:p>
        </w:tc>
        <w:tc>
          <w:tcPr>
            <w:tcW w:w="1005" w:type="dxa"/>
            <w:shd w:val="clear" w:color="auto" w:fill="auto"/>
            <w:vAlign w:val="bottom"/>
          </w:tcPr>
          <w:p w14:paraId="732F2E8C"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51</w:t>
            </w:r>
          </w:p>
        </w:tc>
        <w:tc>
          <w:tcPr>
            <w:tcW w:w="1003" w:type="dxa"/>
            <w:shd w:val="clear" w:color="auto" w:fill="auto"/>
            <w:vAlign w:val="bottom"/>
          </w:tcPr>
          <w:p w14:paraId="7419B661"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38</w:t>
            </w:r>
          </w:p>
        </w:tc>
        <w:tc>
          <w:tcPr>
            <w:tcW w:w="999" w:type="dxa"/>
            <w:shd w:val="clear" w:color="auto" w:fill="auto"/>
            <w:vAlign w:val="bottom"/>
          </w:tcPr>
          <w:p w14:paraId="19769B74"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1</w:t>
            </w:r>
          </w:p>
        </w:tc>
        <w:tc>
          <w:tcPr>
            <w:tcW w:w="1003" w:type="dxa"/>
            <w:shd w:val="clear" w:color="auto" w:fill="auto"/>
            <w:vAlign w:val="bottom"/>
          </w:tcPr>
          <w:p w14:paraId="7636807D"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1</w:t>
            </w:r>
          </w:p>
        </w:tc>
        <w:tc>
          <w:tcPr>
            <w:tcW w:w="1003" w:type="dxa"/>
            <w:shd w:val="clear" w:color="auto" w:fill="auto"/>
            <w:vAlign w:val="bottom"/>
          </w:tcPr>
          <w:p w14:paraId="23EC22F7"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52</w:t>
            </w:r>
          </w:p>
        </w:tc>
        <w:tc>
          <w:tcPr>
            <w:tcW w:w="1003" w:type="dxa"/>
            <w:shd w:val="clear" w:color="auto" w:fill="auto"/>
            <w:vAlign w:val="bottom"/>
          </w:tcPr>
          <w:p w14:paraId="35061268"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43</w:t>
            </w:r>
          </w:p>
        </w:tc>
      </w:tr>
      <w:tr w:rsidR="00D60CD4" w:rsidRPr="001757C7" w14:paraId="65FD22BB" w14:textId="77777777" w:rsidTr="00D60CD4">
        <w:tc>
          <w:tcPr>
            <w:tcW w:w="1354" w:type="dxa"/>
            <w:shd w:val="clear" w:color="auto" w:fill="auto"/>
          </w:tcPr>
          <w:p w14:paraId="363DCEBD" w14:textId="77777777" w:rsidR="00D60CD4" w:rsidRPr="001416DB" w:rsidRDefault="00D60CD4" w:rsidP="001416DB">
            <w:pPr>
              <w:suppressAutoHyphens w:val="0"/>
              <w:spacing w:before="40" w:after="40" w:line="220" w:lineRule="exact"/>
              <w:rPr>
                <w:rFonts w:cs="Times New Roman"/>
                <w:sz w:val="18"/>
              </w:rPr>
            </w:pPr>
            <w:r w:rsidRPr="001416DB">
              <w:rPr>
                <w:rFonts w:cs="Times New Roman"/>
                <w:sz w:val="18"/>
              </w:rPr>
              <w:t>Южная</w:t>
            </w:r>
          </w:p>
        </w:tc>
        <w:tc>
          <w:tcPr>
            <w:tcW w:w="1005" w:type="dxa"/>
            <w:shd w:val="clear" w:color="auto" w:fill="auto"/>
            <w:vAlign w:val="bottom"/>
          </w:tcPr>
          <w:p w14:paraId="7C30FCE0"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54</w:t>
            </w:r>
          </w:p>
        </w:tc>
        <w:tc>
          <w:tcPr>
            <w:tcW w:w="1003" w:type="dxa"/>
            <w:shd w:val="clear" w:color="auto" w:fill="auto"/>
            <w:vAlign w:val="bottom"/>
          </w:tcPr>
          <w:p w14:paraId="7E6223DE"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19</w:t>
            </w:r>
          </w:p>
        </w:tc>
        <w:tc>
          <w:tcPr>
            <w:tcW w:w="999" w:type="dxa"/>
            <w:shd w:val="clear" w:color="auto" w:fill="auto"/>
            <w:vAlign w:val="bottom"/>
          </w:tcPr>
          <w:p w14:paraId="1606FDA7"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1</w:t>
            </w:r>
          </w:p>
        </w:tc>
        <w:tc>
          <w:tcPr>
            <w:tcW w:w="1003" w:type="dxa"/>
            <w:shd w:val="clear" w:color="auto" w:fill="auto"/>
            <w:vAlign w:val="bottom"/>
          </w:tcPr>
          <w:p w14:paraId="253DA8D7"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3</w:t>
            </w:r>
          </w:p>
        </w:tc>
        <w:tc>
          <w:tcPr>
            <w:tcW w:w="1003" w:type="dxa"/>
            <w:shd w:val="clear" w:color="auto" w:fill="auto"/>
            <w:vAlign w:val="bottom"/>
          </w:tcPr>
          <w:p w14:paraId="49830A49"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6</w:t>
            </w:r>
          </w:p>
        </w:tc>
        <w:tc>
          <w:tcPr>
            <w:tcW w:w="1003" w:type="dxa"/>
            <w:shd w:val="clear" w:color="auto" w:fill="auto"/>
            <w:vAlign w:val="bottom"/>
          </w:tcPr>
          <w:p w14:paraId="432E659D"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22</w:t>
            </w:r>
          </w:p>
        </w:tc>
      </w:tr>
      <w:tr w:rsidR="00D60CD4" w:rsidRPr="001757C7" w14:paraId="59CDFACF" w14:textId="77777777" w:rsidTr="00D60CD4">
        <w:tc>
          <w:tcPr>
            <w:tcW w:w="1354" w:type="dxa"/>
            <w:shd w:val="clear" w:color="auto" w:fill="auto"/>
          </w:tcPr>
          <w:p w14:paraId="3B2A52F3" w14:textId="77777777" w:rsidR="00D60CD4" w:rsidRPr="001416DB" w:rsidRDefault="00D60CD4" w:rsidP="001416DB">
            <w:pPr>
              <w:suppressAutoHyphens w:val="0"/>
              <w:spacing w:before="40" w:after="40" w:line="220" w:lineRule="exact"/>
              <w:rPr>
                <w:rFonts w:cs="Times New Roman"/>
                <w:sz w:val="18"/>
              </w:rPr>
            </w:pPr>
            <w:r w:rsidRPr="001416DB">
              <w:rPr>
                <w:rFonts w:cs="Times New Roman"/>
                <w:sz w:val="18"/>
              </w:rPr>
              <w:t>Лусака</w:t>
            </w:r>
          </w:p>
        </w:tc>
        <w:tc>
          <w:tcPr>
            <w:tcW w:w="1005" w:type="dxa"/>
            <w:shd w:val="clear" w:color="auto" w:fill="auto"/>
            <w:vAlign w:val="bottom"/>
          </w:tcPr>
          <w:p w14:paraId="61BD0725"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53</w:t>
            </w:r>
          </w:p>
        </w:tc>
        <w:tc>
          <w:tcPr>
            <w:tcW w:w="1003" w:type="dxa"/>
            <w:shd w:val="clear" w:color="auto" w:fill="auto"/>
            <w:vAlign w:val="bottom"/>
          </w:tcPr>
          <w:p w14:paraId="2BC81299"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30</w:t>
            </w:r>
          </w:p>
        </w:tc>
        <w:tc>
          <w:tcPr>
            <w:tcW w:w="999" w:type="dxa"/>
            <w:shd w:val="clear" w:color="auto" w:fill="auto"/>
            <w:vAlign w:val="bottom"/>
          </w:tcPr>
          <w:p w14:paraId="357E5099"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3</w:t>
            </w:r>
          </w:p>
        </w:tc>
        <w:tc>
          <w:tcPr>
            <w:tcW w:w="1003" w:type="dxa"/>
            <w:shd w:val="clear" w:color="auto" w:fill="auto"/>
            <w:vAlign w:val="bottom"/>
          </w:tcPr>
          <w:p w14:paraId="49E6CF54"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2</w:t>
            </w:r>
          </w:p>
        </w:tc>
        <w:tc>
          <w:tcPr>
            <w:tcW w:w="1003" w:type="dxa"/>
            <w:shd w:val="clear" w:color="auto" w:fill="auto"/>
            <w:vAlign w:val="bottom"/>
          </w:tcPr>
          <w:p w14:paraId="36ACA9E0"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56</w:t>
            </w:r>
          </w:p>
        </w:tc>
        <w:tc>
          <w:tcPr>
            <w:tcW w:w="1003" w:type="dxa"/>
            <w:shd w:val="clear" w:color="auto" w:fill="auto"/>
            <w:vAlign w:val="bottom"/>
          </w:tcPr>
          <w:p w14:paraId="18FDC07B"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32</w:t>
            </w:r>
          </w:p>
        </w:tc>
      </w:tr>
      <w:tr w:rsidR="00D60CD4" w:rsidRPr="001757C7" w14:paraId="4A9F08BF" w14:textId="77777777" w:rsidTr="00D60CD4">
        <w:tc>
          <w:tcPr>
            <w:tcW w:w="1354" w:type="dxa"/>
            <w:shd w:val="clear" w:color="auto" w:fill="auto"/>
          </w:tcPr>
          <w:p w14:paraId="4E1BC605" w14:textId="77777777" w:rsidR="00D60CD4" w:rsidRPr="001416DB" w:rsidRDefault="00D60CD4" w:rsidP="001416DB">
            <w:pPr>
              <w:suppressAutoHyphens w:val="0"/>
              <w:spacing w:before="40" w:after="40" w:line="220" w:lineRule="exact"/>
              <w:rPr>
                <w:rFonts w:cs="Times New Roman"/>
                <w:sz w:val="18"/>
              </w:rPr>
            </w:pPr>
            <w:r w:rsidRPr="001416DB">
              <w:rPr>
                <w:rFonts w:cs="Times New Roman"/>
                <w:sz w:val="18"/>
              </w:rPr>
              <w:t>Центральная</w:t>
            </w:r>
          </w:p>
        </w:tc>
        <w:tc>
          <w:tcPr>
            <w:tcW w:w="1005" w:type="dxa"/>
            <w:shd w:val="clear" w:color="auto" w:fill="auto"/>
            <w:vAlign w:val="bottom"/>
          </w:tcPr>
          <w:p w14:paraId="1A887A19"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33</w:t>
            </w:r>
          </w:p>
        </w:tc>
        <w:tc>
          <w:tcPr>
            <w:tcW w:w="1003" w:type="dxa"/>
            <w:shd w:val="clear" w:color="auto" w:fill="auto"/>
            <w:vAlign w:val="bottom"/>
          </w:tcPr>
          <w:p w14:paraId="00C0C11E"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14</w:t>
            </w:r>
          </w:p>
        </w:tc>
        <w:tc>
          <w:tcPr>
            <w:tcW w:w="999" w:type="dxa"/>
            <w:shd w:val="clear" w:color="auto" w:fill="auto"/>
            <w:vAlign w:val="bottom"/>
          </w:tcPr>
          <w:p w14:paraId="7DBD3991"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4</w:t>
            </w:r>
          </w:p>
        </w:tc>
        <w:tc>
          <w:tcPr>
            <w:tcW w:w="1003" w:type="dxa"/>
            <w:shd w:val="clear" w:color="auto" w:fill="auto"/>
            <w:vAlign w:val="bottom"/>
          </w:tcPr>
          <w:p w14:paraId="5F566D2E"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0</w:t>
            </w:r>
          </w:p>
        </w:tc>
        <w:tc>
          <w:tcPr>
            <w:tcW w:w="1003" w:type="dxa"/>
            <w:shd w:val="clear" w:color="auto" w:fill="auto"/>
            <w:vAlign w:val="bottom"/>
          </w:tcPr>
          <w:p w14:paraId="11A76CAF"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37</w:t>
            </w:r>
          </w:p>
        </w:tc>
        <w:tc>
          <w:tcPr>
            <w:tcW w:w="1003" w:type="dxa"/>
            <w:shd w:val="clear" w:color="auto" w:fill="auto"/>
            <w:vAlign w:val="bottom"/>
          </w:tcPr>
          <w:p w14:paraId="5F01296C"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14</w:t>
            </w:r>
          </w:p>
        </w:tc>
      </w:tr>
    </w:tbl>
    <w:p w14:paraId="521F7289" w14:textId="77777777" w:rsidR="00D60CD4" w:rsidRPr="00FA6F7B" w:rsidRDefault="00D60CD4" w:rsidP="00D60CD4">
      <w:pPr>
        <w:pStyle w:val="SingleTxtG"/>
        <w:spacing w:before="240"/>
      </w:pPr>
      <w:r>
        <w:t>225.</w:t>
      </w:r>
      <w:r>
        <w:tab/>
        <w:t>В системе ТОПОП существует политика в области обучения, направленная на расширение возможностей для прохождения учащимися, включая учащихся-инвалидов, производственной практики в учреждениях в рамках их подготовки.</w:t>
      </w:r>
    </w:p>
    <w:p w14:paraId="1B79C1DF" w14:textId="77777777" w:rsidR="00D60CD4" w:rsidRPr="00FA6F7B" w:rsidRDefault="00D60CD4" w:rsidP="00D60CD4">
      <w:pPr>
        <w:pStyle w:val="SingleTxtG"/>
      </w:pPr>
      <w:r>
        <w:t>226.</w:t>
      </w:r>
      <w:r>
        <w:tab/>
        <w:t xml:space="preserve">Государство-участник установило партнерские отношения с Международной организацией труда (МОТ) и Федерацией работодателей Замбии (ФРЗ) в целях содействия найму инвалидов на открытом рынке труда. </w:t>
      </w:r>
    </w:p>
    <w:p w14:paraId="290F4228" w14:textId="77777777" w:rsidR="00D60CD4" w:rsidRPr="00FA6F7B" w:rsidRDefault="00D60CD4" w:rsidP="00D60CD4">
      <w:pPr>
        <w:pStyle w:val="SingleTxtG"/>
      </w:pPr>
      <w:r>
        <w:t>227.</w:t>
      </w:r>
      <w:r>
        <w:tab/>
        <w:t xml:space="preserve">Государство-участник также предлагает инвалидам возможности профессионально-технического обучения в НЦПР и других профессионально-технических колледжах, с тем чтобы инвалиды могли выходить на рынок труда наравне с другими. </w:t>
      </w:r>
    </w:p>
    <w:p w14:paraId="4969D092" w14:textId="77777777" w:rsidR="00D60CD4" w:rsidRPr="00FA6F7B" w:rsidRDefault="00D60CD4" w:rsidP="00D60CD4">
      <w:pPr>
        <w:pStyle w:val="SingleTxtG"/>
      </w:pPr>
      <w:r>
        <w:t>228.</w:t>
      </w:r>
      <w:r>
        <w:tab/>
        <w:t>В целях укрепления прав инвалидов государство-участник рассматривает вопрос о принятии подзаконного акта, обязывающего работодателей предоставлять инвалидам равные возможности трудоустройства. Подзаконный акт также направлен на то, чтобы обязать работодателей резервировать 5</w:t>
      </w:r>
      <w:r w:rsidR="00AF1E70">
        <w:t xml:space="preserve"> %</w:t>
      </w:r>
      <w:r>
        <w:t xml:space="preserve"> рабочих мест для инвалидов. Консультации по этому вопросу с работодателями достигли продвинутой стадии.</w:t>
      </w:r>
    </w:p>
    <w:p w14:paraId="7B735B49" w14:textId="77777777" w:rsidR="00D60CD4" w:rsidRPr="00FA6F7B" w:rsidRDefault="00D60CD4" w:rsidP="001416DB">
      <w:pPr>
        <w:pStyle w:val="SingleTxtG"/>
        <w:keepNext/>
        <w:keepLines/>
      </w:pPr>
      <w:r>
        <w:lastRenderedPageBreak/>
        <w:t>229.</w:t>
      </w:r>
      <w:r>
        <w:tab/>
        <w:t>Государство-участник также находится в процессе внесения поправок в Закон</w:t>
      </w:r>
      <w:r w:rsidR="001416DB">
        <w:t> </w:t>
      </w:r>
      <w:r>
        <w:t xml:space="preserve">№ 10 о компенсации трудящимся 1999 года с целью увеличения объема услуг, предоставляемых работникам, включая инвалидов. Закон предусматривает оказание финансовой помощи трудящимся или членам их семей в случае смерти работника или потери им трудоспособности в результате несчастного случая. Эта помощь предоставляется через Фонд компенсации трудящимся, в который работодатели по закону обязаны вносить взносы. </w:t>
      </w:r>
    </w:p>
    <w:p w14:paraId="1381EF17" w14:textId="77777777" w:rsidR="00D60CD4" w:rsidRPr="00FA6F7B" w:rsidRDefault="00D60CD4" w:rsidP="00D60CD4">
      <w:pPr>
        <w:pStyle w:val="SingleTxtG"/>
      </w:pPr>
      <w:r>
        <w:t>230.</w:t>
      </w:r>
      <w:r>
        <w:tab/>
        <w:t>Государство-участник через Налоговое управление Замбии (НУЗ) проводит политику, предусматривающую возмещение налоговых выплат работникам-инвалидам.</w:t>
      </w:r>
    </w:p>
    <w:p w14:paraId="7ABE0AA9" w14:textId="77777777" w:rsidR="00D60CD4" w:rsidRPr="00FA6F7B" w:rsidRDefault="00D60CD4" w:rsidP="00D60CD4">
      <w:pPr>
        <w:pStyle w:val="SingleTxtG"/>
      </w:pPr>
      <w:r>
        <w:t>231.</w:t>
      </w:r>
      <w:r>
        <w:tab/>
        <w:t>Несмотря на существование международных и национальных нормативно-правовых рамок защиты прав инвалидов, все еще существуют некоторые препятствия на пути к трудоустройству, такие как низкий уровень образования, отсутствие поддержки на рабочем месте и недостаточная осведомленность работодателей об освобождении от уплаты налогов при найме на работу инвалидов и, что еще важнее, стигматизация и предубеждения экономического характера.</w:t>
      </w:r>
    </w:p>
    <w:p w14:paraId="67ABF645" w14:textId="77777777" w:rsidR="00D60CD4" w:rsidRPr="00FA6F7B" w:rsidRDefault="00D60CD4" w:rsidP="00D60CD4">
      <w:pPr>
        <w:pStyle w:val="SingleTxtG"/>
      </w:pPr>
      <w:r>
        <w:t>232.</w:t>
      </w:r>
      <w:r>
        <w:tab/>
        <w:t>Возможности трудоустройства также ограничиваются способом распространения информации о новых возможностях, поскольку многие объявления делаются в печатных средствах массовой информации, т.</w:t>
      </w:r>
      <w:r w:rsidR="001416DB">
        <w:t> </w:t>
      </w:r>
      <w:r>
        <w:t>е. в газетах, и через Интернет, к которым некоторые инвалиды могут не иметь доступа. В результате многие инвалиды не подают заявления на определенные вакансии не потому, что они не соответствуют требованиям в отношении квалификации, а потому, что они не располагают необходимой информацией.</w:t>
      </w:r>
    </w:p>
    <w:p w14:paraId="4B139F17" w14:textId="77777777" w:rsidR="00D60CD4" w:rsidRPr="00FA6F7B" w:rsidRDefault="00D60CD4" w:rsidP="00D60CD4">
      <w:pPr>
        <w:pStyle w:val="H23G"/>
      </w:pPr>
      <w:r>
        <w:tab/>
      </w:r>
      <w:r>
        <w:tab/>
      </w:r>
      <w:r>
        <w:rPr>
          <w:bCs/>
        </w:rPr>
        <w:t>Статья 28</w:t>
      </w:r>
      <w:r w:rsidR="001416DB">
        <w:rPr>
          <w:bCs/>
        </w:rPr>
        <w:br/>
      </w:r>
      <w:r>
        <w:rPr>
          <w:bCs/>
        </w:rPr>
        <w:tab/>
        <w:t>Достаточный жизненный уровень и социальная защита</w:t>
      </w:r>
      <w:bookmarkStart w:id="66" w:name="_Toc53587138"/>
      <w:bookmarkEnd w:id="66"/>
    </w:p>
    <w:p w14:paraId="4ACB1005" w14:textId="77777777" w:rsidR="00D60CD4" w:rsidRPr="00FA6F7B" w:rsidRDefault="00D60CD4" w:rsidP="00D60CD4">
      <w:pPr>
        <w:pStyle w:val="SingleTxtG"/>
      </w:pPr>
      <w:r>
        <w:t>233.</w:t>
      </w:r>
      <w:r>
        <w:tab/>
        <w:t xml:space="preserve">Государство-участник признает право инвалидов на достаточный жизненный уровень и социальную защиту и принимает политические, законодательные и административные меры для обеспечения осуществления этого права. </w:t>
      </w:r>
    </w:p>
    <w:p w14:paraId="6B326169" w14:textId="77777777" w:rsidR="00D60CD4" w:rsidRPr="00FA6F7B" w:rsidRDefault="00D60CD4" w:rsidP="00D60CD4">
      <w:pPr>
        <w:pStyle w:val="SingleTxtG"/>
      </w:pPr>
      <w:r>
        <w:t>234.</w:t>
      </w:r>
      <w:r>
        <w:tab/>
        <w:t>Одной из целей национальной политики в области инвалидности является обеспечение и поощрение осуществления права на достаточный жизненный уровень и социальную защиту.</w:t>
      </w:r>
    </w:p>
    <w:p w14:paraId="06CFF1EF" w14:textId="77777777" w:rsidR="00D60CD4" w:rsidRPr="00FA6F7B" w:rsidRDefault="00D60CD4" w:rsidP="00D60CD4">
      <w:pPr>
        <w:pStyle w:val="SingleTxtG"/>
      </w:pPr>
      <w:r>
        <w:t>235.</w:t>
      </w:r>
      <w:r>
        <w:tab/>
        <w:t xml:space="preserve">Закон № 9 о Комиссии по расширению экономических прав и возможностей граждан 2006 года предусматривает предоставление кредитов целевым группам населения, в том числе инвалидам. Этим законом воспользовались некоторые инвалиды, в том числе в сельской местности. </w:t>
      </w:r>
    </w:p>
    <w:p w14:paraId="728109CE" w14:textId="77777777" w:rsidR="00D60CD4" w:rsidRPr="00FA6F7B" w:rsidRDefault="00D60CD4" w:rsidP="00D60CD4">
      <w:pPr>
        <w:pStyle w:val="SingleTxtG"/>
      </w:pPr>
      <w:r>
        <w:t>236.</w:t>
      </w:r>
      <w:r>
        <w:tab/>
        <w:t>Государство-участник разработало национальную политику в области социальной защиты, которая служит руководством для осуществления основных программ социальной защиты по всей стране. Эта политика включает в себя пять основных направлений, а именно: защита, средства к существованию, социальная помощь, социальное обеспечение и инвалидность, которая носит сквозной характер.</w:t>
      </w:r>
    </w:p>
    <w:p w14:paraId="5B621593" w14:textId="77777777" w:rsidR="00D60CD4" w:rsidRPr="00FA6F7B" w:rsidRDefault="00D60CD4" w:rsidP="00D60CD4">
      <w:pPr>
        <w:pStyle w:val="SingleTxtG"/>
      </w:pPr>
      <w:r>
        <w:t>237.</w:t>
      </w:r>
      <w:r>
        <w:tab/>
        <w:t xml:space="preserve">В рамках направления </w:t>
      </w:r>
      <w:r w:rsidR="00AF1E70">
        <w:t>«</w:t>
      </w:r>
      <w:r>
        <w:t>социальная помощь</w:t>
      </w:r>
      <w:r w:rsidR="00AF1E70">
        <w:t>»</w:t>
      </w:r>
      <w:r>
        <w:t xml:space="preserve"> государство-участник осуществляет инклюзивные программы социальной защиты. Одной из таких программ является программа социальных денежных выплат, направленная на пополнение доходов семей, находящихся в уязвимом положении, в качестве меры по сокращению масштабов нищеты. Инвалиды относятся к целевым группам, получающим социальные денежные выплаты. Семья, имеющая члена семьи с инвалидностью, получает вдвое большую сумму, чем лицо, не имеющее инвалидности. Это связано с тем, что инвалиды несут дополнительные расходы в связи с инвалидностью. Около 10</w:t>
      </w:r>
      <w:r w:rsidR="001416DB">
        <w:t> </w:t>
      </w:r>
      <w:r w:rsidR="00AF1E70">
        <w:t>%</w:t>
      </w:r>
      <w:r>
        <w:t xml:space="preserve"> бенефициаров являются инвалидами (16 532 женщины и 13 667 мужчин из общего числа бенефициаров, равного 242 000).</w:t>
      </w:r>
    </w:p>
    <w:p w14:paraId="5CE29E6A" w14:textId="77777777" w:rsidR="00D60CD4" w:rsidRPr="00FA6F7B" w:rsidRDefault="00D60CD4" w:rsidP="00D60CD4">
      <w:pPr>
        <w:pStyle w:val="SingleTxtG"/>
      </w:pPr>
      <w:r>
        <w:t>238.</w:t>
      </w:r>
      <w:r>
        <w:tab/>
        <w:t xml:space="preserve">Статья 36 Закона о людях с инвалидностью предусматривает, что министр социального обеспечения, в сотрудничестве с министром труда, устанавливает гарантии поощрения права инвалидов на социальную защиту и достаточный жизненный уровень и постоянное улучшение условий жизни в целях обеспечения их </w:t>
      </w:r>
      <w:r>
        <w:lastRenderedPageBreak/>
        <w:t xml:space="preserve">самостоятельного образа жизни. Хотя это заслуживает высокой оценки, большинство инвалидов продолжают сталкиваться с большими трудностями, поскольку они не в состоянии удовлетворить основные потребности, такие как жилье, питание, чистая вода и образование. Государство-участник постепенно увеличивает число бенефициаров по линии программ социальной защиты. </w:t>
      </w:r>
    </w:p>
    <w:p w14:paraId="7CE42591" w14:textId="77777777" w:rsidR="00D60CD4" w:rsidRPr="00FA6F7B" w:rsidRDefault="00D60CD4" w:rsidP="00D60CD4">
      <w:pPr>
        <w:pStyle w:val="SingleTxtG"/>
      </w:pPr>
      <w:r>
        <w:t>239.</w:t>
      </w:r>
      <w:r>
        <w:tab/>
        <w:t xml:space="preserve">Кроме того, в государстве-участнике действует Национальный целевой фонд для инвалидов (НЦФИ), который предоставляет инвалидам кредиты, направленные на повышение их жизненного уровня. Ниже приведена таблица с данными о кредитополучателях с 1994 года по май 2017 года. </w:t>
      </w:r>
    </w:p>
    <w:p w14:paraId="57821C71" w14:textId="77777777" w:rsidR="00D60CD4" w:rsidRPr="00FA6F7B" w:rsidRDefault="001416DB" w:rsidP="001416DB">
      <w:pPr>
        <w:pStyle w:val="H23G"/>
        <w:rPr>
          <w:bCs/>
        </w:rPr>
      </w:pPr>
      <w:bookmarkStart w:id="67" w:name="_Toc53587139"/>
      <w:r>
        <w:tab/>
      </w:r>
      <w:r w:rsidRPr="001416DB">
        <w:rPr>
          <w:b w:val="0"/>
          <w:bCs/>
        </w:rPr>
        <w:tab/>
      </w:r>
      <w:r w:rsidR="00D60CD4" w:rsidRPr="001416DB">
        <w:rPr>
          <w:b w:val="0"/>
          <w:bCs/>
        </w:rPr>
        <w:t xml:space="preserve">Таблица 5 </w:t>
      </w:r>
      <w:r w:rsidRPr="001416DB">
        <w:rPr>
          <w:b w:val="0"/>
          <w:bCs/>
        </w:rPr>
        <w:br/>
      </w:r>
      <w:r w:rsidR="00D60CD4">
        <w:t>Общее число кредитополучателей НЦФИ с 1994 по 2017 годы</w:t>
      </w:r>
      <w:bookmarkEnd w:id="67"/>
    </w:p>
    <w:tbl>
      <w:tblPr>
        <w:tblW w:w="7370" w:type="dxa"/>
        <w:tblInd w:w="1134" w:type="dxa"/>
        <w:tblLayout w:type="fixed"/>
        <w:tblCellMar>
          <w:left w:w="0" w:type="dxa"/>
          <w:right w:w="0" w:type="dxa"/>
        </w:tblCellMar>
        <w:tblLook w:val="04A0" w:firstRow="1" w:lastRow="0" w:firstColumn="1" w:lastColumn="0" w:noHBand="0" w:noVBand="1"/>
      </w:tblPr>
      <w:tblGrid>
        <w:gridCol w:w="1559"/>
        <w:gridCol w:w="1559"/>
        <w:gridCol w:w="1560"/>
        <w:gridCol w:w="2692"/>
      </w:tblGrid>
      <w:tr w:rsidR="00D60CD4" w:rsidRPr="001416DB" w14:paraId="315CD0F3" w14:textId="77777777" w:rsidTr="001416DB">
        <w:trPr>
          <w:tblHeader/>
        </w:trPr>
        <w:tc>
          <w:tcPr>
            <w:tcW w:w="1559" w:type="dxa"/>
            <w:tcBorders>
              <w:top w:val="single" w:sz="4" w:space="0" w:color="auto"/>
              <w:bottom w:val="single" w:sz="12" w:space="0" w:color="auto"/>
            </w:tcBorders>
            <w:shd w:val="clear" w:color="auto" w:fill="auto"/>
            <w:noWrap/>
            <w:vAlign w:val="bottom"/>
            <w:hideMark/>
          </w:tcPr>
          <w:p w14:paraId="358A0321" w14:textId="77777777" w:rsidR="00D60CD4" w:rsidRPr="001416DB" w:rsidRDefault="00D60CD4" w:rsidP="001416DB">
            <w:pPr>
              <w:suppressAutoHyphens w:val="0"/>
              <w:spacing w:before="80" w:after="80" w:line="200" w:lineRule="exact"/>
              <w:ind w:left="28"/>
              <w:rPr>
                <w:rFonts w:cs="Times New Roman"/>
                <w:i/>
                <w:sz w:val="16"/>
              </w:rPr>
            </w:pPr>
            <w:r w:rsidRPr="001416DB">
              <w:rPr>
                <w:rFonts w:cs="Times New Roman"/>
                <w:i/>
                <w:sz w:val="16"/>
              </w:rPr>
              <w:t>Провинция</w:t>
            </w:r>
          </w:p>
        </w:tc>
        <w:tc>
          <w:tcPr>
            <w:tcW w:w="1559" w:type="dxa"/>
            <w:tcBorders>
              <w:top w:val="single" w:sz="4" w:space="0" w:color="auto"/>
              <w:bottom w:val="single" w:sz="12" w:space="0" w:color="auto"/>
            </w:tcBorders>
            <w:shd w:val="clear" w:color="auto" w:fill="auto"/>
            <w:noWrap/>
            <w:vAlign w:val="bottom"/>
            <w:hideMark/>
          </w:tcPr>
          <w:p w14:paraId="0AA6C7EE" w14:textId="77777777" w:rsidR="00D60CD4" w:rsidRPr="001416DB" w:rsidRDefault="00D60CD4" w:rsidP="001416DB">
            <w:pPr>
              <w:suppressAutoHyphens w:val="0"/>
              <w:spacing w:before="80" w:after="80" w:line="200" w:lineRule="exact"/>
              <w:ind w:left="28"/>
              <w:jc w:val="right"/>
              <w:rPr>
                <w:rFonts w:cs="Times New Roman"/>
                <w:i/>
                <w:sz w:val="16"/>
              </w:rPr>
            </w:pPr>
            <w:r w:rsidRPr="001416DB">
              <w:rPr>
                <w:rFonts w:cs="Times New Roman"/>
                <w:i/>
                <w:sz w:val="16"/>
              </w:rPr>
              <w:t>Мужчины</w:t>
            </w:r>
          </w:p>
        </w:tc>
        <w:tc>
          <w:tcPr>
            <w:tcW w:w="1560" w:type="dxa"/>
            <w:tcBorders>
              <w:top w:val="single" w:sz="4" w:space="0" w:color="auto"/>
              <w:bottom w:val="single" w:sz="12" w:space="0" w:color="auto"/>
            </w:tcBorders>
            <w:shd w:val="clear" w:color="auto" w:fill="auto"/>
            <w:noWrap/>
            <w:vAlign w:val="bottom"/>
            <w:hideMark/>
          </w:tcPr>
          <w:p w14:paraId="3B50BF1E" w14:textId="77777777" w:rsidR="00D60CD4" w:rsidRPr="001416DB" w:rsidRDefault="00D60CD4" w:rsidP="001416DB">
            <w:pPr>
              <w:suppressAutoHyphens w:val="0"/>
              <w:spacing w:before="80" w:after="80" w:line="200" w:lineRule="exact"/>
              <w:ind w:left="28"/>
              <w:jc w:val="right"/>
              <w:rPr>
                <w:rFonts w:cs="Times New Roman"/>
                <w:i/>
                <w:sz w:val="16"/>
              </w:rPr>
            </w:pPr>
            <w:r w:rsidRPr="001416DB">
              <w:rPr>
                <w:rFonts w:cs="Times New Roman"/>
                <w:i/>
                <w:sz w:val="16"/>
              </w:rPr>
              <w:t>Женщины</w:t>
            </w:r>
          </w:p>
        </w:tc>
        <w:tc>
          <w:tcPr>
            <w:tcW w:w="2692" w:type="dxa"/>
            <w:tcBorders>
              <w:top w:val="single" w:sz="4" w:space="0" w:color="auto"/>
              <w:bottom w:val="single" w:sz="12" w:space="0" w:color="auto"/>
            </w:tcBorders>
            <w:shd w:val="clear" w:color="auto" w:fill="auto"/>
            <w:noWrap/>
            <w:vAlign w:val="bottom"/>
            <w:hideMark/>
          </w:tcPr>
          <w:p w14:paraId="23C0AA95" w14:textId="77777777" w:rsidR="00D60CD4" w:rsidRPr="001416DB" w:rsidRDefault="00D60CD4" w:rsidP="001416DB">
            <w:pPr>
              <w:suppressAutoHyphens w:val="0"/>
              <w:spacing w:before="80" w:after="80" w:line="200" w:lineRule="exact"/>
              <w:ind w:left="28"/>
              <w:jc w:val="right"/>
              <w:rPr>
                <w:rFonts w:cs="Times New Roman"/>
                <w:i/>
                <w:sz w:val="16"/>
              </w:rPr>
            </w:pPr>
            <w:r w:rsidRPr="001416DB">
              <w:rPr>
                <w:rFonts w:cs="Times New Roman"/>
                <w:i/>
                <w:sz w:val="16"/>
              </w:rPr>
              <w:t>Общее число кредитополучателей</w:t>
            </w:r>
          </w:p>
        </w:tc>
      </w:tr>
      <w:tr w:rsidR="00D60CD4" w:rsidRPr="001416DB" w14:paraId="4DD00A68" w14:textId="77777777" w:rsidTr="001416DB">
        <w:tc>
          <w:tcPr>
            <w:tcW w:w="1559" w:type="dxa"/>
            <w:tcBorders>
              <w:top w:val="single" w:sz="12" w:space="0" w:color="auto"/>
            </w:tcBorders>
            <w:shd w:val="clear" w:color="auto" w:fill="auto"/>
            <w:noWrap/>
            <w:hideMark/>
          </w:tcPr>
          <w:p w14:paraId="50C8C44E" w14:textId="77777777" w:rsidR="00D60CD4" w:rsidRPr="001416DB" w:rsidRDefault="00D60CD4" w:rsidP="001416DB">
            <w:pPr>
              <w:suppressAutoHyphens w:val="0"/>
              <w:spacing w:before="40" w:after="40" w:line="220" w:lineRule="exact"/>
              <w:rPr>
                <w:rFonts w:cs="Times New Roman"/>
                <w:sz w:val="18"/>
              </w:rPr>
            </w:pPr>
            <w:r w:rsidRPr="001416DB">
              <w:rPr>
                <w:rFonts w:cs="Times New Roman"/>
                <w:sz w:val="18"/>
              </w:rPr>
              <w:t xml:space="preserve">Коппербелт </w:t>
            </w:r>
          </w:p>
        </w:tc>
        <w:tc>
          <w:tcPr>
            <w:tcW w:w="1559" w:type="dxa"/>
            <w:tcBorders>
              <w:top w:val="single" w:sz="12" w:space="0" w:color="auto"/>
            </w:tcBorders>
            <w:shd w:val="clear" w:color="auto" w:fill="auto"/>
            <w:noWrap/>
            <w:vAlign w:val="bottom"/>
            <w:hideMark/>
          </w:tcPr>
          <w:p w14:paraId="411FCFDC"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271</w:t>
            </w:r>
          </w:p>
        </w:tc>
        <w:tc>
          <w:tcPr>
            <w:tcW w:w="1560" w:type="dxa"/>
            <w:tcBorders>
              <w:top w:val="single" w:sz="12" w:space="0" w:color="auto"/>
            </w:tcBorders>
            <w:shd w:val="clear" w:color="auto" w:fill="auto"/>
            <w:noWrap/>
            <w:vAlign w:val="bottom"/>
            <w:hideMark/>
          </w:tcPr>
          <w:p w14:paraId="7C75F77F"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157</w:t>
            </w:r>
          </w:p>
        </w:tc>
        <w:tc>
          <w:tcPr>
            <w:tcW w:w="2692" w:type="dxa"/>
            <w:tcBorders>
              <w:top w:val="single" w:sz="12" w:space="0" w:color="auto"/>
            </w:tcBorders>
            <w:shd w:val="clear" w:color="auto" w:fill="auto"/>
            <w:noWrap/>
            <w:vAlign w:val="bottom"/>
            <w:hideMark/>
          </w:tcPr>
          <w:p w14:paraId="54A4B567"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428</w:t>
            </w:r>
          </w:p>
        </w:tc>
      </w:tr>
      <w:tr w:rsidR="00D60CD4" w:rsidRPr="001416DB" w14:paraId="7A2671FE" w14:textId="77777777" w:rsidTr="001416DB">
        <w:tc>
          <w:tcPr>
            <w:tcW w:w="1559" w:type="dxa"/>
            <w:shd w:val="clear" w:color="auto" w:fill="auto"/>
            <w:noWrap/>
            <w:hideMark/>
          </w:tcPr>
          <w:p w14:paraId="412C1764" w14:textId="77777777" w:rsidR="00D60CD4" w:rsidRPr="001416DB" w:rsidRDefault="00D60CD4" w:rsidP="001416DB">
            <w:pPr>
              <w:suppressAutoHyphens w:val="0"/>
              <w:spacing w:before="40" w:after="40" w:line="220" w:lineRule="exact"/>
              <w:rPr>
                <w:rFonts w:cs="Times New Roman"/>
                <w:sz w:val="18"/>
              </w:rPr>
            </w:pPr>
            <w:r w:rsidRPr="001416DB">
              <w:rPr>
                <w:rFonts w:cs="Times New Roman"/>
                <w:sz w:val="18"/>
              </w:rPr>
              <w:t xml:space="preserve">Луапула </w:t>
            </w:r>
          </w:p>
        </w:tc>
        <w:tc>
          <w:tcPr>
            <w:tcW w:w="1559" w:type="dxa"/>
            <w:shd w:val="clear" w:color="auto" w:fill="auto"/>
            <w:noWrap/>
            <w:vAlign w:val="bottom"/>
            <w:hideMark/>
          </w:tcPr>
          <w:p w14:paraId="538A2879"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186</w:t>
            </w:r>
          </w:p>
        </w:tc>
        <w:tc>
          <w:tcPr>
            <w:tcW w:w="1560" w:type="dxa"/>
            <w:shd w:val="clear" w:color="auto" w:fill="auto"/>
            <w:noWrap/>
            <w:vAlign w:val="bottom"/>
            <w:hideMark/>
          </w:tcPr>
          <w:p w14:paraId="763F9F4B"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115</w:t>
            </w:r>
          </w:p>
        </w:tc>
        <w:tc>
          <w:tcPr>
            <w:tcW w:w="2692" w:type="dxa"/>
            <w:shd w:val="clear" w:color="auto" w:fill="auto"/>
            <w:noWrap/>
            <w:vAlign w:val="bottom"/>
            <w:hideMark/>
          </w:tcPr>
          <w:p w14:paraId="01CEEB53"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301</w:t>
            </w:r>
          </w:p>
        </w:tc>
      </w:tr>
      <w:tr w:rsidR="00D60CD4" w:rsidRPr="001416DB" w14:paraId="14819948" w14:textId="77777777" w:rsidTr="001416DB">
        <w:tc>
          <w:tcPr>
            <w:tcW w:w="1559" w:type="dxa"/>
            <w:shd w:val="clear" w:color="auto" w:fill="auto"/>
            <w:noWrap/>
            <w:hideMark/>
          </w:tcPr>
          <w:p w14:paraId="2FF008E0" w14:textId="77777777" w:rsidR="00D60CD4" w:rsidRPr="001416DB" w:rsidRDefault="00D60CD4" w:rsidP="001416DB">
            <w:pPr>
              <w:suppressAutoHyphens w:val="0"/>
              <w:spacing w:before="40" w:after="40" w:line="220" w:lineRule="exact"/>
              <w:rPr>
                <w:rFonts w:cs="Times New Roman"/>
                <w:sz w:val="18"/>
              </w:rPr>
            </w:pPr>
            <w:r w:rsidRPr="001416DB">
              <w:rPr>
                <w:rFonts w:cs="Times New Roman"/>
                <w:sz w:val="18"/>
              </w:rPr>
              <w:t xml:space="preserve">Северо-Западная </w:t>
            </w:r>
          </w:p>
        </w:tc>
        <w:tc>
          <w:tcPr>
            <w:tcW w:w="1559" w:type="dxa"/>
            <w:shd w:val="clear" w:color="auto" w:fill="auto"/>
            <w:noWrap/>
            <w:vAlign w:val="bottom"/>
            <w:hideMark/>
          </w:tcPr>
          <w:p w14:paraId="26913DA3"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72</w:t>
            </w:r>
          </w:p>
        </w:tc>
        <w:tc>
          <w:tcPr>
            <w:tcW w:w="1560" w:type="dxa"/>
            <w:shd w:val="clear" w:color="auto" w:fill="auto"/>
            <w:noWrap/>
            <w:vAlign w:val="bottom"/>
            <w:hideMark/>
          </w:tcPr>
          <w:p w14:paraId="2CF65BE6"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30</w:t>
            </w:r>
          </w:p>
        </w:tc>
        <w:tc>
          <w:tcPr>
            <w:tcW w:w="2692" w:type="dxa"/>
            <w:shd w:val="clear" w:color="auto" w:fill="auto"/>
            <w:noWrap/>
            <w:vAlign w:val="bottom"/>
            <w:hideMark/>
          </w:tcPr>
          <w:p w14:paraId="02305D8D"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102</w:t>
            </w:r>
          </w:p>
        </w:tc>
      </w:tr>
      <w:tr w:rsidR="00D60CD4" w:rsidRPr="001416DB" w14:paraId="70C72A7C" w14:textId="77777777" w:rsidTr="001416DB">
        <w:tc>
          <w:tcPr>
            <w:tcW w:w="1559" w:type="dxa"/>
            <w:shd w:val="clear" w:color="auto" w:fill="auto"/>
            <w:noWrap/>
            <w:hideMark/>
          </w:tcPr>
          <w:p w14:paraId="4AE21555" w14:textId="77777777" w:rsidR="00D60CD4" w:rsidRPr="001416DB" w:rsidRDefault="00D60CD4" w:rsidP="001416DB">
            <w:pPr>
              <w:suppressAutoHyphens w:val="0"/>
              <w:spacing w:before="40" w:after="40" w:line="220" w:lineRule="exact"/>
              <w:rPr>
                <w:rFonts w:cs="Times New Roman"/>
                <w:sz w:val="18"/>
              </w:rPr>
            </w:pPr>
            <w:r w:rsidRPr="001416DB">
              <w:rPr>
                <w:rFonts w:cs="Times New Roman"/>
                <w:sz w:val="18"/>
              </w:rPr>
              <w:t xml:space="preserve">Северная </w:t>
            </w:r>
          </w:p>
        </w:tc>
        <w:tc>
          <w:tcPr>
            <w:tcW w:w="1559" w:type="dxa"/>
            <w:shd w:val="clear" w:color="auto" w:fill="auto"/>
            <w:noWrap/>
            <w:vAlign w:val="bottom"/>
            <w:hideMark/>
          </w:tcPr>
          <w:p w14:paraId="5E5934DE"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100</w:t>
            </w:r>
          </w:p>
        </w:tc>
        <w:tc>
          <w:tcPr>
            <w:tcW w:w="1560" w:type="dxa"/>
            <w:shd w:val="clear" w:color="auto" w:fill="auto"/>
            <w:noWrap/>
            <w:vAlign w:val="bottom"/>
            <w:hideMark/>
          </w:tcPr>
          <w:p w14:paraId="1F4E246F"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24</w:t>
            </w:r>
          </w:p>
        </w:tc>
        <w:tc>
          <w:tcPr>
            <w:tcW w:w="2692" w:type="dxa"/>
            <w:shd w:val="clear" w:color="auto" w:fill="auto"/>
            <w:noWrap/>
            <w:vAlign w:val="bottom"/>
            <w:hideMark/>
          </w:tcPr>
          <w:p w14:paraId="13D86C80"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124</w:t>
            </w:r>
          </w:p>
        </w:tc>
      </w:tr>
      <w:tr w:rsidR="00D60CD4" w:rsidRPr="001416DB" w14:paraId="17A44308" w14:textId="77777777" w:rsidTr="001416DB">
        <w:tc>
          <w:tcPr>
            <w:tcW w:w="1559" w:type="dxa"/>
            <w:shd w:val="clear" w:color="auto" w:fill="auto"/>
            <w:noWrap/>
            <w:hideMark/>
          </w:tcPr>
          <w:p w14:paraId="23B5DBE6" w14:textId="77777777" w:rsidR="00D60CD4" w:rsidRPr="001416DB" w:rsidRDefault="00D60CD4" w:rsidP="001416DB">
            <w:pPr>
              <w:suppressAutoHyphens w:val="0"/>
              <w:spacing w:before="40" w:after="40" w:line="220" w:lineRule="exact"/>
              <w:rPr>
                <w:rFonts w:cs="Times New Roman"/>
                <w:sz w:val="18"/>
              </w:rPr>
            </w:pPr>
            <w:r w:rsidRPr="001416DB">
              <w:rPr>
                <w:rFonts w:cs="Times New Roman"/>
                <w:sz w:val="18"/>
              </w:rPr>
              <w:t xml:space="preserve">Центральная </w:t>
            </w:r>
          </w:p>
        </w:tc>
        <w:tc>
          <w:tcPr>
            <w:tcW w:w="1559" w:type="dxa"/>
            <w:shd w:val="clear" w:color="auto" w:fill="auto"/>
            <w:noWrap/>
            <w:vAlign w:val="bottom"/>
            <w:hideMark/>
          </w:tcPr>
          <w:p w14:paraId="12C1BBFB"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51</w:t>
            </w:r>
          </w:p>
        </w:tc>
        <w:tc>
          <w:tcPr>
            <w:tcW w:w="1560" w:type="dxa"/>
            <w:shd w:val="clear" w:color="auto" w:fill="auto"/>
            <w:noWrap/>
            <w:vAlign w:val="bottom"/>
            <w:hideMark/>
          </w:tcPr>
          <w:p w14:paraId="2D555338"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59</w:t>
            </w:r>
          </w:p>
        </w:tc>
        <w:tc>
          <w:tcPr>
            <w:tcW w:w="2692" w:type="dxa"/>
            <w:shd w:val="clear" w:color="auto" w:fill="auto"/>
            <w:noWrap/>
            <w:vAlign w:val="bottom"/>
            <w:hideMark/>
          </w:tcPr>
          <w:p w14:paraId="3D664650"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110</w:t>
            </w:r>
          </w:p>
        </w:tc>
      </w:tr>
      <w:tr w:rsidR="00D60CD4" w:rsidRPr="001416DB" w14:paraId="4D0EDA59" w14:textId="77777777" w:rsidTr="001416DB">
        <w:tc>
          <w:tcPr>
            <w:tcW w:w="1559" w:type="dxa"/>
            <w:shd w:val="clear" w:color="auto" w:fill="auto"/>
            <w:noWrap/>
            <w:hideMark/>
          </w:tcPr>
          <w:p w14:paraId="13AC46D3" w14:textId="77777777" w:rsidR="00D60CD4" w:rsidRPr="001416DB" w:rsidRDefault="00D60CD4" w:rsidP="001416DB">
            <w:pPr>
              <w:suppressAutoHyphens w:val="0"/>
              <w:spacing w:before="40" w:after="40" w:line="220" w:lineRule="exact"/>
              <w:rPr>
                <w:rFonts w:cs="Times New Roman"/>
                <w:sz w:val="18"/>
              </w:rPr>
            </w:pPr>
            <w:r w:rsidRPr="001416DB">
              <w:rPr>
                <w:rFonts w:cs="Times New Roman"/>
                <w:sz w:val="18"/>
              </w:rPr>
              <w:t xml:space="preserve">Восточная </w:t>
            </w:r>
          </w:p>
        </w:tc>
        <w:tc>
          <w:tcPr>
            <w:tcW w:w="1559" w:type="dxa"/>
            <w:shd w:val="clear" w:color="auto" w:fill="auto"/>
            <w:noWrap/>
            <w:vAlign w:val="bottom"/>
            <w:hideMark/>
          </w:tcPr>
          <w:p w14:paraId="5325D9FA"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97</w:t>
            </w:r>
          </w:p>
        </w:tc>
        <w:tc>
          <w:tcPr>
            <w:tcW w:w="1560" w:type="dxa"/>
            <w:shd w:val="clear" w:color="auto" w:fill="auto"/>
            <w:noWrap/>
            <w:vAlign w:val="bottom"/>
            <w:hideMark/>
          </w:tcPr>
          <w:p w14:paraId="6E28370A"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52</w:t>
            </w:r>
          </w:p>
        </w:tc>
        <w:tc>
          <w:tcPr>
            <w:tcW w:w="2692" w:type="dxa"/>
            <w:shd w:val="clear" w:color="auto" w:fill="auto"/>
            <w:noWrap/>
            <w:vAlign w:val="bottom"/>
            <w:hideMark/>
          </w:tcPr>
          <w:p w14:paraId="17D47811"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149</w:t>
            </w:r>
          </w:p>
        </w:tc>
      </w:tr>
      <w:tr w:rsidR="00D60CD4" w:rsidRPr="001416DB" w14:paraId="435BA751" w14:textId="77777777" w:rsidTr="001416DB">
        <w:tc>
          <w:tcPr>
            <w:tcW w:w="1559" w:type="dxa"/>
            <w:shd w:val="clear" w:color="auto" w:fill="auto"/>
            <w:noWrap/>
            <w:hideMark/>
          </w:tcPr>
          <w:p w14:paraId="4DDB6EAF" w14:textId="77777777" w:rsidR="00D60CD4" w:rsidRPr="001416DB" w:rsidRDefault="00D60CD4" w:rsidP="001416DB">
            <w:pPr>
              <w:suppressAutoHyphens w:val="0"/>
              <w:spacing w:before="40" w:after="40" w:line="220" w:lineRule="exact"/>
              <w:rPr>
                <w:rFonts w:cs="Times New Roman"/>
                <w:sz w:val="18"/>
              </w:rPr>
            </w:pPr>
            <w:r w:rsidRPr="001416DB">
              <w:rPr>
                <w:rFonts w:cs="Times New Roman"/>
                <w:sz w:val="18"/>
              </w:rPr>
              <w:t xml:space="preserve">Лусака </w:t>
            </w:r>
          </w:p>
        </w:tc>
        <w:tc>
          <w:tcPr>
            <w:tcW w:w="1559" w:type="dxa"/>
            <w:shd w:val="clear" w:color="auto" w:fill="auto"/>
            <w:noWrap/>
            <w:vAlign w:val="bottom"/>
            <w:hideMark/>
          </w:tcPr>
          <w:p w14:paraId="76320E0E"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394</w:t>
            </w:r>
          </w:p>
        </w:tc>
        <w:tc>
          <w:tcPr>
            <w:tcW w:w="1560" w:type="dxa"/>
            <w:shd w:val="clear" w:color="auto" w:fill="auto"/>
            <w:noWrap/>
            <w:vAlign w:val="bottom"/>
            <w:hideMark/>
          </w:tcPr>
          <w:p w14:paraId="79523129"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250</w:t>
            </w:r>
          </w:p>
        </w:tc>
        <w:tc>
          <w:tcPr>
            <w:tcW w:w="2692" w:type="dxa"/>
            <w:shd w:val="clear" w:color="auto" w:fill="auto"/>
            <w:noWrap/>
            <w:vAlign w:val="bottom"/>
            <w:hideMark/>
          </w:tcPr>
          <w:p w14:paraId="6134D852"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644</w:t>
            </w:r>
          </w:p>
        </w:tc>
      </w:tr>
      <w:tr w:rsidR="00D60CD4" w:rsidRPr="001416DB" w14:paraId="46340A76" w14:textId="77777777" w:rsidTr="001416DB">
        <w:tc>
          <w:tcPr>
            <w:tcW w:w="1559" w:type="dxa"/>
            <w:shd w:val="clear" w:color="auto" w:fill="auto"/>
            <w:noWrap/>
            <w:hideMark/>
          </w:tcPr>
          <w:p w14:paraId="2E2EACFD" w14:textId="77777777" w:rsidR="00D60CD4" w:rsidRPr="001416DB" w:rsidRDefault="00D60CD4" w:rsidP="001416DB">
            <w:pPr>
              <w:suppressAutoHyphens w:val="0"/>
              <w:spacing w:before="40" w:after="40" w:line="220" w:lineRule="exact"/>
              <w:rPr>
                <w:rFonts w:cs="Times New Roman"/>
                <w:sz w:val="18"/>
              </w:rPr>
            </w:pPr>
            <w:r w:rsidRPr="001416DB">
              <w:rPr>
                <w:rFonts w:cs="Times New Roman"/>
                <w:sz w:val="18"/>
              </w:rPr>
              <w:t xml:space="preserve">Южная </w:t>
            </w:r>
          </w:p>
        </w:tc>
        <w:tc>
          <w:tcPr>
            <w:tcW w:w="1559" w:type="dxa"/>
            <w:shd w:val="clear" w:color="auto" w:fill="auto"/>
            <w:noWrap/>
            <w:vAlign w:val="bottom"/>
            <w:hideMark/>
          </w:tcPr>
          <w:p w14:paraId="4FAF223A"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97</w:t>
            </w:r>
          </w:p>
        </w:tc>
        <w:tc>
          <w:tcPr>
            <w:tcW w:w="1560" w:type="dxa"/>
            <w:shd w:val="clear" w:color="auto" w:fill="auto"/>
            <w:noWrap/>
            <w:vAlign w:val="bottom"/>
            <w:hideMark/>
          </w:tcPr>
          <w:p w14:paraId="0CC0ED61"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62</w:t>
            </w:r>
          </w:p>
        </w:tc>
        <w:tc>
          <w:tcPr>
            <w:tcW w:w="2692" w:type="dxa"/>
            <w:shd w:val="clear" w:color="auto" w:fill="auto"/>
            <w:noWrap/>
            <w:vAlign w:val="bottom"/>
            <w:hideMark/>
          </w:tcPr>
          <w:p w14:paraId="605F61B3"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159</w:t>
            </w:r>
          </w:p>
        </w:tc>
      </w:tr>
      <w:tr w:rsidR="00D60CD4" w:rsidRPr="001416DB" w14:paraId="53D50FB3" w14:textId="77777777" w:rsidTr="001416DB">
        <w:tc>
          <w:tcPr>
            <w:tcW w:w="1559" w:type="dxa"/>
            <w:shd w:val="clear" w:color="auto" w:fill="auto"/>
            <w:noWrap/>
            <w:hideMark/>
          </w:tcPr>
          <w:p w14:paraId="55822310" w14:textId="77777777" w:rsidR="00D60CD4" w:rsidRPr="001416DB" w:rsidRDefault="00D60CD4" w:rsidP="001416DB">
            <w:pPr>
              <w:suppressAutoHyphens w:val="0"/>
              <w:spacing w:before="40" w:after="40" w:line="220" w:lineRule="exact"/>
              <w:rPr>
                <w:rFonts w:cs="Times New Roman"/>
                <w:sz w:val="18"/>
              </w:rPr>
            </w:pPr>
            <w:r w:rsidRPr="001416DB">
              <w:rPr>
                <w:rFonts w:cs="Times New Roman"/>
                <w:sz w:val="18"/>
              </w:rPr>
              <w:t xml:space="preserve">Западная </w:t>
            </w:r>
          </w:p>
        </w:tc>
        <w:tc>
          <w:tcPr>
            <w:tcW w:w="1559" w:type="dxa"/>
            <w:shd w:val="clear" w:color="auto" w:fill="auto"/>
            <w:noWrap/>
            <w:vAlign w:val="bottom"/>
            <w:hideMark/>
          </w:tcPr>
          <w:p w14:paraId="7C88009D"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105</w:t>
            </w:r>
          </w:p>
        </w:tc>
        <w:tc>
          <w:tcPr>
            <w:tcW w:w="1560" w:type="dxa"/>
            <w:shd w:val="clear" w:color="auto" w:fill="auto"/>
            <w:noWrap/>
            <w:vAlign w:val="bottom"/>
            <w:hideMark/>
          </w:tcPr>
          <w:p w14:paraId="088C8525"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77</w:t>
            </w:r>
          </w:p>
        </w:tc>
        <w:tc>
          <w:tcPr>
            <w:tcW w:w="2692" w:type="dxa"/>
            <w:shd w:val="clear" w:color="auto" w:fill="auto"/>
            <w:noWrap/>
            <w:vAlign w:val="bottom"/>
            <w:hideMark/>
          </w:tcPr>
          <w:p w14:paraId="11DC8488"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182</w:t>
            </w:r>
          </w:p>
        </w:tc>
      </w:tr>
      <w:tr w:rsidR="001416DB" w:rsidRPr="001416DB" w14:paraId="1410EEDF" w14:textId="77777777" w:rsidTr="001416DB">
        <w:tc>
          <w:tcPr>
            <w:tcW w:w="1559" w:type="dxa"/>
            <w:tcBorders>
              <w:bottom w:val="single" w:sz="4" w:space="0" w:color="auto"/>
            </w:tcBorders>
            <w:shd w:val="clear" w:color="auto" w:fill="auto"/>
            <w:noWrap/>
            <w:hideMark/>
          </w:tcPr>
          <w:p w14:paraId="2FC82C02" w14:textId="77777777" w:rsidR="00D60CD4" w:rsidRPr="001416DB" w:rsidRDefault="00D60CD4" w:rsidP="001416DB">
            <w:pPr>
              <w:suppressAutoHyphens w:val="0"/>
              <w:spacing w:before="40" w:after="40" w:line="220" w:lineRule="exact"/>
              <w:rPr>
                <w:rFonts w:cs="Times New Roman"/>
                <w:sz w:val="18"/>
              </w:rPr>
            </w:pPr>
            <w:r w:rsidRPr="001416DB">
              <w:rPr>
                <w:rFonts w:cs="Times New Roman"/>
                <w:sz w:val="18"/>
              </w:rPr>
              <w:t xml:space="preserve">Мучинга </w:t>
            </w:r>
          </w:p>
        </w:tc>
        <w:tc>
          <w:tcPr>
            <w:tcW w:w="1559" w:type="dxa"/>
            <w:tcBorders>
              <w:bottom w:val="single" w:sz="4" w:space="0" w:color="auto"/>
            </w:tcBorders>
            <w:shd w:val="clear" w:color="auto" w:fill="auto"/>
            <w:noWrap/>
            <w:vAlign w:val="bottom"/>
            <w:hideMark/>
          </w:tcPr>
          <w:p w14:paraId="2D4D045F"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1</w:t>
            </w:r>
          </w:p>
        </w:tc>
        <w:tc>
          <w:tcPr>
            <w:tcW w:w="1560" w:type="dxa"/>
            <w:tcBorders>
              <w:bottom w:val="single" w:sz="4" w:space="0" w:color="auto"/>
            </w:tcBorders>
            <w:shd w:val="clear" w:color="auto" w:fill="auto"/>
            <w:noWrap/>
            <w:vAlign w:val="bottom"/>
            <w:hideMark/>
          </w:tcPr>
          <w:p w14:paraId="7EAD7A76"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13</w:t>
            </w:r>
          </w:p>
        </w:tc>
        <w:tc>
          <w:tcPr>
            <w:tcW w:w="2692" w:type="dxa"/>
            <w:tcBorders>
              <w:bottom w:val="single" w:sz="4" w:space="0" w:color="auto"/>
            </w:tcBorders>
            <w:shd w:val="clear" w:color="auto" w:fill="auto"/>
            <w:noWrap/>
            <w:vAlign w:val="bottom"/>
            <w:hideMark/>
          </w:tcPr>
          <w:p w14:paraId="60400BC8" w14:textId="77777777" w:rsidR="00D60CD4" w:rsidRPr="001416DB" w:rsidRDefault="00D60CD4" w:rsidP="001416DB">
            <w:pPr>
              <w:suppressAutoHyphens w:val="0"/>
              <w:spacing w:before="40" w:after="40" w:line="220" w:lineRule="exact"/>
              <w:jc w:val="right"/>
              <w:rPr>
                <w:rFonts w:cs="Times New Roman"/>
                <w:sz w:val="18"/>
              </w:rPr>
            </w:pPr>
            <w:r w:rsidRPr="001416DB">
              <w:rPr>
                <w:rFonts w:cs="Times New Roman"/>
                <w:sz w:val="18"/>
              </w:rPr>
              <w:t>14</w:t>
            </w:r>
          </w:p>
        </w:tc>
      </w:tr>
      <w:tr w:rsidR="00D60CD4" w:rsidRPr="001416DB" w14:paraId="4AAF9EE7" w14:textId="77777777" w:rsidTr="001416DB">
        <w:tc>
          <w:tcPr>
            <w:tcW w:w="1559" w:type="dxa"/>
            <w:tcBorders>
              <w:top w:val="single" w:sz="4" w:space="0" w:color="auto"/>
              <w:bottom w:val="single" w:sz="12" w:space="0" w:color="auto"/>
            </w:tcBorders>
            <w:shd w:val="clear" w:color="auto" w:fill="auto"/>
            <w:noWrap/>
            <w:hideMark/>
          </w:tcPr>
          <w:p w14:paraId="68A8941C" w14:textId="77777777" w:rsidR="00D60CD4" w:rsidRPr="001416DB" w:rsidRDefault="00D60CD4" w:rsidP="001416DB">
            <w:pPr>
              <w:suppressAutoHyphens w:val="0"/>
              <w:spacing w:before="80" w:after="80" w:line="220" w:lineRule="exact"/>
              <w:ind w:left="283"/>
              <w:rPr>
                <w:rFonts w:cs="Times New Roman"/>
                <w:b/>
                <w:sz w:val="18"/>
              </w:rPr>
            </w:pPr>
            <w:r w:rsidRPr="001416DB">
              <w:rPr>
                <w:rFonts w:cs="Times New Roman"/>
                <w:b/>
                <w:sz w:val="18"/>
              </w:rPr>
              <w:t>Итого</w:t>
            </w:r>
          </w:p>
        </w:tc>
        <w:tc>
          <w:tcPr>
            <w:tcW w:w="1559" w:type="dxa"/>
            <w:tcBorders>
              <w:top w:val="single" w:sz="4" w:space="0" w:color="auto"/>
              <w:bottom w:val="single" w:sz="12" w:space="0" w:color="auto"/>
            </w:tcBorders>
            <w:shd w:val="clear" w:color="auto" w:fill="auto"/>
            <w:noWrap/>
            <w:vAlign w:val="bottom"/>
            <w:hideMark/>
          </w:tcPr>
          <w:p w14:paraId="2646F1BB" w14:textId="77777777" w:rsidR="00D60CD4" w:rsidRPr="001416DB" w:rsidRDefault="00D60CD4" w:rsidP="001416DB">
            <w:pPr>
              <w:suppressAutoHyphens w:val="0"/>
              <w:spacing w:before="80" w:after="80" w:line="220" w:lineRule="exact"/>
              <w:jc w:val="right"/>
              <w:rPr>
                <w:rFonts w:cs="Times New Roman"/>
                <w:b/>
                <w:sz w:val="18"/>
              </w:rPr>
            </w:pPr>
            <w:r w:rsidRPr="001416DB">
              <w:rPr>
                <w:rFonts w:cs="Times New Roman"/>
                <w:b/>
                <w:sz w:val="18"/>
              </w:rPr>
              <w:t>1 374</w:t>
            </w:r>
          </w:p>
        </w:tc>
        <w:tc>
          <w:tcPr>
            <w:tcW w:w="1560" w:type="dxa"/>
            <w:tcBorders>
              <w:top w:val="single" w:sz="4" w:space="0" w:color="auto"/>
              <w:bottom w:val="single" w:sz="12" w:space="0" w:color="auto"/>
            </w:tcBorders>
            <w:shd w:val="clear" w:color="auto" w:fill="auto"/>
            <w:noWrap/>
            <w:vAlign w:val="bottom"/>
            <w:hideMark/>
          </w:tcPr>
          <w:p w14:paraId="0AB45A92" w14:textId="77777777" w:rsidR="00D60CD4" w:rsidRPr="001416DB" w:rsidRDefault="00D60CD4" w:rsidP="001416DB">
            <w:pPr>
              <w:suppressAutoHyphens w:val="0"/>
              <w:spacing w:before="80" w:after="80" w:line="220" w:lineRule="exact"/>
              <w:jc w:val="right"/>
              <w:rPr>
                <w:rFonts w:cs="Times New Roman"/>
                <w:b/>
                <w:sz w:val="18"/>
              </w:rPr>
            </w:pPr>
            <w:r w:rsidRPr="001416DB">
              <w:rPr>
                <w:rFonts w:cs="Times New Roman"/>
                <w:b/>
                <w:sz w:val="18"/>
              </w:rPr>
              <w:t>839</w:t>
            </w:r>
          </w:p>
        </w:tc>
        <w:tc>
          <w:tcPr>
            <w:tcW w:w="2692" w:type="dxa"/>
            <w:tcBorders>
              <w:top w:val="single" w:sz="4" w:space="0" w:color="auto"/>
              <w:bottom w:val="single" w:sz="12" w:space="0" w:color="auto"/>
            </w:tcBorders>
            <w:shd w:val="clear" w:color="auto" w:fill="auto"/>
            <w:noWrap/>
            <w:vAlign w:val="bottom"/>
            <w:hideMark/>
          </w:tcPr>
          <w:p w14:paraId="44033907" w14:textId="77777777" w:rsidR="00D60CD4" w:rsidRPr="001416DB" w:rsidRDefault="00D60CD4" w:rsidP="001416DB">
            <w:pPr>
              <w:suppressAutoHyphens w:val="0"/>
              <w:spacing w:before="80" w:after="80" w:line="220" w:lineRule="exact"/>
              <w:jc w:val="right"/>
              <w:rPr>
                <w:rFonts w:cs="Times New Roman"/>
                <w:b/>
                <w:sz w:val="18"/>
              </w:rPr>
            </w:pPr>
            <w:r w:rsidRPr="001416DB">
              <w:rPr>
                <w:rFonts w:cs="Times New Roman"/>
                <w:b/>
                <w:sz w:val="18"/>
              </w:rPr>
              <w:t>2 213</w:t>
            </w:r>
          </w:p>
        </w:tc>
      </w:tr>
    </w:tbl>
    <w:p w14:paraId="4E6FEA32" w14:textId="77777777" w:rsidR="00D60CD4" w:rsidRPr="00FA6F7B" w:rsidRDefault="00D60CD4" w:rsidP="00D60CD4">
      <w:pPr>
        <w:pStyle w:val="SingleTxtG"/>
        <w:spacing w:before="240"/>
      </w:pPr>
      <w:r>
        <w:t>240.</w:t>
      </w:r>
      <w:r>
        <w:tab/>
        <w:t>Государство-участник через посредство ЗАДЛИ расширяет права и возможности как инвалидов, так и групп инвалидов, предоставляя им гранты для получения средств к существованию в целях повышения их уровня жизни. Оно</w:t>
      </w:r>
      <w:r w:rsidR="001416DB">
        <w:t> </w:t>
      </w:r>
      <w:r>
        <w:t xml:space="preserve">оказывает поддержку фермерам с инвалидностью в подготовке земли для ведения сельского хозяйства и предоставляет им бесплатные средства сельскохозяйственного производства. </w:t>
      </w:r>
    </w:p>
    <w:p w14:paraId="367857AE" w14:textId="77777777" w:rsidR="00D60CD4" w:rsidRPr="00FA6F7B" w:rsidRDefault="00D60CD4" w:rsidP="00D60CD4">
      <w:pPr>
        <w:pStyle w:val="SingleTxtG"/>
      </w:pPr>
      <w:r>
        <w:t>241.</w:t>
      </w:r>
      <w:r>
        <w:tab/>
        <w:t>Министерство общинного развития и социальных служб оказывает помощь уязвимым, но жизнеспособным фермерам, в том числе инвалидам, в виде бесплатных средств сельскохозяйственного производства. В то же время через Министерство сельского хозяйства инвалиды пользуются Программой поддержки фермеров в сфере удобрений, которая была создана для субсидирования средств сельскохозяйственного производства для земледельцев.</w:t>
      </w:r>
    </w:p>
    <w:p w14:paraId="41C88E0B" w14:textId="77777777" w:rsidR="00D60CD4" w:rsidRPr="00FA6F7B" w:rsidRDefault="00D60CD4" w:rsidP="00D60CD4">
      <w:pPr>
        <w:pStyle w:val="SingleTxtG"/>
      </w:pPr>
      <w:r>
        <w:t>242.</w:t>
      </w:r>
      <w:r>
        <w:tab/>
        <w:t xml:space="preserve">Государство-участник через Министерство по делам молодежи, спорта и развития детей предоставляет ссуды молодежи, в том числе молодым людям с инвалидностью, для занятия деятельностью, приносящей доход. </w:t>
      </w:r>
    </w:p>
    <w:p w14:paraId="45FE220C" w14:textId="77777777" w:rsidR="00D60CD4" w:rsidRPr="00FA6F7B" w:rsidRDefault="00D60CD4" w:rsidP="00D60CD4">
      <w:pPr>
        <w:pStyle w:val="SingleTxtG"/>
      </w:pPr>
      <w:r>
        <w:t>243.</w:t>
      </w:r>
      <w:r>
        <w:tab/>
        <w:t xml:space="preserve">Государство-участник признает, что существующие программы социальной защиты все еще нуждаются в расширении с точки зрения числа бенефициаров-инвалидов в целях повышения их уровня жизни. </w:t>
      </w:r>
    </w:p>
    <w:p w14:paraId="416D0F56" w14:textId="77777777" w:rsidR="00D60CD4" w:rsidRPr="00FA6F7B" w:rsidRDefault="00D60CD4" w:rsidP="00D60CD4">
      <w:pPr>
        <w:pStyle w:val="H23G"/>
      </w:pPr>
      <w:bookmarkStart w:id="68" w:name="_Toc141932556"/>
      <w:bookmarkStart w:id="69" w:name="_Toc348505242"/>
      <w:bookmarkStart w:id="70" w:name="_Toc304981230"/>
      <w:r>
        <w:tab/>
      </w:r>
      <w:r>
        <w:tab/>
      </w:r>
      <w:r>
        <w:rPr>
          <w:bCs/>
        </w:rPr>
        <w:t>Статья 29</w:t>
      </w:r>
      <w:r w:rsidR="001416DB">
        <w:rPr>
          <w:bCs/>
        </w:rPr>
        <w:br/>
      </w:r>
      <w:r>
        <w:rPr>
          <w:bCs/>
        </w:rPr>
        <w:tab/>
        <w:t>Участие в политической и общественной жизни</w:t>
      </w:r>
      <w:bookmarkStart w:id="71" w:name="_Toc53587140"/>
      <w:bookmarkEnd w:id="68"/>
      <w:bookmarkEnd w:id="69"/>
      <w:bookmarkEnd w:id="70"/>
      <w:bookmarkEnd w:id="71"/>
    </w:p>
    <w:p w14:paraId="0FF21C14" w14:textId="77777777" w:rsidR="00D60CD4" w:rsidRPr="00FA6F7B" w:rsidRDefault="00D60CD4" w:rsidP="00D60CD4">
      <w:pPr>
        <w:pStyle w:val="SingleTxtG"/>
      </w:pPr>
      <w:r>
        <w:t>244.</w:t>
      </w:r>
      <w:r>
        <w:tab/>
        <w:t xml:space="preserve">Государство-участник признает, что инвалиды имеют право на участие в политической и общественной жизни. С учетом этого государство-участник приняло как законодательные, так и административные меры для поощрения и защиты данного права. </w:t>
      </w:r>
    </w:p>
    <w:p w14:paraId="562BE9D4" w14:textId="77777777" w:rsidR="00D60CD4" w:rsidRPr="00FA6F7B" w:rsidRDefault="00D60CD4" w:rsidP="00D60CD4">
      <w:pPr>
        <w:pStyle w:val="SingleTxtG"/>
      </w:pPr>
      <w:r>
        <w:t>245.</w:t>
      </w:r>
      <w:r>
        <w:tab/>
        <w:t>Пункт 1 с) статьи 45 пересмотренной Конституции Замбии предусматривает справедливое представительство в обществе различных заинтересованных групп.</w:t>
      </w:r>
    </w:p>
    <w:p w14:paraId="6DB65D8D" w14:textId="77777777" w:rsidR="00D60CD4" w:rsidRPr="00FA6F7B" w:rsidRDefault="00D60CD4" w:rsidP="00D60CD4">
      <w:pPr>
        <w:pStyle w:val="SingleTxtG"/>
      </w:pPr>
      <w:r>
        <w:lastRenderedPageBreak/>
        <w:t>246.</w:t>
      </w:r>
      <w:r>
        <w:tab/>
        <w:t xml:space="preserve">Статья 46 Конституции гарантирует право всех граждан делать политический выбор, создавать политические партии, участвовать в деятельности политических партий, а также голосовать на выборах в любой законодательный орган, созданный в соответствии с Конституцией, и делать это путем тайного голосования, а также выдвигать свою кандидатуру на государственную должность и, в случае избрания, занимать эту должность. </w:t>
      </w:r>
    </w:p>
    <w:p w14:paraId="082FEDE0" w14:textId="77777777" w:rsidR="00D60CD4" w:rsidRPr="00FA6F7B" w:rsidRDefault="00D60CD4" w:rsidP="00D60CD4">
      <w:pPr>
        <w:pStyle w:val="SingleTxtG"/>
      </w:pPr>
      <w:r>
        <w:t>247.</w:t>
      </w:r>
      <w:r>
        <w:tab/>
        <w:t xml:space="preserve">Государство-участник добилось прогресса в деле расширения участия инвалидов в политической жизни. Существует несколько законодательных актов, которые гарантируют инвалидам эти права и которые, когда они будут применены в полном объеме, позволят инвалидам преодолеть ограничения, мешающие им пользоваться этими правами. </w:t>
      </w:r>
    </w:p>
    <w:p w14:paraId="31C56366" w14:textId="77777777" w:rsidR="00D60CD4" w:rsidRPr="00FA6F7B" w:rsidRDefault="00D60CD4" w:rsidP="00D60CD4">
      <w:pPr>
        <w:pStyle w:val="SingleTxtG"/>
      </w:pPr>
      <w:r>
        <w:t>248.</w:t>
      </w:r>
      <w:r>
        <w:tab/>
        <w:t>Статья 51 Закона о людях с инвалидностью предусматривает право и возможность инвалидов голосовать и быть избранными.</w:t>
      </w:r>
    </w:p>
    <w:p w14:paraId="7C82FC4B" w14:textId="77777777" w:rsidR="00D60CD4" w:rsidRPr="00FA6F7B" w:rsidRDefault="00D60CD4" w:rsidP="00D60CD4">
      <w:pPr>
        <w:pStyle w:val="SingleTxtG"/>
      </w:pPr>
      <w:r>
        <w:t>249.</w:t>
      </w:r>
      <w:r>
        <w:tab/>
        <w:t>В ходе избирательного цикла 2016 года инвалиды принимали активное участие в процедуре голосования. Они были вовлечены на протяжении всего программного цикла, в том числе на этапах разработки, реализации, мониторинга и оценки.</w:t>
      </w:r>
    </w:p>
    <w:p w14:paraId="4815CAF2" w14:textId="77777777" w:rsidR="00D60CD4" w:rsidRPr="00FA6F7B" w:rsidRDefault="00D60CD4" w:rsidP="00D60CD4">
      <w:pPr>
        <w:pStyle w:val="SingleTxtG"/>
      </w:pPr>
      <w:r>
        <w:t>250.</w:t>
      </w:r>
      <w:r>
        <w:tab/>
        <w:t xml:space="preserve">Люди с инвалидностью были набраны Избирательной комиссией Замбии в качестве сотрудников избирательных участков для работы во время регистрации избирателей. </w:t>
      </w:r>
    </w:p>
    <w:p w14:paraId="07178FF1" w14:textId="77777777" w:rsidR="00D60CD4" w:rsidRPr="00FA6F7B" w:rsidRDefault="00D60CD4" w:rsidP="00D60CD4">
      <w:pPr>
        <w:pStyle w:val="SingleTxtG"/>
      </w:pPr>
      <w:r>
        <w:t>251.</w:t>
      </w:r>
      <w:r>
        <w:tab/>
        <w:t>Инвалиды были представлены в Комитете по информированию избирателей и комитетах по урегулированию конфликтов. ЗАДЛИ представляло инвалидов на консультативных совещаниях многих заинтересованных сторон.</w:t>
      </w:r>
    </w:p>
    <w:p w14:paraId="2DF9C4DA" w14:textId="77777777" w:rsidR="00D60CD4" w:rsidRPr="00FA6F7B" w:rsidRDefault="00D60CD4" w:rsidP="00D60CD4">
      <w:pPr>
        <w:pStyle w:val="SingleTxtG"/>
      </w:pPr>
      <w:r>
        <w:t>252.</w:t>
      </w:r>
      <w:r>
        <w:tab/>
        <w:t>Инвалиды были представлены в качестве наблюдателей в ходе печатания избирательных бюллетеней в Дубае. С другой стороны, инвалиды были также представлены при проверке избирательных бюллетеней в округе Чонгве в провинции Лусака.</w:t>
      </w:r>
    </w:p>
    <w:p w14:paraId="6201B0CA" w14:textId="77777777" w:rsidR="00D60CD4" w:rsidRPr="00FA6F7B" w:rsidRDefault="00D60CD4" w:rsidP="00D60CD4">
      <w:pPr>
        <w:pStyle w:val="SingleTxtG"/>
      </w:pPr>
      <w:r>
        <w:t>253.</w:t>
      </w:r>
      <w:r>
        <w:tab/>
        <w:t xml:space="preserve">Для слепых были напечатаны специальные обложки со шрифтом Брайля, с тем чтобы они могли воспользоваться своим правом голоса и сделать это путем тайного голосования. </w:t>
      </w:r>
    </w:p>
    <w:p w14:paraId="75E82E2A" w14:textId="77777777" w:rsidR="00D60CD4" w:rsidRPr="00FA6F7B" w:rsidRDefault="00D60CD4" w:rsidP="00D60CD4">
      <w:pPr>
        <w:pStyle w:val="SingleTxtG"/>
      </w:pPr>
      <w:r>
        <w:t>254.</w:t>
      </w:r>
      <w:r>
        <w:tab/>
        <w:t>На некоторых избирательных участках, особенно в городских районах, Избирательная комиссия Замбии (ИКЗ) установила временные пандусы для облегчения самостоятельного участия инвалидов. ИКЗ также выбрала избирательные участки, оборудованные пандусами, особенно в школах.</w:t>
      </w:r>
    </w:p>
    <w:p w14:paraId="673FF9F7" w14:textId="77777777" w:rsidR="00D60CD4" w:rsidRPr="00FA6F7B" w:rsidRDefault="00D60CD4" w:rsidP="00D60CD4">
      <w:pPr>
        <w:pStyle w:val="SingleTxtG"/>
      </w:pPr>
      <w:r>
        <w:t>255.</w:t>
      </w:r>
      <w:r>
        <w:tab/>
        <w:t xml:space="preserve">В период, предшествовавший всеобщим выборам 2016 года, ИКЗ предоставляла избирателям просветительные материалы, в которых использовался шрифт Брайля и письменный жестовый язык. В программах национального телевидения также работали переводчики жестового языка. Кроме того, предоставлялись наглядные, легко читаемые просветительные материалы, предназначенные для лиц с интеллектуальными нарушениями. Избирателям предоставлялись также просветительные материалы с крупным шрифтом. </w:t>
      </w:r>
    </w:p>
    <w:p w14:paraId="1C656A8D" w14:textId="77777777" w:rsidR="00D60CD4" w:rsidRPr="00FA6F7B" w:rsidRDefault="00D60CD4" w:rsidP="00D60CD4">
      <w:pPr>
        <w:pStyle w:val="H4G"/>
      </w:pPr>
      <w:r>
        <w:tab/>
      </w:r>
      <w:r>
        <w:tab/>
      </w:r>
      <w:r>
        <w:rPr>
          <w:iCs/>
        </w:rPr>
        <w:t>Занятие государственных должностей</w:t>
      </w:r>
    </w:p>
    <w:p w14:paraId="79B55353" w14:textId="77777777" w:rsidR="00D60CD4" w:rsidRPr="00FA6F7B" w:rsidRDefault="00D60CD4" w:rsidP="00D60CD4">
      <w:pPr>
        <w:pStyle w:val="SingleTxtG"/>
      </w:pPr>
      <w:r>
        <w:t>256.</w:t>
      </w:r>
      <w:r>
        <w:tab/>
        <w:t xml:space="preserve">В период 2003–2016 годов государство-участник активно вовлекало людей с инвалидностью в процесс разработки конституции. Государство-участник назначало инвалидов для участия в процессе конституционного строительства. </w:t>
      </w:r>
    </w:p>
    <w:p w14:paraId="3C4A8885" w14:textId="77777777" w:rsidR="00D60CD4" w:rsidRPr="00FA6F7B" w:rsidRDefault="00D60CD4" w:rsidP="00D60CD4">
      <w:pPr>
        <w:pStyle w:val="SingleTxtG"/>
      </w:pPr>
      <w:r>
        <w:t>257.</w:t>
      </w:r>
      <w:r>
        <w:tab/>
        <w:t xml:space="preserve">Кроме того, государство-участник назначало инвалидов на стратегические государственные должности, такие как должности постоянных секретарей и руководителей государственных бюджетных учреждений и комиссий. </w:t>
      </w:r>
    </w:p>
    <w:p w14:paraId="1264296A" w14:textId="77777777" w:rsidR="00D60CD4" w:rsidRPr="00FA6F7B" w:rsidRDefault="00D60CD4" w:rsidP="00D60CD4">
      <w:pPr>
        <w:pStyle w:val="H23G"/>
      </w:pPr>
      <w:r>
        <w:lastRenderedPageBreak/>
        <w:tab/>
      </w:r>
      <w:r>
        <w:tab/>
      </w:r>
      <w:r>
        <w:rPr>
          <w:bCs/>
        </w:rPr>
        <w:t>Статья 30</w:t>
      </w:r>
      <w:r w:rsidR="001416DB">
        <w:rPr>
          <w:bCs/>
        </w:rPr>
        <w:br/>
      </w:r>
      <w:r>
        <w:rPr>
          <w:bCs/>
        </w:rPr>
        <w:tab/>
        <w:t>Участие в культурной жизни, проведении досуга и отдыха и занятии спортом</w:t>
      </w:r>
      <w:bookmarkStart w:id="72" w:name="_Toc53587141"/>
      <w:bookmarkEnd w:id="72"/>
    </w:p>
    <w:p w14:paraId="27958BD8" w14:textId="77777777" w:rsidR="00D60CD4" w:rsidRPr="00FA6F7B" w:rsidRDefault="00D60CD4" w:rsidP="00D60CD4">
      <w:pPr>
        <w:pStyle w:val="SingleTxtG"/>
      </w:pPr>
      <w:r>
        <w:t>258.</w:t>
      </w:r>
      <w:r>
        <w:tab/>
        <w:t xml:space="preserve">Государство-участник признает, что инвалиды имеют право на участие в культурной жизни, проведении досуга и отдыха и занятии спортом. С учетом этого государство-участник приняло законодательные меры для защиты данного права. </w:t>
      </w:r>
    </w:p>
    <w:p w14:paraId="2F22AA1F" w14:textId="77777777" w:rsidR="00D60CD4" w:rsidRPr="00FA6F7B" w:rsidRDefault="00D60CD4" w:rsidP="00D60CD4">
      <w:pPr>
        <w:pStyle w:val="SingleTxtG"/>
      </w:pPr>
      <w:r>
        <w:t>259.</w:t>
      </w:r>
      <w:r>
        <w:tab/>
        <w:t xml:space="preserve">Статья 20 Закона о людях с инвалидностью гарантирует всем инвалидам право на участие в культурной жизни, проведении досуга и отдыха и занятии спортом. </w:t>
      </w:r>
    </w:p>
    <w:p w14:paraId="5FE53A21" w14:textId="77777777" w:rsidR="00D60CD4" w:rsidRPr="00FA6F7B" w:rsidRDefault="00D60CD4" w:rsidP="00D60CD4">
      <w:pPr>
        <w:pStyle w:val="SingleTxtG"/>
      </w:pPr>
      <w:r>
        <w:t>260.</w:t>
      </w:r>
      <w:r>
        <w:tab/>
        <w:t xml:space="preserve">В рамках своей Паралимпийской программы государство-участник по линии как Министерства по делам молодежи и спорта, так и Министерства образования поощряет и внедряет спорт для инвалидов. </w:t>
      </w:r>
    </w:p>
    <w:p w14:paraId="77F40024" w14:textId="77777777" w:rsidR="00D60CD4" w:rsidRPr="00FA6F7B" w:rsidRDefault="00D60CD4" w:rsidP="00D60CD4">
      <w:pPr>
        <w:pStyle w:val="SingleTxtG"/>
      </w:pPr>
      <w:r>
        <w:t>261.</w:t>
      </w:r>
      <w:r>
        <w:tab/>
        <w:t xml:space="preserve">Государство-участник также оказывает поддержку Паралимпийскому комитету Замбии в подготовке к международным Паралимпийским играм и обеспечении участия в них. </w:t>
      </w:r>
    </w:p>
    <w:p w14:paraId="66B66474" w14:textId="77777777" w:rsidR="00D60CD4" w:rsidRPr="00FA6F7B" w:rsidRDefault="00D60CD4" w:rsidP="00D60CD4">
      <w:pPr>
        <w:pStyle w:val="SingleTxtG"/>
      </w:pPr>
      <w:r>
        <w:t>262.</w:t>
      </w:r>
      <w:r>
        <w:tab/>
        <w:t>Государство-участник через Министерство по делам молодежи, спорта и развития детей проводит в молодежных справочно-информационных центрах продуманную политику, направленную на предотвращение маргинализации</w:t>
      </w:r>
      <w:r w:rsidRPr="007E07E5">
        <w:t xml:space="preserve"> </w:t>
      </w:r>
      <w:r>
        <w:t>инвалидов путем обеспечения того, чтобы дети и молодежь, независимо от их физических проблем, имели равный доступ к профессиональной подготовке и занятиям спортом. Министерство также обеспечивает удобную для пользователей спортивную инфраструктуру для инвалидов.</w:t>
      </w:r>
    </w:p>
    <w:p w14:paraId="7E38AE3F" w14:textId="77777777" w:rsidR="00D60CD4" w:rsidRPr="00FA6F7B" w:rsidRDefault="00D60CD4" w:rsidP="00D60CD4">
      <w:pPr>
        <w:pStyle w:val="SingleTxtG"/>
      </w:pPr>
      <w:r>
        <w:t>263.</w:t>
      </w:r>
      <w:r>
        <w:tab/>
        <w:t xml:space="preserve">Вместе с тем государство-участник признает, что еще многое предстоит сделать для обеспечения доступа к сфере туризма и объектам наследия. </w:t>
      </w:r>
    </w:p>
    <w:p w14:paraId="5F81AD9B" w14:textId="77777777" w:rsidR="00D60CD4" w:rsidRPr="00FA6F7B" w:rsidRDefault="00D60CD4" w:rsidP="00D60CD4">
      <w:pPr>
        <w:pStyle w:val="H23G"/>
      </w:pPr>
      <w:r>
        <w:tab/>
      </w:r>
      <w:r>
        <w:tab/>
      </w:r>
      <w:r>
        <w:rPr>
          <w:bCs/>
        </w:rPr>
        <w:t>Статья 31</w:t>
      </w:r>
      <w:r w:rsidR="001416DB">
        <w:rPr>
          <w:bCs/>
        </w:rPr>
        <w:br/>
      </w:r>
      <w:r>
        <w:rPr>
          <w:bCs/>
        </w:rPr>
        <w:tab/>
        <w:t>Статистика и сбор данных</w:t>
      </w:r>
      <w:r>
        <w:t xml:space="preserve"> </w:t>
      </w:r>
      <w:bookmarkStart w:id="73" w:name="_Toc53587142"/>
      <w:bookmarkEnd w:id="73"/>
    </w:p>
    <w:p w14:paraId="0CEE03EE" w14:textId="77777777" w:rsidR="00D60CD4" w:rsidRPr="00FA6F7B" w:rsidRDefault="00D60CD4" w:rsidP="00D60CD4">
      <w:pPr>
        <w:pStyle w:val="SingleTxtG"/>
      </w:pPr>
      <w:r>
        <w:t>264.</w:t>
      </w:r>
      <w:r>
        <w:tab/>
        <w:t>Государство-участник обязуется собирать дезагрегированные данные об инвалидах. В 2015 году государство-участник с помощью Центрального статистического управления и Университета Замбии провело национальное обследование по вопросам инвалидности. Предварительные результаты свидетельствовали о том, что доля инвалидов в населении страны составляет 7,2</w:t>
      </w:r>
      <w:r w:rsidR="00AF1E70">
        <w:t xml:space="preserve"> %</w:t>
      </w:r>
      <w:r>
        <w:t xml:space="preserve">. </w:t>
      </w:r>
    </w:p>
    <w:p w14:paraId="2219752A" w14:textId="77777777" w:rsidR="00D60CD4" w:rsidRPr="00FA6F7B" w:rsidRDefault="00D60CD4" w:rsidP="00D60CD4">
      <w:pPr>
        <w:pStyle w:val="SingleTxtG"/>
      </w:pPr>
      <w:r>
        <w:t>265.</w:t>
      </w:r>
      <w:r>
        <w:tab/>
        <w:t>Обследование 2015 года было более всеобъемлющим, поскольку оно включало в себя перечень из шести вопросов по инвалидности Международной классификации функционирования (МКФ) и Вашингтонской группы. На этапе планирования обследования, а также в кампаниях по повышению осведомленности об обследовании также участвовали организации инвалидов и организации, занимающиеся вопросами инвалидов.</w:t>
      </w:r>
    </w:p>
    <w:p w14:paraId="45B08C79" w14:textId="77777777" w:rsidR="00D60CD4" w:rsidRPr="00FA6F7B" w:rsidRDefault="00D60CD4" w:rsidP="00D60CD4">
      <w:pPr>
        <w:pStyle w:val="SingleTxtG"/>
      </w:pPr>
      <w:r>
        <w:t>266.</w:t>
      </w:r>
      <w:r>
        <w:tab/>
        <w:t>Государство-участник через ЗАДЛИ при поддержке МОТ разрабатывает Информационную систему управления вопросами инвалидности (ИСУИ) в целях укрепления его институционального потенциала в области сбора и анализа данных об инвалидах. Процесс разработки достиг продвинутой стадии, и ожидается, что ИСУИ будет введена в действие к концу 2017 года.</w:t>
      </w:r>
    </w:p>
    <w:p w14:paraId="2109CAFC" w14:textId="77777777" w:rsidR="00D60CD4" w:rsidRPr="00FA6F7B" w:rsidRDefault="00D60CD4" w:rsidP="00D60CD4">
      <w:pPr>
        <w:pStyle w:val="SingleTxtG"/>
      </w:pPr>
      <w:r>
        <w:t>267.</w:t>
      </w:r>
      <w:r>
        <w:tab/>
        <w:t>Государство-участник через Центральное статистическое управление каждые десять лет проводит национальную перепись населения и жилого фонда и включает в нее информацию об инвалидах.</w:t>
      </w:r>
    </w:p>
    <w:p w14:paraId="0FBCF4E6" w14:textId="77777777" w:rsidR="00D60CD4" w:rsidRPr="00FA6F7B" w:rsidRDefault="00D60CD4" w:rsidP="00D60CD4">
      <w:pPr>
        <w:pStyle w:val="H23G"/>
      </w:pPr>
      <w:r>
        <w:tab/>
      </w:r>
      <w:r>
        <w:tab/>
      </w:r>
      <w:r>
        <w:rPr>
          <w:bCs/>
        </w:rPr>
        <w:t>Статья 32</w:t>
      </w:r>
      <w:r w:rsidR="001416DB">
        <w:rPr>
          <w:bCs/>
        </w:rPr>
        <w:br/>
      </w:r>
      <w:r>
        <w:rPr>
          <w:bCs/>
        </w:rPr>
        <w:tab/>
        <w:t>Международное сотрудничество</w:t>
      </w:r>
      <w:r>
        <w:t xml:space="preserve"> </w:t>
      </w:r>
      <w:bookmarkStart w:id="74" w:name="_Toc53587143"/>
      <w:bookmarkEnd w:id="74"/>
    </w:p>
    <w:p w14:paraId="5F0BDCBE" w14:textId="49D50A8C" w:rsidR="00D60CD4" w:rsidRPr="00FA6F7B" w:rsidRDefault="00D60CD4" w:rsidP="00D60CD4">
      <w:pPr>
        <w:pStyle w:val="SingleTxtG"/>
      </w:pPr>
      <w:r>
        <w:t>268.</w:t>
      </w:r>
      <w:r>
        <w:tab/>
        <w:t>Учреждения Организации Объединенных Наций в Замбии назначили МОТ в качестве своего ведущего учреждения по учету вопросов инвалидности и координации соответствующих усилий в рамках проектов и программ. Кроме того, существует совместное соглашение между правительством Республики Замбия и Организацией Объединенных Наций (ПРЗ</w:t>
      </w:r>
      <w:r w:rsidR="005742F8">
        <w:t>-</w:t>
      </w:r>
      <w:r>
        <w:t xml:space="preserve">ООН) о планировании программ социальной защиты, которое включает вопросы инвалидности. Это свидетельствует о доброй воле международного сообщества к сотрудничеству с государством-участником. </w:t>
      </w:r>
    </w:p>
    <w:p w14:paraId="65203FE9" w14:textId="77777777" w:rsidR="00D60CD4" w:rsidRPr="00FA6F7B" w:rsidRDefault="00D60CD4" w:rsidP="00D60CD4">
      <w:pPr>
        <w:pStyle w:val="SingleTxtG"/>
      </w:pPr>
      <w:r>
        <w:lastRenderedPageBreak/>
        <w:t>269.</w:t>
      </w:r>
      <w:r>
        <w:tab/>
        <w:t xml:space="preserve">Государство-участник также подписывает с сотрудничающими партнерами совместные финансовые соглашения (СФС) для обеспечения надлежащего учета средств. Например, существует СФС по программам социальной защиты. </w:t>
      </w:r>
    </w:p>
    <w:p w14:paraId="2140B426" w14:textId="77777777" w:rsidR="00D60CD4" w:rsidRPr="00FA6F7B" w:rsidRDefault="00D60CD4" w:rsidP="00D60CD4">
      <w:pPr>
        <w:pStyle w:val="SingleTxtG"/>
      </w:pPr>
      <w:r>
        <w:t>270.</w:t>
      </w:r>
      <w:r>
        <w:tab/>
        <w:t>Одной из ключевых программ, непосредственно ориентированных на инвалидов, является программа социальных денежных выплат, в рамках которой инвалиды составляют 10</w:t>
      </w:r>
      <w:r w:rsidR="00C87A17">
        <w:t xml:space="preserve"> </w:t>
      </w:r>
      <w:r w:rsidR="00AF1E70">
        <w:t>%</w:t>
      </w:r>
      <w:r>
        <w:t xml:space="preserve"> бенефициаров. Правительство увеличило финансирование программ социальной защиты в бюджете 2017 года, в частности увеличило социальные денежные выплаты с 250 млн квачей в 2016 году до 500 млн квачей в 2017</w:t>
      </w:r>
      <w:r w:rsidR="001416DB">
        <w:t> </w:t>
      </w:r>
      <w:r>
        <w:t>году. С тех пор программа социальных денежных выплат, которая охватывала 78</w:t>
      </w:r>
      <w:r w:rsidR="001416DB">
        <w:t> </w:t>
      </w:r>
      <w:r>
        <w:t>округов в 2016 году, была распространена на все округа страны, и ожидается, что число бенефициаров программы возрастет с 242 000 домохозяйств в настоящее время до примерно 590 000 домохозяйств в 2017 году.</w:t>
      </w:r>
    </w:p>
    <w:p w14:paraId="5B3E80C1" w14:textId="37E54132" w:rsidR="00D60CD4" w:rsidRPr="00FA6F7B" w:rsidRDefault="00D60CD4" w:rsidP="00D60CD4">
      <w:pPr>
        <w:pStyle w:val="H23G"/>
      </w:pPr>
      <w:r>
        <w:tab/>
      </w:r>
      <w:r>
        <w:tab/>
      </w:r>
      <w:r>
        <w:rPr>
          <w:bCs/>
        </w:rPr>
        <w:t>Статья 33</w:t>
      </w:r>
      <w:r w:rsidR="005742F8">
        <w:rPr>
          <w:bCs/>
        </w:rPr>
        <w:br/>
      </w:r>
      <w:r>
        <w:rPr>
          <w:bCs/>
        </w:rPr>
        <w:tab/>
        <w:t>Национальное осуществление и мониторинг</w:t>
      </w:r>
      <w:r>
        <w:t xml:space="preserve"> </w:t>
      </w:r>
      <w:bookmarkStart w:id="75" w:name="_Toc53587144"/>
      <w:bookmarkEnd w:id="75"/>
    </w:p>
    <w:p w14:paraId="07DE534B" w14:textId="77777777" w:rsidR="00D60CD4" w:rsidRPr="00FA6F7B" w:rsidRDefault="00D60CD4" w:rsidP="00D60CD4">
      <w:pPr>
        <w:pStyle w:val="SingleTxtG"/>
      </w:pPr>
      <w:r>
        <w:t>271.</w:t>
      </w:r>
      <w:r>
        <w:tab/>
        <w:t xml:space="preserve">Государство-участник назначило координаторов по вопросам инвалидности во всех министерствах и бюджетных учреждениях. </w:t>
      </w:r>
    </w:p>
    <w:p w14:paraId="772E1C4A" w14:textId="77777777" w:rsidR="00C87A17" w:rsidRDefault="00D60CD4" w:rsidP="00D60CD4">
      <w:pPr>
        <w:pStyle w:val="SingleTxtG"/>
      </w:pPr>
      <w:r>
        <w:t>272.</w:t>
      </w:r>
      <w:r>
        <w:tab/>
        <w:t xml:space="preserve">Сеть африканских национальных учреждений по вопросам прав человека, с которой связана Комиссия по правам человека Замбии, разработала руководство по мониторингу за осуществлением КПИ для национальных правозащитных учреждений в Африке в соответствии со статьей 33 КПИ. Это руководство было предварительно опробовано в Замбии и готово к использованию. </w:t>
      </w:r>
    </w:p>
    <w:p w14:paraId="3F003DFE" w14:textId="77777777" w:rsidR="001416DB" w:rsidRDefault="00D60CD4" w:rsidP="00D60CD4">
      <w:pPr>
        <w:pStyle w:val="HChG"/>
      </w:pPr>
      <w:r>
        <w:tab/>
      </w:r>
    </w:p>
    <w:p w14:paraId="0756FD89" w14:textId="77777777" w:rsidR="001416DB" w:rsidRDefault="001416DB">
      <w:pPr>
        <w:suppressAutoHyphens w:val="0"/>
        <w:spacing w:line="240" w:lineRule="auto"/>
        <w:rPr>
          <w:rFonts w:eastAsia="Times New Roman" w:cs="Times New Roman"/>
          <w:b/>
          <w:sz w:val="28"/>
          <w:szCs w:val="20"/>
          <w:lang w:eastAsia="ru-RU"/>
        </w:rPr>
      </w:pPr>
      <w:r>
        <w:br w:type="page"/>
      </w:r>
    </w:p>
    <w:p w14:paraId="2F493674" w14:textId="77777777" w:rsidR="00D60CD4" w:rsidRPr="00FA6F7B" w:rsidRDefault="001416DB" w:rsidP="00D60CD4">
      <w:pPr>
        <w:pStyle w:val="HChG"/>
      </w:pPr>
      <w:r>
        <w:rPr>
          <w:bCs/>
        </w:rPr>
        <w:lastRenderedPageBreak/>
        <w:tab/>
      </w:r>
      <w:r>
        <w:rPr>
          <w:bCs/>
        </w:rPr>
        <w:tab/>
      </w:r>
      <w:r w:rsidR="00D60CD4">
        <w:rPr>
          <w:bCs/>
        </w:rPr>
        <w:t>Справочные материалы</w:t>
      </w:r>
      <w:bookmarkStart w:id="76" w:name="_Toc53587145"/>
      <w:bookmarkEnd w:id="76"/>
    </w:p>
    <w:p w14:paraId="26BAD722" w14:textId="77777777" w:rsidR="00D60CD4" w:rsidRPr="001416DB" w:rsidRDefault="00D60CD4" w:rsidP="001416DB">
      <w:pPr>
        <w:pStyle w:val="SingleTxtG"/>
      </w:pPr>
      <w:r w:rsidRPr="001416DB">
        <w:t>1.</w:t>
      </w:r>
      <w:r w:rsidRPr="001416DB">
        <w:tab/>
        <w:t xml:space="preserve">Центральное статистическое управление, </w:t>
      </w:r>
      <w:bookmarkStart w:id="77" w:name="_Hlk67477573"/>
      <w:r w:rsidRPr="001416DB">
        <w:t>Контрольное исследование условий жизни</w:t>
      </w:r>
      <w:bookmarkEnd w:id="77"/>
      <w:r w:rsidRPr="001416DB">
        <w:t>, 2010 год.</w:t>
      </w:r>
    </w:p>
    <w:p w14:paraId="68DC08C5" w14:textId="77777777" w:rsidR="00D60CD4" w:rsidRPr="001416DB" w:rsidRDefault="00D60CD4" w:rsidP="001416DB">
      <w:pPr>
        <w:pStyle w:val="SingleTxtG"/>
      </w:pPr>
      <w:r w:rsidRPr="001416DB">
        <w:t>2.</w:t>
      </w:r>
      <w:r w:rsidRPr="001416DB">
        <w:tab/>
        <w:t>Центральное статистическое управление, Перепись населения и жилого фонда, 2010 год.</w:t>
      </w:r>
    </w:p>
    <w:p w14:paraId="5C494A1A" w14:textId="77777777" w:rsidR="00D60CD4" w:rsidRPr="001416DB" w:rsidRDefault="00D60CD4" w:rsidP="001416DB">
      <w:pPr>
        <w:pStyle w:val="SingleTxtG"/>
      </w:pPr>
      <w:r w:rsidRPr="001416DB">
        <w:t>3.</w:t>
      </w:r>
      <w:r w:rsidRPr="001416DB">
        <w:tab/>
        <w:t>Центральное статистическое управление, Обследование в области демографии и состояния здоровья населения Замбии, 2013 год.</w:t>
      </w:r>
    </w:p>
    <w:p w14:paraId="02ACADCD" w14:textId="77777777" w:rsidR="00D60CD4" w:rsidRPr="001416DB" w:rsidRDefault="00D60CD4" w:rsidP="001416DB">
      <w:pPr>
        <w:pStyle w:val="SingleTxtG"/>
      </w:pPr>
      <w:r w:rsidRPr="001416DB">
        <w:t>4.</w:t>
      </w:r>
      <w:r w:rsidRPr="001416DB">
        <w:tab/>
        <w:t>Центральное статистическое управление, Национальное обследование по вопросам инвалидности в Замбии, предварительный доклад, 2015 год.</w:t>
      </w:r>
    </w:p>
    <w:p w14:paraId="35944998" w14:textId="77777777" w:rsidR="00D60CD4" w:rsidRPr="001416DB" w:rsidRDefault="00D60CD4" w:rsidP="001416DB">
      <w:pPr>
        <w:pStyle w:val="SingleTxtG"/>
      </w:pPr>
      <w:r w:rsidRPr="001416DB">
        <w:t>5.</w:t>
      </w:r>
      <w:r w:rsidRPr="001416DB">
        <w:tab/>
        <w:t>Министерство по делам общинного развития и охране здоровья матери и ребенка, Национальная политика в области инвалидности, май 2015 года.</w:t>
      </w:r>
    </w:p>
    <w:p w14:paraId="14D827F0" w14:textId="77777777" w:rsidR="00D60CD4" w:rsidRPr="001416DB" w:rsidRDefault="00D60CD4" w:rsidP="001416DB">
      <w:pPr>
        <w:pStyle w:val="SingleTxtG"/>
      </w:pPr>
      <w:r w:rsidRPr="001416DB">
        <w:t>6.</w:t>
      </w:r>
      <w:r w:rsidRPr="001416DB">
        <w:tab/>
        <w:t>Министерство по делам общинного развития и охране здоровья матери и ребенка, Национальная политика в области социальной защиты, июнь 2014 года.</w:t>
      </w:r>
    </w:p>
    <w:p w14:paraId="4380D2E4" w14:textId="77777777" w:rsidR="00D60CD4" w:rsidRPr="001416DB" w:rsidRDefault="00D60CD4" w:rsidP="001416DB">
      <w:pPr>
        <w:pStyle w:val="SingleTxtG"/>
      </w:pPr>
      <w:r w:rsidRPr="001416DB">
        <w:t>7.</w:t>
      </w:r>
      <w:r w:rsidRPr="001416DB">
        <w:tab/>
        <w:t>Министерство общинного развития и социальных служб, годовой доклад, 2016</w:t>
      </w:r>
      <w:r w:rsidR="001416DB">
        <w:t> </w:t>
      </w:r>
      <w:r w:rsidRPr="001416DB">
        <w:t xml:space="preserve">год. </w:t>
      </w:r>
    </w:p>
    <w:p w14:paraId="40275137" w14:textId="77777777" w:rsidR="00D60CD4" w:rsidRPr="001416DB" w:rsidRDefault="00D60CD4" w:rsidP="001416DB">
      <w:pPr>
        <w:pStyle w:val="SingleTxtG"/>
      </w:pPr>
      <w:r w:rsidRPr="001416DB">
        <w:t>8.</w:t>
      </w:r>
      <w:r w:rsidRPr="001416DB">
        <w:tab/>
        <w:t xml:space="preserve">Министерство образования, </w:t>
      </w:r>
      <w:r w:rsidR="00AF1E70" w:rsidRPr="001416DB">
        <w:t>«</w:t>
      </w:r>
      <w:r w:rsidRPr="001416DB">
        <w:t>Образование нашего будущего</w:t>
      </w:r>
      <w:r w:rsidR="00AF1E70" w:rsidRPr="001416DB">
        <w:t>»</w:t>
      </w:r>
      <w:r w:rsidRPr="001416DB">
        <w:t xml:space="preserve">: национальная политика в области образования, 1996 год. </w:t>
      </w:r>
    </w:p>
    <w:p w14:paraId="3F638365" w14:textId="77777777" w:rsidR="00D60CD4" w:rsidRPr="001416DB" w:rsidRDefault="00D60CD4" w:rsidP="001416DB">
      <w:pPr>
        <w:pStyle w:val="SingleTxtG"/>
      </w:pPr>
      <w:r w:rsidRPr="001416DB">
        <w:t>9.</w:t>
      </w:r>
      <w:r w:rsidRPr="001416DB">
        <w:tab/>
        <w:t>Министерство юстиции, Закон № 1 о борьбе с гендерным насилием 2011 года.</w:t>
      </w:r>
    </w:p>
    <w:p w14:paraId="67B4A06A" w14:textId="77777777" w:rsidR="00D60CD4" w:rsidRPr="001416DB" w:rsidRDefault="00D60CD4" w:rsidP="001416DB">
      <w:pPr>
        <w:pStyle w:val="SingleTxtG"/>
      </w:pPr>
      <w:r w:rsidRPr="001416DB">
        <w:t>10.</w:t>
      </w:r>
      <w:r w:rsidRPr="001416DB">
        <w:tab/>
        <w:t>Министерство юстиции, Закон № 13 о предотвращении и ликвидации последствий стихийных бедствий 2010 года.</w:t>
      </w:r>
    </w:p>
    <w:p w14:paraId="177B03D6" w14:textId="77777777" w:rsidR="00D60CD4" w:rsidRPr="001416DB" w:rsidRDefault="00D60CD4" w:rsidP="001416DB">
      <w:pPr>
        <w:pStyle w:val="SingleTxtG"/>
      </w:pPr>
      <w:r w:rsidRPr="001416DB">
        <w:t>11.</w:t>
      </w:r>
      <w:r w:rsidRPr="001416DB">
        <w:tab/>
        <w:t>Министерство юстиции, Закон № 33 о гражданстве 2016 года.</w:t>
      </w:r>
    </w:p>
    <w:p w14:paraId="654EEFD9" w14:textId="77777777" w:rsidR="00D60CD4" w:rsidRPr="00A44D35" w:rsidRDefault="00D60CD4" w:rsidP="001416DB">
      <w:pPr>
        <w:pStyle w:val="SingleTxtG"/>
      </w:pPr>
      <w:r w:rsidRPr="001416DB">
        <w:t>12.</w:t>
      </w:r>
      <w:r w:rsidRPr="001416DB">
        <w:tab/>
        <w:t xml:space="preserve">Министерство юстиции, Закон № 6 о Комиссии по расширению экономических </w:t>
      </w:r>
      <w:r w:rsidRPr="00A44D35">
        <w:t>прав и возможностей граждан 2006 года.</w:t>
      </w:r>
    </w:p>
    <w:p w14:paraId="20544022" w14:textId="7D1A9A23" w:rsidR="00D60CD4" w:rsidRPr="00A44D35" w:rsidRDefault="00D60CD4" w:rsidP="001416DB">
      <w:pPr>
        <w:pStyle w:val="SingleTxtG"/>
      </w:pPr>
      <w:r w:rsidRPr="00A44D35">
        <w:t>13.</w:t>
      </w:r>
      <w:r w:rsidRPr="00A44D35">
        <w:tab/>
        <w:t xml:space="preserve">Министерство юстиции, Закон № </w:t>
      </w:r>
      <w:r w:rsidR="00A44D35" w:rsidRPr="00A44D35">
        <w:t>23</w:t>
      </w:r>
      <w:r w:rsidRPr="00A44D35">
        <w:t xml:space="preserve"> о</w:t>
      </w:r>
      <w:r w:rsidR="00A44D35" w:rsidRPr="00A44D35">
        <w:t xml:space="preserve">б образовании </w:t>
      </w:r>
      <w:r w:rsidRPr="00A44D35">
        <w:t>2011 года.</w:t>
      </w:r>
    </w:p>
    <w:p w14:paraId="5B2D2C32" w14:textId="39AB20D9" w:rsidR="00D60CD4" w:rsidRPr="001416DB" w:rsidRDefault="00D60CD4" w:rsidP="001416DB">
      <w:pPr>
        <w:pStyle w:val="SingleTxtG"/>
      </w:pPr>
      <w:r w:rsidRPr="00A44D35">
        <w:t>14.</w:t>
      </w:r>
      <w:r w:rsidRPr="00A44D35">
        <w:tab/>
        <w:t>Министерство юстиции, Закон № 1</w:t>
      </w:r>
      <w:r w:rsidR="00A44D35" w:rsidRPr="00A44D35">
        <w:t>5</w:t>
      </w:r>
      <w:r w:rsidRPr="00A44D35">
        <w:t xml:space="preserve"> о </w:t>
      </w:r>
      <w:r w:rsidR="00A44D35" w:rsidRPr="00A44D35">
        <w:t xml:space="preserve">занятости </w:t>
      </w:r>
      <w:r w:rsidRPr="00A44D35">
        <w:t>201</w:t>
      </w:r>
      <w:r w:rsidR="00A44D35" w:rsidRPr="00A44D35">
        <w:t>5</w:t>
      </w:r>
      <w:r w:rsidRPr="00A44D35">
        <w:t xml:space="preserve"> года.</w:t>
      </w:r>
      <w:r w:rsidRPr="001416DB">
        <w:t xml:space="preserve"> </w:t>
      </w:r>
    </w:p>
    <w:p w14:paraId="6F055DD1" w14:textId="77777777" w:rsidR="00D60CD4" w:rsidRPr="001416DB" w:rsidRDefault="00D60CD4" w:rsidP="001416DB">
      <w:pPr>
        <w:pStyle w:val="SingleTxtG"/>
      </w:pPr>
      <w:r w:rsidRPr="001416DB">
        <w:t>15.</w:t>
      </w:r>
      <w:r w:rsidRPr="001416DB">
        <w:tab/>
        <w:t>Министерство юстиции, Закон о правовой помощи, глава 34.</w:t>
      </w:r>
    </w:p>
    <w:p w14:paraId="3BED0B18" w14:textId="77777777" w:rsidR="00D60CD4" w:rsidRPr="001416DB" w:rsidRDefault="00D60CD4" w:rsidP="001416DB">
      <w:pPr>
        <w:pStyle w:val="SingleTxtG"/>
      </w:pPr>
      <w:r w:rsidRPr="001416DB">
        <w:t>16.</w:t>
      </w:r>
      <w:r w:rsidRPr="001416DB">
        <w:tab/>
        <w:t>Министерство юстиции, Закон № 6 о людях с инвалидностью 2012 года.</w:t>
      </w:r>
    </w:p>
    <w:p w14:paraId="0FCF6E6A" w14:textId="77777777" w:rsidR="00D60CD4" w:rsidRPr="001416DB" w:rsidRDefault="00D60CD4" w:rsidP="001416DB">
      <w:pPr>
        <w:pStyle w:val="SingleTxtG"/>
      </w:pPr>
      <w:r w:rsidRPr="001416DB">
        <w:t>17.</w:t>
      </w:r>
      <w:r w:rsidRPr="001416DB">
        <w:tab/>
        <w:t>Министерство юстиции, Закон об Управлении по информационно-коммуникационным технологиям Замбии 2009 года.</w:t>
      </w:r>
    </w:p>
    <w:p w14:paraId="23CB920E" w14:textId="77777777" w:rsidR="00D60CD4" w:rsidRPr="001416DB" w:rsidRDefault="00D60CD4" w:rsidP="001416DB">
      <w:pPr>
        <w:pStyle w:val="SingleTxtG"/>
      </w:pPr>
      <w:r w:rsidRPr="001416DB">
        <w:t>18.</w:t>
      </w:r>
      <w:r w:rsidRPr="001416DB">
        <w:tab/>
        <w:t>Правительство Республики Замбия (ПРЗ), Конституция Замбии с внесенными в нее поправками, 2016 год.</w:t>
      </w:r>
    </w:p>
    <w:p w14:paraId="53AEE9BE" w14:textId="77777777" w:rsidR="00D60CD4" w:rsidRPr="001416DB" w:rsidRDefault="00D60CD4" w:rsidP="001416DB">
      <w:pPr>
        <w:pStyle w:val="SingleTxtG"/>
      </w:pPr>
      <w:r w:rsidRPr="001416DB">
        <w:t>19.</w:t>
      </w:r>
      <w:r w:rsidRPr="001416DB">
        <w:tab/>
        <w:t>Правительство Республики Замбия (ПРЗ), Конституция Замбии, 1994 год.</w:t>
      </w:r>
    </w:p>
    <w:p w14:paraId="784A02E0" w14:textId="77777777" w:rsidR="00D60CD4" w:rsidRPr="001416DB" w:rsidRDefault="00D60CD4" w:rsidP="001416DB">
      <w:pPr>
        <w:pStyle w:val="SingleTxtG"/>
      </w:pPr>
      <w:r w:rsidRPr="001416DB">
        <w:t>20.</w:t>
      </w:r>
      <w:r w:rsidRPr="001416DB">
        <w:tab/>
        <w:t>Конвенция о правах инвалидов Организации Объединенных Наций, 2006 год.</w:t>
      </w:r>
    </w:p>
    <w:p w14:paraId="4A5D37F2" w14:textId="77777777" w:rsidR="00C87A17" w:rsidRDefault="00D60CD4" w:rsidP="00D60CD4">
      <w:pPr>
        <w:pStyle w:val="SingleTxtG"/>
        <w:spacing w:before="240" w:after="0"/>
        <w:jc w:val="center"/>
        <w:rPr>
          <w:u w:val="single"/>
        </w:rPr>
      </w:pPr>
      <w:r w:rsidRPr="00FA6F7B">
        <w:rPr>
          <w:u w:val="single"/>
        </w:rPr>
        <w:tab/>
      </w:r>
      <w:r w:rsidRPr="00FA6F7B">
        <w:rPr>
          <w:u w:val="single"/>
        </w:rPr>
        <w:tab/>
      </w:r>
      <w:r w:rsidRPr="00FA6F7B">
        <w:rPr>
          <w:u w:val="single"/>
        </w:rPr>
        <w:tab/>
      </w:r>
    </w:p>
    <w:p w14:paraId="75382065" w14:textId="77777777" w:rsidR="00381C24" w:rsidRPr="00D60CD4" w:rsidRDefault="00381C24" w:rsidP="00983128"/>
    <w:sectPr w:rsidR="00381C24" w:rsidRPr="00D60CD4" w:rsidSect="00D60CD4">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54ACC" w14:textId="77777777" w:rsidR="004312AD" w:rsidRPr="00A312BC" w:rsidRDefault="004312AD" w:rsidP="00A312BC"/>
  </w:endnote>
  <w:endnote w:type="continuationSeparator" w:id="0">
    <w:p w14:paraId="2DA0014C" w14:textId="77777777" w:rsidR="004312AD" w:rsidRPr="00A312BC" w:rsidRDefault="004312A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2D0F1" w14:textId="77777777" w:rsidR="004312AD" w:rsidRPr="00D60CD4" w:rsidRDefault="004312AD">
    <w:pPr>
      <w:pStyle w:val="a8"/>
    </w:pPr>
    <w:r w:rsidRPr="00D60CD4">
      <w:rPr>
        <w:b/>
        <w:sz w:val="18"/>
      </w:rPr>
      <w:fldChar w:fldCharType="begin"/>
    </w:r>
    <w:r w:rsidRPr="00D60CD4">
      <w:rPr>
        <w:b/>
        <w:sz w:val="18"/>
      </w:rPr>
      <w:instrText xml:space="preserve"> PAGE  \* MERGEFORMAT </w:instrText>
    </w:r>
    <w:r w:rsidRPr="00D60CD4">
      <w:rPr>
        <w:b/>
        <w:sz w:val="18"/>
      </w:rPr>
      <w:fldChar w:fldCharType="separate"/>
    </w:r>
    <w:r w:rsidRPr="00D60CD4">
      <w:rPr>
        <w:b/>
        <w:noProof/>
        <w:sz w:val="18"/>
      </w:rPr>
      <w:t>2</w:t>
    </w:r>
    <w:r w:rsidRPr="00D60CD4">
      <w:rPr>
        <w:b/>
        <w:sz w:val="18"/>
      </w:rPr>
      <w:fldChar w:fldCharType="end"/>
    </w:r>
    <w:r>
      <w:rPr>
        <w:b/>
        <w:sz w:val="18"/>
      </w:rPr>
      <w:tab/>
    </w:r>
    <w:r>
      <w:t>GE.20-13776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D12F1" w14:textId="77777777" w:rsidR="004312AD" w:rsidRPr="00D60CD4" w:rsidRDefault="004312AD" w:rsidP="00D60CD4">
    <w:pPr>
      <w:pStyle w:val="a8"/>
      <w:tabs>
        <w:tab w:val="clear" w:pos="9639"/>
        <w:tab w:val="right" w:pos="9638"/>
      </w:tabs>
      <w:rPr>
        <w:b/>
        <w:sz w:val="18"/>
      </w:rPr>
    </w:pPr>
    <w:r>
      <w:t>GE.20-13776</w:t>
    </w:r>
    <w:r>
      <w:tab/>
    </w:r>
    <w:r w:rsidRPr="00D60CD4">
      <w:rPr>
        <w:b/>
        <w:sz w:val="18"/>
      </w:rPr>
      <w:fldChar w:fldCharType="begin"/>
    </w:r>
    <w:r w:rsidRPr="00D60CD4">
      <w:rPr>
        <w:b/>
        <w:sz w:val="18"/>
      </w:rPr>
      <w:instrText xml:space="preserve"> PAGE  \* MERGEFORMAT </w:instrText>
    </w:r>
    <w:r w:rsidRPr="00D60CD4">
      <w:rPr>
        <w:b/>
        <w:sz w:val="18"/>
      </w:rPr>
      <w:fldChar w:fldCharType="separate"/>
    </w:r>
    <w:r w:rsidRPr="00D60CD4">
      <w:rPr>
        <w:b/>
        <w:noProof/>
        <w:sz w:val="18"/>
      </w:rPr>
      <w:t>3</w:t>
    </w:r>
    <w:r w:rsidRPr="00D60CD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3A5B6" w14:textId="2F1C0754" w:rsidR="004312AD" w:rsidRPr="00D60CD4" w:rsidRDefault="004312AD" w:rsidP="00D60CD4">
    <w:pPr>
      <w:spacing w:before="120" w:line="240" w:lineRule="auto"/>
    </w:pPr>
    <w:r>
      <w:t>GE.</w:t>
    </w:r>
    <w:r>
      <w:rPr>
        <w:b/>
        <w:noProof/>
        <w:lang w:val="fr-CH" w:eastAsia="fr-CH"/>
      </w:rPr>
      <w:drawing>
        <wp:anchor distT="0" distB="0" distL="114300" distR="114300" simplePos="0" relativeHeight="251658240" behindDoc="0" locked="0" layoutInCell="1" allowOverlap="1" wp14:anchorId="23DB3BD1" wp14:editId="2C92870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20-13776  (R)</w:t>
    </w:r>
    <w:r>
      <w:rPr>
        <w:noProof/>
      </w:rPr>
      <w:drawing>
        <wp:anchor distT="0" distB="0" distL="114300" distR="114300" simplePos="0" relativeHeight="251659264" behindDoc="0" locked="0" layoutInCell="1" allowOverlap="1" wp14:anchorId="0C5424E4" wp14:editId="1317FB86">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4D35">
      <w:t xml:space="preserve">   250321  310321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7740D" w14:textId="77777777" w:rsidR="004312AD" w:rsidRPr="001075E9" w:rsidRDefault="004312AD" w:rsidP="001075E9">
      <w:pPr>
        <w:tabs>
          <w:tab w:val="right" w:pos="2155"/>
        </w:tabs>
        <w:spacing w:after="80" w:line="240" w:lineRule="auto"/>
        <w:ind w:left="680"/>
        <w:rPr>
          <w:u w:val="single"/>
        </w:rPr>
      </w:pPr>
      <w:r>
        <w:rPr>
          <w:u w:val="single"/>
        </w:rPr>
        <w:tab/>
      </w:r>
    </w:p>
  </w:footnote>
  <w:footnote w:type="continuationSeparator" w:id="0">
    <w:p w14:paraId="416B03E1" w14:textId="77777777" w:rsidR="004312AD" w:rsidRDefault="004312AD" w:rsidP="00407B78">
      <w:pPr>
        <w:tabs>
          <w:tab w:val="right" w:pos="2155"/>
        </w:tabs>
        <w:spacing w:after="80"/>
        <w:ind w:left="680"/>
        <w:rPr>
          <w:u w:val="single"/>
        </w:rPr>
      </w:pPr>
      <w:r>
        <w:rPr>
          <w:u w:val="single"/>
        </w:rPr>
        <w:tab/>
      </w:r>
    </w:p>
  </w:footnote>
  <w:footnote w:id="1">
    <w:p w14:paraId="1A18FC1A" w14:textId="77777777" w:rsidR="004312AD" w:rsidRPr="00DB5FBE" w:rsidRDefault="004312AD" w:rsidP="00C87A17">
      <w:pPr>
        <w:pStyle w:val="ad"/>
        <w:rPr>
          <w:sz w:val="20"/>
        </w:rPr>
      </w:pPr>
      <w:r>
        <w:tab/>
        <w:t>*</w:t>
      </w:r>
      <w:r>
        <w:tab/>
      </w:r>
      <w:r w:rsidRPr="004C0079">
        <w:t>Настоящий документ выпускается без официального редактирования.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05458" w14:textId="3E503CC3" w:rsidR="004312AD" w:rsidRPr="00D60CD4" w:rsidRDefault="004312AD">
    <w:pPr>
      <w:pStyle w:val="a5"/>
    </w:pPr>
    <w:fldSimple w:instr=" TITLE  \* MERGEFORMAT ">
      <w:r w:rsidR="00041D8C">
        <w:t>CRPD/C/ZMB/1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FD4C9" w14:textId="259768B0" w:rsidR="004312AD" w:rsidRPr="00D60CD4" w:rsidRDefault="004312AD" w:rsidP="00D60CD4">
    <w:pPr>
      <w:pStyle w:val="a5"/>
      <w:jc w:val="right"/>
    </w:pPr>
    <w:fldSimple w:instr=" TITLE  \* MERGEFORMAT ">
      <w:r w:rsidR="00041D8C">
        <w:t>CRPD/C/ZMB/1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F3CDA"/>
    <w:multiLevelType w:val="multilevel"/>
    <w:tmpl w:val="7214D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3"/>
  </w:num>
  <w:num w:numId="3">
    <w:abstractNumId w:val="11"/>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4"/>
  </w:num>
  <w:num w:numId="18">
    <w:abstractNumId w:val="16"/>
  </w:num>
  <w:num w:numId="19">
    <w:abstractNumId w:val="17"/>
  </w:num>
  <w:num w:numId="20">
    <w:abstractNumId w:val="14"/>
  </w:num>
  <w:num w:numId="21">
    <w:abstractNumId w:val="16"/>
  </w:num>
  <w:num w:numId="22">
    <w:abstractNumId w:val="12"/>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2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F1D"/>
    <w:rsid w:val="00011089"/>
    <w:rsid w:val="00026643"/>
    <w:rsid w:val="00033EE1"/>
    <w:rsid w:val="00041D8C"/>
    <w:rsid w:val="00042B72"/>
    <w:rsid w:val="000558BD"/>
    <w:rsid w:val="000B57E7"/>
    <w:rsid w:val="000B6373"/>
    <w:rsid w:val="000B732B"/>
    <w:rsid w:val="000F09DF"/>
    <w:rsid w:val="000F61B2"/>
    <w:rsid w:val="001075E9"/>
    <w:rsid w:val="001416DB"/>
    <w:rsid w:val="001525E1"/>
    <w:rsid w:val="00180183"/>
    <w:rsid w:val="0018024D"/>
    <w:rsid w:val="0018649F"/>
    <w:rsid w:val="00196389"/>
    <w:rsid w:val="001B1043"/>
    <w:rsid w:val="001B3EF6"/>
    <w:rsid w:val="001C499F"/>
    <w:rsid w:val="001C7A89"/>
    <w:rsid w:val="001E7B61"/>
    <w:rsid w:val="00215062"/>
    <w:rsid w:val="0027441B"/>
    <w:rsid w:val="002846B3"/>
    <w:rsid w:val="002A2EFC"/>
    <w:rsid w:val="002B74B1"/>
    <w:rsid w:val="002C0E18"/>
    <w:rsid w:val="002D06E3"/>
    <w:rsid w:val="002D5AAC"/>
    <w:rsid w:val="002E5067"/>
    <w:rsid w:val="002F405F"/>
    <w:rsid w:val="002F7EEC"/>
    <w:rsid w:val="00301299"/>
    <w:rsid w:val="00305C08"/>
    <w:rsid w:val="00307FB6"/>
    <w:rsid w:val="00317339"/>
    <w:rsid w:val="00322004"/>
    <w:rsid w:val="003349E4"/>
    <w:rsid w:val="003402C2"/>
    <w:rsid w:val="00381C24"/>
    <w:rsid w:val="00392990"/>
    <w:rsid w:val="003958D0"/>
    <w:rsid w:val="003B00E5"/>
    <w:rsid w:val="00407B78"/>
    <w:rsid w:val="00424203"/>
    <w:rsid w:val="004312AD"/>
    <w:rsid w:val="00445FD3"/>
    <w:rsid w:val="00452493"/>
    <w:rsid w:val="00453318"/>
    <w:rsid w:val="00454E07"/>
    <w:rsid w:val="00472C5C"/>
    <w:rsid w:val="0050108D"/>
    <w:rsid w:val="00513081"/>
    <w:rsid w:val="00517901"/>
    <w:rsid w:val="00526683"/>
    <w:rsid w:val="00533466"/>
    <w:rsid w:val="00567CA7"/>
    <w:rsid w:val="005709E0"/>
    <w:rsid w:val="00572E19"/>
    <w:rsid w:val="005742F8"/>
    <w:rsid w:val="00592572"/>
    <w:rsid w:val="005961C8"/>
    <w:rsid w:val="005966F1"/>
    <w:rsid w:val="005C5A93"/>
    <w:rsid w:val="005D7914"/>
    <w:rsid w:val="005E2B41"/>
    <w:rsid w:val="005E6B21"/>
    <w:rsid w:val="005F0B42"/>
    <w:rsid w:val="00615EB5"/>
    <w:rsid w:val="00673CD6"/>
    <w:rsid w:val="00681A10"/>
    <w:rsid w:val="006A1ED8"/>
    <w:rsid w:val="006B5625"/>
    <w:rsid w:val="006C2031"/>
    <w:rsid w:val="006D461A"/>
    <w:rsid w:val="006F35EE"/>
    <w:rsid w:val="007021FF"/>
    <w:rsid w:val="00712895"/>
    <w:rsid w:val="00757357"/>
    <w:rsid w:val="007C3F50"/>
    <w:rsid w:val="00806737"/>
    <w:rsid w:val="00825F8D"/>
    <w:rsid w:val="008329A2"/>
    <w:rsid w:val="00833758"/>
    <w:rsid w:val="00834B71"/>
    <w:rsid w:val="0086445C"/>
    <w:rsid w:val="008934D2"/>
    <w:rsid w:val="00894693"/>
    <w:rsid w:val="008A08D7"/>
    <w:rsid w:val="008A67E7"/>
    <w:rsid w:val="008B6909"/>
    <w:rsid w:val="00903712"/>
    <w:rsid w:val="00906890"/>
    <w:rsid w:val="00906901"/>
    <w:rsid w:val="00911BE4"/>
    <w:rsid w:val="00941626"/>
    <w:rsid w:val="00951972"/>
    <w:rsid w:val="009608F3"/>
    <w:rsid w:val="00983128"/>
    <w:rsid w:val="009A24AC"/>
    <w:rsid w:val="00A05F29"/>
    <w:rsid w:val="00A14DA8"/>
    <w:rsid w:val="00A312BC"/>
    <w:rsid w:val="00A44D35"/>
    <w:rsid w:val="00A84021"/>
    <w:rsid w:val="00A84D35"/>
    <w:rsid w:val="00A917B3"/>
    <w:rsid w:val="00AB4B51"/>
    <w:rsid w:val="00AC12E8"/>
    <w:rsid w:val="00AF1E70"/>
    <w:rsid w:val="00B10CC7"/>
    <w:rsid w:val="00B36DF7"/>
    <w:rsid w:val="00B539E7"/>
    <w:rsid w:val="00B62458"/>
    <w:rsid w:val="00B739FE"/>
    <w:rsid w:val="00B811F0"/>
    <w:rsid w:val="00BC18B2"/>
    <w:rsid w:val="00BD33EE"/>
    <w:rsid w:val="00C106D6"/>
    <w:rsid w:val="00C31F0D"/>
    <w:rsid w:val="00C60F0C"/>
    <w:rsid w:val="00C805C9"/>
    <w:rsid w:val="00C87A17"/>
    <w:rsid w:val="00C92939"/>
    <w:rsid w:val="00CA1679"/>
    <w:rsid w:val="00CB151C"/>
    <w:rsid w:val="00CE5A1A"/>
    <w:rsid w:val="00CF55F6"/>
    <w:rsid w:val="00D33D63"/>
    <w:rsid w:val="00D448B2"/>
    <w:rsid w:val="00D60CD4"/>
    <w:rsid w:val="00D85F1D"/>
    <w:rsid w:val="00D90028"/>
    <w:rsid w:val="00D90138"/>
    <w:rsid w:val="00DD78D1"/>
    <w:rsid w:val="00DE32CD"/>
    <w:rsid w:val="00DF71B9"/>
    <w:rsid w:val="00E11937"/>
    <w:rsid w:val="00E30B7B"/>
    <w:rsid w:val="00E73F76"/>
    <w:rsid w:val="00E74465"/>
    <w:rsid w:val="00E75CB7"/>
    <w:rsid w:val="00E77684"/>
    <w:rsid w:val="00E92F15"/>
    <w:rsid w:val="00EA2C9F"/>
    <w:rsid w:val="00EA420E"/>
    <w:rsid w:val="00ED0BDA"/>
    <w:rsid w:val="00EF1360"/>
    <w:rsid w:val="00EF3220"/>
    <w:rsid w:val="00F242EA"/>
    <w:rsid w:val="00F25B74"/>
    <w:rsid w:val="00F43903"/>
    <w:rsid w:val="00F62AF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65FCC4"/>
  <w15:docId w15:val="{AC965D6B-2780-481E-93C2-B7EA1F555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4"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link w:val="30"/>
    <w:semiHidden/>
    <w:rsid w:val="007C3F50"/>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qFormat/>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Table_G Знак"/>
    <w:basedOn w:val="a0"/>
    <w:link w:val="1"/>
    <w:rsid w:val="00E92F15"/>
    <w:rPr>
      <w:rFonts w:cs="Arial"/>
      <w:b/>
      <w:bCs/>
      <w:szCs w:val="32"/>
      <w:lang w:val="ru-RU" w:eastAsia="ru-RU"/>
    </w:rPr>
  </w:style>
  <w:style w:type="character" w:customStyle="1" w:styleId="30">
    <w:name w:val="Заголовок 3 Знак"/>
    <w:basedOn w:val="a0"/>
    <w:link w:val="3"/>
    <w:semiHidden/>
    <w:rsid w:val="00D60CD4"/>
    <w:rPr>
      <w:rFonts w:ascii="Arial" w:eastAsiaTheme="minorHAnsi" w:hAnsi="Arial" w:cs="Arial"/>
      <w:b/>
      <w:bCs/>
      <w:sz w:val="26"/>
      <w:szCs w:val="26"/>
      <w:lang w:val="ru-RU" w:eastAsia="en-US"/>
    </w:rPr>
  </w:style>
  <w:style w:type="character" w:customStyle="1" w:styleId="40">
    <w:name w:val="Заголовок 4 Знак"/>
    <w:basedOn w:val="a0"/>
    <w:link w:val="4"/>
    <w:uiPriority w:val="9"/>
    <w:semiHidden/>
    <w:rsid w:val="00D60CD4"/>
    <w:rPr>
      <w:rFonts w:eastAsiaTheme="minorHAnsi" w:cstheme="minorBidi"/>
      <w:b/>
      <w:bCs/>
      <w:sz w:val="28"/>
      <w:szCs w:val="28"/>
      <w:lang w:val="ru-RU" w:eastAsia="en-US"/>
    </w:rPr>
  </w:style>
  <w:style w:type="paragraph" w:styleId="a3">
    <w:name w:val="Balloon Text"/>
    <w:basedOn w:val="a"/>
    <w:link w:val="a4"/>
    <w:uiPriority w:val="99"/>
    <w:semiHidden/>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E92F15"/>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E92F15"/>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E92F15"/>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E92F15"/>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06901"/>
    <w:pPr>
      <w:tabs>
        <w:tab w:val="left" w:pos="1701"/>
        <w:tab w:val="left" w:pos="2268"/>
        <w:tab w:val="left" w:pos="2835"/>
      </w:tabs>
      <w:spacing w:after="120"/>
      <w:ind w:left="1134" w:right="1134"/>
      <w:jc w:val="both"/>
    </w:pPr>
    <w:rPr>
      <w:rFonts w:eastAsia="Times New Roman" w:cs="Times New Roman"/>
      <w:szCs w:val="20"/>
    </w:rPr>
  </w:style>
  <w:style w:type="character" w:customStyle="1" w:styleId="SingleTxtGChar">
    <w:name w:val="_ Single Txt_G Char"/>
    <w:basedOn w:val="a0"/>
    <w:link w:val="SingleTxtG"/>
    <w:rsid w:val="00D60CD4"/>
    <w:rPr>
      <w:lang w:val="ru-RU" w:eastAsia="en-US"/>
    </w:rPr>
  </w:style>
  <w:style w:type="paragraph" w:customStyle="1" w:styleId="SLG">
    <w:name w:val="__S_L_G"/>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uiPriority w:val="99"/>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uiPriority w:val="99"/>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
    <w:basedOn w:val="a"/>
    <w:link w:val="a9"/>
    <w:uiPriority w:val="9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uiPriority w:val="99"/>
    <w:rsid w:val="00E92F15"/>
    <w:rPr>
      <w:sz w:val="16"/>
      <w:lang w:val="en-GB" w:eastAsia="ru-RU"/>
    </w:rPr>
  </w:style>
  <w:style w:type="character" w:styleId="aa">
    <w:name w:val="footnote reference"/>
    <w:aliases w:val="4_G"/>
    <w:basedOn w:val="a0"/>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styleId="af1">
    <w:name w:val="Hyperlink"/>
    <w:basedOn w:val="a0"/>
    <w:uiPriority w:val="99"/>
    <w:rsid w:val="00E92F15"/>
    <w:rPr>
      <w:color w:val="0000FF" w:themeColor="hyperlink"/>
      <w:u w:val="none"/>
    </w:rPr>
  </w:style>
  <w:style w:type="character" w:styleId="af2">
    <w:name w:val="FollowedHyperlink"/>
    <w:basedOn w:val="a0"/>
    <w:rsid w:val="00E92F15"/>
    <w:rPr>
      <w:color w:val="800080" w:themeColor="followedHyperlink"/>
      <w:u w:val="none"/>
    </w:rPr>
  </w:style>
  <w:style w:type="character" w:customStyle="1" w:styleId="af3">
    <w:name w:val="Текст примечания Знак"/>
    <w:basedOn w:val="a0"/>
    <w:link w:val="af4"/>
    <w:uiPriority w:val="99"/>
    <w:semiHidden/>
    <w:rsid w:val="00D60CD4"/>
    <w:rPr>
      <w:rFonts w:eastAsia="SimSun"/>
      <w:lang w:val="en-GB" w:eastAsia="zh-CN"/>
    </w:rPr>
  </w:style>
  <w:style w:type="paragraph" w:styleId="af4">
    <w:name w:val="annotation text"/>
    <w:basedOn w:val="a"/>
    <w:link w:val="af3"/>
    <w:uiPriority w:val="99"/>
    <w:semiHidden/>
    <w:unhideWhenUsed/>
    <w:rsid w:val="00D60CD4"/>
    <w:pPr>
      <w:suppressAutoHyphens w:val="0"/>
      <w:spacing w:line="240" w:lineRule="auto"/>
    </w:pPr>
    <w:rPr>
      <w:rFonts w:eastAsia="SimSun" w:cs="Times New Roman"/>
      <w:szCs w:val="20"/>
      <w:lang w:val="en-GB" w:eastAsia="zh-CN"/>
    </w:rPr>
  </w:style>
  <w:style w:type="character" w:customStyle="1" w:styleId="af5">
    <w:name w:val="Тема примечания Знак"/>
    <w:basedOn w:val="af3"/>
    <w:link w:val="af6"/>
    <w:uiPriority w:val="99"/>
    <w:semiHidden/>
    <w:rsid w:val="00D60CD4"/>
    <w:rPr>
      <w:rFonts w:eastAsia="SimSun"/>
      <w:b/>
      <w:bCs/>
      <w:lang w:val="en-GB" w:eastAsia="zh-CN"/>
    </w:rPr>
  </w:style>
  <w:style w:type="paragraph" w:styleId="af6">
    <w:name w:val="annotation subject"/>
    <w:basedOn w:val="af4"/>
    <w:next w:val="af4"/>
    <w:link w:val="af5"/>
    <w:uiPriority w:val="99"/>
    <w:semiHidden/>
    <w:unhideWhenUsed/>
    <w:rsid w:val="00D60CD4"/>
    <w:rPr>
      <w:b/>
      <w:bCs/>
    </w:rPr>
  </w:style>
  <w:style w:type="character" w:styleId="af7">
    <w:name w:val="Emphasis"/>
    <w:basedOn w:val="a0"/>
    <w:uiPriority w:val="20"/>
    <w:qFormat/>
    <w:rsid w:val="00D60CD4"/>
    <w:rPr>
      <w:i/>
      <w:iCs/>
    </w:rPr>
  </w:style>
  <w:style w:type="character" w:customStyle="1" w:styleId="hgkelc">
    <w:name w:val="hgkelc"/>
    <w:basedOn w:val="a0"/>
    <w:rsid w:val="00D60CD4"/>
  </w:style>
  <w:style w:type="character" w:customStyle="1" w:styleId="f">
    <w:name w:val="f"/>
    <w:basedOn w:val="a0"/>
    <w:rsid w:val="00D60CD4"/>
  </w:style>
  <w:style w:type="character" w:styleId="af8">
    <w:name w:val="Strong"/>
    <w:basedOn w:val="a0"/>
    <w:uiPriority w:val="22"/>
    <w:qFormat/>
    <w:rsid w:val="00D60C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AE954-F191-47F4-A266-A07BB0A01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2</TotalTime>
  <Pages>39</Pages>
  <Words>14841</Words>
  <Characters>102402</Characters>
  <Application>Microsoft Office Word</Application>
  <DocSecurity>0</DocSecurity>
  <Lines>2021</Lines>
  <Paragraphs>659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CRPD/C/ZMB/1</vt:lpstr>
      <vt:lpstr>A/</vt:lpstr>
      <vt:lpstr>A/</vt:lpstr>
    </vt:vector>
  </TitlesOfParts>
  <Company>DCM</Company>
  <LinksUpToDate>false</LinksUpToDate>
  <CharactersWithSpaces>116924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CRPD/C/ZMB/1</dc:title>
  <dc:subject/>
  <dc:creator>Anna BLAGODATSKIKH</dc:creator>
  <cp:keywords/>
  <cp:lastModifiedBy>Anna BLAGODATSKIKH</cp:lastModifiedBy>
  <cp:revision>3</cp:revision>
  <cp:lastPrinted>2021-03-31T09:58:00Z</cp:lastPrinted>
  <dcterms:created xsi:type="dcterms:W3CDTF">2021-03-31T09:58:00Z</dcterms:created>
  <dcterms:modified xsi:type="dcterms:W3CDTF">2021-03-31T10:00:00Z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