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8F729B" w14:paraId="014BEC5C" w14:textId="77777777" w:rsidTr="00E866BF">
        <w:trPr>
          <w:trHeight w:hRule="exact" w:val="851"/>
        </w:trPr>
        <w:tc>
          <w:tcPr>
            <w:tcW w:w="1274" w:type="dxa"/>
            <w:tcBorders>
              <w:bottom w:val="single" w:sz="4" w:space="0" w:color="auto"/>
            </w:tcBorders>
          </w:tcPr>
          <w:p w14:paraId="14BAF42A" w14:textId="77777777" w:rsidR="006B3E27" w:rsidRPr="008F729B" w:rsidRDefault="006B3E27" w:rsidP="00562CB7">
            <w:pPr>
              <w:kinsoku w:val="0"/>
              <w:overflowPunct w:val="0"/>
              <w:autoSpaceDE w:val="0"/>
              <w:autoSpaceDN w:val="0"/>
              <w:adjustRightInd w:val="0"/>
              <w:snapToGrid w:val="0"/>
              <w:spacing w:after="80" w:line="480" w:lineRule="exact"/>
              <w:jc w:val="left"/>
              <w:rPr>
                <w:rFonts w:hint="cs"/>
                <w:szCs w:val="40"/>
                <w:rtl/>
              </w:rPr>
            </w:pPr>
          </w:p>
        </w:tc>
        <w:tc>
          <w:tcPr>
            <w:tcW w:w="4679" w:type="dxa"/>
            <w:tcBorders>
              <w:bottom w:val="single" w:sz="4" w:space="0" w:color="auto"/>
            </w:tcBorders>
            <w:vAlign w:val="bottom"/>
          </w:tcPr>
          <w:p w14:paraId="6335BE3B" w14:textId="77777777" w:rsidR="006B3E27" w:rsidRPr="008F729B" w:rsidRDefault="006B3E27" w:rsidP="00E866BF">
            <w:pPr>
              <w:spacing w:after="80" w:line="480" w:lineRule="exact"/>
              <w:ind w:left="57"/>
              <w:jc w:val="left"/>
              <w:rPr>
                <w:sz w:val="30"/>
                <w:szCs w:val="30"/>
                <w:rtl/>
              </w:rPr>
            </w:pPr>
            <w:r w:rsidRPr="008F729B">
              <w:rPr>
                <w:rFonts w:hint="cs"/>
                <w:sz w:val="30"/>
                <w:szCs w:val="30"/>
                <w:rtl/>
              </w:rPr>
              <w:t>الأمم المتحدة</w:t>
            </w:r>
          </w:p>
        </w:tc>
        <w:tc>
          <w:tcPr>
            <w:tcW w:w="3686" w:type="dxa"/>
            <w:tcBorders>
              <w:bottom w:val="single" w:sz="4" w:space="0" w:color="auto"/>
            </w:tcBorders>
            <w:vAlign w:val="bottom"/>
          </w:tcPr>
          <w:p w14:paraId="1FCFC882" w14:textId="0233A099" w:rsidR="006B3E27" w:rsidRPr="009B174F" w:rsidRDefault="009B174F" w:rsidP="009B174F">
            <w:pPr>
              <w:bidi w:val="0"/>
              <w:jc w:val="left"/>
            </w:pPr>
            <w:r w:rsidRPr="00D42713">
              <w:rPr>
                <w:sz w:val="40"/>
              </w:rPr>
              <w:t>CED</w:t>
            </w:r>
            <w:r w:rsidRPr="00D42713">
              <w:t>/C/</w:t>
            </w:r>
            <w:r w:rsidRPr="0044719E">
              <w:t>9</w:t>
            </w:r>
          </w:p>
        </w:tc>
      </w:tr>
      <w:tr w:rsidR="006B3E27" w:rsidRPr="008F729B" w14:paraId="406BF181" w14:textId="77777777" w:rsidTr="00E866BF">
        <w:trPr>
          <w:trHeight w:hRule="exact" w:val="2835"/>
        </w:trPr>
        <w:tc>
          <w:tcPr>
            <w:tcW w:w="1274" w:type="dxa"/>
            <w:tcBorders>
              <w:top w:val="single" w:sz="4" w:space="0" w:color="auto"/>
              <w:bottom w:val="single" w:sz="12" w:space="0" w:color="auto"/>
            </w:tcBorders>
          </w:tcPr>
          <w:p w14:paraId="58B743B0" w14:textId="77777777" w:rsidR="006B3E27" w:rsidRPr="008F729B" w:rsidRDefault="0059622A" w:rsidP="008F729B">
            <w:pPr>
              <w:jc w:val="center"/>
              <w:rPr>
                <w:rtl/>
              </w:rPr>
            </w:pPr>
            <w:r w:rsidRPr="008F729B">
              <w:rPr>
                <w:noProof/>
              </w:rPr>
              <w:drawing>
                <wp:inline distT="0" distB="0" distL="0" distR="0" wp14:anchorId="513A1B7C" wp14:editId="3D3D4468">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09AC8E9C" w14:textId="77777777" w:rsidR="006B3E27" w:rsidRPr="0044719E" w:rsidRDefault="004E1586" w:rsidP="00E866BF">
            <w:pPr>
              <w:spacing w:before="160" w:after="40" w:line="560" w:lineRule="exact"/>
              <w:ind w:left="57"/>
              <w:jc w:val="left"/>
              <w:rPr>
                <w:b/>
                <w:bCs/>
                <w:sz w:val="44"/>
                <w:szCs w:val="44"/>
                <w:rtl/>
              </w:rPr>
            </w:pPr>
            <w:r w:rsidRPr="0044719E">
              <w:rPr>
                <w:rFonts w:hint="cs"/>
                <w:b/>
                <w:bCs/>
                <w:sz w:val="44"/>
                <w:szCs w:val="44"/>
                <w:rtl/>
              </w:rPr>
              <w:t>الاتفاقيـة الدوليــة لحمـايـة جمـيـع الأشخاص من الاختفاء القسري</w:t>
            </w:r>
          </w:p>
        </w:tc>
        <w:tc>
          <w:tcPr>
            <w:tcW w:w="3686" w:type="dxa"/>
            <w:tcBorders>
              <w:top w:val="single" w:sz="4" w:space="0" w:color="auto"/>
              <w:bottom w:val="single" w:sz="12" w:space="0" w:color="auto"/>
            </w:tcBorders>
          </w:tcPr>
          <w:p w14:paraId="6552843E" w14:textId="13410864" w:rsidR="007D7145" w:rsidRPr="007D7145" w:rsidRDefault="007D7145" w:rsidP="007D7145">
            <w:pPr>
              <w:suppressAutoHyphens/>
              <w:bidi w:val="0"/>
              <w:spacing w:before="240"/>
              <w:jc w:val="left"/>
              <w:rPr>
                <w:rFonts w:eastAsia="Times New Roman" w:cs="Times New Roman"/>
                <w:lang w:val="en-GB"/>
              </w:rPr>
            </w:pPr>
            <w:r w:rsidRPr="007D7145">
              <w:rPr>
                <w:rFonts w:eastAsia="Times New Roman" w:cs="Times New Roman"/>
                <w:lang w:val="en-GB"/>
              </w:rPr>
              <w:t>Dist</w:t>
            </w:r>
            <w:r w:rsidR="00D42713" w:rsidRPr="007D7145">
              <w:rPr>
                <w:rFonts w:eastAsia="Times New Roman" w:cs="Times New Roman"/>
                <w:lang w:val="en-GB"/>
              </w:rPr>
              <w:t>r.:</w:t>
            </w:r>
            <w:r w:rsidRPr="007D7145">
              <w:rPr>
                <w:rFonts w:eastAsia="Times New Roman" w:cs="Times New Roman"/>
                <w:lang w:val="en-GB"/>
              </w:rPr>
              <w:t xml:space="preserve"> General</w:t>
            </w:r>
          </w:p>
          <w:p w14:paraId="29A82AF2" w14:textId="77777777" w:rsidR="007D7145" w:rsidRPr="007D7145" w:rsidRDefault="007D7145" w:rsidP="007D7145">
            <w:pPr>
              <w:bidi w:val="0"/>
              <w:jc w:val="left"/>
              <w:rPr>
                <w:rFonts w:eastAsia="Times New Roman" w:cs="Times New Roman"/>
                <w:lang w:val="en-GB"/>
              </w:rPr>
            </w:pPr>
            <w:r w:rsidRPr="007D7145">
              <w:rPr>
                <w:rFonts w:eastAsia="Times New Roman" w:cs="Times New Roman"/>
                <w:lang w:val="en-GB"/>
              </w:rPr>
              <w:t>5 December 2022</w:t>
            </w:r>
          </w:p>
          <w:p w14:paraId="33845963" w14:textId="4961616B" w:rsidR="007D7145" w:rsidRPr="007D7145" w:rsidRDefault="007D7145" w:rsidP="007D7145">
            <w:pPr>
              <w:bidi w:val="0"/>
              <w:jc w:val="left"/>
              <w:rPr>
                <w:rFonts w:eastAsia="Times New Roman" w:cs="Times New Roman"/>
                <w:lang w:val="en-GB"/>
              </w:rPr>
            </w:pPr>
            <w:r>
              <w:rPr>
                <w:rFonts w:eastAsia="Times New Roman" w:cs="Times New Roman"/>
                <w:lang w:val="en-GB"/>
              </w:rPr>
              <w:t>Arabic</w:t>
            </w:r>
          </w:p>
          <w:p w14:paraId="3BE7A32E" w14:textId="2423B54C" w:rsidR="009B174F" w:rsidRPr="007D7145" w:rsidRDefault="007D7145" w:rsidP="007D7145">
            <w:pPr>
              <w:bidi w:val="0"/>
              <w:spacing w:line="240" w:lineRule="exact"/>
              <w:jc w:val="left"/>
              <w:rPr>
                <w:lang w:val="en-GB"/>
              </w:rPr>
            </w:pPr>
            <w:r w:rsidRPr="007D7145">
              <w:rPr>
                <w:rFonts w:eastAsia="Times New Roman" w:cs="Times New Roman"/>
                <w:lang w:val="en-GB" w:eastAsia="en-US"/>
              </w:rPr>
              <w:t>Origina</w:t>
            </w:r>
            <w:r w:rsidR="00D42713" w:rsidRPr="00D42713">
              <w:rPr>
                <w:rFonts w:eastAsia="Times New Roman" w:cs="Times New Roman"/>
                <w:lang w:val="en-GB" w:eastAsia="en-US"/>
              </w:rPr>
              <w:t xml:space="preserve">l: </w:t>
            </w:r>
            <w:r w:rsidRPr="007D7145">
              <w:rPr>
                <w:rFonts w:eastAsia="Times New Roman" w:cs="Times New Roman"/>
                <w:lang w:val="en-GB" w:eastAsia="en-US"/>
              </w:rPr>
              <w:t>English</w:t>
            </w:r>
          </w:p>
        </w:tc>
      </w:tr>
    </w:tbl>
    <w:p w14:paraId="61E53D5D" w14:textId="3142DF5A" w:rsidR="004E459B" w:rsidRPr="0044719E" w:rsidRDefault="004E459B" w:rsidP="004E459B">
      <w:pPr>
        <w:spacing w:before="120"/>
        <w:textDirection w:val="tbRlV"/>
        <w:rPr>
          <w:b/>
          <w:sz w:val="24"/>
          <w:szCs w:val="20"/>
          <w:lang w:eastAsia="zh-TW" w:bidi="en-GB"/>
        </w:rPr>
      </w:pPr>
      <w:r w:rsidRPr="0044719E">
        <w:rPr>
          <w:b/>
          <w:bCs/>
          <w:rtl/>
        </w:rPr>
        <w:t>اللجنة المعنية بحالات الاختفاء القسري</w:t>
      </w:r>
    </w:p>
    <w:p w14:paraId="326FF639" w14:textId="456ADC21" w:rsidR="004E459B" w:rsidRPr="0044719E" w:rsidRDefault="004E459B" w:rsidP="004E459B">
      <w:pPr>
        <w:pStyle w:val="HChGA"/>
        <w:rPr>
          <w:szCs w:val="20"/>
          <w:lang w:val="en-US" w:eastAsia="zh-TW" w:bidi="en-GB"/>
        </w:rPr>
      </w:pPr>
      <w:r w:rsidRPr="0044719E">
        <w:rPr>
          <w:rtl/>
        </w:rPr>
        <w:tab/>
      </w:r>
      <w:r w:rsidRPr="0044719E">
        <w:rPr>
          <w:rtl/>
        </w:rPr>
        <w:tab/>
        <w:t>بيان مشترك بشأن التبني غير القانوني على الصعيد الدولي</w:t>
      </w:r>
      <w:r w:rsidRPr="0044719E">
        <w:rPr>
          <w:rStyle w:val="FootnoteReference"/>
          <w:sz w:val="26"/>
          <w:szCs w:val="26"/>
          <w:vertAlign w:val="baseline"/>
          <w:rtl/>
        </w:rPr>
        <w:footnoteReference w:customMarkFollows="1" w:id="1"/>
        <w:t>*</w:t>
      </w:r>
    </w:p>
    <w:p w14:paraId="0C45AF98" w14:textId="77777777" w:rsidR="004E459B" w:rsidRPr="0044719E" w:rsidRDefault="004E459B" w:rsidP="004E459B">
      <w:pPr>
        <w:pStyle w:val="HChGA"/>
        <w:rPr>
          <w:szCs w:val="20"/>
          <w:lang w:val="ar-SA" w:eastAsia="zh-TW" w:bidi="en-GB"/>
        </w:rPr>
      </w:pPr>
      <w:r w:rsidRPr="0044719E">
        <w:rPr>
          <w:rtl/>
        </w:rPr>
        <w:tab/>
        <w:t>أولاً-</w:t>
      </w:r>
      <w:r w:rsidRPr="0044719E">
        <w:rPr>
          <w:rtl/>
        </w:rPr>
        <w:tab/>
        <w:t>مقدمة</w:t>
      </w:r>
    </w:p>
    <w:p w14:paraId="686E0740" w14:textId="73794CE0" w:rsidR="004E459B" w:rsidRPr="004E459B" w:rsidRDefault="004E459B" w:rsidP="004E459B">
      <w:pPr>
        <w:pStyle w:val="SingleTxtGA"/>
        <w:rPr>
          <w:spacing w:val="-4"/>
          <w:szCs w:val="20"/>
          <w:lang w:val="ar-SA" w:eastAsia="zh-TW" w:bidi="en-GB"/>
        </w:rPr>
      </w:pPr>
      <w:r w:rsidRPr="0044719E">
        <w:rPr>
          <w:rFonts w:ascii="Simplified Arabic"/>
          <w:szCs w:val="20"/>
          <w:rtl/>
        </w:rPr>
        <w:t>1</w:t>
      </w:r>
      <w:r>
        <w:rPr>
          <w:rFonts w:ascii="Simplified Arabic"/>
          <w:szCs w:val="20"/>
          <w:rtl/>
        </w:rPr>
        <w:t>-</w:t>
      </w:r>
      <w:r>
        <w:rPr>
          <w:rtl/>
        </w:rPr>
        <w:tab/>
      </w:r>
      <w:r w:rsidRPr="004E459B">
        <w:rPr>
          <w:spacing w:val="-4"/>
          <w:rtl/>
        </w:rPr>
        <w:t>قررت اللجنة المعنية بحالات الاختفاء القسري، ولجنة حقوق الطفل، والمقرر الخاص المعني بتعزيز الحقيقة والعدالة والجبر وضمانات عدم التكرار، والمقررة الخاصة المعنية ببيع الأطفال واستغلالهم جنسياً، بما</w:t>
      </w:r>
      <w:r w:rsidR="00D42713">
        <w:rPr>
          <w:rFonts w:hint="cs"/>
          <w:spacing w:val="-4"/>
          <w:rtl/>
        </w:rPr>
        <w:t> </w:t>
      </w:r>
      <w:r w:rsidRPr="004E459B">
        <w:rPr>
          <w:spacing w:val="-4"/>
          <w:rtl/>
        </w:rPr>
        <w:t>في ذلك استغلالهم في البغاء وفي المواد الإباحية وغيرها من مواد الاعتداء الجنسي على الأطفال، والمقررة</w:t>
      </w:r>
      <w:r w:rsidR="00D42713">
        <w:rPr>
          <w:rFonts w:hint="cs"/>
          <w:spacing w:val="-4"/>
          <w:rtl/>
        </w:rPr>
        <w:t> </w:t>
      </w:r>
      <w:r w:rsidRPr="004E459B">
        <w:rPr>
          <w:spacing w:val="-4"/>
          <w:rtl/>
        </w:rPr>
        <w:t>الخاصة المعنية بالاتجار بالأشخاص، ولا سيما النساء والأطفال، والفريق العامل المعني بحالات الاختفاء القسري أو غير الطوعي، إصدار هذا البيان المشترك من أجل التشجيع على اتباع نهج قائم على حقوق الإنسان ومراعٍ للاعتبارات الجنسانية إزاء منع عمليات التبني غير القانونية على الصعيد الدولي، التي يشار إليها أحياناً باسم عمليات التبني الدولية غير القانونية، وذلك لتحديد الحقوق التي تنتهكها عمليات التبني هذه وتوضيح التزامات الدول في هذا الصدد بموجب القانون الدولي لحقوق الإنسان. وتنشر اللجنة المعنية بحالات الاختفاء القسري هذه الوثيقة نيابةً عن جميع الآليات المعنية، بناءً على اتفاقٍ بينها.</w:t>
      </w:r>
    </w:p>
    <w:p w14:paraId="60190275" w14:textId="77777777" w:rsidR="004E459B" w:rsidRPr="0044719E" w:rsidRDefault="004E459B" w:rsidP="004E459B">
      <w:pPr>
        <w:pStyle w:val="H23GA"/>
        <w:rPr>
          <w:szCs w:val="20"/>
          <w:lang w:val="ar-SA" w:eastAsia="zh-TW" w:bidi="en-GB"/>
        </w:rPr>
      </w:pPr>
      <w:r w:rsidRPr="0044719E">
        <w:rPr>
          <w:rtl/>
        </w:rPr>
        <w:tab/>
      </w:r>
      <w:r w:rsidRPr="0044719E">
        <w:rPr>
          <w:rtl/>
        </w:rPr>
        <w:tab/>
        <w:t>ظاهرة التبني غير القانوني وأساليبه</w:t>
      </w:r>
    </w:p>
    <w:p w14:paraId="3A802509" w14:textId="120FACF2" w:rsidR="004E459B" w:rsidRPr="00F16F7D" w:rsidRDefault="004E459B" w:rsidP="004E459B">
      <w:pPr>
        <w:pStyle w:val="SingleTxtGA"/>
        <w:spacing w:line="340" w:lineRule="exact"/>
        <w:rPr>
          <w:szCs w:val="20"/>
          <w:lang w:val="ar-SA" w:eastAsia="zh-TW" w:bidi="en-GB"/>
        </w:rPr>
      </w:pPr>
      <w:r w:rsidRPr="0044719E">
        <w:rPr>
          <w:rFonts w:ascii="Simplified Arabic"/>
          <w:szCs w:val="20"/>
          <w:rtl/>
        </w:rPr>
        <w:t>2</w:t>
      </w:r>
      <w:r>
        <w:rPr>
          <w:rFonts w:ascii="Simplified Arabic"/>
          <w:szCs w:val="20"/>
          <w:rtl/>
        </w:rPr>
        <w:t>-</w:t>
      </w:r>
      <w:r>
        <w:rPr>
          <w:rtl/>
        </w:rPr>
        <w:tab/>
        <w:t>تخلف عمليات التبني غير القانونية آثاراً مدمرة على حياة الضحايا وحقوقهم لأنها تقوم على ارتكاب طائفة واسعة من الأفعال غير القانونية أو الممارسات غير المشروعة، مثل اختطاف الأطفال وبيعهم والاتجار بهم، واختفاء الأطفال قسراً وانتزاعهم بصورة غير مشروعة في سياق اختفائهم القسري، والغش في إعلان إمكانية التبني،</w:t>
      </w:r>
      <w:r w:rsidR="007D7145">
        <w:rPr>
          <w:rtl/>
        </w:rPr>
        <w:t xml:space="preserve"> </w:t>
      </w:r>
      <w:r>
        <w:rPr>
          <w:rtl/>
        </w:rPr>
        <w:t xml:space="preserve">وتزوير الوثائق الرسمية أو الحصول عليها بالإكراه، وتشمل تلك الأفعال </w:t>
      </w:r>
      <w:r w:rsidRPr="005A6F49">
        <w:rPr>
          <w:spacing w:val="2"/>
          <w:rtl/>
        </w:rPr>
        <w:t xml:space="preserve">أيضاً عمليات التبني التي تتم بدون الحصول على موافقة الوالدين البيولوجيين على النحو الواجب، والكسب المالي غير المشروع من جانب الوسطاء وما يرتبط به من فساد. وهذه الأفعال </w:t>
      </w:r>
      <w:proofErr w:type="gramStart"/>
      <w:r w:rsidRPr="005A6F49">
        <w:rPr>
          <w:spacing w:val="2"/>
          <w:rtl/>
        </w:rPr>
        <w:t>والممارسات</w:t>
      </w:r>
      <w:r>
        <w:rPr>
          <w:rtl/>
        </w:rPr>
        <w:t xml:space="preserve"> ”إما</w:t>
      </w:r>
      <w:proofErr w:type="gramEnd"/>
      <w:r w:rsidR="00D42713">
        <w:rPr>
          <w:rFonts w:hint="cs"/>
          <w:rtl/>
        </w:rPr>
        <w:t> </w:t>
      </w:r>
      <w:r>
        <w:rPr>
          <w:rtl/>
        </w:rPr>
        <w:t>تنم عن وجود أوجه قصور في نظم حماية الطفل، وهي أوجه قصور تستغلها الشبكات الإجرامية، بتواطؤ المسؤولين الحكوميين في كثير من الأحيان، أو تكون ناجمة عن تساهل سياسات الدولة“</w:t>
      </w:r>
      <w:r w:rsidR="00D42713">
        <w:rPr>
          <w:rStyle w:val="FootnoteReference"/>
          <w:szCs w:val="22"/>
          <w:rtl/>
        </w:rPr>
        <w:t>(</w:t>
      </w:r>
      <w:r w:rsidR="00D42713" w:rsidRPr="0044719E">
        <w:rPr>
          <w:rStyle w:val="FootnoteReference"/>
          <w:szCs w:val="22"/>
          <w:lang w:val="en-US"/>
        </w:rPr>
        <w:footnoteReference w:id="2"/>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lastRenderedPageBreak/>
        <w:t>ففي</w:t>
      </w:r>
      <w:r w:rsidR="00D42713">
        <w:rPr>
          <w:rFonts w:hint="cs"/>
          <w:rtl/>
        </w:rPr>
        <w:t> </w:t>
      </w:r>
      <w:r>
        <w:rPr>
          <w:rtl/>
        </w:rPr>
        <w:t xml:space="preserve">العديد من البلدان، كان التمييز بين الجنسين والعنف القائم على تصورات أخلاقية ودينية للمكانة الاجتماعية للأم أو وضعها من حيث الزواج من الدوافع الرئيسية للتبني غير القانوني، وأدى التمييز ضد </w:t>
      </w:r>
      <w:r w:rsidRPr="00D42713">
        <w:rPr>
          <w:spacing w:val="-2"/>
          <w:rtl/>
        </w:rPr>
        <w:t>الأقليات والشعوب الأصلية إلى حالات تبن غير قانونية أخرى</w:t>
      </w:r>
      <w:r w:rsidR="00D42713" w:rsidRPr="00D42713">
        <w:rPr>
          <w:rStyle w:val="FootnoteReference"/>
          <w:spacing w:val="-2"/>
          <w:szCs w:val="22"/>
          <w:rtl/>
        </w:rPr>
        <w:t>(</w:t>
      </w:r>
      <w:r w:rsidR="00D42713" w:rsidRPr="0044719E">
        <w:rPr>
          <w:rStyle w:val="FootnoteReference"/>
          <w:spacing w:val="-2"/>
          <w:szCs w:val="22"/>
          <w:lang w:val="en-US"/>
        </w:rPr>
        <w:footnoteReference w:id="3"/>
      </w:r>
      <w:r w:rsidR="00D42713" w:rsidRPr="00D42713">
        <w:rPr>
          <w:spacing w:val="-2"/>
          <w:vertAlign w:val="superscript"/>
          <w:rtl/>
        </w:rPr>
        <w:t>)</w:t>
      </w:r>
      <w:r w:rsidR="00D42713" w:rsidRPr="00D42713">
        <w:rPr>
          <w:rFonts w:ascii="Simplified Arabic"/>
          <w:spacing w:val="-2"/>
          <w:szCs w:val="20"/>
          <w:rtl/>
        </w:rPr>
        <w:t>.</w:t>
      </w:r>
      <w:r w:rsidR="00D42713" w:rsidRPr="00D42713">
        <w:rPr>
          <w:spacing w:val="-2"/>
          <w:rtl/>
        </w:rPr>
        <w:t xml:space="preserve"> </w:t>
      </w:r>
      <w:r w:rsidRPr="00D42713">
        <w:rPr>
          <w:spacing w:val="-2"/>
          <w:rtl/>
        </w:rPr>
        <w:t>وفي ضوء التطورات الأخيرة التي شهدها</w:t>
      </w:r>
      <w:r>
        <w:rPr>
          <w:rtl/>
        </w:rPr>
        <w:t xml:space="preserve"> عدد من بلدان المقصد، ومن أجل توفير إرشادات مفيدة للدول والضحايا وغيرهم من أصحاب المصلحة، يركز هذا البيان المشترك على البُعد الدولي للتبني غير القانوني. ومع ذلك، فإن العديد من الاعتبارات والتوصيات الواردة في هذا البيان ينطبق أيضاً على عمليات التبني غير القانونية على الصعيد المحلي.</w:t>
      </w:r>
    </w:p>
    <w:p w14:paraId="61199EA3" w14:textId="77777777" w:rsidR="004E459B" w:rsidRPr="0044719E" w:rsidRDefault="004E459B" w:rsidP="004E459B">
      <w:pPr>
        <w:pStyle w:val="H23GA"/>
        <w:rPr>
          <w:szCs w:val="20"/>
          <w:lang w:val="ar-SA" w:eastAsia="zh-TW" w:bidi="en-GB"/>
        </w:rPr>
      </w:pPr>
      <w:r w:rsidRPr="0044719E">
        <w:rPr>
          <w:rtl/>
        </w:rPr>
        <w:tab/>
      </w:r>
      <w:r w:rsidRPr="0044719E">
        <w:rPr>
          <w:rtl/>
        </w:rPr>
        <w:tab/>
        <w:t>انتهاكات حقوق الإنسان</w:t>
      </w:r>
    </w:p>
    <w:p w14:paraId="54437971" w14:textId="749A3027" w:rsidR="00D42713" w:rsidRPr="00D42713" w:rsidRDefault="004E459B" w:rsidP="004E459B">
      <w:pPr>
        <w:pStyle w:val="SingleTxtGA"/>
        <w:rPr>
          <w:szCs w:val="20"/>
          <w:lang w:val="ar-SA" w:eastAsia="zh-TW" w:bidi="en-GB"/>
        </w:rPr>
      </w:pPr>
      <w:r w:rsidRPr="0044719E">
        <w:rPr>
          <w:rFonts w:ascii="Simplified Arabic"/>
          <w:szCs w:val="20"/>
          <w:rtl/>
        </w:rPr>
        <w:t>3</w:t>
      </w:r>
      <w:r>
        <w:rPr>
          <w:rFonts w:ascii="Simplified Arabic"/>
          <w:szCs w:val="20"/>
          <w:rtl/>
        </w:rPr>
        <w:t>-</w:t>
      </w:r>
      <w:r>
        <w:rPr>
          <w:rtl/>
        </w:rPr>
        <w:tab/>
      </w:r>
      <w:r w:rsidRPr="00430616">
        <w:rPr>
          <w:spacing w:val="-2"/>
          <w:rtl/>
        </w:rPr>
        <w:t>عند حدوث عمليات تبن غير قانونية على الصعيد الدولي، تُنتهك مختلف حقوق الإنسان، بما فيها</w:t>
      </w:r>
      <w:r>
        <w:rPr>
          <w:rtl/>
        </w:rPr>
        <w:t xml:space="preserve"> </w:t>
      </w:r>
      <w:r w:rsidRPr="00430616">
        <w:rPr>
          <w:spacing w:val="4"/>
          <w:rtl/>
        </w:rPr>
        <w:t xml:space="preserve">حق جميع الأطفال في أن يتمتعوا، دون أي تمييز بسبب </w:t>
      </w:r>
      <w:proofErr w:type="gramStart"/>
      <w:r w:rsidRPr="00430616">
        <w:rPr>
          <w:spacing w:val="4"/>
          <w:rtl/>
        </w:rPr>
        <w:t>العرق</w:t>
      </w:r>
      <w:proofErr w:type="gramEnd"/>
      <w:r w:rsidRPr="00430616">
        <w:rPr>
          <w:spacing w:val="4"/>
          <w:rtl/>
        </w:rPr>
        <w:t xml:space="preserve"> أو اللون أو الجنس أو اللغة أو الدين</w:t>
      </w:r>
      <w:r>
        <w:rPr>
          <w:rtl/>
        </w:rPr>
        <w:t xml:space="preserve"> أو</w:t>
      </w:r>
      <w:r w:rsidR="00430616">
        <w:rPr>
          <w:rFonts w:hint="cs"/>
          <w:rtl/>
        </w:rPr>
        <w:t> </w:t>
      </w:r>
      <w:r>
        <w:rPr>
          <w:rtl/>
        </w:rPr>
        <w:t>الأصل القومي أو الاجتماعي أو الثروة أو النسب، بتدابير الحماية التي يقتضيها وضعهم كقاصرين، من جانب أسرهم ومجتمعهم ومن جانب الدولة</w:t>
      </w:r>
      <w:r w:rsidR="00D42713">
        <w:rPr>
          <w:rStyle w:val="FootnoteReference"/>
          <w:szCs w:val="22"/>
          <w:rtl/>
        </w:rPr>
        <w:t>(</w:t>
      </w:r>
      <w:r w:rsidR="00D42713" w:rsidRPr="0044719E">
        <w:rPr>
          <w:rStyle w:val="FootnoteReference"/>
          <w:szCs w:val="22"/>
          <w:lang w:val="en-US"/>
        </w:rPr>
        <w:footnoteReference w:id="4"/>
      </w:r>
      <w:r w:rsidR="00D42713" w:rsidRPr="00D42713">
        <w:rPr>
          <w:vertAlign w:val="superscript"/>
          <w:rtl/>
        </w:rPr>
        <w:t>)</w:t>
      </w:r>
      <w:r w:rsidR="00D42713" w:rsidRPr="00D42713">
        <w:rPr>
          <w:rtl/>
        </w:rPr>
        <w:t xml:space="preserve">، </w:t>
      </w:r>
      <w:r>
        <w:rPr>
          <w:rtl/>
        </w:rPr>
        <w:t>وحق الأسرة في الحماية</w:t>
      </w:r>
      <w:r w:rsidR="00D42713">
        <w:rPr>
          <w:rStyle w:val="FootnoteReference"/>
          <w:szCs w:val="22"/>
          <w:rtl/>
        </w:rPr>
        <w:t>(</w:t>
      </w:r>
      <w:r w:rsidR="00D42713" w:rsidRPr="0044719E">
        <w:rPr>
          <w:rStyle w:val="FootnoteReference"/>
          <w:szCs w:val="22"/>
          <w:lang w:val="en-US"/>
        </w:rPr>
        <w:footnoteReference w:id="5"/>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t>وتؤدي الأسرة دور</w:t>
      </w:r>
      <w:r w:rsidR="00430616">
        <w:rPr>
          <w:rtl/>
        </w:rPr>
        <w:t xml:space="preserve">اً </w:t>
      </w:r>
      <w:r>
        <w:rPr>
          <w:rtl/>
        </w:rPr>
        <w:t>أساسي</w:t>
      </w:r>
      <w:r w:rsidR="00430616">
        <w:rPr>
          <w:rtl/>
        </w:rPr>
        <w:t xml:space="preserve">اً </w:t>
      </w:r>
      <w:r>
        <w:rPr>
          <w:rtl/>
        </w:rPr>
        <w:t>في نماء الطفل وتشكُّل هويته. ولذلك، للأطفال الحق، قدر الإمكان، في معرفة والديهم</w:t>
      </w:r>
      <w:r w:rsidR="00D42713">
        <w:rPr>
          <w:rStyle w:val="FootnoteReference"/>
          <w:szCs w:val="22"/>
          <w:rtl/>
        </w:rPr>
        <w:t>(</w:t>
      </w:r>
      <w:r w:rsidR="00D42713" w:rsidRPr="0044719E">
        <w:rPr>
          <w:rStyle w:val="FootnoteReference"/>
          <w:szCs w:val="22"/>
          <w:lang w:val="en-US"/>
        </w:rPr>
        <w:footnoteReference w:id="6"/>
      </w:r>
      <w:r w:rsidRPr="004E459B">
        <w:rPr>
          <w:vertAlign w:val="superscript"/>
          <w:rtl/>
        </w:rPr>
        <w:t>)</w:t>
      </w:r>
      <w:r>
        <w:rPr>
          <w:rtl/>
        </w:rPr>
        <w:t> وفي الحصول على رعايتهم</w:t>
      </w:r>
      <w:r w:rsidR="00D42713">
        <w:rPr>
          <w:rStyle w:val="FootnoteReference"/>
          <w:szCs w:val="22"/>
          <w:rtl/>
        </w:rPr>
        <w:t>(</w:t>
      </w:r>
      <w:r w:rsidR="00D42713" w:rsidRPr="0044719E">
        <w:rPr>
          <w:rStyle w:val="FootnoteReference"/>
          <w:szCs w:val="22"/>
          <w:lang w:val="en-US"/>
        </w:rPr>
        <w:footnoteReference w:id="7"/>
      </w:r>
      <w:r w:rsidR="00D42713" w:rsidRPr="00D42713">
        <w:rPr>
          <w:vertAlign w:val="superscript"/>
          <w:rtl/>
        </w:rPr>
        <w:t>)</w:t>
      </w:r>
      <w:r w:rsidR="00D42713" w:rsidRPr="00D42713">
        <w:rPr>
          <w:rtl/>
        </w:rPr>
        <w:t xml:space="preserve">، </w:t>
      </w:r>
      <w:r>
        <w:rPr>
          <w:rtl/>
        </w:rPr>
        <w:t>ولهم الحق في عدم فصلهم عن والديهم رغماً عن إرادة والديهم ما لم يكن ذلك ضروري</w:t>
      </w:r>
      <w:r w:rsidR="00430616">
        <w:rPr>
          <w:rtl/>
        </w:rPr>
        <w:t xml:space="preserve">اً </w:t>
      </w:r>
      <w:r>
        <w:rPr>
          <w:rtl/>
        </w:rPr>
        <w:t>لضمان مصالح الطفل الفضلى</w:t>
      </w:r>
      <w:r w:rsidR="00D42713">
        <w:rPr>
          <w:rStyle w:val="FootnoteReference"/>
          <w:szCs w:val="22"/>
          <w:rtl/>
        </w:rPr>
        <w:t>(</w:t>
      </w:r>
      <w:r w:rsidR="00D42713" w:rsidRPr="0044719E">
        <w:rPr>
          <w:rStyle w:val="FootnoteReference"/>
          <w:szCs w:val="22"/>
          <w:lang w:val="en-US"/>
        </w:rPr>
        <w:footnoteReference w:id="8"/>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t>وتنتهك عمليات التبني غير القانونية على الصعيد الدولي حق الأطفال</w:t>
      </w:r>
      <w:r w:rsidR="00D42713">
        <w:rPr>
          <w:rFonts w:hint="cs"/>
          <w:rtl/>
        </w:rPr>
        <w:t> </w:t>
      </w:r>
      <w:r>
        <w:rPr>
          <w:rtl/>
        </w:rPr>
        <w:t>في الحفاظ على هويتهم</w:t>
      </w:r>
      <w:r w:rsidR="00D42713">
        <w:rPr>
          <w:rStyle w:val="FootnoteReference"/>
          <w:szCs w:val="22"/>
          <w:rtl/>
        </w:rPr>
        <w:t>(</w:t>
      </w:r>
      <w:r w:rsidR="00D42713" w:rsidRPr="0044719E">
        <w:rPr>
          <w:rStyle w:val="FootnoteReference"/>
          <w:szCs w:val="22"/>
          <w:lang w:val="en-US"/>
        </w:rPr>
        <w:footnoteReference w:id="9"/>
      </w:r>
      <w:r w:rsidR="00D42713" w:rsidRPr="00D42713">
        <w:rPr>
          <w:vertAlign w:val="superscript"/>
          <w:rtl/>
        </w:rPr>
        <w:t>)</w:t>
      </w:r>
      <w:r w:rsidR="00D42713" w:rsidRPr="00D42713">
        <w:rPr>
          <w:rtl/>
        </w:rPr>
        <w:t xml:space="preserve">، </w:t>
      </w:r>
      <w:r>
        <w:rPr>
          <w:rtl/>
        </w:rPr>
        <w:t>بما في ذلك عناصر مثل اسمهم وجنسيتهم وعلاقاتهم الأسرية</w:t>
      </w:r>
      <w:r w:rsidR="00D42713">
        <w:rPr>
          <w:rStyle w:val="FootnoteReference"/>
          <w:szCs w:val="22"/>
          <w:rtl/>
        </w:rPr>
        <w:t>(</w:t>
      </w:r>
      <w:r w:rsidR="00D42713" w:rsidRPr="0044719E">
        <w:rPr>
          <w:rStyle w:val="FootnoteReference"/>
          <w:szCs w:val="22"/>
          <w:lang w:val="en-US"/>
        </w:rPr>
        <w:footnoteReference w:id="10"/>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lastRenderedPageBreak/>
        <w:t>وللأطفال المحرومين بصورة غير قانونية من هويتهم الحق في استعادة هويتهم تلك على وجه السرعة</w:t>
      </w:r>
      <w:r w:rsidR="00D42713">
        <w:rPr>
          <w:rStyle w:val="FootnoteReference"/>
          <w:szCs w:val="22"/>
          <w:rtl/>
        </w:rPr>
        <w:t>(</w:t>
      </w:r>
      <w:r w:rsidR="00D42713" w:rsidRPr="0044719E">
        <w:rPr>
          <w:rStyle w:val="FootnoteReference"/>
          <w:szCs w:val="22"/>
          <w:lang w:val="en-US"/>
        </w:rPr>
        <w:footnoteReference w:id="11"/>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t>وثمة صلة قوية بين الحق في حماية الخصوصية والحياة الأسرية والحق في الهوية</w:t>
      </w:r>
      <w:r w:rsidR="00D42713">
        <w:rPr>
          <w:rStyle w:val="FootnoteReference"/>
          <w:szCs w:val="22"/>
          <w:rtl/>
        </w:rPr>
        <w:t>(</w:t>
      </w:r>
      <w:r w:rsidR="00D42713" w:rsidRPr="0044719E">
        <w:rPr>
          <w:rStyle w:val="FootnoteReference"/>
          <w:szCs w:val="22"/>
          <w:lang w:val="en-US"/>
        </w:rPr>
        <w:footnoteReference w:id="12"/>
      </w:r>
      <w:r w:rsidR="00D42713" w:rsidRPr="00D42713">
        <w:rPr>
          <w:vertAlign w:val="superscript"/>
          <w:rtl/>
        </w:rPr>
        <w:t>)</w:t>
      </w:r>
      <w:r w:rsidR="00D42713" w:rsidRPr="00D42713">
        <w:rPr>
          <w:rtl/>
        </w:rPr>
        <w:t>.</w:t>
      </w:r>
    </w:p>
    <w:p w14:paraId="0BEEE0D8" w14:textId="3B96B6D9" w:rsidR="004E459B" w:rsidRPr="0044719E" w:rsidRDefault="004E459B" w:rsidP="005A6F49">
      <w:pPr>
        <w:pStyle w:val="H23GA"/>
        <w:rPr>
          <w:szCs w:val="20"/>
          <w:lang w:val="en-US" w:eastAsia="zh-TW" w:bidi="en-GB"/>
        </w:rPr>
      </w:pPr>
      <w:r w:rsidRPr="0044719E">
        <w:rPr>
          <w:rtl/>
        </w:rPr>
        <w:tab/>
      </w:r>
      <w:r w:rsidRPr="0044719E">
        <w:rPr>
          <w:rtl/>
        </w:rPr>
        <w:tab/>
        <w:t>الجرائم</w:t>
      </w:r>
    </w:p>
    <w:p w14:paraId="19318F58" w14:textId="6A01763F" w:rsidR="00D42713" w:rsidRPr="00D42713" w:rsidRDefault="004E459B" w:rsidP="004E459B">
      <w:pPr>
        <w:pStyle w:val="SingleTxtGA"/>
        <w:rPr>
          <w:szCs w:val="20"/>
          <w:lang w:val="ar-SA" w:eastAsia="zh-TW" w:bidi="en-GB"/>
        </w:rPr>
      </w:pPr>
      <w:r w:rsidRPr="0044719E">
        <w:rPr>
          <w:rFonts w:ascii="Simplified Arabic"/>
          <w:szCs w:val="20"/>
          <w:rtl/>
        </w:rPr>
        <w:t>4</w:t>
      </w:r>
      <w:r>
        <w:rPr>
          <w:rFonts w:ascii="Simplified Arabic"/>
          <w:szCs w:val="20"/>
          <w:rtl/>
        </w:rPr>
        <w:t>-</w:t>
      </w:r>
      <w:r>
        <w:rPr>
          <w:rtl/>
        </w:rPr>
        <w:tab/>
        <w:t>قد تنتهك عمليات التبني غير القانونية على الصعيد الدولي حظر الاختطاف وبيع الأطفال أو</w:t>
      </w:r>
      <w:r w:rsidR="00D42713">
        <w:rPr>
          <w:rFonts w:hint="cs"/>
          <w:rtl/>
        </w:rPr>
        <w:t> </w:t>
      </w:r>
      <w:r>
        <w:rPr>
          <w:rtl/>
        </w:rPr>
        <w:t>الاتجار بهم</w:t>
      </w:r>
      <w:r w:rsidR="00D42713">
        <w:rPr>
          <w:rStyle w:val="FootnoteReference"/>
          <w:szCs w:val="22"/>
          <w:rtl/>
        </w:rPr>
        <w:t>(</w:t>
      </w:r>
      <w:r w:rsidR="00D42713" w:rsidRPr="0044719E">
        <w:rPr>
          <w:rStyle w:val="FootnoteReference"/>
          <w:szCs w:val="22"/>
          <w:lang w:val="en-US"/>
        </w:rPr>
        <w:footnoteReference w:id="13"/>
      </w:r>
      <w:r w:rsidR="00D42713" w:rsidRPr="00D42713">
        <w:rPr>
          <w:vertAlign w:val="superscript"/>
          <w:rtl/>
        </w:rPr>
        <w:t>)</w:t>
      </w:r>
      <w:r w:rsidR="00D42713" w:rsidRPr="00D42713">
        <w:rPr>
          <w:rtl/>
        </w:rPr>
        <w:t xml:space="preserve">، </w:t>
      </w:r>
      <w:r>
        <w:rPr>
          <w:rtl/>
        </w:rPr>
        <w:t>وقد تنتهك أيضاً، في ظروف معنية، حظر الاختفاء القسري</w:t>
      </w:r>
      <w:r w:rsidR="00D42713">
        <w:rPr>
          <w:rStyle w:val="FootnoteReference"/>
          <w:szCs w:val="22"/>
          <w:rtl/>
        </w:rPr>
        <w:t>(</w:t>
      </w:r>
      <w:r w:rsidR="00D42713" w:rsidRPr="0044719E">
        <w:rPr>
          <w:rStyle w:val="FootnoteReference"/>
          <w:szCs w:val="22"/>
          <w:lang w:val="en-US"/>
        </w:rPr>
        <w:footnoteReference w:id="14"/>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t>وفي حالات معينة نص عليها القانون الدولي، قد تندرج عمليات التبني غير القانوني على الصعيد الدولي ضمن إطار الجرائم الخطيرة، مثل الإبادة الجماعية</w:t>
      </w:r>
      <w:r w:rsidR="00D42713">
        <w:rPr>
          <w:rStyle w:val="FootnoteReference"/>
          <w:szCs w:val="22"/>
          <w:rtl/>
        </w:rPr>
        <w:t>(</w:t>
      </w:r>
      <w:r w:rsidR="00D42713" w:rsidRPr="0044719E">
        <w:rPr>
          <w:rStyle w:val="FootnoteReference"/>
          <w:szCs w:val="22"/>
          <w:lang w:val="en-US"/>
        </w:rPr>
        <w:footnoteReference w:id="15"/>
      </w:r>
      <w:r w:rsidRPr="004E459B">
        <w:rPr>
          <w:vertAlign w:val="superscript"/>
          <w:rtl/>
        </w:rPr>
        <w:t>)</w:t>
      </w:r>
      <w:r>
        <w:rPr>
          <w:rtl/>
        </w:rPr>
        <w:t> أو الجرائم المرتكبة ضد الإنسانية</w:t>
      </w:r>
      <w:r w:rsidR="00D42713">
        <w:rPr>
          <w:rStyle w:val="FootnoteReference"/>
          <w:szCs w:val="22"/>
          <w:rtl/>
        </w:rPr>
        <w:t>(</w:t>
      </w:r>
      <w:r w:rsidR="00D42713" w:rsidRPr="0044719E">
        <w:rPr>
          <w:rStyle w:val="FootnoteReference"/>
          <w:szCs w:val="22"/>
          <w:lang w:val="en-US"/>
        </w:rPr>
        <w:footnoteReference w:id="16"/>
      </w:r>
      <w:r w:rsidR="00D42713" w:rsidRPr="00D42713">
        <w:rPr>
          <w:vertAlign w:val="superscript"/>
          <w:rtl/>
        </w:rPr>
        <w:t>)</w:t>
      </w:r>
      <w:r w:rsidR="00D42713" w:rsidRPr="00D42713">
        <w:rPr>
          <w:rtl/>
        </w:rPr>
        <w:t>.</w:t>
      </w:r>
    </w:p>
    <w:p w14:paraId="04ED23A0" w14:textId="1D54F2C5" w:rsidR="004E459B" w:rsidRPr="0044719E" w:rsidRDefault="004E459B" w:rsidP="004E459B">
      <w:pPr>
        <w:pStyle w:val="HChGA"/>
        <w:rPr>
          <w:szCs w:val="20"/>
          <w:lang w:val="ar-SA" w:eastAsia="zh-TW" w:bidi="en-GB"/>
        </w:rPr>
      </w:pPr>
      <w:r w:rsidRPr="0044719E">
        <w:rPr>
          <w:rtl/>
        </w:rPr>
        <w:tab/>
        <w:t>ثانياً-</w:t>
      </w:r>
      <w:r w:rsidRPr="0044719E">
        <w:rPr>
          <w:rtl/>
        </w:rPr>
        <w:tab/>
        <w:t>الالتزام بمنع التبني غير القانوني على الصعيد الدولي</w:t>
      </w:r>
    </w:p>
    <w:p w14:paraId="187C5EC2" w14:textId="77777777" w:rsidR="004E459B" w:rsidRPr="0044719E" w:rsidRDefault="004E459B" w:rsidP="004E459B">
      <w:pPr>
        <w:pStyle w:val="H23GA"/>
        <w:rPr>
          <w:szCs w:val="20"/>
          <w:lang w:val="ar-SA" w:eastAsia="zh-TW" w:bidi="en-GB"/>
        </w:rPr>
      </w:pPr>
      <w:r w:rsidRPr="0044719E">
        <w:rPr>
          <w:rtl/>
        </w:rPr>
        <w:tab/>
      </w:r>
      <w:r w:rsidRPr="0044719E">
        <w:rPr>
          <w:rtl/>
        </w:rPr>
        <w:tab/>
        <w:t>المبادئ الرئيسية للمنع</w:t>
      </w:r>
    </w:p>
    <w:p w14:paraId="4C6D5BF7" w14:textId="6444FC9B" w:rsidR="00D42713" w:rsidRPr="008E60E9" w:rsidRDefault="004E459B" w:rsidP="004E459B">
      <w:pPr>
        <w:pStyle w:val="SingleTxtGA"/>
        <w:rPr>
          <w:spacing w:val="-4"/>
          <w:szCs w:val="20"/>
          <w:lang w:val="en-US" w:eastAsia="zh-TW" w:bidi="en-GB"/>
        </w:rPr>
      </w:pPr>
      <w:r w:rsidRPr="0044719E">
        <w:rPr>
          <w:rFonts w:ascii="Simplified Arabic"/>
          <w:szCs w:val="20"/>
          <w:rtl/>
        </w:rPr>
        <w:t>5</w:t>
      </w:r>
      <w:r>
        <w:rPr>
          <w:rFonts w:ascii="Simplified Arabic"/>
          <w:szCs w:val="20"/>
          <w:rtl/>
        </w:rPr>
        <w:t>-</w:t>
      </w:r>
      <w:r>
        <w:rPr>
          <w:rtl/>
        </w:rPr>
        <w:tab/>
      </w:r>
      <w:r w:rsidRPr="005A6F49">
        <w:rPr>
          <w:spacing w:val="-4"/>
          <w:rtl/>
        </w:rPr>
        <w:t>من واجب الدول أن تمنع التبني غير القانوني على الصعيد الدولي من خلال سن وإنفاذ القوانين والسياسات وغيرها مما قد يلزم من تدابير فيما يخص إجراءات التبني. وينبغي أن تنظم التبني على الصعيد الدولي أربعة مبادئ رئيسية. أولاً، تُولَى مصالح الطفل الفضلى الاعتبار الأسمى في جميع حالات التبني</w:t>
      </w:r>
      <w:r w:rsidR="00D42713" w:rsidRPr="005A6F49">
        <w:rPr>
          <w:rStyle w:val="FootnoteReference"/>
          <w:spacing w:val="-4"/>
          <w:szCs w:val="22"/>
          <w:rtl/>
        </w:rPr>
        <w:t>(</w:t>
      </w:r>
      <w:r w:rsidR="00D42713" w:rsidRPr="0044719E">
        <w:rPr>
          <w:rStyle w:val="FootnoteReference"/>
          <w:spacing w:val="-4"/>
          <w:szCs w:val="22"/>
          <w:lang w:val="en-US"/>
        </w:rPr>
        <w:footnoteReference w:id="17"/>
      </w:r>
      <w:r w:rsidR="00D42713" w:rsidRPr="005A6F49">
        <w:rPr>
          <w:spacing w:val="-4"/>
          <w:vertAlign w:val="superscript"/>
          <w:rtl/>
        </w:rPr>
        <w:t>)</w:t>
      </w:r>
      <w:r w:rsidR="00D42713" w:rsidRPr="005A6F49">
        <w:rPr>
          <w:rFonts w:ascii="Simplified Arabic"/>
          <w:spacing w:val="-4"/>
          <w:szCs w:val="20"/>
          <w:rtl/>
        </w:rPr>
        <w:t>.</w:t>
      </w:r>
      <w:r w:rsidR="00D42713" w:rsidRPr="005A6F49">
        <w:rPr>
          <w:spacing w:val="-4"/>
          <w:rtl/>
        </w:rPr>
        <w:t xml:space="preserve"> </w:t>
      </w:r>
      <w:r w:rsidRPr="005A6F49">
        <w:rPr>
          <w:spacing w:val="-4"/>
          <w:rtl/>
        </w:rPr>
        <w:t>ثانياً، تحترم إجراءات التبني على الصعيد الدولي مبدأ الولاية الاحتياطية</w:t>
      </w:r>
      <w:r w:rsidR="00D42713" w:rsidRPr="005A6F49">
        <w:rPr>
          <w:rStyle w:val="FootnoteReference"/>
          <w:spacing w:val="-4"/>
          <w:szCs w:val="22"/>
          <w:rtl/>
        </w:rPr>
        <w:t>(</w:t>
      </w:r>
      <w:r w:rsidR="00D42713" w:rsidRPr="0044719E">
        <w:rPr>
          <w:rStyle w:val="FootnoteReference"/>
          <w:spacing w:val="-4"/>
          <w:szCs w:val="22"/>
          <w:lang w:val="en-US"/>
        </w:rPr>
        <w:footnoteReference w:id="18"/>
      </w:r>
      <w:r w:rsidR="00D42713" w:rsidRPr="005A6F49">
        <w:rPr>
          <w:spacing w:val="-4"/>
          <w:vertAlign w:val="superscript"/>
          <w:rtl/>
        </w:rPr>
        <w:t>)</w:t>
      </w:r>
      <w:r w:rsidR="00D42713" w:rsidRPr="005A6F49">
        <w:rPr>
          <w:spacing w:val="-4"/>
          <w:rtl/>
        </w:rPr>
        <w:t xml:space="preserve">، </w:t>
      </w:r>
      <w:r w:rsidRPr="005A6F49">
        <w:rPr>
          <w:spacing w:val="-4"/>
          <w:rtl/>
        </w:rPr>
        <w:t xml:space="preserve">الذي </w:t>
      </w:r>
      <w:proofErr w:type="gramStart"/>
      <w:r w:rsidRPr="005A6F49">
        <w:rPr>
          <w:spacing w:val="-4"/>
          <w:rtl/>
        </w:rPr>
        <w:t>يعني ”أن</w:t>
      </w:r>
      <w:proofErr w:type="gramEnd"/>
      <w:r w:rsidRPr="005A6F49">
        <w:rPr>
          <w:spacing w:val="-4"/>
          <w:rtl/>
        </w:rPr>
        <w:t xml:space="preserve"> تؤخذ بعين الاعتبار الحلول المناسبة المتاحة على الصعيد الوطني في مجال الرعاية البديلة في البلد الأصلي للطفل قبل اللجوء </w:t>
      </w:r>
      <w:r w:rsidRPr="005A6F49">
        <w:rPr>
          <w:spacing w:val="-4"/>
          <w:rtl/>
        </w:rPr>
        <w:lastRenderedPageBreak/>
        <w:t>إلى</w:t>
      </w:r>
      <w:r w:rsidR="005A6F49">
        <w:rPr>
          <w:rFonts w:hint="cs"/>
          <w:spacing w:val="-4"/>
          <w:rtl/>
        </w:rPr>
        <w:t> </w:t>
      </w:r>
      <w:r w:rsidRPr="005A6F49">
        <w:rPr>
          <w:spacing w:val="-4"/>
          <w:rtl/>
        </w:rPr>
        <w:t>التبني على الصعيد الدولي</w:t>
      </w:r>
      <w:r>
        <w:rPr>
          <w:rtl/>
        </w:rPr>
        <w:t>“</w:t>
      </w:r>
      <w:r w:rsidR="00D42713">
        <w:rPr>
          <w:rStyle w:val="FootnoteReference"/>
          <w:szCs w:val="22"/>
          <w:rtl/>
        </w:rPr>
        <w:t>(</w:t>
      </w:r>
      <w:r w:rsidR="00D42713" w:rsidRPr="0044719E">
        <w:rPr>
          <w:rStyle w:val="FootnoteReference"/>
          <w:szCs w:val="22"/>
          <w:lang w:val="en-US"/>
        </w:rPr>
        <w:footnoteReference w:id="19"/>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t>ثالثاً، يقتضي حظر المكاسب المالية وغيرها من المكاسب عدم تحصيل أو دفع أي مبالغ مالية بخلاف تكاليف التبني ونفقاته المعقولة</w:t>
      </w:r>
      <w:r w:rsidR="00D42713">
        <w:rPr>
          <w:rStyle w:val="FootnoteReference"/>
          <w:szCs w:val="22"/>
          <w:rtl/>
        </w:rPr>
        <w:t>(</w:t>
      </w:r>
      <w:r w:rsidR="00D42713" w:rsidRPr="0044719E">
        <w:rPr>
          <w:rStyle w:val="FootnoteReference"/>
          <w:szCs w:val="22"/>
          <w:lang w:val="en-US"/>
        </w:rPr>
        <w:footnoteReference w:id="20"/>
      </w:r>
      <w:r w:rsidR="00D42713" w:rsidRPr="00D42713">
        <w:rPr>
          <w:vertAlign w:val="superscript"/>
          <w:rtl/>
        </w:rPr>
        <w:t>)</w:t>
      </w:r>
      <w:r w:rsidR="00D42713" w:rsidRPr="00D42713">
        <w:rPr>
          <w:rFonts w:ascii="Simplified Arabic"/>
          <w:szCs w:val="20"/>
          <w:rtl/>
        </w:rPr>
        <w:t>.</w:t>
      </w:r>
      <w:r w:rsidR="00D42713" w:rsidRPr="00D42713">
        <w:rPr>
          <w:rtl/>
        </w:rPr>
        <w:t xml:space="preserve"> </w:t>
      </w:r>
      <w:r w:rsidRPr="008E60E9">
        <w:rPr>
          <w:spacing w:val="-4"/>
          <w:rtl/>
        </w:rPr>
        <w:t>رابعاً، لا يرَّخص لحالات التبني على الصعيد الدولي إلا من جانب السلطات المختصة التي تقرر أن التبني جائز</w:t>
      </w:r>
      <w:r w:rsidRPr="008E60E9">
        <w:rPr>
          <w:rFonts w:hint="cs"/>
          <w:spacing w:val="-4"/>
          <w:rtl/>
        </w:rPr>
        <w:t xml:space="preserve"> </w:t>
      </w:r>
      <w:r w:rsidRPr="008E60E9">
        <w:rPr>
          <w:spacing w:val="-4"/>
          <w:rtl/>
        </w:rPr>
        <w:t xml:space="preserve">وفقاً لحالة الطفل فيما يخص والديه وأقاربه والأوصياء الشرعيين، وعند الاقتضاء، أن الأشخاص المعنيين </w:t>
      </w:r>
      <w:r w:rsidRPr="008E60E9">
        <w:rPr>
          <w:rtl/>
        </w:rPr>
        <w:t>قد وافقوا على التبني، عن علم، بعد حصولهم على المشورة اللازمة</w:t>
      </w:r>
      <w:r w:rsidR="00D42713" w:rsidRPr="008E60E9">
        <w:rPr>
          <w:rStyle w:val="FootnoteReference"/>
          <w:szCs w:val="22"/>
          <w:rtl/>
        </w:rPr>
        <w:t>(</w:t>
      </w:r>
      <w:r w:rsidR="00D42713" w:rsidRPr="0044719E">
        <w:rPr>
          <w:rStyle w:val="FootnoteReference"/>
          <w:szCs w:val="22"/>
          <w:lang w:val="en-US"/>
        </w:rPr>
        <w:footnoteReference w:id="21"/>
      </w:r>
      <w:r w:rsidR="00D42713" w:rsidRPr="008E60E9">
        <w:rPr>
          <w:vertAlign w:val="superscript"/>
          <w:rtl/>
        </w:rPr>
        <w:t>)</w:t>
      </w:r>
      <w:r w:rsidR="00D42713" w:rsidRPr="008E60E9">
        <w:rPr>
          <w:rFonts w:ascii="Simplified Arabic"/>
          <w:szCs w:val="20"/>
          <w:rtl/>
        </w:rPr>
        <w:t>.</w:t>
      </w:r>
      <w:r w:rsidR="00D42713" w:rsidRPr="008E60E9">
        <w:rPr>
          <w:rtl/>
        </w:rPr>
        <w:t xml:space="preserve"> </w:t>
      </w:r>
      <w:r w:rsidRPr="008E60E9">
        <w:rPr>
          <w:rtl/>
        </w:rPr>
        <w:t xml:space="preserve">وتُنتهك المبادئ المذكورة </w:t>
      </w:r>
      <w:proofErr w:type="gramStart"/>
      <w:r w:rsidRPr="008E60E9">
        <w:rPr>
          <w:rtl/>
        </w:rPr>
        <w:t>آنفاً ”عندما</w:t>
      </w:r>
      <w:proofErr w:type="gramEnd"/>
      <w:r w:rsidRPr="008E60E9">
        <w:rPr>
          <w:spacing w:val="-4"/>
          <w:rtl/>
        </w:rPr>
        <w:t xml:space="preserve"> يكون غرض التبني العثور على طفل لوالدين متبنيين بدلاً من العثور على أسرة للطفل</w:t>
      </w:r>
      <w:r w:rsidRPr="008E60E9">
        <w:rPr>
          <w:rFonts w:ascii="Simplified Arabic"/>
          <w:spacing w:val="-4"/>
          <w:szCs w:val="20"/>
          <w:rtl/>
        </w:rPr>
        <w:t>“</w:t>
      </w:r>
      <w:r w:rsidR="00D42713" w:rsidRPr="008E60E9">
        <w:rPr>
          <w:rStyle w:val="FootnoteReference"/>
          <w:spacing w:val="-4"/>
          <w:szCs w:val="22"/>
          <w:rtl/>
        </w:rPr>
        <w:t>(</w:t>
      </w:r>
      <w:r w:rsidR="00D42713" w:rsidRPr="0044719E">
        <w:rPr>
          <w:rStyle w:val="FootnoteReference"/>
          <w:spacing w:val="-4"/>
          <w:szCs w:val="22"/>
          <w:lang w:val="en-US"/>
        </w:rPr>
        <w:footnoteReference w:id="22"/>
      </w:r>
      <w:r w:rsidR="00D42713" w:rsidRPr="008E60E9">
        <w:rPr>
          <w:spacing w:val="-4"/>
          <w:vertAlign w:val="superscript"/>
          <w:rtl/>
        </w:rPr>
        <w:t>)</w:t>
      </w:r>
      <w:r w:rsidR="00D42713" w:rsidRPr="008E60E9">
        <w:rPr>
          <w:spacing w:val="-4"/>
          <w:rtl/>
        </w:rPr>
        <w:t>.</w:t>
      </w:r>
    </w:p>
    <w:p w14:paraId="5D36F851" w14:textId="1A6DF411" w:rsidR="004E459B" w:rsidRPr="0044719E" w:rsidRDefault="004E459B" w:rsidP="004E459B">
      <w:pPr>
        <w:pStyle w:val="H23GA"/>
        <w:rPr>
          <w:szCs w:val="20"/>
          <w:lang w:val="ar-SA" w:eastAsia="zh-TW" w:bidi="en-GB"/>
        </w:rPr>
      </w:pPr>
      <w:r w:rsidRPr="0044719E">
        <w:rPr>
          <w:rtl/>
        </w:rPr>
        <w:tab/>
      </w:r>
      <w:r w:rsidRPr="0044719E">
        <w:rPr>
          <w:rtl/>
        </w:rPr>
        <w:tab/>
        <w:t>احترام آراء الأطفال</w:t>
      </w:r>
    </w:p>
    <w:p w14:paraId="20E112DF" w14:textId="22538D42" w:rsidR="004E459B" w:rsidRPr="00F16F7D" w:rsidRDefault="004E459B" w:rsidP="008E60E9">
      <w:pPr>
        <w:pStyle w:val="SingleTxtGA"/>
        <w:spacing w:line="350" w:lineRule="exact"/>
        <w:rPr>
          <w:szCs w:val="20"/>
          <w:lang w:val="ar-SA" w:eastAsia="zh-TW" w:bidi="en-GB"/>
        </w:rPr>
      </w:pPr>
      <w:r w:rsidRPr="0044719E">
        <w:rPr>
          <w:rFonts w:ascii="Simplified Arabic"/>
          <w:szCs w:val="20"/>
          <w:rtl/>
        </w:rPr>
        <w:t>6</w:t>
      </w:r>
      <w:r>
        <w:rPr>
          <w:rFonts w:ascii="Simplified Arabic"/>
          <w:szCs w:val="20"/>
          <w:rtl/>
        </w:rPr>
        <w:t>-</w:t>
      </w:r>
      <w:r>
        <w:rPr>
          <w:rtl/>
        </w:rPr>
        <w:tab/>
        <w:t>تستند أي قرارات تتخذ في سياق عمليات التبني على الصعيد الدولي إلى المبادئ الأربعة المذكورة أعلاه وتسترشد بها، وتضمن حقوق الطفل، وكذلك حقوق الأسر البيولوجية والوالد المرشح لتبنيه (الوالدين المرشحين لتبنيه</w:t>
      </w:r>
      <w:r w:rsidR="00D42713" w:rsidRPr="00D42713">
        <w:rPr>
          <w:rtl/>
        </w:rPr>
        <w:t xml:space="preserve">). </w:t>
      </w:r>
      <w:r>
        <w:rPr>
          <w:rtl/>
        </w:rPr>
        <w:t xml:space="preserve">ويتعين على الدول بوجه خاص أن تمكن الأطفال من التعبير عن آرائهم وأن </w:t>
      </w:r>
      <w:r w:rsidRPr="008E60E9">
        <w:rPr>
          <w:spacing w:val="-4"/>
          <w:rtl/>
        </w:rPr>
        <w:t>تكفل إيلاء هذه الآراء الاعتبار الواجب، وفقاً لسنهم ومدى نضجهم، في جميع الإجراءات القضائية والإدارية</w:t>
      </w:r>
      <w:r>
        <w:rPr>
          <w:rtl/>
        </w:rPr>
        <w:t xml:space="preserve"> المتعلقة بقرار التبني على الصعيد الدولي</w:t>
      </w:r>
      <w:r w:rsidR="00D42713">
        <w:rPr>
          <w:rStyle w:val="FootnoteReference"/>
          <w:szCs w:val="22"/>
          <w:rtl/>
        </w:rPr>
        <w:t>(</w:t>
      </w:r>
      <w:r w:rsidR="00D42713" w:rsidRPr="0044719E">
        <w:rPr>
          <w:rStyle w:val="FootnoteReference"/>
          <w:szCs w:val="22"/>
          <w:lang w:val="en-US"/>
        </w:rPr>
        <w:footnoteReference w:id="23"/>
      </w:r>
      <w:r w:rsidR="00D42713" w:rsidRPr="00D42713">
        <w:rPr>
          <w:rFonts w:hint="cs"/>
          <w:vertAlign w:val="superscript"/>
          <w:rtl/>
        </w:rPr>
        <w:t>)</w:t>
      </w:r>
      <w:r w:rsidR="00D42713" w:rsidRPr="00D42713">
        <w:rPr>
          <w:rtl/>
        </w:rPr>
        <w:t xml:space="preserve">. </w:t>
      </w:r>
      <w:r>
        <w:rPr>
          <w:rtl/>
        </w:rPr>
        <w:t>وفي هذا الصدد، ينبغي للدول أن تضع إجراءات تشغيلية موحدة وأن توفر التدريب للقضاة والمحامين والأخصائيين الاجتماعيين.</w:t>
      </w:r>
    </w:p>
    <w:p w14:paraId="759DA783" w14:textId="77777777" w:rsidR="004E459B" w:rsidRPr="0044719E" w:rsidRDefault="004E459B" w:rsidP="004E459B">
      <w:pPr>
        <w:pStyle w:val="H23GA"/>
        <w:rPr>
          <w:szCs w:val="20"/>
          <w:lang w:val="ar-SA" w:eastAsia="zh-TW" w:bidi="en-GB"/>
        </w:rPr>
      </w:pPr>
      <w:r w:rsidRPr="0044719E">
        <w:rPr>
          <w:rtl/>
        </w:rPr>
        <w:tab/>
      </w:r>
      <w:r w:rsidRPr="0044719E">
        <w:rPr>
          <w:rtl/>
        </w:rPr>
        <w:tab/>
        <w:t>عملية التبني</w:t>
      </w:r>
    </w:p>
    <w:p w14:paraId="5177F5B2" w14:textId="12D5E536" w:rsidR="00D42713" w:rsidRPr="00D42713" w:rsidRDefault="004E459B" w:rsidP="008E60E9">
      <w:pPr>
        <w:pStyle w:val="SingleTxtGA"/>
        <w:spacing w:line="350" w:lineRule="exact"/>
        <w:rPr>
          <w:szCs w:val="20"/>
          <w:lang w:val="ar-SA" w:eastAsia="zh-TW" w:bidi="en-GB"/>
        </w:rPr>
      </w:pPr>
      <w:r w:rsidRPr="0044719E">
        <w:rPr>
          <w:rFonts w:ascii="Simplified Arabic"/>
          <w:szCs w:val="20"/>
          <w:rtl/>
        </w:rPr>
        <w:t>7</w:t>
      </w:r>
      <w:r>
        <w:rPr>
          <w:rFonts w:ascii="Simplified Arabic"/>
          <w:szCs w:val="20"/>
          <w:rtl/>
        </w:rPr>
        <w:t>-</w:t>
      </w:r>
      <w:r>
        <w:rPr>
          <w:rtl/>
        </w:rPr>
        <w:tab/>
        <w:t>تنشئ الدول وتنفذ عملية تبني موحدة تشمل تقييماً شاملاً لحقوق الطفل بأكملها، وتعتمد لوائح مناسبة بشأن الإجراءات والضمانات، بما في ذلك فيما يتعلق بتحديد إمكانية التبني</w:t>
      </w:r>
      <w:r w:rsidR="00D42713">
        <w:rPr>
          <w:rStyle w:val="FootnoteReference"/>
          <w:szCs w:val="22"/>
          <w:rtl/>
        </w:rPr>
        <w:t>(</w:t>
      </w:r>
      <w:r w:rsidR="00D42713" w:rsidRPr="0044719E">
        <w:rPr>
          <w:rStyle w:val="FootnoteReference"/>
          <w:szCs w:val="22"/>
          <w:lang w:val="en-US"/>
        </w:rPr>
        <w:footnoteReference w:id="24"/>
      </w:r>
      <w:r w:rsidR="00D42713" w:rsidRPr="00D42713">
        <w:rPr>
          <w:vertAlign w:val="superscript"/>
          <w:rtl/>
        </w:rPr>
        <w:t>)</w:t>
      </w:r>
      <w:r w:rsidR="00D42713" w:rsidRPr="00D42713">
        <w:rPr>
          <w:rtl/>
        </w:rPr>
        <w:t xml:space="preserve">. </w:t>
      </w:r>
      <w:r>
        <w:rPr>
          <w:rtl/>
        </w:rPr>
        <w:t>وتحظر الدول على وجه الخصوص عمليات التبني الخاصة والمستقلة وتكفل عدم تنفيذ عمليات تبن على الصعيد الدولي إلا من خلال وكالات معتمدة. وتستحدث الدول آليات شفافة وفعالة ومناسبة ومزودة بموارد كافية للإشراف على عمليات التبني على الصعيد الدولي ورصدها</w:t>
      </w:r>
      <w:r w:rsidR="00D42713">
        <w:rPr>
          <w:rStyle w:val="FootnoteReference"/>
          <w:szCs w:val="22"/>
          <w:rtl/>
        </w:rPr>
        <w:t>(</w:t>
      </w:r>
      <w:r w:rsidR="00D42713" w:rsidRPr="0044719E">
        <w:rPr>
          <w:rStyle w:val="FootnoteReference"/>
          <w:szCs w:val="22"/>
          <w:lang w:val="en-US"/>
        </w:rPr>
        <w:footnoteReference w:id="25"/>
      </w:r>
      <w:r w:rsidR="00D42713" w:rsidRPr="00D42713">
        <w:rPr>
          <w:vertAlign w:val="superscript"/>
          <w:rtl/>
        </w:rPr>
        <w:t>)</w:t>
      </w:r>
      <w:r w:rsidR="00D42713" w:rsidRPr="00D42713">
        <w:rPr>
          <w:rtl/>
        </w:rPr>
        <w:t xml:space="preserve">، </w:t>
      </w:r>
      <w:r>
        <w:rPr>
          <w:rtl/>
        </w:rPr>
        <w:t>ولا سيما فيما يتعلق بالتحقق الصارم من خلفية ووثائق الأطفال المعلن أنهم يتامى. وتستحدث الدول أيضاً وتنفذ نظم معلومات موحدة تكفل الحصول على بيانات دقيقة وموثوقة عن عمليات التبني على الصعيد الدولي، بما في ذلك عن الأطفال الخاضعين للتبني وعن أسرهم وخلفياتهم، وتبادل تلك المعلومات</w:t>
      </w:r>
      <w:r w:rsidR="00D42713">
        <w:rPr>
          <w:rStyle w:val="FootnoteReference"/>
          <w:szCs w:val="22"/>
          <w:rtl/>
        </w:rPr>
        <w:t>(</w:t>
      </w:r>
      <w:r w:rsidR="00D42713" w:rsidRPr="0044719E">
        <w:rPr>
          <w:rStyle w:val="FootnoteReference"/>
          <w:szCs w:val="22"/>
          <w:lang w:val="en-US"/>
        </w:rPr>
        <w:footnoteReference w:id="26"/>
      </w:r>
      <w:r w:rsidR="00D42713" w:rsidRPr="00D42713">
        <w:rPr>
          <w:vertAlign w:val="superscript"/>
          <w:rtl/>
        </w:rPr>
        <w:t>)</w:t>
      </w:r>
      <w:r w:rsidR="00D42713" w:rsidRPr="00D42713">
        <w:rPr>
          <w:rtl/>
        </w:rPr>
        <w:t>.</w:t>
      </w:r>
    </w:p>
    <w:p w14:paraId="20B1BF84" w14:textId="021991C6" w:rsidR="004E459B" w:rsidRPr="0044719E" w:rsidRDefault="004E459B" w:rsidP="005A6F49">
      <w:pPr>
        <w:pStyle w:val="H23GA"/>
        <w:rPr>
          <w:szCs w:val="20"/>
          <w:lang w:val="ar-SA" w:eastAsia="zh-TW" w:bidi="en-GB"/>
        </w:rPr>
      </w:pPr>
      <w:r w:rsidRPr="0044719E">
        <w:rPr>
          <w:rtl/>
        </w:rPr>
        <w:lastRenderedPageBreak/>
        <w:tab/>
      </w:r>
      <w:r w:rsidRPr="0044719E">
        <w:rPr>
          <w:rtl/>
        </w:rPr>
        <w:tab/>
        <w:t>الكسب المالي غير المشروع والفساد</w:t>
      </w:r>
    </w:p>
    <w:p w14:paraId="5E0CFB46" w14:textId="2CC657F9" w:rsidR="004E459B" w:rsidRPr="004E459B" w:rsidRDefault="004E459B" w:rsidP="005A6F49">
      <w:pPr>
        <w:pStyle w:val="SingleTxtGA"/>
        <w:spacing w:line="340" w:lineRule="exact"/>
        <w:rPr>
          <w:spacing w:val="-2"/>
          <w:szCs w:val="20"/>
          <w:lang w:val="ar-SA" w:eastAsia="zh-TW" w:bidi="en-GB"/>
        </w:rPr>
      </w:pPr>
      <w:r w:rsidRPr="0044719E">
        <w:rPr>
          <w:rFonts w:ascii="Simplified Arabic"/>
          <w:szCs w:val="20"/>
          <w:rtl/>
        </w:rPr>
        <w:t>8</w:t>
      </w:r>
      <w:r>
        <w:rPr>
          <w:rFonts w:ascii="Simplified Arabic"/>
          <w:szCs w:val="20"/>
          <w:rtl/>
        </w:rPr>
        <w:t>-</w:t>
      </w:r>
      <w:r>
        <w:rPr>
          <w:rtl/>
        </w:rPr>
        <w:tab/>
      </w:r>
      <w:r w:rsidRPr="004E459B">
        <w:rPr>
          <w:spacing w:val="-2"/>
          <w:rtl/>
        </w:rPr>
        <w:t>تتخذ الدول جميع التدابير المناسبة كي تضمن، فيما يخص التبني على الصعيد الدولي، أن عملية التبني لا تعود على المشاركين فيها بكسب مالي غير مشروع</w:t>
      </w:r>
      <w:r w:rsidR="00D42713">
        <w:rPr>
          <w:rStyle w:val="FootnoteReference"/>
          <w:spacing w:val="-2"/>
          <w:szCs w:val="22"/>
          <w:rtl/>
        </w:rPr>
        <w:t>(</w:t>
      </w:r>
      <w:r w:rsidR="00D42713" w:rsidRPr="0044719E">
        <w:rPr>
          <w:rStyle w:val="FootnoteReference"/>
          <w:spacing w:val="-2"/>
          <w:szCs w:val="22"/>
          <w:lang w:val="en-US"/>
        </w:rPr>
        <w:footnoteReference w:id="27"/>
      </w:r>
      <w:r w:rsidR="00D42713" w:rsidRPr="00D42713">
        <w:rPr>
          <w:spacing w:val="-2"/>
          <w:vertAlign w:val="superscript"/>
          <w:rtl/>
        </w:rPr>
        <w:t>)</w:t>
      </w:r>
      <w:r w:rsidR="00D42713" w:rsidRPr="00D42713">
        <w:rPr>
          <w:rFonts w:ascii="Simplified Arabic"/>
          <w:spacing w:val="-2"/>
          <w:szCs w:val="20"/>
          <w:rtl/>
        </w:rPr>
        <w:t>.</w:t>
      </w:r>
      <w:r w:rsidR="00D42713" w:rsidRPr="00D42713">
        <w:rPr>
          <w:spacing w:val="-2"/>
          <w:rtl/>
        </w:rPr>
        <w:t xml:space="preserve"> </w:t>
      </w:r>
      <w:r w:rsidRPr="004E459B">
        <w:rPr>
          <w:spacing w:val="-2"/>
          <w:rtl/>
        </w:rPr>
        <w:t>وينبغي أن تكون الرسوم الرسمية كافية لتغطية التكاليف وأن تتاح لعامة الجمهور إمكانية الاطلاع على التفاصيل كاملةً</w:t>
      </w:r>
      <w:r w:rsidR="00D42713">
        <w:rPr>
          <w:rStyle w:val="FootnoteReference"/>
          <w:spacing w:val="-2"/>
          <w:szCs w:val="22"/>
          <w:rtl/>
        </w:rPr>
        <w:t>(</w:t>
      </w:r>
      <w:r w:rsidR="00D42713" w:rsidRPr="0044719E">
        <w:rPr>
          <w:rStyle w:val="FootnoteReference"/>
          <w:spacing w:val="-2"/>
          <w:szCs w:val="22"/>
          <w:lang w:val="en-US"/>
        </w:rPr>
        <w:footnoteReference w:id="28"/>
      </w:r>
      <w:r w:rsidR="00D42713" w:rsidRPr="00D42713">
        <w:rPr>
          <w:spacing w:val="-2"/>
          <w:vertAlign w:val="superscript"/>
          <w:rtl/>
        </w:rPr>
        <w:t>)</w:t>
      </w:r>
      <w:r w:rsidR="00D42713" w:rsidRPr="00D42713">
        <w:rPr>
          <w:spacing w:val="-2"/>
          <w:rtl/>
        </w:rPr>
        <w:t xml:space="preserve">، </w:t>
      </w:r>
      <w:r w:rsidRPr="004E459B">
        <w:rPr>
          <w:spacing w:val="-2"/>
          <w:rtl/>
        </w:rPr>
        <w:t>وينبغي فصل التبرعات والمنح فصلاً واضحاً عن عملية التبني</w:t>
      </w:r>
      <w:r w:rsidR="00D42713">
        <w:rPr>
          <w:rStyle w:val="FootnoteReference"/>
          <w:spacing w:val="-2"/>
          <w:szCs w:val="22"/>
          <w:rtl/>
        </w:rPr>
        <w:t>(</w:t>
      </w:r>
      <w:r w:rsidR="00D42713" w:rsidRPr="0044719E">
        <w:rPr>
          <w:rStyle w:val="FootnoteReference"/>
          <w:spacing w:val="-2"/>
          <w:szCs w:val="22"/>
          <w:lang w:val="en-US"/>
        </w:rPr>
        <w:footnoteReference w:id="29"/>
      </w:r>
      <w:r w:rsidR="00D42713" w:rsidRPr="00D42713">
        <w:rPr>
          <w:spacing w:val="-2"/>
          <w:vertAlign w:val="superscript"/>
          <w:rtl/>
        </w:rPr>
        <w:t>)</w:t>
      </w:r>
      <w:r w:rsidR="00D42713" w:rsidRPr="00D42713">
        <w:rPr>
          <w:spacing w:val="-2"/>
          <w:rtl/>
        </w:rPr>
        <w:t xml:space="preserve">، </w:t>
      </w:r>
      <w:r w:rsidRPr="004E459B">
        <w:rPr>
          <w:spacing w:val="-2"/>
          <w:rtl/>
        </w:rPr>
        <w:t>كما ينبغي عدم ربط تقديم المساعدة الإنمائية أو الإنسانية بمنح تراخيص لعمليات تبنٍ</w:t>
      </w:r>
      <w:r w:rsidR="00D42713">
        <w:rPr>
          <w:rStyle w:val="FootnoteReference"/>
          <w:spacing w:val="-2"/>
          <w:szCs w:val="22"/>
          <w:rtl/>
        </w:rPr>
        <w:t>(</w:t>
      </w:r>
      <w:r w:rsidR="00D42713" w:rsidRPr="0044719E">
        <w:rPr>
          <w:rStyle w:val="FootnoteReference"/>
          <w:spacing w:val="-2"/>
          <w:szCs w:val="22"/>
          <w:lang w:val="en-US"/>
        </w:rPr>
        <w:footnoteReference w:id="30"/>
      </w:r>
      <w:r w:rsidR="00D42713" w:rsidRPr="00D42713">
        <w:rPr>
          <w:spacing w:val="-2"/>
          <w:vertAlign w:val="superscript"/>
          <w:rtl/>
        </w:rPr>
        <w:t>)</w:t>
      </w:r>
      <w:r w:rsidR="00D42713" w:rsidRPr="00D42713">
        <w:rPr>
          <w:rFonts w:ascii="Simplified Arabic"/>
          <w:spacing w:val="-2"/>
          <w:szCs w:val="20"/>
          <w:rtl/>
        </w:rPr>
        <w:t>.</w:t>
      </w:r>
      <w:r w:rsidR="00D42713" w:rsidRPr="00D42713">
        <w:rPr>
          <w:spacing w:val="-2"/>
          <w:rtl/>
        </w:rPr>
        <w:t xml:space="preserve"> </w:t>
      </w:r>
      <w:r w:rsidRPr="004E459B">
        <w:rPr>
          <w:spacing w:val="-2"/>
          <w:rtl/>
        </w:rPr>
        <w:t>ويجب حظر دفع أموال من جانب الوكالات أو الآباء والأمهات الطامحين للتبني لمرافق الرعاية التي يقيم بها الأطفال</w:t>
      </w:r>
      <w:r w:rsidR="00D42713">
        <w:rPr>
          <w:rStyle w:val="FootnoteReference"/>
          <w:spacing w:val="-2"/>
          <w:rtl/>
        </w:rPr>
        <w:t>(</w:t>
      </w:r>
      <w:r w:rsidR="00D42713" w:rsidRPr="0044719E">
        <w:rPr>
          <w:rStyle w:val="FootnoteReference"/>
          <w:spacing w:val="-2"/>
          <w:lang w:val="en-US"/>
        </w:rPr>
        <w:footnoteReference w:id="31"/>
      </w:r>
      <w:r w:rsidR="00D42713" w:rsidRPr="00D42713">
        <w:rPr>
          <w:rFonts w:ascii="Simplified Arabic"/>
          <w:spacing w:val="-2"/>
          <w:szCs w:val="20"/>
          <w:vertAlign w:val="superscript"/>
          <w:rtl/>
        </w:rPr>
        <w:t>)</w:t>
      </w:r>
      <w:r w:rsidR="00D42713" w:rsidRPr="00D42713">
        <w:rPr>
          <w:rFonts w:ascii="Simplified Arabic"/>
          <w:spacing w:val="-2"/>
          <w:szCs w:val="20"/>
          <w:rtl/>
        </w:rPr>
        <w:t>.</w:t>
      </w:r>
      <w:r w:rsidR="00D42713" w:rsidRPr="00D42713">
        <w:rPr>
          <w:spacing w:val="-2"/>
          <w:rtl/>
        </w:rPr>
        <w:t xml:space="preserve"> </w:t>
      </w:r>
      <w:r w:rsidRPr="004E459B">
        <w:rPr>
          <w:spacing w:val="-2"/>
          <w:rtl/>
        </w:rPr>
        <w:t>ويجرَّم الفساد في أي مرحلة من مراحل عملية التبني.</w:t>
      </w:r>
    </w:p>
    <w:p w14:paraId="3310A1D8" w14:textId="77777777" w:rsidR="004E459B" w:rsidRPr="0044719E" w:rsidRDefault="004E459B" w:rsidP="005A6F49">
      <w:pPr>
        <w:pStyle w:val="H23GA"/>
        <w:rPr>
          <w:szCs w:val="20"/>
          <w:lang w:val="ar-SA" w:eastAsia="zh-TW" w:bidi="en-GB"/>
        </w:rPr>
      </w:pPr>
      <w:r w:rsidRPr="0044719E">
        <w:rPr>
          <w:rtl/>
        </w:rPr>
        <w:tab/>
      </w:r>
      <w:r w:rsidRPr="0044719E">
        <w:rPr>
          <w:rtl/>
        </w:rPr>
        <w:tab/>
        <w:t>إلغاء الحوافز</w:t>
      </w:r>
    </w:p>
    <w:p w14:paraId="201DA726" w14:textId="4CD205E9" w:rsidR="004E459B" w:rsidRPr="00F16F7D" w:rsidRDefault="004E459B" w:rsidP="005A6F49">
      <w:pPr>
        <w:pStyle w:val="SingleTxtGA"/>
        <w:spacing w:line="340" w:lineRule="exact"/>
        <w:rPr>
          <w:szCs w:val="20"/>
          <w:lang w:val="ar-SA" w:eastAsia="zh-TW" w:bidi="en-GB"/>
        </w:rPr>
      </w:pPr>
      <w:r w:rsidRPr="0044719E">
        <w:rPr>
          <w:rFonts w:ascii="Simplified Arabic"/>
          <w:szCs w:val="20"/>
          <w:rtl/>
        </w:rPr>
        <w:t>9</w:t>
      </w:r>
      <w:r>
        <w:rPr>
          <w:rFonts w:ascii="Simplified Arabic"/>
          <w:szCs w:val="20"/>
          <w:rtl/>
        </w:rPr>
        <w:t>-</w:t>
      </w:r>
      <w:r>
        <w:rPr>
          <w:rtl/>
        </w:rPr>
        <w:tab/>
        <w:t>ينبغي للدول أن تمنع تحفيز الممارسات غير المشروعة التي تؤدي إلى التبني غير القانوني على الصعيد الدولي في البلدان الأصلية للأطفال. وعلى وجه الخصوص، ينبغي إلغاء الحصص السنوية لعمليات التبنِّي بحسب البلدان و/أو بحسب الوكالات</w:t>
      </w:r>
      <w:r w:rsidR="00D42713">
        <w:rPr>
          <w:rStyle w:val="FootnoteReference"/>
          <w:szCs w:val="22"/>
          <w:rtl/>
        </w:rPr>
        <w:t>(</w:t>
      </w:r>
      <w:r w:rsidR="00D42713" w:rsidRPr="0044719E">
        <w:rPr>
          <w:rStyle w:val="FootnoteReference"/>
          <w:szCs w:val="22"/>
          <w:lang w:val="en-US"/>
        </w:rPr>
        <w:footnoteReference w:id="32"/>
      </w:r>
      <w:r w:rsidR="00D42713" w:rsidRPr="00D42713">
        <w:rPr>
          <w:vertAlign w:val="superscript"/>
          <w:rtl/>
        </w:rPr>
        <w:t>)</w:t>
      </w:r>
      <w:r w:rsidR="00D42713" w:rsidRPr="00D42713">
        <w:rPr>
          <w:rtl/>
        </w:rPr>
        <w:t xml:space="preserve">، </w:t>
      </w:r>
      <w:r>
        <w:rPr>
          <w:rtl/>
        </w:rPr>
        <w:t>كما ينبغي رفض قبول أي طلب ما لم يكن قد شُرع فيه بغرض تبني طفل حُدد على أنه بحاجة إلى التبني</w:t>
      </w:r>
      <w:r w:rsidR="00D42713">
        <w:rPr>
          <w:rStyle w:val="FootnoteReference"/>
          <w:szCs w:val="22"/>
          <w:rtl/>
        </w:rPr>
        <w:t>(</w:t>
      </w:r>
      <w:r w:rsidR="00D42713" w:rsidRPr="0044719E">
        <w:rPr>
          <w:rStyle w:val="FootnoteReference"/>
          <w:szCs w:val="22"/>
          <w:lang w:val="en-US"/>
        </w:rPr>
        <w:footnoteReference w:id="33"/>
      </w:r>
      <w:r w:rsidR="00D42713" w:rsidRPr="00D42713">
        <w:rPr>
          <w:vertAlign w:val="superscript"/>
          <w:rtl/>
        </w:rPr>
        <w:t>)</w:t>
      </w:r>
      <w:r w:rsidR="00D42713" w:rsidRPr="00D42713">
        <w:rPr>
          <w:rFonts w:ascii="Simplified Arabic"/>
          <w:szCs w:val="20"/>
          <w:rtl/>
        </w:rPr>
        <w:t>.</w:t>
      </w:r>
      <w:r w:rsidR="00D42713" w:rsidRPr="00D42713">
        <w:rPr>
          <w:rtl/>
        </w:rPr>
        <w:t xml:space="preserve"> </w:t>
      </w:r>
    </w:p>
    <w:p w14:paraId="2CA221D1" w14:textId="77777777" w:rsidR="004E459B" w:rsidRPr="0044719E" w:rsidRDefault="004E459B" w:rsidP="005A6F49">
      <w:pPr>
        <w:pStyle w:val="H23GA"/>
        <w:rPr>
          <w:szCs w:val="20"/>
          <w:lang w:val="en-US" w:eastAsia="zh-TW" w:bidi="en-GB"/>
        </w:rPr>
      </w:pPr>
      <w:r w:rsidRPr="0044719E">
        <w:rPr>
          <w:rtl/>
        </w:rPr>
        <w:tab/>
      </w:r>
      <w:r w:rsidRPr="0044719E">
        <w:rPr>
          <w:rtl/>
        </w:rPr>
        <w:tab/>
        <w:t>القوانين والممارسات الوطنية</w:t>
      </w:r>
    </w:p>
    <w:p w14:paraId="62F80D90" w14:textId="1256FAF7" w:rsidR="004E459B" w:rsidRPr="005A6F49" w:rsidRDefault="004E459B" w:rsidP="005A6F49">
      <w:pPr>
        <w:pStyle w:val="SingleTxtGA"/>
        <w:spacing w:line="340" w:lineRule="exact"/>
        <w:rPr>
          <w:spacing w:val="2"/>
          <w:szCs w:val="20"/>
          <w:lang w:val="en-US" w:eastAsia="zh-TW" w:bidi="en-GB"/>
        </w:rPr>
      </w:pPr>
      <w:r w:rsidRPr="0044719E">
        <w:rPr>
          <w:rFonts w:ascii="Simplified Arabic"/>
          <w:spacing w:val="2"/>
          <w:szCs w:val="20"/>
          <w:rtl/>
        </w:rPr>
        <w:t>10</w:t>
      </w:r>
      <w:r w:rsidRPr="005A6F49">
        <w:rPr>
          <w:rFonts w:ascii="Simplified Arabic"/>
          <w:spacing w:val="2"/>
          <w:szCs w:val="20"/>
          <w:rtl/>
        </w:rPr>
        <w:t>-</w:t>
      </w:r>
      <w:r w:rsidRPr="005A6F49">
        <w:rPr>
          <w:spacing w:val="2"/>
          <w:rtl/>
        </w:rPr>
        <w:tab/>
        <w:t xml:space="preserve">ينبغي للدول الأصلية أن تستعرض قوانينها ولوائحها الوطنية، وكذلك سياساتها وممارساتها، لضمان عدم إسهامها في تهيئة ظروف </w:t>
      </w:r>
      <w:proofErr w:type="spellStart"/>
      <w:r w:rsidRPr="005A6F49">
        <w:rPr>
          <w:spacing w:val="2"/>
          <w:rtl/>
        </w:rPr>
        <w:t>مؤاتية</w:t>
      </w:r>
      <w:proofErr w:type="spellEnd"/>
      <w:r w:rsidRPr="005A6F49">
        <w:rPr>
          <w:spacing w:val="2"/>
          <w:rtl/>
        </w:rPr>
        <w:t xml:space="preserve"> لعمليات التبني غير القانونية على الصعيد الدولي أو في </w:t>
      </w:r>
      <w:r w:rsidRPr="005A6F49">
        <w:rPr>
          <w:spacing w:val="-2"/>
          <w:rtl/>
        </w:rPr>
        <w:t>إدامة تلك الظروف</w:t>
      </w:r>
      <w:r w:rsidR="00D42713" w:rsidRPr="005A6F49">
        <w:rPr>
          <w:rStyle w:val="FootnoteReference"/>
          <w:spacing w:val="-2"/>
          <w:szCs w:val="22"/>
          <w:rtl/>
        </w:rPr>
        <w:t>(</w:t>
      </w:r>
      <w:r w:rsidR="00D42713" w:rsidRPr="0044719E">
        <w:rPr>
          <w:rStyle w:val="FootnoteReference"/>
          <w:spacing w:val="-2"/>
          <w:szCs w:val="22"/>
          <w:lang w:val="en-US"/>
        </w:rPr>
        <w:footnoteReference w:id="34"/>
      </w:r>
      <w:r w:rsidR="00D42713" w:rsidRPr="005A6F49">
        <w:rPr>
          <w:spacing w:val="-2"/>
          <w:vertAlign w:val="superscript"/>
          <w:rtl/>
        </w:rPr>
        <w:t>)</w:t>
      </w:r>
      <w:r w:rsidR="00D42713" w:rsidRPr="005A6F49">
        <w:rPr>
          <w:rFonts w:ascii="Simplified Arabic"/>
          <w:spacing w:val="-2"/>
          <w:szCs w:val="20"/>
          <w:rtl/>
        </w:rPr>
        <w:t>.</w:t>
      </w:r>
      <w:r w:rsidR="00D42713" w:rsidRPr="005A6F49">
        <w:rPr>
          <w:spacing w:val="-2"/>
          <w:rtl/>
        </w:rPr>
        <w:t xml:space="preserve"> </w:t>
      </w:r>
      <w:r w:rsidRPr="005A6F49">
        <w:rPr>
          <w:spacing w:val="-2"/>
          <w:rtl/>
        </w:rPr>
        <w:t>وتتخذ الدول جميع التدابير اللازمة لمعالجة الأسباب الجذرية لهذه الممارسات</w:t>
      </w:r>
      <w:r w:rsidR="00D42713" w:rsidRPr="005A6F49">
        <w:rPr>
          <w:rStyle w:val="FootnoteReference"/>
          <w:spacing w:val="-2"/>
          <w:szCs w:val="22"/>
          <w:rtl/>
        </w:rPr>
        <w:t>(</w:t>
      </w:r>
      <w:r w:rsidR="00D42713" w:rsidRPr="0044719E">
        <w:rPr>
          <w:rStyle w:val="FootnoteReference"/>
          <w:spacing w:val="-2"/>
          <w:szCs w:val="22"/>
          <w:lang w:val="en-US"/>
        </w:rPr>
        <w:footnoteReference w:id="35"/>
      </w:r>
      <w:r w:rsidR="00D42713" w:rsidRPr="005A6F49">
        <w:rPr>
          <w:spacing w:val="-2"/>
          <w:vertAlign w:val="superscript"/>
          <w:rtl/>
        </w:rPr>
        <w:t>)</w:t>
      </w:r>
      <w:r w:rsidR="00D42713" w:rsidRPr="005A6F49">
        <w:rPr>
          <w:rFonts w:ascii="Simplified Arabic"/>
          <w:spacing w:val="-2"/>
          <w:szCs w:val="20"/>
          <w:rtl/>
        </w:rPr>
        <w:t>.</w:t>
      </w:r>
      <w:r w:rsidR="00D42713" w:rsidRPr="005A6F49">
        <w:rPr>
          <w:spacing w:val="2"/>
          <w:rtl/>
        </w:rPr>
        <w:t xml:space="preserve"> </w:t>
      </w:r>
      <w:r w:rsidRPr="005A6F49">
        <w:rPr>
          <w:spacing w:val="4"/>
          <w:rtl/>
        </w:rPr>
        <w:t>ويمكن القيام بذلك، في جملة أمور، من خلال تعزيز النظم الوطنية الفعالة لحماية الطفل وزيادة الاستثمار فيها، ومن خلال زيادة الدعم المقدم إلى الأسر المستضعفة، ولا سيما الأمهات الوحيدات اللائي يواجهن مصاعب اقتصادية واللائي يعشن في المناطق الريفية أو ينتمين إلى مجتمعات السكان الأصليين</w:t>
      </w:r>
      <w:r w:rsidR="00D42713" w:rsidRPr="005A6F49">
        <w:rPr>
          <w:rStyle w:val="FootnoteReference"/>
          <w:spacing w:val="4"/>
          <w:szCs w:val="22"/>
          <w:rtl/>
        </w:rPr>
        <w:t>(</w:t>
      </w:r>
      <w:r w:rsidR="00D42713" w:rsidRPr="0044719E">
        <w:rPr>
          <w:rStyle w:val="FootnoteReference"/>
          <w:spacing w:val="4"/>
          <w:szCs w:val="22"/>
          <w:lang w:val="en-US"/>
        </w:rPr>
        <w:footnoteReference w:id="36"/>
      </w:r>
      <w:r w:rsidR="00D42713" w:rsidRPr="005A6F49">
        <w:rPr>
          <w:spacing w:val="4"/>
          <w:vertAlign w:val="superscript"/>
          <w:rtl/>
        </w:rPr>
        <w:t>)</w:t>
      </w:r>
      <w:r w:rsidR="00D42713" w:rsidRPr="005A6F49">
        <w:rPr>
          <w:rFonts w:ascii="Simplified Arabic"/>
          <w:spacing w:val="4"/>
          <w:szCs w:val="20"/>
          <w:rtl/>
        </w:rPr>
        <w:t>.</w:t>
      </w:r>
      <w:r w:rsidR="00D42713" w:rsidRPr="005A6F49">
        <w:rPr>
          <w:spacing w:val="4"/>
          <w:rtl/>
        </w:rPr>
        <w:t xml:space="preserve"> </w:t>
      </w:r>
      <w:r w:rsidRPr="005A6F49">
        <w:rPr>
          <w:spacing w:val="4"/>
          <w:rtl/>
        </w:rPr>
        <w:t>وتحترم التدابير البديلة لرعاية الطفل مبدأ الولاية الاحتياطية وتكفل إيلاء مصالح الطفل الفضلى الاعتبار الأسمى. وتكفل الدول تسجيل كل طفل في سجل المواليد</w:t>
      </w:r>
      <w:r w:rsidR="00D42713" w:rsidRPr="005A6F49">
        <w:rPr>
          <w:rStyle w:val="FootnoteReference"/>
          <w:spacing w:val="4"/>
          <w:szCs w:val="22"/>
          <w:rtl/>
        </w:rPr>
        <w:t>(</w:t>
      </w:r>
      <w:r w:rsidR="00D42713" w:rsidRPr="0044719E">
        <w:rPr>
          <w:rStyle w:val="FootnoteReference"/>
          <w:spacing w:val="4"/>
          <w:szCs w:val="22"/>
          <w:lang w:val="en-US"/>
        </w:rPr>
        <w:footnoteReference w:id="37"/>
      </w:r>
      <w:r w:rsidR="00D42713" w:rsidRPr="005A6F49">
        <w:rPr>
          <w:spacing w:val="4"/>
          <w:vertAlign w:val="superscript"/>
          <w:rtl/>
        </w:rPr>
        <w:t>)</w:t>
      </w:r>
      <w:r w:rsidR="00D42713" w:rsidRPr="005A6F49">
        <w:rPr>
          <w:rFonts w:ascii="Simplified Arabic"/>
          <w:spacing w:val="4"/>
          <w:szCs w:val="20"/>
          <w:rtl/>
        </w:rPr>
        <w:t>.</w:t>
      </w:r>
      <w:r w:rsidR="00D42713" w:rsidRPr="005A6F49">
        <w:rPr>
          <w:spacing w:val="4"/>
          <w:rtl/>
        </w:rPr>
        <w:t xml:space="preserve"> </w:t>
      </w:r>
      <w:r w:rsidRPr="005A6F49">
        <w:rPr>
          <w:spacing w:val="4"/>
          <w:rtl/>
        </w:rPr>
        <w:t>وعلاوة</w:t>
      </w:r>
      <w:r w:rsidR="005A6F49">
        <w:rPr>
          <w:rFonts w:hint="cs"/>
          <w:spacing w:val="4"/>
          <w:rtl/>
        </w:rPr>
        <w:t> </w:t>
      </w:r>
      <w:r w:rsidRPr="005A6F49">
        <w:rPr>
          <w:spacing w:val="4"/>
          <w:rtl/>
        </w:rPr>
        <w:t xml:space="preserve">على ذلك، ينبغي للدول أن توفر حماية فعالة للأطفال المهاجرين وطالبي اللجوء واللاجئين </w:t>
      </w:r>
      <w:r w:rsidRPr="005A6F49">
        <w:rPr>
          <w:rtl/>
        </w:rPr>
        <w:t>والمشردين داخليا</w:t>
      </w:r>
      <w:r w:rsidR="005A6F49" w:rsidRPr="005A6F49">
        <w:rPr>
          <w:rFonts w:hint="cs"/>
          <w:rtl/>
        </w:rPr>
        <w:t>ً</w:t>
      </w:r>
      <w:r w:rsidR="00D42713" w:rsidRPr="005A6F49">
        <w:rPr>
          <w:rStyle w:val="FootnoteReference"/>
          <w:szCs w:val="22"/>
          <w:rtl/>
        </w:rPr>
        <w:t>(</w:t>
      </w:r>
      <w:r w:rsidR="00D42713" w:rsidRPr="0044719E">
        <w:rPr>
          <w:rStyle w:val="FootnoteReference"/>
          <w:szCs w:val="22"/>
          <w:lang w:val="en-US"/>
        </w:rPr>
        <w:footnoteReference w:id="38"/>
      </w:r>
      <w:r w:rsidR="00D42713" w:rsidRPr="005A6F49">
        <w:rPr>
          <w:vertAlign w:val="superscript"/>
          <w:rtl/>
        </w:rPr>
        <w:t>)</w:t>
      </w:r>
      <w:r w:rsidR="00D42713" w:rsidRPr="005A6F49">
        <w:rPr>
          <w:rtl/>
        </w:rPr>
        <w:t xml:space="preserve">، </w:t>
      </w:r>
      <w:r w:rsidRPr="005A6F49">
        <w:rPr>
          <w:rtl/>
        </w:rPr>
        <w:t>والأطفال ذوي الإعاقة، والأطفال ضحايا النزاعات المسلحة والكوارث</w:t>
      </w:r>
      <w:r w:rsidRPr="005A6F49">
        <w:rPr>
          <w:spacing w:val="4"/>
          <w:rtl/>
        </w:rPr>
        <w:t xml:space="preserve"> الطبيعية</w:t>
      </w:r>
      <w:r w:rsidR="00D42713" w:rsidRPr="005A6F49">
        <w:rPr>
          <w:rStyle w:val="FootnoteReference"/>
          <w:spacing w:val="4"/>
          <w:szCs w:val="22"/>
          <w:rtl/>
        </w:rPr>
        <w:t>(</w:t>
      </w:r>
      <w:r w:rsidR="00D42713" w:rsidRPr="0044719E">
        <w:rPr>
          <w:rStyle w:val="FootnoteReference"/>
          <w:spacing w:val="4"/>
          <w:szCs w:val="22"/>
          <w:lang w:val="en-US"/>
        </w:rPr>
        <w:footnoteReference w:id="39"/>
      </w:r>
      <w:r w:rsidR="00D42713" w:rsidRPr="005A6F49">
        <w:rPr>
          <w:spacing w:val="4"/>
          <w:vertAlign w:val="superscript"/>
          <w:rtl/>
        </w:rPr>
        <w:t>)</w:t>
      </w:r>
      <w:r w:rsidR="00D42713" w:rsidRPr="005A6F49">
        <w:rPr>
          <w:spacing w:val="4"/>
          <w:rtl/>
        </w:rPr>
        <w:t xml:space="preserve">، </w:t>
      </w:r>
      <w:r w:rsidRPr="005A6F49">
        <w:rPr>
          <w:spacing w:val="4"/>
          <w:rtl/>
        </w:rPr>
        <w:lastRenderedPageBreak/>
        <w:t>بما فيها الكوارث</w:t>
      </w:r>
      <w:r w:rsidRPr="005A6F49">
        <w:rPr>
          <w:spacing w:val="2"/>
          <w:rtl/>
        </w:rPr>
        <w:t xml:space="preserve"> المتصلة بالمناخ</w:t>
      </w:r>
      <w:r w:rsidR="00D42713" w:rsidRPr="005A6F49">
        <w:rPr>
          <w:rStyle w:val="FootnoteReference"/>
          <w:spacing w:val="2"/>
          <w:szCs w:val="22"/>
          <w:rtl/>
        </w:rPr>
        <w:t>(</w:t>
      </w:r>
      <w:r w:rsidR="00D42713" w:rsidRPr="0044719E">
        <w:rPr>
          <w:rStyle w:val="FootnoteReference"/>
          <w:spacing w:val="2"/>
          <w:szCs w:val="22"/>
          <w:lang w:val="en-US"/>
        </w:rPr>
        <w:footnoteReference w:id="40"/>
      </w:r>
      <w:r w:rsidR="00D42713" w:rsidRPr="005A6F49">
        <w:rPr>
          <w:spacing w:val="2"/>
          <w:vertAlign w:val="superscript"/>
          <w:rtl/>
        </w:rPr>
        <w:t>)</w:t>
      </w:r>
      <w:r w:rsidR="00D42713" w:rsidRPr="005A6F49">
        <w:rPr>
          <w:spacing w:val="2"/>
          <w:rtl/>
        </w:rPr>
        <w:t xml:space="preserve">، </w:t>
      </w:r>
      <w:r w:rsidRPr="005A6F49">
        <w:rPr>
          <w:spacing w:val="2"/>
          <w:rtl/>
        </w:rPr>
        <w:t>باعتبارهم أشد عرضة للانفصال عن والديهم. وفي هذه الحالات، ينبغي للدول أن تنظر في فرض وقف اختياري على التبني على الصعيد الدولي.</w:t>
      </w:r>
    </w:p>
    <w:p w14:paraId="612D47D2" w14:textId="77777777" w:rsidR="004E459B" w:rsidRPr="0044719E" w:rsidRDefault="004E459B" w:rsidP="004E459B">
      <w:pPr>
        <w:pStyle w:val="H23GA"/>
        <w:rPr>
          <w:szCs w:val="20"/>
          <w:lang w:val="ar-SA" w:eastAsia="zh-TW" w:bidi="en-GB"/>
        </w:rPr>
      </w:pPr>
      <w:r w:rsidRPr="0044719E">
        <w:rPr>
          <w:rtl/>
        </w:rPr>
        <w:tab/>
      </w:r>
      <w:r w:rsidRPr="0044719E">
        <w:rPr>
          <w:rtl/>
        </w:rPr>
        <w:tab/>
        <w:t>جمع البيانات والإحصاءات</w:t>
      </w:r>
    </w:p>
    <w:p w14:paraId="21291C75" w14:textId="77777777" w:rsidR="004E459B" w:rsidRPr="00F16F7D" w:rsidRDefault="004E459B" w:rsidP="005A6F49">
      <w:pPr>
        <w:pStyle w:val="SingleTxtGA"/>
        <w:spacing w:line="350" w:lineRule="exact"/>
        <w:rPr>
          <w:szCs w:val="20"/>
          <w:lang w:val="ar-SA" w:eastAsia="zh-TW" w:bidi="en-GB"/>
        </w:rPr>
      </w:pPr>
      <w:r w:rsidRPr="0044719E">
        <w:rPr>
          <w:rFonts w:ascii="Simplified Arabic"/>
          <w:szCs w:val="20"/>
          <w:rtl/>
        </w:rPr>
        <w:t>11</w:t>
      </w:r>
      <w:r>
        <w:rPr>
          <w:rFonts w:ascii="Simplified Arabic"/>
          <w:szCs w:val="20"/>
          <w:rtl/>
        </w:rPr>
        <w:t>-</w:t>
      </w:r>
      <w:r w:rsidRPr="005A6F49">
        <w:rPr>
          <w:spacing w:val="-2"/>
          <w:rtl/>
        </w:rPr>
        <w:tab/>
        <w:t>ينبغي للدول أن تتخذ جميع التدابير اللازمة لتوفير معلومات إحصائية دقيقة ومحدَّثة عن عمليات</w:t>
      </w:r>
      <w:r>
        <w:rPr>
          <w:rtl/>
        </w:rPr>
        <w:t xml:space="preserve"> التبني غير القانونية على الصعيد الدولي، بما يشمل تواريخ التبني وعدد الأشخاص الذين تسنى إثبات هويتهم الحقيقية.</w:t>
      </w:r>
    </w:p>
    <w:p w14:paraId="41356DD3" w14:textId="77777777" w:rsidR="004E459B" w:rsidRPr="0044719E" w:rsidRDefault="004E459B" w:rsidP="004E459B">
      <w:pPr>
        <w:pStyle w:val="HChGA"/>
        <w:rPr>
          <w:szCs w:val="20"/>
          <w:lang w:val="ar-SA" w:eastAsia="zh-TW" w:bidi="en-GB"/>
        </w:rPr>
      </w:pPr>
      <w:r w:rsidRPr="0044719E">
        <w:rPr>
          <w:rtl/>
        </w:rPr>
        <w:tab/>
        <w:t>ثالثاً-</w:t>
      </w:r>
      <w:r w:rsidRPr="0044719E">
        <w:rPr>
          <w:rtl/>
        </w:rPr>
        <w:tab/>
        <w:t>الالتزام بتجريم التبني غير القانوني على الصعيد الدولي</w:t>
      </w:r>
    </w:p>
    <w:p w14:paraId="39C30FC5" w14:textId="77777777" w:rsidR="004E459B" w:rsidRPr="0044719E" w:rsidRDefault="004E459B" w:rsidP="004E459B">
      <w:pPr>
        <w:pStyle w:val="H23GA"/>
        <w:rPr>
          <w:szCs w:val="20"/>
          <w:lang w:val="ar-SA" w:eastAsia="zh-TW" w:bidi="en-GB"/>
        </w:rPr>
      </w:pPr>
      <w:r w:rsidRPr="0044719E">
        <w:rPr>
          <w:rtl/>
        </w:rPr>
        <w:tab/>
      </w:r>
      <w:r w:rsidRPr="0044719E">
        <w:rPr>
          <w:rtl/>
        </w:rPr>
        <w:tab/>
        <w:t>التجريم</w:t>
      </w:r>
    </w:p>
    <w:p w14:paraId="71DE642B" w14:textId="7EC439AF" w:rsidR="00D42713" w:rsidRPr="00D42713" w:rsidRDefault="004E459B" w:rsidP="005A6F49">
      <w:pPr>
        <w:pStyle w:val="SingleTxtGA"/>
        <w:spacing w:line="350" w:lineRule="exact"/>
        <w:rPr>
          <w:szCs w:val="20"/>
          <w:lang w:val="ar-SA" w:eastAsia="zh-TW" w:bidi="en-GB"/>
        </w:rPr>
      </w:pPr>
      <w:r w:rsidRPr="0044719E">
        <w:rPr>
          <w:rFonts w:ascii="Simplified Arabic"/>
          <w:szCs w:val="20"/>
          <w:rtl/>
        </w:rPr>
        <w:t>12</w:t>
      </w:r>
      <w:r>
        <w:rPr>
          <w:rFonts w:ascii="Simplified Arabic"/>
          <w:szCs w:val="20"/>
          <w:rtl/>
        </w:rPr>
        <w:t>-</w:t>
      </w:r>
      <w:r>
        <w:rPr>
          <w:rtl/>
        </w:rPr>
        <w:tab/>
      </w:r>
      <w:r w:rsidRPr="005A6F49">
        <w:rPr>
          <w:spacing w:val="-2"/>
          <w:rtl/>
        </w:rPr>
        <w:t>تحظر الدول التبني غير القانوني على الصعيد الدولي</w:t>
      </w:r>
      <w:r w:rsidR="00D42713">
        <w:rPr>
          <w:rStyle w:val="FootnoteReference"/>
          <w:szCs w:val="22"/>
          <w:rtl/>
        </w:rPr>
        <w:t>(</w:t>
      </w:r>
      <w:r w:rsidR="00D42713" w:rsidRPr="0044719E">
        <w:rPr>
          <w:rStyle w:val="FootnoteReference"/>
          <w:szCs w:val="22"/>
          <w:lang w:val="en-US"/>
        </w:rPr>
        <w:footnoteReference w:id="41"/>
      </w:r>
      <w:r w:rsidRPr="004E459B">
        <w:rPr>
          <w:vertAlign w:val="superscript"/>
          <w:rtl/>
        </w:rPr>
        <w:t>)</w:t>
      </w:r>
      <w:r>
        <w:rPr>
          <w:rtl/>
        </w:rPr>
        <w:t> بوصفه جريمة مستمرة بموجب قوانينها الجنائية</w:t>
      </w:r>
      <w:r w:rsidR="00D42713">
        <w:rPr>
          <w:rStyle w:val="FootnoteReference"/>
          <w:szCs w:val="22"/>
          <w:rtl/>
        </w:rPr>
        <w:t>(</w:t>
      </w:r>
      <w:r w:rsidR="00D42713" w:rsidRPr="0044719E">
        <w:rPr>
          <w:rStyle w:val="FootnoteReference"/>
          <w:szCs w:val="22"/>
          <w:lang w:val="en-US"/>
        </w:rPr>
        <w:footnoteReference w:id="42"/>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t>وتنص على عقوبات مناسبة تعكس مدى خطورة هذه الجريمة وتضمن سبيل انتصاف قضائي سريع وفعال. وعندما تكون عمليات التبني غير القانونية على الصعيد الدولي ناجمة عن حالات اختفاء قسري، تعتبر الدول كون الشخص المختفي طفلاً عاملاً مشدداً للعقوبة، آخذة في اعتبارها أن اختفاء الأطفال قسراً أو انتزاعهم بصورة غير مشروعة في سياق الاختفاء القسري هو شكل متطرف من أشكال العنف ضد الأطفال</w:t>
      </w:r>
      <w:r w:rsidR="00D42713">
        <w:rPr>
          <w:rStyle w:val="FootnoteReference"/>
          <w:szCs w:val="22"/>
          <w:rtl/>
        </w:rPr>
        <w:t>(</w:t>
      </w:r>
      <w:r w:rsidR="00D42713" w:rsidRPr="0044719E">
        <w:rPr>
          <w:rStyle w:val="FootnoteReference"/>
          <w:szCs w:val="22"/>
          <w:lang w:val="en-US"/>
        </w:rPr>
        <w:footnoteReference w:id="43"/>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t xml:space="preserve">وتكفل الدول ألا يشكل سقوط الجريمة بالتقادم عقبة أمام التماس الضحايا سبل </w:t>
      </w:r>
      <w:r w:rsidRPr="005A6F49">
        <w:rPr>
          <w:spacing w:val="-2"/>
          <w:rtl/>
        </w:rPr>
        <w:t>الانتصاف القضائية، وذلك بالنظر إلى الصعوبات الخاصة التي تواجه الأطفال الضحايا في تقديم الشكاوى</w:t>
      </w:r>
      <w:r>
        <w:rPr>
          <w:rtl/>
        </w:rPr>
        <w:t xml:space="preserve"> وإلى الطابع المستمر لهذه الجريمة</w:t>
      </w:r>
      <w:r w:rsidR="00D42713">
        <w:rPr>
          <w:rStyle w:val="FootnoteReference"/>
          <w:szCs w:val="22"/>
          <w:rtl/>
        </w:rPr>
        <w:t>(</w:t>
      </w:r>
      <w:r w:rsidR="00D42713" w:rsidRPr="0044719E">
        <w:rPr>
          <w:rStyle w:val="FootnoteReference"/>
          <w:szCs w:val="22"/>
          <w:lang w:val="en-US"/>
        </w:rPr>
        <w:footnoteReference w:id="44"/>
      </w:r>
      <w:r w:rsidR="00D42713" w:rsidRPr="00D42713">
        <w:rPr>
          <w:vertAlign w:val="superscript"/>
          <w:rtl/>
        </w:rPr>
        <w:t>)</w:t>
      </w:r>
      <w:r w:rsidR="00D42713" w:rsidRPr="00D42713">
        <w:rPr>
          <w:rtl/>
        </w:rPr>
        <w:t>.</w:t>
      </w:r>
    </w:p>
    <w:p w14:paraId="4E95CB51" w14:textId="7BB5B75C" w:rsidR="004E459B" w:rsidRPr="0044719E" w:rsidRDefault="004E459B" w:rsidP="004E459B">
      <w:pPr>
        <w:pStyle w:val="H23GA"/>
        <w:rPr>
          <w:szCs w:val="20"/>
          <w:lang w:val="en-US" w:eastAsia="zh-TW" w:bidi="en-GB"/>
        </w:rPr>
      </w:pPr>
      <w:r w:rsidRPr="0044719E">
        <w:rPr>
          <w:rtl/>
        </w:rPr>
        <w:tab/>
      </w:r>
      <w:r w:rsidRPr="0044719E">
        <w:rPr>
          <w:rtl/>
        </w:rPr>
        <w:tab/>
        <w:t>التحقيقات</w:t>
      </w:r>
    </w:p>
    <w:p w14:paraId="63E57098" w14:textId="15CEDCB9" w:rsidR="00D42713" w:rsidRPr="00D42713" w:rsidRDefault="004E459B" w:rsidP="007D4C84">
      <w:pPr>
        <w:pStyle w:val="SingleTxtGA"/>
        <w:spacing w:line="346" w:lineRule="exact"/>
        <w:rPr>
          <w:szCs w:val="20"/>
          <w:lang w:val="ar-SA" w:eastAsia="zh-TW" w:bidi="en-GB"/>
        </w:rPr>
      </w:pPr>
      <w:r w:rsidRPr="0044719E">
        <w:rPr>
          <w:rFonts w:ascii="Simplified Arabic"/>
          <w:szCs w:val="20"/>
          <w:rtl/>
        </w:rPr>
        <w:t>13</w:t>
      </w:r>
      <w:r>
        <w:rPr>
          <w:rFonts w:ascii="Simplified Arabic"/>
          <w:szCs w:val="20"/>
          <w:rtl/>
        </w:rPr>
        <w:t>-</w:t>
      </w:r>
      <w:r>
        <w:rPr>
          <w:rtl/>
        </w:rPr>
        <w:tab/>
        <w:t>تتخذ الدول جميع التدابير اللازمة لضمان التحقيق في جميع حالات التبني غير القانوني على</w:t>
      </w:r>
      <w:r w:rsidR="005A6F49">
        <w:rPr>
          <w:rFonts w:hint="cs"/>
          <w:rtl/>
        </w:rPr>
        <w:t> </w:t>
      </w:r>
      <w:r>
        <w:rPr>
          <w:rtl/>
        </w:rPr>
        <w:t>الصعيد الدولي بطريقة كاملة ونزيهة وجادة وفعالة، حتى في حال عدم تقديم شكاوى رسمية</w:t>
      </w:r>
      <w:r w:rsidR="00D42713">
        <w:rPr>
          <w:rStyle w:val="FootnoteReference"/>
          <w:szCs w:val="22"/>
          <w:rtl/>
        </w:rPr>
        <w:t>(</w:t>
      </w:r>
      <w:r w:rsidR="00D42713" w:rsidRPr="0044719E">
        <w:rPr>
          <w:rStyle w:val="FootnoteReference"/>
          <w:szCs w:val="22"/>
          <w:lang w:val="en-US"/>
        </w:rPr>
        <w:footnoteReference w:id="45"/>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lastRenderedPageBreak/>
        <w:t>وتتخذ تدابير ملائمة، عند الاقتضاء، لضمان حماية الشاكي والشهود والضحايا ومحامي الدفاع، فضل</w:t>
      </w:r>
      <w:r w:rsidR="00430616">
        <w:rPr>
          <w:rtl/>
        </w:rPr>
        <w:t xml:space="preserve">اً </w:t>
      </w:r>
      <w:r>
        <w:rPr>
          <w:rtl/>
        </w:rPr>
        <w:t>عن الأشخاص الآخرين المشاركين في التحقيق، من أي سوء معاملة أو ترهيب بسبب الشكوى المقدمة أو</w:t>
      </w:r>
      <w:r w:rsidR="007D4C84">
        <w:rPr>
          <w:rFonts w:hint="cs"/>
          <w:rtl/>
        </w:rPr>
        <w:t> </w:t>
      </w:r>
      <w:r>
        <w:rPr>
          <w:rtl/>
        </w:rPr>
        <w:t>أية شهادة يُدلَى بها</w:t>
      </w:r>
      <w:r w:rsidR="00D42713">
        <w:rPr>
          <w:rStyle w:val="FootnoteReference"/>
          <w:szCs w:val="22"/>
          <w:rtl/>
        </w:rPr>
        <w:t>(</w:t>
      </w:r>
      <w:r w:rsidR="00D42713" w:rsidRPr="0044719E">
        <w:rPr>
          <w:rStyle w:val="FootnoteReference"/>
          <w:szCs w:val="22"/>
          <w:lang w:val="en-US"/>
        </w:rPr>
        <w:footnoteReference w:id="46"/>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t>وتضمن الدول وصول السلطات المختصة بالتحقيق في عمليات التبني غير القانونية على الصعيد الدولي إلى جميع الوثائق والمحفوظات والمعلومات الأخرى ذات الصلة بما يمكنّها من إجراء تحقيقات فعالة</w:t>
      </w:r>
      <w:r w:rsidR="00D42713">
        <w:rPr>
          <w:rStyle w:val="FootnoteReference"/>
          <w:szCs w:val="22"/>
          <w:rtl/>
        </w:rPr>
        <w:t>(</w:t>
      </w:r>
      <w:r w:rsidR="00D42713" w:rsidRPr="0044719E">
        <w:rPr>
          <w:rStyle w:val="FootnoteReference"/>
          <w:szCs w:val="22"/>
          <w:lang w:val="en-US"/>
        </w:rPr>
        <w:footnoteReference w:id="47"/>
      </w:r>
      <w:r w:rsidR="00D42713" w:rsidRPr="00D42713">
        <w:rPr>
          <w:vertAlign w:val="superscript"/>
          <w:rtl/>
        </w:rPr>
        <w:t>)</w:t>
      </w:r>
      <w:r w:rsidR="00D42713" w:rsidRPr="00D42713">
        <w:rPr>
          <w:rtl/>
        </w:rPr>
        <w:t xml:space="preserve">؛ </w:t>
      </w:r>
      <w:r>
        <w:rPr>
          <w:rtl/>
        </w:rPr>
        <w:t xml:space="preserve">وتزود الدول أيضاً المؤسسات المشاركة في التحقيق في عمليات التبني غير </w:t>
      </w:r>
      <w:r w:rsidRPr="007D4C84">
        <w:rPr>
          <w:spacing w:val="-4"/>
          <w:rtl/>
        </w:rPr>
        <w:t>القانونية على الصعيد الدولي بما يكفي من الموارد المالية والتقنية والموظفين المؤهلين لتمكينها من أداء عملها</w:t>
      </w:r>
      <w:r>
        <w:rPr>
          <w:rtl/>
        </w:rPr>
        <w:t xml:space="preserve"> بسرعة وفعالية</w:t>
      </w:r>
      <w:r w:rsidR="00D42713">
        <w:rPr>
          <w:rStyle w:val="FootnoteReference"/>
          <w:szCs w:val="22"/>
          <w:rtl/>
        </w:rPr>
        <w:t>(</w:t>
      </w:r>
      <w:r w:rsidR="00D42713" w:rsidRPr="0044719E">
        <w:rPr>
          <w:rStyle w:val="FootnoteReference"/>
          <w:szCs w:val="22"/>
          <w:lang w:val="en-US"/>
        </w:rPr>
        <w:footnoteReference w:id="48"/>
      </w:r>
      <w:r w:rsidR="00D42713" w:rsidRPr="00D42713">
        <w:rPr>
          <w:vertAlign w:val="superscript"/>
          <w:rtl/>
        </w:rPr>
        <w:t>)</w:t>
      </w:r>
      <w:r w:rsidR="00D42713" w:rsidRPr="00D42713">
        <w:rPr>
          <w:rtl/>
        </w:rPr>
        <w:t>.</w:t>
      </w:r>
    </w:p>
    <w:p w14:paraId="6AEBEF13" w14:textId="741D7326" w:rsidR="004E459B" w:rsidRPr="0044719E" w:rsidRDefault="004E459B" w:rsidP="004E459B">
      <w:pPr>
        <w:pStyle w:val="H23GA"/>
        <w:rPr>
          <w:szCs w:val="20"/>
          <w:lang w:val="ar-SA" w:eastAsia="zh-TW" w:bidi="en-GB"/>
        </w:rPr>
      </w:pPr>
      <w:r w:rsidRPr="0044719E">
        <w:rPr>
          <w:rtl/>
        </w:rPr>
        <w:tab/>
      </w:r>
      <w:r w:rsidRPr="0044719E">
        <w:rPr>
          <w:rtl/>
        </w:rPr>
        <w:tab/>
        <w:t>المساعدة المتبادلة</w:t>
      </w:r>
    </w:p>
    <w:p w14:paraId="2DD98082" w14:textId="128E33C4" w:rsidR="00D42713" w:rsidRPr="00D42713" w:rsidRDefault="004E459B" w:rsidP="007D4C84">
      <w:pPr>
        <w:pStyle w:val="SingleTxtGA"/>
        <w:spacing w:line="346" w:lineRule="exact"/>
        <w:rPr>
          <w:szCs w:val="20"/>
          <w:lang w:val="ar-SA" w:eastAsia="zh-TW" w:bidi="en-GB"/>
        </w:rPr>
      </w:pPr>
      <w:r w:rsidRPr="0044719E">
        <w:rPr>
          <w:rFonts w:ascii="Simplified Arabic"/>
          <w:szCs w:val="20"/>
          <w:rtl/>
        </w:rPr>
        <w:t>14</w:t>
      </w:r>
      <w:r>
        <w:rPr>
          <w:rFonts w:ascii="Simplified Arabic"/>
          <w:szCs w:val="20"/>
          <w:rtl/>
        </w:rPr>
        <w:t>-</w:t>
      </w:r>
      <w:r>
        <w:rPr>
          <w:rtl/>
        </w:rPr>
        <w:tab/>
        <w:t xml:space="preserve">تقدم الدول، كلٌ منها إلى الأخرى، أكبر قدر من المساعدة المتبادلة في سياق الإجراءات الجنائية المتخذة فيما يتصل بجريمة التبني غير المشروع على الصعيد الدولي، بما يشمل تقديم جميع الأدلة </w:t>
      </w:r>
      <w:r w:rsidRPr="007D4C84">
        <w:rPr>
          <w:spacing w:val="-2"/>
          <w:rtl/>
        </w:rPr>
        <w:t>الموجودة في حوزتها واللازمة لأغراض الإجراء الجنائي، رهن</w:t>
      </w:r>
      <w:r w:rsidR="00430616" w:rsidRPr="007D4C84">
        <w:rPr>
          <w:spacing w:val="-2"/>
          <w:rtl/>
        </w:rPr>
        <w:t xml:space="preserve">اً </w:t>
      </w:r>
      <w:r w:rsidRPr="007D4C84">
        <w:rPr>
          <w:spacing w:val="-2"/>
          <w:rtl/>
        </w:rPr>
        <w:t>بالشروط المنصوص عليها في القانون المحلي</w:t>
      </w:r>
      <w:r>
        <w:rPr>
          <w:rtl/>
        </w:rPr>
        <w:t xml:space="preserve"> أو المعاهدات المنطبقة</w:t>
      </w:r>
      <w:r w:rsidR="00D42713">
        <w:rPr>
          <w:rStyle w:val="FootnoteReference"/>
          <w:szCs w:val="22"/>
          <w:rtl/>
        </w:rPr>
        <w:t>(</w:t>
      </w:r>
      <w:r w:rsidR="00D42713" w:rsidRPr="0044719E">
        <w:rPr>
          <w:rStyle w:val="FootnoteReference"/>
          <w:szCs w:val="22"/>
          <w:lang w:val="en-US"/>
        </w:rPr>
        <w:footnoteReference w:id="49"/>
      </w:r>
      <w:r w:rsidR="00D42713" w:rsidRPr="00D42713">
        <w:rPr>
          <w:vertAlign w:val="superscript"/>
          <w:rtl/>
        </w:rPr>
        <w:t>)</w:t>
      </w:r>
      <w:r w:rsidR="00D42713" w:rsidRPr="00D42713">
        <w:rPr>
          <w:rtl/>
        </w:rPr>
        <w:t>.</w:t>
      </w:r>
    </w:p>
    <w:p w14:paraId="3DAEDA13" w14:textId="0C23CF60" w:rsidR="004E459B" w:rsidRPr="0044719E" w:rsidRDefault="004E459B" w:rsidP="004E459B">
      <w:pPr>
        <w:pStyle w:val="HChGA"/>
        <w:rPr>
          <w:szCs w:val="20"/>
          <w:lang w:val="ar-SA" w:eastAsia="zh-TW" w:bidi="en-GB"/>
        </w:rPr>
      </w:pPr>
      <w:r w:rsidRPr="0044719E">
        <w:rPr>
          <w:rtl/>
        </w:rPr>
        <w:tab/>
        <w:t>رابعاً-</w:t>
      </w:r>
      <w:r w:rsidRPr="0044719E">
        <w:rPr>
          <w:rtl/>
        </w:rPr>
        <w:tab/>
        <w:t>الالتزام بتوفير سبل الانتصاف من التبني غير المشروع على الصعيد الدولي</w:t>
      </w:r>
    </w:p>
    <w:p w14:paraId="77F0D574" w14:textId="77777777" w:rsidR="004E459B" w:rsidRPr="0044719E" w:rsidRDefault="004E459B" w:rsidP="005B1F85">
      <w:pPr>
        <w:pStyle w:val="H23GA"/>
        <w:rPr>
          <w:szCs w:val="20"/>
          <w:lang w:val="ar-SA" w:eastAsia="zh-TW" w:bidi="en-GB"/>
        </w:rPr>
      </w:pPr>
      <w:r w:rsidRPr="0044719E">
        <w:rPr>
          <w:rtl/>
        </w:rPr>
        <w:tab/>
      </w:r>
      <w:r w:rsidRPr="0044719E">
        <w:rPr>
          <w:rtl/>
        </w:rPr>
        <w:tab/>
        <w:t>الحق في معرفة الحقيقة والبحث عن الأطفال المختطفين</w:t>
      </w:r>
    </w:p>
    <w:p w14:paraId="7EFBE0BD" w14:textId="1F47620E" w:rsidR="00D42713" w:rsidRPr="00D42713" w:rsidRDefault="004E459B" w:rsidP="007D4C84">
      <w:pPr>
        <w:pStyle w:val="SingleTxtGA"/>
        <w:spacing w:line="346" w:lineRule="exact"/>
        <w:rPr>
          <w:szCs w:val="20"/>
          <w:lang w:val="ar-SA" w:eastAsia="zh-TW" w:bidi="en-GB"/>
        </w:rPr>
      </w:pPr>
      <w:r w:rsidRPr="0044719E">
        <w:rPr>
          <w:rFonts w:ascii="Simplified Arabic"/>
          <w:szCs w:val="20"/>
          <w:rtl/>
        </w:rPr>
        <w:t>15</w:t>
      </w:r>
      <w:r>
        <w:rPr>
          <w:rFonts w:ascii="Simplified Arabic"/>
          <w:szCs w:val="20"/>
          <w:rtl/>
        </w:rPr>
        <w:t>-</w:t>
      </w:r>
      <w:r w:rsidRPr="005B1F85">
        <w:rPr>
          <w:rtl/>
        </w:rPr>
        <w:tab/>
      </w:r>
      <w:r w:rsidRPr="007D4C84">
        <w:rPr>
          <w:spacing w:val="-4"/>
          <w:rtl/>
        </w:rPr>
        <w:t>لضحايا عمليات التبني غير القانونية على الصعيد الدولي الحقُ في معرفة الحقيقة</w:t>
      </w:r>
      <w:r w:rsidR="00D42713" w:rsidRPr="007D4C84">
        <w:rPr>
          <w:rStyle w:val="FootnoteReference"/>
          <w:spacing w:val="-4"/>
          <w:szCs w:val="22"/>
          <w:rtl/>
        </w:rPr>
        <w:t>(</w:t>
      </w:r>
      <w:r w:rsidR="00D42713" w:rsidRPr="0044719E">
        <w:rPr>
          <w:rStyle w:val="FootnoteReference"/>
          <w:spacing w:val="-4"/>
          <w:szCs w:val="22"/>
          <w:lang w:val="en-US"/>
        </w:rPr>
        <w:footnoteReference w:id="50"/>
      </w:r>
      <w:r w:rsidR="00D42713" w:rsidRPr="007D4C84">
        <w:rPr>
          <w:spacing w:val="-4"/>
          <w:vertAlign w:val="superscript"/>
          <w:rtl/>
        </w:rPr>
        <w:t>)</w:t>
      </w:r>
      <w:r w:rsidR="00D42713" w:rsidRPr="007D4C84">
        <w:rPr>
          <w:rFonts w:ascii="Simplified Arabic"/>
          <w:spacing w:val="-4"/>
          <w:szCs w:val="20"/>
          <w:rtl/>
        </w:rPr>
        <w:t>.</w:t>
      </w:r>
      <w:r w:rsidR="00D42713" w:rsidRPr="007D4C84">
        <w:rPr>
          <w:spacing w:val="-4"/>
          <w:rtl/>
        </w:rPr>
        <w:t xml:space="preserve"> </w:t>
      </w:r>
      <w:r w:rsidRPr="007D4C84">
        <w:rPr>
          <w:spacing w:val="-4"/>
          <w:rtl/>
        </w:rPr>
        <w:t>وينبغي للدول أن تكفل حصول جميع الضحايا، بمن فيهم مَن جرى تبنيهم في الماضي، على ما يحتاجونه من مساعدة لمعرفة أصولهم</w:t>
      </w:r>
      <w:r w:rsidR="00D42713" w:rsidRPr="007D4C84">
        <w:rPr>
          <w:rStyle w:val="FootnoteReference"/>
          <w:spacing w:val="-4"/>
          <w:szCs w:val="22"/>
          <w:rtl/>
        </w:rPr>
        <w:t>(</w:t>
      </w:r>
      <w:r w:rsidR="00D42713" w:rsidRPr="0044719E">
        <w:rPr>
          <w:rStyle w:val="FootnoteReference"/>
          <w:spacing w:val="-4"/>
          <w:szCs w:val="22"/>
          <w:lang w:val="en-US"/>
        </w:rPr>
        <w:footnoteReference w:id="51"/>
      </w:r>
      <w:r w:rsidR="00D42713" w:rsidRPr="007D4C84">
        <w:rPr>
          <w:spacing w:val="-4"/>
          <w:vertAlign w:val="superscript"/>
          <w:rtl/>
        </w:rPr>
        <w:t>)</w:t>
      </w:r>
      <w:r w:rsidR="00D42713" w:rsidRPr="007D4C84">
        <w:rPr>
          <w:rFonts w:ascii="Simplified Arabic"/>
          <w:spacing w:val="-4"/>
          <w:szCs w:val="20"/>
          <w:rtl/>
        </w:rPr>
        <w:t>.</w:t>
      </w:r>
      <w:r w:rsidR="00D42713" w:rsidRPr="007D4C84">
        <w:rPr>
          <w:spacing w:val="-4"/>
          <w:rtl/>
        </w:rPr>
        <w:t xml:space="preserve"> </w:t>
      </w:r>
      <w:r w:rsidRPr="007D4C84">
        <w:rPr>
          <w:spacing w:val="-4"/>
          <w:rtl/>
        </w:rPr>
        <w:t>ولذلك، ينبغي للدول أن تساهم مساهمة فعالة في جهود البحث عن الأطفال المفقودين وتحديد أماكن وجودهم</w:t>
      </w:r>
      <w:r w:rsidR="00D42713" w:rsidRPr="007D4C84">
        <w:rPr>
          <w:rStyle w:val="FootnoteReference"/>
          <w:spacing w:val="-4"/>
          <w:szCs w:val="22"/>
          <w:rtl/>
        </w:rPr>
        <w:t>(</w:t>
      </w:r>
      <w:r w:rsidR="00D42713" w:rsidRPr="0044719E">
        <w:rPr>
          <w:rStyle w:val="FootnoteReference"/>
          <w:spacing w:val="-4"/>
          <w:szCs w:val="22"/>
          <w:lang w:val="en-US"/>
        </w:rPr>
        <w:footnoteReference w:id="52"/>
      </w:r>
      <w:r w:rsidR="00D42713" w:rsidRPr="007D4C84">
        <w:rPr>
          <w:spacing w:val="-4"/>
          <w:vertAlign w:val="superscript"/>
          <w:rtl/>
        </w:rPr>
        <w:t>)</w:t>
      </w:r>
      <w:r w:rsidR="00D42713" w:rsidRPr="007D4C84">
        <w:rPr>
          <w:rFonts w:ascii="Simplified Arabic"/>
          <w:spacing w:val="-4"/>
          <w:szCs w:val="20"/>
          <w:rtl/>
        </w:rPr>
        <w:t>.</w:t>
      </w:r>
      <w:r w:rsidR="00D42713" w:rsidRPr="007D4C84">
        <w:rPr>
          <w:spacing w:val="-4"/>
          <w:rtl/>
        </w:rPr>
        <w:t xml:space="preserve"> </w:t>
      </w:r>
      <w:r w:rsidRPr="007D4C84">
        <w:rPr>
          <w:spacing w:val="-4"/>
          <w:rtl/>
        </w:rPr>
        <w:t>فعلى سبيل المثال، ينبغي للدول أن تنشئ قواعد بيانات للحمض الخلوي الصبغي تتضمن عينات وراثية من جميع حالات الانتزاع غير المشروع أو الاختفاء القسري</w:t>
      </w:r>
      <w:r w:rsidR="00D42713" w:rsidRPr="007D4C84">
        <w:rPr>
          <w:rStyle w:val="FootnoteReference"/>
          <w:spacing w:val="-4"/>
          <w:szCs w:val="22"/>
          <w:rtl/>
        </w:rPr>
        <w:t>(</w:t>
      </w:r>
      <w:r w:rsidR="00D42713" w:rsidRPr="0044719E">
        <w:rPr>
          <w:rStyle w:val="FootnoteReference"/>
          <w:spacing w:val="-4"/>
          <w:szCs w:val="22"/>
          <w:lang w:val="en-US"/>
        </w:rPr>
        <w:footnoteReference w:id="53"/>
      </w:r>
      <w:r w:rsidRPr="007D4C84">
        <w:rPr>
          <w:spacing w:val="-4"/>
          <w:vertAlign w:val="superscript"/>
          <w:rtl/>
        </w:rPr>
        <w:t>)</w:t>
      </w:r>
      <w:r w:rsidRPr="007D4C84">
        <w:rPr>
          <w:spacing w:val="-4"/>
          <w:rtl/>
        </w:rPr>
        <w:t> أو تزوير الهوية المبلغ عنها،</w:t>
      </w:r>
      <w:r>
        <w:rPr>
          <w:rtl/>
        </w:rPr>
        <w:t xml:space="preserve"> </w:t>
      </w:r>
      <w:r w:rsidRPr="00ED7AA3">
        <w:rPr>
          <w:spacing w:val="-2"/>
          <w:rtl/>
        </w:rPr>
        <w:lastRenderedPageBreak/>
        <w:t>لغرض محدد هو إعادة إثبات هوية ضحايا التبني غير القانوني على الصعيد الدولي</w:t>
      </w:r>
      <w:r w:rsidR="00D42713" w:rsidRPr="00ED7AA3">
        <w:rPr>
          <w:rStyle w:val="FootnoteReference"/>
          <w:spacing w:val="-2"/>
          <w:szCs w:val="22"/>
          <w:rtl/>
        </w:rPr>
        <w:t>(</w:t>
      </w:r>
      <w:r w:rsidR="00D42713" w:rsidRPr="0044719E">
        <w:rPr>
          <w:rStyle w:val="FootnoteReference"/>
          <w:spacing w:val="-2"/>
          <w:szCs w:val="22"/>
          <w:lang w:val="en-US"/>
        </w:rPr>
        <w:footnoteReference w:id="54"/>
      </w:r>
      <w:r w:rsidR="00D42713" w:rsidRPr="00ED7AA3">
        <w:rPr>
          <w:spacing w:val="-2"/>
          <w:vertAlign w:val="superscript"/>
          <w:rtl/>
        </w:rPr>
        <w:t>)</w:t>
      </w:r>
      <w:r w:rsidR="00D42713" w:rsidRPr="00ED7AA3">
        <w:rPr>
          <w:rFonts w:ascii="Simplified Arabic"/>
          <w:spacing w:val="-2"/>
          <w:szCs w:val="20"/>
          <w:rtl/>
        </w:rPr>
        <w:t>.</w:t>
      </w:r>
      <w:r w:rsidR="00D42713" w:rsidRPr="00ED7AA3">
        <w:rPr>
          <w:spacing w:val="-2"/>
          <w:rtl/>
        </w:rPr>
        <w:t xml:space="preserve"> </w:t>
      </w:r>
      <w:r w:rsidRPr="00ED7AA3">
        <w:rPr>
          <w:spacing w:val="-2"/>
          <w:rtl/>
        </w:rPr>
        <w:t>وفي سياق إعمال</w:t>
      </w:r>
      <w:r>
        <w:rPr>
          <w:rtl/>
        </w:rPr>
        <w:t xml:space="preserve"> </w:t>
      </w:r>
      <w:r w:rsidRPr="00ED7AA3">
        <w:rPr>
          <w:spacing w:val="-2"/>
          <w:rtl/>
        </w:rPr>
        <w:t>الحق في معرفة الحقيقة، تساعد الدول، كلٌ منها الأخرى، في البحث عن ضحايا التبني غير القانوني على</w:t>
      </w:r>
      <w:r>
        <w:rPr>
          <w:rtl/>
        </w:rPr>
        <w:t xml:space="preserve"> الصعيد الدولي وفي تحديد أماكن وجودهم</w:t>
      </w:r>
      <w:r w:rsidR="00D42713">
        <w:rPr>
          <w:rStyle w:val="FootnoteReference"/>
          <w:szCs w:val="22"/>
          <w:rtl/>
        </w:rPr>
        <w:t>(</w:t>
      </w:r>
      <w:r w:rsidR="00D42713" w:rsidRPr="0044719E">
        <w:rPr>
          <w:rStyle w:val="FootnoteReference"/>
          <w:szCs w:val="22"/>
          <w:lang w:val="en-US"/>
        </w:rPr>
        <w:footnoteReference w:id="55"/>
      </w:r>
      <w:r w:rsidR="00D42713" w:rsidRPr="00D42713">
        <w:rPr>
          <w:vertAlign w:val="superscript"/>
          <w:rtl/>
        </w:rPr>
        <w:t>)</w:t>
      </w:r>
      <w:r w:rsidR="00D42713" w:rsidRPr="00D42713">
        <w:rPr>
          <w:rtl/>
        </w:rPr>
        <w:t>.</w:t>
      </w:r>
    </w:p>
    <w:p w14:paraId="5A7E0A82" w14:textId="1FE9B663" w:rsidR="004E459B" w:rsidRPr="0044719E" w:rsidRDefault="004E459B" w:rsidP="005B1F85">
      <w:pPr>
        <w:pStyle w:val="H23GA"/>
        <w:rPr>
          <w:lang w:val="ar-SA" w:eastAsia="zh-TW" w:bidi="en-GB"/>
        </w:rPr>
      </w:pPr>
      <w:r w:rsidRPr="0044719E">
        <w:rPr>
          <w:rtl/>
        </w:rPr>
        <w:tab/>
      </w:r>
      <w:r w:rsidRPr="0044719E">
        <w:rPr>
          <w:rtl/>
        </w:rPr>
        <w:tab/>
        <w:t>إجراءات إلغاء التبني</w:t>
      </w:r>
    </w:p>
    <w:p w14:paraId="4BAC46CA" w14:textId="195DBF48" w:rsidR="00D42713" w:rsidRPr="005B1F85" w:rsidRDefault="004E459B" w:rsidP="005B1F85">
      <w:pPr>
        <w:pStyle w:val="SingleTxtGA"/>
        <w:rPr>
          <w:spacing w:val="4"/>
          <w:szCs w:val="20"/>
          <w:lang w:val="ar-SA" w:eastAsia="zh-TW" w:bidi="en-GB"/>
        </w:rPr>
      </w:pPr>
      <w:r w:rsidRPr="0044719E">
        <w:rPr>
          <w:rFonts w:ascii="Simplified Arabic"/>
          <w:spacing w:val="4"/>
          <w:szCs w:val="20"/>
          <w:rtl/>
        </w:rPr>
        <w:t>16</w:t>
      </w:r>
      <w:r w:rsidRPr="005B1F85">
        <w:rPr>
          <w:rFonts w:ascii="Simplified Arabic"/>
          <w:spacing w:val="4"/>
          <w:szCs w:val="20"/>
          <w:rtl/>
        </w:rPr>
        <w:t>-</w:t>
      </w:r>
      <w:r w:rsidRPr="005B1F85">
        <w:rPr>
          <w:spacing w:val="4"/>
          <w:rtl/>
        </w:rPr>
        <w:tab/>
        <w:t>توفر الدول لضحايا التبني غير القانوني على الصعيد الدولي سبل الانتصاف من خلال وضع إجراءات محددة لمراجعة عمليات التبني أو الإيداع أو الوصاية التي نشأت عن حالات اختفاء قسري</w:t>
      </w:r>
      <w:r w:rsidR="00D42713" w:rsidRPr="005B1F85">
        <w:rPr>
          <w:rStyle w:val="FootnoteReference"/>
          <w:spacing w:val="4"/>
          <w:szCs w:val="22"/>
          <w:rtl/>
        </w:rPr>
        <w:t>(</w:t>
      </w:r>
      <w:r w:rsidR="00D42713" w:rsidRPr="0044719E">
        <w:rPr>
          <w:rStyle w:val="FootnoteReference"/>
          <w:spacing w:val="4"/>
          <w:szCs w:val="22"/>
          <w:lang w:val="en-US"/>
        </w:rPr>
        <w:footnoteReference w:id="56"/>
      </w:r>
      <w:r w:rsidRPr="005B1F85">
        <w:rPr>
          <w:spacing w:val="4"/>
          <w:vertAlign w:val="superscript"/>
          <w:rtl/>
        </w:rPr>
        <w:t>)</w:t>
      </w:r>
      <w:r w:rsidRPr="005B1F85">
        <w:rPr>
          <w:spacing w:val="4"/>
          <w:rtl/>
        </w:rPr>
        <w:t xml:space="preserve"> أو عن أي فعل غير قانوني، وإلغائها عند الاقتضاء، ولاتخاذ إجراءات سريعة لإثبات </w:t>
      </w:r>
      <w:r w:rsidRPr="00ED7AA3">
        <w:rPr>
          <w:spacing w:val="-2"/>
          <w:rtl/>
        </w:rPr>
        <w:t>الهوية الحقيقية للمُتَبنى المعني، مع مراعاة مصالح الطفل الفضلى عند الاقتضاء</w:t>
      </w:r>
      <w:r w:rsidR="00D42713" w:rsidRPr="005B1F85">
        <w:rPr>
          <w:rStyle w:val="FootnoteReference"/>
          <w:spacing w:val="4"/>
          <w:szCs w:val="22"/>
          <w:rtl/>
        </w:rPr>
        <w:t>(</w:t>
      </w:r>
      <w:r w:rsidR="00D42713" w:rsidRPr="0044719E">
        <w:rPr>
          <w:rStyle w:val="FootnoteReference"/>
          <w:spacing w:val="4"/>
          <w:szCs w:val="22"/>
          <w:lang w:val="en-US"/>
        </w:rPr>
        <w:footnoteReference w:id="57"/>
      </w:r>
      <w:r w:rsidRPr="005B1F85">
        <w:rPr>
          <w:spacing w:val="4"/>
          <w:vertAlign w:val="superscript"/>
          <w:rtl/>
        </w:rPr>
        <w:t>)</w:t>
      </w:r>
      <w:r w:rsidRPr="005B1F85">
        <w:rPr>
          <w:spacing w:val="4"/>
          <w:rtl/>
        </w:rPr>
        <w:t> ومن دون المساس بحقه في</w:t>
      </w:r>
      <w:r w:rsidR="00ED7AA3">
        <w:rPr>
          <w:rFonts w:hint="cs"/>
          <w:spacing w:val="4"/>
          <w:rtl/>
        </w:rPr>
        <w:t> </w:t>
      </w:r>
      <w:r w:rsidRPr="005B1F85">
        <w:rPr>
          <w:spacing w:val="4"/>
          <w:rtl/>
        </w:rPr>
        <w:t>جنسية</w:t>
      </w:r>
      <w:r w:rsidR="00D42713" w:rsidRPr="005B1F85">
        <w:rPr>
          <w:rStyle w:val="FootnoteReference"/>
          <w:spacing w:val="4"/>
          <w:szCs w:val="22"/>
          <w:rtl/>
        </w:rPr>
        <w:t>(</w:t>
      </w:r>
      <w:r w:rsidR="00D42713" w:rsidRPr="0044719E">
        <w:rPr>
          <w:rStyle w:val="FootnoteReference"/>
          <w:spacing w:val="4"/>
          <w:szCs w:val="22"/>
          <w:lang w:val="en-US"/>
        </w:rPr>
        <w:footnoteReference w:id="58"/>
      </w:r>
      <w:r w:rsidR="00D42713" w:rsidRPr="005B1F85">
        <w:rPr>
          <w:spacing w:val="4"/>
          <w:vertAlign w:val="superscript"/>
          <w:rtl/>
        </w:rPr>
        <w:t>)</w:t>
      </w:r>
      <w:r w:rsidR="00D42713" w:rsidRPr="005B1F85">
        <w:rPr>
          <w:spacing w:val="4"/>
          <w:rtl/>
        </w:rPr>
        <w:t>.</w:t>
      </w:r>
    </w:p>
    <w:p w14:paraId="532B9431" w14:textId="2B249C6F" w:rsidR="004E459B" w:rsidRPr="0044719E" w:rsidRDefault="004E459B" w:rsidP="005B1F85">
      <w:pPr>
        <w:pStyle w:val="H23GA"/>
        <w:rPr>
          <w:szCs w:val="20"/>
          <w:lang w:val="ar-SA" w:eastAsia="zh-TW" w:bidi="en-GB"/>
        </w:rPr>
      </w:pPr>
      <w:r w:rsidRPr="0044719E">
        <w:rPr>
          <w:rtl/>
        </w:rPr>
        <w:tab/>
      </w:r>
      <w:r w:rsidRPr="0044719E">
        <w:rPr>
          <w:rtl/>
        </w:rPr>
        <w:tab/>
        <w:t>الحق في جبر الضرر</w:t>
      </w:r>
    </w:p>
    <w:p w14:paraId="22DA8443" w14:textId="71E0816A" w:rsidR="00D42713" w:rsidRPr="007D4C84" w:rsidRDefault="004E459B" w:rsidP="005B1F85">
      <w:pPr>
        <w:pStyle w:val="SingleTxtGA"/>
        <w:rPr>
          <w:spacing w:val="2"/>
          <w:szCs w:val="20"/>
          <w:lang w:val="ar-SA" w:eastAsia="zh-TW" w:bidi="en-GB"/>
        </w:rPr>
      </w:pPr>
      <w:r w:rsidRPr="0044719E">
        <w:rPr>
          <w:rFonts w:ascii="Simplified Arabic"/>
          <w:spacing w:val="2"/>
          <w:szCs w:val="20"/>
          <w:rtl/>
        </w:rPr>
        <w:t>17</w:t>
      </w:r>
      <w:r w:rsidRPr="007D4C84">
        <w:rPr>
          <w:rFonts w:ascii="Simplified Arabic"/>
          <w:spacing w:val="2"/>
          <w:szCs w:val="20"/>
          <w:rtl/>
        </w:rPr>
        <w:t>-</w:t>
      </w:r>
      <w:r w:rsidRPr="007D4C84">
        <w:rPr>
          <w:spacing w:val="2"/>
          <w:rtl/>
        </w:rPr>
        <w:tab/>
        <w:t>للضحايا، أي مَن لحق بهم ضرر كنتيجة مباشرة لتبنٍ غير قانوني على الصعيد الدولي، الحق في جبرٍ لما أصابهم من ضرر</w:t>
      </w:r>
      <w:r w:rsidR="00D42713" w:rsidRPr="007D4C84">
        <w:rPr>
          <w:rStyle w:val="FootnoteReference"/>
          <w:spacing w:val="2"/>
          <w:szCs w:val="22"/>
          <w:rtl/>
        </w:rPr>
        <w:t>(</w:t>
      </w:r>
      <w:r w:rsidR="00D42713" w:rsidRPr="0044719E">
        <w:rPr>
          <w:rStyle w:val="FootnoteReference"/>
          <w:spacing w:val="2"/>
          <w:szCs w:val="22"/>
          <w:lang w:val="en-US"/>
        </w:rPr>
        <w:footnoteReference w:id="59"/>
      </w:r>
      <w:r w:rsidR="00D42713" w:rsidRPr="007D4C84">
        <w:rPr>
          <w:spacing w:val="2"/>
          <w:vertAlign w:val="superscript"/>
          <w:rtl/>
        </w:rPr>
        <w:t>)</w:t>
      </w:r>
      <w:r w:rsidR="00D42713" w:rsidRPr="007D4C84">
        <w:rPr>
          <w:rFonts w:ascii="Simplified Arabic"/>
          <w:spacing w:val="2"/>
          <w:szCs w:val="20"/>
          <w:rtl/>
        </w:rPr>
        <w:t>.</w:t>
      </w:r>
      <w:r w:rsidR="00D42713" w:rsidRPr="007D4C84">
        <w:rPr>
          <w:spacing w:val="2"/>
          <w:rtl/>
        </w:rPr>
        <w:t xml:space="preserve"> </w:t>
      </w:r>
      <w:r w:rsidRPr="007D4C84">
        <w:rPr>
          <w:spacing w:val="2"/>
          <w:rtl/>
        </w:rPr>
        <w:t>ويتضمن الجبر منظور</w:t>
      </w:r>
      <w:r w:rsidR="00430616" w:rsidRPr="007D4C84">
        <w:rPr>
          <w:spacing w:val="2"/>
          <w:rtl/>
        </w:rPr>
        <w:t xml:space="preserve">اً </w:t>
      </w:r>
      <w:proofErr w:type="spellStart"/>
      <w:r w:rsidRPr="007D4C84">
        <w:rPr>
          <w:spacing w:val="2"/>
          <w:rtl/>
        </w:rPr>
        <w:t>جنساني</w:t>
      </w:r>
      <w:r w:rsidR="00430616" w:rsidRPr="007D4C84">
        <w:rPr>
          <w:spacing w:val="2"/>
          <w:rtl/>
        </w:rPr>
        <w:t>اً</w:t>
      </w:r>
      <w:proofErr w:type="spellEnd"/>
      <w:r w:rsidR="00430616" w:rsidRPr="007D4C84">
        <w:rPr>
          <w:spacing w:val="2"/>
          <w:rtl/>
        </w:rPr>
        <w:t xml:space="preserve"> </w:t>
      </w:r>
      <w:r w:rsidRPr="007D4C84">
        <w:rPr>
          <w:spacing w:val="2"/>
          <w:rtl/>
        </w:rPr>
        <w:t>ويمكن أن يشمل: إعادة الضحية إلى حالتها الأصلية قبل حدوث التبني غير القانوني على الصعيد الدولي، أينما أمكن ذلك، مع مراعاة مصالح الطفل الفضلى؛ والتعويض عن أي ضرر يمكن تقييمه اقتصادياً؛ وإعادة التأهيل، التي ينبغي أن تشمل الرعاية الطبية والنفسية، والخدمات القانونية والاجتماعية، والمشورة والتيسير؛ والترضية، التي ينبغي أن تشمل، على سبيل المثال لا الحصر، الكشف الكامل والعلني عن الحقيقة، والاعتذار العلني، وإحياء ذكرى الضحايا وتكريمهم</w:t>
      </w:r>
      <w:r w:rsidR="00D42713" w:rsidRPr="007D4C84">
        <w:rPr>
          <w:rStyle w:val="FootnoteReference"/>
          <w:spacing w:val="2"/>
          <w:szCs w:val="22"/>
          <w:rtl/>
        </w:rPr>
        <w:t>(</w:t>
      </w:r>
      <w:r w:rsidR="00D42713" w:rsidRPr="0044719E">
        <w:rPr>
          <w:rStyle w:val="FootnoteReference"/>
          <w:spacing w:val="2"/>
          <w:szCs w:val="22"/>
          <w:lang w:val="en-US"/>
        </w:rPr>
        <w:footnoteReference w:id="60"/>
      </w:r>
      <w:r w:rsidR="00D42713" w:rsidRPr="007D4C84">
        <w:rPr>
          <w:spacing w:val="2"/>
          <w:vertAlign w:val="superscript"/>
          <w:rtl/>
        </w:rPr>
        <w:t>)</w:t>
      </w:r>
      <w:r w:rsidR="00D42713" w:rsidRPr="007D4C84">
        <w:rPr>
          <w:spacing w:val="2"/>
          <w:rtl/>
        </w:rPr>
        <w:t xml:space="preserve">؛ </w:t>
      </w:r>
      <w:r w:rsidRPr="007D4C84">
        <w:rPr>
          <w:spacing w:val="2"/>
          <w:rtl/>
        </w:rPr>
        <w:t>وضمانات عدم التكرار من خلال إدخال إصلاحات قانونية ومؤسسية وعملية</w:t>
      </w:r>
      <w:r w:rsidR="00D42713" w:rsidRPr="007D4C84">
        <w:rPr>
          <w:rStyle w:val="FootnoteReference"/>
          <w:spacing w:val="2"/>
          <w:szCs w:val="22"/>
          <w:rtl/>
        </w:rPr>
        <w:t>(</w:t>
      </w:r>
      <w:r w:rsidR="00D42713" w:rsidRPr="0044719E">
        <w:rPr>
          <w:rStyle w:val="FootnoteReference"/>
          <w:spacing w:val="2"/>
          <w:szCs w:val="22"/>
          <w:lang w:val="en-US"/>
        </w:rPr>
        <w:footnoteReference w:id="61"/>
      </w:r>
      <w:r w:rsidR="00D42713" w:rsidRPr="007D4C84">
        <w:rPr>
          <w:spacing w:val="2"/>
          <w:vertAlign w:val="superscript"/>
          <w:rtl/>
        </w:rPr>
        <w:t>)</w:t>
      </w:r>
      <w:r w:rsidR="00D42713" w:rsidRPr="007D4C84">
        <w:rPr>
          <w:spacing w:val="2"/>
          <w:rtl/>
        </w:rPr>
        <w:t>.</w:t>
      </w:r>
    </w:p>
    <w:p w14:paraId="56EE9E3B" w14:textId="3410BC4E" w:rsidR="004E459B" w:rsidRPr="0044719E" w:rsidRDefault="004E459B" w:rsidP="004E459B">
      <w:pPr>
        <w:pStyle w:val="H23GA"/>
        <w:rPr>
          <w:szCs w:val="20"/>
          <w:lang w:val="en-US" w:eastAsia="zh-TW" w:bidi="en-GB"/>
        </w:rPr>
      </w:pPr>
      <w:r w:rsidRPr="0044719E">
        <w:rPr>
          <w:rtl/>
        </w:rPr>
        <w:lastRenderedPageBreak/>
        <w:tab/>
      </w:r>
      <w:r w:rsidRPr="0044719E">
        <w:rPr>
          <w:rtl/>
        </w:rPr>
        <w:tab/>
        <w:t>آليات البحث عن الحقيقة</w:t>
      </w:r>
    </w:p>
    <w:p w14:paraId="0C155638" w14:textId="3B58AA34" w:rsidR="00D42713" w:rsidRPr="00D42713" w:rsidRDefault="004E459B" w:rsidP="004E459B">
      <w:pPr>
        <w:pStyle w:val="SingleTxtGA"/>
        <w:rPr>
          <w:szCs w:val="20"/>
          <w:lang w:val="ar-SA" w:eastAsia="zh-TW" w:bidi="en-GB"/>
        </w:rPr>
      </w:pPr>
      <w:r w:rsidRPr="0044719E">
        <w:rPr>
          <w:rFonts w:ascii="Simplified Arabic"/>
          <w:szCs w:val="20"/>
          <w:rtl/>
        </w:rPr>
        <w:t>18</w:t>
      </w:r>
      <w:r>
        <w:rPr>
          <w:rFonts w:ascii="Simplified Arabic"/>
          <w:szCs w:val="20"/>
          <w:rtl/>
        </w:rPr>
        <w:t>-</w:t>
      </w:r>
      <w:r>
        <w:rPr>
          <w:rtl/>
        </w:rPr>
        <w:tab/>
        <w:t xml:space="preserve">ينبغي للدول أن تنظر في إنشاء لجان تحقيق مستقلة، عند الاقتضاء، لإثبات الوقائع المتعلقة </w:t>
      </w:r>
      <w:r w:rsidRPr="00ED7AA3">
        <w:rPr>
          <w:spacing w:val="-2"/>
          <w:rtl/>
        </w:rPr>
        <w:t>بادعاءات حدوث تبن غير مشروع على الصعيد الدولي، وتحديد مسؤوليات كل طرف، واقتراح تدابير تكفل</w:t>
      </w:r>
      <w:r>
        <w:rPr>
          <w:rtl/>
        </w:rPr>
        <w:t xml:space="preserve"> تعويض الضحايا تعويضاً كافياً</w:t>
      </w:r>
      <w:r w:rsidR="00D42713">
        <w:rPr>
          <w:rStyle w:val="FootnoteReference"/>
          <w:szCs w:val="22"/>
          <w:rtl/>
        </w:rPr>
        <w:t>(</w:t>
      </w:r>
      <w:r w:rsidR="00D42713" w:rsidRPr="0044719E">
        <w:rPr>
          <w:rStyle w:val="FootnoteReference"/>
          <w:szCs w:val="22"/>
          <w:lang w:val="en-US"/>
        </w:rPr>
        <w:footnoteReference w:id="62"/>
      </w:r>
      <w:r w:rsidR="00D42713" w:rsidRPr="00D42713">
        <w:rPr>
          <w:vertAlign w:val="superscript"/>
          <w:rtl/>
        </w:rPr>
        <w:t>)</w:t>
      </w:r>
      <w:r w:rsidR="00D42713" w:rsidRPr="00D42713">
        <w:rPr>
          <w:rFonts w:ascii="Simplified Arabic"/>
          <w:szCs w:val="20"/>
          <w:rtl/>
        </w:rPr>
        <w:t>.</w:t>
      </w:r>
      <w:r w:rsidR="00D42713" w:rsidRPr="00D42713">
        <w:rPr>
          <w:rtl/>
        </w:rPr>
        <w:t xml:space="preserve"> </w:t>
      </w:r>
      <w:r>
        <w:rPr>
          <w:rtl/>
        </w:rPr>
        <w:t>وتتمثل أهداف هذه اللجان في مساعدة الضحايا على معرفة الحقيقة بشأن أصولهم وإثبات هويتهم الحقيقية، وتشكيل سجل تاريخي موثوق، والتوصية باعتماد ضمانات بعدم التكرار، ومن ثم، منع تكرار</w:t>
      </w:r>
      <w:r w:rsidR="00D42713">
        <w:rPr>
          <w:rStyle w:val="FootnoteReference"/>
          <w:szCs w:val="22"/>
          <w:rtl/>
        </w:rPr>
        <w:t>(</w:t>
      </w:r>
      <w:r w:rsidR="00D42713" w:rsidRPr="0044719E">
        <w:rPr>
          <w:rStyle w:val="FootnoteReference"/>
          <w:szCs w:val="22"/>
          <w:lang w:val="en-US"/>
        </w:rPr>
        <w:footnoteReference w:id="63"/>
      </w:r>
      <w:r w:rsidRPr="004E459B">
        <w:rPr>
          <w:vertAlign w:val="superscript"/>
          <w:rtl/>
        </w:rPr>
        <w:t>)</w:t>
      </w:r>
      <w:r>
        <w:rPr>
          <w:rtl/>
        </w:rPr>
        <w:t> التبني غير القانوني على الصعيد الدولي. وينبغي للدول أن تحرص على أن تتضمن هذه الآليات منظوراً يراعي الاعتبارات الجنسانية واحتياجات الأطفال</w:t>
      </w:r>
      <w:r w:rsidR="00D42713">
        <w:rPr>
          <w:rStyle w:val="FootnoteReference"/>
          <w:szCs w:val="22"/>
          <w:rtl/>
        </w:rPr>
        <w:t>(</w:t>
      </w:r>
      <w:r w:rsidR="00D42713" w:rsidRPr="0044719E">
        <w:rPr>
          <w:rStyle w:val="FootnoteReference"/>
          <w:szCs w:val="22"/>
          <w:lang w:val="en-US"/>
        </w:rPr>
        <w:footnoteReference w:id="64"/>
      </w:r>
      <w:r w:rsidR="00D42713" w:rsidRPr="00D42713">
        <w:rPr>
          <w:vertAlign w:val="superscript"/>
          <w:rtl/>
        </w:rPr>
        <w:t>)</w:t>
      </w:r>
      <w:r w:rsidR="00D42713" w:rsidRPr="00D42713">
        <w:rPr>
          <w:rtl/>
        </w:rPr>
        <w:t>.</w:t>
      </w:r>
    </w:p>
    <w:p w14:paraId="7D323E6C" w14:textId="299955BF" w:rsidR="004E459B" w:rsidRPr="004E459B" w:rsidRDefault="004E459B" w:rsidP="004E459B">
      <w:pPr>
        <w:pStyle w:val="SingleTxtGA"/>
        <w:jc w:val="center"/>
        <w:rPr>
          <w:u w:val="single"/>
          <w:rtl/>
        </w:rPr>
      </w:pPr>
      <w:r>
        <w:rPr>
          <w:u w:val="single"/>
          <w:rtl/>
        </w:rPr>
        <w:tab/>
      </w:r>
      <w:r>
        <w:rPr>
          <w:u w:val="single"/>
          <w:rtl/>
        </w:rPr>
        <w:tab/>
      </w:r>
      <w:r>
        <w:rPr>
          <w:u w:val="single"/>
          <w:rtl/>
        </w:rPr>
        <w:tab/>
      </w:r>
    </w:p>
    <w:sectPr w:rsidR="004E459B" w:rsidRPr="004E459B" w:rsidSect="009B174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B104" w14:textId="77777777" w:rsidR="009E5199" w:rsidRPr="002901D9" w:rsidRDefault="009E5199" w:rsidP="00DF5E71">
      <w:pPr>
        <w:spacing w:after="60" w:line="240" w:lineRule="auto"/>
        <w:ind w:left="57"/>
        <w:rPr>
          <w:i/>
          <w:iCs/>
        </w:rPr>
      </w:pPr>
      <w:r>
        <w:rPr>
          <w:rFonts w:hint="cs"/>
          <w:i/>
          <w:iCs/>
          <w:rtl/>
        </w:rPr>
        <w:t>الحواشي</w:t>
      </w:r>
    </w:p>
  </w:endnote>
  <w:endnote w:type="continuationSeparator" w:id="0">
    <w:p w14:paraId="14E5F236" w14:textId="77777777" w:rsidR="009E5199" w:rsidRDefault="009E519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84AE" w14:textId="3A8081B4" w:rsidR="00562CB7" w:rsidRPr="00562CB7" w:rsidRDefault="00562CB7" w:rsidP="00562CB7">
    <w:pPr>
      <w:pStyle w:val="Footer"/>
      <w:tabs>
        <w:tab w:val="right" w:pos="9638"/>
      </w:tabs>
      <w:rPr>
        <w:b/>
        <w:sz w:val="18"/>
        <w:lang w:val="en-US"/>
      </w:rPr>
    </w:pPr>
    <w:r>
      <w:rPr>
        <w:lang w:val="en-US"/>
      </w:rPr>
      <w:t>GE.22-26622</w:t>
    </w:r>
    <w:r>
      <w:rPr>
        <w:lang w:val="en-US"/>
      </w:rPr>
      <w:tab/>
    </w:r>
    <w:r w:rsidRPr="00562CB7">
      <w:rPr>
        <w:b/>
        <w:sz w:val="18"/>
        <w:lang w:val="en-US"/>
      </w:rPr>
      <w:fldChar w:fldCharType="begin"/>
    </w:r>
    <w:r w:rsidRPr="00562CB7">
      <w:rPr>
        <w:b/>
        <w:sz w:val="18"/>
        <w:lang w:val="en-US"/>
      </w:rPr>
      <w:instrText xml:space="preserve"> PAGE  \* MERGEFORMAT </w:instrText>
    </w:r>
    <w:r w:rsidRPr="00562CB7">
      <w:rPr>
        <w:b/>
        <w:sz w:val="18"/>
        <w:lang w:val="en-US"/>
      </w:rPr>
      <w:fldChar w:fldCharType="separate"/>
    </w:r>
    <w:r w:rsidRPr="00562CB7">
      <w:rPr>
        <w:b/>
        <w:noProof/>
        <w:sz w:val="18"/>
        <w:lang w:val="en-US"/>
      </w:rPr>
      <w:t>2</w:t>
    </w:r>
    <w:r w:rsidRPr="00562CB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2214" w14:textId="31CA0A89" w:rsidR="006959B0" w:rsidRPr="00562CB7" w:rsidRDefault="00562CB7" w:rsidP="00562CB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GE.22-26622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13AB" w14:textId="4F3180B1" w:rsidR="00AB4F93" w:rsidRPr="00562CB7" w:rsidRDefault="00562CB7" w:rsidP="00562CB7">
    <w:pPr>
      <w:pStyle w:val="Footer"/>
      <w:spacing w:before="600"/>
      <w:ind w:left="567"/>
      <w:jc w:val="right"/>
      <w:rPr>
        <w:sz w:val="20"/>
        <w:lang w:val="en-US"/>
      </w:rPr>
    </w:pPr>
    <w:r>
      <w:rPr>
        <w:sz w:val="20"/>
        <w:lang w:val="en-US"/>
      </w:rPr>
      <w:t>GE.</w:t>
    </w:r>
    <w:r w:rsidR="007F55ED">
      <w:rPr>
        <w:noProof/>
      </w:rPr>
      <w:drawing>
        <wp:anchor distT="0" distB="0" distL="114300" distR="114300" simplePos="0" relativeHeight="251659264" behindDoc="1" locked="1" layoutInCell="0" allowOverlap="1" wp14:anchorId="23B742B6" wp14:editId="59F57F9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22-26622 (A)</w:t>
    </w:r>
    <w:r>
      <w:rPr>
        <w:noProof/>
        <w:sz w:val="20"/>
        <w:lang w:val="en-US"/>
      </w:rPr>
      <w:drawing>
        <wp:anchor distT="0" distB="0" distL="114300" distR="114300" simplePos="0" relativeHeight="251660288" behindDoc="0" locked="0" layoutInCell="1" allowOverlap="1" wp14:anchorId="441CC929" wp14:editId="5858079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13E2" w14:textId="77777777" w:rsidR="009E5199" w:rsidRPr="002804D6" w:rsidRDefault="009E5199" w:rsidP="002804D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5C10AAD" w14:textId="77777777" w:rsidR="009E5199" w:rsidRDefault="009E5199" w:rsidP="00656392">
      <w:pPr>
        <w:spacing w:line="240" w:lineRule="auto"/>
      </w:pPr>
      <w:r>
        <w:continuationSeparator/>
      </w:r>
    </w:p>
  </w:footnote>
  <w:footnote w:id="1">
    <w:p w14:paraId="7C59E12C" w14:textId="6E542C4C" w:rsidR="004E459B" w:rsidRPr="004E459B" w:rsidRDefault="004E459B" w:rsidP="004E459B">
      <w:pPr>
        <w:pStyle w:val="FootnoteText1"/>
        <w:rPr>
          <w:rtl/>
        </w:rPr>
      </w:pPr>
      <w:r>
        <w:rPr>
          <w:rtl/>
        </w:rPr>
        <w:t>*</w:t>
      </w:r>
      <w:r>
        <w:rPr>
          <w:rtl/>
        </w:rPr>
        <w:tab/>
      </w:r>
      <w:r w:rsidRPr="00073F6C">
        <w:rPr>
          <w:rtl/>
        </w:rPr>
        <w:t xml:space="preserve">صدر في </w:t>
      </w:r>
      <w:r w:rsidRPr="0044719E">
        <w:rPr>
          <w:rtl/>
        </w:rPr>
        <w:t>29</w:t>
      </w:r>
      <w:r w:rsidRPr="00073F6C">
        <w:rPr>
          <w:rtl/>
        </w:rPr>
        <w:t xml:space="preserve"> أيلول/سبتمبر </w:t>
      </w:r>
      <w:r w:rsidRPr="0044719E">
        <w:rPr>
          <w:rtl/>
        </w:rPr>
        <w:t>2022</w:t>
      </w:r>
      <w:r w:rsidRPr="00073F6C">
        <w:rPr>
          <w:rtl/>
        </w:rPr>
        <w:t xml:space="preserve"> عن اللجنة المعنية بحالات الاختفاء القسري، ولجنة حقوق الطفل، والمقرر الخاص المعني بتعزيز الحقيقة والعدالة والجبر وضمانات عدم التكرار، والمقررة الخاصة المعنية ببيع الأطفال واستغلالهم جنسياً، بما في ذلك </w:t>
      </w:r>
      <w:r w:rsidRPr="005A6F49">
        <w:rPr>
          <w:spacing w:val="-4"/>
          <w:rtl/>
        </w:rPr>
        <w:t>استغلالهم في البغاء وفي المواد الإباحية وغيرها من مواد الاعتداء الجنسي على الأطفال، والمقررة الخاصة المعنية بالاتجار بالأشخاص</w:t>
      </w:r>
      <w:r w:rsidRPr="00073F6C">
        <w:rPr>
          <w:rtl/>
        </w:rPr>
        <w:t>،</w:t>
      </w:r>
      <w:r w:rsidR="007D7145">
        <w:rPr>
          <w:rtl/>
        </w:rPr>
        <w:t xml:space="preserve"> </w:t>
      </w:r>
      <w:r w:rsidRPr="00073F6C">
        <w:rPr>
          <w:rtl/>
        </w:rPr>
        <w:t>ولا سيما النساء والأطفال، والفريق العامل المعني بحالات الاختفاء القسري أو غير الطوعي</w:t>
      </w:r>
      <w:r w:rsidR="00D42713">
        <w:rPr>
          <w:rtl/>
        </w:rPr>
        <w:t xml:space="preserve">. </w:t>
      </w:r>
    </w:p>
  </w:footnote>
  <w:footnote w:id="2">
    <w:p w14:paraId="762B8C03" w14:textId="48195E02" w:rsidR="00D42713" w:rsidRPr="00D42713" w:rsidRDefault="00D42713" w:rsidP="00D42713">
      <w:pPr>
        <w:pStyle w:val="FootnoteText1"/>
        <w:textDirection w:val="tbRlV"/>
        <w:rPr>
          <w:spacing w:val="-4"/>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المقررة الخاصة المعنية ببيع الأطفال واستغلالهم جنسياً، بما في ذلك استغلالهم في البغاء وفي المواد الإباحية، بيان أدلت به في</w:t>
      </w:r>
      <w:r w:rsidR="005A6F49">
        <w:rPr>
          <w:rFonts w:hint="cs"/>
          <w:bCs/>
          <w:rtl/>
        </w:rPr>
        <w:t> </w:t>
      </w:r>
      <w:r w:rsidRPr="00073F6C">
        <w:rPr>
          <w:rtl/>
        </w:rPr>
        <w:t xml:space="preserve">الدورة الرابعة والثلاثين لمجلس حقوق الإنسان، </w:t>
      </w:r>
      <w:r w:rsidRPr="0044719E">
        <w:rPr>
          <w:rtl/>
        </w:rPr>
        <w:t>7</w:t>
      </w:r>
      <w:r w:rsidRPr="00073F6C">
        <w:rPr>
          <w:rtl/>
        </w:rPr>
        <w:t xml:space="preserve"> آذار/مارس </w:t>
      </w:r>
      <w:r w:rsidRPr="0044719E">
        <w:rPr>
          <w:rtl/>
        </w:rPr>
        <w:t>2017</w:t>
      </w:r>
      <w:r w:rsidRPr="00D42713">
        <w:rPr>
          <w:rtl/>
        </w:rPr>
        <w:t xml:space="preserve">. </w:t>
      </w:r>
      <w:r w:rsidRPr="00073F6C">
        <w:rPr>
          <w:rtl/>
        </w:rPr>
        <w:t>متاح في:</w:t>
      </w:r>
      <w:r>
        <w:rPr>
          <w:rtl/>
        </w:rPr>
        <w:tab/>
      </w:r>
      <w:r>
        <w:rPr>
          <w:rtl/>
        </w:rPr>
        <w:br/>
      </w:r>
      <w:hyperlink r:id="rId1" w:history="1">
        <w:r w:rsidRPr="00D42713">
          <w:rPr>
            <w:rStyle w:val="Hyperlink"/>
            <w:spacing w:val="-4"/>
          </w:rPr>
          <w:t>https://www.ohchr.org/sites/default/files/Documents/Issues/Children/Illegaladoptions/Statement.pdf</w:t>
        </w:r>
      </w:hyperlink>
      <w:r w:rsidRPr="00D42713">
        <w:rPr>
          <w:spacing w:val="-4"/>
          <w:rtl/>
        </w:rPr>
        <w:t xml:space="preserve">. </w:t>
      </w:r>
    </w:p>
  </w:footnote>
  <w:footnote w:id="3">
    <w:p w14:paraId="1D90B293" w14:textId="77777777"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2" w:history="1">
        <w:r w:rsidRPr="00D42713">
          <w:rPr>
            <w:rStyle w:val="Hyperlink"/>
          </w:rPr>
          <w:t>A/HRC/</w:t>
        </w:r>
        <w:r w:rsidRPr="0044719E">
          <w:rPr>
            <w:rStyle w:val="Hyperlink"/>
          </w:rPr>
          <w:t>34</w:t>
        </w:r>
        <w:r w:rsidRPr="00D42713">
          <w:rPr>
            <w:rStyle w:val="Hyperlink"/>
          </w:rPr>
          <w:t>/</w:t>
        </w:r>
        <w:r w:rsidRPr="0044719E">
          <w:rPr>
            <w:rStyle w:val="Hyperlink"/>
          </w:rPr>
          <w:t>55</w:t>
        </w:r>
      </w:hyperlink>
      <w:r w:rsidRPr="00073F6C">
        <w:rPr>
          <w:rtl/>
        </w:rPr>
        <w:t xml:space="preserve">، الفقرتان </w:t>
      </w:r>
      <w:r w:rsidRPr="0044719E">
        <w:rPr>
          <w:rtl/>
        </w:rPr>
        <w:t>35</w:t>
      </w:r>
      <w:r w:rsidRPr="00073F6C">
        <w:rPr>
          <w:rtl/>
        </w:rPr>
        <w:t xml:space="preserve"> و</w:t>
      </w:r>
      <w:r w:rsidRPr="0044719E">
        <w:rPr>
          <w:rtl/>
        </w:rPr>
        <w:t>36</w:t>
      </w:r>
      <w:r w:rsidRPr="00D42713">
        <w:rPr>
          <w:rtl/>
        </w:rPr>
        <w:t xml:space="preserve">. </w:t>
      </w:r>
    </w:p>
  </w:footnote>
  <w:footnote w:id="4">
    <w:p w14:paraId="66F880FE" w14:textId="77777777"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العهد الدولي الخاص بالحقوق المدنية والسياسية، الفقرة </w:t>
      </w:r>
      <w:r w:rsidRPr="0044719E">
        <w:rPr>
          <w:rtl/>
        </w:rPr>
        <w:t>1</w:t>
      </w:r>
      <w:r w:rsidRPr="00073F6C">
        <w:rPr>
          <w:rtl/>
        </w:rPr>
        <w:t xml:space="preserve"> من المادة </w:t>
      </w:r>
      <w:r w:rsidRPr="0044719E">
        <w:rPr>
          <w:rtl/>
        </w:rPr>
        <w:t>24</w:t>
      </w:r>
      <w:r w:rsidRPr="00D42713">
        <w:rPr>
          <w:rtl/>
        </w:rPr>
        <w:t xml:space="preserve">. </w:t>
      </w:r>
      <w:r w:rsidRPr="00073F6C">
        <w:rPr>
          <w:rtl/>
        </w:rPr>
        <w:t xml:space="preserve">انظر أيضاً اللجنة المعنية بحقوق الإنسان، </w:t>
      </w:r>
      <w:r w:rsidRPr="0044719E">
        <w:rPr>
          <w:i/>
          <w:iCs/>
          <w:rtl/>
        </w:rPr>
        <w:t xml:space="preserve">موناكو دي </w:t>
      </w:r>
      <w:proofErr w:type="spellStart"/>
      <w:r w:rsidRPr="0044719E">
        <w:rPr>
          <w:i/>
          <w:iCs/>
          <w:rtl/>
        </w:rPr>
        <w:t>غاليكتشيو</w:t>
      </w:r>
      <w:proofErr w:type="spellEnd"/>
      <w:r w:rsidRPr="0044719E">
        <w:rPr>
          <w:i/>
          <w:iCs/>
          <w:rtl/>
        </w:rPr>
        <w:t xml:space="preserve"> ضد الأرجنتين</w:t>
      </w:r>
      <w:r w:rsidRPr="00073F6C">
        <w:rPr>
          <w:rtl/>
        </w:rPr>
        <w:t xml:space="preserve"> </w:t>
      </w:r>
      <w:r w:rsidRPr="00073F6C">
        <w:t>(</w:t>
      </w:r>
      <w:proofErr w:type="spellStart"/>
      <w:r w:rsidRPr="00073F6C">
        <w:t>Mónaco</w:t>
      </w:r>
      <w:proofErr w:type="spellEnd"/>
      <w:r w:rsidRPr="00073F6C">
        <w:t xml:space="preserve"> de </w:t>
      </w:r>
      <w:proofErr w:type="spellStart"/>
      <w:r w:rsidRPr="00073F6C">
        <w:t>Gallicchio</w:t>
      </w:r>
      <w:proofErr w:type="spellEnd"/>
      <w:r w:rsidRPr="00073F6C">
        <w:t xml:space="preserve"> </w:t>
      </w:r>
      <w:r w:rsidRPr="00D42713">
        <w:t xml:space="preserve">v. </w:t>
      </w:r>
      <w:r w:rsidRPr="00073F6C">
        <w:t>Argentin</w:t>
      </w:r>
      <w:r w:rsidRPr="00D42713">
        <w:t xml:space="preserve">a) </w:t>
      </w:r>
      <w:r w:rsidRPr="00073F6C">
        <w:t>(</w:t>
      </w:r>
      <w:hyperlink r:id="rId3" w:history="1">
        <w:r w:rsidRPr="00D42713">
          <w:rPr>
            <w:rStyle w:val="Hyperlink"/>
          </w:rPr>
          <w:t>CCPR/C/</w:t>
        </w:r>
        <w:r w:rsidRPr="0044719E">
          <w:rPr>
            <w:rStyle w:val="Hyperlink"/>
          </w:rPr>
          <w:t>53</w:t>
        </w:r>
        <w:r w:rsidRPr="00D42713">
          <w:rPr>
            <w:rStyle w:val="Hyperlink"/>
          </w:rPr>
          <w:t>/D/</w:t>
        </w:r>
        <w:r w:rsidRPr="0044719E">
          <w:rPr>
            <w:rStyle w:val="Hyperlink"/>
          </w:rPr>
          <w:t>400</w:t>
        </w:r>
        <w:r w:rsidRPr="00D42713">
          <w:rPr>
            <w:rStyle w:val="Hyperlink"/>
          </w:rPr>
          <w:t>/</w:t>
        </w:r>
        <w:r w:rsidRPr="0044719E">
          <w:rPr>
            <w:rStyle w:val="Hyperlink"/>
          </w:rPr>
          <w:t>1990</w:t>
        </w:r>
      </w:hyperlink>
      <w:r w:rsidRPr="00D42713">
        <w:rPr>
          <w:rtl/>
        </w:rPr>
        <w:t xml:space="preserve">)، </w:t>
      </w:r>
      <w:r w:rsidRPr="00073F6C">
        <w:rPr>
          <w:rtl/>
        </w:rPr>
        <w:t xml:space="preserve">الفقرة </w:t>
      </w:r>
      <w:r w:rsidRPr="0044719E">
        <w:rPr>
          <w:rtl/>
        </w:rPr>
        <w:t>10</w:t>
      </w:r>
      <w:r w:rsidRPr="00073F6C">
        <w:rPr>
          <w:rtl/>
        </w:rPr>
        <w:t>-</w:t>
      </w:r>
      <w:r w:rsidRPr="0044719E">
        <w:rPr>
          <w:rtl/>
        </w:rPr>
        <w:t>5</w:t>
      </w:r>
      <w:r w:rsidRPr="00D42713">
        <w:rPr>
          <w:rtl/>
        </w:rPr>
        <w:t xml:space="preserve">. </w:t>
      </w:r>
    </w:p>
  </w:footnote>
  <w:footnote w:id="5">
    <w:p w14:paraId="5B9BD2E3" w14:textId="77777777"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العهد الدولي الخاص بالحقوق المدنية والسياسية، الفقرة </w:t>
      </w:r>
      <w:r w:rsidRPr="0044719E">
        <w:rPr>
          <w:rtl/>
        </w:rPr>
        <w:t>1</w:t>
      </w:r>
      <w:r w:rsidRPr="00073F6C">
        <w:rPr>
          <w:rtl/>
        </w:rPr>
        <w:t xml:space="preserve"> من المادة </w:t>
      </w:r>
      <w:r w:rsidRPr="0044719E">
        <w:rPr>
          <w:rtl/>
        </w:rPr>
        <w:t>23</w:t>
      </w:r>
      <w:r w:rsidRPr="00D42713">
        <w:rPr>
          <w:rtl/>
        </w:rPr>
        <w:t xml:space="preserve">. </w:t>
      </w:r>
    </w:p>
  </w:footnote>
  <w:footnote w:id="6">
    <w:p w14:paraId="63D14DF9" w14:textId="77777777"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4" w:history="1">
        <w:r w:rsidRPr="00D42713">
          <w:rPr>
            <w:rStyle w:val="Hyperlink"/>
          </w:rPr>
          <w:t>CRC/C/RUS/CO/</w:t>
        </w:r>
        <w:r w:rsidRPr="0044719E">
          <w:rPr>
            <w:rStyle w:val="Hyperlink"/>
          </w:rPr>
          <w:t>3</w:t>
        </w:r>
      </w:hyperlink>
      <w:r w:rsidRPr="00073F6C">
        <w:rPr>
          <w:rtl/>
        </w:rPr>
        <w:t xml:space="preserve">، الفقرتان </w:t>
      </w:r>
      <w:r w:rsidRPr="0044719E">
        <w:rPr>
          <w:rtl/>
        </w:rPr>
        <w:t>40</w:t>
      </w:r>
      <w:r w:rsidRPr="00073F6C">
        <w:rPr>
          <w:rtl/>
        </w:rPr>
        <w:t xml:space="preserve"> و</w:t>
      </w:r>
      <w:r w:rsidRPr="0044719E">
        <w:rPr>
          <w:rtl/>
        </w:rPr>
        <w:t>41</w:t>
      </w:r>
      <w:r w:rsidRPr="00073F6C">
        <w:rPr>
          <w:rtl/>
        </w:rPr>
        <w:t>؛</w:t>
      </w:r>
      <w:r>
        <w:rPr>
          <w:rtl/>
        </w:rPr>
        <w:t xml:space="preserve"> و</w:t>
      </w:r>
      <w:hyperlink r:id="rId5" w:history="1">
        <w:r w:rsidRPr="00D42713">
          <w:rPr>
            <w:rStyle w:val="Hyperlink"/>
          </w:rPr>
          <w:t>CRC/C/</w:t>
        </w:r>
        <w:r w:rsidRPr="0044719E">
          <w:rPr>
            <w:rStyle w:val="Hyperlink"/>
          </w:rPr>
          <w:t>15</w:t>
        </w:r>
        <w:r w:rsidRPr="00D42713">
          <w:rPr>
            <w:rStyle w:val="Hyperlink"/>
          </w:rPr>
          <w:t>/Add.</w:t>
        </w:r>
        <w:r w:rsidRPr="0044719E">
          <w:rPr>
            <w:rStyle w:val="Hyperlink"/>
          </w:rPr>
          <w:t>240</w:t>
        </w:r>
      </w:hyperlink>
      <w:r w:rsidRPr="00073F6C">
        <w:rPr>
          <w:rtl/>
        </w:rPr>
        <w:t xml:space="preserve">، الفقرتان </w:t>
      </w:r>
      <w:r w:rsidRPr="0044719E">
        <w:rPr>
          <w:rtl/>
        </w:rPr>
        <w:t>23</w:t>
      </w:r>
      <w:r w:rsidRPr="00073F6C">
        <w:rPr>
          <w:rtl/>
        </w:rPr>
        <w:t xml:space="preserve"> و</w:t>
      </w:r>
      <w:r w:rsidRPr="0044719E">
        <w:rPr>
          <w:rtl/>
        </w:rPr>
        <w:t>24</w:t>
      </w:r>
      <w:r w:rsidRPr="00073F6C">
        <w:rPr>
          <w:rtl/>
        </w:rPr>
        <w:t>؛ و</w:t>
      </w:r>
      <w:hyperlink r:id="rId6" w:history="1">
        <w:r w:rsidRPr="00D42713">
          <w:rPr>
            <w:rStyle w:val="Hyperlink"/>
          </w:rPr>
          <w:t>CRC/C/FRA/CO/</w:t>
        </w:r>
        <w:r w:rsidRPr="0044719E">
          <w:rPr>
            <w:rStyle w:val="Hyperlink"/>
          </w:rPr>
          <w:t>4</w:t>
        </w:r>
      </w:hyperlink>
      <w:r w:rsidRPr="00073F6C">
        <w:rPr>
          <w:rtl/>
        </w:rPr>
        <w:t xml:space="preserve"> و</w:t>
      </w:r>
      <w:hyperlink r:id="rId7" w:history="1">
        <w:r w:rsidRPr="00D42713">
          <w:rPr>
            <w:rStyle w:val="Hyperlink"/>
          </w:rPr>
          <w:t>CRC/C/FRA/CO/</w:t>
        </w:r>
        <w:r w:rsidRPr="0044719E">
          <w:rPr>
            <w:rStyle w:val="Hyperlink"/>
          </w:rPr>
          <w:t>4</w:t>
        </w:r>
        <w:r w:rsidRPr="00D42713">
          <w:rPr>
            <w:rStyle w:val="Hyperlink"/>
          </w:rPr>
          <w:t>/Corr.</w:t>
        </w:r>
        <w:r w:rsidRPr="0044719E">
          <w:rPr>
            <w:rStyle w:val="Hyperlink"/>
          </w:rPr>
          <w:t>1</w:t>
        </w:r>
      </w:hyperlink>
      <w:r w:rsidRPr="00073F6C">
        <w:rPr>
          <w:rtl/>
        </w:rPr>
        <w:t xml:space="preserve">، الفقرتان </w:t>
      </w:r>
      <w:r w:rsidRPr="0044719E">
        <w:rPr>
          <w:rtl/>
        </w:rPr>
        <w:t>43</w:t>
      </w:r>
      <w:r w:rsidRPr="00073F6C">
        <w:rPr>
          <w:rtl/>
        </w:rPr>
        <w:t xml:space="preserve"> و</w:t>
      </w:r>
      <w:r w:rsidRPr="0044719E">
        <w:rPr>
          <w:rtl/>
        </w:rPr>
        <w:t>44</w:t>
      </w:r>
      <w:r w:rsidRPr="00D42713">
        <w:rPr>
          <w:rtl/>
        </w:rPr>
        <w:t xml:space="preserve">. </w:t>
      </w:r>
    </w:p>
  </w:footnote>
  <w:footnote w:id="7">
    <w:p w14:paraId="67E6EEDF" w14:textId="77777777"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اتفاقية حقوق الطفل، المادة </w:t>
      </w:r>
      <w:r w:rsidRPr="0044719E">
        <w:rPr>
          <w:rtl/>
        </w:rPr>
        <w:t>7</w:t>
      </w:r>
      <w:r w:rsidRPr="00D42713">
        <w:rPr>
          <w:rtl/>
        </w:rPr>
        <w:t xml:space="preserve">. </w:t>
      </w:r>
    </w:p>
  </w:footnote>
  <w:footnote w:id="8">
    <w:p w14:paraId="79162A1B" w14:textId="2EED406B" w:rsidR="00D42713" w:rsidRPr="00D42713" w:rsidRDefault="00D42713" w:rsidP="004E459B">
      <w:pPr>
        <w:pStyle w:val="FootnoteText1"/>
        <w:textDirection w:val="tbRlV"/>
        <w:rPr>
          <w:lang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المرجع نفسه، الفقرة </w:t>
      </w:r>
      <w:r w:rsidRPr="0044719E">
        <w:rPr>
          <w:rtl/>
        </w:rPr>
        <w:t>9</w:t>
      </w:r>
      <w:r w:rsidRPr="00D42713">
        <w:rPr>
          <w:rtl/>
        </w:rPr>
        <w:t xml:space="preserve">. </w:t>
      </w:r>
      <w:r w:rsidRPr="00073F6C">
        <w:rPr>
          <w:rtl/>
        </w:rPr>
        <w:t>انظر أيضاً</w:t>
      </w:r>
      <w:r w:rsidR="00D9457F">
        <w:rPr>
          <w:rFonts w:hint="cs"/>
          <w:rtl/>
        </w:rPr>
        <w:t xml:space="preserve"> </w:t>
      </w:r>
      <w:r w:rsidR="00D9457F">
        <w:t>also Inter-American Court of Human Rights, advisory opinion OC-</w:t>
      </w:r>
      <w:r w:rsidR="00D9457F" w:rsidRPr="0044719E">
        <w:t>17</w:t>
      </w:r>
      <w:r w:rsidR="00D9457F">
        <w:t>/</w:t>
      </w:r>
      <w:r w:rsidR="00D9457F" w:rsidRPr="0044719E">
        <w:t>2002</w:t>
      </w:r>
      <w:r w:rsidR="00D9457F">
        <w:t xml:space="preserve"> of </w:t>
      </w:r>
      <w:r w:rsidR="00D9457F" w:rsidRPr="0044719E">
        <w:t>28</w:t>
      </w:r>
      <w:r w:rsidR="00D9457F">
        <w:t xml:space="preserve"> August </w:t>
      </w:r>
      <w:r w:rsidR="00D9457F" w:rsidRPr="0044719E">
        <w:t>2002</w:t>
      </w:r>
      <w:r w:rsidR="00D9457F">
        <w:t xml:space="preserve"> on the j</w:t>
      </w:r>
      <w:r w:rsidR="00D9457F" w:rsidRPr="00E15349">
        <w:t>uridical condition and human rights of the child</w:t>
      </w:r>
      <w:r w:rsidR="00D9457F">
        <w:t xml:space="preserve">, para. </w:t>
      </w:r>
      <w:r w:rsidR="00D9457F" w:rsidRPr="0044719E">
        <w:t>77</w:t>
      </w:r>
      <w:r w:rsidR="00D9457F">
        <w:t xml:space="preserve">; and Inter-American Court of Human Rights, </w:t>
      </w:r>
      <w:r w:rsidR="00D9457F" w:rsidRPr="0044719E">
        <w:rPr>
          <w:rStyle w:val="Heading9Char"/>
          <w:sz w:val="18"/>
          <w:szCs w:val="18"/>
        </w:rPr>
        <w:t>Ramírez</w:t>
      </w:r>
      <w:r w:rsidR="00D9457F" w:rsidRPr="0044719E">
        <w:rPr>
          <w:i/>
          <w:iCs/>
        </w:rPr>
        <w:t xml:space="preserve"> Escobar et al. v. Guatemala</w:t>
      </w:r>
      <w:r w:rsidR="00D9457F">
        <w:t>,</w:t>
      </w:r>
      <w:r w:rsidR="00D9457F" w:rsidRPr="0044719E">
        <w:rPr>
          <w:i/>
          <w:iCs/>
        </w:rPr>
        <w:t xml:space="preserve"> </w:t>
      </w:r>
      <w:r w:rsidR="00D9457F">
        <w:t>Judgement (</w:t>
      </w:r>
      <w:r w:rsidR="00D9457F" w:rsidRPr="009E629C">
        <w:t>Merits, Reparations and Costs</w:t>
      </w:r>
      <w:r w:rsidR="00D9457F">
        <w:t>)</w:t>
      </w:r>
      <w:r w:rsidR="00D9457F" w:rsidRPr="009E629C">
        <w:t>,</w:t>
      </w:r>
      <w:r w:rsidR="00D9457F">
        <w:t xml:space="preserve"> </w:t>
      </w:r>
      <w:r w:rsidR="00D9457F" w:rsidRPr="0044719E">
        <w:t>9</w:t>
      </w:r>
      <w:r w:rsidR="00D9457F">
        <w:t xml:space="preserve"> March </w:t>
      </w:r>
      <w:r w:rsidR="00D9457F" w:rsidRPr="0044719E">
        <w:t>2018</w:t>
      </w:r>
      <w:r w:rsidR="00D9457F">
        <w:t xml:space="preserve">, paras. </w:t>
      </w:r>
      <w:r w:rsidR="00D9457F" w:rsidRPr="0044719E">
        <w:t>151</w:t>
      </w:r>
      <w:r w:rsidR="00D9457F">
        <w:t xml:space="preserve"> and </w:t>
      </w:r>
      <w:r w:rsidR="00D9457F" w:rsidRPr="0044719E">
        <w:t>165</w:t>
      </w:r>
      <w:r w:rsidRPr="00D42713">
        <w:rPr>
          <w:rtl/>
        </w:rPr>
        <w:t xml:space="preserve">. </w:t>
      </w:r>
    </w:p>
  </w:footnote>
  <w:footnote w:id="9">
    <w:p w14:paraId="64E4C553" w14:textId="33421649"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r w:rsidRPr="00D9457F">
        <w:rPr>
          <w:spacing w:val="-2"/>
          <w:rtl/>
        </w:rPr>
        <w:t xml:space="preserve">اتفاقية حقوق الطفل، المادتان </w:t>
      </w:r>
      <w:r w:rsidRPr="0044719E">
        <w:rPr>
          <w:spacing w:val="-2"/>
          <w:rtl/>
        </w:rPr>
        <w:t>8</w:t>
      </w:r>
      <w:r w:rsidRPr="00D9457F">
        <w:rPr>
          <w:spacing w:val="-2"/>
          <w:rtl/>
        </w:rPr>
        <w:t xml:space="preserve"> و</w:t>
      </w:r>
      <w:r w:rsidRPr="0044719E">
        <w:rPr>
          <w:spacing w:val="-2"/>
          <w:rtl/>
        </w:rPr>
        <w:t>16</w:t>
      </w:r>
      <w:r w:rsidRPr="00D9457F">
        <w:rPr>
          <w:spacing w:val="-2"/>
          <w:rtl/>
        </w:rPr>
        <w:t xml:space="preserve">؛ والميثاق الأفريقي لحقوق الطفل ورفاهيته، المادتان </w:t>
      </w:r>
      <w:r w:rsidRPr="0044719E">
        <w:rPr>
          <w:spacing w:val="-2"/>
          <w:rtl/>
        </w:rPr>
        <w:t>10</w:t>
      </w:r>
      <w:r w:rsidRPr="00D9457F">
        <w:rPr>
          <w:spacing w:val="-2"/>
          <w:rtl/>
        </w:rPr>
        <w:t xml:space="preserve"> و</w:t>
      </w:r>
      <w:r w:rsidRPr="0044719E">
        <w:rPr>
          <w:spacing w:val="-2"/>
          <w:rtl/>
        </w:rPr>
        <w:t>18</w:t>
      </w:r>
      <w:r w:rsidRPr="00D9457F">
        <w:rPr>
          <w:spacing w:val="-2"/>
          <w:rtl/>
        </w:rPr>
        <w:t>؛ و</w:t>
      </w:r>
      <w:r w:rsidRPr="00D9457F">
        <w:rPr>
          <w:spacing w:val="-2"/>
        </w:rPr>
        <w:t xml:space="preserve">American Convention on Human Rights, arts. </w:t>
      </w:r>
      <w:r w:rsidRPr="0044719E">
        <w:rPr>
          <w:spacing w:val="-2"/>
        </w:rPr>
        <w:t>11</w:t>
      </w:r>
      <w:r w:rsidRPr="00D9457F">
        <w:rPr>
          <w:spacing w:val="-2"/>
        </w:rPr>
        <w:t xml:space="preserve"> and </w:t>
      </w:r>
      <w:r w:rsidRPr="0044719E">
        <w:rPr>
          <w:spacing w:val="-2"/>
        </w:rPr>
        <w:t>17</w:t>
      </w:r>
      <w:r w:rsidRPr="00D9457F">
        <w:rPr>
          <w:spacing w:val="-2"/>
          <w:rtl/>
        </w:rPr>
        <w:t>؛ و</w:t>
      </w:r>
      <w:r w:rsidR="00D9457F" w:rsidRPr="00D9457F">
        <w:t xml:space="preserve"> </w:t>
      </w:r>
      <w:r w:rsidR="00D9457F">
        <w:t xml:space="preserve">Convention for the Protection of Human Rights and Fundamental Freedoms (European Convention on Human Rights), art. </w:t>
      </w:r>
      <w:r w:rsidR="00D9457F" w:rsidRPr="0044719E">
        <w:t>8</w:t>
      </w:r>
      <w:r w:rsidRPr="00D42713">
        <w:rPr>
          <w:rtl/>
        </w:rPr>
        <w:t xml:space="preserve">. </w:t>
      </w:r>
    </w:p>
  </w:footnote>
  <w:footnote w:id="10">
    <w:p w14:paraId="70841492" w14:textId="3F8A1CFF"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هذه العناصر محمية في العديد من الصكوك الدولية والإقليمية باعتبارها حقوقاً قائمة بذاتها. الحق في </w:t>
      </w:r>
      <w:r>
        <w:rPr>
          <w:rtl/>
        </w:rPr>
        <w:t>ا</w:t>
      </w:r>
      <w:r w:rsidRPr="00073F6C">
        <w:rPr>
          <w:rtl/>
        </w:rPr>
        <w:t xml:space="preserve">سم: العهد الدولي الخاص بالحقوق المدنية والسياسية، الفقرة </w:t>
      </w:r>
      <w:r w:rsidRPr="0044719E">
        <w:rPr>
          <w:rtl/>
        </w:rPr>
        <w:t>2</w:t>
      </w:r>
      <w:r w:rsidRPr="00073F6C">
        <w:rPr>
          <w:rtl/>
        </w:rPr>
        <w:t xml:space="preserve"> من المادة </w:t>
      </w:r>
      <w:r w:rsidRPr="0044719E">
        <w:rPr>
          <w:rtl/>
        </w:rPr>
        <w:t>24</w:t>
      </w:r>
      <w:r w:rsidRPr="00073F6C">
        <w:rPr>
          <w:rtl/>
        </w:rPr>
        <w:t xml:space="preserve">؛ والميثاق الأفريقي لحقوق الطفل ورفاهيته، الفقرة </w:t>
      </w:r>
      <w:r w:rsidRPr="0044719E">
        <w:rPr>
          <w:rtl/>
        </w:rPr>
        <w:t>1</w:t>
      </w:r>
      <w:r w:rsidRPr="00073F6C">
        <w:rPr>
          <w:rtl/>
        </w:rPr>
        <w:t xml:space="preserve"> من المادة </w:t>
      </w:r>
      <w:r w:rsidRPr="0044719E">
        <w:rPr>
          <w:rtl/>
        </w:rPr>
        <w:t>6</w:t>
      </w:r>
      <w:r w:rsidRPr="00073F6C">
        <w:rPr>
          <w:rtl/>
        </w:rPr>
        <w:t>؛</w:t>
      </w:r>
      <w:r>
        <w:rPr>
          <w:rtl/>
        </w:rPr>
        <w:t xml:space="preserve"> و</w:t>
      </w:r>
      <w:r w:rsidRPr="00073F6C">
        <w:t>American Convention on Human Right</w:t>
      </w:r>
      <w:r w:rsidRPr="00D42713">
        <w:t xml:space="preserve">s, </w:t>
      </w:r>
      <w:r w:rsidRPr="00073F6C">
        <w:t>ar</w:t>
      </w:r>
      <w:r w:rsidRPr="00D42713">
        <w:t xml:space="preserve">t. </w:t>
      </w:r>
      <w:r w:rsidRPr="0044719E">
        <w:t>18</w:t>
      </w:r>
      <w:r w:rsidRPr="00D42713">
        <w:rPr>
          <w:rtl/>
        </w:rPr>
        <w:t xml:space="preserve">. </w:t>
      </w:r>
      <w:r w:rsidRPr="00073F6C">
        <w:rPr>
          <w:rtl/>
        </w:rPr>
        <w:t xml:space="preserve">الحق في جنسية: العهد الدولي الخاص بالحقوق المدنية والسياسية، الفقرة </w:t>
      </w:r>
      <w:r w:rsidRPr="0044719E">
        <w:rPr>
          <w:rtl/>
        </w:rPr>
        <w:t>3</w:t>
      </w:r>
      <w:r w:rsidRPr="00073F6C">
        <w:rPr>
          <w:rtl/>
        </w:rPr>
        <w:t xml:space="preserve"> من المادة </w:t>
      </w:r>
      <w:r w:rsidRPr="0044719E">
        <w:rPr>
          <w:rtl/>
        </w:rPr>
        <w:t>24</w:t>
      </w:r>
      <w:r w:rsidRPr="00073F6C">
        <w:rPr>
          <w:rtl/>
        </w:rPr>
        <w:t xml:space="preserve">؛ والميثاق الأفريقي لحقوق الطفل ورفاهيته، الفقرة </w:t>
      </w:r>
      <w:r w:rsidRPr="0044719E">
        <w:rPr>
          <w:rtl/>
        </w:rPr>
        <w:t>3</w:t>
      </w:r>
      <w:r w:rsidRPr="00073F6C">
        <w:rPr>
          <w:rtl/>
        </w:rPr>
        <w:t xml:space="preserve"> من المادة </w:t>
      </w:r>
      <w:r w:rsidRPr="0044719E">
        <w:rPr>
          <w:rtl/>
        </w:rPr>
        <w:t>6</w:t>
      </w:r>
      <w:r w:rsidRPr="00073F6C">
        <w:rPr>
          <w:rtl/>
        </w:rPr>
        <w:t>؛</w:t>
      </w:r>
      <w:r>
        <w:rPr>
          <w:rtl/>
        </w:rPr>
        <w:t xml:space="preserve"> و</w:t>
      </w:r>
      <w:r w:rsidRPr="00073F6C">
        <w:t>American Convention on Human Right</w:t>
      </w:r>
      <w:r w:rsidRPr="00D42713">
        <w:t xml:space="preserve">s, </w:t>
      </w:r>
      <w:r w:rsidRPr="00073F6C">
        <w:t>ar</w:t>
      </w:r>
      <w:r w:rsidRPr="00D42713">
        <w:t xml:space="preserve">t. </w:t>
      </w:r>
      <w:r w:rsidRPr="0044719E">
        <w:t>20</w:t>
      </w:r>
      <w:r w:rsidRPr="00D42713">
        <w:rPr>
          <w:rtl/>
        </w:rPr>
        <w:t xml:space="preserve">. </w:t>
      </w:r>
      <w:r w:rsidRPr="00073F6C">
        <w:rPr>
          <w:rtl/>
        </w:rPr>
        <w:t xml:space="preserve">الحق في حماية الأسرة وفي حياة أسرية: الميثاق الأفريقي لحقوق الطفل ورفاهيته، المادة </w:t>
      </w:r>
      <w:r w:rsidRPr="0044719E">
        <w:rPr>
          <w:rtl/>
        </w:rPr>
        <w:t>18</w:t>
      </w:r>
      <w:r w:rsidRPr="00073F6C">
        <w:rPr>
          <w:rtl/>
        </w:rPr>
        <w:t>؛</w:t>
      </w:r>
      <w:r>
        <w:rPr>
          <w:rtl/>
        </w:rPr>
        <w:t xml:space="preserve"> و</w:t>
      </w:r>
      <w:r w:rsidR="00D9457F" w:rsidRPr="00AA7EAE">
        <w:t xml:space="preserve">American Convention on Human Rights, arts. </w:t>
      </w:r>
      <w:r w:rsidR="00D9457F" w:rsidRPr="0044719E">
        <w:t>11</w:t>
      </w:r>
      <w:r w:rsidR="00D9457F" w:rsidRPr="00AA7EAE">
        <w:t xml:space="preserve"> and </w:t>
      </w:r>
      <w:r w:rsidR="00D9457F" w:rsidRPr="0044719E">
        <w:t>17</w:t>
      </w:r>
      <w:r w:rsidRPr="00073F6C">
        <w:rPr>
          <w:rtl/>
        </w:rPr>
        <w:t>؛</w:t>
      </w:r>
      <w:r>
        <w:rPr>
          <w:rtl/>
        </w:rPr>
        <w:t xml:space="preserve"> و</w:t>
      </w:r>
      <w:r w:rsidRPr="00073F6C">
        <w:t>European Convention on Human Right</w:t>
      </w:r>
      <w:r w:rsidRPr="00D42713">
        <w:t xml:space="preserve">s, </w:t>
      </w:r>
      <w:r w:rsidRPr="00073F6C">
        <w:t>ar</w:t>
      </w:r>
      <w:r w:rsidRPr="00D42713">
        <w:t xml:space="preserve">t. </w:t>
      </w:r>
      <w:r w:rsidRPr="0044719E">
        <w:t>8</w:t>
      </w:r>
      <w:r w:rsidRPr="00D42713">
        <w:rPr>
          <w:rtl/>
        </w:rPr>
        <w:t xml:space="preserve">. </w:t>
      </w:r>
      <w:r w:rsidRPr="00073F6C">
        <w:rPr>
          <w:rtl/>
        </w:rPr>
        <w:t>انظر أيضاً، ضمن جملة أحكام قضائية،</w:t>
      </w:r>
      <w:r>
        <w:rPr>
          <w:rtl/>
        </w:rPr>
        <w:t xml:space="preserve"> </w:t>
      </w:r>
      <w:r w:rsidR="00D9457F">
        <w:t xml:space="preserve">Inter-American Court of Human Rights, </w:t>
      </w:r>
      <w:r w:rsidR="00D9457F" w:rsidRPr="0044719E">
        <w:rPr>
          <w:i/>
          <w:spacing w:val="-2"/>
        </w:rPr>
        <w:t>Contreras et al. v. El Salvador</w:t>
      </w:r>
      <w:r w:rsidR="00D9457F" w:rsidRPr="0044719E">
        <w:rPr>
          <w:spacing w:val="-2"/>
        </w:rPr>
        <w:t xml:space="preserve">, Judgment (Merits, Reparations and </w:t>
      </w:r>
      <w:proofErr w:type="gramStart"/>
      <w:r w:rsidR="00D9457F" w:rsidRPr="0044719E">
        <w:rPr>
          <w:spacing w:val="-2"/>
        </w:rPr>
        <w:t>Costs),</w:t>
      </w:r>
      <w:proofErr w:type="gramEnd"/>
      <w:r w:rsidR="00D9457F" w:rsidRPr="0044719E">
        <w:rPr>
          <w:spacing w:val="-2"/>
        </w:rPr>
        <w:t xml:space="preserve"> 31 August 2011</w:t>
      </w:r>
      <w:r w:rsidR="00D9457F" w:rsidRPr="008544DB">
        <w:rPr>
          <w:spacing w:val="-2"/>
        </w:rPr>
        <w:t xml:space="preserve">, para. </w:t>
      </w:r>
      <w:r w:rsidR="00D9457F" w:rsidRPr="0044719E">
        <w:rPr>
          <w:spacing w:val="-2"/>
        </w:rPr>
        <w:t>116</w:t>
      </w:r>
      <w:r w:rsidRPr="00073F6C">
        <w:rPr>
          <w:rtl/>
        </w:rPr>
        <w:t>؛ و</w:t>
      </w:r>
      <w:r w:rsidR="00D9457F" w:rsidRPr="0044719E">
        <w:rPr>
          <w:i/>
          <w:iCs/>
          <w:rtl/>
        </w:rPr>
        <w:t xml:space="preserve"> </w:t>
      </w:r>
      <w:r w:rsidR="00D9457F" w:rsidRPr="0044719E">
        <w:rPr>
          <w:i/>
          <w:iCs/>
        </w:rPr>
        <w:t>Gelman v. Uruguay</w:t>
      </w:r>
      <w:r w:rsidR="00D9457F">
        <w:t xml:space="preserve">, Judgement (Merits and Reparations), </w:t>
      </w:r>
      <w:r w:rsidR="00D9457F" w:rsidRPr="0044719E">
        <w:t>24</w:t>
      </w:r>
      <w:r w:rsidR="00D9457F">
        <w:t xml:space="preserve"> February </w:t>
      </w:r>
      <w:r w:rsidR="00D9457F" w:rsidRPr="0044719E">
        <w:t>2011</w:t>
      </w:r>
      <w:r w:rsidR="00D9457F">
        <w:t xml:space="preserve">, paras. </w:t>
      </w:r>
      <w:r w:rsidR="00D9457F" w:rsidRPr="0044719E">
        <w:t>117</w:t>
      </w:r>
      <w:r w:rsidR="00D9457F">
        <w:t>–</w:t>
      </w:r>
      <w:r w:rsidR="00D9457F" w:rsidRPr="0044719E">
        <w:t>137</w:t>
      </w:r>
      <w:r w:rsidRPr="00073F6C">
        <w:rPr>
          <w:rtl/>
        </w:rPr>
        <w:t>؛</w:t>
      </w:r>
      <w:r>
        <w:rPr>
          <w:rtl/>
        </w:rPr>
        <w:t xml:space="preserve"> و</w:t>
      </w:r>
      <w:proofErr w:type="spellStart"/>
      <w:r w:rsidR="008544DB" w:rsidRPr="0044719E">
        <w:rPr>
          <w:i/>
          <w:iCs/>
        </w:rPr>
        <w:t>Masacre</w:t>
      </w:r>
      <w:proofErr w:type="spellEnd"/>
      <w:r w:rsidR="008544DB" w:rsidRPr="0044719E">
        <w:rPr>
          <w:i/>
          <w:iCs/>
        </w:rPr>
        <w:t xml:space="preserve"> de la Aldea Los </w:t>
      </w:r>
      <w:proofErr w:type="spellStart"/>
      <w:r w:rsidR="008544DB" w:rsidRPr="0044719E">
        <w:rPr>
          <w:i/>
          <w:iCs/>
        </w:rPr>
        <w:t>Josefinos</w:t>
      </w:r>
      <w:proofErr w:type="spellEnd"/>
      <w:r w:rsidR="008544DB" w:rsidRPr="0044719E">
        <w:rPr>
          <w:i/>
          <w:iCs/>
        </w:rPr>
        <w:t xml:space="preserve"> v. Guatemala</w:t>
      </w:r>
      <w:r w:rsidR="008544DB" w:rsidRPr="00AD585B">
        <w:t xml:space="preserve">, </w:t>
      </w:r>
      <w:r w:rsidR="008544DB">
        <w:t>Judgment (</w:t>
      </w:r>
      <w:r w:rsidR="008544DB" w:rsidRPr="00AD585B">
        <w:t xml:space="preserve">Merits, </w:t>
      </w:r>
      <w:r w:rsidR="008544DB">
        <w:t>R</w:t>
      </w:r>
      <w:r w:rsidR="008544DB" w:rsidRPr="00AD585B">
        <w:t xml:space="preserve">eparations and </w:t>
      </w:r>
      <w:r w:rsidR="008544DB">
        <w:t>C</w:t>
      </w:r>
      <w:r w:rsidR="008544DB" w:rsidRPr="00AD585B">
        <w:t>osts</w:t>
      </w:r>
      <w:r w:rsidR="008544DB">
        <w:t>)</w:t>
      </w:r>
      <w:r w:rsidR="008544DB" w:rsidRPr="00AD585B">
        <w:t xml:space="preserve">, </w:t>
      </w:r>
      <w:r w:rsidR="008544DB" w:rsidRPr="0044719E">
        <w:t>3</w:t>
      </w:r>
      <w:r w:rsidR="008544DB" w:rsidRPr="00AD585B">
        <w:t xml:space="preserve"> November </w:t>
      </w:r>
      <w:r w:rsidR="008544DB" w:rsidRPr="0044719E">
        <w:t>2021</w:t>
      </w:r>
      <w:r w:rsidR="008544DB" w:rsidRPr="00AD585B">
        <w:t xml:space="preserve">, paras. </w:t>
      </w:r>
      <w:r w:rsidR="008544DB" w:rsidRPr="0044719E">
        <w:t>84</w:t>
      </w:r>
      <w:r w:rsidR="008544DB">
        <w:t>–</w:t>
      </w:r>
      <w:r w:rsidR="008544DB" w:rsidRPr="0044719E">
        <w:t>93</w:t>
      </w:r>
      <w:r w:rsidRPr="00073F6C">
        <w:rPr>
          <w:rtl/>
        </w:rPr>
        <w:t>؛ والفريق العامل المعني بحالات الاختفاء القسري أو غير الطوعي، التعليق العام بشأن الأطفال وحالات الاختفاء القسري (</w:t>
      </w:r>
      <w:proofErr w:type="gramStart"/>
      <w:r w:rsidRPr="0044719E">
        <w:rPr>
          <w:rtl/>
        </w:rPr>
        <w:t>2012</w:t>
      </w:r>
      <w:r w:rsidRPr="00D42713">
        <w:rPr>
          <w:rtl/>
        </w:rPr>
        <w:t>)،</w:t>
      </w:r>
      <w:proofErr w:type="gramEnd"/>
      <w:r w:rsidRPr="00D42713">
        <w:rPr>
          <w:rtl/>
        </w:rPr>
        <w:t xml:space="preserve"> </w:t>
      </w:r>
      <w:r w:rsidRPr="00073F6C">
        <w:rPr>
          <w:rtl/>
        </w:rPr>
        <w:t xml:space="preserve">الفقرتان </w:t>
      </w:r>
      <w:r w:rsidRPr="0044719E">
        <w:rPr>
          <w:rtl/>
        </w:rPr>
        <w:t>17</w:t>
      </w:r>
      <w:r w:rsidRPr="00073F6C">
        <w:rPr>
          <w:rtl/>
        </w:rPr>
        <w:t xml:space="preserve"> و</w:t>
      </w:r>
      <w:r w:rsidRPr="0044719E">
        <w:rPr>
          <w:rtl/>
        </w:rPr>
        <w:t>18</w:t>
      </w:r>
      <w:r w:rsidRPr="00D42713">
        <w:rPr>
          <w:rtl/>
        </w:rPr>
        <w:t xml:space="preserve">. </w:t>
      </w:r>
    </w:p>
  </w:footnote>
  <w:footnote w:id="11">
    <w:p w14:paraId="6D9EC8C1" w14:textId="77777777"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واتفاقية حقوق الطفل، الفقرة </w:t>
      </w:r>
      <w:r w:rsidRPr="0044719E">
        <w:rPr>
          <w:rtl/>
        </w:rPr>
        <w:t>2</w:t>
      </w:r>
      <w:r w:rsidRPr="00073F6C">
        <w:rPr>
          <w:rtl/>
        </w:rPr>
        <w:t xml:space="preserve"> من المادة </w:t>
      </w:r>
      <w:r w:rsidRPr="0044719E">
        <w:rPr>
          <w:rtl/>
        </w:rPr>
        <w:t>8</w:t>
      </w:r>
      <w:r w:rsidRPr="00D42713">
        <w:rPr>
          <w:rtl/>
        </w:rPr>
        <w:t xml:space="preserve">. </w:t>
      </w:r>
      <w:r w:rsidRPr="00073F6C">
        <w:rPr>
          <w:rtl/>
        </w:rPr>
        <w:t xml:space="preserve">انظر أيضاً الإعلان المتعلق بحماية جميع الأشخاص من الاختفاء القسري، الفقرتان </w:t>
      </w:r>
      <w:r w:rsidRPr="0044719E">
        <w:rPr>
          <w:rtl/>
        </w:rPr>
        <w:t>1</w:t>
      </w:r>
      <w:r w:rsidRPr="00073F6C">
        <w:rPr>
          <w:rtl/>
        </w:rPr>
        <w:t xml:space="preserve"> و</w:t>
      </w:r>
      <w:r w:rsidRPr="0044719E">
        <w:rPr>
          <w:rtl/>
        </w:rPr>
        <w:t>2</w:t>
      </w:r>
      <w:r w:rsidRPr="00073F6C">
        <w:rPr>
          <w:rtl/>
        </w:rPr>
        <w:t xml:space="preserve"> من المادة </w:t>
      </w:r>
      <w:r w:rsidRPr="0044719E">
        <w:rPr>
          <w:rtl/>
        </w:rPr>
        <w:t>20</w:t>
      </w:r>
      <w:r w:rsidRPr="00073F6C">
        <w:rPr>
          <w:rtl/>
        </w:rPr>
        <w:t xml:space="preserve">؛ والاتفاقية الدولية لحماية جميع الأشخاص من الاختفاء القسري، الفقرة </w:t>
      </w:r>
      <w:r w:rsidRPr="0044719E">
        <w:rPr>
          <w:rtl/>
        </w:rPr>
        <w:t>4</w:t>
      </w:r>
      <w:r w:rsidRPr="00073F6C">
        <w:rPr>
          <w:rtl/>
        </w:rPr>
        <w:t xml:space="preserve"> من المادة </w:t>
      </w:r>
      <w:r w:rsidRPr="0044719E">
        <w:rPr>
          <w:rtl/>
        </w:rPr>
        <w:t>25</w:t>
      </w:r>
      <w:r w:rsidRPr="00073F6C">
        <w:rPr>
          <w:rtl/>
        </w:rPr>
        <w:t>؛ و</w:t>
      </w:r>
      <w:hyperlink r:id="rId8" w:history="1">
        <w:r w:rsidRPr="00D42713">
          <w:rPr>
            <w:rStyle w:val="Hyperlink"/>
          </w:rPr>
          <w:t>CED/C/ALB/CO/</w:t>
        </w:r>
        <w:r w:rsidRPr="0044719E">
          <w:rPr>
            <w:rStyle w:val="Hyperlink"/>
          </w:rPr>
          <w:t>1</w:t>
        </w:r>
      </w:hyperlink>
      <w:r w:rsidRPr="00073F6C">
        <w:rPr>
          <w:rtl/>
        </w:rPr>
        <w:t xml:space="preserve">، الفقرة </w:t>
      </w:r>
      <w:r w:rsidRPr="0044719E">
        <w:rPr>
          <w:rtl/>
        </w:rPr>
        <w:t>39</w:t>
      </w:r>
      <w:r w:rsidRPr="00073F6C">
        <w:rPr>
          <w:rtl/>
        </w:rPr>
        <w:t>؛ و</w:t>
      </w:r>
      <w:hyperlink r:id="rId9" w:history="1">
        <w:r w:rsidRPr="00D42713">
          <w:rPr>
            <w:rStyle w:val="Hyperlink"/>
          </w:rPr>
          <w:t>CED/C/CHE/CO/</w:t>
        </w:r>
        <w:r w:rsidRPr="0044719E">
          <w:rPr>
            <w:rStyle w:val="Hyperlink"/>
          </w:rPr>
          <w:t>1</w:t>
        </w:r>
      </w:hyperlink>
      <w:r w:rsidRPr="00073F6C">
        <w:rPr>
          <w:rtl/>
        </w:rPr>
        <w:t xml:space="preserve">، الفقرة </w:t>
      </w:r>
      <w:r w:rsidRPr="0044719E">
        <w:rPr>
          <w:rtl/>
        </w:rPr>
        <w:t>40</w:t>
      </w:r>
      <w:r w:rsidRPr="00073F6C">
        <w:rPr>
          <w:rtl/>
        </w:rPr>
        <w:t>(ب</w:t>
      </w:r>
      <w:r w:rsidRPr="00D42713">
        <w:rPr>
          <w:rtl/>
        </w:rPr>
        <w:t xml:space="preserve">)؛ </w:t>
      </w:r>
      <w:r w:rsidRPr="00073F6C">
        <w:rPr>
          <w:rtl/>
        </w:rPr>
        <w:t>و</w:t>
      </w:r>
      <w:hyperlink r:id="rId10" w:history="1">
        <w:r w:rsidRPr="00D42713">
          <w:rPr>
            <w:rStyle w:val="Hyperlink"/>
          </w:rPr>
          <w:t>CED/C/MNG/CO/</w:t>
        </w:r>
        <w:r w:rsidRPr="0044719E">
          <w:rPr>
            <w:rStyle w:val="Hyperlink"/>
          </w:rPr>
          <w:t>1</w:t>
        </w:r>
      </w:hyperlink>
      <w:r w:rsidRPr="00073F6C">
        <w:rPr>
          <w:rtl/>
        </w:rPr>
        <w:t xml:space="preserve">، الفقرة </w:t>
      </w:r>
      <w:r w:rsidRPr="0044719E">
        <w:rPr>
          <w:rtl/>
        </w:rPr>
        <w:t>43</w:t>
      </w:r>
      <w:r w:rsidRPr="00073F6C">
        <w:rPr>
          <w:rtl/>
        </w:rPr>
        <w:t>(ج</w:t>
      </w:r>
      <w:r w:rsidRPr="00D42713">
        <w:rPr>
          <w:rtl/>
        </w:rPr>
        <w:t xml:space="preserve">). </w:t>
      </w:r>
    </w:p>
  </w:footnote>
  <w:footnote w:id="12">
    <w:p w14:paraId="4F1BD121" w14:textId="6B9468F3"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r w:rsidR="008544DB">
        <w:t xml:space="preserve">Inter-American Court of Human Rights, </w:t>
      </w:r>
      <w:r w:rsidR="008544DB" w:rsidRPr="0044719E">
        <w:rPr>
          <w:i/>
        </w:rPr>
        <w:t>Contreras et al. v. El Salvador</w:t>
      </w:r>
      <w:r w:rsidR="008544DB" w:rsidRPr="0044719E">
        <w:t>, para. 116</w:t>
      </w:r>
      <w:r w:rsidRPr="00D42713">
        <w:rPr>
          <w:rtl/>
        </w:rPr>
        <w:t xml:space="preserve">. </w:t>
      </w:r>
    </w:p>
  </w:footnote>
  <w:footnote w:id="13">
    <w:p w14:paraId="25DAE8C4" w14:textId="57FB4BA7" w:rsidR="00D42713" w:rsidRPr="00073F6C" w:rsidRDefault="00D42713" w:rsidP="004E459B">
      <w:pPr>
        <w:pStyle w:val="FootnoteText1"/>
        <w:textDirection w:val="tbRlV"/>
        <w:rPr>
          <w:rFonts w:hint="cs"/>
          <w:rtl/>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اتفاقية حقوق الطفل، المادة </w:t>
      </w:r>
      <w:r w:rsidRPr="0044719E">
        <w:rPr>
          <w:rtl/>
        </w:rPr>
        <w:t>35</w:t>
      </w:r>
      <w:r w:rsidRPr="00073F6C">
        <w:rPr>
          <w:rtl/>
        </w:rPr>
        <w:t xml:space="preserve">؛ والبروتوكول الاختياري الملحق باتفاقية حقوق الطفل بشأن بـيـع الأطفال واستغلال الأطفال في البغاء وفي المواد الإباحية، المادتان </w:t>
      </w:r>
      <w:r w:rsidRPr="0044719E">
        <w:rPr>
          <w:rtl/>
        </w:rPr>
        <w:t>1</w:t>
      </w:r>
      <w:r w:rsidRPr="00073F6C">
        <w:rPr>
          <w:rtl/>
        </w:rPr>
        <w:t xml:space="preserve"> و</w:t>
      </w:r>
      <w:r w:rsidRPr="0044719E">
        <w:rPr>
          <w:rtl/>
        </w:rPr>
        <w:t>3</w:t>
      </w:r>
      <w:r w:rsidRPr="00073F6C">
        <w:rPr>
          <w:rtl/>
        </w:rPr>
        <w:t>؛ و</w:t>
      </w:r>
      <w:r w:rsidR="008544DB">
        <w:t xml:space="preserve">Convention on Protection of Children and Cooperation in respect of Intercountry Adoption, art. </w:t>
      </w:r>
      <w:r w:rsidR="008544DB" w:rsidRPr="0044719E">
        <w:t>32</w:t>
      </w:r>
      <w:r w:rsidRPr="008E60E9">
        <w:rPr>
          <w:spacing w:val="-4"/>
          <w:rtl/>
        </w:rPr>
        <w:t>؛ وبروتوكول منع وقمع ومعاقبة الاتجار بالأشخاص، وبخاصة النساء والأطفال،</w:t>
      </w:r>
      <w:r w:rsidRPr="00073F6C">
        <w:rPr>
          <w:rtl/>
        </w:rPr>
        <w:t xml:space="preserve"> المكمل لاتفاقية الأمم المتحدة لمكافحة الجريمة المنظمة عبر الوطنية، المادة </w:t>
      </w:r>
      <w:r w:rsidRPr="0044719E">
        <w:rPr>
          <w:rtl/>
        </w:rPr>
        <w:t>3</w:t>
      </w:r>
      <w:r w:rsidR="008544DB">
        <w:rPr>
          <w:rFonts w:hint="cs"/>
          <w:rtl/>
          <w:lang w:val="ar-SA" w:eastAsia="zh-TW"/>
        </w:rPr>
        <w:t>.</w:t>
      </w:r>
    </w:p>
  </w:footnote>
  <w:footnote w:id="14">
    <w:p w14:paraId="5C9DC8E5" w14:textId="593D45B7" w:rsidR="00D42713" w:rsidRPr="008E60E9" w:rsidRDefault="00D42713" w:rsidP="00D42713">
      <w:pPr>
        <w:pStyle w:val="FootnoteText1"/>
        <w:textDirection w:val="tbRlV"/>
        <w:rPr>
          <w:color w:val="4A4A4A"/>
          <w:spacing w:val="-4"/>
          <w:rtl/>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والاتفاقية الدولية لحماية جميع الأشخاص من الاختفاء القسري، المادة </w:t>
      </w:r>
      <w:r w:rsidRPr="0044719E">
        <w:rPr>
          <w:rtl/>
        </w:rPr>
        <w:t>1</w:t>
      </w:r>
      <w:r w:rsidRPr="00073F6C">
        <w:rPr>
          <w:rtl/>
        </w:rPr>
        <w:t xml:space="preserve">؛ والإعلان المتعلق بحماية جميع الأشخاص من الاختفاء القسري، الديباجة والمادة </w:t>
      </w:r>
      <w:r w:rsidRPr="0044719E">
        <w:rPr>
          <w:rtl/>
        </w:rPr>
        <w:t>20</w:t>
      </w:r>
      <w:r w:rsidRPr="00073F6C">
        <w:rPr>
          <w:rtl/>
        </w:rPr>
        <w:t>؛ والفريق العامل المعني بحالات الاختفاء القسري أو غير الطوعي، التعليق العام بشأن الأطفال وحالات الاختفاء القسري (</w:t>
      </w:r>
      <w:r w:rsidRPr="0044719E">
        <w:rPr>
          <w:rtl/>
        </w:rPr>
        <w:t>2012</w:t>
      </w:r>
      <w:r w:rsidRPr="00D42713">
        <w:rPr>
          <w:rtl/>
        </w:rPr>
        <w:t xml:space="preserve">)، </w:t>
      </w:r>
      <w:r w:rsidRPr="00073F6C">
        <w:rPr>
          <w:rtl/>
        </w:rPr>
        <w:t xml:space="preserve">الفقرات من </w:t>
      </w:r>
      <w:r w:rsidRPr="0044719E">
        <w:rPr>
          <w:rtl/>
        </w:rPr>
        <w:t>19</w:t>
      </w:r>
      <w:r w:rsidRPr="00073F6C">
        <w:rPr>
          <w:rtl/>
        </w:rPr>
        <w:t xml:space="preserve"> إلى </w:t>
      </w:r>
      <w:r w:rsidRPr="0044719E">
        <w:rPr>
          <w:rtl/>
        </w:rPr>
        <w:t>23</w:t>
      </w:r>
      <w:r w:rsidRPr="00073F6C">
        <w:rPr>
          <w:rtl/>
        </w:rPr>
        <w:t>؛ و</w:t>
      </w:r>
      <w:r w:rsidRPr="00073F6C">
        <w:t>IRL</w:t>
      </w:r>
      <w:r w:rsidRPr="0044719E">
        <w:t>2021</w:t>
      </w:r>
      <w:r w:rsidRPr="00073F6C">
        <w:t>/</w:t>
      </w:r>
      <w:r w:rsidRPr="0044719E">
        <w:t>2</w:t>
      </w:r>
      <w:r w:rsidRPr="00073F6C">
        <w:rPr>
          <w:rtl/>
        </w:rPr>
        <w:t xml:space="preserve">، ص. </w:t>
      </w:r>
      <w:r w:rsidRPr="0044719E">
        <w:rPr>
          <w:rtl/>
        </w:rPr>
        <w:t>11</w:t>
      </w:r>
      <w:r w:rsidRPr="00073F6C">
        <w:rPr>
          <w:rtl/>
        </w:rPr>
        <w:t xml:space="preserve"> (متاح على</w:t>
      </w:r>
      <w:r>
        <w:rPr>
          <w:rtl/>
        </w:rPr>
        <w:tab/>
      </w:r>
      <w:r>
        <w:rPr>
          <w:rtl/>
        </w:rPr>
        <w:br/>
      </w:r>
      <w:hyperlink r:id="rId11" w:history="1">
        <w:r w:rsidR="008E60E9" w:rsidRPr="008544DB">
          <w:rPr>
            <w:rStyle w:val="Hyperlink"/>
            <w:spacing w:val="-2"/>
          </w:rPr>
          <w:t>https://spcommreports.ohchr.org/TMResultsBase/DownLoadPublicCommunicationFile?gId=</w:t>
        </w:r>
        <w:r w:rsidR="008E60E9" w:rsidRPr="0044719E">
          <w:rPr>
            <w:rStyle w:val="Hyperlink"/>
            <w:spacing w:val="-2"/>
          </w:rPr>
          <w:t>26772</w:t>
        </w:r>
      </w:hyperlink>
      <w:r w:rsidRPr="008544DB">
        <w:rPr>
          <w:spacing w:val="-2"/>
          <w:rtl/>
        </w:rPr>
        <w:t>)</w:t>
      </w:r>
      <w:r w:rsidRPr="0044719E">
        <w:rPr>
          <w:b/>
          <w:bCs/>
          <w:spacing w:val="-2"/>
          <w:rtl/>
        </w:rPr>
        <w:t>.</w:t>
      </w:r>
      <w:r w:rsidRPr="0044719E">
        <w:rPr>
          <w:b/>
          <w:bCs/>
          <w:spacing w:val="-4"/>
          <w:rtl/>
        </w:rPr>
        <w:t xml:space="preserve"> </w:t>
      </w:r>
    </w:p>
  </w:footnote>
  <w:footnote w:id="15">
    <w:p w14:paraId="3A2CB831" w14:textId="77777777"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اتفاقية منع جريمة الإبادة الجماعية والمعاقبة عليها، المادة الثانية (هـ</w:t>
      </w:r>
      <w:r w:rsidRPr="00D42713">
        <w:rPr>
          <w:rtl/>
        </w:rPr>
        <w:t xml:space="preserve">). </w:t>
      </w:r>
    </w:p>
  </w:footnote>
  <w:footnote w:id="16">
    <w:p w14:paraId="0A532B0E" w14:textId="4FA9CA03"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ونظام روما الأساسي للمحكمة الجنائية الدولية، الفقرة </w:t>
      </w:r>
      <w:r w:rsidRPr="0044719E">
        <w:rPr>
          <w:rtl/>
        </w:rPr>
        <w:t>1</w:t>
      </w:r>
      <w:r w:rsidRPr="00073F6C">
        <w:rPr>
          <w:rtl/>
        </w:rPr>
        <w:t xml:space="preserve">(ج) من المادة </w:t>
      </w:r>
      <w:r w:rsidRPr="0044719E">
        <w:rPr>
          <w:rtl/>
        </w:rPr>
        <w:t>7</w:t>
      </w:r>
      <w:r w:rsidRPr="00073F6C">
        <w:rPr>
          <w:rtl/>
        </w:rPr>
        <w:t xml:space="preserve"> (الاسترقاق) والفقرة </w:t>
      </w:r>
      <w:r w:rsidRPr="0044719E">
        <w:rPr>
          <w:rtl/>
        </w:rPr>
        <w:t>1</w:t>
      </w:r>
      <w:r w:rsidRPr="00073F6C">
        <w:rPr>
          <w:rtl/>
        </w:rPr>
        <w:t xml:space="preserve">(ط) من المادة </w:t>
      </w:r>
      <w:r w:rsidRPr="0044719E">
        <w:rPr>
          <w:rtl/>
        </w:rPr>
        <w:t>7</w:t>
      </w:r>
      <w:r w:rsidRPr="00073F6C">
        <w:rPr>
          <w:rtl/>
        </w:rPr>
        <w:t xml:space="preserve"> (الاختفاء القسري للأشخاص</w:t>
      </w:r>
      <w:r w:rsidRPr="00D42713">
        <w:rPr>
          <w:rtl/>
        </w:rPr>
        <w:t xml:space="preserve">)؛ </w:t>
      </w:r>
      <w:r w:rsidRPr="00073F6C">
        <w:rPr>
          <w:rtl/>
        </w:rPr>
        <w:t xml:space="preserve">والاتفاقية الدولية لحماية جميع الأشخاص من الاختفاء القسري، المادة </w:t>
      </w:r>
      <w:r w:rsidRPr="0044719E">
        <w:rPr>
          <w:rtl/>
        </w:rPr>
        <w:t>5</w:t>
      </w:r>
      <w:r w:rsidRPr="00073F6C">
        <w:rPr>
          <w:rtl/>
        </w:rPr>
        <w:t>؛ والفريق العامل المعني بالاختفاء القسري أو غير الطوعي، التعليق العام بشأن الاختفاء القسري بوصفه جريمة ضد الإنسانية (</w:t>
      </w:r>
      <w:r w:rsidRPr="0044719E">
        <w:rPr>
          <w:rtl/>
        </w:rPr>
        <w:t>2009</w:t>
      </w:r>
      <w:r w:rsidRPr="00D42713">
        <w:rPr>
          <w:rtl/>
        </w:rPr>
        <w:t xml:space="preserve">). </w:t>
      </w:r>
    </w:p>
  </w:footnote>
  <w:footnote w:id="17">
    <w:p w14:paraId="714DBA26" w14:textId="156D1B78"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اتفاقية حقوق الطفل، المادة </w:t>
      </w:r>
      <w:r w:rsidRPr="0044719E">
        <w:rPr>
          <w:rtl/>
        </w:rPr>
        <w:t>21</w:t>
      </w:r>
      <w:r w:rsidRPr="00073F6C">
        <w:rPr>
          <w:rtl/>
        </w:rPr>
        <w:t>؛</w:t>
      </w:r>
      <w:r>
        <w:rPr>
          <w:rtl/>
        </w:rPr>
        <w:t xml:space="preserve"> و</w:t>
      </w:r>
      <w:bookmarkStart w:id="0" w:name="_Hlk123222952"/>
      <w:r w:rsidR="008544DB" w:rsidRPr="008544DB">
        <w:t xml:space="preserve"> </w:t>
      </w:r>
      <w:r w:rsidR="008544DB">
        <w:t xml:space="preserve">Convention on Protection of Children and Cooperation in respect of Intercountry Adoption, art. </w:t>
      </w:r>
      <w:r w:rsidR="008544DB" w:rsidRPr="0044719E">
        <w:t>4</w:t>
      </w:r>
      <w:bookmarkEnd w:id="0"/>
      <w:r w:rsidRPr="00073F6C">
        <w:rPr>
          <w:rtl/>
        </w:rPr>
        <w:t>؛ و</w:t>
      </w:r>
      <w:bookmarkStart w:id="1" w:name="_Hlk123222977"/>
      <w:r w:rsidR="008544DB">
        <w:t xml:space="preserve">European Convention on the Adoption of Children </w:t>
      </w:r>
      <w:r w:rsidR="008544DB" w:rsidRPr="0002145C">
        <w:t xml:space="preserve">(revised), art. </w:t>
      </w:r>
      <w:r w:rsidR="008544DB" w:rsidRPr="0044719E">
        <w:t>4</w:t>
      </w:r>
      <w:bookmarkEnd w:id="1"/>
      <w:r w:rsidRPr="00073F6C">
        <w:rPr>
          <w:rtl/>
        </w:rPr>
        <w:t xml:space="preserve">؛ والميثاق الأفريقي لحقوق الطفل ورفاهيته، المادة </w:t>
      </w:r>
      <w:r w:rsidRPr="0044719E">
        <w:rPr>
          <w:rtl/>
        </w:rPr>
        <w:t>24</w:t>
      </w:r>
      <w:r w:rsidRPr="00073F6C">
        <w:rPr>
          <w:rtl/>
        </w:rPr>
        <w:t>؛ و</w:t>
      </w:r>
      <w:hyperlink r:id="rId12" w:history="1">
        <w:r w:rsidRPr="00D42713">
          <w:rPr>
            <w:rStyle w:val="Hyperlink"/>
          </w:rPr>
          <w:t>CRC/C/CHE/CO/</w:t>
        </w:r>
        <w:r w:rsidRPr="0044719E">
          <w:rPr>
            <w:rStyle w:val="Hyperlink"/>
          </w:rPr>
          <w:t>5</w:t>
        </w:r>
        <w:r w:rsidRPr="00D42713">
          <w:rPr>
            <w:rStyle w:val="Hyperlink"/>
          </w:rPr>
          <w:t>-</w:t>
        </w:r>
        <w:r w:rsidRPr="0044719E">
          <w:rPr>
            <w:rStyle w:val="Hyperlink"/>
          </w:rPr>
          <w:t>6</w:t>
        </w:r>
      </w:hyperlink>
      <w:r w:rsidRPr="00073F6C">
        <w:rPr>
          <w:rtl/>
        </w:rPr>
        <w:t xml:space="preserve">، الفقرة </w:t>
      </w:r>
      <w:r w:rsidRPr="0044719E">
        <w:rPr>
          <w:rtl/>
        </w:rPr>
        <w:t>32</w:t>
      </w:r>
      <w:r w:rsidRPr="00073F6C">
        <w:rPr>
          <w:rtl/>
        </w:rPr>
        <w:t>؛ و</w:t>
      </w:r>
      <w:hyperlink r:id="rId13" w:history="1">
        <w:r w:rsidRPr="00D42713">
          <w:rPr>
            <w:rStyle w:val="Hyperlink"/>
          </w:rPr>
          <w:t>CRC/C/IND/CO/</w:t>
        </w:r>
        <w:r w:rsidRPr="0044719E">
          <w:rPr>
            <w:rStyle w:val="Hyperlink"/>
          </w:rPr>
          <w:t>3</w:t>
        </w:r>
        <w:r w:rsidRPr="00D42713">
          <w:rPr>
            <w:rStyle w:val="Hyperlink"/>
          </w:rPr>
          <w:t>-</w:t>
        </w:r>
        <w:r w:rsidRPr="0044719E">
          <w:rPr>
            <w:rStyle w:val="Hyperlink"/>
          </w:rPr>
          <w:t>4</w:t>
        </w:r>
      </w:hyperlink>
      <w:r w:rsidRPr="00073F6C">
        <w:rPr>
          <w:rtl/>
        </w:rPr>
        <w:t xml:space="preserve">، الفقرة </w:t>
      </w:r>
      <w:r w:rsidRPr="0044719E">
        <w:rPr>
          <w:rtl/>
        </w:rPr>
        <w:t>58</w:t>
      </w:r>
      <w:r w:rsidRPr="00073F6C">
        <w:rPr>
          <w:rtl/>
        </w:rPr>
        <w:t>(ج</w:t>
      </w:r>
      <w:r w:rsidRPr="00D42713">
        <w:rPr>
          <w:rtl/>
        </w:rPr>
        <w:t xml:space="preserve">)؛ </w:t>
      </w:r>
      <w:r w:rsidRPr="00073F6C">
        <w:rPr>
          <w:rtl/>
        </w:rPr>
        <w:t>و</w:t>
      </w:r>
      <w:hyperlink r:id="rId14" w:history="1">
        <w:r w:rsidRPr="00D42713">
          <w:rPr>
            <w:rStyle w:val="Hyperlink"/>
          </w:rPr>
          <w:t>CRC/C/ERI/CO/</w:t>
        </w:r>
        <w:r w:rsidRPr="0044719E">
          <w:rPr>
            <w:rStyle w:val="Hyperlink"/>
          </w:rPr>
          <w:t>3</w:t>
        </w:r>
      </w:hyperlink>
      <w:r w:rsidRPr="00073F6C">
        <w:rPr>
          <w:rtl/>
        </w:rPr>
        <w:t xml:space="preserve">، الفقرة </w:t>
      </w:r>
      <w:r w:rsidRPr="0044719E">
        <w:rPr>
          <w:rtl/>
        </w:rPr>
        <w:t>47</w:t>
      </w:r>
      <w:r w:rsidRPr="00073F6C">
        <w:rPr>
          <w:rtl/>
        </w:rPr>
        <w:t xml:space="preserve">؛ ولجنة حقوق الطفل، التعليق العام رقم </w:t>
      </w:r>
      <w:r w:rsidRPr="0044719E">
        <w:rPr>
          <w:rtl/>
        </w:rPr>
        <w:t>14</w:t>
      </w:r>
      <w:r w:rsidRPr="00073F6C">
        <w:rPr>
          <w:rtl/>
        </w:rPr>
        <w:t>(</w:t>
      </w:r>
      <w:r w:rsidRPr="0044719E">
        <w:rPr>
          <w:rtl/>
        </w:rPr>
        <w:t>2013</w:t>
      </w:r>
      <w:r w:rsidRPr="00D42713">
        <w:rPr>
          <w:rtl/>
        </w:rPr>
        <w:t xml:space="preserve">)، </w:t>
      </w:r>
      <w:r w:rsidRPr="00073F6C">
        <w:rPr>
          <w:rtl/>
        </w:rPr>
        <w:t xml:space="preserve">الفقرة </w:t>
      </w:r>
      <w:r w:rsidRPr="0044719E">
        <w:rPr>
          <w:rtl/>
        </w:rPr>
        <w:t>17</w:t>
      </w:r>
      <w:r w:rsidRPr="00073F6C">
        <w:rPr>
          <w:rtl/>
        </w:rPr>
        <w:t xml:space="preserve">، والتعليق العام رقم </w:t>
      </w:r>
      <w:r w:rsidRPr="0044719E">
        <w:rPr>
          <w:rtl/>
        </w:rPr>
        <w:t>12</w:t>
      </w:r>
      <w:r w:rsidRPr="00073F6C">
        <w:rPr>
          <w:rtl/>
        </w:rPr>
        <w:t>(</w:t>
      </w:r>
      <w:r w:rsidRPr="0044719E">
        <w:rPr>
          <w:rtl/>
        </w:rPr>
        <w:t>2009</w:t>
      </w:r>
      <w:r w:rsidRPr="00D42713">
        <w:rPr>
          <w:rtl/>
        </w:rPr>
        <w:t xml:space="preserve">)، </w:t>
      </w:r>
      <w:r w:rsidRPr="00073F6C">
        <w:rPr>
          <w:rtl/>
        </w:rPr>
        <w:t xml:space="preserve">الفقرتان </w:t>
      </w:r>
      <w:r w:rsidRPr="0044719E">
        <w:rPr>
          <w:rtl/>
        </w:rPr>
        <w:t>55</w:t>
      </w:r>
      <w:r w:rsidRPr="00073F6C">
        <w:rPr>
          <w:rtl/>
        </w:rPr>
        <w:t xml:space="preserve"> و</w:t>
      </w:r>
      <w:r w:rsidRPr="0044719E">
        <w:rPr>
          <w:rtl/>
        </w:rPr>
        <w:t>56</w:t>
      </w:r>
      <w:r w:rsidRPr="00D42713">
        <w:rPr>
          <w:rtl/>
        </w:rPr>
        <w:t xml:space="preserve">. </w:t>
      </w:r>
    </w:p>
  </w:footnote>
  <w:footnote w:id="18">
    <w:p w14:paraId="2163DFC8" w14:textId="6E049D8F"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اتفاقية حقوق الطفل، المادة </w:t>
      </w:r>
      <w:r w:rsidRPr="0044719E">
        <w:rPr>
          <w:rtl/>
        </w:rPr>
        <w:t>21</w:t>
      </w:r>
      <w:r w:rsidRPr="00073F6C">
        <w:rPr>
          <w:rtl/>
        </w:rPr>
        <w:t>؛</w:t>
      </w:r>
      <w:r>
        <w:rPr>
          <w:rtl/>
        </w:rPr>
        <w:t xml:space="preserve"> </w:t>
      </w:r>
      <w:proofErr w:type="gramStart"/>
      <w:r>
        <w:rPr>
          <w:rtl/>
        </w:rPr>
        <w:t>و</w:t>
      </w:r>
      <w:bookmarkStart w:id="2" w:name="_Hlk123223048"/>
      <w:r w:rsidR="008544DB" w:rsidRPr="008544DB">
        <w:t xml:space="preserve"> </w:t>
      </w:r>
      <w:r w:rsidR="008544DB">
        <w:t>Convention</w:t>
      </w:r>
      <w:proofErr w:type="gramEnd"/>
      <w:r w:rsidR="008544DB">
        <w:t xml:space="preserve"> on Protection of Children and Cooperation in respect of Intercountry Adoption, art. </w:t>
      </w:r>
      <w:r w:rsidR="008544DB" w:rsidRPr="0044719E">
        <w:t>4</w:t>
      </w:r>
      <w:bookmarkEnd w:id="2"/>
      <w:r w:rsidRPr="00073F6C">
        <w:rPr>
          <w:rtl/>
        </w:rPr>
        <w:t>؛ و</w:t>
      </w:r>
      <w:r w:rsidR="008544DB" w:rsidRPr="008544DB">
        <w:t xml:space="preserve"> </w:t>
      </w:r>
      <w:r w:rsidR="008544DB">
        <w:t xml:space="preserve">Inter-American Court of Human Rights, </w:t>
      </w:r>
      <w:r w:rsidR="008544DB" w:rsidRPr="0044719E">
        <w:rPr>
          <w:rStyle w:val="FootnoteTextChar"/>
          <w:i/>
          <w:iCs/>
        </w:rPr>
        <w:t>Ramírez</w:t>
      </w:r>
      <w:r w:rsidR="008544DB" w:rsidRPr="0044719E">
        <w:rPr>
          <w:i/>
          <w:iCs/>
        </w:rPr>
        <w:t xml:space="preserve"> Escobar et al. v. Guatemala</w:t>
      </w:r>
      <w:r w:rsidR="008544DB">
        <w:t xml:space="preserve">, paras. </w:t>
      </w:r>
      <w:r w:rsidR="008544DB" w:rsidRPr="0044719E">
        <w:t>207</w:t>
      </w:r>
      <w:r w:rsidR="008544DB">
        <w:t>–</w:t>
      </w:r>
      <w:r w:rsidR="008544DB" w:rsidRPr="0044719E">
        <w:t>208</w:t>
      </w:r>
      <w:r w:rsidRPr="00D42713">
        <w:rPr>
          <w:rtl/>
        </w:rPr>
        <w:t xml:space="preserve">. </w:t>
      </w:r>
    </w:p>
  </w:footnote>
  <w:footnote w:id="19">
    <w:p w14:paraId="2DD6420D" w14:textId="77777777"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المقررة الخاصة المعنية ببيع الأطفال واستغلالهم جنسياً، بما في ذلك استغلالهم في البغاء وفي المواد الإباحية، بيان أدلت به في الدورة الرابعة والثلاثين لمجلس حقوق الإنسان، </w:t>
      </w:r>
      <w:r w:rsidRPr="0044719E">
        <w:rPr>
          <w:rtl/>
        </w:rPr>
        <w:t>7</w:t>
      </w:r>
      <w:r w:rsidRPr="00073F6C">
        <w:rPr>
          <w:rtl/>
        </w:rPr>
        <w:t xml:space="preserve"> آذار/مارس </w:t>
      </w:r>
      <w:r w:rsidRPr="0044719E">
        <w:rPr>
          <w:rtl/>
        </w:rPr>
        <w:t>2017</w:t>
      </w:r>
      <w:r w:rsidRPr="00D42713">
        <w:rPr>
          <w:rtl/>
        </w:rPr>
        <w:t xml:space="preserve">. </w:t>
      </w:r>
    </w:p>
  </w:footnote>
  <w:footnote w:id="20">
    <w:p w14:paraId="6DCF39FD" w14:textId="2E83A867" w:rsidR="00D42713" w:rsidRPr="008544DB" w:rsidRDefault="00D42713" w:rsidP="004E459B">
      <w:pPr>
        <w:pStyle w:val="FootnoteText1"/>
        <w:textDirection w:val="tbRlV"/>
        <w:rPr>
          <w:spacing w:val="-2"/>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اتفاقية حقوق الطفل، المادة </w:t>
      </w:r>
      <w:r w:rsidRPr="0044719E">
        <w:rPr>
          <w:rtl/>
        </w:rPr>
        <w:t>21</w:t>
      </w:r>
      <w:r w:rsidRPr="00073F6C">
        <w:rPr>
          <w:rtl/>
        </w:rPr>
        <w:t>؛</w:t>
      </w:r>
      <w:r>
        <w:rPr>
          <w:rtl/>
        </w:rPr>
        <w:t xml:space="preserve"> و</w:t>
      </w:r>
      <w:r w:rsidRPr="00073F6C">
        <w:t>Convention on Protection of Children and Cooperation in respect of Intercountry Adoptio</w:t>
      </w:r>
      <w:r w:rsidRPr="00D42713">
        <w:t xml:space="preserve">n, </w:t>
      </w:r>
      <w:r w:rsidRPr="00073F6C">
        <w:t>art</w:t>
      </w:r>
      <w:r w:rsidRPr="00D42713">
        <w:t xml:space="preserve">s. </w:t>
      </w:r>
      <w:r w:rsidRPr="0044719E">
        <w:t>8</w:t>
      </w:r>
      <w:r w:rsidRPr="00D42713">
        <w:t xml:space="preserve">, </w:t>
      </w:r>
      <w:r w:rsidRPr="0044719E">
        <w:t>11</w:t>
      </w:r>
      <w:r w:rsidRPr="00073F6C">
        <w:t xml:space="preserve"> and </w:t>
      </w:r>
      <w:r w:rsidRPr="0044719E">
        <w:t>32</w:t>
      </w:r>
      <w:r w:rsidRPr="00073F6C">
        <w:rPr>
          <w:rtl/>
        </w:rPr>
        <w:t>؛</w:t>
      </w:r>
      <w:r>
        <w:rPr>
          <w:rtl/>
        </w:rPr>
        <w:t xml:space="preserve"> و</w:t>
      </w:r>
      <w:r w:rsidRPr="00073F6C">
        <w:t>European Convention on the Adoption of Children (revised</w:t>
      </w:r>
      <w:r w:rsidRPr="00D42713">
        <w:t xml:space="preserve">), </w:t>
      </w:r>
      <w:r w:rsidRPr="00073F6C">
        <w:t>ar</w:t>
      </w:r>
      <w:r w:rsidRPr="00D42713">
        <w:t xml:space="preserve">t. </w:t>
      </w:r>
      <w:r w:rsidRPr="0044719E">
        <w:t>17</w:t>
      </w:r>
      <w:r w:rsidRPr="00073F6C">
        <w:rPr>
          <w:rtl/>
        </w:rPr>
        <w:t xml:space="preserve">؛ </w:t>
      </w:r>
      <w:r w:rsidRPr="008544DB">
        <w:rPr>
          <w:spacing w:val="-2"/>
          <w:rtl/>
        </w:rPr>
        <w:t xml:space="preserve">والميثاق الأفريقي لحقوق الطفل ورفاهيته، المادة </w:t>
      </w:r>
      <w:r w:rsidRPr="0044719E">
        <w:rPr>
          <w:spacing w:val="-2"/>
          <w:rtl/>
        </w:rPr>
        <w:t>24</w:t>
      </w:r>
      <w:r w:rsidRPr="008544DB">
        <w:rPr>
          <w:spacing w:val="-2"/>
          <w:rtl/>
        </w:rPr>
        <w:t xml:space="preserve">. انظر أيضاً </w:t>
      </w:r>
      <w:r w:rsidR="008544DB" w:rsidRPr="008544DB">
        <w:rPr>
          <w:spacing w:val="-2"/>
        </w:rPr>
        <w:t xml:space="preserve">Inter-American Court of Human Rights, </w:t>
      </w:r>
      <w:r w:rsidR="008544DB" w:rsidRPr="0044719E">
        <w:rPr>
          <w:rStyle w:val="FootnoteTextChar"/>
          <w:i/>
          <w:iCs/>
          <w:spacing w:val="-2"/>
        </w:rPr>
        <w:t>Ramírez</w:t>
      </w:r>
      <w:r w:rsidR="008544DB" w:rsidRPr="0044719E">
        <w:rPr>
          <w:i/>
          <w:iCs/>
          <w:spacing w:val="-2"/>
        </w:rPr>
        <w:t xml:space="preserve"> Escobar et al. v. Guatemala</w:t>
      </w:r>
      <w:r w:rsidR="008544DB" w:rsidRPr="008544DB">
        <w:rPr>
          <w:spacing w:val="-2"/>
        </w:rPr>
        <w:t xml:space="preserve">, para. </w:t>
      </w:r>
      <w:r w:rsidR="008544DB" w:rsidRPr="0044719E">
        <w:rPr>
          <w:spacing w:val="-2"/>
        </w:rPr>
        <w:t>208</w:t>
      </w:r>
      <w:r w:rsidRPr="008544DB">
        <w:rPr>
          <w:spacing w:val="-2"/>
          <w:rtl/>
        </w:rPr>
        <w:t xml:space="preserve">. </w:t>
      </w:r>
    </w:p>
  </w:footnote>
  <w:footnote w:id="21">
    <w:p w14:paraId="16C7A971" w14:textId="3E3101C7"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اتفاقية حقوق الطفل، المادة </w:t>
      </w:r>
      <w:r w:rsidRPr="0044719E">
        <w:rPr>
          <w:rtl/>
        </w:rPr>
        <w:t>21</w:t>
      </w:r>
      <w:r w:rsidRPr="00073F6C">
        <w:rPr>
          <w:rtl/>
        </w:rPr>
        <w:t>؛ و</w:t>
      </w:r>
      <w:r w:rsidR="008544DB">
        <w:t xml:space="preserve">Convention on Protection of Children and Cooperation in respect of Intercountry Adoption, art. </w:t>
      </w:r>
      <w:r w:rsidR="008544DB" w:rsidRPr="0044719E">
        <w:t>4</w:t>
      </w:r>
      <w:r w:rsidRPr="00D42713">
        <w:rPr>
          <w:rtl/>
        </w:rPr>
        <w:t xml:space="preserve">. </w:t>
      </w:r>
    </w:p>
  </w:footnote>
  <w:footnote w:id="22">
    <w:p w14:paraId="524D0920" w14:textId="77777777"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المقررة الخاصة المعنية ببيع الأطفال واستغلالهم جنسياً، بما في ذلك استغلالهم في البغاء وفي المواد الإباحية، بيان أدلت به في الدورة الرابعة والثلاثين لمجلس حقوق الإنسان، </w:t>
      </w:r>
      <w:r w:rsidRPr="0044719E">
        <w:rPr>
          <w:rtl/>
        </w:rPr>
        <w:t>7</w:t>
      </w:r>
      <w:r w:rsidRPr="00073F6C">
        <w:rPr>
          <w:rtl/>
        </w:rPr>
        <w:t xml:space="preserve"> آذار/مارس </w:t>
      </w:r>
      <w:r w:rsidRPr="0044719E">
        <w:rPr>
          <w:rtl/>
        </w:rPr>
        <w:t>2017</w:t>
      </w:r>
      <w:r w:rsidRPr="00D42713">
        <w:rPr>
          <w:rtl/>
        </w:rPr>
        <w:t xml:space="preserve">. </w:t>
      </w:r>
      <w:r w:rsidRPr="00073F6C">
        <w:rPr>
          <w:rtl/>
        </w:rPr>
        <w:t xml:space="preserve">انظر أيضاً </w:t>
      </w:r>
      <w:r w:rsidRPr="00073F6C">
        <w:t>IRL</w:t>
      </w:r>
      <w:r w:rsidRPr="0044719E">
        <w:t>2021</w:t>
      </w:r>
      <w:r w:rsidRPr="00073F6C">
        <w:t>/</w:t>
      </w:r>
      <w:r w:rsidRPr="0044719E">
        <w:t>2</w:t>
      </w:r>
      <w:r w:rsidRPr="00D42713">
        <w:rPr>
          <w:rtl/>
        </w:rPr>
        <w:t xml:space="preserve">. </w:t>
      </w:r>
    </w:p>
  </w:footnote>
  <w:footnote w:id="23">
    <w:p w14:paraId="7A5ED1A6" w14:textId="77777777"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اتفاقية حقوق الطفل، المادة </w:t>
      </w:r>
      <w:r w:rsidRPr="0044719E">
        <w:rPr>
          <w:rtl/>
        </w:rPr>
        <w:t>12</w:t>
      </w:r>
      <w:r w:rsidRPr="00073F6C">
        <w:rPr>
          <w:rtl/>
        </w:rPr>
        <w:t xml:space="preserve">؛ والاتفاقية الدولية لحماية جميع الأشخاص من الاختفاء القسري، الفقرة </w:t>
      </w:r>
      <w:r w:rsidRPr="0044719E">
        <w:rPr>
          <w:rtl/>
        </w:rPr>
        <w:t>5</w:t>
      </w:r>
      <w:r w:rsidRPr="00073F6C">
        <w:rPr>
          <w:rtl/>
        </w:rPr>
        <w:t xml:space="preserve"> من المادة </w:t>
      </w:r>
      <w:r w:rsidRPr="0044719E">
        <w:rPr>
          <w:rtl/>
        </w:rPr>
        <w:t>25</w:t>
      </w:r>
      <w:r w:rsidRPr="00073F6C">
        <w:rPr>
          <w:rtl/>
        </w:rPr>
        <w:t>؛ و</w:t>
      </w:r>
      <w:hyperlink r:id="rId15" w:history="1">
        <w:r w:rsidRPr="00D42713">
          <w:rPr>
            <w:rStyle w:val="Hyperlink"/>
          </w:rPr>
          <w:t>CED/C/FRA/CO/</w:t>
        </w:r>
        <w:r w:rsidRPr="0044719E">
          <w:rPr>
            <w:rStyle w:val="Hyperlink"/>
          </w:rPr>
          <w:t>1</w:t>
        </w:r>
      </w:hyperlink>
      <w:r w:rsidRPr="00073F6C">
        <w:rPr>
          <w:rtl/>
        </w:rPr>
        <w:t xml:space="preserve">، الفقرة </w:t>
      </w:r>
      <w:r w:rsidRPr="0044719E">
        <w:rPr>
          <w:rtl/>
        </w:rPr>
        <w:t>37</w:t>
      </w:r>
      <w:r w:rsidRPr="00D42713">
        <w:rPr>
          <w:rtl/>
        </w:rPr>
        <w:t xml:space="preserve">. </w:t>
      </w:r>
    </w:p>
  </w:footnote>
  <w:footnote w:id="24">
    <w:p w14:paraId="35D26794" w14:textId="3FB7B0A7"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16" w:history="1">
        <w:r w:rsidRPr="00D42713">
          <w:rPr>
            <w:rStyle w:val="Hyperlink"/>
          </w:rPr>
          <w:t>A/HRC/</w:t>
        </w:r>
        <w:r w:rsidRPr="0044719E">
          <w:rPr>
            <w:rStyle w:val="Hyperlink"/>
          </w:rPr>
          <w:t>34</w:t>
        </w:r>
        <w:r w:rsidRPr="00D42713">
          <w:rPr>
            <w:rStyle w:val="Hyperlink"/>
          </w:rPr>
          <w:t>/</w:t>
        </w:r>
        <w:r w:rsidRPr="0044719E">
          <w:rPr>
            <w:rStyle w:val="Hyperlink"/>
          </w:rPr>
          <w:t>55</w:t>
        </w:r>
      </w:hyperlink>
      <w:r w:rsidRPr="00073F6C">
        <w:rPr>
          <w:rtl/>
        </w:rPr>
        <w:t xml:space="preserve">، الفقرة </w:t>
      </w:r>
      <w:r w:rsidRPr="0044719E">
        <w:rPr>
          <w:rtl/>
        </w:rPr>
        <w:t>95</w:t>
      </w:r>
      <w:r w:rsidRPr="00073F6C">
        <w:rPr>
          <w:rtl/>
        </w:rPr>
        <w:t>(ه) و(و</w:t>
      </w:r>
      <w:r w:rsidRPr="00D42713">
        <w:rPr>
          <w:rtl/>
        </w:rPr>
        <w:t xml:space="preserve">)؛ </w:t>
      </w:r>
      <w:r w:rsidRPr="00073F6C">
        <w:rPr>
          <w:rtl/>
        </w:rPr>
        <w:t>و</w:t>
      </w:r>
      <w:hyperlink r:id="rId17" w:history="1">
        <w:r w:rsidRPr="00D42713">
          <w:rPr>
            <w:rStyle w:val="Hyperlink"/>
          </w:rPr>
          <w:t>CRC/C/IND/CO/</w:t>
        </w:r>
        <w:r w:rsidRPr="0044719E">
          <w:rPr>
            <w:rStyle w:val="Hyperlink"/>
          </w:rPr>
          <w:t>3</w:t>
        </w:r>
        <w:r w:rsidRPr="00D42713">
          <w:rPr>
            <w:rStyle w:val="Hyperlink"/>
          </w:rPr>
          <w:t>-</w:t>
        </w:r>
        <w:r w:rsidRPr="0044719E">
          <w:rPr>
            <w:rStyle w:val="Hyperlink"/>
          </w:rPr>
          <w:t>4</w:t>
        </w:r>
      </w:hyperlink>
      <w:r w:rsidRPr="00073F6C">
        <w:rPr>
          <w:rtl/>
        </w:rPr>
        <w:t xml:space="preserve">، الفقرة </w:t>
      </w:r>
      <w:r w:rsidRPr="0044719E">
        <w:rPr>
          <w:rtl/>
        </w:rPr>
        <w:t>58</w:t>
      </w:r>
      <w:r w:rsidRPr="00D42713">
        <w:rPr>
          <w:rtl/>
        </w:rPr>
        <w:t xml:space="preserve">. </w:t>
      </w:r>
    </w:p>
  </w:footnote>
  <w:footnote w:id="25">
    <w:p w14:paraId="1D58794B" w14:textId="0500CF2A" w:rsidR="00D42713" w:rsidRPr="00073F6C" w:rsidRDefault="00D42713" w:rsidP="00D42713">
      <w:pPr>
        <w:pStyle w:val="FootnoteText1"/>
        <w:textDirection w:val="tbRlV"/>
        <w:rPr>
          <w:lang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18" w:history="1">
        <w:r w:rsidRPr="00ED7AA3">
          <w:rPr>
            <w:rStyle w:val="Hyperlink"/>
            <w:spacing w:val="-2"/>
          </w:rPr>
          <w:t>A/HRC/</w:t>
        </w:r>
        <w:r w:rsidRPr="0044719E">
          <w:rPr>
            <w:rStyle w:val="Hyperlink"/>
            <w:spacing w:val="-2"/>
          </w:rPr>
          <w:t>34</w:t>
        </w:r>
        <w:r w:rsidRPr="00ED7AA3">
          <w:rPr>
            <w:rStyle w:val="Hyperlink"/>
            <w:spacing w:val="-2"/>
          </w:rPr>
          <w:t>/</w:t>
        </w:r>
        <w:r w:rsidRPr="0044719E">
          <w:rPr>
            <w:rStyle w:val="Hyperlink"/>
            <w:spacing w:val="-2"/>
          </w:rPr>
          <w:t>55</w:t>
        </w:r>
      </w:hyperlink>
      <w:r w:rsidRPr="00ED7AA3">
        <w:rPr>
          <w:spacing w:val="-2"/>
          <w:rtl/>
        </w:rPr>
        <w:t xml:space="preserve">، الفقرة </w:t>
      </w:r>
      <w:r w:rsidRPr="0044719E">
        <w:rPr>
          <w:spacing w:val="-2"/>
          <w:rtl/>
        </w:rPr>
        <w:t>95</w:t>
      </w:r>
      <w:r w:rsidRPr="00ED7AA3">
        <w:rPr>
          <w:spacing w:val="-2"/>
          <w:rtl/>
        </w:rPr>
        <w:t xml:space="preserve">(و). انظر أيضاً </w:t>
      </w:r>
      <w:hyperlink r:id="rId19" w:history="1">
        <w:r w:rsidRPr="00ED7AA3">
          <w:rPr>
            <w:rStyle w:val="Hyperlink"/>
            <w:spacing w:val="-2"/>
          </w:rPr>
          <w:t>CRC/C/GHA/CO/</w:t>
        </w:r>
        <w:r w:rsidRPr="0044719E">
          <w:rPr>
            <w:rStyle w:val="Hyperlink"/>
            <w:spacing w:val="-2"/>
          </w:rPr>
          <w:t>3</w:t>
        </w:r>
        <w:r w:rsidRPr="00ED7AA3">
          <w:rPr>
            <w:rStyle w:val="Hyperlink"/>
            <w:spacing w:val="-2"/>
          </w:rPr>
          <w:t>-</w:t>
        </w:r>
        <w:r w:rsidRPr="0044719E">
          <w:rPr>
            <w:rStyle w:val="Hyperlink"/>
            <w:spacing w:val="-2"/>
          </w:rPr>
          <w:t>5</w:t>
        </w:r>
      </w:hyperlink>
      <w:r w:rsidRPr="00ED7AA3">
        <w:rPr>
          <w:spacing w:val="-2"/>
          <w:rtl/>
        </w:rPr>
        <w:t xml:space="preserve">، الفقرة </w:t>
      </w:r>
      <w:r w:rsidRPr="0044719E">
        <w:rPr>
          <w:spacing w:val="-2"/>
          <w:rtl/>
        </w:rPr>
        <w:t>46</w:t>
      </w:r>
      <w:r w:rsidRPr="00ED7AA3">
        <w:rPr>
          <w:spacing w:val="-2"/>
          <w:rtl/>
        </w:rPr>
        <w:t>؛ و</w:t>
      </w:r>
      <w:hyperlink r:id="rId20" w:history="1">
        <w:r w:rsidRPr="00ED7AA3">
          <w:rPr>
            <w:rStyle w:val="Hyperlink"/>
            <w:spacing w:val="-2"/>
          </w:rPr>
          <w:t>CRC/C/KHM/CO/</w:t>
        </w:r>
        <w:r w:rsidRPr="0044719E">
          <w:rPr>
            <w:rStyle w:val="Hyperlink"/>
            <w:spacing w:val="-2"/>
          </w:rPr>
          <w:t>2</w:t>
        </w:r>
        <w:r w:rsidRPr="00ED7AA3">
          <w:rPr>
            <w:rStyle w:val="Hyperlink"/>
            <w:spacing w:val="-2"/>
          </w:rPr>
          <w:t>-</w:t>
        </w:r>
        <w:r w:rsidRPr="0044719E">
          <w:rPr>
            <w:rStyle w:val="Hyperlink"/>
            <w:spacing w:val="-2"/>
          </w:rPr>
          <w:t>3</w:t>
        </w:r>
      </w:hyperlink>
      <w:r w:rsidRPr="00ED7AA3">
        <w:rPr>
          <w:spacing w:val="-2"/>
          <w:rtl/>
        </w:rPr>
        <w:t xml:space="preserve">، الفقرة </w:t>
      </w:r>
      <w:r w:rsidRPr="0044719E">
        <w:rPr>
          <w:spacing w:val="-2"/>
          <w:rtl/>
        </w:rPr>
        <w:t>48</w:t>
      </w:r>
      <w:r w:rsidRPr="00ED7AA3">
        <w:rPr>
          <w:spacing w:val="-2"/>
          <w:rtl/>
        </w:rPr>
        <w:t>؛</w:t>
      </w:r>
      <w:r w:rsidRPr="00073F6C">
        <w:rPr>
          <w:rtl/>
        </w:rPr>
        <w:t xml:space="preserve"> و</w:t>
      </w:r>
      <w:hyperlink r:id="rId21" w:history="1">
        <w:r w:rsidRPr="00D42713">
          <w:rPr>
            <w:rStyle w:val="Hyperlink"/>
          </w:rPr>
          <w:t>CRC/C/GTM/CO/</w:t>
        </w:r>
        <w:r w:rsidRPr="0044719E">
          <w:rPr>
            <w:rStyle w:val="Hyperlink"/>
          </w:rPr>
          <w:t>3</w:t>
        </w:r>
        <w:r w:rsidRPr="00D42713">
          <w:rPr>
            <w:rStyle w:val="Hyperlink"/>
          </w:rPr>
          <w:t>-</w:t>
        </w:r>
        <w:r w:rsidRPr="0044719E">
          <w:rPr>
            <w:rStyle w:val="Hyperlink"/>
          </w:rPr>
          <w:t>4</w:t>
        </w:r>
      </w:hyperlink>
      <w:r w:rsidRPr="00073F6C">
        <w:rPr>
          <w:rtl/>
        </w:rPr>
        <w:t xml:space="preserve">، الفقرة </w:t>
      </w:r>
      <w:r w:rsidRPr="0044719E">
        <w:rPr>
          <w:rtl/>
        </w:rPr>
        <w:t>61</w:t>
      </w:r>
      <w:r w:rsidRPr="00073F6C">
        <w:rPr>
          <w:rtl/>
        </w:rPr>
        <w:t>؛ و</w:t>
      </w:r>
      <w:hyperlink r:id="rId22" w:history="1">
        <w:r w:rsidRPr="00D42713">
          <w:rPr>
            <w:rStyle w:val="Hyperlink"/>
          </w:rPr>
          <w:t>CRC/C/COD/CO/</w:t>
        </w:r>
        <w:r w:rsidRPr="0044719E">
          <w:rPr>
            <w:rStyle w:val="Hyperlink"/>
          </w:rPr>
          <w:t>2</w:t>
        </w:r>
      </w:hyperlink>
      <w:r w:rsidRPr="00073F6C">
        <w:rPr>
          <w:rtl/>
        </w:rPr>
        <w:t xml:space="preserve">، الفقرة </w:t>
      </w:r>
      <w:r w:rsidRPr="0044719E">
        <w:rPr>
          <w:rtl/>
        </w:rPr>
        <w:t>48</w:t>
      </w:r>
      <w:r w:rsidRPr="00073F6C">
        <w:rPr>
          <w:rtl/>
        </w:rPr>
        <w:t>؛ و</w:t>
      </w:r>
      <w:hyperlink r:id="rId23" w:history="1">
        <w:r w:rsidRPr="00D42713">
          <w:rPr>
            <w:rStyle w:val="Hyperlink"/>
          </w:rPr>
          <w:t>CRC/C/ERI/CO/</w:t>
        </w:r>
        <w:r w:rsidRPr="0044719E">
          <w:rPr>
            <w:rStyle w:val="Hyperlink"/>
          </w:rPr>
          <w:t>3</w:t>
        </w:r>
      </w:hyperlink>
      <w:r w:rsidRPr="00073F6C">
        <w:rPr>
          <w:rtl/>
        </w:rPr>
        <w:t xml:space="preserve">، الفقرة </w:t>
      </w:r>
      <w:r w:rsidRPr="0044719E">
        <w:rPr>
          <w:rtl/>
        </w:rPr>
        <w:t>47</w:t>
      </w:r>
      <w:r w:rsidRPr="00D42713">
        <w:rPr>
          <w:rtl/>
        </w:rPr>
        <w:t xml:space="preserve">. </w:t>
      </w:r>
    </w:p>
  </w:footnote>
  <w:footnote w:id="26">
    <w:p w14:paraId="32C6F5A6" w14:textId="2C88E51E" w:rsidR="00D42713" w:rsidRPr="00AA3EAA" w:rsidRDefault="00D42713" w:rsidP="00D42713">
      <w:pPr>
        <w:pStyle w:val="FootnoteText1"/>
        <w:textDirection w:val="tbRlV"/>
        <w:rPr>
          <w:lang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24" w:history="1">
        <w:r w:rsidRPr="00D42713">
          <w:rPr>
            <w:rStyle w:val="Hyperlink"/>
          </w:rPr>
          <w:t>A/HRC/</w:t>
        </w:r>
        <w:r w:rsidRPr="0044719E">
          <w:rPr>
            <w:rStyle w:val="Hyperlink"/>
          </w:rPr>
          <w:t>34</w:t>
        </w:r>
        <w:r w:rsidRPr="00D42713">
          <w:rPr>
            <w:rStyle w:val="Hyperlink"/>
          </w:rPr>
          <w:t>/</w:t>
        </w:r>
        <w:r w:rsidRPr="0044719E">
          <w:rPr>
            <w:rStyle w:val="Hyperlink"/>
          </w:rPr>
          <w:t>55</w:t>
        </w:r>
      </w:hyperlink>
      <w:r w:rsidRPr="00073F6C">
        <w:rPr>
          <w:rtl/>
        </w:rPr>
        <w:t xml:space="preserve">، الفقرة </w:t>
      </w:r>
      <w:r w:rsidRPr="0044719E">
        <w:rPr>
          <w:rtl/>
        </w:rPr>
        <w:t>95</w:t>
      </w:r>
      <w:r w:rsidRPr="00073F6C">
        <w:rPr>
          <w:rtl/>
        </w:rPr>
        <w:t>(ح</w:t>
      </w:r>
      <w:r w:rsidRPr="00D42713">
        <w:rPr>
          <w:rtl/>
        </w:rPr>
        <w:t xml:space="preserve">)؛ </w:t>
      </w:r>
      <w:r w:rsidRPr="00073F6C">
        <w:rPr>
          <w:rtl/>
        </w:rPr>
        <w:t xml:space="preserve">واتفاقية حقوق الطفل، المادة </w:t>
      </w:r>
      <w:r w:rsidRPr="0044719E">
        <w:rPr>
          <w:rtl/>
        </w:rPr>
        <w:t>21</w:t>
      </w:r>
      <w:r w:rsidRPr="00073F6C">
        <w:rPr>
          <w:rtl/>
        </w:rPr>
        <w:t xml:space="preserve">؛ </w:t>
      </w:r>
      <w:r w:rsidR="00ED7AA3" w:rsidRPr="00A15B88">
        <w:t xml:space="preserve">Convention on Protection of Children and Cooperation in respect of Intercountry Adoption, art. </w:t>
      </w:r>
      <w:r w:rsidR="00ED7AA3" w:rsidRPr="0044719E">
        <w:t>4</w:t>
      </w:r>
      <w:r w:rsidRPr="00D42713">
        <w:rPr>
          <w:rtl/>
        </w:rPr>
        <w:t xml:space="preserve">. </w:t>
      </w:r>
    </w:p>
  </w:footnote>
  <w:footnote w:id="27">
    <w:p w14:paraId="18CA2BFE" w14:textId="77777777"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اتفاقية حقوق الطفل، المادة </w:t>
      </w:r>
      <w:r w:rsidRPr="0044719E">
        <w:rPr>
          <w:rtl/>
        </w:rPr>
        <w:t>21</w:t>
      </w:r>
      <w:r w:rsidRPr="00D42713">
        <w:rPr>
          <w:rtl/>
        </w:rPr>
        <w:t xml:space="preserve">. </w:t>
      </w:r>
    </w:p>
  </w:footnote>
  <w:footnote w:id="28">
    <w:p w14:paraId="311C20F3" w14:textId="77777777"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25" w:history="1">
        <w:r w:rsidRPr="00D42713">
          <w:rPr>
            <w:rStyle w:val="Hyperlink"/>
          </w:rPr>
          <w:t>A/HRC/</w:t>
        </w:r>
        <w:r w:rsidRPr="0044719E">
          <w:rPr>
            <w:rStyle w:val="Hyperlink"/>
          </w:rPr>
          <w:t>34</w:t>
        </w:r>
        <w:r w:rsidRPr="00D42713">
          <w:rPr>
            <w:rStyle w:val="Hyperlink"/>
          </w:rPr>
          <w:t>/</w:t>
        </w:r>
        <w:r w:rsidRPr="0044719E">
          <w:rPr>
            <w:rStyle w:val="Hyperlink"/>
          </w:rPr>
          <w:t>55</w:t>
        </w:r>
      </w:hyperlink>
      <w:r w:rsidRPr="00073F6C">
        <w:rPr>
          <w:rtl/>
        </w:rPr>
        <w:t xml:space="preserve">، الفقرة </w:t>
      </w:r>
      <w:r w:rsidRPr="0044719E">
        <w:rPr>
          <w:rtl/>
        </w:rPr>
        <w:t>96</w:t>
      </w:r>
      <w:r w:rsidRPr="00073F6C">
        <w:rPr>
          <w:rtl/>
        </w:rPr>
        <w:t>(هـ</w:t>
      </w:r>
      <w:r w:rsidRPr="00D42713">
        <w:rPr>
          <w:rtl/>
        </w:rPr>
        <w:t xml:space="preserve">). </w:t>
      </w:r>
    </w:p>
  </w:footnote>
  <w:footnote w:id="29">
    <w:p w14:paraId="2EB9D488" w14:textId="2DE69AE4"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المرجع نفسه، الفقرة </w:t>
      </w:r>
      <w:r w:rsidRPr="0044719E">
        <w:rPr>
          <w:rtl/>
        </w:rPr>
        <w:t>96</w:t>
      </w:r>
      <w:r w:rsidRPr="00073F6C">
        <w:rPr>
          <w:rtl/>
        </w:rPr>
        <w:t>(ز</w:t>
      </w:r>
      <w:r w:rsidRPr="00D42713">
        <w:rPr>
          <w:rtl/>
        </w:rPr>
        <w:t xml:space="preserve">). </w:t>
      </w:r>
    </w:p>
  </w:footnote>
  <w:footnote w:id="30">
    <w:p w14:paraId="585173EF" w14:textId="02D0E969"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المرجع نفسه، الفقرة </w:t>
      </w:r>
      <w:r w:rsidRPr="0044719E">
        <w:rPr>
          <w:rtl/>
        </w:rPr>
        <w:t>96</w:t>
      </w:r>
      <w:r w:rsidRPr="00073F6C">
        <w:rPr>
          <w:rtl/>
        </w:rPr>
        <w:t>(و</w:t>
      </w:r>
      <w:r w:rsidRPr="00D42713">
        <w:rPr>
          <w:rtl/>
        </w:rPr>
        <w:t xml:space="preserve">). </w:t>
      </w:r>
    </w:p>
  </w:footnote>
  <w:footnote w:id="31">
    <w:p w14:paraId="5029B316" w14:textId="239706B0"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المرجع نفسه، الفقرة </w:t>
      </w:r>
      <w:r w:rsidRPr="0044719E">
        <w:rPr>
          <w:rtl/>
        </w:rPr>
        <w:t>96</w:t>
      </w:r>
      <w:r w:rsidRPr="00073F6C">
        <w:rPr>
          <w:rtl/>
        </w:rPr>
        <w:t>(ح</w:t>
      </w:r>
      <w:r w:rsidRPr="00D42713">
        <w:rPr>
          <w:rtl/>
        </w:rPr>
        <w:t xml:space="preserve">). </w:t>
      </w:r>
    </w:p>
  </w:footnote>
  <w:footnote w:id="32">
    <w:p w14:paraId="70A05B10" w14:textId="73E8417D"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المرجع نفسه، الفقرة </w:t>
      </w:r>
      <w:r w:rsidRPr="0044719E">
        <w:rPr>
          <w:rtl/>
        </w:rPr>
        <w:t>96</w:t>
      </w:r>
      <w:r w:rsidRPr="00073F6C">
        <w:rPr>
          <w:rtl/>
        </w:rPr>
        <w:t>(ط</w:t>
      </w:r>
      <w:r w:rsidRPr="00D42713">
        <w:rPr>
          <w:rtl/>
        </w:rPr>
        <w:t xml:space="preserve">). </w:t>
      </w:r>
    </w:p>
  </w:footnote>
  <w:footnote w:id="33">
    <w:p w14:paraId="3039AC7D" w14:textId="77777777"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المرجع نفسه</w:t>
      </w:r>
      <w:r>
        <w:rPr>
          <w:rtl/>
        </w:rPr>
        <w:t xml:space="preserve">. </w:t>
      </w:r>
    </w:p>
  </w:footnote>
  <w:footnote w:id="34">
    <w:p w14:paraId="319713F9" w14:textId="3025480E"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المرجع نفسه، الفقرة </w:t>
      </w:r>
      <w:r w:rsidRPr="0044719E">
        <w:rPr>
          <w:rtl/>
        </w:rPr>
        <w:t>95</w:t>
      </w:r>
      <w:r w:rsidRPr="00073F6C">
        <w:rPr>
          <w:rtl/>
        </w:rPr>
        <w:t>(ج</w:t>
      </w:r>
      <w:r w:rsidRPr="00D42713">
        <w:rPr>
          <w:rtl/>
        </w:rPr>
        <w:t xml:space="preserve">). </w:t>
      </w:r>
    </w:p>
  </w:footnote>
  <w:footnote w:id="35">
    <w:p w14:paraId="71148B69" w14:textId="77777777"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26" w:history="1">
        <w:r w:rsidRPr="00D42713">
          <w:rPr>
            <w:rStyle w:val="Hyperlink"/>
          </w:rPr>
          <w:t>CRC/C/MDG/CO/</w:t>
        </w:r>
        <w:r w:rsidRPr="0044719E">
          <w:rPr>
            <w:rStyle w:val="Hyperlink"/>
          </w:rPr>
          <w:t>3</w:t>
        </w:r>
        <w:r w:rsidRPr="00D42713">
          <w:rPr>
            <w:rStyle w:val="Hyperlink"/>
          </w:rPr>
          <w:t>-</w:t>
        </w:r>
        <w:r w:rsidRPr="0044719E">
          <w:rPr>
            <w:rStyle w:val="Hyperlink"/>
          </w:rPr>
          <w:t>4</w:t>
        </w:r>
      </w:hyperlink>
      <w:r w:rsidRPr="00073F6C">
        <w:rPr>
          <w:rtl/>
        </w:rPr>
        <w:t xml:space="preserve">، الفقرة </w:t>
      </w:r>
      <w:r w:rsidRPr="0044719E">
        <w:rPr>
          <w:rtl/>
        </w:rPr>
        <w:t>44</w:t>
      </w:r>
      <w:r w:rsidRPr="00073F6C">
        <w:rPr>
          <w:rtl/>
        </w:rPr>
        <w:t>(ب</w:t>
      </w:r>
      <w:r w:rsidRPr="00D42713">
        <w:rPr>
          <w:rtl/>
        </w:rPr>
        <w:t xml:space="preserve">). </w:t>
      </w:r>
    </w:p>
  </w:footnote>
  <w:footnote w:id="36">
    <w:p w14:paraId="4BA53305" w14:textId="77777777"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27" w:history="1">
        <w:r w:rsidRPr="00D42713">
          <w:rPr>
            <w:rStyle w:val="Hyperlink"/>
          </w:rPr>
          <w:t>A/HRC/</w:t>
        </w:r>
        <w:r w:rsidRPr="0044719E">
          <w:rPr>
            <w:rStyle w:val="Hyperlink"/>
          </w:rPr>
          <w:t>34</w:t>
        </w:r>
        <w:r w:rsidRPr="00D42713">
          <w:rPr>
            <w:rStyle w:val="Hyperlink"/>
          </w:rPr>
          <w:t>/</w:t>
        </w:r>
        <w:r w:rsidRPr="0044719E">
          <w:rPr>
            <w:rStyle w:val="Hyperlink"/>
          </w:rPr>
          <w:t>55</w:t>
        </w:r>
      </w:hyperlink>
      <w:r w:rsidRPr="00073F6C">
        <w:rPr>
          <w:rtl/>
        </w:rPr>
        <w:t xml:space="preserve">، الفقرة </w:t>
      </w:r>
      <w:r w:rsidRPr="0044719E">
        <w:rPr>
          <w:rtl/>
        </w:rPr>
        <w:t>30</w:t>
      </w:r>
      <w:r w:rsidRPr="00D42713">
        <w:rPr>
          <w:rtl/>
        </w:rPr>
        <w:t xml:space="preserve">. </w:t>
      </w:r>
    </w:p>
  </w:footnote>
  <w:footnote w:id="37">
    <w:p w14:paraId="32751136" w14:textId="5D3535A3"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r w:rsidRPr="00ED7AA3">
        <w:rPr>
          <w:spacing w:val="-6"/>
          <w:rtl/>
        </w:rPr>
        <w:t xml:space="preserve">اللجنة المعنية بحقوق الإنسان، التعليق العام رقم </w:t>
      </w:r>
      <w:r w:rsidRPr="0044719E">
        <w:rPr>
          <w:spacing w:val="-6"/>
          <w:rtl/>
        </w:rPr>
        <w:t>17</w:t>
      </w:r>
      <w:r w:rsidRPr="00ED7AA3">
        <w:rPr>
          <w:spacing w:val="-6"/>
          <w:rtl/>
        </w:rPr>
        <w:t>(</w:t>
      </w:r>
      <w:r w:rsidRPr="0044719E">
        <w:rPr>
          <w:spacing w:val="-6"/>
          <w:rtl/>
        </w:rPr>
        <w:t>1989</w:t>
      </w:r>
      <w:r w:rsidRPr="00ED7AA3">
        <w:rPr>
          <w:spacing w:val="-6"/>
          <w:rtl/>
        </w:rPr>
        <w:t xml:space="preserve">) بشأن حقوق الطفل، الفقرة </w:t>
      </w:r>
      <w:r w:rsidRPr="0044719E">
        <w:rPr>
          <w:spacing w:val="-6"/>
          <w:rtl/>
        </w:rPr>
        <w:t>7</w:t>
      </w:r>
      <w:r w:rsidRPr="00ED7AA3">
        <w:rPr>
          <w:spacing w:val="-6"/>
          <w:rtl/>
        </w:rPr>
        <w:t>؛ ولجنة حقوق الطفل، التعليق العام رقم</w:t>
      </w:r>
      <w:r w:rsidR="005A6F49" w:rsidRPr="00ED7AA3">
        <w:rPr>
          <w:rFonts w:hint="cs"/>
          <w:spacing w:val="-6"/>
          <w:rtl/>
        </w:rPr>
        <w:t> </w:t>
      </w:r>
      <w:r w:rsidRPr="0044719E">
        <w:rPr>
          <w:spacing w:val="-6"/>
          <w:rtl/>
        </w:rPr>
        <w:t>7</w:t>
      </w:r>
      <w:r w:rsidRPr="00ED7AA3">
        <w:rPr>
          <w:spacing w:val="-6"/>
          <w:rtl/>
        </w:rPr>
        <w:t>(</w:t>
      </w:r>
      <w:r w:rsidRPr="0044719E">
        <w:rPr>
          <w:spacing w:val="-6"/>
          <w:rtl/>
        </w:rPr>
        <w:t>2005</w:t>
      </w:r>
      <w:r w:rsidRPr="00ED7AA3">
        <w:rPr>
          <w:spacing w:val="-6"/>
          <w:rtl/>
        </w:rPr>
        <w:t>)</w:t>
      </w:r>
      <w:r w:rsidRPr="00D42713">
        <w:rPr>
          <w:rtl/>
        </w:rPr>
        <w:t xml:space="preserve"> </w:t>
      </w:r>
      <w:r w:rsidRPr="00073F6C">
        <w:rPr>
          <w:rtl/>
        </w:rPr>
        <w:t xml:space="preserve">بشأن إعمال حقوق الطفل في مرحلة الطفولة المبكرة، الفقرة </w:t>
      </w:r>
      <w:r w:rsidRPr="0044719E">
        <w:rPr>
          <w:rtl/>
        </w:rPr>
        <w:t>25</w:t>
      </w:r>
      <w:r w:rsidRPr="00073F6C">
        <w:rPr>
          <w:rtl/>
        </w:rPr>
        <w:t>؛ و</w:t>
      </w:r>
      <w:hyperlink r:id="rId28" w:history="1">
        <w:r w:rsidRPr="00D42713">
          <w:rPr>
            <w:rStyle w:val="Hyperlink"/>
          </w:rPr>
          <w:t>A/HRC/</w:t>
        </w:r>
        <w:r w:rsidRPr="0044719E">
          <w:rPr>
            <w:rStyle w:val="Hyperlink"/>
          </w:rPr>
          <w:t>34</w:t>
        </w:r>
        <w:r w:rsidRPr="00D42713">
          <w:rPr>
            <w:rStyle w:val="Hyperlink"/>
          </w:rPr>
          <w:t>/</w:t>
        </w:r>
        <w:r w:rsidRPr="0044719E">
          <w:rPr>
            <w:rStyle w:val="Hyperlink"/>
          </w:rPr>
          <w:t>55</w:t>
        </w:r>
      </w:hyperlink>
      <w:r w:rsidRPr="00073F6C">
        <w:rPr>
          <w:rtl/>
        </w:rPr>
        <w:t xml:space="preserve">، الفقرة </w:t>
      </w:r>
      <w:r w:rsidRPr="0044719E">
        <w:rPr>
          <w:rtl/>
        </w:rPr>
        <w:t>95</w:t>
      </w:r>
      <w:r w:rsidRPr="00073F6C">
        <w:rPr>
          <w:rtl/>
        </w:rPr>
        <w:t>؛ و</w:t>
      </w:r>
      <w:hyperlink r:id="rId29" w:history="1">
        <w:r w:rsidRPr="00D42713">
          <w:rPr>
            <w:rStyle w:val="Hyperlink"/>
          </w:rPr>
          <w:t>CRC/C/BRN/CO/</w:t>
        </w:r>
        <w:r w:rsidRPr="0044719E">
          <w:rPr>
            <w:rStyle w:val="Hyperlink"/>
          </w:rPr>
          <w:t>2</w:t>
        </w:r>
        <w:r w:rsidRPr="00D42713">
          <w:rPr>
            <w:rStyle w:val="Hyperlink"/>
          </w:rPr>
          <w:t>-</w:t>
        </w:r>
        <w:r w:rsidRPr="0044719E">
          <w:rPr>
            <w:rStyle w:val="Hyperlink"/>
          </w:rPr>
          <w:t>3</w:t>
        </w:r>
      </w:hyperlink>
      <w:r w:rsidRPr="00073F6C">
        <w:rPr>
          <w:rtl/>
        </w:rPr>
        <w:t xml:space="preserve">، الفقرة </w:t>
      </w:r>
      <w:r w:rsidRPr="0044719E">
        <w:rPr>
          <w:rtl/>
        </w:rPr>
        <w:t>32</w:t>
      </w:r>
      <w:r w:rsidRPr="00073F6C">
        <w:rPr>
          <w:rtl/>
        </w:rPr>
        <w:t>؛ و</w:t>
      </w:r>
      <w:hyperlink r:id="rId30" w:history="1">
        <w:r w:rsidRPr="00D42713">
          <w:rPr>
            <w:rStyle w:val="Hyperlink"/>
          </w:rPr>
          <w:t>CRC/C/VNM/CO/</w:t>
        </w:r>
        <w:r w:rsidRPr="0044719E">
          <w:rPr>
            <w:rStyle w:val="Hyperlink"/>
          </w:rPr>
          <w:t>3</w:t>
        </w:r>
        <w:r w:rsidRPr="00D42713">
          <w:rPr>
            <w:rStyle w:val="Hyperlink"/>
          </w:rPr>
          <w:t>-</w:t>
        </w:r>
        <w:r w:rsidRPr="0044719E">
          <w:rPr>
            <w:rStyle w:val="Hyperlink"/>
          </w:rPr>
          <w:t>4</w:t>
        </w:r>
      </w:hyperlink>
      <w:r w:rsidRPr="00073F6C">
        <w:rPr>
          <w:rtl/>
        </w:rPr>
        <w:t xml:space="preserve">، الفقرة </w:t>
      </w:r>
      <w:r w:rsidRPr="0044719E">
        <w:rPr>
          <w:rtl/>
        </w:rPr>
        <w:t>38</w:t>
      </w:r>
      <w:r w:rsidRPr="00073F6C">
        <w:rPr>
          <w:rtl/>
        </w:rPr>
        <w:t>؛ و</w:t>
      </w:r>
      <w:hyperlink r:id="rId31" w:history="1">
        <w:r w:rsidRPr="00D42713">
          <w:rPr>
            <w:rStyle w:val="Hyperlink"/>
          </w:rPr>
          <w:t>CRC/C/TLS/CO/</w:t>
        </w:r>
        <w:r w:rsidRPr="0044719E">
          <w:rPr>
            <w:rStyle w:val="Hyperlink"/>
          </w:rPr>
          <w:t>1</w:t>
        </w:r>
      </w:hyperlink>
      <w:r w:rsidRPr="00073F6C">
        <w:rPr>
          <w:rtl/>
        </w:rPr>
        <w:t xml:space="preserve">، الفقرة </w:t>
      </w:r>
      <w:r w:rsidRPr="0044719E">
        <w:rPr>
          <w:rtl/>
        </w:rPr>
        <w:t>34</w:t>
      </w:r>
      <w:r w:rsidRPr="00D42713">
        <w:rPr>
          <w:rtl/>
        </w:rPr>
        <w:t xml:space="preserve">. </w:t>
      </w:r>
    </w:p>
  </w:footnote>
  <w:footnote w:id="38">
    <w:p w14:paraId="6DD30867" w14:textId="5D5785BB"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32" w:history="1">
        <w:r w:rsidRPr="00D42713">
          <w:rPr>
            <w:rStyle w:val="Hyperlink"/>
          </w:rPr>
          <w:t>CED/C/ITA/CO/</w:t>
        </w:r>
        <w:r w:rsidRPr="0044719E">
          <w:rPr>
            <w:rStyle w:val="Hyperlink"/>
          </w:rPr>
          <w:t>1</w:t>
        </w:r>
      </w:hyperlink>
      <w:r w:rsidRPr="00073F6C">
        <w:rPr>
          <w:rtl/>
        </w:rPr>
        <w:t xml:space="preserve">، الفقرتان </w:t>
      </w:r>
      <w:r w:rsidRPr="0044719E">
        <w:rPr>
          <w:rtl/>
        </w:rPr>
        <w:t>23</w:t>
      </w:r>
      <w:r>
        <w:rPr>
          <w:rtl/>
        </w:rPr>
        <w:t xml:space="preserve"> و</w:t>
      </w:r>
      <w:r w:rsidRPr="0044719E">
        <w:rPr>
          <w:rtl/>
        </w:rPr>
        <w:t>34</w:t>
      </w:r>
      <w:r w:rsidRPr="00073F6C">
        <w:rPr>
          <w:rtl/>
        </w:rPr>
        <w:t>؛ و</w:t>
      </w:r>
      <w:hyperlink r:id="rId33" w:history="1">
        <w:r w:rsidRPr="00D42713">
          <w:rPr>
            <w:rStyle w:val="Hyperlink"/>
          </w:rPr>
          <w:t>CED/C/MEX/CO/</w:t>
        </w:r>
        <w:r w:rsidRPr="0044719E">
          <w:rPr>
            <w:rStyle w:val="Hyperlink"/>
          </w:rPr>
          <w:t>1</w:t>
        </w:r>
      </w:hyperlink>
      <w:r w:rsidRPr="00073F6C">
        <w:rPr>
          <w:rtl/>
        </w:rPr>
        <w:t xml:space="preserve">، الفقرة </w:t>
      </w:r>
      <w:r w:rsidRPr="0044719E">
        <w:rPr>
          <w:rtl/>
        </w:rPr>
        <w:t>23</w:t>
      </w:r>
      <w:r w:rsidRPr="00D42713">
        <w:rPr>
          <w:rtl/>
        </w:rPr>
        <w:t xml:space="preserve">. </w:t>
      </w:r>
    </w:p>
  </w:footnote>
  <w:footnote w:id="39">
    <w:p w14:paraId="25CB575C" w14:textId="77777777" w:rsidR="00D42713" w:rsidRPr="00073F6C" w:rsidRDefault="00D42713" w:rsidP="005A6F49">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34" w:history="1">
        <w:r w:rsidRPr="00D42713">
          <w:rPr>
            <w:rStyle w:val="Hyperlink"/>
          </w:rPr>
          <w:t>CRPD/C/HUN/CO/</w:t>
        </w:r>
        <w:r w:rsidRPr="0044719E">
          <w:rPr>
            <w:rStyle w:val="Hyperlink"/>
          </w:rPr>
          <w:t>2</w:t>
        </w:r>
        <w:r w:rsidRPr="00D42713">
          <w:rPr>
            <w:rStyle w:val="Hyperlink"/>
          </w:rPr>
          <w:t>-</w:t>
        </w:r>
        <w:r w:rsidRPr="0044719E">
          <w:rPr>
            <w:rStyle w:val="Hyperlink"/>
          </w:rPr>
          <w:t>3</w:t>
        </w:r>
      </w:hyperlink>
      <w:r w:rsidRPr="00073F6C">
        <w:rPr>
          <w:rtl/>
        </w:rPr>
        <w:t xml:space="preserve">، الفقرة </w:t>
      </w:r>
      <w:r w:rsidRPr="0044719E">
        <w:rPr>
          <w:rtl/>
        </w:rPr>
        <w:t>39</w:t>
      </w:r>
      <w:r w:rsidRPr="00073F6C">
        <w:rPr>
          <w:rtl/>
        </w:rPr>
        <w:t>؛ و</w:t>
      </w:r>
      <w:hyperlink r:id="rId35" w:history="1">
        <w:r w:rsidRPr="00D42713">
          <w:rPr>
            <w:rStyle w:val="Hyperlink"/>
          </w:rPr>
          <w:t>CRPD/C/IRQ/CO/</w:t>
        </w:r>
        <w:r w:rsidRPr="0044719E">
          <w:rPr>
            <w:rStyle w:val="Hyperlink"/>
          </w:rPr>
          <w:t>1</w:t>
        </w:r>
      </w:hyperlink>
      <w:r w:rsidRPr="00073F6C">
        <w:rPr>
          <w:rtl/>
        </w:rPr>
        <w:t xml:space="preserve">، الفقرة </w:t>
      </w:r>
      <w:r w:rsidRPr="0044719E">
        <w:rPr>
          <w:rtl/>
        </w:rPr>
        <w:t>22</w:t>
      </w:r>
      <w:r w:rsidRPr="00D42713">
        <w:rPr>
          <w:rtl/>
        </w:rPr>
        <w:t xml:space="preserve">. </w:t>
      </w:r>
    </w:p>
  </w:footnote>
  <w:footnote w:id="40">
    <w:p w14:paraId="3A3B1AE6" w14:textId="3772CAEA"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36" w:history="1">
        <w:r w:rsidRPr="00D42713">
          <w:rPr>
            <w:rStyle w:val="Hyperlink"/>
          </w:rPr>
          <w:t>CRC/C/DJI/CO/</w:t>
        </w:r>
        <w:r w:rsidRPr="0044719E">
          <w:rPr>
            <w:rStyle w:val="Hyperlink"/>
          </w:rPr>
          <w:t>3</w:t>
        </w:r>
        <w:r w:rsidRPr="00D42713">
          <w:rPr>
            <w:rStyle w:val="Hyperlink"/>
          </w:rPr>
          <w:t>-</w:t>
        </w:r>
        <w:r w:rsidRPr="0044719E">
          <w:rPr>
            <w:rStyle w:val="Hyperlink"/>
          </w:rPr>
          <w:t>5</w:t>
        </w:r>
      </w:hyperlink>
      <w:r w:rsidRPr="00073F6C">
        <w:rPr>
          <w:rtl/>
        </w:rPr>
        <w:t xml:space="preserve">، الفقرة </w:t>
      </w:r>
      <w:r w:rsidRPr="0044719E">
        <w:rPr>
          <w:rtl/>
        </w:rPr>
        <w:t>38</w:t>
      </w:r>
      <w:r w:rsidRPr="00073F6C">
        <w:rPr>
          <w:rtl/>
        </w:rPr>
        <w:t>؛ و</w:t>
      </w:r>
      <w:hyperlink r:id="rId37" w:history="1">
        <w:r w:rsidRPr="00D42713">
          <w:rPr>
            <w:rStyle w:val="Hyperlink"/>
          </w:rPr>
          <w:t>CRC/C/SOM/CO/</w:t>
        </w:r>
        <w:r w:rsidRPr="0044719E">
          <w:rPr>
            <w:rStyle w:val="Hyperlink"/>
          </w:rPr>
          <w:t>1</w:t>
        </w:r>
      </w:hyperlink>
      <w:r w:rsidRPr="00073F6C">
        <w:rPr>
          <w:rtl/>
        </w:rPr>
        <w:t xml:space="preserve">، الفقرات </w:t>
      </w:r>
      <w:r w:rsidRPr="0044719E">
        <w:rPr>
          <w:rtl/>
        </w:rPr>
        <w:t>4</w:t>
      </w:r>
      <w:r w:rsidRPr="00073F6C">
        <w:rPr>
          <w:rtl/>
        </w:rPr>
        <w:t xml:space="preserve"> و</w:t>
      </w:r>
      <w:r w:rsidRPr="0044719E">
        <w:rPr>
          <w:rtl/>
        </w:rPr>
        <w:t>54</w:t>
      </w:r>
      <w:r w:rsidRPr="00073F6C">
        <w:rPr>
          <w:rtl/>
        </w:rPr>
        <w:t xml:space="preserve"> و</w:t>
      </w:r>
      <w:r w:rsidRPr="0044719E">
        <w:rPr>
          <w:rtl/>
        </w:rPr>
        <w:t>55</w:t>
      </w:r>
      <w:r w:rsidRPr="00073F6C">
        <w:rPr>
          <w:rtl/>
        </w:rPr>
        <w:t>؛ و</w:t>
      </w:r>
      <w:hyperlink r:id="rId38" w:history="1">
        <w:r w:rsidRPr="00D42713">
          <w:rPr>
            <w:rStyle w:val="Hyperlink"/>
          </w:rPr>
          <w:t>CRC/C/MDG/CO/</w:t>
        </w:r>
        <w:r w:rsidRPr="0044719E">
          <w:rPr>
            <w:rStyle w:val="Hyperlink"/>
          </w:rPr>
          <w:t>5</w:t>
        </w:r>
        <w:r w:rsidRPr="00D42713">
          <w:rPr>
            <w:rStyle w:val="Hyperlink"/>
          </w:rPr>
          <w:t>-</w:t>
        </w:r>
        <w:r w:rsidRPr="0044719E">
          <w:rPr>
            <w:rStyle w:val="Hyperlink"/>
          </w:rPr>
          <w:t>6</w:t>
        </w:r>
      </w:hyperlink>
      <w:r w:rsidRPr="00073F6C">
        <w:rPr>
          <w:rtl/>
        </w:rPr>
        <w:t xml:space="preserve">، الفقرة </w:t>
      </w:r>
      <w:r w:rsidRPr="0044719E">
        <w:rPr>
          <w:rtl/>
        </w:rPr>
        <w:t>37</w:t>
      </w:r>
      <w:r w:rsidRPr="00D42713">
        <w:rPr>
          <w:rtl/>
        </w:rPr>
        <w:t xml:space="preserve">. </w:t>
      </w:r>
      <w:r w:rsidRPr="00073F6C">
        <w:rPr>
          <w:rtl/>
        </w:rPr>
        <w:t xml:space="preserve">واللجنة المعنية بالقضاء على التمييز ضد المرأة، التوصية العامة رقم </w:t>
      </w:r>
      <w:r w:rsidRPr="0044719E">
        <w:rPr>
          <w:rtl/>
        </w:rPr>
        <w:t>37</w:t>
      </w:r>
      <w:r w:rsidRPr="00073F6C">
        <w:rPr>
          <w:rtl/>
        </w:rPr>
        <w:t>(</w:t>
      </w:r>
      <w:r w:rsidRPr="0044719E">
        <w:rPr>
          <w:rtl/>
        </w:rPr>
        <w:t>2018</w:t>
      </w:r>
      <w:r w:rsidRPr="00D42713">
        <w:rPr>
          <w:rtl/>
        </w:rPr>
        <w:t xml:space="preserve">) </w:t>
      </w:r>
      <w:r w:rsidRPr="00073F6C">
        <w:rPr>
          <w:rtl/>
        </w:rPr>
        <w:t xml:space="preserve">بشأن الأبعاد الجنسانية للحد من </w:t>
      </w:r>
      <w:proofErr w:type="gramStart"/>
      <w:r w:rsidRPr="00073F6C">
        <w:rPr>
          <w:rtl/>
        </w:rPr>
        <w:t>مخاطر</w:t>
      </w:r>
      <w:proofErr w:type="gramEnd"/>
      <w:r w:rsidRPr="00073F6C">
        <w:rPr>
          <w:rtl/>
        </w:rPr>
        <w:t xml:space="preserve"> الكوارث في سياق تغير المناخ</w:t>
      </w:r>
      <w:r>
        <w:rPr>
          <w:rtl/>
        </w:rPr>
        <w:t xml:space="preserve">. </w:t>
      </w:r>
    </w:p>
  </w:footnote>
  <w:footnote w:id="41">
    <w:p w14:paraId="71A295EF" w14:textId="77777777" w:rsidR="00D42713" w:rsidRPr="00073F6C" w:rsidRDefault="00D42713" w:rsidP="00D42713">
      <w:pPr>
        <w:pStyle w:val="FootnoteText1"/>
        <w:textDirection w:val="tbRlV"/>
        <w:rPr>
          <w:rtl/>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39" w:history="1">
        <w:r w:rsidRPr="00D42713">
          <w:rPr>
            <w:rStyle w:val="Hyperlink"/>
          </w:rPr>
          <w:t>CRC/C/MHL/CO/</w:t>
        </w:r>
        <w:r w:rsidRPr="0044719E">
          <w:rPr>
            <w:rStyle w:val="Hyperlink"/>
          </w:rPr>
          <w:t>2</w:t>
        </w:r>
      </w:hyperlink>
      <w:r w:rsidRPr="00073F6C">
        <w:rPr>
          <w:rtl/>
        </w:rPr>
        <w:t xml:space="preserve">، الفقرة </w:t>
      </w:r>
      <w:r w:rsidRPr="0044719E">
        <w:rPr>
          <w:rtl/>
        </w:rPr>
        <w:t>40</w:t>
      </w:r>
      <w:r w:rsidRPr="00073F6C">
        <w:rPr>
          <w:rtl/>
        </w:rPr>
        <w:t>؛ و</w:t>
      </w:r>
      <w:hyperlink r:id="rId40" w:history="1">
        <w:r w:rsidRPr="00D42713">
          <w:rPr>
            <w:rStyle w:val="Hyperlink"/>
          </w:rPr>
          <w:t>CRC/C/ESP/CO/</w:t>
        </w:r>
        <w:r w:rsidRPr="0044719E">
          <w:rPr>
            <w:rStyle w:val="Hyperlink"/>
          </w:rPr>
          <w:t>3</w:t>
        </w:r>
        <w:r w:rsidRPr="00D42713">
          <w:rPr>
            <w:rStyle w:val="Hyperlink"/>
          </w:rPr>
          <w:t>-</w:t>
        </w:r>
        <w:r w:rsidRPr="0044719E">
          <w:rPr>
            <w:rStyle w:val="Hyperlink"/>
          </w:rPr>
          <w:t>4</w:t>
        </w:r>
      </w:hyperlink>
      <w:r w:rsidRPr="00073F6C">
        <w:rPr>
          <w:rtl/>
        </w:rPr>
        <w:t xml:space="preserve">، الفقرة </w:t>
      </w:r>
      <w:r w:rsidRPr="0044719E">
        <w:rPr>
          <w:rtl/>
        </w:rPr>
        <w:t>45</w:t>
      </w:r>
      <w:r w:rsidRPr="00073F6C">
        <w:rPr>
          <w:rtl/>
        </w:rPr>
        <w:t>؛ و</w:t>
      </w:r>
      <w:hyperlink r:id="rId41" w:history="1">
        <w:r w:rsidRPr="00D42713">
          <w:rPr>
            <w:rStyle w:val="Hyperlink"/>
          </w:rPr>
          <w:t>CRC/C/OPSC/ALB/CO/</w:t>
        </w:r>
        <w:r w:rsidRPr="0044719E">
          <w:rPr>
            <w:rStyle w:val="Hyperlink"/>
          </w:rPr>
          <w:t>1</w:t>
        </w:r>
      </w:hyperlink>
      <w:r w:rsidRPr="00073F6C">
        <w:rPr>
          <w:rtl/>
        </w:rPr>
        <w:t xml:space="preserve">، الفقرة </w:t>
      </w:r>
      <w:r w:rsidRPr="0044719E">
        <w:rPr>
          <w:rtl/>
        </w:rPr>
        <w:t>26</w:t>
      </w:r>
      <w:r w:rsidRPr="00073F6C">
        <w:rPr>
          <w:rtl/>
        </w:rPr>
        <w:t xml:space="preserve">؛ </w:t>
      </w:r>
      <w:r w:rsidRPr="005A6F49">
        <w:rPr>
          <w:spacing w:val="-4"/>
          <w:rtl/>
        </w:rPr>
        <w:t>و</w:t>
      </w:r>
      <w:hyperlink r:id="rId42" w:history="1">
        <w:r w:rsidRPr="005A6F49">
          <w:rPr>
            <w:rStyle w:val="Hyperlink"/>
            <w:spacing w:val="-4"/>
          </w:rPr>
          <w:t>CRC/C/OPSC/GRC/CO/</w:t>
        </w:r>
        <w:r w:rsidRPr="0044719E">
          <w:rPr>
            <w:rStyle w:val="Hyperlink"/>
            <w:spacing w:val="-4"/>
          </w:rPr>
          <w:t>1</w:t>
        </w:r>
      </w:hyperlink>
      <w:r w:rsidRPr="005A6F49">
        <w:rPr>
          <w:spacing w:val="-4"/>
          <w:rtl/>
        </w:rPr>
        <w:t xml:space="preserve">، الفقرة </w:t>
      </w:r>
      <w:r w:rsidRPr="0044719E">
        <w:rPr>
          <w:spacing w:val="-4"/>
          <w:rtl/>
        </w:rPr>
        <w:t>27</w:t>
      </w:r>
      <w:r w:rsidRPr="005A6F49">
        <w:rPr>
          <w:spacing w:val="-4"/>
          <w:rtl/>
        </w:rPr>
        <w:t>؛ و</w:t>
      </w:r>
      <w:hyperlink r:id="rId43" w:history="1">
        <w:r w:rsidRPr="005A6F49">
          <w:rPr>
            <w:rStyle w:val="Hyperlink"/>
            <w:spacing w:val="-4"/>
          </w:rPr>
          <w:t>CRC/C/OPSC/MNE/CO/</w:t>
        </w:r>
        <w:r w:rsidRPr="0044719E">
          <w:rPr>
            <w:rStyle w:val="Hyperlink"/>
            <w:spacing w:val="-4"/>
          </w:rPr>
          <w:t>1</w:t>
        </w:r>
      </w:hyperlink>
      <w:r w:rsidRPr="005A6F49">
        <w:rPr>
          <w:spacing w:val="-4"/>
          <w:rtl/>
        </w:rPr>
        <w:t xml:space="preserve">، الفقرة </w:t>
      </w:r>
      <w:r w:rsidRPr="0044719E">
        <w:rPr>
          <w:spacing w:val="-4"/>
          <w:rtl/>
        </w:rPr>
        <w:t>30</w:t>
      </w:r>
      <w:r w:rsidRPr="005A6F49">
        <w:rPr>
          <w:spacing w:val="-4"/>
          <w:rtl/>
        </w:rPr>
        <w:t>؛ و</w:t>
      </w:r>
      <w:hyperlink r:id="rId44" w:history="1">
        <w:r w:rsidRPr="005A6F49">
          <w:rPr>
            <w:rStyle w:val="Hyperlink"/>
            <w:spacing w:val="-4"/>
          </w:rPr>
          <w:t>CRC/C/OPSC/SRB/CO/</w:t>
        </w:r>
        <w:r w:rsidRPr="0044719E">
          <w:rPr>
            <w:rStyle w:val="Hyperlink"/>
            <w:spacing w:val="-4"/>
          </w:rPr>
          <w:t>1</w:t>
        </w:r>
      </w:hyperlink>
      <w:r w:rsidRPr="005A6F49">
        <w:rPr>
          <w:spacing w:val="-4"/>
          <w:rtl/>
        </w:rPr>
        <w:t>،</w:t>
      </w:r>
      <w:r w:rsidRPr="00073F6C">
        <w:rPr>
          <w:rtl/>
        </w:rPr>
        <w:t xml:space="preserve"> الفقرة </w:t>
      </w:r>
      <w:r w:rsidRPr="0044719E">
        <w:rPr>
          <w:rtl/>
        </w:rPr>
        <w:t>36</w:t>
      </w:r>
      <w:r w:rsidRPr="00073F6C">
        <w:rPr>
          <w:rtl/>
        </w:rPr>
        <w:t>؛ و</w:t>
      </w:r>
      <w:hyperlink r:id="rId45" w:history="1">
        <w:r w:rsidRPr="00D42713">
          <w:rPr>
            <w:rStyle w:val="Hyperlink"/>
          </w:rPr>
          <w:t>CRC/C/YEM/CO/</w:t>
        </w:r>
        <w:r w:rsidRPr="0044719E">
          <w:rPr>
            <w:rStyle w:val="Hyperlink"/>
          </w:rPr>
          <w:t>4</w:t>
        </w:r>
      </w:hyperlink>
      <w:r w:rsidRPr="00073F6C">
        <w:rPr>
          <w:rtl/>
        </w:rPr>
        <w:t xml:space="preserve">، الفقرة </w:t>
      </w:r>
      <w:r w:rsidRPr="0044719E">
        <w:rPr>
          <w:rtl/>
        </w:rPr>
        <w:t>83</w:t>
      </w:r>
      <w:r w:rsidRPr="00D42713">
        <w:rPr>
          <w:rtl/>
        </w:rPr>
        <w:t xml:space="preserve">. </w:t>
      </w:r>
    </w:p>
  </w:footnote>
  <w:footnote w:id="42">
    <w:p w14:paraId="224AA857" w14:textId="77777777"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الاتفاقية الدولية لحماية جميع الأشخاص من الاختفاء القسري، المادتان </w:t>
      </w:r>
      <w:r w:rsidRPr="0044719E">
        <w:rPr>
          <w:rtl/>
        </w:rPr>
        <w:t>4</w:t>
      </w:r>
      <w:r w:rsidRPr="00073F6C">
        <w:rPr>
          <w:rtl/>
        </w:rPr>
        <w:t xml:space="preserve"> و</w:t>
      </w:r>
      <w:r w:rsidRPr="0044719E">
        <w:rPr>
          <w:rtl/>
        </w:rPr>
        <w:t>8</w:t>
      </w:r>
      <w:r w:rsidRPr="00073F6C">
        <w:rPr>
          <w:rtl/>
        </w:rPr>
        <w:t xml:space="preserve">؛ وبروتوكول منع وقمع ومعاقبة الاتِّجار بالأشخاص، وبخاصة النساء والأطفال، المكمل لاتفاقية الأمم المتحدة لمكافحة الجريمة المنظمة عبر الوطنية، المادة </w:t>
      </w:r>
      <w:r w:rsidRPr="0044719E">
        <w:rPr>
          <w:rtl/>
        </w:rPr>
        <w:t>5</w:t>
      </w:r>
      <w:r w:rsidRPr="00073F6C">
        <w:rPr>
          <w:rtl/>
        </w:rPr>
        <w:t>؛ و</w:t>
      </w:r>
      <w:r w:rsidRPr="00073F6C">
        <w:t>Association of Southeast Asian Nations (ASEA</w:t>
      </w:r>
      <w:r w:rsidRPr="00D42713">
        <w:t xml:space="preserve">N) </w:t>
      </w:r>
      <w:r w:rsidRPr="00073F6C">
        <w:t>Convention against Trafficking in Person</w:t>
      </w:r>
      <w:r w:rsidRPr="00D42713">
        <w:t xml:space="preserve">s, </w:t>
      </w:r>
      <w:r w:rsidRPr="00073F6C">
        <w:t>especially Women and Childre</w:t>
      </w:r>
      <w:r w:rsidRPr="00D42713">
        <w:t xml:space="preserve">n, </w:t>
      </w:r>
      <w:r w:rsidRPr="00073F6C">
        <w:t>ar</w:t>
      </w:r>
      <w:r w:rsidRPr="00D42713">
        <w:t xml:space="preserve">t. </w:t>
      </w:r>
      <w:r w:rsidRPr="0044719E">
        <w:t>5</w:t>
      </w:r>
      <w:r w:rsidRPr="00D42713">
        <w:rPr>
          <w:rtl/>
        </w:rPr>
        <w:t xml:space="preserve">. </w:t>
      </w:r>
    </w:p>
  </w:footnote>
  <w:footnote w:id="43">
    <w:p w14:paraId="2BDFEE77" w14:textId="77777777"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الفريق العامل المعني بحالات الاختفاء القسري أو غير الطوعي، التعليق العام بشأن الأطفال وحالات الاختفاء القسري (</w:t>
      </w:r>
      <w:r w:rsidRPr="0044719E">
        <w:rPr>
          <w:rtl/>
        </w:rPr>
        <w:t>2012</w:t>
      </w:r>
      <w:r w:rsidRPr="00D42713">
        <w:rPr>
          <w:rtl/>
        </w:rPr>
        <w:t xml:space="preserve">)، </w:t>
      </w:r>
      <w:r w:rsidRPr="00073F6C">
        <w:rPr>
          <w:rtl/>
        </w:rPr>
        <w:t xml:space="preserve">الفقرة </w:t>
      </w:r>
      <w:r w:rsidRPr="0044719E">
        <w:rPr>
          <w:rtl/>
        </w:rPr>
        <w:t>9</w:t>
      </w:r>
      <w:r w:rsidRPr="00073F6C">
        <w:rPr>
          <w:rtl/>
        </w:rPr>
        <w:t xml:space="preserve">؛ والاتفاقية الدولية لحماية جميع الأشخاص من الاختفاء القسري، الفقرة </w:t>
      </w:r>
      <w:r w:rsidRPr="0044719E">
        <w:rPr>
          <w:rtl/>
        </w:rPr>
        <w:t>2</w:t>
      </w:r>
      <w:r w:rsidRPr="00073F6C">
        <w:rPr>
          <w:rtl/>
        </w:rPr>
        <w:t xml:space="preserve">(ب) من المادة </w:t>
      </w:r>
      <w:r w:rsidRPr="0044719E">
        <w:rPr>
          <w:rtl/>
        </w:rPr>
        <w:t>7</w:t>
      </w:r>
      <w:r w:rsidRPr="00073F6C">
        <w:rPr>
          <w:rtl/>
        </w:rPr>
        <w:t>؛ و</w:t>
      </w:r>
      <w:hyperlink r:id="rId46" w:history="1">
        <w:r w:rsidRPr="00D42713">
          <w:rPr>
            <w:rStyle w:val="Hyperlink"/>
          </w:rPr>
          <w:t>CED/C/CHE/CO/</w:t>
        </w:r>
        <w:r w:rsidRPr="0044719E">
          <w:rPr>
            <w:rStyle w:val="Hyperlink"/>
          </w:rPr>
          <w:t>1</w:t>
        </w:r>
      </w:hyperlink>
      <w:r w:rsidRPr="00073F6C">
        <w:rPr>
          <w:rtl/>
        </w:rPr>
        <w:t xml:space="preserve">، الفقرة </w:t>
      </w:r>
      <w:r w:rsidRPr="0044719E">
        <w:rPr>
          <w:rtl/>
        </w:rPr>
        <w:t>16</w:t>
      </w:r>
      <w:r w:rsidRPr="00D42713">
        <w:rPr>
          <w:rtl/>
        </w:rPr>
        <w:t xml:space="preserve">. </w:t>
      </w:r>
    </w:p>
  </w:footnote>
  <w:footnote w:id="44">
    <w:p w14:paraId="48E5FA64" w14:textId="77777777" w:rsidR="00D42713" w:rsidRPr="00073F6C" w:rsidRDefault="00D42713" w:rsidP="004E459B">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الاتفاقية الدولية لحماية جميع الأشخاص من الاختفاء القسري، المادة </w:t>
      </w:r>
      <w:r w:rsidRPr="0044719E">
        <w:rPr>
          <w:rtl/>
        </w:rPr>
        <w:t>8</w:t>
      </w:r>
      <w:r w:rsidRPr="00073F6C">
        <w:rPr>
          <w:rtl/>
        </w:rPr>
        <w:t xml:space="preserve">؛ والإعلان المتعلق بحماية جميع الأشخاص من الاختفاء القسري، المادة </w:t>
      </w:r>
      <w:r w:rsidRPr="0044719E">
        <w:rPr>
          <w:rtl/>
        </w:rPr>
        <w:t>17</w:t>
      </w:r>
      <w:r w:rsidRPr="00D42713">
        <w:rPr>
          <w:rtl/>
        </w:rPr>
        <w:t xml:space="preserve">. </w:t>
      </w:r>
    </w:p>
  </w:footnote>
  <w:footnote w:id="45">
    <w:p w14:paraId="74A36044" w14:textId="77777777" w:rsidR="00D42713" w:rsidRPr="00073F6C" w:rsidRDefault="00D42713" w:rsidP="005B1F85">
      <w:pPr>
        <w:pStyle w:val="FootnoteText1"/>
        <w:spacing w:line="266" w:lineRule="exact"/>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r w:rsidRPr="008E60E9">
        <w:rPr>
          <w:spacing w:val="-4"/>
          <w:rtl/>
        </w:rPr>
        <w:t xml:space="preserve">الاتفاقية الدولية لحماية جميع الأشخاص من الاختفاء القسري، الفقرتان </w:t>
      </w:r>
      <w:r w:rsidRPr="0044719E">
        <w:rPr>
          <w:spacing w:val="-4"/>
          <w:rtl/>
        </w:rPr>
        <w:t>1</w:t>
      </w:r>
      <w:r w:rsidRPr="008E60E9">
        <w:rPr>
          <w:spacing w:val="-4"/>
          <w:rtl/>
        </w:rPr>
        <w:t xml:space="preserve"> و</w:t>
      </w:r>
      <w:r w:rsidRPr="0044719E">
        <w:rPr>
          <w:spacing w:val="-4"/>
          <w:rtl/>
        </w:rPr>
        <w:t>2</w:t>
      </w:r>
      <w:r w:rsidRPr="008E60E9">
        <w:rPr>
          <w:spacing w:val="-4"/>
          <w:rtl/>
        </w:rPr>
        <w:t xml:space="preserve"> من المادة </w:t>
      </w:r>
      <w:r w:rsidRPr="0044719E">
        <w:rPr>
          <w:spacing w:val="-4"/>
          <w:rtl/>
        </w:rPr>
        <w:t>12</w:t>
      </w:r>
      <w:r w:rsidRPr="008E60E9">
        <w:rPr>
          <w:spacing w:val="-4"/>
          <w:rtl/>
        </w:rPr>
        <w:t>؛ و</w:t>
      </w:r>
      <w:hyperlink r:id="rId47" w:history="1">
        <w:r w:rsidRPr="008E60E9">
          <w:rPr>
            <w:rStyle w:val="Hyperlink"/>
            <w:spacing w:val="-4"/>
          </w:rPr>
          <w:t>CED/C/CHE/CO/</w:t>
        </w:r>
        <w:r w:rsidRPr="0044719E">
          <w:rPr>
            <w:rStyle w:val="Hyperlink"/>
            <w:spacing w:val="-4"/>
          </w:rPr>
          <w:t>1</w:t>
        </w:r>
      </w:hyperlink>
      <w:r w:rsidRPr="008E60E9">
        <w:rPr>
          <w:spacing w:val="-4"/>
          <w:rtl/>
        </w:rPr>
        <w:t xml:space="preserve">، الفقرة </w:t>
      </w:r>
      <w:r w:rsidRPr="0044719E">
        <w:rPr>
          <w:spacing w:val="-4"/>
          <w:rtl/>
        </w:rPr>
        <w:t>40</w:t>
      </w:r>
      <w:r w:rsidRPr="008E60E9">
        <w:rPr>
          <w:spacing w:val="-4"/>
          <w:rtl/>
        </w:rPr>
        <w:t>(أ)؛</w:t>
      </w:r>
      <w:r w:rsidRPr="00D42713">
        <w:rPr>
          <w:rtl/>
        </w:rPr>
        <w:t xml:space="preserve"> </w:t>
      </w:r>
      <w:r w:rsidRPr="00073F6C">
        <w:rPr>
          <w:rtl/>
        </w:rPr>
        <w:t>و</w:t>
      </w:r>
      <w:hyperlink r:id="rId48" w:history="1">
        <w:r w:rsidRPr="00D42713">
          <w:rPr>
            <w:rStyle w:val="Hyperlink"/>
          </w:rPr>
          <w:t>CED/C/ARG/CO/</w:t>
        </w:r>
        <w:r w:rsidRPr="0044719E">
          <w:rPr>
            <w:rStyle w:val="Hyperlink"/>
          </w:rPr>
          <w:t>1</w:t>
        </w:r>
      </w:hyperlink>
      <w:r w:rsidRPr="00073F6C">
        <w:rPr>
          <w:rtl/>
        </w:rPr>
        <w:t xml:space="preserve">، الفقرة </w:t>
      </w:r>
      <w:r w:rsidRPr="0044719E">
        <w:rPr>
          <w:rtl/>
        </w:rPr>
        <w:t>17</w:t>
      </w:r>
      <w:r w:rsidRPr="00073F6C">
        <w:rPr>
          <w:rtl/>
        </w:rPr>
        <w:t>؛ و</w:t>
      </w:r>
      <w:hyperlink r:id="rId49" w:history="1">
        <w:r w:rsidRPr="00D42713">
          <w:rPr>
            <w:rStyle w:val="Hyperlink"/>
          </w:rPr>
          <w:t>CRC/C/CHN/CO/</w:t>
        </w:r>
        <w:r w:rsidRPr="0044719E">
          <w:rPr>
            <w:rStyle w:val="Hyperlink"/>
          </w:rPr>
          <w:t>3</w:t>
        </w:r>
        <w:r w:rsidRPr="00D42713">
          <w:rPr>
            <w:rStyle w:val="Hyperlink"/>
          </w:rPr>
          <w:t>-</w:t>
        </w:r>
        <w:r w:rsidRPr="0044719E">
          <w:rPr>
            <w:rStyle w:val="Hyperlink"/>
          </w:rPr>
          <w:t>4</w:t>
        </w:r>
      </w:hyperlink>
      <w:r w:rsidRPr="00073F6C">
        <w:rPr>
          <w:rtl/>
        </w:rPr>
        <w:t xml:space="preserve">، الفقرة </w:t>
      </w:r>
      <w:r w:rsidRPr="0044719E">
        <w:rPr>
          <w:rtl/>
        </w:rPr>
        <w:t>57</w:t>
      </w:r>
      <w:r w:rsidRPr="00073F6C">
        <w:rPr>
          <w:rtl/>
        </w:rPr>
        <w:t>؛ و</w:t>
      </w:r>
      <w:hyperlink r:id="rId50" w:history="1">
        <w:r w:rsidRPr="00D42713">
          <w:rPr>
            <w:rStyle w:val="Hyperlink"/>
          </w:rPr>
          <w:t>CRC/C/DZA/CO/</w:t>
        </w:r>
        <w:r w:rsidRPr="0044719E">
          <w:rPr>
            <w:rStyle w:val="Hyperlink"/>
          </w:rPr>
          <w:t>3</w:t>
        </w:r>
        <w:r w:rsidRPr="00D42713">
          <w:rPr>
            <w:rStyle w:val="Hyperlink"/>
          </w:rPr>
          <w:t>-</w:t>
        </w:r>
        <w:r w:rsidRPr="0044719E">
          <w:rPr>
            <w:rStyle w:val="Hyperlink"/>
          </w:rPr>
          <w:t>4</w:t>
        </w:r>
      </w:hyperlink>
      <w:r w:rsidRPr="00073F6C">
        <w:rPr>
          <w:rtl/>
        </w:rPr>
        <w:t xml:space="preserve">، الفقرة </w:t>
      </w:r>
      <w:r w:rsidRPr="0044719E">
        <w:rPr>
          <w:rtl/>
        </w:rPr>
        <w:t>54</w:t>
      </w:r>
      <w:r w:rsidRPr="00D42713">
        <w:rPr>
          <w:rtl/>
        </w:rPr>
        <w:t xml:space="preserve">. </w:t>
      </w:r>
      <w:r w:rsidRPr="00073F6C">
        <w:rPr>
          <w:rtl/>
        </w:rPr>
        <w:t xml:space="preserve">انظر أيضاً </w:t>
      </w:r>
      <w:r w:rsidRPr="00073F6C">
        <w:t>Council of Europe Convention on Action against Trafficking in Human Being</w:t>
      </w:r>
      <w:r w:rsidRPr="00D42713">
        <w:t xml:space="preserve">s, </w:t>
      </w:r>
      <w:r w:rsidRPr="00073F6C">
        <w:t>ar</w:t>
      </w:r>
      <w:r w:rsidRPr="00D42713">
        <w:t xml:space="preserve">t. </w:t>
      </w:r>
      <w:r w:rsidRPr="0044719E">
        <w:t>27</w:t>
      </w:r>
      <w:r w:rsidRPr="00073F6C">
        <w:rPr>
          <w:rtl/>
        </w:rPr>
        <w:t>؛ و</w:t>
      </w:r>
      <w:r w:rsidRPr="00073F6C">
        <w:t>ASEAN Convention against Trafficking in Person</w:t>
      </w:r>
      <w:r w:rsidRPr="00D42713">
        <w:t xml:space="preserve">s, </w:t>
      </w:r>
      <w:r w:rsidRPr="00073F6C">
        <w:t>especially Women and Childre</w:t>
      </w:r>
      <w:r w:rsidRPr="00D42713">
        <w:t xml:space="preserve">n, </w:t>
      </w:r>
      <w:r w:rsidRPr="00073F6C">
        <w:t>ar</w:t>
      </w:r>
      <w:r w:rsidRPr="00D42713">
        <w:t xml:space="preserve">t. </w:t>
      </w:r>
      <w:r w:rsidRPr="0044719E">
        <w:t>16</w:t>
      </w:r>
      <w:r w:rsidRPr="00D42713">
        <w:rPr>
          <w:rtl/>
        </w:rPr>
        <w:t xml:space="preserve">. </w:t>
      </w:r>
    </w:p>
  </w:footnote>
  <w:footnote w:id="46">
    <w:p w14:paraId="3E57FABD" w14:textId="77777777" w:rsidR="00D42713" w:rsidRPr="00073F6C" w:rsidRDefault="00D42713" w:rsidP="007D4C84">
      <w:pPr>
        <w:pStyle w:val="FootnoteText1"/>
        <w:spacing w:line="270" w:lineRule="exact"/>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الاتفاقية الدولية لحماية جميع الأشخاص من الاختفاء القسري، الفقرة </w:t>
      </w:r>
      <w:r w:rsidRPr="0044719E">
        <w:rPr>
          <w:rtl/>
        </w:rPr>
        <w:t>1</w:t>
      </w:r>
      <w:r w:rsidRPr="00073F6C">
        <w:rPr>
          <w:rtl/>
        </w:rPr>
        <w:t xml:space="preserve"> من المادة </w:t>
      </w:r>
      <w:r w:rsidRPr="0044719E">
        <w:rPr>
          <w:rtl/>
        </w:rPr>
        <w:t>12</w:t>
      </w:r>
      <w:r w:rsidRPr="00D42713">
        <w:rPr>
          <w:rtl/>
        </w:rPr>
        <w:t xml:space="preserve">. </w:t>
      </w:r>
      <w:r w:rsidRPr="00073F6C">
        <w:rPr>
          <w:rtl/>
        </w:rPr>
        <w:t xml:space="preserve">الإعلان المتعلق بحماية جميع الأشخاص من الاختفاء القسري، الفقرة </w:t>
      </w:r>
      <w:r w:rsidRPr="0044719E">
        <w:rPr>
          <w:rtl/>
        </w:rPr>
        <w:t>3</w:t>
      </w:r>
      <w:r w:rsidRPr="00073F6C">
        <w:rPr>
          <w:rtl/>
        </w:rPr>
        <w:t xml:space="preserve"> من المادة </w:t>
      </w:r>
      <w:r w:rsidRPr="0044719E">
        <w:rPr>
          <w:rtl/>
        </w:rPr>
        <w:t>13</w:t>
      </w:r>
      <w:r w:rsidRPr="00073F6C">
        <w:rPr>
          <w:rtl/>
        </w:rPr>
        <w:t xml:space="preserve">؛ والفريق العامل المعني بحالات الاختفاء القسري أو غير الطوعي، التعليق العام </w:t>
      </w:r>
      <w:r w:rsidRPr="005B1F85">
        <w:rPr>
          <w:spacing w:val="-4"/>
          <w:rtl/>
        </w:rPr>
        <w:t>بشأن الحق في الحقيقة بشأن الاختفاء القسري (</w:t>
      </w:r>
      <w:r w:rsidRPr="0044719E">
        <w:rPr>
          <w:spacing w:val="-4"/>
          <w:rtl/>
        </w:rPr>
        <w:t>2010</w:t>
      </w:r>
      <w:r w:rsidRPr="005B1F85">
        <w:rPr>
          <w:spacing w:val="-4"/>
          <w:rtl/>
        </w:rPr>
        <w:t xml:space="preserve">)، الفقرة </w:t>
      </w:r>
      <w:r w:rsidRPr="0044719E">
        <w:rPr>
          <w:spacing w:val="-4"/>
          <w:rtl/>
        </w:rPr>
        <w:t>5</w:t>
      </w:r>
      <w:r w:rsidRPr="005B1F85">
        <w:rPr>
          <w:spacing w:val="-4"/>
          <w:rtl/>
        </w:rPr>
        <w:t>، والتعليق العام بشأن الأطفال وحالات الاختفاء القسري (</w:t>
      </w:r>
      <w:r w:rsidRPr="0044719E">
        <w:rPr>
          <w:spacing w:val="-4"/>
          <w:rtl/>
        </w:rPr>
        <w:t>2012</w:t>
      </w:r>
      <w:r w:rsidRPr="005B1F85">
        <w:rPr>
          <w:spacing w:val="-4"/>
          <w:rtl/>
        </w:rPr>
        <w:t>)،</w:t>
      </w:r>
      <w:r w:rsidRPr="00D42713">
        <w:rPr>
          <w:rtl/>
        </w:rPr>
        <w:t xml:space="preserve"> </w:t>
      </w:r>
      <w:r w:rsidRPr="00073F6C">
        <w:rPr>
          <w:rtl/>
        </w:rPr>
        <w:t xml:space="preserve">الفقرتان </w:t>
      </w:r>
      <w:r w:rsidRPr="0044719E">
        <w:rPr>
          <w:rtl/>
        </w:rPr>
        <w:t>39</w:t>
      </w:r>
      <w:r w:rsidRPr="00073F6C">
        <w:rPr>
          <w:rtl/>
        </w:rPr>
        <w:t xml:space="preserve"> و</w:t>
      </w:r>
      <w:r w:rsidRPr="0044719E">
        <w:rPr>
          <w:rtl/>
        </w:rPr>
        <w:t>40</w:t>
      </w:r>
      <w:r w:rsidRPr="00073F6C">
        <w:rPr>
          <w:rtl/>
        </w:rPr>
        <w:t>؛ و</w:t>
      </w:r>
      <w:hyperlink r:id="rId51" w:history="1">
        <w:r w:rsidRPr="00D42713">
          <w:rPr>
            <w:rStyle w:val="Hyperlink"/>
          </w:rPr>
          <w:t>A/HRC/</w:t>
        </w:r>
        <w:r w:rsidRPr="0044719E">
          <w:rPr>
            <w:rStyle w:val="Hyperlink"/>
          </w:rPr>
          <w:t>45</w:t>
        </w:r>
        <w:r w:rsidRPr="00D42713">
          <w:rPr>
            <w:rStyle w:val="Hyperlink"/>
          </w:rPr>
          <w:t>/</w:t>
        </w:r>
        <w:r w:rsidRPr="0044719E">
          <w:rPr>
            <w:rStyle w:val="Hyperlink"/>
          </w:rPr>
          <w:t>13</w:t>
        </w:r>
        <w:r w:rsidRPr="00D42713">
          <w:rPr>
            <w:rStyle w:val="Hyperlink"/>
          </w:rPr>
          <w:t>/Add.</w:t>
        </w:r>
        <w:r w:rsidRPr="0044719E">
          <w:rPr>
            <w:rStyle w:val="Hyperlink"/>
          </w:rPr>
          <w:t>3</w:t>
        </w:r>
      </w:hyperlink>
      <w:r w:rsidRPr="00073F6C">
        <w:rPr>
          <w:rtl/>
        </w:rPr>
        <w:t xml:space="preserve">، الفقرات من </w:t>
      </w:r>
      <w:r w:rsidRPr="0044719E">
        <w:rPr>
          <w:rtl/>
        </w:rPr>
        <w:t>60</w:t>
      </w:r>
      <w:r w:rsidRPr="00073F6C">
        <w:rPr>
          <w:rtl/>
        </w:rPr>
        <w:t xml:space="preserve"> إلى </w:t>
      </w:r>
      <w:r w:rsidRPr="0044719E">
        <w:rPr>
          <w:rtl/>
        </w:rPr>
        <w:t>68</w:t>
      </w:r>
      <w:r w:rsidRPr="00D42713">
        <w:rPr>
          <w:rtl/>
        </w:rPr>
        <w:t xml:space="preserve">. </w:t>
      </w:r>
    </w:p>
  </w:footnote>
  <w:footnote w:id="47">
    <w:p w14:paraId="53BD63D0" w14:textId="77777777" w:rsidR="00D42713" w:rsidRPr="00073F6C" w:rsidRDefault="00D42713" w:rsidP="007D4C84">
      <w:pPr>
        <w:pStyle w:val="FootnoteText1"/>
        <w:spacing w:line="270" w:lineRule="exact"/>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و</w:t>
      </w:r>
      <w:hyperlink r:id="rId52" w:history="1">
        <w:r w:rsidRPr="00D42713">
          <w:rPr>
            <w:rStyle w:val="Hyperlink"/>
          </w:rPr>
          <w:t>CED/C/CHL/CO/</w:t>
        </w:r>
        <w:r w:rsidRPr="0044719E">
          <w:rPr>
            <w:rStyle w:val="Hyperlink"/>
          </w:rPr>
          <w:t>1</w:t>
        </w:r>
      </w:hyperlink>
      <w:r w:rsidRPr="00073F6C">
        <w:rPr>
          <w:rtl/>
        </w:rPr>
        <w:t xml:space="preserve">، الفقرة </w:t>
      </w:r>
      <w:r w:rsidRPr="0044719E">
        <w:rPr>
          <w:rtl/>
        </w:rPr>
        <w:t>17</w:t>
      </w:r>
      <w:r w:rsidRPr="00073F6C">
        <w:rPr>
          <w:rtl/>
        </w:rPr>
        <w:t>(ج</w:t>
      </w:r>
      <w:r w:rsidRPr="00D42713">
        <w:rPr>
          <w:rtl/>
        </w:rPr>
        <w:t xml:space="preserve">). </w:t>
      </w:r>
    </w:p>
  </w:footnote>
  <w:footnote w:id="48">
    <w:p w14:paraId="614CB5EB" w14:textId="1AA0D00D" w:rsidR="00D42713" w:rsidRPr="00073F6C" w:rsidRDefault="00D42713" w:rsidP="007D4C84">
      <w:pPr>
        <w:pStyle w:val="FootnoteText1"/>
        <w:spacing w:line="270" w:lineRule="exact"/>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المرجع نفسه، الفقرة </w:t>
      </w:r>
      <w:r w:rsidRPr="0044719E">
        <w:rPr>
          <w:rtl/>
        </w:rPr>
        <w:t>17</w:t>
      </w:r>
      <w:r w:rsidRPr="00073F6C">
        <w:rPr>
          <w:rtl/>
        </w:rPr>
        <w:t>(هـ</w:t>
      </w:r>
      <w:r w:rsidRPr="00D42713">
        <w:rPr>
          <w:rtl/>
        </w:rPr>
        <w:t xml:space="preserve">). </w:t>
      </w:r>
    </w:p>
  </w:footnote>
  <w:footnote w:id="49">
    <w:p w14:paraId="3E5B09C6" w14:textId="77777777" w:rsidR="00D42713" w:rsidRPr="00073F6C" w:rsidRDefault="00D42713" w:rsidP="007D4C84">
      <w:pPr>
        <w:pStyle w:val="FootnoteText1"/>
        <w:spacing w:line="270" w:lineRule="exact"/>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الاتفاقية الدولية لحماية جميع الأشخاص من الاختفاء القسري، المادة </w:t>
      </w:r>
      <w:r w:rsidRPr="0044719E">
        <w:rPr>
          <w:rtl/>
        </w:rPr>
        <w:t>14</w:t>
      </w:r>
      <w:r w:rsidRPr="00D42713">
        <w:rPr>
          <w:rtl/>
        </w:rPr>
        <w:t xml:space="preserve">. </w:t>
      </w:r>
      <w:r w:rsidRPr="00073F6C">
        <w:rPr>
          <w:rtl/>
        </w:rPr>
        <w:t xml:space="preserve">انظر أيضاً اتفاقية الأمم المتحدة لمكافحة الجريمة المنظمة عبر الوطنية، المادة </w:t>
      </w:r>
      <w:r w:rsidRPr="0044719E">
        <w:rPr>
          <w:rtl/>
        </w:rPr>
        <w:t>18</w:t>
      </w:r>
      <w:r w:rsidRPr="00073F6C">
        <w:rPr>
          <w:rtl/>
        </w:rPr>
        <w:t xml:space="preserve">؛ والإعلان المتعلق بحماية جميع الأشخاص من الاختفاء القسري، الفقرة </w:t>
      </w:r>
      <w:r w:rsidRPr="0044719E">
        <w:rPr>
          <w:rtl/>
        </w:rPr>
        <w:t>4</w:t>
      </w:r>
      <w:r w:rsidRPr="00073F6C">
        <w:rPr>
          <w:rtl/>
        </w:rPr>
        <w:t xml:space="preserve"> من المادة </w:t>
      </w:r>
      <w:r w:rsidRPr="0044719E">
        <w:rPr>
          <w:rtl/>
        </w:rPr>
        <w:t>20</w:t>
      </w:r>
      <w:r w:rsidRPr="00D42713">
        <w:rPr>
          <w:rtl/>
        </w:rPr>
        <w:t xml:space="preserve">. </w:t>
      </w:r>
    </w:p>
  </w:footnote>
  <w:footnote w:id="50">
    <w:p w14:paraId="59973626" w14:textId="77777777" w:rsidR="00D42713" w:rsidRPr="005B1F85" w:rsidRDefault="00D42713" w:rsidP="007D4C84">
      <w:pPr>
        <w:pStyle w:val="FootnoteText1"/>
        <w:spacing w:line="270" w:lineRule="exact"/>
        <w:textDirection w:val="tbRlV"/>
        <w:rPr>
          <w:spacing w:val="4"/>
          <w:lang w:val="ar-SA" w:eastAsia="zh-TW"/>
        </w:rPr>
      </w:pPr>
      <w:r w:rsidRPr="005B1F85">
        <w:rPr>
          <w:rStyle w:val="FootnoteReference"/>
          <w:spacing w:val="4"/>
          <w:vertAlign w:val="baseline"/>
          <w:rtl/>
        </w:rPr>
        <w:t>(</w:t>
      </w:r>
      <w:r w:rsidRPr="0044719E">
        <w:rPr>
          <w:rStyle w:val="FootnoteReference"/>
          <w:spacing w:val="4"/>
          <w:vertAlign w:val="baseline"/>
        </w:rPr>
        <w:footnoteRef/>
      </w:r>
      <w:r w:rsidRPr="005B1F85">
        <w:rPr>
          <w:rStyle w:val="FootnoteReference"/>
          <w:spacing w:val="4"/>
          <w:vertAlign w:val="baseline"/>
          <w:rtl/>
        </w:rPr>
        <w:t>)</w:t>
      </w:r>
      <w:r w:rsidRPr="005B1F85">
        <w:rPr>
          <w:spacing w:val="4"/>
          <w:rtl/>
        </w:rPr>
        <w:tab/>
        <w:t xml:space="preserve">الاتفاقية الدولية لحماية جميع الأشخاص من الاختفاء القسري، الفقرة </w:t>
      </w:r>
      <w:r w:rsidRPr="0044719E">
        <w:rPr>
          <w:spacing w:val="4"/>
          <w:rtl/>
        </w:rPr>
        <w:t>2</w:t>
      </w:r>
      <w:r w:rsidRPr="005B1F85">
        <w:rPr>
          <w:spacing w:val="4"/>
          <w:rtl/>
        </w:rPr>
        <w:t xml:space="preserve"> من المادة </w:t>
      </w:r>
      <w:r w:rsidRPr="0044719E">
        <w:rPr>
          <w:spacing w:val="4"/>
          <w:rtl/>
        </w:rPr>
        <w:t>24</w:t>
      </w:r>
      <w:r w:rsidRPr="005B1F85">
        <w:rPr>
          <w:spacing w:val="4"/>
          <w:rtl/>
        </w:rPr>
        <w:t>؛ والمبادئ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والفريق العامل المعني بحالات الاختفاء القسري أو غير الطوعي، التعليق العام بشأن الحق في الحقيقة بشأن الاختفاء القسري (</w:t>
      </w:r>
      <w:r w:rsidRPr="0044719E">
        <w:rPr>
          <w:spacing w:val="4"/>
          <w:rtl/>
        </w:rPr>
        <w:t>2010</w:t>
      </w:r>
      <w:r w:rsidRPr="005B1F85">
        <w:rPr>
          <w:spacing w:val="4"/>
          <w:rtl/>
        </w:rPr>
        <w:t xml:space="preserve">)، الفقرة </w:t>
      </w:r>
      <w:r w:rsidRPr="0044719E">
        <w:rPr>
          <w:spacing w:val="4"/>
          <w:rtl/>
        </w:rPr>
        <w:t>7</w:t>
      </w:r>
      <w:r w:rsidRPr="005B1F85">
        <w:rPr>
          <w:spacing w:val="4"/>
          <w:rtl/>
        </w:rPr>
        <w:t>، والتعليق العام بشأن الأطفال وحالات الاختفاء القسري (</w:t>
      </w:r>
      <w:r w:rsidRPr="0044719E">
        <w:rPr>
          <w:spacing w:val="4"/>
          <w:rtl/>
        </w:rPr>
        <w:t>2012</w:t>
      </w:r>
      <w:r w:rsidRPr="005B1F85">
        <w:rPr>
          <w:spacing w:val="4"/>
          <w:rtl/>
        </w:rPr>
        <w:t xml:space="preserve">)، الفقرات من </w:t>
      </w:r>
      <w:r w:rsidRPr="0044719E">
        <w:rPr>
          <w:spacing w:val="4"/>
          <w:rtl/>
        </w:rPr>
        <w:t>23</w:t>
      </w:r>
      <w:r w:rsidRPr="005B1F85">
        <w:rPr>
          <w:spacing w:val="4"/>
          <w:rtl/>
        </w:rPr>
        <w:t xml:space="preserve"> إلى </w:t>
      </w:r>
      <w:r w:rsidRPr="0044719E">
        <w:rPr>
          <w:spacing w:val="4"/>
          <w:rtl/>
        </w:rPr>
        <w:t>29</w:t>
      </w:r>
      <w:r w:rsidRPr="005B1F85">
        <w:rPr>
          <w:spacing w:val="4"/>
          <w:rtl/>
        </w:rPr>
        <w:t xml:space="preserve">. </w:t>
      </w:r>
    </w:p>
  </w:footnote>
  <w:footnote w:id="51">
    <w:p w14:paraId="54358E91" w14:textId="1BA0E95B" w:rsidR="00D42713" w:rsidRPr="00073F6C" w:rsidRDefault="00D42713" w:rsidP="007D4C84">
      <w:pPr>
        <w:pStyle w:val="FootnoteText1"/>
        <w:spacing w:line="270" w:lineRule="exact"/>
        <w:textDirection w:val="tbRlV"/>
        <w:rPr>
          <w:rFonts w:hint="cs"/>
          <w:rtl/>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الفريق العامل المعني بحالات الاختفاء القسري أو غير الطوعي، التعليق العام بشأن الحق في الحقيقة بشأن الاختفاء القسري (</w:t>
      </w:r>
      <w:r w:rsidRPr="0044719E">
        <w:rPr>
          <w:rtl/>
        </w:rPr>
        <w:t>2010</w:t>
      </w:r>
      <w:r w:rsidRPr="00D42713">
        <w:rPr>
          <w:rtl/>
        </w:rPr>
        <w:t xml:space="preserve">)، </w:t>
      </w:r>
      <w:r w:rsidRPr="00073F6C">
        <w:rPr>
          <w:rtl/>
        </w:rPr>
        <w:t xml:space="preserve">الفقرة </w:t>
      </w:r>
      <w:r w:rsidRPr="0044719E">
        <w:rPr>
          <w:rtl/>
        </w:rPr>
        <w:t>7</w:t>
      </w:r>
      <w:r w:rsidRPr="00D42713">
        <w:rPr>
          <w:rtl/>
        </w:rPr>
        <w:t xml:space="preserve">. </w:t>
      </w:r>
      <w:r w:rsidRPr="00073F6C">
        <w:rPr>
          <w:rtl/>
        </w:rPr>
        <w:t xml:space="preserve">انظر أيضاً </w:t>
      </w:r>
      <w:hyperlink r:id="rId53" w:history="1">
        <w:r w:rsidRPr="00D42713">
          <w:rPr>
            <w:rStyle w:val="Hyperlink"/>
          </w:rPr>
          <w:t>CRC/C/CHE/CO/</w:t>
        </w:r>
        <w:r w:rsidRPr="0044719E">
          <w:rPr>
            <w:rStyle w:val="Hyperlink"/>
          </w:rPr>
          <w:t>5</w:t>
        </w:r>
        <w:r w:rsidRPr="00D42713">
          <w:rPr>
            <w:rStyle w:val="Hyperlink"/>
          </w:rPr>
          <w:t>-</w:t>
        </w:r>
        <w:r w:rsidRPr="0044719E">
          <w:rPr>
            <w:rStyle w:val="Hyperlink"/>
          </w:rPr>
          <w:t>6</w:t>
        </w:r>
      </w:hyperlink>
      <w:r w:rsidRPr="00073F6C">
        <w:rPr>
          <w:rtl/>
        </w:rPr>
        <w:t xml:space="preserve">، الفقرة </w:t>
      </w:r>
      <w:r w:rsidRPr="0044719E">
        <w:rPr>
          <w:rtl/>
        </w:rPr>
        <w:t>32</w:t>
      </w:r>
      <w:r w:rsidRPr="00073F6C">
        <w:rPr>
          <w:rtl/>
        </w:rPr>
        <w:t>؛ و</w:t>
      </w:r>
      <w:hyperlink r:id="rId54" w:history="1">
        <w:r w:rsidRPr="00D42713">
          <w:rPr>
            <w:rStyle w:val="Hyperlink"/>
          </w:rPr>
          <w:t>CRC/C/GTM/CO/</w:t>
        </w:r>
        <w:r w:rsidRPr="0044719E">
          <w:rPr>
            <w:rStyle w:val="Hyperlink"/>
          </w:rPr>
          <w:t>3</w:t>
        </w:r>
        <w:r w:rsidRPr="00D42713">
          <w:rPr>
            <w:rStyle w:val="Hyperlink"/>
          </w:rPr>
          <w:t>-</w:t>
        </w:r>
        <w:r w:rsidRPr="0044719E">
          <w:rPr>
            <w:rStyle w:val="Hyperlink"/>
          </w:rPr>
          <w:t>4</w:t>
        </w:r>
      </w:hyperlink>
      <w:r w:rsidRPr="00073F6C">
        <w:rPr>
          <w:rtl/>
        </w:rPr>
        <w:t xml:space="preserve">، الفقرتان </w:t>
      </w:r>
      <w:r w:rsidRPr="0044719E">
        <w:rPr>
          <w:rtl/>
        </w:rPr>
        <w:t>64</w:t>
      </w:r>
      <w:r w:rsidRPr="00073F6C">
        <w:rPr>
          <w:rtl/>
        </w:rPr>
        <w:t xml:space="preserve"> و</w:t>
      </w:r>
      <w:r w:rsidRPr="0044719E">
        <w:rPr>
          <w:rtl/>
        </w:rPr>
        <w:t>65</w:t>
      </w:r>
      <w:r w:rsidR="005B1F85">
        <w:rPr>
          <w:rFonts w:hint="cs"/>
          <w:rtl/>
          <w:lang w:val="ar-SA" w:eastAsia="zh-TW"/>
        </w:rPr>
        <w:t>.</w:t>
      </w:r>
    </w:p>
  </w:footnote>
  <w:footnote w:id="52">
    <w:p w14:paraId="47170AA1" w14:textId="13D3B231" w:rsidR="00D42713" w:rsidRPr="00073F6C" w:rsidRDefault="00D42713" w:rsidP="007D4C84">
      <w:pPr>
        <w:pStyle w:val="FootnoteText1"/>
        <w:spacing w:line="270" w:lineRule="exact"/>
        <w:textDirection w:val="tbRlV"/>
        <w:rPr>
          <w:rtl/>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والاتفاقية الدولية لحماية جميع الأشخاص من الاختفاء القسري، الفقرة </w:t>
      </w:r>
      <w:r w:rsidRPr="0044719E">
        <w:rPr>
          <w:rtl/>
        </w:rPr>
        <w:t>3</w:t>
      </w:r>
      <w:r w:rsidRPr="00073F6C">
        <w:rPr>
          <w:rtl/>
        </w:rPr>
        <w:t xml:space="preserve"> من المادة </w:t>
      </w:r>
      <w:r w:rsidRPr="0044719E">
        <w:rPr>
          <w:rtl/>
        </w:rPr>
        <w:t>24</w:t>
      </w:r>
      <w:r w:rsidRPr="00073F6C">
        <w:rPr>
          <w:rtl/>
        </w:rPr>
        <w:t xml:space="preserve">؛ واللجنة المعنية بحالات الاختفاء القسري، المبادئ التوجيهية للبحث عن الأشخاص المختفين، المبدآن </w:t>
      </w:r>
      <w:r w:rsidRPr="0044719E">
        <w:rPr>
          <w:rtl/>
        </w:rPr>
        <w:t>4</w:t>
      </w:r>
      <w:r w:rsidRPr="00073F6C">
        <w:rPr>
          <w:rtl/>
        </w:rPr>
        <w:t xml:space="preserve"> و</w:t>
      </w:r>
      <w:r w:rsidRPr="0044719E">
        <w:rPr>
          <w:rtl/>
        </w:rPr>
        <w:t>8</w:t>
      </w:r>
      <w:r w:rsidRPr="00073F6C">
        <w:rPr>
          <w:rtl/>
        </w:rPr>
        <w:t>(</w:t>
      </w:r>
      <w:r w:rsidRPr="0044719E">
        <w:rPr>
          <w:rtl/>
        </w:rPr>
        <w:t>8</w:t>
      </w:r>
      <w:r w:rsidRPr="00D42713">
        <w:rPr>
          <w:rtl/>
        </w:rPr>
        <w:t xml:space="preserve">)؛ </w:t>
      </w:r>
      <w:r w:rsidRPr="00073F6C">
        <w:rPr>
          <w:rtl/>
        </w:rPr>
        <w:t xml:space="preserve">والإعلان المتعلق بحماية جميع الأشخاص من الاختفاء القسري، المادة </w:t>
      </w:r>
      <w:r w:rsidRPr="0044719E">
        <w:rPr>
          <w:rtl/>
        </w:rPr>
        <w:t>20</w:t>
      </w:r>
      <w:r w:rsidRPr="00073F6C">
        <w:rPr>
          <w:rtl/>
        </w:rPr>
        <w:t>؛ و</w:t>
      </w:r>
      <w:r w:rsidRPr="00073F6C">
        <w:t>Council of Europe Convention on Action against Trafficking in Human Being</w:t>
      </w:r>
      <w:r w:rsidRPr="00D42713">
        <w:t xml:space="preserve">s, </w:t>
      </w:r>
      <w:r w:rsidRPr="00ED7AA3">
        <w:rPr>
          <w:spacing w:val="-4"/>
        </w:rPr>
        <w:t xml:space="preserve">art. </w:t>
      </w:r>
      <w:r w:rsidRPr="0044719E">
        <w:rPr>
          <w:spacing w:val="-4"/>
        </w:rPr>
        <w:t>33</w:t>
      </w:r>
      <w:r w:rsidRPr="00ED7AA3">
        <w:rPr>
          <w:spacing w:val="-4"/>
          <w:rtl/>
        </w:rPr>
        <w:t xml:space="preserve"> (</w:t>
      </w:r>
      <w:r w:rsidRPr="0044719E">
        <w:rPr>
          <w:spacing w:val="-4"/>
          <w:rtl/>
        </w:rPr>
        <w:t>2</w:t>
      </w:r>
      <w:r w:rsidRPr="00ED7AA3">
        <w:rPr>
          <w:spacing w:val="-4"/>
          <w:rtl/>
        </w:rPr>
        <w:t>)؛ و</w:t>
      </w:r>
      <w:hyperlink r:id="rId55" w:history="1">
        <w:r w:rsidRPr="00ED7AA3">
          <w:rPr>
            <w:rStyle w:val="Hyperlink"/>
            <w:spacing w:val="-4"/>
          </w:rPr>
          <w:t>CED/C/COL/CO/</w:t>
        </w:r>
        <w:r w:rsidRPr="0044719E">
          <w:rPr>
            <w:rStyle w:val="Hyperlink"/>
            <w:spacing w:val="-4"/>
          </w:rPr>
          <w:t>1</w:t>
        </w:r>
      </w:hyperlink>
      <w:r w:rsidRPr="00ED7AA3">
        <w:rPr>
          <w:spacing w:val="-4"/>
          <w:rtl/>
        </w:rPr>
        <w:t xml:space="preserve">، الفقرة </w:t>
      </w:r>
      <w:r w:rsidRPr="0044719E">
        <w:rPr>
          <w:spacing w:val="-4"/>
          <w:rtl/>
        </w:rPr>
        <w:t>40</w:t>
      </w:r>
      <w:r w:rsidRPr="00ED7AA3">
        <w:rPr>
          <w:spacing w:val="-4"/>
          <w:rtl/>
        </w:rPr>
        <w:t>؛ و</w:t>
      </w:r>
      <w:hyperlink r:id="rId56" w:history="1">
        <w:r w:rsidRPr="00ED7AA3">
          <w:rPr>
            <w:rStyle w:val="Hyperlink"/>
            <w:spacing w:val="-4"/>
          </w:rPr>
          <w:t>CRC/C/</w:t>
        </w:r>
        <w:r w:rsidRPr="0044719E">
          <w:rPr>
            <w:rStyle w:val="Hyperlink"/>
            <w:spacing w:val="-4"/>
          </w:rPr>
          <w:t>15</w:t>
        </w:r>
        <w:r w:rsidRPr="00ED7AA3">
          <w:rPr>
            <w:rStyle w:val="Hyperlink"/>
            <w:spacing w:val="-4"/>
          </w:rPr>
          <w:t>/Add.</w:t>
        </w:r>
        <w:r w:rsidRPr="0044719E">
          <w:rPr>
            <w:rStyle w:val="Hyperlink"/>
            <w:spacing w:val="-4"/>
          </w:rPr>
          <w:t>232</w:t>
        </w:r>
      </w:hyperlink>
      <w:r w:rsidRPr="00ED7AA3">
        <w:rPr>
          <w:spacing w:val="-4"/>
          <w:rtl/>
        </w:rPr>
        <w:t xml:space="preserve">، الفقرة </w:t>
      </w:r>
      <w:r w:rsidRPr="0044719E">
        <w:rPr>
          <w:spacing w:val="-4"/>
          <w:rtl/>
        </w:rPr>
        <w:t>32</w:t>
      </w:r>
      <w:r w:rsidRPr="00ED7AA3">
        <w:rPr>
          <w:spacing w:val="-4"/>
          <w:rtl/>
        </w:rPr>
        <w:t>؛ و</w:t>
      </w:r>
      <w:hyperlink r:id="rId57" w:history="1">
        <w:r w:rsidRPr="00ED7AA3">
          <w:rPr>
            <w:rStyle w:val="Hyperlink"/>
            <w:spacing w:val="-4"/>
          </w:rPr>
          <w:t>CRC/C/</w:t>
        </w:r>
        <w:r w:rsidRPr="0044719E">
          <w:rPr>
            <w:rStyle w:val="Hyperlink"/>
            <w:spacing w:val="-4"/>
          </w:rPr>
          <w:t>15</w:t>
        </w:r>
        <w:r w:rsidRPr="00ED7AA3">
          <w:rPr>
            <w:rStyle w:val="Hyperlink"/>
            <w:spacing w:val="-4"/>
          </w:rPr>
          <w:t>/Add.</w:t>
        </w:r>
        <w:r w:rsidRPr="0044719E">
          <w:rPr>
            <w:rStyle w:val="Hyperlink"/>
            <w:spacing w:val="-4"/>
          </w:rPr>
          <w:t>187</w:t>
        </w:r>
      </w:hyperlink>
      <w:r w:rsidRPr="00ED7AA3">
        <w:rPr>
          <w:spacing w:val="-4"/>
          <w:rtl/>
        </w:rPr>
        <w:t>، الفقرة</w:t>
      </w:r>
      <w:r w:rsidR="00EC51D3" w:rsidRPr="00ED7AA3">
        <w:rPr>
          <w:rFonts w:hint="cs"/>
          <w:spacing w:val="-4"/>
          <w:rtl/>
        </w:rPr>
        <w:t> </w:t>
      </w:r>
      <w:r w:rsidRPr="0044719E">
        <w:rPr>
          <w:spacing w:val="-4"/>
          <w:rtl/>
        </w:rPr>
        <w:t>35</w:t>
      </w:r>
      <w:r w:rsidRPr="00ED7AA3">
        <w:rPr>
          <w:spacing w:val="-4"/>
          <w:rtl/>
        </w:rPr>
        <w:t>؛</w:t>
      </w:r>
      <w:r w:rsidRPr="00073F6C">
        <w:rPr>
          <w:rtl/>
        </w:rPr>
        <w:t xml:space="preserve"> و</w:t>
      </w:r>
      <w:hyperlink r:id="rId58" w:history="1">
        <w:r w:rsidRPr="00D42713">
          <w:rPr>
            <w:rStyle w:val="Hyperlink"/>
          </w:rPr>
          <w:t>CRC/C/SLV/CO/</w:t>
        </w:r>
        <w:r w:rsidRPr="0044719E">
          <w:rPr>
            <w:rStyle w:val="Hyperlink"/>
          </w:rPr>
          <w:t>3</w:t>
        </w:r>
        <w:r w:rsidRPr="00D42713">
          <w:rPr>
            <w:rStyle w:val="Hyperlink"/>
          </w:rPr>
          <w:t>-</w:t>
        </w:r>
        <w:r w:rsidRPr="0044719E">
          <w:rPr>
            <w:rStyle w:val="Hyperlink"/>
          </w:rPr>
          <w:t>4</w:t>
        </w:r>
      </w:hyperlink>
      <w:r w:rsidRPr="00073F6C">
        <w:rPr>
          <w:rtl/>
        </w:rPr>
        <w:t xml:space="preserve">، الفقرتان </w:t>
      </w:r>
      <w:r w:rsidRPr="0044719E">
        <w:rPr>
          <w:rtl/>
        </w:rPr>
        <w:t>37</w:t>
      </w:r>
      <w:r w:rsidRPr="00073F6C">
        <w:rPr>
          <w:rtl/>
        </w:rPr>
        <w:t xml:space="preserve"> و</w:t>
      </w:r>
      <w:r w:rsidRPr="0044719E">
        <w:rPr>
          <w:rtl/>
        </w:rPr>
        <w:t>38</w:t>
      </w:r>
      <w:r w:rsidRPr="00D42713">
        <w:rPr>
          <w:rtl/>
        </w:rPr>
        <w:t xml:space="preserve">. </w:t>
      </w:r>
    </w:p>
  </w:footnote>
  <w:footnote w:id="53">
    <w:p w14:paraId="342BD945" w14:textId="77777777" w:rsidR="00D42713" w:rsidRPr="00073F6C" w:rsidRDefault="00D42713" w:rsidP="007D4C84">
      <w:pPr>
        <w:pStyle w:val="FootnoteText1"/>
        <w:spacing w:line="270" w:lineRule="exact"/>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59" w:history="1">
        <w:r w:rsidRPr="00D42713">
          <w:rPr>
            <w:rStyle w:val="Hyperlink"/>
          </w:rPr>
          <w:t>CED/C/HND/CO/</w:t>
        </w:r>
        <w:r w:rsidRPr="0044719E">
          <w:rPr>
            <w:rStyle w:val="Hyperlink"/>
          </w:rPr>
          <w:t>1</w:t>
        </w:r>
      </w:hyperlink>
      <w:r w:rsidRPr="00073F6C">
        <w:rPr>
          <w:rtl/>
        </w:rPr>
        <w:t xml:space="preserve">، الفقرة </w:t>
      </w:r>
      <w:r w:rsidRPr="0044719E">
        <w:rPr>
          <w:rtl/>
        </w:rPr>
        <w:t>43</w:t>
      </w:r>
      <w:r w:rsidRPr="00073F6C">
        <w:rPr>
          <w:rtl/>
        </w:rPr>
        <w:t>؛ و</w:t>
      </w:r>
      <w:hyperlink r:id="rId60" w:history="1">
        <w:r w:rsidRPr="00D42713">
          <w:rPr>
            <w:rStyle w:val="Hyperlink"/>
          </w:rPr>
          <w:t>CRC/C/GTM/CO/</w:t>
        </w:r>
        <w:r w:rsidRPr="0044719E">
          <w:rPr>
            <w:rStyle w:val="Hyperlink"/>
          </w:rPr>
          <w:t>3</w:t>
        </w:r>
        <w:r w:rsidRPr="00D42713">
          <w:rPr>
            <w:rStyle w:val="Hyperlink"/>
          </w:rPr>
          <w:t>-</w:t>
        </w:r>
        <w:r w:rsidRPr="0044719E">
          <w:rPr>
            <w:rStyle w:val="Hyperlink"/>
          </w:rPr>
          <w:t>4</w:t>
        </w:r>
      </w:hyperlink>
      <w:r w:rsidRPr="00073F6C">
        <w:rPr>
          <w:rtl/>
        </w:rPr>
        <w:t xml:space="preserve">، الفقرة </w:t>
      </w:r>
      <w:r w:rsidRPr="0044719E">
        <w:rPr>
          <w:rtl/>
        </w:rPr>
        <w:t>87</w:t>
      </w:r>
      <w:r w:rsidRPr="00D42713">
        <w:rPr>
          <w:rtl/>
        </w:rPr>
        <w:t xml:space="preserve">. </w:t>
      </w:r>
    </w:p>
  </w:footnote>
  <w:footnote w:id="54">
    <w:p w14:paraId="0F33E93E" w14:textId="77777777" w:rsidR="00D42713" w:rsidRPr="00073F6C" w:rsidRDefault="00D42713" w:rsidP="005B1F85">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انظر أيضاً الاتفاقية الدولية لحماية جميع الأشخاص من الاختفاء القسري، المادة </w:t>
      </w:r>
      <w:r w:rsidRPr="0044719E">
        <w:rPr>
          <w:rtl/>
        </w:rPr>
        <w:t>19</w:t>
      </w:r>
      <w:r w:rsidRPr="00D42713">
        <w:rPr>
          <w:rtl/>
        </w:rPr>
        <w:t xml:space="preserve">. </w:t>
      </w:r>
    </w:p>
  </w:footnote>
  <w:footnote w:id="55">
    <w:p w14:paraId="108965F7" w14:textId="77777777" w:rsidR="00D42713" w:rsidRPr="00073F6C" w:rsidRDefault="00D42713" w:rsidP="005B1F85">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المرجع نفسه، المادة </w:t>
      </w:r>
      <w:r w:rsidRPr="0044719E">
        <w:rPr>
          <w:rtl/>
        </w:rPr>
        <w:t>15</w:t>
      </w:r>
      <w:r w:rsidRPr="00073F6C">
        <w:rPr>
          <w:rtl/>
        </w:rPr>
        <w:t xml:space="preserve"> والفقرة </w:t>
      </w:r>
      <w:r w:rsidRPr="0044719E">
        <w:rPr>
          <w:rtl/>
        </w:rPr>
        <w:t>3</w:t>
      </w:r>
      <w:r w:rsidRPr="00073F6C">
        <w:rPr>
          <w:rtl/>
        </w:rPr>
        <w:t xml:space="preserve"> من المادة </w:t>
      </w:r>
      <w:r w:rsidRPr="0044719E">
        <w:rPr>
          <w:rtl/>
        </w:rPr>
        <w:t>25</w:t>
      </w:r>
      <w:r w:rsidRPr="00073F6C">
        <w:rPr>
          <w:rtl/>
        </w:rPr>
        <w:t xml:space="preserve">؛ والإعلان المتعلق بحماية جميع الأشخاص من الاختفاء القسري، الفقرة </w:t>
      </w:r>
      <w:r w:rsidRPr="0044719E">
        <w:rPr>
          <w:rtl/>
        </w:rPr>
        <w:t>4</w:t>
      </w:r>
      <w:r w:rsidRPr="00073F6C">
        <w:rPr>
          <w:rtl/>
        </w:rPr>
        <w:t xml:space="preserve"> من المادة </w:t>
      </w:r>
      <w:r w:rsidRPr="0044719E">
        <w:rPr>
          <w:rtl/>
        </w:rPr>
        <w:t>20</w:t>
      </w:r>
      <w:r w:rsidRPr="00073F6C">
        <w:rPr>
          <w:rtl/>
        </w:rPr>
        <w:t>؛ والفريق العامل المعني بحالات الاختفاء القسري أو غير الطوعي، التعليق العام بشأن الأطفال وحالات الاختفاء القسري (</w:t>
      </w:r>
      <w:r w:rsidRPr="0044719E">
        <w:rPr>
          <w:rtl/>
        </w:rPr>
        <w:t>2012</w:t>
      </w:r>
      <w:r w:rsidRPr="00D42713">
        <w:rPr>
          <w:rtl/>
        </w:rPr>
        <w:t xml:space="preserve">)، </w:t>
      </w:r>
      <w:r w:rsidRPr="00073F6C">
        <w:rPr>
          <w:rtl/>
        </w:rPr>
        <w:t xml:space="preserve">الفقرة </w:t>
      </w:r>
      <w:r w:rsidRPr="0044719E">
        <w:rPr>
          <w:rtl/>
        </w:rPr>
        <w:t>46</w:t>
      </w:r>
      <w:r w:rsidRPr="00073F6C">
        <w:rPr>
          <w:rtl/>
        </w:rPr>
        <w:t>؛ و</w:t>
      </w:r>
      <w:r w:rsidRPr="00073F6C">
        <w:t>Council of Europe Convention on Action against Trafficking in Human Being</w:t>
      </w:r>
      <w:r w:rsidRPr="00D42713">
        <w:t xml:space="preserve">s, </w:t>
      </w:r>
      <w:r w:rsidRPr="00073F6C">
        <w:t>ar</w:t>
      </w:r>
      <w:r w:rsidRPr="00D42713">
        <w:t xml:space="preserve">t. </w:t>
      </w:r>
      <w:r w:rsidRPr="0044719E">
        <w:t>33</w:t>
      </w:r>
      <w:r w:rsidRPr="00073F6C">
        <w:rPr>
          <w:rtl/>
        </w:rPr>
        <w:t xml:space="preserve"> (</w:t>
      </w:r>
      <w:r w:rsidRPr="0044719E">
        <w:rPr>
          <w:rtl/>
        </w:rPr>
        <w:t>2</w:t>
      </w:r>
      <w:r w:rsidRPr="00D42713">
        <w:rPr>
          <w:rtl/>
        </w:rPr>
        <w:t xml:space="preserve">). </w:t>
      </w:r>
    </w:p>
  </w:footnote>
  <w:footnote w:id="56">
    <w:p w14:paraId="0FE2CE16" w14:textId="77777777" w:rsidR="00D42713" w:rsidRPr="00073F6C" w:rsidRDefault="00D42713" w:rsidP="005B1F85">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الاتفاقية الدولية لحماية جميع الأشخاص من الاختفاء القسري، الفقرة </w:t>
      </w:r>
      <w:r w:rsidRPr="0044719E">
        <w:rPr>
          <w:rtl/>
        </w:rPr>
        <w:t>4</w:t>
      </w:r>
      <w:r w:rsidRPr="00073F6C">
        <w:rPr>
          <w:rtl/>
        </w:rPr>
        <w:t xml:space="preserve"> من المادة </w:t>
      </w:r>
      <w:r w:rsidRPr="0044719E">
        <w:rPr>
          <w:rtl/>
        </w:rPr>
        <w:t>25</w:t>
      </w:r>
      <w:r w:rsidRPr="00073F6C">
        <w:rPr>
          <w:rtl/>
        </w:rPr>
        <w:t xml:space="preserve">؛ والإعلان المتعلق بحماية جميع الأشخاص من الاختفاء القسري، الفقرة </w:t>
      </w:r>
      <w:r w:rsidRPr="0044719E">
        <w:rPr>
          <w:rtl/>
        </w:rPr>
        <w:t>2</w:t>
      </w:r>
      <w:r w:rsidRPr="00073F6C">
        <w:rPr>
          <w:rtl/>
        </w:rPr>
        <w:t xml:space="preserve"> من المادة </w:t>
      </w:r>
      <w:r w:rsidRPr="0044719E">
        <w:rPr>
          <w:rtl/>
        </w:rPr>
        <w:t>20</w:t>
      </w:r>
      <w:r w:rsidRPr="00073F6C">
        <w:rPr>
          <w:rtl/>
        </w:rPr>
        <w:t>؛ و</w:t>
      </w:r>
      <w:hyperlink r:id="rId61" w:history="1">
        <w:r w:rsidRPr="00D42713">
          <w:rPr>
            <w:rStyle w:val="Hyperlink"/>
          </w:rPr>
          <w:t>CED/C/PAN/CO/</w:t>
        </w:r>
        <w:r w:rsidRPr="0044719E">
          <w:rPr>
            <w:rStyle w:val="Hyperlink"/>
          </w:rPr>
          <w:t>1</w:t>
        </w:r>
      </w:hyperlink>
      <w:r w:rsidRPr="00073F6C">
        <w:rPr>
          <w:rtl/>
        </w:rPr>
        <w:t xml:space="preserve">، الفقرة </w:t>
      </w:r>
      <w:r w:rsidRPr="0044719E">
        <w:rPr>
          <w:rtl/>
        </w:rPr>
        <w:t>39</w:t>
      </w:r>
      <w:r w:rsidRPr="00073F6C">
        <w:rPr>
          <w:rtl/>
        </w:rPr>
        <w:t>(ج</w:t>
      </w:r>
      <w:r w:rsidRPr="00D42713">
        <w:rPr>
          <w:rtl/>
        </w:rPr>
        <w:t xml:space="preserve">)؛ </w:t>
      </w:r>
      <w:r w:rsidRPr="00073F6C">
        <w:rPr>
          <w:rtl/>
        </w:rPr>
        <w:t>و</w:t>
      </w:r>
      <w:hyperlink r:id="rId62" w:history="1">
        <w:r w:rsidRPr="00D42713">
          <w:rPr>
            <w:rStyle w:val="Hyperlink"/>
          </w:rPr>
          <w:t>CED/C/BRA/CO/</w:t>
        </w:r>
        <w:r w:rsidRPr="0044719E">
          <w:rPr>
            <w:rStyle w:val="Hyperlink"/>
          </w:rPr>
          <w:t>1</w:t>
        </w:r>
      </w:hyperlink>
      <w:r w:rsidRPr="00073F6C">
        <w:rPr>
          <w:rtl/>
        </w:rPr>
        <w:t xml:space="preserve">، الفقرة </w:t>
      </w:r>
      <w:r w:rsidRPr="0044719E">
        <w:rPr>
          <w:rtl/>
        </w:rPr>
        <w:t>35</w:t>
      </w:r>
      <w:r w:rsidRPr="00073F6C">
        <w:rPr>
          <w:rtl/>
        </w:rPr>
        <w:t xml:space="preserve">؛ </w:t>
      </w:r>
      <w:r w:rsidRPr="005B1F85">
        <w:rPr>
          <w:spacing w:val="-4"/>
          <w:rtl/>
        </w:rPr>
        <w:t>و</w:t>
      </w:r>
      <w:hyperlink r:id="rId63" w:history="1">
        <w:r w:rsidRPr="005B1F85">
          <w:rPr>
            <w:rStyle w:val="Hyperlink"/>
            <w:spacing w:val="-4"/>
          </w:rPr>
          <w:t>CED/C/BOL/CO/</w:t>
        </w:r>
        <w:r w:rsidRPr="0044719E">
          <w:rPr>
            <w:rStyle w:val="Hyperlink"/>
            <w:spacing w:val="-4"/>
          </w:rPr>
          <w:t>1</w:t>
        </w:r>
      </w:hyperlink>
      <w:r w:rsidRPr="005B1F85">
        <w:rPr>
          <w:spacing w:val="-4"/>
          <w:rtl/>
        </w:rPr>
        <w:t xml:space="preserve">، الفقرة </w:t>
      </w:r>
      <w:r w:rsidRPr="0044719E">
        <w:rPr>
          <w:spacing w:val="-4"/>
          <w:rtl/>
        </w:rPr>
        <w:t>41</w:t>
      </w:r>
      <w:r w:rsidRPr="005B1F85">
        <w:rPr>
          <w:spacing w:val="-4"/>
          <w:rtl/>
        </w:rPr>
        <w:t>(ج)؛ و</w:t>
      </w:r>
      <w:hyperlink r:id="rId64" w:history="1">
        <w:r w:rsidRPr="005B1F85">
          <w:rPr>
            <w:rStyle w:val="Hyperlink"/>
            <w:spacing w:val="-4"/>
          </w:rPr>
          <w:t>CED/C/PER/CO/</w:t>
        </w:r>
        <w:r w:rsidRPr="0044719E">
          <w:rPr>
            <w:rStyle w:val="Hyperlink"/>
            <w:spacing w:val="-4"/>
          </w:rPr>
          <w:t>1</w:t>
        </w:r>
      </w:hyperlink>
      <w:r w:rsidRPr="005B1F85">
        <w:rPr>
          <w:spacing w:val="-4"/>
          <w:rtl/>
        </w:rPr>
        <w:t xml:space="preserve">، الفقرة </w:t>
      </w:r>
      <w:r w:rsidRPr="0044719E">
        <w:rPr>
          <w:spacing w:val="-4"/>
          <w:rtl/>
        </w:rPr>
        <w:t>35</w:t>
      </w:r>
      <w:r w:rsidRPr="005B1F85">
        <w:rPr>
          <w:spacing w:val="-4"/>
          <w:rtl/>
        </w:rPr>
        <w:t>(ج)؛ و</w:t>
      </w:r>
      <w:hyperlink r:id="rId65" w:history="1">
        <w:r w:rsidRPr="005B1F85">
          <w:rPr>
            <w:rStyle w:val="Hyperlink"/>
            <w:spacing w:val="-4"/>
          </w:rPr>
          <w:t>CED/C/HND/CO/</w:t>
        </w:r>
        <w:r w:rsidRPr="0044719E">
          <w:rPr>
            <w:rStyle w:val="Hyperlink"/>
            <w:spacing w:val="-4"/>
          </w:rPr>
          <w:t>1</w:t>
        </w:r>
      </w:hyperlink>
      <w:r w:rsidRPr="005B1F85">
        <w:rPr>
          <w:spacing w:val="-4"/>
          <w:rtl/>
        </w:rPr>
        <w:t xml:space="preserve">، الفقرة </w:t>
      </w:r>
      <w:r w:rsidRPr="0044719E">
        <w:rPr>
          <w:spacing w:val="-4"/>
          <w:rtl/>
        </w:rPr>
        <w:t>43</w:t>
      </w:r>
      <w:r w:rsidRPr="005B1F85">
        <w:rPr>
          <w:spacing w:val="-4"/>
          <w:rtl/>
        </w:rPr>
        <w:t>؛ والفريق العامل المعني بحالات الاختفاء القسري أو غير الطوعي، التعليق العام بشأن الأطفال وحالات الاختفاء القسري (</w:t>
      </w:r>
      <w:r w:rsidRPr="0044719E">
        <w:rPr>
          <w:spacing w:val="-4"/>
          <w:rtl/>
        </w:rPr>
        <w:t>2012</w:t>
      </w:r>
      <w:r w:rsidRPr="005B1F85">
        <w:rPr>
          <w:spacing w:val="-4"/>
          <w:rtl/>
        </w:rPr>
        <w:t xml:space="preserve">)، الفقرة </w:t>
      </w:r>
      <w:r w:rsidRPr="0044719E">
        <w:rPr>
          <w:spacing w:val="-4"/>
          <w:rtl/>
        </w:rPr>
        <w:t>22</w:t>
      </w:r>
      <w:r w:rsidRPr="005B1F85">
        <w:rPr>
          <w:spacing w:val="-4"/>
          <w:rtl/>
        </w:rPr>
        <w:t>.</w:t>
      </w:r>
      <w:r w:rsidRPr="00D42713">
        <w:rPr>
          <w:rtl/>
        </w:rPr>
        <w:t xml:space="preserve"> </w:t>
      </w:r>
    </w:p>
  </w:footnote>
  <w:footnote w:id="57">
    <w:p w14:paraId="0D7FB055" w14:textId="77777777" w:rsidR="00D42713" w:rsidRPr="00073F6C" w:rsidRDefault="00D42713" w:rsidP="005B1F85">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66" w:history="1">
        <w:r w:rsidRPr="00D42713">
          <w:rPr>
            <w:rStyle w:val="Hyperlink"/>
          </w:rPr>
          <w:t>CED/C/BOL/CO/</w:t>
        </w:r>
        <w:r w:rsidRPr="0044719E">
          <w:rPr>
            <w:rStyle w:val="Hyperlink"/>
          </w:rPr>
          <w:t>1</w:t>
        </w:r>
      </w:hyperlink>
      <w:r w:rsidRPr="00073F6C">
        <w:rPr>
          <w:rtl/>
        </w:rPr>
        <w:t xml:space="preserve">، الفقرة </w:t>
      </w:r>
      <w:r w:rsidRPr="0044719E">
        <w:rPr>
          <w:rtl/>
        </w:rPr>
        <w:t>41</w:t>
      </w:r>
      <w:r w:rsidRPr="00073F6C">
        <w:rPr>
          <w:rtl/>
        </w:rPr>
        <w:t>(ج</w:t>
      </w:r>
      <w:r w:rsidRPr="00D42713">
        <w:rPr>
          <w:rtl/>
        </w:rPr>
        <w:t xml:space="preserve">)؛ </w:t>
      </w:r>
      <w:r w:rsidRPr="00073F6C">
        <w:rPr>
          <w:rtl/>
        </w:rPr>
        <w:t>و</w:t>
      </w:r>
      <w:hyperlink r:id="rId67" w:history="1">
        <w:r w:rsidRPr="00D42713">
          <w:rPr>
            <w:rStyle w:val="Hyperlink"/>
          </w:rPr>
          <w:t>CED/C/PAN/CO/</w:t>
        </w:r>
        <w:r w:rsidRPr="0044719E">
          <w:rPr>
            <w:rStyle w:val="Hyperlink"/>
          </w:rPr>
          <w:t>1</w:t>
        </w:r>
      </w:hyperlink>
      <w:r w:rsidRPr="00073F6C">
        <w:rPr>
          <w:rtl/>
        </w:rPr>
        <w:t xml:space="preserve">، الفقرة </w:t>
      </w:r>
      <w:r w:rsidRPr="0044719E">
        <w:rPr>
          <w:rtl/>
        </w:rPr>
        <w:t>39</w:t>
      </w:r>
      <w:r w:rsidRPr="00073F6C">
        <w:rPr>
          <w:rtl/>
        </w:rPr>
        <w:t>(ج</w:t>
      </w:r>
      <w:r w:rsidRPr="00D42713">
        <w:rPr>
          <w:rtl/>
        </w:rPr>
        <w:t xml:space="preserve">). </w:t>
      </w:r>
    </w:p>
  </w:footnote>
  <w:footnote w:id="58">
    <w:p w14:paraId="7CA8382B" w14:textId="77777777" w:rsidR="00D42713" w:rsidRPr="00073F6C" w:rsidRDefault="00D42713" w:rsidP="005B1F85">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العهد الدولي الخاص بالحقوق المدنية والسياسية، الفقرة </w:t>
      </w:r>
      <w:r w:rsidRPr="0044719E">
        <w:rPr>
          <w:rtl/>
        </w:rPr>
        <w:t>3</w:t>
      </w:r>
      <w:r w:rsidRPr="00073F6C">
        <w:rPr>
          <w:rtl/>
        </w:rPr>
        <w:t xml:space="preserve"> من المادة </w:t>
      </w:r>
      <w:r w:rsidRPr="0044719E">
        <w:rPr>
          <w:rtl/>
        </w:rPr>
        <w:t>24</w:t>
      </w:r>
      <w:r w:rsidRPr="00D42713">
        <w:rPr>
          <w:rtl/>
        </w:rPr>
        <w:t xml:space="preserve">. </w:t>
      </w:r>
    </w:p>
  </w:footnote>
  <w:footnote w:id="59">
    <w:p w14:paraId="63698034" w14:textId="77777777" w:rsidR="00D42713" w:rsidRPr="00073F6C" w:rsidRDefault="00D42713" w:rsidP="005B1F85">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t xml:space="preserve">الاتفاقية الدولية لحماية جميع الأشخاص من الاختفاء القسري، المادة </w:t>
      </w:r>
      <w:r w:rsidRPr="0044719E">
        <w:rPr>
          <w:rtl/>
        </w:rPr>
        <w:t>24</w:t>
      </w:r>
      <w:r w:rsidRPr="00073F6C">
        <w:rPr>
          <w:rtl/>
        </w:rPr>
        <w:t xml:space="preserve">؛ والإعلان المتعلق بحماية جميع الأشخاص من الاختفاء القسري، المادة </w:t>
      </w:r>
      <w:r w:rsidRPr="0044719E">
        <w:rPr>
          <w:rtl/>
        </w:rPr>
        <w:t>19</w:t>
      </w:r>
      <w:r w:rsidRPr="00073F6C">
        <w:rPr>
          <w:rtl/>
        </w:rPr>
        <w:t>؛ والفريق العامل المعني بحالات الاختفاء القسري أو غير الطوعي، التعليق العام بشأن الأطفال وحالات الاختفاء القسري (</w:t>
      </w:r>
      <w:r w:rsidRPr="0044719E">
        <w:rPr>
          <w:rtl/>
        </w:rPr>
        <w:t>2012</w:t>
      </w:r>
      <w:r w:rsidRPr="00D42713">
        <w:rPr>
          <w:rtl/>
        </w:rPr>
        <w:t xml:space="preserve">)، </w:t>
      </w:r>
      <w:r w:rsidRPr="00073F6C">
        <w:rPr>
          <w:rtl/>
        </w:rPr>
        <w:t xml:space="preserve">الفقرات من </w:t>
      </w:r>
      <w:r w:rsidRPr="0044719E">
        <w:rPr>
          <w:rtl/>
        </w:rPr>
        <w:t>30</w:t>
      </w:r>
      <w:r w:rsidRPr="00073F6C">
        <w:rPr>
          <w:rtl/>
        </w:rPr>
        <w:t xml:space="preserve"> إلى </w:t>
      </w:r>
      <w:r w:rsidRPr="0044719E">
        <w:rPr>
          <w:rtl/>
        </w:rPr>
        <w:t>36</w:t>
      </w:r>
      <w:r w:rsidRPr="00073F6C">
        <w:rPr>
          <w:rtl/>
        </w:rPr>
        <w:t>؛ والمبادئ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w:t>
      </w:r>
      <w:r>
        <w:rPr>
          <w:rtl/>
        </w:rPr>
        <w:t xml:space="preserve">. </w:t>
      </w:r>
    </w:p>
  </w:footnote>
  <w:footnote w:id="60">
    <w:p w14:paraId="4BC65FA3" w14:textId="77777777"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68" w:history="1">
        <w:r w:rsidRPr="00D42713">
          <w:rPr>
            <w:rStyle w:val="Hyperlink"/>
          </w:rPr>
          <w:t>A/HRC/</w:t>
        </w:r>
        <w:r w:rsidRPr="0044719E">
          <w:rPr>
            <w:rStyle w:val="Hyperlink"/>
          </w:rPr>
          <w:t>45</w:t>
        </w:r>
        <w:r w:rsidRPr="00D42713">
          <w:rPr>
            <w:rStyle w:val="Hyperlink"/>
          </w:rPr>
          <w:t>/</w:t>
        </w:r>
        <w:r w:rsidRPr="0044719E">
          <w:rPr>
            <w:rStyle w:val="Hyperlink"/>
          </w:rPr>
          <w:t>45</w:t>
        </w:r>
      </w:hyperlink>
      <w:r w:rsidRPr="00073F6C">
        <w:rPr>
          <w:rtl/>
        </w:rPr>
        <w:t xml:space="preserve">، الفقرة </w:t>
      </w:r>
      <w:r w:rsidRPr="0044719E">
        <w:rPr>
          <w:rtl/>
        </w:rPr>
        <w:t>106</w:t>
      </w:r>
      <w:r w:rsidRPr="00D42713">
        <w:rPr>
          <w:rtl/>
        </w:rPr>
        <w:t xml:space="preserve">. </w:t>
      </w:r>
    </w:p>
  </w:footnote>
  <w:footnote w:id="61">
    <w:p w14:paraId="75B524D8" w14:textId="77777777" w:rsidR="00D42713" w:rsidRPr="004E459B" w:rsidRDefault="00D42713" w:rsidP="004E459B">
      <w:pPr>
        <w:pStyle w:val="FootnoteText1"/>
        <w:textDirection w:val="tbRlV"/>
        <w:rPr>
          <w:spacing w:val="-2"/>
          <w:lang w:val="ar-SA" w:eastAsia="zh-TW"/>
        </w:rPr>
      </w:pPr>
      <w:r w:rsidRPr="004E459B">
        <w:rPr>
          <w:rStyle w:val="FootnoteReference"/>
          <w:spacing w:val="-2"/>
          <w:vertAlign w:val="baseline"/>
          <w:rtl/>
        </w:rPr>
        <w:t>(</w:t>
      </w:r>
      <w:r w:rsidRPr="0044719E">
        <w:rPr>
          <w:rStyle w:val="FootnoteReference"/>
          <w:spacing w:val="-2"/>
          <w:vertAlign w:val="baseline"/>
        </w:rPr>
        <w:footnoteRef/>
      </w:r>
      <w:r w:rsidRPr="004E459B">
        <w:rPr>
          <w:rStyle w:val="FootnoteReference"/>
          <w:spacing w:val="-2"/>
          <w:vertAlign w:val="baseline"/>
          <w:rtl/>
        </w:rPr>
        <w:t>)</w:t>
      </w:r>
      <w:r w:rsidRPr="004E459B">
        <w:rPr>
          <w:spacing w:val="-2"/>
          <w:rtl/>
        </w:rPr>
        <w:tab/>
        <w:t xml:space="preserve">اتفاقية الأمم المتحدة لمكافحة الجريمة المنظمة عبر الوطنية، الفقرة </w:t>
      </w:r>
      <w:r w:rsidRPr="0044719E">
        <w:rPr>
          <w:spacing w:val="-2"/>
          <w:rtl/>
        </w:rPr>
        <w:t>2</w:t>
      </w:r>
      <w:r w:rsidRPr="004E459B">
        <w:rPr>
          <w:spacing w:val="-2"/>
          <w:rtl/>
        </w:rPr>
        <w:t xml:space="preserve"> من المادة </w:t>
      </w:r>
      <w:r w:rsidRPr="0044719E">
        <w:rPr>
          <w:spacing w:val="-2"/>
          <w:rtl/>
        </w:rPr>
        <w:t>25</w:t>
      </w:r>
      <w:r w:rsidRPr="004E459B">
        <w:rPr>
          <w:spacing w:val="-2"/>
          <w:rtl/>
        </w:rPr>
        <w:t xml:space="preserve">؛ وبروتوكول منع وقمع ومعاقبة الاتِّجار بالأشخاص، وبخاصة النساء والأطفال، المكمل لاتفاقية الأمم المتحدة لمكافحة الجريمة المنظمة عبر الوطنية، الفقرة </w:t>
      </w:r>
      <w:r w:rsidRPr="0044719E">
        <w:rPr>
          <w:spacing w:val="-2"/>
          <w:rtl/>
        </w:rPr>
        <w:t>6</w:t>
      </w:r>
      <w:r w:rsidRPr="004E459B">
        <w:rPr>
          <w:spacing w:val="-2"/>
          <w:rtl/>
        </w:rPr>
        <w:t xml:space="preserve"> من المادة </w:t>
      </w:r>
      <w:r w:rsidRPr="0044719E">
        <w:rPr>
          <w:spacing w:val="-2"/>
          <w:rtl/>
        </w:rPr>
        <w:t>6</w:t>
      </w:r>
      <w:r w:rsidRPr="004E459B">
        <w:rPr>
          <w:spacing w:val="-2"/>
          <w:rtl/>
        </w:rPr>
        <w:t>؛ و</w:t>
      </w:r>
      <w:r w:rsidRPr="004E459B">
        <w:rPr>
          <w:spacing w:val="-2"/>
        </w:rPr>
        <w:t>Council of Europe Convention on Action against Trafficking in Human Being</w:t>
      </w:r>
      <w:r w:rsidRPr="00D42713">
        <w:rPr>
          <w:spacing w:val="-2"/>
        </w:rPr>
        <w:t xml:space="preserve">s, </w:t>
      </w:r>
      <w:r w:rsidRPr="004E459B">
        <w:rPr>
          <w:spacing w:val="-2"/>
        </w:rPr>
        <w:t>art</w:t>
      </w:r>
      <w:r w:rsidRPr="00D42713">
        <w:rPr>
          <w:spacing w:val="-2"/>
        </w:rPr>
        <w:t xml:space="preserve">s. </w:t>
      </w:r>
      <w:r w:rsidRPr="0044719E">
        <w:rPr>
          <w:spacing w:val="-2"/>
        </w:rPr>
        <w:t>12</w:t>
      </w:r>
      <w:r w:rsidRPr="004E459B">
        <w:rPr>
          <w:spacing w:val="-2"/>
        </w:rPr>
        <w:t xml:space="preserve"> and </w:t>
      </w:r>
      <w:r w:rsidRPr="0044719E">
        <w:rPr>
          <w:spacing w:val="-2"/>
        </w:rPr>
        <w:t>15</w:t>
      </w:r>
      <w:r w:rsidRPr="00D42713">
        <w:rPr>
          <w:spacing w:val="-2"/>
          <w:rtl/>
        </w:rPr>
        <w:t xml:space="preserve">. </w:t>
      </w:r>
    </w:p>
  </w:footnote>
  <w:footnote w:id="62">
    <w:p w14:paraId="0EA433EB" w14:textId="77777777" w:rsidR="00D42713" w:rsidRPr="00073F6C" w:rsidRDefault="00D42713" w:rsidP="00D42713">
      <w:pPr>
        <w:pStyle w:val="FootnoteText1"/>
        <w:textDirection w:val="tbRlV"/>
        <w:rPr>
          <w:rtl/>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69" w:history="1">
        <w:r w:rsidRPr="00D42713">
          <w:rPr>
            <w:rStyle w:val="Hyperlink"/>
          </w:rPr>
          <w:t>A/HRC/</w:t>
        </w:r>
        <w:r w:rsidRPr="0044719E">
          <w:rPr>
            <w:rStyle w:val="Hyperlink"/>
          </w:rPr>
          <w:t>24</w:t>
        </w:r>
        <w:r w:rsidRPr="00D42713">
          <w:rPr>
            <w:rStyle w:val="Hyperlink"/>
          </w:rPr>
          <w:t>/</w:t>
        </w:r>
        <w:r w:rsidRPr="0044719E">
          <w:rPr>
            <w:rStyle w:val="Hyperlink"/>
          </w:rPr>
          <w:t>42</w:t>
        </w:r>
      </w:hyperlink>
      <w:r w:rsidRPr="00073F6C">
        <w:rPr>
          <w:rtl/>
        </w:rPr>
        <w:t xml:space="preserve">، الفقرة </w:t>
      </w:r>
      <w:r w:rsidRPr="0044719E">
        <w:rPr>
          <w:rtl/>
        </w:rPr>
        <w:t>90</w:t>
      </w:r>
      <w:r w:rsidRPr="00D42713">
        <w:rPr>
          <w:rtl/>
        </w:rPr>
        <w:t xml:space="preserve">. </w:t>
      </w:r>
    </w:p>
  </w:footnote>
  <w:footnote w:id="63">
    <w:p w14:paraId="1FC5D216" w14:textId="77777777"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70" w:history="1">
        <w:r w:rsidRPr="00D42713">
          <w:rPr>
            <w:rStyle w:val="Hyperlink"/>
          </w:rPr>
          <w:t>E/CN.</w:t>
        </w:r>
        <w:r w:rsidRPr="0044719E">
          <w:rPr>
            <w:rStyle w:val="Hyperlink"/>
          </w:rPr>
          <w:t>4</w:t>
        </w:r>
        <w:r w:rsidRPr="00D42713">
          <w:rPr>
            <w:rStyle w:val="Hyperlink"/>
          </w:rPr>
          <w:t>/</w:t>
        </w:r>
        <w:r w:rsidRPr="0044719E">
          <w:rPr>
            <w:rStyle w:val="Hyperlink"/>
          </w:rPr>
          <w:t>2006</w:t>
        </w:r>
        <w:r w:rsidRPr="00D42713">
          <w:rPr>
            <w:rStyle w:val="Hyperlink"/>
          </w:rPr>
          <w:t>/</w:t>
        </w:r>
        <w:r w:rsidRPr="0044719E">
          <w:rPr>
            <w:rStyle w:val="Hyperlink"/>
          </w:rPr>
          <w:t>91</w:t>
        </w:r>
      </w:hyperlink>
      <w:r w:rsidRPr="00073F6C">
        <w:rPr>
          <w:rtl/>
        </w:rPr>
        <w:t xml:space="preserve">، الفقرة </w:t>
      </w:r>
      <w:r w:rsidRPr="0044719E">
        <w:rPr>
          <w:rtl/>
        </w:rPr>
        <w:t>15</w:t>
      </w:r>
      <w:r w:rsidRPr="00D42713">
        <w:rPr>
          <w:rtl/>
        </w:rPr>
        <w:t xml:space="preserve">. </w:t>
      </w:r>
    </w:p>
  </w:footnote>
  <w:footnote w:id="64">
    <w:p w14:paraId="53867065" w14:textId="77777777" w:rsidR="00D42713" w:rsidRPr="00073F6C" w:rsidRDefault="00D42713" w:rsidP="00D42713">
      <w:pPr>
        <w:pStyle w:val="FootnoteText1"/>
        <w:textDirection w:val="tbRlV"/>
        <w:rPr>
          <w:lang w:val="ar-SA" w:eastAsia="zh-TW"/>
        </w:rPr>
      </w:pPr>
      <w:r w:rsidRPr="004E459B">
        <w:rPr>
          <w:rStyle w:val="FootnoteReference"/>
          <w:vertAlign w:val="baseline"/>
          <w:rtl/>
        </w:rPr>
        <w:t>(</w:t>
      </w:r>
      <w:r w:rsidRPr="0044719E">
        <w:rPr>
          <w:rStyle w:val="FootnoteReference"/>
          <w:vertAlign w:val="baseline"/>
        </w:rPr>
        <w:footnoteRef/>
      </w:r>
      <w:r w:rsidRPr="004E459B">
        <w:rPr>
          <w:rStyle w:val="FootnoteReference"/>
          <w:vertAlign w:val="baseline"/>
          <w:rtl/>
        </w:rPr>
        <w:t>)</w:t>
      </w:r>
      <w:r w:rsidRPr="00073F6C">
        <w:rPr>
          <w:rtl/>
        </w:rPr>
        <w:tab/>
      </w:r>
      <w:hyperlink r:id="rId71" w:history="1">
        <w:r w:rsidRPr="00D42713">
          <w:rPr>
            <w:rStyle w:val="Hyperlink"/>
          </w:rPr>
          <w:t>A/HRC/</w:t>
        </w:r>
        <w:r w:rsidRPr="0044719E">
          <w:rPr>
            <w:rStyle w:val="Hyperlink"/>
          </w:rPr>
          <w:t>24</w:t>
        </w:r>
        <w:r w:rsidRPr="00D42713">
          <w:rPr>
            <w:rStyle w:val="Hyperlink"/>
          </w:rPr>
          <w:t>/</w:t>
        </w:r>
        <w:r w:rsidRPr="0044719E">
          <w:rPr>
            <w:rStyle w:val="Hyperlink"/>
          </w:rPr>
          <w:t>42</w:t>
        </w:r>
      </w:hyperlink>
      <w:r w:rsidRPr="00073F6C">
        <w:rPr>
          <w:rtl/>
        </w:rPr>
        <w:t xml:space="preserve">، الفقرة </w:t>
      </w:r>
      <w:r w:rsidRPr="0044719E">
        <w:rPr>
          <w:rtl/>
        </w:rPr>
        <w:t>36</w:t>
      </w:r>
      <w:r w:rsidRPr="00073F6C">
        <w:rPr>
          <w:rtl/>
        </w:rPr>
        <w:t>؛ و</w:t>
      </w:r>
      <w:hyperlink r:id="rId72" w:history="1">
        <w:r w:rsidRPr="00D42713">
          <w:rPr>
            <w:rStyle w:val="Hyperlink"/>
          </w:rPr>
          <w:t>A/</w:t>
        </w:r>
        <w:r w:rsidRPr="0044719E">
          <w:rPr>
            <w:rStyle w:val="Hyperlink"/>
          </w:rPr>
          <w:t>75</w:t>
        </w:r>
        <w:r w:rsidRPr="00D42713">
          <w:rPr>
            <w:rStyle w:val="Hyperlink"/>
          </w:rPr>
          <w:t>/</w:t>
        </w:r>
        <w:r w:rsidRPr="0044719E">
          <w:rPr>
            <w:rStyle w:val="Hyperlink"/>
          </w:rPr>
          <w:t>174</w:t>
        </w:r>
      </w:hyperlink>
      <w:r w:rsidRPr="00D42713">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BA55" w14:textId="20A859D8" w:rsidR="00562CB7" w:rsidRPr="00562CB7" w:rsidRDefault="00562CB7" w:rsidP="00562CB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26ADC">
      <w:t>CED/C/9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2AE9" w14:textId="049C4E2E" w:rsidR="00562CB7" w:rsidRPr="00562CB7" w:rsidRDefault="00562CB7" w:rsidP="00562CB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26ADC">
      <w:t>CED/C/9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836260779">
    <w:abstractNumId w:val="15"/>
  </w:num>
  <w:num w:numId="2" w16cid:durableId="1201018442">
    <w:abstractNumId w:val="12"/>
  </w:num>
  <w:num w:numId="3" w16cid:durableId="679550262">
    <w:abstractNumId w:val="2"/>
  </w:num>
  <w:num w:numId="4" w16cid:durableId="1316690500">
    <w:abstractNumId w:val="11"/>
  </w:num>
  <w:num w:numId="5" w16cid:durableId="541214933">
    <w:abstractNumId w:val="8"/>
  </w:num>
  <w:num w:numId="6" w16cid:durableId="411008437">
    <w:abstractNumId w:val="5"/>
  </w:num>
  <w:num w:numId="7" w16cid:durableId="100807327">
    <w:abstractNumId w:val="17"/>
  </w:num>
  <w:num w:numId="8" w16cid:durableId="1396394591">
    <w:abstractNumId w:val="2"/>
  </w:num>
  <w:num w:numId="9" w16cid:durableId="654914579">
    <w:abstractNumId w:val="11"/>
  </w:num>
  <w:num w:numId="10" w16cid:durableId="733969377">
    <w:abstractNumId w:val="5"/>
  </w:num>
  <w:num w:numId="11" w16cid:durableId="1334599885">
    <w:abstractNumId w:val="17"/>
  </w:num>
  <w:num w:numId="12" w16cid:durableId="81024793">
    <w:abstractNumId w:val="4"/>
  </w:num>
  <w:num w:numId="13" w16cid:durableId="1779787218">
    <w:abstractNumId w:val="3"/>
  </w:num>
  <w:num w:numId="14" w16cid:durableId="2105346036">
    <w:abstractNumId w:val="16"/>
  </w:num>
  <w:num w:numId="15" w16cid:durableId="1223908291">
    <w:abstractNumId w:val="13"/>
  </w:num>
  <w:num w:numId="16" w16cid:durableId="683022472">
    <w:abstractNumId w:val="1"/>
  </w:num>
  <w:num w:numId="17" w16cid:durableId="472605808">
    <w:abstractNumId w:val="14"/>
  </w:num>
  <w:num w:numId="18" w16cid:durableId="153959596">
    <w:abstractNumId w:val="0"/>
  </w:num>
  <w:num w:numId="19" w16cid:durableId="336229337">
    <w:abstractNumId w:val="9"/>
  </w:num>
  <w:num w:numId="20" w16cid:durableId="1519655472">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856579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9250011">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2039353882">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16cid:durableId="101360926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16cid:durableId="1698116697">
    <w:abstractNumId w:val="7"/>
  </w:num>
  <w:num w:numId="26" w16cid:durableId="1868837093">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1243375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99"/>
    <w:rsid w:val="00001E1B"/>
    <w:rsid w:val="000076D5"/>
    <w:rsid w:val="00027F2D"/>
    <w:rsid w:val="00043663"/>
    <w:rsid w:val="000505CF"/>
    <w:rsid w:val="000961E8"/>
    <w:rsid w:val="000A1B1A"/>
    <w:rsid w:val="000D701C"/>
    <w:rsid w:val="000E2A71"/>
    <w:rsid w:val="000F4E15"/>
    <w:rsid w:val="0010772C"/>
    <w:rsid w:val="00155E67"/>
    <w:rsid w:val="00160263"/>
    <w:rsid w:val="00176DB4"/>
    <w:rsid w:val="00181F96"/>
    <w:rsid w:val="001A1371"/>
    <w:rsid w:val="001A5338"/>
    <w:rsid w:val="001B346A"/>
    <w:rsid w:val="001E1CAD"/>
    <w:rsid w:val="001E290D"/>
    <w:rsid w:val="002144FA"/>
    <w:rsid w:val="0021768C"/>
    <w:rsid w:val="0023469A"/>
    <w:rsid w:val="00243C8A"/>
    <w:rsid w:val="002456E8"/>
    <w:rsid w:val="00267A0E"/>
    <w:rsid w:val="002804D6"/>
    <w:rsid w:val="002901D9"/>
    <w:rsid w:val="002976C2"/>
    <w:rsid w:val="002C11AF"/>
    <w:rsid w:val="00317B22"/>
    <w:rsid w:val="003260FF"/>
    <w:rsid w:val="00343D95"/>
    <w:rsid w:val="00347336"/>
    <w:rsid w:val="00374341"/>
    <w:rsid w:val="003D1062"/>
    <w:rsid w:val="00420D7B"/>
    <w:rsid w:val="00430616"/>
    <w:rsid w:val="0044719E"/>
    <w:rsid w:val="00450B21"/>
    <w:rsid w:val="00453B63"/>
    <w:rsid w:val="00455780"/>
    <w:rsid w:val="004A52AC"/>
    <w:rsid w:val="004B0A1C"/>
    <w:rsid w:val="004D298E"/>
    <w:rsid w:val="004E1586"/>
    <w:rsid w:val="004E459B"/>
    <w:rsid w:val="00534020"/>
    <w:rsid w:val="0054472E"/>
    <w:rsid w:val="00562CB7"/>
    <w:rsid w:val="005662A9"/>
    <w:rsid w:val="005827D4"/>
    <w:rsid w:val="0059622A"/>
    <w:rsid w:val="005A6F49"/>
    <w:rsid w:val="005B1F85"/>
    <w:rsid w:val="005C5878"/>
    <w:rsid w:val="005C7CEA"/>
    <w:rsid w:val="005D3C0B"/>
    <w:rsid w:val="005E5217"/>
    <w:rsid w:val="005E67F5"/>
    <w:rsid w:val="005F0FA4"/>
    <w:rsid w:val="005F2681"/>
    <w:rsid w:val="005F30EE"/>
    <w:rsid w:val="0060473A"/>
    <w:rsid w:val="00622130"/>
    <w:rsid w:val="00656392"/>
    <w:rsid w:val="0068781D"/>
    <w:rsid w:val="006959B0"/>
    <w:rsid w:val="006A69CA"/>
    <w:rsid w:val="006B3E27"/>
    <w:rsid w:val="006B6507"/>
    <w:rsid w:val="006C104C"/>
    <w:rsid w:val="006C67E9"/>
    <w:rsid w:val="006D39EA"/>
    <w:rsid w:val="006D698E"/>
    <w:rsid w:val="00733704"/>
    <w:rsid w:val="00774AF4"/>
    <w:rsid w:val="0078071A"/>
    <w:rsid w:val="007B718D"/>
    <w:rsid w:val="007D4C84"/>
    <w:rsid w:val="007D7145"/>
    <w:rsid w:val="007F55ED"/>
    <w:rsid w:val="00807312"/>
    <w:rsid w:val="008313E3"/>
    <w:rsid w:val="00852A9A"/>
    <w:rsid w:val="008544DB"/>
    <w:rsid w:val="008C2897"/>
    <w:rsid w:val="008C6E7E"/>
    <w:rsid w:val="008D6989"/>
    <w:rsid w:val="008E60E9"/>
    <w:rsid w:val="008F49E1"/>
    <w:rsid w:val="008F729B"/>
    <w:rsid w:val="0090370F"/>
    <w:rsid w:val="009269D2"/>
    <w:rsid w:val="009305F0"/>
    <w:rsid w:val="00942135"/>
    <w:rsid w:val="009521B0"/>
    <w:rsid w:val="00980103"/>
    <w:rsid w:val="00987935"/>
    <w:rsid w:val="00994130"/>
    <w:rsid w:val="009A52F7"/>
    <w:rsid w:val="009A7E9F"/>
    <w:rsid w:val="009B174F"/>
    <w:rsid w:val="009E5018"/>
    <w:rsid w:val="009E5199"/>
    <w:rsid w:val="009F515B"/>
    <w:rsid w:val="00A12B37"/>
    <w:rsid w:val="00A20FF4"/>
    <w:rsid w:val="00A4027E"/>
    <w:rsid w:val="00AB4F93"/>
    <w:rsid w:val="00AB6758"/>
    <w:rsid w:val="00B13614"/>
    <w:rsid w:val="00B13763"/>
    <w:rsid w:val="00B27391"/>
    <w:rsid w:val="00B33568"/>
    <w:rsid w:val="00B40C02"/>
    <w:rsid w:val="00B477A4"/>
    <w:rsid w:val="00B54045"/>
    <w:rsid w:val="00B62784"/>
    <w:rsid w:val="00B63F77"/>
    <w:rsid w:val="00B65387"/>
    <w:rsid w:val="00BB449E"/>
    <w:rsid w:val="00BD2E35"/>
    <w:rsid w:val="00C05EA5"/>
    <w:rsid w:val="00C438D7"/>
    <w:rsid w:val="00C81B50"/>
    <w:rsid w:val="00C92253"/>
    <w:rsid w:val="00CB28F9"/>
    <w:rsid w:val="00CC276B"/>
    <w:rsid w:val="00CD1801"/>
    <w:rsid w:val="00CF7E4E"/>
    <w:rsid w:val="00D10EF1"/>
    <w:rsid w:val="00D42713"/>
    <w:rsid w:val="00D42810"/>
    <w:rsid w:val="00D914A7"/>
    <w:rsid w:val="00D9457F"/>
    <w:rsid w:val="00DD13C3"/>
    <w:rsid w:val="00DD596E"/>
    <w:rsid w:val="00DD621E"/>
    <w:rsid w:val="00DF0575"/>
    <w:rsid w:val="00DF5E71"/>
    <w:rsid w:val="00E26ADC"/>
    <w:rsid w:val="00E70E04"/>
    <w:rsid w:val="00E76499"/>
    <w:rsid w:val="00E866BF"/>
    <w:rsid w:val="00EB6F59"/>
    <w:rsid w:val="00EC05A7"/>
    <w:rsid w:val="00EC4B6B"/>
    <w:rsid w:val="00EC51D3"/>
    <w:rsid w:val="00ED7AA3"/>
    <w:rsid w:val="00EE2A27"/>
    <w:rsid w:val="00EF1EE5"/>
    <w:rsid w:val="00F156CA"/>
    <w:rsid w:val="00F52C23"/>
    <w:rsid w:val="00F6781A"/>
    <w:rsid w:val="00F763B4"/>
    <w:rsid w:val="00F900C3"/>
    <w:rsid w:val="00FD3946"/>
    <w:rsid w:val="00FF2AB2"/>
    <w:rsid w:val="00FF4EA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BB83A0"/>
  <w15:docId w15:val="{00F1D541-A487-4E4F-9A36-CBA60429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77"/>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B63F77"/>
    <w:pPr>
      <w:bidi w:val="0"/>
      <w:outlineLvl w:val="0"/>
    </w:pPr>
  </w:style>
  <w:style w:type="paragraph" w:styleId="Heading2">
    <w:name w:val="heading 2"/>
    <w:basedOn w:val="Normal"/>
    <w:next w:val="Normal"/>
    <w:link w:val="Heading2Char"/>
    <w:uiPriority w:val="9"/>
    <w:unhideWhenUsed/>
    <w:rsid w:val="00B63F7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B63F77"/>
    <w:pPr>
      <w:keepNext/>
      <w:keepLines/>
      <w:spacing w:before="200"/>
      <w:outlineLvl w:val="2"/>
    </w:pPr>
    <w:rPr>
      <w:b/>
      <w:bCs/>
      <w:color w:val="4F81BD"/>
    </w:rPr>
  </w:style>
  <w:style w:type="paragraph" w:styleId="Heading4">
    <w:name w:val="heading 4"/>
    <w:basedOn w:val="Normal"/>
    <w:next w:val="Normal"/>
    <w:link w:val="Heading4Char"/>
    <w:uiPriority w:val="9"/>
    <w:unhideWhenUsed/>
    <w:rsid w:val="00B63F7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B63F77"/>
    <w:pPr>
      <w:keepNext/>
      <w:keepLines/>
      <w:spacing w:before="200"/>
      <w:outlineLvl w:val="4"/>
    </w:pPr>
    <w:rPr>
      <w:color w:val="243F60"/>
    </w:rPr>
  </w:style>
  <w:style w:type="paragraph" w:styleId="Heading6">
    <w:name w:val="heading 6"/>
    <w:basedOn w:val="Normal"/>
    <w:next w:val="Normal"/>
    <w:link w:val="Heading6Char"/>
    <w:uiPriority w:val="9"/>
    <w:unhideWhenUsed/>
    <w:rsid w:val="00B63F77"/>
    <w:pPr>
      <w:keepNext/>
      <w:keepLines/>
      <w:spacing w:before="200"/>
      <w:outlineLvl w:val="5"/>
    </w:pPr>
    <w:rPr>
      <w:i/>
      <w:iCs/>
      <w:color w:val="243F60"/>
    </w:rPr>
  </w:style>
  <w:style w:type="paragraph" w:styleId="Heading7">
    <w:name w:val="heading 7"/>
    <w:basedOn w:val="Normal"/>
    <w:next w:val="Normal"/>
    <w:link w:val="Heading7Char"/>
    <w:uiPriority w:val="9"/>
    <w:unhideWhenUsed/>
    <w:rsid w:val="00B63F77"/>
    <w:pPr>
      <w:keepNext/>
      <w:keepLines/>
      <w:spacing w:before="200"/>
      <w:outlineLvl w:val="6"/>
    </w:pPr>
    <w:rPr>
      <w:i/>
      <w:iCs/>
      <w:color w:val="404040"/>
    </w:rPr>
  </w:style>
  <w:style w:type="paragraph" w:styleId="Heading8">
    <w:name w:val="heading 8"/>
    <w:basedOn w:val="Normal"/>
    <w:next w:val="Normal"/>
    <w:link w:val="Heading8Char"/>
    <w:uiPriority w:val="9"/>
    <w:unhideWhenUsed/>
    <w:rsid w:val="00B63F7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B63F7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B63F7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B63F7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B63F7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B63F7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B63F7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B63F7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B63F7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B63F7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B63F7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B63F7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B63F7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B63F7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B63F7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B63F77"/>
    <w:pPr>
      <w:numPr>
        <w:numId w:val="5"/>
      </w:numPr>
      <w:bidi w:val="0"/>
    </w:pPr>
    <w:rPr>
      <w:lang w:val="en-US"/>
    </w:rPr>
  </w:style>
  <w:style w:type="paragraph" w:customStyle="1" w:styleId="Roman1GA">
    <w:name w:val="_Roman 1_GA"/>
    <w:basedOn w:val="Bullet1GA"/>
    <w:qFormat/>
    <w:rsid w:val="00B63F77"/>
    <w:pPr>
      <w:numPr>
        <w:numId w:val="6"/>
      </w:numPr>
      <w:tabs>
        <w:tab w:val="clear" w:pos="2310"/>
        <w:tab w:val="left" w:pos="2486"/>
      </w:tabs>
      <w:ind w:left="2486" w:hanging="378"/>
    </w:pPr>
  </w:style>
  <w:style w:type="paragraph" w:customStyle="1" w:styleId="Roman2GA">
    <w:name w:val="_Roman 2_GA"/>
    <w:basedOn w:val="Bullet2GA"/>
    <w:qFormat/>
    <w:rsid w:val="00B63F7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B63F7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B63F77"/>
    <w:rPr>
      <w:rFonts w:ascii="Times New Roman" w:eastAsia="PMingLiU" w:hAnsi="Times New Roman" w:cs="Simplified Arabic"/>
      <w:sz w:val="18"/>
      <w:szCs w:val="20"/>
      <w:lang w:val="en-GB"/>
    </w:rPr>
  </w:style>
  <w:style w:type="character" w:customStyle="1" w:styleId="EndtnoteReference">
    <w:name w:val="Endtnote Reference"/>
    <w:aliases w:val="1_GA"/>
    <w:qFormat/>
    <w:rsid w:val="00B63F7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B63F77"/>
    <w:pPr>
      <w:suppressAutoHyphens/>
      <w:bidi w:val="0"/>
      <w:spacing w:line="240" w:lineRule="auto"/>
    </w:pPr>
    <w:rPr>
      <w:sz w:val="16"/>
      <w:lang w:val="en-GB"/>
    </w:rPr>
  </w:style>
  <w:style w:type="character" w:customStyle="1" w:styleId="FooterChar">
    <w:name w:val="Footer Char"/>
    <w:aliases w:val="3_GA Char,3_G Char"/>
    <w:link w:val="Footer"/>
    <w:rsid w:val="00B63F77"/>
    <w:rPr>
      <w:rFonts w:ascii="Times New Roman" w:eastAsia="PMingLiU" w:hAnsi="Times New Roman" w:cs="Simplified Arabic"/>
      <w:sz w:val="16"/>
      <w:lang w:val="en-GB"/>
    </w:rPr>
  </w:style>
  <w:style w:type="paragraph" w:customStyle="1" w:styleId="FootnoteText1">
    <w:name w:val="Footnote Text1"/>
    <w:aliases w:val="5_GA"/>
    <w:basedOn w:val="Normal"/>
    <w:qFormat/>
    <w:rsid w:val="00B63F7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B63F7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B63F77"/>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B63F77"/>
    <w:rPr>
      <w:rFonts w:ascii="Times New Roman" w:eastAsia="PMingLiU" w:hAnsi="Times New Roman" w:cs="Simplified Arabic"/>
      <w:lang w:val="en-GB"/>
    </w:rPr>
  </w:style>
  <w:style w:type="character" w:styleId="PageNumber">
    <w:name w:val="page number"/>
    <w:aliases w:val="7_GA,7_G"/>
    <w:qFormat/>
    <w:rsid w:val="00B63F77"/>
    <w:rPr>
      <w:rFonts w:ascii="Times New Roman Bold" w:hAnsi="Times New Roman Bold"/>
      <w:b/>
      <w:i w:val="0"/>
      <w:sz w:val="18"/>
      <w:szCs w:val="18"/>
    </w:rPr>
  </w:style>
  <w:style w:type="paragraph" w:customStyle="1" w:styleId="XXLargeGA">
    <w:name w:val="XXLarge_GA"/>
    <w:basedOn w:val="Normal"/>
    <w:next w:val="SingleTxtGA"/>
    <w:qFormat/>
    <w:rsid w:val="00B63F77"/>
    <w:pPr>
      <w:suppressAutoHyphens/>
      <w:spacing w:line="820" w:lineRule="exact"/>
    </w:pPr>
    <w:rPr>
      <w:spacing w:val="-8"/>
      <w:w w:val="96"/>
      <w:sz w:val="57"/>
      <w:szCs w:val="86"/>
      <w:lang w:val="en-GB"/>
    </w:rPr>
  </w:style>
  <w:style w:type="character" w:customStyle="1" w:styleId="Heading2Char">
    <w:name w:val="Heading 2 Char"/>
    <w:link w:val="Heading2"/>
    <w:uiPriority w:val="9"/>
    <w:rsid w:val="00B63F77"/>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B63F77"/>
    <w:rPr>
      <w:rFonts w:ascii="Times New Roman" w:eastAsia="PMingLiU" w:hAnsi="Times New Roman" w:cs="Simplified Arabic"/>
      <w:b/>
      <w:bCs/>
      <w:color w:val="4F81BD"/>
      <w:sz w:val="20"/>
    </w:rPr>
  </w:style>
  <w:style w:type="character" w:customStyle="1" w:styleId="Heading4Char">
    <w:name w:val="Heading 4 Char"/>
    <w:link w:val="Heading4"/>
    <w:uiPriority w:val="9"/>
    <w:rsid w:val="00B63F77"/>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B63F77"/>
    <w:rPr>
      <w:rFonts w:ascii="Times New Roman" w:eastAsia="PMingLiU" w:hAnsi="Times New Roman" w:cs="Simplified Arabic"/>
      <w:color w:val="243F60"/>
      <w:sz w:val="20"/>
    </w:rPr>
  </w:style>
  <w:style w:type="character" w:customStyle="1" w:styleId="Heading6Char">
    <w:name w:val="Heading 6 Char"/>
    <w:link w:val="Heading6"/>
    <w:uiPriority w:val="9"/>
    <w:rsid w:val="00B63F77"/>
    <w:rPr>
      <w:rFonts w:ascii="Times New Roman" w:eastAsia="PMingLiU" w:hAnsi="Times New Roman" w:cs="Simplified Arabic"/>
      <w:i/>
      <w:iCs/>
      <w:color w:val="243F60"/>
      <w:sz w:val="20"/>
    </w:rPr>
  </w:style>
  <w:style w:type="character" w:customStyle="1" w:styleId="Heading7Char">
    <w:name w:val="Heading 7 Char"/>
    <w:link w:val="Heading7"/>
    <w:uiPriority w:val="9"/>
    <w:rsid w:val="00B63F77"/>
    <w:rPr>
      <w:rFonts w:ascii="Times New Roman" w:eastAsia="PMingLiU" w:hAnsi="Times New Roman" w:cs="Simplified Arabic"/>
      <w:i/>
      <w:iCs/>
      <w:color w:val="404040"/>
      <w:sz w:val="20"/>
    </w:rPr>
  </w:style>
  <w:style w:type="character" w:customStyle="1" w:styleId="Heading8Char">
    <w:name w:val="Heading 8 Char"/>
    <w:link w:val="Heading8"/>
    <w:uiPriority w:val="9"/>
    <w:rsid w:val="00B63F77"/>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B63F77"/>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B63F7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B63F77"/>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B63F77"/>
    <w:pPr>
      <w:numPr>
        <w:ilvl w:val="1"/>
      </w:numPr>
    </w:pPr>
    <w:rPr>
      <w:i/>
      <w:iCs/>
      <w:color w:val="4F81BD"/>
      <w:spacing w:val="15"/>
      <w:sz w:val="24"/>
      <w:szCs w:val="24"/>
    </w:rPr>
  </w:style>
  <w:style w:type="character" w:customStyle="1" w:styleId="SubtitleChar">
    <w:name w:val="Subtitle Char"/>
    <w:link w:val="Subtitle"/>
    <w:uiPriority w:val="11"/>
    <w:rsid w:val="00B63F77"/>
    <w:rPr>
      <w:rFonts w:ascii="Times New Roman" w:eastAsia="PMingLiU" w:hAnsi="Times New Roman" w:cs="Simplified Arabic"/>
      <w:i/>
      <w:iCs/>
      <w:color w:val="4F81BD"/>
      <w:spacing w:val="15"/>
      <w:sz w:val="24"/>
      <w:szCs w:val="24"/>
    </w:rPr>
  </w:style>
  <w:style w:type="character" w:styleId="Strong">
    <w:name w:val="Strong"/>
    <w:uiPriority w:val="22"/>
    <w:rsid w:val="00B63F77"/>
    <w:rPr>
      <w:b/>
      <w:bCs/>
    </w:rPr>
  </w:style>
  <w:style w:type="table" w:styleId="TableGrid">
    <w:name w:val="Table Grid"/>
    <w:basedOn w:val="TableNormal"/>
    <w:rsid w:val="00B63F77"/>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3F77"/>
    <w:rPr>
      <w:color w:val="0000FF"/>
      <w:u w:val="none"/>
    </w:rPr>
  </w:style>
  <w:style w:type="paragraph" w:styleId="TOC1">
    <w:name w:val="toc 1"/>
    <w:basedOn w:val="Normal"/>
    <w:link w:val="TOC1Char"/>
    <w:autoRedefine/>
    <w:uiPriority w:val="39"/>
    <w:unhideWhenUsed/>
    <w:rsid w:val="00B63F7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B63F7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B63F7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B63F77"/>
    <w:rPr>
      <w:rFonts w:eastAsia="DengXian"/>
      <w:color w:val="auto"/>
      <w:sz w:val="20"/>
      <w:szCs w:val="20"/>
      <w:u w:val="none"/>
      <w:lang w:eastAsia="zh-CN" w:bidi="ar-EG"/>
    </w:rPr>
  </w:style>
  <w:style w:type="paragraph" w:styleId="TOC4">
    <w:name w:val="toc 4"/>
    <w:basedOn w:val="Normal"/>
    <w:link w:val="TOC4Char"/>
    <w:autoRedefine/>
    <w:uiPriority w:val="39"/>
    <w:unhideWhenUsed/>
    <w:rsid w:val="00B63F7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B63F7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B63F7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B63F7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B63F77"/>
    <w:rPr>
      <w:rFonts w:ascii="Times New Roman" w:eastAsia="PMingLiU" w:hAnsi="Times New Roman" w:cs="Simplified Arabic"/>
      <w:lang w:val="en-GB"/>
    </w:rPr>
  </w:style>
  <w:style w:type="character" w:customStyle="1" w:styleId="TOC1Char">
    <w:name w:val="TOC 1 Char"/>
    <w:basedOn w:val="DefaultParagraphFont"/>
    <w:link w:val="TOC1"/>
    <w:uiPriority w:val="39"/>
    <w:rsid w:val="00B63F77"/>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B63F77"/>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B63F77"/>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B63F77"/>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B63F77"/>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B63F77"/>
    <w:rPr>
      <w:rFonts w:ascii="Times New Roman" w:eastAsia="PMingLiU" w:hAnsi="Times New Roman" w:cs="Simplified Arabic"/>
      <w:sz w:val="20"/>
      <w:szCs w:val="20"/>
      <w:lang w:val="en-GB"/>
    </w:rPr>
  </w:style>
  <w:style w:type="paragraph" w:customStyle="1" w:styleId="NormalA">
    <w:name w:val="Normal_A"/>
    <w:basedOn w:val="Normal"/>
    <w:qFormat/>
    <w:rsid w:val="00B63F77"/>
  </w:style>
  <w:style w:type="paragraph" w:customStyle="1" w:styleId="FootnoteGA">
    <w:name w:val="_Footnote_GA"/>
    <w:basedOn w:val="Normal"/>
    <w:qFormat/>
    <w:rsid w:val="00B63F7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B63F77"/>
    <w:rPr>
      <w:sz w:val="44"/>
      <w:szCs w:val="44"/>
      <w:lang w:val="en-US" w:bidi="ar-DZ"/>
    </w:rPr>
  </w:style>
  <w:style w:type="paragraph" w:customStyle="1" w:styleId="FootnoteGA0">
    <w:name w:val="Footnote_GA"/>
    <w:basedOn w:val="Normal"/>
    <w:qFormat/>
    <w:rsid w:val="00B63F7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B63F7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B63F77"/>
    <w:pPr>
      <w:spacing w:line="240" w:lineRule="exact"/>
    </w:pPr>
    <w:rPr>
      <w:spacing w:val="6"/>
      <w:w w:val="106"/>
      <w:sz w:val="14"/>
      <w:szCs w:val="21"/>
    </w:rPr>
  </w:style>
  <w:style w:type="paragraph" w:customStyle="1" w:styleId="Original">
    <w:name w:val="Original"/>
    <w:basedOn w:val="Normal"/>
    <w:next w:val="Normal"/>
    <w:qFormat/>
    <w:rsid w:val="00B63F7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B63F7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B63F77"/>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7B718D"/>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7B718D"/>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7B718D"/>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B63F77"/>
    <w:rPr>
      <w:lang w:val="en-US" w:eastAsia="zh-TW"/>
    </w:rPr>
  </w:style>
  <w:style w:type="paragraph" w:customStyle="1" w:styleId="STitleMGA">
    <w:name w:val="S_Title_M_GA"/>
    <w:basedOn w:val="SMGA"/>
    <w:qFormat/>
    <w:rsid w:val="00B63F77"/>
    <w:rPr>
      <w:lang w:eastAsia="zh-TW"/>
    </w:rPr>
  </w:style>
  <w:style w:type="paragraph" w:customStyle="1" w:styleId="STitleSGA">
    <w:name w:val="S_Title_S_GA"/>
    <w:basedOn w:val="SSGA"/>
    <w:qFormat/>
    <w:rsid w:val="00B63F77"/>
    <w:rPr>
      <w:lang w:eastAsia="zh-TW"/>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4E459B"/>
    <w:pPr>
      <w:tabs>
        <w:tab w:val="right" w:pos="1021"/>
      </w:tabs>
      <w:suppressAutoHyphens/>
      <w:bidi w:val="0"/>
      <w:spacing w:line="220" w:lineRule="exact"/>
      <w:ind w:left="1134" w:right="1134" w:hanging="1134"/>
      <w:jc w:val="both"/>
    </w:pPr>
    <w:rPr>
      <w:rFonts w:eastAsia="SimSun" w:hAnsiTheme="minorHAnsi" w:hint="cs"/>
      <w:sz w:val="18"/>
      <w:szCs w:val="20"/>
      <w:lang w:val="en-GB" w:eastAsia="zh-CN"/>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4E459B"/>
    <w:rPr>
      <w:rFonts w:ascii="Times New Roman" w:eastAsia="SimSun" w:cs="Simplified Arabic"/>
      <w:sz w:val="18"/>
      <w:szCs w:val="20"/>
      <w:lang w:val="en-GB" w:eastAsia="zh-CN"/>
    </w:rPr>
  </w:style>
  <w:style w:type="character" w:styleId="FootnoteReference">
    <w:name w:val="footnote reference"/>
    <w:aliases w:val="4_GA,4_G,ftref,footnote ref,16 Point,Superscript 6 Point,Fußnotenzeichen DISS,fr,BVI fnr,(NECG) Footnote Reference,Char Char Char Char Car Char,ب"/>
    <w:qFormat/>
    <w:rsid w:val="004E459B"/>
    <w:rPr>
      <w:szCs w:val="18"/>
      <w:vertAlign w:val="superscript"/>
    </w:rPr>
  </w:style>
  <w:style w:type="paragraph" w:customStyle="1" w:styleId="H23G">
    <w:name w:val="_ H_2/3_G"/>
    <w:basedOn w:val="Normal"/>
    <w:next w:val="Normal"/>
    <w:qFormat/>
    <w:rsid w:val="004E459B"/>
    <w:pPr>
      <w:keepNext/>
      <w:keepLines/>
      <w:tabs>
        <w:tab w:val="right" w:pos="851"/>
      </w:tabs>
      <w:suppressAutoHyphens/>
      <w:bidi w:val="0"/>
      <w:spacing w:before="240" w:after="120" w:line="240" w:lineRule="exact"/>
      <w:ind w:left="1134" w:right="1134" w:hanging="1134"/>
      <w:jc w:val="left"/>
    </w:pPr>
    <w:rPr>
      <w:rFonts w:eastAsia="SimSun" w:hAnsiTheme="minorHAnsi" w:hint="cs"/>
      <w:b/>
      <w:szCs w:val="20"/>
      <w:lang w:val="en-GB" w:eastAsia="zh-CN"/>
    </w:rPr>
  </w:style>
  <w:style w:type="paragraph" w:customStyle="1" w:styleId="SingleTxtG">
    <w:name w:val="_ Single Txt_G"/>
    <w:basedOn w:val="Normal"/>
    <w:link w:val="SingleTxtGChar"/>
    <w:qFormat/>
    <w:rsid w:val="004E459B"/>
    <w:pPr>
      <w:suppressAutoHyphens/>
      <w:bidi w:val="0"/>
      <w:spacing w:after="120"/>
      <w:ind w:left="1134" w:right="1134"/>
      <w:jc w:val="both"/>
    </w:pPr>
    <w:rPr>
      <w:rFonts w:eastAsia="SimSun" w:hAnsiTheme="minorHAnsi"/>
      <w:szCs w:val="20"/>
      <w:lang w:val="en-GB" w:eastAsia="zh-CN"/>
    </w:rPr>
  </w:style>
  <w:style w:type="character" w:customStyle="1" w:styleId="SingleTxtGChar">
    <w:name w:val="_ Single Txt_G Char"/>
    <w:link w:val="SingleTxtG"/>
    <w:rsid w:val="004E459B"/>
    <w:rPr>
      <w:rFonts w:ascii="Times New Roman" w:eastAsia="SimSun" w:cs="Simplified Arabic"/>
      <w:sz w:val="20"/>
      <w:szCs w:val="20"/>
      <w:lang w:val="en-GB" w:eastAsia="zh-CN"/>
    </w:rPr>
  </w:style>
  <w:style w:type="character" w:styleId="UnresolvedMention">
    <w:name w:val="Unresolved Mention"/>
    <w:basedOn w:val="DefaultParagraphFont"/>
    <w:uiPriority w:val="99"/>
    <w:semiHidden/>
    <w:unhideWhenUsed/>
    <w:rsid w:val="00D4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undocs.org/ar/CRC/C/IND/CO/3-4" TargetMode="External"/><Relationship Id="rId18" Type="http://schemas.openxmlformats.org/officeDocument/2006/relationships/hyperlink" Target="https://undocs.org/ar/A/HRC/34/55" TargetMode="External"/><Relationship Id="rId26" Type="http://schemas.openxmlformats.org/officeDocument/2006/relationships/hyperlink" Target="https://undocs.org/ar/CRC/C/MDG/CO/3-4" TargetMode="External"/><Relationship Id="rId39" Type="http://schemas.openxmlformats.org/officeDocument/2006/relationships/hyperlink" Target="https://undocs.org/ar/CRC/C/MHL/CO/2" TargetMode="External"/><Relationship Id="rId21" Type="http://schemas.openxmlformats.org/officeDocument/2006/relationships/hyperlink" Target="https://undocs.org/ar/CRC/C/GTM/CO/3-4" TargetMode="External"/><Relationship Id="rId34" Type="http://schemas.openxmlformats.org/officeDocument/2006/relationships/hyperlink" Target="https://undocs.org/ar/CRPD/C/HUN/CO/2-3" TargetMode="External"/><Relationship Id="rId42" Type="http://schemas.openxmlformats.org/officeDocument/2006/relationships/hyperlink" Target="https://undocs.org/ar/CRC/C/OPSC/GRC/CO/1" TargetMode="External"/><Relationship Id="rId47" Type="http://schemas.openxmlformats.org/officeDocument/2006/relationships/hyperlink" Target="https://undocs.org/ar/CED/C/CHE/CO/1" TargetMode="External"/><Relationship Id="rId50" Type="http://schemas.openxmlformats.org/officeDocument/2006/relationships/hyperlink" Target="https://undocs.org/ar/CRC/C/DZA/CO/3-4" TargetMode="External"/><Relationship Id="rId55" Type="http://schemas.openxmlformats.org/officeDocument/2006/relationships/hyperlink" Target="https://undocs.org/ar/CED/C/COL/CO/1" TargetMode="External"/><Relationship Id="rId63" Type="http://schemas.openxmlformats.org/officeDocument/2006/relationships/hyperlink" Target="https://undocs.org/ar/CED/C/BOL/CO/1" TargetMode="External"/><Relationship Id="rId68" Type="http://schemas.openxmlformats.org/officeDocument/2006/relationships/hyperlink" Target="https://undocs.org/ar/A/HRC/45/45" TargetMode="External"/><Relationship Id="rId7" Type="http://schemas.openxmlformats.org/officeDocument/2006/relationships/hyperlink" Target="https://undocs.org/ar/CRC/C/FRA/CO/4/Corr.1" TargetMode="External"/><Relationship Id="rId71" Type="http://schemas.openxmlformats.org/officeDocument/2006/relationships/hyperlink" Target="https://undocs.org/ar/A/HRC/24/42" TargetMode="External"/><Relationship Id="rId2" Type="http://schemas.openxmlformats.org/officeDocument/2006/relationships/hyperlink" Target="https://undocs.org/ar/A/HRC/34/55" TargetMode="External"/><Relationship Id="rId16" Type="http://schemas.openxmlformats.org/officeDocument/2006/relationships/hyperlink" Target="https://undocs.org/ar/A/HRC/34/55" TargetMode="External"/><Relationship Id="rId29" Type="http://schemas.openxmlformats.org/officeDocument/2006/relationships/hyperlink" Target="https://undocs.org/ar/CRC/C/BRN/CO/2-3" TargetMode="External"/><Relationship Id="rId1" Type="http://schemas.openxmlformats.org/officeDocument/2006/relationships/hyperlink" Target="https://www.ohchr.org/sites/default/files/Documents/Issues/Children/Illegaladoptions/Statement.pdf" TargetMode="External"/><Relationship Id="rId6" Type="http://schemas.openxmlformats.org/officeDocument/2006/relationships/hyperlink" Target="https://undocs.org/ar/CRC/C/FRA/CO/4" TargetMode="External"/><Relationship Id="rId11" Type="http://schemas.openxmlformats.org/officeDocument/2006/relationships/hyperlink" Target="https://spcommreports.ohchr.org/TMResultsBase/DownLoadPublicCommunicationFile?gId=26772" TargetMode="External"/><Relationship Id="rId24" Type="http://schemas.openxmlformats.org/officeDocument/2006/relationships/hyperlink" Target="https://undocs.org/ar/A/HRC/34/55" TargetMode="External"/><Relationship Id="rId32" Type="http://schemas.openxmlformats.org/officeDocument/2006/relationships/hyperlink" Target="https://undocs.org/ar/CED/C/ITA/CO/1" TargetMode="External"/><Relationship Id="rId37" Type="http://schemas.openxmlformats.org/officeDocument/2006/relationships/hyperlink" Target="https://undocs.org/ar/CRC/C/SOM/CO/1" TargetMode="External"/><Relationship Id="rId40" Type="http://schemas.openxmlformats.org/officeDocument/2006/relationships/hyperlink" Target="https://undocs.org/ar/CRC/C/ESP/CO/3-4" TargetMode="External"/><Relationship Id="rId45" Type="http://schemas.openxmlformats.org/officeDocument/2006/relationships/hyperlink" Target="https://undocs.org/ar/CRC/C/YEM/CO/4" TargetMode="External"/><Relationship Id="rId53" Type="http://schemas.openxmlformats.org/officeDocument/2006/relationships/hyperlink" Target="https://undocs.org/ar/CRC/C/CHE/CO/5-6" TargetMode="External"/><Relationship Id="rId58" Type="http://schemas.openxmlformats.org/officeDocument/2006/relationships/hyperlink" Target="https://undocs.org/ar/CRC/C/SLV/CO/3-4" TargetMode="External"/><Relationship Id="rId66" Type="http://schemas.openxmlformats.org/officeDocument/2006/relationships/hyperlink" Target="https://undocs.org/ar/CED/C/BOL/CO/1" TargetMode="External"/><Relationship Id="rId5" Type="http://schemas.openxmlformats.org/officeDocument/2006/relationships/hyperlink" Target="https://undocs.org/ar/CRC/C/15/Add.240" TargetMode="External"/><Relationship Id="rId15" Type="http://schemas.openxmlformats.org/officeDocument/2006/relationships/hyperlink" Target="https://undocs.org/ar/CED/C/FRA/CO/1" TargetMode="External"/><Relationship Id="rId23" Type="http://schemas.openxmlformats.org/officeDocument/2006/relationships/hyperlink" Target="https://undocs.org/ar/CRC/C/ERI/CO/3" TargetMode="External"/><Relationship Id="rId28" Type="http://schemas.openxmlformats.org/officeDocument/2006/relationships/hyperlink" Target="https://undocs.org/ar/A/HRC/34/55" TargetMode="External"/><Relationship Id="rId36" Type="http://schemas.openxmlformats.org/officeDocument/2006/relationships/hyperlink" Target="https://undocs.org/ar/CRC/C/DJI/CO/3-5" TargetMode="External"/><Relationship Id="rId49" Type="http://schemas.openxmlformats.org/officeDocument/2006/relationships/hyperlink" Target="https://undocs.org/ar/CRC/C/CHN/CO/3-4" TargetMode="External"/><Relationship Id="rId57" Type="http://schemas.openxmlformats.org/officeDocument/2006/relationships/hyperlink" Target="https://undocs.org/ar/CRC/C/15/Add.187" TargetMode="External"/><Relationship Id="rId61" Type="http://schemas.openxmlformats.org/officeDocument/2006/relationships/hyperlink" Target="https://undocs.org/ar/CED/C/PAN/CO/1" TargetMode="External"/><Relationship Id="rId10" Type="http://schemas.openxmlformats.org/officeDocument/2006/relationships/hyperlink" Target="https://undocs.org/ar/CED/C/MNG/CO/1" TargetMode="External"/><Relationship Id="rId19" Type="http://schemas.openxmlformats.org/officeDocument/2006/relationships/hyperlink" Target="https://undocs.org/ar/CRC/C/GHA/CO/3-5" TargetMode="External"/><Relationship Id="rId31" Type="http://schemas.openxmlformats.org/officeDocument/2006/relationships/hyperlink" Target="https://undocs.org/ar/CRC/C/TLS/CO/1" TargetMode="External"/><Relationship Id="rId44" Type="http://schemas.openxmlformats.org/officeDocument/2006/relationships/hyperlink" Target="https://undocs.org/ar/CRC/C/OPSC/SRB/CO/1" TargetMode="External"/><Relationship Id="rId52" Type="http://schemas.openxmlformats.org/officeDocument/2006/relationships/hyperlink" Target="https://undocs.org/ar/CED/C/CHL/CO/1" TargetMode="External"/><Relationship Id="rId60" Type="http://schemas.openxmlformats.org/officeDocument/2006/relationships/hyperlink" Target="https://undocs.org/ar/CRC/C/GTM/CO/3-4" TargetMode="External"/><Relationship Id="rId65" Type="http://schemas.openxmlformats.org/officeDocument/2006/relationships/hyperlink" Target="https://undocs.org/ar/CED/C/HND/CO/1" TargetMode="External"/><Relationship Id="rId4" Type="http://schemas.openxmlformats.org/officeDocument/2006/relationships/hyperlink" Target="https://undocs.org/ar/CRC/C/RUS/CO/3" TargetMode="External"/><Relationship Id="rId9" Type="http://schemas.openxmlformats.org/officeDocument/2006/relationships/hyperlink" Target="https://undocs.org/ar/CED/C/CHE/CO/1" TargetMode="External"/><Relationship Id="rId14" Type="http://schemas.openxmlformats.org/officeDocument/2006/relationships/hyperlink" Target="https://undocs.org/ar/CRC/C/ERI/CO/3" TargetMode="External"/><Relationship Id="rId22" Type="http://schemas.openxmlformats.org/officeDocument/2006/relationships/hyperlink" Target="https://undocs.org/ar/CRC/C/COD/CO/2" TargetMode="External"/><Relationship Id="rId27" Type="http://schemas.openxmlformats.org/officeDocument/2006/relationships/hyperlink" Target="https://undocs.org/ar/A/HRC/34/55" TargetMode="External"/><Relationship Id="rId30" Type="http://schemas.openxmlformats.org/officeDocument/2006/relationships/hyperlink" Target="https://undocs.org/ar/CRC/C/VNM/CO/3-4" TargetMode="External"/><Relationship Id="rId35" Type="http://schemas.openxmlformats.org/officeDocument/2006/relationships/hyperlink" Target="https://undocs.org/ar/CRPD/C/IRQ/CO/1" TargetMode="External"/><Relationship Id="rId43" Type="http://schemas.openxmlformats.org/officeDocument/2006/relationships/hyperlink" Target="https://undocs.org/ar/CRC/C/OPSC/MNE/CO/1" TargetMode="External"/><Relationship Id="rId48" Type="http://schemas.openxmlformats.org/officeDocument/2006/relationships/hyperlink" Target="https://undocs.org/ar/CED/C/ARG/CO/1" TargetMode="External"/><Relationship Id="rId56" Type="http://schemas.openxmlformats.org/officeDocument/2006/relationships/hyperlink" Target="https://undocs.org/ar/CRC/C/15/Add.232" TargetMode="External"/><Relationship Id="rId64" Type="http://schemas.openxmlformats.org/officeDocument/2006/relationships/hyperlink" Target="https://undocs.org/ar/CED/C/PER/CO/1" TargetMode="External"/><Relationship Id="rId69" Type="http://schemas.openxmlformats.org/officeDocument/2006/relationships/hyperlink" Target="https://undocs.org/ar/A/HRC/24/42" TargetMode="External"/><Relationship Id="rId8" Type="http://schemas.openxmlformats.org/officeDocument/2006/relationships/hyperlink" Target="https://undocs.org/ar/CED/C/ALB/CO/1" TargetMode="External"/><Relationship Id="rId51" Type="http://schemas.openxmlformats.org/officeDocument/2006/relationships/hyperlink" Target="https://undocs.org/ar/A/HRC/45/13/Add.3" TargetMode="External"/><Relationship Id="rId72" Type="http://schemas.openxmlformats.org/officeDocument/2006/relationships/hyperlink" Target="https://undocs.org/ar/A/75/174" TargetMode="External"/><Relationship Id="rId3" Type="http://schemas.openxmlformats.org/officeDocument/2006/relationships/hyperlink" Target="https://undocs.org/ar/CCPR/C/53/D/400/1990" TargetMode="External"/><Relationship Id="rId12" Type="http://schemas.openxmlformats.org/officeDocument/2006/relationships/hyperlink" Target="https://undocs.org/ar/CRC/C/CHE/CO/5-6" TargetMode="External"/><Relationship Id="rId17" Type="http://schemas.openxmlformats.org/officeDocument/2006/relationships/hyperlink" Target="https://undocs.org/ar/CRC/C/IND/CO/3-4" TargetMode="External"/><Relationship Id="rId25" Type="http://schemas.openxmlformats.org/officeDocument/2006/relationships/hyperlink" Target="https://undocs.org/ar/A/HRC/34/55" TargetMode="External"/><Relationship Id="rId33" Type="http://schemas.openxmlformats.org/officeDocument/2006/relationships/hyperlink" Target="https://undocs.org/ar/CED/C/MEX/CO/1" TargetMode="External"/><Relationship Id="rId38" Type="http://schemas.openxmlformats.org/officeDocument/2006/relationships/hyperlink" Target="https://undocs.org/ar/CRC/C/MDG/CO/5-6" TargetMode="External"/><Relationship Id="rId46" Type="http://schemas.openxmlformats.org/officeDocument/2006/relationships/hyperlink" Target="https://undocs.org/ar/CED/C/CHE/CO/1" TargetMode="External"/><Relationship Id="rId59" Type="http://schemas.openxmlformats.org/officeDocument/2006/relationships/hyperlink" Target="https://undocs.org/ar/CED/C/HND/CO/1" TargetMode="External"/><Relationship Id="rId67" Type="http://schemas.openxmlformats.org/officeDocument/2006/relationships/hyperlink" Target="https://undocs.org/ar/CED/C/PAN/CO/1" TargetMode="External"/><Relationship Id="rId20" Type="http://schemas.openxmlformats.org/officeDocument/2006/relationships/hyperlink" Target="https://undocs.org/ar/CRC/C/KHM/CO/2-3" TargetMode="External"/><Relationship Id="rId41" Type="http://schemas.openxmlformats.org/officeDocument/2006/relationships/hyperlink" Target="https://undocs.org/ar/CRC/C/OPSC/ALB/CO/1" TargetMode="External"/><Relationship Id="rId54" Type="http://schemas.openxmlformats.org/officeDocument/2006/relationships/hyperlink" Target="https://undocs.org/ar/CRC/C/GTM/CO/3-4" TargetMode="External"/><Relationship Id="rId62" Type="http://schemas.openxmlformats.org/officeDocument/2006/relationships/hyperlink" Target="https://undocs.org/ar/CED/C/BRA/CO/1" TargetMode="External"/><Relationship Id="rId70" Type="http://schemas.openxmlformats.org/officeDocument/2006/relationships/hyperlink" Target="https://undocs.org/ar/E/CN.4/2006/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365\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F3B9-0B75-4878-BFDE-A936202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22</TotalTime>
  <Pages>9</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CED/C/9</vt:lpstr>
    </vt:vector>
  </TitlesOfParts>
  <Company>DCM</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CED/C/9</dc:title>
  <dc:subject>GE.2226622(A)</dc:subject>
  <dc:creator>Gamal MAHMOUD - </dc:creator>
  <cp:keywords>GE.(A)</cp:keywords>
  <dc:description>Distr.: General_x000d_
5 December 2022_x000d_
Original: English</dc:description>
  <cp:lastModifiedBy>Gamal Mohamed Abdelhamid Mahmoud</cp:lastModifiedBy>
  <cp:revision>3</cp:revision>
  <cp:lastPrinted>2022-12-29T15:26:00Z</cp:lastPrinted>
  <dcterms:created xsi:type="dcterms:W3CDTF">2022-12-29T15:26:00Z</dcterms:created>
  <dcterms:modified xsi:type="dcterms:W3CDTF">2022-12-29T15:48:00Z</dcterms:modified>
</cp:coreProperties>
</file>