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5C27" w14:textId="77777777" w:rsidR="00DC340D" w:rsidRPr="00404AD7" w:rsidRDefault="00DC340D" w:rsidP="00B06FDD">
      <w:pPr>
        <w:spacing w:line="240" w:lineRule="auto"/>
        <w:rPr>
          <w:sz w:val="2"/>
        </w:rPr>
        <w:sectPr w:rsidR="00DC340D" w:rsidRPr="00404AD7" w:rsidSect="00E8776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404AD7">
        <w:rPr>
          <w:rStyle w:val="CommentReference"/>
        </w:rPr>
        <w:commentReference w:id="0"/>
      </w:r>
    </w:p>
    <w:p w14:paraId="084AA3C8" w14:textId="3F933B92" w:rsidR="008B4FAE" w:rsidRPr="00404AD7" w:rsidRDefault="008B4FAE" w:rsidP="008B4FAE">
      <w:pPr>
        <w:pStyle w:val="TitleH1"/>
        <w:tabs>
          <w:tab w:val="right" w:pos="1022"/>
          <w:tab w:val="left" w:pos="1267"/>
          <w:tab w:val="left" w:pos="2218"/>
          <w:tab w:val="left" w:pos="2693"/>
          <w:tab w:val="left" w:pos="3182"/>
          <w:tab w:val="left" w:pos="3658"/>
          <w:tab w:val="left" w:pos="4133"/>
          <w:tab w:val="left" w:pos="4622"/>
          <w:tab w:val="left" w:pos="5098"/>
          <w:tab w:val="left" w:pos="5573"/>
          <w:tab w:val="left" w:pos="6048"/>
        </w:tabs>
        <w:ind w:left="0" w:right="3989" w:firstLine="0"/>
      </w:pPr>
      <w:r w:rsidRPr="00404AD7">
        <w:t>Committee on the Elimination of Discrimination against Women</w:t>
      </w:r>
    </w:p>
    <w:p w14:paraId="0E612B01" w14:textId="40BB8C78" w:rsidR="003105A5" w:rsidRPr="00404AD7" w:rsidRDefault="003105A5" w:rsidP="003105A5">
      <w:pPr>
        <w:spacing w:line="120" w:lineRule="exact"/>
        <w:rPr>
          <w:sz w:val="10"/>
        </w:rPr>
      </w:pPr>
    </w:p>
    <w:p w14:paraId="7608BFE4" w14:textId="062D05F6" w:rsidR="003105A5" w:rsidRPr="00404AD7" w:rsidRDefault="003105A5" w:rsidP="003105A5">
      <w:pPr>
        <w:spacing w:line="120" w:lineRule="exact"/>
        <w:rPr>
          <w:sz w:val="10"/>
        </w:rPr>
      </w:pPr>
    </w:p>
    <w:p w14:paraId="084A67FE" w14:textId="2984228A" w:rsidR="003105A5" w:rsidRPr="00404AD7" w:rsidRDefault="003105A5" w:rsidP="003105A5">
      <w:pPr>
        <w:spacing w:line="120" w:lineRule="exact"/>
        <w:rPr>
          <w:sz w:val="10"/>
        </w:rPr>
      </w:pPr>
    </w:p>
    <w:p w14:paraId="61B83195" w14:textId="187E715C" w:rsidR="00DC340D" w:rsidRPr="00404AD7" w:rsidRDefault="008B4FAE" w:rsidP="006C572F">
      <w:pPr>
        <w:pStyle w:val="TitleHCH"/>
        <w:ind w:left="1267" w:right="1260" w:hanging="1267"/>
      </w:pPr>
      <w:r w:rsidRPr="00404AD7">
        <w:tab/>
      </w:r>
      <w:r w:rsidRPr="00404AD7">
        <w:tab/>
      </w:r>
      <w:bookmarkStart w:id="1" w:name="_Toc108692373"/>
      <w:r w:rsidRPr="00404AD7">
        <w:t>Seventh periodic report submitted by Estonia under article 18 of the Convention, due in 2022</w:t>
      </w:r>
      <w:r w:rsidRPr="00404AD7">
        <w:rPr>
          <w:rStyle w:val="FootnoteReference"/>
          <w:b w:val="0"/>
          <w:sz w:val="20"/>
        </w:rPr>
        <w:footnoteReference w:customMarkFollows="1" w:id="1"/>
        <w:t>*</w:t>
      </w:r>
      <w:bookmarkEnd w:id="1"/>
    </w:p>
    <w:p w14:paraId="45CF9330" w14:textId="0F7E1E37" w:rsidR="003105A5" w:rsidRPr="00404AD7" w:rsidRDefault="003105A5" w:rsidP="00CC3488">
      <w:pPr>
        <w:spacing w:line="120" w:lineRule="exact"/>
        <w:rPr>
          <w:b/>
          <w:spacing w:val="-2"/>
          <w:sz w:val="10"/>
        </w:rPr>
      </w:pPr>
    </w:p>
    <w:p w14:paraId="7459D8CD" w14:textId="77777777" w:rsidR="00CC3488" w:rsidRPr="00404AD7" w:rsidRDefault="00CC3488" w:rsidP="003105A5">
      <w:pPr>
        <w:spacing w:line="120" w:lineRule="exact"/>
        <w:rPr>
          <w:b/>
          <w:spacing w:val="-2"/>
          <w:sz w:val="10"/>
        </w:rPr>
      </w:pPr>
    </w:p>
    <w:p w14:paraId="4F86AF6A" w14:textId="5CD0D33B" w:rsidR="003105A5" w:rsidRPr="00404AD7" w:rsidRDefault="00CC3488" w:rsidP="00CC348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right="1200"/>
        <w:jc w:val="right"/>
        <w:rPr>
          <w:b w:val="0"/>
          <w:bCs/>
        </w:rPr>
      </w:pPr>
      <w:r w:rsidRPr="00404AD7">
        <w:tab/>
      </w:r>
      <w:r w:rsidR="003105A5" w:rsidRPr="00404AD7">
        <w:rPr>
          <w:b w:val="0"/>
          <w:bCs/>
        </w:rPr>
        <w:t>[Date received:</w:t>
      </w:r>
      <w:r w:rsidR="003105A5" w:rsidRPr="00404AD7">
        <w:rPr>
          <w:b w:val="0"/>
          <w:bCs/>
          <w:color w:val="FF0000"/>
        </w:rPr>
        <w:t xml:space="preserve"> </w:t>
      </w:r>
      <w:r w:rsidR="003105A5" w:rsidRPr="00404AD7">
        <w:rPr>
          <w:b w:val="0"/>
          <w:bCs/>
        </w:rPr>
        <w:t>12 July 2022]</w:t>
      </w:r>
    </w:p>
    <w:p w14:paraId="05DAE9EF" w14:textId="3A4D373D" w:rsidR="00C462D1" w:rsidRPr="00404AD7" w:rsidRDefault="00C462D1">
      <w:pPr>
        <w:suppressAutoHyphens w:val="0"/>
        <w:spacing w:after="200" w:line="276" w:lineRule="auto"/>
      </w:pPr>
      <w:r w:rsidRPr="00404AD7">
        <w:br w:type="page"/>
      </w:r>
    </w:p>
    <w:p w14:paraId="44C2BB31" w14:textId="77777777" w:rsidR="001B6FC0" w:rsidRPr="00404AD7" w:rsidRDefault="001B6FC0" w:rsidP="001B6FC0">
      <w:pPr>
        <w:pStyle w:val="HCh"/>
        <w:spacing w:after="120"/>
      </w:pPr>
      <w:r w:rsidRPr="00404AD7">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B6FC0" w:rsidRPr="00404AD7" w14:paraId="0C62A58C" w14:textId="77777777" w:rsidTr="001B6FC0">
        <w:tc>
          <w:tcPr>
            <w:tcW w:w="1060" w:type="dxa"/>
            <w:shd w:val="clear" w:color="auto" w:fill="auto"/>
          </w:tcPr>
          <w:p w14:paraId="482D5A47" w14:textId="350247B1" w:rsidR="001B6FC0" w:rsidRPr="00404AD7" w:rsidRDefault="001B6FC0" w:rsidP="001B6FC0">
            <w:pPr>
              <w:spacing w:after="120" w:line="240" w:lineRule="auto"/>
              <w:jc w:val="right"/>
              <w:rPr>
                <w:i/>
                <w:sz w:val="14"/>
              </w:rPr>
            </w:pPr>
          </w:p>
        </w:tc>
        <w:tc>
          <w:tcPr>
            <w:tcW w:w="7315" w:type="dxa"/>
            <w:shd w:val="clear" w:color="auto" w:fill="auto"/>
          </w:tcPr>
          <w:p w14:paraId="0EED39E7" w14:textId="77777777" w:rsidR="001B6FC0" w:rsidRPr="00404AD7" w:rsidRDefault="001B6FC0" w:rsidP="001B6FC0">
            <w:pPr>
              <w:spacing w:after="120" w:line="240" w:lineRule="auto"/>
              <w:rPr>
                <w:i/>
                <w:sz w:val="14"/>
              </w:rPr>
            </w:pPr>
          </w:p>
        </w:tc>
        <w:tc>
          <w:tcPr>
            <w:tcW w:w="994" w:type="dxa"/>
            <w:shd w:val="clear" w:color="auto" w:fill="auto"/>
          </w:tcPr>
          <w:p w14:paraId="3DD2F9CE" w14:textId="277F12C4" w:rsidR="001B6FC0" w:rsidRPr="00404AD7" w:rsidRDefault="001B6FC0" w:rsidP="001B6FC0">
            <w:pPr>
              <w:spacing w:after="120" w:line="240" w:lineRule="auto"/>
              <w:jc w:val="right"/>
              <w:rPr>
                <w:i/>
                <w:sz w:val="14"/>
              </w:rPr>
            </w:pPr>
          </w:p>
        </w:tc>
        <w:tc>
          <w:tcPr>
            <w:tcW w:w="533" w:type="dxa"/>
            <w:shd w:val="clear" w:color="auto" w:fill="auto"/>
          </w:tcPr>
          <w:p w14:paraId="61C63817" w14:textId="0CF5243B" w:rsidR="001B6FC0" w:rsidRPr="00404AD7" w:rsidRDefault="001B6FC0" w:rsidP="001B6FC0">
            <w:pPr>
              <w:spacing w:after="120" w:line="240" w:lineRule="auto"/>
              <w:jc w:val="right"/>
              <w:rPr>
                <w:i/>
                <w:sz w:val="14"/>
              </w:rPr>
            </w:pPr>
            <w:r w:rsidRPr="00404AD7">
              <w:rPr>
                <w:i/>
                <w:sz w:val="14"/>
              </w:rPr>
              <w:t>Page</w:t>
            </w:r>
          </w:p>
        </w:tc>
      </w:tr>
      <w:tr w:rsidR="001B6FC0" w:rsidRPr="00404AD7" w14:paraId="1F3E52FC" w14:textId="77777777" w:rsidTr="001B6FC0">
        <w:tc>
          <w:tcPr>
            <w:tcW w:w="9369" w:type="dxa"/>
            <w:gridSpan w:val="3"/>
            <w:shd w:val="clear" w:color="auto" w:fill="auto"/>
          </w:tcPr>
          <w:p w14:paraId="10405B75" w14:textId="7C1743C1" w:rsidR="001B6FC0" w:rsidRPr="00404AD7" w:rsidRDefault="00EB1918" w:rsidP="00EB1918">
            <w:pPr>
              <w:pStyle w:val="ListParagraph"/>
              <w:tabs>
                <w:tab w:val="right" w:pos="1080"/>
                <w:tab w:val="left" w:pos="1296"/>
                <w:tab w:val="left" w:pos="1728"/>
                <w:tab w:val="right" w:leader="dot" w:pos="9360"/>
              </w:tabs>
              <w:spacing w:after="120"/>
              <w:ind w:left="1080"/>
              <w:rPr>
                <w:spacing w:val="60"/>
                <w:sz w:val="17"/>
              </w:rPr>
            </w:pPr>
            <w:r w:rsidRPr="00404AD7">
              <w:t>General</w:t>
            </w:r>
            <w:r w:rsidRPr="00404AD7">
              <w:rPr>
                <w:spacing w:val="60"/>
                <w:sz w:val="17"/>
              </w:rPr>
              <w:tab/>
            </w:r>
          </w:p>
        </w:tc>
        <w:tc>
          <w:tcPr>
            <w:tcW w:w="533" w:type="dxa"/>
            <w:shd w:val="clear" w:color="auto" w:fill="auto"/>
            <w:vAlign w:val="bottom"/>
          </w:tcPr>
          <w:p w14:paraId="10015C4B" w14:textId="2D18794C" w:rsidR="001B6FC0" w:rsidRPr="00404AD7" w:rsidRDefault="008C33BC" w:rsidP="001B6FC0">
            <w:pPr>
              <w:spacing w:after="120"/>
              <w:jc w:val="right"/>
            </w:pPr>
            <w:r>
              <w:t>4</w:t>
            </w:r>
          </w:p>
        </w:tc>
      </w:tr>
      <w:tr w:rsidR="00EB1918" w:rsidRPr="00404AD7" w14:paraId="113587CC" w14:textId="77777777" w:rsidTr="001B6FC0">
        <w:tc>
          <w:tcPr>
            <w:tcW w:w="9369" w:type="dxa"/>
            <w:gridSpan w:val="3"/>
            <w:shd w:val="clear" w:color="auto" w:fill="auto"/>
          </w:tcPr>
          <w:p w14:paraId="09A14FCF" w14:textId="111F4AD4" w:rsidR="00EB1918" w:rsidRPr="00404AD7" w:rsidRDefault="00D954FF" w:rsidP="00D954FF">
            <w:pPr>
              <w:pStyle w:val="ListParagraph"/>
              <w:tabs>
                <w:tab w:val="right" w:pos="1080"/>
                <w:tab w:val="left" w:pos="1296"/>
                <w:tab w:val="left" w:pos="1728"/>
                <w:tab w:val="right" w:leader="dot" w:pos="9360"/>
              </w:tabs>
              <w:spacing w:after="120"/>
              <w:ind w:left="1080"/>
              <w:rPr>
                <w:spacing w:val="60"/>
                <w:sz w:val="17"/>
              </w:rPr>
            </w:pPr>
            <w:r w:rsidRPr="00404AD7">
              <w:t>Question 1</w:t>
            </w:r>
            <w:r w:rsidRPr="00404AD7">
              <w:rPr>
                <w:spacing w:val="60"/>
                <w:sz w:val="17"/>
              </w:rPr>
              <w:tab/>
            </w:r>
          </w:p>
        </w:tc>
        <w:tc>
          <w:tcPr>
            <w:tcW w:w="533" w:type="dxa"/>
            <w:shd w:val="clear" w:color="auto" w:fill="auto"/>
            <w:vAlign w:val="bottom"/>
          </w:tcPr>
          <w:p w14:paraId="0C7F7844" w14:textId="1EF2288F" w:rsidR="00EB1918" w:rsidRPr="00404AD7" w:rsidRDefault="008C33BC" w:rsidP="001B6FC0">
            <w:pPr>
              <w:spacing w:after="120"/>
              <w:jc w:val="right"/>
            </w:pPr>
            <w:r>
              <w:t>4</w:t>
            </w:r>
          </w:p>
        </w:tc>
      </w:tr>
      <w:tr w:rsidR="00D954FF" w:rsidRPr="00404AD7" w14:paraId="69435F0C" w14:textId="77777777" w:rsidTr="001B6FC0">
        <w:tc>
          <w:tcPr>
            <w:tcW w:w="9369" w:type="dxa"/>
            <w:gridSpan w:val="3"/>
            <w:shd w:val="clear" w:color="auto" w:fill="auto"/>
          </w:tcPr>
          <w:p w14:paraId="07352C3C" w14:textId="09CB0644" w:rsidR="00D954FF" w:rsidRPr="00404AD7" w:rsidRDefault="00D954FF" w:rsidP="00D954FF">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080"/>
              <w:rPr>
                <w:spacing w:val="60"/>
                <w:sz w:val="17"/>
              </w:rPr>
            </w:pPr>
            <w:r w:rsidRPr="00404AD7">
              <w:t>Women</w:t>
            </w:r>
            <w:r w:rsidR="006B00A5" w:rsidRPr="00404AD7">
              <w:t>’</w:t>
            </w:r>
            <w:r w:rsidRPr="00404AD7">
              <w:t>s rights and gender equality in relation to the pandemic and recovery efforts</w:t>
            </w:r>
            <w:r w:rsidRPr="00404AD7">
              <w:rPr>
                <w:spacing w:val="60"/>
                <w:sz w:val="17"/>
              </w:rPr>
              <w:tab/>
            </w:r>
          </w:p>
        </w:tc>
        <w:tc>
          <w:tcPr>
            <w:tcW w:w="533" w:type="dxa"/>
            <w:shd w:val="clear" w:color="auto" w:fill="auto"/>
            <w:vAlign w:val="bottom"/>
          </w:tcPr>
          <w:p w14:paraId="1DEEB285" w14:textId="4B0AC885" w:rsidR="00D954FF" w:rsidRPr="00404AD7" w:rsidRDefault="008C33BC" w:rsidP="001B6FC0">
            <w:pPr>
              <w:spacing w:after="120"/>
              <w:jc w:val="right"/>
            </w:pPr>
            <w:r>
              <w:t>5</w:t>
            </w:r>
          </w:p>
        </w:tc>
      </w:tr>
      <w:tr w:rsidR="00D954FF" w:rsidRPr="00404AD7" w14:paraId="5CCBFBD9" w14:textId="77777777" w:rsidTr="001B6FC0">
        <w:tc>
          <w:tcPr>
            <w:tcW w:w="9369" w:type="dxa"/>
            <w:gridSpan w:val="3"/>
            <w:shd w:val="clear" w:color="auto" w:fill="auto"/>
          </w:tcPr>
          <w:p w14:paraId="48FB8F0E" w14:textId="33F6CFF4" w:rsidR="00D954FF" w:rsidRPr="00404AD7" w:rsidRDefault="00D954FF" w:rsidP="004F1008">
            <w:pPr>
              <w:pStyle w:val="ListParagraph"/>
              <w:tabs>
                <w:tab w:val="right" w:pos="1080"/>
                <w:tab w:val="left" w:pos="1296"/>
                <w:tab w:val="left" w:pos="1728"/>
                <w:tab w:val="right" w:leader="dot" w:pos="9360"/>
              </w:tabs>
              <w:spacing w:after="120"/>
              <w:ind w:left="1080"/>
              <w:rPr>
                <w:spacing w:val="60"/>
                <w:sz w:val="17"/>
              </w:rPr>
            </w:pPr>
            <w:r w:rsidRPr="00404AD7">
              <w:t>Question 2</w:t>
            </w:r>
            <w:r w:rsidR="004F1008" w:rsidRPr="00404AD7">
              <w:rPr>
                <w:spacing w:val="60"/>
                <w:sz w:val="17"/>
              </w:rPr>
              <w:tab/>
            </w:r>
          </w:p>
        </w:tc>
        <w:tc>
          <w:tcPr>
            <w:tcW w:w="533" w:type="dxa"/>
            <w:shd w:val="clear" w:color="auto" w:fill="auto"/>
            <w:vAlign w:val="bottom"/>
          </w:tcPr>
          <w:p w14:paraId="75ABD9B5" w14:textId="77BB7699" w:rsidR="00D954FF" w:rsidRPr="00404AD7" w:rsidRDefault="008C33BC" w:rsidP="001B6FC0">
            <w:pPr>
              <w:spacing w:after="120"/>
              <w:jc w:val="right"/>
            </w:pPr>
            <w:r>
              <w:t>5</w:t>
            </w:r>
          </w:p>
        </w:tc>
      </w:tr>
      <w:tr w:rsidR="00D954FF" w:rsidRPr="00404AD7" w14:paraId="4FD61910" w14:textId="77777777" w:rsidTr="001B6FC0">
        <w:tc>
          <w:tcPr>
            <w:tcW w:w="9369" w:type="dxa"/>
            <w:gridSpan w:val="3"/>
            <w:shd w:val="clear" w:color="auto" w:fill="auto"/>
          </w:tcPr>
          <w:p w14:paraId="155677CD" w14:textId="4CBC2716" w:rsidR="00D954FF" w:rsidRPr="00404AD7" w:rsidRDefault="00D954FF" w:rsidP="00D954FF">
            <w:pPr>
              <w:pStyle w:val="ListParagraph"/>
              <w:tabs>
                <w:tab w:val="right" w:pos="1080"/>
                <w:tab w:val="left" w:pos="1296"/>
                <w:tab w:val="left" w:pos="1728"/>
                <w:tab w:val="left" w:pos="2160"/>
                <w:tab w:val="left" w:pos="2592"/>
                <w:tab w:val="left" w:pos="3024"/>
                <w:tab w:val="right" w:leader="dot" w:pos="9360"/>
              </w:tabs>
              <w:spacing w:after="120"/>
              <w:ind w:left="1080"/>
              <w:rPr>
                <w:spacing w:val="60"/>
                <w:sz w:val="17"/>
              </w:rPr>
            </w:pPr>
            <w:r w:rsidRPr="00404AD7">
              <w:t>Legislative framework</w:t>
            </w:r>
            <w:r w:rsidRPr="00404AD7">
              <w:rPr>
                <w:spacing w:val="60"/>
                <w:sz w:val="17"/>
              </w:rPr>
              <w:tab/>
            </w:r>
          </w:p>
        </w:tc>
        <w:tc>
          <w:tcPr>
            <w:tcW w:w="533" w:type="dxa"/>
            <w:shd w:val="clear" w:color="auto" w:fill="auto"/>
            <w:vAlign w:val="bottom"/>
          </w:tcPr>
          <w:p w14:paraId="313EC346" w14:textId="767DBABD" w:rsidR="00D954FF" w:rsidRPr="00404AD7" w:rsidRDefault="00666633" w:rsidP="001B6FC0">
            <w:pPr>
              <w:spacing w:after="120"/>
              <w:jc w:val="right"/>
            </w:pPr>
            <w:r>
              <w:t>7</w:t>
            </w:r>
          </w:p>
        </w:tc>
      </w:tr>
      <w:tr w:rsidR="00D954FF" w:rsidRPr="00404AD7" w14:paraId="4330D623" w14:textId="77777777" w:rsidTr="001B6FC0">
        <w:tc>
          <w:tcPr>
            <w:tcW w:w="9369" w:type="dxa"/>
            <w:gridSpan w:val="3"/>
            <w:shd w:val="clear" w:color="auto" w:fill="auto"/>
          </w:tcPr>
          <w:p w14:paraId="73F6DD36" w14:textId="49E188C6" w:rsidR="00D954FF" w:rsidRPr="00404AD7" w:rsidRDefault="00D954FF" w:rsidP="00D954FF">
            <w:pPr>
              <w:pStyle w:val="ListParagraph"/>
              <w:tabs>
                <w:tab w:val="right" w:pos="1080"/>
                <w:tab w:val="left" w:pos="1296"/>
                <w:tab w:val="left" w:pos="1728"/>
                <w:tab w:val="right" w:leader="dot" w:pos="9360"/>
              </w:tabs>
              <w:spacing w:after="120"/>
              <w:ind w:left="1080"/>
              <w:rPr>
                <w:spacing w:val="60"/>
                <w:sz w:val="17"/>
              </w:rPr>
            </w:pPr>
            <w:r w:rsidRPr="00404AD7">
              <w:t>Question 3</w:t>
            </w:r>
            <w:r w:rsidRPr="00404AD7">
              <w:rPr>
                <w:spacing w:val="60"/>
                <w:sz w:val="17"/>
              </w:rPr>
              <w:tab/>
            </w:r>
          </w:p>
        </w:tc>
        <w:tc>
          <w:tcPr>
            <w:tcW w:w="533" w:type="dxa"/>
            <w:shd w:val="clear" w:color="auto" w:fill="auto"/>
            <w:vAlign w:val="bottom"/>
          </w:tcPr>
          <w:p w14:paraId="609159D9" w14:textId="5071E144" w:rsidR="00D954FF" w:rsidRPr="00404AD7" w:rsidRDefault="00666633" w:rsidP="001B6FC0">
            <w:pPr>
              <w:spacing w:after="120"/>
              <w:jc w:val="right"/>
            </w:pPr>
            <w:r>
              <w:t>7</w:t>
            </w:r>
          </w:p>
        </w:tc>
      </w:tr>
      <w:tr w:rsidR="00D954FF" w:rsidRPr="00404AD7" w14:paraId="5D8CB33A" w14:textId="77777777" w:rsidTr="001B6FC0">
        <w:tc>
          <w:tcPr>
            <w:tcW w:w="9369" w:type="dxa"/>
            <w:gridSpan w:val="3"/>
            <w:shd w:val="clear" w:color="auto" w:fill="auto"/>
          </w:tcPr>
          <w:p w14:paraId="2CFA9093" w14:textId="1010ED03" w:rsidR="00D954FF" w:rsidRPr="00F63962" w:rsidRDefault="00D954FF" w:rsidP="00F63962">
            <w:pPr>
              <w:pStyle w:val="ListParagraph"/>
              <w:tabs>
                <w:tab w:val="right" w:pos="1080"/>
                <w:tab w:val="left" w:pos="1296"/>
                <w:tab w:val="left" w:pos="1728"/>
                <w:tab w:val="left" w:pos="2160"/>
                <w:tab w:val="left" w:pos="2592"/>
                <w:tab w:val="left" w:pos="3024"/>
                <w:tab w:val="right" w:leader="dot" w:pos="9360"/>
              </w:tabs>
              <w:spacing w:after="120"/>
              <w:ind w:left="1080"/>
              <w:rPr>
                <w:spacing w:val="60"/>
                <w:sz w:val="17"/>
              </w:rPr>
            </w:pPr>
            <w:r w:rsidRPr="00404AD7">
              <w:t>Women</w:t>
            </w:r>
            <w:r w:rsidR="006B00A5" w:rsidRPr="00404AD7">
              <w:t>’</w:t>
            </w:r>
            <w:r w:rsidRPr="00404AD7">
              <w:t>s access to justice</w:t>
            </w:r>
            <w:r w:rsidR="00F63962">
              <w:rPr>
                <w:spacing w:val="60"/>
                <w:sz w:val="17"/>
              </w:rPr>
              <w:tab/>
            </w:r>
          </w:p>
        </w:tc>
        <w:tc>
          <w:tcPr>
            <w:tcW w:w="533" w:type="dxa"/>
            <w:shd w:val="clear" w:color="auto" w:fill="auto"/>
            <w:vAlign w:val="bottom"/>
          </w:tcPr>
          <w:p w14:paraId="238918E4" w14:textId="3BDBCA3D" w:rsidR="00D954FF" w:rsidRPr="00404AD7" w:rsidRDefault="00666633" w:rsidP="001B6FC0">
            <w:pPr>
              <w:spacing w:after="120"/>
              <w:jc w:val="right"/>
            </w:pPr>
            <w:r>
              <w:t>8</w:t>
            </w:r>
          </w:p>
        </w:tc>
      </w:tr>
      <w:tr w:rsidR="00D954FF" w:rsidRPr="00404AD7" w14:paraId="7C1CAA9C" w14:textId="77777777" w:rsidTr="001B6FC0">
        <w:tc>
          <w:tcPr>
            <w:tcW w:w="9369" w:type="dxa"/>
            <w:gridSpan w:val="3"/>
            <w:shd w:val="clear" w:color="auto" w:fill="auto"/>
          </w:tcPr>
          <w:p w14:paraId="10F8FE9C" w14:textId="062E3134" w:rsidR="00D954FF" w:rsidRPr="00404AD7" w:rsidRDefault="00D954FF" w:rsidP="00D954FF">
            <w:pPr>
              <w:pStyle w:val="ListParagraph"/>
              <w:tabs>
                <w:tab w:val="right" w:pos="1080"/>
                <w:tab w:val="left" w:pos="1296"/>
                <w:tab w:val="left" w:pos="1728"/>
                <w:tab w:val="right" w:leader="dot" w:pos="9360"/>
              </w:tabs>
              <w:spacing w:after="120"/>
              <w:ind w:left="1080"/>
              <w:rPr>
                <w:spacing w:val="60"/>
                <w:sz w:val="17"/>
              </w:rPr>
            </w:pPr>
            <w:r w:rsidRPr="00404AD7">
              <w:t>Question 4</w:t>
            </w:r>
            <w:r w:rsidRPr="00404AD7">
              <w:rPr>
                <w:spacing w:val="60"/>
                <w:sz w:val="17"/>
              </w:rPr>
              <w:tab/>
            </w:r>
          </w:p>
        </w:tc>
        <w:tc>
          <w:tcPr>
            <w:tcW w:w="533" w:type="dxa"/>
            <w:shd w:val="clear" w:color="auto" w:fill="auto"/>
            <w:vAlign w:val="bottom"/>
          </w:tcPr>
          <w:p w14:paraId="3B4C6071" w14:textId="79EA6C82" w:rsidR="00D954FF" w:rsidRPr="00404AD7" w:rsidRDefault="00666633" w:rsidP="001B6FC0">
            <w:pPr>
              <w:spacing w:after="120"/>
              <w:jc w:val="right"/>
            </w:pPr>
            <w:r>
              <w:t>8</w:t>
            </w:r>
          </w:p>
        </w:tc>
      </w:tr>
      <w:tr w:rsidR="00D954FF" w:rsidRPr="00404AD7" w14:paraId="585C7B90" w14:textId="77777777" w:rsidTr="001B6FC0">
        <w:tc>
          <w:tcPr>
            <w:tcW w:w="9369" w:type="dxa"/>
            <w:gridSpan w:val="3"/>
            <w:shd w:val="clear" w:color="auto" w:fill="auto"/>
          </w:tcPr>
          <w:p w14:paraId="3F0A085F" w14:textId="33DC3E45" w:rsidR="00D954FF" w:rsidRPr="005909DF" w:rsidRDefault="00D954FF" w:rsidP="005909DF">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rsidRPr="00404AD7">
              <w:t>National machinery for the advancement of women</w:t>
            </w:r>
            <w:r w:rsidR="005909DF">
              <w:rPr>
                <w:spacing w:val="60"/>
                <w:sz w:val="17"/>
              </w:rPr>
              <w:tab/>
            </w:r>
          </w:p>
        </w:tc>
        <w:tc>
          <w:tcPr>
            <w:tcW w:w="533" w:type="dxa"/>
            <w:shd w:val="clear" w:color="auto" w:fill="auto"/>
            <w:vAlign w:val="bottom"/>
          </w:tcPr>
          <w:p w14:paraId="7EF000D2" w14:textId="3151BC13" w:rsidR="00D954FF" w:rsidRPr="00404AD7" w:rsidRDefault="00666633" w:rsidP="001B6FC0">
            <w:pPr>
              <w:spacing w:after="120"/>
              <w:jc w:val="right"/>
            </w:pPr>
            <w:r>
              <w:t>9</w:t>
            </w:r>
          </w:p>
        </w:tc>
      </w:tr>
      <w:tr w:rsidR="00D954FF" w:rsidRPr="00404AD7" w14:paraId="63849862" w14:textId="77777777" w:rsidTr="001B6FC0">
        <w:tc>
          <w:tcPr>
            <w:tcW w:w="9369" w:type="dxa"/>
            <w:gridSpan w:val="3"/>
            <w:shd w:val="clear" w:color="auto" w:fill="auto"/>
          </w:tcPr>
          <w:p w14:paraId="4A2E11CD" w14:textId="311186B2" w:rsidR="00D954FF" w:rsidRPr="00404AD7" w:rsidRDefault="00D954FF" w:rsidP="00D954FF">
            <w:pPr>
              <w:pStyle w:val="ListParagraph"/>
              <w:tabs>
                <w:tab w:val="right" w:pos="1080"/>
                <w:tab w:val="left" w:pos="1296"/>
                <w:tab w:val="left" w:pos="1728"/>
                <w:tab w:val="right" w:leader="dot" w:pos="9360"/>
              </w:tabs>
              <w:spacing w:after="120"/>
              <w:ind w:left="1080"/>
              <w:rPr>
                <w:spacing w:val="60"/>
                <w:sz w:val="17"/>
              </w:rPr>
            </w:pPr>
            <w:r w:rsidRPr="00404AD7">
              <w:t>Question 5</w:t>
            </w:r>
            <w:r w:rsidRPr="00404AD7">
              <w:rPr>
                <w:spacing w:val="60"/>
                <w:sz w:val="17"/>
              </w:rPr>
              <w:tab/>
            </w:r>
          </w:p>
        </w:tc>
        <w:tc>
          <w:tcPr>
            <w:tcW w:w="533" w:type="dxa"/>
            <w:shd w:val="clear" w:color="auto" w:fill="auto"/>
            <w:vAlign w:val="bottom"/>
          </w:tcPr>
          <w:p w14:paraId="646DCDFF" w14:textId="27A900B1" w:rsidR="00D954FF" w:rsidRPr="00404AD7" w:rsidRDefault="00666633" w:rsidP="001B6FC0">
            <w:pPr>
              <w:spacing w:after="120"/>
              <w:jc w:val="right"/>
            </w:pPr>
            <w:r>
              <w:t>9</w:t>
            </w:r>
          </w:p>
        </w:tc>
      </w:tr>
      <w:tr w:rsidR="00D954FF" w:rsidRPr="00404AD7" w14:paraId="1D831AC0" w14:textId="77777777" w:rsidTr="001B6FC0">
        <w:tc>
          <w:tcPr>
            <w:tcW w:w="9369" w:type="dxa"/>
            <w:gridSpan w:val="3"/>
            <w:shd w:val="clear" w:color="auto" w:fill="auto"/>
          </w:tcPr>
          <w:p w14:paraId="4BA93C34" w14:textId="1E32C62C" w:rsidR="00D954FF" w:rsidRPr="00404AD7" w:rsidRDefault="00D954FF" w:rsidP="00D954FF">
            <w:pPr>
              <w:pStyle w:val="ListParagraph"/>
              <w:tabs>
                <w:tab w:val="right" w:pos="1080"/>
                <w:tab w:val="left" w:pos="1296"/>
                <w:tab w:val="left" w:pos="1728"/>
                <w:tab w:val="right" w:leader="dot" w:pos="9360"/>
              </w:tabs>
              <w:spacing w:after="120"/>
              <w:ind w:left="1080"/>
              <w:rPr>
                <w:spacing w:val="60"/>
                <w:sz w:val="17"/>
              </w:rPr>
            </w:pPr>
            <w:r w:rsidRPr="00404AD7">
              <w:t>Question 6</w:t>
            </w:r>
            <w:r w:rsidRPr="00404AD7">
              <w:rPr>
                <w:spacing w:val="60"/>
                <w:sz w:val="17"/>
              </w:rPr>
              <w:tab/>
            </w:r>
          </w:p>
        </w:tc>
        <w:tc>
          <w:tcPr>
            <w:tcW w:w="533" w:type="dxa"/>
            <w:shd w:val="clear" w:color="auto" w:fill="auto"/>
            <w:vAlign w:val="bottom"/>
          </w:tcPr>
          <w:p w14:paraId="367765A4" w14:textId="367F9736" w:rsidR="00D954FF" w:rsidRPr="00404AD7" w:rsidRDefault="00666633" w:rsidP="001B6FC0">
            <w:pPr>
              <w:spacing w:after="120"/>
              <w:jc w:val="right"/>
            </w:pPr>
            <w:r>
              <w:t>10</w:t>
            </w:r>
          </w:p>
        </w:tc>
      </w:tr>
      <w:tr w:rsidR="00D954FF" w:rsidRPr="00404AD7" w14:paraId="1DBF965C" w14:textId="77777777" w:rsidTr="001B6FC0">
        <w:tc>
          <w:tcPr>
            <w:tcW w:w="9369" w:type="dxa"/>
            <w:gridSpan w:val="3"/>
            <w:shd w:val="clear" w:color="auto" w:fill="auto"/>
          </w:tcPr>
          <w:p w14:paraId="5351DB17" w14:textId="30CA0A51" w:rsidR="00D954FF" w:rsidRPr="00404AD7" w:rsidRDefault="00D954FF" w:rsidP="00D954FF">
            <w:pPr>
              <w:pStyle w:val="ListParagraph"/>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rsidRPr="00404AD7">
              <w:t>Temporary special measures</w:t>
            </w:r>
            <w:r w:rsidRPr="00404AD7">
              <w:rPr>
                <w:spacing w:val="60"/>
                <w:sz w:val="17"/>
              </w:rPr>
              <w:tab/>
            </w:r>
          </w:p>
        </w:tc>
        <w:tc>
          <w:tcPr>
            <w:tcW w:w="533" w:type="dxa"/>
            <w:shd w:val="clear" w:color="auto" w:fill="auto"/>
            <w:vAlign w:val="bottom"/>
          </w:tcPr>
          <w:p w14:paraId="064EF2A7" w14:textId="32E09969" w:rsidR="00D954FF" w:rsidRPr="00404AD7" w:rsidRDefault="00666633" w:rsidP="001B6FC0">
            <w:pPr>
              <w:spacing w:after="120"/>
              <w:jc w:val="right"/>
            </w:pPr>
            <w:r>
              <w:t>12</w:t>
            </w:r>
          </w:p>
        </w:tc>
      </w:tr>
      <w:tr w:rsidR="00D954FF" w:rsidRPr="00404AD7" w14:paraId="351FA3C1" w14:textId="77777777" w:rsidTr="001B6FC0">
        <w:tc>
          <w:tcPr>
            <w:tcW w:w="9369" w:type="dxa"/>
            <w:gridSpan w:val="3"/>
            <w:shd w:val="clear" w:color="auto" w:fill="auto"/>
          </w:tcPr>
          <w:p w14:paraId="5F280CE4" w14:textId="38D348D5" w:rsidR="00D954FF" w:rsidRPr="00404AD7" w:rsidRDefault="00D954FF" w:rsidP="00D954FF">
            <w:pPr>
              <w:pStyle w:val="ListParagraph"/>
              <w:tabs>
                <w:tab w:val="right" w:pos="1080"/>
                <w:tab w:val="left" w:pos="1296"/>
                <w:tab w:val="left" w:pos="1728"/>
                <w:tab w:val="right" w:leader="dot" w:pos="9360"/>
              </w:tabs>
              <w:spacing w:after="120"/>
              <w:ind w:left="1080"/>
              <w:rPr>
                <w:spacing w:val="60"/>
                <w:sz w:val="17"/>
              </w:rPr>
            </w:pPr>
            <w:r w:rsidRPr="00404AD7">
              <w:t>Question 7</w:t>
            </w:r>
            <w:r w:rsidRPr="00404AD7">
              <w:rPr>
                <w:spacing w:val="60"/>
                <w:sz w:val="17"/>
              </w:rPr>
              <w:tab/>
            </w:r>
          </w:p>
        </w:tc>
        <w:tc>
          <w:tcPr>
            <w:tcW w:w="533" w:type="dxa"/>
            <w:shd w:val="clear" w:color="auto" w:fill="auto"/>
            <w:vAlign w:val="bottom"/>
          </w:tcPr>
          <w:p w14:paraId="1E837B58" w14:textId="1B1FCCD2" w:rsidR="00D954FF" w:rsidRPr="00404AD7" w:rsidRDefault="00666633" w:rsidP="001B6FC0">
            <w:pPr>
              <w:spacing w:after="120"/>
              <w:jc w:val="right"/>
            </w:pPr>
            <w:r>
              <w:t>12</w:t>
            </w:r>
          </w:p>
        </w:tc>
      </w:tr>
      <w:tr w:rsidR="00D954FF" w:rsidRPr="00404AD7" w14:paraId="0A4695F7" w14:textId="77777777" w:rsidTr="001B6FC0">
        <w:tc>
          <w:tcPr>
            <w:tcW w:w="9369" w:type="dxa"/>
            <w:gridSpan w:val="3"/>
            <w:shd w:val="clear" w:color="auto" w:fill="auto"/>
          </w:tcPr>
          <w:p w14:paraId="7ECA282E" w14:textId="51FA9CB7" w:rsidR="00D954FF" w:rsidRPr="00404AD7" w:rsidRDefault="00D954FF" w:rsidP="00D954FF">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rsidRPr="00404AD7">
              <w:t>Stereotypes and harmful practices</w:t>
            </w:r>
            <w:r w:rsidRPr="00404AD7">
              <w:rPr>
                <w:spacing w:val="60"/>
                <w:sz w:val="17"/>
              </w:rPr>
              <w:tab/>
            </w:r>
          </w:p>
        </w:tc>
        <w:tc>
          <w:tcPr>
            <w:tcW w:w="533" w:type="dxa"/>
            <w:shd w:val="clear" w:color="auto" w:fill="auto"/>
            <w:vAlign w:val="bottom"/>
          </w:tcPr>
          <w:p w14:paraId="2C747203" w14:textId="01C38089" w:rsidR="00D954FF" w:rsidRPr="00404AD7" w:rsidRDefault="00666633" w:rsidP="001B6FC0">
            <w:pPr>
              <w:spacing w:after="120"/>
              <w:jc w:val="right"/>
            </w:pPr>
            <w:r>
              <w:t>12</w:t>
            </w:r>
          </w:p>
        </w:tc>
      </w:tr>
      <w:tr w:rsidR="00D954FF" w:rsidRPr="00404AD7" w14:paraId="5CBB81E2" w14:textId="77777777" w:rsidTr="001B6FC0">
        <w:tc>
          <w:tcPr>
            <w:tcW w:w="9369" w:type="dxa"/>
            <w:gridSpan w:val="3"/>
            <w:shd w:val="clear" w:color="auto" w:fill="auto"/>
          </w:tcPr>
          <w:p w14:paraId="05AD1DFB" w14:textId="6AB8FFB1" w:rsidR="00D954FF" w:rsidRPr="00404AD7" w:rsidRDefault="00D954FF" w:rsidP="00D954FF">
            <w:pPr>
              <w:pStyle w:val="ListParagraph"/>
              <w:tabs>
                <w:tab w:val="right" w:pos="1080"/>
                <w:tab w:val="left" w:pos="1296"/>
                <w:tab w:val="left" w:pos="1728"/>
                <w:tab w:val="right" w:leader="dot" w:pos="9360"/>
              </w:tabs>
              <w:spacing w:after="120"/>
              <w:ind w:left="1080"/>
              <w:rPr>
                <w:spacing w:val="60"/>
                <w:sz w:val="17"/>
              </w:rPr>
            </w:pPr>
            <w:r w:rsidRPr="00404AD7">
              <w:t>Question 8</w:t>
            </w:r>
            <w:r w:rsidRPr="00404AD7">
              <w:rPr>
                <w:spacing w:val="60"/>
                <w:sz w:val="17"/>
              </w:rPr>
              <w:tab/>
            </w:r>
          </w:p>
        </w:tc>
        <w:tc>
          <w:tcPr>
            <w:tcW w:w="533" w:type="dxa"/>
            <w:shd w:val="clear" w:color="auto" w:fill="auto"/>
            <w:vAlign w:val="bottom"/>
          </w:tcPr>
          <w:p w14:paraId="5D63E7AB" w14:textId="1C157B22" w:rsidR="00D954FF" w:rsidRPr="00404AD7" w:rsidRDefault="00666633" w:rsidP="001B6FC0">
            <w:pPr>
              <w:spacing w:after="120"/>
              <w:jc w:val="right"/>
            </w:pPr>
            <w:r>
              <w:t>12</w:t>
            </w:r>
          </w:p>
        </w:tc>
      </w:tr>
      <w:tr w:rsidR="00D954FF" w:rsidRPr="00404AD7" w14:paraId="4CC05120" w14:textId="77777777" w:rsidTr="001B6FC0">
        <w:tc>
          <w:tcPr>
            <w:tcW w:w="9369" w:type="dxa"/>
            <w:gridSpan w:val="3"/>
            <w:shd w:val="clear" w:color="auto" w:fill="auto"/>
          </w:tcPr>
          <w:p w14:paraId="443DD488" w14:textId="165B09C6" w:rsidR="00D954FF" w:rsidRPr="00404AD7" w:rsidRDefault="00D954FF" w:rsidP="00D954FF">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rsidRPr="00404AD7">
              <w:t>Gender-based violence against women</w:t>
            </w:r>
            <w:r w:rsidRPr="00404AD7">
              <w:rPr>
                <w:spacing w:val="60"/>
                <w:sz w:val="17"/>
              </w:rPr>
              <w:tab/>
            </w:r>
          </w:p>
        </w:tc>
        <w:tc>
          <w:tcPr>
            <w:tcW w:w="533" w:type="dxa"/>
            <w:shd w:val="clear" w:color="auto" w:fill="auto"/>
            <w:vAlign w:val="bottom"/>
          </w:tcPr>
          <w:p w14:paraId="130F4B16" w14:textId="4588651F" w:rsidR="00D954FF" w:rsidRPr="00404AD7" w:rsidRDefault="00666633" w:rsidP="001B6FC0">
            <w:pPr>
              <w:spacing w:after="120"/>
              <w:jc w:val="right"/>
            </w:pPr>
            <w:r>
              <w:t>13</w:t>
            </w:r>
          </w:p>
        </w:tc>
      </w:tr>
      <w:tr w:rsidR="00D954FF" w:rsidRPr="00404AD7" w14:paraId="7AE3E0F7" w14:textId="77777777" w:rsidTr="001B6FC0">
        <w:tc>
          <w:tcPr>
            <w:tcW w:w="9369" w:type="dxa"/>
            <w:gridSpan w:val="3"/>
            <w:shd w:val="clear" w:color="auto" w:fill="auto"/>
          </w:tcPr>
          <w:p w14:paraId="230992B9" w14:textId="2E5EC797" w:rsidR="00D954FF" w:rsidRPr="00404AD7" w:rsidRDefault="004F1008" w:rsidP="004F1008">
            <w:pPr>
              <w:pStyle w:val="ListParagraph"/>
              <w:tabs>
                <w:tab w:val="right" w:pos="1080"/>
                <w:tab w:val="left" w:pos="1296"/>
                <w:tab w:val="left" w:pos="1728"/>
                <w:tab w:val="right" w:leader="dot" w:pos="9360"/>
              </w:tabs>
              <w:spacing w:after="120"/>
              <w:ind w:left="1080"/>
              <w:rPr>
                <w:spacing w:val="60"/>
                <w:sz w:val="17"/>
              </w:rPr>
            </w:pPr>
            <w:r w:rsidRPr="00404AD7">
              <w:t>Question 9</w:t>
            </w:r>
            <w:r w:rsidRPr="00404AD7">
              <w:rPr>
                <w:spacing w:val="60"/>
                <w:sz w:val="17"/>
              </w:rPr>
              <w:tab/>
            </w:r>
          </w:p>
        </w:tc>
        <w:tc>
          <w:tcPr>
            <w:tcW w:w="533" w:type="dxa"/>
            <w:shd w:val="clear" w:color="auto" w:fill="auto"/>
            <w:vAlign w:val="bottom"/>
          </w:tcPr>
          <w:p w14:paraId="414E7B7A" w14:textId="31834960" w:rsidR="00D954FF" w:rsidRPr="00404AD7" w:rsidRDefault="00666633" w:rsidP="001B6FC0">
            <w:pPr>
              <w:spacing w:after="120"/>
              <w:jc w:val="right"/>
            </w:pPr>
            <w:r>
              <w:t>13</w:t>
            </w:r>
          </w:p>
        </w:tc>
      </w:tr>
      <w:tr w:rsidR="004F1008" w:rsidRPr="00404AD7" w14:paraId="70F215F2" w14:textId="77777777" w:rsidTr="001B6FC0">
        <w:tc>
          <w:tcPr>
            <w:tcW w:w="9369" w:type="dxa"/>
            <w:gridSpan w:val="3"/>
            <w:shd w:val="clear" w:color="auto" w:fill="auto"/>
          </w:tcPr>
          <w:p w14:paraId="6724C6E9" w14:textId="03A44DDC" w:rsidR="004F1008" w:rsidRPr="00404AD7" w:rsidRDefault="004F1008" w:rsidP="004F1008">
            <w:pPr>
              <w:pStyle w:val="ListParagraph"/>
              <w:tabs>
                <w:tab w:val="right" w:pos="1080"/>
                <w:tab w:val="left" w:pos="1296"/>
                <w:tab w:val="left" w:pos="1728"/>
                <w:tab w:val="right" w:leader="dot" w:pos="9360"/>
              </w:tabs>
              <w:spacing w:after="120"/>
              <w:ind w:left="1080"/>
              <w:rPr>
                <w:spacing w:val="60"/>
                <w:sz w:val="17"/>
              </w:rPr>
            </w:pPr>
            <w:r w:rsidRPr="00404AD7">
              <w:t>Question 10</w:t>
            </w:r>
            <w:r w:rsidRPr="00404AD7">
              <w:rPr>
                <w:spacing w:val="60"/>
                <w:sz w:val="17"/>
              </w:rPr>
              <w:tab/>
            </w:r>
          </w:p>
        </w:tc>
        <w:tc>
          <w:tcPr>
            <w:tcW w:w="533" w:type="dxa"/>
            <w:shd w:val="clear" w:color="auto" w:fill="auto"/>
            <w:vAlign w:val="bottom"/>
          </w:tcPr>
          <w:p w14:paraId="08EFC1FF" w14:textId="3ECC8ABF" w:rsidR="004F1008" w:rsidRPr="00404AD7" w:rsidRDefault="00666633" w:rsidP="001B6FC0">
            <w:pPr>
              <w:spacing w:after="120"/>
              <w:jc w:val="right"/>
            </w:pPr>
            <w:r>
              <w:t>15</w:t>
            </w:r>
          </w:p>
        </w:tc>
      </w:tr>
      <w:tr w:rsidR="004F1008" w:rsidRPr="00404AD7" w14:paraId="0B03D903" w14:textId="77777777" w:rsidTr="001B6FC0">
        <w:tc>
          <w:tcPr>
            <w:tcW w:w="9369" w:type="dxa"/>
            <w:gridSpan w:val="3"/>
            <w:shd w:val="clear" w:color="auto" w:fill="auto"/>
          </w:tcPr>
          <w:p w14:paraId="0744C3EA" w14:textId="158AC21F" w:rsidR="004F1008" w:rsidRPr="00404AD7" w:rsidRDefault="004F1008" w:rsidP="004F1008">
            <w:pPr>
              <w:pStyle w:val="ListParagraph"/>
              <w:tabs>
                <w:tab w:val="right" w:pos="1080"/>
                <w:tab w:val="left" w:pos="1296"/>
                <w:tab w:val="left" w:pos="1728"/>
                <w:tab w:val="right" w:leader="dot" w:pos="9360"/>
              </w:tabs>
              <w:spacing w:after="120"/>
              <w:ind w:left="1080"/>
              <w:rPr>
                <w:spacing w:val="60"/>
                <w:sz w:val="17"/>
              </w:rPr>
            </w:pPr>
            <w:r w:rsidRPr="00404AD7">
              <w:t>Question 11</w:t>
            </w:r>
            <w:r w:rsidRPr="00404AD7">
              <w:rPr>
                <w:spacing w:val="60"/>
                <w:sz w:val="17"/>
              </w:rPr>
              <w:tab/>
            </w:r>
          </w:p>
        </w:tc>
        <w:tc>
          <w:tcPr>
            <w:tcW w:w="533" w:type="dxa"/>
            <w:shd w:val="clear" w:color="auto" w:fill="auto"/>
            <w:vAlign w:val="bottom"/>
          </w:tcPr>
          <w:p w14:paraId="741CAC1D" w14:textId="64D3B18E" w:rsidR="004F1008" w:rsidRPr="00404AD7" w:rsidRDefault="00666633" w:rsidP="001B6FC0">
            <w:pPr>
              <w:spacing w:after="120"/>
              <w:jc w:val="right"/>
            </w:pPr>
            <w:r>
              <w:t>16</w:t>
            </w:r>
          </w:p>
        </w:tc>
      </w:tr>
      <w:tr w:rsidR="004F1008" w:rsidRPr="00404AD7" w14:paraId="4F8A1DF3" w14:textId="77777777" w:rsidTr="001B6FC0">
        <w:tc>
          <w:tcPr>
            <w:tcW w:w="9369" w:type="dxa"/>
            <w:gridSpan w:val="3"/>
            <w:shd w:val="clear" w:color="auto" w:fill="auto"/>
          </w:tcPr>
          <w:p w14:paraId="32FCF3C4" w14:textId="3D92BCFB" w:rsidR="004F1008" w:rsidRPr="00404AD7" w:rsidRDefault="004F1008" w:rsidP="004F1008">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rsidRPr="00404AD7">
              <w:t>Trafficking and exploitation of prostitution</w:t>
            </w:r>
            <w:r w:rsidRPr="00404AD7">
              <w:rPr>
                <w:spacing w:val="60"/>
                <w:sz w:val="17"/>
              </w:rPr>
              <w:tab/>
            </w:r>
          </w:p>
        </w:tc>
        <w:tc>
          <w:tcPr>
            <w:tcW w:w="533" w:type="dxa"/>
            <w:shd w:val="clear" w:color="auto" w:fill="auto"/>
            <w:vAlign w:val="bottom"/>
          </w:tcPr>
          <w:p w14:paraId="2D2069DD" w14:textId="0CAD81DB" w:rsidR="004F1008" w:rsidRPr="00404AD7" w:rsidRDefault="00666633" w:rsidP="001B6FC0">
            <w:pPr>
              <w:spacing w:after="120"/>
              <w:jc w:val="right"/>
            </w:pPr>
            <w:r>
              <w:t>17</w:t>
            </w:r>
          </w:p>
        </w:tc>
      </w:tr>
      <w:tr w:rsidR="004F1008" w:rsidRPr="00404AD7" w14:paraId="61C52A9D" w14:textId="77777777" w:rsidTr="001B6FC0">
        <w:tc>
          <w:tcPr>
            <w:tcW w:w="9369" w:type="dxa"/>
            <w:gridSpan w:val="3"/>
            <w:shd w:val="clear" w:color="auto" w:fill="auto"/>
          </w:tcPr>
          <w:p w14:paraId="3E9CCCAF" w14:textId="53C3E8BC" w:rsidR="004F1008" w:rsidRPr="00404AD7" w:rsidRDefault="004F1008" w:rsidP="004F1008">
            <w:pPr>
              <w:pStyle w:val="ListParagraph"/>
              <w:tabs>
                <w:tab w:val="right" w:pos="1080"/>
                <w:tab w:val="left" w:pos="1296"/>
                <w:tab w:val="left" w:pos="1728"/>
                <w:tab w:val="right" w:leader="dot" w:pos="9360"/>
              </w:tabs>
              <w:spacing w:after="120"/>
              <w:ind w:left="1080"/>
              <w:rPr>
                <w:spacing w:val="60"/>
                <w:sz w:val="17"/>
              </w:rPr>
            </w:pPr>
            <w:r w:rsidRPr="00404AD7">
              <w:t>Question 12</w:t>
            </w:r>
            <w:r w:rsidRPr="00404AD7">
              <w:rPr>
                <w:spacing w:val="60"/>
                <w:sz w:val="17"/>
              </w:rPr>
              <w:tab/>
            </w:r>
          </w:p>
        </w:tc>
        <w:tc>
          <w:tcPr>
            <w:tcW w:w="533" w:type="dxa"/>
            <w:shd w:val="clear" w:color="auto" w:fill="auto"/>
            <w:vAlign w:val="bottom"/>
          </w:tcPr>
          <w:p w14:paraId="20651AE3" w14:textId="0908F6B8" w:rsidR="004F1008" w:rsidRPr="00404AD7" w:rsidRDefault="00666633" w:rsidP="001B6FC0">
            <w:pPr>
              <w:spacing w:after="120"/>
              <w:jc w:val="right"/>
            </w:pPr>
            <w:r>
              <w:t>17</w:t>
            </w:r>
          </w:p>
        </w:tc>
      </w:tr>
      <w:tr w:rsidR="004F1008" w:rsidRPr="00404AD7" w14:paraId="70A8CDCB" w14:textId="77777777" w:rsidTr="001B6FC0">
        <w:tc>
          <w:tcPr>
            <w:tcW w:w="9369" w:type="dxa"/>
            <w:gridSpan w:val="3"/>
            <w:shd w:val="clear" w:color="auto" w:fill="auto"/>
          </w:tcPr>
          <w:p w14:paraId="21332E2A" w14:textId="73E162DD" w:rsidR="004F1008" w:rsidRPr="00404AD7" w:rsidRDefault="004F1008" w:rsidP="004F1008">
            <w:pPr>
              <w:pStyle w:val="ListParagraph"/>
              <w:tabs>
                <w:tab w:val="right" w:pos="1080"/>
                <w:tab w:val="left" w:pos="1296"/>
                <w:tab w:val="left" w:pos="1728"/>
                <w:tab w:val="right" w:leader="dot" w:pos="9360"/>
              </w:tabs>
              <w:spacing w:after="120"/>
              <w:ind w:left="1080"/>
              <w:rPr>
                <w:spacing w:val="60"/>
                <w:sz w:val="17"/>
              </w:rPr>
            </w:pPr>
            <w:r w:rsidRPr="00404AD7">
              <w:t>Question 13</w:t>
            </w:r>
            <w:r w:rsidRPr="00404AD7">
              <w:rPr>
                <w:spacing w:val="60"/>
                <w:sz w:val="17"/>
              </w:rPr>
              <w:tab/>
            </w:r>
          </w:p>
        </w:tc>
        <w:tc>
          <w:tcPr>
            <w:tcW w:w="533" w:type="dxa"/>
            <w:shd w:val="clear" w:color="auto" w:fill="auto"/>
            <w:vAlign w:val="bottom"/>
          </w:tcPr>
          <w:p w14:paraId="437EC06C" w14:textId="33C2A415" w:rsidR="004F1008" w:rsidRPr="00404AD7" w:rsidRDefault="00666633" w:rsidP="001B6FC0">
            <w:pPr>
              <w:spacing w:after="120"/>
              <w:jc w:val="right"/>
            </w:pPr>
            <w:r>
              <w:t>19</w:t>
            </w:r>
          </w:p>
        </w:tc>
      </w:tr>
      <w:tr w:rsidR="004F1008" w:rsidRPr="00404AD7" w14:paraId="77436E0A" w14:textId="77777777" w:rsidTr="001B6FC0">
        <w:tc>
          <w:tcPr>
            <w:tcW w:w="9369" w:type="dxa"/>
            <w:gridSpan w:val="3"/>
            <w:shd w:val="clear" w:color="auto" w:fill="auto"/>
          </w:tcPr>
          <w:p w14:paraId="08843E89" w14:textId="4168D109" w:rsidR="004F1008" w:rsidRPr="00404AD7" w:rsidRDefault="004F1008" w:rsidP="004F1008">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rsidRPr="00404AD7">
              <w:t>Participation in political and public life</w:t>
            </w:r>
            <w:r w:rsidRPr="00404AD7">
              <w:rPr>
                <w:spacing w:val="60"/>
                <w:sz w:val="17"/>
              </w:rPr>
              <w:tab/>
            </w:r>
          </w:p>
        </w:tc>
        <w:tc>
          <w:tcPr>
            <w:tcW w:w="533" w:type="dxa"/>
            <w:shd w:val="clear" w:color="auto" w:fill="auto"/>
            <w:vAlign w:val="bottom"/>
          </w:tcPr>
          <w:p w14:paraId="545FB8DA" w14:textId="0003130D" w:rsidR="004F1008" w:rsidRPr="00404AD7" w:rsidRDefault="00666633" w:rsidP="001B6FC0">
            <w:pPr>
              <w:spacing w:after="120"/>
              <w:jc w:val="right"/>
            </w:pPr>
            <w:r>
              <w:t>20</w:t>
            </w:r>
          </w:p>
        </w:tc>
      </w:tr>
      <w:tr w:rsidR="004F1008" w:rsidRPr="00404AD7" w14:paraId="2EE0C263" w14:textId="77777777" w:rsidTr="001B6FC0">
        <w:tc>
          <w:tcPr>
            <w:tcW w:w="9369" w:type="dxa"/>
            <w:gridSpan w:val="3"/>
            <w:shd w:val="clear" w:color="auto" w:fill="auto"/>
          </w:tcPr>
          <w:p w14:paraId="7A699931" w14:textId="49E83490" w:rsidR="004F1008" w:rsidRPr="00404AD7" w:rsidRDefault="004F1008" w:rsidP="004F1008">
            <w:pPr>
              <w:pStyle w:val="ListParagraph"/>
              <w:tabs>
                <w:tab w:val="right" w:pos="1080"/>
                <w:tab w:val="left" w:pos="1296"/>
                <w:tab w:val="left" w:pos="1728"/>
                <w:tab w:val="left" w:pos="2160"/>
                <w:tab w:val="right" w:leader="dot" w:pos="9360"/>
              </w:tabs>
              <w:spacing w:after="120"/>
              <w:ind w:left="1080"/>
              <w:rPr>
                <w:spacing w:val="60"/>
                <w:sz w:val="17"/>
              </w:rPr>
            </w:pPr>
            <w:r w:rsidRPr="00404AD7">
              <w:t>Question 14</w:t>
            </w:r>
            <w:r w:rsidRPr="00404AD7">
              <w:tab/>
            </w:r>
            <w:r w:rsidRPr="00404AD7">
              <w:rPr>
                <w:spacing w:val="60"/>
                <w:sz w:val="17"/>
              </w:rPr>
              <w:tab/>
            </w:r>
          </w:p>
        </w:tc>
        <w:tc>
          <w:tcPr>
            <w:tcW w:w="533" w:type="dxa"/>
            <w:shd w:val="clear" w:color="auto" w:fill="auto"/>
            <w:vAlign w:val="bottom"/>
          </w:tcPr>
          <w:p w14:paraId="4026E30A" w14:textId="0DEC4CB1" w:rsidR="004F1008" w:rsidRPr="00404AD7" w:rsidRDefault="00666633" w:rsidP="001B6FC0">
            <w:pPr>
              <w:spacing w:after="120"/>
              <w:jc w:val="right"/>
            </w:pPr>
            <w:r>
              <w:t>20</w:t>
            </w:r>
          </w:p>
        </w:tc>
      </w:tr>
      <w:tr w:rsidR="004F1008" w:rsidRPr="00404AD7" w14:paraId="253CEA19" w14:textId="77777777" w:rsidTr="001B6FC0">
        <w:tc>
          <w:tcPr>
            <w:tcW w:w="9369" w:type="dxa"/>
            <w:gridSpan w:val="3"/>
            <w:shd w:val="clear" w:color="auto" w:fill="auto"/>
          </w:tcPr>
          <w:p w14:paraId="64485C00" w14:textId="0FAF01DB" w:rsidR="004F1008" w:rsidRPr="00AC48EC" w:rsidRDefault="004F1008" w:rsidP="00AC48EC">
            <w:pPr>
              <w:pStyle w:val="ListParagraph"/>
              <w:tabs>
                <w:tab w:val="right" w:pos="1080"/>
                <w:tab w:val="left" w:pos="1296"/>
                <w:tab w:val="left" w:pos="1728"/>
                <w:tab w:val="right" w:leader="dot" w:pos="9360"/>
              </w:tabs>
              <w:spacing w:after="120"/>
              <w:ind w:left="1080"/>
              <w:rPr>
                <w:spacing w:val="60"/>
                <w:sz w:val="17"/>
              </w:rPr>
            </w:pPr>
            <w:r w:rsidRPr="00404AD7">
              <w:t>Nationality</w:t>
            </w:r>
            <w:r w:rsidR="00AC48EC">
              <w:rPr>
                <w:spacing w:val="60"/>
                <w:sz w:val="17"/>
              </w:rPr>
              <w:tab/>
            </w:r>
          </w:p>
        </w:tc>
        <w:tc>
          <w:tcPr>
            <w:tcW w:w="533" w:type="dxa"/>
            <w:shd w:val="clear" w:color="auto" w:fill="auto"/>
            <w:vAlign w:val="bottom"/>
          </w:tcPr>
          <w:p w14:paraId="46FE4F81" w14:textId="2D2C8835" w:rsidR="004F1008" w:rsidRPr="00404AD7" w:rsidRDefault="004117AA" w:rsidP="001B6FC0">
            <w:pPr>
              <w:spacing w:after="120"/>
              <w:jc w:val="right"/>
            </w:pPr>
            <w:r>
              <w:t>22</w:t>
            </w:r>
          </w:p>
        </w:tc>
      </w:tr>
      <w:tr w:rsidR="004F1008" w:rsidRPr="00404AD7" w14:paraId="494EFF50" w14:textId="77777777" w:rsidTr="001B6FC0">
        <w:tc>
          <w:tcPr>
            <w:tcW w:w="9369" w:type="dxa"/>
            <w:gridSpan w:val="3"/>
            <w:shd w:val="clear" w:color="auto" w:fill="auto"/>
          </w:tcPr>
          <w:p w14:paraId="647790EE" w14:textId="3330F8C9" w:rsidR="004F1008" w:rsidRPr="00404AD7" w:rsidRDefault="004F1008" w:rsidP="004F1008">
            <w:pPr>
              <w:pStyle w:val="ListParagraph"/>
              <w:tabs>
                <w:tab w:val="right" w:pos="1080"/>
                <w:tab w:val="left" w:pos="1296"/>
                <w:tab w:val="left" w:pos="1728"/>
                <w:tab w:val="right" w:leader="dot" w:pos="9360"/>
              </w:tabs>
              <w:spacing w:after="120"/>
              <w:ind w:left="1080"/>
              <w:rPr>
                <w:spacing w:val="60"/>
                <w:sz w:val="17"/>
              </w:rPr>
            </w:pPr>
            <w:r w:rsidRPr="00404AD7">
              <w:t>Question 15</w:t>
            </w:r>
            <w:r w:rsidRPr="00404AD7">
              <w:rPr>
                <w:spacing w:val="60"/>
                <w:sz w:val="17"/>
              </w:rPr>
              <w:tab/>
            </w:r>
          </w:p>
        </w:tc>
        <w:tc>
          <w:tcPr>
            <w:tcW w:w="533" w:type="dxa"/>
            <w:shd w:val="clear" w:color="auto" w:fill="auto"/>
            <w:vAlign w:val="bottom"/>
          </w:tcPr>
          <w:p w14:paraId="59FFE708" w14:textId="540170CA" w:rsidR="004F1008" w:rsidRPr="00404AD7" w:rsidRDefault="004117AA" w:rsidP="001B6FC0">
            <w:pPr>
              <w:spacing w:after="120"/>
              <w:jc w:val="right"/>
            </w:pPr>
            <w:r>
              <w:t>22</w:t>
            </w:r>
          </w:p>
        </w:tc>
      </w:tr>
      <w:tr w:rsidR="004F1008" w:rsidRPr="00404AD7" w14:paraId="141A1FF8" w14:textId="77777777" w:rsidTr="001B6FC0">
        <w:tc>
          <w:tcPr>
            <w:tcW w:w="9369" w:type="dxa"/>
            <w:gridSpan w:val="3"/>
            <w:shd w:val="clear" w:color="auto" w:fill="auto"/>
          </w:tcPr>
          <w:p w14:paraId="76EE153E" w14:textId="5157C910" w:rsidR="004F1008" w:rsidRPr="004117AA" w:rsidRDefault="004F1008" w:rsidP="004117AA">
            <w:pPr>
              <w:pStyle w:val="ListParagraph"/>
              <w:tabs>
                <w:tab w:val="right" w:pos="1080"/>
                <w:tab w:val="left" w:pos="1296"/>
                <w:tab w:val="left" w:pos="1728"/>
                <w:tab w:val="right" w:leader="dot" w:pos="9360"/>
              </w:tabs>
              <w:spacing w:after="120"/>
              <w:ind w:left="1080"/>
              <w:rPr>
                <w:spacing w:val="60"/>
                <w:sz w:val="17"/>
              </w:rPr>
            </w:pPr>
            <w:r w:rsidRPr="00404AD7">
              <w:t>Education</w:t>
            </w:r>
            <w:r w:rsidR="004117AA">
              <w:rPr>
                <w:spacing w:val="60"/>
                <w:sz w:val="17"/>
              </w:rPr>
              <w:tab/>
            </w:r>
          </w:p>
        </w:tc>
        <w:tc>
          <w:tcPr>
            <w:tcW w:w="533" w:type="dxa"/>
            <w:shd w:val="clear" w:color="auto" w:fill="auto"/>
            <w:vAlign w:val="bottom"/>
          </w:tcPr>
          <w:p w14:paraId="26B1F53E" w14:textId="745A28CA" w:rsidR="004F1008" w:rsidRPr="00404AD7" w:rsidRDefault="004117AA" w:rsidP="001B6FC0">
            <w:pPr>
              <w:spacing w:after="120"/>
              <w:jc w:val="right"/>
            </w:pPr>
            <w:r>
              <w:t>22</w:t>
            </w:r>
          </w:p>
        </w:tc>
      </w:tr>
      <w:tr w:rsidR="004F1008" w:rsidRPr="00404AD7" w14:paraId="2770519F" w14:textId="77777777" w:rsidTr="001B6FC0">
        <w:tc>
          <w:tcPr>
            <w:tcW w:w="9369" w:type="dxa"/>
            <w:gridSpan w:val="3"/>
            <w:shd w:val="clear" w:color="auto" w:fill="auto"/>
          </w:tcPr>
          <w:p w14:paraId="62D8132C" w14:textId="268B70B0" w:rsidR="004F1008" w:rsidRPr="00404AD7" w:rsidRDefault="004F1008" w:rsidP="004F1008">
            <w:pPr>
              <w:pStyle w:val="ListParagraph"/>
              <w:tabs>
                <w:tab w:val="right" w:pos="1080"/>
                <w:tab w:val="left" w:pos="1296"/>
                <w:tab w:val="left" w:pos="1728"/>
                <w:tab w:val="right" w:leader="dot" w:pos="9360"/>
              </w:tabs>
              <w:spacing w:after="120"/>
              <w:ind w:left="1080"/>
              <w:rPr>
                <w:spacing w:val="60"/>
                <w:sz w:val="17"/>
              </w:rPr>
            </w:pPr>
            <w:r w:rsidRPr="00404AD7">
              <w:rPr>
                <w:lang w:val="fr-FR"/>
              </w:rPr>
              <w:t>Question 16</w:t>
            </w:r>
            <w:r w:rsidRPr="00404AD7">
              <w:rPr>
                <w:spacing w:val="60"/>
                <w:sz w:val="17"/>
                <w:lang w:val="fr-FR"/>
              </w:rPr>
              <w:tab/>
            </w:r>
          </w:p>
        </w:tc>
        <w:tc>
          <w:tcPr>
            <w:tcW w:w="533" w:type="dxa"/>
            <w:shd w:val="clear" w:color="auto" w:fill="auto"/>
            <w:vAlign w:val="bottom"/>
          </w:tcPr>
          <w:p w14:paraId="16647885" w14:textId="27A74E09" w:rsidR="004F1008" w:rsidRPr="00404AD7" w:rsidRDefault="004117AA" w:rsidP="001B6FC0">
            <w:pPr>
              <w:spacing w:after="120"/>
              <w:jc w:val="right"/>
            </w:pPr>
            <w:r>
              <w:t>22</w:t>
            </w:r>
          </w:p>
        </w:tc>
      </w:tr>
      <w:tr w:rsidR="004F1008" w:rsidRPr="00404AD7" w14:paraId="5D2729F9" w14:textId="77777777" w:rsidTr="001B6FC0">
        <w:tc>
          <w:tcPr>
            <w:tcW w:w="9369" w:type="dxa"/>
            <w:gridSpan w:val="3"/>
            <w:shd w:val="clear" w:color="auto" w:fill="auto"/>
          </w:tcPr>
          <w:p w14:paraId="283E2941" w14:textId="644650A2" w:rsidR="004F1008" w:rsidRPr="00404AD7" w:rsidRDefault="004F1008" w:rsidP="004F1008">
            <w:pPr>
              <w:pStyle w:val="ListParagraph"/>
              <w:tabs>
                <w:tab w:val="right" w:pos="1080"/>
                <w:tab w:val="left" w:pos="1296"/>
                <w:tab w:val="left" w:pos="1728"/>
                <w:tab w:val="left" w:pos="2160"/>
                <w:tab w:val="right" w:leader="dot" w:pos="9360"/>
              </w:tabs>
              <w:spacing w:after="120"/>
              <w:ind w:left="1080"/>
              <w:rPr>
                <w:spacing w:val="60"/>
                <w:sz w:val="17"/>
                <w:lang w:val="fr-FR"/>
              </w:rPr>
            </w:pPr>
            <w:proofErr w:type="spellStart"/>
            <w:r w:rsidRPr="00404AD7">
              <w:rPr>
                <w:lang w:val="fr-FR"/>
              </w:rPr>
              <w:t>Employment</w:t>
            </w:r>
            <w:proofErr w:type="spellEnd"/>
            <w:r w:rsidRPr="00404AD7">
              <w:rPr>
                <w:spacing w:val="60"/>
                <w:sz w:val="17"/>
                <w:lang w:val="fr-FR"/>
              </w:rPr>
              <w:tab/>
            </w:r>
          </w:p>
        </w:tc>
        <w:tc>
          <w:tcPr>
            <w:tcW w:w="533" w:type="dxa"/>
            <w:shd w:val="clear" w:color="auto" w:fill="auto"/>
            <w:vAlign w:val="bottom"/>
          </w:tcPr>
          <w:p w14:paraId="73C16406" w14:textId="60B88BA1" w:rsidR="004F1008" w:rsidRPr="00404AD7" w:rsidRDefault="004117AA" w:rsidP="001B6FC0">
            <w:pPr>
              <w:spacing w:after="120"/>
              <w:jc w:val="right"/>
            </w:pPr>
            <w:r>
              <w:t>25</w:t>
            </w:r>
          </w:p>
        </w:tc>
      </w:tr>
      <w:tr w:rsidR="004F1008" w:rsidRPr="00404AD7" w14:paraId="172F362A" w14:textId="77777777" w:rsidTr="001B6FC0">
        <w:tc>
          <w:tcPr>
            <w:tcW w:w="9369" w:type="dxa"/>
            <w:gridSpan w:val="3"/>
            <w:shd w:val="clear" w:color="auto" w:fill="auto"/>
          </w:tcPr>
          <w:p w14:paraId="4C6095D6" w14:textId="5BD8BB19" w:rsidR="004F1008" w:rsidRPr="00404AD7" w:rsidRDefault="004F1008" w:rsidP="004F1008">
            <w:pPr>
              <w:pStyle w:val="ListParagraph"/>
              <w:tabs>
                <w:tab w:val="right" w:pos="1080"/>
                <w:tab w:val="left" w:pos="1296"/>
                <w:tab w:val="left" w:pos="1728"/>
                <w:tab w:val="right" w:leader="dot" w:pos="9360"/>
              </w:tabs>
              <w:spacing w:after="120"/>
              <w:ind w:left="1080"/>
              <w:rPr>
                <w:spacing w:val="60"/>
                <w:sz w:val="17"/>
                <w:lang w:val="fr-FR"/>
              </w:rPr>
            </w:pPr>
            <w:r w:rsidRPr="00404AD7">
              <w:rPr>
                <w:lang w:val="fr-FR"/>
              </w:rPr>
              <w:t>Question 17</w:t>
            </w:r>
            <w:r w:rsidRPr="00404AD7">
              <w:rPr>
                <w:spacing w:val="60"/>
                <w:sz w:val="17"/>
                <w:lang w:val="fr-FR"/>
              </w:rPr>
              <w:tab/>
            </w:r>
          </w:p>
        </w:tc>
        <w:tc>
          <w:tcPr>
            <w:tcW w:w="533" w:type="dxa"/>
            <w:shd w:val="clear" w:color="auto" w:fill="auto"/>
            <w:vAlign w:val="bottom"/>
          </w:tcPr>
          <w:p w14:paraId="30611353" w14:textId="5E3E829A" w:rsidR="004F1008" w:rsidRPr="00404AD7" w:rsidRDefault="004117AA" w:rsidP="001B6FC0">
            <w:pPr>
              <w:spacing w:after="120"/>
              <w:jc w:val="right"/>
            </w:pPr>
            <w:r>
              <w:t>25</w:t>
            </w:r>
          </w:p>
        </w:tc>
      </w:tr>
      <w:tr w:rsidR="004F1008" w:rsidRPr="00404AD7" w14:paraId="52044016" w14:textId="77777777" w:rsidTr="001B6FC0">
        <w:tc>
          <w:tcPr>
            <w:tcW w:w="9369" w:type="dxa"/>
            <w:gridSpan w:val="3"/>
            <w:shd w:val="clear" w:color="auto" w:fill="auto"/>
          </w:tcPr>
          <w:p w14:paraId="113D0F09" w14:textId="7AD2A938" w:rsidR="004F1008" w:rsidRPr="00404AD7" w:rsidRDefault="004F1008" w:rsidP="004F1008">
            <w:pPr>
              <w:pStyle w:val="ListParagraph"/>
              <w:tabs>
                <w:tab w:val="right" w:pos="1080"/>
                <w:tab w:val="left" w:pos="1296"/>
                <w:tab w:val="left" w:pos="1728"/>
                <w:tab w:val="right" w:leader="dot" w:pos="9360"/>
              </w:tabs>
              <w:spacing w:after="120"/>
              <w:ind w:left="1080"/>
              <w:rPr>
                <w:spacing w:val="60"/>
                <w:sz w:val="17"/>
                <w:lang w:val="fr-FR"/>
              </w:rPr>
            </w:pPr>
            <w:r w:rsidRPr="00404AD7">
              <w:rPr>
                <w:lang w:val="fr-FR"/>
              </w:rPr>
              <w:t>Question 18</w:t>
            </w:r>
            <w:r w:rsidRPr="00404AD7">
              <w:rPr>
                <w:spacing w:val="60"/>
                <w:sz w:val="17"/>
                <w:lang w:val="fr-FR"/>
              </w:rPr>
              <w:tab/>
            </w:r>
          </w:p>
        </w:tc>
        <w:tc>
          <w:tcPr>
            <w:tcW w:w="533" w:type="dxa"/>
            <w:shd w:val="clear" w:color="auto" w:fill="auto"/>
            <w:vAlign w:val="bottom"/>
          </w:tcPr>
          <w:p w14:paraId="6E7678C6" w14:textId="71542617" w:rsidR="004F1008" w:rsidRPr="00404AD7" w:rsidRDefault="004117AA" w:rsidP="001B6FC0">
            <w:pPr>
              <w:spacing w:after="120"/>
              <w:jc w:val="right"/>
            </w:pPr>
            <w:r>
              <w:t>26</w:t>
            </w:r>
          </w:p>
        </w:tc>
      </w:tr>
      <w:tr w:rsidR="004F1008" w:rsidRPr="00404AD7" w14:paraId="639397A3" w14:textId="77777777" w:rsidTr="001B6FC0">
        <w:tc>
          <w:tcPr>
            <w:tcW w:w="9369" w:type="dxa"/>
            <w:gridSpan w:val="3"/>
            <w:shd w:val="clear" w:color="auto" w:fill="auto"/>
          </w:tcPr>
          <w:p w14:paraId="472118C2" w14:textId="2035C50D" w:rsidR="004F1008" w:rsidRPr="00404AD7" w:rsidRDefault="004F1008" w:rsidP="004F1008">
            <w:pPr>
              <w:pStyle w:val="ListParagraph"/>
              <w:tabs>
                <w:tab w:val="right" w:pos="1080"/>
                <w:tab w:val="left" w:pos="1296"/>
                <w:tab w:val="left" w:pos="1728"/>
                <w:tab w:val="right" w:leader="dot" w:pos="9360"/>
              </w:tabs>
              <w:spacing w:after="120"/>
              <w:ind w:left="1080"/>
              <w:rPr>
                <w:spacing w:val="60"/>
                <w:sz w:val="17"/>
                <w:lang w:val="fr-FR"/>
              </w:rPr>
            </w:pPr>
            <w:r w:rsidRPr="00404AD7">
              <w:rPr>
                <w:lang w:val="fr-FR"/>
              </w:rPr>
              <w:t>Question 19</w:t>
            </w:r>
            <w:r w:rsidRPr="00404AD7">
              <w:rPr>
                <w:spacing w:val="60"/>
                <w:sz w:val="17"/>
                <w:lang w:val="fr-FR"/>
              </w:rPr>
              <w:tab/>
            </w:r>
          </w:p>
        </w:tc>
        <w:tc>
          <w:tcPr>
            <w:tcW w:w="533" w:type="dxa"/>
            <w:shd w:val="clear" w:color="auto" w:fill="auto"/>
            <w:vAlign w:val="bottom"/>
          </w:tcPr>
          <w:p w14:paraId="5BBFAE6E" w14:textId="566F5C63" w:rsidR="004F1008" w:rsidRPr="00404AD7" w:rsidRDefault="004117AA" w:rsidP="001B6FC0">
            <w:pPr>
              <w:spacing w:after="120"/>
              <w:jc w:val="right"/>
            </w:pPr>
            <w:r>
              <w:t>29</w:t>
            </w:r>
          </w:p>
        </w:tc>
      </w:tr>
      <w:tr w:rsidR="004F1008" w:rsidRPr="00404AD7" w14:paraId="726FCD62" w14:textId="77777777" w:rsidTr="001B6FC0">
        <w:tc>
          <w:tcPr>
            <w:tcW w:w="9369" w:type="dxa"/>
            <w:gridSpan w:val="3"/>
            <w:shd w:val="clear" w:color="auto" w:fill="auto"/>
          </w:tcPr>
          <w:p w14:paraId="0EB5EEE7" w14:textId="36B2C149" w:rsidR="004F1008" w:rsidRPr="004117AA" w:rsidRDefault="004F1008" w:rsidP="004117AA">
            <w:pPr>
              <w:pStyle w:val="ListParagraph"/>
              <w:tabs>
                <w:tab w:val="right" w:pos="1080"/>
                <w:tab w:val="left" w:pos="1296"/>
                <w:tab w:val="right" w:leader="dot" w:pos="9360"/>
              </w:tabs>
              <w:spacing w:after="120"/>
              <w:ind w:left="1080"/>
              <w:rPr>
                <w:spacing w:val="60"/>
                <w:sz w:val="17"/>
                <w:lang w:val="fr-FR"/>
              </w:rPr>
            </w:pPr>
            <w:r w:rsidRPr="00404AD7">
              <w:t>Health</w:t>
            </w:r>
            <w:r w:rsidR="004117AA">
              <w:rPr>
                <w:spacing w:val="60"/>
                <w:sz w:val="17"/>
              </w:rPr>
              <w:tab/>
            </w:r>
          </w:p>
        </w:tc>
        <w:tc>
          <w:tcPr>
            <w:tcW w:w="533" w:type="dxa"/>
            <w:shd w:val="clear" w:color="auto" w:fill="auto"/>
            <w:vAlign w:val="bottom"/>
          </w:tcPr>
          <w:p w14:paraId="749AD1CE" w14:textId="4A4D0B76" w:rsidR="004F1008" w:rsidRPr="00404AD7" w:rsidRDefault="004117AA" w:rsidP="001B6FC0">
            <w:pPr>
              <w:spacing w:after="120"/>
              <w:jc w:val="right"/>
            </w:pPr>
            <w:r>
              <w:t>33</w:t>
            </w:r>
          </w:p>
        </w:tc>
      </w:tr>
      <w:tr w:rsidR="004F1008" w:rsidRPr="00404AD7" w14:paraId="1C64423C" w14:textId="77777777" w:rsidTr="001B6FC0">
        <w:tc>
          <w:tcPr>
            <w:tcW w:w="9369" w:type="dxa"/>
            <w:gridSpan w:val="3"/>
            <w:shd w:val="clear" w:color="auto" w:fill="auto"/>
          </w:tcPr>
          <w:p w14:paraId="25D923A2" w14:textId="3E9ABE08" w:rsidR="004F1008" w:rsidRPr="00404AD7" w:rsidRDefault="004F1008" w:rsidP="004F1008">
            <w:pPr>
              <w:pStyle w:val="ListParagraph"/>
              <w:tabs>
                <w:tab w:val="right" w:pos="1080"/>
                <w:tab w:val="left" w:pos="1296"/>
                <w:tab w:val="left" w:pos="1728"/>
                <w:tab w:val="right" w:leader="dot" w:pos="9360"/>
              </w:tabs>
              <w:spacing w:after="120"/>
              <w:ind w:left="1080"/>
              <w:rPr>
                <w:spacing w:val="60"/>
                <w:sz w:val="17"/>
                <w:lang w:val="fr-FR"/>
              </w:rPr>
            </w:pPr>
            <w:r w:rsidRPr="00404AD7">
              <w:t>Question 20</w:t>
            </w:r>
            <w:r w:rsidRPr="00404AD7">
              <w:rPr>
                <w:spacing w:val="60"/>
                <w:sz w:val="17"/>
              </w:rPr>
              <w:tab/>
            </w:r>
          </w:p>
        </w:tc>
        <w:tc>
          <w:tcPr>
            <w:tcW w:w="533" w:type="dxa"/>
            <w:shd w:val="clear" w:color="auto" w:fill="auto"/>
            <w:vAlign w:val="bottom"/>
          </w:tcPr>
          <w:p w14:paraId="1638CEDA" w14:textId="6BFD460D" w:rsidR="004F1008" w:rsidRPr="00404AD7" w:rsidRDefault="004117AA" w:rsidP="001B6FC0">
            <w:pPr>
              <w:spacing w:after="120"/>
              <w:jc w:val="right"/>
            </w:pPr>
            <w:r>
              <w:t>33</w:t>
            </w:r>
          </w:p>
        </w:tc>
      </w:tr>
      <w:tr w:rsidR="004F1008" w:rsidRPr="00404AD7" w14:paraId="5ED6765F" w14:textId="77777777" w:rsidTr="001B6FC0">
        <w:tc>
          <w:tcPr>
            <w:tcW w:w="9369" w:type="dxa"/>
            <w:gridSpan w:val="3"/>
            <w:shd w:val="clear" w:color="auto" w:fill="auto"/>
          </w:tcPr>
          <w:p w14:paraId="5238752C" w14:textId="06E4F988" w:rsidR="004F1008" w:rsidRPr="00AC48EC" w:rsidRDefault="004F1008" w:rsidP="00AC48EC">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rsidRPr="00404AD7">
              <w:lastRenderedPageBreak/>
              <w:t>Economic empowerment of women</w:t>
            </w:r>
            <w:r w:rsidR="00AC48EC">
              <w:rPr>
                <w:spacing w:val="60"/>
                <w:sz w:val="17"/>
              </w:rPr>
              <w:tab/>
            </w:r>
          </w:p>
        </w:tc>
        <w:tc>
          <w:tcPr>
            <w:tcW w:w="533" w:type="dxa"/>
            <w:shd w:val="clear" w:color="auto" w:fill="auto"/>
            <w:vAlign w:val="bottom"/>
          </w:tcPr>
          <w:p w14:paraId="5AF407A7" w14:textId="24A77D5E" w:rsidR="004F1008" w:rsidRPr="00404AD7" w:rsidRDefault="004117AA" w:rsidP="001B6FC0">
            <w:pPr>
              <w:spacing w:after="120"/>
              <w:jc w:val="right"/>
            </w:pPr>
            <w:r>
              <w:t>34</w:t>
            </w:r>
          </w:p>
        </w:tc>
      </w:tr>
      <w:tr w:rsidR="004F1008" w:rsidRPr="00404AD7" w14:paraId="41E250FC" w14:textId="77777777" w:rsidTr="001B6FC0">
        <w:tc>
          <w:tcPr>
            <w:tcW w:w="9369" w:type="dxa"/>
            <w:gridSpan w:val="3"/>
            <w:shd w:val="clear" w:color="auto" w:fill="auto"/>
          </w:tcPr>
          <w:p w14:paraId="0D5B5495" w14:textId="67B404E4" w:rsidR="004F1008" w:rsidRPr="00404AD7" w:rsidRDefault="004F1008" w:rsidP="004F1008">
            <w:pPr>
              <w:pStyle w:val="ListParagraph"/>
              <w:tabs>
                <w:tab w:val="right" w:pos="1080"/>
                <w:tab w:val="left" w:pos="1296"/>
                <w:tab w:val="left" w:pos="1728"/>
                <w:tab w:val="right" w:leader="dot" w:pos="9360"/>
              </w:tabs>
              <w:spacing w:after="120"/>
              <w:ind w:left="1080"/>
              <w:rPr>
                <w:spacing w:val="60"/>
                <w:sz w:val="17"/>
              </w:rPr>
            </w:pPr>
            <w:r w:rsidRPr="00404AD7">
              <w:t>Question 21</w:t>
            </w:r>
            <w:r w:rsidRPr="00404AD7">
              <w:rPr>
                <w:spacing w:val="60"/>
                <w:sz w:val="17"/>
              </w:rPr>
              <w:tab/>
            </w:r>
          </w:p>
        </w:tc>
        <w:tc>
          <w:tcPr>
            <w:tcW w:w="533" w:type="dxa"/>
            <w:shd w:val="clear" w:color="auto" w:fill="auto"/>
            <w:vAlign w:val="bottom"/>
          </w:tcPr>
          <w:p w14:paraId="03C89AAB" w14:textId="202C6E0A" w:rsidR="004F1008" w:rsidRPr="00404AD7" w:rsidRDefault="004117AA" w:rsidP="001B6FC0">
            <w:pPr>
              <w:spacing w:after="120"/>
              <w:jc w:val="right"/>
            </w:pPr>
            <w:r>
              <w:t>34</w:t>
            </w:r>
          </w:p>
        </w:tc>
      </w:tr>
      <w:tr w:rsidR="004F1008" w:rsidRPr="00404AD7" w14:paraId="2C5ACC04" w14:textId="77777777" w:rsidTr="001B6FC0">
        <w:tc>
          <w:tcPr>
            <w:tcW w:w="9369" w:type="dxa"/>
            <w:gridSpan w:val="3"/>
            <w:shd w:val="clear" w:color="auto" w:fill="auto"/>
          </w:tcPr>
          <w:p w14:paraId="00DF593D" w14:textId="1D7F40FD" w:rsidR="004F1008" w:rsidRPr="00AC48EC" w:rsidRDefault="004F1008" w:rsidP="00AC48EC">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rsidRPr="00404AD7">
              <w:t>Rural and marginalized groups of women</w:t>
            </w:r>
            <w:r w:rsidR="00AC48EC">
              <w:rPr>
                <w:spacing w:val="60"/>
                <w:sz w:val="17"/>
              </w:rPr>
              <w:tab/>
            </w:r>
          </w:p>
        </w:tc>
        <w:tc>
          <w:tcPr>
            <w:tcW w:w="533" w:type="dxa"/>
            <w:shd w:val="clear" w:color="auto" w:fill="auto"/>
            <w:vAlign w:val="bottom"/>
          </w:tcPr>
          <w:p w14:paraId="136F3541" w14:textId="300304E4" w:rsidR="004F1008" w:rsidRPr="00404AD7" w:rsidRDefault="004117AA" w:rsidP="001B6FC0">
            <w:pPr>
              <w:spacing w:after="120"/>
              <w:jc w:val="right"/>
            </w:pPr>
            <w:r>
              <w:t>35</w:t>
            </w:r>
          </w:p>
        </w:tc>
      </w:tr>
      <w:tr w:rsidR="004F1008" w:rsidRPr="00404AD7" w14:paraId="7B4D9B5C" w14:textId="77777777" w:rsidTr="001B6FC0">
        <w:tc>
          <w:tcPr>
            <w:tcW w:w="9369" w:type="dxa"/>
            <w:gridSpan w:val="3"/>
            <w:shd w:val="clear" w:color="auto" w:fill="auto"/>
          </w:tcPr>
          <w:p w14:paraId="55288053" w14:textId="401AEFE6" w:rsidR="004F1008" w:rsidRPr="00404AD7" w:rsidRDefault="004F1008" w:rsidP="004F1008">
            <w:pPr>
              <w:pStyle w:val="ListParagraph"/>
              <w:tabs>
                <w:tab w:val="right" w:pos="1080"/>
                <w:tab w:val="left" w:pos="1296"/>
                <w:tab w:val="left" w:pos="1728"/>
                <w:tab w:val="right" w:leader="dot" w:pos="9360"/>
              </w:tabs>
              <w:spacing w:after="120"/>
              <w:ind w:left="1080"/>
              <w:rPr>
                <w:spacing w:val="60"/>
                <w:sz w:val="17"/>
              </w:rPr>
            </w:pPr>
            <w:r w:rsidRPr="00404AD7">
              <w:t>Question 22</w:t>
            </w:r>
            <w:r w:rsidRPr="00404AD7">
              <w:rPr>
                <w:spacing w:val="60"/>
                <w:sz w:val="17"/>
              </w:rPr>
              <w:tab/>
            </w:r>
          </w:p>
        </w:tc>
        <w:tc>
          <w:tcPr>
            <w:tcW w:w="533" w:type="dxa"/>
            <w:shd w:val="clear" w:color="auto" w:fill="auto"/>
            <w:vAlign w:val="bottom"/>
          </w:tcPr>
          <w:p w14:paraId="0DCFE33F" w14:textId="5EDD0184" w:rsidR="004F1008" w:rsidRPr="00404AD7" w:rsidRDefault="004117AA" w:rsidP="001B6FC0">
            <w:pPr>
              <w:spacing w:after="120"/>
              <w:jc w:val="right"/>
            </w:pPr>
            <w:r>
              <w:t>35</w:t>
            </w:r>
          </w:p>
        </w:tc>
      </w:tr>
      <w:tr w:rsidR="004F1008" w:rsidRPr="00404AD7" w14:paraId="51CCB51C" w14:textId="77777777" w:rsidTr="001B6FC0">
        <w:tc>
          <w:tcPr>
            <w:tcW w:w="9369" w:type="dxa"/>
            <w:gridSpan w:val="3"/>
            <w:shd w:val="clear" w:color="auto" w:fill="auto"/>
          </w:tcPr>
          <w:p w14:paraId="184F59DB" w14:textId="53EB585B" w:rsidR="004F1008" w:rsidRPr="00404AD7" w:rsidRDefault="004F1008" w:rsidP="004F1008">
            <w:pPr>
              <w:pStyle w:val="ListParagraph"/>
              <w:tabs>
                <w:tab w:val="right" w:pos="1080"/>
                <w:tab w:val="left" w:pos="1296"/>
                <w:tab w:val="left" w:pos="1728"/>
                <w:tab w:val="left" w:pos="2160"/>
                <w:tab w:val="left" w:pos="2592"/>
                <w:tab w:val="left" w:pos="3024"/>
                <w:tab w:val="left" w:pos="3456"/>
                <w:tab w:val="right" w:leader="dot" w:pos="9360"/>
              </w:tabs>
              <w:spacing w:after="120"/>
              <w:ind w:left="1080"/>
              <w:rPr>
                <w:spacing w:val="60"/>
                <w:sz w:val="17"/>
              </w:rPr>
            </w:pPr>
            <w:r w:rsidRPr="00404AD7">
              <w:t>Marriage and family relations</w:t>
            </w:r>
            <w:r w:rsidRPr="00404AD7">
              <w:rPr>
                <w:spacing w:val="60"/>
                <w:sz w:val="17"/>
              </w:rPr>
              <w:tab/>
            </w:r>
          </w:p>
        </w:tc>
        <w:tc>
          <w:tcPr>
            <w:tcW w:w="533" w:type="dxa"/>
            <w:shd w:val="clear" w:color="auto" w:fill="auto"/>
            <w:vAlign w:val="bottom"/>
          </w:tcPr>
          <w:p w14:paraId="3736F11D" w14:textId="32DAFBA9" w:rsidR="004F1008" w:rsidRPr="00404AD7" w:rsidRDefault="004117AA" w:rsidP="001B6FC0">
            <w:pPr>
              <w:spacing w:after="120"/>
              <w:jc w:val="right"/>
            </w:pPr>
            <w:r>
              <w:t>39</w:t>
            </w:r>
          </w:p>
        </w:tc>
      </w:tr>
      <w:tr w:rsidR="004F1008" w:rsidRPr="00404AD7" w14:paraId="193087E8" w14:textId="77777777" w:rsidTr="001B6FC0">
        <w:tc>
          <w:tcPr>
            <w:tcW w:w="9369" w:type="dxa"/>
            <w:gridSpan w:val="3"/>
            <w:shd w:val="clear" w:color="auto" w:fill="auto"/>
          </w:tcPr>
          <w:p w14:paraId="26991644" w14:textId="49F88CF5" w:rsidR="004F1008" w:rsidRPr="00404AD7" w:rsidRDefault="004F1008" w:rsidP="004F1008">
            <w:pPr>
              <w:pStyle w:val="ListParagraph"/>
              <w:tabs>
                <w:tab w:val="right" w:pos="1080"/>
                <w:tab w:val="left" w:pos="1296"/>
                <w:tab w:val="left" w:pos="1728"/>
                <w:tab w:val="right" w:leader="dot" w:pos="9360"/>
              </w:tabs>
              <w:spacing w:after="120"/>
              <w:ind w:left="1080"/>
              <w:rPr>
                <w:spacing w:val="60"/>
                <w:sz w:val="17"/>
              </w:rPr>
            </w:pPr>
            <w:r w:rsidRPr="00404AD7">
              <w:t>Question 23</w:t>
            </w:r>
            <w:r w:rsidRPr="00404AD7">
              <w:rPr>
                <w:spacing w:val="60"/>
                <w:sz w:val="17"/>
              </w:rPr>
              <w:tab/>
            </w:r>
          </w:p>
        </w:tc>
        <w:tc>
          <w:tcPr>
            <w:tcW w:w="533" w:type="dxa"/>
            <w:shd w:val="clear" w:color="auto" w:fill="auto"/>
            <w:vAlign w:val="bottom"/>
          </w:tcPr>
          <w:p w14:paraId="59F7F9A1" w14:textId="7E3F99BA" w:rsidR="004F1008" w:rsidRPr="00404AD7" w:rsidRDefault="004117AA" w:rsidP="001B6FC0">
            <w:pPr>
              <w:spacing w:after="120"/>
              <w:jc w:val="right"/>
            </w:pPr>
            <w:r>
              <w:t>39</w:t>
            </w:r>
          </w:p>
        </w:tc>
      </w:tr>
      <w:tr w:rsidR="004F1008" w:rsidRPr="00404AD7" w14:paraId="3156D939" w14:textId="77777777" w:rsidTr="001B6FC0">
        <w:tc>
          <w:tcPr>
            <w:tcW w:w="9369" w:type="dxa"/>
            <w:gridSpan w:val="3"/>
            <w:shd w:val="clear" w:color="auto" w:fill="auto"/>
          </w:tcPr>
          <w:p w14:paraId="25F34ED3" w14:textId="06A98131" w:rsidR="004F1008" w:rsidRPr="00404AD7" w:rsidRDefault="004F1008" w:rsidP="004F1008">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rsidRPr="00404AD7">
              <w:t>Climate change and disaster risk reduction</w:t>
            </w:r>
            <w:r w:rsidRPr="00404AD7">
              <w:rPr>
                <w:spacing w:val="60"/>
                <w:sz w:val="17"/>
              </w:rPr>
              <w:tab/>
            </w:r>
          </w:p>
        </w:tc>
        <w:tc>
          <w:tcPr>
            <w:tcW w:w="533" w:type="dxa"/>
            <w:shd w:val="clear" w:color="auto" w:fill="auto"/>
            <w:vAlign w:val="bottom"/>
          </w:tcPr>
          <w:p w14:paraId="0223C55B" w14:textId="45B99966" w:rsidR="004F1008" w:rsidRPr="00404AD7" w:rsidRDefault="004117AA" w:rsidP="001B6FC0">
            <w:pPr>
              <w:spacing w:after="120"/>
              <w:jc w:val="right"/>
            </w:pPr>
            <w:r>
              <w:t>41</w:t>
            </w:r>
          </w:p>
        </w:tc>
      </w:tr>
      <w:tr w:rsidR="004F1008" w:rsidRPr="00404AD7" w14:paraId="6BFBBD72" w14:textId="77777777" w:rsidTr="001B6FC0">
        <w:tc>
          <w:tcPr>
            <w:tcW w:w="9369" w:type="dxa"/>
            <w:gridSpan w:val="3"/>
            <w:shd w:val="clear" w:color="auto" w:fill="auto"/>
          </w:tcPr>
          <w:p w14:paraId="17BAF776" w14:textId="731D544F" w:rsidR="004F1008" w:rsidRPr="00404AD7" w:rsidRDefault="004F1008" w:rsidP="004F1008">
            <w:pPr>
              <w:pStyle w:val="ListParagraph"/>
              <w:tabs>
                <w:tab w:val="right" w:pos="1080"/>
                <w:tab w:val="left" w:pos="1296"/>
                <w:tab w:val="left" w:pos="1728"/>
                <w:tab w:val="right" w:leader="dot" w:pos="9360"/>
              </w:tabs>
              <w:spacing w:after="120"/>
              <w:ind w:left="1080"/>
              <w:rPr>
                <w:spacing w:val="60"/>
                <w:sz w:val="17"/>
              </w:rPr>
            </w:pPr>
            <w:r w:rsidRPr="00404AD7">
              <w:t>Question 24</w:t>
            </w:r>
            <w:r w:rsidRPr="00404AD7">
              <w:rPr>
                <w:spacing w:val="60"/>
                <w:sz w:val="17"/>
              </w:rPr>
              <w:tab/>
            </w:r>
          </w:p>
        </w:tc>
        <w:tc>
          <w:tcPr>
            <w:tcW w:w="533" w:type="dxa"/>
            <w:shd w:val="clear" w:color="auto" w:fill="auto"/>
            <w:vAlign w:val="bottom"/>
          </w:tcPr>
          <w:p w14:paraId="7AB424FB" w14:textId="0ED3AA57" w:rsidR="004F1008" w:rsidRPr="00404AD7" w:rsidRDefault="004117AA" w:rsidP="001B6FC0">
            <w:pPr>
              <w:spacing w:after="120"/>
              <w:jc w:val="right"/>
            </w:pPr>
            <w:r>
              <w:t>41</w:t>
            </w:r>
          </w:p>
        </w:tc>
      </w:tr>
      <w:tr w:rsidR="004F1008" w:rsidRPr="00404AD7" w14:paraId="669202BF" w14:textId="77777777" w:rsidTr="001B6FC0">
        <w:tc>
          <w:tcPr>
            <w:tcW w:w="9369" w:type="dxa"/>
            <w:gridSpan w:val="3"/>
            <w:shd w:val="clear" w:color="auto" w:fill="auto"/>
          </w:tcPr>
          <w:p w14:paraId="1DB0829A" w14:textId="0FF485AA" w:rsidR="004F1008" w:rsidRPr="00AC48EC" w:rsidRDefault="004F1008" w:rsidP="00AC48EC">
            <w:pPr>
              <w:pStyle w:val="ListParagraph"/>
              <w:tabs>
                <w:tab w:val="right" w:pos="1080"/>
                <w:tab w:val="left" w:pos="1296"/>
                <w:tab w:val="left" w:pos="1728"/>
                <w:tab w:val="left" w:pos="2160"/>
                <w:tab w:val="left" w:pos="2592"/>
                <w:tab w:val="left" w:pos="3024"/>
                <w:tab w:val="right" w:leader="dot" w:pos="9360"/>
              </w:tabs>
              <w:spacing w:after="120"/>
              <w:ind w:left="1080"/>
              <w:rPr>
                <w:spacing w:val="60"/>
                <w:sz w:val="17"/>
              </w:rPr>
            </w:pPr>
            <w:r w:rsidRPr="00404AD7">
              <w:t>Additional information</w:t>
            </w:r>
            <w:r w:rsidR="00AC48EC">
              <w:rPr>
                <w:spacing w:val="60"/>
                <w:sz w:val="17"/>
              </w:rPr>
              <w:tab/>
            </w:r>
          </w:p>
        </w:tc>
        <w:tc>
          <w:tcPr>
            <w:tcW w:w="533" w:type="dxa"/>
            <w:shd w:val="clear" w:color="auto" w:fill="auto"/>
            <w:vAlign w:val="bottom"/>
          </w:tcPr>
          <w:p w14:paraId="178F1129" w14:textId="02D6E991" w:rsidR="004F1008" w:rsidRPr="00404AD7" w:rsidRDefault="004117AA" w:rsidP="001B6FC0">
            <w:pPr>
              <w:spacing w:after="120"/>
              <w:jc w:val="right"/>
            </w:pPr>
            <w:r>
              <w:t>41</w:t>
            </w:r>
          </w:p>
        </w:tc>
      </w:tr>
    </w:tbl>
    <w:p w14:paraId="0E6DC89A" w14:textId="15A062D5" w:rsidR="000E7108" w:rsidRPr="00404AD7" w:rsidRDefault="00C462D1" w:rsidP="000E7108">
      <w:pPr>
        <w:pStyle w:val="HChG"/>
        <w:rPr>
          <w:lang w:val="en-US"/>
        </w:rPr>
      </w:pPr>
      <w:r w:rsidRPr="00404AD7">
        <w:br w:type="page"/>
      </w:r>
      <w:bookmarkStart w:id="2" w:name="_Toc108692374"/>
      <w:r w:rsidR="000E7108" w:rsidRPr="00404AD7">
        <w:lastRenderedPageBreak/>
        <w:tab/>
      </w:r>
      <w:r w:rsidR="000E7108" w:rsidRPr="00404AD7">
        <w:tab/>
      </w:r>
      <w:r w:rsidR="000E7108" w:rsidRPr="00404AD7">
        <w:rPr>
          <w:lang w:val="en-US"/>
        </w:rPr>
        <w:t>General</w:t>
      </w:r>
      <w:bookmarkEnd w:id="2"/>
      <w:r w:rsidR="000E7108" w:rsidRPr="00404AD7">
        <w:rPr>
          <w:lang w:val="en-US"/>
        </w:rPr>
        <w:t xml:space="preserve"> </w:t>
      </w:r>
    </w:p>
    <w:p w14:paraId="24B57B43" w14:textId="77777777" w:rsidR="000E7108" w:rsidRPr="00404AD7" w:rsidRDefault="000E7108" w:rsidP="000E7108">
      <w:pPr>
        <w:pStyle w:val="H1G"/>
        <w:rPr>
          <w:lang w:val="en-US"/>
        </w:rPr>
      </w:pPr>
      <w:r w:rsidRPr="00404AD7">
        <w:rPr>
          <w:lang w:val="en-US"/>
        </w:rPr>
        <w:tab/>
      </w:r>
      <w:r w:rsidRPr="00404AD7">
        <w:rPr>
          <w:lang w:val="en-US"/>
        </w:rPr>
        <w:tab/>
      </w:r>
      <w:bookmarkStart w:id="3" w:name="_Toc108692375"/>
      <w:r w:rsidRPr="00404AD7">
        <w:rPr>
          <w:lang w:val="en-US"/>
        </w:rPr>
        <w:t>Question 1</w:t>
      </w:r>
      <w:bookmarkEnd w:id="3"/>
    </w:p>
    <w:p w14:paraId="61467F79" w14:textId="77777777" w:rsidR="000E7108" w:rsidRPr="00404AD7" w:rsidRDefault="000E7108" w:rsidP="00741578">
      <w:pPr>
        <w:pStyle w:val="SingleTxtG"/>
        <w:numPr>
          <w:ilvl w:val="0"/>
          <w:numId w:val="26"/>
        </w:numPr>
        <w:ind w:left="1134" w:firstLine="0"/>
      </w:pPr>
      <w:r w:rsidRPr="00404AD7">
        <w:t xml:space="preserve">Between 2016-2021 several tools and web applications were created and upgraded to improve the collection and analyses of data that help to measure equality between women and men. </w:t>
      </w:r>
    </w:p>
    <w:p w14:paraId="68951F65" w14:textId="7FD1640C" w:rsidR="000E7108" w:rsidRPr="00404AD7" w:rsidRDefault="000E7108" w:rsidP="000E7108">
      <w:pPr>
        <w:pStyle w:val="SingleTxtG"/>
        <w:numPr>
          <w:ilvl w:val="0"/>
          <w:numId w:val="26"/>
        </w:numPr>
        <w:ind w:left="1134" w:firstLine="0"/>
      </w:pPr>
      <w:r w:rsidRPr="00404AD7">
        <w:t xml:space="preserve">In 2019 a web application </w:t>
      </w:r>
      <w:r w:rsidR="006B00A5" w:rsidRPr="00404AD7">
        <w:t>“</w:t>
      </w:r>
      <w:r w:rsidRPr="00404AD7">
        <w:t>the Tree of Truth</w:t>
      </w:r>
      <w:r w:rsidR="006B00A5" w:rsidRPr="00404AD7">
        <w:t>”</w:t>
      </w:r>
      <w:r w:rsidRPr="00404AD7">
        <w:t xml:space="preserve"> was created by the Government Office and Statistics Estonia to make the objectives of the country</w:t>
      </w:r>
      <w:r w:rsidR="006B00A5" w:rsidRPr="00404AD7">
        <w:t>’</w:t>
      </w:r>
      <w:r w:rsidRPr="00404AD7">
        <w:t xml:space="preserve">s strategies more comprehendible to the general public, the governance more transparent and performance-based. The application shows the status of main indicators, comparing actual results on the basis of three national strategic documents: </w:t>
      </w:r>
      <w:r w:rsidR="006B00A5" w:rsidRPr="00404AD7">
        <w:t>“</w:t>
      </w:r>
      <w:r w:rsidRPr="00404AD7">
        <w:t>Sustainable Estonia 21</w:t>
      </w:r>
      <w:r w:rsidR="006B00A5" w:rsidRPr="00404AD7">
        <w:t>”</w:t>
      </w:r>
      <w:r w:rsidRPr="00404AD7">
        <w:t xml:space="preserve"> strategy, </w:t>
      </w:r>
      <w:r w:rsidR="006B00A5" w:rsidRPr="00404AD7">
        <w:t>“</w:t>
      </w:r>
      <w:r w:rsidRPr="00404AD7">
        <w:t>Estonia 2035</w:t>
      </w:r>
      <w:r w:rsidR="006B00A5" w:rsidRPr="00404AD7">
        <w:t>”</w:t>
      </w:r>
      <w:r w:rsidRPr="00404AD7">
        <w:t xml:space="preserve"> strategy and the Governmental Action Plan. The application includes indicators like Gender pay gap, Female managers, and Gender Equality Index. The application is constantly updated and available to everyone on the website of Statistics Estonia. </w:t>
      </w:r>
    </w:p>
    <w:p w14:paraId="3BE248BF" w14:textId="6C4348E4" w:rsidR="000E7108" w:rsidRPr="00404AD7" w:rsidRDefault="000E7108" w:rsidP="000E7108">
      <w:pPr>
        <w:pStyle w:val="SingleTxtG"/>
        <w:numPr>
          <w:ilvl w:val="0"/>
          <w:numId w:val="26"/>
        </w:numPr>
        <w:ind w:left="1134" w:firstLine="0"/>
      </w:pPr>
      <w:r w:rsidRPr="00404AD7">
        <w:t>The earnings application was upgraded in 2021 by Statistics Estonia together with the Commissioner for Gender Equality and Equal Treatment (the Commissioner), University of Tartu, Tallinn University of Technology, and the Social Insurance Board (SIB). The earnings application shows differences in the monthly gross earnings of full-time employees by sex, county, and occupation. As part of the application update, more occupational groups, comparison of men</w:t>
      </w:r>
      <w:r w:rsidR="006B00A5" w:rsidRPr="00404AD7">
        <w:t>’</w:t>
      </w:r>
      <w:r w:rsidRPr="00404AD7">
        <w:t>s and women</w:t>
      </w:r>
      <w:r w:rsidR="006B00A5" w:rsidRPr="00404AD7">
        <w:t>’</w:t>
      </w:r>
      <w:r w:rsidRPr="00404AD7">
        <w:t>s monthly earnings, and earnings and pension projections were added to the application, to increase the usability and usefulness of the application for comparing gender pay statistics. More information on that in section on Employment.</w:t>
      </w:r>
    </w:p>
    <w:p w14:paraId="730DA62B" w14:textId="77777777" w:rsidR="000E7108" w:rsidRPr="00404AD7" w:rsidRDefault="000E7108" w:rsidP="000E7108">
      <w:pPr>
        <w:pStyle w:val="SingleTxtG"/>
        <w:numPr>
          <w:ilvl w:val="0"/>
          <w:numId w:val="26"/>
        </w:numPr>
        <w:ind w:left="1134" w:firstLine="0"/>
      </w:pPr>
      <w:r w:rsidRPr="00404AD7">
        <w:t xml:space="preserve">In 2019 labour market application was commissioned by the Ministry of Social Affairs. The labour market application allows customised analysis of data of the Estonian Labour Force Survey. It is possible to combine employment, unemployment, inactivity, and educational indicators with different background characteristics, including gender, age, nationality, citizenship, disability, presence of children in the household etc. One can observe changes in the labour market over time and compare population groups. The analysis results can be downloaded as graphs or data tables. </w:t>
      </w:r>
    </w:p>
    <w:p w14:paraId="6DACB734" w14:textId="5EA86195" w:rsidR="000E7108" w:rsidRPr="00404AD7" w:rsidRDefault="000E7108" w:rsidP="000E7108">
      <w:pPr>
        <w:pStyle w:val="SingleTxtG"/>
        <w:numPr>
          <w:ilvl w:val="0"/>
          <w:numId w:val="26"/>
        </w:numPr>
        <w:ind w:left="1134" w:firstLine="0"/>
      </w:pPr>
      <w:r w:rsidRPr="00404AD7">
        <w:t xml:space="preserve">To support employers in analysing gender pay gap in their organisations the prototype of a tool called </w:t>
      </w:r>
      <w:r w:rsidR="006B00A5" w:rsidRPr="00404AD7">
        <w:t>“</w:t>
      </w:r>
      <w:r w:rsidRPr="00404AD7">
        <w:t>Pay Mirror</w:t>
      </w:r>
      <w:r w:rsidR="006B00A5" w:rsidRPr="00404AD7">
        <w:t>”</w:t>
      </w:r>
      <w:r w:rsidRPr="00404AD7">
        <w:t xml:space="preserve"> was developed in the framework of our gender wage gap research project REGE in cooperation with Tallinn University and Statistics Estonia. The Ministry of Social Affairs is responsible for developing this prototype further and the actual tool should be published and in use by 2024. The main aim is to make the identification and analysis of the pay gap as easy and accessible as possible for the employer, without increasing the administrative burden, and to increase employers</w:t>
      </w:r>
      <w:r w:rsidR="006B00A5" w:rsidRPr="00404AD7">
        <w:t>’</w:t>
      </w:r>
      <w:r w:rsidRPr="00404AD7">
        <w:t xml:space="preserve"> awareness about pay inequality and pay gap. More info on that in section on Employment.</w:t>
      </w:r>
    </w:p>
    <w:p w14:paraId="15FD4233" w14:textId="3363DC24" w:rsidR="000E7108" w:rsidRPr="00404AD7" w:rsidRDefault="000E7108" w:rsidP="000E7108">
      <w:pPr>
        <w:pStyle w:val="SingleTxtG"/>
        <w:numPr>
          <w:ilvl w:val="0"/>
          <w:numId w:val="26"/>
        </w:numPr>
        <w:ind w:left="1134" w:firstLine="0"/>
      </w:pPr>
      <w:r w:rsidRPr="00404AD7">
        <w:t>According to the Rules for Good Legislative Drafting and Technical Rules for Drafts of Legislative Acts, adopted in 2012, there is an obligation for every state institution to include interested parties, including citizen</w:t>
      </w:r>
      <w:r w:rsidR="006B00A5" w:rsidRPr="00404AD7">
        <w:t>’</w:t>
      </w:r>
      <w:r w:rsidRPr="00404AD7">
        <w:t xml:space="preserve">s organisations, into the discussions and decision making. This regulation is established based on subsection 27 (3) of the Government of the Republic Act. The process of involving the interest groups to the decision making is described in the Good Practice of Engagement approved by the Government. </w:t>
      </w:r>
    </w:p>
    <w:p w14:paraId="2FE15F31" w14:textId="4277A192" w:rsidR="000E7108" w:rsidRPr="00404AD7" w:rsidRDefault="000E7108" w:rsidP="000E7108">
      <w:pPr>
        <w:pStyle w:val="SingleTxtG"/>
        <w:numPr>
          <w:ilvl w:val="0"/>
          <w:numId w:val="26"/>
        </w:numPr>
        <w:ind w:left="1134" w:firstLine="0"/>
      </w:pPr>
      <w:r w:rsidRPr="00404AD7">
        <w:t>Draft of the current report was submitted for comments and proposals to the following NGOs: NGO Oma Tuba, the Estonian Women</w:t>
      </w:r>
      <w:r w:rsidR="006B00A5" w:rsidRPr="00404AD7">
        <w:t>’</w:t>
      </w:r>
      <w:r w:rsidRPr="00404AD7">
        <w:t>s Associations Roundtable, the Estonian Women</w:t>
      </w:r>
      <w:r w:rsidR="006B00A5" w:rsidRPr="00404AD7">
        <w:t>’</w:t>
      </w:r>
      <w:r w:rsidRPr="00404AD7">
        <w:t>s Shelters Union, the Estonian Human Rights Centre and the Estonian Women</w:t>
      </w:r>
      <w:r w:rsidR="006B00A5" w:rsidRPr="00404AD7">
        <w:t>’</w:t>
      </w:r>
      <w:r w:rsidRPr="00404AD7">
        <w:t>s Studies and Resource Centre.</w:t>
      </w:r>
    </w:p>
    <w:p w14:paraId="740DAB45" w14:textId="77777777" w:rsidR="000E7108" w:rsidRPr="00404AD7" w:rsidRDefault="000E7108" w:rsidP="00741578">
      <w:pPr>
        <w:pStyle w:val="SingleTxtG"/>
        <w:numPr>
          <w:ilvl w:val="0"/>
          <w:numId w:val="26"/>
        </w:numPr>
        <w:ind w:left="1134" w:right="1164" w:firstLine="0"/>
      </w:pPr>
      <w:r w:rsidRPr="00404AD7">
        <w:t xml:space="preserve">From 2019 the Ministry of Social Affairs has started strategic partnerships, which include financial support, as a form of cooperation with civil society. The calls for strategic </w:t>
      </w:r>
      <w:r w:rsidRPr="00404AD7">
        <w:lastRenderedPageBreak/>
        <w:t>partnership proposals have specific topics supporting the strategic gender equality goals defined in the Welfare Development Plan. One of the goals of the strategic partnership was to reduce the dependence of NGO funding on short-term projects and increase their economic sustainability, as well as the ability to plan their activities strategically and in the longer term.</w:t>
      </w:r>
    </w:p>
    <w:p w14:paraId="4B70796A" w14:textId="73AFEEE6" w:rsidR="000E7108" w:rsidRPr="00404AD7" w:rsidRDefault="000E7108" w:rsidP="00741578">
      <w:pPr>
        <w:pStyle w:val="SingleTxtG"/>
        <w:numPr>
          <w:ilvl w:val="0"/>
          <w:numId w:val="26"/>
        </w:numPr>
        <w:ind w:left="1134" w:right="1164" w:firstLine="0"/>
      </w:pPr>
      <w:r w:rsidRPr="00404AD7">
        <w:t>The first round of calls for strategic partnerships on gender equality took place in 2019 and resulted in two-year contracts with the Estonian Women</w:t>
      </w:r>
      <w:r w:rsidR="006B00A5" w:rsidRPr="00404AD7">
        <w:t>’</w:t>
      </w:r>
      <w:r w:rsidRPr="00404AD7">
        <w:t>s Associations Roundtable and the Estonian Women</w:t>
      </w:r>
      <w:r w:rsidR="006B00A5" w:rsidRPr="00404AD7">
        <w:t>’</w:t>
      </w:r>
      <w:r w:rsidRPr="00404AD7">
        <w:t>s Studies and Resource Centre together with NGO Oma Tuba. The second round of open calls for promotion of gender equality was announced in 2022 and resulted in three-year strategic partnership contracts with the Estonian Women</w:t>
      </w:r>
      <w:r w:rsidR="006B00A5" w:rsidRPr="00404AD7">
        <w:t>’</w:t>
      </w:r>
      <w:r w:rsidRPr="00404AD7">
        <w:t xml:space="preserve">s Studies and Resource Centre and NGO Oma Tuba (together with Praxis Centre for Policy Studies). </w:t>
      </w:r>
    </w:p>
    <w:p w14:paraId="34EEC162" w14:textId="4FF5A84A" w:rsidR="000E7108" w:rsidRPr="00404AD7" w:rsidRDefault="000E7108" w:rsidP="000E7108">
      <w:pPr>
        <w:pStyle w:val="HChG"/>
        <w:rPr>
          <w:lang w:val="en-US"/>
        </w:rPr>
      </w:pPr>
      <w:r w:rsidRPr="00404AD7">
        <w:rPr>
          <w:lang w:val="en-US"/>
        </w:rPr>
        <w:tab/>
      </w:r>
      <w:r w:rsidRPr="00404AD7">
        <w:rPr>
          <w:lang w:val="en-US"/>
        </w:rPr>
        <w:tab/>
      </w:r>
      <w:bookmarkStart w:id="4" w:name="_Toc108692376"/>
      <w:r w:rsidRPr="00404AD7">
        <w:rPr>
          <w:lang w:val="en-US"/>
        </w:rPr>
        <w:t>Women</w:t>
      </w:r>
      <w:r w:rsidR="006B00A5" w:rsidRPr="00404AD7">
        <w:rPr>
          <w:lang w:val="en-US"/>
        </w:rPr>
        <w:t>’</w:t>
      </w:r>
      <w:r w:rsidRPr="00404AD7">
        <w:rPr>
          <w:lang w:val="en-US"/>
        </w:rPr>
        <w:t>s rights and gender equality in relation to the pandemic and recovery efforts</w:t>
      </w:r>
      <w:bookmarkEnd w:id="4"/>
    </w:p>
    <w:p w14:paraId="467D9954" w14:textId="77777777" w:rsidR="000E7108" w:rsidRPr="00404AD7" w:rsidRDefault="000E7108" w:rsidP="000E7108">
      <w:pPr>
        <w:pStyle w:val="H1G"/>
        <w:rPr>
          <w:lang w:val="en-US"/>
        </w:rPr>
      </w:pPr>
      <w:r w:rsidRPr="00404AD7">
        <w:rPr>
          <w:lang w:val="en-US"/>
        </w:rPr>
        <w:tab/>
      </w:r>
      <w:r w:rsidRPr="00404AD7">
        <w:rPr>
          <w:lang w:val="en-US"/>
        </w:rPr>
        <w:tab/>
      </w:r>
      <w:bookmarkStart w:id="5" w:name="_Toc108692377"/>
      <w:r w:rsidRPr="00404AD7">
        <w:rPr>
          <w:lang w:val="en-US"/>
        </w:rPr>
        <w:t>Question 2</w:t>
      </w:r>
      <w:bookmarkEnd w:id="5"/>
    </w:p>
    <w:p w14:paraId="5B70055A" w14:textId="2A5B897C" w:rsidR="000E7108" w:rsidRPr="00404AD7" w:rsidRDefault="000E7108" w:rsidP="00741578">
      <w:pPr>
        <w:pStyle w:val="SingleTxtG"/>
        <w:numPr>
          <w:ilvl w:val="0"/>
          <w:numId w:val="26"/>
        </w:numPr>
        <w:ind w:left="1134" w:right="1173" w:firstLine="0"/>
      </w:pPr>
      <w:r w:rsidRPr="00404AD7">
        <w:t>Several measures have been taken to mitigate the effects of COVID-19 pandemic. Measures targeting social protection, labour market, and economic, fiscal and business support have varied a lot since the first wave of virus. A study on the pandemic</w:t>
      </w:r>
      <w:r w:rsidR="006B00A5" w:rsidRPr="00404AD7">
        <w:t>’</w:t>
      </w:r>
      <w:r w:rsidRPr="00404AD7">
        <w:t xml:space="preserve">s socio-economic impact on gender equality was carried out by the Praxis Centre for Policy Studies funded by Estonian Research Council. The focus group and expert interviews conducted in spring 2021 gave an indication for it to be likely that, like in many other countries, the pandemic has affected gender inequality in Estonia, primarily due to the difficulty of reconciling work and family life, which hit women harder than men. Expert interviews also indicated that although the importance of the gender perspective in the development of </w:t>
      </w:r>
      <w:r w:rsidR="006B00A5" w:rsidRPr="00404AD7">
        <w:t>“</w:t>
      </w:r>
      <w:r w:rsidRPr="00404AD7">
        <w:t>pandemic policies</w:t>
      </w:r>
      <w:r w:rsidR="006B00A5" w:rsidRPr="00404AD7">
        <w:t>”</w:t>
      </w:r>
      <w:r w:rsidRPr="00404AD7">
        <w:t xml:space="preserve"> might be recognised in principle, there is room for improvement when it comes to effectively and systematically applying gender mainstreaming principles to policymaking.</w:t>
      </w:r>
    </w:p>
    <w:p w14:paraId="738A45BA" w14:textId="2CD77E4D" w:rsidR="000E7108" w:rsidRPr="00404AD7" w:rsidRDefault="000E7108" w:rsidP="00741578">
      <w:pPr>
        <w:pStyle w:val="SingleTxtG"/>
        <w:numPr>
          <w:ilvl w:val="0"/>
          <w:numId w:val="26"/>
        </w:numPr>
        <w:ind w:left="1134" w:right="1182" w:firstLine="0"/>
      </w:pPr>
      <w:r w:rsidRPr="00404AD7">
        <w:t>During the first wave of COVID-19 the salary subsidy was paid from March-June 2020 to employees whose employer</w:t>
      </w:r>
      <w:r w:rsidR="006B00A5" w:rsidRPr="00404AD7">
        <w:t>’</w:t>
      </w:r>
      <w:r w:rsidRPr="00404AD7">
        <w:t>s activities were significantly influenced by the pandemic. The measure directly reached 17,500 institutions and 137,500 people. 50% of the employees to whom the salary subsidy was paid worked in wholesale and retail trade, repair of motor vehicles and motorcycles or accommodation and food service activities, which both are female dominated sectors. Nevertheless, according to the Praxis Centre for Policy Studies analyses, while the measure helped prevent inequalities from increasing, both the measure and the crisis itself had a greater impact on relative poverty among men.</w:t>
      </w:r>
    </w:p>
    <w:p w14:paraId="1AA1F053" w14:textId="2FBE295E" w:rsidR="000E7108" w:rsidRPr="00404AD7" w:rsidRDefault="000E7108" w:rsidP="00741578">
      <w:pPr>
        <w:pStyle w:val="SingleTxtG"/>
        <w:numPr>
          <w:ilvl w:val="0"/>
          <w:numId w:val="26"/>
        </w:numPr>
        <w:ind w:left="1134" w:right="1182" w:firstLine="0"/>
      </w:pPr>
      <w:r w:rsidRPr="00404AD7">
        <w:t>To strengthen the resilience of people to labour market shocks, it is crucial to invest in people</w:t>
      </w:r>
      <w:r w:rsidR="006B00A5" w:rsidRPr="00404AD7">
        <w:t>’</w:t>
      </w:r>
      <w:r w:rsidRPr="00404AD7">
        <w:t>s skills also during the crisis. For realising new employment possibilities, it is important to offer people possibilities for re-skilling and up-skilling, enabling them to put their knowledge, skills and competence into use to meet the needs of the changing labour market. As a specific COVID-19 pandemic related measure, from July to December 2020, in collaboration with Coursera platform, free online courses were offered to people who had lost or were at risk of losing their job due to COVID-19. Approximately 65% of those registered for the courses were women. Additional resources are planned from the React-EU and the Recovery and Resilience Facility for different labour market measures, focusing on COVID</w:t>
      </w:r>
      <w:r w:rsidR="006B00A5" w:rsidRPr="00404AD7">
        <w:noBreakHyphen/>
      </w:r>
      <w:r w:rsidRPr="00404AD7">
        <w:t>19 influence and especially for training and retraining measures.</w:t>
      </w:r>
    </w:p>
    <w:p w14:paraId="518D6E74" w14:textId="77777777" w:rsidR="000E7108" w:rsidRPr="00404AD7" w:rsidRDefault="000E7108" w:rsidP="00741578">
      <w:pPr>
        <w:pStyle w:val="SingleTxtG"/>
        <w:numPr>
          <w:ilvl w:val="0"/>
          <w:numId w:val="26"/>
        </w:numPr>
        <w:ind w:left="1134" w:right="1200" w:firstLine="0"/>
      </w:pPr>
      <w:r w:rsidRPr="00404AD7">
        <w:t xml:space="preserve">During the lock-downs due to COVID-19, the local governments were obliged to guarantee childcare for frontline workers, while it was not rare during the first wave of pandemic that other parents were strongly advised not to take children to the care or kindergarten without pressing need. During the first wave of pandemic all schools except the ones teaching students with learning disabilities were closed and distance learning was implemented. </w:t>
      </w:r>
    </w:p>
    <w:p w14:paraId="39D32ADD" w14:textId="77777777" w:rsidR="000E7108" w:rsidRPr="00404AD7" w:rsidRDefault="000E7108" w:rsidP="00741578">
      <w:pPr>
        <w:pStyle w:val="SingleTxtG"/>
        <w:numPr>
          <w:ilvl w:val="0"/>
          <w:numId w:val="26"/>
        </w:numPr>
        <w:ind w:left="1134" w:right="1218" w:firstLine="0"/>
      </w:pPr>
      <w:r w:rsidRPr="00404AD7">
        <w:lastRenderedPageBreak/>
        <w:t>The closure of educational establishments laid even greater burden on parents of children with special needs. Therefore, a temporary special allowance was made available to provide replacement income for parents who due to care responsibilities were temporarily forced to be absent from work.</w:t>
      </w:r>
    </w:p>
    <w:p w14:paraId="75202823" w14:textId="77777777" w:rsidR="000E7108" w:rsidRPr="00404AD7" w:rsidRDefault="000E7108" w:rsidP="00741578">
      <w:pPr>
        <w:pStyle w:val="SingleTxtG"/>
        <w:numPr>
          <w:ilvl w:val="0"/>
          <w:numId w:val="26"/>
        </w:numPr>
        <w:ind w:left="1134" w:right="1200" w:firstLine="0"/>
      </w:pPr>
      <w:r w:rsidRPr="00404AD7">
        <w:t>From the fall of 2020 the decisions to close schools and implement distance learning was avoided as a national level policy as much as possible and the regional or school-based decisions were favoured. The instructions for schools stressed the need to continue with contact-learning for children with learning disabilities.</w:t>
      </w:r>
    </w:p>
    <w:p w14:paraId="6DB0CE55" w14:textId="33D65800" w:rsidR="000E7108" w:rsidRPr="00404AD7" w:rsidRDefault="000E7108" w:rsidP="00741578">
      <w:pPr>
        <w:pStyle w:val="SingleTxtG"/>
        <w:numPr>
          <w:ilvl w:val="0"/>
          <w:numId w:val="26"/>
        </w:numPr>
        <w:ind w:left="1134" w:right="1245" w:firstLine="0"/>
      </w:pPr>
      <w:r w:rsidRPr="00404AD7">
        <w:t>To support more equal sharing of care burden between men and women in the long term, Estonia has implemented changes to the parental leave and benefits system. The Ministry of Social Affairs has also worked on long-term care solutions, with the aim to increase the availability of long-term care services to reduce the care burden on informal carers and through that, support women</w:t>
      </w:r>
      <w:r w:rsidR="006B00A5" w:rsidRPr="00404AD7">
        <w:t>’</w:t>
      </w:r>
      <w:r w:rsidRPr="00404AD7">
        <w:t>s reconciliation of work and care. More information on both can be found in section on Employment.</w:t>
      </w:r>
    </w:p>
    <w:p w14:paraId="32E88A64" w14:textId="77777777" w:rsidR="000E7108" w:rsidRPr="00404AD7" w:rsidRDefault="000E7108" w:rsidP="00741578">
      <w:pPr>
        <w:pStyle w:val="SingleTxtG"/>
        <w:numPr>
          <w:ilvl w:val="0"/>
          <w:numId w:val="26"/>
        </w:numPr>
        <w:ind w:left="1134" w:right="1200" w:firstLine="0"/>
      </w:pPr>
      <w:r w:rsidRPr="00404AD7">
        <w:t xml:space="preserve">From December 2021 to January 2022, the sixth Gender Equality Monitory, a representative population survey mapping gender equality related experiences and attitudes, was carried out. The survey also included questions to examine how COVID-19 related restrictions affected the sharing of unpaid work and care duties between women and men in Estonian families. According to the survey 47% of respondents did not experience any change in the distribution of chores – the share remained similar among men and women. 54% of men thought that the added chores were shared equally between partners. That view was less shared by female respondents (41%). In addition, male respondents claimed that in 11% of the households the added chores were done by their partner, according to the female respondents 31% claimed that they had carried the burden of the added chores. </w:t>
      </w:r>
    </w:p>
    <w:p w14:paraId="1E11ED61" w14:textId="2EDA776F" w:rsidR="000E7108" w:rsidRPr="00404AD7" w:rsidRDefault="000E7108" w:rsidP="00741578">
      <w:pPr>
        <w:pStyle w:val="SingleTxtG"/>
        <w:numPr>
          <w:ilvl w:val="0"/>
          <w:numId w:val="26"/>
        </w:numPr>
        <w:ind w:left="1134" w:right="1200" w:firstLine="0"/>
      </w:pPr>
      <w:r w:rsidRPr="00404AD7">
        <w:t>Unlike some other countries, there was no increase in reporting of incidents of domestic violence during the restrictions, rather a small decrease was noted at first. It is likely to be related to the fact that such reports were more difficult to make in situations where the victim and the perpetrator were in proximity due to restrictions. Also, only slightly more than 10% of such reports are made by someone other than the victim.</w:t>
      </w:r>
      <w:r w:rsidR="00711EE0">
        <w:t xml:space="preserve"> </w:t>
      </w:r>
      <w:r w:rsidR="00711EE0" w:rsidRPr="00404AD7">
        <w:t>A</w:t>
      </w:r>
      <w:r w:rsidRPr="00404AD7">
        <w:t>dditional steps were taken to guarantee support for the victims of gender based and domestic violence, as well as for the specialists working in shelters. In connection with the COVID-19 related restrictions, additional efforts were made to provide victims with help through victim support hotline and web-based solutions. Continuation of the services was a priority: shelters were supported with personal protective equipment, calls were made to witnesses to report incidents, and a helpline was opened for perpetrators.</w:t>
      </w:r>
      <w:r w:rsidR="00711EE0">
        <w:t xml:space="preserve"> </w:t>
      </w:r>
      <w:r w:rsidR="00711EE0" w:rsidRPr="00404AD7">
        <w:t>A</w:t>
      </w:r>
      <w:r w:rsidRPr="00404AD7">
        <w:t>lso, additional resources were allocated from the state budget to the financing of victim support and psychosocial crisis aid services.</w:t>
      </w:r>
    </w:p>
    <w:p w14:paraId="30CC6DEB" w14:textId="77777777" w:rsidR="000E7108" w:rsidRPr="00404AD7" w:rsidRDefault="000E7108" w:rsidP="00741578">
      <w:pPr>
        <w:pStyle w:val="SingleTxtG"/>
        <w:numPr>
          <w:ilvl w:val="0"/>
          <w:numId w:val="26"/>
        </w:numPr>
        <w:ind w:left="1134" w:right="1200" w:firstLine="0"/>
      </w:pPr>
      <w:r w:rsidRPr="00404AD7">
        <w:t>The government has made several additional contributions to the Health Insurance Fund to cover the costs incurred due to the COVID-19 pandemic (personal protective equipment, medications, increase in health workforce salary and preparedness etc). Treatment and healthcare service provision in case of COVID-19 disease are considered emergency care, and therefore, it is ensured for everyone, including women without health insurance. Emergency care provided by hospitals, family doctors and emergency ambulance are free of charge for everybody in Estonia.</w:t>
      </w:r>
    </w:p>
    <w:p w14:paraId="2DA19562" w14:textId="2D690F01" w:rsidR="000E7108" w:rsidRPr="00404AD7" w:rsidRDefault="000E7108" w:rsidP="00741578">
      <w:pPr>
        <w:pStyle w:val="SingleTxtG"/>
        <w:numPr>
          <w:ilvl w:val="0"/>
          <w:numId w:val="26"/>
        </w:numPr>
        <w:ind w:left="1134" w:right="1200" w:firstLine="0"/>
      </w:pPr>
      <w:r w:rsidRPr="00404AD7">
        <w:t>In addition, several healthcare services are provided also during COVID-19 pandemic to persons without health insurance including reproductive health counselling and prevention of sexually transmitted diseases for persons up to 26-years of age (incl.). Pregnant women and persons receiving childcare allowance (paid until the child becomes 3 years old) are automatically insured.</w:t>
      </w:r>
      <w:r w:rsidR="00711EE0">
        <w:t xml:space="preserve"> </w:t>
      </w:r>
      <w:r w:rsidR="00711EE0" w:rsidRPr="00404AD7">
        <w:t>C</w:t>
      </w:r>
      <w:r w:rsidRPr="00404AD7">
        <w:t xml:space="preserve">OVID-19 vaccination is free of charge for all persons living in Estonia and for those temporarily studying or working in Estonia. </w:t>
      </w:r>
    </w:p>
    <w:p w14:paraId="2AEC8F3E" w14:textId="77777777" w:rsidR="000E7108" w:rsidRPr="00404AD7" w:rsidRDefault="000E7108" w:rsidP="000E7108">
      <w:pPr>
        <w:pStyle w:val="HChG"/>
        <w:rPr>
          <w:lang w:val="en-US"/>
        </w:rPr>
      </w:pPr>
      <w:r w:rsidRPr="00404AD7">
        <w:rPr>
          <w:lang w:val="en-US"/>
        </w:rPr>
        <w:lastRenderedPageBreak/>
        <w:tab/>
      </w:r>
      <w:r w:rsidRPr="00404AD7">
        <w:rPr>
          <w:lang w:val="en-US"/>
        </w:rPr>
        <w:tab/>
      </w:r>
      <w:bookmarkStart w:id="6" w:name="_Toc108692378"/>
      <w:r w:rsidRPr="00404AD7">
        <w:rPr>
          <w:lang w:val="en-US"/>
        </w:rPr>
        <w:t>Legislative framework</w:t>
      </w:r>
      <w:bookmarkEnd w:id="6"/>
      <w:r w:rsidRPr="00404AD7">
        <w:rPr>
          <w:lang w:val="en-US"/>
        </w:rPr>
        <w:t xml:space="preserve"> </w:t>
      </w:r>
    </w:p>
    <w:p w14:paraId="504011AB" w14:textId="77777777" w:rsidR="000E7108" w:rsidRPr="00404AD7" w:rsidRDefault="000E7108" w:rsidP="000E7108">
      <w:pPr>
        <w:pStyle w:val="H1G"/>
        <w:rPr>
          <w:lang w:val="en-US"/>
        </w:rPr>
      </w:pPr>
      <w:r w:rsidRPr="00404AD7">
        <w:rPr>
          <w:lang w:val="en-US"/>
        </w:rPr>
        <w:tab/>
      </w:r>
      <w:r w:rsidRPr="00404AD7">
        <w:rPr>
          <w:lang w:val="en-US"/>
        </w:rPr>
        <w:tab/>
      </w:r>
      <w:bookmarkStart w:id="7" w:name="_Toc108692379"/>
      <w:r w:rsidRPr="00404AD7">
        <w:rPr>
          <w:lang w:val="en-US"/>
        </w:rPr>
        <w:t>Question 3</w:t>
      </w:r>
      <w:bookmarkEnd w:id="7"/>
    </w:p>
    <w:p w14:paraId="44F2A649" w14:textId="77777777" w:rsidR="000E7108" w:rsidRPr="00404AD7" w:rsidRDefault="000E7108" w:rsidP="00741578">
      <w:pPr>
        <w:pStyle w:val="SingleTxtG"/>
        <w:numPr>
          <w:ilvl w:val="0"/>
          <w:numId w:val="26"/>
        </w:numPr>
        <w:ind w:left="1134" w:right="1209" w:firstLine="0"/>
      </w:pPr>
      <w:r w:rsidRPr="00404AD7">
        <w:t xml:space="preserve">The planned amendments described in the follow-up of the previous report to the Gender Equality Act (GEA) which should have applied on 1 July 2020 giving the Labour Inspectorate the mandate to monitor the implementation of the equal pay requirement for women and men and the right to oblige employers to carry out equal pay audits in the public sector dropped out of the legislative proceedings for not having been adopted before the parliamentary elections of 2019. </w:t>
      </w:r>
    </w:p>
    <w:p w14:paraId="2BE21E34" w14:textId="77777777" w:rsidR="000E7108" w:rsidRPr="00404AD7" w:rsidRDefault="000E7108" w:rsidP="00741578">
      <w:pPr>
        <w:pStyle w:val="SingleTxtG"/>
        <w:numPr>
          <w:ilvl w:val="0"/>
          <w:numId w:val="26"/>
        </w:numPr>
        <w:ind w:left="1134" w:right="1200" w:firstLine="0"/>
      </w:pPr>
      <w:r w:rsidRPr="00404AD7">
        <w:t xml:space="preserve">From April 2021 Estonian Government has supported the proposed EU Pay Transparency Directive aimed at increasing pay transparency and empowering employees to enforce their right to equal pay for equal work or work of equal value between men and women through a set of binding measures on pay transparency. Amendments of the GEA are planned to be introduced in line with the transposition of the EU Pay Transparency Directive. </w:t>
      </w:r>
    </w:p>
    <w:p w14:paraId="1CAD8902" w14:textId="6FD867B7" w:rsidR="000E7108" w:rsidRPr="00404AD7" w:rsidRDefault="000E7108" w:rsidP="00741578">
      <w:pPr>
        <w:pStyle w:val="SingleTxtG"/>
        <w:numPr>
          <w:ilvl w:val="0"/>
          <w:numId w:val="26"/>
        </w:numPr>
        <w:ind w:left="1134" w:right="1182" w:firstLine="0"/>
      </w:pPr>
      <w:r w:rsidRPr="00404AD7">
        <w:t>In 2019 amendment of GEA entered into force that specified the employment agency</w:t>
      </w:r>
      <w:r w:rsidR="006B00A5" w:rsidRPr="00404AD7">
        <w:t>’</w:t>
      </w:r>
      <w:r w:rsidRPr="00404AD7">
        <w:t>s restraint enquiring the information about pregnancy, childbirth, parenting, performance of family obligations or other circumstances related to gender.</w:t>
      </w:r>
    </w:p>
    <w:p w14:paraId="486DDC94" w14:textId="672B4262" w:rsidR="000E7108" w:rsidRPr="00404AD7" w:rsidRDefault="000E7108" w:rsidP="00741578">
      <w:pPr>
        <w:pStyle w:val="SingleTxtG"/>
        <w:numPr>
          <w:ilvl w:val="0"/>
          <w:numId w:val="26"/>
        </w:numPr>
        <w:ind w:left="1134" w:right="1173" w:firstLine="0"/>
      </w:pPr>
      <w:r w:rsidRPr="00404AD7">
        <w:t>The provisions of the GEA specifying the employees right to request opportunities for reconciliation of work and family life, the duty and timeframe for employer to provide an explanation when the person</w:t>
      </w:r>
      <w:r w:rsidR="006B00A5" w:rsidRPr="00404AD7">
        <w:t>’</w:t>
      </w:r>
      <w:r w:rsidRPr="00404AD7">
        <w:t>s application has been refused or postponed and the provision of care for a person with serious medical reason as base of direct discrimination were amended on 1 April 2022.</w:t>
      </w:r>
    </w:p>
    <w:p w14:paraId="39B40537" w14:textId="77777777" w:rsidR="000E7108" w:rsidRPr="00404AD7" w:rsidRDefault="000E7108" w:rsidP="00741578">
      <w:pPr>
        <w:pStyle w:val="SingleTxtG"/>
        <w:numPr>
          <w:ilvl w:val="0"/>
          <w:numId w:val="26"/>
        </w:numPr>
        <w:ind w:left="1134" w:right="1182" w:firstLine="0"/>
      </w:pPr>
      <w:r w:rsidRPr="00404AD7">
        <w:t>More information on the efforts concerning gender mainstreaming, tackling stereotypes, gender-based violence, pay gap is described in several sections.</w:t>
      </w:r>
    </w:p>
    <w:p w14:paraId="4A38D497" w14:textId="327A540A" w:rsidR="000E7108" w:rsidRPr="00404AD7" w:rsidRDefault="000E7108" w:rsidP="00741578">
      <w:pPr>
        <w:pStyle w:val="SingleTxtG"/>
        <w:numPr>
          <w:ilvl w:val="0"/>
          <w:numId w:val="26"/>
        </w:numPr>
        <w:ind w:left="1134" w:right="1191" w:firstLine="0"/>
      </w:pPr>
      <w:r w:rsidRPr="00404AD7">
        <w:t>The number of complaints related to gender filed to the Commissioner has been higher than in the previous reporting period.</w:t>
      </w:r>
    </w:p>
    <w:p w14:paraId="3F4CE897" w14:textId="185ADAF1" w:rsidR="00C462D1" w:rsidRPr="00404AD7" w:rsidRDefault="0081260C" w:rsidP="00ED24CC">
      <w:pPr>
        <w:pStyle w:val="H23"/>
        <w:tabs>
          <w:tab w:val="left" w:pos="1080"/>
          <w:tab w:val="right" w:pos="1107"/>
          <w:tab w:val="left" w:pos="1742"/>
          <w:tab w:val="left" w:pos="2218"/>
          <w:tab w:val="left" w:pos="2693"/>
          <w:tab w:val="left" w:pos="3182"/>
          <w:tab w:val="left" w:pos="3658"/>
          <w:tab w:val="left" w:pos="4133"/>
          <w:tab w:val="left" w:pos="4622"/>
          <w:tab w:val="left" w:pos="5098"/>
          <w:tab w:val="left" w:pos="5573"/>
          <w:tab w:val="left" w:pos="6048"/>
        </w:tabs>
        <w:ind w:left="1080" w:right="1260" w:hanging="1080"/>
      </w:pPr>
      <w:r w:rsidRPr="00404AD7">
        <w:tab/>
      </w:r>
      <w:r w:rsidRPr="00404AD7">
        <w:tab/>
        <w:t>Table: The number of complaints related to gender filed to the Commissioner, 2016-2021</w:t>
      </w:r>
    </w:p>
    <w:p w14:paraId="210C9EA1" w14:textId="7C2E4FC4" w:rsidR="0081260C" w:rsidRPr="00404AD7" w:rsidRDefault="0081260C" w:rsidP="0081260C">
      <w:pPr>
        <w:pStyle w:val="SingleTxt"/>
        <w:spacing w:after="0" w:line="120" w:lineRule="exact"/>
        <w:rPr>
          <w:sz w:val="10"/>
          <w:lang w:val="en-US"/>
        </w:rPr>
      </w:pPr>
    </w:p>
    <w:p w14:paraId="17B704C5" w14:textId="6D4234DF" w:rsidR="0081260C" w:rsidRPr="00404AD7" w:rsidRDefault="0081260C" w:rsidP="0081260C">
      <w:pPr>
        <w:pStyle w:val="SingleTxt"/>
        <w:spacing w:after="0" w:line="120" w:lineRule="exact"/>
        <w:rPr>
          <w:sz w:val="10"/>
          <w:lang w:val="en-US"/>
        </w:rPr>
      </w:pPr>
    </w:p>
    <w:tbl>
      <w:tblPr>
        <w:tblStyle w:val="TableGrid"/>
        <w:tblW w:w="7533" w:type="dxa"/>
        <w:tblInd w:w="1143"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1351"/>
        <w:gridCol w:w="1228"/>
        <w:gridCol w:w="1228"/>
        <w:gridCol w:w="1229"/>
        <w:gridCol w:w="1229"/>
        <w:gridCol w:w="1268"/>
      </w:tblGrid>
      <w:tr w:rsidR="0081260C" w:rsidRPr="00404AD7" w14:paraId="163ACFA7" w14:textId="77777777" w:rsidTr="00741578">
        <w:trPr>
          <w:tblHeader/>
        </w:trPr>
        <w:tc>
          <w:tcPr>
            <w:tcW w:w="1351" w:type="dxa"/>
            <w:shd w:val="clear" w:color="auto" w:fill="auto"/>
            <w:vAlign w:val="bottom"/>
          </w:tcPr>
          <w:p w14:paraId="6DC11F4C" w14:textId="77777777" w:rsidR="0081260C" w:rsidRPr="00404AD7" w:rsidRDefault="0081260C" w:rsidP="00E53FC8">
            <w:pPr>
              <w:pStyle w:val="SingleTxtG"/>
              <w:tabs>
                <w:tab w:val="clear" w:pos="1701"/>
                <w:tab w:val="clear" w:pos="2268"/>
                <w:tab w:val="clear" w:pos="2835"/>
              </w:tabs>
              <w:suppressAutoHyphens w:val="0"/>
              <w:spacing w:before="80" w:after="80" w:line="200" w:lineRule="exact"/>
              <w:ind w:left="0" w:right="0"/>
              <w:jc w:val="left"/>
              <w:rPr>
                <w:i/>
                <w:sz w:val="16"/>
              </w:rPr>
            </w:pPr>
            <w:r w:rsidRPr="00404AD7">
              <w:rPr>
                <w:i/>
                <w:sz w:val="16"/>
              </w:rPr>
              <w:t>2016</w:t>
            </w:r>
          </w:p>
        </w:tc>
        <w:tc>
          <w:tcPr>
            <w:tcW w:w="1228" w:type="dxa"/>
            <w:shd w:val="clear" w:color="auto" w:fill="auto"/>
            <w:vAlign w:val="bottom"/>
          </w:tcPr>
          <w:p w14:paraId="24DA8C70" w14:textId="77777777" w:rsidR="0081260C" w:rsidRPr="00404AD7" w:rsidRDefault="0081260C"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2017</w:t>
            </w:r>
          </w:p>
        </w:tc>
        <w:tc>
          <w:tcPr>
            <w:tcW w:w="1228" w:type="dxa"/>
            <w:shd w:val="clear" w:color="auto" w:fill="auto"/>
            <w:vAlign w:val="bottom"/>
          </w:tcPr>
          <w:p w14:paraId="6F4A78D4" w14:textId="77777777" w:rsidR="0081260C" w:rsidRPr="00404AD7" w:rsidRDefault="0081260C"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2018</w:t>
            </w:r>
          </w:p>
        </w:tc>
        <w:tc>
          <w:tcPr>
            <w:tcW w:w="1229" w:type="dxa"/>
            <w:shd w:val="clear" w:color="auto" w:fill="auto"/>
            <w:vAlign w:val="bottom"/>
          </w:tcPr>
          <w:p w14:paraId="170A5C8C" w14:textId="77777777" w:rsidR="0081260C" w:rsidRPr="00404AD7" w:rsidRDefault="0081260C"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2019</w:t>
            </w:r>
          </w:p>
        </w:tc>
        <w:tc>
          <w:tcPr>
            <w:tcW w:w="1229" w:type="dxa"/>
            <w:shd w:val="clear" w:color="auto" w:fill="auto"/>
            <w:vAlign w:val="bottom"/>
          </w:tcPr>
          <w:p w14:paraId="038D2055" w14:textId="77777777" w:rsidR="0081260C" w:rsidRPr="00404AD7" w:rsidRDefault="0081260C"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2020</w:t>
            </w:r>
          </w:p>
        </w:tc>
        <w:tc>
          <w:tcPr>
            <w:tcW w:w="1268" w:type="dxa"/>
            <w:shd w:val="clear" w:color="auto" w:fill="auto"/>
            <w:vAlign w:val="bottom"/>
          </w:tcPr>
          <w:p w14:paraId="581E1C91" w14:textId="77777777" w:rsidR="0081260C" w:rsidRPr="00404AD7" w:rsidRDefault="0081260C"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2021</w:t>
            </w:r>
          </w:p>
        </w:tc>
      </w:tr>
      <w:tr w:rsidR="0081260C" w:rsidRPr="00404AD7" w14:paraId="6E8926B3" w14:textId="77777777" w:rsidTr="00741578">
        <w:tc>
          <w:tcPr>
            <w:tcW w:w="1351" w:type="dxa"/>
            <w:shd w:val="clear" w:color="auto" w:fill="auto"/>
          </w:tcPr>
          <w:p w14:paraId="693CFF80" w14:textId="77777777" w:rsidR="0081260C" w:rsidRPr="00404AD7" w:rsidRDefault="0081260C"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158</w:t>
            </w:r>
          </w:p>
        </w:tc>
        <w:tc>
          <w:tcPr>
            <w:tcW w:w="1228" w:type="dxa"/>
            <w:shd w:val="clear" w:color="auto" w:fill="auto"/>
            <w:vAlign w:val="bottom"/>
          </w:tcPr>
          <w:p w14:paraId="6422B66D" w14:textId="77777777" w:rsidR="0081260C" w:rsidRPr="00404AD7" w:rsidRDefault="0081260C"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213</w:t>
            </w:r>
          </w:p>
        </w:tc>
        <w:tc>
          <w:tcPr>
            <w:tcW w:w="1228" w:type="dxa"/>
            <w:shd w:val="clear" w:color="auto" w:fill="auto"/>
            <w:vAlign w:val="bottom"/>
          </w:tcPr>
          <w:p w14:paraId="22BD6724" w14:textId="77777777" w:rsidR="0081260C" w:rsidRPr="00404AD7" w:rsidRDefault="0081260C"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137</w:t>
            </w:r>
          </w:p>
        </w:tc>
        <w:tc>
          <w:tcPr>
            <w:tcW w:w="1229" w:type="dxa"/>
            <w:shd w:val="clear" w:color="auto" w:fill="auto"/>
            <w:vAlign w:val="bottom"/>
          </w:tcPr>
          <w:p w14:paraId="572A8700" w14:textId="77777777" w:rsidR="0081260C" w:rsidRPr="00404AD7" w:rsidRDefault="0081260C"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160</w:t>
            </w:r>
          </w:p>
        </w:tc>
        <w:tc>
          <w:tcPr>
            <w:tcW w:w="1229" w:type="dxa"/>
            <w:shd w:val="clear" w:color="auto" w:fill="auto"/>
            <w:vAlign w:val="bottom"/>
          </w:tcPr>
          <w:p w14:paraId="1589EA50" w14:textId="77777777" w:rsidR="0081260C" w:rsidRPr="00404AD7" w:rsidRDefault="0081260C"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135</w:t>
            </w:r>
          </w:p>
        </w:tc>
        <w:tc>
          <w:tcPr>
            <w:tcW w:w="1268" w:type="dxa"/>
            <w:shd w:val="clear" w:color="auto" w:fill="auto"/>
            <w:vAlign w:val="bottom"/>
          </w:tcPr>
          <w:p w14:paraId="66EEB456" w14:textId="77777777" w:rsidR="0081260C" w:rsidRPr="00404AD7" w:rsidRDefault="0081260C"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239</w:t>
            </w:r>
          </w:p>
        </w:tc>
      </w:tr>
    </w:tbl>
    <w:p w14:paraId="1FF3355E" w14:textId="7415D9C6" w:rsidR="0081260C" w:rsidRPr="00404AD7" w:rsidRDefault="0081260C" w:rsidP="0081260C">
      <w:pPr>
        <w:pStyle w:val="SingleTxt"/>
        <w:spacing w:after="0" w:line="120" w:lineRule="exact"/>
        <w:rPr>
          <w:sz w:val="10"/>
          <w:lang w:val="en-US"/>
        </w:rPr>
      </w:pPr>
    </w:p>
    <w:p w14:paraId="05506B42" w14:textId="07CAA432" w:rsidR="0081260C" w:rsidRPr="00404AD7" w:rsidRDefault="0081260C" w:rsidP="00ED24CC">
      <w:pPr>
        <w:pStyle w:val="FootnoteText"/>
        <w:tabs>
          <w:tab w:val="clear" w:pos="418"/>
          <w:tab w:val="left" w:pos="1548"/>
          <w:tab w:val="right" w:pos="1836"/>
          <w:tab w:val="left" w:pos="1908"/>
        </w:tabs>
        <w:ind w:left="1548" w:right="1267" w:hanging="441"/>
      </w:pPr>
      <w:r w:rsidRPr="00404AD7">
        <w:rPr>
          <w:i/>
          <w:iCs/>
        </w:rPr>
        <w:t>Source</w:t>
      </w:r>
      <w:r w:rsidRPr="00404AD7">
        <w:t>: The Commissioner for Gender Equality and Equal Treatment</w:t>
      </w:r>
    </w:p>
    <w:p w14:paraId="7D971695" w14:textId="51EBF41A" w:rsidR="00ED24CC" w:rsidRPr="00404AD7" w:rsidRDefault="00ED24CC" w:rsidP="008E42D4">
      <w:pPr>
        <w:pStyle w:val="FootnoteText"/>
        <w:tabs>
          <w:tab w:val="clear" w:pos="418"/>
          <w:tab w:val="right" w:pos="1476"/>
          <w:tab w:val="left" w:pos="1548"/>
          <w:tab w:val="right" w:pos="1836"/>
          <w:tab w:val="left" w:pos="1908"/>
        </w:tabs>
        <w:spacing w:line="120" w:lineRule="exact"/>
        <w:ind w:left="1548" w:right="1267" w:hanging="288"/>
        <w:rPr>
          <w:sz w:val="10"/>
        </w:rPr>
      </w:pPr>
    </w:p>
    <w:p w14:paraId="6400732B" w14:textId="77777777" w:rsidR="008E42D4" w:rsidRPr="00404AD7" w:rsidRDefault="008E42D4" w:rsidP="00ED24CC">
      <w:pPr>
        <w:pStyle w:val="FootnoteText"/>
        <w:tabs>
          <w:tab w:val="clear" w:pos="418"/>
          <w:tab w:val="right" w:pos="1476"/>
          <w:tab w:val="left" w:pos="1548"/>
          <w:tab w:val="right" w:pos="1836"/>
          <w:tab w:val="left" w:pos="1908"/>
        </w:tabs>
        <w:spacing w:line="120" w:lineRule="exact"/>
        <w:ind w:left="1548" w:right="1267" w:hanging="288"/>
        <w:rPr>
          <w:sz w:val="10"/>
        </w:rPr>
      </w:pPr>
    </w:p>
    <w:p w14:paraId="10A80548" w14:textId="77777777" w:rsidR="0081260C" w:rsidRPr="00404AD7" w:rsidRDefault="0081260C" w:rsidP="00741578">
      <w:pPr>
        <w:pStyle w:val="SingleTxtG"/>
        <w:numPr>
          <w:ilvl w:val="0"/>
          <w:numId w:val="26"/>
        </w:numPr>
        <w:ind w:left="1134" w:right="1200" w:firstLine="0"/>
      </w:pPr>
      <w:r w:rsidRPr="00404AD7">
        <w:t xml:space="preserve">The number of labour dispute proceedings of the Labour Disputes Committee related to unequal treatment during the reporting period was 17-25 cases per year. 2016 the number of cases related to gender was 8, after that the numbers have been lower. Most cases are related to discrimination on the basis of family obligation or harassment. On one occasion Labour Dispute Committee ruled occurrence of discrimination on the basis of equal pay and severance pay was sentenced. </w:t>
      </w:r>
    </w:p>
    <w:p w14:paraId="18DF67A9" w14:textId="77777777" w:rsidR="0081260C" w:rsidRPr="00404AD7" w:rsidRDefault="0081260C" w:rsidP="00741578">
      <w:pPr>
        <w:pStyle w:val="SingleTxtG"/>
        <w:numPr>
          <w:ilvl w:val="0"/>
          <w:numId w:val="26"/>
        </w:numPr>
        <w:ind w:left="1134" w:right="1200" w:firstLine="0"/>
      </w:pPr>
      <w:r w:rsidRPr="00404AD7">
        <w:t>The number of cases in court remains low – most of them are related to discrimination in professional life connected to maternity or family obligation. In recent years there have also been proceedings on sexual harassment in professional life.</w:t>
      </w:r>
    </w:p>
    <w:p w14:paraId="4D988354" w14:textId="77777777" w:rsidR="0081260C" w:rsidRPr="00404AD7" w:rsidRDefault="0081260C" w:rsidP="00741578">
      <w:pPr>
        <w:pStyle w:val="SingleTxtG"/>
        <w:numPr>
          <w:ilvl w:val="0"/>
          <w:numId w:val="26"/>
        </w:numPr>
        <w:ind w:left="1134" w:right="1200" w:firstLine="0"/>
      </w:pPr>
      <w:r w:rsidRPr="00404AD7">
        <w:t>In 2016, the Chancellor of Justice conducted one conciliation procedure. In 2017, the Chancellor received one application to start conciliation proceeding, which was rejected due to procedural reasons. There were no conciliation proceedings in 2018-2020.</w:t>
      </w:r>
    </w:p>
    <w:p w14:paraId="6EF30B8C" w14:textId="3F04B416" w:rsidR="0081260C" w:rsidRPr="00404AD7" w:rsidRDefault="0081260C" w:rsidP="0081260C">
      <w:pPr>
        <w:pStyle w:val="HChG"/>
        <w:rPr>
          <w:lang w:val="en-US"/>
        </w:rPr>
      </w:pPr>
      <w:r w:rsidRPr="00404AD7">
        <w:rPr>
          <w:lang w:val="en-US"/>
        </w:rPr>
        <w:lastRenderedPageBreak/>
        <w:tab/>
      </w:r>
      <w:r w:rsidRPr="00404AD7">
        <w:rPr>
          <w:lang w:val="en-US"/>
        </w:rPr>
        <w:tab/>
      </w:r>
      <w:bookmarkStart w:id="8" w:name="_Toc108692381"/>
      <w:r w:rsidRPr="00404AD7">
        <w:rPr>
          <w:lang w:val="en-US"/>
        </w:rPr>
        <w:t>Women</w:t>
      </w:r>
      <w:r w:rsidR="006B00A5" w:rsidRPr="00404AD7">
        <w:rPr>
          <w:lang w:val="en-US"/>
        </w:rPr>
        <w:t>’</w:t>
      </w:r>
      <w:r w:rsidRPr="00404AD7">
        <w:rPr>
          <w:lang w:val="en-US"/>
        </w:rPr>
        <w:t>s access to justice</w:t>
      </w:r>
      <w:bookmarkEnd w:id="8"/>
      <w:r w:rsidRPr="00404AD7">
        <w:rPr>
          <w:lang w:val="en-US"/>
        </w:rPr>
        <w:t xml:space="preserve"> </w:t>
      </w:r>
    </w:p>
    <w:p w14:paraId="7D0EF87C" w14:textId="77777777" w:rsidR="0081260C" w:rsidRPr="00404AD7" w:rsidRDefault="0081260C" w:rsidP="0081260C">
      <w:pPr>
        <w:pStyle w:val="H1G"/>
        <w:rPr>
          <w:lang w:val="en-US"/>
        </w:rPr>
      </w:pPr>
      <w:r w:rsidRPr="00404AD7">
        <w:rPr>
          <w:lang w:val="en-US"/>
        </w:rPr>
        <w:tab/>
      </w:r>
      <w:r w:rsidRPr="00404AD7">
        <w:rPr>
          <w:lang w:val="en-US"/>
        </w:rPr>
        <w:tab/>
      </w:r>
      <w:bookmarkStart w:id="9" w:name="_Toc108692382"/>
      <w:r w:rsidRPr="00404AD7">
        <w:rPr>
          <w:lang w:val="en-US"/>
        </w:rPr>
        <w:t>Question 4</w:t>
      </w:r>
      <w:bookmarkEnd w:id="9"/>
    </w:p>
    <w:p w14:paraId="425FAC5A" w14:textId="77777777" w:rsidR="0081260C" w:rsidRPr="00404AD7" w:rsidRDefault="0081260C" w:rsidP="00741578">
      <w:pPr>
        <w:pStyle w:val="SingleTxtG"/>
        <w:numPr>
          <w:ilvl w:val="0"/>
          <w:numId w:val="26"/>
        </w:numPr>
        <w:ind w:left="1134" w:right="1191" w:firstLine="0"/>
      </w:pPr>
      <w:r w:rsidRPr="00404AD7">
        <w:t>Pursuant to § 146 of the Estonian Constitution, justice shall be administered solely by the courts. Under Estonian law, the Commissioner currently does not have the right to bring a claim to court in their own name. With a view to improving the protection of GEA and Equal Treatment Act (ETA), the supervision and efficiency of the implementation of GEA and ETA including the mandate of the Commissioner is being analysed by the Ministry of Social Affairs.</w:t>
      </w:r>
    </w:p>
    <w:p w14:paraId="6B63C38C" w14:textId="77777777" w:rsidR="0081260C" w:rsidRPr="00404AD7" w:rsidRDefault="0081260C" w:rsidP="00741578">
      <w:pPr>
        <w:pStyle w:val="SingleTxtG"/>
        <w:numPr>
          <w:ilvl w:val="0"/>
          <w:numId w:val="26"/>
        </w:numPr>
        <w:ind w:left="1134" w:right="1191" w:firstLine="0"/>
        <w:rPr>
          <w:lang w:val="et-EE"/>
        </w:rPr>
      </w:pPr>
      <w:r w:rsidRPr="00404AD7">
        <w:t>Additionally, the Commissioner has assessed that, while strategic litigation has considerable potential, there are certain challenges in implementing it. One being that Estonian court system is very much directed at reaching an agreement or a settlement wherever possible (in all the levels of court). Further, the decisions of lower courts have less authoritative value in shaping court practice in Estonia. Therefore, getting a case far enough to achieve at least some of the aims of strategic litigation can become difficult. However, the Commissioner has practiced it in 2015. The Commissioner was heavily involved with 8 cases in total with varying levels of success. In 7 out of 8 cases, the Commissioner ended up achieving at least some kind of a positive outcome from equality point of view. It should also be mentioned that compromise or a settlement was involved in a few of them.</w:t>
      </w:r>
    </w:p>
    <w:p w14:paraId="6D51BD4E" w14:textId="4B9C2F1F" w:rsidR="0081260C" w:rsidRPr="00404AD7" w:rsidRDefault="0081260C" w:rsidP="00741578">
      <w:pPr>
        <w:pStyle w:val="SingleTxtG"/>
        <w:numPr>
          <w:ilvl w:val="0"/>
          <w:numId w:val="26"/>
        </w:numPr>
        <w:ind w:left="1134" w:right="1191" w:firstLine="0"/>
      </w:pPr>
      <w:r w:rsidRPr="00404AD7">
        <w:t>Under Estonian law, everyone has equal access to justice. A natural person may receive state-funded legal aid where the person is unable to pay for competent legal services due to the person</w:t>
      </w:r>
      <w:r w:rsidR="006B00A5" w:rsidRPr="00404AD7">
        <w:t>’</w:t>
      </w:r>
      <w:r w:rsidRPr="00404AD7">
        <w:t>s financial situation at the time the person needs legal aid or where the person is able to pay for legal services only partially or in instalments or where the person</w:t>
      </w:r>
      <w:r w:rsidR="006B00A5" w:rsidRPr="00404AD7">
        <w:t>’</w:t>
      </w:r>
      <w:r w:rsidRPr="00404AD7">
        <w:t xml:space="preserve">s financial situation does not allow for meeting basic subsistence needs after paying for legal services. The provision of state legal aid is regulated by the State Legal Aid Act. Pursuant to § 180 (4) of the Code of Civil Procedure, the provisions of Section 6 of the Code of Civil Procedure governing Granting State Financial Aid Towards Case Costs apply only to the extent to which the State Legal Aid Act does not provide otherwise. </w:t>
      </w:r>
    </w:p>
    <w:p w14:paraId="73D84574" w14:textId="77777777" w:rsidR="0081260C" w:rsidRPr="00404AD7" w:rsidRDefault="0081260C" w:rsidP="00741578">
      <w:pPr>
        <w:pStyle w:val="SingleTxtG"/>
        <w:numPr>
          <w:ilvl w:val="0"/>
          <w:numId w:val="26"/>
        </w:numPr>
        <w:ind w:left="1134" w:right="1191" w:firstLine="0"/>
      </w:pPr>
      <w:r w:rsidRPr="00404AD7">
        <w:t>In addition, legal counselling is provided to an Estonian resident whose average gross monthly income is up to 1,200 euros or legal advice concerning the rights of the child in family matters is provided to an Estonian resident whose average monthly gross income is up to 1,700 euros. Regardless of the income legal counselling is provided to persons with disabilities and elderly persons.</w:t>
      </w:r>
    </w:p>
    <w:p w14:paraId="4AED778A" w14:textId="77777777" w:rsidR="0081260C" w:rsidRPr="00404AD7" w:rsidRDefault="0081260C" w:rsidP="00741578">
      <w:pPr>
        <w:pStyle w:val="SingleTxtG"/>
        <w:numPr>
          <w:ilvl w:val="0"/>
          <w:numId w:val="26"/>
        </w:numPr>
        <w:ind w:left="1134" w:right="1191" w:firstLine="0"/>
      </w:pPr>
      <w:r w:rsidRPr="00404AD7">
        <w:t>Currently there are no developments to report regarding the ratification of the Optional Protocol to the Convention.</w:t>
      </w:r>
    </w:p>
    <w:p w14:paraId="130FC17A" w14:textId="77777777" w:rsidR="0081260C" w:rsidRPr="00404AD7" w:rsidRDefault="0081260C" w:rsidP="00741578">
      <w:pPr>
        <w:pStyle w:val="SingleTxtG"/>
        <w:numPr>
          <w:ilvl w:val="0"/>
          <w:numId w:val="26"/>
        </w:numPr>
        <w:ind w:left="1134" w:right="1191" w:firstLine="0"/>
      </w:pPr>
      <w:r w:rsidRPr="00404AD7">
        <w:t xml:space="preserve">In the criminal justice system, there have been improvements in both in-service and in basic training on sensitive treatment of victims, assistance to victims of domestic violence, etc. For example, in 2016, the Estonian Academy of Security Sciences developed a curriculum for a training on the sensitive treatment of victims of crime, aimed at police officers, prosecutors, judges, victim support staff and other persons who come into contact with victims in criminal proceedings. </w:t>
      </w:r>
    </w:p>
    <w:p w14:paraId="5E7E1EB7" w14:textId="49AD5DAE" w:rsidR="0081260C" w:rsidRPr="00404AD7" w:rsidRDefault="0081260C" w:rsidP="00741578">
      <w:pPr>
        <w:pStyle w:val="SingleTxtG"/>
        <w:numPr>
          <w:ilvl w:val="0"/>
          <w:numId w:val="26"/>
        </w:numPr>
        <w:ind w:left="1134" w:right="1191" w:firstLine="0"/>
      </w:pPr>
      <w:r w:rsidRPr="00404AD7">
        <w:t xml:space="preserve">From 2019 to 2021 Estonian Institute for Open Society with partners carried out a project </w:t>
      </w:r>
      <w:r w:rsidR="006B00A5" w:rsidRPr="00404AD7">
        <w:t>“</w:t>
      </w:r>
      <w:r w:rsidRPr="00404AD7">
        <w:t>Developing gender stereotype-free and efficient law enforcement system for prevention of gender-based violence</w:t>
      </w:r>
      <w:r w:rsidR="006B00A5" w:rsidRPr="00404AD7">
        <w:t>”</w:t>
      </w:r>
      <w:r w:rsidRPr="00404AD7">
        <w:t>. The central objective of the project was the development of a law enforcement culture and communication standards free of gender stereotypes which would increase the victims</w:t>
      </w:r>
      <w:r w:rsidR="006B00A5" w:rsidRPr="00404AD7">
        <w:t>’</w:t>
      </w:r>
      <w:r w:rsidRPr="00404AD7">
        <w:t xml:space="preserve"> trust in law enforcement agencies and encourage them to cooperate by training law enforcement specialists, analysing the existing regulation and making recommendations for the improvement of legislation.</w:t>
      </w:r>
    </w:p>
    <w:p w14:paraId="276D3191" w14:textId="7C583DAA" w:rsidR="0081260C" w:rsidRPr="00404AD7" w:rsidRDefault="0081260C" w:rsidP="00741578">
      <w:pPr>
        <w:pStyle w:val="SingleTxtG"/>
        <w:numPr>
          <w:ilvl w:val="0"/>
          <w:numId w:val="26"/>
        </w:numPr>
        <w:ind w:left="1134" w:right="1191" w:firstLine="0"/>
      </w:pPr>
      <w:r w:rsidRPr="00404AD7">
        <w:lastRenderedPageBreak/>
        <w:t>According to the FRA</w:t>
      </w:r>
      <w:r w:rsidR="006B00A5" w:rsidRPr="00404AD7">
        <w:t>’</w:t>
      </w:r>
      <w:r w:rsidRPr="00404AD7">
        <w:t>s Fundamental Rights Survey reporting the incidents of physical violence remained low in 2019 but at the same time the majority (80%) of those who turned to the police in Estonia were satisfied with the treatment of the police.</w:t>
      </w:r>
    </w:p>
    <w:p w14:paraId="23134E69" w14:textId="77777777" w:rsidR="0081260C" w:rsidRPr="00404AD7" w:rsidRDefault="0081260C" w:rsidP="00741578">
      <w:pPr>
        <w:pStyle w:val="HChG"/>
        <w:ind w:right="1191"/>
        <w:rPr>
          <w:lang w:val="en-US"/>
        </w:rPr>
      </w:pPr>
      <w:r w:rsidRPr="00404AD7">
        <w:rPr>
          <w:lang w:val="en-US"/>
        </w:rPr>
        <w:tab/>
      </w:r>
      <w:r w:rsidRPr="00404AD7">
        <w:rPr>
          <w:lang w:val="en-US"/>
        </w:rPr>
        <w:tab/>
      </w:r>
      <w:bookmarkStart w:id="10" w:name="_Toc108692383"/>
      <w:r w:rsidRPr="00404AD7">
        <w:rPr>
          <w:lang w:val="en-US"/>
        </w:rPr>
        <w:t>National machinery for the advancement of women</w:t>
      </w:r>
      <w:bookmarkEnd w:id="10"/>
    </w:p>
    <w:p w14:paraId="36B3D79B" w14:textId="77777777" w:rsidR="0081260C" w:rsidRPr="00404AD7" w:rsidRDefault="0081260C" w:rsidP="00741578">
      <w:pPr>
        <w:pStyle w:val="H1G"/>
        <w:ind w:right="1191"/>
        <w:rPr>
          <w:lang w:val="en-US"/>
        </w:rPr>
      </w:pPr>
      <w:r w:rsidRPr="00404AD7">
        <w:rPr>
          <w:lang w:val="en-US"/>
        </w:rPr>
        <w:tab/>
      </w:r>
      <w:r w:rsidRPr="00404AD7">
        <w:rPr>
          <w:lang w:val="en-US"/>
        </w:rPr>
        <w:tab/>
      </w:r>
      <w:bookmarkStart w:id="11" w:name="_Toc108692384"/>
      <w:r w:rsidRPr="00404AD7">
        <w:rPr>
          <w:lang w:val="en-US"/>
        </w:rPr>
        <w:t>Question 5</w:t>
      </w:r>
      <w:bookmarkEnd w:id="11"/>
    </w:p>
    <w:p w14:paraId="2C631766" w14:textId="6AA7B0F5" w:rsidR="0081260C" w:rsidRPr="00404AD7" w:rsidRDefault="0081260C" w:rsidP="00741578">
      <w:pPr>
        <w:pStyle w:val="SingleTxtG"/>
        <w:numPr>
          <w:ilvl w:val="0"/>
          <w:numId w:val="26"/>
        </w:numPr>
        <w:ind w:left="1134" w:right="1191" w:firstLine="0"/>
      </w:pPr>
      <w:r w:rsidRPr="00404AD7">
        <w:t xml:space="preserve">Strategy and policy measures to promote gender equality and equal opportunities (on other grounds) are planned through the Welfare Development Plan 2016-2023. The current </w:t>
      </w:r>
      <w:r w:rsidR="006B00A5" w:rsidRPr="00404AD7">
        <w:t>“</w:t>
      </w:r>
      <w:r w:rsidRPr="00404AD7">
        <w:t>Welfare Development Plan for 2016-2023</w:t>
      </w:r>
      <w:r w:rsidR="006B00A5" w:rsidRPr="00404AD7">
        <w:t>”</w:t>
      </w:r>
      <w:r w:rsidRPr="00404AD7">
        <w:t xml:space="preserve"> has four sub-goals, one of which is gender equality, thereby creating the first ever governmental level wide-scale strategy for gender equality. The achievement of this sub-goal is supported by other development strategies.</w:t>
      </w:r>
    </w:p>
    <w:p w14:paraId="4E4A3CD1" w14:textId="1099153C" w:rsidR="0081260C" w:rsidRPr="00404AD7" w:rsidRDefault="0081260C" w:rsidP="00741578">
      <w:pPr>
        <w:pStyle w:val="SingleTxtG"/>
        <w:numPr>
          <w:ilvl w:val="0"/>
          <w:numId w:val="26"/>
        </w:numPr>
        <w:ind w:left="1134" w:right="1191" w:firstLine="0"/>
      </w:pPr>
      <w:r w:rsidRPr="00404AD7">
        <w:t>Measures planned in the development plan and the gender equality programme vary from awareness raising to legislative initiatives, including both special measures to promote gender equality and activities that support the implementation of gender mainstreaming. To reduce gender inequality, prevent its resurgence, and achieve gender equality in different spheres of life, attention is paid to reducing gender stereotypes that cause gender inequality and their negative impact; reducing gender segregation in education and the labour market; supporting the economic independence of men and women, therein reducing the gender pay gap; achieving a gender balance on the decision-making levels of society; enhancing the protection of rights; and ensuring institutional capacity, including the analysis and management capabilities necessary for the promotion of gender equality. Implementation of the development plan and the programme is monitored through indicators.</w:t>
      </w:r>
    </w:p>
    <w:p w14:paraId="5BD04C94" w14:textId="7187D551" w:rsidR="0081260C" w:rsidRPr="00404AD7" w:rsidRDefault="00A26BF8" w:rsidP="00741578">
      <w:pPr>
        <w:pStyle w:val="H23"/>
        <w:tabs>
          <w:tab w:val="right" w:pos="1022"/>
          <w:tab w:val="left" w:pos="1116"/>
          <w:tab w:val="left" w:pos="2218"/>
          <w:tab w:val="left" w:pos="2693"/>
          <w:tab w:val="left" w:pos="3182"/>
          <w:tab w:val="left" w:pos="3658"/>
          <w:tab w:val="left" w:pos="4133"/>
          <w:tab w:val="left" w:pos="4622"/>
          <w:tab w:val="left" w:pos="5098"/>
          <w:tab w:val="left" w:pos="5573"/>
          <w:tab w:val="left" w:pos="6048"/>
        </w:tabs>
        <w:ind w:right="1191"/>
      </w:pPr>
      <w:r w:rsidRPr="00404AD7">
        <w:tab/>
      </w:r>
      <w:r w:rsidRPr="00404AD7">
        <w:tab/>
        <w:t xml:space="preserve">Table: Welfare Development Plan gender equality </w:t>
      </w:r>
      <w:proofErr w:type="spellStart"/>
      <w:r w:rsidRPr="00404AD7">
        <w:t>programme</w:t>
      </w:r>
      <w:proofErr w:type="spellEnd"/>
      <w:r w:rsidRPr="00404AD7">
        <w:t xml:space="preserve"> indicators</w:t>
      </w:r>
    </w:p>
    <w:p w14:paraId="030F6FCD" w14:textId="0240CA31" w:rsidR="00A26BF8" w:rsidRPr="00404AD7" w:rsidRDefault="00A26BF8" w:rsidP="00A26BF8">
      <w:pPr>
        <w:pStyle w:val="SingleTxt"/>
        <w:spacing w:after="0" w:line="120" w:lineRule="exact"/>
        <w:rPr>
          <w:sz w:val="10"/>
          <w:lang w:val="en-US"/>
        </w:rPr>
      </w:pPr>
    </w:p>
    <w:p w14:paraId="0A996E8E" w14:textId="3DAEED39" w:rsidR="00A26BF8" w:rsidRPr="00404AD7" w:rsidRDefault="00A26BF8" w:rsidP="00A26BF8">
      <w:pPr>
        <w:pStyle w:val="SingleTxt"/>
        <w:spacing w:after="0" w:line="120" w:lineRule="exact"/>
        <w:rPr>
          <w:sz w:val="10"/>
          <w:lang w:val="en-US"/>
        </w:rPr>
      </w:pPr>
    </w:p>
    <w:tbl>
      <w:tblPr>
        <w:tblStyle w:val="TableGrid"/>
        <w:tblW w:w="751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84"/>
        <w:gridCol w:w="1274"/>
        <w:gridCol w:w="978"/>
        <w:gridCol w:w="885"/>
        <w:gridCol w:w="1026"/>
        <w:gridCol w:w="1168"/>
      </w:tblGrid>
      <w:tr w:rsidR="00A26BF8" w:rsidRPr="00404AD7" w14:paraId="3AAE53DC" w14:textId="77777777" w:rsidTr="00ED24CC">
        <w:trPr>
          <w:tblHeader/>
        </w:trPr>
        <w:tc>
          <w:tcPr>
            <w:tcW w:w="2184" w:type="dxa"/>
            <w:tcBorders>
              <w:top w:val="single" w:sz="4" w:space="0" w:color="auto"/>
              <w:bottom w:val="single" w:sz="12" w:space="0" w:color="auto"/>
            </w:tcBorders>
            <w:shd w:val="clear" w:color="auto" w:fill="auto"/>
            <w:vAlign w:val="bottom"/>
          </w:tcPr>
          <w:p w14:paraId="09AE6C8A" w14:textId="77777777" w:rsidR="00A26BF8" w:rsidRPr="00404AD7" w:rsidRDefault="00A26BF8" w:rsidP="00E53FC8">
            <w:pPr>
              <w:spacing w:before="80" w:after="80" w:line="200" w:lineRule="exact"/>
              <w:ind w:right="113"/>
              <w:rPr>
                <w:i/>
                <w:sz w:val="16"/>
              </w:rPr>
            </w:pPr>
            <w:bookmarkStart w:id="12" w:name="_Hlk108626692"/>
            <w:r w:rsidRPr="00404AD7">
              <w:rPr>
                <w:i/>
                <w:sz w:val="16"/>
              </w:rPr>
              <w:t>Indicator</w:t>
            </w:r>
          </w:p>
        </w:tc>
        <w:tc>
          <w:tcPr>
            <w:tcW w:w="1274" w:type="dxa"/>
            <w:tcBorders>
              <w:top w:val="single" w:sz="4" w:space="0" w:color="auto"/>
              <w:bottom w:val="single" w:sz="12" w:space="0" w:color="auto"/>
            </w:tcBorders>
            <w:shd w:val="clear" w:color="auto" w:fill="auto"/>
            <w:vAlign w:val="bottom"/>
          </w:tcPr>
          <w:p w14:paraId="0386A87A" w14:textId="77777777" w:rsidR="00A26BF8" w:rsidRPr="00404AD7" w:rsidRDefault="00A26BF8" w:rsidP="00E53FC8">
            <w:pPr>
              <w:spacing w:before="80" w:after="80" w:line="200" w:lineRule="exact"/>
              <w:ind w:right="113"/>
              <w:rPr>
                <w:i/>
                <w:sz w:val="16"/>
              </w:rPr>
            </w:pPr>
            <w:r w:rsidRPr="00404AD7">
              <w:rPr>
                <w:i/>
                <w:sz w:val="16"/>
              </w:rPr>
              <w:t>Initial rate</w:t>
            </w:r>
          </w:p>
        </w:tc>
        <w:tc>
          <w:tcPr>
            <w:tcW w:w="978" w:type="dxa"/>
            <w:tcBorders>
              <w:top w:val="single" w:sz="4" w:space="0" w:color="auto"/>
              <w:bottom w:val="single" w:sz="12" w:space="0" w:color="auto"/>
            </w:tcBorders>
            <w:shd w:val="clear" w:color="auto" w:fill="auto"/>
            <w:vAlign w:val="bottom"/>
          </w:tcPr>
          <w:p w14:paraId="5FFA0897" w14:textId="77777777" w:rsidR="00A26BF8" w:rsidRPr="00404AD7" w:rsidRDefault="00A26BF8" w:rsidP="00E53FC8">
            <w:pPr>
              <w:spacing w:before="80" w:after="80" w:line="200" w:lineRule="exact"/>
              <w:ind w:right="113"/>
              <w:rPr>
                <w:i/>
                <w:sz w:val="16"/>
              </w:rPr>
            </w:pPr>
            <w:r w:rsidRPr="00404AD7">
              <w:rPr>
                <w:i/>
                <w:sz w:val="16"/>
              </w:rPr>
              <w:t>2019</w:t>
            </w:r>
          </w:p>
        </w:tc>
        <w:tc>
          <w:tcPr>
            <w:tcW w:w="885" w:type="dxa"/>
            <w:tcBorders>
              <w:top w:val="single" w:sz="4" w:space="0" w:color="auto"/>
              <w:bottom w:val="single" w:sz="12" w:space="0" w:color="auto"/>
            </w:tcBorders>
            <w:shd w:val="clear" w:color="auto" w:fill="auto"/>
            <w:vAlign w:val="bottom"/>
          </w:tcPr>
          <w:p w14:paraId="16287282" w14:textId="77777777" w:rsidR="00A26BF8" w:rsidRPr="00404AD7" w:rsidRDefault="00A26BF8" w:rsidP="00E53FC8">
            <w:pPr>
              <w:spacing w:before="80" w:after="80" w:line="200" w:lineRule="exact"/>
              <w:ind w:right="113"/>
              <w:rPr>
                <w:i/>
                <w:sz w:val="16"/>
              </w:rPr>
            </w:pPr>
            <w:r w:rsidRPr="00404AD7">
              <w:rPr>
                <w:i/>
                <w:sz w:val="16"/>
              </w:rPr>
              <w:t>2020</w:t>
            </w:r>
          </w:p>
        </w:tc>
        <w:tc>
          <w:tcPr>
            <w:tcW w:w="1026" w:type="dxa"/>
            <w:tcBorders>
              <w:top w:val="single" w:sz="4" w:space="0" w:color="auto"/>
              <w:bottom w:val="single" w:sz="12" w:space="0" w:color="auto"/>
            </w:tcBorders>
            <w:shd w:val="clear" w:color="auto" w:fill="auto"/>
            <w:vAlign w:val="bottom"/>
          </w:tcPr>
          <w:p w14:paraId="28BD9D0D" w14:textId="77777777" w:rsidR="00A26BF8" w:rsidRPr="00404AD7" w:rsidRDefault="00A26BF8" w:rsidP="00E53FC8">
            <w:pPr>
              <w:spacing w:before="80" w:after="80" w:line="200" w:lineRule="exact"/>
              <w:ind w:right="113"/>
              <w:rPr>
                <w:i/>
                <w:sz w:val="16"/>
              </w:rPr>
            </w:pPr>
            <w:r w:rsidRPr="00404AD7">
              <w:rPr>
                <w:i/>
                <w:sz w:val="16"/>
              </w:rPr>
              <w:t>2021</w:t>
            </w:r>
          </w:p>
        </w:tc>
        <w:tc>
          <w:tcPr>
            <w:tcW w:w="1168" w:type="dxa"/>
            <w:tcBorders>
              <w:top w:val="single" w:sz="4" w:space="0" w:color="auto"/>
              <w:bottom w:val="single" w:sz="12" w:space="0" w:color="auto"/>
            </w:tcBorders>
            <w:shd w:val="clear" w:color="auto" w:fill="auto"/>
            <w:vAlign w:val="bottom"/>
          </w:tcPr>
          <w:p w14:paraId="0D3EBB91" w14:textId="77777777" w:rsidR="00A26BF8" w:rsidRPr="00404AD7" w:rsidRDefault="00A26BF8" w:rsidP="00E53FC8">
            <w:pPr>
              <w:spacing w:before="80" w:after="80" w:line="200" w:lineRule="exact"/>
              <w:ind w:right="113"/>
              <w:rPr>
                <w:i/>
                <w:sz w:val="16"/>
              </w:rPr>
            </w:pPr>
            <w:r w:rsidRPr="00404AD7">
              <w:rPr>
                <w:i/>
                <w:sz w:val="16"/>
              </w:rPr>
              <w:t>Reference level 2023</w:t>
            </w:r>
          </w:p>
        </w:tc>
      </w:tr>
      <w:tr w:rsidR="00A26BF8" w:rsidRPr="00404AD7" w14:paraId="6FE51823" w14:textId="77777777" w:rsidTr="00ED24CC">
        <w:trPr>
          <w:trHeight w:hRule="exact" w:val="113"/>
        </w:trPr>
        <w:tc>
          <w:tcPr>
            <w:tcW w:w="2184" w:type="dxa"/>
            <w:tcBorders>
              <w:top w:val="single" w:sz="12" w:space="0" w:color="auto"/>
            </w:tcBorders>
            <w:shd w:val="clear" w:color="auto" w:fill="auto"/>
          </w:tcPr>
          <w:p w14:paraId="4CD402E0" w14:textId="77777777" w:rsidR="00A26BF8" w:rsidRPr="00404AD7" w:rsidRDefault="00A26BF8" w:rsidP="00E53FC8">
            <w:pPr>
              <w:spacing w:before="40" w:after="120"/>
              <w:ind w:right="113"/>
            </w:pPr>
          </w:p>
        </w:tc>
        <w:tc>
          <w:tcPr>
            <w:tcW w:w="1274" w:type="dxa"/>
            <w:tcBorders>
              <w:top w:val="single" w:sz="12" w:space="0" w:color="auto"/>
            </w:tcBorders>
            <w:shd w:val="clear" w:color="auto" w:fill="auto"/>
          </w:tcPr>
          <w:p w14:paraId="7C7F310D" w14:textId="77777777" w:rsidR="00A26BF8" w:rsidRPr="00404AD7" w:rsidRDefault="00A26BF8" w:rsidP="00E53FC8">
            <w:pPr>
              <w:spacing w:before="40" w:after="120"/>
              <w:ind w:right="113"/>
            </w:pPr>
          </w:p>
        </w:tc>
        <w:tc>
          <w:tcPr>
            <w:tcW w:w="978" w:type="dxa"/>
            <w:tcBorders>
              <w:top w:val="single" w:sz="12" w:space="0" w:color="auto"/>
            </w:tcBorders>
            <w:shd w:val="clear" w:color="auto" w:fill="auto"/>
          </w:tcPr>
          <w:p w14:paraId="3689AC38" w14:textId="77777777" w:rsidR="00A26BF8" w:rsidRPr="00404AD7" w:rsidRDefault="00A26BF8" w:rsidP="00E53FC8">
            <w:pPr>
              <w:spacing w:before="40" w:after="120"/>
              <w:ind w:right="113"/>
            </w:pPr>
          </w:p>
        </w:tc>
        <w:tc>
          <w:tcPr>
            <w:tcW w:w="885" w:type="dxa"/>
            <w:tcBorders>
              <w:top w:val="single" w:sz="12" w:space="0" w:color="auto"/>
            </w:tcBorders>
            <w:shd w:val="clear" w:color="auto" w:fill="auto"/>
          </w:tcPr>
          <w:p w14:paraId="5AA0BAC8" w14:textId="77777777" w:rsidR="00A26BF8" w:rsidRPr="00404AD7" w:rsidRDefault="00A26BF8" w:rsidP="00E53FC8">
            <w:pPr>
              <w:spacing w:before="40" w:after="120"/>
              <w:ind w:right="113"/>
            </w:pPr>
          </w:p>
        </w:tc>
        <w:tc>
          <w:tcPr>
            <w:tcW w:w="1026" w:type="dxa"/>
            <w:tcBorders>
              <w:top w:val="single" w:sz="12" w:space="0" w:color="auto"/>
            </w:tcBorders>
            <w:shd w:val="clear" w:color="auto" w:fill="auto"/>
          </w:tcPr>
          <w:p w14:paraId="632A6DB6" w14:textId="77777777" w:rsidR="00A26BF8" w:rsidRPr="00404AD7" w:rsidRDefault="00A26BF8" w:rsidP="00E53FC8">
            <w:pPr>
              <w:spacing w:before="40" w:after="120"/>
              <w:ind w:right="113"/>
            </w:pPr>
          </w:p>
        </w:tc>
        <w:tc>
          <w:tcPr>
            <w:tcW w:w="1168" w:type="dxa"/>
            <w:tcBorders>
              <w:top w:val="single" w:sz="12" w:space="0" w:color="auto"/>
            </w:tcBorders>
            <w:shd w:val="clear" w:color="auto" w:fill="auto"/>
          </w:tcPr>
          <w:p w14:paraId="6DBFBDE6" w14:textId="77777777" w:rsidR="00A26BF8" w:rsidRPr="00404AD7" w:rsidRDefault="00A26BF8" w:rsidP="00E53FC8">
            <w:pPr>
              <w:spacing w:before="40" w:after="120"/>
              <w:ind w:right="113"/>
            </w:pPr>
          </w:p>
        </w:tc>
      </w:tr>
      <w:tr w:rsidR="00A26BF8" w:rsidRPr="00404AD7" w14:paraId="0B9393D7" w14:textId="77777777" w:rsidTr="00ED24CC">
        <w:tc>
          <w:tcPr>
            <w:tcW w:w="2184" w:type="dxa"/>
            <w:shd w:val="clear" w:color="auto" w:fill="auto"/>
          </w:tcPr>
          <w:p w14:paraId="42DBF305" w14:textId="77777777" w:rsidR="00A26BF8" w:rsidRPr="00404AD7" w:rsidRDefault="00A26BF8" w:rsidP="00E53FC8">
            <w:pPr>
              <w:spacing w:before="40" w:after="120"/>
              <w:ind w:right="113"/>
            </w:pPr>
            <w:r w:rsidRPr="00404AD7">
              <w:t>The number of women who received a degree (ISCED 5–6) in mathematics, science, and technology per one thousand women aged 20–29* (source: Statistics Estonia)</w:t>
            </w:r>
          </w:p>
        </w:tc>
        <w:tc>
          <w:tcPr>
            <w:tcW w:w="1274" w:type="dxa"/>
            <w:shd w:val="clear" w:color="auto" w:fill="auto"/>
          </w:tcPr>
          <w:p w14:paraId="0B06EDD9" w14:textId="77777777" w:rsidR="00A26BF8" w:rsidRPr="00404AD7" w:rsidRDefault="00A26BF8" w:rsidP="00E53FC8">
            <w:pPr>
              <w:spacing w:before="40" w:after="120"/>
              <w:ind w:right="113"/>
            </w:pPr>
            <w:r w:rsidRPr="00404AD7">
              <w:t>14,1</w:t>
            </w:r>
          </w:p>
          <w:p w14:paraId="23DF47F2" w14:textId="77777777" w:rsidR="00A26BF8" w:rsidRPr="00404AD7" w:rsidRDefault="00A26BF8" w:rsidP="00E53FC8">
            <w:pPr>
              <w:spacing w:before="40" w:after="120"/>
              <w:ind w:right="113"/>
            </w:pPr>
            <w:r w:rsidRPr="00404AD7">
              <w:t>(2018/2019)</w:t>
            </w:r>
          </w:p>
        </w:tc>
        <w:tc>
          <w:tcPr>
            <w:tcW w:w="978" w:type="dxa"/>
            <w:shd w:val="clear" w:color="auto" w:fill="auto"/>
          </w:tcPr>
          <w:p w14:paraId="47D7C589" w14:textId="77777777" w:rsidR="00A26BF8" w:rsidRPr="00404AD7" w:rsidRDefault="00A26BF8" w:rsidP="00E53FC8">
            <w:pPr>
              <w:spacing w:before="40" w:after="120"/>
              <w:ind w:right="113"/>
            </w:pPr>
            <w:r w:rsidRPr="00404AD7">
              <w:t>14,2</w:t>
            </w:r>
          </w:p>
        </w:tc>
        <w:tc>
          <w:tcPr>
            <w:tcW w:w="885" w:type="dxa"/>
            <w:shd w:val="clear" w:color="auto" w:fill="auto"/>
          </w:tcPr>
          <w:p w14:paraId="3BC20292" w14:textId="77777777" w:rsidR="00A26BF8" w:rsidRPr="00404AD7" w:rsidRDefault="00A26BF8" w:rsidP="00E53FC8">
            <w:pPr>
              <w:spacing w:before="40" w:after="120"/>
              <w:ind w:right="113"/>
            </w:pPr>
            <w:r w:rsidRPr="00404AD7">
              <w:t>15,2</w:t>
            </w:r>
          </w:p>
        </w:tc>
        <w:tc>
          <w:tcPr>
            <w:tcW w:w="1026" w:type="dxa"/>
            <w:shd w:val="clear" w:color="auto" w:fill="auto"/>
          </w:tcPr>
          <w:p w14:paraId="1CE960CD" w14:textId="77777777" w:rsidR="00A26BF8" w:rsidRPr="00404AD7" w:rsidRDefault="00A26BF8" w:rsidP="00E53FC8">
            <w:pPr>
              <w:spacing w:before="40" w:after="120"/>
              <w:ind w:right="113"/>
            </w:pPr>
            <w:r w:rsidRPr="00404AD7">
              <w:t>-</w:t>
            </w:r>
          </w:p>
        </w:tc>
        <w:tc>
          <w:tcPr>
            <w:tcW w:w="1168" w:type="dxa"/>
            <w:shd w:val="clear" w:color="auto" w:fill="auto"/>
          </w:tcPr>
          <w:p w14:paraId="40335012" w14:textId="77777777" w:rsidR="00A26BF8" w:rsidRPr="00404AD7" w:rsidRDefault="00A26BF8" w:rsidP="00E53FC8">
            <w:pPr>
              <w:spacing w:before="40" w:after="120"/>
              <w:ind w:right="113"/>
            </w:pPr>
            <w:r w:rsidRPr="00404AD7">
              <w:t>14,8</w:t>
            </w:r>
          </w:p>
        </w:tc>
      </w:tr>
      <w:tr w:rsidR="00A26BF8" w:rsidRPr="00404AD7" w14:paraId="26D2EF22" w14:textId="77777777" w:rsidTr="00ED24CC">
        <w:tc>
          <w:tcPr>
            <w:tcW w:w="2184" w:type="dxa"/>
            <w:shd w:val="clear" w:color="auto" w:fill="auto"/>
          </w:tcPr>
          <w:p w14:paraId="379B55A7" w14:textId="77777777" w:rsidR="00A26BF8" w:rsidRPr="00404AD7" w:rsidRDefault="00A26BF8" w:rsidP="00E53FC8">
            <w:pPr>
              <w:spacing w:before="40" w:after="120"/>
              <w:ind w:right="113"/>
            </w:pPr>
            <w:r w:rsidRPr="00404AD7">
              <w:t>Proportion of residents who consider the gender pay gap to be a big or a major problem, % (source: Gender Equality Monitory)</w:t>
            </w:r>
          </w:p>
        </w:tc>
        <w:tc>
          <w:tcPr>
            <w:tcW w:w="1274" w:type="dxa"/>
            <w:shd w:val="clear" w:color="auto" w:fill="auto"/>
          </w:tcPr>
          <w:p w14:paraId="5D31CA7F" w14:textId="77777777" w:rsidR="00A26BF8" w:rsidRPr="00404AD7" w:rsidRDefault="00A26BF8" w:rsidP="00E53FC8">
            <w:pPr>
              <w:spacing w:before="40" w:after="120"/>
              <w:ind w:right="113"/>
            </w:pPr>
            <w:r w:rsidRPr="00404AD7">
              <w:t>64% (2016)</w:t>
            </w:r>
          </w:p>
        </w:tc>
        <w:tc>
          <w:tcPr>
            <w:tcW w:w="978" w:type="dxa"/>
            <w:shd w:val="clear" w:color="auto" w:fill="auto"/>
          </w:tcPr>
          <w:p w14:paraId="5A325A61" w14:textId="77777777" w:rsidR="00A26BF8" w:rsidRPr="00404AD7" w:rsidRDefault="00A26BF8" w:rsidP="00E53FC8">
            <w:pPr>
              <w:spacing w:before="40" w:after="120"/>
              <w:ind w:right="113"/>
            </w:pPr>
            <w:r w:rsidRPr="00404AD7">
              <w:t>-</w:t>
            </w:r>
          </w:p>
        </w:tc>
        <w:tc>
          <w:tcPr>
            <w:tcW w:w="885" w:type="dxa"/>
            <w:shd w:val="clear" w:color="auto" w:fill="auto"/>
          </w:tcPr>
          <w:p w14:paraId="58C218D3" w14:textId="77777777" w:rsidR="00A26BF8" w:rsidRPr="00404AD7" w:rsidRDefault="00A26BF8" w:rsidP="00E53FC8">
            <w:pPr>
              <w:spacing w:before="40" w:after="120"/>
              <w:ind w:right="113"/>
            </w:pPr>
            <w:r w:rsidRPr="00404AD7">
              <w:t>-</w:t>
            </w:r>
          </w:p>
        </w:tc>
        <w:tc>
          <w:tcPr>
            <w:tcW w:w="1026" w:type="dxa"/>
            <w:shd w:val="clear" w:color="auto" w:fill="auto"/>
          </w:tcPr>
          <w:p w14:paraId="293F2B79" w14:textId="77777777" w:rsidR="00A26BF8" w:rsidRPr="00404AD7" w:rsidRDefault="00A26BF8" w:rsidP="00E53FC8">
            <w:pPr>
              <w:spacing w:before="40" w:after="120"/>
              <w:ind w:right="113"/>
            </w:pPr>
            <w:r w:rsidRPr="00404AD7">
              <w:t>54% (reference was 74%)</w:t>
            </w:r>
          </w:p>
        </w:tc>
        <w:tc>
          <w:tcPr>
            <w:tcW w:w="1168" w:type="dxa"/>
            <w:shd w:val="clear" w:color="auto" w:fill="auto"/>
          </w:tcPr>
          <w:p w14:paraId="77738C1B" w14:textId="77777777" w:rsidR="00A26BF8" w:rsidRPr="00404AD7" w:rsidRDefault="00A26BF8" w:rsidP="00E53FC8">
            <w:pPr>
              <w:spacing w:before="40" w:after="120"/>
              <w:ind w:right="113"/>
            </w:pPr>
            <w:r w:rsidRPr="00404AD7">
              <w:t>-</w:t>
            </w:r>
          </w:p>
        </w:tc>
      </w:tr>
      <w:tr w:rsidR="00A26BF8" w:rsidRPr="00404AD7" w14:paraId="6C53AE86" w14:textId="77777777" w:rsidTr="00ED24CC">
        <w:tc>
          <w:tcPr>
            <w:tcW w:w="2184" w:type="dxa"/>
            <w:tcBorders>
              <w:bottom w:val="single" w:sz="12" w:space="0" w:color="auto"/>
            </w:tcBorders>
            <w:shd w:val="clear" w:color="auto" w:fill="auto"/>
          </w:tcPr>
          <w:p w14:paraId="052CA0A1" w14:textId="77777777" w:rsidR="00A26BF8" w:rsidRPr="00404AD7" w:rsidRDefault="00A26BF8" w:rsidP="00E53FC8">
            <w:pPr>
              <w:spacing w:before="40" w:after="120"/>
              <w:ind w:right="113"/>
            </w:pPr>
            <w:r w:rsidRPr="00404AD7">
              <w:t>Gender equality index (source: EIGE)</w:t>
            </w:r>
          </w:p>
        </w:tc>
        <w:tc>
          <w:tcPr>
            <w:tcW w:w="1274" w:type="dxa"/>
            <w:tcBorders>
              <w:bottom w:val="single" w:sz="12" w:space="0" w:color="auto"/>
            </w:tcBorders>
            <w:shd w:val="clear" w:color="auto" w:fill="auto"/>
          </w:tcPr>
          <w:p w14:paraId="1C1AF996" w14:textId="77777777" w:rsidR="00A26BF8" w:rsidRPr="00404AD7" w:rsidRDefault="00A26BF8" w:rsidP="00E53FC8">
            <w:pPr>
              <w:spacing w:before="40" w:after="120"/>
              <w:ind w:right="113"/>
            </w:pPr>
            <w:r w:rsidRPr="00404AD7">
              <w:t>59,8 (</w:t>
            </w:r>
            <w:proofErr w:type="gramStart"/>
            <w:r w:rsidRPr="00404AD7">
              <w:t>2019)*</w:t>
            </w:r>
            <w:proofErr w:type="gramEnd"/>
            <w:r w:rsidRPr="00404AD7">
              <w:t>*</w:t>
            </w:r>
          </w:p>
        </w:tc>
        <w:tc>
          <w:tcPr>
            <w:tcW w:w="978" w:type="dxa"/>
            <w:tcBorders>
              <w:bottom w:val="single" w:sz="12" w:space="0" w:color="auto"/>
            </w:tcBorders>
            <w:shd w:val="clear" w:color="auto" w:fill="auto"/>
          </w:tcPr>
          <w:p w14:paraId="51E5B2B4" w14:textId="77777777" w:rsidR="00A26BF8" w:rsidRPr="00404AD7" w:rsidRDefault="00A26BF8" w:rsidP="00E53FC8">
            <w:pPr>
              <w:spacing w:before="40" w:after="120"/>
              <w:ind w:right="113"/>
            </w:pPr>
            <w:r w:rsidRPr="00404AD7">
              <w:t>59,8</w:t>
            </w:r>
          </w:p>
        </w:tc>
        <w:tc>
          <w:tcPr>
            <w:tcW w:w="885" w:type="dxa"/>
            <w:tcBorders>
              <w:bottom w:val="single" w:sz="12" w:space="0" w:color="auto"/>
            </w:tcBorders>
            <w:shd w:val="clear" w:color="auto" w:fill="auto"/>
          </w:tcPr>
          <w:p w14:paraId="74057A9B" w14:textId="77777777" w:rsidR="00A26BF8" w:rsidRPr="00404AD7" w:rsidRDefault="00A26BF8" w:rsidP="00E53FC8">
            <w:pPr>
              <w:spacing w:before="40" w:after="120"/>
              <w:ind w:right="113"/>
            </w:pPr>
            <w:r w:rsidRPr="00404AD7">
              <w:t>60,7</w:t>
            </w:r>
          </w:p>
        </w:tc>
        <w:tc>
          <w:tcPr>
            <w:tcW w:w="1026" w:type="dxa"/>
            <w:tcBorders>
              <w:bottom w:val="single" w:sz="12" w:space="0" w:color="auto"/>
            </w:tcBorders>
            <w:shd w:val="clear" w:color="auto" w:fill="auto"/>
          </w:tcPr>
          <w:p w14:paraId="113D76A3" w14:textId="77777777" w:rsidR="00A26BF8" w:rsidRPr="00404AD7" w:rsidRDefault="00A26BF8" w:rsidP="00E53FC8">
            <w:pPr>
              <w:spacing w:before="40" w:after="120"/>
              <w:ind w:right="113"/>
            </w:pPr>
            <w:r w:rsidRPr="00404AD7">
              <w:t>61,6</w:t>
            </w:r>
          </w:p>
        </w:tc>
        <w:tc>
          <w:tcPr>
            <w:tcW w:w="1168" w:type="dxa"/>
            <w:tcBorders>
              <w:bottom w:val="single" w:sz="12" w:space="0" w:color="auto"/>
            </w:tcBorders>
            <w:shd w:val="clear" w:color="auto" w:fill="auto"/>
          </w:tcPr>
          <w:p w14:paraId="7DFCF519" w14:textId="77777777" w:rsidR="00A26BF8" w:rsidRPr="00404AD7" w:rsidRDefault="00A26BF8" w:rsidP="00E53FC8">
            <w:pPr>
              <w:spacing w:before="40" w:after="120"/>
              <w:ind w:right="113"/>
            </w:pPr>
            <w:r w:rsidRPr="00404AD7">
              <w:t>63,3</w:t>
            </w:r>
          </w:p>
        </w:tc>
      </w:tr>
      <w:bookmarkEnd w:id="12"/>
    </w:tbl>
    <w:p w14:paraId="0102BB3A" w14:textId="4D9EBB70" w:rsidR="00A26BF8" w:rsidRPr="00404AD7" w:rsidRDefault="00A26BF8" w:rsidP="00A26BF8">
      <w:pPr>
        <w:pStyle w:val="SingleTxt"/>
        <w:spacing w:after="0" w:line="120" w:lineRule="exact"/>
        <w:rPr>
          <w:sz w:val="10"/>
          <w:lang w:val="en-US"/>
        </w:rPr>
      </w:pPr>
    </w:p>
    <w:p w14:paraId="18C4261B" w14:textId="543C4F80" w:rsidR="00A26BF8" w:rsidRPr="00404AD7" w:rsidRDefault="00A26BF8" w:rsidP="00A26BF8">
      <w:pPr>
        <w:pStyle w:val="Footer"/>
        <w:ind w:left="1134" w:right="1134"/>
        <w:rPr>
          <w:b w:val="0"/>
          <w:bCs/>
          <w:i/>
          <w:iCs/>
        </w:rPr>
      </w:pPr>
      <w:r w:rsidRPr="00404AD7">
        <w:rPr>
          <w:i/>
          <w:iCs/>
        </w:rPr>
        <w:tab/>
      </w:r>
      <w:r w:rsidRPr="00404AD7">
        <w:rPr>
          <w:b w:val="0"/>
          <w:bCs/>
          <w:i/>
          <w:iCs/>
        </w:rPr>
        <w:t>* The indicator compares the number of women who completed tertiary education in public or private educational institutions in the observed academic year, i.e. those who completed the curriculum at the first and subsequent levels of higher education (ISCED 2011 levels 6-8) with the average annual population of women of the respective age.</w:t>
      </w:r>
    </w:p>
    <w:p w14:paraId="5D8988C2" w14:textId="344F8A72" w:rsidR="00A26BF8" w:rsidRPr="00404AD7" w:rsidRDefault="00A26BF8" w:rsidP="00893327">
      <w:pPr>
        <w:pStyle w:val="Footer"/>
        <w:ind w:left="1134" w:right="1134"/>
        <w:rPr>
          <w:b w:val="0"/>
          <w:bCs/>
          <w:i/>
          <w:iCs/>
        </w:rPr>
      </w:pPr>
      <w:r w:rsidRPr="00404AD7">
        <w:rPr>
          <w:b w:val="0"/>
          <w:bCs/>
          <w:i/>
          <w:iCs/>
        </w:rPr>
        <w:t>** Gender Equality Index indicator published in 2019, which is mainly based on date from 2017, following indicators follow the same pattern.</w:t>
      </w:r>
    </w:p>
    <w:p w14:paraId="7F8E4BDC" w14:textId="30C8D879" w:rsidR="00A26BF8" w:rsidRPr="00404AD7" w:rsidRDefault="00A26BF8" w:rsidP="00741578">
      <w:pPr>
        <w:pStyle w:val="SingleTxtG"/>
        <w:numPr>
          <w:ilvl w:val="0"/>
          <w:numId w:val="26"/>
        </w:numPr>
        <w:ind w:left="1134" w:right="1191" w:firstLine="0"/>
      </w:pPr>
      <w:r w:rsidRPr="00404AD7">
        <w:lastRenderedPageBreak/>
        <w:t xml:space="preserve">The strategy </w:t>
      </w:r>
      <w:r w:rsidR="006B00A5" w:rsidRPr="00404AD7">
        <w:t>“</w:t>
      </w:r>
      <w:r w:rsidRPr="00404AD7">
        <w:t>Estonia 2035</w:t>
      </w:r>
      <w:r w:rsidR="006B00A5" w:rsidRPr="00404AD7">
        <w:t>”</w:t>
      </w:r>
      <w:r w:rsidRPr="00404AD7">
        <w:t xml:space="preserve"> (approved by the Parliament in 2021) sets five long-term goals that are based on the base principles. The goals were agreed upon at discussions that took place across Estonia over a period of two years and based on opinion gathering (almost 17,000 people have contributed). Strategic goals are value-based goals that are the basis for making the country</w:t>
      </w:r>
      <w:r w:rsidR="006B00A5" w:rsidRPr="00404AD7">
        <w:t>’</w:t>
      </w:r>
      <w:r w:rsidRPr="00404AD7">
        <w:t xml:space="preserve">s strategic choices and to the implementation of which all Estonian strategic development documents contribute. They are also </w:t>
      </w:r>
      <w:proofErr w:type="gramStart"/>
      <w:r w:rsidRPr="00404AD7">
        <w:t>taken into account</w:t>
      </w:r>
      <w:proofErr w:type="gramEnd"/>
      <w:r w:rsidRPr="00404AD7">
        <w:t xml:space="preserve"> in the state budget strategy and in the preparation of the government</w:t>
      </w:r>
      <w:r w:rsidR="006B00A5" w:rsidRPr="00404AD7">
        <w:t>’</w:t>
      </w:r>
      <w:r w:rsidRPr="00404AD7">
        <w:t xml:space="preserve">s action programme. One of the base principles is </w:t>
      </w:r>
      <w:r w:rsidR="006B00A5" w:rsidRPr="00404AD7">
        <w:t>‘</w:t>
      </w:r>
      <w:r w:rsidRPr="00404AD7">
        <w:t>Everyone must have equal opportunities for self-fulfilment and participation in society, regardless of their individual characteristics and needs, belonging to different social groups, their socio-economic capacity, or place of residence</w:t>
      </w:r>
      <w:r w:rsidR="006B00A5" w:rsidRPr="00404AD7">
        <w:t>’</w:t>
      </w:r>
      <w:r w:rsidRPr="00404AD7">
        <w:t>. The base principles are monitored by 9 indicators one being the gender equality index.</w:t>
      </w:r>
    </w:p>
    <w:p w14:paraId="110131A8" w14:textId="77777777" w:rsidR="00A26BF8" w:rsidRPr="00404AD7" w:rsidRDefault="00A26BF8" w:rsidP="00741578">
      <w:pPr>
        <w:pStyle w:val="SingleTxtG"/>
        <w:numPr>
          <w:ilvl w:val="0"/>
          <w:numId w:val="26"/>
        </w:numPr>
        <w:ind w:left="1134" w:right="1191" w:firstLine="0"/>
      </w:pPr>
      <w:r w:rsidRPr="00404AD7">
        <w:t>The new Welfare Development Plan 2023-2030 will be proposed to the government by the end of 2022. The strategy will have five sub-goals, one being gender equality and equal opportunities.</w:t>
      </w:r>
    </w:p>
    <w:p w14:paraId="75DAC1E2" w14:textId="77777777" w:rsidR="00A26BF8" w:rsidRPr="00404AD7" w:rsidRDefault="00A26BF8" w:rsidP="00741578">
      <w:pPr>
        <w:pStyle w:val="SingleTxtG"/>
        <w:numPr>
          <w:ilvl w:val="0"/>
          <w:numId w:val="26"/>
        </w:numPr>
        <w:ind w:left="1134" w:right="1191" w:firstLine="0"/>
      </w:pPr>
      <w:r w:rsidRPr="00404AD7">
        <w:t xml:space="preserve">In order to improve implementation of gender mainstreaming, i.e. that gender, age, special needs and other aspects would be </w:t>
      </w:r>
      <w:proofErr w:type="gramStart"/>
      <w:r w:rsidRPr="00404AD7">
        <w:t>taken into account</w:t>
      </w:r>
      <w:proofErr w:type="gramEnd"/>
      <w:r w:rsidRPr="00404AD7">
        <w:t xml:space="preserve"> in policy-making, in 2021-2022, the Ministry of Social Affairs is implementing a pilot project together with other ministries. The aim of the project is to find the most efficient (both resource and result-wise) and sustainable solution for co-ordinating, supporting and implementing gender mainstreaming in national policy-making. Results of this project will be presented, together with further policy and practice proposals, to the Government in 2023. Similar project on the municipal level is planned to take place in Ida-</w:t>
      </w:r>
      <w:proofErr w:type="spellStart"/>
      <w:r w:rsidRPr="00404AD7">
        <w:t>Viru</w:t>
      </w:r>
      <w:proofErr w:type="spellEnd"/>
      <w:r w:rsidRPr="00404AD7">
        <w:t xml:space="preserve"> region. The project also aims to improve guidance materials and tools for municipalities in other regions. </w:t>
      </w:r>
    </w:p>
    <w:p w14:paraId="644D02B8" w14:textId="77777777" w:rsidR="00A26BF8" w:rsidRPr="00404AD7" w:rsidRDefault="00A26BF8" w:rsidP="00741578">
      <w:pPr>
        <w:pStyle w:val="SingleTxtG"/>
        <w:numPr>
          <w:ilvl w:val="0"/>
          <w:numId w:val="26"/>
        </w:numPr>
        <w:ind w:left="1134" w:right="1191" w:firstLine="0"/>
      </w:pPr>
      <w:r w:rsidRPr="00404AD7">
        <w:t>Gender Equality and Equal Treatment Competence Centre for the use of the Cohesion Policy Funding continues to provide knowledge-based, effective, and motivating support for promoting gender equality and equal opportunities, to implementers of projects financed from the European Structural and Investment Funds. There are currently 3 staff members working for the competence centre.</w:t>
      </w:r>
    </w:p>
    <w:p w14:paraId="796E445A" w14:textId="77777777" w:rsidR="00A26BF8" w:rsidRPr="00404AD7" w:rsidRDefault="00A26BF8" w:rsidP="00741578">
      <w:pPr>
        <w:pStyle w:val="H1G"/>
        <w:ind w:right="1191"/>
        <w:rPr>
          <w:lang w:val="en-US"/>
        </w:rPr>
      </w:pPr>
      <w:r w:rsidRPr="00404AD7">
        <w:rPr>
          <w:lang w:val="en-US"/>
        </w:rPr>
        <w:tab/>
      </w:r>
      <w:r w:rsidRPr="00404AD7">
        <w:rPr>
          <w:lang w:val="en-US"/>
        </w:rPr>
        <w:tab/>
      </w:r>
      <w:bookmarkStart w:id="13" w:name="_Toc108692386"/>
      <w:r w:rsidRPr="00404AD7">
        <w:rPr>
          <w:lang w:val="en-US"/>
        </w:rPr>
        <w:t>Question 6</w:t>
      </w:r>
      <w:bookmarkEnd w:id="13"/>
    </w:p>
    <w:p w14:paraId="16412609" w14:textId="4B2312EE" w:rsidR="00A26BF8" w:rsidRPr="00404AD7" w:rsidRDefault="00A26BF8" w:rsidP="00741578">
      <w:pPr>
        <w:pStyle w:val="SingleTxtG"/>
        <w:numPr>
          <w:ilvl w:val="0"/>
          <w:numId w:val="26"/>
        </w:numPr>
        <w:ind w:left="1134" w:right="1191" w:firstLine="0"/>
      </w:pPr>
      <w:r w:rsidRPr="00404AD7">
        <w:t xml:space="preserve">The Commissioner is responsible for the use of funding allocated to the Office from the state budget and is entitled to apply for additional funding from e.g. relevant EU programmes. </w:t>
      </w:r>
      <w:bookmarkStart w:id="14" w:name="_Hlk105085015"/>
      <w:r w:rsidRPr="00404AD7">
        <w:t>Funding allocated to the Commissioner from the state budget is increasing yearly, being 506,969 in 2020, 507,458 in 2021, 509,870 in 2022, and 514,369 euros for 2023. However, the Commissioner has applied and received funding for various projects, widening its activities and increasing the budget. For example, with additional funds, the Commissioners</w:t>
      </w:r>
      <w:r w:rsidR="006B00A5" w:rsidRPr="00404AD7">
        <w:t>’</w:t>
      </w:r>
      <w:r w:rsidRPr="00404AD7">
        <w:t xml:space="preserve"> budget for 2020 was 791,822 euros and for 2021 902,492 euros. </w:t>
      </w:r>
    </w:p>
    <w:bookmarkEnd w:id="14"/>
    <w:p w14:paraId="5C5CEC21" w14:textId="048F81C3" w:rsidR="00A26BF8" w:rsidRPr="00404AD7" w:rsidRDefault="00A26BF8" w:rsidP="00741578">
      <w:pPr>
        <w:pStyle w:val="SingleTxtG"/>
        <w:numPr>
          <w:ilvl w:val="0"/>
          <w:numId w:val="26"/>
        </w:numPr>
        <w:ind w:left="1134" w:right="1191" w:firstLine="0"/>
      </w:pPr>
      <w:r w:rsidRPr="00404AD7">
        <w:t>There are currently 9 staff members working in the Commissioner</w:t>
      </w:r>
      <w:r w:rsidR="006B00A5" w:rsidRPr="00404AD7">
        <w:t>’</w:t>
      </w:r>
      <w:r w:rsidRPr="00404AD7">
        <w:t xml:space="preserve">s the office. </w:t>
      </w:r>
    </w:p>
    <w:p w14:paraId="73DB850D" w14:textId="77777777" w:rsidR="00A26BF8" w:rsidRPr="00404AD7" w:rsidRDefault="00A26BF8" w:rsidP="00741578">
      <w:pPr>
        <w:pStyle w:val="SingleTxtG"/>
        <w:numPr>
          <w:ilvl w:val="0"/>
          <w:numId w:val="26"/>
        </w:numPr>
        <w:ind w:left="1134" w:right="1191" w:firstLine="0"/>
      </w:pPr>
      <w:r w:rsidRPr="00404AD7">
        <w:t xml:space="preserve">According to the ETA § 15, the Commissioner is an independent and impartial expert who acts independently, monitors compliance with the requirements of ETA and GEA and performs other functions imposed by law. </w:t>
      </w:r>
    </w:p>
    <w:p w14:paraId="478C4679" w14:textId="6ED0AA9A" w:rsidR="00A26BF8" w:rsidRPr="00404AD7" w:rsidRDefault="00A26BF8" w:rsidP="00741578">
      <w:pPr>
        <w:pStyle w:val="SingleTxtG"/>
        <w:numPr>
          <w:ilvl w:val="0"/>
          <w:numId w:val="26"/>
        </w:numPr>
        <w:ind w:left="1134" w:right="1191" w:firstLine="0"/>
      </w:pPr>
      <w:r w:rsidRPr="00404AD7">
        <w:t>The competition for the office is conducted by the minister responsible for the area. The Commissioner is appointed to the office by the minister responsible for the area for five years. This is preceded by an impartial procedure of selection. Possible scenarios for enhancing the mandate and independence of the Commissioner</w:t>
      </w:r>
      <w:r w:rsidR="006B00A5" w:rsidRPr="00404AD7">
        <w:t>’</w:t>
      </w:r>
      <w:r w:rsidRPr="00404AD7">
        <w:t>s institution among other aspects are currently being analysed as mentioned above in section on women</w:t>
      </w:r>
      <w:r w:rsidR="006B00A5" w:rsidRPr="00404AD7">
        <w:t>’</w:t>
      </w:r>
      <w:r w:rsidRPr="00404AD7">
        <w:t>s access to justice.</w:t>
      </w:r>
    </w:p>
    <w:p w14:paraId="6B786872" w14:textId="77777777" w:rsidR="00A26BF8" w:rsidRPr="00404AD7" w:rsidRDefault="00A26BF8" w:rsidP="00741578">
      <w:pPr>
        <w:pStyle w:val="SingleTxtG"/>
        <w:numPr>
          <w:ilvl w:val="0"/>
          <w:numId w:val="26"/>
        </w:numPr>
        <w:ind w:left="1134" w:right="1191" w:firstLine="0"/>
      </w:pPr>
      <w:r w:rsidRPr="00404AD7">
        <w:t xml:space="preserve">In 2022 the staff of the Department of Equality Policies in the Ministry of Social Affairs consists of 14 positions, 3 of whom are working for the Equality Competence </w:t>
      </w:r>
      <w:proofErr w:type="spellStart"/>
      <w:r w:rsidRPr="00404AD7">
        <w:t>Center</w:t>
      </w:r>
      <w:proofErr w:type="spellEnd"/>
      <w:r w:rsidRPr="00404AD7">
        <w:t xml:space="preserve"> of the European Union Cohesion Policy Funds and 1 for implementation of Norway Grants programme. The department is responsible for promoting gender equality and promoting equal </w:t>
      </w:r>
      <w:r w:rsidRPr="00404AD7">
        <w:lastRenderedPageBreak/>
        <w:t>treatment on other grounds, including promotion of accessibility. The department also coordinates activities to decrease violence against women, including trafficking in women.</w:t>
      </w:r>
    </w:p>
    <w:p w14:paraId="054BCB1D" w14:textId="77777777" w:rsidR="00A26BF8" w:rsidRPr="00404AD7" w:rsidRDefault="00A26BF8" w:rsidP="00741578">
      <w:pPr>
        <w:pStyle w:val="SingleTxtG"/>
        <w:numPr>
          <w:ilvl w:val="0"/>
          <w:numId w:val="26"/>
        </w:numPr>
        <w:ind w:left="1134" w:right="1191" w:firstLine="0"/>
      </w:pPr>
      <w:r w:rsidRPr="00404AD7">
        <w:t xml:space="preserve">Funding allocated to the Department of Equality Policies in the Ministry of Social Affairs to gender equality policy formulation and implementation was 338,682 euros in 2020, 503,845 euros in 2021, 915,513 euros in 2022 and will be 865,643 euros in 2023 (does not include the funding for the Competence </w:t>
      </w:r>
      <w:proofErr w:type="spellStart"/>
      <w:r w:rsidRPr="00404AD7">
        <w:t>Center</w:t>
      </w:r>
      <w:proofErr w:type="spellEnd"/>
      <w:r w:rsidRPr="00404AD7">
        <w:t>).</w:t>
      </w:r>
    </w:p>
    <w:p w14:paraId="47BBC803" w14:textId="77777777" w:rsidR="00A26BF8" w:rsidRPr="00404AD7" w:rsidRDefault="00A26BF8" w:rsidP="00741578">
      <w:pPr>
        <w:pStyle w:val="SingleTxtG"/>
        <w:numPr>
          <w:ilvl w:val="0"/>
          <w:numId w:val="26"/>
        </w:numPr>
        <w:ind w:left="1134" w:right="1191" w:firstLine="0"/>
      </w:pPr>
      <w:r w:rsidRPr="00404AD7">
        <w:t>During the reporting period the work format of an inter-ministerial gender mainstreaming working group was piloted in 2017. The work format did not perform and was replaced by targeted meetings and trainings. Some trainings were carried out during the reporting period, but a systematic approach needs to be developed. Therefore, the pilot project to create a coordination model is being carried out (more information on the project in section on National Machinery for the Advancement of Women). Furthermore, a project funded by Norway Grants is being carried out, aimed at developing a virtual gender equality competence centre where a wide range of information, including data, studies, training material, study programmes for stakeholders, including employers, teachers, and policy makers, will be made available. By the end of 2022 online training module for policy makers to increase their knowledge of gender mainstreaming will be developed.</w:t>
      </w:r>
    </w:p>
    <w:p w14:paraId="09F508F0" w14:textId="32EB561D" w:rsidR="00A26BF8" w:rsidRPr="00404AD7" w:rsidRDefault="00A26BF8" w:rsidP="00741578">
      <w:pPr>
        <w:pStyle w:val="SingleTxtG"/>
        <w:numPr>
          <w:ilvl w:val="0"/>
          <w:numId w:val="26"/>
        </w:numPr>
        <w:ind w:left="1134" w:right="1191" w:firstLine="0"/>
      </w:pPr>
      <w:r w:rsidRPr="00404AD7">
        <w:t xml:space="preserve">Upon planning, implementation and assessment of national, regional, and institutional strategies, policies and action plans authorities must </w:t>
      </w:r>
      <w:proofErr w:type="gramStart"/>
      <w:r w:rsidRPr="00404AD7">
        <w:t>take into account</w:t>
      </w:r>
      <w:proofErr w:type="gramEnd"/>
      <w:r w:rsidRPr="00404AD7">
        <w:t xml:space="preserve"> the different needs and social status of women and men and consider how the measures will affect the situation of gender groups in society. In 2012, the Government of the Republic approved an impact assessment methodology, the purpose of which is to provide guidance to government agencies in conducting impact analyses to improve and harmonise the capacity of government agencies to plan, implement and evaluate government policies. The methodology was updated in 2021. According to the Rules for Good Legislative Practice and Legislative Drafting the legislation</w:t>
      </w:r>
      <w:r w:rsidR="006B00A5" w:rsidRPr="00404AD7">
        <w:t>’</w:t>
      </w:r>
      <w:r w:rsidRPr="00404AD7">
        <w:t xml:space="preserve">s impact to </w:t>
      </w:r>
      <w:r w:rsidR="006B00A5" w:rsidRPr="00404AD7">
        <w:t>“</w:t>
      </w:r>
      <w:r w:rsidRPr="00404AD7">
        <w:t>social, including demographic</w:t>
      </w:r>
      <w:r w:rsidR="006B00A5" w:rsidRPr="00404AD7">
        <w:t>”</w:t>
      </w:r>
      <w:r w:rsidRPr="00404AD7">
        <w:t xml:space="preserve"> that includes gender impact must be assessed. Since 2020 there is also an obligation to carry out impact assessment for the proposal of a development plan and the plan itself.</w:t>
      </w:r>
    </w:p>
    <w:p w14:paraId="18649D9B" w14:textId="77777777" w:rsidR="00A26BF8" w:rsidRPr="00404AD7" w:rsidRDefault="00A26BF8" w:rsidP="00741578">
      <w:pPr>
        <w:pStyle w:val="SingleTxtG"/>
        <w:numPr>
          <w:ilvl w:val="0"/>
          <w:numId w:val="26"/>
        </w:numPr>
        <w:ind w:left="1134" w:right="1191" w:firstLine="0"/>
      </w:pPr>
      <w:r w:rsidRPr="00404AD7">
        <w:t>In 2020 the state adopted Performance-Based Budgeting (official name Activity-Based Budgeting in Estonia), which aims to achieve more effective and efficient implementation of public functions, higher quality of public services, reduction of general government expenditure and staff costs, and more flexible and less bureaucratic management of the government sector. Therefore, the budgeting is based on programs which must be drafted according to the governmental decree on impact assessment method.</w:t>
      </w:r>
    </w:p>
    <w:p w14:paraId="66FF028C" w14:textId="77777777" w:rsidR="00A26BF8" w:rsidRPr="00404AD7" w:rsidRDefault="00A26BF8" w:rsidP="00741578">
      <w:pPr>
        <w:pStyle w:val="SingleTxtG"/>
        <w:numPr>
          <w:ilvl w:val="0"/>
          <w:numId w:val="26"/>
        </w:numPr>
        <w:ind w:left="1134" w:right="1191" w:firstLine="0"/>
      </w:pPr>
      <w:r w:rsidRPr="00404AD7">
        <w:t>In order to provide additional support for the policymakers and –implementers, a competence centre for gender mainstreaming and complying with the principle of equal treatment in the use of the EU Structural and Investment Funds was created in 2015. One of the main tasks of the centre is to provide feedback and counselling in the process of preparing conditions for granting support from the ESI Funds and to carry out surveys to analyse the outcomes of gender mainstreaming and equal opportunities activities at project level. The centre has also created a variety of information materials, including thematic factsheets and guidelines for implementing agencies, intermediate bodies, and users of the funds, and organised trainings to support their efforts. In addition, it co-ordinates the work of an equal opportunities network to support a practical co-operation in promoting gender equality and equal opportunities on other grounds in the use of ESI Funds.</w:t>
      </w:r>
    </w:p>
    <w:p w14:paraId="60119A63" w14:textId="77777777" w:rsidR="00A26BF8" w:rsidRPr="00404AD7" w:rsidRDefault="00A26BF8" w:rsidP="00741578">
      <w:pPr>
        <w:pStyle w:val="HChG"/>
        <w:ind w:right="1191"/>
        <w:rPr>
          <w:lang w:val="en-US"/>
        </w:rPr>
      </w:pPr>
      <w:r w:rsidRPr="00404AD7">
        <w:rPr>
          <w:lang w:val="en-US"/>
        </w:rPr>
        <w:lastRenderedPageBreak/>
        <w:tab/>
      </w:r>
      <w:r w:rsidRPr="00404AD7">
        <w:rPr>
          <w:lang w:val="en-US"/>
        </w:rPr>
        <w:tab/>
      </w:r>
      <w:bookmarkStart w:id="15" w:name="_Toc108692387"/>
      <w:r w:rsidRPr="00404AD7">
        <w:rPr>
          <w:lang w:val="en-US"/>
        </w:rPr>
        <w:t>Temporary special measures</w:t>
      </w:r>
      <w:bookmarkEnd w:id="15"/>
      <w:r w:rsidRPr="00404AD7">
        <w:rPr>
          <w:lang w:val="en-US"/>
        </w:rPr>
        <w:t xml:space="preserve"> </w:t>
      </w:r>
    </w:p>
    <w:p w14:paraId="1E5CA687" w14:textId="77777777" w:rsidR="00A26BF8" w:rsidRPr="00404AD7" w:rsidRDefault="00A26BF8" w:rsidP="00741578">
      <w:pPr>
        <w:pStyle w:val="H1G"/>
        <w:ind w:right="1191"/>
        <w:rPr>
          <w:lang w:val="en-US"/>
        </w:rPr>
      </w:pPr>
      <w:r w:rsidRPr="00404AD7">
        <w:rPr>
          <w:lang w:val="en-US"/>
        </w:rPr>
        <w:tab/>
      </w:r>
      <w:r w:rsidRPr="00404AD7">
        <w:rPr>
          <w:lang w:val="en-US"/>
        </w:rPr>
        <w:tab/>
      </w:r>
      <w:bookmarkStart w:id="16" w:name="_Toc108692388"/>
      <w:r w:rsidRPr="00404AD7">
        <w:rPr>
          <w:lang w:val="en-US"/>
        </w:rPr>
        <w:t>Question 7</w:t>
      </w:r>
      <w:bookmarkEnd w:id="16"/>
    </w:p>
    <w:p w14:paraId="636D455C" w14:textId="5F5E97D1" w:rsidR="00A26BF8" w:rsidRPr="00404AD7" w:rsidRDefault="00A26BF8" w:rsidP="00741578">
      <w:pPr>
        <w:pStyle w:val="SingleTxtG"/>
        <w:numPr>
          <w:ilvl w:val="0"/>
          <w:numId w:val="26"/>
        </w:numPr>
        <w:ind w:left="1134" w:right="1191" w:firstLine="0"/>
      </w:pPr>
      <w:r w:rsidRPr="00404AD7">
        <w:t>During the reporting period no national temporary special measures were implemented nor were there any national campaigns on the promotion of the understanding and importance of temporary special measures. In 2017 there was a discussion held in the Constitutional Committee of the Parliament about draft act of striped electoral lists and proposal to increase the women</w:t>
      </w:r>
      <w:r w:rsidR="006B00A5" w:rsidRPr="00404AD7">
        <w:t>’</w:t>
      </w:r>
      <w:r w:rsidRPr="00404AD7">
        <w:t>s representation on the boards of state-owned enterprises. However, neither of the proposals received support.</w:t>
      </w:r>
    </w:p>
    <w:p w14:paraId="720ABCBA" w14:textId="77777777" w:rsidR="00A26BF8" w:rsidRPr="00404AD7" w:rsidRDefault="00A26BF8" w:rsidP="00741578">
      <w:pPr>
        <w:pStyle w:val="SingleTxtG"/>
        <w:numPr>
          <w:ilvl w:val="0"/>
          <w:numId w:val="26"/>
        </w:numPr>
        <w:ind w:left="1134" w:right="1191" w:firstLine="0"/>
      </w:pPr>
      <w:r w:rsidRPr="00404AD7">
        <w:t xml:space="preserve">The discussions about temporary special measures were held during the project Nudging Women to Power by think tank Praxis (for more on that see section on </w:t>
      </w:r>
      <w:r w:rsidRPr="00404AD7">
        <w:rPr>
          <w:lang w:val="en-US"/>
        </w:rPr>
        <w:t>P</w:t>
      </w:r>
      <w:proofErr w:type="spellStart"/>
      <w:r w:rsidRPr="00404AD7">
        <w:t>articipation</w:t>
      </w:r>
      <w:proofErr w:type="spellEnd"/>
      <w:r w:rsidRPr="00404AD7">
        <w:t xml:space="preserve"> in Political and Public Life).</w:t>
      </w:r>
    </w:p>
    <w:p w14:paraId="20F71166" w14:textId="77777777" w:rsidR="00A26BF8" w:rsidRPr="00404AD7" w:rsidRDefault="00A26BF8" w:rsidP="00741578">
      <w:pPr>
        <w:pStyle w:val="HChG"/>
        <w:ind w:right="1191"/>
        <w:rPr>
          <w:lang w:val="en-US"/>
        </w:rPr>
      </w:pPr>
      <w:r w:rsidRPr="00404AD7">
        <w:rPr>
          <w:lang w:val="en-US"/>
        </w:rPr>
        <w:tab/>
      </w:r>
      <w:r w:rsidRPr="00404AD7">
        <w:rPr>
          <w:lang w:val="en-US"/>
        </w:rPr>
        <w:tab/>
      </w:r>
      <w:bookmarkStart w:id="17" w:name="_Toc108692389"/>
      <w:r w:rsidRPr="00404AD7">
        <w:rPr>
          <w:lang w:val="en-US"/>
        </w:rPr>
        <w:t>Stereotypes and harmful practices</w:t>
      </w:r>
      <w:bookmarkEnd w:id="17"/>
      <w:r w:rsidRPr="00404AD7">
        <w:rPr>
          <w:lang w:val="en-US"/>
        </w:rPr>
        <w:t xml:space="preserve"> </w:t>
      </w:r>
    </w:p>
    <w:p w14:paraId="41634A33" w14:textId="77777777" w:rsidR="00A26BF8" w:rsidRPr="00404AD7" w:rsidRDefault="00A26BF8" w:rsidP="00741578">
      <w:pPr>
        <w:pStyle w:val="H1G"/>
        <w:ind w:right="1191"/>
        <w:rPr>
          <w:lang w:val="en-US"/>
        </w:rPr>
      </w:pPr>
      <w:r w:rsidRPr="00404AD7">
        <w:rPr>
          <w:lang w:val="en-US"/>
        </w:rPr>
        <w:tab/>
      </w:r>
      <w:r w:rsidRPr="00404AD7">
        <w:rPr>
          <w:lang w:val="en-US"/>
        </w:rPr>
        <w:tab/>
      </w:r>
      <w:bookmarkStart w:id="18" w:name="_Toc108692390"/>
      <w:r w:rsidRPr="00404AD7">
        <w:rPr>
          <w:lang w:val="en-US"/>
        </w:rPr>
        <w:t>Question 8</w:t>
      </w:r>
      <w:bookmarkEnd w:id="18"/>
    </w:p>
    <w:p w14:paraId="19225FB2" w14:textId="684EBF43" w:rsidR="00A26BF8" w:rsidRPr="00404AD7" w:rsidRDefault="00A26BF8" w:rsidP="00741578">
      <w:pPr>
        <w:pStyle w:val="SingleTxtG"/>
        <w:numPr>
          <w:ilvl w:val="0"/>
          <w:numId w:val="26"/>
        </w:numPr>
        <w:ind w:left="1134" w:right="1191" w:firstLine="0"/>
      </w:pPr>
      <w:r w:rsidRPr="00404AD7">
        <w:t>From 2017-2019 the Commissioner</w:t>
      </w:r>
      <w:r w:rsidR="006B00A5" w:rsidRPr="00404AD7">
        <w:t>’</w:t>
      </w:r>
      <w:r w:rsidRPr="00404AD7">
        <w:t xml:space="preserve">s Office together with Estonian Public Broadcasting, Tallinn University, SA </w:t>
      </w:r>
      <w:proofErr w:type="spellStart"/>
      <w:r w:rsidRPr="00404AD7">
        <w:t>Innove</w:t>
      </w:r>
      <w:proofErr w:type="spellEnd"/>
      <w:r w:rsidRPr="00404AD7">
        <w:t xml:space="preserve">, Estonian Ministry of Education and Research, Office of the Equal Opportunities Ombudsperson of Lithuania and the Centre for Gender Equality in Iceland carried out cross-media project </w:t>
      </w:r>
      <w:proofErr w:type="gramStart"/>
      <w:r w:rsidRPr="00404AD7">
        <w:t>BREAK!.</w:t>
      </w:r>
      <w:proofErr w:type="gramEnd"/>
      <w:r w:rsidRPr="00404AD7">
        <w:t xml:space="preserve"> The project was mainly funded by the European Commission. The aim of the BREAK! cross-media project was to influence the audience in the direction of open-mindedness regarding gender role stereotypes - to empower (young) people and help them overcome stereotype-based barriers concerning occupational choices. During the project TV series </w:t>
      </w:r>
      <w:r w:rsidR="006B00A5" w:rsidRPr="00404AD7">
        <w:t>“</w:t>
      </w:r>
      <w:proofErr w:type="spellStart"/>
      <w:r w:rsidRPr="00404AD7">
        <w:t>Miks</w:t>
      </w:r>
      <w:proofErr w:type="spellEnd"/>
      <w:r w:rsidRPr="00404AD7">
        <w:t xml:space="preserve"> Mitte?!</w:t>
      </w:r>
      <w:r w:rsidR="006B00A5" w:rsidRPr="00404AD7">
        <w:t>”</w:t>
      </w:r>
      <w:r w:rsidRPr="00404AD7">
        <w:t xml:space="preserve"> (Why not?!) and radio shows, which aired on Estonian Public Broadcasting channels, were produced and a photo exhibition was created. Also, study materials for teachers were created and trainings for teachers and career counsellors took place.</w:t>
      </w:r>
    </w:p>
    <w:p w14:paraId="56BDE8FC" w14:textId="63C730B6" w:rsidR="00A26BF8" w:rsidRPr="00404AD7" w:rsidRDefault="00A26BF8" w:rsidP="00741578">
      <w:pPr>
        <w:pStyle w:val="SingleTxtG"/>
        <w:numPr>
          <w:ilvl w:val="0"/>
          <w:numId w:val="26"/>
        </w:numPr>
        <w:ind w:left="1134" w:right="1191" w:firstLine="0"/>
      </w:pPr>
      <w:r w:rsidRPr="00404AD7">
        <w:t>In 2020-2022 the Commissioner</w:t>
      </w:r>
      <w:r w:rsidR="006B00A5" w:rsidRPr="00404AD7">
        <w:t>’</w:t>
      </w:r>
      <w:r w:rsidRPr="00404AD7">
        <w:t xml:space="preserve">s Office in Estonia coordinated and implemented a project </w:t>
      </w:r>
      <w:r w:rsidR="006B00A5" w:rsidRPr="00404AD7">
        <w:t>‘</w:t>
      </w:r>
      <w:r w:rsidRPr="00404AD7">
        <w:t>Towards gender equality through increased capabilities for work-life balance</w:t>
      </w:r>
      <w:r w:rsidR="006B00A5" w:rsidRPr="00404AD7">
        <w:t>’</w:t>
      </w:r>
      <w:r w:rsidRPr="00404AD7">
        <w:t>. The project is co-financed by the European Commission. The aim of the project was to promote gender equality and increase the capacity of women and men to balance their work-life by developing several innovative and interactive tools. These tools help to increase equality by improving everyday practical skills, changing attitudes, and reducing gender stereotypes.</w:t>
      </w:r>
    </w:p>
    <w:p w14:paraId="4E9FE3A9" w14:textId="77777777" w:rsidR="00A26BF8" w:rsidRPr="00404AD7" w:rsidRDefault="00A26BF8" w:rsidP="00741578">
      <w:pPr>
        <w:pStyle w:val="SingleTxtG"/>
        <w:numPr>
          <w:ilvl w:val="0"/>
          <w:numId w:val="26"/>
        </w:numPr>
        <w:ind w:left="1134" w:right="1191" w:firstLine="0"/>
      </w:pPr>
      <w:r w:rsidRPr="00404AD7">
        <w:t>One of these innovative tools is a strategic learning game, with both a physical board game and a digital version of the game having been developed. The learning game was designed for use in schools, workplaces and by the public. The learning game can be used in parallel with a series of short films which aired also on Estonian Public Broadcasting channels as well as several public and private streaming channels. Besides the game and series project output was a series of easily understood guidelines supporting balance between work-life for people with family responsibilities, their co-workers, employers and employees, local government, educational institutions, policy makers and contractors.</w:t>
      </w:r>
    </w:p>
    <w:p w14:paraId="66EDBB9C" w14:textId="44A713FC" w:rsidR="00A26BF8" w:rsidRPr="00404AD7" w:rsidRDefault="00A26BF8" w:rsidP="00741578">
      <w:pPr>
        <w:pStyle w:val="SingleTxtG"/>
        <w:numPr>
          <w:ilvl w:val="0"/>
          <w:numId w:val="26"/>
        </w:numPr>
        <w:ind w:left="1134" w:right="1191" w:firstLine="0"/>
      </w:pPr>
      <w:r w:rsidRPr="00404AD7">
        <w:t xml:space="preserve">In 2020 media campaign </w:t>
      </w:r>
      <w:r w:rsidR="006B00A5" w:rsidRPr="00404AD7">
        <w:t>“</w:t>
      </w:r>
      <w:r w:rsidRPr="00404AD7">
        <w:t>Everyone is different but equally human</w:t>
      </w:r>
      <w:r w:rsidR="006B00A5" w:rsidRPr="00404AD7">
        <w:t>”</w:t>
      </w:r>
      <w:r w:rsidRPr="00404AD7">
        <w:t xml:space="preserve"> #samapaljuinimene (English: #equallyhuman) took place. The campaign consisted of 5 short videos and out-door campaign highlights stories of bullying, migrant workers, ethnic minorities, people with disabilities and religious beliefs.</w:t>
      </w:r>
    </w:p>
    <w:p w14:paraId="49433B1E" w14:textId="056D505C" w:rsidR="00A26BF8" w:rsidRPr="00404AD7" w:rsidRDefault="00A26BF8" w:rsidP="00741578">
      <w:pPr>
        <w:pStyle w:val="SingleTxtG"/>
        <w:numPr>
          <w:ilvl w:val="0"/>
          <w:numId w:val="26"/>
        </w:numPr>
        <w:ind w:left="1134" w:right="1191" w:firstLine="0"/>
      </w:pPr>
      <w:r w:rsidRPr="00404AD7">
        <w:t>In 2021 the Ministry of Social Affairs published a series of 10 short (approx.</w:t>
      </w:r>
      <w:r w:rsidR="00022778" w:rsidRPr="00404AD7">
        <w:t> </w:t>
      </w:r>
      <w:r w:rsidRPr="00404AD7">
        <w:t>2</w:t>
      </w:r>
      <w:r w:rsidR="00022778" w:rsidRPr="00404AD7">
        <w:noBreakHyphen/>
      </w:r>
      <w:r w:rsidRPr="00404AD7">
        <w:t>3</w:t>
      </w:r>
      <w:r w:rsidR="00906BDA" w:rsidRPr="00404AD7">
        <w:t> </w:t>
      </w:r>
      <w:r w:rsidRPr="00404AD7">
        <w:t xml:space="preserve">minutes) video-lectures with an aim to raise awareness on gender equality, violence against women, including digital violence, equal treatment of minorities and on </w:t>
      </w:r>
      <w:r w:rsidRPr="00404AD7">
        <w:lastRenderedPageBreak/>
        <w:t>promoting diversity. From the gender equality perspective, the lectures touched upon topics such as gender segregation of education and labour market, men`s role in promoting gender equality, gender (in)balance in politics, controlling behaviour in intimate relations, gender-based cyberviolence and children as witnesses of (domestic) violence. These so-called micro</w:t>
      </w:r>
      <w:r w:rsidR="00022778" w:rsidRPr="00404AD7">
        <w:noBreakHyphen/>
      </w:r>
      <w:r w:rsidRPr="00404AD7">
        <w:t xml:space="preserve">lectures were released approximately once a week and were accompanied by a press release and/or blog entry or an entry in social media. </w:t>
      </w:r>
    </w:p>
    <w:p w14:paraId="333FD9DF" w14:textId="77777777" w:rsidR="00A26BF8" w:rsidRPr="00404AD7" w:rsidRDefault="00A26BF8" w:rsidP="00155B97">
      <w:pPr>
        <w:pStyle w:val="SingleTxtG"/>
        <w:numPr>
          <w:ilvl w:val="0"/>
          <w:numId w:val="26"/>
        </w:numPr>
        <w:spacing w:line="234" w:lineRule="exact"/>
        <w:ind w:left="1138" w:right="1195" w:firstLine="0"/>
      </w:pPr>
      <w:r w:rsidRPr="00404AD7">
        <w:t xml:space="preserve">One of the strategic partners of the Ministry of Social Affairs in promoting gender equality is NGO Oma Tuba. The NGO Oma Tuba launched a feminist web magazine called </w:t>
      </w:r>
      <w:proofErr w:type="spellStart"/>
      <w:r w:rsidRPr="00404AD7">
        <w:t>Feministeerium</w:t>
      </w:r>
      <w:proofErr w:type="spellEnd"/>
      <w:r w:rsidRPr="00404AD7">
        <w:t xml:space="preserve"> in 2015, which has currently approximately 11,000 readers per month. NGO Oma Tuba has raised awareness on various issues regarding gender inequality, gender-based violence and the negative impact of gender stereotypes and has also promoted temporary special measures and a consent-based approach to rape, sexual violence and sexual assault in legislation.</w:t>
      </w:r>
    </w:p>
    <w:p w14:paraId="33961009" w14:textId="77777777" w:rsidR="00A26BF8" w:rsidRPr="00404AD7" w:rsidRDefault="00A26BF8" w:rsidP="00155B97">
      <w:pPr>
        <w:pStyle w:val="SingleTxtG"/>
        <w:numPr>
          <w:ilvl w:val="0"/>
          <w:numId w:val="26"/>
        </w:numPr>
        <w:spacing w:line="234" w:lineRule="exact"/>
        <w:ind w:left="1138" w:right="1195" w:firstLine="0"/>
      </w:pPr>
      <w:r w:rsidRPr="00404AD7">
        <w:t>Other projects aiming to tackle stereotypes were also carried out some of which are described in sections Education and Employment.</w:t>
      </w:r>
    </w:p>
    <w:p w14:paraId="1EF202D0" w14:textId="28A59CF4" w:rsidR="00A26BF8" w:rsidRPr="00404AD7" w:rsidRDefault="00A26BF8" w:rsidP="00155B97">
      <w:pPr>
        <w:pStyle w:val="SingleTxtG"/>
        <w:numPr>
          <w:ilvl w:val="0"/>
          <w:numId w:val="26"/>
        </w:numPr>
        <w:spacing w:line="234" w:lineRule="exact"/>
        <w:ind w:left="1138" w:right="1195" w:firstLine="0"/>
      </w:pPr>
      <w:r w:rsidRPr="00404AD7">
        <w:t>In the field of education, the Estonian Women</w:t>
      </w:r>
      <w:r w:rsidR="006B00A5" w:rsidRPr="00404AD7">
        <w:t>’</w:t>
      </w:r>
      <w:r w:rsidRPr="00404AD7">
        <w:t xml:space="preserve">s Associations Roundtable has created a website gathering resources on all aspects of gender and education. The website </w:t>
      </w:r>
      <w:r w:rsidR="006B00A5" w:rsidRPr="00404AD7">
        <w:t>“</w:t>
      </w:r>
      <w:proofErr w:type="spellStart"/>
      <w:r w:rsidRPr="00404AD7">
        <w:t>Haridus</w:t>
      </w:r>
      <w:proofErr w:type="spellEnd"/>
      <w:r w:rsidRPr="00404AD7">
        <w:t xml:space="preserve"> </w:t>
      </w:r>
      <w:proofErr w:type="spellStart"/>
      <w:r w:rsidRPr="00404AD7">
        <w:t>ja</w:t>
      </w:r>
      <w:proofErr w:type="spellEnd"/>
      <w:r w:rsidRPr="00404AD7">
        <w:t xml:space="preserve"> </w:t>
      </w:r>
      <w:proofErr w:type="spellStart"/>
      <w:r w:rsidRPr="00404AD7">
        <w:t>sugu</w:t>
      </w:r>
      <w:proofErr w:type="spellEnd"/>
      <w:r w:rsidR="006B00A5" w:rsidRPr="00404AD7">
        <w:t>”</w:t>
      </w:r>
      <w:r w:rsidRPr="00404AD7">
        <w:t xml:space="preserve"> (</w:t>
      </w:r>
      <w:r w:rsidR="006B00A5" w:rsidRPr="00404AD7">
        <w:t>“</w:t>
      </w:r>
      <w:r w:rsidRPr="00404AD7">
        <w:t>Education and gender</w:t>
      </w:r>
      <w:r w:rsidR="006B00A5" w:rsidRPr="00404AD7">
        <w:t>”</w:t>
      </w:r>
      <w:r w:rsidRPr="00404AD7">
        <w:t>) offers explanations of concepts, gender-sensitive pedagogy, teaching materials, research and analysis, promotion of gender equality, best practices for learners from different countries and ages. The material is available to all and can be used by students and teachers of both general education and higher education.</w:t>
      </w:r>
    </w:p>
    <w:p w14:paraId="45629B5C" w14:textId="1901F864" w:rsidR="00A26BF8" w:rsidRPr="00404AD7" w:rsidRDefault="00A26BF8" w:rsidP="00155B97">
      <w:pPr>
        <w:pStyle w:val="SingleTxtG"/>
        <w:numPr>
          <w:ilvl w:val="0"/>
          <w:numId w:val="26"/>
        </w:numPr>
        <w:spacing w:line="234" w:lineRule="exact"/>
        <w:ind w:left="1138" w:right="1195" w:firstLine="0"/>
      </w:pPr>
      <w:r w:rsidRPr="00404AD7">
        <w:t>In 2019-2022, the Estonian Women</w:t>
      </w:r>
      <w:r w:rsidR="006B00A5" w:rsidRPr="00404AD7">
        <w:t>’</w:t>
      </w:r>
      <w:r w:rsidRPr="00404AD7">
        <w:t>s Associations Roundtable with partners from Norway and Czechia implemented the European Commission</w:t>
      </w:r>
      <w:r w:rsidR="006B00A5" w:rsidRPr="00404AD7">
        <w:t>’</w:t>
      </w:r>
      <w:r w:rsidRPr="00404AD7">
        <w:t>s funded Erasmus+ program project Fair Play at Schools, which focused on promoting gender-sensitive education. Training modules for teachers to promote awareness on gender equality and gender sensitive education free from gender stereotypes were developed.</w:t>
      </w:r>
    </w:p>
    <w:p w14:paraId="72EF024B" w14:textId="77777777" w:rsidR="00A26BF8" w:rsidRPr="00404AD7" w:rsidRDefault="00A26BF8" w:rsidP="00155B97">
      <w:pPr>
        <w:pStyle w:val="SingleTxtG"/>
        <w:numPr>
          <w:ilvl w:val="0"/>
          <w:numId w:val="26"/>
        </w:numPr>
        <w:spacing w:line="234" w:lineRule="exact"/>
        <w:ind w:left="1138" w:right="1195" w:firstLine="0"/>
      </w:pPr>
      <w:r w:rsidRPr="00404AD7">
        <w:t xml:space="preserve">Awareness and education on different identities, including, but not limited to sexual orientation, gender identity, and cultural differences (students with different first languages, </w:t>
      </w:r>
      <w:proofErr w:type="spellStart"/>
      <w:r w:rsidRPr="00404AD7">
        <w:t>roma</w:t>
      </w:r>
      <w:proofErr w:type="spellEnd"/>
      <w:r w:rsidRPr="00404AD7">
        <w:t xml:space="preserve"> students, etc) has been introduced to schools through different evidence-based programmes, such as </w:t>
      </w:r>
      <w:proofErr w:type="spellStart"/>
      <w:r w:rsidRPr="00404AD7">
        <w:t>KiVa</w:t>
      </w:r>
      <w:proofErr w:type="spellEnd"/>
      <w:r w:rsidRPr="00404AD7">
        <w:t xml:space="preserve"> Antibullying Program (introduced in 2017, renewed and updated in 2020), VEPA (internationally known as PAX Good </w:t>
      </w:r>
      <w:proofErr w:type="spellStart"/>
      <w:r w:rsidRPr="00404AD7">
        <w:t>Behavior</w:t>
      </w:r>
      <w:proofErr w:type="spellEnd"/>
      <w:r w:rsidRPr="00404AD7">
        <w:t xml:space="preserve"> Game), </w:t>
      </w:r>
      <w:proofErr w:type="spellStart"/>
      <w:r w:rsidRPr="00404AD7">
        <w:t>Hooliv</w:t>
      </w:r>
      <w:proofErr w:type="spellEnd"/>
      <w:r w:rsidRPr="00404AD7">
        <w:t xml:space="preserve"> </w:t>
      </w:r>
      <w:proofErr w:type="spellStart"/>
      <w:r w:rsidRPr="00404AD7">
        <w:t>klass</w:t>
      </w:r>
      <w:proofErr w:type="spellEnd"/>
      <w:r w:rsidRPr="00404AD7">
        <w:t xml:space="preserve"> (Caring Class) and other programmes. These programmes are based on intervention and are adopted by schools individually. Such programmes reach about 70% of Estonian schools and 80% of Estonian preschools. In cooperation with student representative boards, students have been given the opportunity, by way of different calls for proposals, to suggest activities which aim to increase mutual tolerance, mutual respect regardless of individual differences, and encourage an overall supportive environment in schools and in the community.</w:t>
      </w:r>
    </w:p>
    <w:p w14:paraId="6A7EF72D" w14:textId="6B6D384E" w:rsidR="00A26BF8" w:rsidRPr="00404AD7" w:rsidRDefault="00A26BF8" w:rsidP="00155B97">
      <w:pPr>
        <w:pStyle w:val="SingleTxt"/>
        <w:spacing w:before="240"/>
        <w:ind w:hanging="144"/>
        <w:rPr>
          <w:b/>
          <w:bCs/>
          <w:sz w:val="28"/>
          <w:szCs w:val="28"/>
          <w:lang w:val="en-US"/>
        </w:rPr>
      </w:pPr>
      <w:bookmarkStart w:id="19" w:name="_Toc108692391"/>
      <w:r w:rsidRPr="00404AD7">
        <w:rPr>
          <w:b/>
          <w:bCs/>
          <w:sz w:val="28"/>
          <w:szCs w:val="28"/>
          <w:lang w:val="en-US"/>
        </w:rPr>
        <w:t>Gender-based violence against women</w:t>
      </w:r>
      <w:bookmarkEnd w:id="19"/>
    </w:p>
    <w:p w14:paraId="30B59451" w14:textId="23856E4D" w:rsidR="00ED24CC" w:rsidRPr="00404AD7" w:rsidRDefault="00ED24CC" w:rsidP="00ED24CC">
      <w:pPr>
        <w:pStyle w:val="SingleTxt"/>
        <w:ind w:hanging="151"/>
        <w:rPr>
          <w:b/>
          <w:bCs/>
          <w:sz w:val="24"/>
          <w:szCs w:val="24"/>
          <w:lang w:val="en-US"/>
        </w:rPr>
      </w:pPr>
      <w:bookmarkStart w:id="20" w:name="_Toc108692392"/>
      <w:r w:rsidRPr="00404AD7">
        <w:rPr>
          <w:b/>
          <w:bCs/>
          <w:sz w:val="24"/>
          <w:szCs w:val="24"/>
          <w:lang w:val="en-US"/>
        </w:rPr>
        <w:t>Question 9</w:t>
      </w:r>
      <w:bookmarkEnd w:id="20"/>
    </w:p>
    <w:p w14:paraId="50E53459" w14:textId="67F46B10" w:rsidR="00ED24CC" w:rsidRPr="00404AD7" w:rsidRDefault="00ED24CC" w:rsidP="007415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595"/>
        </w:tabs>
        <w:ind w:left="1267" w:right="1155" w:hanging="142"/>
      </w:pPr>
      <w:r w:rsidRPr="00404AD7">
        <w:t>Table: Experiences of physical violence in the past 5 years among Estonian women</w:t>
      </w:r>
    </w:p>
    <w:p w14:paraId="26BC23AC" w14:textId="1AB155AD" w:rsidR="00ED24CC" w:rsidRPr="00404AD7" w:rsidRDefault="00ED24CC" w:rsidP="00ED24CC">
      <w:pPr>
        <w:pStyle w:val="SingleTxt"/>
        <w:spacing w:after="0" w:line="120" w:lineRule="exact"/>
        <w:rPr>
          <w:sz w:val="10"/>
          <w:lang w:val="en-US"/>
        </w:rPr>
      </w:pPr>
    </w:p>
    <w:p w14:paraId="20309FAC" w14:textId="046A4A73" w:rsidR="00ED24CC" w:rsidRPr="00404AD7" w:rsidRDefault="00ED24CC" w:rsidP="00ED24CC">
      <w:pPr>
        <w:pStyle w:val="SingleTxt"/>
        <w:spacing w:after="0" w:line="120" w:lineRule="exact"/>
        <w:rPr>
          <w:sz w:val="10"/>
          <w:lang w:val="en-US"/>
        </w:rPr>
      </w:pPr>
    </w:p>
    <w:tbl>
      <w:tblPr>
        <w:tblStyle w:val="TableGrid"/>
        <w:tblW w:w="7488"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99"/>
        <w:gridCol w:w="4089"/>
      </w:tblGrid>
      <w:tr w:rsidR="00ED24CC" w:rsidRPr="00404AD7" w14:paraId="659DADFB" w14:textId="77777777" w:rsidTr="00893327">
        <w:trPr>
          <w:tblHeader/>
        </w:trPr>
        <w:tc>
          <w:tcPr>
            <w:tcW w:w="3399" w:type="dxa"/>
            <w:tcBorders>
              <w:top w:val="single" w:sz="4" w:space="0" w:color="auto"/>
              <w:bottom w:val="single" w:sz="12" w:space="0" w:color="auto"/>
            </w:tcBorders>
            <w:shd w:val="clear" w:color="auto" w:fill="auto"/>
            <w:noWrap/>
            <w:vAlign w:val="bottom"/>
            <w:hideMark/>
          </w:tcPr>
          <w:p w14:paraId="32B56141" w14:textId="77777777" w:rsidR="00ED24CC" w:rsidRPr="00404AD7" w:rsidRDefault="00ED24CC" w:rsidP="00E53FC8">
            <w:pPr>
              <w:pStyle w:val="SingleTxtG"/>
              <w:tabs>
                <w:tab w:val="clear" w:pos="1701"/>
                <w:tab w:val="clear" w:pos="2268"/>
                <w:tab w:val="clear" w:pos="2835"/>
              </w:tabs>
              <w:suppressAutoHyphens w:val="0"/>
              <w:spacing w:before="80" w:after="80" w:line="200" w:lineRule="exact"/>
              <w:ind w:left="0" w:right="0"/>
              <w:jc w:val="left"/>
              <w:rPr>
                <w:i/>
                <w:sz w:val="16"/>
              </w:rPr>
            </w:pPr>
            <w:r w:rsidRPr="00404AD7">
              <w:rPr>
                <w:i/>
                <w:sz w:val="16"/>
              </w:rPr>
              <w:t>Age group</w:t>
            </w:r>
          </w:p>
        </w:tc>
        <w:tc>
          <w:tcPr>
            <w:tcW w:w="4089" w:type="dxa"/>
            <w:tcBorders>
              <w:top w:val="single" w:sz="4" w:space="0" w:color="auto"/>
              <w:bottom w:val="single" w:sz="12" w:space="0" w:color="auto"/>
            </w:tcBorders>
            <w:shd w:val="clear" w:color="auto" w:fill="auto"/>
            <w:noWrap/>
            <w:vAlign w:val="bottom"/>
            <w:hideMark/>
          </w:tcPr>
          <w:p w14:paraId="7360DA25" w14:textId="77777777" w:rsidR="00ED24CC" w:rsidRPr="00404AD7" w:rsidRDefault="00ED24CC"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percentage</w:t>
            </w:r>
          </w:p>
        </w:tc>
      </w:tr>
      <w:tr w:rsidR="00ED24CC" w:rsidRPr="00404AD7" w14:paraId="44A93160" w14:textId="77777777" w:rsidTr="00893327">
        <w:tc>
          <w:tcPr>
            <w:tcW w:w="3399" w:type="dxa"/>
            <w:tcBorders>
              <w:top w:val="single" w:sz="12" w:space="0" w:color="auto"/>
            </w:tcBorders>
            <w:shd w:val="clear" w:color="auto" w:fill="auto"/>
            <w:noWrap/>
            <w:hideMark/>
          </w:tcPr>
          <w:p w14:paraId="6D286FCA" w14:textId="77777777" w:rsidR="00ED24CC" w:rsidRPr="00404AD7" w:rsidRDefault="00ED24CC"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16-29</w:t>
            </w:r>
          </w:p>
        </w:tc>
        <w:tc>
          <w:tcPr>
            <w:tcW w:w="4089" w:type="dxa"/>
            <w:tcBorders>
              <w:top w:val="single" w:sz="12" w:space="0" w:color="auto"/>
            </w:tcBorders>
            <w:shd w:val="clear" w:color="auto" w:fill="auto"/>
            <w:noWrap/>
            <w:vAlign w:val="bottom"/>
            <w:hideMark/>
          </w:tcPr>
          <w:p w14:paraId="43559104" w14:textId="77777777" w:rsidR="00ED24CC" w:rsidRPr="00404AD7" w:rsidRDefault="00ED24CC"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24</w:t>
            </w:r>
          </w:p>
        </w:tc>
      </w:tr>
      <w:tr w:rsidR="00ED24CC" w:rsidRPr="00404AD7" w14:paraId="607DE34B" w14:textId="77777777" w:rsidTr="00893327">
        <w:tc>
          <w:tcPr>
            <w:tcW w:w="3399" w:type="dxa"/>
            <w:shd w:val="clear" w:color="auto" w:fill="auto"/>
            <w:noWrap/>
            <w:hideMark/>
          </w:tcPr>
          <w:p w14:paraId="29D8116F" w14:textId="77777777" w:rsidR="00ED24CC" w:rsidRPr="00404AD7" w:rsidRDefault="00ED24CC"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30-44</w:t>
            </w:r>
          </w:p>
        </w:tc>
        <w:tc>
          <w:tcPr>
            <w:tcW w:w="4089" w:type="dxa"/>
            <w:shd w:val="clear" w:color="auto" w:fill="auto"/>
            <w:noWrap/>
            <w:vAlign w:val="bottom"/>
            <w:hideMark/>
          </w:tcPr>
          <w:p w14:paraId="612195D4" w14:textId="77777777" w:rsidR="00ED24CC" w:rsidRPr="00404AD7" w:rsidRDefault="00ED24CC"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24</w:t>
            </w:r>
          </w:p>
        </w:tc>
      </w:tr>
      <w:tr w:rsidR="00ED24CC" w:rsidRPr="00404AD7" w14:paraId="740642C8" w14:textId="77777777" w:rsidTr="00893327">
        <w:tc>
          <w:tcPr>
            <w:tcW w:w="3399" w:type="dxa"/>
            <w:shd w:val="clear" w:color="auto" w:fill="auto"/>
            <w:noWrap/>
            <w:hideMark/>
          </w:tcPr>
          <w:p w14:paraId="5885A90F" w14:textId="77777777" w:rsidR="00ED24CC" w:rsidRPr="00404AD7" w:rsidRDefault="00ED24CC"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45-54</w:t>
            </w:r>
          </w:p>
        </w:tc>
        <w:tc>
          <w:tcPr>
            <w:tcW w:w="4089" w:type="dxa"/>
            <w:shd w:val="clear" w:color="auto" w:fill="auto"/>
            <w:noWrap/>
            <w:vAlign w:val="bottom"/>
            <w:hideMark/>
          </w:tcPr>
          <w:p w14:paraId="1AB3851C" w14:textId="77777777" w:rsidR="00ED24CC" w:rsidRPr="00404AD7" w:rsidRDefault="00ED24CC"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15</w:t>
            </w:r>
          </w:p>
        </w:tc>
      </w:tr>
      <w:tr w:rsidR="00ED24CC" w:rsidRPr="00404AD7" w14:paraId="5E1ABDB0" w14:textId="77777777" w:rsidTr="00893327">
        <w:tc>
          <w:tcPr>
            <w:tcW w:w="3399" w:type="dxa"/>
            <w:shd w:val="clear" w:color="auto" w:fill="auto"/>
            <w:noWrap/>
            <w:hideMark/>
          </w:tcPr>
          <w:p w14:paraId="2F3CFB07" w14:textId="77777777" w:rsidR="00ED24CC" w:rsidRPr="00404AD7" w:rsidRDefault="00ED24CC"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55-64</w:t>
            </w:r>
          </w:p>
        </w:tc>
        <w:tc>
          <w:tcPr>
            <w:tcW w:w="4089" w:type="dxa"/>
            <w:shd w:val="clear" w:color="auto" w:fill="auto"/>
            <w:noWrap/>
            <w:vAlign w:val="bottom"/>
            <w:hideMark/>
          </w:tcPr>
          <w:p w14:paraId="5177057F" w14:textId="77777777" w:rsidR="00ED24CC" w:rsidRPr="00404AD7" w:rsidRDefault="00ED24CC"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10</w:t>
            </w:r>
          </w:p>
        </w:tc>
      </w:tr>
      <w:tr w:rsidR="00ED24CC" w:rsidRPr="00404AD7" w14:paraId="1C34D77B" w14:textId="77777777" w:rsidTr="00893327">
        <w:tc>
          <w:tcPr>
            <w:tcW w:w="3399" w:type="dxa"/>
            <w:tcBorders>
              <w:bottom w:val="single" w:sz="12" w:space="0" w:color="auto"/>
            </w:tcBorders>
            <w:shd w:val="clear" w:color="auto" w:fill="auto"/>
            <w:noWrap/>
            <w:hideMark/>
          </w:tcPr>
          <w:p w14:paraId="42EC0000" w14:textId="77777777" w:rsidR="00ED24CC" w:rsidRPr="00404AD7" w:rsidRDefault="00ED24CC"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65+</w:t>
            </w:r>
          </w:p>
        </w:tc>
        <w:tc>
          <w:tcPr>
            <w:tcW w:w="4089" w:type="dxa"/>
            <w:tcBorders>
              <w:bottom w:val="single" w:sz="12" w:space="0" w:color="auto"/>
            </w:tcBorders>
            <w:shd w:val="clear" w:color="auto" w:fill="auto"/>
            <w:noWrap/>
            <w:vAlign w:val="bottom"/>
            <w:hideMark/>
          </w:tcPr>
          <w:p w14:paraId="72C8CB86" w14:textId="77777777" w:rsidR="00ED24CC" w:rsidRPr="00404AD7" w:rsidRDefault="00ED24CC"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8</w:t>
            </w:r>
          </w:p>
        </w:tc>
      </w:tr>
    </w:tbl>
    <w:p w14:paraId="7CB6E3C2" w14:textId="122B6F5B" w:rsidR="00ED24CC" w:rsidRPr="00404AD7" w:rsidRDefault="00ED24CC" w:rsidP="00ED24CC">
      <w:pPr>
        <w:pStyle w:val="SingleTxt"/>
        <w:spacing w:after="0" w:line="120" w:lineRule="exact"/>
        <w:rPr>
          <w:sz w:val="10"/>
          <w:lang w:val="en-US"/>
        </w:rPr>
      </w:pPr>
    </w:p>
    <w:p w14:paraId="275BB812" w14:textId="0D9E2A55" w:rsidR="00ED24CC" w:rsidRPr="00404AD7" w:rsidRDefault="00ED24CC" w:rsidP="00893327">
      <w:pPr>
        <w:pStyle w:val="FootnoteText"/>
        <w:tabs>
          <w:tab w:val="clear" w:pos="418"/>
          <w:tab w:val="right" w:pos="1476"/>
          <w:tab w:val="left" w:pos="1548"/>
          <w:tab w:val="right" w:pos="1836"/>
          <w:tab w:val="left" w:pos="1908"/>
        </w:tabs>
        <w:ind w:left="1548" w:right="1267" w:hanging="378"/>
      </w:pPr>
      <w:r w:rsidRPr="00404AD7">
        <w:rPr>
          <w:i/>
          <w:iCs/>
        </w:rPr>
        <w:t>Source</w:t>
      </w:r>
      <w:r w:rsidRPr="00404AD7">
        <w:t>: Fundamental Rights survey, 2020</w:t>
      </w:r>
    </w:p>
    <w:p w14:paraId="47F74E47" w14:textId="33030C1E" w:rsidR="00893327" w:rsidRPr="00404AD7" w:rsidRDefault="00893327" w:rsidP="003C17D2">
      <w:pPr>
        <w:pStyle w:val="H23"/>
        <w:tabs>
          <w:tab w:val="right" w:pos="1022"/>
          <w:tab w:val="left" w:pos="1179"/>
          <w:tab w:val="left" w:pos="1742"/>
          <w:tab w:val="left" w:pos="2218"/>
          <w:tab w:val="left" w:pos="2693"/>
          <w:tab w:val="left" w:pos="3182"/>
          <w:tab w:val="left" w:pos="3658"/>
          <w:tab w:val="left" w:pos="4133"/>
          <w:tab w:val="left" w:pos="4622"/>
          <w:tab w:val="left" w:pos="5098"/>
          <w:tab w:val="left" w:pos="5573"/>
          <w:tab w:val="left" w:pos="6048"/>
        </w:tabs>
        <w:ind w:left="1267" w:right="1155" w:hanging="142"/>
      </w:pPr>
      <w:r w:rsidRPr="00404AD7">
        <w:lastRenderedPageBreak/>
        <w:tab/>
        <w:t>Table: Number of crimes of domestic violence, 2016-2021</w:t>
      </w:r>
    </w:p>
    <w:p w14:paraId="0D8AFC06" w14:textId="27F32728" w:rsidR="00893327" w:rsidRPr="00404AD7" w:rsidRDefault="00893327" w:rsidP="00893327">
      <w:pPr>
        <w:pStyle w:val="SingleTxt"/>
        <w:spacing w:after="0" w:line="120" w:lineRule="exact"/>
        <w:rPr>
          <w:sz w:val="10"/>
          <w:lang w:val="en-US"/>
        </w:rPr>
      </w:pPr>
    </w:p>
    <w:p w14:paraId="3631ED1E" w14:textId="34626B98" w:rsidR="00893327" w:rsidRPr="00404AD7" w:rsidRDefault="00893327" w:rsidP="00893327">
      <w:pPr>
        <w:pStyle w:val="SingleTxt"/>
        <w:spacing w:after="0" w:line="120" w:lineRule="exact"/>
        <w:rPr>
          <w:sz w:val="10"/>
          <w:lang w:val="en-US"/>
        </w:rPr>
      </w:pPr>
    </w:p>
    <w:tbl>
      <w:tblPr>
        <w:tblW w:w="7325" w:type="dxa"/>
        <w:tblInd w:w="1179"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184"/>
        <w:gridCol w:w="1229"/>
        <w:gridCol w:w="1228"/>
        <w:gridCol w:w="1228"/>
        <w:gridCol w:w="1228"/>
        <w:gridCol w:w="1228"/>
      </w:tblGrid>
      <w:tr w:rsidR="00893327" w:rsidRPr="00404AD7" w14:paraId="713E5954" w14:textId="77777777" w:rsidTr="003C17D2">
        <w:trPr>
          <w:tblHeader/>
        </w:trPr>
        <w:tc>
          <w:tcPr>
            <w:tcW w:w="1184" w:type="dxa"/>
            <w:shd w:val="clear" w:color="auto" w:fill="auto"/>
            <w:noWrap/>
            <w:vAlign w:val="bottom"/>
            <w:hideMark/>
          </w:tcPr>
          <w:p w14:paraId="45BC2252" w14:textId="77777777" w:rsidR="00893327" w:rsidRPr="00404AD7" w:rsidRDefault="00893327" w:rsidP="00E53FC8">
            <w:pPr>
              <w:pStyle w:val="SingleTxtG"/>
              <w:tabs>
                <w:tab w:val="clear" w:pos="1701"/>
                <w:tab w:val="clear" w:pos="2268"/>
                <w:tab w:val="clear" w:pos="2835"/>
              </w:tabs>
              <w:suppressAutoHyphens w:val="0"/>
              <w:spacing w:before="80" w:after="80" w:line="200" w:lineRule="exact"/>
              <w:ind w:left="0" w:right="0"/>
              <w:jc w:val="left"/>
              <w:rPr>
                <w:i/>
                <w:sz w:val="16"/>
                <w:lang w:val="en-US"/>
              </w:rPr>
            </w:pPr>
            <w:r w:rsidRPr="00404AD7">
              <w:rPr>
                <w:i/>
                <w:sz w:val="16"/>
                <w:lang w:val="en-US"/>
              </w:rPr>
              <w:t>2016</w:t>
            </w:r>
          </w:p>
        </w:tc>
        <w:tc>
          <w:tcPr>
            <w:tcW w:w="1229" w:type="dxa"/>
            <w:shd w:val="clear" w:color="auto" w:fill="auto"/>
            <w:noWrap/>
            <w:vAlign w:val="bottom"/>
            <w:hideMark/>
          </w:tcPr>
          <w:p w14:paraId="5D7D7B01" w14:textId="77777777" w:rsidR="00893327" w:rsidRPr="00404AD7" w:rsidRDefault="00893327" w:rsidP="00E53FC8">
            <w:pPr>
              <w:pStyle w:val="SingleTxtG"/>
              <w:tabs>
                <w:tab w:val="clear" w:pos="1701"/>
                <w:tab w:val="clear" w:pos="2268"/>
                <w:tab w:val="clear" w:pos="2835"/>
              </w:tabs>
              <w:suppressAutoHyphens w:val="0"/>
              <w:spacing w:before="80" w:after="80" w:line="200" w:lineRule="exact"/>
              <w:ind w:left="0" w:right="0"/>
              <w:jc w:val="right"/>
              <w:rPr>
                <w:i/>
                <w:sz w:val="16"/>
                <w:lang w:val="en-US"/>
              </w:rPr>
            </w:pPr>
            <w:r w:rsidRPr="00404AD7">
              <w:rPr>
                <w:i/>
                <w:sz w:val="16"/>
                <w:lang w:val="en-US"/>
              </w:rPr>
              <w:t>2017</w:t>
            </w:r>
          </w:p>
        </w:tc>
        <w:tc>
          <w:tcPr>
            <w:tcW w:w="1228" w:type="dxa"/>
            <w:shd w:val="clear" w:color="auto" w:fill="auto"/>
            <w:noWrap/>
            <w:vAlign w:val="bottom"/>
            <w:hideMark/>
          </w:tcPr>
          <w:p w14:paraId="31E4BFB0" w14:textId="77777777" w:rsidR="00893327" w:rsidRPr="00404AD7" w:rsidRDefault="00893327" w:rsidP="00E53FC8">
            <w:pPr>
              <w:pStyle w:val="SingleTxtG"/>
              <w:tabs>
                <w:tab w:val="clear" w:pos="1701"/>
                <w:tab w:val="clear" w:pos="2268"/>
                <w:tab w:val="clear" w:pos="2835"/>
              </w:tabs>
              <w:suppressAutoHyphens w:val="0"/>
              <w:spacing w:before="80" w:after="80" w:line="200" w:lineRule="exact"/>
              <w:ind w:left="0" w:right="0"/>
              <w:jc w:val="right"/>
              <w:rPr>
                <w:i/>
                <w:sz w:val="16"/>
                <w:lang w:val="en-US"/>
              </w:rPr>
            </w:pPr>
            <w:r w:rsidRPr="00404AD7">
              <w:rPr>
                <w:i/>
                <w:sz w:val="16"/>
                <w:lang w:val="en-US"/>
              </w:rPr>
              <w:t>2018</w:t>
            </w:r>
          </w:p>
        </w:tc>
        <w:tc>
          <w:tcPr>
            <w:tcW w:w="1228" w:type="dxa"/>
            <w:shd w:val="clear" w:color="auto" w:fill="auto"/>
            <w:noWrap/>
            <w:vAlign w:val="bottom"/>
            <w:hideMark/>
          </w:tcPr>
          <w:p w14:paraId="2F9A931D" w14:textId="77777777" w:rsidR="00893327" w:rsidRPr="00404AD7" w:rsidRDefault="00893327" w:rsidP="00E53FC8">
            <w:pPr>
              <w:pStyle w:val="SingleTxtG"/>
              <w:tabs>
                <w:tab w:val="clear" w:pos="1701"/>
                <w:tab w:val="clear" w:pos="2268"/>
                <w:tab w:val="clear" w:pos="2835"/>
              </w:tabs>
              <w:suppressAutoHyphens w:val="0"/>
              <w:spacing w:before="80" w:after="80" w:line="200" w:lineRule="exact"/>
              <w:ind w:left="0" w:right="0"/>
              <w:jc w:val="right"/>
              <w:rPr>
                <w:i/>
                <w:sz w:val="16"/>
                <w:lang w:val="en-US"/>
              </w:rPr>
            </w:pPr>
            <w:r w:rsidRPr="00404AD7">
              <w:rPr>
                <w:i/>
                <w:sz w:val="16"/>
                <w:lang w:val="en-US"/>
              </w:rPr>
              <w:t>2019</w:t>
            </w:r>
          </w:p>
        </w:tc>
        <w:tc>
          <w:tcPr>
            <w:tcW w:w="1228" w:type="dxa"/>
            <w:shd w:val="clear" w:color="auto" w:fill="auto"/>
            <w:noWrap/>
            <w:vAlign w:val="bottom"/>
            <w:hideMark/>
          </w:tcPr>
          <w:p w14:paraId="580A80A6" w14:textId="77777777" w:rsidR="00893327" w:rsidRPr="00404AD7" w:rsidRDefault="00893327" w:rsidP="00E53FC8">
            <w:pPr>
              <w:pStyle w:val="SingleTxtG"/>
              <w:tabs>
                <w:tab w:val="clear" w:pos="1701"/>
                <w:tab w:val="clear" w:pos="2268"/>
                <w:tab w:val="clear" w:pos="2835"/>
              </w:tabs>
              <w:suppressAutoHyphens w:val="0"/>
              <w:spacing w:before="80" w:after="80" w:line="200" w:lineRule="exact"/>
              <w:ind w:left="0" w:right="0"/>
              <w:jc w:val="right"/>
              <w:rPr>
                <w:i/>
                <w:sz w:val="16"/>
                <w:lang w:val="en-US"/>
              </w:rPr>
            </w:pPr>
            <w:r w:rsidRPr="00404AD7">
              <w:rPr>
                <w:i/>
                <w:sz w:val="16"/>
                <w:lang w:val="en-US"/>
              </w:rPr>
              <w:t>2020</w:t>
            </w:r>
          </w:p>
        </w:tc>
        <w:tc>
          <w:tcPr>
            <w:tcW w:w="1228" w:type="dxa"/>
            <w:shd w:val="clear" w:color="auto" w:fill="auto"/>
            <w:noWrap/>
            <w:vAlign w:val="bottom"/>
            <w:hideMark/>
          </w:tcPr>
          <w:p w14:paraId="25F6343A" w14:textId="77777777" w:rsidR="00893327" w:rsidRPr="00404AD7" w:rsidRDefault="00893327" w:rsidP="00E53FC8">
            <w:pPr>
              <w:pStyle w:val="SingleTxtG"/>
              <w:tabs>
                <w:tab w:val="clear" w:pos="1701"/>
                <w:tab w:val="clear" w:pos="2268"/>
                <w:tab w:val="clear" w:pos="2835"/>
              </w:tabs>
              <w:suppressAutoHyphens w:val="0"/>
              <w:spacing w:before="80" w:after="80" w:line="200" w:lineRule="exact"/>
              <w:ind w:left="0" w:right="0"/>
              <w:jc w:val="right"/>
              <w:rPr>
                <w:i/>
                <w:sz w:val="16"/>
                <w:lang w:val="en-US"/>
              </w:rPr>
            </w:pPr>
            <w:r w:rsidRPr="00404AD7">
              <w:rPr>
                <w:i/>
                <w:sz w:val="16"/>
                <w:lang w:val="en-US"/>
              </w:rPr>
              <w:t>2021</w:t>
            </w:r>
          </w:p>
        </w:tc>
      </w:tr>
      <w:tr w:rsidR="00893327" w:rsidRPr="00404AD7" w14:paraId="3020D4A1" w14:textId="77777777" w:rsidTr="003C17D2">
        <w:tc>
          <w:tcPr>
            <w:tcW w:w="1184" w:type="dxa"/>
            <w:shd w:val="clear" w:color="auto" w:fill="auto"/>
            <w:noWrap/>
            <w:hideMark/>
          </w:tcPr>
          <w:p w14:paraId="7FF5D78F" w14:textId="77777777" w:rsidR="00893327" w:rsidRPr="00404AD7" w:rsidRDefault="00893327" w:rsidP="00E53FC8">
            <w:pPr>
              <w:pStyle w:val="SingleTxtG"/>
              <w:tabs>
                <w:tab w:val="clear" w:pos="1701"/>
                <w:tab w:val="clear" w:pos="2268"/>
                <w:tab w:val="clear" w:pos="2835"/>
              </w:tabs>
              <w:suppressAutoHyphens w:val="0"/>
              <w:spacing w:before="40" w:after="40" w:line="220" w:lineRule="exact"/>
              <w:ind w:left="0" w:right="0"/>
              <w:jc w:val="left"/>
              <w:rPr>
                <w:sz w:val="18"/>
                <w:lang w:val="en-US"/>
              </w:rPr>
            </w:pPr>
            <w:r w:rsidRPr="00404AD7">
              <w:rPr>
                <w:sz w:val="18"/>
                <w:lang w:val="en-US"/>
              </w:rPr>
              <w:t>3017</w:t>
            </w:r>
          </w:p>
        </w:tc>
        <w:tc>
          <w:tcPr>
            <w:tcW w:w="1229" w:type="dxa"/>
            <w:shd w:val="clear" w:color="auto" w:fill="auto"/>
            <w:noWrap/>
            <w:vAlign w:val="bottom"/>
            <w:hideMark/>
          </w:tcPr>
          <w:p w14:paraId="155B8675" w14:textId="77777777" w:rsidR="00893327" w:rsidRPr="00404AD7" w:rsidRDefault="00893327" w:rsidP="00E53FC8">
            <w:pPr>
              <w:pStyle w:val="SingleTxtG"/>
              <w:tabs>
                <w:tab w:val="clear" w:pos="1701"/>
                <w:tab w:val="clear" w:pos="2268"/>
                <w:tab w:val="clear" w:pos="2835"/>
              </w:tabs>
              <w:suppressAutoHyphens w:val="0"/>
              <w:spacing w:before="40" w:after="40" w:line="220" w:lineRule="exact"/>
              <w:ind w:left="0" w:right="0"/>
              <w:jc w:val="right"/>
              <w:rPr>
                <w:sz w:val="18"/>
                <w:lang w:val="en-US"/>
              </w:rPr>
            </w:pPr>
            <w:r w:rsidRPr="00404AD7">
              <w:rPr>
                <w:sz w:val="18"/>
                <w:lang w:val="en-US"/>
              </w:rPr>
              <w:t>2632</w:t>
            </w:r>
          </w:p>
        </w:tc>
        <w:tc>
          <w:tcPr>
            <w:tcW w:w="1228" w:type="dxa"/>
            <w:shd w:val="clear" w:color="auto" w:fill="auto"/>
            <w:noWrap/>
            <w:vAlign w:val="bottom"/>
            <w:hideMark/>
          </w:tcPr>
          <w:p w14:paraId="7341F391" w14:textId="77777777" w:rsidR="00893327" w:rsidRPr="00404AD7" w:rsidRDefault="00893327" w:rsidP="00E53FC8">
            <w:pPr>
              <w:pStyle w:val="SingleTxtG"/>
              <w:tabs>
                <w:tab w:val="clear" w:pos="1701"/>
                <w:tab w:val="clear" w:pos="2268"/>
                <w:tab w:val="clear" w:pos="2835"/>
              </w:tabs>
              <w:suppressAutoHyphens w:val="0"/>
              <w:spacing w:before="40" w:after="40" w:line="220" w:lineRule="exact"/>
              <w:ind w:left="0" w:right="0"/>
              <w:jc w:val="right"/>
              <w:rPr>
                <w:sz w:val="18"/>
                <w:lang w:val="en-US"/>
              </w:rPr>
            </w:pPr>
            <w:r w:rsidRPr="00404AD7">
              <w:rPr>
                <w:sz w:val="18"/>
                <w:lang w:val="en-US"/>
              </w:rPr>
              <w:t>3607</w:t>
            </w:r>
          </w:p>
        </w:tc>
        <w:tc>
          <w:tcPr>
            <w:tcW w:w="1228" w:type="dxa"/>
            <w:shd w:val="clear" w:color="auto" w:fill="auto"/>
            <w:noWrap/>
            <w:vAlign w:val="bottom"/>
            <w:hideMark/>
          </w:tcPr>
          <w:p w14:paraId="442A034D" w14:textId="77777777" w:rsidR="00893327" w:rsidRPr="00404AD7" w:rsidRDefault="00893327" w:rsidP="00E53FC8">
            <w:pPr>
              <w:pStyle w:val="SingleTxtG"/>
              <w:tabs>
                <w:tab w:val="clear" w:pos="1701"/>
                <w:tab w:val="clear" w:pos="2268"/>
                <w:tab w:val="clear" w:pos="2835"/>
              </w:tabs>
              <w:suppressAutoHyphens w:val="0"/>
              <w:spacing w:before="40" w:after="40" w:line="220" w:lineRule="exact"/>
              <w:ind w:left="0" w:right="0"/>
              <w:jc w:val="right"/>
              <w:rPr>
                <w:sz w:val="18"/>
                <w:lang w:val="en-US"/>
              </w:rPr>
            </w:pPr>
            <w:r w:rsidRPr="00404AD7">
              <w:rPr>
                <w:sz w:val="18"/>
                <w:lang w:val="en-US"/>
              </w:rPr>
              <w:t>4119</w:t>
            </w:r>
          </w:p>
        </w:tc>
        <w:tc>
          <w:tcPr>
            <w:tcW w:w="1228" w:type="dxa"/>
            <w:shd w:val="clear" w:color="auto" w:fill="auto"/>
            <w:noWrap/>
            <w:vAlign w:val="bottom"/>
            <w:hideMark/>
          </w:tcPr>
          <w:p w14:paraId="1ACD841B" w14:textId="77777777" w:rsidR="00893327" w:rsidRPr="00404AD7" w:rsidRDefault="00893327" w:rsidP="00E53FC8">
            <w:pPr>
              <w:pStyle w:val="SingleTxtG"/>
              <w:tabs>
                <w:tab w:val="clear" w:pos="1701"/>
                <w:tab w:val="clear" w:pos="2268"/>
                <w:tab w:val="clear" w:pos="2835"/>
              </w:tabs>
              <w:suppressAutoHyphens w:val="0"/>
              <w:spacing w:before="40" w:after="40" w:line="220" w:lineRule="exact"/>
              <w:ind w:left="0" w:right="0"/>
              <w:jc w:val="right"/>
              <w:rPr>
                <w:sz w:val="18"/>
                <w:lang w:val="en-US"/>
              </w:rPr>
            </w:pPr>
            <w:r w:rsidRPr="00404AD7">
              <w:rPr>
                <w:sz w:val="18"/>
                <w:lang w:val="en-US"/>
              </w:rPr>
              <w:t>3987</w:t>
            </w:r>
          </w:p>
        </w:tc>
        <w:tc>
          <w:tcPr>
            <w:tcW w:w="1228" w:type="dxa"/>
            <w:shd w:val="clear" w:color="auto" w:fill="auto"/>
            <w:noWrap/>
            <w:vAlign w:val="bottom"/>
            <w:hideMark/>
          </w:tcPr>
          <w:p w14:paraId="5951BF32" w14:textId="77777777" w:rsidR="00893327" w:rsidRPr="00404AD7" w:rsidRDefault="00893327" w:rsidP="00E53FC8">
            <w:pPr>
              <w:pStyle w:val="SingleTxtG"/>
              <w:tabs>
                <w:tab w:val="clear" w:pos="1701"/>
                <w:tab w:val="clear" w:pos="2268"/>
                <w:tab w:val="clear" w:pos="2835"/>
              </w:tabs>
              <w:suppressAutoHyphens w:val="0"/>
              <w:spacing w:before="40" w:after="40" w:line="220" w:lineRule="exact"/>
              <w:ind w:left="0" w:right="0"/>
              <w:jc w:val="right"/>
              <w:rPr>
                <w:sz w:val="18"/>
                <w:lang w:val="en-US"/>
              </w:rPr>
            </w:pPr>
            <w:r w:rsidRPr="00404AD7">
              <w:rPr>
                <w:sz w:val="18"/>
                <w:lang w:val="en-US"/>
              </w:rPr>
              <w:t>3760</w:t>
            </w:r>
          </w:p>
        </w:tc>
      </w:tr>
    </w:tbl>
    <w:p w14:paraId="3EC67BF0" w14:textId="23E5E193" w:rsidR="00893327" w:rsidRPr="00404AD7" w:rsidRDefault="00893327" w:rsidP="00893327">
      <w:pPr>
        <w:pStyle w:val="SingleTxt"/>
        <w:spacing w:after="0" w:line="120" w:lineRule="exact"/>
        <w:rPr>
          <w:sz w:val="10"/>
          <w:lang w:val="en-US"/>
        </w:rPr>
      </w:pPr>
    </w:p>
    <w:p w14:paraId="450B94F3" w14:textId="28019220" w:rsidR="00893327" w:rsidRPr="00404AD7" w:rsidRDefault="00893327" w:rsidP="00893327">
      <w:pPr>
        <w:pStyle w:val="FootnoteText"/>
        <w:tabs>
          <w:tab w:val="clear" w:pos="418"/>
          <w:tab w:val="right" w:pos="1476"/>
          <w:tab w:val="left" w:pos="1548"/>
          <w:tab w:val="right" w:pos="1836"/>
          <w:tab w:val="left" w:pos="1908"/>
        </w:tabs>
        <w:ind w:left="1548" w:right="1267" w:hanging="378"/>
        <w:rPr>
          <w:lang w:val="en-US"/>
        </w:rPr>
      </w:pPr>
      <w:r w:rsidRPr="00404AD7">
        <w:rPr>
          <w:i/>
          <w:iCs/>
        </w:rPr>
        <w:t>Source</w:t>
      </w:r>
      <w:r w:rsidRPr="00404AD7">
        <w:rPr>
          <w:lang w:val="en-US"/>
        </w:rPr>
        <w:t>: Ministry of Justice, Kriminaalpoliitika.ee</w:t>
      </w:r>
    </w:p>
    <w:p w14:paraId="4057E9F3" w14:textId="07B6D6C3" w:rsidR="003C17D2" w:rsidRPr="00404AD7" w:rsidRDefault="003C17D2" w:rsidP="003C17D2">
      <w:pPr>
        <w:pStyle w:val="FootnoteText"/>
        <w:tabs>
          <w:tab w:val="clear" w:pos="418"/>
          <w:tab w:val="right" w:pos="1476"/>
          <w:tab w:val="left" w:pos="1548"/>
          <w:tab w:val="right" w:pos="1836"/>
          <w:tab w:val="left" w:pos="1908"/>
        </w:tabs>
        <w:spacing w:line="120" w:lineRule="exact"/>
        <w:ind w:left="1548" w:right="1267" w:hanging="378"/>
        <w:rPr>
          <w:sz w:val="10"/>
        </w:rPr>
      </w:pPr>
    </w:p>
    <w:p w14:paraId="0C59B542" w14:textId="688B6437" w:rsidR="003C17D2" w:rsidRPr="00404AD7" w:rsidRDefault="003C17D2" w:rsidP="003C17D2">
      <w:pPr>
        <w:pStyle w:val="FootnoteText"/>
        <w:tabs>
          <w:tab w:val="clear" w:pos="418"/>
          <w:tab w:val="right" w:pos="1476"/>
          <w:tab w:val="left" w:pos="1548"/>
          <w:tab w:val="right" w:pos="1836"/>
          <w:tab w:val="left" w:pos="1908"/>
        </w:tabs>
        <w:spacing w:line="120" w:lineRule="exact"/>
        <w:ind w:left="1548" w:right="1267" w:hanging="378"/>
        <w:rPr>
          <w:sz w:val="10"/>
          <w:lang w:val="en-US"/>
        </w:rPr>
      </w:pPr>
    </w:p>
    <w:p w14:paraId="46907782" w14:textId="5CE4BE84" w:rsidR="003C17D2" w:rsidRPr="00404AD7" w:rsidRDefault="003C17D2" w:rsidP="003C17D2">
      <w:pPr>
        <w:pStyle w:val="H23"/>
        <w:tabs>
          <w:tab w:val="right" w:pos="1022"/>
          <w:tab w:val="left" w:pos="1143"/>
          <w:tab w:val="left" w:pos="1742"/>
          <w:tab w:val="left" w:pos="2218"/>
          <w:tab w:val="left" w:pos="2693"/>
          <w:tab w:val="left" w:pos="3182"/>
          <w:tab w:val="left" w:pos="3658"/>
          <w:tab w:val="left" w:pos="4133"/>
          <w:tab w:val="left" w:pos="4622"/>
          <w:tab w:val="left" w:pos="5098"/>
          <w:tab w:val="left" w:pos="5573"/>
          <w:tab w:val="left" w:pos="6048"/>
        </w:tabs>
        <w:ind w:left="1170" w:right="1260" w:hanging="1170"/>
      </w:pPr>
      <w:r w:rsidRPr="00404AD7">
        <w:tab/>
      </w:r>
      <w:r w:rsidRPr="00404AD7">
        <w:tab/>
        <w:t>Table: Distribution of violent crimes related to domestic violence by type of crime in 2021 (%)</w:t>
      </w:r>
    </w:p>
    <w:p w14:paraId="4E6DC8D6" w14:textId="64BEA663" w:rsidR="003C17D2" w:rsidRPr="00404AD7" w:rsidRDefault="003C17D2" w:rsidP="003C17D2">
      <w:pPr>
        <w:pStyle w:val="SingleTxt"/>
        <w:spacing w:after="0" w:line="120" w:lineRule="exact"/>
        <w:rPr>
          <w:sz w:val="10"/>
          <w:lang w:val="en-US"/>
        </w:rPr>
      </w:pPr>
    </w:p>
    <w:p w14:paraId="01020C58" w14:textId="46A0406B" w:rsidR="003C17D2" w:rsidRPr="00404AD7" w:rsidRDefault="003C17D2" w:rsidP="003C17D2">
      <w:pPr>
        <w:pStyle w:val="SingleTxt"/>
        <w:spacing w:after="0" w:line="120" w:lineRule="exact"/>
        <w:rPr>
          <w:sz w:val="10"/>
          <w:lang w:val="en-US"/>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61"/>
        <w:gridCol w:w="3309"/>
      </w:tblGrid>
      <w:tr w:rsidR="003C17D2" w:rsidRPr="00404AD7" w14:paraId="673610D5" w14:textId="77777777" w:rsidTr="003C17D2">
        <w:trPr>
          <w:trHeight w:hRule="exact" w:val="113"/>
        </w:trPr>
        <w:tc>
          <w:tcPr>
            <w:tcW w:w="4061" w:type="dxa"/>
            <w:tcBorders>
              <w:top w:val="single" w:sz="12" w:space="0" w:color="auto"/>
            </w:tcBorders>
            <w:shd w:val="clear" w:color="auto" w:fill="auto"/>
            <w:noWrap/>
          </w:tcPr>
          <w:p w14:paraId="2F73D2CE" w14:textId="77777777" w:rsidR="003C17D2" w:rsidRPr="00404AD7" w:rsidRDefault="003C17D2" w:rsidP="00E53FC8">
            <w:pPr>
              <w:spacing w:before="40" w:after="120"/>
              <w:ind w:right="113"/>
            </w:pPr>
            <w:bookmarkStart w:id="21" w:name="_Hlk108627482"/>
          </w:p>
        </w:tc>
        <w:tc>
          <w:tcPr>
            <w:tcW w:w="3309" w:type="dxa"/>
            <w:tcBorders>
              <w:top w:val="single" w:sz="12" w:space="0" w:color="auto"/>
            </w:tcBorders>
            <w:shd w:val="clear" w:color="auto" w:fill="auto"/>
            <w:noWrap/>
          </w:tcPr>
          <w:p w14:paraId="096AF498" w14:textId="77777777" w:rsidR="003C17D2" w:rsidRPr="00404AD7" w:rsidRDefault="003C17D2" w:rsidP="00E53FC8">
            <w:pPr>
              <w:spacing w:before="40" w:after="120"/>
              <w:ind w:right="113"/>
            </w:pPr>
          </w:p>
        </w:tc>
      </w:tr>
      <w:tr w:rsidR="003C17D2" w:rsidRPr="00404AD7" w14:paraId="64C6EF90" w14:textId="77777777" w:rsidTr="003C17D2">
        <w:tc>
          <w:tcPr>
            <w:tcW w:w="4061" w:type="dxa"/>
            <w:shd w:val="clear" w:color="auto" w:fill="auto"/>
            <w:noWrap/>
          </w:tcPr>
          <w:p w14:paraId="20309C43" w14:textId="77777777" w:rsidR="003C17D2" w:rsidRPr="00404AD7" w:rsidRDefault="003C17D2" w:rsidP="00E53FC8">
            <w:pPr>
              <w:spacing w:before="40" w:after="120"/>
              <w:ind w:right="113"/>
            </w:pPr>
            <w:r w:rsidRPr="00404AD7">
              <w:t>Physical abuse</w:t>
            </w:r>
          </w:p>
        </w:tc>
        <w:tc>
          <w:tcPr>
            <w:tcW w:w="3309" w:type="dxa"/>
            <w:shd w:val="clear" w:color="auto" w:fill="auto"/>
            <w:noWrap/>
          </w:tcPr>
          <w:p w14:paraId="03E78ADD" w14:textId="77777777" w:rsidR="003C17D2" w:rsidRPr="00404AD7" w:rsidRDefault="003C17D2" w:rsidP="00E53FC8">
            <w:pPr>
              <w:spacing w:before="40" w:after="120"/>
              <w:ind w:right="113"/>
            </w:pPr>
            <w:r w:rsidRPr="00404AD7">
              <w:t>83%</w:t>
            </w:r>
          </w:p>
        </w:tc>
      </w:tr>
      <w:tr w:rsidR="003C17D2" w:rsidRPr="00404AD7" w14:paraId="1187CB0F" w14:textId="77777777" w:rsidTr="003C17D2">
        <w:tc>
          <w:tcPr>
            <w:tcW w:w="4061" w:type="dxa"/>
            <w:shd w:val="clear" w:color="auto" w:fill="auto"/>
            <w:noWrap/>
            <w:hideMark/>
          </w:tcPr>
          <w:p w14:paraId="3EE158C1" w14:textId="77777777" w:rsidR="003C17D2" w:rsidRPr="00404AD7" w:rsidRDefault="003C17D2" w:rsidP="00E53FC8">
            <w:pPr>
              <w:spacing w:before="40" w:after="120"/>
              <w:ind w:right="113"/>
            </w:pPr>
            <w:r w:rsidRPr="00404AD7">
              <w:t>Threatening</w:t>
            </w:r>
          </w:p>
        </w:tc>
        <w:tc>
          <w:tcPr>
            <w:tcW w:w="3309" w:type="dxa"/>
            <w:shd w:val="clear" w:color="auto" w:fill="auto"/>
            <w:noWrap/>
            <w:hideMark/>
          </w:tcPr>
          <w:p w14:paraId="6616BE1A" w14:textId="77777777" w:rsidR="003C17D2" w:rsidRPr="00404AD7" w:rsidRDefault="003C17D2" w:rsidP="00E53FC8">
            <w:pPr>
              <w:spacing w:before="40" w:after="120"/>
              <w:ind w:right="113"/>
            </w:pPr>
            <w:r w:rsidRPr="00404AD7">
              <w:t>10%</w:t>
            </w:r>
          </w:p>
        </w:tc>
      </w:tr>
      <w:tr w:rsidR="003C17D2" w:rsidRPr="00404AD7" w14:paraId="45143DA4" w14:textId="77777777" w:rsidTr="003C17D2">
        <w:tc>
          <w:tcPr>
            <w:tcW w:w="4061" w:type="dxa"/>
            <w:shd w:val="clear" w:color="auto" w:fill="auto"/>
            <w:noWrap/>
            <w:hideMark/>
          </w:tcPr>
          <w:p w14:paraId="2185A93C" w14:textId="77777777" w:rsidR="003C17D2" w:rsidRPr="00404AD7" w:rsidRDefault="003C17D2" w:rsidP="00E53FC8">
            <w:pPr>
              <w:spacing w:before="40" w:after="120"/>
              <w:ind w:right="113"/>
            </w:pPr>
            <w:r w:rsidRPr="00404AD7">
              <w:t>Sexual offenses</w:t>
            </w:r>
          </w:p>
        </w:tc>
        <w:tc>
          <w:tcPr>
            <w:tcW w:w="3309" w:type="dxa"/>
            <w:shd w:val="clear" w:color="auto" w:fill="auto"/>
            <w:noWrap/>
            <w:hideMark/>
          </w:tcPr>
          <w:p w14:paraId="1FBA31C6" w14:textId="77777777" w:rsidR="003C17D2" w:rsidRPr="00404AD7" w:rsidRDefault="003C17D2" w:rsidP="00E53FC8">
            <w:pPr>
              <w:spacing w:before="40" w:after="120"/>
              <w:ind w:right="113"/>
            </w:pPr>
            <w:r w:rsidRPr="00404AD7">
              <w:t>5%</w:t>
            </w:r>
          </w:p>
        </w:tc>
      </w:tr>
      <w:tr w:rsidR="003C17D2" w:rsidRPr="00404AD7" w14:paraId="628B6844" w14:textId="77777777" w:rsidTr="003C17D2">
        <w:tc>
          <w:tcPr>
            <w:tcW w:w="4061" w:type="dxa"/>
            <w:tcBorders>
              <w:bottom w:val="single" w:sz="12" w:space="0" w:color="auto"/>
            </w:tcBorders>
            <w:shd w:val="clear" w:color="auto" w:fill="auto"/>
            <w:noWrap/>
            <w:hideMark/>
          </w:tcPr>
          <w:p w14:paraId="348D85B6" w14:textId="77777777" w:rsidR="003C17D2" w:rsidRPr="00404AD7" w:rsidRDefault="003C17D2" w:rsidP="00E53FC8">
            <w:pPr>
              <w:spacing w:before="40" w:after="120"/>
              <w:ind w:right="113"/>
            </w:pPr>
            <w:r w:rsidRPr="00404AD7">
              <w:t>Other violent crimes</w:t>
            </w:r>
          </w:p>
        </w:tc>
        <w:tc>
          <w:tcPr>
            <w:tcW w:w="3309" w:type="dxa"/>
            <w:tcBorders>
              <w:bottom w:val="single" w:sz="12" w:space="0" w:color="auto"/>
            </w:tcBorders>
            <w:shd w:val="clear" w:color="auto" w:fill="auto"/>
            <w:noWrap/>
            <w:hideMark/>
          </w:tcPr>
          <w:p w14:paraId="344F5562" w14:textId="77777777" w:rsidR="003C17D2" w:rsidRPr="00404AD7" w:rsidRDefault="003C17D2" w:rsidP="00E53FC8">
            <w:pPr>
              <w:spacing w:before="40" w:after="120"/>
              <w:ind w:right="113"/>
            </w:pPr>
            <w:r w:rsidRPr="00404AD7">
              <w:t>2%</w:t>
            </w:r>
          </w:p>
        </w:tc>
      </w:tr>
      <w:bookmarkEnd w:id="21"/>
    </w:tbl>
    <w:p w14:paraId="0CD42869" w14:textId="70F9E762" w:rsidR="003C17D2" w:rsidRPr="00404AD7" w:rsidRDefault="003C17D2" w:rsidP="003C17D2">
      <w:pPr>
        <w:pStyle w:val="SingleTxt"/>
        <w:spacing w:after="0" w:line="120" w:lineRule="exact"/>
        <w:rPr>
          <w:sz w:val="10"/>
          <w:lang w:val="en-US"/>
        </w:rPr>
      </w:pPr>
    </w:p>
    <w:p w14:paraId="3E2E94E3" w14:textId="0409D72D" w:rsidR="003C17D2" w:rsidRPr="00404AD7" w:rsidRDefault="003C17D2" w:rsidP="003C17D2">
      <w:pPr>
        <w:pStyle w:val="FootnoteText"/>
        <w:tabs>
          <w:tab w:val="clear" w:pos="418"/>
          <w:tab w:val="right" w:pos="1476"/>
          <w:tab w:val="left" w:pos="1548"/>
          <w:tab w:val="right" w:pos="1836"/>
          <w:tab w:val="left" w:pos="1908"/>
        </w:tabs>
        <w:ind w:left="1548" w:right="1267" w:hanging="378"/>
        <w:rPr>
          <w:lang w:val="en-US"/>
        </w:rPr>
      </w:pPr>
      <w:r w:rsidRPr="00404AD7">
        <w:rPr>
          <w:i/>
          <w:iCs/>
          <w:lang w:val="en-US"/>
        </w:rPr>
        <w:t>Source</w:t>
      </w:r>
      <w:r w:rsidRPr="00404AD7">
        <w:rPr>
          <w:lang w:val="en-US"/>
        </w:rPr>
        <w:t>: Ministry of Justice, Kriminaalpoliitika.ee</w:t>
      </w:r>
    </w:p>
    <w:p w14:paraId="089097FE" w14:textId="2E23990E" w:rsidR="003C17D2" w:rsidRPr="00404AD7" w:rsidRDefault="003C17D2" w:rsidP="003C17D2">
      <w:pPr>
        <w:pStyle w:val="FootnoteText"/>
        <w:tabs>
          <w:tab w:val="clear" w:pos="418"/>
          <w:tab w:val="right" w:pos="1476"/>
          <w:tab w:val="left" w:pos="1548"/>
          <w:tab w:val="right" w:pos="1836"/>
          <w:tab w:val="left" w:pos="1908"/>
        </w:tabs>
        <w:spacing w:line="120" w:lineRule="exact"/>
        <w:ind w:left="1548" w:right="1267" w:hanging="378"/>
        <w:rPr>
          <w:i/>
          <w:iCs/>
          <w:sz w:val="10"/>
          <w:lang w:val="en-US"/>
        </w:rPr>
      </w:pPr>
    </w:p>
    <w:p w14:paraId="26B38741" w14:textId="505881EF" w:rsidR="003C17D2" w:rsidRPr="00404AD7" w:rsidRDefault="003C17D2" w:rsidP="003C17D2">
      <w:pPr>
        <w:pStyle w:val="FootnoteText"/>
        <w:tabs>
          <w:tab w:val="clear" w:pos="418"/>
          <w:tab w:val="right" w:pos="1476"/>
          <w:tab w:val="left" w:pos="1548"/>
          <w:tab w:val="right" w:pos="1836"/>
          <w:tab w:val="left" w:pos="1908"/>
        </w:tabs>
        <w:spacing w:line="120" w:lineRule="exact"/>
        <w:ind w:left="1548" w:right="1267" w:hanging="378"/>
        <w:rPr>
          <w:sz w:val="10"/>
          <w:lang w:val="en-US"/>
        </w:rPr>
      </w:pPr>
    </w:p>
    <w:p w14:paraId="12F208B4" w14:textId="64C77080" w:rsidR="003C17D2" w:rsidRPr="00404AD7" w:rsidRDefault="003C17D2" w:rsidP="00741578">
      <w:pPr>
        <w:pStyle w:val="SingleTxtG"/>
        <w:numPr>
          <w:ilvl w:val="0"/>
          <w:numId w:val="26"/>
        </w:numPr>
        <w:ind w:left="1134" w:right="1200" w:firstLine="0"/>
      </w:pPr>
      <w:r w:rsidRPr="00404AD7">
        <w:t>Violence prevention has always been done in cooperation of the state and civil society. The Governmental Strategy for Preventing Violence in 2015-2020 was implemented in cooperation with NGOs. Also, in preparing for the new Violence Prevention Agreement 2021</w:t>
      </w:r>
      <w:r w:rsidR="00155B97" w:rsidRPr="00404AD7">
        <w:noBreakHyphen/>
      </w:r>
      <w:r w:rsidRPr="00404AD7">
        <w:t>2025, there was close cooperation with the civil society, including women</w:t>
      </w:r>
      <w:r w:rsidR="006B00A5" w:rsidRPr="00404AD7">
        <w:t>’</w:t>
      </w:r>
      <w:r w:rsidRPr="00404AD7">
        <w:t>s NGOs. The Strategy´s implementation is coordinated by the Ministry of Justice. Seven ministries are</w:t>
      </w:r>
      <w:r w:rsidRPr="00404AD7">
        <w:rPr>
          <w:lang w:val="en-US"/>
        </w:rPr>
        <w:t xml:space="preserve"> </w:t>
      </w:r>
      <w:r w:rsidRPr="00404AD7">
        <w:t>responsible for the implementation; their representatives made up the lead group of the Strategy. Violence Prevention network, including all the relevant ministries, police, victim support, prosecutors</w:t>
      </w:r>
      <w:r w:rsidR="006B00A5" w:rsidRPr="00404AD7">
        <w:t>’</w:t>
      </w:r>
      <w:r w:rsidRPr="00404AD7">
        <w:t xml:space="preserve"> office, NGOs etc has its e-mail list and meetings. </w:t>
      </w:r>
    </w:p>
    <w:p w14:paraId="6A44A5F3" w14:textId="17C85B79" w:rsidR="003C17D2" w:rsidRPr="00404AD7" w:rsidRDefault="003C17D2" w:rsidP="00741578">
      <w:pPr>
        <w:pStyle w:val="SingleTxtG"/>
        <w:numPr>
          <w:ilvl w:val="0"/>
          <w:numId w:val="26"/>
        </w:numPr>
        <w:ind w:left="1134" w:right="1200" w:firstLine="0"/>
      </w:pPr>
      <w:r w:rsidRPr="00404AD7">
        <w:t>All the women</w:t>
      </w:r>
      <w:r w:rsidR="006B00A5" w:rsidRPr="00404AD7">
        <w:t>’</w:t>
      </w:r>
      <w:r w:rsidRPr="00404AD7">
        <w:t>s rights organisations receive all law proposals, national strategy proposals etc. relevant to women</w:t>
      </w:r>
      <w:r w:rsidR="006B00A5" w:rsidRPr="00404AD7">
        <w:t>’</w:t>
      </w:r>
      <w:r w:rsidRPr="00404AD7">
        <w:t>s rights protection. There is obligation for every state institution to include interested parties, including citizen</w:t>
      </w:r>
      <w:r w:rsidR="006B00A5" w:rsidRPr="00404AD7">
        <w:t>’</w:t>
      </w:r>
      <w:r w:rsidRPr="00404AD7">
        <w:t>s organisations, into the discussions and decision making. The procedure regarding legislation is described in the Rules for Good Legislative Practice and Legislative Drafting as described in section on National Machinery for the Advancement of Women.</w:t>
      </w:r>
    </w:p>
    <w:p w14:paraId="669F3CD5" w14:textId="77777777" w:rsidR="003C17D2" w:rsidRPr="00404AD7" w:rsidRDefault="003C17D2" w:rsidP="00741578">
      <w:pPr>
        <w:pStyle w:val="SingleTxtG"/>
        <w:numPr>
          <w:ilvl w:val="0"/>
          <w:numId w:val="26"/>
        </w:numPr>
        <w:ind w:left="1134" w:right="1200" w:firstLine="0"/>
      </w:pPr>
      <w:bookmarkStart w:id="22" w:name="_Hlk102472745"/>
      <w:r w:rsidRPr="00404AD7">
        <w:t>The Victim Support Act gives the legislative framework for national victim support. All the services are organised/provided by the SIB and paid from the state budget. Services available for victims of violence against women are following:</w:t>
      </w:r>
    </w:p>
    <w:p w14:paraId="05EDA441" w14:textId="77777777" w:rsidR="003C17D2" w:rsidRPr="00404AD7" w:rsidRDefault="003C17D2" w:rsidP="00741578">
      <w:pPr>
        <w:pStyle w:val="Bullet1G"/>
        <w:ind w:right="1200"/>
      </w:pPr>
      <w:r w:rsidRPr="00404AD7">
        <w:t>National victim support service includes counselling of victims and assisting victims in communicating with state and local government authorities and legal persons. In every county there is at least one victim support specialist working, mostly in joint premises with the police. Most clients of victim support specialists are women who have fallen victims of violence in close relationship;</w:t>
      </w:r>
    </w:p>
    <w:p w14:paraId="08C3022C" w14:textId="73FD8534" w:rsidR="003C17D2" w:rsidRPr="00404AD7" w:rsidRDefault="003C17D2" w:rsidP="00741578">
      <w:pPr>
        <w:pStyle w:val="Bullet1G"/>
        <w:ind w:right="1200"/>
      </w:pPr>
      <w:r w:rsidRPr="00404AD7">
        <w:t>Women</w:t>
      </w:r>
      <w:r w:rsidR="006B00A5" w:rsidRPr="00404AD7">
        <w:t>’</w:t>
      </w:r>
      <w:r w:rsidRPr="00404AD7">
        <w:t>s shelters are specially for victims of violence against women. All service providers are NGOs/women</w:t>
      </w:r>
      <w:r w:rsidR="006B00A5" w:rsidRPr="00404AD7">
        <w:t>’</w:t>
      </w:r>
      <w:r w:rsidRPr="00404AD7">
        <w:t>s organisations. Women</w:t>
      </w:r>
      <w:r w:rsidR="006B00A5" w:rsidRPr="00404AD7">
        <w:t>’</w:t>
      </w:r>
      <w:r w:rsidRPr="00404AD7">
        <w:t xml:space="preserve">s shelters are providing victims with a free service package initial, case-based, and psychological counselling, psychotherapy, legal counselling, and shelter service if necessary. Service is available in every county in Estonia and is accessible 24/7; </w:t>
      </w:r>
    </w:p>
    <w:p w14:paraId="3C36FA12" w14:textId="17D35F9E" w:rsidR="003C17D2" w:rsidRPr="00404AD7" w:rsidRDefault="003C17D2" w:rsidP="00741578">
      <w:pPr>
        <w:pStyle w:val="Bullet1G"/>
        <w:ind w:right="1200"/>
      </w:pPr>
      <w:r w:rsidRPr="00404AD7">
        <w:t xml:space="preserve">Around-the-clock victim support crisis hotline 116 006 for victims of violence, including violence against women. Counsellors provide primary counselling, advice on how to proceed with the case, including suggestions on services and safety planning. Counselling is available also via website </w:t>
      </w:r>
      <w:hyperlink r:id="rId17" w:history="1">
        <w:r w:rsidRPr="00404AD7">
          <w:rPr>
            <w:rStyle w:val="Hyperlink"/>
          </w:rPr>
          <w:t>www.palunabi.ee</w:t>
        </w:r>
      </w:hyperlink>
      <w:r w:rsidRPr="00404AD7">
        <w:t xml:space="preserve">, where one can use chat to contact the counsellor; </w:t>
      </w:r>
    </w:p>
    <w:p w14:paraId="24246533" w14:textId="77777777" w:rsidR="003C17D2" w:rsidRPr="00404AD7" w:rsidRDefault="003C17D2" w:rsidP="00741578">
      <w:pPr>
        <w:pStyle w:val="Bullet1G"/>
        <w:ind w:right="1200"/>
      </w:pPr>
      <w:r w:rsidRPr="00404AD7">
        <w:lastRenderedPageBreak/>
        <w:t xml:space="preserve">Services for victims of sexual abuse/rape are being coordinated by the SIB in cooperation with hospitals, police, NGOs etc. Immediate trauma support and collecting of biological evidence takes place in 4 hospitals in 4 regions (Tallinn, Tartu, </w:t>
      </w:r>
      <w:proofErr w:type="spellStart"/>
      <w:r w:rsidRPr="00404AD7">
        <w:t>Kohtla-Järve</w:t>
      </w:r>
      <w:proofErr w:type="spellEnd"/>
      <w:r w:rsidRPr="00404AD7">
        <w:t xml:space="preserve">, </w:t>
      </w:r>
      <w:proofErr w:type="spellStart"/>
      <w:r w:rsidRPr="00404AD7">
        <w:t>Pärnu</w:t>
      </w:r>
      <w:proofErr w:type="spellEnd"/>
      <w:r w:rsidRPr="00404AD7">
        <w:t>);</w:t>
      </w:r>
    </w:p>
    <w:p w14:paraId="234B1525" w14:textId="77777777" w:rsidR="003C17D2" w:rsidRPr="00404AD7" w:rsidRDefault="003C17D2" w:rsidP="00741578">
      <w:pPr>
        <w:pStyle w:val="Bullet1G"/>
        <w:ind w:right="1200"/>
      </w:pPr>
      <w:r w:rsidRPr="00404AD7">
        <w:t xml:space="preserve">Support services for prostituted/sexually exploited women include psychological, legal, social counselling, medical services, outreach work (services are arranged by the SIB and the Health Development Institute). Prostitution is considered as a form of violence against women and women are treated as victims of violence. Low-threshold services are provided by NGO </w:t>
      </w:r>
      <w:proofErr w:type="spellStart"/>
      <w:r w:rsidRPr="00404AD7">
        <w:t>Eluliin</w:t>
      </w:r>
      <w:proofErr w:type="spellEnd"/>
      <w:r w:rsidRPr="00404AD7">
        <w:t xml:space="preserve"> that has extensive experience in supporting women in prostitution; </w:t>
      </w:r>
    </w:p>
    <w:p w14:paraId="1276E816" w14:textId="77777777" w:rsidR="003C17D2" w:rsidRPr="00404AD7" w:rsidRDefault="003C17D2" w:rsidP="00741578">
      <w:pPr>
        <w:pStyle w:val="Bullet1G"/>
        <w:ind w:right="1200"/>
      </w:pPr>
      <w:r w:rsidRPr="00404AD7">
        <w:t>Services for trafficked men and women include accommodation, catering, financial assistance, psychological and legal counselling, interpretation. Starting from 2021, the service is provided by the SIB to enable better cooperation with the law enforcement and more flexible service provision.</w:t>
      </w:r>
      <w:bookmarkEnd w:id="22"/>
    </w:p>
    <w:p w14:paraId="76B25DF2" w14:textId="5E7A04F8" w:rsidR="003C17D2" w:rsidRPr="00404AD7" w:rsidRDefault="003C17D2" w:rsidP="00741578">
      <w:pPr>
        <w:pStyle w:val="SingleTxtG"/>
        <w:numPr>
          <w:ilvl w:val="0"/>
          <w:numId w:val="26"/>
        </w:numPr>
        <w:ind w:left="1134" w:right="1200" w:firstLine="0"/>
      </w:pPr>
      <w:r w:rsidRPr="00404AD7">
        <w:t>Estonia</w:t>
      </w:r>
      <w:r w:rsidR="006B00A5" w:rsidRPr="00404AD7">
        <w:t>’</w:t>
      </w:r>
      <w:r w:rsidRPr="00404AD7">
        <w:t xml:space="preserve">s new </w:t>
      </w:r>
      <w:r w:rsidRPr="00404AD7">
        <w:rPr>
          <w:lang w:val="en-US"/>
        </w:rPr>
        <w:t xml:space="preserve">strategy </w:t>
      </w:r>
      <w:r w:rsidRPr="00404AD7">
        <w:t>to prevent and fight violence, the Violence Prevention Agreement, was confirmed by the Government in July 2021 and sets out 14 measures for violence prevention. The agreement does not include a complete list of violence prevention activities, but the focus is on problems that still need more attention or have so far been overshadowed or where the expected progress has not been made compared to earlier strategies. Measures or directions of work are following: 1. Attitudes and norms condemning violence and awareness of violence; 2. Prevention of violence in educational institutions, youth work and hobby education and activities; 3. Supporting children and young people who have problems with violence; 4. Prevention and reduction of domestic violence; 5. Recognizing and preventing violence against the elderly; 6. Violence prevention in the digital world; 7. Prevention of human trafficking; 8. Prevention of sexual violence; 9. Specialists</w:t>
      </w:r>
      <w:r w:rsidR="006B00A5" w:rsidRPr="00404AD7">
        <w:t>’</w:t>
      </w:r>
      <w:r w:rsidRPr="00404AD7">
        <w:t xml:space="preserve"> awareness of violence and intervention skills; 10. Victim-friendly procedure; 11. Better protection and support for victims of violence; 12. Supporting non-violence; 13. A stronger role for health and social care providers in preventing violence; 14. Investigating the impact of violence prevention policies. The implementation of the agreement will be monitored annually by the Government. </w:t>
      </w:r>
    </w:p>
    <w:p w14:paraId="33CAF178" w14:textId="27949D3D" w:rsidR="003C17D2" w:rsidRPr="00404AD7" w:rsidRDefault="003C17D2" w:rsidP="00741578">
      <w:pPr>
        <w:pStyle w:val="SingleTxtG"/>
        <w:numPr>
          <w:ilvl w:val="0"/>
          <w:numId w:val="26"/>
        </w:numPr>
        <w:ind w:left="1134" w:right="1200" w:firstLine="0"/>
      </w:pPr>
      <w:r w:rsidRPr="00404AD7">
        <w:t>Estonia is currently drafting a new Victim Support Act. The purpose of the new Victim Support Act is to ensure requirements for service providers, to describe all services provided through victim support to victims of various crimes, to expand the target groups of psychological assistance and to simplify the procedures for compensation to crime victims. The law introduces for the first time the principles of treatment of victims, the educational requirements of specialists working with victims, specifies, among other things, the principles of providing services to victims of human trafficking and supplements the list of services. The law should come into force in 2023. The new law is being drafted in close cooperation with service providers and relevant state organisations, including prosecutor</w:t>
      </w:r>
      <w:r w:rsidR="006B00A5" w:rsidRPr="00404AD7">
        <w:t>’</w:t>
      </w:r>
      <w:r w:rsidRPr="00404AD7">
        <w:t>s office, police, ministries etc.</w:t>
      </w:r>
    </w:p>
    <w:p w14:paraId="0B9E5972" w14:textId="77777777" w:rsidR="003C17D2" w:rsidRPr="00404AD7" w:rsidRDefault="003C17D2" w:rsidP="00741578">
      <w:pPr>
        <w:pStyle w:val="SingleTxtG"/>
        <w:numPr>
          <w:ilvl w:val="0"/>
          <w:numId w:val="26"/>
        </w:numPr>
        <w:ind w:left="1134" w:right="1200" w:firstLine="0"/>
      </w:pPr>
      <w:r w:rsidRPr="00404AD7">
        <w:t>In May 2022 Parliament adopted the amendment of the Penal Code, setting the minimum age of sexual self-determination to sixteen years, with the exception of when the age difference between the legal person and the person aged fourteen to sixteen is not bigger than five years.</w:t>
      </w:r>
    </w:p>
    <w:p w14:paraId="54DA1D84" w14:textId="77777777" w:rsidR="003C17D2" w:rsidRPr="00404AD7" w:rsidRDefault="003C17D2" w:rsidP="00741578">
      <w:pPr>
        <w:pStyle w:val="H1G"/>
        <w:ind w:right="1200"/>
        <w:rPr>
          <w:lang w:val="en-US"/>
        </w:rPr>
      </w:pPr>
      <w:r w:rsidRPr="00404AD7">
        <w:rPr>
          <w:lang w:val="en-US"/>
        </w:rPr>
        <w:tab/>
      </w:r>
      <w:r w:rsidRPr="00404AD7">
        <w:rPr>
          <w:lang w:val="en-US"/>
        </w:rPr>
        <w:tab/>
      </w:r>
      <w:bookmarkStart w:id="23" w:name="_Toc108692396"/>
      <w:r w:rsidRPr="00404AD7">
        <w:rPr>
          <w:lang w:val="en-US"/>
        </w:rPr>
        <w:t>Question 10</w:t>
      </w:r>
      <w:bookmarkEnd w:id="23"/>
    </w:p>
    <w:p w14:paraId="4EAB2625" w14:textId="2308EBAD" w:rsidR="003C17D2" w:rsidRPr="00404AD7" w:rsidRDefault="003C17D2" w:rsidP="00741578">
      <w:pPr>
        <w:pStyle w:val="SingleTxtG"/>
        <w:numPr>
          <w:ilvl w:val="0"/>
          <w:numId w:val="26"/>
        </w:numPr>
        <w:ind w:left="1134" w:right="1200" w:firstLine="0"/>
      </w:pPr>
      <w:r w:rsidRPr="00404AD7">
        <w:t>In view of the previous Committee</w:t>
      </w:r>
      <w:r w:rsidR="006B00A5" w:rsidRPr="00404AD7">
        <w:t>’</w:t>
      </w:r>
      <w:r w:rsidRPr="00404AD7">
        <w:t>s recommendations (para.19 b.), we would like to inform that there have been no developments regarding amending the definition of rape at the Penal Code.</w:t>
      </w:r>
    </w:p>
    <w:p w14:paraId="16E34770" w14:textId="77777777" w:rsidR="003C17D2" w:rsidRPr="00404AD7" w:rsidRDefault="003C17D2" w:rsidP="00741578">
      <w:pPr>
        <w:pStyle w:val="SingleTxtG"/>
        <w:numPr>
          <w:ilvl w:val="0"/>
          <w:numId w:val="26"/>
        </w:numPr>
        <w:ind w:left="1134" w:right="1200" w:firstLine="0"/>
      </w:pPr>
      <w:r w:rsidRPr="00404AD7">
        <w:lastRenderedPageBreak/>
        <w:t>The remarks and behaviours with a sexual or sexist connotation regarding the definition of sexual harassment have been regulated in the GEA.</w:t>
      </w:r>
    </w:p>
    <w:p w14:paraId="2838600B" w14:textId="77777777" w:rsidR="003C17D2" w:rsidRPr="00404AD7" w:rsidRDefault="003C17D2" w:rsidP="00741578">
      <w:pPr>
        <w:pStyle w:val="H1G"/>
        <w:ind w:right="1200"/>
      </w:pPr>
      <w:r w:rsidRPr="00404AD7">
        <w:tab/>
      </w:r>
      <w:r w:rsidRPr="00404AD7">
        <w:tab/>
      </w:r>
      <w:bookmarkStart w:id="24" w:name="_Toc108692397"/>
      <w:r w:rsidRPr="00404AD7">
        <w:t>Question 11</w:t>
      </w:r>
      <w:bookmarkEnd w:id="24"/>
    </w:p>
    <w:p w14:paraId="15C93CFF" w14:textId="77777777" w:rsidR="003C17D2" w:rsidRPr="00404AD7" w:rsidRDefault="003C17D2" w:rsidP="00741578">
      <w:pPr>
        <w:pStyle w:val="SingleTxtG"/>
        <w:numPr>
          <w:ilvl w:val="0"/>
          <w:numId w:val="26"/>
        </w:numPr>
        <w:ind w:left="1134" w:right="1200" w:firstLine="0"/>
      </w:pPr>
      <w:r w:rsidRPr="00404AD7">
        <w:t>In Estonia, violation of restraining order (also named as restriction order according to the § 3312 of Penal Code), or any other measure of protection of personality right imposed by a court decision, is criminalised if this poses a danger to the life, health or property of persons, or is repeated violation. Violation of protection order is punishable by a pecuniary punishment or imprisonment up to one year.</w:t>
      </w:r>
    </w:p>
    <w:p w14:paraId="6435C28C" w14:textId="77777777" w:rsidR="003C17D2" w:rsidRPr="00404AD7" w:rsidRDefault="003C17D2" w:rsidP="00741578">
      <w:pPr>
        <w:pStyle w:val="SingleTxtG"/>
        <w:numPr>
          <w:ilvl w:val="0"/>
          <w:numId w:val="26"/>
        </w:numPr>
        <w:ind w:left="1134" w:right="1200" w:firstLine="0"/>
      </w:pPr>
      <w:r w:rsidRPr="00404AD7">
        <w:t>Number of registered violations of protection orders has been steadily declining in recent years. The data in years 2017-2021 is presented in table 1. A large proportion of all registered violations of restraining orders is committed by a small group of offenders. For example, in 2021, 63% of all violations were committed by nine offenders, in 2019 half of the violations were committed by 5 offenders and in 2017, 79% of all violations were committed by three offenders. The median of registered violations per violator of the restraining order has remained within one or two in recent years. The vast majority of restraining orders in criminal proceedings is applied in cases of domestic violence, mainly in intimate partner violence cases. Thus, a typical violator of a restraining order is a man, who violated a restraining order imposed in order to protect his former partner or spouse.</w:t>
      </w:r>
    </w:p>
    <w:p w14:paraId="6E7D85F0" w14:textId="7E828BD1" w:rsidR="003C17D2" w:rsidRPr="00404AD7" w:rsidRDefault="003C17D2" w:rsidP="00404AD7">
      <w:pPr>
        <w:pStyle w:val="FootnoteText"/>
        <w:tabs>
          <w:tab w:val="clear" w:pos="418"/>
          <w:tab w:val="left" w:pos="1188"/>
          <w:tab w:val="right" w:pos="1836"/>
          <w:tab w:val="left" w:pos="1908"/>
        </w:tabs>
        <w:spacing w:before="240"/>
        <w:ind w:left="1123" w:right="1195" w:firstLine="0"/>
        <w:rPr>
          <w:b/>
          <w:bCs/>
          <w:sz w:val="20"/>
        </w:rPr>
      </w:pPr>
      <w:bookmarkStart w:id="25" w:name="_Toc108692398"/>
      <w:r w:rsidRPr="00404AD7">
        <w:rPr>
          <w:b/>
          <w:bCs/>
          <w:sz w:val="20"/>
        </w:rPr>
        <w:t>Table: Number of registered violations of restraining orders (§ 3312 of Penal Code), 2017-2021</w:t>
      </w:r>
      <w:bookmarkEnd w:id="25"/>
    </w:p>
    <w:p w14:paraId="713AC789" w14:textId="7705C149" w:rsidR="009D405A" w:rsidRPr="00404AD7" w:rsidRDefault="009D405A" w:rsidP="009D405A">
      <w:pPr>
        <w:pStyle w:val="FootnoteText"/>
        <w:tabs>
          <w:tab w:val="clear" w:pos="418"/>
          <w:tab w:val="left" w:pos="1188"/>
          <w:tab w:val="right" w:pos="1836"/>
          <w:tab w:val="left" w:pos="1908"/>
        </w:tabs>
        <w:spacing w:line="120" w:lineRule="exact"/>
        <w:ind w:left="1123" w:right="1195" w:firstLine="0"/>
        <w:rPr>
          <w:b/>
          <w:bCs/>
          <w:sz w:val="10"/>
        </w:rPr>
      </w:pPr>
    </w:p>
    <w:p w14:paraId="32D50ABA" w14:textId="64BF6407" w:rsidR="009D405A" w:rsidRPr="00404AD7" w:rsidRDefault="009D405A" w:rsidP="009D405A">
      <w:pPr>
        <w:pStyle w:val="FootnoteText"/>
        <w:tabs>
          <w:tab w:val="clear" w:pos="418"/>
          <w:tab w:val="left" w:pos="1188"/>
          <w:tab w:val="right" w:pos="1836"/>
          <w:tab w:val="left" w:pos="1908"/>
        </w:tabs>
        <w:spacing w:line="120" w:lineRule="exact"/>
        <w:ind w:left="1123" w:right="1195" w:firstLine="0"/>
        <w:rPr>
          <w:b/>
          <w:bCs/>
          <w:sz w:val="10"/>
        </w:rPr>
      </w:pPr>
    </w:p>
    <w:tbl>
      <w:tblPr>
        <w:tblStyle w:val="TableGrid"/>
        <w:tblW w:w="7513" w:type="dxa"/>
        <w:tblInd w:w="1136"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617"/>
      </w:tblGrid>
      <w:tr w:rsidR="00D90E5C" w:rsidRPr="00404AD7" w14:paraId="01909171" w14:textId="77777777" w:rsidTr="00E4290E">
        <w:trPr>
          <w:tblHeader/>
        </w:trPr>
        <w:tc>
          <w:tcPr>
            <w:tcW w:w="1474" w:type="dxa"/>
            <w:shd w:val="clear" w:color="auto" w:fill="auto"/>
            <w:vAlign w:val="bottom"/>
          </w:tcPr>
          <w:p w14:paraId="682D4AD1" w14:textId="0A385936" w:rsidR="00D90E5C" w:rsidRPr="00404AD7" w:rsidRDefault="00D90E5C" w:rsidP="00D91D8E">
            <w:pPr>
              <w:pStyle w:val="SingleTxtG"/>
              <w:tabs>
                <w:tab w:val="clear" w:pos="1701"/>
                <w:tab w:val="clear" w:pos="2268"/>
                <w:tab w:val="clear" w:pos="2835"/>
              </w:tabs>
              <w:suppressAutoHyphens w:val="0"/>
              <w:spacing w:before="80" w:after="80" w:line="200" w:lineRule="exact"/>
              <w:ind w:left="0" w:right="895"/>
              <w:jc w:val="left"/>
              <w:rPr>
                <w:i/>
                <w:sz w:val="16"/>
              </w:rPr>
            </w:pPr>
            <w:r w:rsidRPr="00404AD7">
              <w:rPr>
                <w:i/>
                <w:sz w:val="16"/>
              </w:rPr>
              <w:t>20</w:t>
            </w:r>
            <w:r w:rsidR="00E4290E" w:rsidRPr="00404AD7">
              <w:rPr>
                <w:i/>
                <w:sz w:val="16"/>
              </w:rPr>
              <w:t>1</w:t>
            </w:r>
            <w:r w:rsidRPr="00404AD7">
              <w:rPr>
                <w:i/>
                <w:sz w:val="16"/>
              </w:rPr>
              <w:t>7</w:t>
            </w:r>
          </w:p>
        </w:tc>
        <w:tc>
          <w:tcPr>
            <w:tcW w:w="1474" w:type="dxa"/>
            <w:shd w:val="clear" w:color="auto" w:fill="auto"/>
            <w:vAlign w:val="bottom"/>
          </w:tcPr>
          <w:p w14:paraId="2C9C19E8" w14:textId="77777777" w:rsidR="00D90E5C" w:rsidRPr="00404AD7" w:rsidRDefault="00D90E5C" w:rsidP="00D91D8E">
            <w:pPr>
              <w:pStyle w:val="SingleTxtG"/>
              <w:tabs>
                <w:tab w:val="clear" w:pos="1701"/>
                <w:tab w:val="clear" w:pos="2268"/>
                <w:tab w:val="clear" w:pos="2835"/>
              </w:tabs>
              <w:suppressAutoHyphens w:val="0"/>
              <w:spacing w:before="80" w:after="80" w:line="200" w:lineRule="exact"/>
              <w:ind w:left="144" w:right="43"/>
              <w:jc w:val="right"/>
              <w:rPr>
                <w:i/>
                <w:sz w:val="16"/>
              </w:rPr>
            </w:pPr>
            <w:r w:rsidRPr="00404AD7">
              <w:rPr>
                <w:i/>
                <w:sz w:val="16"/>
              </w:rPr>
              <w:t>2018</w:t>
            </w:r>
          </w:p>
        </w:tc>
        <w:tc>
          <w:tcPr>
            <w:tcW w:w="1474" w:type="dxa"/>
            <w:shd w:val="clear" w:color="auto" w:fill="auto"/>
            <w:vAlign w:val="bottom"/>
          </w:tcPr>
          <w:p w14:paraId="7B9A94EC" w14:textId="77777777" w:rsidR="00D90E5C" w:rsidRPr="00404AD7" w:rsidRDefault="00D90E5C" w:rsidP="00D91D8E">
            <w:pPr>
              <w:pStyle w:val="SingleTxtG"/>
              <w:tabs>
                <w:tab w:val="clear" w:pos="1701"/>
                <w:tab w:val="clear" w:pos="2268"/>
                <w:tab w:val="clear" w:pos="2835"/>
              </w:tabs>
              <w:suppressAutoHyphens w:val="0"/>
              <w:spacing w:before="80" w:after="80" w:line="200" w:lineRule="exact"/>
              <w:ind w:left="144" w:right="43"/>
              <w:jc w:val="right"/>
              <w:rPr>
                <w:i/>
                <w:sz w:val="16"/>
              </w:rPr>
            </w:pPr>
            <w:r w:rsidRPr="00404AD7">
              <w:rPr>
                <w:i/>
                <w:sz w:val="16"/>
              </w:rPr>
              <w:t>2019</w:t>
            </w:r>
          </w:p>
        </w:tc>
        <w:tc>
          <w:tcPr>
            <w:tcW w:w="1474" w:type="dxa"/>
            <w:shd w:val="clear" w:color="auto" w:fill="auto"/>
            <w:vAlign w:val="bottom"/>
          </w:tcPr>
          <w:p w14:paraId="7450120D" w14:textId="77777777" w:rsidR="00D90E5C" w:rsidRPr="00404AD7" w:rsidRDefault="00D90E5C" w:rsidP="00D91D8E">
            <w:pPr>
              <w:pStyle w:val="SingleTxtG"/>
              <w:tabs>
                <w:tab w:val="clear" w:pos="1701"/>
                <w:tab w:val="clear" w:pos="2268"/>
                <w:tab w:val="clear" w:pos="2835"/>
              </w:tabs>
              <w:suppressAutoHyphens w:val="0"/>
              <w:spacing w:before="80" w:after="80" w:line="200" w:lineRule="exact"/>
              <w:ind w:left="144" w:right="43"/>
              <w:jc w:val="right"/>
              <w:rPr>
                <w:i/>
                <w:sz w:val="16"/>
              </w:rPr>
            </w:pPr>
            <w:r w:rsidRPr="00404AD7">
              <w:rPr>
                <w:i/>
                <w:sz w:val="16"/>
              </w:rPr>
              <w:t>2020</w:t>
            </w:r>
          </w:p>
        </w:tc>
        <w:tc>
          <w:tcPr>
            <w:tcW w:w="1617" w:type="dxa"/>
            <w:shd w:val="clear" w:color="auto" w:fill="auto"/>
            <w:vAlign w:val="bottom"/>
          </w:tcPr>
          <w:p w14:paraId="3ED1615A" w14:textId="77777777" w:rsidR="00D90E5C" w:rsidRPr="00404AD7" w:rsidRDefault="00D90E5C" w:rsidP="00D91D8E">
            <w:pPr>
              <w:pStyle w:val="SingleTxtG"/>
              <w:tabs>
                <w:tab w:val="clear" w:pos="1701"/>
                <w:tab w:val="clear" w:pos="2268"/>
                <w:tab w:val="clear" w:pos="2835"/>
              </w:tabs>
              <w:suppressAutoHyphens w:val="0"/>
              <w:spacing w:before="80" w:after="80" w:line="200" w:lineRule="exact"/>
              <w:ind w:left="144" w:right="43"/>
              <w:jc w:val="right"/>
              <w:rPr>
                <w:i/>
                <w:sz w:val="16"/>
              </w:rPr>
            </w:pPr>
            <w:r w:rsidRPr="00404AD7">
              <w:rPr>
                <w:i/>
                <w:sz w:val="16"/>
              </w:rPr>
              <w:t>2021</w:t>
            </w:r>
          </w:p>
        </w:tc>
      </w:tr>
      <w:tr w:rsidR="00D90E5C" w:rsidRPr="00404AD7" w14:paraId="1820E83E" w14:textId="77777777" w:rsidTr="00E4290E">
        <w:tc>
          <w:tcPr>
            <w:tcW w:w="1474" w:type="dxa"/>
            <w:shd w:val="clear" w:color="auto" w:fill="auto"/>
          </w:tcPr>
          <w:p w14:paraId="22284411" w14:textId="77777777" w:rsidR="00D90E5C" w:rsidRPr="00404AD7" w:rsidRDefault="00D90E5C" w:rsidP="00741578">
            <w:pPr>
              <w:pStyle w:val="SingleTxtG"/>
              <w:tabs>
                <w:tab w:val="clear" w:pos="1701"/>
                <w:tab w:val="clear" w:pos="2268"/>
                <w:tab w:val="clear" w:pos="2835"/>
              </w:tabs>
              <w:suppressAutoHyphens w:val="0"/>
              <w:spacing w:before="40" w:after="40" w:line="220" w:lineRule="exact"/>
              <w:ind w:left="0" w:right="1200"/>
              <w:jc w:val="left"/>
              <w:rPr>
                <w:sz w:val="18"/>
              </w:rPr>
            </w:pPr>
            <w:r w:rsidRPr="00404AD7">
              <w:rPr>
                <w:sz w:val="18"/>
              </w:rPr>
              <w:t>193</w:t>
            </w:r>
          </w:p>
        </w:tc>
        <w:tc>
          <w:tcPr>
            <w:tcW w:w="1474" w:type="dxa"/>
            <w:shd w:val="clear" w:color="auto" w:fill="auto"/>
            <w:vAlign w:val="bottom"/>
          </w:tcPr>
          <w:p w14:paraId="7DC7F380" w14:textId="77777777" w:rsidR="00D90E5C" w:rsidRPr="00404AD7" w:rsidRDefault="00D90E5C" w:rsidP="00D91D8E">
            <w:pPr>
              <w:pStyle w:val="SingleTxtG"/>
              <w:tabs>
                <w:tab w:val="clear" w:pos="1701"/>
                <w:tab w:val="clear" w:pos="2268"/>
                <w:tab w:val="clear" w:pos="2835"/>
              </w:tabs>
              <w:suppressAutoHyphens w:val="0"/>
              <w:spacing w:before="40" w:after="40" w:line="220" w:lineRule="exact"/>
              <w:ind w:left="144" w:right="43"/>
              <w:jc w:val="right"/>
              <w:rPr>
                <w:sz w:val="18"/>
              </w:rPr>
            </w:pPr>
            <w:r w:rsidRPr="00404AD7">
              <w:rPr>
                <w:sz w:val="18"/>
              </w:rPr>
              <w:t>176</w:t>
            </w:r>
          </w:p>
        </w:tc>
        <w:tc>
          <w:tcPr>
            <w:tcW w:w="1474" w:type="dxa"/>
            <w:shd w:val="clear" w:color="auto" w:fill="auto"/>
            <w:vAlign w:val="bottom"/>
          </w:tcPr>
          <w:p w14:paraId="7AD56B19" w14:textId="77777777" w:rsidR="00D90E5C" w:rsidRPr="00404AD7" w:rsidRDefault="00D90E5C" w:rsidP="00D91D8E">
            <w:pPr>
              <w:pStyle w:val="SingleTxtG"/>
              <w:tabs>
                <w:tab w:val="clear" w:pos="1701"/>
                <w:tab w:val="clear" w:pos="2268"/>
                <w:tab w:val="clear" w:pos="2835"/>
              </w:tabs>
              <w:suppressAutoHyphens w:val="0"/>
              <w:spacing w:before="40" w:after="40" w:line="220" w:lineRule="exact"/>
              <w:ind w:left="144" w:right="43"/>
              <w:jc w:val="right"/>
              <w:rPr>
                <w:sz w:val="18"/>
              </w:rPr>
            </w:pPr>
            <w:r w:rsidRPr="00404AD7">
              <w:rPr>
                <w:sz w:val="18"/>
              </w:rPr>
              <w:t>113</w:t>
            </w:r>
          </w:p>
        </w:tc>
        <w:tc>
          <w:tcPr>
            <w:tcW w:w="1474" w:type="dxa"/>
            <w:shd w:val="clear" w:color="auto" w:fill="auto"/>
            <w:vAlign w:val="bottom"/>
          </w:tcPr>
          <w:p w14:paraId="687A8E66" w14:textId="77777777" w:rsidR="00D90E5C" w:rsidRPr="00404AD7" w:rsidRDefault="00D90E5C" w:rsidP="00D91D8E">
            <w:pPr>
              <w:pStyle w:val="SingleTxtG"/>
              <w:tabs>
                <w:tab w:val="clear" w:pos="1701"/>
                <w:tab w:val="clear" w:pos="2268"/>
                <w:tab w:val="clear" w:pos="2835"/>
              </w:tabs>
              <w:suppressAutoHyphens w:val="0"/>
              <w:spacing w:before="40" w:after="40" w:line="220" w:lineRule="exact"/>
              <w:ind w:left="144" w:right="43"/>
              <w:jc w:val="right"/>
              <w:rPr>
                <w:sz w:val="18"/>
              </w:rPr>
            </w:pPr>
            <w:r w:rsidRPr="00404AD7">
              <w:rPr>
                <w:sz w:val="18"/>
              </w:rPr>
              <w:t>79</w:t>
            </w:r>
          </w:p>
        </w:tc>
        <w:tc>
          <w:tcPr>
            <w:tcW w:w="1617" w:type="dxa"/>
            <w:shd w:val="clear" w:color="auto" w:fill="auto"/>
            <w:vAlign w:val="bottom"/>
          </w:tcPr>
          <w:p w14:paraId="40B5C3AF" w14:textId="77777777" w:rsidR="00D90E5C" w:rsidRPr="00404AD7" w:rsidRDefault="00D90E5C" w:rsidP="00D91D8E">
            <w:pPr>
              <w:pStyle w:val="SingleTxtG"/>
              <w:tabs>
                <w:tab w:val="clear" w:pos="1701"/>
                <w:tab w:val="clear" w:pos="2268"/>
                <w:tab w:val="clear" w:pos="2835"/>
              </w:tabs>
              <w:suppressAutoHyphens w:val="0"/>
              <w:spacing w:before="40" w:after="40" w:line="220" w:lineRule="exact"/>
              <w:ind w:left="144" w:right="43"/>
              <w:jc w:val="right"/>
              <w:rPr>
                <w:sz w:val="18"/>
              </w:rPr>
            </w:pPr>
            <w:r w:rsidRPr="00404AD7">
              <w:rPr>
                <w:sz w:val="18"/>
              </w:rPr>
              <w:t>60</w:t>
            </w:r>
          </w:p>
        </w:tc>
      </w:tr>
    </w:tbl>
    <w:p w14:paraId="050056C1" w14:textId="4441DDAC" w:rsidR="00FD55F3" w:rsidRPr="00404AD7" w:rsidRDefault="00FD55F3" w:rsidP="006C07C2">
      <w:pPr>
        <w:pStyle w:val="FootnoteText"/>
        <w:tabs>
          <w:tab w:val="clear" w:pos="418"/>
          <w:tab w:val="right" w:pos="1476"/>
          <w:tab w:val="left" w:pos="1548"/>
          <w:tab w:val="right" w:pos="1836"/>
          <w:tab w:val="left" w:pos="1908"/>
        </w:tabs>
        <w:spacing w:line="120" w:lineRule="exact"/>
        <w:ind w:left="1548" w:right="1110" w:hanging="423"/>
        <w:rPr>
          <w:sz w:val="10"/>
        </w:rPr>
      </w:pPr>
    </w:p>
    <w:p w14:paraId="2DE1EE32" w14:textId="05ABAB5E" w:rsidR="006C07C2" w:rsidRPr="00404AD7" w:rsidRDefault="007C1EBA" w:rsidP="00FD55F3">
      <w:pPr>
        <w:pStyle w:val="FootnoteText"/>
        <w:tabs>
          <w:tab w:val="clear" w:pos="418"/>
          <w:tab w:val="right" w:pos="1476"/>
          <w:tab w:val="left" w:pos="1548"/>
          <w:tab w:val="right" w:pos="1836"/>
          <w:tab w:val="left" w:pos="1908"/>
        </w:tabs>
        <w:ind w:left="1548" w:right="1110" w:hanging="423"/>
      </w:pPr>
      <w:r w:rsidRPr="00404AD7">
        <w:rPr>
          <w:i/>
          <w:iCs/>
        </w:rPr>
        <w:t>Source: The Ministry of Justice</w:t>
      </w:r>
    </w:p>
    <w:p w14:paraId="25D9DCA3" w14:textId="31F2287D" w:rsidR="002F7158" w:rsidRPr="00404AD7" w:rsidRDefault="002F7158" w:rsidP="002F7158">
      <w:pPr>
        <w:pStyle w:val="FootnoteText"/>
        <w:tabs>
          <w:tab w:val="clear" w:pos="418"/>
          <w:tab w:val="right" w:pos="1476"/>
          <w:tab w:val="left" w:pos="1548"/>
          <w:tab w:val="right" w:pos="1836"/>
          <w:tab w:val="left" w:pos="1908"/>
        </w:tabs>
        <w:spacing w:line="120" w:lineRule="exact"/>
        <w:ind w:left="1548" w:right="1110" w:hanging="423"/>
        <w:rPr>
          <w:sz w:val="10"/>
        </w:rPr>
      </w:pPr>
    </w:p>
    <w:p w14:paraId="51B98EF6" w14:textId="25F4A097" w:rsidR="005C146D" w:rsidRPr="00404AD7" w:rsidRDefault="005C146D" w:rsidP="005C146D">
      <w:pPr>
        <w:pStyle w:val="SingleTxt"/>
        <w:spacing w:after="0" w:line="120" w:lineRule="exact"/>
        <w:ind w:hanging="97"/>
        <w:rPr>
          <w:sz w:val="10"/>
        </w:rPr>
      </w:pPr>
    </w:p>
    <w:p w14:paraId="56AE4D35" w14:textId="2F1B7E85" w:rsidR="005C146D" w:rsidRPr="00404AD7" w:rsidRDefault="005C146D" w:rsidP="005C146D">
      <w:pPr>
        <w:pStyle w:val="SingleTxtG"/>
        <w:numPr>
          <w:ilvl w:val="0"/>
          <w:numId w:val="26"/>
        </w:numPr>
        <w:ind w:left="1134" w:right="1200" w:firstLine="0"/>
      </w:pPr>
      <w:r w:rsidRPr="00404AD7">
        <w:t>Data of detained persons, who have been suspected in violation of restraining orders, is presented in the following table. In most cases, persons detained were also suspected of crimes other than violation of protection order.</w:t>
      </w:r>
    </w:p>
    <w:p w14:paraId="4CD16DF0" w14:textId="6DDD801C" w:rsidR="0097341C" w:rsidRPr="00404AD7" w:rsidRDefault="00FD794F" w:rsidP="0012341E">
      <w:pPr>
        <w:pStyle w:val="FootnoteText"/>
        <w:tabs>
          <w:tab w:val="clear" w:pos="418"/>
          <w:tab w:val="right" w:pos="1476"/>
          <w:tab w:val="left" w:pos="1548"/>
          <w:tab w:val="right" w:pos="1836"/>
          <w:tab w:val="left" w:pos="1908"/>
        </w:tabs>
        <w:spacing w:before="240"/>
        <w:ind w:left="1123" w:right="1195" w:firstLine="0"/>
        <w:rPr>
          <w:b/>
          <w:sz w:val="20"/>
        </w:rPr>
      </w:pPr>
      <w:bookmarkStart w:id="26" w:name="_Toc108692399"/>
      <w:r w:rsidRPr="00404AD7">
        <w:tab/>
      </w:r>
      <w:r w:rsidRPr="00404AD7">
        <w:rPr>
          <w:b/>
          <w:bCs/>
          <w:sz w:val="20"/>
        </w:rPr>
        <w:t>Table: Number of persons detained during the year, who have been violating protection order, 2018-2021</w:t>
      </w:r>
      <w:bookmarkEnd w:id="26"/>
    </w:p>
    <w:p w14:paraId="13DFBF91" w14:textId="4B18074B" w:rsidR="00FD794F" w:rsidRPr="00404AD7" w:rsidRDefault="00FD794F" w:rsidP="00FD794F">
      <w:pPr>
        <w:pStyle w:val="SingleTxtG"/>
        <w:spacing w:after="0" w:line="120" w:lineRule="exact"/>
        <w:ind w:right="1200"/>
        <w:rPr>
          <w:b/>
          <w:bCs/>
          <w:sz w:val="10"/>
        </w:rPr>
      </w:pPr>
    </w:p>
    <w:p w14:paraId="73DCA2AF" w14:textId="77777777" w:rsidR="00FD794F" w:rsidRPr="00404AD7" w:rsidRDefault="00FD794F" w:rsidP="00FD794F">
      <w:pPr>
        <w:pStyle w:val="SingleTxtG"/>
        <w:spacing w:after="0" w:line="120" w:lineRule="exact"/>
        <w:ind w:right="1200"/>
        <w:rPr>
          <w:b/>
          <w:bCs/>
          <w:sz w:val="10"/>
        </w:rPr>
      </w:pPr>
    </w:p>
    <w:tbl>
      <w:tblPr>
        <w:tblStyle w:val="TableGrid"/>
        <w:tblW w:w="7479"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952"/>
      </w:tblGrid>
      <w:tr w:rsidR="00E4290E" w:rsidRPr="00404AD7" w14:paraId="52BD8CDB" w14:textId="77777777" w:rsidTr="00E4290E">
        <w:trPr>
          <w:tblHeader/>
        </w:trPr>
        <w:tc>
          <w:tcPr>
            <w:tcW w:w="1842" w:type="dxa"/>
            <w:shd w:val="clear" w:color="auto" w:fill="auto"/>
            <w:vAlign w:val="bottom"/>
          </w:tcPr>
          <w:p w14:paraId="3575468C" w14:textId="77777777" w:rsidR="00E4290E" w:rsidRPr="00404AD7" w:rsidRDefault="00E4290E" w:rsidP="00E53FC8">
            <w:pPr>
              <w:pStyle w:val="SingleTxtG"/>
              <w:tabs>
                <w:tab w:val="clear" w:pos="1701"/>
                <w:tab w:val="clear" w:pos="2268"/>
                <w:tab w:val="clear" w:pos="2835"/>
              </w:tabs>
              <w:suppressAutoHyphens w:val="0"/>
              <w:spacing w:before="80" w:after="80" w:line="200" w:lineRule="exact"/>
              <w:ind w:left="0" w:right="0"/>
              <w:jc w:val="left"/>
              <w:rPr>
                <w:i/>
                <w:sz w:val="16"/>
              </w:rPr>
            </w:pPr>
            <w:r w:rsidRPr="00404AD7">
              <w:rPr>
                <w:i/>
                <w:sz w:val="16"/>
              </w:rPr>
              <w:t>2018</w:t>
            </w:r>
          </w:p>
        </w:tc>
        <w:tc>
          <w:tcPr>
            <w:tcW w:w="1842" w:type="dxa"/>
            <w:shd w:val="clear" w:color="auto" w:fill="auto"/>
            <w:vAlign w:val="bottom"/>
          </w:tcPr>
          <w:p w14:paraId="6F20470B" w14:textId="77777777" w:rsidR="00E4290E" w:rsidRPr="00404AD7" w:rsidRDefault="00E4290E"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2019</w:t>
            </w:r>
          </w:p>
        </w:tc>
        <w:tc>
          <w:tcPr>
            <w:tcW w:w="1843" w:type="dxa"/>
            <w:shd w:val="clear" w:color="auto" w:fill="auto"/>
            <w:vAlign w:val="bottom"/>
          </w:tcPr>
          <w:p w14:paraId="44525733" w14:textId="77777777" w:rsidR="00E4290E" w:rsidRPr="00404AD7" w:rsidRDefault="00E4290E"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2020</w:t>
            </w:r>
          </w:p>
        </w:tc>
        <w:tc>
          <w:tcPr>
            <w:tcW w:w="1952" w:type="dxa"/>
            <w:shd w:val="clear" w:color="auto" w:fill="auto"/>
            <w:vAlign w:val="bottom"/>
          </w:tcPr>
          <w:p w14:paraId="25E81014" w14:textId="77777777" w:rsidR="00E4290E" w:rsidRPr="00404AD7" w:rsidRDefault="00E4290E"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2021</w:t>
            </w:r>
          </w:p>
        </w:tc>
      </w:tr>
      <w:tr w:rsidR="00E4290E" w:rsidRPr="00404AD7" w14:paraId="6BE2CF45" w14:textId="77777777" w:rsidTr="00E4290E">
        <w:tc>
          <w:tcPr>
            <w:tcW w:w="1842" w:type="dxa"/>
            <w:shd w:val="clear" w:color="auto" w:fill="auto"/>
          </w:tcPr>
          <w:p w14:paraId="4CD1933C" w14:textId="77777777" w:rsidR="00E4290E" w:rsidRPr="00404AD7" w:rsidRDefault="00E4290E"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5*</w:t>
            </w:r>
          </w:p>
        </w:tc>
        <w:tc>
          <w:tcPr>
            <w:tcW w:w="1842" w:type="dxa"/>
            <w:shd w:val="clear" w:color="auto" w:fill="auto"/>
            <w:vAlign w:val="bottom"/>
          </w:tcPr>
          <w:p w14:paraId="1F0A514C" w14:textId="77777777" w:rsidR="00E4290E" w:rsidRPr="00404AD7" w:rsidRDefault="00E4290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8**</w:t>
            </w:r>
          </w:p>
        </w:tc>
        <w:tc>
          <w:tcPr>
            <w:tcW w:w="1843" w:type="dxa"/>
            <w:shd w:val="clear" w:color="auto" w:fill="auto"/>
            <w:vAlign w:val="bottom"/>
          </w:tcPr>
          <w:p w14:paraId="69DD84AF" w14:textId="77777777" w:rsidR="00E4290E" w:rsidRPr="00404AD7" w:rsidRDefault="00E4290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13*</w:t>
            </w:r>
          </w:p>
        </w:tc>
        <w:tc>
          <w:tcPr>
            <w:tcW w:w="1952" w:type="dxa"/>
            <w:shd w:val="clear" w:color="auto" w:fill="auto"/>
            <w:vAlign w:val="bottom"/>
          </w:tcPr>
          <w:p w14:paraId="723810A0" w14:textId="77777777" w:rsidR="00E4290E" w:rsidRPr="00404AD7" w:rsidRDefault="00E4290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6</w:t>
            </w:r>
          </w:p>
        </w:tc>
      </w:tr>
    </w:tbl>
    <w:p w14:paraId="5F844C3C" w14:textId="32A3929C" w:rsidR="00FD794F" w:rsidRPr="00404AD7" w:rsidRDefault="00FD794F" w:rsidP="00556101">
      <w:pPr>
        <w:pStyle w:val="SingleTxtG"/>
        <w:spacing w:after="0" w:line="120" w:lineRule="exact"/>
        <w:ind w:right="1200"/>
        <w:rPr>
          <w:sz w:val="10"/>
        </w:rPr>
      </w:pPr>
    </w:p>
    <w:p w14:paraId="0186A8B8" w14:textId="77777777" w:rsidR="00A62511" w:rsidRPr="00404AD7" w:rsidRDefault="00A62511" w:rsidP="00A62511">
      <w:pPr>
        <w:pStyle w:val="FootnoteText"/>
        <w:tabs>
          <w:tab w:val="clear" w:pos="418"/>
          <w:tab w:val="right" w:pos="1476"/>
          <w:tab w:val="left" w:pos="1548"/>
          <w:tab w:val="right" w:pos="1836"/>
          <w:tab w:val="left" w:pos="1908"/>
        </w:tabs>
        <w:ind w:left="1548" w:right="1110" w:hanging="423"/>
        <w:rPr>
          <w:i/>
          <w:iCs/>
        </w:rPr>
      </w:pPr>
      <w:r w:rsidRPr="00404AD7">
        <w:rPr>
          <w:i/>
          <w:iCs/>
        </w:rPr>
        <w:t>* One person was detained twice per year.</w:t>
      </w:r>
    </w:p>
    <w:p w14:paraId="26033CCA" w14:textId="10671094" w:rsidR="00A62511" w:rsidRPr="00404AD7" w:rsidRDefault="00A62511" w:rsidP="00A62511">
      <w:pPr>
        <w:pStyle w:val="FootnoteText"/>
        <w:tabs>
          <w:tab w:val="clear" w:pos="418"/>
          <w:tab w:val="right" w:pos="1476"/>
          <w:tab w:val="left" w:pos="1548"/>
          <w:tab w:val="right" w:pos="1836"/>
          <w:tab w:val="left" w:pos="1908"/>
        </w:tabs>
        <w:ind w:left="1548" w:right="1110" w:hanging="423"/>
        <w:rPr>
          <w:i/>
          <w:iCs/>
        </w:rPr>
      </w:pPr>
      <w:r w:rsidRPr="00404AD7">
        <w:rPr>
          <w:i/>
          <w:iCs/>
        </w:rPr>
        <w:tab/>
        <w:t>** Two persons were detained twice per year.</w:t>
      </w:r>
    </w:p>
    <w:p w14:paraId="483C4B08" w14:textId="332B8319" w:rsidR="00556101" w:rsidRPr="00404AD7" w:rsidRDefault="00A62511" w:rsidP="00A62511">
      <w:pPr>
        <w:pStyle w:val="FootnoteText"/>
        <w:tabs>
          <w:tab w:val="clear" w:pos="418"/>
          <w:tab w:val="right" w:pos="1476"/>
          <w:tab w:val="left" w:pos="1548"/>
          <w:tab w:val="right" w:pos="1836"/>
          <w:tab w:val="left" w:pos="1908"/>
        </w:tabs>
        <w:ind w:left="1548" w:right="1110" w:hanging="423"/>
      </w:pPr>
      <w:r w:rsidRPr="00404AD7">
        <w:rPr>
          <w:i/>
          <w:iCs/>
        </w:rPr>
        <w:tab/>
        <w:t>Source: The Ministry of Justice</w:t>
      </w:r>
    </w:p>
    <w:p w14:paraId="27512788" w14:textId="6F6650E3" w:rsidR="009B544C" w:rsidRPr="00404AD7" w:rsidRDefault="009B544C" w:rsidP="009B544C">
      <w:pPr>
        <w:pStyle w:val="FootnoteText"/>
        <w:tabs>
          <w:tab w:val="clear" w:pos="418"/>
          <w:tab w:val="right" w:pos="1476"/>
          <w:tab w:val="left" w:pos="1548"/>
          <w:tab w:val="right" w:pos="1836"/>
          <w:tab w:val="left" w:pos="1908"/>
        </w:tabs>
        <w:spacing w:line="120" w:lineRule="exact"/>
        <w:ind w:left="1548" w:right="1110" w:hanging="423"/>
        <w:rPr>
          <w:sz w:val="10"/>
        </w:rPr>
      </w:pPr>
    </w:p>
    <w:p w14:paraId="433A156B" w14:textId="26547494" w:rsidR="009B544C" w:rsidRPr="00404AD7" w:rsidRDefault="009B544C" w:rsidP="009B544C">
      <w:pPr>
        <w:pStyle w:val="FootnoteText"/>
        <w:tabs>
          <w:tab w:val="clear" w:pos="418"/>
          <w:tab w:val="right" w:pos="1476"/>
          <w:tab w:val="left" w:pos="1548"/>
          <w:tab w:val="right" w:pos="1836"/>
          <w:tab w:val="left" w:pos="1908"/>
        </w:tabs>
        <w:spacing w:line="120" w:lineRule="exact"/>
        <w:ind w:left="1548" w:right="1110" w:hanging="423"/>
        <w:rPr>
          <w:sz w:val="10"/>
        </w:rPr>
      </w:pPr>
    </w:p>
    <w:p w14:paraId="209A72DF" w14:textId="77777777" w:rsidR="001907AF" w:rsidRPr="00404AD7" w:rsidRDefault="001907AF">
      <w:pPr>
        <w:suppressAutoHyphens w:val="0"/>
        <w:spacing w:after="200" w:line="276" w:lineRule="auto"/>
        <w:rPr>
          <w:b/>
          <w:bCs/>
          <w:spacing w:val="5"/>
        </w:rPr>
      </w:pPr>
      <w:bookmarkStart w:id="27" w:name="_Toc108692400"/>
      <w:r w:rsidRPr="00404AD7">
        <w:rPr>
          <w:b/>
          <w:bCs/>
        </w:rPr>
        <w:br w:type="page"/>
      </w:r>
    </w:p>
    <w:p w14:paraId="110908EB" w14:textId="22F60715" w:rsidR="009B544C" w:rsidRPr="00404AD7" w:rsidRDefault="0040127B" w:rsidP="001907AF">
      <w:pPr>
        <w:pStyle w:val="FootnoteText"/>
        <w:tabs>
          <w:tab w:val="clear" w:pos="418"/>
          <w:tab w:val="right" w:pos="1476"/>
          <w:tab w:val="left" w:pos="1548"/>
          <w:tab w:val="right" w:pos="1836"/>
          <w:tab w:val="left" w:pos="1908"/>
        </w:tabs>
        <w:ind w:left="1123" w:right="1380" w:firstLine="0"/>
        <w:rPr>
          <w:b/>
          <w:bCs/>
          <w:sz w:val="20"/>
        </w:rPr>
      </w:pPr>
      <w:r w:rsidRPr="00404AD7">
        <w:rPr>
          <w:b/>
          <w:bCs/>
          <w:sz w:val="20"/>
        </w:rPr>
        <w:lastRenderedPageBreak/>
        <w:t>Table: Number of offences and persons sent to court by prosecutor</w:t>
      </w:r>
      <w:r w:rsidR="006B00A5" w:rsidRPr="00404AD7">
        <w:rPr>
          <w:b/>
          <w:bCs/>
          <w:sz w:val="20"/>
        </w:rPr>
        <w:t>’</w:t>
      </w:r>
      <w:r w:rsidRPr="00404AD7">
        <w:rPr>
          <w:b/>
          <w:bCs/>
          <w:sz w:val="20"/>
        </w:rPr>
        <w:t>s office in cases of violation of protection order, 2017-2021</w:t>
      </w:r>
      <w:bookmarkEnd w:id="27"/>
    </w:p>
    <w:p w14:paraId="52D5C347" w14:textId="1EEAF7EA" w:rsidR="00744874" w:rsidRPr="00404AD7" w:rsidRDefault="00744874" w:rsidP="00744874">
      <w:pPr>
        <w:pStyle w:val="FootnoteText"/>
        <w:tabs>
          <w:tab w:val="clear" w:pos="418"/>
          <w:tab w:val="right" w:pos="1476"/>
          <w:tab w:val="left" w:pos="1548"/>
          <w:tab w:val="right" w:pos="1836"/>
          <w:tab w:val="left" w:pos="1908"/>
        </w:tabs>
        <w:spacing w:line="120" w:lineRule="exact"/>
        <w:ind w:left="1123" w:right="1109" w:firstLine="0"/>
        <w:rPr>
          <w:b/>
          <w:bCs/>
          <w:sz w:val="10"/>
        </w:rPr>
      </w:pPr>
    </w:p>
    <w:p w14:paraId="37357C6A" w14:textId="4A68E46C" w:rsidR="00744874" w:rsidRPr="00404AD7" w:rsidRDefault="00744874" w:rsidP="00744874">
      <w:pPr>
        <w:pStyle w:val="FootnoteText"/>
        <w:tabs>
          <w:tab w:val="clear" w:pos="418"/>
          <w:tab w:val="right" w:pos="1476"/>
          <w:tab w:val="left" w:pos="1548"/>
          <w:tab w:val="right" w:pos="1836"/>
          <w:tab w:val="left" w:pos="1908"/>
        </w:tabs>
        <w:spacing w:line="120" w:lineRule="exact"/>
        <w:ind w:left="1123" w:right="1109" w:firstLine="0"/>
        <w:rPr>
          <w:sz w:val="10"/>
        </w:rPr>
      </w:pPr>
    </w:p>
    <w:tbl>
      <w:tblPr>
        <w:tblStyle w:val="TableGrid"/>
        <w:tblW w:w="751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8"/>
        <w:gridCol w:w="2674"/>
        <w:gridCol w:w="2803"/>
      </w:tblGrid>
      <w:tr w:rsidR="00AA442B" w:rsidRPr="00404AD7" w14:paraId="524E8267" w14:textId="77777777" w:rsidTr="00385D71">
        <w:trPr>
          <w:tblHeader/>
        </w:trPr>
        <w:tc>
          <w:tcPr>
            <w:tcW w:w="2038" w:type="dxa"/>
            <w:vMerge w:val="restart"/>
            <w:tcBorders>
              <w:top w:val="single" w:sz="4" w:space="0" w:color="auto"/>
              <w:bottom w:val="single" w:sz="12" w:space="0" w:color="auto"/>
            </w:tcBorders>
            <w:shd w:val="clear" w:color="auto" w:fill="auto"/>
            <w:vAlign w:val="bottom"/>
          </w:tcPr>
          <w:p w14:paraId="51EB6F87" w14:textId="77777777" w:rsidR="00AA442B" w:rsidRPr="00404AD7" w:rsidRDefault="00AA442B" w:rsidP="00E53FC8">
            <w:pPr>
              <w:spacing w:before="80" w:after="80" w:line="200" w:lineRule="exact"/>
              <w:ind w:right="113"/>
              <w:rPr>
                <w:i/>
                <w:sz w:val="16"/>
              </w:rPr>
            </w:pPr>
          </w:p>
        </w:tc>
        <w:tc>
          <w:tcPr>
            <w:tcW w:w="5477" w:type="dxa"/>
            <w:gridSpan w:val="2"/>
            <w:tcBorders>
              <w:top w:val="single" w:sz="4" w:space="0" w:color="auto"/>
              <w:bottom w:val="single" w:sz="12" w:space="0" w:color="auto"/>
            </w:tcBorders>
            <w:shd w:val="clear" w:color="auto" w:fill="auto"/>
            <w:vAlign w:val="bottom"/>
          </w:tcPr>
          <w:p w14:paraId="50226376" w14:textId="77777777" w:rsidR="00AA442B" w:rsidRPr="00404AD7" w:rsidRDefault="00AA442B" w:rsidP="00E53FC8">
            <w:pPr>
              <w:spacing w:before="80" w:after="80" w:line="200" w:lineRule="exact"/>
              <w:ind w:right="113"/>
              <w:rPr>
                <w:i/>
                <w:sz w:val="16"/>
              </w:rPr>
            </w:pPr>
            <w:r w:rsidRPr="00404AD7">
              <w:rPr>
                <w:i/>
                <w:sz w:val="16"/>
              </w:rPr>
              <w:t xml:space="preserve">Sent to court </w:t>
            </w:r>
          </w:p>
        </w:tc>
      </w:tr>
      <w:tr w:rsidR="00AA442B" w:rsidRPr="00404AD7" w14:paraId="7A65696F" w14:textId="77777777" w:rsidTr="00385D71">
        <w:trPr>
          <w:trHeight w:hRule="exact" w:val="113"/>
          <w:tblHeader/>
        </w:trPr>
        <w:tc>
          <w:tcPr>
            <w:tcW w:w="2038" w:type="dxa"/>
            <w:vMerge/>
            <w:tcBorders>
              <w:top w:val="single" w:sz="12" w:space="0" w:color="auto"/>
            </w:tcBorders>
            <w:shd w:val="clear" w:color="auto" w:fill="auto"/>
          </w:tcPr>
          <w:p w14:paraId="28ED8FC6" w14:textId="77777777" w:rsidR="00AA442B" w:rsidRPr="00404AD7" w:rsidRDefault="00AA442B" w:rsidP="00E53FC8">
            <w:pPr>
              <w:spacing w:before="40" w:after="120"/>
              <w:ind w:right="113"/>
            </w:pPr>
          </w:p>
        </w:tc>
        <w:tc>
          <w:tcPr>
            <w:tcW w:w="5477" w:type="dxa"/>
            <w:gridSpan w:val="2"/>
            <w:tcBorders>
              <w:top w:val="single" w:sz="12" w:space="0" w:color="auto"/>
            </w:tcBorders>
            <w:shd w:val="clear" w:color="auto" w:fill="auto"/>
          </w:tcPr>
          <w:p w14:paraId="3CB1570D" w14:textId="77777777" w:rsidR="00AA442B" w:rsidRPr="00404AD7" w:rsidRDefault="00AA442B" w:rsidP="00E53FC8">
            <w:pPr>
              <w:spacing w:before="40" w:after="120"/>
              <w:ind w:right="113"/>
              <w:rPr>
                <w:b/>
              </w:rPr>
            </w:pPr>
          </w:p>
        </w:tc>
      </w:tr>
      <w:tr w:rsidR="00AA442B" w:rsidRPr="00404AD7" w14:paraId="27C43D61" w14:textId="77777777" w:rsidTr="00385D71">
        <w:trPr>
          <w:tblHeader/>
        </w:trPr>
        <w:tc>
          <w:tcPr>
            <w:tcW w:w="2038" w:type="dxa"/>
            <w:vMerge/>
            <w:shd w:val="clear" w:color="auto" w:fill="auto"/>
          </w:tcPr>
          <w:p w14:paraId="1F8AADC1" w14:textId="77777777" w:rsidR="00AA442B" w:rsidRPr="00404AD7" w:rsidRDefault="00AA442B" w:rsidP="00E53FC8">
            <w:pPr>
              <w:spacing w:before="40" w:after="120"/>
              <w:ind w:right="113"/>
            </w:pPr>
          </w:p>
        </w:tc>
        <w:tc>
          <w:tcPr>
            <w:tcW w:w="2674" w:type="dxa"/>
            <w:shd w:val="clear" w:color="auto" w:fill="auto"/>
          </w:tcPr>
          <w:p w14:paraId="26388448" w14:textId="77777777" w:rsidR="00AA442B" w:rsidRPr="00404AD7" w:rsidRDefault="00AA442B" w:rsidP="00E53FC8">
            <w:pPr>
              <w:spacing w:before="40" w:after="120"/>
              <w:ind w:right="113"/>
              <w:rPr>
                <w:b/>
              </w:rPr>
            </w:pPr>
            <w:r w:rsidRPr="00404AD7">
              <w:rPr>
                <w:b/>
              </w:rPr>
              <w:t>Offences</w:t>
            </w:r>
          </w:p>
        </w:tc>
        <w:tc>
          <w:tcPr>
            <w:tcW w:w="2803" w:type="dxa"/>
            <w:shd w:val="clear" w:color="auto" w:fill="auto"/>
          </w:tcPr>
          <w:p w14:paraId="6137765A" w14:textId="77777777" w:rsidR="00AA442B" w:rsidRPr="00404AD7" w:rsidRDefault="00AA442B" w:rsidP="00E53FC8">
            <w:pPr>
              <w:spacing w:before="40" w:after="120"/>
              <w:ind w:right="113"/>
              <w:rPr>
                <w:b/>
              </w:rPr>
            </w:pPr>
            <w:r w:rsidRPr="00404AD7">
              <w:rPr>
                <w:b/>
              </w:rPr>
              <w:t>Persons</w:t>
            </w:r>
          </w:p>
        </w:tc>
      </w:tr>
      <w:tr w:rsidR="00AA442B" w:rsidRPr="00404AD7" w14:paraId="44699716" w14:textId="77777777" w:rsidTr="00385D71">
        <w:tc>
          <w:tcPr>
            <w:tcW w:w="2038" w:type="dxa"/>
            <w:shd w:val="clear" w:color="auto" w:fill="auto"/>
          </w:tcPr>
          <w:p w14:paraId="2E736E2F" w14:textId="77777777" w:rsidR="00AA442B" w:rsidRPr="00404AD7" w:rsidRDefault="00AA442B" w:rsidP="00E53FC8">
            <w:pPr>
              <w:spacing w:before="40" w:after="120"/>
              <w:ind w:right="113"/>
              <w:rPr>
                <w:b/>
              </w:rPr>
            </w:pPr>
            <w:r w:rsidRPr="00404AD7">
              <w:rPr>
                <w:b/>
              </w:rPr>
              <w:t>2017</w:t>
            </w:r>
          </w:p>
        </w:tc>
        <w:tc>
          <w:tcPr>
            <w:tcW w:w="2674" w:type="dxa"/>
            <w:shd w:val="clear" w:color="auto" w:fill="auto"/>
          </w:tcPr>
          <w:p w14:paraId="1D56C08A" w14:textId="77777777" w:rsidR="00AA442B" w:rsidRPr="00404AD7" w:rsidRDefault="00AA442B" w:rsidP="00E53FC8">
            <w:pPr>
              <w:spacing w:before="40" w:after="120"/>
              <w:ind w:right="113"/>
            </w:pPr>
            <w:r w:rsidRPr="00404AD7">
              <w:t>214</w:t>
            </w:r>
          </w:p>
        </w:tc>
        <w:tc>
          <w:tcPr>
            <w:tcW w:w="2803" w:type="dxa"/>
            <w:shd w:val="clear" w:color="auto" w:fill="auto"/>
          </w:tcPr>
          <w:p w14:paraId="24254234" w14:textId="77777777" w:rsidR="00AA442B" w:rsidRPr="00404AD7" w:rsidRDefault="00AA442B" w:rsidP="00E53FC8">
            <w:pPr>
              <w:spacing w:before="40" w:after="120"/>
              <w:ind w:right="113"/>
            </w:pPr>
            <w:r w:rsidRPr="00404AD7">
              <w:t>16</w:t>
            </w:r>
          </w:p>
        </w:tc>
      </w:tr>
      <w:tr w:rsidR="00AA442B" w:rsidRPr="00404AD7" w14:paraId="123652BB" w14:textId="77777777" w:rsidTr="00385D71">
        <w:tc>
          <w:tcPr>
            <w:tcW w:w="2038" w:type="dxa"/>
            <w:shd w:val="clear" w:color="auto" w:fill="auto"/>
          </w:tcPr>
          <w:p w14:paraId="21D60ACD" w14:textId="77777777" w:rsidR="00AA442B" w:rsidRPr="00404AD7" w:rsidRDefault="00AA442B" w:rsidP="00E53FC8">
            <w:pPr>
              <w:spacing w:before="40" w:after="120"/>
              <w:ind w:right="113"/>
              <w:rPr>
                <w:b/>
              </w:rPr>
            </w:pPr>
            <w:r w:rsidRPr="00404AD7">
              <w:rPr>
                <w:b/>
              </w:rPr>
              <w:t>2018</w:t>
            </w:r>
          </w:p>
        </w:tc>
        <w:tc>
          <w:tcPr>
            <w:tcW w:w="2674" w:type="dxa"/>
            <w:shd w:val="clear" w:color="auto" w:fill="auto"/>
          </w:tcPr>
          <w:p w14:paraId="2B690BDA" w14:textId="77777777" w:rsidR="00AA442B" w:rsidRPr="00404AD7" w:rsidRDefault="00AA442B" w:rsidP="00E53FC8">
            <w:pPr>
              <w:spacing w:before="40" w:after="120"/>
              <w:ind w:right="113"/>
            </w:pPr>
            <w:r w:rsidRPr="00404AD7">
              <w:t>166</w:t>
            </w:r>
          </w:p>
        </w:tc>
        <w:tc>
          <w:tcPr>
            <w:tcW w:w="2803" w:type="dxa"/>
            <w:shd w:val="clear" w:color="auto" w:fill="auto"/>
          </w:tcPr>
          <w:p w14:paraId="77F87891" w14:textId="77777777" w:rsidR="00AA442B" w:rsidRPr="00404AD7" w:rsidRDefault="00AA442B" w:rsidP="00E53FC8">
            <w:pPr>
              <w:spacing w:before="40" w:after="120"/>
              <w:ind w:right="113"/>
            </w:pPr>
            <w:r w:rsidRPr="00404AD7">
              <w:t>19</w:t>
            </w:r>
          </w:p>
        </w:tc>
      </w:tr>
      <w:tr w:rsidR="00AA442B" w:rsidRPr="00404AD7" w14:paraId="34B120DB" w14:textId="77777777" w:rsidTr="00385D71">
        <w:tc>
          <w:tcPr>
            <w:tcW w:w="2038" w:type="dxa"/>
            <w:shd w:val="clear" w:color="auto" w:fill="auto"/>
          </w:tcPr>
          <w:p w14:paraId="491093BE" w14:textId="77777777" w:rsidR="00AA442B" w:rsidRPr="00404AD7" w:rsidRDefault="00AA442B" w:rsidP="00E53FC8">
            <w:pPr>
              <w:spacing w:before="40" w:after="120"/>
              <w:ind w:right="113"/>
              <w:rPr>
                <w:b/>
              </w:rPr>
            </w:pPr>
            <w:r w:rsidRPr="00404AD7">
              <w:rPr>
                <w:b/>
              </w:rPr>
              <w:t>2019</w:t>
            </w:r>
          </w:p>
        </w:tc>
        <w:tc>
          <w:tcPr>
            <w:tcW w:w="2674" w:type="dxa"/>
            <w:shd w:val="clear" w:color="auto" w:fill="auto"/>
          </w:tcPr>
          <w:p w14:paraId="1C00C8A0" w14:textId="77777777" w:rsidR="00AA442B" w:rsidRPr="00404AD7" w:rsidRDefault="00AA442B" w:rsidP="00E53FC8">
            <w:pPr>
              <w:spacing w:before="40" w:after="120"/>
              <w:ind w:right="113"/>
            </w:pPr>
            <w:r w:rsidRPr="00404AD7">
              <w:t>82</w:t>
            </w:r>
          </w:p>
        </w:tc>
        <w:tc>
          <w:tcPr>
            <w:tcW w:w="2803" w:type="dxa"/>
            <w:shd w:val="clear" w:color="auto" w:fill="auto"/>
          </w:tcPr>
          <w:p w14:paraId="651D6B7A" w14:textId="77777777" w:rsidR="00AA442B" w:rsidRPr="00404AD7" w:rsidRDefault="00AA442B" w:rsidP="00E53FC8">
            <w:pPr>
              <w:spacing w:before="40" w:after="120"/>
              <w:ind w:right="113"/>
            </w:pPr>
            <w:r w:rsidRPr="00404AD7">
              <w:t>30</w:t>
            </w:r>
          </w:p>
        </w:tc>
      </w:tr>
      <w:tr w:rsidR="00AA442B" w:rsidRPr="00404AD7" w14:paraId="61B19D41" w14:textId="77777777" w:rsidTr="00385D71">
        <w:tc>
          <w:tcPr>
            <w:tcW w:w="2038" w:type="dxa"/>
            <w:shd w:val="clear" w:color="auto" w:fill="auto"/>
          </w:tcPr>
          <w:p w14:paraId="0A463CDD" w14:textId="77777777" w:rsidR="00AA442B" w:rsidRPr="00404AD7" w:rsidRDefault="00AA442B" w:rsidP="00E53FC8">
            <w:pPr>
              <w:spacing w:before="40" w:after="120"/>
              <w:ind w:right="113"/>
              <w:rPr>
                <w:b/>
              </w:rPr>
            </w:pPr>
            <w:r w:rsidRPr="00404AD7">
              <w:rPr>
                <w:b/>
              </w:rPr>
              <w:t>2020</w:t>
            </w:r>
          </w:p>
        </w:tc>
        <w:tc>
          <w:tcPr>
            <w:tcW w:w="2674" w:type="dxa"/>
            <w:shd w:val="clear" w:color="auto" w:fill="auto"/>
          </w:tcPr>
          <w:p w14:paraId="4399B2D1" w14:textId="77777777" w:rsidR="00AA442B" w:rsidRPr="00404AD7" w:rsidRDefault="00AA442B" w:rsidP="00E53FC8">
            <w:pPr>
              <w:spacing w:before="40" w:after="120"/>
              <w:ind w:right="113"/>
            </w:pPr>
            <w:r w:rsidRPr="00404AD7">
              <w:t>80</w:t>
            </w:r>
          </w:p>
        </w:tc>
        <w:tc>
          <w:tcPr>
            <w:tcW w:w="2803" w:type="dxa"/>
            <w:shd w:val="clear" w:color="auto" w:fill="auto"/>
          </w:tcPr>
          <w:p w14:paraId="7A6DCF2B" w14:textId="77777777" w:rsidR="00AA442B" w:rsidRPr="00404AD7" w:rsidRDefault="00AA442B" w:rsidP="00E53FC8">
            <w:pPr>
              <w:spacing w:before="40" w:after="120"/>
              <w:ind w:right="113"/>
            </w:pPr>
            <w:r w:rsidRPr="00404AD7">
              <w:t>25</w:t>
            </w:r>
          </w:p>
        </w:tc>
      </w:tr>
      <w:tr w:rsidR="00AA442B" w:rsidRPr="00404AD7" w14:paraId="10B62BD7" w14:textId="77777777" w:rsidTr="00385D71">
        <w:tc>
          <w:tcPr>
            <w:tcW w:w="2038" w:type="dxa"/>
            <w:tcBorders>
              <w:bottom w:val="single" w:sz="12" w:space="0" w:color="auto"/>
            </w:tcBorders>
            <w:shd w:val="clear" w:color="auto" w:fill="auto"/>
          </w:tcPr>
          <w:p w14:paraId="75EAB188" w14:textId="77777777" w:rsidR="00AA442B" w:rsidRPr="00404AD7" w:rsidRDefault="00AA442B" w:rsidP="00E53FC8">
            <w:pPr>
              <w:spacing w:before="40" w:after="120"/>
              <w:ind w:right="113"/>
              <w:rPr>
                <w:b/>
              </w:rPr>
            </w:pPr>
            <w:r w:rsidRPr="00404AD7">
              <w:rPr>
                <w:b/>
              </w:rPr>
              <w:t>2021</w:t>
            </w:r>
          </w:p>
        </w:tc>
        <w:tc>
          <w:tcPr>
            <w:tcW w:w="2674" w:type="dxa"/>
            <w:tcBorders>
              <w:bottom w:val="single" w:sz="12" w:space="0" w:color="auto"/>
            </w:tcBorders>
            <w:shd w:val="clear" w:color="auto" w:fill="auto"/>
          </w:tcPr>
          <w:p w14:paraId="47A9B653" w14:textId="77777777" w:rsidR="00AA442B" w:rsidRPr="00404AD7" w:rsidRDefault="00AA442B" w:rsidP="00E53FC8">
            <w:pPr>
              <w:spacing w:before="40" w:after="120"/>
              <w:ind w:right="113"/>
            </w:pPr>
            <w:r w:rsidRPr="00404AD7">
              <w:t>50</w:t>
            </w:r>
          </w:p>
        </w:tc>
        <w:tc>
          <w:tcPr>
            <w:tcW w:w="2803" w:type="dxa"/>
            <w:tcBorders>
              <w:bottom w:val="single" w:sz="12" w:space="0" w:color="auto"/>
            </w:tcBorders>
            <w:shd w:val="clear" w:color="auto" w:fill="auto"/>
          </w:tcPr>
          <w:p w14:paraId="54C47B2C" w14:textId="77777777" w:rsidR="00AA442B" w:rsidRPr="00404AD7" w:rsidRDefault="00AA442B" w:rsidP="00E53FC8">
            <w:pPr>
              <w:spacing w:before="40" w:after="120"/>
              <w:ind w:right="113"/>
            </w:pPr>
            <w:r w:rsidRPr="00404AD7">
              <w:t>32</w:t>
            </w:r>
          </w:p>
        </w:tc>
      </w:tr>
    </w:tbl>
    <w:p w14:paraId="350FCF4A" w14:textId="671BB637" w:rsidR="00744874" w:rsidRPr="00404AD7" w:rsidRDefault="00744874" w:rsidP="00890B18">
      <w:pPr>
        <w:pStyle w:val="FootnoteText"/>
        <w:tabs>
          <w:tab w:val="clear" w:pos="418"/>
          <w:tab w:val="right" w:pos="1476"/>
          <w:tab w:val="left" w:pos="1548"/>
          <w:tab w:val="right" w:pos="1836"/>
          <w:tab w:val="left" w:pos="1908"/>
        </w:tabs>
        <w:spacing w:line="120" w:lineRule="exact"/>
        <w:ind w:left="1123" w:right="1109" w:firstLine="0"/>
        <w:rPr>
          <w:sz w:val="10"/>
        </w:rPr>
      </w:pPr>
    </w:p>
    <w:p w14:paraId="2D2A4375" w14:textId="6EBA6E83" w:rsidR="00890B18" w:rsidRPr="00404AD7" w:rsidRDefault="00045CAE" w:rsidP="00452066">
      <w:pPr>
        <w:pStyle w:val="FootnoteText"/>
        <w:tabs>
          <w:tab w:val="clear" w:pos="418"/>
          <w:tab w:val="right" w:pos="1476"/>
          <w:tab w:val="left" w:pos="1548"/>
          <w:tab w:val="right" w:pos="1836"/>
          <w:tab w:val="left" w:pos="1908"/>
        </w:tabs>
        <w:ind w:left="1123" w:right="1109" w:firstLine="0"/>
        <w:rPr>
          <w:i/>
          <w:iCs/>
        </w:rPr>
      </w:pPr>
      <w:r w:rsidRPr="00404AD7">
        <w:rPr>
          <w:i/>
          <w:iCs/>
        </w:rPr>
        <w:t>Source: The Ministry of Justice</w:t>
      </w:r>
    </w:p>
    <w:p w14:paraId="012E8E81" w14:textId="39449BC8" w:rsidR="00045CAE" w:rsidRPr="00404AD7" w:rsidRDefault="00045CAE" w:rsidP="00723C70">
      <w:pPr>
        <w:pStyle w:val="FootnoteText"/>
        <w:tabs>
          <w:tab w:val="clear" w:pos="418"/>
          <w:tab w:val="right" w:pos="1476"/>
          <w:tab w:val="left" w:pos="1548"/>
          <w:tab w:val="right" w:pos="1836"/>
          <w:tab w:val="left" w:pos="1908"/>
        </w:tabs>
        <w:spacing w:line="120" w:lineRule="exact"/>
        <w:ind w:left="1123" w:right="1109" w:firstLine="0"/>
        <w:rPr>
          <w:sz w:val="10"/>
        </w:rPr>
      </w:pPr>
    </w:p>
    <w:p w14:paraId="181916DC" w14:textId="158EA92D" w:rsidR="00723C70" w:rsidRPr="00404AD7" w:rsidRDefault="00723C70" w:rsidP="00723C70">
      <w:pPr>
        <w:pStyle w:val="FootnoteText"/>
        <w:tabs>
          <w:tab w:val="clear" w:pos="418"/>
          <w:tab w:val="right" w:pos="1476"/>
          <w:tab w:val="left" w:pos="1548"/>
          <w:tab w:val="right" w:pos="1836"/>
          <w:tab w:val="left" w:pos="1908"/>
        </w:tabs>
        <w:spacing w:line="120" w:lineRule="exact"/>
        <w:ind w:left="1123" w:right="1109" w:firstLine="0"/>
        <w:rPr>
          <w:sz w:val="10"/>
        </w:rPr>
      </w:pPr>
    </w:p>
    <w:p w14:paraId="06855963" w14:textId="7A1E85C4" w:rsidR="009D405A" w:rsidRPr="00404AD7" w:rsidRDefault="009D405A" w:rsidP="001E7B16">
      <w:pPr>
        <w:pStyle w:val="SingleTxtG"/>
        <w:numPr>
          <w:ilvl w:val="0"/>
          <w:numId w:val="26"/>
        </w:numPr>
        <w:ind w:left="1134" w:right="1200" w:firstLine="0"/>
      </w:pPr>
      <w:r w:rsidRPr="00404AD7">
        <w:t>The draft amendments of the Family Law Act that contained inter alia the provisions concerning domestic violence when determining custody of children, did not receive sufficient support by other ministries and are currently on hold. We hope to continue work on this draft in 2023.</w:t>
      </w:r>
    </w:p>
    <w:p w14:paraId="44C2E76F" w14:textId="260E1888" w:rsidR="009D405A" w:rsidRPr="00404AD7" w:rsidRDefault="009D405A" w:rsidP="007F7712">
      <w:pPr>
        <w:pStyle w:val="SingleTxtG"/>
        <w:numPr>
          <w:ilvl w:val="0"/>
          <w:numId w:val="26"/>
        </w:numPr>
        <w:ind w:left="1134" w:right="1200" w:firstLine="0"/>
      </w:pPr>
      <w:r w:rsidRPr="00404AD7">
        <w:t xml:space="preserve">In September 2019, amendments to the Code of Civil Procedure entered into force, according to which a court must </w:t>
      </w:r>
      <w:proofErr w:type="gramStart"/>
      <w:r w:rsidRPr="00404AD7">
        <w:t>take into account</w:t>
      </w:r>
      <w:proofErr w:type="gramEnd"/>
      <w:r w:rsidRPr="00404AD7">
        <w:t xml:space="preserve"> whether a participant in the proceeding has been violent towards another participant in the proceeding. According to § 551 (3) </w:t>
      </w:r>
      <w:r w:rsidRPr="00404AD7">
        <w:rPr>
          <w:i/>
        </w:rPr>
        <w:t>Upon application of measures for interim protection of the claim as a measure of interim protection of a right the court takes account of whether a parent has been violent towards a child or the other parent.</w:t>
      </w:r>
      <w:r w:rsidRPr="00404AD7">
        <w:t xml:space="preserve"> § 552</w:t>
      </w:r>
      <w:r w:rsidRPr="00404AD7">
        <w:rPr>
          <w:b/>
          <w:iCs/>
          <w:vertAlign w:val="superscript"/>
        </w:rPr>
        <w:t>1</w:t>
      </w:r>
      <w:r w:rsidRPr="00404AD7">
        <w:t xml:space="preserve"> (1) also states that </w:t>
      </w:r>
      <w:r w:rsidRPr="00404AD7">
        <w:rPr>
          <w:i/>
        </w:rPr>
        <w:t>Upon organising the hearing of a child, the court takes account of whether a parent has been violent towards a child or the other parent,</w:t>
      </w:r>
      <w:r w:rsidRPr="00404AD7">
        <w:t xml:space="preserve"> and § 558 (1) states that </w:t>
      </w:r>
      <w:r w:rsidRPr="00404AD7">
        <w:rPr>
          <w:i/>
        </w:rPr>
        <w:t>If a proceeding is conducted in the matter of endangerment of the welfare of a child, the court hears the parents in person and discusses the protection of the child</w:t>
      </w:r>
      <w:r w:rsidR="006B00A5" w:rsidRPr="00404AD7">
        <w:rPr>
          <w:i/>
        </w:rPr>
        <w:t>’</w:t>
      </w:r>
      <w:r w:rsidRPr="00404AD7">
        <w:rPr>
          <w:i/>
        </w:rPr>
        <w:t>s interests with them.</w:t>
      </w:r>
      <w:r w:rsidRPr="00404AD7">
        <w:t xml:space="preserve"> Further, § 561 (1) states </w:t>
      </w:r>
      <w:r w:rsidRPr="00404AD7">
        <w:rPr>
          <w:i/>
        </w:rPr>
        <w:t>When steering the parties towards settling the matter by agreement or drawing their attention to the possibility to seek the assistance of a family counsellor, the court takes account of whether a parent has been violent towards a child or the other parent</w:t>
      </w:r>
      <w:r w:rsidRPr="00404AD7">
        <w:t>. The provisions concern family matters dealt with under the rules for actions by petition. The use of remedies does not depend on whether the injured party is a woman.</w:t>
      </w:r>
    </w:p>
    <w:p w14:paraId="04355735" w14:textId="77777777" w:rsidR="009D405A" w:rsidRPr="00404AD7" w:rsidRDefault="009D405A" w:rsidP="009D405A">
      <w:pPr>
        <w:pStyle w:val="HChG"/>
        <w:rPr>
          <w:lang w:val="en-US"/>
        </w:rPr>
      </w:pPr>
      <w:r w:rsidRPr="00404AD7">
        <w:rPr>
          <w:lang w:val="en-US"/>
        </w:rPr>
        <w:tab/>
      </w:r>
      <w:r w:rsidRPr="00404AD7">
        <w:rPr>
          <w:lang w:val="en-US"/>
        </w:rPr>
        <w:tab/>
      </w:r>
      <w:bookmarkStart w:id="28" w:name="_Toc108692401"/>
      <w:r w:rsidRPr="00404AD7">
        <w:rPr>
          <w:lang w:val="en-US"/>
        </w:rPr>
        <w:t>Trafficking and exploitation of prostitution</w:t>
      </w:r>
      <w:bookmarkEnd w:id="28"/>
    </w:p>
    <w:p w14:paraId="0D5F437B" w14:textId="255090FD" w:rsidR="009D405A" w:rsidRPr="00404AD7" w:rsidRDefault="009D405A" w:rsidP="009D405A">
      <w:pPr>
        <w:pStyle w:val="H1G"/>
        <w:rPr>
          <w:lang w:val="en-US"/>
        </w:rPr>
      </w:pPr>
      <w:r w:rsidRPr="00404AD7">
        <w:rPr>
          <w:lang w:val="en-US"/>
        </w:rPr>
        <w:tab/>
      </w:r>
      <w:r w:rsidRPr="00404AD7">
        <w:rPr>
          <w:lang w:val="en-US"/>
        </w:rPr>
        <w:tab/>
      </w:r>
      <w:bookmarkStart w:id="29" w:name="_Toc108692402"/>
      <w:r w:rsidRPr="00404AD7">
        <w:rPr>
          <w:lang w:val="en-US"/>
        </w:rPr>
        <w:t>Question 12</w:t>
      </w:r>
      <w:bookmarkEnd w:id="29"/>
    </w:p>
    <w:p w14:paraId="1AAC7424" w14:textId="768A5F49" w:rsidR="009D405A" w:rsidRPr="00404AD7" w:rsidRDefault="009D405A" w:rsidP="007F7712">
      <w:pPr>
        <w:pStyle w:val="SingleTxtG"/>
        <w:numPr>
          <w:ilvl w:val="0"/>
          <w:numId w:val="26"/>
        </w:numPr>
        <w:ind w:left="1134" w:right="1200" w:firstLine="0"/>
      </w:pPr>
      <w:r w:rsidRPr="00404AD7">
        <w:t xml:space="preserve">Estonia has a national policy and a strategic development plan of the Government of the Republic for combating trafficking in human beings since 2006. One of the fields of the latest governmental strategy </w:t>
      </w:r>
      <w:hyperlink r:id="rId18" w:history="1">
        <w:r w:rsidRPr="00404AD7">
          <w:rPr>
            <w:rStyle w:val="Hyperlink"/>
          </w:rPr>
          <w:t>Violence Prevention Agreement</w:t>
        </w:r>
      </w:hyperlink>
      <w:r w:rsidRPr="00404AD7">
        <w:t xml:space="preserve"> 2021-2025 is fight against and preventing trafficking.</w:t>
      </w:r>
    </w:p>
    <w:p w14:paraId="64F0543B" w14:textId="4CC3269C" w:rsidR="009D405A" w:rsidRPr="00404AD7" w:rsidRDefault="009D405A" w:rsidP="007F7712">
      <w:pPr>
        <w:pStyle w:val="SingleTxtG"/>
        <w:numPr>
          <w:ilvl w:val="0"/>
          <w:numId w:val="26"/>
        </w:numPr>
        <w:ind w:left="1134" w:right="1200" w:firstLine="0"/>
      </w:pPr>
      <w:r w:rsidRPr="00404AD7">
        <w:t xml:space="preserve">State services for victims of crime, incl. victims of THB, are coordinated through </w:t>
      </w:r>
      <w:proofErr w:type="gramStart"/>
      <w:r w:rsidRPr="00404AD7">
        <w:t>SIB</w:t>
      </w:r>
      <w:proofErr w:type="gramEnd"/>
      <w:r w:rsidRPr="00404AD7">
        <w:t xml:space="preserve"> which is state authority organising support for families, children, also special services are provided for the victims of THB, sexually abused children, and for the victims of domestic violence. Support services for victims of THB are regulated in the Victim Support Act.</w:t>
      </w:r>
    </w:p>
    <w:p w14:paraId="72DC3C63" w14:textId="112FFD8D" w:rsidR="009D405A" w:rsidRPr="00404AD7" w:rsidRDefault="009D405A" w:rsidP="007F7712">
      <w:pPr>
        <w:pStyle w:val="SingleTxtG"/>
        <w:numPr>
          <w:ilvl w:val="0"/>
          <w:numId w:val="26"/>
        </w:numPr>
        <w:ind w:left="1134" w:right="1200" w:firstLine="0"/>
      </w:pPr>
      <w:r w:rsidRPr="00404AD7">
        <w:t xml:space="preserve">Since May 2021 all the victim support services are provided by the SIB. Before the shelter services and psychological counselling and judicial counselling services were provided by NGO under the public procurement contract and until 2019 hotline services as well. All the </w:t>
      </w:r>
      <w:r w:rsidRPr="00404AD7">
        <w:lastRenderedPageBreak/>
        <w:t>services to victims of THB are now organised through SIB. Main major goal is to provide client centred service and follow the client</w:t>
      </w:r>
      <w:r w:rsidR="006B00A5" w:rsidRPr="00404AD7">
        <w:t>’</w:t>
      </w:r>
      <w:r w:rsidRPr="00404AD7">
        <w:t>s basic and primary needs. All clients receive information about their rights and opportunities in four languages: Estonian, Russian, English, and Spanish. Police also works proactively in detecting pimping and sexual exploitation cases through early identification web-based monitor system for advertisements for selling/buying sex and also for active contact making and awareness raising of the state social help assistance possibilities with potential victims of THB/persons engaged in prostitution. Estonia also has victim identification and referral guidelines that is being used by police, prosecutors, labour inspectors and other relevant parties to make sure that victims are properly identified and referred to assisting services provided by the SIB.</w:t>
      </w:r>
    </w:p>
    <w:p w14:paraId="7FBE74F9" w14:textId="4A1461B7" w:rsidR="002A22C6" w:rsidRPr="00404AD7" w:rsidRDefault="002A22C6" w:rsidP="002A22C6">
      <w:pPr>
        <w:pStyle w:val="SingleTxtG"/>
        <w:spacing w:after="0" w:line="120" w:lineRule="exact"/>
        <w:rPr>
          <w:sz w:val="10"/>
        </w:rPr>
      </w:pPr>
    </w:p>
    <w:p w14:paraId="643B8C9C" w14:textId="35CD5663" w:rsidR="002A22C6" w:rsidRPr="00404AD7" w:rsidRDefault="0056241F" w:rsidP="006D1352">
      <w:pPr>
        <w:pStyle w:val="H23"/>
        <w:tabs>
          <w:tab w:val="right" w:pos="1134"/>
          <w:tab w:val="left" w:pos="1742"/>
          <w:tab w:val="left" w:pos="2218"/>
          <w:tab w:val="left" w:pos="2693"/>
          <w:tab w:val="left" w:pos="3182"/>
          <w:tab w:val="left" w:pos="3658"/>
          <w:tab w:val="left" w:pos="4133"/>
          <w:tab w:val="left" w:pos="4622"/>
          <w:tab w:val="left" w:pos="5098"/>
          <w:tab w:val="left" w:pos="5573"/>
          <w:tab w:val="left" w:pos="6048"/>
        </w:tabs>
        <w:ind w:left="1143" w:right="1267" w:hanging="1143"/>
      </w:pPr>
      <w:bookmarkStart w:id="30" w:name="_Toc108692403"/>
      <w:r w:rsidRPr="00404AD7">
        <w:tab/>
      </w:r>
      <w:r w:rsidRPr="00404AD7">
        <w:tab/>
      </w:r>
      <w:r w:rsidR="002A22C6" w:rsidRPr="00404AD7">
        <w:t>Table: THB victims identified over the years of 2017-2020. Information provided to GLOTIP 2021 report</w:t>
      </w:r>
      <w:bookmarkEnd w:id="30"/>
    </w:p>
    <w:p w14:paraId="0AF58EB6" w14:textId="11A761E3" w:rsidR="002A22C6" w:rsidRPr="00404AD7" w:rsidRDefault="00D22DFF" w:rsidP="00D22DFF">
      <w:pPr>
        <w:pStyle w:val="SingleTxtG"/>
        <w:spacing w:after="0" w:line="120" w:lineRule="exact"/>
        <w:ind w:right="1173"/>
        <w:rPr>
          <w:sz w:val="10"/>
        </w:rPr>
      </w:pPr>
      <w:r w:rsidRPr="00404AD7">
        <w:rPr>
          <w:noProof/>
        </w:rPr>
        <w:drawing>
          <wp:anchor distT="0" distB="0" distL="114300" distR="114300" simplePos="0" relativeHeight="251658240" behindDoc="0" locked="0" layoutInCell="1" allowOverlap="1" wp14:anchorId="1253C590" wp14:editId="0D3CBBAB">
            <wp:simplePos x="0" y="0"/>
            <wp:positionH relativeFrom="column">
              <wp:posOffset>721995</wp:posOffset>
            </wp:positionH>
            <wp:positionV relativeFrom="paragraph">
              <wp:posOffset>151130</wp:posOffset>
            </wp:positionV>
            <wp:extent cx="4773295" cy="1899285"/>
            <wp:effectExtent l="0" t="0" r="8255" b="571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3295" cy="1899285"/>
                    </a:xfrm>
                    <a:prstGeom prst="rect">
                      <a:avLst/>
                    </a:prstGeom>
                    <a:noFill/>
                  </pic:spPr>
                </pic:pic>
              </a:graphicData>
            </a:graphic>
            <wp14:sizeRelH relativeFrom="page">
              <wp14:pctWidth>0</wp14:pctWidth>
            </wp14:sizeRelH>
            <wp14:sizeRelV relativeFrom="page">
              <wp14:pctHeight>0</wp14:pctHeight>
            </wp14:sizeRelV>
          </wp:anchor>
        </w:drawing>
      </w:r>
    </w:p>
    <w:p w14:paraId="31C20C44" w14:textId="7C5D66C3" w:rsidR="00D22DFF" w:rsidRPr="00404AD7" w:rsidRDefault="00D22DFF" w:rsidP="00D22DFF">
      <w:pPr>
        <w:pStyle w:val="SingleTxtG"/>
        <w:spacing w:after="0" w:line="120" w:lineRule="exact"/>
        <w:rPr>
          <w:sz w:val="10"/>
        </w:rPr>
      </w:pPr>
    </w:p>
    <w:p w14:paraId="263C53C8" w14:textId="738A7F0B" w:rsidR="00D22DFF" w:rsidRPr="00404AD7" w:rsidRDefault="00D22DFF" w:rsidP="00D22DFF">
      <w:pPr>
        <w:pStyle w:val="SingleTxtG"/>
        <w:spacing w:after="0" w:line="120" w:lineRule="exact"/>
        <w:rPr>
          <w:sz w:val="10"/>
        </w:rPr>
      </w:pPr>
    </w:p>
    <w:p w14:paraId="2338B4AC" w14:textId="5177DEB5" w:rsidR="00D22DFF" w:rsidRPr="00404AD7" w:rsidRDefault="00D22DFF" w:rsidP="00D22DFF">
      <w:pPr>
        <w:pStyle w:val="SingleTxtG"/>
        <w:spacing w:after="0" w:line="120" w:lineRule="exact"/>
        <w:rPr>
          <w:sz w:val="10"/>
        </w:rPr>
      </w:pPr>
    </w:p>
    <w:p w14:paraId="329020DB" w14:textId="72BF8F69" w:rsidR="00F60D16" w:rsidRPr="00404AD7" w:rsidRDefault="00F60D16" w:rsidP="007F7712">
      <w:pPr>
        <w:pStyle w:val="SingleTxtG"/>
        <w:numPr>
          <w:ilvl w:val="0"/>
          <w:numId w:val="26"/>
        </w:numPr>
        <w:ind w:left="1134" w:right="1200" w:firstLine="0"/>
      </w:pPr>
      <w:r w:rsidRPr="00404AD7">
        <w:t xml:space="preserve">In addition to identified victims, services are offered to presumed victims, regarding whom the investigation has not been carried out which might identify them as victims of THB crimes, but they might be related to crimes of pimping for example, or they have experienced violations of labour rights and labour conditions and their cases have been dealt with in the Labour Inspectorate. </w:t>
      </w:r>
    </w:p>
    <w:p w14:paraId="5E493298" w14:textId="3EEB71B7" w:rsidR="00F60D16" w:rsidRPr="00404AD7" w:rsidRDefault="00F60D16" w:rsidP="007F7712">
      <w:pPr>
        <w:pStyle w:val="SingleTxtG"/>
        <w:numPr>
          <w:ilvl w:val="0"/>
          <w:numId w:val="26"/>
        </w:numPr>
        <w:ind w:left="1134" w:right="1200" w:firstLine="0"/>
      </w:pPr>
      <w:r w:rsidRPr="00404AD7">
        <w:t>Until 2019 we have had almost only Estonian people as victims, but since then the situation has changed. In 2019-2021 we had migrant women and men related mainly to pimping cases and also presumed victims of labour exploitation cases were detected.</w:t>
      </w:r>
    </w:p>
    <w:p w14:paraId="4989C73B" w14:textId="45ACF501" w:rsidR="004A5381" w:rsidRPr="00404AD7" w:rsidRDefault="004A5381" w:rsidP="00385D71">
      <w:pPr>
        <w:pStyle w:val="SingleTxtG"/>
        <w:spacing w:after="0" w:line="120" w:lineRule="exact"/>
        <w:ind w:right="1191"/>
        <w:rPr>
          <w:sz w:val="10"/>
        </w:rPr>
      </w:pPr>
    </w:p>
    <w:p w14:paraId="174007A6" w14:textId="3255B149" w:rsidR="004A5381" w:rsidRPr="00404AD7" w:rsidRDefault="00385D71" w:rsidP="00385D71">
      <w:pPr>
        <w:pStyle w:val="H23"/>
        <w:tabs>
          <w:tab w:val="right" w:pos="1022"/>
          <w:tab w:val="left" w:pos="1116"/>
          <w:tab w:val="left" w:pos="2218"/>
          <w:tab w:val="left" w:pos="2693"/>
          <w:tab w:val="left" w:pos="3182"/>
          <w:tab w:val="left" w:pos="3658"/>
          <w:tab w:val="left" w:pos="4133"/>
          <w:tab w:val="left" w:pos="4622"/>
          <w:tab w:val="left" w:pos="5098"/>
          <w:tab w:val="left" w:pos="5573"/>
          <w:tab w:val="left" w:pos="6048"/>
        </w:tabs>
      </w:pPr>
      <w:bookmarkStart w:id="31" w:name="_Toc108692404"/>
      <w:r w:rsidRPr="00404AD7">
        <w:tab/>
      </w:r>
      <w:r w:rsidRPr="00404AD7">
        <w:tab/>
      </w:r>
      <w:r w:rsidR="006D1352" w:rsidRPr="00404AD7">
        <w:t xml:space="preserve">Table: Presumed victims of sexual and </w:t>
      </w:r>
      <w:proofErr w:type="spellStart"/>
      <w:r w:rsidR="006D1352" w:rsidRPr="00404AD7">
        <w:t>labour</w:t>
      </w:r>
      <w:proofErr w:type="spellEnd"/>
      <w:r w:rsidR="006D1352" w:rsidRPr="00404AD7">
        <w:t xml:space="preserve"> exploitation, 2019-2021</w:t>
      </w:r>
      <w:bookmarkEnd w:id="31"/>
    </w:p>
    <w:p w14:paraId="10836CF7" w14:textId="58F5BCFE" w:rsidR="00074CBD" w:rsidRPr="00404AD7" w:rsidRDefault="00074CBD" w:rsidP="00074CBD">
      <w:pPr>
        <w:pStyle w:val="SingleTxtG"/>
        <w:spacing w:after="0" w:line="120" w:lineRule="exact"/>
        <w:ind w:left="1138" w:right="1138" w:hanging="29"/>
        <w:rPr>
          <w:b/>
          <w:bCs/>
          <w:sz w:val="10"/>
        </w:rPr>
      </w:pPr>
    </w:p>
    <w:p w14:paraId="66604A6A" w14:textId="49D35792" w:rsidR="00074CBD" w:rsidRPr="00404AD7" w:rsidRDefault="00074CBD" w:rsidP="00074CBD">
      <w:pPr>
        <w:pStyle w:val="SingleTxtG"/>
        <w:spacing w:after="0" w:line="120" w:lineRule="exact"/>
        <w:ind w:left="1138" w:right="1138" w:hanging="29"/>
        <w:rPr>
          <w:sz w:val="10"/>
        </w:rPr>
      </w:pPr>
    </w:p>
    <w:tbl>
      <w:tblPr>
        <w:tblW w:w="7185" w:type="dxa"/>
        <w:tblInd w:w="1134" w:type="dxa"/>
        <w:tblLayout w:type="fixed"/>
        <w:tblCellMar>
          <w:left w:w="0" w:type="dxa"/>
          <w:right w:w="0" w:type="dxa"/>
        </w:tblCellMar>
        <w:tblLook w:val="04A0" w:firstRow="1" w:lastRow="0" w:firstColumn="1" w:lastColumn="0" w:noHBand="0" w:noVBand="1"/>
      </w:tblPr>
      <w:tblGrid>
        <w:gridCol w:w="1494"/>
        <w:gridCol w:w="2952"/>
        <w:gridCol w:w="2739"/>
      </w:tblGrid>
      <w:tr w:rsidR="009652D9" w:rsidRPr="00404AD7" w14:paraId="0A8D3FE1" w14:textId="77777777" w:rsidTr="009652D9">
        <w:trPr>
          <w:tblHeader/>
        </w:trPr>
        <w:tc>
          <w:tcPr>
            <w:tcW w:w="149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50AB3E7A" w14:textId="77777777" w:rsidR="009652D9" w:rsidRPr="00404AD7" w:rsidRDefault="009652D9" w:rsidP="00E53FC8">
            <w:pPr>
              <w:pStyle w:val="SingleTxtG"/>
              <w:tabs>
                <w:tab w:val="clear" w:pos="1701"/>
                <w:tab w:val="clear" w:pos="2268"/>
                <w:tab w:val="clear" w:pos="2835"/>
              </w:tabs>
              <w:suppressAutoHyphens w:val="0"/>
              <w:spacing w:before="80" w:after="80" w:line="200" w:lineRule="exact"/>
              <w:ind w:left="0" w:right="0"/>
              <w:jc w:val="left"/>
              <w:rPr>
                <w:i/>
                <w:sz w:val="16"/>
              </w:rPr>
            </w:pPr>
            <w:r w:rsidRPr="00404AD7">
              <w:rPr>
                <w:i/>
                <w:sz w:val="16"/>
              </w:rPr>
              <w:t xml:space="preserve">Year </w:t>
            </w:r>
          </w:p>
        </w:tc>
        <w:tc>
          <w:tcPr>
            <w:tcW w:w="295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9A51EB3" w14:textId="77777777" w:rsidR="009652D9" w:rsidRPr="00404AD7" w:rsidRDefault="009652D9"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 xml:space="preserve">Presumed victims of sexual exploitation </w:t>
            </w:r>
          </w:p>
        </w:tc>
        <w:tc>
          <w:tcPr>
            <w:tcW w:w="273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2B73C33" w14:textId="77777777" w:rsidR="009652D9" w:rsidRPr="00404AD7" w:rsidRDefault="009652D9" w:rsidP="00385D71">
            <w:pPr>
              <w:pStyle w:val="SingleTxtG"/>
              <w:tabs>
                <w:tab w:val="clear" w:pos="1701"/>
                <w:tab w:val="clear" w:pos="2268"/>
                <w:tab w:val="clear" w:pos="2835"/>
              </w:tabs>
              <w:suppressAutoHyphens w:val="0"/>
              <w:spacing w:before="80" w:after="80" w:line="200" w:lineRule="exact"/>
              <w:ind w:left="0" w:right="-102"/>
              <w:jc w:val="right"/>
              <w:rPr>
                <w:i/>
                <w:sz w:val="16"/>
              </w:rPr>
            </w:pPr>
            <w:r w:rsidRPr="00404AD7">
              <w:rPr>
                <w:i/>
                <w:sz w:val="16"/>
              </w:rPr>
              <w:t xml:space="preserve">Presumed victims of labour exploitation </w:t>
            </w:r>
          </w:p>
        </w:tc>
      </w:tr>
      <w:tr w:rsidR="009652D9" w:rsidRPr="00404AD7" w14:paraId="3B8895CD" w14:textId="77777777" w:rsidTr="009652D9">
        <w:tc>
          <w:tcPr>
            <w:tcW w:w="1494" w:type="dxa"/>
            <w:tcBorders>
              <w:top w:val="single" w:sz="12" w:space="0" w:color="auto"/>
            </w:tcBorders>
            <w:shd w:val="clear" w:color="auto" w:fill="auto"/>
            <w:tcMar>
              <w:top w:w="0" w:type="dxa"/>
              <w:left w:w="108" w:type="dxa"/>
              <w:bottom w:w="0" w:type="dxa"/>
              <w:right w:w="108" w:type="dxa"/>
            </w:tcMar>
            <w:hideMark/>
          </w:tcPr>
          <w:p w14:paraId="67D85BEC" w14:textId="77777777" w:rsidR="009652D9" w:rsidRPr="00404AD7" w:rsidRDefault="009652D9" w:rsidP="00E53FC8">
            <w:pPr>
              <w:pStyle w:val="SingleTxtG"/>
              <w:tabs>
                <w:tab w:val="clear" w:pos="1701"/>
                <w:tab w:val="clear" w:pos="2268"/>
                <w:tab w:val="clear" w:pos="2835"/>
              </w:tabs>
              <w:suppressAutoHyphens w:val="0"/>
              <w:spacing w:before="40" w:after="40" w:line="220" w:lineRule="exact"/>
              <w:ind w:left="0" w:right="0"/>
              <w:jc w:val="left"/>
              <w:rPr>
                <w:b/>
                <w:sz w:val="18"/>
              </w:rPr>
            </w:pPr>
            <w:r w:rsidRPr="00404AD7">
              <w:rPr>
                <w:b/>
                <w:sz w:val="18"/>
              </w:rPr>
              <w:t xml:space="preserve">2019 </w:t>
            </w:r>
          </w:p>
        </w:tc>
        <w:tc>
          <w:tcPr>
            <w:tcW w:w="2952" w:type="dxa"/>
            <w:tcBorders>
              <w:top w:val="single" w:sz="12" w:space="0" w:color="auto"/>
            </w:tcBorders>
            <w:shd w:val="clear" w:color="auto" w:fill="auto"/>
            <w:tcMar>
              <w:top w:w="0" w:type="dxa"/>
              <w:left w:w="108" w:type="dxa"/>
              <w:bottom w:w="0" w:type="dxa"/>
              <w:right w:w="108" w:type="dxa"/>
            </w:tcMar>
            <w:vAlign w:val="bottom"/>
            <w:hideMark/>
          </w:tcPr>
          <w:p w14:paraId="52C7430C" w14:textId="77777777" w:rsidR="009652D9" w:rsidRPr="00404AD7" w:rsidRDefault="009652D9"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54</w:t>
            </w:r>
          </w:p>
        </w:tc>
        <w:tc>
          <w:tcPr>
            <w:tcW w:w="2739" w:type="dxa"/>
            <w:tcBorders>
              <w:top w:val="single" w:sz="12" w:space="0" w:color="auto"/>
            </w:tcBorders>
            <w:shd w:val="clear" w:color="auto" w:fill="auto"/>
            <w:tcMar>
              <w:top w:w="0" w:type="dxa"/>
              <w:left w:w="108" w:type="dxa"/>
              <w:bottom w:w="0" w:type="dxa"/>
              <w:right w:w="108" w:type="dxa"/>
            </w:tcMar>
            <w:vAlign w:val="bottom"/>
            <w:hideMark/>
          </w:tcPr>
          <w:p w14:paraId="36BE3F21" w14:textId="77777777" w:rsidR="009652D9" w:rsidRPr="00404AD7" w:rsidRDefault="009652D9"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111</w:t>
            </w:r>
          </w:p>
        </w:tc>
      </w:tr>
      <w:tr w:rsidR="009652D9" w:rsidRPr="00404AD7" w14:paraId="77BAA3CA" w14:textId="77777777" w:rsidTr="009652D9">
        <w:tc>
          <w:tcPr>
            <w:tcW w:w="1494" w:type="dxa"/>
            <w:shd w:val="clear" w:color="auto" w:fill="auto"/>
            <w:tcMar>
              <w:top w:w="0" w:type="dxa"/>
              <w:left w:w="108" w:type="dxa"/>
              <w:bottom w:w="0" w:type="dxa"/>
              <w:right w:w="108" w:type="dxa"/>
            </w:tcMar>
            <w:hideMark/>
          </w:tcPr>
          <w:p w14:paraId="01E7B7E3" w14:textId="77777777" w:rsidR="009652D9" w:rsidRPr="00404AD7" w:rsidRDefault="009652D9" w:rsidP="00E53FC8">
            <w:pPr>
              <w:pStyle w:val="SingleTxtG"/>
              <w:tabs>
                <w:tab w:val="clear" w:pos="1701"/>
                <w:tab w:val="clear" w:pos="2268"/>
                <w:tab w:val="clear" w:pos="2835"/>
              </w:tabs>
              <w:suppressAutoHyphens w:val="0"/>
              <w:spacing w:before="40" w:after="40" w:line="220" w:lineRule="exact"/>
              <w:ind w:left="0" w:right="0"/>
              <w:jc w:val="left"/>
              <w:rPr>
                <w:b/>
                <w:sz w:val="18"/>
              </w:rPr>
            </w:pPr>
            <w:r w:rsidRPr="00404AD7">
              <w:rPr>
                <w:b/>
                <w:sz w:val="18"/>
              </w:rPr>
              <w:t xml:space="preserve">2020 </w:t>
            </w:r>
          </w:p>
        </w:tc>
        <w:tc>
          <w:tcPr>
            <w:tcW w:w="2952" w:type="dxa"/>
            <w:shd w:val="clear" w:color="auto" w:fill="auto"/>
            <w:tcMar>
              <w:top w:w="0" w:type="dxa"/>
              <w:left w:w="108" w:type="dxa"/>
              <w:bottom w:w="0" w:type="dxa"/>
              <w:right w:w="108" w:type="dxa"/>
            </w:tcMar>
            <w:vAlign w:val="bottom"/>
            <w:hideMark/>
          </w:tcPr>
          <w:p w14:paraId="0399A206" w14:textId="77777777" w:rsidR="009652D9" w:rsidRPr="00404AD7" w:rsidRDefault="009652D9"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 xml:space="preserve">17 </w:t>
            </w:r>
          </w:p>
        </w:tc>
        <w:tc>
          <w:tcPr>
            <w:tcW w:w="2739" w:type="dxa"/>
            <w:shd w:val="clear" w:color="auto" w:fill="auto"/>
            <w:tcMar>
              <w:top w:w="0" w:type="dxa"/>
              <w:left w:w="108" w:type="dxa"/>
              <w:bottom w:w="0" w:type="dxa"/>
              <w:right w:w="108" w:type="dxa"/>
            </w:tcMar>
            <w:vAlign w:val="bottom"/>
            <w:hideMark/>
          </w:tcPr>
          <w:p w14:paraId="1168ACD2" w14:textId="77777777" w:rsidR="009652D9" w:rsidRPr="00404AD7" w:rsidRDefault="009652D9"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 xml:space="preserve">12 </w:t>
            </w:r>
          </w:p>
        </w:tc>
      </w:tr>
      <w:tr w:rsidR="009652D9" w:rsidRPr="00404AD7" w14:paraId="6985B991" w14:textId="77777777" w:rsidTr="009652D9">
        <w:tc>
          <w:tcPr>
            <w:tcW w:w="1494" w:type="dxa"/>
            <w:tcBorders>
              <w:bottom w:val="single" w:sz="12" w:space="0" w:color="auto"/>
            </w:tcBorders>
            <w:shd w:val="clear" w:color="auto" w:fill="auto"/>
            <w:tcMar>
              <w:top w:w="0" w:type="dxa"/>
              <w:left w:w="108" w:type="dxa"/>
              <w:bottom w:w="0" w:type="dxa"/>
              <w:right w:w="108" w:type="dxa"/>
            </w:tcMar>
            <w:hideMark/>
          </w:tcPr>
          <w:p w14:paraId="4E2A82BB" w14:textId="77777777" w:rsidR="009652D9" w:rsidRPr="00404AD7" w:rsidRDefault="009652D9" w:rsidP="00E53FC8">
            <w:pPr>
              <w:pStyle w:val="SingleTxtG"/>
              <w:tabs>
                <w:tab w:val="clear" w:pos="1701"/>
                <w:tab w:val="clear" w:pos="2268"/>
                <w:tab w:val="clear" w:pos="2835"/>
              </w:tabs>
              <w:suppressAutoHyphens w:val="0"/>
              <w:spacing w:before="40" w:after="40" w:line="220" w:lineRule="exact"/>
              <w:ind w:left="0" w:right="0"/>
              <w:jc w:val="left"/>
              <w:rPr>
                <w:b/>
                <w:sz w:val="18"/>
              </w:rPr>
            </w:pPr>
            <w:r w:rsidRPr="00404AD7">
              <w:rPr>
                <w:b/>
                <w:sz w:val="18"/>
              </w:rPr>
              <w:t>2021</w:t>
            </w:r>
          </w:p>
        </w:tc>
        <w:tc>
          <w:tcPr>
            <w:tcW w:w="2952" w:type="dxa"/>
            <w:tcBorders>
              <w:bottom w:val="single" w:sz="12" w:space="0" w:color="auto"/>
            </w:tcBorders>
            <w:shd w:val="clear" w:color="auto" w:fill="auto"/>
            <w:tcMar>
              <w:top w:w="0" w:type="dxa"/>
              <w:left w:w="108" w:type="dxa"/>
              <w:bottom w:w="0" w:type="dxa"/>
              <w:right w:w="108" w:type="dxa"/>
            </w:tcMar>
            <w:vAlign w:val="bottom"/>
            <w:hideMark/>
          </w:tcPr>
          <w:p w14:paraId="47A5E78D" w14:textId="77777777" w:rsidR="009652D9" w:rsidRPr="00404AD7" w:rsidRDefault="009652D9"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28</w:t>
            </w:r>
          </w:p>
        </w:tc>
        <w:tc>
          <w:tcPr>
            <w:tcW w:w="2739" w:type="dxa"/>
            <w:tcBorders>
              <w:bottom w:val="single" w:sz="12" w:space="0" w:color="auto"/>
            </w:tcBorders>
            <w:shd w:val="clear" w:color="auto" w:fill="auto"/>
            <w:tcMar>
              <w:top w:w="0" w:type="dxa"/>
              <w:left w:w="108" w:type="dxa"/>
              <w:bottom w:w="0" w:type="dxa"/>
              <w:right w:w="108" w:type="dxa"/>
            </w:tcMar>
            <w:vAlign w:val="bottom"/>
            <w:hideMark/>
          </w:tcPr>
          <w:p w14:paraId="19B5AB9F" w14:textId="77777777" w:rsidR="009652D9" w:rsidRPr="00404AD7" w:rsidRDefault="009652D9"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7</w:t>
            </w:r>
          </w:p>
        </w:tc>
      </w:tr>
    </w:tbl>
    <w:p w14:paraId="4BD3501C" w14:textId="3558B9D4" w:rsidR="00074CBD" w:rsidRPr="00404AD7" w:rsidRDefault="00074CBD" w:rsidP="009652D9">
      <w:pPr>
        <w:pStyle w:val="SingleTxtG"/>
        <w:spacing w:after="0" w:line="120" w:lineRule="exact"/>
        <w:ind w:left="1138" w:right="1138" w:hanging="29"/>
        <w:rPr>
          <w:sz w:val="10"/>
        </w:rPr>
      </w:pPr>
    </w:p>
    <w:p w14:paraId="27DDCC83" w14:textId="630E2524" w:rsidR="009652D9" w:rsidRPr="00404AD7" w:rsidRDefault="00541BEC" w:rsidP="00541BEC">
      <w:pPr>
        <w:pStyle w:val="FootnoteText"/>
        <w:tabs>
          <w:tab w:val="clear" w:pos="418"/>
          <w:tab w:val="left" w:pos="1548"/>
          <w:tab w:val="right" w:pos="1836"/>
          <w:tab w:val="left" w:pos="1908"/>
        </w:tabs>
        <w:ind w:left="1548" w:right="1267" w:hanging="432"/>
      </w:pPr>
      <w:r w:rsidRPr="00404AD7">
        <w:rPr>
          <w:i/>
          <w:iCs/>
        </w:rPr>
        <w:t>Source</w:t>
      </w:r>
      <w:r w:rsidRPr="00404AD7">
        <w:t>: The Ministry of Justice</w:t>
      </w:r>
    </w:p>
    <w:p w14:paraId="7EA7B6BE" w14:textId="73941917" w:rsidR="00D22DFF" w:rsidRPr="00404AD7" w:rsidRDefault="00D22DFF" w:rsidP="00541BEC">
      <w:pPr>
        <w:pStyle w:val="SingleTxtG"/>
        <w:spacing w:after="0" w:line="120" w:lineRule="exact"/>
        <w:rPr>
          <w:sz w:val="10"/>
        </w:rPr>
      </w:pPr>
    </w:p>
    <w:p w14:paraId="13937F65" w14:textId="5DE24712" w:rsidR="00541BEC" w:rsidRPr="00404AD7" w:rsidRDefault="00541BEC" w:rsidP="00541BEC">
      <w:pPr>
        <w:pStyle w:val="SingleTxtG"/>
        <w:spacing w:after="0" w:line="120" w:lineRule="exact"/>
        <w:rPr>
          <w:sz w:val="10"/>
        </w:rPr>
      </w:pPr>
    </w:p>
    <w:p w14:paraId="09BDCE86" w14:textId="0B8E6818" w:rsidR="008E327C" w:rsidRPr="00404AD7" w:rsidRDefault="008E327C" w:rsidP="007F7712">
      <w:pPr>
        <w:pStyle w:val="SingleTxtG"/>
        <w:numPr>
          <w:ilvl w:val="0"/>
          <w:numId w:val="26"/>
        </w:numPr>
        <w:ind w:left="1134" w:right="1200" w:firstLine="0"/>
      </w:pPr>
      <w:r w:rsidRPr="00404AD7">
        <w:t>Victim support services are provided to all victims of crime by the SIB and under the Victim Support Act. This Act also offers specialised services to trafficking victims and presumed victims of trafficking.</w:t>
      </w:r>
    </w:p>
    <w:p w14:paraId="247FAF85" w14:textId="517D57C8" w:rsidR="008E327C" w:rsidRPr="00404AD7" w:rsidRDefault="008E327C" w:rsidP="008E327C">
      <w:pPr>
        <w:pStyle w:val="SingleTxtG"/>
        <w:spacing w:after="0" w:line="120" w:lineRule="exact"/>
        <w:ind w:right="1191"/>
        <w:rPr>
          <w:sz w:val="10"/>
        </w:rPr>
      </w:pPr>
    </w:p>
    <w:p w14:paraId="509D8506" w14:textId="46050A33" w:rsidR="008E327C" w:rsidRPr="00404AD7" w:rsidRDefault="008E327C" w:rsidP="008E327C">
      <w:pPr>
        <w:pStyle w:val="SingleTxtG"/>
        <w:spacing w:after="0" w:line="120" w:lineRule="exact"/>
        <w:ind w:right="1191"/>
        <w:rPr>
          <w:sz w:val="10"/>
        </w:rPr>
      </w:pPr>
    </w:p>
    <w:p w14:paraId="4CCD70A1" w14:textId="50ACE265" w:rsidR="008E327C" w:rsidRPr="00404AD7" w:rsidRDefault="008E327C">
      <w:pPr>
        <w:suppressAutoHyphens w:val="0"/>
        <w:spacing w:after="200" w:line="276" w:lineRule="auto"/>
        <w:rPr>
          <w:spacing w:val="0"/>
          <w:w w:val="100"/>
          <w:kern w:val="0"/>
        </w:rPr>
      </w:pPr>
      <w:r w:rsidRPr="00404AD7">
        <w:br w:type="page"/>
      </w:r>
    </w:p>
    <w:p w14:paraId="13761DA7" w14:textId="5CB6C3F4" w:rsidR="00541BEC" w:rsidRPr="00404AD7" w:rsidRDefault="001375DA" w:rsidP="003418B2">
      <w:pPr>
        <w:pStyle w:val="SingleTxtG"/>
        <w:spacing w:after="0"/>
        <w:ind w:left="1138" w:right="1138"/>
        <w:rPr>
          <w:b/>
          <w:bCs/>
        </w:rPr>
      </w:pPr>
      <w:r w:rsidRPr="00404AD7">
        <w:rPr>
          <w:b/>
          <w:bCs/>
        </w:rPr>
        <w:lastRenderedPageBreak/>
        <w:t>Table: Persons prosecuted and convicted of committing trafficking crimes (Penal Code 133). Information provided to GLOTIP 2021 report</w:t>
      </w:r>
    </w:p>
    <w:p w14:paraId="42E5C092" w14:textId="77777777" w:rsidR="003418B2" w:rsidRPr="00404AD7" w:rsidRDefault="003418B2" w:rsidP="003418B2">
      <w:pPr>
        <w:pStyle w:val="SingleTxtG"/>
        <w:spacing w:after="0" w:line="120" w:lineRule="exact"/>
        <w:rPr>
          <w:sz w:val="10"/>
        </w:rPr>
      </w:pPr>
    </w:p>
    <w:p w14:paraId="012A76D5" w14:textId="72B48F08" w:rsidR="003418B2" w:rsidRPr="00404AD7" w:rsidRDefault="003418B2" w:rsidP="003418B2">
      <w:pPr>
        <w:pStyle w:val="SingleTxtG"/>
        <w:spacing w:after="0" w:line="120" w:lineRule="exact"/>
        <w:rPr>
          <w:sz w:val="10"/>
        </w:rPr>
      </w:pPr>
      <w:r w:rsidRPr="00404AD7">
        <w:rPr>
          <w:noProof/>
        </w:rPr>
        <w:drawing>
          <wp:anchor distT="0" distB="0" distL="114300" distR="114300" simplePos="0" relativeHeight="251659264" behindDoc="0" locked="0" layoutInCell="1" allowOverlap="1" wp14:anchorId="131F7608" wp14:editId="7FEFE042">
            <wp:simplePos x="0" y="0"/>
            <wp:positionH relativeFrom="column">
              <wp:posOffset>721995</wp:posOffset>
            </wp:positionH>
            <wp:positionV relativeFrom="paragraph">
              <wp:posOffset>103909</wp:posOffset>
            </wp:positionV>
            <wp:extent cx="5492750" cy="5993130"/>
            <wp:effectExtent l="0" t="0" r="0" b="762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2750" cy="5993130"/>
                    </a:xfrm>
                    <a:prstGeom prst="rect">
                      <a:avLst/>
                    </a:prstGeom>
                    <a:noFill/>
                  </pic:spPr>
                </pic:pic>
              </a:graphicData>
            </a:graphic>
            <wp14:sizeRelH relativeFrom="page">
              <wp14:pctWidth>0</wp14:pctWidth>
            </wp14:sizeRelH>
            <wp14:sizeRelV relativeFrom="page">
              <wp14:pctHeight>0</wp14:pctHeight>
            </wp14:sizeRelV>
          </wp:anchor>
        </w:drawing>
      </w:r>
    </w:p>
    <w:p w14:paraId="59B577EC" w14:textId="58A2E1B1" w:rsidR="003418B2" w:rsidRPr="00404AD7" w:rsidRDefault="003418B2" w:rsidP="003418B2">
      <w:pPr>
        <w:pStyle w:val="SingleTxtG"/>
        <w:spacing w:after="0" w:line="120" w:lineRule="exact"/>
        <w:rPr>
          <w:sz w:val="10"/>
        </w:rPr>
      </w:pPr>
    </w:p>
    <w:p w14:paraId="596A91EE" w14:textId="209CA610" w:rsidR="003418B2" w:rsidRPr="00C70331" w:rsidRDefault="003418B2" w:rsidP="00C70331">
      <w:pPr>
        <w:pStyle w:val="SingleTxtG"/>
        <w:spacing w:after="0" w:line="120" w:lineRule="exact"/>
        <w:rPr>
          <w:sz w:val="10"/>
        </w:rPr>
      </w:pPr>
    </w:p>
    <w:p w14:paraId="349B7719" w14:textId="77777777" w:rsidR="00C70331" w:rsidRPr="00404AD7" w:rsidRDefault="00C70331" w:rsidP="003418B2">
      <w:pPr>
        <w:pStyle w:val="SingleTxtG"/>
        <w:spacing w:after="0" w:line="120" w:lineRule="exact"/>
        <w:rPr>
          <w:sz w:val="10"/>
        </w:rPr>
      </w:pPr>
    </w:p>
    <w:p w14:paraId="12BFD195" w14:textId="074556A9" w:rsidR="00127A29" w:rsidRPr="00404AD7" w:rsidRDefault="00127A29" w:rsidP="00C70331">
      <w:pPr>
        <w:pStyle w:val="HChG"/>
        <w:spacing w:before="0"/>
        <w:ind w:left="1138" w:right="1138" w:hanging="1138"/>
        <w:rPr>
          <w:lang w:val="en-US"/>
        </w:rPr>
      </w:pPr>
      <w:bookmarkStart w:id="32" w:name="_Toc108692406"/>
      <w:r w:rsidRPr="00404AD7">
        <w:rPr>
          <w:lang w:val="en-US"/>
        </w:rPr>
        <w:tab/>
      </w:r>
      <w:r w:rsidRPr="00404AD7">
        <w:rPr>
          <w:lang w:val="en-US"/>
        </w:rPr>
        <w:tab/>
        <w:t>Question 13</w:t>
      </w:r>
      <w:bookmarkEnd w:id="32"/>
    </w:p>
    <w:p w14:paraId="7BE0E4CC" w14:textId="77777777" w:rsidR="00711EE0" w:rsidRPr="00404AD7" w:rsidRDefault="00127A29" w:rsidP="007F7712">
      <w:pPr>
        <w:pStyle w:val="SingleTxtG"/>
        <w:numPr>
          <w:ilvl w:val="0"/>
          <w:numId w:val="26"/>
        </w:numPr>
        <w:ind w:left="1134" w:right="1200" w:firstLine="0"/>
      </w:pPr>
      <w:r w:rsidRPr="00404AD7">
        <w:t xml:space="preserve">Support services for prostituted/sexually exploited women include psychological, legal, social counselling, medical services, outreach work (services are arranged by the SIB and Health Development Institute and paid by the state budget). Prostitution is considered as a form of violence against women and women are treated as victims of violence. Low-threshold services are provided by NGO </w:t>
      </w:r>
      <w:proofErr w:type="spellStart"/>
      <w:r w:rsidRPr="00404AD7">
        <w:t>Eluliin</w:t>
      </w:r>
      <w:proofErr w:type="spellEnd"/>
      <w:r w:rsidRPr="00404AD7">
        <w:t xml:space="preserve"> that has extensive experience in supporting women in prostitution. The NGO also does outreach work and browses online platforms to identify women in need of help. If women wish to leave prostitution, in addition to services provided by NGOs, the Estonian Unemployment Insurance Fund (EUIF) provides extensive counselling </w:t>
      </w:r>
      <w:r w:rsidRPr="00404AD7">
        <w:lastRenderedPageBreak/>
        <w:t xml:space="preserve">relevant to (future) job-seekers. Benefits, training, psychological counselling, work trial, job club are all available for women who want to leave prostitution. NGO </w:t>
      </w:r>
      <w:proofErr w:type="spellStart"/>
      <w:r w:rsidRPr="00404AD7">
        <w:t>Eluliin</w:t>
      </w:r>
      <w:proofErr w:type="spellEnd"/>
      <w:r w:rsidRPr="00404AD7">
        <w:t xml:space="preserve"> keeps contact with women and provides support in job search as well.</w:t>
      </w:r>
      <w:r w:rsidR="00711EE0">
        <w:t xml:space="preserve"> </w:t>
      </w:r>
    </w:p>
    <w:p w14:paraId="460455EE" w14:textId="77777777" w:rsidR="00711EE0" w:rsidRPr="00404AD7" w:rsidRDefault="00127A29" w:rsidP="007F7712">
      <w:pPr>
        <w:pStyle w:val="SingleTxtG"/>
        <w:numPr>
          <w:ilvl w:val="0"/>
          <w:numId w:val="26"/>
        </w:numPr>
        <w:ind w:left="1134" w:right="1200" w:firstLine="0"/>
      </w:pPr>
      <w:r w:rsidRPr="00404AD7">
        <w:t xml:space="preserve">Every year, around 300-400 women involved in prostitution are being supported. The Police and NGO </w:t>
      </w:r>
      <w:proofErr w:type="spellStart"/>
      <w:r w:rsidRPr="00404AD7">
        <w:t>Eluliin</w:t>
      </w:r>
      <w:proofErr w:type="spellEnd"/>
      <w:r w:rsidRPr="00404AD7">
        <w:t xml:space="preserve"> share the opinion that around 700 women in Estonia are involved in prostitution.</w:t>
      </w:r>
      <w:r w:rsidR="00711EE0">
        <w:t xml:space="preserve"> </w:t>
      </w:r>
    </w:p>
    <w:p w14:paraId="0D0CC040" w14:textId="2F61647A" w:rsidR="00127A29" w:rsidRPr="00404AD7" w:rsidRDefault="00127A29" w:rsidP="00127A29">
      <w:pPr>
        <w:pStyle w:val="HChG"/>
        <w:rPr>
          <w:lang w:val="en-US"/>
        </w:rPr>
      </w:pPr>
      <w:r w:rsidRPr="00404AD7">
        <w:rPr>
          <w:lang w:val="en-US"/>
        </w:rPr>
        <w:tab/>
      </w:r>
      <w:r w:rsidRPr="00404AD7">
        <w:rPr>
          <w:lang w:val="en-US"/>
        </w:rPr>
        <w:tab/>
      </w:r>
      <w:bookmarkStart w:id="33" w:name="_Toc108692407"/>
      <w:r w:rsidRPr="00404AD7">
        <w:rPr>
          <w:lang w:val="en-US"/>
        </w:rPr>
        <w:t>Participation in political and public life</w:t>
      </w:r>
      <w:bookmarkEnd w:id="33"/>
    </w:p>
    <w:p w14:paraId="3D381837" w14:textId="77777777" w:rsidR="00127A29" w:rsidRPr="00404AD7" w:rsidRDefault="00127A29" w:rsidP="00127A29">
      <w:pPr>
        <w:pStyle w:val="H1G"/>
        <w:rPr>
          <w:lang w:val="en-US"/>
        </w:rPr>
      </w:pPr>
      <w:r w:rsidRPr="00404AD7">
        <w:rPr>
          <w:lang w:val="en-US"/>
        </w:rPr>
        <w:tab/>
      </w:r>
      <w:r w:rsidRPr="00404AD7">
        <w:rPr>
          <w:lang w:val="en-US"/>
        </w:rPr>
        <w:tab/>
      </w:r>
      <w:bookmarkStart w:id="34" w:name="_Toc108692408"/>
      <w:r w:rsidRPr="00404AD7">
        <w:rPr>
          <w:lang w:val="en-US"/>
        </w:rPr>
        <w:t>Question 14</w:t>
      </w:r>
      <w:bookmarkEnd w:id="34"/>
    </w:p>
    <w:p w14:paraId="2C05BBF7" w14:textId="36D2AC4F" w:rsidR="00127A29" w:rsidRPr="00404AD7" w:rsidRDefault="00127A29" w:rsidP="007F7712">
      <w:pPr>
        <w:pStyle w:val="SingleTxtG"/>
        <w:numPr>
          <w:ilvl w:val="0"/>
          <w:numId w:val="26"/>
        </w:numPr>
        <w:ind w:left="1134" w:right="1200" w:firstLine="0"/>
      </w:pPr>
      <w:bookmarkStart w:id="35" w:name="_Hlk104826440"/>
      <w:bookmarkStart w:id="36" w:name="_Hlk104368061"/>
      <w:r w:rsidRPr="00404AD7">
        <w:t xml:space="preserve">In 2018-2019, a project </w:t>
      </w:r>
      <w:r w:rsidR="006B00A5" w:rsidRPr="00404AD7">
        <w:t>“</w:t>
      </w:r>
      <w:r w:rsidRPr="00404AD7">
        <w:t>The Role of Women and Men in Local Governments and Councils</w:t>
      </w:r>
      <w:r w:rsidR="006B00A5" w:rsidRPr="00404AD7">
        <w:t>”</w:t>
      </w:r>
      <w:r w:rsidRPr="00404AD7">
        <w:t>, co-financed by the Ministry of Social Affairs, was carried out by a think tank Praxis. The aim of the project was to give an overview of the role of women and men in shaping the local life by collecting and analysing data of the education level, age, pay and occupation of the employees of local governments. The results were published in 2019 as a policy brief which can be used to improve the situation of women in local governments in the future.</w:t>
      </w:r>
    </w:p>
    <w:p w14:paraId="7308BF3B" w14:textId="79446E2F" w:rsidR="00127A29" w:rsidRPr="00404AD7" w:rsidRDefault="00127A29" w:rsidP="007F7712">
      <w:pPr>
        <w:pStyle w:val="SingleTxtG"/>
        <w:numPr>
          <w:ilvl w:val="0"/>
          <w:numId w:val="26"/>
        </w:numPr>
        <w:ind w:left="1134" w:right="1200" w:firstLine="0"/>
      </w:pPr>
      <w:r w:rsidRPr="00404AD7">
        <w:t xml:space="preserve">According to the analyses, 31% of Estonian local government council members are women and 69% are men. 75% of vice-chairperson and 83% chairperson are men. Only 25% of vice-chairperson are women and 17% of the chairpersons are women. </w:t>
      </w:r>
    </w:p>
    <w:bookmarkEnd w:id="35"/>
    <w:bookmarkEnd w:id="36"/>
    <w:p w14:paraId="319D25BB" w14:textId="21BEDCD9" w:rsidR="00127A29" w:rsidRPr="00404AD7" w:rsidRDefault="00127A29" w:rsidP="007F7712">
      <w:pPr>
        <w:pStyle w:val="SingleTxtG"/>
        <w:numPr>
          <w:ilvl w:val="0"/>
          <w:numId w:val="26"/>
        </w:numPr>
        <w:ind w:left="1134" w:right="1200" w:firstLine="0"/>
      </w:pPr>
      <w:r w:rsidRPr="00404AD7">
        <w:t>Among local government employees there are almost three quarters (73%) of women. At the same time, men are dominating in the elected positions - 71% of men and 29% of women are deputy mayors / deputy rural municipality elders and as many as 83% and 17% of women among mayors / rural municipality elders.</w:t>
      </w:r>
    </w:p>
    <w:p w14:paraId="74BD54F7" w14:textId="742EA21E" w:rsidR="00127A29" w:rsidRPr="00404AD7" w:rsidRDefault="00127A29" w:rsidP="007F7712">
      <w:pPr>
        <w:pStyle w:val="SingleTxtG"/>
        <w:numPr>
          <w:ilvl w:val="0"/>
          <w:numId w:val="26"/>
        </w:numPr>
        <w:ind w:left="1134" w:right="1200" w:firstLine="0"/>
      </w:pPr>
      <w:r w:rsidRPr="00404AD7">
        <w:t>As of December 2021, women account for 26% of members of Parliament (26 women and 75 men. Among the 51</w:t>
      </w:r>
      <w:r w:rsidRPr="00404AD7">
        <w:rPr>
          <w:vertAlign w:val="superscript"/>
        </w:rPr>
        <w:t>st</w:t>
      </w:r>
      <w:r w:rsidRPr="00404AD7">
        <w:t xml:space="preserve"> Government of the Republic of Estonia there are 6 female ministers (including the Prime Minister) and women account for 40% of ministers. </w:t>
      </w:r>
    </w:p>
    <w:p w14:paraId="1E71865D" w14:textId="320D8A69" w:rsidR="00127A29" w:rsidRPr="00404AD7" w:rsidRDefault="00127A29" w:rsidP="007F7712">
      <w:pPr>
        <w:pStyle w:val="SingleTxtG"/>
        <w:numPr>
          <w:ilvl w:val="0"/>
          <w:numId w:val="26"/>
        </w:numPr>
        <w:ind w:left="1134" w:right="1200" w:firstLine="0"/>
      </w:pPr>
      <w:r w:rsidRPr="00404AD7">
        <w:t xml:space="preserve">According to the #SHEcurity Index, in 2019 47% of Estonian ambassadors were women and Estonia employs more women than men in their diplomatic corps – there were 61% of women in diplomatic corps in 2019. </w:t>
      </w:r>
    </w:p>
    <w:p w14:paraId="043C505E" w14:textId="6EC57038" w:rsidR="00127A29" w:rsidRPr="00404AD7" w:rsidRDefault="00127A29" w:rsidP="007F7712">
      <w:pPr>
        <w:pStyle w:val="SingleTxtG"/>
        <w:numPr>
          <w:ilvl w:val="0"/>
          <w:numId w:val="26"/>
        </w:numPr>
        <w:ind w:left="1134" w:right="1200" w:firstLine="0"/>
      </w:pPr>
      <w:r w:rsidRPr="00404AD7">
        <w:t>There is no data collected about women in judiciary, media sector and in state-owned companies.</w:t>
      </w:r>
    </w:p>
    <w:p w14:paraId="18E3CA91" w14:textId="18C519AF" w:rsidR="00127A29" w:rsidRPr="00404AD7" w:rsidRDefault="00127A29" w:rsidP="007F7712">
      <w:pPr>
        <w:pStyle w:val="SingleTxtG"/>
        <w:numPr>
          <w:ilvl w:val="0"/>
          <w:numId w:val="26"/>
        </w:numPr>
        <w:ind w:left="1134" w:right="1200" w:firstLine="0"/>
      </w:pPr>
      <w:r w:rsidRPr="00404AD7">
        <w:t xml:space="preserve">In 2019-2020, the think tank Praxis implemented a project </w:t>
      </w:r>
      <w:r w:rsidR="006B00A5" w:rsidRPr="00404AD7">
        <w:t>“</w:t>
      </w:r>
      <w:r w:rsidRPr="00404AD7">
        <w:t>Nudging Women to Power</w:t>
      </w:r>
      <w:r w:rsidR="006B00A5" w:rsidRPr="00404AD7">
        <w:t>”</w:t>
      </w:r>
      <w:r w:rsidRPr="00404AD7">
        <w:t>, financed from the European Commissions` Rights, Equality and Citizenship Programme, with a co-financing from the Ministry of Social Affairs, the National Foundation of Civil Society and the Nordic Council of Ministers. The general objective of the project was to improve women</w:t>
      </w:r>
      <w:r w:rsidR="006B00A5" w:rsidRPr="00404AD7">
        <w:t>’</w:t>
      </w:r>
      <w:r w:rsidRPr="00404AD7">
        <w:t>s access to high-level political decision-making. This project helped to increase knowledge, awareness and understanding of the importance of gender equality in public policy making and how the media as well as political organisations can help to empower women in achieving higher positions as well as increase their visibility and credibility in public domains. Based on existing literature, experiences of politicians, and behavioural insights, recommendations and practical tools were developed to support women</w:t>
      </w:r>
      <w:r w:rsidR="006B00A5" w:rsidRPr="00404AD7">
        <w:t>’</w:t>
      </w:r>
      <w:r w:rsidRPr="00404AD7">
        <w:t>s wider participation in politics and high-level decision-making.</w:t>
      </w:r>
    </w:p>
    <w:p w14:paraId="75DEDACA" w14:textId="7559EA6D" w:rsidR="00127A29" w:rsidRPr="00404AD7" w:rsidRDefault="00127A29" w:rsidP="007F7712">
      <w:pPr>
        <w:pStyle w:val="SingleTxtG"/>
        <w:numPr>
          <w:ilvl w:val="0"/>
          <w:numId w:val="26"/>
        </w:numPr>
        <w:ind w:left="1134" w:right="1200" w:firstLine="0"/>
      </w:pPr>
      <w:bookmarkStart w:id="37" w:name="_Hlk105493650"/>
      <w:r w:rsidRPr="00404AD7">
        <w:t xml:space="preserve">From 2014 to 2020 integration policy was framed by development plan </w:t>
      </w:r>
      <w:r w:rsidR="006B00A5" w:rsidRPr="00404AD7">
        <w:t>“</w:t>
      </w:r>
      <w:r w:rsidRPr="00404AD7">
        <w:t>Integrating Estonia 2020</w:t>
      </w:r>
      <w:r w:rsidR="006B00A5" w:rsidRPr="00404AD7">
        <w:t>”</w:t>
      </w:r>
      <w:r w:rsidRPr="00404AD7">
        <w:t xml:space="preserve"> with an overall goal of a socially coherent society where people with different language and cultural backgrounds actively participate in social life and share democratic values. One of the subgoals of the plan was a continued support for the integration of permanent residents whose native language and culture is other than Estonian. The goal had three measures: 1) Creating opportunities to increase the social activity and support the integration </w:t>
      </w:r>
      <w:r w:rsidRPr="00404AD7">
        <w:lastRenderedPageBreak/>
        <w:t xml:space="preserve">of Estonian permanent residents with foreign origin; 2) Supporting legal-political integration; 3) Promoting equal treatment in the labour market. More information on the third measure can be found in section on Employment. </w:t>
      </w:r>
    </w:p>
    <w:p w14:paraId="017C677B" w14:textId="699B72ED" w:rsidR="00127A29" w:rsidRPr="00404AD7" w:rsidRDefault="00127A29" w:rsidP="007F7712">
      <w:pPr>
        <w:pStyle w:val="SingleTxtG"/>
        <w:numPr>
          <w:ilvl w:val="0"/>
          <w:numId w:val="26"/>
        </w:numPr>
        <w:ind w:left="1134" w:right="1200" w:firstLine="0"/>
      </w:pPr>
      <w:r w:rsidRPr="00404AD7">
        <w:t>The largest activity of the second sub-goal was project „Terms and conditions of the provision of support for activities promoting integration in Estonian society</w:t>
      </w:r>
      <w:r w:rsidR="006B00A5" w:rsidRPr="00404AD7">
        <w:t>”</w:t>
      </w:r>
      <w:r w:rsidRPr="00404AD7">
        <w:t xml:space="preserve"> 2014-2022 financed by the European Social Fund (ESF). The participants in the trainings of the program </w:t>
      </w:r>
      <w:bookmarkStart w:id="38" w:name="_Hlk105747068"/>
      <w:r w:rsidRPr="00404AD7">
        <w:t xml:space="preserve">improved their Estonian language skills and frequency of its use, </w:t>
      </w:r>
      <w:bookmarkEnd w:id="38"/>
      <w:r w:rsidRPr="00404AD7">
        <w:t>and their knowledge and skills of participating in public sphere, civil society and labour market improved. Totally 11,685 people (most of them were women), or about 4% of the target group of lowly integrated permanent residents, participated in the project in 2014-2020. Among them, 1,424 people participated in the trainings on knowledge of the Constitution of the Republic of Estonia and the Citizenship Act, which is 35% of those who passed the citizenship exam in the period 2014</w:t>
      </w:r>
      <w:r w:rsidR="00162A0E" w:rsidRPr="00404AD7">
        <w:noBreakHyphen/>
      </w:r>
      <w:r w:rsidRPr="00404AD7">
        <w:t xml:space="preserve">2020. </w:t>
      </w:r>
    </w:p>
    <w:bookmarkEnd w:id="37"/>
    <w:p w14:paraId="1C9A82F9" w14:textId="7A2F1CA4" w:rsidR="00127A29" w:rsidRPr="00404AD7" w:rsidRDefault="00127A29" w:rsidP="007F7712">
      <w:pPr>
        <w:pStyle w:val="SingleTxtG"/>
        <w:numPr>
          <w:ilvl w:val="0"/>
          <w:numId w:val="26"/>
        </w:numPr>
        <w:ind w:left="1134" w:right="1200" w:firstLine="0"/>
      </w:pPr>
      <w:r w:rsidRPr="00404AD7">
        <w:t>In November 2021, the Government approved the Cohesive Estonia Strategy 2021</w:t>
      </w:r>
      <w:r w:rsidR="00344867">
        <w:noBreakHyphen/>
      </w:r>
      <w:r w:rsidRPr="00404AD7">
        <w:t xml:space="preserve">2030. Its general objective is that Estonia is a cohesive and inclusive society. Subobjective of the strategy in the field of integration is the following: Estonia supporting adaptation and integration - Estonian society is cohesive and stable where people from different linguistic and cultural backgrounds carry the Estonian identity, participate actively in social life, share democratic values and a common cultural, information and communication space, and feel a sense of unity. One of the key policies of the plan is supporting an innovative and responsible labour market by: improving access to the labour market; services for people from different linguistic and cultural backgrounds; supporting the recruitment of potential employees with other native languages in state and local government agencies; improving the ability of employers to cope with a multicultural and multilingual environment. </w:t>
      </w:r>
    </w:p>
    <w:p w14:paraId="6E9F4127" w14:textId="51211640" w:rsidR="00127A29" w:rsidRPr="00404AD7" w:rsidRDefault="00127A29" w:rsidP="007F7712">
      <w:pPr>
        <w:pStyle w:val="SingleTxtG"/>
        <w:numPr>
          <w:ilvl w:val="0"/>
          <w:numId w:val="26"/>
        </w:numPr>
        <w:ind w:left="1134" w:right="1200" w:firstLine="0"/>
      </w:pPr>
      <w:r w:rsidRPr="00404AD7">
        <w:t xml:space="preserve">In 2019 the Government established a high-level Accessibility Task Force, led by the State Office of Estonia. The aim of the Task Force was to identify the situation and problems of accessibility in all major aspects of the environment and society, including access to public buildings and institutions and all public spaces and their various parts (commercial enterprises, cultural and entertainment institutions, public outdoor gyms, light traffic roads, sports facilities, etc.), public and private services (banking services, television and </w:t>
      </w:r>
      <w:proofErr w:type="spellStart"/>
      <w:r w:rsidRPr="00404AD7">
        <w:t>audiovisual</w:t>
      </w:r>
      <w:proofErr w:type="spellEnd"/>
      <w:r w:rsidRPr="00404AD7">
        <w:t xml:space="preserve"> services, etc.), e</w:t>
      </w:r>
      <w:r w:rsidR="00162A0E" w:rsidRPr="00404AD7">
        <w:noBreakHyphen/>
      </w:r>
      <w:r w:rsidRPr="00404AD7">
        <w:t>services, residential real estate and means of transport. Its objective was also to develop policy guidelines and solutions to move towards having an accessible society, public space, and services in the next ten years. The aim was to implement the principles of accessibility and universal design as a natural part of all policies, with a priority that the public sector would lead the implementation of these principles; as well as raising awareness and competence on accessibility throughout society. The accessibility of decision-making was one of the objectives as well. Various ministries, state agencies and representatives of local government, representatives of employers and NGOs were involved in the work of the Task Force. In the fall of 2021, the final report of the Task Force was submitted and presented to the Government. The recommendations were approved by the Government and the Ministry of Social Affairs is responsible for coordination of the implementation.</w:t>
      </w:r>
    </w:p>
    <w:p w14:paraId="6A8840A7" w14:textId="4D77834A" w:rsidR="00820D92" w:rsidRPr="00404AD7" w:rsidRDefault="00127A29" w:rsidP="007F7712">
      <w:pPr>
        <w:pStyle w:val="SingleTxtG"/>
        <w:numPr>
          <w:ilvl w:val="0"/>
          <w:numId w:val="26"/>
        </w:numPr>
        <w:ind w:left="1134" w:right="1200" w:firstLine="0"/>
      </w:pPr>
      <w:r w:rsidRPr="00404AD7">
        <w:t>Since 2017 harassing pursuit (§ 157-2 of Penal Code) has been criminalised in Estonia regardless of if it is committed offline or online. For example, in 2021 almost three-quarters of all registered harassing pursuit offences were committed by means of e-mail, text (or online) messages or internet (social media) or digital devices (cameras) and 90% of the perpetrators were men. No data is collected according to the public status of victim, but it is known that in recent years there have also been registered some rare cases where public figure has fallen victim of cyber or offline harassment.</w:t>
      </w:r>
    </w:p>
    <w:p w14:paraId="70E125E3" w14:textId="77777777" w:rsidR="00820D92" w:rsidRPr="00404AD7" w:rsidRDefault="00820D92">
      <w:pPr>
        <w:suppressAutoHyphens w:val="0"/>
        <w:spacing w:after="200" w:line="276" w:lineRule="auto"/>
        <w:rPr>
          <w:spacing w:val="0"/>
          <w:w w:val="100"/>
          <w:kern w:val="0"/>
        </w:rPr>
      </w:pPr>
      <w:r w:rsidRPr="00404AD7">
        <w:br w:type="page"/>
      </w:r>
    </w:p>
    <w:p w14:paraId="1995F46A" w14:textId="79BCBF3D" w:rsidR="00820D92" w:rsidRPr="00404AD7" w:rsidRDefault="00003B3D" w:rsidP="00820D92">
      <w:pPr>
        <w:pStyle w:val="SingleTxtG"/>
        <w:spacing w:after="0"/>
        <w:ind w:left="1138" w:right="1138"/>
        <w:rPr>
          <w:b/>
          <w:bCs/>
        </w:rPr>
      </w:pPr>
      <w:bookmarkStart w:id="39" w:name="_Toc108692409"/>
      <w:r w:rsidRPr="00404AD7">
        <w:rPr>
          <w:b/>
          <w:bCs/>
        </w:rPr>
        <w:lastRenderedPageBreak/>
        <w:t>Table: Registered harassing pursuit offences, 2017-2021</w:t>
      </w:r>
      <w:bookmarkEnd w:id="39"/>
    </w:p>
    <w:p w14:paraId="590170A8" w14:textId="61CB53D1" w:rsidR="00820D92" w:rsidRPr="00404AD7" w:rsidRDefault="00820D92" w:rsidP="00820D92">
      <w:pPr>
        <w:pStyle w:val="SingleTxtG"/>
        <w:spacing w:after="0" w:line="120" w:lineRule="exact"/>
        <w:rPr>
          <w:b/>
          <w:bCs/>
          <w:sz w:val="10"/>
        </w:rPr>
      </w:pPr>
    </w:p>
    <w:p w14:paraId="505B6173" w14:textId="5CB66187" w:rsidR="00820D92" w:rsidRPr="00404AD7" w:rsidRDefault="00820D92" w:rsidP="00515339">
      <w:pPr>
        <w:pStyle w:val="SingleTxtG"/>
        <w:spacing w:after="0" w:line="120" w:lineRule="exact"/>
        <w:ind w:right="1209"/>
        <w:rPr>
          <w:b/>
          <w:bCs/>
          <w:sz w:val="10"/>
        </w:rPr>
      </w:pPr>
    </w:p>
    <w:tbl>
      <w:tblPr>
        <w:tblStyle w:val="TableGrid"/>
        <w:tblW w:w="7506"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474"/>
        <w:gridCol w:w="1474"/>
        <w:gridCol w:w="1474"/>
        <w:gridCol w:w="1474"/>
        <w:gridCol w:w="1610"/>
      </w:tblGrid>
      <w:tr w:rsidR="00820D92" w:rsidRPr="00404AD7" w14:paraId="2A14DB8B" w14:textId="77777777" w:rsidTr="0088620B">
        <w:trPr>
          <w:tblHeader/>
        </w:trPr>
        <w:tc>
          <w:tcPr>
            <w:tcW w:w="1474" w:type="dxa"/>
            <w:shd w:val="clear" w:color="auto" w:fill="auto"/>
            <w:vAlign w:val="bottom"/>
          </w:tcPr>
          <w:p w14:paraId="28CE441A" w14:textId="77777777" w:rsidR="00820D92" w:rsidRPr="00404AD7" w:rsidRDefault="00820D92" w:rsidP="00E53FC8">
            <w:pPr>
              <w:pStyle w:val="SingleTxtG"/>
              <w:tabs>
                <w:tab w:val="clear" w:pos="1701"/>
                <w:tab w:val="clear" w:pos="2268"/>
                <w:tab w:val="clear" w:pos="2835"/>
              </w:tabs>
              <w:suppressAutoHyphens w:val="0"/>
              <w:spacing w:before="80" w:after="80" w:line="200" w:lineRule="exact"/>
              <w:ind w:left="0" w:right="0"/>
              <w:jc w:val="left"/>
              <w:rPr>
                <w:i/>
                <w:sz w:val="16"/>
              </w:rPr>
            </w:pPr>
            <w:r w:rsidRPr="00404AD7">
              <w:rPr>
                <w:i/>
                <w:sz w:val="16"/>
              </w:rPr>
              <w:t>2017</w:t>
            </w:r>
          </w:p>
        </w:tc>
        <w:tc>
          <w:tcPr>
            <w:tcW w:w="1474" w:type="dxa"/>
            <w:shd w:val="clear" w:color="auto" w:fill="auto"/>
            <w:vAlign w:val="bottom"/>
          </w:tcPr>
          <w:p w14:paraId="0C1758C3" w14:textId="77777777" w:rsidR="00820D92" w:rsidRPr="00404AD7" w:rsidRDefault="00820D92"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2018</w:t>
            </w:r>
          </w:p>
        </w:tc>
        <w:tc>
          <w:tcPr>
            <w:tcW w:w="1474" w:type="dxa"/>
            <w:shd w:val="clear" w:color="auto" w:fill="auto"/>
            <w:vAlign w:val="bottom"/>
          </w:tcPr>
          <w:p w14:paraId="76B4F6F8" w14:textId="77777777" w:rsidR="00820D92" w:rsidRPr="00404AD7" w:rsidRDefault="00820D92"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2019</w:t>
            </w:r>
          </w:p>
        </w:tc>
        <w:tc>
          <w:tcPr>
            <w:tcW w:w="1474" w:type="dxa"/>
            <w:shd w:val="clear" w:color="auto" w:fill="auto"/>
            <w:vAlign w:val="bottom"/>
          </w:tcPr>
          <w:p w14:paraId="177388E6" w14:textId="77777777" w:rsidR="00820D92" w:rsidRPr="00404AD7" w:rsidRDefault="00820D92"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2020</w:t>
            </w:r>
          </w:p>
        </w:tc>
        <w:tc>
          <w:tcPr>
            <w:tcW w:w="1610" w:type="dxa"/>
            <w:shd w:val="clear" w:color="auto" w:fill="auto"/>
            <w:vAlign w:val="bottom"/>
          </w:tcPr>
          <w:p w14:paraId="46579C52" w14:textId="77777777" w:rsidR="00820D92" w:rsidRPr="00404AD7" w:rsidRDefault="00820D92"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2021</w:t>
            </w:r>
          </w:p>
        </w:tc>
      </w:tr>
      <w:tr w:rsidR="00820D92" w:rsidRPr="00404AD7" w14:paraId="4D167787" w14:textId="77777777" w:rsidTr="0088620B">
        <w:tc>
          <w:tcPr>
            <w:tcW w:w="1474" w:type="dxa"/>
            <w:shd w:val="clear" w:color="auto" w:fill="auto"/>
          </w:tcPr>
          <w:p w14:paraId="7D373098" w14:textId="77777777" w:rsidR="00820D92" w:rsidRPr="00404AD7" w:rsidRDefault="00820D92"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87</w:t>
            </w:r>
          </w:p>
        </w:tc>
        <w:tc>
          <w:tcPr>
            <w:tcW w:w="1474" w:type="dxa"/>
            <w:shd w:val="clear" w:color="auto" w:fill="auto"/>
            <w:vAlign w:val="bottom"/>
          </w:tcPr>
          <w:p w14:paraId="495033E6" w14:textId="77777777" w:rsidR="00820D92" w:rsidRPr="00404AD7" w:rsidRDefault="00820D92"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200</w:t>
            </w:r>
          </w:p>
        </w:tc>
        <w:tc>
          <w:tcPr>
            <w:tcW w:w="1474" w:type="dxa"/>
            <w:shd w:val="clear" w:color="auto" w:fill="auto"/>
            <w:vAlign w:val="bottom"/>
          </w:tcPr>
          <w:p w14:paraId="24E3E1FD" w14:textId="77777777" w:rsidR="00820D92" w:rsidRPr="00404AD7" w:rsidRDefault="00820D92"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202</w:t>
            </w:r>
          </w:p>
        </w:tc>
        <w:tc>
          <w:tcPr>
            <w:tcW w:w="1474" w:type="dxa"/>
            <w:shd w:val="clear" w:color="auto" w:fill="auto"/>
            <w:vAlign w:val="bottom"/>
          </w:tcPr>
          <w:p w14:paraId="55615BCF" w14:textId="77777777" w:rsidR="00820D92" w:rsidRPr="00404AD7" w:rsidRDefault="00820D92"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225</w:t>
            </w:r>
          </w:p>
        </w:tc>
        <w:tc>
          <w:tcPr>
            <w:tcW w:w="1610" w:type="dxa"/>
            <w:shd w:val="clear" w:color="auto" w:fill="auto"/>
            <w:vAlign w:val="bottom"/>
          </w:tcPr>
          <w:p w14:paraId="130BF72F" w14:textId="77777777" w:rsidR="00820D92" w:rsidRPr="00404AD7" w:rsidRDefault="00820D92"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167</w:t>
            </w:r>
          </w:p>
        </w:tc>
      </w:tr>
    </w:tbl>
    <w:p w14:paraId="7E306624" w14:textId="0D5AE76E" w:rsidR="00820D92" w:rsidRPr="00404AD7" w:rsidRDefault="00820D92" w:rsidP="00820D92">
      <w:pPr>
        <w:pStyle w:val="SingleTxtG"/>
        <w:spacing w:after="0" w:line="120" w:lineRule="exact"/>
        <w:rPr>
          <w:b/>
          <w:bCs/>
          <w:sz w:val="10"/>
        </w:rPr>
      </w:pPr>
    </w:p>
    <w:p w14:paraId="758C7BB1" w14:textId="1ECE296D" w:rsidR="00820D92" w:rsidRPr="00404AD7" w:rsidRDefault="00515339" w:rsidP="00515339">
      <w:pPr>
        <w:pStyle w:val="FootnoteText"/>
        <w:tabs>
          <w:tab w:val="clear" w:pos="418"/>
          <w:tab w:val="left" w:pos="1548"/>
          <w:tab w:val="right" w:pos="1836"/>
          <w:tab w:val="left" w:pos="1908"/>
        </w:tabs>
        <w:ind w:left="1548" w:right="1267" w:hanging="414"/>
      </w:pPr>
      <w:r w:rsidRPr="00404AD7">
        <w:rPr>
          <w:i/>
          <w:iCs/>
        </w:rPr>
        <w:t>Source</w:t>
      </w:r>
      <w:r w:rsidRPr="00404AD7">
        <w:t>: The Ministry of Justice</w:t>
      </w:r>
    </w:p>
    <w:p w14:paraId="6617F8C9" w14:textId="7CB5A023" w:rsidR="00515339" w:rsidRPr="00404AD7" w:rsidRDefault="00515339" w:rsidP="00B07272">
      <w:pPr>
        <w:pStyle w:val="FootnoteText"/>
        <w:tabs>
          <w:tab w:val="clear" w:pos="418"/>
          <w:tab w:val="left" w:pos="1548"/>
          <w:tab w:val="right" w:pos="1836"/>
          <w:tab w:val="left" w:pos="1908"/>
        </w:tabs>
        <w:spacing w:line="120" w:lineRule="exact"/>
        <w:ind w:left="1548" w:right="1267" w:hanging="414"/>
        <w:rPr>
          <w:sz w:val="10"/>
        </w:rPr>
      </w:pPr>
    </w:p>
    <w:p w14:paraId="5ECD53D4" w14:textId="0615C243" w:rsidR="00B07272" w:rsidRPr="00404AD7" w:rsidRDefault="00B07272" w:rsidP="00B07272">
      <w:pPr>
        <w:pStyle w:val="FootnoteText"/>
        <w:tabs>
          <w:tab w:val="clear" w:pos="418"/>
          <w:tab w:val="left" w:pos="1548"/>
          <w:tab w:val="right" w:pos="1836"/>
          <w:tab w:val="left" w:pos="1908"/>
        </w:tabs>
        <w:spacing w:line="120" w:lineRule="exact"/>
        <w:ind w:left="1548" w:right="1267" w:hanging="414"/>
        <w:rPr>
          <w:sz w:val="10"/>
        </w:rPr>
      </w:pPr>
    </w:p>
    <w:p w14:paraId="6830BA12" w14:textId="77777777" w:rsidR="00B07272" w:rsidRPr="00404AD7" w:rsidRDefault="00B07272" w:rsidP="0088620B">
      <w:pPr>
        <w:pStyle w:val="SingleTxtG"/>
        <w:numPr>
          <w:ilvl w:val="0"/>
          <w:numId w:val="31"/>
        </w:numPr>
        <w:ind w:left="1134" w:right="1200" w:firstLine="0"/>
      </w:pPr>
      <w:r w:rsidRPr="00404AD7">
        <w:t>As cybercrime in general is increasing, we also turn more attention to prevention of cyber violence. For example, the Violence Prevention Agreement 2021-2025 sets out prevention of digital (cyber) violence as one of 14 priority measures of violence prevention.</w:t>
      </w:r>
    </w:p>
    <w:p w14:paraId="305F2725" w14:textId="77777777" w:rsidR="00B07272" w:rsidRPr="00404AD7" w:rsidRDefault="00B07272" w:rsidP="00B07272">
      <w:pPr>
        <w:pStyle w:val="HChG"/>
        <w:rPr>
          <w:lang w:val="en-US"/>
        </w:rPr>
      </w:pPr>
      <w:r w:rsidRPr="00404AD7">
        <w:rPr>
          <w:lang w:val="en-US"/>
        </w:rPr>
        <w:tab/>
      </w:r>
      <w:r w:rsidRPr="00404AD7">
        <w:rPr>
          <w:lang w:val="en-US"/>
        </w:rPr>
        <w:tab/>
      </w:r>
      <w:bookmarkStart w:id="40" w:name="_Toc108692410"/>
      <w:r w:rsidRPr="00404AD7">
        <w:rPr>
          <w:lang w:val="en-US"/>
        </w:rPr>
        <w:t>Nationality</w:t>
      </w:r>
      <w:bookmarkEnd w:id="40"/>
    </w:p>
    <w:p w14:paraId="4D6D91C7" w14:textId="77777777" w:rsidR="00B07272" w:rsidRPr="00404AD7" w:rsidRDefault="00B07272" w:rsidP="00BA1491">
      <w:pPr>
        <w:pStyle w:val="H1G"/>
        <w:ind w:right="1200"/>
        <w:rPr>
          <w:lang w:val="en-US"/>
        </w:rPr>
      </w:pPr>
      <w:r w:rsidRPr="00404AD7">
        <w:rPr>
          <w:lang w:val="en-US"/>
        </w:rPr>
        <w:tab/>
      </w:r>
      <w:r w:rsidRPr="00404AD7">
        <w:rPr>
          <w:lang w:val="en-US"/>
        </w:rPr>
        <w:tab/>
      </w:r>
      <w:bookmarkStart w:id="41" w:name="_Toc108692411"/>
      <w:r w:rsidRPr="00404AD7">
        <w:rPr>
          <w:lang w:val="en-US"/>
        </w:rPr>
        <w:t>Question 15</w:t>
      </w:r>
      <w:bookmarkEnd w:id="41"/>
    </w:p>
    <w:p w14:paraId="7F7E693D" w14:textId="77777777" w:rsidR="00B07272" w:rsidRPr="00404AD7" w:rsidRDefault="00B07272" w:rsidP="0088620B">
      <w:pPr>
        <w:pStyle w:val="SingleTxtG"/>
        <w:numPr>
          <w:ilvl w:val="0"/>
          <w:numId w:val="31"/>
        </w:numPr>
        <w:ind w:left="1134" w:right="1200" w:firstLine="0"/>
      </w:pPr>
      <w:r w:rsidRPr="00404AD7">
        <w:t>Everyone who meets the conditions provided for in the Citizenship Act can apply for Estonian citizenship. In the procedure for acquiring citizenship, it does not matter whether the person is a citizen of another state, beneficiary of international protection or a stateless person – the procedure is the same. There are no gender differences in the requirements for acquiring citizenship. Throughout the asylum process, women are provided with effective legal protection, including by providing legal aid, legal representation, and assistance, as necessary and on an equal basis. The same is valid in the case of applying for Estonian citizenship.</w:t>
      </w:r>
    </w:p>
    <w:p w14:paraId="0BCA3A71" w14:textId="1078504F" w:rsidR="00B07272" w:rsidRPr="00404AD7" w:rsidRDefault="00B07272" w:rsidP="00ED479F">
      <w:pPr>
        <w:pStyle w:val="FootnoteText"/>
        <w:tabs>
          <w:tab w:val="clear" w:pos="418"/>
          <w:tab w:val="left" w:pos="1548"/>
          <w:tab w:val="right" w:pos="1836"/>
          <w:tab w:val="left" w:pos="1908"/>
        </w:tabs>
        <w:spacing w:line="120" w:lineRule="exact"/>
        <w:ind w:left="1548" w:right="1267" w:hanging="414"/>
        <w:rPr>
          <w:sz w:val="10"/>
        </w:rPr>
      </w:pPr>
    </w:p>
    <w:p w14:paraId="72AD8E09" w14:textId="6F5B03DE" w:rsidR="00ED479F" w:rsidRPr="00404AD7" w:rsidRDefault="00ED479F" w:rsidP="00ED479F">
      <w:pPr>
        <w:pStyle w:val="FootnoteText"/>
        <w:tabs>
          <w:tab w:val="clear" w:pos="418"/>
          <w:tab w:val="left" w:pos="1548"/>
          <w:tab w:val="right" w:pos="1836"/>
          <w:tab w:val="left" w:pos="1908"/>
        </w:tabs>
        <w:ind w:left="1138" w:right="1267" w:firstLine="0"/>
        <w:rPr>
          <w:b/>
          <w:bCs/>
          <w:sz w:val="20"/>
        </w:rPr>
      </w:pPr>
      <w:bookmarkStart w:id="42" w:name="_Toc108692412"/>
      <w:r w:rsidRPr="00404AD7">
        <w:rPr>
          <w:b/>
          <w:bCs/>
          <w:sz w:val="20"/>
        </w:rPr>
        <w:t>Table: Persons with undetermined citizenship who have acquired Estonian citizenship</w:t>
      </w:r>
      <w:bookmarkEnd w:id="42"/>
    </w:p>
    <w:p w14:paraId="11B0581C" w14:textId="1666416E" w:rsidR="00ED479F" w:rsidRPr="00404AD7" w:rsidRDefault="00ED479F" w:rsidP="00ED479F">
      <w:pPr>
        <w:pStyle w:val="FootnoteText"/>
        <w:tabs>
          <w:tab w:val="clear" w:pos="418"/>
          <w:tab w:val="left" w:pos="1548"/>
          <w:tab w:val="right" w:pos="1836"/>
          <w:tab w:val="left" w:pos="1908"/>
        </w:tabs>
        <w:spacing w:line="120" w:lineRule="exact"/>
        <w:ind w:left="1138" w:right="1267" w:firstLine="0"/>
        <w:rPr>
          <w:b/>
          <w:bCs/>
          <w:sz w:val="10"/>
        </w:rPr>
      </w:pPr>
    </w:p>
    <w:p w14:paraId="6BE8DBDF" w14:textId="2E1F7B6B" w:rsidR="00ED479F" w:rsidRPr="00404AD7" w:rsidRDefault="00ED479F" w:rsidP="00ED479F">
      <w:pPr>
        <w:pStyle w:val="FootnoteText"/>
        <w:tabs>
          <w:tab w:val="clear" w:pos="418"/>
          <w:tab w:val="left" w:pos="1548"/>
          <w:tab w:val="right" w:pos="1836"/>
          <w:tab w:val="left" w:pos="1908"/>
        </w:tabs>
        <w:spacing w:line="120" w:lineRule="exact"/>
        <w:ind w:left="1138" w:right="1267" w:firstLine="0"/>
        <w:rPr>
          <w:sz w:val="10"/>
        </w:rPr>
      </w:pPr>
    </w:p>
    <w:tbl>
      <w:tblPr>
        <w:tblW w:w="7506" w:type="dxa"/>
        <w:tblInd w:w="1134" w:type="dxa"/>
        <w:tblLayout w:type="fixed"/>
        <w:tblCellMar>
          <w:left w:w="0" w:type="dxa"/>
          <w:right w:w="0" w:type="dxa"/>
        </w:tblCellMar>
        <w:tblLook w:val="04A0" w:firstRow="1" w:lastRow="0" w:firstColumn="1" w:lastColumn="0" w:noHBand="0" w:noVBand="1"/>
      </w:tblPr>
      <w:tblGrid>
        <w:gridCol w:w="2399"/>
        <w:gridCol w:w="2598"/>
        <w:gridCol w:w="2509"/>
      </w:tblGrid>
      <w:tr w:rsidR="00BA1491" w:rsidRPr="00404AD7" w14:paraId="50C98823" w14:textId="77777777" w:rsidTr="00BA1491">
        <w:trPr>
          <w:tblHeader/>
        </w:trPr>
        <w:tc>
          <w:tcPr>
            <w:tcW w:w="239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BD68EAB" w14:textId="77777777" w:rsidR="00BA1491" w:rsidRPr="00404AD7" w:rsidRDefault="00BA1491" w:rsidP="00E53FC8">
            <w:pPr>
              <w:pStyle w:val="SingleTxtG"/>
              <w:tabs>
                <w:tab w:val="clear" w:pos="1701"/>
                <w:tab w:val="clear" w:pos="2268"/>
                <w:tab w:val="clear" w:pos="2835"/>
              </w:tabs>
              <w:suppressAutoHyphens w:val="0"/>
              <w:spacing w:before="80" w:after="80" w:line="200" w:lineRule="exact"/>
              <w:ind w:left="0" w:right="0"/>
              <w:jc w:val="left"/>
              <w:rPr>
                <w:i/>
                <w:sz w:val="16"/>
              </w:rPr>
            </w:pPr>
            <w:r w:rsidRPr="00404AD7">
              <w:rPr>
                <w:i/>
                <w:sz w:val="16"/>
              </w:rPr>
              <w:t>Year</w:t>
            </w:r>
          </w:p>
        </w:tc>
        <w:tc>
          <w:tcPr>
            <w:tcW w:w="259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12BDC7C" w14:textId="77777777" w:rsidR="00BA1491" w:rsidRPr="00404AD7" w:rsidRDefault="00BA1491"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Women</w:t>
            </w:r>
          </w:p>
        </w:tc>
        <w:tc>
          <w:tcPr>
            <w:tcW w:w="250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AB65AE3" w14:textId="77777777" w:rsidR="00BA1491" w:rsidRPr="00404AD7" w:rsidRDefault="00BA1491"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Men</w:t>
            </w:r>
          </w:p>
        </w:tc>
      </w:tr>
      <w:tr w:rsidR="00BA1491" w:rsidRPr="00404AD7" w14:paraId="5C36CD28" w14:textId="77777777" w:rsidTr="00BA1491">
        <w:tc>
          <w:tcPr>
            <w:tcW w:w="2399" w:type="dxa"/>
            <w:tcBorders>
              <w:top w:val="single" w:sz="12" w:space="0" w:color="auto"/>
            </w:tcBorders>
            <w:shd w:val="clear" w:color="auto" w:fill="auto"/>
            <w:tcMar>
              <w:top w:w="0" w:type="dxa"/>
              <w:left w:w="108" w:type="dxa"/>
              <w:bottom w:w="0" w:type="dxa"/>
              <w:right w:w="108" w:type="dxa"/>
            </w:tcMar>
            <w:hideMark/>
          </w:tcPr>
          <w:p w14:paraId="5E78801A"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left"/>
              <w:rPr>
                <w:b/>
                <w:bCs/>
                <w:sz w:val="18"/>
              </w:rPr>
            </w:pPr>
            <w:r w:rsidRPr="00404AD7">
              <w:rPr>
                <w:b/>
                <w:bCs/>
                <w:sz w:val="18"/>
              </w:rPr>
              <w:t>2017</w:t>
            </w:r>
          </w:p>
        </w:tc>
        <w:tc>
          <w:tcPr>
            <w:tcW w:w="2598" w:type="dxa"/>
            <w:tcBorders>
              <w:top w:val="single" w:sz="12" w:space="0" w:color="auto"/>
            </w:tcBorders>
            <w:shd w:val="clear" w:color="auto" w:fill="auto"/>
            <w:tcMar>
              <w:top w:w="0" w:type="dxa"/>
              <w:left w:w="108" w:type="dxa"/>
              <w:bottom w:w="0" w:type="dxa"/>
              <w:right w:w="108" w:type="dxa"/>
            </w:tcMar>
            <w:vAlign w:val="bottom"/>
            <w:hideMark/>
          </w:tcPr>
          <w:p w14:paraId="4FD75A08"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220</w:t>
            </w:r>
          </w:p>
        </w:tc>
        <w:tc>
          <w:tcPr>
            <w:tcW w:w="2509" w:type="dxa"/>
            <w:tcBorders>
              <w:top w:val="single" w:sz="12" w:space="0" w:color="auto"/>
            </w:tcBorders>
            <w:shd w:val="clear" w:color="auto" w:fill="auto"/>
            <w:tcMar>
              <w:top w:w="0" w:type="dxa"/>
              <w:left w:w="108" w:type="dxa"/>
              <w:bottom w:w="0" w:type="dxa"/>
              <w:right w:w="108" w:type="dxa"/>
            </w:tcMar>
            <w:vAlign w:val="bottom"/>
            <w:hideMark/>
          </w:tcPr>
          <w:p w14:paraId="13A5D706"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194</w:t>
            </w:r>
          </w:p>
        </w:tc>
      </w:tr>
      <w:tr w:rsidR="00BA1491" w:rsidRPr="00404AD7" w14:paraId="0C207D85" w14:textId="77777777" w:rsidTr="00BA1491">
        <w:tc>
          <w:tcPr>
            <w:tcW w:w="2399" w:type="dxa"/>
            <w:shd w:val="clear" w:color="auto" w:fill="auto"/>
            <w:tcMar>
              <w:top w:w="0" w:type="dxa"/>
              <w:left w:w="108" w:type="dxa"/>
              <w:bottom w:w="0" w:type="dxa"/>
              <w:right w:w="108" w:type="dxa"/>
            </w:tcMar>
            <w:hideMark/>
          </w:tcPr>
          <w:p w14:paraId="3D69586A"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left"/>
              <w:rPr>
                <w:b/>
                <w:bCs/>
                <w:sz w:val="18"/>
              </w:rPr>
            </w:pPr>
            <w:r w:rsidRPr="00404AD7">
              <w:rPr>
                <w:b/>
                <w:bCs/>
                <w:sz w:val="18"/>
              </w:rPr>
              <w:t>2018</w:t>
            </w:r>
          </w:p>
        </w:tc>
        <w:tc>
          <w:tcPr>
            <w:tcW w:w="2598" w:type="dxa"/>
            <w:shd w:val="clear" w:color="auto" w:fill="auto"/>
            <w:tcMar>
              <w:top w:w="0" w:type="dxa"/>
              <w:left w:w="108" w:type="dxa"/>
              <w:bottom w:w="0" w:type="dxa"/>
              <w:right w:w="108" w:type="dxa"/>
            </w:tcMar>
            <w:vAlign w:val="bottom"/>
            <w:hideMark/>
          </w:tcPr>
          <w:p w14:paraId="0D71AF08"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178</w:t>
            </w:r>
          </w:p>
        </w:tc>
        <w:tc>
          <w:tcPr>
            <w:tcW w:w="2509" w:type="dxa"/>
            <w:shd w:val="clear" w:color="auto" w:fill="auto"/>
            <w:tcMar>
              <w:top w:w="0" w:type="dxa"/>
              <w:left w:w="108" w:type="dxa"/>
              <w:bottom w:w="0" w:type="dxa"/>
              <w:right w:w="108" w:type="dxa"/>
            </w:tcMar>
            <w:vAlign w:val="bottom"/>
            <w:hideMark/>
          </w:tcPr>
          <w:p w14:paraId="5D54752F"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148</w:t>
            </w:r>
          </w:p>
        </w:tc>
      </w:tr>
      <w:tr w:rsidR="00BA1491" w:rsidRPr="00404AD7" w14:paraId="59F1A9F8" w14:textId="77777777" w:rsidTr="00BA1491">
        <w:tc>
          <w:tcPr>
            <w:tcW w:w="2399" w:type="dxa"/>
            <w:shd w:val="clear" w:color="auto" w:fill="auto"/>
            <w:tcMar>
              <w:top w:w="0" w:type="dxa"/>
              <w:left w:w="108" w:type="dxa"/>
              <w:bottom w:w="0" w:type="dxa"/>
              <w:right w:w="108" w:type="dxa"/>
            </w:tcMar>
            <w:hideMark/>
          </w:tcPr>
          <w:p w14:paraId="557C0AF1"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left"/>
              <w:rPr>
                <w:b/>
                <w:bCs/>
                <w:sz w:val="18"/>
              </w:rPr>
            </w:pPr>
            <w:r w:rsidRPr="00404AD7">
              <w:rPr>
                <w:b/>
                <w:bCs/>
                <w:sz w:val="18"/>
              </w:rPr>
              <w:t>2019</w:t>
            </w:r>
          </w:p>
        </w:tc>
        <w:tc>
          <w:tcPr>
            <w:tcW w:w="2598" w:type="dxa"/>
            <w:shd w:val="clear" w:color="auto" w:fill="auto"/>
            <w:tcMar>
              <w:top w:w="0" w:type="dxa"/>
              <w:left w:w="108" w:type="dxa"/>
              <w:bottom w:w="0" w:type="dxa"/>
              <w:right w:w="108" w:type="dxa"/>
            </w:tcMar>
            <w:vAlign w:val="bottom"/>
            <w:hideMark/>
          </w:tcPr>
          <w:p w14:paraId="12BC9F2A"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189</w:t>
            </w:r>
          </w:p>
        </w:tc>
        <w:tc>
          <w:tcPr>
            <w:tcW w:w="2509" w:type="dxa"/>
            <w:shd w:val="clear" w:color="auto" w:fill="auto"/>
            <w:tcMar>
              <w:top w:w="0" w:type="dxa"/>
              <w:left w:w="108" w:type="dxa"/>
              <w:bottom w:w="0" w:type="dxa"/>
              <w:right w:w="108" w:type="dxa"/>
            </w:tcMar>
            <w:vAlign w:val="bottom"/>
            <w:hideMark/>
          </w:tcPr>
          <w:p w14:paraId="6932B90A"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161</w:t>
            </w:r>
          </w:p>
        </w:tc>
      </w:tr>
      <w:tr w:rsidR="00BA1491" w:rsidRPr="00404AD7" w14:paraId="23110EE8" w14:textId="77777777" w:rsidTr="00BA1491">
        <w:tc>
          <w:tcPr>
            <w:tcW w:w="2399" w:type="dxa"/>
            <w:shd w:val="clear" w:color="auto" w:fill="auto"/>
            <w:tcMar>
              <w:top w:w="0" w:type="dxa"/>
              <w:left w:w="108" w:type="dxa"/>
              <w:bottom w:w="0" w:type="dxa"/>
              <w:right w:w="108" w:type="dxa"/>
            </w:tcMar>
            <w:hideMark/>
          </w:tcPr>
          <w:p w14:paraId="27127A2B"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left"/>
              <w:rPr>
                <w:b/>
                <w:bCs/>
                <w:sz w:val="18"/>
              </w:rPr>
            </w:pPr>
            <w:r w:rsidRPr="00404AD7">
              <w:rPr>
                <w:b/>
                <w:bCs/>
                <w:sz w:val="18"/>
              </w:rPr>
              <w:t>2020</w:t>
            </w:r>
          </w:p>
        </w:tc>
        <w:tc>
          <w:tcPr>
            <w:tcW w:w="2598" w:type="dxa"/>
            <w:shd w:val="clear" w:color="auto" w:fill="auto"/>
            <w:tcMar>
              <w:top w:w="0" w:type="dxa"/>
              <w:left w:w="108" w:type="dxa"/>
              <w:bottom w:w="0" w:type="dxa"/>
              <w:right w:w="108" w:type="dxa"/>
            </w:tcMar>
            <w:vAlign w:val="bottom"/>
            <w:hideMark/>
          </w:tcPr>
          <w:p w14:paraId="0AE58CC1"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208</w:t>
            </w:r>
          </w:p>
        </w:tc>
        <w:tc>
          <w:tcPr>
            <w:tcW w:w="2509" w:type="dxa"/>
            <w:shd w:val="clear" w:color="auto" w:fill="auto"/>
            <w:tcMar>
              <w:top w:w="0" w:type="dxa"/>
              <w:left w:w="108" w:type="dxa"/>
              <w:bottom w:w="0" w:type="dxa"/>
              <w:right w:w="108" w:type="dxa"/>
            </w:tcMar>
            <w:vAlign w:val="bottom"/>
            <w:hideMark/>
          </w:tcPr>
          <w:p w14:paraId="23558661"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190</w:t>
            </w:r>
          </w:p>
        </w:tc>
      </w:tr>
      <w:tr w:rsidR="00BA1491" w:rsidRPr="00404AD7" w14:paraId="6B69E653" w14:textId="77777777" w:rsidTr="00BA1491">
        <w:tc>
          <w:tcPr>
            <w:tcW w:w="2399" w:type="dxa"/>
            <w:tcBorders>
              <w:bottom w:val="single" w:sz="12" w:space="0" w:color="auto"/>
            </w:tcBorders>
            <w:shd w:val="clear" w:color="auto" w:fill="auto"/>
            <w:tcMar>
              <w:top w:w="0" w:type="dxa"/>
              <w:left w:w="108" w:type="dxa"/>
              <w:bottom w:w="0" w:type="dxa"/>
              <w:right w:w="108" w:type="dxa"/>
            </w:tcMar>
            <w:hideMark/>
          </w:tcPr>
          <w:p w14:paraId="6075A1B0"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left"/>
              <w:rPr>
                <w:b/>
                <w:bCs/>
                <w:sz w:val="18"/>
              </w:rPr>
            </w:pPr>
            <w:r w:rsidRPr="00404AD7">
              <w:rPr>
                <w:b/>
                <w:bCs/>
                <w:sz w:val="18"/>
              </w:rPr>
              <w:t>2021</w:t>
            </w:r>
          </w:p>
        </w:tc>
        <w:tc>
          <w:tcPr>
            <w:tcW w:w="2598" w:type="dxa"/>
            <w:tcBorders>
              <w:bottom w:val="single" w:sz="12" w:space="0" w:color="auto"/>
            </w:tcBorders>
            <w:shd w:val="clear" w:color="auto" w:fill="auto"/>
            <w:tcMar>
              <w:top w:w="0" w:type="dxa"/>
              <w:left w:w="108" w:type="dxa"/>
              <w:bottom w:w="0" w:type="dxa"/>
              <w:right w:w="108" w:type="dxa"/>
            </w:tcMar>
            <w:vAlign w:val="bottom"/>
            <w:hideMark/>
          </w:tcPr>
          <w:p w14:paraId="1BC8BAC0"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306</w:t>
            </w:r>
          </w:p>
        </w:tc>
        <w:tc>
          <w:tcPr>
            <w:tcW w:w="2509" w:type="dxa"/>
            <w:tcBorders>
              <w:bottom w:val="single" w:sz="12" w:space="0" w:color="auto"/>
            </w:tcBorders>
            <w:shd w:val="clear" w:color="auto" w:fill="auto"/>
            <w:tcMar>
              <w:top w:w="0" w:type="dxa"/>
              <w:left w:w="108" w:type="dxa"/>
              <w:bottom w:w="0" w:type="dxa"/>
              <w:right w:w="108" w:type="dxa"/>
            </w:tcMar>
            <w:vAlign w:val="bottom"/>
            <w:hideMark/>
          </w:tcPr>
          <w:p w14:paraId="7EB11B1B" w14:textId="77777777" w:rsidR="00BA1491" w:rsidRPr="00404AD7" w:rsidRDefault="00BA1491"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240</w:t>
            </w:r>
          </w:p>
        </w:tc>
      </w:tr>
    </w:tbl>
    <w:p w14:paraId="08CE771D" w14:textId="11656B4C" w:rsidR="00ED479F" w:rsidRPr="00404AD7" w:rsidRDefault="00ED479F" w:rsidP="00BA1491">
      <w:pPr>
        <w:pStyle w:val="FootnoteText"/>
        <w:tabs>
          <w:tab w:val="clear" w:pos="418"/>
          <w:tab w:val="left" w:pos="1548"/>
          <w:tab w:val="right" w:pos="1836"/>
          <w:tab w:val="left" w:pos="1908"/>
        </w:tabs>
        <w:spacing w:line="120" w:lineRule="exact"/>
        <w:ind w:left="1138" w:right="1267" w:firstLine="0"/>
        <w:rPr>
          <w:sz w:val="10"/>
        </w:rPr>
      </w:pPr>
    </w:p>
    <w:p w14:paraId="7AD2067E" w14:textId="7368F2D3" w:rsidR="00BA1491" w:rsidRPr="00404AD7" w:rsidRDefault="00F1538F" w:rsidP="00ED479F">
      <w:pPr>
        <w:pStyle w:val="FootnoteText"/>
        <w:tabs>
          <w:tab w:val="clear" w:pos="418"/>
          <w:tab w:val="left" w:pos="1548"/>
          <w:tab w:val="right" w:pos="1836"/>
          <w:tab w:val="left" w:pos="1908"/>
        </w:tabs>
        <w:ind w:left="1138" w:right="1267" w:firstLine="0"/>
      </w:pPr>
      <w:r w:rsidRPr="00404AD7">
        <w:rPr>
          <w:i/>
          <w:iCs/>
        </w:rPr>
        <w:t>Source: The Ministry of Interior</w:t>
      </w:r>
    </w:p>
    <w:p w14:paraId="1C38827D" w14:textId="3EF2B660" w:rsidR="00F1538F" w:rsidRPr="00404AD7" w:rsidRDefault="00F1538F" w:rsidP="00F1538F">
      <w:pPr>
        <w:pStyle w:val="FootnoteText"/>
        <w:tabs>
          <w:tab w:val="clear" w:pos="418"/>
          <w:tab w:val="left" w:pos="1548"/>
          <w:tab w:val="right" w:pos="1836"/>
          <w:tab w:val="left" w:pos="1908"/>
        </w:tabs>
        <w:spacing w:line="120" w:lineRule="exact"/>
        <w:ind w:left="1138" w:right="1267" w:firstLine="0"/>
        <w:rPr>
          <w:sz w:val="10"/>
        </w:rPr>
      </w:pPr>
    </w:p>
    <w:p w14:paraId="004B46DD" w14:textId="265BBC5A" w:rsidR="00F1538F" w:rsidRPr="00404AD7" w:rsidRDefault="00F1538F" w:rsidP="00DC607E">
      <w:pPr>
        <w:pStyle w:val="FootnoteText"/>
        <w:tabs>
          <w:tab w:val="clear" w:pos="418"/>
          <w:tab w:val="left" w:pos="1548"/>
          <w:tab w:val="right" w:pos="1836"/>
          <w:tab w:val="left" w:pos="1908"/>
        </w:tabs>
        <w:spacing w:line="120" w:lineRule="exact"/>
        <w:ind w:left="1138" w:right="1267" w:firstLine="0"/>
        <w:rPr>
          <w:sz w:val="10"/>
        </w:rPr>
      </w:pPr>
    </w:p>
    <w:p w14:paraId="2855858A" w14:textId="77777777" w:rsidR="00DC607E" w:rsidRPr="00404AD7" w:rsidRDefault="00DC607E" w:rsidP="00F1538F">
      <w:pPr>
        <w:pStyle w:val="FootnoteText"/>
        <w:tabs>
          <w:tab w:val="clear" w:pos="418"/>
          <w:tab w:val="left" w:pos="1548"/>
          <w:tab w:val="right" w:pos="1836"/>
          <w:tab w:val="left" w:pos="1908"/>
        </w:tabs>
        <w:spacing w:line="120" w:lineRule="exact"/>
        <w:ind w:left="1138" w:right="1267" w:firstLine="0"/>
        <w:rPr>
          <w:sz w:val="10"/>
        </w:rPr>
      </w:pPr>
    </w:p>
    <w:p w14:paraId="7B97D118" w14:textId="4AA13ADB" w:rsidR="00E36E7A" w:rsidRPr="00404AD7" w:rsidRDefault="00DC607E" w:rsidP="00DC607E">
      <w:pPr>
        <w:pStyle w:val="HChG"/>
        <w:spacing w:before="0"/>
        <w:ind w:left="1138" w:right="1138" w:hanging="1138"/>
        <w:rPr>
          <w:lang w:val="en-US"/>
        </w:rPr>
      </w:pPr>
      <w:bookmarkStart w:id="43" w:name="_Toc108692413"/>
      <w:r w:rsidRPr="00404AD7">
        <w:rPr>
          <w:lang w:val="en-US"/>
        </w:rPr>
        <w:tab/>
      </w:r>
      <w:r w:rsidRPr="00404AD7">
        <w:rPr>
          <w:lang w:val="en-US"/>
        </w:rPr>
        <w:tab/>
      </w:r>
      <w:r w:rsidR="00E36E7A" w:rsidRPr="00404AD7">
        <w:rPr>
          <w:lang w:val="en-US"/>
        </w:rPr>
        <w:t>Education</w:t>
      </w:r>
      <w:bookmarkEnd w:id="43"/>
    </w:p>
    <w:p w14:paraId="0A3D8507" w14:textId="77777777" w:rsidR="00E36E7A" w:rsidRPr="00404AD7" w:rsidRDefault="00E36E7A" w:rsidP="00E36E7A">
      <w:pPr>
        <w:pStyle w:val="H1G"/>
        <w:rPr>
          <w:lang w:val="en-US"/>
        </w:rPr>
      </w:pPr>
      <w:r w:rsidRPr="00404AD7">
        <w:rPr>
          <w:lang w:val="en-US"/>
        </w:rPr>
        <w:tab/>
      </w:r>
      <w:r w:rsidRPr="00404AD7">
        <w:rPr>
          <w:lang w:val="en-US"/>
        </w:rPr>
        <w:tab/>
      </w:r>
      <w:bookmarkStart w:id="44" w:name="_Toc108692414"/>
      <w:r w:rsidRPr="00404AD7">
        <w:rPr>
          <w:lang w:val="en-US"/>
        </w:rPr>
        <w:t>Question 16</w:t>
      </w:r>
      <w:bookmarkEnd w:id="44"/>
    </w:p>
    <w:p w14:paraId="75250208" w14:textId="47E5CA88" w:rsidR="00E36E7A" w:rsidRPr="00404AD7" w:rsidRDefault="00E36E7A" w:rsidP="001F2A27">
      <w:pPr>
        <w:pStyle w:val="SingleTxtG"/>
        <w:numPr>
          <w:ilvl w:val="0"/>
          <w:numId w:val="32"/>
        </w:numPr>
        <w:spacing w:line="232" w:lineRule="exact"/>
        <w:ind w:left="1138" w:right="1138" w:firstLine="0"/>
      </w:pPr>
      <w:bookmarkStart w:id="45" w:name="_Hlk104839117"/>
      <w:r w:rsidRPr="00404AD7">
        <w:t xml:space="preserve">To tackle gender segregation in education and the labour market, two 18-months applied research projects have been implemented. Both projects are concentrating on finding new possibilities to use nudging for promoting gender equality and are co-funded by the Estonian Research Council from the European Regional Development Fund, and the Ministry of Social Affairs. Project </w:t>
      </w:r>
      <w:r w:rsidR="006B00A5" w:rsidRPr="00404AD7">
        <w:t>“</w:t>
      </w:r>
      <w:r w:rsidRPr="00404AD7">
        <w:t>Glass Walls and Ceiling in the Estonian ICT Sector</w:t>
      </w:r>
      <w:r w:rsidR="006B00A5" w:rsidRPr="00404AD7">
        <w:t>”</w:t>
      </w:r>
      <w:r w:rsidRPr="00404AD7">
        <w:t xml:space="preserve"> was finalised in the first half of 2021. It had a specific aim to ascertain nudges to increase the share of women among ICT sector students and employees. Nudges were developed and tested for three target groups – high school students, employers, and public/parents. </w:t>
      </w:r>
    </w:p>
    <w:p w14:paraId="27CBD85B" w14:textId="0801469C" w:rsidR="00E36E7A" w:rsidRPr="00404AD7" w:rsidRDefault="00E36E7A" w:rsidP="00DC607E">
      <w:pPr>
        <w:pStyle w:val="SingleTxtG"/>
        <w:numPr>
          <w:ilvl w:val="0"/>
          <w:numId w:val="32"/>
        </w:numPr>
        <w:ind w:left="1134" w:firstLine="0"/>
      </w:pPr>
      <w:r w:rsidRPr="00404AD7">
        <w:t xml:space="preserve">Project </w:t>
      </w:r>
      <w:r w:rsidR="006B00A5" w:rsidRPr="00404AD7">
        <w:t>“</w:t>
      </w:r>
      <w:r w:rsidRPr="00404AD7">
        <w:t>Nudging to Support Stereotype-free Career Choices and Working Conditions</w:t>
      </w:r>
      <w:r w:rsidR="006B00A5" w:rsidRPr="00404AD7">
        <w:t>”</w:t>
      </w:r>
      <w:r w:rsidRPr="00404AD7">
        <w:t xml:space="preserve"> was finalised in spring 2022. The aim of the research project was to help find ways to support teachers and career advisers in promoting career choices that are free of gender stereotypes, and </w:t>
      </w:r>
      <w:r w:rsidRPr="00404AD7">
        <w:lastRenderedPageBreak/>
        <w:t>to support employers in ensuring equal and fair working conditions and stereotype free recruitment and promotion. Nudges were developed for three target groups: teachers at general education schools, career specialists and employers. The biggest barriers to dealing with gender stereotypes at school and in work life (as determined by the qualitative survey) were taken into consideration when developing the nudges. The total of three nudges where piloted with the help of volunteer partners. The main conclusion of the pilot is the pressing need for a more systematic approach in tackling stereotypes although nudges can be used as an additional measure.</w:t>
      </w:r>
    </w:p>
    <w:p w14:paraId="5237E0D1" w14:textId="3DD0BC81" w:rsidR="00E36E7A" w:rsidRPr="00404AD7" w:rsidRDefault="00E36E7A" w:rsidP="00DC607E">
      <w:pPr>
        <w:pStyle w:val="SingleTxtG"/>
        <w:numPr>
          <w:ilvl w:val="0"/>
          <w:numId w:val="32"/>
        </w:numPr>
        <w:ind w:left="1134" w:firstLine="0"/>
      </w:pPr>
      <w:r w:rsidRPr="00404AD7">
        <w:t>Results of these two projects are laying the groundwork for the next steps and measures aimed at decreasing the gender segregation in education and labour market, with a special focus on increasing the share of women in STEM, including ICT.</w:t>
      </w:r>
      <w:r w:rsidR="00711EE0">
        <w:t xml:space="preserve"> </w:t>
      </w:r>
      <w:r w:rsidR="00711EE0" w:rsidRPr="00404AD7">
        <w:t>P</w:t>
      </w:r>
      <w:r w:rsidRPr="00404AD7">
        <w:t>romoting women</w:t>
      </w:r>
      <w:r w:rsidR="006B00A5" w:rsidRPr="00404AD7">
        <w:t>’</w:t>
      </w:r>
      <w:r w:rsidRPr="00404AD7">
        <w:t>s and girls</w:t>
      </w:r>
      <w:r w:rsidR="006B00A5" w:rsidRPr="00404AD7">
        <w:t>’</w:t>
      </w:r>
      <w:r w:rsidRPr="00404AD7">
        <w:t xml:space="preserve"> choices of non-traditional fields of education, such as STEM and digital technology, is one of the main objectives in a set of measures that address structural problems in the Estonian labour market. These measures and activities include decreasing gender-stereotyping and increasing co-operation between schools, vocational training institutions, recruitment agencies and employers. Preparations for these activities started in 2022 and will be implemented in 2023</w:t>
      </w:r>
      <w:r w:rsidR="001F2A27">
        <w:noBreakHyphen/>
      </w:r>
      <w:r w:rsidRPr="00404AD7">
        <w:t>2029, with co-funding from the Structural Funds.</w:t>
      </w:r>
    </w:p>
    <w:p w14:paraId="44B88FE3" w14:textId="77777777" w:rsidR="00E36E7A" w:rsidRPr="00404AD7" w:rsidRDefault="00E36E7A" w:rsidP="00DC607E">
      <w:pPr>
        <w:pStyle w:val="SingleTxtG"/>
        <w:numPr>
          <w:ilvl w:val="0"/>
          <w:numId w:val="32"/>
        </w:numPr>
        <w:ind w:left="1134" w:firstLine="0"/>
      </w:pPr>
      <w:r w:rsidRPr="00404AD7">
        <w:t>Gender Equality and Equal Treatment Competence Centre has produced guidance materials for teachers supervising afterschool activities in the field of science, technology, engineering, and mathematics. The guidance material aims to raise awareness on gender biases and stereotypes and promote choices that are free of gender stereotypes. Also, a booklet was produced for parents.</w:t>
      </w:r>
    </w:p>
    <w:p w14:paraId="7774C8C2" w14:textId="74C41317" w:rsidR="00E36E7A" w:rsidRPr="00404AD7" w:rsidRDefault="00E36E7A" w:rsidP="00DC607E">
      <w:pPr>
        <w:pStyle w:val="SingleTxtG"/>
        <w:numPr>
          <w:ilvl w:val="0"/>
          <w:numId w:val="32"/>
        </w:numPr>
        <w:ind w:left="1134" w:firstLine="0"/>
      </w:pPr>
      <w:r w:rsidRPr="00404AD7">
        <w:t>Several initiatives by private and third sector actors, as well as state-initiated activities, aim to increase girls</w:t>
      </w:r>
      <w:r w:rsidR="006B00A5" w:rsidRPr="00404AD7">
        <w:t>’</w:t>
      </w:r>
      <w:r w:rsidRPr="00404AD7">
        <w:t xml:space="preserve"> interest towards ICT. These initiatives include HK Unicorn Squad (developed as a private initiative), aiming to increase girls</w:t>
      </w:r>
      <w:r w:rsidR="006B00A5" w:rsidRPr="00404AD7">
        <w:t>’</w:t>
      </w:r>
      <w:r w:rsidRPr="00404AD7">
        <w:t xml:space="preserve"> (aged 7-14) interest towards technical fields, robotics and STEM fields; Tech Sisters (third sector initiative), aiming to increase girls</w:t>
      </w:r>
      <w:r w:rsidR="006B00A5" w:rsidRPr="00404AD7">
        <w:t>’</w:t>
      </w:r>
      <w:r w:rsidRPr="00404AD7">
        <w:t xml:space="preserve"> and women</w:t>
      </w:r>
      <w:r w:rsidR="006B00A5" w:rsidRPr="00404AD7">
        <w:t>’</w:t>
      </w:r>
      <w:r w:rsidRPr="00404AD7">
        <w:t xml:space="preserve">s interest towards IT and technology; </w:t>
      </w:r>
      <w:proofErr w:type="spellStart"/>
      <w:r w:rsidRPr="00404AD7">
        <w:t>Digigirls</w:t>
      </w:r>
      <w:proofErr w:type="spellEnd"/>
      <w:r w:rsidRPr="00404AD7">
        <w:t xml:space="preserve">, developed for girls (grades 7-12), is a series of events, mostly as workshops, to introduce ICT fields, designing apps, web environments etc; and </w:t>
      </w:r>
      <w:proofErr w:type="spellStart"/>
      <w:r w:rsidRPr="00404AD7">
        <w:t>StartIT</w:t>
      </w:r>
      <w:proofErr w:type="spellEnd"/>
      <w:r w:rsidRPr="00404AD7">
        <w:t xml:space="preserve"> (an initiative of the Ministry of Economic Affairs and Communications, to encourage girls and young women to study and work in IT fields. Several general state-initiated awareness-raising programmes have also been initiated.</w:t>
      </w:r>
    </w:p>
    <w:p w14:paraId="5646BDC0" w14:textId="37F87E6B" w:rsidR="00E36E7A" w:rsidRPr="00404AD7" w:rsidRDefault="00E36E7A" w:rsidP="00DC607E">
      <w:pPr>
        <w:pStyle w:val="SingleTxtG"/>
        <w:numPr>
          <w:ilvl w:val="0"/>
          <w:numId w:val="32"/>
        </w:numPr>
        <w:ind w:left="1134" w:firstLine="0"/>
      </w:pPr>
      <w:r w:rsidRPr="00404AD7">
        <w:t xml:space="preserve">According to the document </w:t>
      </w:r>
      <w:r w:rsidR="006B00A5" w:rsidRPr="00404AD7">
        <w:t>“</w:t>
      </w:r>
      <w:r w:rsidRPr="00404AD7">
        <w:t>Requirements for Study Literature, Minimum Requirements for Study Literature Review and Reviewers, and Types of Minimum Study Literature Provided by the State by Class and Subject</w:t>
      </w:r>
      <w:r w:rsidR="006B00A5" w:rsidRPr="00404AD7">
        <w:t>”</w:t>
      </w:r>
      <w:r w:rsidRPr="00404AD7">
        <w:t>, the study literature must correspond to certain requirements, including the following criteria: the fundamental values of education specified in § 3 of the Basic Schools and Upper Secondary Schools Act and in the general part of state curricula, the concept of learning, the general and subject-specific objectives of teaching and learning, the applied learning outcomes and content, the tasks of the school and the learning environment;</w:t>
      </w:r>
      <w:r w:rsidRPr="00404AD7">
        <w:rPr>
          <w:lang w:val="et-EE"/>
        </w:rPr>
        <w:t xml:space="preserve"> </w:t>
      </w:r>
      <w:r w:rsidRPr="00404AD7">
        <w:t>the information contained in the study literature and the manner of its presentation are age-appropriate, diverse and methodologically expedient, supporting the development of the moral, physical and social development of the pupil, an integrated worldview and the ability to learn independently.</w:t>
      </w:r>
    </w:p>
    <w:p w14:paraId="72EA5194" w14:textId="7D779AE6" w:rsidR="00E36E7A" w:rsidRPr="00404AD7" w:rsidRDefault="00E36E7A" w:rsidP="00DC607E">
      <w:pPr>
        <w:pStyle w:val="SingleTxtG"/>
        <w:numPr>
          <w:ilvl w:val="0"/>
          <w:numId w:val="32"/>
        </w:numPr>
        <w:ind w:left="1134" w:firstLine="0"/>
      </w:pPr>
      <w:r w:rsidRPr="00404AD7">
        <w:t xml:space="preserve">There is currently </w:t>
      </w:r>
      <w:proofErr w:type="gramStart"/>
      <w:r w:rsidRPr="00404AD7">
        <w:t>no</w:t>
      </w:r>
      <w:proofErr w:type="gramEnd"/>
      <w:r w:rsidRPr="00404AD7">
        <w:t xml:space="preserve"> up to date and extensive research on gender stereotypes in school textbooks and teaching materials. Such research is planned to be carried out by the Ministry of Social Affairs in 2024. The analysis aims to explore how are gender stereotypes, especially those that negatively affect pupils</w:t>
      </w:r>
      <w:r w:rsidR="006B00A5" w:rsidRPr="00404AD7">
        <w:t>’</w:t>
      </w:r>
      <w:r w:rsidRPr="00404AD7">
        <w:t xml:space="preserve"> interest and willingness to study and work in non-traditional fields, such as STEM and ICT for girls, manifested in the study materials and textbooks used in Estonian schools. </w:t>
      </w:r>
    </w:p>
    <w:p w14:paraId="22488B03" w14:textId="37C0DF99" w:rsidR="00E36E7A" w:rsidRPr="00404AD7" w:rsidRDefault="00E36E7A" w:rsidP="00DC607E">
      <w:pPr>
        <w:pStyle w:val="SingleTxtG"/>
        <w:numPr>
          <w:ilvl w:val="0"/>
          <w:numId w:val="32"/>
        </w:numPr>
        <w:spacing w:line="232" w:lineRule="exact"/>
        <w:ind w:left="1138" w:right="1138" w:firstLine="0"/>
      </w:pPr>
      <w:r w:rsidRPr="00404AD7">
        <w:t xml:space="preserve">In 2021, a report titled </w:t>
      </w:r>
      <w:r w:rsidR="006B00A5" w:rsidRPr="00404AD7">
        <w:t>“</w:t>
      </w:r>
      <w:r w:rsidRPr="00404AD7">
        <w:t>Current situation of gender equality and ways of improvement in Estonian science</w:t>
      </w:r>
      <w:r w:rsidR="006B00A5" w:rsidRPr="00404AD7">
        <w:t>”</w:t>
      </w:r>
      <w:r w:rsidRPr="00404AD7">
        <w:t xml:space="preserve"> was completed by the Centre for Applied Social Sciences (CASS) of the University of Tartu. The report concluded that the proportion of women in science and technology has not increased much over the years; that the number of men and women among </w:t>
      </w:r>
      <w:r w:rsidRPr="00404AD7">
        <w:lastRenderedPageBreak/>
        <w:t>academics is practically equal, however there are large differences between professions (women are less likely to be in senior positions than men); and there are fears that gender mainstreaming is at odds with supporting the most competent people, which impedes the discussion on gender-sensitive measures in academia.</w:t>
      </w:r>
    </w:p>
    <w:p w14:paraId="5409A976" w14:textId="77777777" w:rsidR="00E36E7A" w:rsidRPr="00404AD7" w:rsidRDefault="00E36E7A" w:rsidP="00DC607E">
      <w:pPr>
        <w:pStyle w:val="SingleTxtG"/>
        <w:numPr>
          <w:ilvl w:val="0"/>
          <w:numId w:val="32"/>
        </w:numPr>
        <w:spacing w:line="232" w:lineRule="exact"/>
        <w:ind w:left="1138" w:right="1138" w:firstLine="0"/>
      </w:pPr>
      <w:r w:rsidRPr="00404AD7">
        <w:t>According to the latest data (2018), the share of women researchers in the European Union is 33% (incl. 44% in the public sector, 42% in the higher education sector and 21% in the business sector): the share of women researchers in Estonia is significantly higher than the EU average. The pay gap between women and men is the lowest in Europe.</w:t>
      </w:r>
    </w:p>
    <w:p w14:paraId="11B6F6A0" w14:textId="7161E714" w:rsidR="00E36E7A" w:rsidRPr="00404AD7" w:rsidRDefault="00E36E7A" w:rsidP="00DC607E">
      <w:pPr>
        <w:pStyle w:val="SingleTxtG"/>
        <w:numPr>
          <w:ilvl w:val="0"/>
          <w:numId w:val="32"/>
        </w:numPr>
        <w:spacing w:line="232" w:lineRule="exact"/>
        <w:ind w:left="1138" w:right="1138" w:firstLine="0"/>
      </w:pPr>
      <w:r w:rsidRPr="00404AD7">
        <w:t>One of the activities of the Estonian RDI Strategy and Entrepreneurship Strategy 2021</w:t>
      </w:r>
      <w:r w:rsidR="001F2A27">
        <w:noBreakHyphen/>
      </w:r>
      <w:r w:rsidRPr="00404AD7">
        <w:t>2035 to ensure the basic capacity of the research system, is to support research institutions and universities in developing and implementing an academic career model that offers flexible, equal opportunities (incl. gender equality), diversity and greater stability.</w:t>
      </w:r>
    </w:p>
    <w:p w14:paraId="33201B09" w14:textId="3E8C13B4" w:rsidR="00E36E7A" w:rsidRPr="00404AD7" w:rsidRDefault="00E36E7A" w:rsidP="00DC607E">
      <w:pPr>
        <w:pStyle w:val="SingleTxtG"/>
        <w:numPr>
          <w:ilvl w:val="0"/>
          <w:numId w:val="32"/>
        </w:numPr>
        <w:spacing w:line="232" w:lineRule="exact"/>
        <w:ind w:left="1138" w:right="1138" w:firstLine="0"/>
      </w:pPr>
      <w:r w:rsidRPr="00404AD7">
        <w:t>The Estonian Research Agency contributes to the promotion of gender equality in several ways. In 2020, a gender equality plan was adopted (renewed in December 2021), which raises gender awareness among its staff and members of its collections and commissions, pays additional attention to the principles of equal treatment, strives for greater gender balance in collections, commissions and other experts, and grants, awards and among applicants and beneficiaries. Additional attention is paid to gender awareness in communication activities and to equal treatment and opportunities for the institution</w:t>
      </w:r>
      <w:r w:rsidR="006B00A5" w:rsidRPr="00404AD7">
        <w:t>’</w:t>
      </w:r>
      <w:r w:rsidRPr="00404AD7">
        <w:t>s staff.</w:t>
      </w:r>
    </w:p>
    <w:p w14:paraId="71BA09F9" w14:textId="77777777" w:rsidR="00E36E7A" w:rsidRPr="00404AD7" w:rsidRDefault="00E36E7A" w:rsidP="00DC607E">
      <w:pPr>
        <w:pStyle w:val="SingleTxtG"/>
        <w:numPr>
          <w:ilvl w:val="0"/>
          <w:numId w:val="32"/>
        </w:numPr>
        <w:spacing w:line="232" w:lineRule="exact"/>
        <w:ind w:left="1138" w:right="1138" w:firstLine="0"/>
      </w:pPr>
      <w:r w:rsidRPr="00404AD7">
        <w:t xml:space="preserve">To increase the visibility of female researchers, Estonia participates in the </w:t>
      </w:r>
      <w:proofErr w:type="spellStart"/>
      <w:r w:rsidRPr="00404AD7">
        <w:t>AcademiaNet</w:t>
      </w:r>
      <w:proofErr w:type="spellEnd"/>
      <w:r w:rsidRPr="00404AD7">
        <w:t xml:space="preserve"> project: in cooperation with positively evaluated Estonian research institutions, recognized researchers are nominated annually to the </w:t>
      </w:r>
      <w:proofErr w:type="spellStart"/>
      <w:r w:rsidRPr="00404AD7">
        <w:t>AcademiaNet</w:t>
      </w:r>
      <w:proofErr w:type="spellEnd"/>
      <w:r w:rsidRPr="00404AD7">
        <w:t xml:space="preserve"> portal of top researchers. There are also two Horizon 2020 projects promoting gender equality: GEARING-Roles and Gender-Net Plus to exchange experiences with partners from other countries.</w:t>
      </w:r>
    </w:p>
    <w:p w14:paraId="091D9045" w14:textId="1182E1E8" w:rsidR="00E36E7A" w:rsidRPr="00404AD7" w:rsidRDefault="00E36E7A" w:rsidP="00DC607E">
      <w:pPr>
        <w:pStyle w:val="SingleTxtG"/>
        <w:numPr>
          <w:ilvl w:val="0"/>
          <w:numId w:val="32"/>
        </w:numPr>
        <w:spacing w:line="232" w:lineRule="exact"/>
        <w:ind w:left="1138" w:right="1138" w:firstLine="0"/>
      </w:pPr>
      <w:r w:rsidRPr="00404AD7">
        <w:t xml:space="preserve">The first </w:t>
      </w:r>
      <w:r w:rsidR="006B00A5" w:rsidRPr="00404AD7">
        <w:t>“</w:t>
      </w:r>
      <w:r w:rsidRPr="00404AD7">
        <w:t>Women in Science</w:t>
      </w:r>
      <w:r w:rsidR="006B00A5" w:rsidRPr="00404AD7">
        <w:t>”</w:t>
      </w:r>
      <w:r w:rsidRPr="00404AD7">
        <w:t xml:space="preserve"> day was celebrated in 2021 (an initiative of the University of Tartu and the Estonian Young Academy of Sciences), another initiative includes the yearly scholarship </w:t>
      </w:r>
      <w:proofErr w:type="spellStart"/>
      <w:r w:rsidRPr="00404AD7">
        <w:t>l</w:t>
      </w:r>
      <w:r w:rsidR="006B00A5" w:rsidRPr="00404AD7">
        <w:t>’</w:t>
      </w:r>
      <w:r w:rsidRPr="00404AD7">
        <w:t>Oréal</w:t>
      </w:r>
      <w:proofErr w:type="spellEnd"/>
      <w:r w:rsidRPr="00404AD7">
        <w:t xml:space="preserve"> Baltic for Women in Science Programme.</w:t>
      </w:r>
    </w:p>
    <w:p w14:paraId="4E344F74" w14:textId="136FBA0C" w:rsidR="00E36E7A" w:rsidRPr="00404AD7" w:rsidRDefault="00E36E7A" w:rsidP="00DC607E">
      <w:pPr>
        <w:pStyle w:val="SingleTxtG"/>
        <w:numPr>
          <w:ilvl w:val="0"/>
          <w:numId w:val="32"/>
        </w:numPr>
        <w:spacing w:line="232" w:lineRule="exact"/>
        <w:ind w:left="1138" w:right="1138" w:firstLine="0"/>
      </w:pPr>
      <w:r w:rsidRPr="00404AD7">
        <w:t>The Estonian Women</w:t>
      </w:r>
      <w:r w:rsidR="006B00A5" w:rsidRPr="00404AD7">
        <w:t>’</w:t>
      </w:r>
      <w:r w:rsidRPr="00404AD7">
        <w:t>s Studies and Resource Centre (ENUT) has been publishing the first and only peer-reviewed journal of women</w:t>
      </w:r>
      <w:r w:rsidR="006B00A5" w:rsidRPr="00404AD7">
        <w:t>’</w:t>
      </w:r>
      <w:r w:rsidRPr="00404AD7">
        <w:t>s and men</w:t>
      </w:r>
      <w:r w:rsidR="006B00A5" w:rsidRPr="00404AD7">
        <w:t>’</w:t>
      </w:r>
      <w:r w:rsidRPr="00404AD7">
        <w:t xml:space="preserve">s studies (Ariadne </w:t>
      </w:r>
      <w:proofErr w:type="spellStart"/>
      <w:r w:rsidRPr="00404AD7">
        <w:t>Lõng</w:t>
      </w:r>
      <w:proofErr w:type="spellEnd"/>
      <w:r w:rsidRPr="00404AD7">
        <w:t>) from 2000</w:t>
      </w:r>
      <w:r w:rsidR="001F2A27">
        <w:noBreakHyphen/>
      </w:r>
      <w:r w:rsidRPr="00404AD7">
        <w:t>2018. After a short hiatus in 2018, ENUT plans to re-launch it and continue publishing the magazine as a part of strategic partnership agreement with</w:t>
      </w:r>
      <w:r w:rsidR="00711EE0">
        <w:t xml:space="preserve"> </w:t>
      </w:r>
      <w:r w:rsidR="00711EE0" w:rsidRPr="00404AD7">
        <w:t>t</w:t>
      </w:r>
      <w:r w:rsidRPr="00404AD7">
        <w:t>he Ministry of Social Affairs. ENUT also maintains a library for women</w:t>
      </w:r>
      <w:r w:rsidR="006B00A5" w:rsidRPr="00404AD7">
        <w:t>’</w:t>
      </w:r>
      <w:r w:rsidRPr="00404AD7">
        <w:t>s and gender studies and provides support for students interested in gender studies and gender issues in their research field.</w:t>
      </w:r>
    </w:p>
    <w:p w14:paraId="47D8EB4F" w14:textId="3CE1990B" w:rsidR="00E36E7A" w:rsidRPr="00404AD7" w:rsidRDefault="00E36E7A" w:rsidP="00DC607E">
      <w:pPr>
        <w:pStyle w:val="SingleTxtG"/>
        <w:numPr>
          <w:ilvl w:val="0"/>
          <w:numId w:val="32"/>
        </w:numPr>
        <w:spacing w:line="232" w:lineRule="exact"/>
        <w:ind w:left="1138" w:right="1138" w:firstLine="0"/>
      </w:pPr>
      <w:r w:rsidRPr="00404AD7">
        <w:t xml:space="preserve">As stipulated in the Basic Schools and Upper Secondary Schools Act Estonian education is based on principle of inclusive education (§ 6. Principles of organisation of studies that 1) </w:t>
      </w:r>
      <w:r w:rsidR="006B00A5" w:rsidRPr="00404AD7">
        <w:t>“</w:t>
      </w:r>
      <w:r w:rsidRPr="00404AD7">
        <w:t>general education of good quality adheres to the principles of inclusive education and is equally available to all persons regardless of their social and economic background, nationality, gender, place of residence or special educational needs;</w:t>
      </w:r>
      <w:r w:rsidR="006B00A5" w:rsidRPr="00404AD7">
        <w:t>”</w:t>
      </w:r>
      <w:r w:rsidRPr="00404AD7">
        <w:t>). Inclusion in education means that every child is offered an educational arrangement that suits their abilities and needs. Office of Inclusive Education in Education and Youth Board publishes guidance materials and advice to help teachers, kindergartens, schools, and municipalities better engage children with different needs and families to better support the development of their special children as well as offers counselling for parents, teachers, and other specialist in schools.</w:t>
      </w:r>
    </w:p>
    <w:p w14:paraId="67C80B31" w14:textId="77777777" w:rsidR="00E36E7A" w:rsidRPr="00404AD7" w:rsidRDefault="00E36E7A" w:rsidP="00DC607E">
      <w:pPr>
        <w:pStyle w:val="SingleTxtG"/>
        <w:numPr>
          <w:ilvl w:val="0"/>
          <w:numId w:val="32"/>
        </w:numPr>
        <w:spacing w:line="232" w:lineRule="exact"/>
        <w:ind w:left="1138" w:right="1138" w:firstLine="0"/>
      </w:pPr>
      <w:r w:rsidRPr="00404AD7">
        <w:t>The principles of inclusive education and promotion of equal opportunities are put into practice through our Education Strategy for 2035, which aims to provide the necessary preconditions for providing access to high quality education on equal grounds, regardless of their social and cultural background, regardless of their age, gender, special needs, etc.</w:t>
      </w:r>
    </w:p>
    <w:p w14:paraId="00623A4F" w14:textId="36F023B3" w:rsidR="00E36E7A" w:rsidRPr="00404AD7" w:rsidRDefault="00E36E7A" w:rsidP="00DC607E">
      <w:pPr>
        <w:pStyle w:val="SingleTxtG"/>
        <w:numPr>
          <w:ilvl w:val="0"/>
          <w:numId w:val="32"/>
        </w:numPr>
        <w:spacing w:line="232" w:lineRule="exact"/>
        <w:ind w:left="1138" w:right="1138" w:firstLine="0"/>
      </w:pPr>
      <w:r w:rsidRPr="00404AD7">
        <w:t>In 2022 the Estonian Women</w:t>
      </w:r>
      <w:r w:rsidR="006B00A5" w:rsidRPr="00404AD7">
        <w:t>’</w:t>
      </w:r>
      <w:r w:rsidRPr="00404AD7">
        <w:t>s Associations Roundtable in cooperation with the Association of Pre-School Teachers in Estonia provided trainings for preschool teachers on gender sensitive teaching and education as a part of strategic partnership with the Ministry of Social Affairs.</w:t>
      </w:r>
    </w:p>
    <w:bookmarkEnd w:id="45"/>
    <w:p w14:paraId="5363A491" w14:textId="77777777" w:rsidR="00E36E7A" w:rsidRPr="00404AD7" w:rsidRDefault="00E36E7A" w:rsidP="00E36E7A">
      <w:pPr>
        <w:pStyle w:val="HChG"/>
        <w:rPr>
          <w:lang w:val="en-US"/>
        </w:rPr>
      </w:pPr>
      <w:r w:rsidRPr="00404AD7">
        <w:rPr>
          <w:lang w:val="en-US"/>
        </w:rPr>
        <w:lastRenderedPageBreak/>
        <w:tab/>
      </w:r>
      <w:r w:rsidRPr="00404AD7">
        <w:rPr>
          <w:lang w:val="en-US"/>
        </w:rPr>
        <w:tab/>
      </w:r>
      <w:bookmarkStart w:id="46" w:name="_Toc108692415"/>
      <w:r w:rsidRPr="00404AD7">
        <w:rPr>
          <w:lang w:val="en-US"/>
        </w:rPr>
        <w:t>Employment</w:t>
      </w:r>
      <w:bookmarkEnd w:id="46"/>
    </w:p>
    <w:p w14:paraId="30AD2D8A" w14:textId="77777777" w:rsidR="00E36E7A" w:rsidRPr="00404AD7" w:rsidRDefault="00E36E7A" w:rsidP="00E36E7A">
      <w:pPr>
        <w:pStyle w:val="H1G"/>
        <w:rPr>
          <w:lang w:val="en-US"/>
        </w:rPr>
      </w:pPr>
      <w:r w:rsidRPr="00404AD7">
        <w:rPr>
          <w:lang w:val="en-US"/>
        </w:rPr>
        <w:tab/>
      </w:r>
      <w:r w:rsidRPr="00404AD7">
        <w:rPr>
          <w:lang w:val="en-US"/>
        </w:rPr>
        <w:tab/>
        <w:t>Question 17</w:t>
      </w:r>
    </w:p>
    <w:p w14:paraId="7EB8C758" w14:textId="77777777" w:rsidR="00E36E7A" w:rsidRPr="00404AD7" w:rsidRDefault="00E36E7A" w:rsidP="00DC607E">
      <w:pPr>
        <w:pStyle w:val="SingleTxtG"/>
        <w:numPr>
          <w:ilvl w:val="0"/>
          <w:numId w:val="32"/>
        </w:numPr>
        <w:ind w:left="1134" w:firstLine="0"/>
      </w:pPr>
      <w:r w:rsidRPr="00404AD7">
        <w:t>In August 2018, the Government approved and sent to the Parliament a draft amendment to the GEA, aimed at increasing pay transparency. Unfortunately, due to expiry of the mandate of the Parliament in February 2019, the draft was dropped from the proceedings. From 2021 Estonian Government has supported European Union directive aimed at ensuring that the right to equal pay is upheld across all member states. For more information see section on Legislative Framework.</w:t>
      </w:r>
    </w:p>
    <w:p w14:paraId="11C46E5D" w14:textId="554244B4" w:rsidR="00E36E7A" w:rsidRPr="00404AD7" w:rsidRDefault="00E36E7A" w:rsidP="00DC607E">
      <w:pPr>
        <w:pStyle w:val="SingleTxtG"/>
        <w:numPr>
          <w:ilvl w:val="0"/>
          <w:numId w:val="32"/>
        </w:numPr>
        <w:ind w:left="1134" w:firstLine="0"/>
      </w:pPr>
      <w:r w:rsidRPr="00404AD7">
        <w:t xml:space="preserve">From January 2019 to 2022 research project REGE – </w:t>
      </w:r>
      <w:r w:rsidR="006B00A5" w:rsidRPr="00404AD7">
        <w:t>“</w:t>
      </w:r>
      <w:r w:rsidRPr="00404AD7">
        <w:t>Reducing the Gender Wage Gap</w:t>
      </w:r>
      <w:r w:rsidR="006B00A5" w:rsidRPr="00404AD7">
        <w:t>”</w:t>
      </w:r>
      <w:r w:rsidRPr="00404AD7">
        <w:t xml:space="preserve"> was carried out with an aim to decrease the still unexplained part of the gender pay gap by clearing up further reasons for it through linking together different existing databases, adding qualitative analysis, and using simulation and prognosis models to design evidence-based policy scenarios. The project also aimed to create a low-administrative-cost database for up-to-date data on gender pay gap. Based on the analysis, user-friendly digital awareness-raising features have been developed. The project was co-financed from the Regional Development Fund through RITA programme managed by the Estonian Research Council.</w:t>
      </w:r>
    </w:p>
    <w:p w14:paraId="37CA8EC6" w14:textId="77777777" w:rsidR="00E36E7A" w:rsidRPr="00404AD7" w:rsidRDefault="00E36E7A" w:rsidP="00DC607E">
      <w:pPr>
        <w:pStyle w:val="SingleTxtG"/>
        <w:numPr>
          <w:ilvl w:val="0"/>
          <w:numId w:val="32"/>
        </w:numPr>
        <w:ind w:left="1134" w:firstLine="0"/>
      </w:pPr>
      <w:r w:rsidRPr="00404AD7">
        <w:t xml:space="preserve">The research showed that linking together different existing databases enabled to explain significantly larger part of the gender pay gap – 40% instead of previous 15%. Individual level characteristics, such as level of education, labour market status, age, and nationality, explain only marginal share of the pay gap, while the average salary paid, and the share of women employed by the employer play more substantial role. Occupation and sector of economic activity are moderately important in explaining the gap. The results also show that in the lowest income quintile men earn approximately 5% more than women and almost all the pay </w:t>
      </w:r>
      <w:proofErr w:type="gramStart"/>
      <w:r w:rsidRPr="00404AD7">
        <w:t>gap</w:t>
      </w:r>
      <w:proofErr w:type="gramEnd"/>
      <w:r w:rsidRPr="00404AD7">
        <w:t xml:space="preserve"> can be explained, mostly by individual characteristics (age, nationality, education, mother tongue) and characteristics of the employer. With the </w:t>
      </w:r>
      <w:proofErr w:type="spellStart"/>
      <w:r w:rsidRPr="00404AD7">
        <w:t>parametrics</w:t>
      </w:r>
      <w:proofErr w:type="spellEnd"/>
      <w:r w:rsidRPr="00404AD7">
        <w:t xml:space="preserve"> included in the analysis, whilst almost all of the pay </w:t>
      </w:r>
      <w:proofErr w:type="gramStart"/>
      <w:r w:rsidRPr="00404AD7">
        <w:t>gap</w:t>
      </w:r>
      <w:proofErr w:type="gramEnd"/>
      <w:r w:rsidRPr="00404AD7">
        <w:t xml:space="preserve"> could be explained with the low-wage earners, only half could be explained for the medium-wage earners and only a fractions for high-wage earners. The research also showed that in Estonia women with children earn almost 25% less than women without children - the average working income of mothers is still less 7 years after giving birth than before the birth of the child.</w:t>
      </w:r>
    </w:p>
    <w:p w14:paraId="70D4031D" w14:textId="77777777" w:rsidR="00E36E7A" w:rsidRPr="00404AD7" w:rsidRDefault="00E36E7A" w:rsidP="00DC607E">
      <w:pPr>
        <w:pStyle w:val="SingleTxtG"/>
        <w:numPr>
          <w:ilvl w:val="0"/>
          <w:numId w:val="32"/>
        </w:numPr>
        <w:ind w:left="1134" w:firstLine="0"/>
      </w:pPr>
      <w:r w:rsidRPr="00404AD7">
        <w:t>In addition to the research and the digital tool development the project also contributed to the awareness raising with different art projects, digital game development and media appearances. Research results and policy proposals from this project are used for future policy plans. Based on the prototype developed in the REGE project, in the coming years, the tool is further developed to make it available to employers to increase the number of organisations analysing relevant data from the perspective of gender pay gap and the principle of equal pay, and making informed decisions based on this.</w:t>
      </w:r>
    </w:p>
    <w:p w14:paraId="108870CA" w14:textId="77777777" w:rsidR="00E36E7A" w:rsidRPr="00404AD7" w:rsidRDefault="00E36E7A" w:rsidP="00DC607E">
      <w:pPr>
        <w:pStyle w:val="SingleTxtG"/>
        <w:numPr>
          <w:ilvl w:val="0"/>
          <w:numId w:val="32"/>
        </w:numPr>
        <w:ind w:left="1134" w:firstLine="0"/>
      </w:pPr>
      <w:r w:rsidRPr="00404AD7">
        <w:t>During the reporting period several other factors have been contributing to the decrease of the pay gap. The minimum wage has increased 52% comparing the 2016 and 2022. The increase in the minimum wage has also helped to reduce the gender pay gap and has had a positive effect on reducing the gender and age pay gap in the lowest wage groups. Moreover, successive governments have taken steps to ensure adequate wages in female-dominated sectors, such as education. There has been a pan-party political commitment to raise the (average) salaries of basic school and upper-secondary school teachers over the last years, with an aim to reach 120% of the average salary in Estonia. Their salaries have almost doubled during the last eight years, although actual salaries of both primary and secondary school teachers still need to increase to reach the OECD average.</w:t>
      </w:r>
    </w:p>
    <w:p w14:paraId="5D5BB598" w14:textId="776091D7" w:rsidR="00E36E7A" w:rsidRPr="00404AD7" w:rsidRDefault="00E36E7A" w:rsidP="00DC607E">
      <w:pPr>
        <w:pStyle w:val="SingleTxtG"/>
        <w:numPr>
          <w:ilvl w:val="0"/>
          <w:numId w:val="32"/>
        </w:numPr>
        <w:ind w:left="1134" w:firstLine="0"/>
      </w:pPr>
      <w:r w:rsidRPr="00404AD7">
        <w:t xml:space="preserve">From 2019 to 2020 the project </w:t>
      </w:r>
      <w:proofErr w:type="spellStart"/>
      <w:r w:rsidRPr="00404AD7">
        <w:t>InWeGe</w:t>
      </w:r>
      <w:proofErr w:type="spellEnd"/>
      <w:r w:rsidRPr="00404AD7">
        <w:t xml:space="preserve"> (Income, Wealth, Gender) coordinated by the Commissioner</w:t>
      </w:r>
      <w:r w:rsidR="006B00A5" w:rsidRPr="00404AD7">
        <w:t>’</w:t>
      </w:r>
      <w:r w:rsidRPr="00404AD7">
        <w:t xml:space="preserve">s Office was carried out. The project provided an innovative and statistics-based </w:t>
      </w:r>
      <w:r w:rsidRPr="00404AD7">
        <w:lastRenderedPageBreak/>
        <w:t>web application primarily for women to allow them to make decisions and better choices in the labour market. The project monitored the gender gap in income and wealth over the life cycle of people with the help of economists, and it also analyses the gender-based differentiation in income and pension assets, focusing on trends dominating in Estonia. The analysis also uses comparative data from other European countries. Women</w:t>
      </w:r>
      <w:r w:rsidR="006B00A5" w:rsidRPr="00404AD7">
        <w:t>’</w:t>
      </w:r>
      <w:r w:rsidRPr="00404AD7">
        <w:t>s wages, assets, and pensions are under examination. As a result of the research, a web application for gender differences in income and wealth was developed. The web application can be used by anyone who wants to make a job-related decision based on the current level of wages (currently prevalent in the market), given one</w:t>
      </w:r>
      <w:r w:rsidR="006B00A5" w:rsidRPr="00404AD7">
        <w:t>’</w:t>
      </w:r>
      <w:r w:rsidRPr="00404AD7">
        <w:t>s educational background, gender, and other data.</w:t>
      </w:r>
    </w:p>
    <w:p w14:paraId="22527B9C" w14:textId="77777777" w:rsidR="00E36E7A" w:rsidRPr="00404AD7" w:rsidRDefault="00E36E7A" w:rsidP="00E36E7A">
      <w:pPr>
        <w:pStyle w:val="H1G"/>
        <w:rPr>
          <w:lang w:val="en-US"/>
        </w:rPr>
      </w:pPr>
      <w:r w:rsidRPr="00404AD7">
        <w:rPr>
          <w:lang w:val="en-US"/>
        </w:rPr>
        <w:tab/>
      </w:r>
      <w:r w:rsidRPr="00404AD7">
        <w:rPr>
          <w:lang w:val="en-US"/>
        </w:rPr>
        <w:tab/>
      </w:r>
      <w:bookmarkStart w:id="47" w:name="_Toc108692416"/>
      <w:r w:rsidRPr="00404AD7">
        <w:rPr>
          <w:lang w:val="en-US"/>
        </w:rPr>
        <w:t>Question 18</w:t>
      </w:r>
      <w:bookmarkEnd w:id="47"/>
    </w:p>
    <w:p w14:paraId="515CDF05" w14:textId="77777777" w:rsidR="00E36E7A" w:rsidRPr="00404AD7" w:rsidRDefault="00E36E7A" w:rsidP="00DC607E">
      <w:pPr>
        <w:pStyle w:val="SingleTxtG"/>
        <w:numPr>
          <w:ilvl w:val="0"/>
          <w:numId w:val="32"/>
        </w:numPr>
        <w:ind w:left="1134" w:firstLine="0"/>
      </w:pPr>
      <w:r w:rsidRPr="00404AD7">
        <w:rPr>
          <w:bCs/>
        </w:rPr>
        <w:t xml:space="preserve">During </w:t>
      </w:r>
      <w:r w:rsidRPr="00404AD7">
        <w:t>2018</w:t>
      </w:r>
      <w:r w:rsidRPr="00404AD7">
        <w:rPr>
          <w:lang w:val="en-US"/>
        </w:rPr>
        <w:t>-2022 the</w:t>
      </w:r>
      <w:r w:rsidRPr="00404AD7">
        <w:t xml:space="preserve"> Ministry of Social Affairs has amended the parental leave and benefit system with the aim to encourage more parents to combine work and family life and especially fathers to increase their share in care responsibilities.</w:t>
      </w:r>
    </w:p>
    <w:p w14:paraId="72E4AA5D" w14:textId="77777777" w:rsidR="00E36E7A" w:rsidRPr="00404AD7" w:rsidRDefault="00E36E7A" w:rsidP="00DC607E">
      <w:pPr>
        <w:pStyle w:val="SingleTxtG"/>
        <w:numPr>
          <w:ilvl w:val="0"/>
          <w:numId w:val="32"/>
        </w:numPr>
        <w:ind w:left="1134" w:firstLine="0"/>
      </w:pPr>
      <w:r w:rsidRPr="00404AD7">
        <w:t>The parental leave and benefit reform has been implemented in several parts. From 1</w:t>
      </w:r>
      <w:r w:rsidRPr="00711EE0">
        <w:t>st</w:t>
      </w:r>
      <w:r w:rsidRPr="00404AD7">
        <w:t xml:space="preserve"> March 2018 parents may earn parental benefit as well as income and the parental benefit will be reduced only when the monthly income exceeds 1.5 times Estonian average salary. From 1</w:t>
      </w:r>
      <w:r w:rsidRPr="00711EE0">
        <w:t>st</w:t>
      </w:r>
      <w:r w:rsidRPr="00404AD7">
        <w:t xml:space="preserve"> July 2020 all fathers will have an individual right for paternity leave and benefit for 30 days and 19 months of parental benefit and leave can be used in one part or in several parts at any time until the child turns three years old. The fathers may use their right 30 days before the due-date of the child and until the child turns three years old. After using the individual right, the parents may use the sharable parental leave and benefit.</w:t>
      </w:r>
    </w:p>
    <w:p w14:paraId="4968B309" w14:textId="75ED5ADF" w:rsidR="00E36E7A" w:rsidRPr="00404AD7" w:rsidRDefault="00E36E7A" w:rsidP="00DC607E">
      <w:pPr>
        <w:pStyle w:val="SingleTxtG"/>
        <w:numPr>
          <w:ilvl w:val="0"/>
          <w:numId w:val="32"/>
        </w:numPr>
        <w:ind w:left="1134" w:firstLine="0"/>
      </w:pPr>
      <w:r w:rsidRPr="00404AD7">
        <w:t>These changes have had a positive effect on increasing women</w:t>
      </w:r>
      <w:r w:rsidR="006B00A5" w:rsidRPr="00404AD7">
        <w:t>’</w:t>
      </w:r>
      <w:r w:rsidRPr="00404AD7">
        <w:t xml:space="preserve">s participation in the </w:t>
      </w:r>
      <w:proofErr w:type="spellStart"/>
      <w:r w:rsidRPr="00404AD7">
        <w:t>labor</w:t>
      </w:r>
      <w:proofErr w:type="spellEnd"/>
      <w:r w:rsidRPr="00404AD7">
        <w:t xml:space="preserve"> market. The proportion of fathers receiving parental benefit is increasing, amounting to 16% of all recipients of parental benefit in 2021. In 2017 the share of fathers receiving parental benefit was 8%.</w:t>
      </w:r>
      <w:r w:rsidR="00711EE0">
        <w:t xml:space="preserve"> </w:t>
      </w:r>
      <w:r w:rsidRPr="00404AD7">
        <w:t>The number of parental benefit recipients, who receive income from work has also increased from 9% to 20% during last five years, which means that the parents are increasingly using the possibilities to combine work and family life.</w:t>
      </w:r>
    </w:p>
    <w:p w14:paraId="50A946D8" w14:textId="77777777" w:rsidR="00E36E7A" w:rsidRPr="00404AD7" w:rsidRDefault="00E36E7A" w:rsidP="00DC607E">
      <w:pPr>
        <w:pStyle w:val="SingleTxtG"/>
        <w:numPr>
          <w:ilvl w:val="0"/>
          <w:numId w:val="32"/>
        </w:numPr>
        <w:ind w:left="1134" w:firstLine="0"/>
      </w:pPr>
      <w:r w:rsidRPr="00404AD7">
        <w:t>The second part of the amendments (came into force 1</w:t>
      </w:r>
      <w:r w:rsidRPr="00404AD7">
        <w:rPr>
          <w:vertAlign w:val="superscript"/>
        </w:rPr>
        <w:t>st</w:t>
      </w:r>
      <w:r w:rsidRPr="00404AD7">
        <w:t xml:space="preserve"> April 2022) allow for more flexible forms to reconcile work and family life. The changes allow both parents to be on leave and/or receive parental benefit up to 60 days. When parents use this option together, the overall period will be reduced proportionally by the days used together. Also, according to the law amendments parents may stop and re-start receiving the benefit daily until the child turns three years old. This enables both parents to share the care responsibility and work part time. The maternity leave period is shortened from 140 days to 100 days and the parents will have a longer period of paternal leave and benefit, which is shareable by both parents.</w:t>
      </w:r>
    </w:p>
    <w:p w14:paraId="090FBFDD" w14:textId="77777777" w:rsidR="00E36E7A" w:rsidRPr="00404AD7" w:rsidRDefault="00E36E7A" w:rsidP="00DC607E">
      <w:pPr>
        <w:pStyle w:val="SingleTxtG"/>
        <w:numPr>
          <w:ilvl w:val="0"/>
          <w:numId w:val="32"/>
        </w:numPr>
        <w:ind w:left="1134" w:firstLine="0"/>
      </w:pPr>
      <w:r w:rsidRPr="00404AD7">
        <w:t>According to Statistics Estonia (Estonian Labour Force Survey), the employment rate of female by presence of a child less than 2 years old has increased in recent years. In 2018 the female employment rate for such target group was 43% and in 2021 it had increased 4 percent points (to 47%). However, the employment rate of men by presence of a child less than 2 years old has decreased in 2018-2021 from 95% to 93% accordingly.</w:t>
      </w:r>
    </w:p>
    <w:p w14:paraId="48AA02D8" w14:textId="77777777" w:rsidR="00711EE0" w:rsidRPr="00404AD7" w:rsidRDefault="00E36E7A" w:rsidP="00DC607E">
      <w:pPr>
        <w:pStyle w:val="SingleTxtG"/>
        <w:numPr>
          <w:ilvl w:val="0"/>
          <w:numId w:val="32"/>
        </w:numPr>
        <w:ind w:left="1134" w:firstLine="0"/>
      </w:pPr>
      <w:r w:rsidRPr="00404AD7">
        <w:t xml:space="preserve">In addition to the media campaign </w:t>
      </w:r>
      <w:r w:rsidR="006B00A5" w:rsidRPr="00404AD7">
        <w:t>“</w:t>
      </w:r>
      <w:r w:rsidRPr="00404AD7">
        <w:t>Grow Together</w:t>
      </w:r>
      <w:r w:rsidR="006B00A5" w:rsidRPr="00404AD7">
        <w:t>”</w:t>
      </w:r>
      <w:r w:rsidRPr="00404AD7">
        <w:t xml:space="preserve"> which was carried out from November to December 2017 calling on fathers to spend more time with their children, including using parental leave, in 2021 the Ministry of Social Affairs, in co-operation with the SIB and the consulting company EMOR, conducted a research on the use of paternity leave and parental benefit. The aim of this research was to map possible restrictions when it comes to the use of paternity leave and the use of paternity benefit. By mapping the necessary information and discovering constraints, the project team developed nudges that would guide fathers to make more use of the opportunity granted to them. In the long scope, the aim was to increase the use of paternity leave and the use of paternity benefit.</w:t>
      </w:r>
      <w:r w:rsidR="00711EE0">
        <w:t xml:space="preserve"> </w:t>
      </w:r>
    </w:p>
    <w:p w14:paraId="04A2809F" w14:textId="3D3BE1D3" w:rsidR="00E36E7A" w:rsidRPr="00404AD7" w:rsidRDefault="00E36E7A" w:rsidP="00DC607E">
      <w:pPr>
        <w:pStyle w:val="SingleTxtG"/>
        <w:numPr>
          <w:ilvl w:val="0"/>
          <w:numId w:val="32"/>
        </w:numPr>
        <w:ind w:left="1134" w:firstLine="0"/>
      </w:pPr>
      <w:r w:rsidRPr="00404AD7">
        <w:lastRenderedPageBreak/>
        <w:t>In 2019-2021 the Commissioner partnered in the European Commission</w:t>
      </w:r>
      <w:r w:rsidR="006B00A5" w:rsidRPr="00404AD7">
        <w:t>’</w:t>
      </w:r>
      <w:r w:rsidRPr="00404AD7">
        <w:t xml:space="preserve">s project </w:t>
      </w:r>
      <w:proofErr w:type="spellStart"/>
      <w:r w:rsidRPr="00404AD7">
        <w:t>Parents@Work</w:t>
      </w:r>
      <w:proofErr w:type="spellEnd"/>
      <w:r w:rsidRPr="00404AD7">
        <w:t xml:space="preserve">, which </w:t>
      </w:r>
      <w:bookmarkStart w:id="48" w:name="_Hlk105072683"/>
      <w:r w:rsidRPr="00404AD7">
        <w:t xml:space="preserve">focused on work-life balance best practice and recognising discriminatory practices in the workplace. </w:t>
      </w:r>
      <w:bookmarkEnd w:id="48"/>
      <w:r w:rsidRPr="00404AD7">
        <w:t>The project aimed to improve the protection against discrimination of pregnant workers and those who have family obligations.</w:t>
      </w:r>
    </w:p>
    <w:p w14:paraId="692D0849" w14:textId="77777777" w:rsidR="00E36E7A" w:rsidRPr="00404AD7" w:rsidRDefault="00E36E7A" w:rsidP="00DC607E">
      <w:pPr>
        <w:pStyle w:val="SingleTxtG"/>
        <w:numPr>
          <w:ilvl w:val="0"/>
          <w:numId w:val="32"/>
        </w:numPr>
        <w:ind w:left="1134" w:firstLine="0"/>
      </w:pPr>
      <w:r w:rsidRPr="00404AD7">
        <w:t xml:space="preserve">According to analysis from 2021 by </w:t>
      </w:r>
      <w:proofErr w:type="spellStart"/>
      <w:r w:rsidRPr="00404AD7">
        <w:t>Eesti</w:t>
      </w:r>
      <w:proofErr w:type="spellEnd"/>
      <w:r w:rsidRPr="00404AD7">
        <w:t xml:space="preserve"> </w:t>
      </w:r>
      <w:proofErr w:type="spellStart"/>
      <w:r w:rsidRPr="00404AD7">
        <w:t>Rakendusuuringute</w:t>
      </w:r>
      <w:proofErr w:type="spellEnd"/>
      <w:r w:rsidRPr="00404AD7">
        <w:t xml:space="preserve"> </w:t>
      </w:r>
      <w:proofErr w:type="spellStart"/>
      <w:r w:rsidRPr="00404AD7">
        <w:t>Keskus</w:t>
      </w:r>
      <w:proofErr w:type="spellEnd"/>
      <w:r w:rsidRPr="00404AD7">
        <w:t xml:space="preserve"> </w:t>
      </w:r>
      <w:proofErr w:type="spellStart"/>
      <w:r w:rsidRPr="00404AD7">
        <w:t>Centar</w:t>
      </w:r>
      <w:proofErr w:type="spellEnd"/>
      <w:r w:rsidRPr="00404AD7">
        <w:t xml:space="preserve"> and financed by the ESF preschool childcare in Estonia is mainly organised through nurseries run by local authorities. In total, there were 557 local authority owned nurseries in 2019, which formed 67% of all nursery and childcare service providers. This was followed by private childcare service providers with 192 establishments. There were significantly fewer private nurseries and local authority run childcare service establishments (54 and 25 accordingly). </w:t>
      </w:r>
    </w:p>
    <w:p w14:paraId="7FA3BF05" w14:textId="77777777" w:rsidR="00E36E7A" w:rsidRPr="00404AD7" w:rsidRDefault="00E36E7A" w:rsidP="00DC607E">
      <w:pPr>
        <w:pStyle w:val="SingleTxtG"/>
        <w:numPr>
          <w:ilvl w:val="0"/>
          <w:numId w:val="32"/>
        </w:numPr>
        <w:ind w:left="1134" w:firstLine="0"/>
      </w:pPr>
      <w:r w:rsidRPr="00404AD7">
        <w:t>In regions with higher population density, the number of local authority owned nurseries per 1,000 children is lower. Even though there are more private service providers in higher population density areas, there are 6.2 nurseries or childcare service providers per 1,000 children in central regions, compared to twice as many in peripheral regions.</w:t>
      </w:r>
    </w:p>
    <w:p w14:paraId="47E40F3D" w14:textId="77777777" w:rsidR="00E36E7A" w:rsidRPr="00404AD7" w:rsidRDefault="00E36E7A" w:rsidP="00DC607E">
      <w:pPr>
        <w:pStyle w:val="SingleTxtG"/>
        <w:numPr>
          <w:ilvl w:val="0"/>
          <w:numId w:val="32"/>
        </w:numPr>
        <w:ind w:left="1134" w:firstLine="0"/>
      </w:pPr>
      <w:r w:rsidRPr="00404AD7">
        <w:t>There were 69,624 preschool-age nursery and childcare service users, which forms 61% of all 0–</w:t>
      </w:r>
      <w:proofErr w:type="gramStart"/>
      <w:r w:rsidRPr="00404AD7">
        <w:t>7-year olds</w:t>
      </w:r>
      <w:proofErr w:type="gramEnd"/>
      <w:r w:rsidRPr="00404AD7">
        <w:t>. In 2015 it was proportionally similar at 62%. The frequency of use of nursery and childcare service increases with age. According to the parent survey, the services are used by 4% of children under the age of 12 months, 21% of those aged 12 to 24 months, 78% of 2-year-olds and 90% or more of those aged 3 and above.</w:t>
      </w:r>
    </w:p>
    <w:p w14:paraId="13296AB5" w14:textId="77777777" w:rsidR="00E36E7A" w:rsidRPr="00404AD7" w:rsidRDefault="00E36E7A" w:rsidP="00DC607E">
      <w:pPr>
        <w:pStyle w:val="SingleTxtG"/>
        <w:numPr>
          <w:ilvl w:val="0"/>
          <w:numId w:val="32"/>
        </w:numPr>
        <w:ind w:left="1134" w:firstLine="0"/>
      </w:pPr>
      <w:r w:rsidRPr="00404AD7">
        <w:t xml:space="preserve">The largest share (90%) of children using nursery or childcare service use a local authority owned nursery. Childcare service is used for children under 3 years of age: 2.1% of 2-year-olds and 7.5% of 2–3-year-olds use the childcare service. The use of childcare service is different in </w:t>
      </w:r>
      <w:proofErr w:type="spellStart"/>
      <w:r w:rsidRPr="00404AD7">
        <w:t>Harjumaa</w:t>
      </w:r>
      <w:proofErr w:type="spellEnd"/>
      <w:r w:rsidRPr="00404AD7">
        <w:t xml:space="preserve"> and </w:t>
      </w:r>
      <w:proofErr w:type="spellStart"/>
      <w:r w:rsidRPr="00404AD7">
        <w:t>Tartumaa</w:t>
      </w:r>
      <w:proofErr w:type="spellEnd"/>
      <w:r w:rsidRPr="00404AD7">
        <w:t>, where 20% and 17% of 2–3-year-olds use childcare service accordingly. Childcare service is specifically used in these counties to alleviate the shortage of places in local authority owned nurseries. Around half of the parents (approx. 57% according to the parent survey) would like to change their existing childcare arrangement. Most of these parents (51%) would like to increase the use of some form of childcare.</w:t>
      </w:r>
    </w:p>
    <w:p w14:paraId="36EF6989" w14:textId="77777777" w:rsidR="00E36E7A" w:rsidRPr="00404AD7" w:rsidRDefault="00E36E7A" w:rsidP="00DC607E">
      <w:pPr>
        <w:pStyle w:val="SingleTxtG"/>
        <w:numPr>
          <w:ilvl w:val="0"/>
          <w:numId w:val="32"/>
        </w:numPr>
        <w:ind w:left="1134" w:firstLine="0"/>
      </w:pPr>
      <w:r w:rsidRPr="00404AD7">
        <w:t>During the reporting period 976 childcare places were created financed by the ESF. Services for children with disabilities such as childcare, support person and transport services are organised by local governments in accordance with the Social Welfare Act. From 2015 until 2020, the SIB supported the provision of services to children with severe and profound disabilities through its procurement partners finances by the ESF. From 2021 local governments can apply for support from the ESF for the provision of transport services, childcare, and support person services for children with severe and profound disabilities.</w:t>
      </w:r>
    </w:p>
    <w:p w14:paraId="19B08710" w14:textId="77777777" w:rsidR="00E36E7A" w:rsidRPr="00404AD7" w:rsidRDefault="00E36E7A" w:rsidP="00DC607E">
      <w:pPr>
        <w:pStyle w:val="SingleTxtG"/>
        <w:numPr>
          <w:ilvl w:val="0"/>
          <w:numId w:val="32"/>
        </w:numPr>
        <w:ind w:left="1134" w:firstLine="0"/>
      </w:pPr>
      <w:r w:rsidRPr="00404AD7">
        <w:t>From 2016 the Ministry of Social Affairs has developed a Family Friendly Employer program and badge funded by the ESF. From 2017 over 130 organisations have been part of the program.</w:t>
      </w:r>
    </w:p>
    <w:p w14:paraId="243A1F92" w14:textId="4A368B9D" w:rsidR="00E36E7A" w:rsidRPr="00404AD7" w:rsidRDefault="00E36E7A" w:rsidP="00DC607E">
      <w:pPr>
        <w:pStyle w:val="SingleTxtG"/>
        <w:numPr>
          <w:ilvl w:val="0"/>
          <w:numId w:val="32"/>
        </w:numPr>
        <w:ind w:left="1134" w:firstLine="0"/>
      </w:pPr>
      <w:r w:rsidRPr="00404AD7">
        <w:rPr>
          <w:lang w:val="en-US"/>
        </w:rPr>
        <w:t xml:space="preserve">Long-term care has </w:t>
      </w:r>
      <w:r w:rsidRPr="00404AD7">
        <w:t xml:space="preserve">been on the political agenda during recent years. A special high-level task force that was assembled at the Government Office from 2016 to 2017 developed </w:t>
      </w:r>
      <w:r w:rsidRPr="00711EE0">
        <w:t xml:space="preserve">general policy </w:t>
      </w:r>
      <w:r w:rsidRPr="00404AD7">
        <w:t>guidelines and solutions to decrease the care burden. First proposals about reorganisation of LTC in Estonia were approved in 2018 and since then several action plans to the Estonian Cabinet of Ministers have submitted. Changes in long-term care cannot be implemented without preparatory and supportive activities in social welfare and health, as well as support to local governments.</w:t>
      </w:r>
    </w:p>
    <w:p w14:paraId="64D9E4B3" w14:textId="77777777" w:rsidR="00E36E7A" w:rsidRPr="00404AD7" w:rsidRDefault="00E36E7A" w:rsidP="00DC607E">
      <w:pPr>
        <w:pStyle w:val="SingleTxtG"/>
        <w:numPr>
          <w:ilvl w:val="0"/>
          <w:numId w:val="32"/>
        </w:numPr>
        <w:ind w:left="1134" w:firstLine="0"/>
      </w:pPr>
      <w:r w:rsidRPr="00404AD7">
        <w:t>In 2017, Estonia started piloting a care coordination project in close cooperation with local governments, family practitioners and regional hospitals. The purpose of this project is to create a person-</w:t>
      </w:r>
      <w:proofErr w:type="spellStart"/>
      <w:r w:rsidRPr="00404AD7">
        <w:t>centered</w:t>
      </w:r>
      <w:proofErr w:type="spellEnd"/>
      <w:r w:rsidRPr="00404AD7">
        <w:t xml:space="preserve"> coordination system for people with complex care needs. Project is currently going on in six regions in Estonia. </w:t>
      </w:r>
    </w:p>
    <w:p w14:paraId="16279DDE" w14:textId="77777777" w:rsidR="00E36E7A" w:rsidRPr="00404AD7" w:rsidRDefault="00E36E7A" w:rsidP="00DC607E">
      <w:pPr>
        <w:pStyle w:val="SingleTxtG"/>
        <w:numPr>
          <w:ilvl w:val="0"/>
          <w:numId w:val="32"/>
        </w:numPr>
        <w:ind w:left="1134" w:firstLine="0"/>
      </w:pPr>
      <w:r w:rsidRPr="00404AD7">
        <w:lastRenderedPageBreak/>
        <w:t xml:space="preserve">A flexible respite care service for people with a mental disability was launched on </w:t>
      </w:r>
      <w:r w:rsidRPr="00711EE0">
        <w:t>1st</w:t>
      </w:r>
      <w:r w:rsidRPr="00404AD7">
        <w:t xml:space="preserve"> January 2018. The aim of this service is to free up time of family members to support their participation in the labour market.</w:t>
      </w:r>
    </w:p>
    <w:p w14:paraId="08E00446" w14:textId="77777777" w:rsidR="00E36E7A" w:rsidRPr="00404AD7" w:rsidRDefault="00E36E7A" w:rsidP="00DC607E">
      <w:pPr>
        <w:pStyle w:val="SingleTxtG"/>
        <w:numPr>
          <w:ilvl w:val="0"/>
          <w:numId w:val="32"/>
        </w:numPr>
        <w:ind w:left="1134" w:firstLine="0"/>
      </w:pPr>
      <w:r w:rsidRPr="00404AD7">
        <w:t xml:space="preserve">A new leave form (carer leave) entered into force under the Employment Contract Act from </w:t>
      </w:r>
      <w:r w:rsidRPr="00711EE0">
        <w:t>1st</w:t>
      </w:r>
      <w:r w:rsidRPr="00404AD7">
        <w:t xml:space="preserve"> July 2018. Employees can use additional leave (5 days per calendar year) to care for an adult family member with a profound disability. The leave allowance is compensated based on minimum wage. In 2022 steps are taken to extend scope of persons who are entitled to this leave. The right to use the carer leave will be linked to the actual need for care of the person cared for, and not by the severity of the disability identified by the SIB as it is today. The paid leave benefit rate will be increased from the minimum wage to the average income subject to social tax contributions.</w:t>
      </w:r>
    </w:p>
    <w:p w14:paraId="1510B4DE" w14:textId="77777777" w:rsidR="00E36E7A" w:rsidRPr="00404AD7" w:rsidRDefault="00E36E7A" w:rsidP="00DC607E">
      <w:pPr>
        <w:pStyle w:val="SingleTxtG"/>
        <w:numPr>
          <w:ilvl w:val="0"/>
          <w:numId w:val="32"/>
        </w:numPr>
        <w:ind w:left="1134" w:firstLine="0"/>
      </w:pPr>
      <w:r w:rsidRPr="00404AD7">
        <w:t>In September 2018, the Dementia Competence Centre (DCC) was founded. The focus areas of the DCC are integration of service provision; training of service providers and stakeholders; supporting people with dementia and their families; coordinating academic research, communication, and social awareness on dementia-related topics. DCC coordinates support groups and provides education and training seminars on various topics regarding dementia. In December 2018, the Ministry of Social Affairs issued an open call to allocate funds for dementia-friendly environmental design in care homes. This open call is envisioned to be working in tandem with the DCC whereby the physical environment is adapted for care needs of people with dementia and the social environment (i.e. knowledge, skills and values of caregivers) is empowered by specialists working at the Dementia Competence Centre via education and trainings. 26 care homes were granted, which resulted in the adaptation of 806 service places for people with dementia (including the adaptation of 682 previous places and the creation of 124 new places).</w:t>
      </w:r>
    </w:p>
    <w:p w14:paraId="3CF76E68" w14:textId="77777777" w:rsidR="00E36E7A" w:rsidRPr="00404AD7" w:rsidRDefault="00E36E7A" w:rsidP="00DC607E">
      <w:pPr>
        <w:pStyle w:val="SingleTxtG"/>
        <w:numPr>
          <w:ilvl w:val="0"/>
          <w:numId w:val="32"/>
        </w:numPr>
        <w:ind w:left="1134" w:firstLine="0"/>
      </w:pPr>
      <w:r w:rsidRPr="00404AD7">
        <w:t>With the support of EU structural funds several projects and other measures have been initiated in recent years to support local governments in their tasks and address regional disparities. A mentoring programme to the North-East Estonian local municipalities was developed in December 2019 to encourage them to design and provide more social welfare services. Local governments, private and third sector service providers have had a possibility to apply for funding to develop social welfare services for persons with disabilities and the elderly. The developed services are for example support person service, personal assistance service, day-care centres, interval-care and home-care service, counselling services and support groups for people with care burden, integrated welfare services and other services that help to reduce care burden and enable labour market participation of carers.</w:t>
      </w:r>
    </w:p>
    <w:p w14:paraId="6CC69FD9" w14:textId="77777777" w:rsidR="00711EE0" w:rsidRPr="00404AD7" w:rsidRDefault="00E36E7A" w:rsidP="00DC607E">
      <w:pPr>
        <w:pStyle w:val="SingleTxtG"/>
        <w:numPr>
          <w:ilvl w:val="0"/>
          <w:numId w:val="32"/>
        </w:numPr>
        <w:ind w:left="1134" w:firstLine="0"/>
      </w:pPr>
      <w:r w:rsidRPr="00404AD7">
        <w:t>In 2021 the Ministry of Social Affairs prepared a bill to change the Social Welfare Act and Family Law Act, which entered into force in the second quarter of 2022. These changes lay foundation for the organisation of long-term care and greater support for people with care burden and are following:</w:t>
      </w:r>
      <w:r w:rsidR="00711EE0">
        <w:t xml:space="preserve"> </w:t>
      </w:r>
    </w:p>
    <w:p w14:paraId="4A0C6F52" w14:textId="1AEF3DB2" w:rsidR="00E36E7A" w:rsidRPr="00404AD7" w:rsidRDefault="00E36E7A" w:rsidP="00E36E7A">
      <w:pPr>
        <w:pStyle w:val="Bullet1G"/>
      </w:pPr>
      <w:r w:rsidRPr="00404AD7">
        <w:t xml:space="preserve">Defining a long-term care in legislation for the first time. According to this definition long-term care means providing care for a person who needs help for a longer period in daily activities because of his or her physical or mental or work capacity has degraded. Long-term care includes healthcare services, care services and support services for everyday coping; </w:t>
      </w:r>
    </w:p>
    <w:p w14:paraId="5A1779C6" w14:textId="77777777" w:rsidR="00E36E7A" w:rsidRPr="00404AD7" w:rsidRDefault="00E36E7A" w:rsidP="00E36E7A">
      <w:pPr>
        <w:pStyle w:val="Bullet1G"/>
      </w:pPr>
      <w:r w:rsidRPr="00404AD7">
        <w:t xml:space="preserve">Local government has to prefer home care services to institutional services. As a first choice, local government has to provide for a chance to live in home and offer adequate support, e.g., domestic service, support person service, personal assistant service; </w:t>
      </w:r>
    </w:p>
    <w:p w14:paraId="51A78ABA" w14:textId="5A4AECB5" w:rsidR="00E36E7A" w:rsidRPr="00404AD7" w:rsidRDefault="00E36E7A" w:rsidP="00E36E7A">
      <w:pPr>
        <w:pStyle w:val="Bullet1G"/>
      </w:pPr>
      <w:r w:rsidRPr="00404AD7">
        <w:t>Local government is obliged to identify/asses the need for support for a person with a care burden. While evaluating a person</w:t>
      </w:r>
      <w:r w:rsidR="006B00A5" w:rsidRPr="00404AD7">
        <w:t>’</w:t>
      </w:r>
      <w:r w:rsidRPr="00404AD7">
        <w:t xml:space="preserve">s need for assistance, local government has to identify a person with care burden, assess his/her need for support and provide appropriate assistance (trainings, services etc.) when it is needed; </w:t>
      </w:r>
    </w:p>
    <w:p w14:paraId="2381EDB2" w14:textId="77777777" w:rsidR="00E36E7A" w:rsidRPr="00404AD7" w:rsidRDefault="00E36E7A" w:rsidP="00E36E7A">
      <w:pPr>
        <w:pStyle w:val="Bullet1G"/>
      </w:pPr>
      <w:r w:rsidRPr="00404AD7">
        <w:rPr>
          <w:bCs/>
          <w:lang w:val="en-US"/>
        </w:rPr>
        <w:lastRenderedPageBreak/>
        <w:t>S</w:t>
      </w:r>
      <w:proofErr w:type="spellStart"/>
      <w:r w:rsidRPr="00404AD7">
        <w:t>econd</w:t>
      </w:r>
      <w:proofErr w:type="spellEnd"/>
      <w:r w:rsidRPr="00404AD7">
        <w:t>-degree relatives are no longer required to provide maintenance. It means that grandchildren are released from the maintenance obligation towards their grandparents and vice versa in case of adult grandchildren.</w:t>
      </w:r>
    </w:p>
    <w:p w14:paraId="4A887D43" w14:textId="77777777" w:rsidR="00E36E7A" w:rsidRPr="00404AD7" w:rsidRDefault="00E36E7A" w:rsidP="00DC607E">
      <w:pPr>
        <w:pStyle w:val="SingleTxtG"/>
        <w:numPr>
          <w:ilvl w:val="0"/>
          <w:numId w:val="32"/>
        </w:numPr>
        <w:ind w:left="1134" w:firstLine="0"/>
      </w:pPr>
      <w:r w:rsidRPr="00404AD7">
        <w:t>In 2021 the Ministry of Social Affairs also initiated amendment of the Employment Contracts Act and related laws so that employees and officials with caring responsibilities have the right to apply for flexible working conditions (for example, part-time or flexible working hours, teleworking, etc.). In addition, the amendment provides additional protection for employees and officials with caring responsibilities in the event of termination of employment or dismissal, and the reversal of the burden of proof in disputes concerning termination of employment or dismissal.</w:t>
      </w:r>
      <w:bookmarkStart w:id="49" w:name="_Hlk68716691"/>
    </w:p>
    <w:p w14:paraId="713A44A2" w14:textId="77777777" w:rsidR="00E36E7A" w:rsidRPr="00404AD7" w:rsidRDefault="00E36E7A" w:rsidP="00DC607E">
      <w:pPr>
        <w:pStyle w:val="SingleTxtG"/>
        <w:numPr>
          <w:ilvl w:val="0"/>
          <w:numId w:val="32"/>
        </w:numPr>
        <w:ind w:left="1134" w:firstLine="0"/>
      </w:pPr>
      <w:r w:rsidRPr="00404AD7">
        <w:t>In coming years, the next step is to implement new financing scheme for 24-hour general care service provided outside home. The main aim is to reduce out of pocket payments for care recipients and their families by increasing public funding. A separate financing scheme will be established, according to which the financing of the service would be divided between the individual and the public sector to a greater extent than before. Decisions to receive additional funds for the state budget will be made by the government in autumn 2022.</w:t>
      </w:r>
      <w:bookmarkEnd w:id="49"/>
    </w:p>
    <w:p w14:paraId="6367FE20" w14:textId="77777777" w:rsidR="00E36E7A" w:rsidRPr="00404AD7" w:rsidRDefault="00E36E7A" w:rsidP="00E36E7A">
      <w:pPr>
        <w:pStyle w:val="H1G"/>
        <w:rPr>
          <w:lang w:val="en-US"/>
        </w:rPr>
      </w:pPr>
      <w:r w:rsidRPr="00404AD7">
        <w:rPr>
          <w:lang w:val="en-US"/>
        </w:rPr>
        <w:tab/>
      </w:r>
      <w:r w:rsidRPr="00404AD7">
        <w:rPr>
          <w:lang w:val="en-US"/>
        </w:rPr>
        <w:tab/>
      </w:r>
      <w:bookmarkStart w:id="50" w:name="_Toc108692417"/>
      <w:r w:rsidRPr="00404AD7">
        <w:rPr>
          <w:lang w:val="en-US"/>
        </w:rPr>
        <w:t>Question 19</w:t>
      </w:r>
      <w:bookmarkEnd w:id="50"/>
    </w:p>
    <w:p w14:paraId="278CF475" w14:textId="3088FB93" w:rsidR="00E36E7A" w:rsidRPr="00404AD7" w:rsidRDefault="00E36E7A" w:rsidP="00DC607E">
      <w:pPr>
        <w:pStyle w:val="SingleTxtG"/>
        <w:numPr>
          <w:ilvl w:val="0"/>
          <w:numId w:val="32"/>
        </w:numPr>
        <w:ind w:left="1134" w:firstLine="0"/>
      </w:pPr>
      <w:r w:rsidRPr="00404AD7">
        <w:t>Persons who suspect they have been discriminated (definition includes sexual harassment) against, can turn to the Commissioner who advises and assists anyone who has experienced discrimination. The Commissioner monitors compliance with the requirements of the GEA and the ETA. The Complaint to the Commissioner can, if necessary, also be submitted anonymously. The complaint can be submitted on the Commissioner</w:t>
      </w:r>
      <w:r w:rsidR="006B00A5" w:rsidRPr="00404AD7">
        <w:t>’</w:t>
      </w:r>
      <w:r w:rsidRPr="00404AD7">
        <w:t>s website, via e-mail or in person. It is also possible to get counselling on the phone or via social media.</w:t>
      </w:r>
    </w:p>
    <w:p w14:paraId="658AF662" w14:textId="77777777" w:rsidR="00E36E7A" w:rsidRPr="00404AD7" w:rsidRDefault="00E36E7A" w:rsidP="00DC607E">
      <w:pPr>
        <w:pStyle w:val="SingleTxtG"/>
        <w:numPr>
          <w:ilvl w:val="0"/>
          <w:numId w:val="32"/>
        </w:numPr>
        <w:ind w:left="1134" w:firstLine="0"/>
      </w:pPr>
      <w:r w:rsidRPr="00404AD7">
        <w:t>There is a webpage (ahistamine.ee) created in 2020 by the Commissioner on harassment explaining what gender-based or sexual harassment is, how could it be prevented and how to act if one has experienced harassment.</w:t>
      </w:r>
    </w:p>
    <w:p w14:paraId="1F1AEB30" w14:textId="77777777" w:rsidR="00E36E7A" w:rsidRPr="00404AD7" w:rsidRDefault="00E36E7A" w:rsidP="00DC607E">
      <w:pPr>
        <w:pStyle w:val="SingleTxtG"/>
        <w:numPr>
          <w:ilvl w:val="0"/>
          <w:numId w:val="32"/>
        </w:numPr>
        <w:ind w:left="1134" w:firstLine="0"/>
      </w:pPr>
      <w:r w:rsidRPr="00404AD7">
        <w:t xml:space="preserve">In the case of physical violence, the person should turn to the police. If the measures and resources applied by the employer do not ensure safe working environment or if the employer refuses to deal with the problem, person experiencing harassment can turn to the Labour Inspectorate. </w:t>
      </w:r>
    </w:p>
    <w:p w14:paraId="66BD6541" w14:textId="77777777" w:rsidR="00E36E7A" w:rsidRPr="00404AD7" w:rsidRDefault="00E36E7A" w:rsidP="00DC607E">
      <w:pPr>
        <w:pStyle w:val="SingleTxtG"/>
        <w:numPr>
          <w:ilvl w:val="0"/>
          <w:numId w:val="32"/>
        </w:numPr>
        <w:ind w:left="1134" w:firstLine="0"/>
      </w:pPr>
      <w:r w:rsidRPr="00404AD7">
        <w:t>Measures to reduce horizontal and vertical occupational segregation are mostly described in sections on National Machinery for the Advancement of Women, Participation in Political and Public Life, and Stereotypes and Harmful Practices.</w:t>
      </w:r>
    </w:p>
    <w:p w14:paraId="0AE26022" w14:textId="4C58EB69" w:rsidR="00E36E7A" w:rsidRPr="00404AD7" w:rsidRDefault="00E36E7A" w:rsidP="00D93206">
      <w:pPr>
        <w:pStyle w:val="SingleTxtG"/>
        <w:numPr>
          <w:ilvl w:val="0"/>
          <w:numId w:val="32"/>
        </w:numPr>
        <w:ind w:left="1134" w:right="1191" w:firstLine="0"/>
      </w:pPr>
      <w:r w:rsidRPr="00404AD7">
        <w:t xml:space="preserve">To mention some other initiatives in 2018, a two-year programme/information campaign </w:t>
      </w:r>
      <w:r w:rsidR="006B00A5" w:rsidRPr="00404AD7">
        <w:t>“</w:t>
      </w:r>
      <w:r w:rsidRPr="00404AD7">
        <w:t>ICT is everywhere</w:t>
      </w:r>
      <w:r w:rsidR="006B00A5" w:rsidRPr="00404AD7">
        <w:t>”</w:t>
      </w:r>
      <w:r w:rsidRPr="00404AD7">
        <w:t xml:space="preserve"> was initiated by the Ministry of Economic Affairs and Communications. It was directed at young people aged 15-29 years, targeting primarily girls and young women aged 15-19 to inspire them to study IT-related fields. The programme tried to overcome the stereotypes linked with careers in the ICT-sector. A special focus of the campaign was on informing girls on various job opportunities involving ICT in order to encourage them to consider studies or jobs in digital economy. Another aspect of the campaign was to highlight female role models, as the lack of them is one of the factors why many women do not choose a career in the ICT sector. During the two-year campaign, 50 media events took place in spring and autumn in schools around Estonia and, in cooperation with the non-profit organisation Tech Sisters and various technology companies, 10 separate workshops were organised. For the campaign the ministry partnered with, among others, Idea Group, Estonian Association of Information Technology and Telecommunications, </w:t>
      </w:r>
      <w:proofErr w:type="spellStart"/>
      <w:r w:rsidRPr="00404AD7">
        <w:t>TalTech</w:t>
      </w:r>
      <w:proofErr w:type="spellEnd"/>
      <w:r w:rsidRPr="00404AD7">
        <w:t xml:space="preserve"> University, NGO Community Tech Sisters and the educational programme </w:t>
      </w:r>
      <w:r w:rsidR="006B00A5" w:rsidRPr="00404AD7">
        <w:t>“</w:t>
      </w:r>
      <w:r w:rsidRPr="00404AD7">
        <w:t>Enterprising School</w:t>
      </w:r>
      <w:r w:rsidR="006B00A5" w:rsidRPr="00404AD7">
        <w:t>”</w:t>
      </w:r>
      <w:r w:rsidRPr="00404AD7">
        <w:t>.</w:t>
      </w:r>
    </w:p>
    <w:p w14:paraId="4D9D4488" w14:textId="5C810F87" w:rsidR="00F1538F" w:rsidRPr="00404AD7" w:rsidRDefault="00E36E7A" w:rsidP="00E7739E">
      <w:pPr>
        <w:pStyle w:val="SingleTxtG"/>
        <w:numPr>
          <w:ilvl w:val="0"/>
          <w:numId w:val="32"/>
        </w:numPr>
        <w:ind w:left="1134" w:right="1191" w:firstLine="0"/>
      </w:pPr>
      <w:r w:rsidRPr="00404AD7">
        <w:t xml:space="preserve">Another project, </w:t>
      </w:r>
      <w:r w:rsidR="006B00A5" w:rsidRPr="00404AD7">
        <w:t>“</w:t>
      </w:r>
      <w:r w:rsidRPr="00404AD7">
        <w:t>Choose IT!</w:t>
      </w:r>
      <w:r w:rsidR="006B00A5" w:rsidRPr="00404AD7">
        <w:t>”</w:t>
      </w:r>
      <w:r w:rsidRPr="00404AD7">
        <w:t xml:space="preserve"> is being carried out together with Estonian IT companies and enables postgraduates to learn a new profession and become software developers. The </w:t>
      </w:r>
      <w:r w:rsidRPr="00404AD7">
        <w:lastRenderedPageBreak/>
        <w:t>programme involves a 6-week training course followed by an 8-week internship in a company. While this project is not specifically targeted at women, around 62% of the project participants during 2017-2020 were women.</w:t>
      </w:r>
    </w:p>
    <w:p w14:paraId="19A16399" w14:textId="5F769F40" w:rsidR="001D79DD" w:rsidRPr="00404AD7" w:rsidRDefault="001D79DD" w:rsidP="001D79DD">
      <w:pPr>
        <w:pStyle w:val="SingleTxtG"/>
        <w:spacing w:after="0" w:line="120" w:lineRule="exact"/>
        <w:ind w:right="1191"/>
        <w:rPr>
          <w:sz w:val="10"/>
        </w:rPr>
      </w:pPr>
    </w:p>
    <w:p w14:paraId="706FE19A" w14:textId="1F565D90" w:rsidR="00D93206" w:rsidRPr="00404AD7" w:rsidRDefault="00D93206" w:rsidP="00DC63AD">
      <w:pPr>
        <w:pStyle w:val="SingleTxtG"/>
        <w:spacing w:after="0"/>
        <w:ind w:left="1138" w:right="1195"/>
        <w:rPr>
          <w:b/>
          <w:bCs/>
        </w:rPr>
      </w:pPr>
      <w:bookmarkStart w:id="51" w:name="_Toc108692418"/>
      <w:r w:rsidRPr="00404AD7">
        <w:rPr>
          <w:b/>
          <w:bCs/>
        </w:rPr>
        <w:t>Table: Statistical data on employment by gender, persons aged 15-74, year 2018-2021</w:t>
      </w:r>
      <w:bookmarkEnd w:id="51"/>
    </w:p>
    <w:p w14:paraId="4F501E5A" w14:textId="0AFF8FBE" w:rsidR="00D93206" w:rsidRPr="00404AD7" w:rsidRDefault="00D93206" w:rsidP="00D93206">
      <w:pPr>
        <w:pStyle w:val="SingleTxtG"/>
        <w:spacing w:after="0" w:line="120" w:lineRule="exact"/>
        <w:ind w:right="1200"/>
        <w:rPr>
          <w:b/>
          <w:bCs/>
          <w:sz w:val="10"/>
        </w:rPr>
      </w:pPr>
    </w:p>
    <w:p w14:paraId="093A1A08" w14:textId="15056C9E" w:rsidR="00D93206" w:rsidRPr="00404AD7" w:rsidRDefault="00D93206" w:rsidP="00D93206">
      <w:pPr>
        <w:pStyle w:val="SingleTxtG"/>
        <w:spacing w:after="0" w:line="120" w:lineRule="exact"/>
        <w:ind w:right="1200"/>
        <w:rPr>
          <w:sz w:val="10"/>
        </w:rPr>
      </w:pPr>
    </w:p>
    <w:tbl>
      <w:tblPr>
        <w:tblW w:w="7506" w:type="dxa"/>
        <w:tblInd w:w="1134" w:type="dxa"/>
        <w:tblLayout w:type="fixed"/>
        <w:tblCellMar>
          <w:left w:w="0" w:type="dxa"/>
          <w:right w:w="0" w:type="dxa"/>
        </w:tblCellMar>
        <w:tblLook w:val="04A0" w:firstRow="1" w:lastRow="0" w:firstColumn="1" w:lastColumn="0" w:noHBand="0" w:noVBand="1"/>
      </w:tblPr>
      <w:tblGrid>
        <w:gridCol w:w="666"/>
        <w:gridCol w:w="810"/>
        <w:gridCol w:w="990"/>
        <w:gridCol w:w="990"/>
        <w:gridCol w:w="1080"/>
        <w:gridCol w:w="990"/>
        <w:gridCol w:w="990"/>
        <w:gridCol w:w="990"/>
      </w:tblGrid>
      <w:tr w:rsidR="00711EE0" w:rsidRPr="00711EE0" w14:paraId="18814CAB" w14:textId="77777777" w:rsidTr="00711EE0">
        <w:trPr>
          <w:tblHeader/>
        </w:trPr>
        <w:tc>
          <w:tcPr>
            <w:tcW w:w="666" w:type="dxa"/>
            <w:tcBorders>
              <w:top w:val="single" w:sz="4" w:space="0" w:color="auto"/>
              <w:bottom w:val="single" w:sz="12" w:space="0" w:color="auto"/>
            </w:tcBorders>
            <w:shd w:val="clear" w:color="auto" w:fill="auto"/>
            <w:vAlign w:val="bottom"/>
            <w:hideMark/>
          </w:tcPr>
          <w:p w14:paraId="454E519C" w14:textId="77777777" w:rsidR="00DC63AD" w:rsidRPr="00711EE0" w:rsidRDefault="00DC63AD" w:rsidP="00711EE0">
            <w:pPr>
              <w:spacing w:before="80" w:after="80" w:line="200" w:lineRule="exact"/>
              <w:rPr>
                <w:i/>
                <w:spacing w:val="2"/>
                <w:sz w:val="16"/>
              </w:rPr>
            </w:pPr>
            <w:r w:rsidRPr="00711EE0">
              <w:rPr>
                <w:i/>
                <w:spacing w:val="2"/>
                <w:sz w:val="16"/>
              </w:rPr>
              <w:t>Year</w:t>
            </w:r>
          </w:p>
        </w:tc>
        <w:tc>
          <w:tcPr>
            <w:tcW w:w="810" w:type="dxa"/>
            <w:tcBorders>
              <w:top w:val="single" w:sz="4" w:space="0" w:color="auto"/>
              <w:bottom w:val="single" w:sz="12" w:space="0" w:color="auto"/>
            </w:tcBorders>
            <w:shd w:val="clear" w:color="auto" w:fill="auto"/>
            <w:vAlign w:val="bottom"/>
            <w:hideMark/>
          </w:tcPr>
          <w:p w14:paraId="689DAA22" w14:textId="77777777" w:rsidR="00DC63AD" w:rsidRPr="00711EE0" w:rsidRDefault="00DC63AD" w:rsidP="00E53FC8">
            <w:pPr>
              <w:spacing w:before="80" w:after="80" w:line="200" w:lineRule="exact"/>
              <w:ind w:right="113"/>
              <w:rPr>
                <w:i/>
                <w:spacing w:val="2"/>
                <w:sz w:val="16"/>
              </w:rPr>
            </w:pPr>
            <w:r w:rsidRPr="00711EE0">
              <w:rPr>
                <w:i/>
                <w:spacing w:val="2"/>
                <w:sz w:val="16"/>
              </w:rPr>
              <w:t>Gender</w:t>
            </w:r>
          </w:p>
        </w:tc>
        <w:tc>
          <w:tcPr>
            <w:tcW w:w="990" w:type="dxa"/>
            <w:tcBorders>
              <w:top w:val="single" w:sz="4" w:space="0" w:color="auto"/>
              <w:bottom w:val="single" w:sz="12" w:space="0" w:color="auto"/>
            </w:tcBorders>
            <w:shd w:val="clear" w:color="auto" w:fill="auto"/>
            <w:vAlign w:val="bottom"/>
            <w:hideMark/>
          </w:tcPr>
          <w:p w14:paraId="0394B9BD" w14:textId="77777777" w:rsidR="00DC63AD" w:rsidRPr="00711EE0" w:rsidRDefault="00DC63AD" w:rsidP="00E53FC8">
            <w:pPr>
              <w:spacing w:before="80" w:after="80" w:line="200" w:lineRule="exact"/>
              <w:ind w:right="113"/>
              <w:rPr>
                <w:i/>
                <w:spacing w:val="0"/>
                <w:sz w:val="16"/>
              </w:rPr>
            </w:pPr>
            <w:r w:rsidRPr="00711EE0">
              <w:rPr>
                <w:i/>
                <w:spacing w:val="0"/>
                <w:sz w:val="16"/>
              </w:rPr>
              <w:t>Employment rate, %</w:t>
            </w:r>
          </w:p>
        </w:tc>
        <w:tc>
          <w:tcPr>
            <w:tcW w:w="990" w:type="dxa"/>
            <w:tcBorders>
              <w:top w:val="single" w:sz="4" w:space="0" w:color="auto"/>
              <w:bottom w:val="single" w:sz="12" w:space="0" w:color="auto"/>
            </w:tcBorders>
            <w:shd w:val="clear" w:color="auto" w:fill="auto"/>
            <w:vAlign w:val="bottom"/>
            <w:hideMark/>
          </w:tcPr>
          <w:p w14:paraId="7BA643E6" w14:textId="77777777" w:rsidR="00DC63AD" w:rsidRPr="00711EE0" w:rsidRDefault="00DC63AD" w:rsidP="00711EE0">
            <w:pPr>
              <w:spacing w:before="80" w:after="80" w:line="200" w:lineRule="exact"/>
              <w:rPr>
                <w:i/>
                <w:spacing w:val="2"/>
                <w:sz w:val="16"/>
              </w:rPr>
            </w:pPr>
            <w:r w:rsidRPr="00711EE0">
              <w:rPr>
                <w:i/>
                <w:spacing w:val="2"/>
                <w:sz w:val="16"/>
              </w:rPr>
              <w:t>Labour participation rate, %</w:t>
            </w:r>
          </w:p>
        </w:tc>
        <w:tc>
          <w:tcPr>
            <w:tcW w:w="1080" w:type="dxa"/>
            <w:tcBorders>
              <w:top w:val="single" w:sz="4" w:space="0" w:color="auto"/>
              <w:bottom w:val="single" w:sz="12" w:space="0" w:color="auto"/>
            </w:tcBorders>
            <w:shd w:val="clear" w:color="auto" w:fill="auto"/>
            <w:vAlign w:val="bottom"/>
            <w:hideMark/>
          </w:tcPr>
          <w:p w14:paraId="3487D042" w14:textId="77777777" w:rsidR="00DC63AD" w:rsidRPr="00711EE0" w:rsidRDefault="00DC63AD" w:rsidP="00711EE0">
            <w:pPr>
              <w:spacing w:before="80" w:after="80" w:line="200" w:lineRule="exact"/>
              <w:rPr>
                <w:i/>
                <w:spacing w:val="0"/>
                <w:w w:val="101"/>
                <w:sz w:val="16"/>
              </w:rPr>
            </w:pPr>
            <w:r w:rsidRPr="00711EE0">
              <w:rPr>
                <w:i/>
                <w:spacing w:val="0"/>
                <w:w w:val="101"/>
                <w:sz w:val="16"/>
              </w:rPr>
              <w:t>Unemployment rate, %</w:t>
            </w:r>
          </w:p>
        </w:tc>
        <w:tc>
          <w:tcPr>
            <w:tcW w:w="990" w:type="dxa"/>
            <w:tcBorders>
              <w:top w:val="single" w:sz="4" w:space="0" w:color="auto"/>
              <w:bottom w:val="single" w:sz="12" w:space="0" w:color="auto"/>
            </w:tcBorders>
            <w:shd w:val="clear" w:color="auto" w:fill="auto"/>
            <w:vAlign w:val="bottom"/>
            <w:hideMark/>
          </w:tcPr>
          <w:p w14:paraId="594D37A3" w14:textId="77777777" w:rsidR="00DC63AD" w:rsidRPr="00711EE0" w:rsidRDefault="00DC63AD" w:rsidP="00E53FC8">
            <w:pPr>
              <w:spacing w:before="80" w:after="80" w:line="200" w:lineRule="exact"/>
              <w:ind w:right="113"/>
              <w:rPr>
                <w:i/>
                <w:spacing w:val="0"/>
                <w:sz w:val="16"/>
              </w:rPr>
            </w:pPr>
            <w:r w:rsidRPr="00711EE0">
              <w:rPr>
                <w:i/>
                <w:spacing w:val="0"/>
                <w:sz w:val="16"/>
              </w:rPr>
              <w:t>Proportion of persons in part-time employment in main job, %</w:t>
            </w:r>
          </w:p>
        </w:tc>
        <w:tc>
          <w:tcPr>
            <w:tcW w:w="990" w:type="dxa"/>
            <w:tcBorders>
              <w:top w:val="single" w:sz="4" w:space="0" w:color="auto"/>
              <w:bottom w:val="single" w:sz="12" w:space="0" w:color="auto"/>
            </w:tcBorders>
            <w:shd w:val="clear" w:color="auto" w:fill="auto"/>
            <w:vAlign w:val="bottom"/>
            <w:hideMark/>
          </w:tcPr>
          <w:p w14:paraId="025C42E2" w14:textId="77777777" w:rsidR="00DC63AD" w:rsidRPr="00711EE0" w:rsidRDefault="00DC63AD" w:rsidP="00E53FC8">
            <w:pPr>
              <w:spacing w:before="80" w:after="80" w:line="200" w:lineRule="exact"/>
              <w:ind w:right="113"/>
              <w:rPr>
                <w:i/>
                <w:spacing w:val="2"/>
                <w:sz w:val="16"/>
              </w:rPr>
            </w:pPr>
            <w:r w:rsidRPr="00711EE0">
              <w:rPr>
                <w:i/>
                <w:spacing w:val="2"/>
                <w:sz w:val="16"/>
              </w:rPr>
              <w:t xml:space="preserve">Proportion of employed persons with temporary job, % </w:t>
            </w:r>
          </w:p>
        </w:tc>
        <w:tc>
          <w:tcPr>
            <w:tcW w:w="990" w:type="dxa"/>
            <w:tcBorders>
              <w:top w:val="single" w:sz="4" w:space="0" w:color="auto"/>
              <w:bottom w:val="single" w:sz="12" w:space="0" w:color="auto"/>
            </w:tcBorders>
            <w:shd w:val="clear" w:color="auto" w:fill="auto"/>
            <w:vAlign w:val="bottom"/>
            <w:hideMark/>
          </w:tcPr>
          <w:p w14:paraId="287E8356" w14:textId="77777777" w:rsidR="00DC63AD" w:rsidRPr="00711EE0" w:rsidRDefault="00DC63AD" w:rsidP="00E53FC8">
            <w:pPr>
              <w:spacing w:before="80" w:after="80" w:line="200" w:lineRule="exact"/>
              <w:ind w:right="113"/>
              <w:rPr>
                <w:i/>
                <w:spacing w:val="2"/>
                <w:sz w:val="16"/>
              </w:rPr>
            </w:pPr>
            <w:r w:rsidRPr="00711EE0">
              <w:rPr>
                <w:i/>
                <w:spacing w:val="2"/>
                <w:sz w:val="16"/>
              </w:rPr>
              <w:t>Share of employed persons working remotely, %</w:t>
            </w:r>
          </w:p>
        </w:tc>
      </w:tr>
      <w:tr w:rsidR="00711EE0" w:rsidRPr="00404AD7" w14:paraId="1085C5B1" w14:textId="77777777" w:rsidTr="00711EE0">
        <w:trPr>
          <w:trHeight w:hRule="exact" w:val="113"/>
        </w:trPr>
        <w:tc>
          <w:tcPr>
            <w:tcW w:w="666" w:type="dxa"/>
            <w:tcBorders>
              <w:top w:val="single" w:sz="12" w:space="0" w:color="auto"/>
            </w:tcBorders>
            <w:shd w:val="clear" w:color="auto" w:fill="auto"/>
          </w:tcPr>
          <w:p w14:paraId="3366FF1C" w14:textId="77777777" w:rsidR="00DC63AD" w:rsidRPr="00404AD7" w:rsidRDefault="00DC63AD" w:rsidP="00E53FC8">
            <w:pPr>
              <w:spacing w:before="40" w:after="120"/>
              <w:ind w:right="113"/>
            </w:pPr>
          </w:p>
        </w:tc>
        <w:tc>
          <w:tcPr>
            <w:tcW w:w="810" w:type="dxa"/>
            <w:tcBorders>
              <w:top w:val="single" w:sz="12" w:space="0" w:color="auto"/>
            </w:tcBorders>
            <w:shd w:val="clear" w:color="auto" w:fill="auto"/>
          </w:tcPr>
          <w:p w14:paraId="1155977D" w14:textId="77777777" w:rsidR="00DC63AD" w:rsidRPr="00404AD7" w:rsidRDefault="00DC63AD" w:rsidP="00E53FC8">
            <w:pPr>
              <w:spacing w:before="40" w:after="120"/>
              <w:ind w:right="113"/>
            </w:pPr>
          </w:p>
        </w:tc>
        <w:tc>
          <w:tcPr>
            <w:tcW w:w="990" w:type="dxa"/>
            <w:tcBorders>
              <w:top w:val="single" w:sz="12" w:space="0" w:color="auto"/>
            </w:tcBorders>
            <w:shd w:val="clear" w:color="auto" w:fill="auto"/>
          </w:tcPr>
          <w:p w14:paraId="1BA1405F" w14:textId="77777777" w:rsidR="00DC63AD" w:rsidRPr="00404AD7" w:rsidRDefault="00DC63AD" w:rsidP="00E53FC8">
            <w:pPr>
              <w:spacing w:before="40" w:after="120"/>
              <w:ind w:right="113"/>
            </w:pPr>
          </w:p>
        </w:tc>
        <w:tc>
          <w:tcPr>
            <w:tcW w:w="990" w:type="dxa"/>
            <w:tcBorders>
              <w:top w:val="single" w:sz="12" w:space="0" w:color="auto"/>
            </w:tcBorders>
            <w:shd w:val="clear" w:color="auto" w:fill="auto"/>
          </w:tcPr>
          <w:p w14:paraId="142F4B90" w14:textId="77777777" w:rsidR="00DC63AD" w:rsidRPr="00404AD7" w:rsidRDefault="00DC63AD" w:rsidP="00E53FC8">
            <w:pPr>
              <w:spacing w:before="40" w:after="120"/>
              <w:ind w:right="113"/>
            </w:pPr>
          </w:p>
        </w:tc>
        <w:tc>
          <w:tcPr>
            <w:tcW w:w="1080" w:type="dxa"/>
            <w:tcBorders>
              <w:top w:val="single" w:sz="12" w:space="0" w:color="auto"/>
            </w:tcBorders>
            <w:shd w:val="clear" w:color="auto" w:fill="auto"/>
          </w:tcPr>
          <w:p w14:paraId="75729EFD" w14:textId="77777777" w:rsidR="00DC63AD" w:rsidRPr="00404AD7" w:rsidRDefault="00DC63AD" w:rsidP="00E53FC8">
            <w:pPr>
              <w:spacing w:before="40" w:after="120"/>
              <w:ind w:right="113"/>
            </w:pPr>
          </w:p>
        </w:tc>
        <w:tc>
          <w:tcPr>
            <w:tcW w:w="990" w:type="dxa"/>
            <w:tcBorders>
              <w:top w:val="single" w:sz="12" w:space="0" w:color="auto"/>
            </w:tcBorders>
            <w:shd w:val="clear" w:color="auto" w:fill="auto"/>
          </w:tcPr>
          <w:p w14:paraId="494A3B48" w14:textId="77777777" w:rsidR="00DC63AD" w:rsidRPr="00404AD7" w:rsidRDefault="00DC63AD" w:rsidP="00E53FC8">
            <w:pPr>
              <w:spacing w:before="40" w:after="120"/>
              <w:ind w:right="113"/>
            </w:pPr>
          </w:p>
        </w:tc>
        <w:tc>
          <w:tcPr>
            <w:tcW w:w="990" w:type="dxa"/>
            <w:tcBorders>
              <w:top w:val="single" w:sz="12" w:space="0" w:color="auto"/>
            </w:tcBorders>
            <w:shd w:val="clear" w:color="auto" w:fill="auto"/>
          </w:tcPr>
          <w:p w14:paraId="3FD11E3C" w14:textId="77777777" w:rsidR="00DC63AD" w:rsidRPr="00404AD7" w:rsidRDefault="00DC63AD" w:rsidP="00E53FC8">
            <w:pPr>
              <w:spacing w:before="40" w:after="120"/>
              <w:ind w:right="113"/>
            </w:pPr>
          </w:p>
        </w:tc>
        <w:tc>
          <w:tcPr>
            <w:tcW w:w="990" w:type="dxa"/>
            <w:tcBorders>
              <w:top w:val="single" w:sz="12" w:space="0" w:color="auto"/>
            </w:tcBorders>
            <w:shd w:val="clear" w:color="auto" w:fill="auto"/>
          </w:tcPr>
          <w:p w14:paraId="5481BEE9" w14:textId="77777777" w:rsidR="00DC63AD" w:rsidRPr="00404AD7" w:rsidRDefault="00DC63AD" w:rsidP="00E53FC8">
            <w:pPr>
              <w:spacing w:before="40" w:after="120"/>
              <w:ind w:right="113"/>
            </w:pPr>
          </w:p>
        </w:tc>
      </w:tr>
      <w:tr w:rsidR="00711EE0" w:rsidRPr="00404AD7" w14:paraId="599C5BA3" w14:textId="77777777" w:rsidTr="00711EE0">
        <w:tc>
          <w:tcPr>
            <w:tcW w:w="666" w:type="dxa"/>
            <w:shd w:val="clear" w:color="auto" w:fill="auto"/>
            <w:noWrap/>
            <w:hideMark/>
          </w:tcPr>
          <w:p w14:paraId="76FDD0FE" w14:textId="77777777" w:rsidR="00DC63AD" w:rsidRPr="00404AD7" w:rsidRDefault="00DC63AD" w:rsidP="00E53FC8">
            <w:pPr>
              <w:spacing w:before="40" w:after="120"/>
              <w:ind w:right="113"/>
            </w:pPr>
            <w:r w:rsidRPr="00404AD7">
              <w:t>2018</w:t>
            </w:r>
          </w:p>
        </w:tc>
        <w:tc>
          <w:tcPr>
            <w:tcW w:w="810" w:type="dxa"/>
            <w:shd w:val="clear" w:color="auto" w:fill="auto"/>
            <w:noWrap/>
            <w:hideMark/>
          </w:tcPr>
          <w:p w14:paraId="02479B3C" w14:textId="77777777" w:rsidR="00DC63AD" w:rsidRPr="00404AD7" w:rsidRDefault="00DC63AD" w:rsidP="00E53FC8">
            <w:pPr>
              <w:spacing w:before="40" w:after="120"/>
              <w:ind w:right="113"/>
            </w:pPr>
            <w:r w:rsidRPr="00404AD7">
              <w:t>Men</w:t>
            </w:r>
          </w:p>
        </w:tc>
        <w:tc>
          <w:tcPr>
            <w:tcW w:w="990" w:type="dxa"/>
            <w:shd w:val="clear" w:color="auto" w:fill="auto"/>
            <w:noWrap/>
            <w:hideMark/>
          </w:tcPr>
          <w:p w14:paraId="101B0320" w14:textId="77777777" w:rsidR="00DC63AD" w:rsidRPr="00404AD7" w:rsidRDefault="00DC63AD" w:rsidP="00E53FC8">
            <w:pPr>
              <w:spacing w:before="40" w:after="120"/>
              <w:ind w:right="113"/>
            </w:pPr>
            <w:r w:rsidRPr="00404AD7">
              <w:t>72,2</w:t>
            </w:r>
          </w:p>
        </w:tc>
        <w:tc>
          <w:tcPr>
            <w:tcW w:w="990" w:type="dxa"/>
            <w:shd w:val="clear" w:color="auto" w:fill="auto"/>
            <w:noWrap/>
            <w:hideMark/>
          </w:tcPr>
          <w:p w14:paraId="77538A30" w14:textId="77777777" w:rsidR="00DC63AD" w:rsidRPr="00404AD7" w:rsidRDefault="00DC63AD" w:rsidP="00E53FC8">
            <w:pPr>
              <w:spacing w:before="40" w:after="120"/>
              <w:ind w:right="113"/>
            </w:pPr>
            <w:r w:rsidRPr="00404AD7">
              <w:t>76,4</w:t>
            </w:r>
          </w:p>
        </w:tc>
        <w:tc>
          <w:tcPr>
            <w:tcW w:w="1080" w:type="dxa"/>
            <w:shd w:val="clear" w:color="auto" w:fill="auto"/>
            <w:noWrap/>
            <w:hideMark/>
          </w:tcPr>
          <w:p w14:paraId="5AE940AF" w14:textId="77777777" w:rsidR="00DC63AD" w:rsidRPr="00404AD7" w:rsidRDefault="00DC63AD" w:rsidP="00E53FC8">
            <w:pPr>
              <w:spacing w:before="40" w:after="120"/>
              <w:ind w:right="113"/>
            </w:pPr>
            <w:r w:rsidRPr="00404AD7">
              <w:t>5,6</w:t>
            </w:r>
          </w:p>
        </w:tc>
        <w:tc>
          <w:tcPr>
            <w:tcW w:w="990" w:type="dxa"/>
            <w:shd w:val="clear" w:color="auto" w:fill="auto"/>
            <w:noWrap/>
            <w:hideMark/>
          </w:tcPr>
          <w:p w14:paraId="41634D1F" w14:textId="77777777" w:rsidR="00DC63AD" w:rsidRPr="00404AD7" w:rsidRDefault="00DC63AD" w:rsidP="00E53FC8">
            <w:pPr>
              <w:spacing w:before="40" w:after="120"/>
              <w:ind w:right="113"/>
            </w:pPr>
            <w:r w:rsidRPr="00404AD7">
              <w:t>7,8</w:t>
            </w:r>
          </w:p>
        </w:tc>
        <w:tc>
          <w:tcPr>
            <w:tcW w:w="990" w:type="dxa"/>
            <w:shd w:val="clear" w:color="auto" w:fill="auto"/>
            <w:noWrap/>
            <w:hideMark/>
          </w:tcPr>
          <w:p w14:paraId="1992660C" w14:textId="77777777" w:rsidR="00DC63AD" w:rsidRPr="00404AD7" w:rsidRDefault="00DC63AD" w:rsidP="00E53FC8">
            <w:pPr>
              <w:spacing w:before="40" w:after="120"/>
              <w:ind w:right="113"/>
            </w:pPr>
            <w:r w:rsidRPr="00404AD7">
              <w:t>3,7</w:t>
            </w:r>
          </w:p>
        </w:tc>
        <w:tc>
          <w:tcPr>
            <w:tcW w:w="990" w:type="dxa"/>
            <w:shd w:val="clear" w:color="auto" w:fill="auto"/>
            <w:noWrap/>
            <w:hideMark/>
          </w:tcPr>
          <w:p w14:paraId="20618E49" w14:textId="77777777" w:rsidR="00DC63AD" w:rsidRPr="00404AD7" w:rsidRDefault="00DC63AD" w:rsidP="00E53FC8">
            <w:pPr>
              <w:spacing w:before="40" w:after="120"/>
              <w:ind w:right="113"/>
            </w:pPr>
            <w:r w:rsidRPr="00404AD7">
              <w:t>15,9</w:t>
            </w:r>
          </w:p>
        </w:tc>
      </w:tr>
      <w:tr w:rsidR="00711EE0" w:rsidRPr="00404AD7" w14:paraId="5DD8FFD9" w14:textId="77777777" w:rsidTr="00711EE0">
        <w:tc>
          <w:tcPr>
            <w:tcW w:w="666" w:type="dxa"/>
            <w:shd w:val="clear" w:color="auto" w:fill="auto"/>
            <w:noWrap/>
            <w:hideMark/>
          </w:tcPr>
          <w:p w14:paraId="5E74633D" w14:textId="77777777" w:rsidR="00DC63AD" w:rsidRPr="00404AD7" w:rsidRDefault="00DC63AD" w:rsidP="00E53FC8">
            <w:pPr>
              <w:spacing w:before="40" w:after="120"/>
              <w:ind w:right="113"/>
            </w:pPr>
            <w:r w:rsidRPr="00404AD7">
              <w:t>2018</w:t>
            </w:r>
          </w:p>
        </w:tc>
        <w:tc>
          <w:tcPr>
            <w:tcW w:w="810" w:type="dxa"/>
            <w:shd w:val="clear" w:color="auto" w:fill="auto"/>
            <w:noWrap/>
            <w:hideMark/>
          </w:tcPr>
          <w:p w14:paraId="321011FF" w14:textId="77777777" w:rsidR="00DC63AD" w:rsidRPr="00404AD7" w:rsidRDefault="00DC63AD" w:rsidP="00E53FC8">
            <w:pPr>
              <w:spacing w:before="40" w:after="120"/>
              <w:ind w:right="113"/>
            </w:pPr>
            <w:r w:rsidRPr="00404AD7">
              <w:t>Women</w:t>
            </w:r>
          </w:p>
        </w:tc>
        <w:tc>
          <w:tcPr>
            <w:tcW w:w="990" w:type="dxa"/>
            <w:shd w:val="clear" w:color="auto" w:fill="auto"/>
            <w:noWrap/>
            <w:hideMark/>
          </w:tcPr>
          <w:p w14:paraId="2D8F40A0" w14:textId="77777777" w:rsidR="00DC63AD" w:rsidRPr="00404AD7" w:rsidRDefault="00DC63AD" w:rsidP="00E53FC8">
            <w:pPr>
              <w:spacing w:before="40" w:after="120"/>
              <w:ind w:right="113"/>
            </w:pPr>
            <w:r w:rsidRPr="00404AD7">
              <w:t>65,1</w:t>
            </w:r>
          </w:p>
        </w:tc>
        <w:tc>
          <w:tcPr>
            <w:tcW w:w="990" w:type="dxa"/>
            <w:shd w:val="clear" w:color="auto" w:fill="auto"/>
            <w:noWrap/>
            <w:hideMark/>
          </w:tcPr>
          <w:p w14:paraId="6BAEFD8F" w14:textId="77777777" w:rsidR="00DC63AD" w:rsidRPr="00404AD7" w:rsidRDefault="00DC63AD" w:rsidP="00E53FC8">
            <w:pPr>
              <w:spacing w:before="40" w:after="120"/>
              <w:ind w:right="113"/>
            </w:pPr>
            <w:r w:rsidRPr="00404AD7">
              <w:t>68,7</w:t>
            </w:r>
          </w:p>
        </w:tc>
        <w:tc>
          <w:tcPr>
            <w:tcW w:w="1080" w:type="dxa"/>
            <w:shd w:val="clear" w:color="auto" w:fill="auto"/>
            <w:noWrap/>
            <w:hideMark/>
          </w:tcPr>
          <w:p w14:paraId="33424312" w14:textId="77777777" w:rsidR="00DC63AD" w:rsidRPr="00404AD7" w:rsidRDefault="00DC63AD" w:rsidP="00E53FC8">
            <w:pPr>
              <w:spacing w:before="40" w:after="120"/>
              <w:ind w:right="113"/>
            </w:pPr>
            <w:r w:rsidRPr="00404AD7">
              <w:t>5,2</w:t>
            </w:r>
          </w:p>
        </w:tc>
        <w:tc>
          <w:tcPr>
            <w:tcW w:w="990" w:type="dxa"/>
            <w:shd w:val="clear" w:color="auto" w:fill="auto"/>
            <w:noWrap/>
            <w:hideMark/>
          </w:tcPr>
          <w:p w14:paraId="1013E794" w14:textId="77777777" w:rsidR="00DC63AD" w:rsidRPr="00404AD7" w:rsidRDefault="00DC63AD" w:rsidP="00E53FC8">
            <w:pPr>
              <w:spacing w:before="40" w:after="120"/>
              <w:ind w:right="113"/>
            </w:pPr>
            <w:r w:rsidRPr="00404AD7">
              <w:t>16,6</w:t>
            </w:r>
          </w:p>
        </w:tc>
        <w:tc>
          <w:tcPr>
            <w:tcW w:w="990" w:type="dxa"/>
            <w:shd w:val="clear" w:color="auto" w:fill="auto"/>
            <w:noWrap/>
            <w:hideMark/>
          </w:tcPr>
          <w:p w14:paraId="66A7CAAA" w14:textId="77777777" w:rsidR="00DC63AD" w:rsidRPr="00404AD7" w:rsidRDefault="00DC63AD" w:rsidP="00E53FC8">
            <w:pPr>
              <w:spacing w:before="40" w:after="120"/>
              <w:ind w:right="113"/>
            </w:pPr>
            <w:r w:rsidRPr="00404AD7">
              <w:t>3,3</w:t>
            </w:r>
          </w:p>
        </w:tc>
        <w:tc>
          <w:tcPr>
            <w:tcW w:w="990" w:type="dxa"/>
            <w:shd w:val="clear" w:color="auto" w:fill="auto"/>
            <w:noWrap/>
            <w:hideMark/>
          </w:tcPr>
          <w:p w14:paraId="4E16DAE9" w14:textId="77777777" w:rsidR="00DC63AD" w:rsidRPr="00404AD7" w:rsidRDefault="00DC63AD" w:rsidP="00E53FC8">
            <w:pPr>
              <w:spacing w:before="40" w:after="120"/>
              <w:ind w:right="113"/>
            </w:pPr>
            <w:r w:rsidRPr="00404AD7">
              <w:t>14,9</w:t>
            </w:r>
          </w:p>
        </w:tc>
      </w:tr>
      <w:tr w:rsidR="00711EE0" w:rsidRPr="00404AD7" w14:paraId="57A1E0BE" w14:textId="77777777" w:rsidTr="00711EE0">
        <w:tc>
          <w:tcPr>
            <w:tcW w:w="666" w:type="dxa"/>
            <w:shd w:val="clear" w:color="auto" w:fill="auto"/>
            <w:noWrap/>
            <w:hideMark/>
          </w:tcPr>
          <w:p w14:paraId="68DC148D" w14:textId="77777777" w:rsidR="00DC63AD" w:rsidRPr="00404AD7" w:rsidRDefault="00DC63AD" w:rsidP="00E53FC8">
            <w:pPr>
              <w:spacing w:before="40" w:after="120"/>
              <w:ind w:right="113"/>
            </w:pPr>
            <w:r w:rsidRPr="00404AD7">
              <w:t>2019</w:t>
            </w:r>
          </w:p>
        </w:tc>
        <w:tc>
          <w:tcPr>
            <w:tcW w:w="810" w:type="dxa"/>
            <w:shd w:val="clear" w:color="auto" w:fill="auto"/>
            <w:noWrap/>
            <w:hideMark/>
          </w:tcPr>
          <w:p w14:paraId="5E0D5491" w14:textId="77777777" w:rsidR="00DC63AD" w:rsidRPr="00404AD7" w:rsidRDefault="00DC63AD" w:rsidP="00E53FC8">
            <w:pPr>
              <w:spacing w:before="40" w:after="120"/>
              <w:ind w:right="113"/>
            </w:pPr>
            <w:r w:rsidRPr="00404AD7">
              <w:t>Men</w:t>
            </w:r>
          </w:p>
        </w:tc>
        <w:tc>
          <w:tcPr>
            <w:tcW w:w="990" w:type="dxa"/>
            <w:shd w:val="clear" w:color="auto" w:fill="auto"/>
            <w:noWrap/>
            <w:hideMark/>
          </w:tcPr>
          <w:p w14:paraId="4072155E" w14:textId="77777777" w:rsidR="00DC63AD" w:rsidRPr="00404AD7" w:rsidRDefault="00DC63AD" w:rsidP="00E53FC8">
            <w:pPr>
              <w:spacing w:before="40" w:after="120"/>
              <w:ind w:right="113"/>
            </w:pPr>
            <w:r w:rsidRPr="00404AD7">
              <w:t>72,4</w:t>
            </w:r>
          </w:p>
        </w:tc>
        <w:tc>
          <w:tcPr>
            <w:tcW w:w="990" w:type="dxa"/>
            <w:shd w:val="clear" w:color="auto" w:fill="auto"/>
            <w:noWrap/>
            <w:hideMark/>
          </w:tcPr>
          <w:p w14:paraId="73AA970E" w14:textId="77777777" w:rsidR="00DC63AD" w:rsidRPr="00404AD7" w:rsidRDefault="00DC63AD" w:rsidP="00E53FC8">
            <w:pPr>
              <w:spacing w:before="40" w:after="120"/>
              <w:ind w:right="113"/>
            </w:pPr>
            <w:r w:rsidRPr="00404AD7">
              <w:t>75,6</w:t>
            </w:r>
          </w:p>
        </w:tc>
        <w:tc>
          <w:tcPr>
            <w:tcW w:w="1080" w:type="dxa"/>
            <w:shd w:val="clear" w:color="auto" w:fill="auto"/>
            <w:noWrap/>
            <w:hideMark/>
          </w:tcPr>
          <w:p w14:paraId="7271E11B" w14:textId="77777777" w:rsidR="00DC63AD" w:rsidRPr="00404AD7" w:rsidRDefault="00DC63AD" w:rsidP="00E53FC8">
            <w:pPr>
              <w:spacing w:before="40" w:after="120"/>
              <w:ind w:right="113"/>
            </w:pPr>
            <w:r w:rsidRPr="00404AD7">
              <w:t>4,1</w:t>
            </w:r>
          </w:p>
        </w:tc>
        <w:tc>
          <w:tcPr>
            <w:tcW w:w="990" w:type="dxa"/>
            <w:shd w:val="clear" w:color="auto" w:fill="auto"/>
            <w:noWrap/>
            <w:hideMark/>
          </w:tcPr>
          <w:p w14:paraId="15D5ADBD" w14:textId="77777777" w:rsidR="00DC63AD" w:rsidRPr="00404AD7" w:rsidRDefault="00DC63AD" w:rsidP="00E53FC8">
            <w:pPr>
              <w:spacing w:before="40" w:after="120"/>
              <w:ind w:right="113"/>
            </w:pPr>
            <w:r w:rsidRPr="00404AD7">
              <w:t>8</w:t>
            </w:r>
          </w:p>
        </w:tc>
        <w:tc>
          <w:tcPr>
            <w:tcW w:w="990" w:type="dxa"/>
            <w:shd w:val="clear" w:color="auto" w:fill="auto"/>
            <w:noWrap/>
            <w:hideMark/>
          </w:tcPr>
          <w:p w14:paraId="4176F8E9" w14:textId="77777777" w:rsidR="00DC63AD" w:rsidRPr="00404AD7" w:rsidRDefault="00DC63AD" w:rsidP="00E53FC8">
            <w:pPr>
              <w:spacing w:before="40" w:after="120"/>
              <w:ind w:right="113"/>
            </w:pPr>
            <w:r w:rsidRPr="00404AD7">
              <w:t>3,1</w:t>
            </w:r>
          </w:p>
        </w:tc>
        <w:tc>
          <w:tcPr>
            <w:tcW w:w="990" w:type="dxa"/>
            <w:shd w:val="clear" w:color="auto" w:fill="auto"/>
            <w:noWrap/>
            <w:hideMark/>
          </w:tcPr>
          <w:p w14:paraId="0C37E6E7" w14:textId="77777777" w:rsidR="00DC63AD" w:rsidRPr="00404AD7" w:rsidRDefault="00DC63AD" w:rsidP="00E53FC8">
            <w:pPr>
              <w:spacing w:before="40" w:after="120"/>
              <w:ind w:right="113"/>
            </w:pPr>
            <w:r w:rsidRPr="00404AD7">
              <w:t>18</w:t>
            </w:r>
          </w:p>
        </w:tc>
      </w:tr>
      <w:tr w:rsidR="00711EE0" w:rsidRPr="00404AD7" w14:paraId="376F6193" w14:textId="77777777" w:rsidTr="00711EE0">
        <w:tc>
          <w:tcPr>
            <w:tcW w:w="666" w:type="dxa"/>
            <w:shd w:val="clear" w:color="auto" w:fill="auto"/>
            <w:noWrap/>
            <w:hideMark/>
          </w:tcPr>
          <w:p w14:paraId="7837B508" w14:textId="77777777" w:rsidR="00DC63AD" w:rsidRPr="00404AD7" w:rsidRDefault="00DC63AD" w:rsidP="00E53FC8">
            <w:pPr>
              <w:spacing w:before="40" w:after="120"/>
              <w:ind w:right="113"/>
            </w:pPr>
            <w:r w:rsidRPr="00404AD7">
              <w:t>2019</w:t>
            </w:r>
          </w:p>
        </w:tc>
        <w:tc>
          <w:tcPr>
            <w:tcW w:w="810" w:type="dxa"/>
            <w:shd w:val="clear" w:color="auto" w:fill="auto"/>
            <w:noWrap/>
            <w:hideMark/>
          </w:tcPr>
          <w:p w14:paraId="0C28F636" w14:textId="77777777" w:rsidR="00DC63AD" w:rsidRPr="00404AD7" w:rsidRDefault="00DC63AD" w:rsidP="00E53FC8">
            <w:pPr>
              <w:spacing w:before="40" w:after="120"/>
              <w:ind w:right="113"/>
            </w:pPr>
            <w:r w:rsidRPr="00404AD7">
              <w:t>Women</w:t>
            </w:r>
          </w:p>
        </w:tc>
        <w:tc>
          <w:tcPr>
            <w:tcW w:w="990" w:type="dxa"/>
            <w:shd w:val="clear" w:color="auto" w:fill="auto"/>
            <w:noWrap/>
            <w:hideMark/>
          </w:tcPr>
          <w:p w14:paraId="1A7A244D" w14:textId="77777777" w:rsidR="00DC63AD" w:rsidRPr="00404AD7" w:rsidRDefault="00DC63AD" w:rsidP="00E53FC8">
            <w:pPr>
              <w:spacing w:before="40" w:after="120"/>
              <w:ind w:right="113"/>
            </w:pPr>
            <w:r w:rsidRPr="00404AD7">
              <w:t>65,5</w:t>
            </w:r>
          </w:p>
        </w:tc>
        <w:tc>
          <w:tcPr>
            <w:tcW w:w="990" w:type="dxa"/>
            <w:shd w:val="clear" w:color="auto" w:fill="auto"/>
            <w:noWrap/>
            <w:hideMark/>
          </w:tcPr>
          <w:p w14:paraId="5ACF57AB" w14:textId="77777777" w:rsidR="00DC63AD" w:rsidRPr="00404AD7" w:rsidRDefault="00DC63AD" w:rsidP="00E53FC8">
            <w:pPr>
              <w:spacing w:before="40" w:after="120"/>
              <w:ind w:right="113"/>
            </w:pPr>
            <w:r w:rsidRPr="00404AD7">
              <w:t>68,9</w:t>
            </w:r>
          </w:p>
        </w:tc>
        <w:tc>
          <w:tcPr>
            <w:tcW w:w="1080" w:type="dxa"/>
            <w:shd w:val="clear" w:color="auto" w:fill="auto"/>
            <w:noWrap/>
            <w:hideMark/>
          </w:tcPr>
          <w:p w14:paraId="5F630FB7" w14:textId="77777777" w:rsidR="00DC63AD" w:rsidRPr="00404AD7" w:rsidRDefault="00DC63AD" w:rsidP="00E53FC8">
            <w:pPr>
              <w:spacing w:before="40" w:after="120"/>
              <w:ind w:right="113"/>
            </w:pPr>
            <w:r w:rsidRPr="00404AD7">
              <w:t>4,8</w:t>
            </w:r>
          </w:p>
        </w:tc>
        <w:tc>
          <w:tcPr>
            <w:tcW w:w="990" w:type="dxa"/>
            <w:shd w:val="clear" w:color="auto" w:fill="auto"/>
            <w:noWrap/>
            <w:hideMark/>
          </w:tcPr>
          <w:p w14:paraId="765EBC17" w14:textId="77777777" w:rsidR="00DC63AD" w:rsidRPr="00404AD7" w:rsidRDefault="00DC63AD" w:rsidP="00E53FC8">
            <w:pPr>
              <w:spacing w:before="40" w:after="120"/>
              <w:ind w:right="113"/>
            </w:pPr>
            <w:r w:rsidRPr="00404AD7">
              <w:t>17,3</w:t>
            </w:r>
          </w:p>
        </w:tc>
        <w:tc>
          <w:tcPr>
            <w:tcW w:w="990" w:type="dxa"/>
            <w:shd w:val="clear" w:color="auto" w:fill="auto"/>
            <w:noWrap/>
            <w:hideMark/>
          </w:tcPr>
          <w:p w14:paraId="2B62ABAD" w14:textId="77777777" w:rsidR="00DC63AD" w:rsidRPr="00404AD7" w:rsidRDefault="00DC63AD" w:rsidP="00E53FC8">
            <w:pPr>
              <w:spacing w:before="40" w:after="120"/>
              <w:ind w:right="113"/>
            </w:pPr>
            <w:r w:rsidRPr="00404AD7">
              <w:t>3,2</w:t>
            </w:r>
          </w:p>
        </w:tc>
        <w:tc>
          <w:tcPr>
            <w:tcW w:w="990" w:type="dxa"/>
            <w:shd w:val="clear" w:color="auto" w:fill="auto"/>
            <w:noWrap/>
            <w:hideMark/>
          </w:tcPr>
          <w:p w14:paraId="0360E64A" w14:textId="77777777" w:rsidR="00DC63AD" w:rsidRPr="00404AD7" w:rsidRDefault="00DC63AD" w:rsidP="00E53FC8">
            <w:pPr>
              <w:spacing w:before="40" w:after="120"/>
              <w:ind w:right="113"/>
            </w:pPr>
            <w:r w:rsidRPr="00404AD7">
              <w:t>17,4</w:t>
            </w:r>
          </w:p>
        </w:tc>
      </w:tr>
      <w:tr w:rsidR="00711EE0" w:rsidRPr="00404AD7" w14:paraId="23825813" w14:textId="77777777" w:rsidTr="00711EE0">
        <w:tc>
          <w:tcPr>
            <w:tcW w:w="666" w:type="dxa"/>
            <w:shd w:val="clear" w:color="auto" w:fill="auto"/>
            <w:noWrap/>
            <w:hideMark/>
          </w:tcPr>
          <w:p w14:paraId="46FF2330" w14:textId="77777777" w:rsidR="00DC63AD" w:rsidRPr="00404AD7" w:rsidRDefault="00DC63AD" w:rsidP="00E53FC8">
            <w:pPr>
              <w:spacing w:before="40" w:after="120"/>
              <w:ind w:right="113"/>
            </w:pPr>
            <w:r w:rsidRPr="00404AD7">
              <w:t>2020</w:t>
            </w:r>
          </w:p>
        </w:tc>
        <w:tc>
          <w:tcPr>
            <w:tcW w:w="810" w:type="dxa"/>
            <w:shd w:val="clear" w:color="auto" w:fill="auto"/>
            <w:noWrap/>
            <w:hideMark/>
          </w:tcPr>
          <w:p w14:paraId="44F5B9A9" w14:textId="77777777" w:rsidR="00DC63AD" w:rsidRPr="00404AD7" w:rsidRDefault="00DC63AD" w:rsidP="00E53FC8">
            <w:pPr>
              <w:spacing w:before="40" w:after="120"/>
              <w:ind w:right="113"/>
            </w:pPr>
            <w:r w:rsidRPr="00404AD7">
              <w:t>Men</w:t>
            </w:r>
          </w:p>
        </w:tc>
        <w:tc>
          <w:tcPr>
            <w:tcW w:w="990" w:type="dxa"/>
            <w:shd w:val="clear" w:color="auto" w:fill="auto"/>
            <w:noWrap/>
            <w:hideMark/>
          </w:tcPr>
          <w:p w14:paraId="21E05E57" w14:textId="77777777" w:rsidR="00DC63AD" w:rsidRPr="00404AD7" w:rsidRDefault="00DC63AD" w:rsidP="00E53FC8">
            <w:pPr>
              <w:spacing w:before="40" w:after="120"/>
              <w:ind w:right="113"/>
            </w:pPr>
            <w:r w:rsidRPr="00404AD7">
              <w:t>70,2</w:t>
            </w:r>
          </w:p>
        </w:tc>
        <w:tc>
          <w:tcPr>
            <w:tcW w:w="990" w:type="dxa"/>
            <w:shd w:val="clear" w:color="auto" w:fill="auto"/>
            <w:noWrap/>
            <w:hideMark/>
          </w:tcPr>
          <w:p w14:paraId="378FF032" w14:textId="77777777" w:rsidR="00DC63AD" w:rsidRPr="00404AD7" w:rsidRDefault="00DC63AD" w:rsidP="00E53FC8">
            <w:pPr>
              <w:spacing w:before="40" w:after="120"/>
              <w:ind w:right="113"/>
            </w:pPr>
            <w:r w:rsidRPr="00404AD7">
              <w:t>75,6</w:t>
            </w:r>
          </w:p>
        </w:tc>
        <w:tc>
          <w:tcPr>
            <w:tcW w:w="1080" w:type="dxa"/>
            <w:shd w:val="clear" w:color="auto" w:fill="auto"/>
            <w:noWrap/>
            <w:hideMark/>
          </w:tcPr>
          <w:p w14:paraId="27FE77AC" w14:textId="77777777" w:rsidR="00DC63AD" w:rsidRPr="00404AD7" w:rsidRDefault="00DC63AD" w:rsidP="00E53FC8">
            <w:pPr>
              <w:spacing w:before="40" w:after="120"/>
              <w:ind w:right="113"/>
            </w:pPr>
            <w:r w:rsidRPr="00404AD7">
              <w:t>7,1</w:t>
            </w:r>
          </w:p>
        </w:tc>
        <w:tc>
          <w:tcPr>
            <w:tcW w:w="990" w:type="dxa"/>
            <w:shd w:val="clear" w:color="auto" w:fill="auto"/>
            <w:noWrap/>
            <w:hideMark/>
          </w:tcPr>
          <w:p w14:paraId="6841BC3A" w14:textId="77777777" w:rsidR="00DC63AD" w:rsidRPr="00404AD7" w:rsidRDefault="00DC63AD" w:rsidP="00E53FC8">
            <w:pPr>
              <w:spacing w:before="40" w:after="120"/>
              <w:ind w:right="113"/>
            </w:pPr>
            <w:r w:rsidRPr="00404AD7">
              <w:t>8,8</w:t>
            </w:r>
          </w:p>
        </w:tc>
        <w:tc>
          <w:tcPr>
            <w:tcW w:w="990" w:type="dxa"/>
            <w:shd w:val="clear" w:color="auto" w:fill="auto"/>
            <w:noWrap/>
            <w:hideMark/>
          </w:tcPr>
          <w:p w14:paraId="3CDEE67F" w14:textId="77777777" w:rsidR="00DC63AD" w:rsidRPr="00404AD7" w:rsidRDefault="00DC63AD" w:rsidP="00E53FC8">
            <w:pPr>
              <w:spacing w:before="40" w:after="120"/>
              <w:ind w:right="113"/>
            </w:pPr>
            <w:r w:rsidRPr="00404AD7">
              <w:t>2,8</w:t>
            </w:r>
          </w:p>
        </w:tc>
        <w:tc>
          <w:tcPr>
            <w:tcW w:w="990" w:type="dxa"/>
            <w:shd w:val="clear" w:color="auto" w:fill="auto"/>
            <w:noWrap/>
            <w:hideMark/>
          </w:tcPr>
          <w:p w14:paraId="4E3D5F6B" w14:textId="77777777" w:rsidR="00DC63AD" w:rsidRPr="00404AD7" w:rsidRDefault="00DC63AD" w:rsidP="00E53FC8">
            <w:pPr>
              <w:spacing w:before="40" w:after="120"/>
              <w:ind w:right="113"/>
            </w:pPr>
            <w:r w:rsidRPr="00404AD7">
              <w:t>22,5</w:t>
            </w:r>
          </w:p>
        </w:tc>
      </w:tr>
      <w:tr w:rsidR="00711EE0" w:rsidRPr="00404AD7" w14:paraId="5BAFD244" w14:textId="77777777" w:rsidTr="00711EE0">
        <w:tc>
          <w:tcPr>
            <w:tcW w:w="666" w:type="dxa"/>
            <w:shd w:val="clear" w:color="auto" w:fill="auto"/>
            <w:noWrap/>
            <w:hideMark/>
          </w:tcPr>
          <w:p w14:paraId="5A79A053" w14:textId="77777777" w:rsidR="00DC63AD" w:rsidRPr="00404AD7" w:rsidRDefault="00DC63AD" w:rsidP="00E53FC8">
            <w:pPr>
              <w:spacing w:before="40" w:after="120"/>
              <w:ind w:right="113"/>
            </w:pPr>
            <w:r w:rsidRPr="00404AD7">
              <w:t>2020</w:t>
            </w:r>
          </w:p>
        </w:tc>
        <w:tc>
          <w:tcPr>
            <w:tcW w:w="810" w:type="dxa"/>
            <w:shd w:val="clear" w:color="auto" w:fill="auto"/>
            <w:noWrap/>
            <w:hideMark/>
          </w:tcPr>
          <w:p w14:paraId="07087EAD" w14:textId="77777777" w:rsidR="00DC63AD" w:rsidRPr="00404AD7" w:rsidRDefault="00DC63AD" w:rsidP="00E53FC8">
            <w:pPr>
              <w:spacing w:before="40" w:after="120"/>
              <w:ind w:right="113"/>
            </w:pPr>
            <w:r w:rsidRPr="00404AD7">
              <w:t>Women</w:t>
            </w:r>
          </w:p>
        </w:tc>
        <w:tc>
          <w:tcPr>
            <w:tcW w:w="990" w:type="dxa"/>
            <w:shd w:val="clear" w:color="auto" w:fill="auto"/>
            <w:noWrap/>
            <w:hideMark/>
          </w:tcPr>
          <w:p w14:paraId="6BF06340" w14:textId="77777777" w:rsidR="00DC63AD" w:rsidRPr="00404AD7" w:rsidRDefault="00DC63AD" w:rsidP="00E53FC8">
            <w:pPr>
              <w:spacing w:before="40" w:after="120"/>
              <w:ind w:right="113"/>
            </w:pPr>
            <w:r w:rsidRPr="00404AD7">
              <w:t>64,2</w:t>
            </w:r>
          </w:p>
        </w:tc>
        <w:tc>
          <w:tcPr>
            <w:tcW w:w="990" w:type="dxa"/>
            <w:shd w:val="clear" w:color="auto" w:fill="auto"/>
            <w:noWrap/>
            <w:hideMark/>
          </w:tcPr>
          <w:p w14:paraId="001C7521" w14:textId="77777777" w:rsidR="00DC63AD" w:rsidRPr="00404AD7" w:rsidRDefault="00DC63AD" w:rsidP="00E53FC8">
            <w:pPr>
              <w:spacing w:before="40" w:after="120"/>
              <w:ind w:right="113"/>
            </w:pPr>
            <w:r w:rsidRPr="00404AD7">
              <w:t>68,8</w:t>
            </w:r>
          </w:p>
        </w:tc>
        <w:tc>
          <w:tcPr>
            <w:tcW w:w="1080" w:type="dxa"/>
            <w:shd w:val="clear" w:color="auto" w:fill="auto"/>
            <w:noWrap/>
            <w:hideMark/>
          </w:tcPr>
          <w:p w14:paraId="5EC63599" w14:textId="77777777" w:rsidR="00DC63AD" w:rsidRPr="00404AD7" w:rsidRDefault="00DC63AD" w:rsidP="00E53FC8">
            <w:pPr>
              <w:spacing w:before="40" w:after="120"/>
              <w:ind w:right="113"/>
            </w:pPr>
            <w:r w:rsidRPr="00404AD7">
              <w:t>6,6</w:t>
            </w:r>
          </w:p>
        </w:tc>
        <w:tc>
          <w:tcPr>
            <w:tcW w:w="990" w:type="dxa"/>
            <w:shd w:val="clear" w:color="auto" w:fill="auto"/>
            <w:noWrap/>
            <w:hideMark/>
          </w:tcPr>
          <w:p w14:paraId="75031AC7" w14:textId="77777777" w:rsidR="00DC63AD" w:rsidRPr="00404AD7" w:rsidRDefault="00DC63AD" w:rsidP="00E53FC8">
            <w:pPr>
              <w:spacing w:before="40" w:after="120"/>
              <w:ind w:right="113"/>
            </w:pPr>
            <w:r w:rsidRPr="00404AD7">
              <w:t>17,9</w:t>
            </w:r>
          </w:p>
        </w:tc>
        <w:tc>
          <w:tcPr>
            <w:tcW w:w="990" w:type="dxa"/>
            <w:shd w:val="clear" w:color="auto" w:fill="auto"/>
            <w:noWrap/>
            <w:hideMark/>
          </w:tcPr>
          <w:p w14:paraId="1327379C" w14:textId="77777777" w:rsidR="00DC63AD" w:rsidRPr="00404AD7" w:rsidRDefault="00DC63AD" w:rsidP="00E53FC8">
            <w:pPr>
              <w:spacing w:before="40" w:after="120"/>
              <w:ind w:right="113"/>
            </w:pPr>
            <w:r w:rsidRPr="00404AD7">
              <w:t>2,9</w:t>
            </w:r>
          </w:p>
        </w:tc>
        <w:tc>
          <w:tcPr>
            <w:tcW w:w="990" w:type="dxa"/>
            <w:shd w:val="clear" w:color="auto" w:fill="auto"/>
            <w:noWrap/>
            <w:hideMark/>
          </w:tcPr>
          <w:p w14:paraId="628D2420" w14:textId="77777777" w:rsidR="00DC63AD" w:rsidRPr="00404AD7" w:rsidRDefault="00DC63AD" w:rsidP="00E53FC8">
            <w:pPr>
              <w:spacing w:before="40" w:after="120"/>
              <w:ind w:right="113"/>
            </w:pPr>
            <w:r w:rsidRPr="00404AD7">
              <w:t>25,3</w:t>
            </w:r>
          </w:p>
        </w:tc>
      </w:tr>
      <w:tr w:rsidR="00711EE0" w:rsidRPr="00404AD7" w14:paraId="0940E92A" w14:textId="77777777" w:rsidTr="00711EE0">
        <w:tc>
          <w:tcPr>
            <w:tcW w:w="666" w:type="dxa"/>
            <w:shd w:val="clear" w:color="auto" w:fill="auto"/>
            <w:noWrap/>
            <w:hideMark/>
          </w:tcPr>
          <w:p w14:paraId="03225119" w14:textId="77777777" w:rsidR="00DC63AD" w:rsidRPr="00404AD7" w:rsidRDefault="00DC63AD" w:rsidP="00E53FC8">
            <w:pPr>
              <w:spacing w:before="40" w:after="120"/>
              <w:ind w:right="113"/>
            </w:pPr>
            <w:r w:rsidRPr="00404AD7">
              <w:t>2021</w:t>
            </w:r>
          </w:p>
        </w:tc>
        <w:tc>
          <w:tcPr>
            <w:tcW w:w="810" w:type="dxa"/>
            <w:shd w:val="clear" w:color="auto" w:fill="auto"/>
            <w:noWrap/>
            <w:hideMark/>
          </w:tcPr>
          <w:p w14:paraId="568DF01E" w14:textId="77777777" w:rsidR="00DC63AD" w:rsidRPr="00404AD7" w:rsidRDefault="00DC63AD" w:rsidP="00E53FC8">
            <w:pPr>
              <w:spacing w:before="40" w:after="120"/>
              <w:ind w:right="113"/>
            </w:pPr>
            <w:r w:rsidRPr="00404AD7">
              <w:t>Men</w:t>
            </w:r>
          </w:p>
        </w:tc>
        <w:tc>
          <w:tcPr>
            <w:tcW w:w="990" w:type="dxa"/>
            <w:shd w:val="clear" w:color="auto" w:fill="auto"/>
            <w:noWrap/>
            <w:hideMark/>
          </w:tcPr>
          <w:p w14:paraId="1E41860B" w14:textId="77777777" w:rsidR="00DC63AD" w:rsidRPr="00404AD7" w:rsidRDefault="00DC63AD" w:rsidP="00E53FC8">
            <w:pPr>
              <w:spacing w:before="40" w:after="120"/>
              <w:ind w:right="113"/>
            </w:pPr>
            <w:r w:rsidRPr="00404AD7">
              <w:t>69,5</w:t>
            </w:r>
          </w:p>
        </w:tc>
        <w:tc>
          <w:tcPr>
            <w:tcW w:w="990" w:type="dxa"/>
            <w:shd w:val="clear" w:color="auto" w:fill="auto"/>
            <w:noWrap/>
            <w:hideMark/>
          </w:tcPr>
          <w:p w14:paraId="52C027FD" w14:textId="77777777" w:rsidR="00DC63AD" w:rsidRPr="00404AD7" w:rsidRDefault="00DC63AD" w:rsidP="00E53FC8">
            <w:pPr>
              <w:spacing w:before="40" w:after="120"/>
              <w:ind w:right="113"/>
            </w:pPr>
            <w:r w:rsidRPr="00404AD7">
              <w:t>74,6</w:t>
            </w:r>
          </w:p>
        </w:tc>
        <w:tc>
          <w:tcPr>
            <w:tcW w:w="1080" w:type="dxa"/>
            <w:shd w:val="clear" w:color="auto" w:fill="auto"/>
            <w:noWrap/>
            <w:hideMark/>
          </w:tcPr>
          <w:p w14:paraId="30CB0681" w14:textId="77777777" w:rsidR="00DC63AD" w:rsidRPr="00404AD7" w:rsidRDefault="00DC63AD" w:rsidP="00E53FC8">
            <w:pPr>
              <w:spacing w:before="40" w:after="120"/>
              <w:ind w:right="113"/>
            </w:pPr>
            <w:r w:rsidRPr="00404AD7">
              <w:t>6,8</w:t>
            </w:r>
          </w:p>
        </w:tc>
        <w:tc>
          <w:tcPr>
            <w:tcW w:w="990" w:type="dxa"/>
            <w:shd w:val="clear" w:color="auto" w:fill="auto"/>
            <w:noWrap/>
            <w:hideMark/>
          </w:tcPr>
          <w:p w14:paraId="77C5446C" w14:textId="77777777" w:rsidR="00DC63AD" w:rsidRPr="00404AD7" w:rsidRDefault="00DC63AD" w:rsidP="00E53FC8">
            <w:pPr>
              <w:spacing w:before="40" w:after="120"/>
              <w:ind w:right="113"/>
            </w:pPr>
            <w:r w:rsidRPr="00404AD7">
              <w:t>8,6</w:t>
            </w:r>
          </w:p>
        </w:tc>
        <w:tc>
          <w:tcPr>
            <w:tcW w:w="990" w:type="dxa"/>
            <w:shd w:val="clear" w:color="auto" w:fill="auto"/>
            <w:noWrap/>
            <w:hideMark/>
          </w:tcPr>
          <w:p w14:paraId="65DEE0F6" w14:textId="77777777" w:rsidR="00DC63AD" w:rsidRPr="00404AD7" w:rsidRDefault="00DC63AD" w:rsidP="00E53FC8">
            <w:pPr>
              <w:spacing w:before="40" w:after="120"/>
              <w:ind w:right="113"/>
            </w:pPr>
            <w:r w:rsidRPr="00404AD7">
              <w:t>1,8</w:t>
            </w:r>
          </w:p>
        </w:tc>
        <w:tc>
          <w:tcPr>
            <w:tcW w:w="990" w:type="dxa"/>
            <w:shd w:val="clear" w:color="auto" w:fill="auto"/>
            <w:noWrap/>
            <w:hideMark/>
          </w:tcPr>
          <w:p w14:paraId="326935C7" w14:textId="77777777" w:rsidR="00DC63AD" w:rsidRPr="00404AD7" w:rsidRDefault="00DC63AD" w:rsidP="00E53FC8">
            <w:pPr>
              <w:spacing w:before="40" w:after="120"/>
              <w:ind w:right="113"/>
            </w:pPr>
            <w:r w:rsidRPr="00404AD7">
              <w:t>25,3</w:t>
            </w:r>
          </w:p>
        </w:tc>
      </w:tr>
      <w:tr w:rsidR="00711EE0" w:rsidRPr="00404AD7" w14:paraId="6F12F914" w14:textId="77777777" w:rsidTr="00711EE0">
        <w:tc>
          <w:tcPr>
            <w:tcW w:w="666" w:type="dxa"/>
            <w:tcBorders>
              <w:bottom w:val="single" w:sz="12" w:space="0" w:color="auto"/>
            </w:tcBorders>
            <w:shd w:val="clear" w:color="auto" w:fill="auto"/>
            <w:noWrap/>
            <w:hideMark/>
          </w:tcPr>
          <w:p w14:paraId="1A3DA9E1" w14:textId="77777777" w:rsidR="00DC63AD" w:rsidRPr="00404AD7" w:rsidRDefault="00DC63AD" w:rsidP="00E53FC8">
            <w:pPr>
              <w:spacing w:before="40" w:after="120"/>
              <w:ind w:right="113"/>
            </w:pPr>
            <w:r w:rsidRPr="00404AD7">
              <w:t>2021</w:t>
            </w:r>
          </w:p>
        </w:tc>
        <w:tc>
          <w:tcPr>
            <w:tcW w:w="810" w:type="dxa"/>
            <w:tcBorders>
              <w:bottom w:val="single" w:sz="12" w:space="0" w:color="auto"/>
            </w:tcBorders>
            <w:shd w:val="clear" w:color="auto" w:fill="auto"/>
            <w:noWrap/>
            <w:hideMark/>
          </w:tcPr>
          <w:p w14:paraId="4AAAEA5D" w14:textId="77777777" w:rsidR="00DC63AD" w:rsidRPr="00404AD7" w:rsidRDefault="00DC63AD" w:rsidP="00E53FC8">
            <w:pPr>
              <w:spacing w:before="40" w:after="120"/>
              <w:ind w:right="113"/>
            </w:pPr>
            <w:r w:rsidRPr="00404AD7">
              <w:t>Women</w:t>
            </w:r>
          </w:p>
        </w:tc>
        <w:tc>
          <w:tcPr>
            <w:tcW w:w="990" w:type="dxa"/>
            <w:tcBorders>
              <w:bottom w:val="single" w:sz="12" w:space="0" w:color="auto"/>
            </w:tcBorders>
            <w:shd w:val="clear" w:color="auto" w:fill="auto"/>
            <w:noWrap/>
            <w:hideMark/>
          </w:tcPr>
          <w:p w14:paraId="19EDD285" w14:textId="77777777" w:rsidR="00DC63AD" w:rsidRPr="00404AD7" w:rsidRDefault="00DC63AD" w:rsidP="00E53FC8">
            <w:pPr>
              <w:spacing w:before="40" w:after="120"/>
              <w:ind w:right="113"/>
            </w:pPr>
            <w:r w:rsidRPr="00404AD7">
              <w:t>64</w:t>
            </w:r>
          </w:p>
        </w:tc>
        <w:tc>
          <w:tcPr>
            <w:tcW w:w="990" w:type="dxa"/>
            <w:tcBorders>
              <w:bottom w:val="single" w:sz="12" w:space="0" w:color="auto"/>
            </w:tcBorders>
            <w:shd w:val="clear" w:color="auto" w:fill="auto"/>
            <w:noWrap/>
            <w:hideMark/>
          </w:tcPr>
          <w:p w14:paraId="53B1FEE6" w14:textId="77777777" w:rsidR="00DC63AD" w:rsidRPr="00404AD7" w:rsidRDefault="00DC63AD" w:rsidP="00E53FC8">
            <w:pPr>
              <w:spacing w:before="40" w:after="120"/>
              <w:ind w:right="113"/>
            </w:pPr>
            <w:r w:rsidRPr="00404AD7">
              <w:t>67,8</w:t>
            </w:r>
          </w:p>
        </w:tc>
        <w:tc>
          <w:tcPr>
            <w:tcW w:w="1080" w:type="dxa"/>
            <w:tcBorders>
              <w:bottom w:val="single" w:sz="12" w:space="0" w:color="auto"/>
            </w:tcBorders>
            <w:shd w:val="clear" w:color="auto" w:fill="auto"/>
            <w:noWrap/>
            <w:hideMark/>
          </w:tcPr>
          <w:p w14:paraId="6E8C9B70" w14:textId="77777777" w:rsidR="00DC63AD" w:rsidRPr="00404AD7" w:rsidRDefault="00DC63AD" w:rsidP="00E53FC8">
            <w:pPr>
              <w:spacing w:before="40" w:after="120"/>
              <w:ind w:right="113"/>
            </w:pPr>
            <w:r w:rsidRPr="00404AD7">
              <w:t>5,6</w:t>
            </w:r>
          </w:p>
        </w:tc>
        <w:tc>
          <w:tcPr>
            <w:tcW w:w="990" w:type="dxa"/>
            <w:tcBorders>
              <w:bottom w:val="single" w:sz="12" w:space="0" w:color="auto"/>
            </w:tcBorders>
            <w:shd w:val="clear" w:color="auto" w:fill="auto"/>
            <w:noWrap/>
            <w:hideMark/>
          </w:tcPr>
          <w:p w14:paraId="23340862" w14:textId="77777777" w:rsidR="00DC63AD" w:rsidRPr="00404AD7" w:rsidRDefault="00DC63AD" w:rsidP="00E53FC8">
            <w:pPr>
              <w:spacing w:before="40" w:after="120"/>
              <w:ind w:right="113"/>
            </w:pPr>
            <w:r w:rsidRPr="00404AD7">
              <w:t>18,5</w:t>
            </w:r>
          </w:p>
        </w:tc>
        <w:tc>
          <w:tcPr>
            <w:tcW w:w="990" w:type="dxa"/>
            <w:tcBorders>
              <w:bottom w:val="single" w:sz="12" w:space="0" w:color="auto"/>
            </w:tcBorders>
            <w:shd w:val="clear" w:color="auto" w:fill="auto"/>
            <w:noWrap/>
            <w:hideMark/>
          </w:tcPr>
          <w:p w14:paraId="1E325246" w14:textId="77777777" w:rsidR="00DC63AD" w:rsidRPr="00404AD7" w:rsidRDefault="00DC63AD" w:rsidP="00E53FC8">
            <w:pPr>
              <w:spacing w:before="40" w:after="120"/>
              <w:ind w:right="113"/>
            </w:pPr>
            <w:r w:rsidRPr="00404AD7">
              <w:t>1,7</w:t>
            </w:r>
          </w:p>
        </w:tc>
        <w:tc>
          <w:tcPr>
            <w:tcW w:w="990" w:type="dxa"/>
            <w:tcBorders>
              <w:bottom w:val="single" w:sz="12" w:space="0" w:color="auto"/>
            </w:tcBorders>
            <w:shd w:val="clear" w:color="auto" w:fill="auto"/>
            <w:noWrap/>
            <w:hideMark/>
          </w:tcPr>
          <w:p w14:paraId="0B8B0387" w14:textId="77777777" w:rsidR="00DC63AD" w:rsidRPr="00404AD7" w:rsidRDefault="00DC63AD" w:rsidP="00E53FC8">
            <w:pPr>
              <w:spacing w:before="40" w:after="120"/>
              <w:ind w:right="113"/>
            </w:pPr>
            <w:r w:rsidRPr="00404AD7">
              <w:t>30,6</w:t>
            </w:r>
          </w:p>
        </w:tc>
      </w:tr>
    </w:tbl>
    <w:p w14:paraId="0C24965C" w14:textId="36DB130B" w:rsidR="00D93206" w:rsidRPr="00404AD7" w:rsidRDefault="00D93206" w:rsidP="00DC63AD">
      <w:pPr>
        <w:pStyle w:val="SingleTxtG"/>
        <w:spacing w:after="0" w:line="120" w:lineRule="exact"/>
        <w:ind w:right="1200"/>
        <w:rPr>
          <w:sz w:val="10"/>
        </w:rPr>
      </w:pPr>
    </w:p>
    <w:p w14:paraId="0D767094" w14:textId="51EC8418" w:rsidR="00DC63AD" w:rsidRPr="00404AD7" w:rsidRDefault="00DA42A7" w:rsidP="00DA42A7">
      <w:pPr>
        <w:pStyle w:val="FootnoteText"/>
        <w:tabs>
          <w:tab w:val="clear" w:pos="418"/>
          <w:tab w:val="right" w:pos="1476"/>
          <w:tab w:val="left" w:pos="1548"/>
          <w:tab w:val="right" w:pos="1836"/>
          <w:tab w:val="left" w:pos="1908"/>
        </w:tabs>
        <w:ind w:left="1548" w:right="1267" w:hanging="441"/>
      </w:pPr>
      <w:r w:rsidRPr="00404AD7">
        <w:rPr>
          <w:i/>
          <w:iCs/>
        </w:rPr>
        <w:t>Source</w:t>
      </w:r>
      <w:r w:rsidRPr="00404AD7">
        <w:t>: Statistics Estonia, Labour Force Survey</w:t>
      </w:r>
    </w:p>
    <w:p w14:paraId="799477F0" w14:textId="2C69A6F4" w:rsidR="00077BBA" w:rsidRPr="00404AD7" w:rsidRDefault="00077BBA" w:rsidP="00D44A64">
      <w:pPr>
        <w:pStyle w:val="FootnoteText"/>
        <w:tabs>
          <w:tab w:val="clear" w:pos="418"/>
          <w:tab w:val="right" w:pos="1476"/>
          <w:tab w:val="left" w:pos="1548"/>
          <w:tab w:val="right" w:pos="1836"/>
          <w:tab w:val="left" w:pos="1908"/>
        </w:tabs>
        <w:spacing w:line="120" w:lineRule="exact"/>
        <w:ind w:left="1548" w:right="1267" w:hanging="441"/>
        <w:rPr>
          <w:sz w:val="10"/>
        </w:rPr>
      </w:pPr>
    </w:p>
    <w:p w14:paraId="6C36B974" w14:textId="0A7576AE" w:rsidR="00D44A64" w:rsidRPr="00404AD7" w:rsidRDefault="00D44A64" w:rsidP="00D44A64">
      <w:pPr>
        <w:pStyle w:val="FootnoteText"/>
        <w:tabs>
          <w:tab w:val="clear" w:pos="418"/>
          <w:tab w:val="right" w:pos="1476"/>
          <w:tab w:val="left" w:pos="1548"/>
          <w:tab w:val="right" w:pos="1836"/>
          <w:tab w:val="left" w:pos="1908"/>
        </w:tabs>
        <w:spacing w:line="120" w:lineRule="exact"/>
        <w:ind w:left="1548" w:right="1267" w:hanging="441"/>
        <w:rPr>
          <w:sz w:val="10"/>
        </w:rPr>
      </w:pPr>
    </w:p>
    <w:p w14:paraId="5756951A" w14:textId="3306E6D6" w:rsidR="00D44A64" w:rsidRPr="00404AD7" w:rsidRDefault="00D44A64" w:rsidP="00DA42A7">
      <w:pPr>
        <w:pStyle w:val="FootnoteText"/>
        <w:tabs>
          <w:tab w:val="clear" w:pos="418"/>
          <w:tab w:val="right" w:pos="1476"/>
          <w:tab w:val="left" w:pos="1548"/>
          <w:tab w:val="right" w:pos="1836"/>
          <w:tab w:val="left" w:pos="1908"/>
        </w:tabs>
        <w:ind w:left="1548" w:right="1267" w:hanging="441"/>
        <w:rPr>
          <w:b/>
          <w:bCs/>
          <w:sz w:val="20"/>
        </w:rPr>
      </w:pPr>
      <w:bookmarkStart w:id="52" w:name="_Toc108692419"/>
      <w:r w:rsidRPr="00404AD7">
        <w:rPr>
          <w:b/>
          <w:bCs/>
          <w:sz w:val="20"/>
        </w:rPr>
        <w:t>Table: Share of women in managerial positions, 2016-2021</w:t>
      </w:r>
      <w:bookmarkEnd w:id="52"/>
    </w:p>
    <w:p w14:paraId="2AD280A0" w14:textId="6C123635" w:rsidR="00D44A64" w:rsidRPr="00404AD7" w:rsidRDefault="00D44A64" w:rsidP="00D44A64">
      <w:pPr>
        <w:pStyle w:val="FootnoteText"/>
        <w:tabs>
          <w:tab w:val="clear" w:pos="418"/>
          <w:tab w:val="right" w:pos="1476"/>
          <w:tab w:val="left" w:pos="1548"/>
          <w:tab w:val="right" w:pos="1836"/>
          <w:tab w:val="left" w:pos="1908"/>
        </w:tabs>
        <w:spacing w:line="120" w:lineRule="exact"/>
        <w:ind w:left="1548" w:right="1267" w:hanging="441"/>
        <w:rPr>
          <w:b/>
          <w:bCs/>
          <w:sz w:val="10"/>
        </w:rPr>
      </w:pPr>
    </w:p>
    <w:p w14:paraId="11B670E3" w14:textId="53B0848D" w:rsidR="00D44A64" w:rsidRPr="00404AD7" w:rsidRDefault="00D44A64" w:rsidP="00D44A64">
      <w:pPr>
        <w:pStyle w:val="FootnoteText"/>
        <w:tabs>
          <w:tab w:val="clear" w:pos="418"/>
          <w:tab w:val="right" w:pos="1476"/>
          <w:tab w:val="left" w:pos="1548"/>
          <w:tab w:val="right" w:pos="1836"/>
          <w:tab w:val="left" w:pos="1908"/>
        </w:tabs>
        <w:spacing w:line="120" w:lineRule="exact"/>
        <w:ind w:left="1548" w:right="1267" w:hanging="441"/>
        <w:rPr>
          <w:sz w:val="10"/>
        </w:rPr>
      </w:pPr>
    </w:p>
    <w:tbl>
      <w:tblPr>
        <w:tblW w:w="7506"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161"/>
        <w:gridCol w:w="1034"/>
        <w:gridCol w:w="1035"/>
        <w:gridCol w:w="1035"/>
        <w:gridCol w:w="1035"/>
        <w:gridCol w:w="1035"/>
        <w:gridCol w:w="1171"/>
      </w:tblGrid>
      <w:tr w:rsidR="00E7739E" w:rsidRPr="00404AD7" w14:paraId="2B03AB25" w14:textId="77777777" w:rsidTr="00592811">
        <w:trPr>
          <w:tblHeader/>
        </w:trPr>
        <w:tc>
          <w:tcPr>
            <w:tcW w:w="1161" w:type="dxa"/>
            <w:shd w:val="clear" w:color="auto" w:fill="auto"/>
            <w:noWrap/>
            <w:vAlign w:val="bottom"/>
            <w:hideMark/>
          </w:tcPr>
          <w:p w14:paraId="1533436D" w14:textId="77777777" w:rsidR="00E7739E" w:rsidRPr="00404AD7" w:rsidRDefault="00E7739E" w:rsidP="00E53FC8">
            <w:pPr>
              <w:pStyle w:val="SingleTxtG"/>
              <w:tabs>
                <w:tab w:val="clear" w:pos="1701"/>
                <w:tab w:val="clear" w:pos="2268"/>
                <w:tab w:val="clear" w:pos="2835"/>
              </w:tabs>
              <w:suppressAutoHyphens w:val="0"/>
              <w:spacing w:before="80" w:after="80" w:line="200" w:lineRule="exact"/>
              <w:ind w:left="0" w:right="0"/>
              <w:jc w:val="left"/>
              <w:rPr>
                <w:i/>
                <w:sz w:val="16"/>
              </w:rPr>
            </w:pPr>
            <w:r w:rsidRPr="00404AD7">
              <w:rPr>
                <w:i/>
                <w:sz w:val="16"/>
              </w:rPr>
              <w:t> </w:t>
            </w:r>
          </w:p>
        </w:tc>
        <w:tc>
          <w:tcPr>
            <w:tcW w:w="1034" w:type="dxa"/>
            <w:shd w:val="clear" w:color="auto" w:fill="auto"/>
            <w:noWrap/>
            <w:vAlign w:val="bottom"/>
            <w:hideMark/>
          </w:tcPr>
          <w:p w14:paraId="6AAE58E1" w14:textId="77777777" w:rsidR="00E7739E" w:rsidRPr="00404AD7" w:rsidRDefault="00E7739E"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2016</w:t>
            </w:r>
          </w:p>
        </w:tc>
        <w:tc>
          <w:tcPr>
            <w:tcW w:w="1035" w:type="dxa"/>
            <w:shd w:val="clear" w:color="auto" w:fill="auto"/>
            <w:noWrap/>
            <w:vAlign w:val="bottom"/>
            <w:hideMark/>
          </w:tcPr>
          <w:p w14:paraId="3D9496FD" w14:textId="77777777" w:rsidR="00E7739E" w:rsidRPr="00404AD7" w:rsidRDefault="00E7739E"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2017</w:t>
            </w:r>
          </w:p>
        </w:tc>
        <w:tc>
          <w:tcPr>
            <w:tcW w:w="1035" w:type="dxa"/>
            <w:shd w:val="clear" w:color="auto" w:fill="auto"/>
            <w:noWrap/>
            <w:vAlign w:val="bottom"/>
            <w:hideMark/>
          </w:tcPr>
          <w:p w14:paraId="08714D4B" w14:textId="77777777" w:rsidR="00E7739E" w:rsidRPr="00404AD7" w:rsidRDefault="00E7739E"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2018</w:t>
            </w:r>
          </w:p>
        </w:tc>
        <w:tc>
          <w:tcPr>
            <w:tcW w:w="1035" w:type="dxa"/>
            <w:shd w:val="clear" w:color="auto" w:fill="auto"/>
            <w:noWrap/>
            <w:vAlign w:val="bottom"/>
            <w:hideMark/>
          </w:tcPr>
          <w:p w14:paraId="7DAEE081" w14:textId="77777777" w:rsidR="00E7739E" w:rsidRPr="00404AD7" w:rsidRDefault="00E7739E"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2019</w:t>
            </w:r>
          </w:p>
        </w:tc>
        <w:tc>
          <w:tcPr>
            <w:tcW w:w="1035" w:type="dxa"/>
            <w:shd w:val="clear" w:color="auto" w:fill="auto"/>
            <w:noWrap/>
            <w:vAlign w:val="bottom"/>
            <w:hideMark/>
          </w:tcPr>
          <w:p w14:paraId="38E79FC9" w14:textId="77777777" w:rsidR="00E7739E" w:rsidRPr="00404AD7" w:rsidRDefault="00E7739E"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2020</w:t>
            </w:r>
          </w:p>
        </w:tc>
        <w:tc>
          <w:tcPr>
            <w:tcW w:w="1171" w:type="dxa"/>
            <w:shd w:val="clear" w:color="auto" w:fill="auto"/>
            <w:noWrap/>
            <w:vAlign w:val="bottom"/>
            <w:hideMark/>
          </w:tcPr>
          <w:p w14:paraId="28E9C3A7" w14:textId="77777777" w:rsidR="00E7739E" w:rsidRPr="00404AD7" w:rsidRDefault="00E7739E"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2021</w:t>
            </w:r>
          </w:p>
        </w:tc>
      </w:tr>
      <w:tr w:rsidR="00E7739E" w:rsidRPr="00404AD7" w14:paraId="7488C09D" w14:textId="77777777" w:rsidTr="00592811">
        <w:tc>
          <w:tcPr>
            <w:tcW w:w="1161" w:type="dxa"/>
            <w:shd w:val="clear" w:color="auto" w:fill="auto"/>
            <w:noWrap/>
            <w:hideMark/>
          </w:tcPr>
          <w:p w14:paraId="46C97D3D" w14:textId="77777777" w:rsidR="00E7739E" w:rsidRPr="00404AD7" w:rsidRDefault="00E7739E"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Female managers</w:t>
            </w:r>
          </w:p>
        </w:tc>
        <w:tc>
          <w:tcPr>
            <w:tcW w:w="1034" w:type="dxa"/>
            <w:shd w:val="clear" w:color="auto" w:fill="auto"/>
            <w:noWrap/>
            <w:vAlign w:val="bottom"/>
            <w:hideMark/>
          </w:tcPr>
          <w:p w14:paraId="3AD65BFC" w14:textId="77777777" w:rsidR="00E7739E" w:rsidRPr="00404AD7" w:rsidRDefault="00E7739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36,2</w:t>
            </w:r>
          </w:p>
        </w:tc>
        <w:tc>
          <w:tcPr>
            <w:tcW w:w="1035" w:type="dxa"/>
            <w:shd w:val="clear" w:color="auto" w:fill="auto"/>
            <w:noWrap/>
            <w:vAlign w:val="bottom"/>
            <w:hideMark/>
          </w:tcPr>
          <w:p w14:paraId="4C93AFAF" w14:textId="77777777" w:rsidR="00E7739E" w:rsidRPr="00404AD7" w:rsidRDefault="00E7739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38,5</w:t>
            </w:r>
          </w:p>
        </w:tc>
        <w:tc>
          <w:tcPr>
            <w:tcW w:w="1035" w:type="dxa"/>
            <w:shd w:val="clear" w:color="auto" w:fill="auto"/>
            <w:noWrap/>
            <w:vAlign w:val="bottom"/>
            <w:hideMark/>
          </w:tcPr>
          <w:p w14:paraId="58C79DF2" w14:textId="77777777" w:rsidR="00E7739E" w:rsidRPr="00404AD7" w:rsidRDefault="00E7739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36,1</w:t>
            </w:r>
          </w:p>
        </w:tc>
        <w:tc>
          <w:tcPr>
            <w:tcW w:w="1035" w:type="dxa"/>
            <w:shd w:val="clear" w:color="auto" w:fill="auto"/>
            <w:noWrap/>
            <w:vAlign w:val="bottom"/>
            <w:hideMark/>
          </w:tcPr>
          <w:p w14:paraId="7D0330CA" w14:textId="77777777" w:rsidR="00E7739E" w:rsidRPr="00404AD7" w:rsidRDefault="00E7739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37,1</w:t>
            </w:r>
          </w:p>
        </w:tc>
        <w:tc>
          <w:tcPr>
            <w:tcW w:w="1035" w:type="dxa"/>
            <w:shd w:val="clear" w:color="auto" w:fill="auto"/>
            <w:noWrap/>
            <w:vAlign w:val="bottom"/>
            <w:hideMark/>
          </w:tcPr>
          <w:p w14:paraId="7E73BA74" w14:textId="77777777" w:rsidR="00E7739E" w:rsidRPr="00404AD7" w:rsidRDefault="00E7739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37,4</w:t>
            </w:r>
          </w:p>
        </w:tc>
        <w:tc>
          <w:tcPr>
            <w:tcW w:w="1171" w:type="dxa"/>
            <w:shd w:val="clear" w:color="auto" w:fill="auto"/>
            <w:noWrap/>
            <w:vAlign w:val="bottom"/>
            <w:hideMark/>
          </w:tcPr>
          <w:p w14:paraId="38C4E4C2" w14:textId="77777777" w:rsidR="00E7739E" w:rsidRPr="00404AD7" w:rsidRDefault="00E7739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41,1</w:t>
            </w:r>
          </w:p>
        </w:tc>
      </w:tr>
    </w:tbl>
    <w:p w14:paraId="35D9F6A1" w14:textId="73108AEC" w:rsidR="00D44A64" w:rsidRPr="00404AD7" w:rsidRDefault="00D44A64" w:rsidP="00E7739E">
      <w:pPr>
        <w:pStyle w:val="FootnoteText"/>
        <w:tabs>
          <w:tab w:val="clear" w:pos="418"/>
          <w:tab w:val="right" w:pos="1476"/>
          <w:tab w:val="left" w:pos="1548"/>
          <w:tab w:val="right" w:pos="1836"/>
          <w:tab w:val="left" w:pos="1908"/>
        </w:tabs>
        <w:spacing w:line="120" w:lineRule="exact"/>
        <w:ind w:left="1548" w:right="1267" w:hanging="441"/>
        <w:rPr>
          <w:sz w:val="10"/>
        </w:rPr>
      </w:pPr>
    </w:p>
    <w:p w14:paraId="5CAE6DBA" w14:textId="2B0D1B68" w:rsidR="00E7739E" w:rsidRPr="00404AD7" w:rsidRDefault="005828E2" w:rsidP="00747474">
      <w:pPr>
        <w:pStyle w:val="FootnoteText"/>
        <w:tabs>
          <w:tab w:val="clear" w:pos="418"/>
          <w:tab w:val="right" w:pos="1476"/>
          <w:tab w:val="left" w:pos="1548"/>
          <w:tab w:val="right" w:pos="1836"/>
          <w:tab w:val="left" w:pos="1908"/>
        </w:tabs>
        <w:ind w:left="1548" w:right="1267" w:hanging="441"/>
      </w:pPr>
      <w:r w:rsidRPr="00404AD7">
        <w:rPr>
          <w:i/>
          <w:iCs/>
        </w:rPr>
        <w:t>Source</w:t>
      </w:r>
      <w:r w:rsidRPr="00404AD7">
        <w:t>: Statistics Estonia</w:t>
      </w:r>
    </w:p>
    <w:p w14:paraId="30E14152" w14:textId="4C93A6C7" w:rsidR="00747474" w:rsidRPr="00404AD7" w:rsidRDefault="00747474" w:rsidP="00747474">
      <w:pPr>
        <w:pStyle w:val="FootnoteText"/>
        <w:tabs>
          <w:tab w:val="clear" w:pos="418"/>
          <w:tab w:val="right" w:pos="1476"/>
          <w:tab w:val="left" w:pos="1548"/>
          <w:tab w:val="right" w:pos="1836"/>
          <w:tab w:val="left" w:pos="1908"/>
        </w:tabs>
        <w:spacing w:line="120" w:lineRule="exact"/>
        <w:ind w:left="1548" w:right="1267" w:hanging="441"/>
        <w:rPr>
          <w:sz w:val="10"/>
        </w:rPr>
      </w:pPr>
    </w:p>
    <w:p w14:paraId="5771FEC7" w14:textId="4B47F401" w:rsidR="00747474" w:rsidRPr="00404AD7" w:rsidRDefault="00747474" w:rsidP="00747474">
      <w:pPr>
        <w:pStyle w:val="FootnoteText"/>
        <w:tabs>
          <w:tab w:val="clear" w:pos="418"/>
          <w:tab w:val="right" w:pos="1476"/>
          <w:tab w:val="left" w:pos="1548"/>
          <w:tab w:val="right" w:pos="1836"/>
          <w:tab w:val="left" w:pos="1908"/>
        </w:tabs>
        <w:spacing w:line="120" w:lineRule="exact"/>
        <w:ind w:left="1548" w:right="1267" w:hanging="441"/>
        <w:rPr>
          <w:sz w:val="10"/>
        </w:rPr>
      </w:pPr>
    </w:p>
    <w:p w14:paraId="2268B0CB" w14:textId="4AD9CE46" w:rsidR="00747474" w:rsidRPr="00404AD7" w:rsidRDefault="00592811" w:rsidP="00592811">
      <w:pPr>
        <w:pStyle w:val="FootnoteText"/>
        <w:tabs>
          <w:tab w:val="clear" w:pos="418"/>
          <w:tab w:val="right" w:pos="1476"/>
          <w:tab w:val="left" w:pos="1548"/>
          <w:tab w:val="right" w:pos="1836"/>
          <w:tab w:val="left" w:pos="1908"/>
        </w:tabs>
        <w:ind w:left="1109" w:right="1195" w:firstLine="0"/>
        <w:rPr>
          <w:b/>
          <w:bCs/>
          <w:sz w:val="20"/>
        </w:rPr>
      </w:pPr>
      <w:bookmarkStart w:id="53" w:name="_Toc108692420"/>
      <w:r w:rsidRPr="00404AD7">
        <w:rPr>
          <w:b/>
          <w:bCs/>
          <w:sz w:val="20"/>
        </w:rPr>
        <w:t>Table: Share of men and women in managerial positions in private sector, 2017</w:t>
      </w:r>
      <w:r w:rsidRPr="00404AD7">
        <w:rPr>
          <w:b/>
          <w:bCs/>
          <w:sz w:val="20"/>
        </w:rPr>
        <w:noBreakHyphen/>
        <w:t>2021</w:t>
      </w:r>
      <w:bookmarkEnd w:id="53"/>
    </w:p>
    <w:p w14:paraId="20CB3E21" w14:textId="011DED6C" w:rsidR="00592811" w:rsidRPr="00404AD7" w:rsidRDefault="00592811" w:rsidP="00592811">
      <w:pPr>
        <w:pStyle w:val="FootnoteText"/>
        <w:tabs>
          <w:tab w:val="clear" w:pos="418"/>
          <w:tab w:val="right" w:pos="1476"/>
          <w:tab w:val="left" w:pos="1548"/>
          <w:tab w:val="right" w:pos="1836"/>
          <w:tab w:val="left" w:pos="1908"/>
        </w:tabs>
        <w:spacing w:line="120" w:lineRule="exact"/>
        <w:ind w:left="1109" w:right="1195" w:firstLine="0"/>
        <w:rPr>
          <w:b/>
          <w:bCs/>
          <w:sz w:val="10"/>
        </w:rPr>
      </w:pPr>
    </w:p>
    <w:p w14:paraId="742A0B98" w14:textId="1DFA5D10" w:rsidR="00592811" w:rsidRPr="00404AD7" w:rsidRDefault="00592811" w:rsidP="00592811">
      <w:pPr>
        <w:pStyle w:val="FootnoteText"/>
        <w:tabs>
          <w:tab w:val="clear" w:pos="418"/>
          <w:tab w:val="right" w:pos="1476"/>
          <w:tab w:val="left" w:pos="1548"/>
          <w:tab w:val="right" w:pos="1836"/>
          <w:tab w:val="left" w:pos="1908"/>
        </w:tabs>
        <w:spacing w:line="120" w:lineRule="exact"/>
        <w:ind w:left="1109" w:right="1195" w:firstLine="0"/>
        <w:rPr>
          <w:sz w:val="10"/>
        </w:rPr>
      </w:pPr>
    </w:p>
    <w:tbl>
      <w:tblPr>
        <w:tblW w:w="7533" w:type="dxa"/>
        <w:tblInd w:w="1134" w:type="dxa"/>
        <w:tblLayout w:type="fixed"/>
        <w:tblCellMar>
          <w:left w:w="0" w:type="dxa"/>
          <w:right w:w="0" w:type="dxa"/>
        </w:tblCellMar>
        <w:tblLook w:val="04A0" w:firstRow="1" w:lastRow="0" w:firstColumn="1" w:lastColumn="0" w:noHBand="0" w:noVBand="1"/>
      </w:tblPr>
      <w:tblGrid>
        <w:gridCol w:w="1470"/>
        <w:gridCol w:w="1180"/>
        <w:gridCol w:w="1180"/>
        <w:gridCol w:w="1180"/>
        <w:gridCol w:w="1180"/>
        <w:gridCol w:w="1343"/>
      </w:tblGrid>
      <w:tr w:rsidR="00241A2D" w:rsidRPr="00404AD7" w14:paraId="72FB57AA" w14:textId="77777777" w:rsidTr="00241A2D">
        <w:trPr>
          <w:tblHeader/>
        </w:trPr>
        <w:tc>
          <w:tcPr>
            <w:tcW w:w="1470" w:type="dxa"/>
            <w:tcBorders>
              <w:top w:val="single" w:sz="4" w:space="0" w:color="auto"/>
              <w:bottom w:val="single" w:sz="12" w:space="0" w:color="auto"/>
            </w:tcBorders>
            <w:shd w:val="clear" w:color="auto" w:fill="auto"/>
            <w:noWrap/>
            <w:vAlign w:val="bottom"/>
            <w:hideMark/>
          </w:tcPr>
          <w:p w14:paraId="5FDDAE84" w14:textId="77777777" w:rsidR="00241A2D" w:rsidRPr="00404AD7" w:rsidRDefault="00241A2D" w:rsidP="00E53FC8">
            <w:pPr>
              <w:pStyle w:val="SingleTxtG"/>
              <w:tabs>
                <w:tab w:val="clear" w:pos="1701"/>
                <w:tab w:val="clear" w:pos="2268"/>
                <w:tab w:val="clear" w:pos="2835"/>
              </w:tabs>
              <w:suppressAutoHyphens w:val="0"/>
              <w:spacing w:before="80" w:after="80" w:line="200" w:lineRule="exact"/>
              <w:ind w:left="0" w:right="0"/>
              <w:jc w:val="left"/>
              <w:rPr>
                <w:i/>
                <w:sz w:val="16"/>
              </w:rPr>
            </w:pPr>
            <w:r w:rsidRPr="00404AD7">
              <w:rPr>
                <w:i/>
                <w:sz w:val="16"/>
              </w:rPr>
              <w:t xml:space="preserve">Management positions in private sector </w:t>
            </w:r>
          </w:p>
        </w:tc>
        <w:tc>
          <w:tcPr>
            <w:tcW w:w="1180" w:type="dxa"/>
            <w:tcBorders>
              <w:top w:val="single" w:sz="4" w:space="0" w:color="auto"/>
              <w:bottom w:val="single" w:sz="12" w:space="0" w:color="auto"/>
            </w:tcBorders>
            <w:shd w:val="clear" w:color="auto" w:fill="auto"/>
            <w:noWrap/>
            <w:vAlign w:val="bottom"/>
            <w:hideMark/>
          </w:tcPr>
          <w:p w14:paraId="567CF40A" w14:textId="77777777" w:rsidR="00241A2D" w:rsidRPr="00404AD7" w:rsidRDefault="00241A2D"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2017</w:t>
            </w:r>
          </w:p>
        </w:tc>
        <w:tc>
          <w:tcPr>
            <w:tcW w:w="1180" w:type="dxa"/>
            <w:tcBorders>
              <w:top w:val="single" w:sz="4" w:space="0" w:color="auto"/>
              <w:bottom w:val="single" w:sz="12" w:space="0" w:color="auto"/>
            </w:tcBorders>
            <w:shd w:val="clear" w:color="auto" w:fill="auto"/>
            <w:noWrap/>
            <w:vAlign w:val="bottom"/>
            <w:hideMark/>
          </w:tcPr>
          <w:p w14:paraId="12AB07AA" w14:textId="77777777" w:rsidR="00241A2D" w:rsidRPr="00404AD7" w:rsidRDefault="00241A2D"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2018</w:t>
            </w:r>
          </w:p>
        </w:tc>
        <w:tc>
          <w:tcPr>
            <w:tcW w:w="1180" w:type="dxa"/>
            <w:tcBorders>
              <w:top w:val="single" w:sz="4" w:space="0" w:color="auto"/>
              <w:bottom w:val="single" w:sz="12" w:space="0" w:color="auto"/>
            </w:tcBorders>
            <w:shd w:val="clear" w:color="auto" w:fill="auto"/>
            <w:noWrap/>
            <w:vAlign w:val="bottom"/>
            <w:hideMark/>
          </w:tcPr>
          <w:p w14:paraId="4651CB0A" w14:textId="77777777" w:rsidR="00241A2D" w:rsidRPr="00404AD7" w:rsidRDefault="00241A2D"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2019</w:t>
            </w:r>
          </w:p>
        </w:tc>
        <w:tc>
          <w:tcPr>
            <w:tcW w:w="1180" w:type="dxa"/>
            <w:tcBorders>
              <w:top w:val="single" w:sz="4" w:space="0" w:color="auto"/>
              <w:bottom w:val="single" w:sz="12" w:space="0" w:color="auto"/>
            </w:tcBorders>
            <w:shd w:val="clear" w:color="auto" w:fill="auto"/>
            <w:noWrap/>
            <w:vAlign w:val="bottom"/>
            <w:hideMark/>
          </w:tcPr>
          <w:p w14:paraId="4AE72702" w14:textId="77777777" w:rsidR="00241A2D" w:rsidRPr="00404AD7" w:rsidRDefault="00241A2D"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2020</w:t>
            </w:r>
          </w:p>
        </w:tc>
        <w:tc>
          <w:tcPr>
            <w:tcW w:w="1343" w:type="dxa"/>
            <w:tcBorders>
              <w:top w:val="single" w:sz="4" w:space="0" w:color="auto"/>
              <w:bottom w:val="single" w:sz="12" w:space="0" w:color="auto"/>
            </w:tcBorders>
            <w:shd w:val="clear" w:color="auto" w:fill="auto"/>
            <w:noWrap/>
            <w:vAlign w:val="bottom"/>
            <w:hideMark/>
          </w:tcPr>
          <w:p w14:paraId="20D0528B" w14:textId="77777777" w:rsidR="00241A2D" w:rsidRPr="00404AD7" w:rsidRDefault="00241A2D"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2021</w:t>
            </w:r>
          </w:p>
        </w:tc>
      </w:tr>
      <w:tr w:rsidR="00241A2D" w:rsidRPr="00404AD7" w14:paraId="14663A35" w14:textId="77777777" w:rsidTr="00241A2D">
        <w:tc>
          <w:tcPr>
            <w:tcW w:w="1470" w:type="dxa"/>
            <w:tcBorders>
              <w:top w:val="single" w:sz="12" w:space="0" w:color="auto"/>
            </w:tcBorders>
            <w:shd w:val="clear" w:color="auto" w:fill="auto"/>
            <w:noWrap/>
            <w:hideMark/>
          </w:tcPr>
          <w:p w14:paraId="2F5F054D" w14:textId="77777777" w:rsidR="00241A2D" w:rsidRPr="00404AD7" w:rsidRDefault="00241A2D"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men, %</w:t>
            </w:r>
          </w:p>
        </w:tc>
        <w:tc>
          <w:tcPr>
            <w:tcW w:w="1180" w:type="dxa"/>
            <w:tcBorders>
              <w:top w:val="single" w:sz="12" w:space="0" w:color="auto"/>
            </w:tcBorders>
            <w:shd w:val="clear" w:color="auto" w:fill="auto"/>
            <w:noWrap/>
            <w:vAlign w:val="bottom"/>
            <w:hideMark/>
          </w:tcPr>
          <w:p w14:paraId="6B5B2E37" w14:textId="77777777" w:rsidR="00241A2D" w:rsidRPr="00404AD7" w:rsidRDefault="00241A2D"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66%</w:t>
            </w:r>
          </w:p>
        </w:tc>
        <w:tc>
          <w:tcPr>
            <w:tcW w:w="1180" w:type="dxa"/>
            <w:tcBorders>
              <w:top w:val="single" w:sz="12" w:space="0" w:color="auto"/>
            </w:tcBorders>
            <w:shd w:val="clear" w:color="auto" w:fill="auto"/>
            <w:noWrap/>
            <w:vAlign w:val="bottom"/>
            <w:hideMark/>
          </w:tcPr>
          <w:p w14:paraId="2408EC9E" w14:textId="77777777" w:rsidR="00241A2D" w:rsidRPr="00404AD7" w:rsidRDefault="00241A2D"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68%</w:t>
            </w:r>
          </w:p>
        </w:tc>
        <w:tc>
          <w:tcPr>
            <w:tcW w:w="1180" w:type="dxa"/>
            <w:tcBorders>
              <w:top w:val="single" w:sz="12" w:space="0" w:color="auto"/>
            </w:tcBorders>
            <w:shd w:val="clear" w:color="auto" w:fill="auto"/>
            <w:noWrap/>
            <w:vAlign w:val="bottom"/>
            <w:hideMark/>
          </w:tcPr>
          <w:p w14:paraId="056A2DF6" w14:textId="77777777" w:rsidR="00241A2D" w:rsidRPr="00404AD7" w:rsidRDefault="00241A2D"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67%</w:t>
            </w:r>
          </w:p>
        </w:tc>
        <w:tc>
          <w:tcPr>
            <w:tcW w:w="1180" w:type="dxa"/>
            <w:tcBorders>
              <w:top w:val="single" w:sz="12" w:space="0" w:color="auto"/>
            </w:tcBorders>
            <w:shd w:val="clear" w:color="auto" w:fill="auto"/>
            <w:noWrap/>
            <w:vAlign w:val="bottom"/>
            <w:hideMark/>
          </w:tcPr>
          <w:p w14:paraId="5571F18F" w14:textId="77777777" w:rsidR="00241A2D" w:rsidRPr="00404AD7" w:rsidRDefault="00241A2D"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67%</w:t>
            </w:r>
          </w:p>
        </w:tc>
        <w:tc>
          <w:tcPr>
            <w:tcW w:w="1343" w:type="dxa"/>
            <w:tcBorders>
              <w:top w:val="single" w:sz="12" w:space="0" w:color="auto"/>
            </w:tcBorders>
            <w:shd w:val="clear" w:color="auto" w:fill="auto"/>
            <w:noWrap/>
            <w:vAlign w:val="bottom"/>
            <w:hideMark/>
          </w:tcPr>
          <w:p w14:paraId="0F4CE7D3" w14:textId="77777777" w:rsidR="00241A2D" w:rsidRPr="00404AD7" w:rsidRDefault="00241A2D"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64%</w:t>
            </w:r>
          </w:p>
        </w:tc>
      </w:tr>
      <w:tr w:rsidR="00241A2D" w:rsidRPr="00404AD7" w14:paraId="7D4D081C" w14:textId="77777777" w:rsidTr="00241A2D">
        <w:tc>
          <w:tcPr>
            <w:tcW w:w="1470" w:type="dxa"/>
            <w:tcBorders>
              <w:bottom w:val="single" w:sz="12" w:space="0" w:color="auto"/>
            </w:tcBorders>
            <w:shd w:val="clear" w:color="auto" w:fill="auto"/>
            <w:noWrap/>
            <w:hideMark/>
          </w:tcPr>
          <w:p w14:paraId="30D3D1B5" w14:textId="77777777" w:rsidR="00241A2D" w:rsidRPr="00404AD7" w:rsidRDefault="00241A2D"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women, %</w:t>
            </w:r>
          </w:p>
        </w:tc>
        <w:tc>
          <w:tcPr>
            <w:tcW w:w="1180" w:type="dxa"/>
            <w:tcBorders>
              <w:bottom w:val="single" w:sz="12" w:space="0" w:color="auto"/>
            </w:tcBorders>
            <w:shd w:val="clear" w:color="auto" w:fill="auto"/>
            <w:noWrap/>
            <w:vAlign w:val="bottom"/>
            <w:hideMark/>
          </w:tcPr>
          <w:p w14:paraId="4920C70C" w14:textId="77777777" w:rsidR="00241A2D" w:rsidRPr="00404AD7" w:rsidRDefault="00241A2D"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34%</w:t>
            </w:r>
          </w:p>
        </w:tc>
        <w:tc>
          <w:tcPr>
            <w:tcW w:w="1180" w:type="dxa"/>
            <w:tcBorders>
              <w:bottom w:val="single" w:sz="12" w:space="0" w:color="auto"/>
            </w:tcBorders>
            <w:shd w:val="clear" w:color="auto" w:fill="auto"/>
            <w:noWrap/>
            <w:vAlign w:val="bottom"/>
            <w:hideMark/>
          </w:tcPr>
          <w:p w14:paraId="0980FD57" w14:textId="77777777" w:rsidR="00241A2D" w:rsidRPr="00404AD7" w:rsidRDefault="00241A2D"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32%</w:t>
            </w:r>
          </w:p>
        </w:tc>
        <w:tc>
          <w:tcPr>
            <w:tcW w:w="1180" w:type="dxa"/>
            <w:tcBorders>
              <w:bottom w:val="single" w:sz="12" w:space="0" w:color="auto"/>
            </w:tcBorders>
            <w:shd w:val="clear" w:color="auto" w:fill="auto"/>
            <w:noWrap/>
            <w:vAlign w:val="bottom"/>
            <w:hideMark/>
          </w:tcPr>
          <w:p w14:paraId="3483AE40" w14:textId="77777777" w:rsidR="00241A2D" w:rsidRPr="00404AD7" w:rsidRDefault="00241A2D"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33%</w:t>
            </w:r>
          </w:p>
        </w:tc>
        <w:tc>
          <w:tcPr>
            <w:tcW w:w="1180" w:type="dxa"/>
            <w:tcBorders>
              <w:bottom w:val="single" w:sz="12" w:space="0" w:color="auto"/>
            </w:tcBorders>
            <w:shd w:val="clear" w:color="auto" w:fill="auto"/>
            <w:noWrap/>
            <w:vAlign w:val="bottom"/>
            <w:hideMark/>
          </w:tcPr>
          <w:p w14:paraId="3AC09734" w14:textId="77777777" w:rsidR="00241A2D" w:rsidRPr="00404AD7" w:rsidRDefault="00241A2D"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33%</w:t>
            </w:r>
          </w:p>
        </w:tc>
        <w:tc>
          <w:tcPr>
            <w:tcW w:w="1343" w:type="dxa"/>
            <w:tcBorders>
              <w:bottom w:val="single" w:sz="12" w:space="0" w:color="auto"/>
            </w:tcBorders>
            <w:shd w:val="clear" w:color="auto" w:fill="auto"/>
            <w:noWrap/>
            <w:vAlign w:val="bottom"/>
            <w:hideMark/>
          </w:tcPr>
          <w:p w14:paraId="09758A73" w14:textId="77777777" w:rsidR="00241A2D" w:rsidRPr="00404AD7" w:rsidRDefault="00241A2D"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36%</w:t>
            </w:r>
          </w:p>
        </w:tc>
      </w:tr>
    </w:tbl>
    <w:p w14:paraId="28D0F3F9" w14:textId="381B522B" w:rsidR="00592811" w:rsidRPr="00404AD7" w:rsidRDefault="00592811" w:rsidP="00241A2D">
      <w:pPr>
        <w:pStyle w:val="FootnoteText"/>
        <w:tabs>
          <w:tab w:val="clear" w:pos="418"/>
          <w:tab w:val="right" w:pos="1476"/>
          <w:tab w:val="left" w:pos="1548"/>
          <w:tab w:val="right" w:pos="1836"/>
          <w:tab w:val="left" w:pos="1908"/>
        </w:tabs>
        <w:spacing w:line="120" w:lineRule="exact"/>
        <w:ind w:left="1109" w:right="1195" w:firstLine="0"/>
        <w:rPr>
          <w:sz w:val="10"/>
        </w:rPr>
      </w:pPr>
    </w:p>
    <w:p w14:paraId="0B2C02A8" w14:textId="58FA3A73" w:rsidR="00241A2D" w:rsidRPr="00404AD7" w:rsidRDefault="000749C3" w:rsidP="001D79DD">
      <w:pPr>
        <w:pStyle w:val="FootnoteText"/>
        <w:tabs>
          <w:tab w:val="clear" w:pos="418"/>
          <w:tab w:val="right" w:pos="1476"/>
          <w:tab w:val="left" w:pos="1548"/>
          <w:tab w:val="right" w:pos="1836"/>
          <w:tab w:val="left" w:pos="1908"/>
        </w:tabs>
        <w:ind w:left="1094" w:right="1267" w:firstLine="0"/>
      </w:pPr>
      <w:r w:rsidRPr="00404AD7">
        <w:rPr>
          <w:i/>
          <w:iCs/>
        </w:rPr>
        <w:t>Source</w:t>
      </w:r>
      <w:r w:rsidRPr="00404AD7">
        <w:t>: Statistics Estonia, Labour Force Survey. 2017 result is based on Estonian Labour Force Survey old methodology. 2018-2021 results are calculated with new methodology.</w:t>
      </w:r>
    </w:p>
    <w:p w14:paraId="12A129A4" w14:textId="52B05365" w:rsidR="001D79DD" w:rsidRPr="00404AD7" w:rsidRDefault="001D79DD" w:rsidP="00890BFB">
      <w:pPr>
        <w:pStyle w:val="FootnoteText"/>
        <w:tabs>
          <w:tab w:val="clear" w:pos="418"/>
          <w:tab w:val="right" w:pos="1476"/>
          <w:tab w:val="left" w:pos="1548"/>
          <w:tab w:val="right" w:pos="1836"/>
          <w:tab w:val="left" w:pos="1908"/>
        </w:tabs>
        <w:spacing w:line="120" w:lineRule="exact"/>
        <w:ind w:left="1094" w:right="1267" w:firstLine="0"/>
        <w:rPr>
          <w:sz w:val="10"/>
        </w:rPr>
      </w:pPr>
    </w:p>
    <w:p w14:paraId="517C325E" w14:textId="7CBF48DE" w:rsidR="00890BFB" w:rsidRPr="00404AD7" w:rsidRDefault="00890BFB" w:rsidP="00890BFB">
      <w:pPr>
        <w:pStyle w:val="FootnoteText"/>
        <w:tabs>
          <w:tab w:val="clear" w:pos="418"/>
          <w:tab w:val="right" w:pos="1476"/>
          <w:tab w:val="left" w:pos="1548"/>
          <w:tab w:val="right" w:pos="1836"/>
          <w:tab w:val="left" w:pos="1908"/>
        </w:tabs>
        <w:spacing w:line="120" w:lineRule="exact"/>
        <w:ind w:left="1094" w:right="1267" w:firstLine="0"/>
        <w:rPr>
          <w:sz w:val="10"/>
        </w:rPr>
      </w:pPr>
    </w:p>
    <w:p w14:paraId="7C0FA35D" w14:textId="77777777" w:rsidR="009A6819" w:rsidRPr="00404AD7" w:rsidRDefault="009A6819" w:rsidP="00F47D33">
      <w:pPr>
        <w:pStyle w:val="SingleTxtG"/>
        <w:numPr>
          <w:ilvl w:val="0"/>
          <w:numId w:val="32"/>
        </w:numPr>
        <w:ind w:left="1134" w:right="1191" w:firstLine="0"/>
      </w:pPr>
      <w:r w:rsidRPr="00404AD7">
        <w:t>Discrimination disputes between employer and employee are described in section on Legislative Framework.</w:t>
      </w:r>
    </w:p>
    <w:p w14:paraId="7EFB1B98" w14:textId="77777777" w:rsidR="009A6819" w:rsidRPr="00404AD7" w:rsidRDefault="009A6819" w:rsidP="00F47D33">
      <w:pPr>
        <w:pStyle w:val="SingleTxtG"/>
        <w:numPr>
          <w:ilvl w:val="0"/>
          <w:numId w:val="32"/>
        </w:numPr>
        <w:ind w:left="1134" w:right="1191" w:firstLine="0"/>
      </w:pPr>
      <w:r w:rsidRPr="00404AD7">
        <w:t>According to the Employment Contracts Act upon termination of maternity leave, in addition to her previous work position, a woman is entitled to use the improved working conditions which she would have been entitled to during her absence. Based on the specifics of the leave systems, this regulation is also interpreted to include the situation of return from the childcare leave.</w:t>
      </w:r>
    </w:p>
    <w:p w14:paraId="025E9D52" w14:textId="77777777" w:rsidR="009A6819" w:rsidRPr="00404AD7" w:rsidRDefault="009A6819" w:rsidP="00F47D33">
      <w:pPr>
        <w:pStyle w:val="SingleTxtG"/>
        <w:numPr>
          <w:ilvl w:val="0"/>
          <w:numId w:val="32"/>
        </w:numPr>
        <w:ind w:left="1134" w:right="1191" w:firstLine="0"/>
      </w:pPr>
      <w:r w:rsidRPr="00404AD7">
        <w:lastRenderedPageBreak/>
        <w:t xml:space="preserve">During the reporting period project </w:t>
      </w:r>
      <w:proofErr w:type="spellStart"/>
      <w:r w:rsidRPr="00404AD7">
        <w:t>Parents@Workfocused</w:t>
      </w:r>
      <w:proofErr w:type="spellEnd"/>
      <w:r w:rsidRPr="00404AD7">
        <w:t xml:space="preserve"> on work-life balance best practices and recognising discriminatory practices in the workplace. The project developed a Code of Conduct for the supportive team, information booklets for employers and parents and gathered best practice from different Estonian organisations. Materials are available online: toetav.ee.</w:t>
      </w:r>
    </w:p>
    <w:p w14:paraId="02C5F316" w14:textId="39D94CF1" w:rsidR="009A6819" w:rsidRPr="00404AD7" w:rsidRDefault="009A6819" w:rsidP="00F47D33">
      <w:pPr>
        <w:pStyle w:val="SingleTxtG"/>
        <w:numPr>
          <w:ilvl w:val="0"/>
          <w:numId w:val="32"/>
        </w:numPr>
        <w:ind w:left="1134" w:right="1191" w:firstLine="0"/>
      </w:pPr>
      <w:r w:rsidRPr="00404AD7">
        <w:t>LBTI women</w:t>
      </w:r>
      <w:r w:rsidR="006B00A5" w:rsidRPr="00404AD7">
        <w:t>’</w:t>
      </w:r>
      <w:r w:rsidRPr="00404AD7">
        <w:t>s access to the labour market is also promoted through the ministry of Social Affairs</w:t>
      </w:r>
      <w:r w:rsidR="006B00A5" w:rsidRPr="00404AD7">
        <w:t>’</w:t>
      </w:r>
      <w:r w:rsidRPr="00404AD7">
        <w:t xml:space="preserve"> strategic partnerships with NGOs. A recent partnership (for years 2022-2024) between the Ministry and the Human Rights Centre as well as LGBT Union focuses among other topics also on supporting vulnerable groups on wide range of areas. The Human Rights Centre also works with employers.</w:t>
      </w:r>
    </w:p>
    <w:p w14:paraId="7F0B517B" w14:textId="77777777" w:rsidR="009A6819" w:rsidRPr="00404AD7" w:rsidRDefault="009A6819" w:rsidP="00F47D33">
      <w:pPr>
        <w:pStyle w:val="SingleTxtG"/>
        <w:numPr>
          <w:ilvl w:val="0"/>
          <w:numId w:val="32"/>
        </w:numPr>
        <w:ind w:left="1134" w:right="1191" w:firstLine="0"/>
      </w:pPr>
      <w:r w:rsidRPr="00404AD7">
        <w:t xml:space="preserve">In 2013-2016, the Commissioner`s Office implemented a project under the Norway Grants gender equality programme. The project was aimed at promoting gender equality through empowerment, awareness raising and gender mainstreaming. One set of activities under the project aimed at increasing the effectiveness of legal protection against gender-based discrimination by raising rights awareness and helping victims of discrimination directly through strategic litigation and by increasing the capacity of officials assisting discrimination victims. The project had a special focus on minority communities and vulnerable social groups who are more likely to be victims of gender discrimination and multiple discrimination. Among others, the project also improved the capacity of the Commissioner to provide counselling and legal support to women who have faced discrimination when pregnant or returning to work from child-care leave. </w:t>
      </w:r>
    </w:p>
    <w:p w14:paraId="7041DF40" w14:textId="35766C01" w:rsidR="009A6819" w:rsidRPr="00404AD7" w:rsidRDefault="009A6819" w:rsidP="00F47D33">
      <w:pPr>
        <w:pStyle w:val="SingleTxtG"/>
        <w:numPr>
          <w:ilvl w:val="0"/>
          <w:numId w:val="32"/>
        </w:numPr>
        <w:ind w:left="1134" w:right="1191" w:firstLine="0"/>
      </w:pPr>
      <w:r w:rsidRPr="00404AD7">
        <w:t xml:space="preserve">In the framework of this project, information materials (brochures and web materials) on equal treatment principle were compiled and published, information materials were made available concerning ethnic origin, disability, age, sexual orientation. Information materials published are available (mainly in Estonian, to some extent in Russian and English) at: </w:t>
      </w:r>
      <w:hyperlink r:id="rId21" w:history="1">
        <w:r w:rsidR="00711EE0" w:rsidRPr="003B6CFE">
          <w:rPr>
            <w:rStyle w:val="Hyperlink"/>
          </w:rPr>
          <w:t>http://www.volinik.ee/trukised/</w:t>
        </w:r>
      </w:hyperlink>
      <w:r w:rsidR="00711EE0">
        <w:t>.</w:t>
      </w:r>
    </w:p>
    <w:p w14:paraId="2A1E9176" w14:textId="77777777" w:rsidR="009A6819" w:rsidRPr="00404AD7" w:rsidRDefault="009A6819" w:rsidP="00F47D33">
      <w:pPr>
        <w:pStyle w:val="SingleTxtG"/>
        <w:numPr>
          <w:ilvl w:val="0"/>
          <w:numId w:val="32"/>
        </w:numPr>
        <w:ind w:left="1134" w:right="1191" w:firstLine="0"/>
      </w:pPr>
      <w:r w:rsidRPr="00404AD7">
        <w:t xml:space="preserve">In the framework of the same project, the Commissioner commissioned development and initial implementation of an equality measurement model. Prepared by the Tartu University Johan </w:t>
      </w:r>
      <w:proofErr w:type="spellStart"/>
      <w:r w:rsidRPr="00404AD7">
        <w:t>Skytte</w:t>
      </w:r>
      <w:proofErr w:type="spellEnd"/>
      <w:r w:rsidRPr="00404AD7">
        <w:t xml:space="preserve"> Institute for Political Studies, a study report on an equality measurement framework was published in 2016, where indicators were proposed to monitor inequality based on gender, disability, ethnic origin, age and sexual orientation and an analysis of the situation of persons belonging to different population groups was provided. The study showed that according to the indicators used in the framework, gender inequality manifests primarily in career, sense of security, education, health, and politics. </w:t>
      </w:r>
    </w:p>
    <w:p w14:paraId="71BF3567" w14:textId="77777777" w:rsidR="009A6819" w:rsidRPr="00404AD7" w:rsidRDefault="009A6819" w:rsidP="00711EE0">
      <w:pPr>
        <w:pStyle w:val="SingleTxtG"/>
        <w:numPr>
          <w:ilvl w:val="0"/>
          <w:numId w:val="32"/>
        </w:numPr>
        <w:spacing w:line="232" w:lineRule="exact"/>
        <w:ind w:left="1138" w:right="1195" w:firstLine="0"/>
      </w:pPr>
      <w:r w:rsidRPr="00404AD7">
        <w:t xml:space="preserve">In 2017 the Work Ability Reform was implemented. Before the reform, the proportion of people with reduced working ability in society was growing. A lot of them were not active – people moved out of the labour market and stayed passive. There were multiple reasons: the system supported the idea of staying at home, the society was not ready to accept disabled people in the labour market, there were not enough support measures, and the idea of staying active despite the disability was not popular. According to Eurostat, about 31% of the employed population and 32.4% of the unemployed in Estonia had a longstanding illness or a health problem in 2012. The corresponding proportions in the EU27 were 8.8% and 12%, respectively. </w:t>
      </w:r>
    </w:p>
    <w:p w14:paraId="4F70B2F1" w14:textId="4AB032E0" w:rsidR="009A6819" w:rsidRPr="00404AD7" w:rsidRDefault="009A6819" w:rsidP="00F47D33">
      <w:pPr>
        <w:pStyle w:val="SingleTxtG"/>
        <w:numPr>
          <w:ilvl w:val="0"/>
          <w:numId w:val="32"/>
        </w:numPr>
        <w:ind w:left="1134" w:right="1191" w:firstLine="0"/>
      </w:pPr>
      <w:r w:rsidRPr="00404AD7">
        <w:t>Considering the increasing number of people receiving pension for incapacity for work the existing system in Estonia was not sustainable. In 2016, a new system (Work Ability reform) was set up for supporting working ability, which renewed the way of assessing working ability, also the subsidies</w:t>
      </w:r>
      <w:r w:rsidR="006B00A5" w:rsidRPr="00404AD7">
        <w:t>’</w:t>
      </w:r>
      <w:r w:rsidRPr="00404AD7">
        <w:t xml:space="preserve"> system and the range of services provided by the Estonian Unemployment Insurance Fund (EUIF). The system is based on individual approach and case management for every person with a disability.</w:t>
      </w:r>
    </w:p>
    <w:p w14:paraId="318DB193" w14:textId="77777777" w:rsidR="009A6819" w:rsidRPr="00404AD7" w:rsidRDefault="009A6819" w:rsidP="00F47D33">
      <w:pPr>
        <w:pStyle w:val="SingleTxtG"/>
        <w:numPr>
          <w:ilvl w:val="0"/>
          <w:numId w:val="32"/>
        </w:numPr>
        <w:ind w:left="1134" w:right="1191" w:firstLine="0"/>
      </w:pPr>
      <w:r w:rsidRPr="00404AD7">
        <w:t xml:space="preserve">The new working ability support system has had a significantly positive effect on the labour market participation. Initially when the system was developed, a goal was set that by </w:t>
      </w:r>
      <w:r w:rsidRPr="00404AD7">
        <w:lastRenderedPageBreak/>
        <w:t>2022 the number of persons with reduced working ability in employment would be increased by over 50% - that goal was established already in 2017. According to the estimates of the Ministry of Finance, by 2022 there will be 19,100 more persons in employment and 16,400 more persons actively looking for work due to the working ability reform, compared to how many there would be with the old system.</w:t>
      </w:r>
    </w:p>
    <w:p w14:paraId="23E22F11" w14:textId="77777777" w:rsidR="009A6819" w:rsidRPr="00404AD7" w:rsidRDefault="009A6819" w:rsidP="00F47D33">
      <w:pPr>
        <w:pStyle w:val="SingleTxtG"/>
        <w:numPr>
          <w:ilvl w:val="0"/>
          <w:numId w:val="32"/>
        </w:numPr>
        <w:ind w:left="1134" w:right="1191" w:firstLine="0"/>
      </w:pPr>
      <w:r w:rsidRPr="00404AD7">
        <w:t>The eligibility rules of occupational rehabilitation have been revised so that persons with disabilities currently in employment would have access to services that could help them stay at work. In addition, several revisions to the policy were proposed to increase the supply and quality of active labour market services and rehabilitation services for the people with an occupational disability.</w:t>
      </w:r>
    </w:p>
    <w:p w14:paraId="373470C6" w14:textId="77777777" w:rsidR="009A6819" w:rsidRPr="00404AD7" w:rsidRDefault="009A6819" w:rsidP="00F47D33">
      <w:pPr>
        <w:pStyle w:val="SingleTxtG"/>
        <w:numPr>
          <w:ilvl w:val="0"/>
          <w:numId w:val="32"/>
        </w:numPr>
        <w:ind w:left="1134" w:right="1191" w:firstLine="0"/>
      </w:pPr>
      <w:r w:rsidRPr="00404AD7">
        <w:t>EUIF pays subsidies and provides services for persons with reduced work ability and employers of persons with reduced workability.</w:t>
      </w:r>
    </w:p>
    <w:p w14:paraId="71D72E59" w14:textId="64F2DDB6" w:rsidR="009A6819" w:rsidRPr="00404AD7" w:rsidRDefault="009A6819" w:rsidP="00F47D33">
      <w:pPr>
        <w:pStyle w:val="SingleTxtG"/>
        <w:numPr>
          <w:ilvl w:val="0"/>
          <w:numId w:val="32"/>
        </w:numPr>
        <w:ind w:left="1134" w:right="1191" w:firstLine="0"/>
      </w:pPr>
      <w:r w:rsidRPr="00404AD7">
        <w:t>The usage of this service has increased significantly after the service was redesigned and made more accessible for employers. Before redesigning the service, the employer had to apply for reimbursement every month providing evidence about person</w:t>
      </w:r>
      <w:r w:rsidR="006B00A5" w:rsidRPr="00404AD7">
        <w:t>’</w:t>
      </w:r>
      <w:r w:rsidRPr="00404AD7">
        <w:t xml:space="preserve">s salary etc. After redesigning, the employer only must apply once and after that the EUIF automatically receives monthly data from database of Tax and Customs Board and the reimbursement is paid. The number of employees participating in this measure has increased from 15,256 in the average month in 2015 to 25,732 in the average month in 2018, so for today the percentage of people with reduced work ability participating in this measure has increased by 69%. </w:t>
      </w:r>
    </w:p>
    <w:p w14:paraId="671A050A" w14:textId="77777777" w:rsidR="009A6819" w:rsidRPr="00404AD7" w:rsidRDefault="009A6819" w:rsidP="00F47D33">
      <w:pPr>
        <w:pStyle w:val="SingleTxtG"/>
        <w:numPr>
          <w:ilvl w:val="0"/>
          <w:numId w:val="32"/>
        </w:numPr>
        <w:ind w:left="1134" w:right="1191" w:firstLine="0"/>
      </w:pPr>
      <w:r w:rsidRPr="00404AD7">
        <w:t>Wage subsidies can be granted to employers who employ an unemployed person. In addition to other cases, an employer may also apply for a wage subsidy if they employ a person with decreased working ability. Also, persons with reduced work ability can have vocational rehabilitation, trainings, assistance at job interviews, work with a support person and other job market services available for all target groups, like work practice, trainings etc.</w:t>
      </w:r>
    </w:p>
    <w:p w14:paraId="6C404272" w14:textId="65087931" w:rsidR="009A6819" w:rsidRPr="00404AD7" w:rsidRDefault="009A6819" w:rsidP="00F47D33">
      <w:pPr>
        <w:pStyle w:val="SingleTxtG"/>
        <w:numPr>
          <w:ilvl w:val="0"/>
          <w:numId w:val="32"/>
        </w:numPr>
        <w:ind w:left="1134" w:right="1191" w:firstLine="0"/>
      </w:pPr>
      <w:r w:rsidRPr="00404AD7">
        <w:t xml:space="preserve">Three social advertising campaigns were launched during the reporting period: in 2017 a campaign </w:t>
      </w:r>
      <w:r w:rsidR="006B00A5" w:rsidRPr="00404AD7">
        <w:t>“</w:t>
      </w:r>
      <w:r w:rsidRPr="00404AD7">
        <w:t>Don</w:t>
      </w:r>
      <w:r w:rsidR="006B00A5" w:rsidRPr="00404AD7">
        <w:t>’</w:t>
      </w:r>
      <w:r w:rsidRPr="00404AD7">
        <w:t>t worry</w:t>
      </w:r>
      <w:r w:rsidR="006B00A5" w:rsidRPr="00404AD7">
        <w:t>”</w:t>
      </w:r>
      <w:r w:rsidRPr="00404AD7">
        <w:t xml:space="preserve">, introducing disabled people living everyday life and working successfully; in 2018 a campaign </w:t>
      </w:r>
      <w:r w:rsidR="006B00A5" w:rsidRPr="00404AD7">
        <w:t>“</w:t>
      </w:r>
      <w:r w:rsidRPr="00404AD7">
        <w:t>Never mind</w:t>
      </w:r>
      <w:r w:rsidR="006B00A5" w:rsidRPr="00404AD7">
        <w:t>”</w:t>
      </w:r>
      <w:r w:rsidRPr="00404AD7">
        <w:t xml:space="preserve">, introducing people with mental health problems and giving advice about communicating with them; and in 2019 a campaign </w:t>
      </w:r>
      <w:r w:rsidR="006B00A5" w:rsidRPr="00404AD7">
        <w:t>“</w:t>
      </w:r>
      <w:r w:rsidRPr="00404AD7">
        <w:t>Open your senses</w:t>
      </w:r>
      <w:r w:rsidR="006B00A5" w:rsidRPr="00404AD7">
        <w:t>”</w:t>
      </w:r>
      <w:r w:rsidRPr="00404AD7">
        <w:t>, introducing people with visual and hearing disabilities successfully managing their work, studies etc.</w:t>
      </w:r>
    </w:p>
    <w:p w14:paraId="78420C3E" w14:textId="51F0175F" w:rsidR="009A6819" w:rsidRPr="00404AD7" w:rsidRDefault="009A6819" w:rsidP="00F47D33">
      <w:pPr>
        <w:pStyle w:val="SingleTxtG"/>
        <w:numPr>
          <w:ilvl w:val="0"/>
          <w:numId w:val="32"/>
        </w:numPr>
        <w:ind w:left="1134" w:right="1191" w:firstLine="0"/>
      </w:pPr>
      <w:bookmarkStart w:id="54" w:name="_Hlk105494461"/>
      <w:r w:rsidRPr="00404AD7">
        <w:t xml:space="preserve">In the integration policy development plan </w:t>
      </w:r>
      <w:r w:rsidR="006B00A5" w:rsidRPr="00404AD7">
        <w:t>“</w:t>
      </w:r>
      <w:r w:rsidRPr="00404AD7">
        <w:t>Integrating Estonia 2020</w:t>
      </w:r>
      <w:r w:rsidR="006B00A5" w:rsidRPr="00404AD7">
        <w:t>”</w:t>
      </w:r>
      <w:r w:rsidRPr="00404AD7">
        <w:t xml:space="preserve"> one aim of the measures was to raise organisations</w:t>
      </w:r>
      <w:r w:rsidR="006B00A5" w:rsidRPr="00404AD7">
        <w:t>’</w:t>
      </w:r>
      <w:r w:rsidRPr="00404AD7">
        <w:t xml:space="preserve"> awareness of the need to reduce ethnic segregation in the labour market.</w:t>
      </w:r>
    </w:p>
    <w:p w14:paraId="18DC980B" w14:textId="2613F849" w:rsidR="009A6819" w:rsidRPr="00404AD7" w:rsidRDefault="009A6819" w:rsidP="00F47D33">
      <w:pPr>
        <w:pStyle w:val="SingleTxtG"/>
        <w:numPr>
          <w:ilvl w:val="0"/>
          <w:numId w:val="32"/>
        </w:numPr>
        <w:ind w:left="1134" w:right="1191" w:firstLine="0"/>
      </w:pPr>
      <w:r w:rsidRPr="00404AD7">
        <w:t xml:space="preserve">Several activities of the development plan were focused on tackling ethnic segregation in public sector. In 2019, the Ministry of Finance published an analysis entitled </w:t>
      </w:r>
      <w:r w:rsidR="006B00A5" w:rsidRPr="00404AD7">
        <w:t>“</w:t>
      </w:r>
      <w:r w:rsidRPr="00404AD7">
        <w:t>Transmission of public sector employment opportunities to non-native speakers</w:t>
      </w:r>
      <w:r w:rsidR="006B00A5" w:rsidRPr="00404AD7">
        <w:t>”</w:t>
      </w:r>
      <w:r w:rsidRPr="00404AD7">
        <w:t>, which included an action plan. The study emphasised the need to intensify co-operation between public sector organisations and upper secondary schools and universities, to find an opportunity to teach professional Estonian in workplaces and to inform potential candidates more actively about their job opportunities through their preferred communication channels.</w:t>
      </w:r>
    </w:p>
    <w:p w14:paraId="61C198AA" w14:textId="77777777" w:rsidR="009A6819" w:rsidRPr="00404AD7" w:rsidRDefault="009A6819" w:rsidP="00F47D33">
      <w:pPr>
        <w:pStyle w:val="SingleTxtG"/>
        <w:numPr>
          <w:ilvl w:val="0"/>
          <w:numId w:val="32"/>
        </w:numPr>
        <w:ind w:left="1134" w:right="1191" w:firstLine="0"/>
      </w:pPr>
      <w:r w:rsidRPr="00404AD7">
        <w:t>Public sector employers were informed about the importance of equal treatment in personnel policy and the multicultural work team, and young people were introduced to career opportunities in the public sector with the support of the ESF. The project produced web pages, a campaign, videos, and seminars.</w:t>
      </w:r>
    </w:p>
    <w:p w14:paraId="5B0A9436" w14:textId="3C0DE142" w:rsidR="009A6819" w:rsidRPr="00404AD7" w:rsidRDefault="009A6819" w:rsidP="00F47D33">
      <w:pPr>
        <w:pStyle w:val="SingleTxtG"/>
        <w:numPr>
          <w:ilvl w:val="0"/>
          <w:numId w:val="32"/>
        </w:numPr>
        <w:ind w:left="1134" w:right="1191" w:firstLine="0"/>
      </w:pPr>
      <w:r w:rsidRPr="00404AD7">
        <w:t xml:space="preserve">In the framework of the Interreg Central Baltic Program 2014-2020, the project </w:t>
      </w:r>
      <w:r w:rsidR="006B00A5" w:rsidRPr="00404AD7">
        <w:t>“</w:t>
      </w:r>
      <w:r w:rsidRPr="00404AD7">
        <w:t>Cross-border co-operation in providing mentoring and support services to unemployed low-income permanent residents CROSS CB52</w:t>
      </w:r>
      <w:r w:rsidR="006B00A5" w:rsidRPr="00404AD7">
        <w:t>”</w:t>
      </w:r>
      <w:r w:rsidRPr="00404AD7">
        <w:t xml:space="preserve"> prepared by INSA was approved in 2016. The most important results of the project, which ended in mid-2018, are a thorough meta-analysis of the </w:t>
      </w:r>
      <w:r w:rsidRPr="00404AD7">
        <w:lastRenderedPageBreak/>
        <w:t>national and linguistic distribution of Estonian labour market and the piloting of mentoring for the low-integrated unemployed and the mentoring program completed on the basis thereof.</w:t>
      </w:r>
    </w:p>
    <w:p w14:paraId="3FE4CF62" w14:textId="4263AE1D" w:rsidR="009A6819" w:rsidRPr="00404AD7" w:rsidRDefault="009A6819" w:rsidP="00F47D33">
      <w:pPr>
        <w:pStyle w:val="SingleTxtG"/>
        <w:numPr>
          <w:ilvl w:val="0"/>
          <w:numId w:val="32"/>
        </w:numPr>
        <w:ind w:left="1134" w:right="1191" w:firstLine="0"/>
      </w:pPr>
      <w:r w:rsidRPr="00404AD7">
        <w:t xml:space="preserve">Since 2012, organisations have had the </w:t>
      </w:r>
      <w:proofErr w:type="spellStart"/>
      <w:r w:rsidRPr="00404AD7">
        <w:t>possiblity</w:t>
      </w:r>
      <w:proofErr w:type="spellEnd"/>
      <w:r w:rsidRPr="00404AD7">
        <w:t xml:space="preserve"> to join the Diversity Agreement. By joining, a company, NGO or public sector organisation confirms that it respects diversity and values the principle of equal treatment among its employees, partners and customers. By 2021, 20 public sector organisations, 101 companies and 23 NGOs had joined the agreement.</w:t>
      </w:r>
    </w:p>
    <w:p w14:paraId="47F4AE6E" w14:textId="77777777" w:rsidR="009A6819" w:rsidRPr="00404AD7" w:rsidRDefault="009A6819" w:rsidP="00F47D33">
      <w:pPr>
        <w:pStyle w:val="SingleTxtG"/>
        <w:numPr>
          <w:ilvl w:val="0"/>
          <w:numId w:val="32"/>
        </w:numPr>
        <w:ind w:left="1134" w:right="1191" w:firstLine="0"/>
      </w:pPr>
      <w:r w:rsidRPr="00404AD7">
        <w:t xml:space="preserve">The Diverse Workplace Label model was created in 2016, and the Estonian </w:t>
      </w:r>
      <w:proofErr w:type="spellStart"/>
      <w:r w:rsidRPr="00404AD7">
        <w:t>Center</w:t>
      </w:r>
      <w:proofErr w:type="spellEnd"/>
      <w:r w:rsidRPr="00404AD7">
        <w:t xml:space="preserve"> for Human Rights Foundation has been appointed to carry out the implementation of the model through procurement, which has become the leader of the Diverse Workplace project. The Diverse Workplace Label is a quality label that shows that a company is an attractive employer looking to hire talent regardless of gender or background. As of May 2021, 32 organisations have received the label.</w:t>
      </w:r>
    </w:p>
    <w:p w14:paraId="10D484E9" w14:textId="77777777" w:rsidR="009A6819" w:rsidRPr="00404AD7" w:rsidRDefault="009A6819" w:rsidP="00F47D33">
      <w:pPr>
        <w:pStyle w:val="SingleTxtG"/>
        <w:numPr>
          <w:ilvl w:val="0"/>
          <w:numId w:val="32"/>
        </w:numPr>
        <w:ind w:left="1134" w:right="1191" w:firstLine="0"/>
      </w:pPr>
      <w:r w:rsidRPr="00404AD7">
        <w:t>In 2020 and 2021, the Integration Foundation implemented an internship program for students with a mother tongue other than Estonian. A total of 21 trainees and 13 state agencies participated in the pilot project. The internship program introduced students to the work of public authorities and encouraged them to apply for positions in the public sector in the future. Internships were available in different areas: recruitment and criminal policy, child-friendly justice, civil society, international cooperation, employment and adaptation. The internship program will continue in 2022 and beyond.</w:t>
      </w:r>
    </w:p>
    <w:p w14:paraId="43FB950B" w14:textId="77777777" w:rsidR="009A6819" w:rsidRPr="00404AD7" w:rsidRDefault="009A6819" w:rsidP="00F47D33">
      <w:pPr>
        <w:pStyle w:val="SingleTxtG"/>
        <w:numPr>
          <w:ilvl w:val="0"/>
          <w:numId w:val="32"/>
        </w:numPr>
        <w:ind w:left="1134" w:right="1191" w:firstLine="0"/>
      </w:pPr>
      <w:r w:rsidRPr="00404AD7">
        <w:t>In 2020 and 2021 the Integration Foundation offered an in-service (working assignment) language learning project for working people – social work employees, care workers and local government officials with a mother tongue other than Estonian. Employees were provided an opportunity to improve their Estonian language skills at a different, mostly Estonian-speaking, institution during 20 working days and two weekends, a total of 24 days. The aim of the project was to encourage employees and officials to communicate in Estonian at work and take steps to achieve the necessary Estonian language skills.</w:t>
      </w:r>
    </w:p>
    <w:bookmarkEnd w:id="54"/>
    <w:p w14:paraId="25919BE4" w14:textId="77777777" w:rsidR="009A6819" w:rsidRPr="00404AD7" w:rsidRDefault="009A6819" w:rsidP="009A6819">
      <w:pPr>
        <w:pStyle w:val="HChG"/>
        <w:rPr>
          <w:lang w:val="en-US"/>
        </w:rPr>
      </w:pPr>
      <w:r w:rsidRPr="00404AD7">
        <w:rPr>
          <w:lang w:val="en-US"/>
        </w:rPr>
        <w:tab/>
      </w:r>
      <w:r w:rsidRPr="00404AD7">
        <w:rPr>
          <w:lang w:val="en-US"/>
        </w:rPr>
        <w:tab/>
      </w:r>
      <w:bookmarkStart w:id="55" w:name="_Toc108692421"/>
      <w:r w:rsidRPr="00404AD7">
        <w:rPr>
          <w:lang w:val="en-US"/>
        </w:rPr>
        <w:t>Health</w:t>
      </w:r>
      <w:bookmarkEnd w:id="55"/>
    </w:p>
    <w:p w14:paraId="5E164BF3" w14:textId="77777777" w:rsidR="009A6819" w:rsidRPr="00404AD7" w:rsidRDefault="009A6819" w:rsidP="009A6819">
      <w:pPr>
        <w:pStyle w:val="H1G"/>
        <w:rPr>
          <w:lang w:val="en-US"/>
        </w:rPr>
      </w:pPr>
      <w:r w:rsidRPr="00404AD7">
        <w:rPr>
          <w:lang w:val="en-US"/>
        </w:rPr>
        <w:tab/>
      </w:r>
      <w:r w:rsidRPr="00404AD7">
        <w:rPr>
          <w:lang w:val="en-US"/>
        </w:rPr>
        <w:tab/>
      </w:r>
      <w:bookmarkStart w:id="56" w:name="_Toc108692422"/>
      <w:r w:rsidRPr="00404AD7">
        <w:rPr>
          <w:lang w:val="en-US"/>
        </w:rPr>
        <w:t>Question 20</w:t>
      </w:r>
      <w:bookmarkEnd w:id="56"/>
    </w:p>
    <w:p w14:paraId="186C861E" w14:textId="77777777" w:rsidR="009A6819" w:rsidRPr="00404AD7" w:rsidRDefault="009A6819" w:rsidP="00F47D33">
      <w:pPr>
        <w:pStyle w:val="SingleTxtG"/>
        <w:numPr>
          <w:ilvl w:val="0"/>
          <w:numId w:val="32"/>
        </w:numPr>
        <w:ind w:left="1134" w:right="1191" w:firstLine="0"/>
      </w:pPr>
      <w:r w:rsidRPr="00404AD7">
        <w:t xml:space="preserve">In 2021, Estonian Government adopted the National Health Plan 2020-2030 – the main strategic document for health sector in Estonia. Alcohol and drug use as health risk factors (incl. prevention, treatment, and harm reduction) are both covered by the strategy and are considered important to achieve the health targets set for 2030. </w:t>
      </w:r>
    </w:p>
    <w:p w14:paraId="1661E266" w14:textId="77777777" w:rsidR="009A6819" w:rsidRPr="00404AD7" w:rsidRDefault="009A6819" w:rsidP="00F47D33">
      <w:pPr>
        <w:pStyle w:val="SingleTxtG"/>
        <w:numPr>
          <w:ilvl w:val="0"/>
          <w:numId w:val="32"/>
        </w:numPr>
        <w:ind w:left="1134" w:right="1191" w:firstLine="0"/>
      </w:pPr>
      <w:r w:rsidRPr="00404AD7">
        <w:t>Estonia has followed the guidance of WHO in the matter of effectiveness of alcohol policy tools and has systematically transposed the measures provided by the global strategy since its adoption. Our national alcohol strategy, adopted in 2014, follows the structure of the global strategy and covers all 10 areas of the global strategy. The comprehensiveness of the alcohol strategy combined with regular surveillance helped to identify the gaps in the alcohol policy, thus the Alcohol Act and the Advertising Act where amended 2017. The changes in the Alcohol Act concerned the regulation of alcohol sales, the presentation of alcoholic products, and age verification for purchasing alcoholic beverages. The Alcohol Act stipulates control transactions to improve surveillance to ensure better adherence to the ban on alcohol sales to minors and energises the fight against illegal alcohol sales. The law also changed the provisions of the Advertising Act to restrict the content of alcohol advertisements, amends the list of locations where alcohol advertising is banned, and clarifies provisions that restrict the use of cheap pricing to market alcoholic beverages, as well as the advertising requirements set for health warnings.</w:t>
      </w:r>
    </w:p>
    <w:p w14:paraId="4437310E" w14:textId="56FDC02C" w:rsidR="009A6819" w:rsidRPr="00404AD7" w:rsidRDefault="009A6819" w:rsidP="00F47D33">
      <w:pPr>
        <w:pStyle w:val="SingleTxtG"/>
        <w:numPr>
          <w:ilvl w:val="0"/>
          <w:numId w:val="32"/>
        </w:numPr>
        <w:ind w:left="1134" w:right="1191" w:firstLine="0"/>
      </w:pPr>
      <w:r w:rsidRPr="00404AD7">
        <w:lastRenderedPageBreak/>
        <w:t xml:space="preserve">The Ministry of the Interior and the National Institute of Health Development organise parental education programs. The annual public campaigns against drink-driving continue and random breath-tests are carried out continuously. The range of interventions for drunk drivers and other drunk offenders has widened at the same time, the offenders are offered training programs, counselling, or treatment according to their personal need. A large-scaled and strongly funded program to develop a comprehensive system to prevent and treat alcohol-use disorders in Estonia – </w:t>
      </w:r>
      <w:r w:rsidR="006B00A5" w:rsidRPr="00404AD7">
        <w:t>“</w:t>
      </w:r>
      <w:r w:rsidRPr="00404AD7">
        <w:t>Sober and Healthy Estonia</w:t>
      </w:r>
      <w:r w:rsidR="006B00A5" w:rsidRPr="00404AD7">
        <w:t>”</w:t>
      </w:r>
      <w:r w:rsidRPr="00404AD7">
        <w:t xml:space="preserve"> – was initiated in 2015 to meet the growing demand. The program has reshaped the dependence treatment in Estonia, building up a comprehensive and holistic approach integrating healthcare and social services. For today, health care professionals in more than half of family doctor centres in Estonia are trained to evaluate patient</w:t>
      </w:r>
      <w:r w:rsidR="006B00A5" w:rsidRPr="00404AD7">
        <w:t>’</w:t>
      </w:r>
      <w:r w:rsidRPr="00404AD7">
        <w:t>s alcohol use risk level and provide a brief intervention if necessary.</w:t>
      </w:r>
      <w:r w:rsidR="00711EE0">
        <w:t xml:space="preserve"> </w:t>
      </w:r>
      <w:r w:rsidRPr="00404AD7">
        <w:t>Also, accessibility to treatment in case of alcohol abuse is improving (3200 persons per year).</w:t>
      </w:r>
    </w:p>
    <w:p w14:paraId="1461C34D" w14:textId="1B1A3F34" w:rsidR="009A6819" w:rsidRPr="00404AD7" w:rsidRDefault="009A6819" w:rsidP="00F47D33">
      <w:pPr>
        <w:pStyle w:val="SingleTxtG"/>
        <w:numPr>
          <w:ilvl w:val="0"/>
          <w:numId w:val="32"/>
        </w:numPr>
        <w:ind w:left="1134" w:right="1191" w:firstLine="0"/>
      </w:pPr>
      <w:r w:rsidRPr="00404AD7">
        <w:t>In 2021, Government</w:t>
      </w:r>
      <w:r w:rsidR="006B00A5" w:rsidRPr="00404AD7">
        <w:t>’</w:t>
      </w:r>
      <w:r w:rsidRPr="00404AD7">
        <w:t xml:space="preserve">s drug prevention committee adopted </w:t>
      </w:r>
      <w:r w:rsidR="006B00A5" w:rsidRPr="00404AD7">
        <w:t>“</w:t>
      </w:r>
      <w:r w:rsidRPr="00404AD7">
        <w:t>Estonian Drug Policy 2030</w:t>
      </w:r>
      <w:r w:rsidR="006B00A5" w:rsidRPr="00404AD7">
        <w:t>”</w:t>
      </w:r>
      <w:r w:rsidRPr="00404AD7">
        <w:t xml:space="preserve"> – it is the new strategic document for the area, and it also covers prevention, treatment, harm reduction. One of the goals of the strategy is to offer more need-based treatment and support services including gender-based services. Evidence based information is provided on drugs and different available programs and services (to receive advise or help) on webpage </w:t>
      </w:r>
      <w:hyperlink r:id="rId22" w:history="1">
        <w:r w:rsidRPr="00404AD7">
          <w:t>https://www.narko.ee/</w:t>
        </w:r>
      </w:hyperlink>
      <w:r w:rsidRPr="00404AD7">
        <w:t xml:space="preserve"> (in Estonian, English but also in Russian language).</w:t>
      </w:r>
    </w:p>
    <w:p w14:paraId="058E12F4" w14:textId="77777777" w:rsidR="009A6819" w:rsidRPr="00404AD7" w:rsidRDefault="009A6819" w:rsidP="00F47D33">
      <w:pPr>
        <w:pStyle w:val="SingleTxtG"/>
        <w:numPr>
          <w:ilvl w:val="0"/>
          <w:numId w:val="32"/>
        </w:numPr>
        <w:ind w:left="1134" w:right="1191" w:firstLine="0"/>
      </w:pPr>
      <w:r w:rsidRPr="00404AD7">
        <w:t xml:space="preserve">In Estonia, access to a midwife and </w:t>
      </w:r>
      <w:proofErr w:type="spellStart"/>
      <w:r w:rsidRPr="00404AD7">
        <w:t>gynecologist</w:t>
      </w:r>
      <w:proofErr w:type="spellEnd"/>
      <w:r w:rsidRPr="00404AD7">
        <w:t xml:space="preserve"> is possible without a referral from a family doctor. It is also possible for a family doctor to ask a </w:t>
      </w:r>
      <w:proofErr w:type="spellStart"/>
      <w:r w:rsidRPr="00404AD7">
        <w:t>gynecologist</w:t>
      </w:r>
      <w:proofErr w:type="spellEnd"/>
      <w:r w:rsidRPr="00404AD7">
        <w:t xml:space="preserve"> for an e-consultation (starting from 2017). In addition, an opportunity has been created to employ a midwife in primary care centres and we also have pregnancy crisis counselling available. Guidelines for school health services have been updated and these cover the sharing of knowledge / training on sexual health in schools. From 2021, access to breast cancer screening is guaranteed for uninsured women. During the COVID-19 pandemic, remote reception and funding opportunities were created in health care and it has improved accessibility to health care services in all geographical points in Estonia.</w:t>
      </w:r>
    </w:p>
    <w:p w14:paraId="3679D409" w14:textId="77777777" w:rsidR="009A6819" w:rsidRPr="00404AD7" w:rsidRDefault="009A6819" w:rsidP="009A6819">
      <w:pPr>
        <w:pStyle w:val="HChG"/>
        <w:rPr>
          <w:lang w:val="en-US"/>
        </w:rPr>
      </w:pPr>
      <w:r w:rsidRPr="00404AD7">
        <w:rPr>
          <w:lang w:val="en-US"/>
        </w:rPr>
        <w:tab/>
      </w:r>
      <w:r w:rsidRPr="00404AD7">
        <w:rPr>
          <w:lang w:val="en-US"/>
        </w:rPr>
        <w:tab/>
      </w:r>
      <w:bookmarkStart w:id="57" w:name="_Toc108692423"/>
      <w:r w:rsidRPr="00404AD7">
        <w:rPr>
          <w:lang w:val="en-US"/>
        </w:rPr>
        <w:t>Economic empowerment of women</w:t>
      </w:r>
      <w:bookmarkEnd w:id="57"/>
      <w:r w:rsidRPr="00404AD7">
        <w:rPr>
          <w:lang w:val="en-US"/>
        </w:rPr>
        <w:t xml:space="preserve"> </w:t>
      </w:r>
    </w:p>
    <w:p w14:paraId="7AC83C5A" w14:textId="77777777" w:rsidR="009A6819" w:rsidRPr="00404AD7" w:rsidRDefault="009A6819" w:rsidP="009A6819">
      <w:pPr>
        <w:pStyle w:val="H1G"/>
        <w:rPr>
          <w:lang w:val="en-US"/>
        </w:rPr>
      </w:pPr>
      <w:r w:rsidRPr="00404AD7">
        <w:rPr>
          <w:lang w:val="en-US"/>
        </w:rPr>
        <w:tab/>
      </w:r>
      <w:r w:rsidRPr="00404AD7">
        <w:rPr>
          <w:lang w:val="en-US"/>
        </w:rPr>
        <w:tab/>
      </w:r>
      <w:bookmarkStart w:id="58" w:name="_Toc108692424"/>
      <w:r w:rsidRPr="00404AD7">
        <w:rPr>
          <w:lang w:val="en-US"/>
        </w:rPr>
        <w:t>Question 21</w:t>
      </w:r>
      <w:bookmarkEnd w:id="58"/>
    </w:p>
    <w:p w14:paraId="6EC035CA" w14:textId="77777777" w:rsidR="009A6819" w:rsidRPr="00404AD7" w:rsidRDefault="009A6819" w:rsidP="00F47D33">
      <w:pPr>
        <w:pStyle w:val="SingleTxtG"/>
        <w:numPr>
          <w:ilvl w:val="0"/>
          <w:numId w:val="32"/>
        </w:numPr>
        <w:ind w:left="1134" w:right="1191" w:firstLine="0"/>
      </w:pPr>
      <w:r w:rsidRPr="00404AD7">
        <w:t>The Estonian Unemployment Insurance Fund provides support for starting a business (start-up subsidy up to 6000 euros) and reimburses the costs of training and individual mentoring in connection with the field of activity. In addition, consultation are provided in a mentor club.</w:t>
      </w:r>
    </w:p>
    <w:p w14:paraId="5EDC7234" w14:textId="77777777" w:rsidR="009A6819" w:rsidRPr="00404AD7" w:rsidRDefault="009A6819" w:rsidP="00F47D33">
      <w:pPr>
        <w:pStyle w:val="SingleTxtG"/>
        <w:numPr>
          <w:ilvl w:val="0"/>
          <w:numId w:val="32"/>
        </w:numPr>
        <w:ind w:left="1134" w:right="1191" w:firstLine="0"/>
      </w:pPr>
      <w:r w:rsidRPr="00404AD7">
        <w:t xml:space="preserve">There is also an opportunity to apply for start-up support in maximum sum of 15 000 euros from the State Shared Service </w:t>
      </w:r>
      <w:proofErr w:type="spellStart"/>
      <w:r w:rsidRPr="00404AD7">
        <w:t>Center</w:t>
      </w:r>
      <w:proofErr w:type="spellEnd"/>
      <w:r w:rsidRPr="00404AD7">
        <w:t xml:space="preserve">. County development </w:t>
      </w:r>
      <w:proofErr w:type="spellStart"/>
      <w:r w:rsidRPr="00404AD7">
        <w:t>centers</w:t>
      </w:r>
      <w:proofErr w:type="spellEnd"/>
      <w:r w:rsidRPr="00404AD7">
        <w:t xml:space="preserve"> offer free </w:t>
      </w:r>
      <w:proofErr w:type="spellStart"/>
      <w:r w:rsidRPr="00404AD7">
        <w:t>counseling</w:t>
      </w:r>
      <w:proofErr w:type="spellEnd"/>
      <w:r w:rsidRPr="00404AD7">
        <w:t xml:space="preserve"> services in all 15 counties. Our </w:t>
      </w:r>
      <w:proofErr w:type="spellStart"/>
      <w:r w:rsidRPr="00404AD7">
        <w:t>centers</w:t>
      </w:r>
      <w:proofErr w:type="spellEnd"/>
      <w:r w:rsidRPr="00404AD7">
        <w:t xml:space="preserve"> employ a total of 47 business consultants in the field, who offer consulting from the formulation of a business idea to the start of export.</w:t>
      </w:r>
    </w:p>
    <w:p w14:paraId="4A161D6A" w14:textId="77777777" w:rsidR="009A6819" w:rsidRPr="00404AD7" w:rsidRDefault="009A6819" w:rsidP="00F47D33">
      <w:pPr>
        <w:pStyle w:val="SingleTxtG"/>
        <w:numPr>
          <w:ilvl w:val="0"/>
          <w:numId w:val="32"/>
        </w:numPr>
        <w:ind w:left="1134" w:right="1191" w:firstLine="0"/>
      </w:pPr>
      <w:r w:rsidRPr="00404AD7">
        <w:t>Estonian Business and Innovation Agency supports entrepreneurship with different business development measures such as grants, masterclasses, mentoring, advice from development experts etc.</w:t>
      </w:r>
    </w:p>
    <w:p w14:paraId="4D735442" w14:textId="663DA926" w:rsidR="009A6819" w:rsidRPr="00404AD7" w:rsidRDefault="009A6819" w:rsidP="00F47D33">
      <w:pPr>
        <w:pStyle w:val="SingleTxtG"/>
        <w:numPr>
          <w:ilvl w:val="0"/>
          <w:numId w:val="32"/>
        </w:numPr>
        <w:ind w:left="1134" w:right="1191" w:firstLine="0"/>
      </w:pPr>
      <w:r w:rsidRPr="00404AD7">
        <w:t>Promoting entrepreneurship among women has been actively taken up by the third sector. Estonia has several NGOs (ETNA, BPW-Estonia, ENUT etc) who have over the years organised conferences, trainings, mentoring programmes and even built up a microcredit-scheme to boost women</w:t>
      </w:r>
      <w:r w:rsidR="006B00A5" w:rsidRPr="00404AD7">
        <w:t>’</w:t>
      </w:r>
      <w:r w:rsidRPr="00404AD7">
        <w:t>s entrepreneurship.</w:t>
      </w:r>
    </w:p>
    <w:p w14:paraId="5C743F44" w14:textId="17EE965F" w:rsidR="009A6819" w:rsidRPr="00404AD7" w:rsidRDefault="009A6819" w:rsidP="00F47D33">
      <w:pPr>
        <w:pStyle w:val="SingleTxtG"/>
        <w:numPr>
          <w:ilvl w:val="0"/>
          <w:numId w:val="32"/>
        </w:numPr>
        <w:ind w:left="1134" w:right="1191" w:firstLine="0"/>
      </w:pPr>
      <w:proofErr w:type="spellStart"/>
      <w:r w:rsidRPr="00404AD7">
        <w:t>Startup</w:t>
      </w:r>
      <w:proofErr w:type="spellEnd"/>
      <w:r w:rsidRPr="00404AD7">
        <w:t xml:space="preserve"> Estonia is a governmental programme with the aim of creating more start-up success stories in Estonia by developing their ecosystem. One of Start-up Estonia</w:t>
      </w:r>
      <w:r w:rsidR="006B00A5" w:rsidRPr="00404AD7">
        <w:t>’</w:t>
      </w:r>
      <w:r w:rsidRPr="00404AD7">
        <w:t xml:space="preserve">s strategic priorities for the period 2021-2027 is to ensure a diverse and competitive </w:t>
      </w:r>
      <w:proofErr w:type="spellStart"/>
      <w:r w:rsidRPr="00404AD7">
        <w:t>startup</w:t>
      </w:r>
      <w:proofErr w:type="spellEnd"/>
      <w:r w:rsidRPr="00404AD7">
        <w:t xml:space="preserve"> ecosystem </w:t>
      </w:r>
      <w:r w:rsidRPr="00404AD7">
        <w:lastRenderedPageBreak/>
        <w:t xml:space="preserve">through greater diversity in gender, age, and cultural or geographic background. In 2021 five different expert groups were founded by Start-Up Estonia one being on diversity. </w:t>
      </w:r>
    </w:p>
    <w:p w14:paraId="72AC04FE" w14:textId="4CD21138" w:rsidR="009A6819" w:rsidRPr="00404AD7" w:rsidRDefault="009A6819" w:rsidP="00F47D33">
      <w:pPr>
        <w:pStyle w:val="SingleTxtG"/>
        <w:numPr>
          <w:ilvl w:val="0"/>
          <w:numId w:val="32"/>
        </w:numPr>
        <w:ind w:left="1134" w:right="1191" w:firstLine="0"/>
      </w:pPr>
      <w:r w:rsidRPr="00404AD7">
        <w:t>From July 2022 child maintenance allowance will also be extended to those children whose debtor</w:t>
      </w:r>
      <w:r w:rsidR="006B00A5" w:rsidRPr="00404AD7">
        <w:t>’</w:t>
      </w:r>
      <w:r w:rsidRPr="00404AD7">
        <w:t>s parent is declared bankrupt and bankruptcy proceedings are initiated. The maintenance allowance during the bankruptcy proceedings will be paid throughout the bankruptcy proceedings, the amount of the allowance for one child is 100 euros per calendar month. The Ministry of Social Affairs is constantly working to increase the amount of maintenance allowance.</w:t>
      </w:r>
    </w:p>
    <w:p w14:paraId="4C4876B0" w14:textId="77777777" w:rsidR="009A6819" w:rsidRPr="00404AD7" w:rsidRDefault="009A6819" w:rsidP="009A6819">
      <w:pPr>
        <w:pStyle w:val="HChG"/>
        <w:rPr>
          <w:lang w:val="en-US"/>
        </w:rPr>
      </w:pPr>
      <w:r w:rsidRPr="00404AD7">
        <w:rPr>
          <w:lang w:val="en-US"/>
        </w:rPr>
        <w:tab/>
      </w:r>
      <w:r w:rsidRPr="00404AD7">
        <w:rPr>
          <w:lang w:val="en-US"/>
        </w:rPr>
        <w:tab/>
      </w:r>
      <w:bookmarkStart w:id="59" w:name="_Toc108692425"/>
      <w:r w:rsidRPr="00404AD7">
        <w:rPr>
          <w:lang w:val="en-US"/>
        </w:rPr>
        <w:t>Rural and marginalized groups of women</w:t>
      </w:r>
      <w:bookmarkEnd w:id="59"/>
    </w:p>
    <w:p w14:paraId="12FE25DE" w14:textId="77777777" w:rsidR="009A6819" w:rsidRPr="00404AD7" w:rsidRDefault="009A6819" w:rsidP="009A6819">
      <w:pPr>
        <w:pStyle w:val="H1G"/>
        <w:rPr>
          <w:lang w:val="en-US"/>
        </w:rPr>
      </w:pPr>
      <w:r w:rsidRPr="00404AD7">
        <w:rPr>
          <w:lang w:val="en-US"/>
        </w:rPr>
        <w:tab/>
      </w:r>
      <w:r w:rsidRPr="00404AD7">
        <w:rPr>
          <w:lang w:val="en-US"/>
        </w:rPr>
        <w:tab/>
      </w:r>
      <w:bookmarkStart w:id="60" w:name="_Toc108692426"/>
      <w:r w:rsidRPr="00404AD7">
        <w:rPr>
          <w:lang w:val="en-US"/>
        </w:rPr>
        <w:t>Question 22</w:t>
      </w:r>
      <w:bookmarkEnd w:id="60"/>
    </w:p>
    <w:p w14:paraId="3AFF66A7" w14:textId="77777777" w:rsidR="009A6819" w:rsidRPr="00404AD7" w:rsidRDefault="009A6819" w:rsidP="00F47D33">
      <w:pPr>
        <w:pStyle w:val="SingleTxtG"/>
        <w:numPr>
          <w:ilvl w:val="0"/>
          <w:numId w:val="32"/>
        </w:numPr>
        <w:ind w:left="1134" w:right="1191" w:firstLine="0"/>
      </w:pPr>
      <w:r w:rsidRPr="00404AD7">
        <w:t xml:space="preserve">The ETA as currently in force, prohibits discrimination on the ground of nationality (ethnicity), race and colour in employment, in access to the services of social welfare, social security and healthcare, in the area of education or in access to and supply of goods and services, which are available to the public, including housing. The Act prohibits discrimination on the ground of age, disability, religion or belief and sexual orientation in employment and vocational education. </w:t>
      </w:r>
    </w:p>
    <w:p w14:paraId="7311E690" w14:textId="77777777" w:rsidR="009A6819" w:rsidRPr="00404AD7" w:rsidRDefault="009A6819" w:rsidP="00F47D33">
      <w:pPr>
        <w:pStyle w:val="SingleTxtG"/>
        <w:numPr>
          <w:ilvl w:val="0"/>
          <w:numId w:val="32"/>
        </w:numPr>
        <w:ind w:left="1134" w:right="1191" w:firstLine="0"/>
      </w:pPr>
      <w:r w:rsidRPr="00404AD7">
        <w:t xml:space="preserve">The Act is currently being amended, widening the protection on the grounds of age, disability, religion or belief and sexual orientation to the same level as it is currently on the grounds of nationality, ethnicity, and race or colour. The amendments were approved by the Government in January 2022 and have succeeded the first reading in the Parliament. Currently the amendments are being prepared for the second reading in the Parliament. </w:t>
      </w:r>
    </w:p>
    <w:p w14:paraId="10C7109C" w14:textId="77777777" w:rsidR="009A6819" w:rsidRPr="00404AD7" w:rsidRDefault="009A6819" w:rsidP="00F47D33">
      <w:pPr>
        <w:pStyle w:val="SingleTxtG"/>
        <w:numPr>
          <w:ilvl w:val="0"/>
          <w:numId w:val="32"/>
        </w:numPr>
        <w:ind w:left="1134" w:right="1191" w:firstLine="0"/>
      </w:pPr>
      <w:r w:rsidRPr="00404AD7">
        <w:t>Gender identity as a ground is not included in the ETA. However, it is interpreted as being included in the GEA. The Commissioner has used the interpretation in several cases.</w:t>
      </w:r>
    </w:p>
    <w:p w14:paraId="3FD4F289" w14:textId="07E8D62A" w:rsidR="009A6819" w:rsidRPr="00404AD7" w:rsidRDefault="009A6819" w:rsidP="00F47D33">
      <w:pPr>
        <w:pStyle w:val="SingleTxtG"/>
        <w:numPr>
          <w:ilvl w:val="0"/>
          <w:numId w:val="32"/>
        </w:numPr>
        <w:ind w:left="1134" w:right="1191" w:firstLine="0"/>
      </w:pPr>
      <w:r w:rsidRPr="00404AD7">
        <w:t>The central strategic framework document guiding the state</w:t>
      </w:r>
      <w:r w:rsidR="006B00A5" w:rsidRPr="00404AD7">
        <w:t>’</w:t>
      </w:r>
      <w:r w:rsidRPr="00404AD7">
        <w:t>s regional policy has been the Estonian regional development strategy until 2020, by which the Government of the Republic set the central principles, goals and action plan for directing the country</w:t>
      </w:r>
      <w:r w:rsidR="006B00A5" w:rsidRPr="00404AD7">
        <w:t>’</w:t>
      </w:r>
      <w:r w:rsidRPr="00404AD7">
        <w:t>s regional development. From 2021, the most important development needs, goals and directions of the country</w:t>
      </w:r>
      <w:r w:rsidR="006B00A5" w:rsidRPr="00404AD7">
        <w:t>’</w:t>
      </w:r>
      <w:r w:rsidRPr="00404AD7">
        <w:t xml:space="preserve">s regional development will be set by the national strategy </w:t>
      </w:r>
      <w:r w:rsidR="006B00A5" w:rsidRPr="00404AD7">
        <w:t>“</w:t>
      </w:r>
      <w:r w:rsidRPr="00404AD7">
        <w:t>Estonia 2035</w:t>
      </w:r>
      <w:r w:rsidR="006B00A5" w:rsidRPr="00404AD7">
        <w:t>”</w:t>
      </w:r>
      <w:r w:rsidRPr="00404AD7">
        <w:t xml:space="preserve"> instead of the previous basic strategy of regional policy and the 4-year regional policy program of the state budget result area </w:t>
      </w:r>
      <w:r w:rsidR="006B00A5" w:rsidRPr="00404AD7">
        <w:t>“</w:t>
      </w:r>
      <w:r w:rsidRPr="00404AD7">
        <w:t>efficient state</w:t>
      </w:r>
      <w:r w:rsidR="006B00A5" w:rsidRPr="00404AD7">
        <w:t>”</w:t>
      </w:r>
      <w:r w:rsidRPr="00404AD7">
        <w:t>.</w:t>
      </w:r>
    </w:p>
    <w:p w14:paraId="67693EA5" w14:textId="08F30593" w:rsidR="009A6819" w:rsidRPr="00404AD7" w:rsidRDefault="009A6819" w:rsidP="00F47D33">
      <w:pPr>
        <w:pStyle w:val="SingleTxtG"/>
        <w:numPr>
          <w:ilvl w:val="0"/>
          <w:numId w:val="32"/>
        </w:numPr>
        <w:ind w:left="1134" w:right="1191" w:firstLine="0"/>
      </w:pPr>
      <w:r w:rsidRPr="00404AD7">
        <w:t>The key needs for regional development are: ensuring the availability of good services and employment opportunities in all regions; supporting the more balanced development of the regions by making more effective use of the potential arising from the specific features of each region and by increasing the contribution of all regions to the country</w:t>
      </w:r>
      <w:r w:rsidR="006B00A5" w:rsidRPr="00404AD7">
        <w:t>’</w:t>
      </w:r>
      <w:r w:rsidRPr="00404AD7">
        <w:t>s economic growth; strengthening the role of centres in regional development beyond major urban areas; ensure good interconnections between regions; providing support to regions in pursuing their development goals.</w:t>
      </w:r>
    </w:p>
    <w:p w14:paraId="4B9527B7" w14:textId="77777777" w:rsidR="009A6819" w:rsidRPr="00404AD7" w:rsidRDefault="009A6819" w:rsidP="00F47D33">
      <w:pPr>
        <w:pStyle w:val="SingleTxtG"/>
        <w:numPr>
          <w:ilvl w:val="0"/>
          <w:numId w:val="32"/>
        </w:numPr>
        <w:ind w:left="1134" w:right="1191" w:firstLine="0"/>
      </w:pPr>
      <w:r w:rsidRPr="00404AD7">
        <w:t>Regionally, special attention is paid to the development of Ida-</w:t>
      </w:r>
      <w:proofErr w:type="spellStart"/>
      <w:r w:rsidRPr="00404AD7">
        <w:t>Viru</w:t>
      </w:r>
      <w:proofErr w:type="spellEnd"/>
      <w:r w:rsidRPr="00404AD7">
        <w:t xml:space="preserve"> County and the region of South-Eastern Estonia. These regions face several development challenges, which require good cooperation between different regions and national partners.</w:t>
      </w:r>
    </w:p>
    <w:p w14:paraId="34218746" w14:textId="77777777" w:rsidR="009A6819" w:rsidRPr="00404AD7" w:rsidRDefault="009A6819" w:rsidP="00F47D33">
      <w:pPr>
        <w:pStyle w:val="SingleTxtG"/>
        <w:numPr>
          <w:ilvl w:val="0"/>
          <w:numId w:val="32"/>
        </w:numPr>
        <w:ind w:left="1134" w:right="1191" w:firstLine="0"/>
      </w:pPr>
      <w:r w:rsidRPr="00404AD7">
        <w:t>Since green transition affects Ida-</w:t>
      </w:r>
      <w:proofErr w:type="spellStart"/>
      <w:r w:rsidRPr="00404AD7">
        <w:t>Viru</w:t>
      </w:r>
      <w:proofErr w:type="spellEnd"/>
      <w:r w:rsidRPr="00404AD7">
        <w:t xml:space="preserve"> County which is more dependent on energy industry there are regional social development programs implemented in the next period to facilitate the changes. One of the measures is focused on improving the quality of policy making on local level by improving the capacity to promote gender equality, gender mainstreaming and equal opportunities.</w:t>
      </w:r>
    </w:p>
    <w:p w14:paraId="054F6293" w14:textId="0003619E" w:rsidR="009A6819" w:rsidRPr="00404AD7" w:rsidRDefault="009A6819" w:rsidP="00F47D33">
      <w:pPr>
        <w:pStyle w:val="SingleTxtG"/>
        <w:numPr>
          <w:ilvl w:val="0"/>
          <w:numId w:val="32"/>
        </w:numPr>
        <w:ind w:left="1134" w:right="1191" w:firstLine="0"/>
      </w:pPr>
      <w:r w:rsidRPr="00404AD7">
        <w:lastRenderedPageBreak/>
        <w:t>In 2021 and 2022 the Association of Estonian Rural Women in partnership with the Estonian Women</w:t>
      </w:r>
      <w:r w:rsidR="006B00A5" w:rsidRPr="00404AD7">
        <w:t>’</w:t>
      </w:r>
      <w:r w:rsidRPr="00404AD7">
        <w:t>s Associations Roundtable (strategic partner of the Ministry of Social Affairs in previous period) organised seminars for municipalities to promote gender mainstreaming, introducing the proposals from local women</w:t>
      </w:r>
      <w:r w:rsidR="006B00A5" w:rsidRPr="00404AD7">
        <w:t>’</w:t>
      </w:r>
      <w:r w:rsidRPr="00404AD7">
        <w:t>s organisation to the development plans of the municipalities. In 2021 a survey on the life of Estonian rural women was carried out. The survey studied the experiences of rural women mainly focusing on the CEDAW Convention areas. The results were disseminated, and suggestions offered in seminars for municipalities mentioned above and in focus group organised for decision-makers.</w:t>
      </w:r>
    </w:p>
    <w:p w14:paraId="515B5B9E" w14:textId="1CFB6AC9" w:rsidR="00890BFB" w:rsidRPr="00404AD7" w:rsidRDefault="00890BFB" w:rsidP="004A352E">
      <w:pPr>
        <w:pStyle w:val="FootnoteText"/>
        <w:tabs>
          <w:tab w:val="clear" w:pos="418"/>
          <w:tab w:val="right" w:pos="1476"/>
          <w:tab w:val="left" w:pos="1548"/>
          <w:tab w:val="right" w:pos="1836"/>
          <w:tab w:val="left" w:pos="1908"/>
        </w:tabs>
        <w:spacing w:line="120" w:lineRule="exact"/>
        <w:ind w:left="1094" w:right="1267" w:firstLine="0"/>
        <w:rPr>
          <w:sz w:val="10"/>
        </w:rPr>
      </w:pPr>
    </w:p>
    <w:tbl>
      <w:tblPr>
        <w:tblW w:w="7497" w:type="dxa"/>
        <w:tblInd w:w="1134" w:type="dxa"/>
        <w:tblLayout w:type="fixed"/>
        <w:tblCellMar>
          <w:left w:w="0" w:type="dxa"/>
          <w:right w:w="0" w:type="dxa"/>
        </w:tblCellMar>
        <w:tblLook w:val="04A0" w:firstRow="1" w:lastRow="0" w:firstColumn="1" w:lastColumn="0" w:noHBand="0" w:noVBand="1"/>
      </w:tblPr>
      <w:tblGrid>
        <w:gridCol w:w="1315"/>
        <w:gridCol w:w="1445"/>
        <w:gridCol w:w="1505"/>
        <w:gridCol w:w="1595"/>
        <w:gridCol w:w="1637"/>
      </w:tblGrid>
      <w:tr w:rsidR="004A352E" w:rsidRPr="00404AD7" w14:paraId="2698A441" w14:textId="77777777" w:rsidTr="004A352E">
        <w:trPr>
          <w:tblHeader/>
        </w:trPr>
        <w:tc>
          <w:tcPr>
            <w:tcW w:w="1315" w:type="dxa"/>
            <w:tcBorders>
              <w:top w:val="single" w:sz="4" w:space="0" w:color="auto"/>
              <w:bottom w:val="single" w:sz="12" w:space="0" w:color="auto"/>
            </w:tcBorders>
            <w:shd w:val="clear" w:color="auto" w:fill="auto"/>
            <w:noWrap/>
            <w:vAlign w:val="bottom"/>
            <w:hideMark/>
          </w:tcPr>
          <w:p w14:paraId="4AFAECDE" w14:textId="77777777" w:rsidR="004A352E" w:rsidRPr="00404AD7" w:rsidRDefault="004A352E" w:rsidP="00E53FC8">
            <w:pPr>
              <w:pStyle w:val="SingleTxtG"/>
              <w:tabs>
                <w:tab w:val="clear" w:pos="1701"/>
                <w:tab w:val="clear" w:pos="2268"/>
                <w:tab w:val="clear" w:pos="2835"/>
              </w:tabs>
              <w:suppressAutoHyphens w:val="0"/>
              <w:spacing w:before="80" w:after="80" w:line="200" w:lineRule="exact"/>
              <w:ind w:left="0" w:right="0"/>
              <w:jc w:val="left"/>
              <w:rPr>
                <w:i/>
                <w:sz w:val="16"/>
              </w:rPr>
            </w:pPr>
            <w:r w:rsidRPr="00404AD7">
              <w:rPr>
                <w:i/>
                <w:sz w:val="16"/>
              </w:rPr>
              <w:t>Gender</w:t>
            </w:r>
          </w:p>
        </w:tc>
        <w:tc>
          <w:tcPr>
            <w:tcW w:w="1445" w:type="dxa"/>
            <w:tcBorders>
              <w:top w:val="single" w:sz="4" w:space="0" w:color="auto"/>
              <w:bottom w:val="single" w:sz="12" w:space="0" w:color="auto"/>
            </w:tcBorders>
            <w:shd w:val="clear" w:color="auto" w:fill="auto"/>
            <w:noWrap/>
            <w:vAlign w:val="bottom"/>
            <w:hideMark/>
          </w:tcPr>
          <w:p w14:paraId="175DD758" w14:textId="77777777" w:rsidR="004A352E" w:rsidRPr="00404AD7" w:rsidRDefault="004A352E"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Ethnic Nationality</w:t>
            </w:r>
          </w:p>
        </w:tc>
        <w:tc>
          <w:tcPr>
            <w:tcW w:w="1505" w:type="dxa"/>
            <w:tcBorders>
              <w:top w:val="single" w:sz="4" w:space="0" w:color="auto"/>
              <w:bottom w:val="single" w:sz="12" w:space="0" w:color="auto"/>
            </w:tcBorders>
            <w:shd w:val="clear" w:color="auto" w:fill="auto"/>
            <w:noWrap/>
            <w:vAlign w:val="bottom"/>
            <w:hideMark/>
          </w:tcPr>
          <w:p w14:paraId="061B0484" w14:textId="77777777" w:rsidR="004A352E" w:rsidRPr="00404AD7" w:rsidRDefault="004A352E"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Employment rate, %</w:t>
            </w:r>
          </w:p>
        </w:tc>
        <w:tc>
          <w:tcPr>
            <w:tcW w:w="1595" w:type="dxa"/>
            <w:tcBorders>
              <w:top w:val="single" w:sz="4" w:space="0" w:color="auto"/>
              <w:bottom w:val="single" w:sz="12" w:space="0" w:color="auto"/>
            </w:tcBorders>
            <w:shd w:val="clear" w:color="auto" w:fill="auto"/>
            <w:noWrap/>
            <w:vAlign w:val="bottom"/>
            <w:hideMark/>
          </w:tcPr>
          <w:p w14:paraId="5589029C" w14:textId="77777777" w:rsidR="004A352E" w:rsidRPr="00404AD7" w:rsidRDefault="004A352E"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Unemployment rate, %</w:t>
            </w:r>
          </w:p>
        </w:tc>
        <w:tc>
          <w:tcPr>
            <w:tcW w:w="1637" w:type="dxa"/>
            <w:tcBorders>
              <w:top w:val="single" w:sz="4" w:space="0" w:color="auto"/>
              <w:bottom w:val="single" w:sz="12" w:space="0" w:color="auto"/>
            </w:tcBorders>
            <w:shd w:val="clear" w:color="auto" w:fill="auto"/>
            <w:vAlign w:val="bottom"/>
            <w:hideMark/>
          </w:tcPr>
          <w:p w14:paraId="0435FF88" w14:textId="77777777" w:rsidR="004A352E" w:rsidRPr="00404AD7" w:rsidRDefault="004A352E"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Labour participation rate, %</w:t>
            </w:r>
          </w:p>
        </w:tc>
      </w:tr>
      <w:tr w:rsidR="004A352E" w:rsidRPr="00404AD7" w14:paraId="2F51F4D9" w14:textId="77777777" w:rsidTr="004A352E">
        <w:tc>
          <w:tcPr>
            <w:tcW w:w="1315" w:type="dxa"/>
            <w:tcBorders>
              <w:top w:val="single" w:sz="12" w:space="0" w:color="auto"/>
            </w:tcBorders>
            <w:shd w:val="clear" w:color="auto" w:fill="auto"/>
            <w:noWrap/>
            <w:hideMark/>
          </w:tcPr>
          <w:p w14:paraId="48E20CA8"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Men</w:t>
            </w:r>
          </w:p>
        </w:tc>
        <w:tc>
          <w:tcPr>
            <w:tcW w:w="1445" w:type="dxa"/>
            <w:tcBorders>
              <w:top w:val="single" w:sz="12" w:space="0" w:color="auto"/>
            </w:tcBorders>
            <w:shd w:val="clear" w:color="auto" w:fill="auto"/>
            <w:noWrap/>
            <w:vAlign w:val="bottom"/>
            <w:hideMark/>
          </w:tcPr>
          <w:p w14:paraId="230C67F8"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Estonian</w:t>
            </w:r>
          </w:p>
        </w:tc>
        <w:tc>
          <w:tcPr>
            <w:tcW w:w="1505" w:type="dxa"/>
            <w:tcBorders>
              <w:top w:val="single" w:sz="12" w:space="0" w:color="auto"/>
            </w:tcBorders>
            <w:shd w:val="clear" w:color="auto" w:fill="auto"/>
            <w:noWrap/>
            <w:vAlign w:val="bottom"/>
            <w:hideMark/>
          </w:tcPr>
          <w:p w14:paraId="2DFD4DE4"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70,9</w:t>
            </w:r>
          </w:p>
        </w:tc>
        <w:tc>
          <w:tcPr>
            <w:tcW w:w="1595" w:type="dxa"/>
            <w:tcBorders>
              <w:top w:val="single" w:sz="12" w:space="0" w:color="auto"/>
            </w:tcBorders>
            <w:shd w:val="clear" w:color="auto" w:fill="auto"/>
            <w:noWrap/>
            <w:vAlign w:val="bottom"/>
            <w:hideMark/>
          </w:tcPr>
          <w:p w14:paraId="69A1F187"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5,4</w:t>
            </w:r>
          </w:p>
        </w:tc>
        <w:tc>
          <w:tcPr>
            <w:tcW w:w="1637" w:type="dxa"/>
            <w:tcBorders>
              <w:top w:val="single" w:sz="12" w:space="0" w:color="auto"/>
            </w:tcBorders>
            <w:shd w:val="clear" w:color="auto" w:fill="auto"/>
            <w:noWrap/>
            <w:vAlign w:val="bottom"/>
            <w:hideMark/>
          </w:tcPr>
          <w:p w14:paraId="04BBAFBF"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75</w:t>
            </w:r>
          </w:p>
        </w:tc>
      </w:tr>
      <w:tr w:rsidR="004A352E" w:rsidRPr="00404AD7" w14:paraId="772FE3CF" w14:textId="77777777" w:rsidTr="004A352E">
        <w:tc>
          <w:tcPr>
            <w:tcW w:w="1315" w:type="dxa"/>
            <w:shd w:val="clear" w:color="auto" w:fill="auto"/>
            <w:noWrap/>
            <w:hideMark/>
          </w:tcPr>
          <w:p w14:paraId="762B0717"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Men</w:t>
            </w:r>
          </w:p>
        </w:tc>
        <w:tc>
          <w:tcPr>
            <w:tcW w:w="1445" w:type="dxa"/>
            <w:shd w:val="clear" w:color="auto" w:fill="auto"/>
            <w:noWrap/>
            <w:vAlign w:val="bottom"/>
            <w:hideMark/>
          </w:tcPr>
          <w:p w14:paraId="6BBBEA86"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Other Nationality</w:t>
            </w:r>
          </w:p>
        </w:tc>
        <w:tc>
          <w:tcPr>
            <w:tcW w:w="1505" w:type="dxa"/>
            <w:shd w:val="clear" w:color="auto" w:fill="auto"/>
            <w:noWrap/>
            <w:vAlign w:val="bottom"/>
            <w:hideMark/>
          </w:tcPr>
          <w:p w14:paraId="2321098C"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71,4</w:t>
            </w:r>
          </w:p>
        </w:tc>
        <w:tc>
          <w:tcPr>
            <w:tcW w:w="1595" w:type="dxa"/>
            <w:shd w:val="clear" w:color="auto" w:fill="auto"/>
            <w:noWrap/>
            <w:vAlign w:val="bottom"/>
            <w:hideMark/>
          </w:tcPr>
          <w:p w14:paraId="457804DE"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5,6</w:t>
            </w:r>
          </w:p>
        </w:tc>
        <w:tc>
          <w:tcPr>
            <w:tcW w:w="1637" w:type="dxa"/>
            <w:shd w:val="clear" w:color="auto" w:fill="auto"/>
            <w:noWrap/>
            <w:vAlign w:val="bottom"/>
            <w:hideMark/>
          </w:tcPr>
          <w:p w14:paraId="285F9DA7"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75,6</w:t>
            </w:r>
          </w:p>
        </w:tc>
      </w:tr>
      <w:tr w:rsidR="004A352E" w:rsidRPr="00404AD7" w14:paraId="674E155F" w14:textId="77777777" w:rsidTr="004A352E">
        <w:tc>
          <w:tcPr>
            <w:tcW w:w="1315" w:type="dxa"/>
            <w:shd w:val="clear" w:color="auto" w:fill="auto"/>
            <w:noWrap/>
            <w:hideMark/>
          </w:tcPr>
          <w:p w14:paraId="03437BBB"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Men</w:t>
            </w:r>
          </w:p>
        </w:tc>
        <w:tc>
          <w:tcPr>
            <w:tcW w:w="1445" w:type="dxa"/>
            <w:shd w:val="clear" w:color="auto" w:fill="auto"/>
            <w:noWrap/>
            <w:vAlign w:val="bottom"/>
            <w:hideMark/>
          </w:tcPr>
          <w:p w14:paraId="4EEE6E67"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Russian</w:t>
            </w:r>
          </w:p>
        </w:tc>
        <w:tc>
          <w:tcPr>
            <w:tcW w:w="1505" w:type="dxa"/>
            <w:shd w:val="clear" w:color="auto" w:fill="auto"/>
            <w:noWrap/>
            <w:vAlign w:val="bottom"/>
            <w:hideMark/>
          </w:tcPr>
          <w:p w14:paraId="2C0E4B79"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65,1</w:t>
            </w:r>
          </w:p>
        </w:tc>
        <w:tc>
          <w:tcPr>
            <w:tcW w:w="1595" w:type="dxa"/>
            <w:shd w:val="clear" w:color="auto" w:fill="auto"/>
            <w:noWrap/>
            <w:vAlign w:val="bottom"/>
            <w:hideMark/>
          </w:tcPr>
          <w:p w14:paraId="3B723A92"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11</w:t>
            </w:r>
          </w:p>
        </w:tc>
        <w:tc>
          <w:tcPr>
            <w:tcW w:w="1637" w:type="dxa"/>
            <w:shd w:val="clear" w:color="auto" w:fill="auto"/>
            <w:noWrap/>
            <w:vAlign w:val="bottom"/>
            <w:hideMark/>
          </w:tcPr>
          <w:p w14:paraId="283DD62C"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73,1</w:t>
            </w:r>
          </w:p>
        </w:tc>
      </w:tr>
      <w:tr w:rsidR="004A352E" w:rsidRPr="00404AD7" w14:paraId="0E532D68" w14:textId="77777777" w:rsidTr="004A352E">
        <w:tc>
          <w:tcPr>
            <w:tcW w:w="1315" w:type="dxa"/>
            <w:shd w:val="clear" w:color="auto" w:fill="auto"/>
            <w:noWrap/>
            <w:hideMark/>
          </w:tcPr>
          <w:p w14:paraId="3996D0FA"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Women</w:t>
            </w:r>
          </w:p>
        </w:tc>
        <w:tc>
          <w:tcPr>
            <w:tcW w:w="1445" w:type="dxa"/>
            <w:shd w:val="clear" w:color="auto" w:fill="auto"/>
            <w:noWrap/>
            <w:vAlign w:val="bottom"/>
            <w:hideMark/>
          </w:tcPr>
          <w:p w14:paraId="69DBDD23"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Estonian</w:t>
            </w:r>
          </w:p>
        </w:tc>
        <w:tc>
          <w:tcPr>
            <w:tcW w:w="1505" w:type="dxa"/>
            <w:shd w:val="clear" w:color="auto" w:fill="auto"/>
            <w:noWrap/>
            <w:vAlign w:val="bottom"/>
            <w:hideMark/>
          </w:tcPr>
          <w:p w14:paraId="32BF6B25"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67</w:t>
            </w:r>
          </w:p>
        </w:tc>
        <w:tc>
          <w:tcPr>
            <w:tcW w:w="1595" w:type="dxa"/>
            <w:shd w:val="clear" w:color="auto" w:fill="auto"/>
            <w:noWrap/>
            <w:vAlign w:val="bottom"/>
            <w:hideMark/>
          </w:tcPr>
          <w:p w14:paraId="747E45B4"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3,9</w:t>
            </w:r>
          </w:p>
        </w:tc>
        <w:tc>
          <w:tcPr>
            <w:tcW w:w="1637" w:type="dxa"/>
            <w:shd w:val="clear" w:color="auto" w:fill="auto"/>
            <w:noWrap/>
            <w:vAlign w:val="bottom"/>
            <w:hideMark/>
          </w:tcPr>
          <w:p w14:paraId="2B44ED5F"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69,8</w:t>
            </w:r>
          </w:p>
        </w:tc>
      </w:tr>
      <w:tr w:rsidR="004A352E" w:rsidRPr="00404AD7" w14:paraId="7A124404" w14:textId="77777777" w:rsidTr="004A352E">
        <w:tc>
          <w:tcPr>
            <w:tcW w:w="1315" w:type="dxa"/>
            <w:shd w:val="clear" w:color="auto" w:fill="auto"/>
            <w:noWrap/>
            <w:hideMark/>
          </w:tcPr>
          <w:p w14:paraId="2801A4BB"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Women</w:t>
            </w:r>
          </w:p>
        </w:tc>
        <w:tc>
          <w:tcPr>
            <w:tcW w:w="1445" w:type="dxa"/>
            <w:shd w:val="clear" w:color="auto" w:fill="auto"/>
            <w:noWrap/>
            <w:vAlign w:val="bottom"/>
            <w:hideMark/>
          </w:tcPr>
          <w:p w14:paraId="62196B61"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Other Nationality</w:t>
            </w:r>
          </w:p>
        </w:tc>
        <w:tc>
          <w:tcPr>
            <w:tcW w:w="1505" w:type="dxa"/>
            <w:shd w:val="clear" w:color="auto" w:fill="auto"/>
            <w:noWrap/>
            <w:vAlign w:val="bottom"/>
            <w:hideMark/>
          </w:tcPr>
          <w:p w14:paraId="04395317"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55,4</w:t>
            </w:r>
          </w:p>
        </w:tc>
        <w:tc>
          <w:tcPr>
            <w:tcW w:w="1595" w:type="dxa"/>
            <w:shd w:val="clear" w:color="auto" w:fill="auto"/>
            <w:noWrap/>
            <w:vAlign w:val="bottom"/>
            <w:hideMark/>
          </w:tcPr>
          <w:p w14:paraId="26354D95"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11,2</w:t>
            </w:r>
          </w:p>
        </w:tc>
        <w:tc>
          <w:tcPr>
            <w:tcW w:w="1637" w:type="dxa"/>
            <w:shd w:val="clear" w:color="auto" w:fill="auto"/>
            <w:noWrap/>
            <w:vAlign w:val="bottom"/>
            <w:hideMark/>
          </w:tcPr>
          <w:p w14:paraId="65EE17C1"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62,4</w:t>
            </w:r>
          </w:p>
        </w:tc>
      </w:tr>
      <w:tr w:rsidR="004A352E" w:rsidRPr="00404AD7" w14:paraId="73C5C168" w14:textId="77777777" w:rsidTr="004A352E">
        <w:tc>
          <w:tcPr>
            <w:tcW w:w="1315" w:type="dxa"/>
            <w:tcBorders>
              <w:bottom w:val="single" w:sz="12" w:space="0" w:color="auto"/>
            </w:tcBorders>
            <w:shd w:val="clear" w:color="auto" w:fill="auto"/>
            <w:noWrap/>
            <w:hideMark/>
          </w:tcPr>
          <w:p w14:paraId="29C845CA"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Women</w:t>
            </w:r>
          </w:p>
        </w:tc>
        <w:tc>
          <w:tcPr>
            <w:tcW w:w="1445" w:type="dxa"/>
            <w:tcBorders>
              <w:bottom w:val="single" w:sz="12" w:space="0" w:color="auto"/>
            </w:tcBorders>
            <w:shd w:val="clear" w:color="auto" w:fill="auto"/>
            <w:noWrap/>
            <w:vAlign w:val="bottom"/>
            <w:hideMark/>
          </w:tcPr>
          <w:p w14:paraId="032A2570"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Russian</w:t>
            </w:r>
          </w:p>
        </w:tc>
        <w:tc>
          <w:tcPr>
            <w:tcW w:w="1505" w:type="dxa"/>
            <w:tcBorders>
              <w:bottom w:val="single" w:sz="12" w:space="0" w:color="auto"/>
            </w:tcBorders>
            <w:shd w:val="clear" w:color="auto" w:fill="auto"/>
            <w:noWrap/>
            <w:vAlign w:val="bottom"/>
            <w:hideMark/>
          </w:tcPr>
          <w:p w14:paraId="02EADF01"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58,5</w:t>
            </w:r>
          </w:p>
        </w:tc>
        <w:tc>
          <w:tcPr>
            <w:tcW w:w="1595" w:type="dxa"/>
            <w:tcBorders>
              <w:bottom w:val="single" w:sz="12" w:space="0" w:color="auto"/>
            </w:tcBorders>
            <w:shd w:val="clear" w:color="auto" w:fill="auto"/>
            <w:noWrap/>
            <w:vAlign w:val="bottom"/>
            <w:hideMark/>
          </w:tcPr>
          <w:p w14:paraId="0779EE61"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8,7</w:t>
            </w:r>
          </w:p>
        </w:tc>
        <w:tc>
          <w:tcPr>
            <w:tcW w:w="1637" w:type="dxa"/>
            <w:tcBorders>
              <w:bottom w:val="single" w:sz="12" w:space="0" w:color="auto"/>
            </w:tcBorders>
            <w:shd w:val="clear" w:color="auto" w:fill="auto"/>
            <w:noWrap/>
            <w:vAlign w:val="bottom"/>
            <w:hideMark/>
          </w:tcPr>
          <w:p w14:paraId="6BBAAE83" w14:textId="77777777" w:rsidR="004A352E" w:rsidRPr="00404AD7" w:rsidRDefault="004A352E"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64,1</w:t>
            </w:r>
          </w:p>
        </w:tc>
      </w:tr>
    </w:tbl>
    <w:p w14:paraId="743C5E4F" w14:textId="3D3B1747" w:rsidR="004A352E" w:rsidRPr="00404AD7" w:rsidRDefault="004A352E" w:rsidP="00563875">
      <w:pPr>
        <w:pStyle w:val="FootnoteText"/>
        <w:tabs>
          <w:tab w:val="clear" w:pos="418"/>
          <w:tab w:val="right" w:pos="1476"/>
          <w:tab w:val="left" w:pos="1548"/>
          <w:tab w:val="right" w:pos="1836"/>
          <w:tab w:val="left" w:pos="1908"/>
        </w:tabs>
        <w:spacing w:line="120" w:lineRule="exact"/>
        <w:ind w:left="1094" w:right="1267" w:firstLine="0"/>
        <w:rPr>
          <w:sz w:val="10"/>
        </w:rPr>
      </w:pPr>
    </w:p>
    <w:p w14:paraId="1EF8D82F" w14:textId="2A231FAA" w:rsidR="00563875" w:rsidRPr="00404AD7" w:rsidRDefault="00563875" w:rsidP="00563875">
      <w:pPr>
        <w:pStyle w:val="FootnoteText"/>
        <w:tabs>
          <w:tab w:val="clear" w:pos="418"/>
          <w:tab w:val="right" w:pos="1476"/>
          <w:tab w:val="left" w:pos="1548"/>
          <w:tab w:val="right" w:pos="1836"/>
          <w:tab w:val="left" w:pos="1908"/>
        </w:tabs>
        <w:ind w:left="1548" w:right="1267" w:hanging="423"/>
      </w:pPr>
      <w:r w:rsidRPr="00404AD7">
        <w:rPr>
          <w:i/>
          <w:iCs/>
        </w:rPr>
        <w:t>Source</w:t>
      </w:r>
      <w:r w:rsidRPr="00404AD7">
        <w:t>: Statistics Estonia, Labour Force Survey</w:t>
      </w:r>
    </w:p>
    <w:p w14:paraId="2082782E" w14:textId="5B8DB96D" w:rsidR="00563875" w:rsidRPr="00404AD7" w:rsidRDefault="00563875" w:rsidP="004C7AF2">
      <w:pPr>
        <w:pStyle w:val="FootnoteText"/>
        <w:tabs>
          <w:tab w:val="clear" w:pos="418"/>
          <w:tab w:val="right" w:pos="1476"/>
          <w:tab w:val="left" w:pos="1548"/>
          <w:tab w:val="right" w:pos="1836"/>
          <w:tab w:val="left" w:pos="1908"/>
        </w:tabs>
        <w:spacing w:line="120" w:lineRule="exact"/>
        <w:ind w:left="1548" w:right="1267" w:hanging="423"/>
        <w:rPr>
          <w:sz w:val="10"/>
        </w:rPr>
      </w:pPr>
    </w:p>
    <w:p w14:paraId="670F6FD3" w14:textId="5641DAB3" w:rsidR="004C7AF2" w:rsidRPr="00404AD7" w:rsidRDefault="004C7AF2" w:rsidP="004C7AF2">
      <w:pPr>
        <w:pStyle w:val="FootnoteText"/>
        <w:tabs>
          <w:tab w:val="clear" w:pos="418"/>
          <w:tab w:val="right" w:pos="1476"/>
          <w:tab w:val="left" w:pos="1548"/>
          <w:tab w:val="right" w:pos="1836"/>
          <w:tab w:val="left" w:pos="1908"/>
        </w:tabs>
        <w:spacing w:line="120" w:lineRule="exact"/>
        <w:ind w:left="1548" w:right="1267" w:hanging="423"/>
        <w:rPr>
          <w:sz w:val="10"/>
        </w:rPr>
      </w:pPr>
    </w:p>
    <w:p w14:paraId="376FF831" w14:textId="3636DBE1" w:rsidR="004C7AF2" w:rsidRPr="00404AD7" w:rsidRDefault="008F0090" w:rsidP="00563875">
      <w:pPr>
        <w:pStyle w:val="FootnoteText"/>
        <w:tabs>
          <w:tab w:val="clear" w:pos="418"/>
          <w:tab w:val="right" w:pos="1476"/>
          <w:tab w:val="left" w:pos="1548"/>
          <w:tab w:val="right" w:pos="1836"/>
          <w:tab w:val="left" w:pos="1908"/>
        </w:tabs>
        <w:ind w:left="1548" w:right="1267" w:hanging="423"/>
        <w:rPr>
          <w:b/>
          <w:bCs/>
          <w:sz w:val="20"/>
        </w:rPr>
      </w:pPr>
      <w:bookmarkStart w:id="61" w:name="_Toc108692427"/>
      <w:r w:rsidRPr="00404AD7">
        <w:rPr>
          <w:b/>
          <w:bCs/>
          <w:sz w:val="20"/>
        </w:rPr>
        <w:t>Table: Health of persons aged 65 and over, 2021, %</w:t>
      </w:r>
      <w:bookmarkEnd w:id="61"/>
    </w:p>
    <w:p w14:paraId="719E1F13" w14:textId="5A1B2206" w:rsidR="008F0090" w:rsidRPr="00404AD7" w:rsidRDefault="008F0090" w:rsidP="008F0090">
      <w:pPr>
        <w:pStyle w:val="FootnoteText"/>
        <w:tabs>
          <w:tab w:val="clear" w:pos="418"/>
          <w:tab w:val="right" w:pos="1476"/>
          <w:tab w:val="left" w:pos="1548"/>
          <w:tab w:val="right" w:pos="1836"/>
          <w:tab w:val="left" w:pos="1908"/>
        </w:tabs>
        <w:spacing w:line="120" w:lineRule="exact"/>
        <w:ind w:left="1548" w:right="1267" w:hanging="423"/>
        <w:rPr>
          <w:b/>
          <w:bCs/>
          <w:sz w:val="10"/>
        </w:rPr>
      </w:pPr>
    </w:p>
    <w:p w14:paraId="5DF51F69" w14:textId="247EFBA1" w:rsidR="008F0090" w:rsidRPr="00404AD7" w:rsidRDefault="008F0090" w:rsidP="008F0090">
      <w:pPr>
        <w:pStyle w:val="FootnoteText"/>
        <w:tabs>
          <w:tab w:val="clear" w:pos="418"/>
          <w:tab w:val="right" w:pos="1476"/>
          <w:tab w:val="left" w:pos="1548"/>
          <w:tab w:val="right" w:pos="1836"/>
          <w:tab w:val="left" w:pos="1908"/>
        </w:tabs>
        <w:spacing w:line="120" w:lineRule="exact"/>
        <w:ind w:left="1548" w:right="1267" w:hanging="423"/>
        <w:rPr>
          <w:sz w:val="10"/>
        </w:rPr>
      </w:pPr>
    </w:p>
    <w:tbl>
      <w:tblPr>
        <w:tblW w:w="7479" w:type="dxa"/>
        <w:tblInd w:w="1134" w:type="dxa"/>
        <w:tblLayout w:type="fixed"/>
        <w:tblCellMar>
          <w:left w:w="0" w:type="dxa"/>
          <w:right w:w="0" w:type="dxa"/>
        </w:tblCellMar>
        <w:tblLook w:val="04A0" w:firstRow="1" w:lastRow="0" w:firstColumn="1" w:lastColumn="0" w:noHBand="0" w:noVBand="1"/>
      </w:tblPr>
      <w:tblGrid>
        <w:gridCol w:w="1897"/>
        <w:gridCol w:w="1752"/>
        <w:gridCol w:w="1875"/>
        <w:gridCol w:w="1955"/>
      </w:tblGrid>
      <w:tr w:rsidR="005A0D4F" w:rsidRPr="00404AD7" w14:paraId="6ECA6791" w14:textId="77777777" w:rsidTr="005A0D4F">
        <w:trPr>
          <w:tblHeader/>
        </w:trPr>
        <w:tc>
          <w:tcPr>
            <w:tcW w:w="1897" w:type="dxa"/>
            <w:tcBorders>
              <w:top w:val="single" w:sz="4" w:space="0" w:color="auto"/>
              <w:bottom w:val="single" w:sz="12" w:space="0" w:color="auto"/>
            </w:tcBorders>
            <w:shd w:val="clear" w:color="auto" w:fill="auto"/>
            <w:noWrap/>
            <w:vAlign w:val="bottom"/>
            <w:hideMark/>
          </w:tcPr>
          <w:p w14:paraId="32C9B3EC" w14:textId="77777777" w:rsidR="005A0D4F" w:rsidRPr="00404AD7" w:rsidRDefault="005A0D4F" w:rsidP="00E53FC8">
            <w:pPr>
              <w:pStyle w:val="SingleTxtG"/>
              <w:tabs>
                <w:tab w:val="clear" w:pos="1701"/>
                <w:tab w:val="clear" w:pos="2268"/>
                <w:tab w:val="clear" w:pos="2835"/>
              </w:tabs>
              <w:suppressAutoHyphens w:val="0"/>
              <w:spacing w:before="80" w:after="80" w:line="200" w:lineRule="exact"/>
              <w:ind w:left="0" w:right="0"/>
              <w:jc w:val="left"/>
              <w:rPr>
                <w:i/>
                <w:sz w:val="16"/>
              </w:rPr>
            </w:pPr>
            <w:r w:rsidRPr="00404AD7">
              <w:rPr>
                <w:i/>
                <w:sz w:val="16"/>
              </w:rPr>
              <w:t> </w:t>
            </w:r>
          </w:p>
        </w:tc>
        <w:tc>
          <w:tcPr>
            <w:tcW w:w="1752" w:type="dxa"/>
            <w:tcBorders>
              <w:top w:val="single" w:sz="4" w:space="0" w:color="auto"/>
              <w:bottom w:val="single" w:sz="12" w:space="0" w:color="auto"/>
            </w:tcBorders>
            <w:shd w:val="clear" w:color="auto" w:fill="auto"/>
            <w:noWrap/>
            <w:vAlign w:val="bottom"/>
            <w:hideMark/>
          </w:tcPr>
          <w:p w14:paraId="7F0842B1" w14:textId="77777777" w:rsidR="005A0D4F" w:rsidRPr="00404AD7" w:rsidRDefault="005A0D4F"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Very good or good</w:t>
            </w:r>
          </w:p>
        </w:tc>
        <w:tc>
          <w:tcPr>
            <w:tcW w:w="1875" w:type="dxa"/>
            <w:tcBorders>
              <w:top w:val="single" w:sz="4" w:space="0" w:color="auto"/>
              <w:bottom w:val="single" w:sz="12" w:space="0" w:color="auto"/>
            </w:tcBorders>
            <w:shd w:val="clear" w:color="auto" w:fill="auto"/>
            <w:noWrap/>
            <w:vAlign w:val="bottom"/>
            <w:hideMark/>
          </w:tcPr>
          <w:p w14:paraId="7AF377F5" w14:textId="77777777" w:rsidR="005A0D4F" w:rsidRPr="00404AD7" w:rsidRDefault="005A0D4F"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Neither good nor bad</w:t>
            </w:r>
          </w:p>
        </w:tc>
        <w:tc>
          <w:tcPr>
            <w:tcW w:w="1955" w:type="dxa"/>
            <w:tcBorders>
              <w:top w:val="single" w:sz="4" w:space="0" w:color="auto"/>
              <w:bottom w:val="single" w:sz="12" w:space="0" w:color="auto"/>
            </w:tcBorders>
            <w:shd w:val="clear" w:color="auto" w:fill="auto"/>
            <w:noWrap/>
            <w:vAlign w:val="bottom"/>
            <w:hideMark/>
          </w:tcPr>
          <w:p w14:paraId="694DF55A" w14:textId="77777777" w:rsidR="005A0D4F" w:rsidRPr="00404AD7" w:rsidRDefault="005A0D4F"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Bad or very bad</w:t>
            </w:r>
          </w:p>
        </w:tc>
      </w:tr>
      <w:tr w:rsidR="005A0D4F" w:rsidRPr="00404AD7" w14:paraId="549188D0" w14:textId="77777777" w:rsidTr="005A0D4F">
        <w:tc>
          <w:tcPr>
            <w:tcW w:w="1897" w:type="dxa"/>
            <w:tcBorders>
              <w:top w:val="single" w:sz="12" w:space="0" w:color="auto"/>
            </w:tcBorders>
            <w:shd w:val="clear" w:color="auto" w:fill="auto"/>
            <w:noWrap/>
            <w:hideMark/>
          </w:tcPr>
          <w:p w14:paraId="65F418C3" w14:textId="77777777" w:rsidR="005A0D4F" w:rsidRPr="00404AD7" w:rsidRDefault="005A0D4F"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Men</w:t>
            </w:r>
          </w:p>
        </w:tc>
        <w:tc>
          <w:tcPr>
            <w:tcW w:w="1752" w:type="dxa"/>
            <w:tcBorders>
              <w:top w:val="single" w:sz="12" w:space="0" w:color="auto"/>
            </w:tcBorders>
            <w:shd w:val="clear" w:color="auto" w:fill="auto"/>
            <w:noWrap/>
            <w:vAlign w:val="bottom"/>
            <w:hideMark/>
          </w:tcPr>
          <w:p w14:paraId="6066F10A" w14:textId="77777777" w:rsidR="005A0D4F" w:rsidRPr="00404AD7" w:rsidRDefault="005A0D4F"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25,2</w:t>
            </w:r>
          </w:p>
        </w:tc>
        <w:tc>
          <w:tcPr>
            <w:tcW w:w="1875" w:type="dxa"/>
            <w:tcBorders>
              <w:top w:val="single" w:sz="12" w:space="0" w:color="auto"/>
            </w:tcBorders>
            <w:shd w:val="clear" w:color="auto" w:fill="auto"/>
            <w:noWrap/>
            <w:vAlign w:val="bottom"/>
            <w:hideMark/>
          </w:tcPr>
          <w:p w14:paraId="683A04AA" w14:textId="77777777" w:rsidR="005A0D4F" w:rsidRPr="00404AD7" w:rsidRDefault="005A0D4F"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48,8</w:t>
            </w:r>
          </w:p>
        </w:tc>
        <w:tc>
          <w:tcPr>
            <w:tcW w:w="1955" w:type="dxa"/>
            <w:tcBorders>
              <w:top w:val="single" w:sz="12" w:space="0" w:color="auto"/>
            </w:tcBorders>
            <w:shd w:val="clear" w:color="auto" w:fill="auto"/>
            <w:noWrap/>
            <w:vAlign w:val="bottom"/>
            <w:hideMark/>
          </w:tcPr>
          <w:p w14:paraId="14D1ED83" w14:textId="77777777" w:rsidR="005A0D4F" w:rsidRPr="00404AD7" w:rsidRDefault="005A0D4F"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26</w:t>
            </w:r>
          </w:p>
        </w:tc>
      </w:tr>
      <w:tr w:rsidR="005A0D4F" w:rsidRPr="00404AD7" w14:paraId="6889781F" w14:textId="77777777" w:rsidTr="005A0D4F">
        <w:tc>
          <w:tcPr>
            <w:tcW w:w="1897" w:type="dxa"/>
            <w:tcBorders>
              <w:bottom w:val="single" w:sz="12" w:space="0" w:color="auto"/>
            </w:tcBorders>
            <w:shd w:val="clear" w:color="auto" w:fill="auto"/>
            <w:noWrap/>
            <w:hideMark/>
          </w:tcPr>
          <w:p w14:paraId="6E3A85AD" w14:textId="77777777" w:rsidR="005A0D4F" w:rsidRPr="00404AD7" w:rsidRDefault="005A0D4F"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Women</w:t>
            </w:r>
          </w:p>
        </w:tc>
        <w:tc>
          <w:tcPr>
            <w:tcW w:w="1752" w:type="dxa"/>
            <w:tcBorders>
              <w:bottom w:val="single" w:sz="12" w:space="0" w:color="auto"/>
            </w:tcBorders>
            <w:shd w:val="clear" w:color="auto" w:fill="auto"/>
            <w:noWrap/>
            <w:vAlign w:val="bottom"/>
            <w:hideMark/>
          </w:tcPr>
          <w:p w14:paraId="56273030" w14:textId="77777777" w:rsidR="005A0D4F" w:rsidRPr="00404AD7" w:rsidRDefault="005A0D4F"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22,3</w:t>
            </w:r>
          </w:p>
        </w:tc>
        <w:tc>
          <w:tcPr>
            <w:tcW w:w="1875" w:type="dxa"/>
            <w:tcBorders>
              <w:bottom w:val="single" w:sz="12" w:space="0" w:color="auto"/>
            </w:tcBorders>
            <w:shd w:val="clear" w:color="auto" w:fill="auto"/>
            <w:noWrap/>
            <w:vAlign w:val="bottom"/>
            <w:hideMark/>
          </w:tcPr>
          <w:p w14:paraId="38708278" w14:textId="77777777" w:rsidR="005A0D4F" w:rsidRPr="00404AD7" w:rsidRDefault="005A0D4F"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49,3</w:t>
            </w:r>
          </w:p>
        </w:tc>
        <w:tc>
          <w:tcPr>
            <w:tcW w:w="1955" w:type="dxa"/>
            <w:tcBorders>
              <w:bottom w:val="single" w:sz="12" w:space="0" w:color="auto"/>
            </w:tcBorders>
            <w:shd w:val="clear" w:color="auto" w:fill="auto"/>
            <w:noWrap/>
            <w:vAlign w:val="bottom"/>
            <w:hideMark/>
          </w:tcPr>
          <w:p w14:paraId="4F4A180D" w14:textId="77777777" w:rsidR="005A0D4F" w:rsidRPr="00404AD7" w:rsidRDefault="005A0D4F"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28,4</w:t>
            </w:r>
          </w:p>
        </w:tc>
      </w:tr>
    </w:tbl>
    <w:p w14:paraId="36881DDD" w14:textId="096AF5DD" w:rsidR="008F0090" w:rsidRPr="00404AD7" w:rsidRDefault="008F0090" w:rsidP="005A0D4F">
      <w:pPr>
        <w:pStyle w:val="FootnoteText"/>
        <w:tabs>
          <w:tab w:val="clear" w:pos="418"/>
          <w:tab w:val="right" w:pos="1476"/>
          <w:tab w:val="left" w:pos="1548"/>
          <w:tab w:val="right" w:pos="1836"/>
          <w:tab w:val="left" w:pos="1908"/>
        </w:tabs>
        <w:spacing w:line="120" w:lineRule="exact"/>
        <w:ind w:left="1548" w:right="1267" w:hanging="423"/>
        <w:rPr>
          <w:sz w:val="10"/>
        </w:rPr>
      </w:pPr>
    </w:p>
    <w:p w14:paraId="6766C51F" w14:textId="39433520" w:rsidR="005A0D4F" w:rsidRPr="00404AD7" w:rsidRDefault="001E6D42" w:rsidP="001E6D42">
      <w:pPr>
        <w:pStyle w:val="FootnoteText"/>
        <w:tabs>
          <w:tab w:val="clear" w:pos="418"/>
          <w:tab w:val="right" w:pos="1476"/>
          <w:tab w:val="left" w:pos="1548"/>
          <w:tab w:val="right" w:pos="1836"/>
          <w:tab w:val="left" w:pos="1908"/>
        </w:tabs>
        <w:ind w:left="1548" w:right="1267" w:hanging="423"/>
      </w:pPr>
      <w:r w:rsidRPr="00404AD7">
        <w:rPr>
          <w:i/>
          <w:iCs/>
        </w:rPr>
        <w:t>Source</w:t>
      </w:r>
      <w:r w:rsidRPr="00404AD7">
        <w:t>: Statistics Estonia</w:t>
      </w:r>
    </w:p>
    <w:p w14:paraId="6259DED2" w14:textId="56A29748" w:rsidR="001E6D42" w:rsidRPr="00404AD7" w:rsidRDefault="001E6D42" w:rsidP="00331251">
      <w:pPr>
        <w:pStyle w:val="FootnoteText"/>
        <w:tabs>
          <w:tab w:val="clear" w:pos="418"/>
          <w:tab w:val="right" w:pos="1476"/>
          <w:tab w:val="left" w:pos="1548"/>
          <w:tab w:val="right" w:pos="1836"/>
          <w:tab w:val="left" w:pos="1908"/>
        </w:tabs>
        <w:spacing w:line="120" w:lineRule="exact"/>
        <w:ind w:left="1548" w:right="1267" w:hanging="423"/>
        <w:rPr>
          <w:sz w:val="10"/>
        </w:rPr>
      </w:pPr>
    </w:p>
    <w:p w14:paraId="36929600" w14:textId="3091469B" w:rsidR="00331251" w:rsidRPr="00404AD7" w:rsidRDefault="00331251" w:rsidP="00331251">
      <w:pPr>
        <w:pStyle w:val="FootnoteText"/>
        <w:tabs>
          <w:tab w:val="clear" w:pos="418"/>
          <w:tab w:val="right" w:pos="1476"/>
          <w:tab w:val="left" w:pos="1548"/>
          <w:tab w:val="right" w:pos="1836"/>
          <w:tab w:val="left" w:pos="1908"/>
        </w:tabs>
        <w:spacing w:line="120" w:lineRule="exact"/>
        <w:ind w:left="1548" w:right="1267" w:hanging="423"/>
        <w:rPr>
          <w:sz w:val="10"/>
        </w:rPr>
      </w:pPr>
    </w:p>
    <w:p w14:paraId="504E8286" w14:textId="06EB5E55" w:rsidR="00331251" w:rsidRPr="00404AD7" w:rsidRDefault="00C603D3" w:rsidP="001E6D42">
      <w:pPr>
        <w:pStyle w:val="FootnoteText"/>
        <w:tabs>
          <w:tab w:val="clear" w:pos="418"/>
          <w:tab w:val="right" w:pos="1476"/>
          <w:tab w:val="left" w:pos="1548"/>
          <w:tab w:val="right" w:pos="1836"/>
          <w:tab w:val="left" w:pos="1908"/>
        </w:tabs>
        <w:ind w:left="1548" w:right="1267" w:hanging="423"/>
        <w:rPr>
          <w:b/>
          <w:bCs/>
          <w:sz w:val="20"/>
        </w:rPr>
      </w:pPr>
      <w:bookmarkStart w:id="62" w:name="_Toc108692428"/>
      <w:r w:rsidRPr="00404AD7">
        <w:rPr>
          <w:b/>
          <w:bCs/>
          <w:sz w:val="20"/>
        </w:rPr>
        <w:t>Table: Limitations of everyday activities of persons aged 65 and over, 2021, %</w:t>
      </w:r>
      <w:bookmarkEnd w:id="62"/>
    </w:p>
    <w:p w14:paraId="0E8E97B5" w14:textId="70CBE706" w:rsidR="00C603D3" w:rsidRPr="00404AD7" w:rsidRDefault="00C603D3" w:rsidP="00C603D3">
      <w:pPr>
        <w:pStyle w:val="FootnoteText"/>
        <w:tabs>
          <w:tab w:val="clear" w:pos="418"/>
          <w:tab w:val="right" w:pos="1476"/>
          <w:tab w:val="left" w:pos="1548"/>
          <w:tab w:val="right" w:pos="1836"/>
          <w:tab w:val="left" w:pos="1908"/>
        </w:tabs>
        <w:spacing w:line="120" w:lineRule="exact"/>
        <w:ind w:left="1548" w:right="1267" w:hanging="423"/>
        <w:rPr>
          <w:b/>
          <w:bCs/>
          <w:sz w:val="10"/>
        </w:rPr>
      </w:pPr>
    </w:p>
    <w:p w14:paraId="596AD0A2" w14:textId="71D2AFA4" w:rsidR="00C603D3" w:rsidRPr="00404AD7" w:rsidRDefault="00C603D3" w:rsidP="00C603D3">
      <w:pPr>
        <w:pStyle w:val="FootnoteText"/>
        <w:tabs>
          <w:tab w:val="clear" w:pos="418"/>
          <w:tab w:val="right" w:pos="1476"/>
          <w:tab w:val="left" w:pos="1548"/>
          <w:tab w:val="right" w:pos="1836"/>
          <w:tab w:val="left" w:pos="1908"/>
        </w:tabs>
        <w:spacing w:line="120" w:lineRule="exact"/>
        <w:ind w:left="1548" w:right="1267" w:hanging="423"/>
        <w:rPr>
          <w:sz w:val="10"/>
        </w:rPr>
      </w:pPr>
    </w:p>
    <w:tbl>
      <w:tblPr>
        <w:tblW w:w="7479" w:type="dxa"/>
        <w:tblInd w:w="1134" w:type="dxa"/>
        <w:tblLayout w:type="fixed"/>
        <w:tblCellMar>
          <w:left w:w="0" w:type="dxa"/>
          <w:right w:w="0" w:type="dxa"/>
        </w:tblCellMar>
        <w:tblLook w:val="04A0" w:firstRow="1" w:lastRow="0" w:firstColumn="1" w:lastColumn="0" w:noHBand="0" w:noVBand="1"/>
      </w:tblPr>
      <w:tblGrid>
        <w:gridCol w:w="1796"/>
        <w:gridCol w:w="1858"/>
        <w:gridCol w:w="1858"/>
        <w:gridCol w:w="1967"/>
      </w:tblGrid>
      <w:tr w:rsidR="00D266C0" w:rsidRPr="00404AD7" w14:paraId="06DEE6BA" w14:textId="77777777" w:rsidTr="00D266C0">
        <w:trPr>
          <w:tblHeader/>
        </w:trPr>
        <w:tc>
          <w:tcPr>
            <w:tcW w:w="1796" w:type="dxa"/>
            <w:tcBorders>
              <w:top w:val="single" w:sz="4" w:space="0" w:color="auto"/>
              <w:bottom w:val="single" w:sz="12" w:space="0" w:color="auto"/>
            </w:tcBorders>
            <w:shd w:val="clear" w:color="auto" w:fill="auto"/>
            <w:noWrap/>
            <w:vAlign w:val="bottom"/>
            <w:hideMark/>
          </w:tcPr>
          <w:p w14:paraId="01961398" w14:textId="77777777" w:rsidR="00D266C0" w:rsidRPr="00404AD7" w:rsidRDefault="00D266C0" w:rsidP="00E53FC8">
            <w:pPr>
              <w:pStyle w:val="SingleTxtG"/>
              <w:tabs>
                <w:tab w:val="clear" w:pos="1701"/>
                <w:tab w:val="clear" w:pos="2268"/>
                <w:tab w:val="clear" w:pos="2835"/>
              </w:tabs>
              <w:suppressAutoHyphens w:val="0"/>
              <w:spacing w:before="80" w:after="80" w:line="200" w:lineRule="exact"/>
              <w:ind w:left="0" w:right="0"/>
              <w:jc w:val="left"/>
              <w:rPr>
                <w:i/>
                <w:sz w:val="16"/>
              </w:rPr>
            </w:pPr>
            <w:r w:rsidRPr="00404AD7">
              <w:rPr>
                <w:i/>
                <w:sz w:val="16"/>
              </w:rPr>
              <w:t> </w:t>
            </w:r>
          </w:p>
        </w:tc>
        <w:tc>
          <w:tcPr>
            <w:tcW w:w="1858" w:type="dxa"/>
            <w:tcBorders>
              <w:top w:val="single" w:sz="4" w:space="0" w:color="auto"/>
              <w:bottom w:val="single" w:sz="12" w:space="0" w:color="auto"/>
            </w:tcBorders>
            <w:shd w:val="clear" w:color="auto" w:fill="auto"/>
            <w:noWrap/>
            <w:vAlign w:val="bottom"/>
            <w:hideMark/>
          </w:tcPr>
          <w:p w14:paraId="757A6417" w14:textId="77777777" w:rsidR="00D266C0" w:rsidRPr="00404AD7" w:rsidRDefault="00D266C0"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Very much restricted</w:t>
            </w:r>
          </w:p>
        </w:tc>
        <w:tc>
          <w:tcPr>
            <w:tcW w:w="1858" w:type="dxa"/>
            <w:tcBorders>
              <w:top w:val="single" w:sz="4" w:space="0" w:color="auto"/>
              <w:bottom w:val="single" w:sz="12" w:space="0" w:color="auto"/>
            </w:tcBorders>
            <w:shd w:val="clear" w:color="auto" w:fill="auto"/>
            <w:noWrap/>
            <w:vAlign w:val="bottom"/>
            <w:hideMark/>
          </w:tcPr>
          <w:p w14:paraId="735EB732" w14:textId="77777777" w:rsidR="00D266C0" w:rsidRPr="00404AD7" w:rsidRDefault="00D266C0"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To some extent restricted</w:t>
            </w:r>
          </w:p>
        </w:tc>
        <w:tc>
          <w:tcPr>
            <w:tcW w:w="1967" w:type="dxa"/>
            <w:tcBorders>
              <w:top w:val="single" w:sz="4" w:space="0" w:color="auto"/>
              <w:bottom w:val="single" w:sz="12" w:space="0" w:color="auto"/>
            </w:tcBorders>
            <w:shd w:val="clear" w:color="auto" w:fill="auto"/>
            <w:noWrap/>
            <w:vAlign w:val="bottom"/>
            <w:hideMark/>
          </w:tcPr>
          <w:p w14:paraId="13A6F3AD" w14:textId="77777777" w:rsidR="00D266C0" w:rsidRPr="00404AD7" w:rsidRDefault="00D266C0"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Not at all restricted</w:t>
            </w:r>
          </w:p>
        </w:tc>
      </w:tr>
      <w:tr w:rsidR="00D266C0" w:rsidRPr="00404AD7" w14:paraId="75D0F997" w14:textId="77777777" w:rsidTr="00D266C0">
        <w:tc>
          <w:tcPr>
            <w:tcW w:w="1796" w:type="dxa"/>
            <w:tcBorders>
              <w:top w:val="single" w:sz="12" w:space="0" w:color="auto"/>
            </w:tcBorders>
            <w:shd w:val="clear" w:color="auto" w:fill="auto"/>
            <w:noWrap/>
            <w:hideMark/>
          </w:tcPr>
          <w:p w14:paraId="30462DDC" w14:textId="77777777" w:rsidR="00D266C0" w:rsidRPr="00404AD7" w:rsidRDefault="00D266C0"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Men</w:t>
            </w:r>
          </w:p>
        </w:tc>
        <w:tc>
          <w:tcPr>
            <w:tcW w:w="1858" w:type="dxa"/>
            <w:tcBorders>
              <w:top w:val="single" w:sz="12" w:space="0" w:color="auto"/>
            </w:tcBorders>
            <w:shd w:val="clear" w:color="auto" w:fill="auto"/>
            <w:noWrap/>
            <w:vAlign w:val="bottom"/>
            <w:hideMark/>
          </w:tcPr>
          <w:p w14:paraId="0F5A24EB" w14:textId="77777777" w:rsidR="00D266C0" w:rsidRPr="00404AD7" w:rsidRDefault="00D266C0"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23,9</w:t>
            </w:r>
          </w:p>
        </w:tc>
        <w:tc>
          <w:tcPr>
            <w:tcW w:w="1858" w:type="dxa"/>
            <w:tcBorders>
              <w:top w:val="single" w:sz="12" w:space="0" w:color="auto"/>
            </w:tcBorders>
            <w:shd w:val="clear" w:color="auto" w:fill="auto"/>
            <w:noWrap/>
            <w:vAlign w:val="bottom"/>
            <w:hideMark/>
          </w:tcPr>
          <w:p w14:paraId="1047169A" w14:textId="77777777" w:rsidR="00D266C0" w:rsidRPr="00404AD7" w:rsidRDefault="00D266C0"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33,2</w:t>
            </w:r>
          </w:p>
        </w:tc>
        <w:tc>
          <w:tcPr>
            <w:tcW w:w="1967" w:type="dxa"/>
            <w:tcBorders>
              <w:top w:val="single" w:sz="12" w:space="0" w:color="auto"/>
            </w:tcBorders>
            <w:shd w:val="clear" w:color="auto" w:fill="auto"/>
            <w:noWrap/>
            <w:vAlign w:val="bottom"/>
            <w:hideMark/>
          </w:tcPr>
          <w:p w14:paraId="123AD383" w14:textId="77777777" w:rsidR="00D266C0" w:rsidRPr="00404AD7" w:rsidRDefault="00D266C0"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42,9</w:t>
            </w:r>
          </w:p>
        </w:tc>
      </w:tr>
      <w:tr w:rsidR="00D266C0" w:rsidRPr="00404AD7" w14:paraId="29E3E6ED" w14:textId="77777777" w:rsidTr="00D266C0">
        <w:tc>
          <w:tcPr>
            <w:tcW w:w="1796" w:type="dxa"/>
            <w:tcBorders>
              <w:bottom w:val="single" w:sz="12" w:space="0" w:color="auto"/>
            </w:tcBorders>
            <w:shd w:val="clear" w:color="auto" w:fill="auto"/>
            <w:noWrap/>
            <w:hideMark/>
          </w:tcPr>
          <w:p w14:paraId="6D040E1D" w14:textId="77777777" w:rsidR="00D266C0" w:rsidRPr="00404AD7" w:rsidRDefault="00D266C0"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Women</w:t>
            </w:r>
          </w:p>
        </w:tc>
        <w:tc>
          <w:tcPr>
            <w:tcW w:w="1858" w:type="dxa"/>
            <w:tcBorders>
              <w:bottom w:val="single" w:sz="12" w:space="0" w:color="auto"/>
            </w:tcBorders>
            <w:shd w:val="clear" w:color="auto" w:fill="auto"/>
            <w:noWrap/>
            <w:vAlign w:val="bottom"/>
            <w:hideMark/>
          </w:tcPr>
          <w:p w14:paraId="4F9E5CE7" w14:textId="77777777" w:rsidR="00D266C0" w:rsidRPr="00404AD7" w:rsidRDefault="00D266C0"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25,5</w:t>
            </w:r>
          </w:p>
        </w:tc>
        <w:tc>
          <w:tcPr>
            <w:tcW w:w="1858" w:type="dxa"/>
            <w:tcBorders>
              <w:bottom w:val="single" w:sz="12" w:space="0" w:color="auto"/>
            </w:tcBorders>
            <w:shd w:val="clear" w:color="auto" w:fill="auto"/>
            <w:noWrap/>
            <w:vAlign w:val="bottom"/>
            <w:hideMark/>
          </w:tcPr>
          <w:p w14:paraId="095EF931" w14:textId="77777777" w:rsidR="00D266C0" w:rsidRPr="00404AD7" w:rsidRDefault="00D266C0"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35,4</w:t>
            </w:r>
          </w:p>
        </w:tc>
        <w:tc>
          <w:tcPr>
            <w:tcW w:w="1967" w:type="dxa"/>
            <w:tcBorders>
              <w:bottom w:val="single" w:sz="12" w:space="0" w:color="auto"/>
            </w:tcBorders>
            <w:shd w:val="clear" w:color="auto" w:fill="auto"/>
            <w:noWrap/>
            <w:vAlign w:val="bottom"/>
            <w:hideMark/>
          </w:tcPr>
          <w:p w14:paraId="1B8A762A" w14:textId="77777777" w:rsidR="00D266C0" w:rsidRPr="00404AD7" w:rsidRDefault="00D266C0"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39,1</w:t>
            </w:r>
          </w:p>
        </w:tc>
      </w:tr>
    </w:tbl>
    <w:p w14:paraId="3AA909C9" w14:textId="4D020A91" w:rsidR="00C603D3" w:rsidRPr="00404AD7" w:rsidRDefault="00C603D3" w:rsidP="00D266C0">
      <w:pPr>
        <w:pStyle w:val="FootnoteText"/>
        <w:tabs>
          <w:tab w:val="clear" w:pos="418"/>
          <w:tab w:val="right" w:pos="1476"/>
          <w:tab w:val="left" w:pos="1548"/>
          <w:tab w:val="right" w:pos="1836"/>
          <w:tab w:val="left" w:pos="1908"/>
        </w:tabs>
        <w:spacing w:line="120" w:lineRule="exact"/>
        <w:ind w:left="1548" w:right="1267" w:hanging="423"/>
        <w:rPr>
          <w:sz w:val="10"/>
        </w:rPr>
      </w:pPr>
    </w:p>
    <w:p w14:paraId="625C335E" w14:textId="49F25336" w:rsidR="00D266C0" w:rsidRPr="00404AD7" w:rsidRDefault="003437DC" w:rsidP="003437DC">
      <w:pPr>
        <w:pStyle w:val="FootnoteText"/>
        <w:tabs>
          <w:tab w:val="clear" w:pos="418"/>
          <w:tab w:val="right" w:pos="1476"/>
          <w:tab w:val="left" w:pos="1548"/>
          <w:tab w:val="right" w:pos="1836"/>
          <w:tab w:val="left" w:pos="1908"/>
        </w:tabs>
        <w:ind w:left="1548" w:right="1267" w:hanging="423"/>
      </w:pPr>
      <w:r w:rsidRPr="00404AD7">
        <w:rPr>
          <w:i/>
          <w:iCs/>
        </w:rPr>
        <w:t>Source</w:t>
      </w:r>
      <w:r w:rsidRPr="00404AD7">
        <w:t>: Statistics Estonia</w:t>
      </w:r>
    </w:p>
    <w:p w14:paraId="706F1EE6" w14:textId="7201470D" w:rsidR="003437DC" w:rsidRPr="00404AD7" w:rsidRDefault="003437DC" w:rsidP="003437DC">
      <w:pPr>
        <w:pStyle w:val="FootnoteText"/>
        <w:tabs>
          <w:tab w:val="clear" w:pos="418"/>
          <w:tab w:val="right" w:pos="1476"/>
          <w:tab w:val="left" w:pos="1548"/>
          <w:tab w:val="right" w:pos="1836"/>
          <w:tab w:val="left" w:pos="1908"/>
        </w:tabs>
        <w:spacing w:line="120" w:lineRule="exact"/>
        <w:ind w:left="1548" w:right="1267" w:hanging="423"/>
        <w:rPr>
          <w:i/>
          <w:iCs/>
          <w:sz w:val="10"/>
        </w:rPr>
      </w:pPr>
    </w:p>
    <w:p w14:paraId="360FB456" w14:textId="36CEF44C" w:rsidR="003437DC" w:rsidRPr="00404AD7" w:rsidRDefault="003437DC" w:rsidP="003437DC">
      <w:pPr>
        <w:pStyle w:val="FootnoteText"/>
        <w:tabs>
          <w:tab w:val="clear" w:pos="418"/>
          <w:tab w:val="right" w:pos="1476"/>
          <w:tab w:val="left" w:pos="1548"/>
          <w:tab w:val="right" w:pos="1836"/>
          <w:tab w:val="left" w:pos="1908"/>
        </w:tabs>
        <w:spacing w:line="120" w:lineRule="exact"/>
        <w:ind w:left="1548" w:right="1267" w:hanging="423"/>
        <w:rPr>
          <w:sz w:val="10"/>
        </w:rPr>
      </w:pPr>
    </w:p>
    <w:p w14:paraId="190992D3" w14:textId="275029E2" w:rsidR="003437DC" w:rsidRPr="00404AD7" w:rsidRDefault="00691AC7" w:rsidP="003437DC">
      <w:pPr>
        <w:pStyle w:val="FootnoteText"/>
        <w:tabs>
          <w:tab w:val="clear" w:pos="418"/>
          <w:tab w:val="right" w:pos="1476"/>
          <w:tab w:val="left" w:pos="1548"/>
          <w:tab w:val="right" w:pos="1836"/>
          <w:tab w:val="left" w:pos="1908"/>
        </w:tabs>
        <w:ind w:left="1548" w:right="1267" w:hanging="423"/>
        <w:rPr>
          <w:b/>
          <w:bCs/>
          <w:sz w:val="20"/>
        </w:rPr>
      </w:pPr>
      <w:bookmarkStart w:id="63" w:name="_Toc108692430"/>
      <w:r w:rsidRPr="00404AD7">
        <w:rPr>
          <w:b/>
          <w:bCs/>
          <w:sz w:val="20"/>
        </w:rPr>
        <w:t>Table: At-risk-of-poverty rate by Sex and Disability, in 2020, %</w:t>
      </w:r>
      <w:bookmarkEnd w:id="63"/>
    </w:p>
    <w:p w14:paraId="49638E41" w14:textId="37F12C91" w:rsidR="00691AC7" w:rsidRPr="00404AD7" w:rsidRDefault="00691AC7" w:rsidP="00691AC7">
      <w:pPr>
        <w:pStyle w:val="FootnoteText"/>
        <w:tabs>
          <w:tab w:val="clear" w:pos="418"/>
          <w:tab w:val="right" w:pos="1476"/>
          <w:tab w:val="left" w:pos="1548"/>
          <w:tab w:val="right" w:pos="1836"/>
          <w:tab w:val="left" w:pos="1908"/>
        </w:tabs>
        <w:spacing w:line="120" w:lineRule="exact"/>
        <w:ind w:left="1548" w:right="1267" w:hanging="423"/>
        <w:rPr>
          <w:b/>
          <w:bCs/>
          <w:sz w:val="10"/>
        </w:rPr>
      </w:pPr>
    </w:p>
    <w:p w14:paraId="3A478221" w14:textId="64580274" w:rsidR="00691AC7" w:rsidRPr="00404AD7" w:rsidRDefault="00691AC7" w:rsidP="00691AC7">
      <w:pPr>
        <w:pStyle w:val="FootnoteText"/>
        <w:tabs>
          <w:tab w:val="clear" w:pos="418"/>
          <w:tab w:val="right" w:pos="1476"/>
          <w:tab w:val="left" w:pos="1548"/>
          <w:tab w:val="right" w:pos="1836"/>
          <w:tab w:val="left" w:pos="1908"/>
        </w:tabs>
        <w:spacing w:line="120" w:lineRule="exact"/>
        <w:ind w:left="1548" w:right="1267" w:hanging="423"/>
        <w:rPr>
          <w:sz w:val="10"/>
        </w:rPr>
      </w:pPr>
    </w:p>
    <w:tbl>
      <w:tblPr>
        <w:tblW w:w="7452" w:type="dxa"/>
        <w:tblInd w:w="1134" w:type="dxa"/>
        <w:tblLayout w:type="fixed"/>
        <w:tblCellMar>
          <w:left w:w="0" w:type="dxa"/>
          <w:right w:w="0" w:type="dxa"/>
        </w:tblCellMar>
        <w:tblLook w:val="04A0" w:firstRow="1" w:lastRow="0" w:firstColumn="1" w:lastColumn="0" w:noHBand="0" w:noVBand="1"/>
      </w:tblPr>
      <w:tblGrid>
        <w:gridCol w:w="1169"/>
        <w:gridCol w:w="1225"/>
        <w:gridCol w:w="1209"/>
        <w:gridCol w:w="1196"/>
        <w:gridCol w:w="1181"/>
        <w:gridCol w:w="1472"/>
      </w:tblGrid>
      <w:tr w:rsidR="00B53FE7" w:rsidRPr="00404AD7" w14:paraId="00232939" w14:textId="77777777" w:rsidTr="00B53FE7">
        <w:trPr>
          <w:tblHeader/>
        </w:trPr>
        <w:tc>
          <w:tcPr>
            <w:tcW w:w="1169" w:type="dxa"/>
            <w:tcBorders>
              <w:top w:val="single" w:sz="4" w:space="0" w:color="auto"/>
              <w:bottom w:val="single" w:sz="12" w:space="0" w:color="auto"/>
            </w:tcBorders>
            <w:shd w:val="clear" w:color="auto" w:fill="auto"/>
            <w:noWrap/>
            <w:vAlign w:val="bottom"/>
            <w:hideMark/>
          </w:tcPr>
          <w:p w14:paraId="24D11A98" w14:textId="77777777" w:rsidR="00B53FE7" w:rsidRPr="00404AD7" w:rsidRDefault="00B53FE7" w:rsidP="00E53FC8">
            <w:pPr>
              <w:pStyle w:val="SingleTxtG"/>
              <w:tabs>
                <w:tab w:val="clear" w:pos="1701"/>
                <w:tab w:val="clear" w:pos="2268"/>
                <w:tab w:val="clear" w:pos="2835"/>
              </w:tabs>
              <w:suppressAutoHyphens w:val="0"/>
              <w:spacing w:before="80" w:after="80" w:line="200" w:lineRule="exact"/>
              <w:ind w:left="0" w:right="0"/>
              <w:jc w:val="left"/>
              <w:rPr>
                <w:i/>
                <w:sz w:val="16"/>
              </w:rPr>
            </w:pPr>
            <w:r w:rsidRPr="00404AD7">
              <w:rPr>
                <w:i/>
                <w:sz w:val="16"/>
              </w:rPr>
              <w:t> </w:t>
            </w:r>
          </w:p>
        </w:tc>
        <w:tc>
          <w:tcPr>
            <w:tcW w:w="1225" w:type="dxa"/>
            <w:tcBorders>
              <w:top w:val="single" w:sz="4" w:space="0" w:color="auto"/>
              <w:bottom w:val="single" w:sz="12" w:space="0" w:color="auto"/>
            </w:tcBorders>
            <w:shd w:val="clear" w:color="auto" w:fill="auto"/>
            <w:noWrap/>
            <w:vAlign w:val="bottom"/>
            <w:hideMark/>
          </w:tcPr>
          <w:p w14:paraId="04F60F8A" w14:textId="77777777" w:rsidR="00B53FE7" w:rsidRPr="00404AD7" w:rsidRDefault="00B53FE7"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Persons with and without disability</w:t>
            </w:r>
          </w:p>
        </w:tc>
        <w:tc>
          <w:tcPr>
            <w:tcW w:w="1209" w:type="dxa"/>
            <w:tcBorders>
              <w:top w:val="single" w:sz="4" w:space="0" w:color="auto"/>
              <w:bottom w:val="single" w:sz="12" w:space="0" w:color="auto"/>
            </w:tcBorders>
            <w:shd w:val="clear" w:color="auto" w:fill="auto"/>
            <w:noWrap/>
            <w:vAlign w:val="bottom"/>
            <w:hideMark/>
          </w:tcPr>
          <w:p w14:paraId="6EBEDE32" w14:textId="77777777" w:rsidR="00B53FE7" w:rsidRPr="00404AD7" w:rsidRDefault="00B53FE7"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Disabled persons</w:t>
            </w:r>
          </w:p>
        </w:tc>
        <w:tc>
          <w:tcPr>
            <w:tcW w:w="1196" w:type="dxa"/>
            <w:tcBorders>
              <w:top w:val="single" w:sz="4" w:space="0" w:color="auto"/>
              <w:bottom w:val="single" w:sz="12" w:space="0" w:color="auto"/>
            </w:tcBorders>
            <w:shd w:val="clear" w:color="auto" w:fill="auto"/>
            <w:noWrap/>
            <w:vAlign w:val="bottom"/>
            <w:hideMark/>
          </w:tcPr>
          <w:p w14:paraId="2B5F25CB" w14:textId="77777777" w:rsidR="00B53FE7" w:rsidRPr="00404AD7" w:rsidRDefault="00B53FE7"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Persons with limited capacity for work</w:t>
            </w:r>
          </w:p>
        </w:tc>
        <w:tc>
          <w:tcPr>
            <w:tcW w:w="1181" w:type="dxa"/>
            <w:tcBorders>
              <w:top w:val="single" w:sz="4" w:space="0" w:color="auto"/>
              <w:bottom w:val="single" w:sz="12" w:space="0" w:color="auto"/>
            </w:tcBorders>
            <w:shd w:val="clear" w:color="auto" w:fill="auto"/>
            <w:noWrap/>
            <w:vAlign w:val="bottom"/>
            <w:hideMark/>
          </w:tcPr>
          <w:p w14:paraId="7C399982" w14:textId="77777777" w:rsidR="00B53FE7" w:rsidRPr="00404AD7" w:rsidRDefault="00B53FE7"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Persons without work ability and with partial work ability</w:t>
            </w:r>
          </w:p>
        </w:tc>
        <w:tc>
          <w:tcPr>
            <w:tcW w:w="1472" w:type="dxa"/>
            <w:tcBorders>
              <w:top w:val="single" w:sz="4" w:space="0" w:color="auto"/>
              <w:bottom w:val="single" w:sz="12" w:space="0" w:color="auto"/>
            </w:tcBorders>
            <w:shd w:val="clear" w:color="auto" w:fill="auto"/>
            <w:noWrap/>
            <w:vAlign w:val="bottom"/>
            <w:hideMark/>
          </w:tcPr>
          <w:p w14:paraId="48C31C58" w14:textId="77777777" w:rsidR="00B53FE7" w:rsidRPr="00404AD7" w:rsidRDefault="00B53FE7" w:rsidP="00E53FC8">
            <w:pPr>
              <w:pStyle w:val="SingleTxtG"/>
              <w:tabs>
                <w:tab w:val="clear" w:pos="1701"/>
                <w:tab w:val="clear" w:pos="2268"/>
                <w:tab w:val="clear" w:pos="2835"/>
              </w:tabs>
              <w:suppressAutoHyphens w:val="0"/>
              <w:spacing w:before="80" w:after="80" w:line="200" w:lineRule="exact"/>
              <w:ind w:left="0" w:right="0"/>
              <w:jc w:val="right"/>
              <w:rPr>
                <w:i/>
                <w:sz w:val="16"/>
              </w:rPr>
            </w:pPr>
            <w:r w:rsidRPr="00404AD7">
              <w:rPr>
                <w:i/>
                <w:sz w:val="16"/>
              </w:rPr>
              <w:t>Persons with activity limitations</w:t>
            </w:r>
          </w:p>
        </w:tc>
      </w:tr>
      <w:tr w:rsidR="00B53FE7" w:rsidRPr="00404AD7" w14:paraId="7F468426" w14:textId="77777777" w:rsidTr="00B53FE7">
        <w:tc>
          <w:tcPr>
            <w:tcW w:w="1169" w:type="dxa"/>
            <w:tcBorders>
              <w:top w:val="single" w:sz="12" w:space="0" w:color="auto"/>
            </w:tcBorders>
            <w:shd w:val="clear" w:color="auto" w:fill="auto"/>
            <w:noWrap/>
            <w:hideMark/>
          </w:tcPr>
          <w:p w14:paraId="5FF12D99" w14:textId="77777777" w:rsidR="00B53FE7" w:rsidRPr="00404AD7" w:rsidRDefault="00B53FE7"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Men</w:t>
            </w:r>
          </w:p>
        </w:tc>
        <w:tc>
          <w:tcPr>
            <w:tcW w:w="1225" w:type="dxa"/>
            <w:tcBorders>
              <w:top w:val="single" w:sz="12" w:space="0" w:color="auto"/>
            </w:tcBorders>
            <w:shd w:val="clear" w:color="auto" w:fill="auto"/>
            <w:noWrap/>
            <w:vAlign w:val="bottom"/>
            <w:hideMark/>
          </w:tcPr>
          <w:p w14:paraId="426F21C5" w14:textId="77777777" w:rsidR="00B53FE7" w:rsidRPr="00404AD7" w:rsidRDefault="00B53FE7"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18</w:t>
            </w:r>
          </w:p>
        </w:tc>
        <w:tc>
          <w:tcPr>
            <w:tcW w:w="1209" w:type="dxa"/>
            <w:tcBorders>
              <w:top w:val="single" w:sz="12" w:space="0" w:color="auto"/>
            </w:tcBorders>
            <w:shd w:val="clear" w:color="auto" w:fill="auto"/>
            <w:noWrap/>
            <w:vAlign w:val="bottom"/>
            <w:hideMark/>
          </w:tcPr>
          <w:p w14:paraId="3C6F6CF7" w14:textId="77777777" w:rsidR="00B53FE7" w:rsidRPr="00404AD7" w:rsidRDefault="00B53FE7"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36,5</w:t>
            </w:r>
          </w:p>
        </w:tc>
        <w:tc>
          <w:tcPr>
            <w:tcW w:w="1196" w:type="dxa"/>
            <w:tcBorders>
              <w:top w:val="single" w:sz="12" w:space="0" w:color="auto"/>
            </w:tcBorders>
            <w:shd w:val="clear" w:color="auto" w:fill="auto"/>
            <w:noWrap/>
            <w:vAlign w:val="bottom"/>
            <w:hideMark/>
          </w:tcPr>
          <w:p w14:paraId="19B416E0" w14:textId="77777777" w:rsidR="00B53FE7" w:rsidRPr="00404AD7" w:rsidRDefault="00B53FE7"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32,9</w:t>
            </w:r>
          </w:p>
        </w:tc>
        <w:tc>
          <w:tcPr>
            <w:tcW w:w="1181" w:type="dxa"/>
            <w:tcBorders>
              <w:top w:val="single" w:sz="12" w:space="0" w:color="auto"/>
            </w:tcBorders>
            <w:shd w:val="clear" w:color="auto" w:fill="auto"/>
            <w:noWrap/>
            <w:vAlign w:val="bottom"/>
            <w:hideMark/>
          </w:tcPr>
          <w:p w14:paraId="2CDE4C5E" w14:textId="77777777" w:rsidR="00B53FE7" w:rsidRPr="00404AD7" w:rsidRDefault="00B53FE7"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31,9</w:t>
            </w:r>
          </w:p>
        </w:tc>
        <w:tc>
          <w:tcPr>
            <w:tcW w:w="1472" w:type="dxa"/>
            <w:tcBorders>
              <w:top w:val="single" w:sz="12" w:space="0" w:color="auto"/>
            </w:tcBorders>
            <w:shd w:val="clear" w:color="auto" w:fill="auto"/>
            <w:noWrap/>
            <w:vAlign w:val="bottom"/>
            <w:hideMark/>
          </w:tcPr>
          <w:p w14:paraId="67248671" w14:textId="77777777" w:rsidR="00B53FE7" w:rsidRPr="00404AD7" w:rsidRDefault="00B53FE7"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27,6</w:t>
            </w:r>
          </w:p>
        </w:tc>
      </w:tr>
      <w:tr w:rsidR="00B53FE7" w:rsidRPr="00404AD7" w14:paraId="2DA51C68" w14:textId="77777777" w:rsidTr="00B53FE7">
        <w:tc>
          <w:tcPr>
            <w:tcW w:w="1169" w:type="dxa"/>
            <w:tcBorders>
              <w:bottom w:val="single" w:sz="12" w:space="0" w:color="auto"/>
            </w:tcBorders>
            <w:shd w:val="clear" w:color="auto" w:fill="auto"/>
            <w:noWrap/>
            <w:hideMark/>
          </w:tcPr>
          <w:p w14:paraId="4F48A39C" w14:textId="77777777" w:rsidR="00B53FE7" w:rsidRPr="00404AD7" w:rsidRDefault="00B53FE7" w:rsidP="00E53FC8">
            <w:pPr>
              <w:pStyle w:val="SingleTxtG"/>
              <w:tabs>
                <w:tab w:val="clear" w:pos="1701"/>
                <w:tab w:val="clear" w:pos="2268"/>
                <w:tab w:val="clear" w:pos="2835"/>
              </w:tabs>
              <w:suppressAutoHyphens w:val="0"/>
              <w:spacing w:before="40" w:after="40" w:line="220" w:lineRule="exact"/>
              <w:ind w:left="0" w:right="0"/>
              <w:jc w:val="left"/>
              <w:rPr>
                <w:sz w:val="18"/>
              </w:rPr>
            </w:pPr>
            <w:r w:rsidRPr="00404AD7">
              <w:rPr>
                <w:sz w:val="18"/>
              </w:rPr>
              <w:t>Women</w:t>
            </w:r>
          </w:p>
        </w:tc>
        <w:tc>
          <w:tcPr>
            <w:tcW w:w="1225" w:type="dxa"/>
            <w:tcBorders>
              <w:bottom w:val="single" w:sz="12" w:space="0" w:color="auto"/>
            </w:tcBorders>
            <w:shd w:val="clear" w:color="auto" w:fill="auto"/>
            <w:noWrap/>
            <w:vAlign w:val="bottom"/>
            <w:hideMark/>
          </w:tcPr>
          <w:p w14:paraId="30B9709D" w14:textId="77777777" w:rsidR="00B53FE7" w:rsidRPr="00404AD7" w:rsidRDefault="00B53FE7"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22,9</w:t>
            </w:r>
          </w:p>
        </w:tc>
        <w:tc>
          <w:tcPr>
            <w:tcW w:w="1209" w:type="dxa"/>
            <w:tcBorders>
              <w:bottom w:val="single" w:sz="12" w:space="0" w:color="auto"/>
            </w:tcBorders>
            <w:shd w:val="clear" w:color="auto" w:fill="auto"/>
            <w:noWrap/>
            <w:vAlign w:val="bottom"/>
            <w:hideMark/>
          </w:tcPr>
          <w:p w14:paraId="552201D0" w14:textId="77777777" w:rsidR="00B53FE7" w:rsidRPr="00404AD7" w:rsidRDefault="00B53FE7"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46,6</w:t>
            </w:r>
          </w:p>
        </w:tc>
        <w:tc>
          <w:tcPr>
            <w:tcW w:w="1196" w:type="dxa"/>
            <w:tcBorders>
              <w:bottom w:val="single" w:sz="12" w:space="0" w:color="auto"/>
            </w:tcBorders>
            <w:shd w:val="clear" w:color="auto" w:fill="auto"/>
            <w:noWrap/>
            <w:vAlign w:val="bottom"/>
            <w:hideMark/>
          </w:tcPr>
          <w:p w14:paraId="14AC6D0B" w14:textId="77777777" w:rsidR="00B53FE7" w:rsidRPr="00404AD7" w:rsidRDefault="00B53FE7"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23,8</w:t>
            </w:r>
          </w:p>
        </w:tc>
        <w:tc>
          <w:tcPr>
            <w:tcW w:w="1181" w:type="dxa"/>
            <w:tcBorders>
              <w:bottom w:val="single" w:sz="12" w:space="0" w:color="auto"/>
            </w:tcBorders>
            <w:shd w:val="clear" w:color="auto" w:fill="auto"/>
            <w:noWrap/>
            <w:vAlign w:val="bottom"/>
            <w:hideMark/>
          </w:tcPr>
          <w:p w14:paraId="35E008BA" w14:textId="77777777" w:rsidR="00B53FE7" w:rsidRPr="00404AD7" w:rsidRDefault="00B53FE7"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22,3</w:t>
            </w:r>
          </w:p>
        </w:tc>
        <w:tc>
          <w:tcPr>
            <w:tcW w:w="1472" w:type="dxa"/>
            <w:tcBorders>
              <w:bottom w:val="single" w:sz="12" w:space="0" w:color="auto"/>
            </w:tcBorders>
            <w:shd w:val="clear" w:color="auto" w:fill="auto"/>
            <w:noWrap/>
            <w:vAlign w:val="bottom"/>
            <w:hideMark/>
          </w:tcPr>
          <w:p w14:paraId="6EBB9737" w14:textId="77777777" w:rsidR="00B53FE7" w:rsidRPr="00404AD7" w:rsidRDefault="00B53FE7" w:rsidP="00E53FC8">
            <w:pPr>
              <w:pStyle w:val="SingleTxtG"/>
              <w:tabs>
                <w:tab w:val="clear" w:pos="1701"/>
                <w:tab w:val="clear" w:pos="2268"/>
                <w:tab w:val="clear" w:pos="2835"/>
              </w:tabs>
              <w:suppressAutoHyphens w:val="0"/>
              <w:spacing w:before="40" w:after="40" w:line="220" w:lineRule="exact"/>
              <w:ind w:left="0" w:right="0"/>
              <w:jc w:val="right"/>
              <w:rPr>
                <w:sz w:val="18"/>
              </w:rPr>
            </w:pPr>
            <w:r w:rsidRPr="00404AD7">
              <w:rPr>
                <w:sz w:val="18"/>
              </w:rPr>
              <w:t>38,5</w:t>
            </w:r>
          </w:p>
        </w:tc>
      </w:tr>
    </w:tbl>
    <w:p w14:paraId="1F630D82" w14:textId="024D6573" w:rsidR="00691AC7" w:rsidRPr="00404AD7" w:rsidRDefault="00691AC7" w:rsidP="002F4BD0">
      <w:pPr>
        <w:pStyle w:val="FootnoteText"/>
        <w:tabs>
          <w:tab w:val="clear" w:pos="418"/>
          <w:tab w:val="right" w:pos="1476"/>
          <w:tab w:val="left" w:pos="1548"/>
          <w:tab w:val="right" w:pos="1836"/>
          <w:tab w:val="left" w:pos="1908"/>
        </w:tabs>
        <w:spacing w:line="120" w:lineRule="exact"/>
        <w:ind w:left="1548" w:right="1267" w:hanging="423"/>
        <w:rPr>
          <w:sz w:val="10"/>
        </w:rPr>
      </w:pPr>
    </w:p>
    <w:p w14:paraId="6E399B3B" w14:textId="0BE17A88" w:rsidR="002F4BD0" w:rsidRPr="00404AD7" w:rsidRDefault="002F4BD0" w:rsidP="002F4BD0">
      <w:pPr>
        <w:pStyle w:val="FootnoteText"/>
        <w:tabs>
          <w:tab w:val="clear" w:pos="418"/>
          <w:tab w:val="right" w:pos="1476"/>
          <w:tab w:val="left" w:pos="1548"/>
          <w:tab w:val="right" w:pos="1836"/>
          <w:tab w:val="left" w:pos="1908"/>
        </w:tabs>
        <w:ind w:left="1548" w:right="1267" w:hanging="423"/>
      </w:pPr>
      <w:r w:rsidRPr="00404AD7">
        <w:rPr>
          <w:i/>
          <w:iCs/>
        </w:rPr>
        <w:t>Source</w:t>
      </w:r>
      <w:r w:rsidRPr="00404AD7">
        <w:t>: Statistics Estonia</w:t>
      </w:r>
    </w:p>
    <w:p w14:paraId="64265C2A" w14:textId="2EAAB045" w:rsidR="002F4BD0" w:rsidRPr="00404AD7" w:rsidRDefault="002F4BD0" w:rsidP="002F4BD0">
      <w:pPr>
        <w:pStyle w:val="FootnoteText"/>
        <w:tabs>
          <w:tab w:val="clear" w:pos="418"/>
          <w:tab w:val="right" w:pos="1476"/>
          <w:tab w:val="left" w:pos="1548"/>
          <w:tab w:val="right" w:pos="1836"/>
          <w:tab w:val="left" w:pos="1908"/>
        </w:tabs>
        <w:spacing w:line="120" w:lineRule="exact"/>
        <w:ind w:left="1548" w:right="1267" w:hanging="423"/>
        <w:rPr>
          <w:sz w:val="10"/>
        </w:rPr>
      </w:pPr>
    </w:p>
    <w:p w14:paraId="653907F4" w14:textId="57F30104" w:rsidR="002F4BD0" w:rsidRPr="00404AD7" w:rsidRDefault="002F4BD0" w:rsidP="002F4BD0">
      <w:pPr>
        <w:pStyle w:val="FootnoteText"/>
        <w:tabs>
          <w:tab w:val="clear" w:pos="418"/>
          <w:tab w:val="right" w:pos="1476"/>
          <w:tab w:val="left" w:pos="1548"/>
          <w:tab w:val="right" w:pos="1836"/>
          <w:tab w:val="left" w:pos="1908"/>
        </w:tabs>
        <w:spacing w:line="120" w:lineRule="exact"/>
        <w:ind w:left="1548" w:right="1267" w:hanging="423"/>
        <w:rPr>
          <w:sz w:val="10"/>
        </w:rPr>
      </w:pPr>
    </w:p>
    <w:p w14:paraId="6C1E7C75" w14:textId="77777777" w:rsidR="00576DB7" w:rsidRPr="00404AD7" w:rsidRDefault="00576DB7">
      <w:pPr>
        <w:suppressAutoHyphens w:val="0"/>
        <w:spacing w:after="200" w:line="276" w:lineRule="auto"/>
        <w:rPr>
          <w:b/>
          <w:bCs/>
          <w:spacing w:val="5"/>
        </w:rPr>
      </w:pPr>
      <w:bookmarkStart w:id="64" w:name="_Toc108692431"/>
      <w:r w:rsidRPr="00404AD7">
        <w:rPr>
          <w:b/>
          <w:bCs/>
        </w:rPr>
        <w:br w:type="page"/>
      </w:r>
    </w:p>
    <w:p w14:paraId="207AED71" w14:textId="55384E3E" w:rsidR="002F4BD0" w:rsidRPr="00404AD7" w:rsidRDefault="004C4936" w:rsidP="002F4BD0">
      <w:pPr>
        <w:pStyle w:val="FootnoteText"/>
        <w:tabs>
          <w:tab w:val="clear" w:pos="418"/>
          <w:tab w:val="right" w:pos="1476"/>
          <w:tab w:val="left" w:pos="1548"/>
          <w:tab w:val="right" w:pos="1836"/>
          <w:tab w:val="left" w:pos="1908"/>
        </w:tabs>
        <w:ind w:left="1548" w:right="1267" w:hanging="423"/>
        <w:rPr>
          <w:b/>
          <w:bCs/>
          <w:sz w:val="20"/>
        </w:rPr>
      </w:pPr>
      <w:r w:rsidRPr="00404AD7">
        <w:rPr>
          <w:b/>
          <w:bCs/>
          <w:sz w:val="20"/>
        </w:rPr>
        <w:lastRenderedPageBreak/>
        <w:t>Table: At-risk-of-poverty rate of elderly by Sex and Age, in 2020, %</w:t>
      </w:r>
      <w:bookmarkEnd w:id="64"/>
    </w:p>
    <w:p w14:paraId="5BE96007" w14:textId="2315E601" w:rsidR="004C4936" w:rsidRPr="00404AD7" w:rsidRDefault="004C4936" w:rsidP="004C4936">
      <w:pPr>
        <w:pStyle w:val="FootnoteText"/>
        <w:tabs>
          <w:tab w:val="clear" w:pos="418"/>
          <w:tab w:val="right" w:pos="1476"/>
          <w:tab w:val="left" w:pos="1548"/>
          <w:tab w:val="right" w:pos="1836"/>
          <w:tab w:val="left" w:pos="1908"/>
        </w:tabs>
        <w:spacing w:line="120" w:lineRule="exact"/>
        <w:ind w:left="1548" w:right="1267" w:hanging="423"/>
        <w:rPr>
          <w:b/>
          <w:bCs/>
          <w:sz w:val="10"/>
        </w:rPr>
      </w:pPr>
    </w:p>
    <w:p w14:paraId="1A2578B3" w14:textId="2A9437AE" w:rsidR="004C4936" w:rsidRPr="00404AD7" w:rsidRDefault="004C4936" w:rsidP="004C4936">
      <w:pPr>
        <w:pStyle w:val="FootnoteText"/>
        <w:tabs>
          <w:tab w:val="clear" w:pos="418"/>
          <w:tab w:val="right" w:pos="1476"/>
          <w:tab w:val="left" w:pos="1548"/>
          <w:tab w:val="right" w:pos="1836"/>
          <w:tab w:val="left" w:pos="1908"/>
        </w:tabs>
        <w:spacing w:line="120" w:lineRule="exact"/>
        <w:ind w:left="1548" w:right="1267" w:hanging="423"/>
        <w:rPr>
          <w:sz w:val="10"/>
        </w:rPr>
      </w:pPr>
    </w:p>
    <w:tbl>
      <w:tblPr>
        <w:tblW w:w="7506" w:type="dxa"/>
        <w:tblInd w:w="1134" w:type="dxa"/>
        <w:tblLayout w:type="fixed"/>
        <w:tblCellMar>
          <w:left w:w="0" w:type="dxa"/>
          <w:right w:w="0" w:type="dxa"/>
        </w:tblCellMar>
        <w:tblLook w:val="04A0" w:firstRow="1" w:lastRow="0" w:firstColumn="1" w:lastColumn="0" w:noHBand="0" w:noVBand="1"/>
      </w:tblPr>
      <w:tblGrid>
        <w:gridCol w:w="2772"/>
        <w:gridCol w:w="2299"/>
        <w:gridCol w:w="2435"/>
      </w:tblGrid>
      <w:tr w:rsidR="00065F99" w:rsidRPr="00404AD7" w14:paraId="553072B6" w14:textId="77777777" w:rsidTr="00065F99">
        <w:trPr>
          <w:tblHeader/>
        </w:trPr>
        <w:tc>
          <w:tcPr>
            <w:tcW w:w="2772" w:type="dxa"/>
            <w:tcBorders>
              <w:top w:val="single" w:sz="4" w:space="0" w:color="auto"/>
              <w:bottom w:val="single" w:sz="12" w:space="0" w:color="auto"/>
            </w:tcBorders>
            <w:shd w:val="clear" w:color="auto" w:fill="auto"/>
            <w:noWrap/>
            <w:vAlign w:val="bottom"/>
            <w:hideMark/>
          </w:tcPr>
          <w:p w14:paraId="682B7867" w14:textId="77777777" w:rsidR="00065F99" w:rsidRPr="00404AD7" w:rsidRDefault="00065F99" w:rsidP="00E53FC8">
            <w:pPr>
              <w:suppressAutoHyphens w:val="0"/>
              <w:spacing w:before="80" w:after="80" w:line="200" w:lineRule="exact"/>
              <w:rPr>
                <w:i/>
                <w:sz w:val="16"/>
                <w:lang w:eastAsia="et-EE"/>
              </w:rPr>
            </w:pPr>
            <w:r w:rsidRPr="00404AD7">
              <w:rPr>
                <w:i/>
                <w:sz w:val="16"/>
                <w:lang w:eastAsia="et-EE"/>
              </w:rPr>
              <w:t> </w:t>
            </w:r>
          </w:p>
        </w:tc>
        <w:tc>
          <w:tcPr>
            <w:tcW w:w="2299" w:type="dxa"/>
            <w:tcBorders>
              <w:top w:val="single" w:sz="4" w:space="0" w:color="auto"/>
              <w:bottom w:val="single" w:sz="12" w:space="0" w:color="auto"/>
            </w:tcBorders>
            <w:shd w:val="clear" w:color="auto" w:fill="auto"/>
            <w:noWrap/>
            <w:vAlign w:val="bottom"/>
            <w:hideMark/>
          </w:tcPr>
          <w:p w14:paraId="66B702D3" w14:textId="77777777" w:rsidR="00065F99" w:rsidRPr="00404AD7" w:rsidRDefault="00065F99" w:rsidP="00E53FC8">
            <w:pPr>
              <w:suppressAutoHyphens w:val="0"/>
              <w:spacing w:before="80" w:after="80" w:line="200" w:lineRule="exact"/>
              <w:jc w:val="right"/>
              <w:rPr>
                <w:i/>
                <w:sz w:val="16"/>
                <w:lang w:eastAsia="et-EE"/>
              </w:rPr>
            </w:pPr>
            <w:r w:rsidRPr="00404AD7">
              <w:rPr>
                <w:i/>
                <w:sz w:val="16"/>
                <w:lang w:eastAsia="et-EE"/>
              </w:rPr>
              <w:t>Men</w:t>
            </w:r>
          </w:p>
        </w:tc>
        <w:tc>
          <w:tcPr>
            <w:tcW w:w="2435" w:type="dxa"/>
            <w:tcBorders>
              <w:top w:val="single" w:sz="4" w:space="0" w:color="auto"/>
              <w:bottom w:val="single" w:sz="12" w:space="0" w:color="auto"/>
            </w:tcBorders>
            <w:shd w:val="clear" w:color="auto" w:fill="auto"/>
            <w:noWrap/>
            <w:vAlign w:val="bottom"/>
            <w:hideMark/>
          </w:tcPr>
          <w:p w14:paraId="15F438B7" w14:textId="77777777" w:rsidR="00065F99" w:rsidRPr="00404AD7" w:rsidRDefault="00065F99" w:rsidP="00E53FC8">
            <w:pPr>
              <w:suppressAutoHyphens w:val="0"/>
              <w:spacing w:before="80" w:after="80" w:line="200" w:lineRule="exact"/>
              <w:jc w:val="right"/>
              <w:rPr>
                <w:i/>
                <w:sz w:val="16"/>
                <w:lang w:eastAsia="et-EE"/>
              </w:rPr>
            </w:pPr>
            <w:r w:rsidRPr="00404AD7">
              <w:rPr>
                <w:i/>
                <w:sz w:val="16"/>
                <w:lang w:eastAsia="et-EE"/>
              </w:rPr>
              <w:t>Women</w:t>
            </w:r>
          </w:p>
        </w:tc>
      </w:tr>
      <w:tr w:rsidR="00065F99" w:rsidRPr="00404AD7" w14:paraId="4E4EECE3" w14:textId="77777777" w:rsidTr="00065F99">
        <w:tc>
          <w:tcPr>
            <w:tcW w:w="2772" w:type="dxa"/>
            <w:tcBorders>
              <w:top w:val="single" w:sz="12" w:space="0" w:color="auto"/>
            </w:tcBorders>
            <w:shd w:val="clear" w:color="auto" w:fill="auto"/>
            <w:noWrap/>
            <w:hideMark/>
          </w:tcPr>
          <w:p w14:paraId="3EAD8CBB" w14:textId="77777777" w:rsidR="00065F99" w:rsidRPr="00404AD7" w:rsidRDefault="00065F99" w:rsidP="00E53FC8">
            <w:pPr>
              <w:suppressAutoHyphens w:val="0"/>
              <w:spacing w:before="40" w:after="40" w:line="220" w:lineRule="exact"/>
              <w:rPr>
                <w:b/>
                <w:sz w:val="18"/>
                <w:lang w:eastAsia="et-EE"/>
              </w:rPr>
            </w:pPr>
            <w:r w:rsidRPr="00404AD7">
              <w:rPr>
                <w:b/>
                <w:sz w:val="18"/>
                <w:lang w:eastAsia="et-EE"/>
              </w:rPr>
              <w:t>60 and older</w:t>
            </w:r>
          </w:p>
        </w:tc>
        <w:tc>
          <w:tcPr>
            <w:tcW w:w="2299" w:type="dxa"/>
            <w:tcBorders>
              <w:top w:val="single" w:sz="12" w:space="0" w:color="auto"/>
            </w:tcBorders>
            <w:shd w:val="clear" w:color="auto" w:fill="auto"/>
            <w:noWrap/>
            <w:vAlign w:val="bottom"/>
            <w:hideMark/>
          </w:tcPr>
          <w:p w14:paraId="22FCA8E5" w14:textId="77777777" w:rsidR="00065F99" w:rsidRPr="00404AD7" w:rsidRDefault="00065F99" w:rsidP="00E53FC8">
            <w:pPr>
              <w:suppressAutoHyphens w:val="0"/>
              <w:spacing w:before="40" w:after="40" w:line="220" w:lineRule="exact"/>
              <w:jc w:val="right"/>
              <w:rPr>
                <w:sz w:val="18"/>
                <w:lang w:eastAsia="et-EE"/>
              </w:rPr>
            </w:pPr>
            <w:r w:rsidRPr="00404AD7">
              <w:rPr>
                <w:sz w:val="18"/>
                <w:lang w:eastAsia="et-EE"/>
              </w:rPr>
              <w:t>26,1</w:t>
            </w:r>
          </w:p>
        </w:tc>
        <w:tc>
          <w:tcPr>
            <w:tcW w:w="2435" w:type="dxa"/>
            <w:tcBorders>
              <w:top w:val="single" w:sz="12" w:space="0" w:color="auto"/>
            </w:tcBorders>
            <w:shd w:val="clear" w:color="auto" w:fill="auto"/>
            <w:noWrap/>
            <w:vAlign w:val="bottom"/>
            <w:hideMark/>
          </w:tcPr>
          <w:p w14:paraId="51E80D31" w14:textId="77777777" w:rsidR="00065F99" w:rsidRPr="00404AD7" w:rsidRDefault="00065F99" w:rsidP="00E53FC8">
            <w:pPr>
              <w:suppressAutoHyphens w:val="0"/>
              <w:spacing w:before="40" w:after="40" w:line="220" w:lineRule="exact"/>
              <w:jc w:val="right"/>
              <w:rPr>
                <w:sz w:val="18"/>
                <w:lang w:eastAsia="et-EE"/>
              </w:rPr>
            </w:pPr>
            <w:r w:rsidRPr="00404AD7">
              <w:rPr>
                <w:sz w:val="18"/>
                <w:lang w:eastAsia="et-EE"/>
              </w:rPr>
              <w:t>42,6</w:t>
            </w:r>
          </w:p>
        </w:tc>
      </w:tr>
      <w:tr w:rsidR="00065F99" w:rsidRPr="00404AD7" w14:paraId="1C8317A9" w14:textId="77777777" w:rsidTr="00065F99">
        <w:tc>
          <w:tcPr>
            <w:tcW w:w="2772" w:type="dxa"/>
            <w:shd w:val="clear" w:color="auto" w:fill="auto"/>
            <w:noWrap/>
            <w:hideMark/>
          </w:tcPr>
          <w:p w14:paraId="44E2A35F" w14:textId="77777777" w:rsidR="00065F99" w:rsidRPr="00404AD7" w:rsidRDefault="00065F99" w:rsidP="00E53FC8">
            <w:pPr>
              <w:suppressAutoHyphens w:val="0"/>
              <w:spacing w:before="40" w:after="40" w:line="220" w:lineRule="exact"/>
              <w:rPr>
                <w:b/>
                <w:sz w:val="18"/>
                <w:lang w:eastAsia="et-EE"/>
              </w:rPr>
            </w:pPr>
            <w:r w:rsidRPr="00404AD7">
              <w:rPr>
                <w:b/>
                <w:sz w:val="18"/>
                <w:lang w:eastAsia="et-EE"/>
              </w:rPr>
              <w:t>65 and older</w:t>
            </w:r>
          </w:p>
        </w:tc>
        <w:tc>
          <w:tcPr>
            <w:tcW w:w="2299" w:type="dxa"/>
            <w:shd w:val="clear" w:color="auto" w:fill="auto"/>
            <w:noWrap/>
            <w:vAlign w:val="bottom"/>
            <w:hideMark/>
          </w:tcPr>
          <w:p w14:paraId="45A2445C" w14:textId="77777777" w:rsidR="00065F99" w:rsidRPr="00404AD7" w:rsidRDefault="00065F99" w:rsidP="00E53FC8">
            <w:pPr>
              <w:suppressAutoHyphens w:val="0"/>
              <w:spacing w:before="40" w:after="40" w:line="220" w:lineRule="exact"/>
              <w:jc w:val="right"/>
              <w:rPr>
                <w:sz w:val="18"/>
                <w:lang w:eastAsia="et-EE"/>
              </w:rPr>
            </w:pPr>
            <w:r w:rsidRPr="00404AD7">
              <w:rPr>
                <w:sz w:val="18"/>
                <w:lang w:eastAsia="et-EE"/>
              </w:rPr>
              <w:t>27</w:t>
            </w:r>
          </w:p>
        </w:tc>
        <w:tc>
          <w:tcPr>
            <w:tcW w:w="2435" w:type="dxa"/>
            <w:shd w:val="clear" w:color="auto" w:fill="auto"/>
            <w:noWrap/>
            <w:vAlign w:val="bottom"/>
            <w:hideMark/>
          </w:tcPr>
          <w:p w14:paraId="7D2556E2" w14:textId="77777777" w:rsidR="00065F99" w:rsidRPr="00404AD7" w:rsidRDefault="00065F99" w:rsidP="00E53FC8">
            <w:pPr>
              <w:suppressAutoHyphens w:val="0"/>
              <w:spacing w:before="40" w:after="40" w:line="220" w:lineRule="exact"/>
              <w:jc w:val="right"/>
              <w:rPr>
                <w:sz w:val="18"/>
                <w:lang w:eastAsia="et-EE"/>
              </w:rPr>
            </w:pPr>
            <w:r w:rsidRPr="00404AD7">
              <w:rPr>
                <w:sz w:val="18"/>
                <w:lang w:eastAsia="et-EE"/>
              </w:rPr>
              <w:t>47,9</w:t>
            </w:r>
          </w:p>
        </w:tc>
      </w:tr>
      <w:tr w:rsidR="00065F99" w:rsidRPr="00404AD7" w14:paraId="10D9F3C8" w14:textId="77777777" w:rsidTr="00065F99">
        <w:tc>
          <w:tcPr>
            <w:tcW w:w="2772" w:type="dxa"/>
            <w:tcBorders>
              <w:bottom w:val="single" w:sz="12" w:space="0" w:color="auto"/>
            </w:tcBorders>
            <w:shd w:val="clear" w:color="auto" w:fill="auto"/>
            <w:noWrap/>
            <w:hideMark/>
          </w:tcPr>
          <w:p w14:paraId="6C2F7619" w14:textId="77777777" w:rsidR="00065F99" w:rsidRPr="00404AD7" w:rsidRDefault="00065F99" w:rsidP="00E53FC8">
            <w:pPr>
              <w:suppressAutoHyphens w:val="0"/>
              <w:spacing w:before="40" w:after="40" w:line="220" w:lineRule="exact"/>
              <w:rPr>
                <w:b/>
                <w:sz w:val="18"/>
                <w:lang w:eastAsia="et-EE"/>
              </w:rPr>
            </w:pPr>
            <w:r w:rsidRPr="00404AD7">
              <w:rPr>
                <w:b/>
                <w:sz w:val="18"/>
                <w:lang w:eastAsia="et-EE"/>
              </w:rPr>
              <w:t>75 and older</w:t>
            </w:r>
          </w:p>
        </w:tc>
        <w:tc>
          <w:tcPr>
            <w:tcW w:w="2299" w:type="dxa"/>
            <w:tcBorders>
              <w:bottom w:val="single" w:sz="12" w:space="0" w:color="auto"/>
            </w:tcBorders>
            <w:shd w:val="clear" w:color="auto" w:fill="auto"/>
            <w:noWrap/>
            <w:vAlign w:val="bottom"/>
            <w:hideMark/>
          </w:tcPr>
          <w:p w14:paraId="73D296C3" w14:textId="77777777" w:rsidR="00065F99" w:rsidRPr="00404AD7" w:rsidRDefault="00065F99" w:rsidP="00E53FC8">
            <w:pPr>
              <w:suppressAutoHyphens w:val="0"/>
              <w:spacing w:before="40" w:after="40" w:line="220" w:lineRule="exact"/>
              <w:jc w:val="right"/>
              <w:rPr>
                <w:sz w:val="18"/>
                <w:lang w:eastAsia="et-EE"/>
              </w:rPr>
            </w:pPr>
            <w:r w:rsidRPr="00404AD7">
              <w:rPr>
                <w:sz w:val="18"/>
                <w:lang w:eastAsia="et-EE"/>
              </w:rPr>
              <w:t>25,6</w:t>
            </w:r>
          </w:p>
        </w:tc>
        <w:tc>
          <w:tcPr>
            <w:tcW w:w="2435" w:type="dxa"/>
            <w:tcBorders>
              <w:bottom w:val="single" w:sz="12" w:space="0" w:color="auto"/>
            </w:tcBorders>
            <w:shd w:val="clear" w:color="auto" w:fill="auto"/>
            <w:noWrap/>
            <w:vAlign w:val="bottom"/>
            <w:hideMark/>
          </w:tcPr>
          <w:p w14:paraId="70EEB671" w14:textId="77777777" w:rsidR="00065F99" w:rsidRPr="00404AD7" w:rsidRDefault="00065F99" w:rsidP="00E53FC8">
            <w:pPr>
              <w:suppressAutoHyphens w:val="0"/>
              <w:spacing w:before="40" w:after="40" w:line="220" w:lineRule="exact"/>
              <w:jc w:val="right"/>
              <w:rPr>
                <w:sz w:val="18"/>
                <w:lang w:eastAsia="et-EE"/>
              </w:rPr>
            </w:pPr>
            <w:r w:rsidRPr="00404AD7">
              <w:rPr>
                <w:sz w:val="18"/>
                <w:lang w:eastAsia="et-EE"/>
              </w:rPr>
              <w:t>58,6</w:t>
            </w:r>
          </w:p>
        </w:tc>
      </w:tr>
    </w:tbl>
    <w:p w14:paraId="1328E116" w14:textId="5CFEADC0" w:rsidR="004C4936" w:rsidRPr="00404AD7" w:rsidRDefault="004C4936" w:rsidP="00764135">
      <w:pPr>
        <w:pStyle w:val="FootnoteText"/>
        <w:tabs>
          <w:tab w:val="clear" w:pos="418"/>
          <w:tab w:val="right" w:pos="1476"/>
          <w:tab w:val="left" w:pos="1548"/>
          <w:tab w:val="right" w:pos="1836"/>
          <w:tab w:val="left" w:pos="1908"/>
        </w:tabs>
        <w:spacing w:line="120" w:lineRule="exact"/>
        <w:ind w:left="1548" w:right="1267" w:hanging="423"/>
        <w:rPr>
          <w:sz w:val="10"/>
        </w:rPr>
      </w:pPr>
    </w:p>
    <w:p w14:paraId="315C924A" w14:textId="0B45B815" w:rsidR="00764135" w:rsidRPr="00404AD7" w:rsidRDefault="00764F4B" w:rsidP="00764F4B">
      <w:pPr>
        <w:pStyle w:val="FootnoteText"/>
        <w:tabs>
          <w:tab w:val="clear" w:pos="418"/>
          <w:tab w:val="right" w:pos="1476"/>
          <w:tab w:val="left" w:pos="1548"/>
          <w:tab w:val="right" w:pos="1836"/>
          <w:tab w:val="left" w:pos="1908"/>
        </w:tabs>
        <w:ind w:left="1548" w:right="1267" w:hanging="423"/>
      </w:pPr>
      <w:r w:rsidRPr="00404AD7">
        <w:rPr>
          <w:i/>
          <w:iCs/>
        </w:rPr>
        <w:t>Source</w:t>
      </w:r>
      <w:r w:rsidRPr="00404AD7">
        <w:t xml:space="preserve">: </w:t>
      </w:r>
      <w:r w:rsidRPr="00404AD7">
        <w:rPr>
          <w:i/>
          <w:iCs/>
        </w:rPr>
        <w:t>Statistics</w:t>
      </w:r>
      <w:r w:rsidRPr="00404AD7">
        <w:t xml:space="preserve"> Estonia</w:t>
      </w:r>
    </w:p>
    <w:p w14:paraId="0CB3B35B" w14:textId="64F46699" w:rsidR="00764F4B" w:rsidRPr="00404AD7" w:rsidRDefault="00764F4B" w:rsidP="00764F4B">
      <w:pPr>
        <w:pStyle w:val="FootnoteText"/>
        <w:tabs>
          <w:tab w:val="clear" w:pos="418"/>
          <w:tab w:val="right" w:pos="1476"/>
          <w:tab w:val="left" w:pos="1548"/>
          <w:tab w:val="right" w:pos="1836"/>
          <w:tab w:val="left" w:pos="1908"/>
        </w:tabs>
        <w:spacing w:line="120" w:lineRule="exact"/>
        <w:ind w:left="1548" w:right="1267" w:hanging="423"/>
        <w:rPr>
          <w:sz w:val="10"/>
        </w:rPr>
      </w:pPr>
    </w:p>
    <w:p w14:paraId="0F10F2CC" w14:textId="183F2F37" w:rsidR="00764F4B" w:rsidRPr="00404AD7" w:rsidRDefault="00764F4B" w:rsidP="00764F4B">
      <w:pPr>
        <w:pStyle w:val="FootnoteText"/>
        <w:tabs>
          <w:tab w:val="clear" w:pos="418"/>
          <w:tab w:val="right" w:pos="1476"/>
          <w:tab w:val="left" w:pos="1548"/>
          <w:tab w:val="right" w:pos="1836"/>
          <w:tab w:val="left" w:pos="1908"/>
        </w:tabs>
        <w:spacing w:line="120" w:lineRule="exact"/>
        <w:ind w:left="1548" w:right="1267" w:hanging="423"/>
        <w:rPr>
          <w:sz w:val="10"/>
        </w:rPr>
      </w:pPr>
    </w:p>
    <w:p w14:paraId="4B02FFCF" w14:textId="0E9878AF" w:rsidR="00764F4B" w:rsidRPr="00404AD7" w:rsidRDefault="00CB51DD" w:rsidP="00764F4B">
      <w:pPr>
        <w:pStyle w:val="FootnoteText"/>
        <w:tabs>
          <w:tab w:val="clear" w:pos="418"/>
          <w:tab w:val="right" w:pos="1476"/>
          <w:tab w:val="left" w:pos="1548"/>
          <w:tab w:val="right" w:pos="1836"/>
          <w:tab w:val="left" w:pos="1908"/>
        </w:tabs>
        <w:ind w:left="1548" w:right="1267" w:hanging="423"/>
        <w:rPr>
          <w:b/>
          <w:bCs/>
          <w:sz w:val="20"/>
        </w:rPr>
      </w:pPr>
      <w:r w:rsidRPr="00404AD7">
        <w:rPr>
          <w:b/>
          <w:bCs/>
          <w:sz w:val="20"/>
        </w:rPr>
        <w:t>Table: At-risk-of-poverty rate by sex and age group, 2016-2020, %</w:t>
      </w:r>
    </w:p>
    <w:p w14:paraId="0A5A7E29" w14:textId="582E2A33" w:rsidR="00CB51DD" w:rsidRPr="00404AD7" w:rsidRDefault="00CB51DD" w:rsidP="00CB51DD">
      <w:pPr>
        <w:pStyle w:val="FootnoteText"/>
        <w:tabs>
          <w:tab w:val="clear" w:pos="418"/>
          <w:tab w:val="right" w:pos="1476"/>
          <w:tab w:val="left" w:pos="1548"/>
          <w:tab w:val="right" w:pos="1836"/>
          <w:tab w:val="left" w:pos="1908"/>
        </w:tabs>
        <w:spacing w:line="120" w:lineRule="exact"/>
        <w:ind w:left="1548" w:right="1267" w:hanging="423"/>
        <w:rPr>
          <w:b/>
          <w:bCs/>
          <w:sz w:val="10"/>
        </w:rPr>
      </w:pPr>
    </w:p>
    <w:p w14:paraId="7E15C35C" w14:textId="23F4A2A6" w:rsidR="00CB51DD" w:rsidRPr="00404AD7" w:rsidRDefault="00CB51DD" w:rsidP="00CB51DD">
      <w:pPr>
        <w:pStyle w:val="FootnoteText"/>
        <w:tabs>
          <w:tab w:val="clear" w:pos="418"/>
          <w:tab w:val="right" w:pos="1476"/>
          <w:tab w:val="left" w:pos="1548"/>
          <w:tab w:val="right" w:pos="1836"/>
          <w:tab w:val="left" w:pos="1908"/>
        </w:tabs>
        <w:spacing w:line="120" w:lineRule="exact"/>
        <w:ind w:left="1548" w:right="1267" w:hanging="423"/>
        <w:rPr>
          <w:b/>
          <w:bCs/>
          <w:sz w:val="10"/>
        </w:rPr>
      </w:pPr>
    </w:p>
    <w:tbl>
      <w:tblPr>
        <w:tblW w:w="7370" w:type="dxa"/>
        <w:tblInd w:w="1134" w:type="dxa"/>
        <w:tblLayout w:type="fixed"/>
        <w:tblCellMar>
          <w:left w:w="0" w:type="dxa"/>
          <w:right w:w="0" w:type="dxa"/>
        </w:tblCellMar>
        <w:tblLook w:val="04A0" w:firstRow="1" w:lastRow="0" w:firstColumn="1" w:lastColumn="0" w:noHBand="0" w:noVBand="1"/>
      </w:tblPr>
      <w:tblGrid>
        <w:gridCol w:w="1532"/>
        <w:gridCol w:w="583"/>
        <w:gridCol w:w="583"/>
        <w:gridCol w:w="584"/>
        <w:gridCol w:w="584"/>
        <w:gridCol w:w="584"/>
        <w:gridCol w:w="584"/>
        <w:gridCol w:w="584"/>
        <w:gridCol w:w="584"/>
        <w:gridCol w:w="584"/>
        <w:gridCol w:w="584"/>
      </w:tblGrid>
      <w:tr w:rsidR="00D64E95" w:rsidRPr="00404AD7" w14:paraId="5D26B9F0" w14:textId="77777777" w:rsidTr="00E53FC8">
        <w:trPr>
          <w:tblHeader/>
        </w:trPr>
        <w:tc>
          <w:tcPr>
            <w:tcW w:w="1532" w:type="dxa"/>
            <w:tcBorders>
              <w:top w:val="single" w:sz="4" w:space="0" w:color="auto"/>
              <w:bottom w:val="single" w:sz="12" w:space="0" w:color="auto"/>
            </w:tcBorders>
            <w:shd w:val="clear" w:color="auto" w:fill="auto"/>
            <w:noWrap/>
            <w:vAlign w:val="bottom"/>
            <w:hideMark/>
          </w:tcPr>
          <w:p w14:paraId="2DF9FBAF" w14:textId="77777777" w:rsidR="00D64E95" w:rsidRPr="00404AD7" w:rsidRDefault="00D64E95" w:rsidP="00E53FC8">
            <w:pPr>
              <w:suppressAutoHyphens w:val="0"/>
              <w:spacing w:before="80" w:after="80" w:line="200" w:lineRule="exact"/>
              <w:rPr>
                <w:i/>
                <w:sz w:val="16"/>
                <w:lang w:eastAsia="et-EE"/>
              </w:rPr>
            </w:pPr>
            <w:r w:rsidRPr="00404AD7">
              <w:rPr>
                <w:i/>
                <w:sz w:val="16"/>
                <w:lang w:eastAsia="et-EE"/>
              </w:rPr>
              <w:t> </w:t>
            </w:r>
          </w:p>
        </w:tc>
        <w:tc>
          <w:tcPr>
            <w:tcW w:w="2918" w:type="dxa"/>
            <w:gridSpan w:val="5"/>
            <w:tcBorders>
              <w:top w:val="single" w:sz="4" w:space="0" w:color="auto"/>
              <w:bottom w:val="single" w:sz="12" w:space="0" w:color="auto"/>
            </w:tcBorders>
            <w:shd w:val="clear" w:color="auto" w:fill="auto"/>
            <w:noWrap/>
            <w:vAlign w:val="bottom"/>
            <w:hideMark/>
          </w:tcPr>
          <w:p w14:paraId="6A393BAB" w14:textId="31E1F454" w:rsidR="00D64E95" w:rsidRPr="00404AD7" w:rsidRDefault="00711EE0" w:rsidP="00E53FC8">
            <w:pPr>
              <w:suppressAutoHyphens w:val="0"/>
              <w:spacing w:before="80" w:after="80" w:line="200" w:lineRule="exact"/>
              <w:rPr>
                <w:i/>
                <w:sz w:val="16"/>
                <w:lang w:eastAsia="et-EE"/>
              </w:rPr>
            </w:pPr>
            <w:r>
              <w:rPr>
                <w:i/>
                <w:sz w:val="16"/>
                <w:lang w:eastAsia="et-EE"/>
              </w:rPr>
              <w:t xml:space="preserve"> </w:t>
            </w:r>
            <w:r w:rsidRPr="00404AD7">
              <w:rPr>
                <w:i/>
                <w:sz w:val="16"/>
                <w:lang w:eastAsia="et-EE"/>
              </w:rPr>
              <w:t>M</w:t>
            </w:r>
            <w:r w:rsidR="00D64E95" w:rsidRPr="00404AD7">
              <w:rPr>
                <w:i/>
                <w:sz w:val="16"/>
                <w:lang w:eastAsia="et-EE"/>
              </w:rPr>
              <w:t>en</w:t>
            </w:r>
          </w:p>
        </w:tc>
        <w:tc>
          <w:tcPr>
            <w:tcW w:w="2920" w:type="dxa"/>
            <w:gridSpan w:val="5"/>
            <w:tcBorders>
              <w:top w:val="single" w:sz="4" w:space="0" w:color="auto"/>
              <w:bottom w:val="single" w:sz="12" w:space="0" w:color="auto"/>
            </w:tcBorders>
            <w:shd w:val="clear" w:color="auto" w:fill="auto"/>
            <w:noWrap/>
            <w:vAlign w:val="bottom"/>
            <w:hideMark/>
          </w:tcPr>
          <w:p w14:paraId="30B2F9D2" w14:textId="4BBD8543" w:rsidR="00D64E95" w:rsidRPr="00404AD7" w:rsidRDefault="00711EE0" w:rsidP="00E53FC8">
            <w:pPr>
              <w:suppressAutoHyphens w:val="0"/>
              <w:spacing w:before="80" w:after="80" w:line="200" w:lineRule="exact"/>
              <w:rPr>
                <w:i/>
                <w:sz w:val="16"/>
                <w:lang w:eastAsia="et-EE"/>
              </w:rPr>
            </w:pPr>
            <w:r>
              <w:rPr>
                <w:i/>
                <w:sz w:val="16"/>
                <w:lang w:eastAsia="et-EE"/>
              </w:rPr>
              <w:t xml:space="preserve"> </w:t>
            </w:r>
            <w:r w:rsidRPr="00404AD7">
              <w:rPr>
                <w:i/>
                <w:sz w:val="16"/>
                <w:lang w:eastAsia="et-EE"/>
              </w:rPr>
              <w:t>W</w:t>
            </w:r>
            <w:r w:rsidR="00D64E95" w:rsidRPr="00404AD7">
              <w:rPr>
                <w:i/>
                <w:sz w:val="16"/>
                <w:lang w:eastAsia="et-EE"/>
              </w:rPr>
              <w:t>omen</w:t>
            </w:r>
          </w:p>
        </w:tc>
      </w:tr>
      <w:tr w:rsidR="00D64E95" w:rsidRPr="00404AD7" w14:paraId="2D06F889" w14:textId="77777777" w:rsidTr="00E53FC8">
        <w:tc>
          <w:tcPr>
            <w:tcW w:w="1532" w:type="dxa"/>
            <w:tcBorders>
              <w:top w:val="single" w:sz="12" w:space="0" w:color="auto"/>
            </w:tcBorders>
            <w:shd w:val="clear" w:color="auto" w:fill="auto"/>
            <w:noWrap/>
            <w:hideMark/>
          </w:tcPr>
          <w:p w14:paraId="31B8256C" w14:textId="77777777" w:rsidR="00D64E95" w:rsidRPr="00404AD7" w:rsidRDefault="00D64E95" w:rsidP="00E53FC8">
            <w:pPr>
              <w:suppressAutoHyphens w:val="0"/>
              <w:spacing w:before="40" w:after="40" w:line="220" w:lineRule="exact"/>
              <w:rPr>
                <w:sz w:val="18"/>
                <w:lang w:eastAsia="et-EE"/>
              </w:rPr>
            </w:pPr>
            <w:r w:rsidRPr="00404AD7">
              <w:rPr>
                <w:sz w:val="18"/>
                <w:lang w:eastAsia="et-EE"/>
              </w:rPr>
              <w:t> </w:t>
            </w:r>
          </w:p>
        </w:tc>
        <w:tc>
          <w:tcPr>
            <w:tcW w:w="583" w:type="dxa"/>
            <w:tcBorders>
              <w:top w:val="single" w:sz="12" w:space="0" w:color="auto"/>
            </w:tcBorders>
            <w:shd w:val="clear" w:color="auto" w:fill="auto"/>
            <w:noWrap/>
            <w:vAlign w:val="bottom"/>
            <w:hideMark/>
          </w:tcPr>
          <w:p w14:paraId="00807608" w14:textId="77777777" w:rsidR="00D64E95" w:rsidRPr="00404AD7" w:rsidRDefault="00D64E95" w:rsidP="00E53FC8">
            <w:pPr>
              <w:suppressAutoHyphens w:val="0"/>
              <w:spacing w:before="40" w:after="40" w:line="220" w:lineRule="exact"/>
              <w:jc w:val="right"/>
              <w:rPr>
                <w:b/>
                <w:sz w:val="18"/>
                <w:lang w:eastAsia="et-EE"/>
              </w:rPr>
            </w:pPr>
            <w:r w:rsidRPr="00404AD7">
              <w:rPr>
                <w:b/>
                <w:sz w:val="18"/>
                <w:lang w:eastAsia="et-EE"/>
              </w:rPr>
              <w:t>2016</w:t>
            </w:r>
          </w:p>
        </w:tc>
        <w:tc>
          <w:tcPr>
            <w:tcW w:w="583" w:type="dxa"/>
            <w:tcBorders>
              <w:top w:val="single" w:sz="12" w:space="0" w:color="auto"/>
            </w:tcBorders>
            <w:shd w:val="clear" w:color="auto" w:fill="auto"/>
            <w:noWrap/>
            <w:vAlign w:val="bottom"/>
            <w:hideMark/>
          </w:tcPr>
          <w:p w14:paraId="5B3CC38E" w14:textId="77777777" w:rsidR="00D64E95" w:rsidRPr="00404AD7" w:rsidRDefault="00D64E95" w:rsidP="00E53FC8">
            <w:pPr>
              <w:suppressAutoHyphens w:val="0"/>
              <w:spacing w:before="40" w:after="40" w:line="220" w:lineRule="exact"/>
              <w:jc w:val="right"/>
              <w:rPr>
                <w:b/>
                <w:sz w:val="18"/>
                <w:lang w:eastAsia="et-EE"/>
              </w:rPr>
            </w:pPr>
            <w:r w:rsidRPr="00404AD7">
              <w:rPr>
                <w:b/>
                <w:sz w:val="18"/>
                <w:lang w:eastAsia="et-EE"/>
              </w:rPr>
              <w:t>2017</w:t>
            </w:r>
          </w:p>
        </w:tc>
        <w:tc>
          <w:tcPr>
            <w:tcW w:w="584" w:type="dxa"/>
            <w:tcBorders>
              <w:top w:val="single" w:sz="12" w:space="0" w:color="auto"/>
            </w:tcBorders>
            <w:shd w:val="clear" w:color="auto" w:fill="auto"/>
            <w:noWrap/>
            <w:vAlign w:val="bottom"/>
            <w:hideMark/>
          </w:tcPr>
          <w:p w14:paraId="452716B2" w14:textId="77777777" w:rsidR="00D64E95" w:rsidRPr="00404AD7" w:rsidRDefault="00D64E95" w:rsidP="00E53FC8">
            <w:pPr>
              <w:suppressAutoHyphens w:val="0"/>
              <w:spacing w:before="40" w:after="40" w:line="220" w:lineRule="exact"/>
              <w:jc w:val="right"/>
              <w:rPr>
                <w:b/>
                <w:sz w:val="18"/>
                <w:lang w:eastAsia="et-EE"/>
              </w:rPr>
            </w:pPr>
            <w:r w:rsidRPr="00404AD7">
              <w:rPr>
                <w:b/>
                <w:sz w:val="18"/>
                <w:lang w:eastAsia="et-EE"/>
              </w:rPr>
              <w:t>2018</w:t>
            </w:r>
          </w:p>
        </w:tc>
        <w:tc>
          <w:tcPr>
            <w:tcW w:w="584" w:type="dxa"/>
            <w:tcBorders>
              <w:top w:val="single" w:sz="12" w:space="0" w:color="auto"/>
            </w:tcBorders>
            <w:shd w:val="clear" w:color="auto" w:fill="auto"/>
            <w:noWrap/>
            <w:vAlign w:val="bottom"/>
            <w:hideMark/>
          </w:tcPr>
          <w:p w14:paraId="079E967D" w14:textId="77777777" w:rsidR="00D64E95" w:rsidRPr="00404AD7" w:rsidRDefault="00D64E95" w:rsidP="00E53FC8">
            <w:pPr>
              <w:suppressAutoHyphens w:val="0"/>
              <w:spacing w:before="40" w:after="40" w:line="220" w:lineRule="exact"/>
              <w:jc w:val="right"/>
              <w:rPr>
                <w:b/>
                <w:sz w:val="18"/>
                <w:lang w:eastAsia="et-EE"/>
              </w:rPr>
            </w:pPr>
            <w:r w:rsidRPr="00404AD7">
              <w:rPr>
                <w:b/>
                <w:sz w:val="18"/>
                <w:lang w:eastAsia="et-EE"/>
              </w:rPr>
              <w:t>2019</w:t>
            </w:r>
          </w:p>
        </w:tc>
        <w:tc>
          <w:tcPr>
            <w:tcW w:w="584" w:type="dxa"/>
            <w:tcBorders>
              <w:top w:val="single" w:sz="12" w:space="0" w:color="auto"/>
            </w:tcBorders>
            <w:shd w:val="clear" w:color="auto" w:fill="auto"/>
            <w:noWrap/>
            <w:vAlign w:val="bottom"/>
            <w:hideMark/>
          </w:tcPr>
          <w:p w14:paraId="69FFFB7F" w14:textId="77777777" w:rsidR="00D64E95" w:rsidRPr="00404AD7" w:rsidRDefault="00D64E95" w:rsidP="00E53FC8">
            <w:pPr>
              <w:suppressAutoHyphens w:val="0"/>
              <w:spacing w:before="40" w:after="40" w:line="220" w:lineRule="exact"/>
              <w:jc w:val="right"/>
              <w:rPr>
                <w:b/>
                <w:sz w:val="18"/>
                <w:lang w:eastAsia="et-EE"/>
              </w:rPr>
            </w:pPr>
            <w:r w:rsidRPr="00404AD7">
              <w:rPr>
                <w:b/>
                <w:sz w:val="18"/>
                <w:lang w:eastAsia="et-EE"/>
              </w:rPr>
              <w:t>2020</w:t>
            </w:r>
          </w:p>
        </w:tc>
        <w:tc>
          <w:tcPr>
            <w:tcW w:w="584" w:type="dxa"/>
            <w:tcBorders>
              <w:top w:val="single" w:sz="12" w:space="0" w:color="auto"/>
            </w:tcBorders>
            <w:shd w:val="clear" w:color="auto" w:fill="auto"/>
            <w:noWrap/>
            <w:vAlign w:val="bottom"/>
            <w:hideMark/>
          </w:tcPr>
          <w:p w14:paraId="1C6018EC" w14:textId="77777777" w:rsidR="00D64E95" w:rsidRPr="00404AD7" w:rsidRDefault="00D64E95" w:rsidP="00E53FC8">
            <w:pPr>
              <w:suppressAutoHyphens w:val="0"/>
              <w:spacing w:before="40" w:after="40" w:line="220" w:lineRule="exact"/>
              <w:jc w:val="right"/>
              <w:rPr>
                <w:b/>
                <w:sz w:val="18"/>
                <w:lang w:eastAsia="et-EE"/>
              </w:rPr>
            </w:pPr>
            <w:r w:rsidRPr="00404AD7">
              <w:rPr>
                <w:b/>
                <w:sz w:val="18"/>
                <w:lang w:eastAsia="et-EE"/>
              </w:rPr>
              <w:t>2016</w:t>
            </w:r>
          </w:p>
        </w:tc>
        <w:tc>
          <w:tcPr>
            <w:tcW w:w="584" w:type="dxa"/>
            <w:tcBorders>
              <w:top w:val="single" w:sz="12" w:space="0" w:color="auto"/>
            </w:tcBorders>
            <w:shd w:val="clear" w:color="auto" w:fill="auto"/>
            <w:noWrap/>
            <w:vAlign w:val="bottom"/>
            <w:hideMark/>
          </w:tcPr>
          <w:p w14:paraId="2DA8CAC9" w14:textId="77777777" w:rsidR="00D64E95" w:rsidRPr="00404AD7" w:rsidRDefault="00D64E95" w:rsidP="00E53FC8">
            <w:pPr>
              <w:suppressAutoHyphens w:val="0"/>
              <w:spacing w:before="40" w:after="40" w:line="220" w:lineRule="exact"/>
              <w:jc w:val="right"/>
              <w:rPr>
                <w:b/>
                <w:sz w:val="18"/>
                <w:lang w:eastAsia="et-EE"/>
              </w:rPr>
            </w:pPr>
            <w:r w:rsidRPr="00404AD7">
              <w:rPr>
                <w:b/>
                <w:sz w:val="18"/>
                <w:lang w:eastAsia="et-EE"/>
              </w:rPr>
              <w:t>2017</w:t>
            </w:r>
          </w:p>
        </w:tc>
        <w:tc>
          <w:tcPr>
            <w:tcW w:w="584" w:type="dxa"/>
            <w:tcBorders>
              <w:top w:val="single" w:sz="12" w:space="0" w:color="auto"/>
            </w:tcBorders>
            <w:shd w:val="clear" w:color="auto" w:fill="auto"/>
            <w:noWrap/>
            <w:vAlign w:val="bottom"/>
            <w:hideMark/>
          </w:tcPr>
          <w:p w14:paraId="3F784B93" w14:textId="77777777" w:rsidR="00D64E95" w:rsidRPr="00404AD7" w:rsidRDefault="00D64E95" w:rsidP="00E53FC8">
            <w:pPr>
              <w:suppressAutoHyphens w:val="0"/>
              <w:spacing w:before="40" w:after="40" w:line="220" w:lineRule="exact"/>
              <w:jc w:val="right"/>
              <w:rPr>
                <w:b/>
                <w:sz w:val="18"/>
                <w:lang w:eastAsia="et-EE"/>
              </w:rPr>
            </w:pPr>
            <w:r w:rsidRPr="00404AD7">
              <w:rPr>
                <w:b/>
                <w:sz w:val="18"/>
                <w:lang w:eastAsia="et-EE"/>
              </w:rPr>
              <w:t>2018</w:t>
            </w:r>
          </w:p>
        </w:tc>
        <w:tc>
          <w:tcPr>
            <w:tcW w:w="584" w:type="dxa"/>
            <w:tcBorders>
              <w:top w:val="single" w:sz="12" w:space="0" w:color="auto"/>
            </w:tcBorders>
            <w:shd w:val="clear" w:color="auto" w:fill="auto"/>
            <w:noWrap/>
            <w:vAlign w:val="bottom"/>
            <w:hideMark/>
          </w:tcPr>
          <w:p w14:paraId="04F815FB" w14:textId="77777777" w:rsidR="00D64E95" w:rsidRPr="00404AD7" w:rsidRDefault="00D64E95" w:rsidP="00E53FC8">
            <w:pPr>
              <w:suppressAutoHyphens w:val="0"/>
              <w:spacing w:before="40" w:after="40" w:line="220" w:lineRule="exact"/>
              <w:jc w:val="right"/>
              <w:rPr>
                <w:b/>
                <w:sz w:val="18"/>
                <w:lang w:eastAsia="et-EE"/>
              </w:rPr>
            </w:pPr>
            <w:r w:rsidRPr="00404AD7">
              <w:rPr>
                <w:b/>
                <w:sz w:val="18"/>
                <w:lang w:eastAsia="et-EE"/>
              </w:rPr>
              <w:t>2019</w:t>
            </w:r>
          </w:p>
        </w:tc>
        <w:tc>
          <w:tcPr>
            <w:tcW w:w="584" w:type="dxa"/>
            <w:tcBorders>
              <w:top w:val="single" w:sz="12" w:space="0" w:color="auto"/>
            </w:tcBorders>
            <w:shd w:val="clear" w:color="auto" w:fill="auto"/>
            <w:noWrap/>
            <w:vAlign w:val="bottom"/>
            <w:hideMark/>
          </w:tcPr>
          <w:p w14:paraId="3C6FEDEA" w14:textId="77777777" w:rsidR="00D64E95" w:rsidRPr="00404AD7" w:rsidRDefault="00D64E95" w:rsidP="00E53FC8">
            <w:pPr>
              <w:suppressAutoHyphens w:val="0"/>
              <w:spacing w:before="40" w:after="40" w:line="220" w:lineRule="exact"/>
              <w:jc w:val="right"/>
              <w:rPr>
                <w:b/>
                <w:sz w:val="18"/>
                <w:lang w:eastAsia="et-EE"/>
              </w:rPr>
            </w:pPr>
            <w:r w:rsidRPr="00404AD7">
              <w:rPr>
                <w:b/>
                <w:sz w:val="18"/>
                <w:lang w:eastAsia="et-EE"/>
              </w:rPr>
              <w:t>2020</w:t>
            </w:r>
          </w:p>
        </w:tc>
      </w:tr>
      <w:tr w:rsidR="00D64E95" w:rsidRPr="00404AD7" w14:paraId="74D855CB" w14:textId="77777777" w:rsidTr="00E53FC8">
        <w:tc>
          <w:tcPr>
            <w:tcW w:w="1532" w:type="dxa"/>
            <w:shd w:val="clear" w:color="auto" w:fill="auto"/>
            <w:noWrap/>
            <w:hideMark/>
          </w:tcPr>
          <w:p w14:paraId="7F796107" w14:textId="77777777" w:rsidR="00D64E95" w:rsidRPr="00404AD7" w:rsidRDefault="00D64E95" w:rsidP="00E53FC8">
            <w:pPr>
              <w:suppressAutoHyphens w:val="0"/>
              <w:spacing w:before="40" w:after="40" w:line="220" w:lineRule="exact"/>
              <w:rPr>
                <w:b/>
                <w:sz w:val="18"/>
                <w:lang w:eastAsia="et-EE"/>
              </w:rPr>
            </w:pPr>
            <w:r w:rsidRPr="00404AD7">
              <w:rPr>
                <w:b/>
                <w:sz w:val="18"/>
                <w:lang w:eastAsia="et-EE"/>
              </w:rPr>
              <w:t>16-24</w:t>
            </w:r>
          </w:p>
        </w:tc>
        <w:tc>
          <w:tcPr>
            <w:tcW w:w="583" w:type="dxa"/>
            <w:shd w:val="clear" w:color="auto" w:fill="auto"/>
            <w:noWrap/>
            <w:vAlign w:val="bottom"/>
            <w:hideMark/>
          </w:tcPr>
          <w:p w14:paraId="6E8C51C3"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18,3</w:t>
            </w:r>
          </w:p>
        </w:tc>
        <w:tc>
          <w:tcPr>
            <w:tcW w:w="583" w:type="dxa"/>
            <w:shd w:val="clear" w:color="auto" w:fill="auto"/>
            <w:noWrap/>
            <w:vAlign w:val="bottom"/>
            <w:hideMark/>
          </w:tcPr>
          <w:p w14:paraId="18298860"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19,8</w:t>
            </w:r>
          </w:p>
        </w:tc>
        <w:tc>
          <w:tcPr>
            <w:tcW w:w="584" w:type="dxa"/>
            <w:shd w:val="clear" w:color="auto" w:fill="auto"/>
            <w:noWrap/>
            <w:vAlign w:val="bottom"/>
            <w:hideMark/>
          </w:tcPr>
          <w:p w14:paraId="0C6178F6"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20,1</w:t>
            </w:r>
          </w:p>
        </w:tc>
        <w:tc>
          <w:tcPr>
            <w:tcW w:w="584" w:type="dxa"/>
            <w:shd w:val="clear" w:color="auto" w:fill="auto"/>
            <w:noWrap/>
            <w:vAlign w:val="bottom"/>
            <w:hideMark/>
          </w:tcPr>
          <w:p w14:paraId="126A1DAF"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23,3</w:t>
            </w:r>
          </w:p>
        </w:tc>
        <w:tc>
          <w:tcPr>
            <w:tcW w:w="584" w:type="dxa"/>
            <w:shd w:val="clear" w:color="auto" w:fill="auto"/>
            <w:noWrap/>
            <w:vAlign w:val="bottom"/>
            <w:hideMark/>
          </w:tcPr>
          <w:p w14:paraId="0C016B6A"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21,6</w:t>
            </w:r>
          </w:p>
        </w:tc>
        <w:tc>
          <w:tcPr>
            <w:tcW w:w="584" w:type="dxa"/>
            <w:shd w:val="clear" w:color="auto" w:fill="auto"/>
            <w:noWrap/>
            <w:vAlign w:val="bottom"/>
            <w:hideMark/>
          </w:tcPr>
          <w:p w14:paraId="2D8274C3"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25,9</w:t>
            </w:r>
          </w:p>
        </w:tc>
        <w:tc>
          <w:tcPr>
            <w:tcW w:w="584" w:type="dxa"/>
            <w:shd w:val="clear" w:color="auto" w:fill="auto"/>
            <w:noWrap/>
            <w:vAlign w:val="bottom"/>
            <w:hideMark/>
          </w:tcPr>
          <w:p w14:paraId="00C6199C"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22,2</w:t>
            </w:r>
          </w:p>
        </w:tc>
        <w:tc>
          <w:tcPr>
            <w:tcW w:w="584" w:type="dxa"/>
            <w:shd w:val="clear" w:color="auto" w:fill="auto"/>
            <w:noWrap/>
            <w:vAlign w:val="bottom"/>
            <w:hideMark/>
          </w:tcPr>
          <w:p w14:paraId="4AD13510"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19,1</w:t>
            </w:r>
          </w:p>
        </w:tc>
        <w:tc>
          <w:tcPr>
            <w:tcW w:w="584" w:type="dxa"/>
            <w:shd w:val="clear" w:color="auto" w:fill="auto"/>
            <w:noWrap/>
            <w:vAlign w:val="bottom"/>
            <w:hideMark/>
          </w:tcPr>
          <w:p w14:paraId="56ED73EA"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19,7</w:t>
            </w:r>
          </w:p>
        </w:tc>
        <w:tc>
          <w:tcPr>
            <w:tcW w:w="584" w:type="dxa"/>
            <w:shd w:val="clear" w:color="auto" w:fill="auto"/>
            <w:noWrap/>
            <w:vAlign w:val="bottom"/>
            <w:hideMark/>
          </w:tcPr>
          <w:p w14:paraId="6E84B9C9"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20,1</w:t>
            </w:r>
          </w:p>
        </w:tc>
      </w:tr>
      <w:tr w:rsidR="00D64E95" w:rsidRPr="00404AD7" w14:paraId="04F604C2" w14:textId="77777777" w:rsidTr="00E53FC8">
        <w:tc>
          <w:tcPr>
            <w:tcW w:w="1532" w:type="dxa"/>
            <w:shd w:val="clear" w:color="auto" w:fill="auto"/>
            <w:noWrap/>
            <w:hideMark/>
          </w:tcPr>
          <w:p w14:paraId="2A603DAA" w14:textId="77777777" w:rsidR="00D64E95" w:rsidRPr="00404AD7" w:rsidRDefault="00D64E95" w:rsidP="00E53FC8">
            <w:pPr>
              <w:suppressAutoHyphens w:val="0"/>
              <w:spacing w:before="40" w:after="40" w:line="220" w:lineRule="exact"/>
              <w:rPr>
                <w:b/>
                <w:sz w:val="18"/>
                <w:lang w:eastAsia="et-EE"/>
              </w:rPr>
            </w:pPr>
            <w:r w:rsidRPr="00404AD7">
              <w:rPr>
                <w:b/>
                <w:sz w:val="18"/>
                <w:lang w:eastAsia="et-EE"/>
              </w:rPr>
              <w:t>25-49</w:t>
            </w:r>
          </w:p>
        </w:tc>
        <w:tc>
          <w:tcPr>
            <w:tcW w:w="583" w:type="dxa"/>
            <w:shd w:val="clear" w:color="auto" w:fill="auto"/>
            <w:noWrap/>
            <w:vAlign w:val="bottom"/>
            <w:hideMark/>
          </w:tcPr>
          <w:p w14:paraId="492A7268"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15,4</w:t>
            </w:r>
          </w:p>
        </w:tc>
        <w:tc>
          <w:tcPr>
            <w:tcW w:w="583" w:type="dxa"/>
            <w:shd w:val="clear" w:color="auto" w:fill="auto"/>
            <w:noWrap/>
            <w:vAlign w:val="bottom"/>
            <w:hideMark/>
          </w:tcPr>
          <w:p w14:paraId="7C73DCD7"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15,7</w:t>
            </w:r>
          </w:p>
        </w:tc>
        <w:tc>
          <w:tcPr>
            <w:tcW w:w="584" w:type="dxa"/>
            <w:shd w:val="clear" w:color="auto" w:fill="auto"/>
            <w:noWrap/>
            <w:vAlign w:val="bottom"/>
            <w:hideMark/>
          </w:tcPr>
          <w:p w14:paraId="03EC14E0"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14,5</w:t>
            </w:r>
          </w:p>
        </w:tc>
        <w:tc>
          <w:tcPr>
            <w:tcW w:w="584" w:type="dxa"/>
            <w:shd w:val="clear" w:color="auto" w:fill="auto"/>
            <w:noWrap/>
            <w:vAlign w:val="bottom"/>
            <w:hideMark/>
          </w:tcPr>
          <w:p w14:paraId="12E99717"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15,1</w:t>
            </w:r>
          </w:p>
        </w:tc>
        <w:tc>
          <w:tcPr>
            <w:tcW w:w="584" w:type="dxa"/>
            <w:shd w:val="clear" w:color="auto" w:fill="auto"/>
            <w:noWrap/>
            <w:vAlign w:val="bottom"/>
            <w:hideMark/>
          </w:tcPr>
          <w:p w14:paraId="26560C4C"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14,0</w:t>
            </w:r>
          </w:p>
        </w:tc>
        <w:tc>
          <w:tcPr>
            <w:tcW w:w="584" w:type="dxa"/>
            <w:shd w:val="clear" w:color="auto" w:fill="auto"/>
            <w:noWrap/>
            <w:vAlign w:val="bottom"/>
            <w:hideMark/>
          </w:tcPr>
          <w:p w14:paraId="4E228943"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12,7</w:t>
            </w:r>
          </w:p>
        </w:tc>
        <w:tc>
          <w:tcPr>
            <w:tcW w:w="584" w:type="dxa"/>
            <w:shd w:val="clear" w:color="auto" w:fill="auto"/>
            <w:noWrap/>
            <w:vAlign w:val="bottom"/>
            <w:hideMark/>
          </w:tcPr>
          <w:p w14:paraId="1DF8BE63"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12,8</w:t>
            </w:r>
          </w:p>
        </w:tc>
        <w:tc>
          <w:tcPr>
            <w:tcW w:w="584" w:type="dxa"/>
            <w:shd w:val="clear" w:color="auto" w:fill="auto"/>
            <w:noWrap/>
            <w:vAlign w:val="bottom"/>
            <w:hideMark/>
          </w:tcPr>
          <w:p w14:paraId="6AAC96C8"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12,7</w:t>
            </w:r>
          </w:p>
        </w:tc>
        <w:tc>
          <w:tcPr>
            <w:tcW w:w="584" w:type="dxa"/>
            <w:shd w:val="clear" w:color="auto" w:fill="auto"/>
            <w:noWrap/>
            <w:vAlign w:val="bottom"/>
            <w:hideMark/>
          </w:tcPr>
          <w:p w14:paraId="7A21670C"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11,4</w:t>
            </w:r>
          </w:p>
        </w:tc>
        <w:tc>
          <w:tcPr>
            <w:tcW w:w="584" w:type="dxa"/>
            <w:shd w:val="clear" w:color="auto" w:fill="auto"/>
            <w:noWrap/>
            <w:vAlign w:val="bottom"/>
            <w:hideMark/>
          </w:tcPr>
          <w:p w14:paraId="6E7B22E1"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11,5</w:t>
            </w:r>
          </w:p>
        </w:tc>
      </w:tr>
      <w:tr w:rsidR="00D64E95" w:rsidRPr="00404AD7" w14:paraId="25E98962" w14:textId="77777777" w:rsidTr="00E53FC8">
        <w:tc>
          <w:tcPr>
            <w:tcW w:w="1532" w:type="dxa"/>
            <w:shd w:val="clear" w:color="auto" w:fill="auto"/>
            <w:noWrap/>
            <w:hideMark/>
          </w:tcPr>
          <w:p w14:paraId="6D21330E" w14:textId="77777777" w:rsidR="00D64E95" w:rsidRPr="00404AD7" w:rsidRDefault="00D64E95" w:rsidP="00E53FC8">
            <w:pPr>
              <w:suppressAutoHyphens w:val="0"/>
              <w:spacing w:before="40" w:after="40" w:line="220" w:lineRule="exact"/>
              <w:rPr>
                <w:b/>
                <w:sz w:val="18"/>
                <w:lang w:eastAsia="et-EE"/>
              </w:rPr>
            </w:pPr>
            <w:r w:rsidRPr="00404AD7">
              <w:rPr>
                <w:b/>
                <w:sz w:val="18"/>
                <w:lang w:eastAsia="et-EE"/>
              </w:rPr>
              <w:t>50-64</w:t>
            </w:r>
          </w:p>
        </w:tc>
        <w:tc>
          <w:tcPr>
            <w:tcW w:w="583" w:type="dxa"/>
            <w:shd w:val="clear" w:color="auto" w:fill="auto"/>
            <w:noWrap/>
            <w:vAlign w:val="bottom"/>
            <w:hideMark/>
          </w:tcPr>
          <w:p w14:paraId="2DB0A336"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19,0</w:t>
            </w:r>
          </w:p>
        </w:tc>
        <w:tc>
          <w:tcPr>
            <w:tcW w:w="583" w:type="dxa"/>
            <w:shd w:val="clear" w:color="auto" w:fill="auto"/>
            <w:noWrap/>
            <w:vAlign w:val="bottom"/>
            <w:hideMark/>
          </w:tcPr>
          <w:p w14:paraId="6C7223A9"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19,4</w:t>
            </w:r>
          </w:p>
        </w:tc>
        <w:tc>
          <w:tcPr>
            <w:tcW w:w="584" w:type="dxa"/>
            <w:shd w:val="clear" w:color="auto" w:fill="auto"/>
            <w:noWrap/>
            <w:vAlign w:val="bottom"/>
            <w:hideMark/>
          </w:tcPr>
          <w:p w14:paraId="71CEEA73"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22,2</w:t>
            </w:r>
          </w:p>
        </w:tc>
        <w:tc>
          <w:tcPr>
            <w:tcW w:w="584" w:type="dxa"/>
            <w:shd w:val="clear" w:color="auto" w:fill="auto"/>
            <w:noWrap/>
            <w:vAlign w:val="bottom"/>
            <w:hideMark/>
          </w:tcPr>
          <w:p w14:paraId="2A0538E3"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19,5</w:t>
            </w:r>
          </w:p>
        </w:tc>
        <w:tc>
          <w:tcPr>
            <w:tcW w:w="584" w:type="dxa"/>
            <w:shd w:val="clear" w:color="auto" w:fill="auto"/>
            <w:noWrap/>
            <w:vAlign w:val="bottom"/>
            <w:hideMark/>
          </w:tcPr>
          <w:p w14:paraId="256420BA"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19,9</w:t>
            </w:r>
          </w:p>
        </w:tc>
        <w:tc>
          <w:tcPr>
            <w:tcW w:w="584" w:type="dxa"/>
            <w:shd w:val="clear" w:color="auto" w:fill="auto"/>
            <w:noWrap/>
            <w:vAlign w:val="bottom"/>
            <w:hideMark/>
          </w:tcPr>
          <w:p w14:paraId="0D484542"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16,9</w:t>
            </w:r>
          </w:p>
        </w:tc>
        <w:tc>
          <w:tcPr>
            <w:tcW w:w="584" w:type="dxa"/>
            <w:shd w:val="clear" w:color="auto" w:fill="auto"/>
            <w:noWrap/>
            <w:vAlign w:val="bottom"/>
            <w:hideMark/>
          </w:tcPr>
          <w:p w14:paraId="2895A59B"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17,0</w:t>
            </w:r>
          </w:p>
        </w:tc>
        <w:tc>
          <w:tcPr>
            <w:tcW w:w="584" w:type="dxa"/>
            <w:shd w:val="clear" w:color="auto" w:fill="auto"/>
            <w:noWrap/>
            <w:vAlign w:val="bottom"/>
            <w:hideMark/>
          </w:tcPr>
          <w:p w14:paraId="0FFF00BB"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17,3</w:t>
            </w:r>
          </w:p>
        </w:tc>
        <w:tc>
          <w:tcPr>
            <w:tcW w:w="584" w:type="dxa"/>
            <w:shd w:val="clear" w:color="auto" w:fill="auto"/>
            <w:noWrap/>
            <w:vAlign w:val="bottom"/>
            <w:hideMark/>
          </w:tcPr>
          <w:p w14:paraId="44CBBC1B"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16,3</w:t>
            </w:r>
          </w:p>
        </w:tc>
        <w:tc>
          <w:tcPr>
            <w:tcW w:w="584" w:type="dxa"/>
            <w:shd w:val="clear" w:color="auto" w:fill="auto"/>
            <w:noWrap/>
            <w:vAlign w:val="bottom"/>
            <w:hideMark/>
          </w:tcPr>
          <w:p w14:paraId="56FC3E29"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17,4</w:t>
            </w:r>
          </w:p>
        </w:tc>
      </w:tr>
      <w:tr w:rsidR="00D64E95" w:rsidRPr="00404AD7" w14:paraId="29524E15" w14:textId="77777777" w:rsidTr="00E53FC8">
        <w:tc>
          <w:tcPr>
            <w:tcW w:w="1532" w:type="dxa"/>
            <w:tcBorders>
              <w:bottom w:val="single" w:sz="12" w:space="0" w:color="auto"/>
            </w:tcBorders>
            <w:shd w:val="clear" w:color="auto" w:fill="auto"/>
            <w:noWrap/>
            <w:hideMark/>
          </w:tcPr>
          <w:p w14:paraId="0B4829F4" w14:textId="77777777" w:rsidR="00D64E95" w:rsidRPr="00404AD7" w:rsidRDefault="00D64E95" w:rsidP="00E53FC8">
            <w:pPr>
              <w:suppressAutoHyphens w:val="0"/>
              <w:spacing w:before="40" w:after="40" w:line="220" w:lineRule="exact"/>
              <w:rPr>
                <w:b/>
                <w:sz w:val="18"/>
                <w:lang w:eastAsia="et-EE"/>
              </w:rPr>
            </w:pPr>
            <w:r w:rsidRPr="00404AD7">
              <w:rPr>
                <w:b/>
                <w:sz w:val="18"/>
                <w:lang w:eastAsia="et-EE"/>
              </w:rPr>
              <w:t>65 and older</w:t>
            </w:r>
          </w:p>
        </w:tc>
        <w:tc>
          <w:tcPr>
            <w:tcW w:w="583" w:type="dxa"/>
            <w:tcBorders>
              <w:bottom w:val="single" w:sz="12" w:space="0" w:color="auto"/>
            </w:tcBorders>
            <w:shd w:val="clear" w:color="auto" w:fill="auto"/>
            <w:noWrap/>
            <w:vAlign w:val="bottom"/>
            <w:hideMark/>
          </w:tcPr>
          <w:p w14:paraId="6A7E35B4"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28,4</w:t>
            </w:r>
          </w:p>
        </w:tc>
        <w:tc>
          <w:tcPr>
            <w:tcW w:w="583" w:type="dxa"/>
            <w:tcBorders>
              <w:bottom w:val="single" w:sz="12" w:space="0" w:color="auto"/>
            </w:tcBorders>
            <w:shd w:val="clear" w:color="auto" w:fill="auto"/>
            <w:noWrap/>
            <w:vAlign w:val="bottom"/>
            <w:hideMark/>
          </w:tcPr>
          <w:p w14:paraId="06DF1FD9"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35,0</w:t>
            </w:r>
          </w:p>
        </w:tc>
        <w:tc>
          <w:tcPr>
            <w:tcW w:w="584" w:type="dxa"/>
            <w:tcBorders>
              <w:bottom w:val="single" w:sz="12" w:space="0" w:color="auto"/>
            </w:tcBorders>
            <w:shd w:val="clear" w:color="auto" w:fill="auto"/>
            <w:noWrap/>
            <w:vAlign w:val="bottom"/>
            <w:hideMark/>
          </w:tcPr>
          <w:p w14:paraId="38D57910"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31,9</w:t>
            </w:r>
          </w:p>
        </w:tc>
        <w:tc>
          <w:tcPr>
            <w:tcW w:w="584" w:type="dxa"/>
            <w:tcBorders>
              <w:bottom w:val="single" w:sz="12" w:space="0" w:color="auto"/>
            </w:tcBorders>
            <w:shd w:val="clear" w:color="auto" w:fill="auto"/>
            <w:noWrap/>
            <w:vAlign w:val="bottom"/>
            <w:hideMark/>
          </w:tcPr>
          <w:p w14:paraId="70921B40"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30,5</w:t>
            </w:r>
          </w:p>
        </w:tc>
        <w:tc>
          <w:tcPr>
            <w:tcW w:w="584" w:type="dxa"/>
            <w:tcBorders>
              <w:bottom w:val="single" w:sz="12" w:space="0" w:color="auto"/>
            </w:tcBorders>
            <w:shd w:val="clear" w:color="auto" w:fill="auto"/>
            <w:noWrap/>
            <w:vAlign w:val="bottom"/>
            <w:hideMark/>
          </w:tcPr>
          <w:p w14:paraId="302C482F"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27,0</w:t>
            </w:r>
          </w:p>
        </w:tc>
        <w:tc>
          <w:tcPr>
            <w:tcW w:w="584" w:type="dxa"/>
            <w:tcBorders>
              <w:bottom w:val="single" w:sz="12" w:space="0" w:color="auto"/>
            </w:tcBorders>
            <w:shd w:val="clear" w:color="auto" w:fill="auto"/>
            <w:noWrap/>
            <w:vAlign w:val="bottom"/>
            <w:hideMark/>
          </w:tcPr>
          <w:p w14:paraId="2DD9F623"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47,8</w:t>
            </w:r>
          </w:p>
        </w:tc>
        <w:tc>
          <w:tcPr>
            <w:tcW w:w="584" w:type="dxa"/>
            <w:tcBorders>
              <w:bottom w:val="single" w:sz="12" w:space="0" w:color="auto"/>
            </w:tcBorders>
            <w:shd w:val="clear" w:color="auto" w:fill="auto"/>
            <w:noWrap/>
            <w:vAlign w:val="bottom"/>
            <w:hideMark/>
          </w:tcPr>
          <w:p w14:paraId="1DC465FF"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52,3</w:t>
            </w:r>
          </w:p>
        </w:tc>
        <w:tc>
          <w:tcPr>
            <w:tcW w:w="584" w:type="dxa"/>
            <w:tcBorders>
              <w:bottom w:val="single" w:sz="12" w:space="0" w:color="auto"/>
            </w:tcBorders>
            <w:shd w:val="clear" w:color="auto" w:fill="auto"/>
            <w:noWrap/>
            <w:vAlign w:val="bottom"/>
            <w:hideMark/>
          </w:tcPr>
          <w:p w14:paraId="1289B3D8"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49,9</w:t>
            </w:r>
          </w:p>
        </w:tc>
        <w:tc>
          <w:tcPr>
            <w:tcW w:w="584" w:type="dxa"/>
            <w:tcBorders>
              <w:bottom w:val="single" w:sz="12" w:space="0" w:color="auto"/>
            </w:tcBorders>
            <w:shd w:val="clear" w:color="auto" w:fill="auto"/>
            <w:noWrap/>
            <w:vAlign w:val="bottom"/>
            <w:hideMark/>
          </w:tcPr>
          <w:p w14:paraId="47C50E88"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47,2</w:t>
            </w:r>
          </w:p>
        </w:tc>
        <w:tc>
          <w:tcPr>
            <w:tcW w:w="584" w:type="dxa"/>
            <w:tcBorders>
              <w:bottom w:val="single" w:sz="12" w:space="0" w:color="auto"/>
            </w:tcBorders>
            <w:shd w:val="clear" w:color="auto" w:fill="auto"/>
            <w:noWrap/>
            <w:vAlign w:val="bottom"/>
            <w:hideMark/>
          </w:tcPr>
          <w:p w14:paraId="6DCB3F8F" w14:textId="77777777" w:rsidR="00D64E95" w:rsidRPr="00404AD7" w:rsidRDefault="00D64E95" w:rsidP="00E53FC8">
            <w:pPr>
              <w:suppressAutoHyphens w:val="0"/>
              <w:spacing w:before="40" w:after="40" w:line="220" w:lineRule="exact"/>
              <w:jc w:val="right"/>
              <w:rPr>
                <w:sz w:val="18"/>
                <w:lang w:eastAsia="et-EE"/>
              </w:rPr>
            </w:pPr>
            <w:r w:rsidRPr="00404AD7">
              <w:rPr>
                <w:sz w:val="18"/>
                <w:lang w:eastAsia="et-EE"/>
              </w:rPr>
              <w:t>47,9</w:t>
            </w:r>
          </w:p>
        </w:tc>
      </w:tr>
    </w:tbl>
    <w:p w14:paraId="7B108874" w14:textId="4490A26D" w:rsidR="00CB51DD" w:rsidRPr="00404AD7" w:rsidRDefault="00CB51DD" w:rsidP="00D64E95">
      <w:pPr>
        <w:pStyle w:val="FootnoteText"/>
        <w:tabs>
          <w:tab w:val="clear" w:pos="418"/>
          <w:tab w:val="right" w:pos="1476"/>
          <w:tab w:val="left" w:pos="1548"/>
          <w:tab w:val="right" w:pos="1836"/>
          <w:tab w:val="left" w:pos="1908"/>
        </w:tabs>
        <w:spacing w:line="120" w:lineRule="exact"/>
        <w:ind w:left="1548" w:right="1267" w:hanging="423"/>
        <w:rPr>
          <w:b/>
          <w:bCs/>
          <w:sz w:val="10"/>
        </w:rPr>
      </w:pPr>
    </w:p>
    <w:p w14:paraId="7BB40B75" w14:textId="009F0535" w:rsidR="00D64E95" w:rsidRPr="00404AD7" w:rsidRDefault="001E5E85" w:rsidP="001E5E85">
      <w:pPr>
        <w:pStyle w:val="FootnoteText"/>
        <w:tabs>
          <w:tab w:val="clear" w:pos="418"/>
          <w:tab w:val="right" w:pos="1476"/>
          <w:tab w:val="left" w:pos="1548"/>
          <w:tab w:val="right" w:pos="1836"/>
          <w:tab w:val="left" w:pos="1908"/>
        </w:tabs>
        <w:ind w:left="1548" w:right="1267" w:hanging="423"/>
      </w:pPr>
      <w:r w:rsidRPr="00404AD7">
        <w:rPr>
          <w:i/>
          <w:iCs/>
        </w:rPr>
        <w:t>Source</w:t>
      </w:r>
      <w:r w:rsidRPr="00404AD7">
        <w:t xml:space="preserve">: </w:t>
      </w:r>
      <w:r w:rsidRPr="00404AD7">
        <w:rPr>
          <w:i/>
          <w:iCs/>
        </w:rPr>
        <w:t>Statistics</w:t>
      </w:r>
      <w:r w:rsidRPr="00404AD7">
        <w:t xml:space="preserve"> Estonia</w:t>
      </w:r>
    </w:p>
    <w:p w14:paraId="6F977FEB" w14:textId="22134705" w:rsidR="001E5E85" w:rsidRPr="00404AD7" w:rsidRDefault="001E5E85" w:rsidP="001E5E85">
      <w:pPr>
        <w:pStyle w:val="FootnoteText"/>
        <w:tabs>
          <w:tab w:val="clear" w:pos="418"/>
          <w:tab w:val="right" w:pos="1476"/>
          <w:tab w:val="left" w:pos="1548"/>
          <w:tab w:val="right" w:pos="1836"/>
          <w:tab w:val="left" w:pos="1908"/>
        </w:tabs>
        <w:spacing w:line="120" w:lineRule="exact"/>
        <w:ind w:left="1548" w:right="1267" w:hanging="423"/>
        <w:rPr>
          <w:i/>
          <w:iCs/>
          <w:sz w:val="10"/>
        </w:rPr>
      </w:pPr>
    </w:p>
    <w:p w14:paraId="5898585E" w14:textId="6782E7E9" w:rsidR="001E5E85" w:rsidRPr="00404AD7" w:rsidRDefault="001E5E85" w:rsidP="001E5E85">
      <w:pPr>
        <w:pStyle w:val="FootnoteText"/>
        <w:tabs>
          <w:tab w:val="clear" w:pos="418"/>
          <w:tab w:val="right" w:pos="1476"/>
          <w:tab w:val="left" w:pos="1548"/>
          <w:tab w:val="right" w:pos="1836"/>
          <w:tab w:val="left" w:pos="1908"/>
        </w:tabs>
        <w:spacing w:line="120" w:lineRule="exact"/>
        <w:ind w:left="1548" w:right="1267" w:hanging="423"/>
        <w:rPr>
          <w:b/>
          <w:bCs/>
          <w:sz w:val="10"/>
        </w:rPr>
      </w:pPr>
    </w:p>
    <w:p w14:paraId="2407C6B7" w14:textId="01C5DA09" w:rsidR="001E5E85" w:rsidRPr="00404AD7" w:rsidRDefault="00EC58B4" w:rsidP="00EC58B4">
      <w:pPr>
        <w:pStyle w:val="FootnoteText"/>
        <w:tabs>
          <w:tab w:val="clear" w:pos="418"/>
          <w:tab w:val="right" w:pos="1476"/>
          <w:tab w:val="left" w:pos="1548"/>
          <w:tab w:val="right" w:pos="1836"/>
          <w:tab w:val="left" w:pos="1908"/>
        </w:tabs>
        <w:ind w:left="1123" w:right="1267" w:firstLine="0"/>
        <w:rPr>
          <w:b/>
          <w:bCs/>
        </w:rPr>
      </w:pPr>
      <w:bookmarkStart w:id="65" w:name="_Toc108692433"/>
      <w:r w:rsidRPr="00404AD7">
        <w:rPr>
          <w:b/>
          <w:bCs/>
        </w:rPr>
        <w:t>Table: Persons, who provide care and assistance for people due to their old age and/or the long-term health problem/ disability, 2021</w:t>
      </w:r>
      <w:bookmarkEnd w:id="65"/>
    </w:p>
    <w:p w14:paraId="1E4A3E4C" w14:textId="64669560" w:rsidR="00EC58B4" w:rsidRPr="00404AD7" w:rsidRDefault="00EC58B4" w:rsidP="00EC58B4">
      <w:pPr>
        <w:pStyle w:val="FootnoteText"/>
        <w:tabs>
          <w:tab w:val="clear" w:pos="418"/>
          <w:tab w:val="right" w:pos="1476"/>
          <w:tab w:val="left" w:pos="1548"/>
          <w:tab w:val="right" w:pos="1836"/>
          <w:tab w:val="left" w:pos="1908"/>
        </w:tabs>
        <w:spacing w:line="120" w:lineRule="exact"/>
        <w:ind w:left="1123" w:right="1267" w:firstLine="0"/>
        <w:rPr>
          <w:b/>
          <w:bCs/>
          <w:sz w:val="10"/>
        </w:rPr>
      </w:pPr>
    </w:p>
    <w:p w14:paraId="4E7D6DC0" w14:textId="3117DC30" w:rsidR="00EC58B4" w:rsidRPr="00404AD7" w:rsidRDefault="00EC58B4" w:rsidP="00EC58B4">
      <w:pPr>
        <w:pStyle w:val="FootnoteText"/>
        <w:tabs>
          <w:tab w:val="clear" w:pos="418"/>
          <w:tab w:val="right" w:pos="1476"/>
          <w:tab w:val="left" w:pos="1548"/>
          <w:tab w:val="right" w:pos="1836"/>
          <w:tab w:val="left" w:pos="1908"/>
        </w:tabs>
        <w:spacing w:line="120" w:lineRule="exact"/>
        <w:ind w:left="1123" w:right="1267" w:firstLine="0"/>
        <w:rPr>
          <w:b/>
          <w:bCs/>
          <w:sz w:val="10"/>
        </w:rPr>
      </w:pPr>
    </w:p>
    <w:tbl>
      <w:tblPr>
        <w:tblW w:w="7370" w:type="dxa"/>
        <w:tblInd w:w="1134" w:type="dxa"/>
        <w:tblLayout w:type="fixed"/>
        <w:tblCellMar>
          <w:left w:w="0" w:type="dxa"/>
          <w:right w:w="0" w:type="dxa"/>
        </w:tblCellMar>
        <w:tblLook w:val="04A0" w:firstRow="1" w:lastRow="0" w:firstColumn="1" w:lastColumn="0" w:noHBand="0" w:noVBand="1"/>
      </w:tblPr>
      <w:tblGrid>
        <w:gridCol w:w="1089"/>
        <w:gridCol w:w="3923"/>
        <w:gridCol w:w="2358"/>
      </w:tblGrid>
      <w:tr w:rsidR="00B17781" w:rsidRPr="00404AD7" w14:paraId="2E8EFE75" w14:textId="77777777" w:rsidTr="00E53FC8">
        <w:trPr>
          <w:tblHeader/>
        </w:trPr>
        <w:tc>
          <w:tcPr>
            <w:tcW w:w="1089" w:type="dxa"/>
            <w:tcBorders>
              <w:top w:val="single" w:sz="4" w:space="0" w:color="auto"/>
              <w:bottom w:val="single" w:sz="12" w:space="0" w:color="auto"/>
            </w:tcBorders>
            <w:shd w:val="clear" w:color="auto" w:fill="auto"/>
            <w:noWrap/>
            <w:vAlign w:val="bottom"/>
            <w:hideMark/>
          </w:tcPr>
          <w:p w14:paraId="2D5F904D" w14:textId="77777777" w:rsidR="00B17781" w:rsidRPr="00404AD7" w:rsidRDefault="00B17781" w:rsidP="00E53FC8">
            <w:pPr>
              <w:suppressAutoHyphens w:val="0"/>
              <w:spacing w:before="80" w:after="80" w:line="200" w:lineRule="exact"/>
              <w:rPr>
                <w:i/>
                <w:sz w:val="16"/>
                <w:lang w:eastAsia="et-EE"/>
              </w:rPr>
            </w:pPr>
            <w:r w:rsidRPr="00404AD7">
              <w:rPr>
                <w:i/>
                <w:sz w:val="16"/>
                <w:lang w:eastAsia="et-EE"/>
              </w:rPr>
              <w:t> </w:t>
            </w:r>
          </w:p>
        </w:tc>
        <w:tc>
          <w:tcPr>
            <w:tcW w:w="3923" w:type="dxa"/>
            <w:tcBorders>
              <w:top w:val="single" w:sz="4" w:space="0" w:color="auto"/>
              <w:bottom w:val="single" w:sz="12" w:space="0" w:color="auto"/>
            </w:tcBorders>
            <w:shd w:val="clear" w:color="auto" w:fill="auto"/>
            <w:noWrap/>
            <w:vAlign w:val="bottom"/>
            <w:hideMark/>
          </w:tcPr>
          <w:p w14:paraId="462F9E62" w14:textId="77777777" w:rsidR="00B17781" w:rsidRPr="00404AD7" w:rsidRDefault="00B17781" w:rsidP="00E53FC8">
            <w:pPr>
              <w:suppressAutoHyphens w:val="0"/>
              <w:spacing w:before="80" w:after="80" w:line="200" w:lineRule="exact"/>
              <w:jc w:val="right"/>
              <w:rPr>
                <w:i/>
                <w:sz w:val="16"/>
                <w:lang w:eastAsia="et-EE"/>
              </w:rPr>
            </w:pPr>
            <w:r w:rsidRPr="00404AD7">
              <w:rPr>
                <w:i/>
                <w:sz w:val="16"/>
                <w:lang w:eastAsia="et-EE"/>
              </w:rPr>
              <w:t>Persons with taking care to an adult</w:t>
            </w:r>
          </w:p>
        </w:tc>
        <w:tc>
          <w:tcPr>
            <w:tcW w:w="2358" w:type="dxa"/>
            <w:tcBorders>
              <w:top w:val="single" w:sz="4" w:space="0" w:color="auto"/>
              <w:bottom w:val="single" w:sz="12" w:space="0" w:color="auto"/>
            </w:tcBorders>
            <w:shd w:val="clear" w:color="auto" w:fill="auto"/>
            <w:noWrap/>
            <w:vAlign w:val="bottom"/>
            <w:hideMark/>
          </w:tcPr>
          <w:p w14:paraId="2BDBE939" w14:textId="77777777" w:rsidR="00B17781" w:rsidRPr="00404AD7" w:rsidRDefault="00B17781" w:rsidP="00E53FC8">
            <w:pPr>
              <w:suppressAutoHyphens w:val="0"/>
              <w:spacing w:before="80" w:after="80" w:line="200" w:lineRule="exact"/>
              <w:jc w:val="right"/>
              <w:rPr>
                <w:i/>
                <w:sz w:val="16"/>
                <w:lang w:eastAsia="et-EE"/>
              </w:rPr>
            </w:pPr>
            <w:r w:rsidRPr="00404AD7">
              <w:rPr>
                <w:i/>
                <w:sz w:val="16"/>
                <w:lang w:eastAsia="et-EE"/>
              </w:rPr>
              <w:t xml:space="preserve">Share of </w:t>
            </w:r>
            <w:proofErr w:type="spellStart"/>
            <w:r w:rsidRPr="00404AD7">
              <w:rPr>
                <w:i/>
                <w:sz w:val="16"/>
                <w:lang w:eastAsia="et-EE"/>
              </w:rPr>
              <w:t>empoyment</w:t>
            </w:r>
            <w:proofErr w:type="spellEnd"/>
          </w:p>
        </w:tc>
      </w:tr>
      <w:tr w:rsidR="00B17781" w:rsidRPr="00404AD7" w14:paraId="7275EB61" w14:textId="77777777" w:rsidTr="00E53FC8">
        <w:tc>
          <w:tcPr>
            <w:tcW w:w="1089" w:type="dxa"/>
            <w:tcBorders>
              <w:top w:val="single" w:sz="12" w:space="0" w:color="auto"/>
            </w:tcBorders>
            <w:shd w:val="clear" w:color="auto" w:fill="auto"/>
            <w:noWrap/>
            <w:hideMark/>
          </w:tcPr>
          <w:p w14:paraId="3EC4A4AC" w14:textId="77777777" w:rsidR="00B17781" w:rsidRPr="00404AD7" w:rsidRDefault="00B17781" w:rsidP="00E53FC8">
            <w:pPr>
              <w:suppressAutoHyphens w:val="0"/>
              <w:spacing w:before="40" w:after="40" w:line="220" w:lineRule="exact"/>
              <w:rPr>
                <w:sz w:val="18"/>
                <w:lang w:eastAsia="et-EE"/>
              </w:rPr>
            </w:pPr>
            <w:r w:rsidRPr="00404AD7">
              <w:rPr>
                <w:sz w:val="18"/>
                <w:lang w:eastAsia="et-EE"/>
              </w:rPr>
              <w:t>Men</w:t>
            </w:r>
          </w:p>
        </w:tc>
        <w:tc>
          <w:tcPr>
            <w:tcW w:w="3923" w:type="dxa"/>
            <w:tcBorders>
              <w:top w:val="single" w:sz="12" w:space="0" w:color="auto"/>
            </w:tcBorders>
            <w:shd w:val="clear" w:color="auto" w:fill="auto"/>
            <w:noWrap/>
            <w:vAlign w:val="bottom"/>
            <w:hideMark/>
          </w:tcPr>
          <w:p w14:paraId="18EE2FFB" w14:textId="77777777" w:rsidR="00B17781" w:rsidRPr="00404AD7" w:rsidRDefault="00B17781" w:rsidP="00E53FC8">
            <w:pPr>
              <w:suppressAutoHyphens w:val="0"/>
              <w:spacing w:before="40" w:after="40" w:line="220" w:lineRule="exact"/>
              <w:jc w:val="right"/>
              <w:rPr>
                <w:sz w:val="18"/>
                <w:lang w:eastAsia="et-EE"/>
              </w:rPr>
            </w:pPr>
            <w:r w:rsidRPr="00404AD7">
              <w:rPr>
                <w:sz w:val="18"/>
                <w:lang w:eastAsia="et-EE"/>
              </w:rPr>
              <w:t>41%</w:t>
            </w:r>
          </w:p>
        </w:tc>
        <w:tc>
          <w:tcPr>
            <w:tcW w:w="2358" w:type="dxa"/>
            <w:tcBorders>
              <w:top w:val="single" w:sz="12" w:space="0" w:color="auto"/>
            </w:tcBorders>
            <w:shd w:val="clear" w:color="auto" w:fill="auto"/>
            <w:noWrap/>
            <w:vAlign w:val="bottom"/>
            <w:hideMark/>
          </w:tcPr>
          <w:p w14:paraId="04B36D54" w14:textId="77777777" w:rsidR="00B17781" w:rsidRPr="00404AD7" w:rsidRDefault="00B17781" w:rsidP="00E53FC8">
            <w:pPr>
              <w:suppressAutoHyphens w:val="0"/>
              <w:spacing w:before="40" w:after="40" w:line="220" w:lineRule="exact"/>
              <w:jc w:val="right"/>
              <w:rPr>
                <w:sz w:val="18"/>
                <w:lang w:eastAsia="et-EE"/>
              </w:rPr>
            </w:pPr>
            <w:r w:rsidRPr="00404AD7">
              <w:rPr>
                <w:sz w:val="18"/>
                <w:lang w:eastAsia="et-EE"/>
              </w:rPr>
              <w:t>55%</w:t>
            </w:r>
          </w:p>
        </w:tc>
      </w:tr>
      <w:tr w:rsidR="00B17781" w:rsidRPr="00404AD7" w14:paraId="7291DF2C" w14:textId="77777777" w:rsidTr="00E53FC8">
        <w:tc>
          <w:tcPr>
            <w:tcW w:w="1089" w:type="dxa"/>
            <w:tcBorders>
              <w:bottom w:val="single" w:sz="12" w:space="0" w:color="auto"/>
            </w:tcBorders>
            <w:shd w:val="clear" w:color="auto" w:fill="auto"/>
            <w:noWrap/>
            <w:hideMark/>
          </w:tcPr>
          <w:p w14:paraId="30D3ED76" w14:textId="77777777" w:rsidR="00B17781" w:rsidRPr="00404AD7" w:rsidRDefault="00B17781" w:rsidP="00E53FC8">
            <w:pPr>
              <w:suppressAutoHyphens w:val="0"/>
              <w:spacing w:before="40" w:after="40" w:line="220" w:lineRule="exact"/>
              <w:rPr>
                <w:sz w:val="18"/>
                <w:lang w:eastAsia="et-EE"/>
              </w:rPr>
            </w:pPr>
            <w:r w:rsidRPr="00404AD7">
              <w:rPr>
                <w:sz w:val="18"/>
                <w:lang w:eastAsia="et-EE"/>
              </w:rPr>
              <w:t>Women</w:t>
            </w:r>
          </w:p>
        </w:tc>
        <w:tc>
          <w:tcPr>
            <w:tcW w:w="3923" w:type="dxa"/>
            <w:tcBorders>
              <w:bottom w:val="single" w:sz="12" w:space="0" w:color="auto"/>
            </w:tcBorders>
            <w:shd w:val="clear" w:color="auto" w:fill="auto"/>
            <w:noWrap/>
            <w:vAlign w:val="bottom"/>
            <w:hideMark/>
          </w:tcPr>
          <w:p w14:paraId="4D49A035" w14:textId="77777777" w:rsidR="00B17781" w:rsidRPr="00404AD7" w:rsidRDefault="00B17781" w:rsidP="00E53FC8">
            <w:pPr>
              <w:suppressAutoHyphens w:val="0"/>
              <w:spacing w:before="40" w:after="40" w:line="220" w:lineRule="exact"/>
              <w:jc w:val="right"/>
              <w:rPr>
                <w:sz w:val="18"/>
                <w:lang w:eastAsia="et-EE"/>
              </w:rPr>
            </w:pPr>
            <w:r w:rsidRPr="00404AD7">
              <w:rPr>
                <w:sz w:val="18"/>
                <w:lang w:eastAsia="et-EE"/>
              </w:rPr>
              <w:t>59%</w:t>
            </w:r>
          </w:p>
        </w:tc>
        <w:tc>
          <w:tcPr>
            <w:tcW w:w="2358" w:type="dxa"/>
            <w:tcBorders>
              <w:bottom w:val="single" w:sz="12" w:space="0" w:color="auto"/>
            </w:tcBorders>
            <w:shd w:val="clear" w:color="auto" w:fill="auto"/>
            <w:noWrap/>
            <w:vAlign w:val="bottom"/>
            <w:hideMark/>
          </w:tcPr>
          <w:p w14:paraId="1C93F104" w14:textId="77777777" w:rsidR="00B17781" w:rsidRPr="00404AD7" w:rsidRDefault="00B17781" w:rsidP="00E53FC8">
            <w:pPr>
              <w:suppressAutoHyphens w:val="0"/>
              <w:spacing w:before="40" w:after="40" w:line="220" w:lineRule="exact"/>
              <w:jc w:val="right"/>
              <w:rPr>
                <w:sz w:val="18"/>
                <w:lang w:eastAsia="et-EE"/>
              </w:rPr>
            </w:pPr>
            <w:r w:rsidRPr="00404AD7">
              <w:rPr>
                <w:sz w:val="18"/>
                <w:lang w:eastAsia="et-EE"/>
              </w:rPr>
              <w:t>52%</w:t>
            </w:r>
          </w:p>
        </w:tc>
      </w:tr>
    </w:tbl>
    <w:p w14:paraId="2CD0DFD5" w14:textId="6427C9CA" w:rsidR="00B17781" w:rsidRPr="00404AD7" w:rsidRDefault="00B17781" w:rsidP="00B17781">
      <w:pPr>
        <w:pStyle w:val="FootnoteText"/>
        <w:tabs>
          <w:tab w:val="clear" w:pos="418"/>
          <w:tab w:val="right" w:pos="1476"/>
          <w:tab w:val="left" w:pos="1548"/>
          <w:tab w:val="right" w:pos="1836"/>
          <w:tab w:val="left" w:pos="1908"/>
        </w:tabs>
        <w:spacing w:line="120" w:lineRule="exact"/>
        <w:ind w:left="1123" w:right="1267" w:firstLine="0"/>
        <w:rPr>
          <w:b/>
          <w:bCs/>
          <w:sz w:val="10"/>
        </w:rPr>
      </w:pPr>
    </w:p>
    <w:p w14:paraId="65753B4C" w14:textId="36E613AB" w:rsidR="00B17781" w:rsidRPr="00404AD7" w:rsidRDefault="00DF508E" w:rsidP="00DF508E">
      <w:pPr>
        <w:pStyle w:val="FootnoteText"/>
        <w:tabs>
          <w:tab w:val="clear" w:pos="418"/>
          <w:tab w:val="right" w:pos="1476"/>
          <w:tab w:val="left" w:pos="1548"/>
          <w:tab w:val="right" w:pos="1836"/>
          <w:tab w:val="left" w:pos="1908"/>
        </w:tabs>
        <w:ind w:left="1548" w:right="1267" w:hanging="423"/>
      </w:pPr>
      <w:r w:rsidRPr="00404AD7">
        <w:rPr>
          <w:i/>
          <w:iCs/>
        </w:rPr>
        <w:t>Source</w:t>
      </w:r>
      <w:r w:rsidRPr="00404AD7">
        <w:t xml:space="preserve">: </w:t>
      </w:r>
      <w:r w:rsidRPr="00404AD7">
        <w:rPr>
          <w:i/>
          <w:iCs/>
        </w:rPr>
        <w:t>Statistics</w:t>
      </w:r>
      <w:r w:rsidRPr="00404AD7">
        <w:t xml:space="preserve"> Estonia, Labour Force Survey</w:t>
      </w:r>
    </w:p>
    <w:p w14:paraId="338D68E7" w14:textId="52FE4154" w:rsidR="00DF508E" w:rsidRPr="00404AD7" w:rsidRDefault="00DF508E" w:rsidP="00DF508E">
      <w:pPr>
        <w:pStyle w:val="FootnoteText"/>
        <w:tabs>
          <w:tab w:val="clear" w:pos="418"/>
          <w:tab w:val="right" w:pos="1476"/>
          <w:tab w:val="left" w:pos="1548"/>
          <w:tab w:val="right" w:pos="1836"/>
          <w:tab w:val="left" w:pos="1908"/>
        </w:tabs>
        <w:spacing w:line="120" w:lineRule="exact"/>
        <w:ind w:left="1548" w:right="1267" w:hanging="423"/>
        <w:rPr>
          <w:i/>
          <w:iCs/>
          <w:sz w:val="10"/>
        </w:rPr>
      </w:pPr>
    </w:p>
    <w:p w14:paraId="7F1D246E" w14:textId="1C0B85E7" w:rsidR="00DF508E" w:rsidRPr="00404AD7" w:rsidRDefault="00DF508E" w:rsidP="00DF508E">
      <w:pPr>
        <w:pStyle w:val="FootnoteText"/>
        <w:tabs>
          <w:tab w:val="clear" w:pos="418"/>
          <w:tab w:val="right" w:pos="1476"/>
          <w:tab w:val="left" w:pos="1548"/>
          <w:tab w:val="right" w:pos="1836"/>
          <w:tab w:val="left" w:pos="1908"/>
        </w:tabs>
        <w:spacing w:line="120" w:lineRule="exact"/>
        <w:ind w:left="1548" w:right="1267" w:hanging="423"/>
        <w:rPr>
          <w:b/>
          <w:bCs/>
          <w:sz w:val="10"/>
        </w:rPr>
      </w:pPr>
    </w:p>
    <w:p w14:paraId="011C9ECD" w14:textId="5728C8C3" w:rsidR="00DF508E" w:rsidRPr="00404AD7" w:rsidRDefault="00936839" w:rsidP="00DF508E">
      <w:pPr>
        <w:pStyle w:val="FootnoteText"/>
        <w:tabs>
          <w:tab w:val="clear" w:pos="418"/>
          <w:tab w:val="right" w:pos="1476"/>
          <w:tab w:val="left" w:pos="1548"/>
          <w:tab w:val="right" w:pos="1836"/>
          <w:tab w:val="left" w:pos="1908"/>
        </w:tabs>
        <w:ind w:left="1548" w:right="1267" w:hanging="423"/>
        <w:rPr>
          <w:b/>
          <w:bCs/>
        </w:rPr>
      </w:pPr>
      <w:bookmarkStart w:id="66" w:name="_Toc108692434"/>
      <w:r w:rsidRPr="00404AD7">
        <w:rPr>
          <w:b/>
          <w:bCs/>
        </w:rPr>
        <w:t>Table: At-risk-of-poverty rate of disabled people by sex and age group, 2016-2020, %</w:t>
      </w:r>
      <w:bookmarkEnd w:id="66"/>
    </w:p>
    <w:p w14:paraId="52AABBA7" w14:textId="7AEDD533" w:rsidR="00936839" w:rsidRPr="00404AD7" w:rsidRDefault="00936839" w:rsidP="00936839">
      <w:pPr>
        <w:pStyle w:val="FootnoteText"/>
        <w:tabs>
          <w:tab w:val="clear" w:pos="418"/>
          <w:tab w:val="right" w:pos="1476"/>
          <w:tab w:val="left" w:pos="1548"/>
          <w:tab w:val="right" w:pos="1836"/>
          <w:tab w:val="left" w:pos="1908"/>
        </w:tabs>
        <w:spacing w:line="120" w:lineRule="exact"/>
        <w:ind w:left="1548" w:right="1267" w:hanging="423"/>
        <w:rPr>
          <w:b/>
          <w:bCs/>
          <w:sz w:val="10"/>
        </w:rPr>
      </w:pPr>
    </w:p>
    <w:p w14:paraId="1118F613" w14:textId="05A4E3CA" w:rsidR="00936839" w:rsidRPr="00404AD7" w:rsidRDefault="00936839" w:rsidP="00936839">
      <w:pPr>
        <w:pStyle w:val="FootnoteText"/>
        <w:tabs>
          <w:tab w:val="clear" w:pos="418"/>
          <w:tab w:val="right" w:pos="1476"/>
          <w:tab w:val="left" w:pos="1548"/>
          <w:tab w:val="right" w:pos="1836"/>
          <w:tab w:val="left" w:pos="1908"/>
        </w:tabs>
        <w:spacing w:line="120" w:lineRule="exact"/>
        <w:ind w:left="1548" w:right="1267" w:hanging="423"/>
        <w:rPr>
          <w:b/>
          <w:bCs/>
          <w:sz w:val="10"/>
        </w:rPr>
      </w:pPr>
    </w:p>
    <w:tbl>
      <w:tblPr>
        <w:tblW w:w="7326" w:type="dxa"/>
        <w:tblInd w:w="1134" w:type="dxa"/>
        <w:tblLayout w:type="fixed"/>
        <w:tblCellMar>
          <w:left w:w="0" w:type="dxa"/>
          <w:right w:w="0" w:type="dxa"/>
        </w:tblCellMar>
        <w:tblLook w:val="04A0" w:firstRow="1" w:lastRow="0" w:firstColumn="1" w:lastColumn="0" w:noHBand="0" w:noVBand="1"/>
      </w:tblPr>
      <w:tblGrid>
        <w:gridCol w:w="1226"/>
        <w:gridCol w:w="1227"/>
        <w:gridCol w:w="1227"/>
        <w:gridCol w:w="1227"/>
        <w:gridCol w:w="1227"/>
        <w:gridCol w:w="1192"/>
      </w:tblGrid>
      <w:tr w:rsidR="000B5389" w:rsidRPr="00404AD7" w14:paraId="100E8A45" w14:textId="77777777" w:rsidTr="003A2622">
        <w:trPr>
          <w:tblHeader/>
        </w:trPr>
        <w:tc>
          <w:tcPr>
            <w:tcW w:w="1226" w:type="dxa"/>
            <w:tcBorders>
              <w:top w:val="single" w:sz="4" w:space="0" w:color="auto"/>
              <w:bottom w:val="single" w:sz="12" w:space="0" w:color="auto"/>
            </w:tcBorders>
            <w:shd w:val="clear" w:color="auto" w:fill="auto"/>
            <w:noWrap/>
            <w:vAlign w:val="bottom"/>
            <w:hideMark/>
          </w:tcPr>
          <w:p w14:paraId="70D8D16B" w14:textId="77777777" w:rsidR="000B5389" w:rsidRPr="00404AD7" w:rsidRDefault="000B5389" w:rsidP="00E53FC8">
            <w:pPr>
              <w:suppressAutoHyphens w:val="0"/>
              <w:spacing w:before="80" w:after="80" w:line="200" w:lineRule="exact"/>
              <w:rPr>
                <w:i/>
                <w:sz w:val="16"/>
                <w:lang w:eastAsia="et-EE"/>
              </w:rPr>
            </w:pPr>
            <w:r w:rsidRPr="00404AD7">
              <w:rPr>
                <w:i/>
                <w:sz w:val="16"/>
                <w:lang w:eastAsia="et-EE"/>
              </w:rPr>
              <w:t> </w:t>
            </w:r>
          </w:p>
        </w:tc>
        <w:tc>
          <w:tcPr>
            <w:tcW w:w="1227" w:type="dxa"/>
            <w:tcBorders>
              <w:top w:val="single" w:sz="4" w:space="0" w:color="auto"/>
              <w:bottom w:val="single" w:sz="12" w:space="0" w:color="auto"/>
            </w:tcBorders>
            <w:shd w:val="clear" w:color="auto" w:fill="auto"/>
            <w:noWrap/>
            <w:vAlign w:val="bottom"/>
            <w:hideMark/>
          </w:tcPr>
          <w:p w14:paraId="48E6F2A0" w14:textId="77777777" w:rsidR="000B5389" w:rsidRPr="00404AD7" w:rsidRDefault="000B5389" w:rsidP="00E53FC8">
            <w:pPr>
              <w:suppressAutoHyphens w:val="0"/>
              <w:spacing w:before="80" w:after="80" w:line="200" w:lineRule="exact"/>
              <w:jc w:val="right"/>
              <w:rPr>
                <w:i/>
                <w:sz w:val="16"/>
                <w:lang w:eastAsia="et-EE"/>
              </w:rPr>
            </w:pPr>
            <w:r w:rsidRPr="00404AD7">
              <w:rPr>
                <w:i/>
                <w:sz w:val="16"/>
                <w:lang w:eastAsia="et-EE"/>
              </w:rPr>
              <w:t> </w:t>
            </w:r>
          </w:p>
        </w:tc>
        <w:tc>
          <w:tcPr>
            <w:tcW w:w="1227" w:type="dxa"/>
            <w:tcBorders>
              <w:top w:val="single" w:sz="4" w:space="0" w:color="auto"/>
              <w:bottom w:val="single" w:sz="12" w:space="0" w:color="auto"/>
            </w:tcBorders>
            <w:shd w:val="clear" w:color="auto" w:fill="auto"/>
            <w:noWrap/>
            <w:vAlign w:val="bottom"/>
            <w:hideMark/>
          </w:tcPr>
          <w:p w14:paraId="5EF6CE99" w14:textId="77777777" w:rsidR="000B5389" w:rsidRPr="00404AD7" w:rsidRDefault="000B5389" w:rsidP="00E53FC8">
            <w:pPr>
              <w:suppressAutoHyphens w:val="0"/>
              <w:spacing w:before="80" w:after="80" w:line="200" w:lineRule="exact"/>
              <w:jc w:val="right"/>
              <w:rPr>
                <w:i/>
                <w:sz w:val="16"/>
                <w:lang w:eastAsia="et-EE"/>
              </w:rPr>
            </w:pPr>
            <w:r w:rsidRPr="00404AD7">
              <w:rPr>
                <w:i/>
                <w:sz w:val="16"/>
                <w:lang w:eastAsia="et-EE"/>
              </w:rPr>
              <w:t>Total</w:t>
            </w:r>
          </w:p>
        </w:tc>
        <w:tc>
          <w:tcPr>
            <w:tcW w:w="1227" w:type="dxa"/>
            <w:tcBorders>
              <w:top w:val="single" w:sz="4" w:space="0" w:color="auto"/>
              <w:bottom w:val="single" w:sz="12" w:space="0" w:color="auto"/>
            </w:tcBorders>
            <w:shd w:val="clear" w:color="auto" w:fill="auto"/>
            <w:noWrap/>
            <w:vAlign w:val="bottom"/>
            <w:hideMark/>
          </w:tcPr>
          <w:p w14:paraId="3D60A1B1" w14:textId="77777777" w:rsidR="000B5389" w:rsidRPr="00404AD7" w:rsidRDefault="000B5389" w:rsidP="00E53FC8">
            <w:pPr>
              <w:suppressAutoHyphens w:val="0"/>
              <w:spacing w:before="80" w:after="80" w:line="200" w:lineRule="exact"/>
              <w:jc w:val="right"/>
              <w:rPr>
                <w:i/>
                <w:sz w:val="16"/>
                <w:lang w:eastAsia="et-EE"/>
              </w:rPr>
            </w:pPr>
            <w:r w:rsidRPr="00404AD7">
              <w:rPr>
                <w:i/>
                <w:sz w:val="16"/>
                <w:lang w:eastAsia="et-EE"/>
              </w:rPr>
              <w:t>18-64</w:t>
            </w:r>
          </w:p>
        </w:tc>
        <w:tc>
          <w:tcPr>
            <w:tcW w:w="1227" w:type="dxa"/>
            <w:tcBorders>
              <w:top w:val="single" w:sz="4" w:space="0" w:color="auto"/>
              <w:bottom w:val="single" w:sz="12" w:space="0" w:color="auto"/>
            </w:tcBorders>
            <w:shd w:val="clear" w:color="auto" w:fill="auto"/>
            <w:noWrap/>
            <w:vAlign w:val="bottom"/>
            <w:hideMark/>
          </w:tcPr>
          <w:p w14:paraId="3F27E289" w14:textId="77777777" w:rsidR="000B5389" w:rsidRPr="00404AD7" w:rsidRDefault="000B5389" w:rsidP="00E53FC8">
            <w:pPr>
              <w:suppressAutoHyphens w:val="0"/>
              <w:spacing w:before="80" w:after="80" w:line="200" w:lineRule="exact"/>
              <w:jc w:val="right"/>
              <w:rPr>
                <w:i/>
                <w:sz w:val="16"/>
                <w:lang w:eastAsia="et-EE"/>
              </w:rPr>
            </w:pPr>
            <w:r w:rsidRPr="00404AD7">
              <w:rPr>
                <w:i/>
                <w:sz w:val="16"/>
                <w:lang w:eastAsia="et-EE"/>
              </w:rPr>
              <w:t>20-64</w:t>
            </w:r>
          </w:p>
        </w:tc>
        <w:tc>
          <w:tcPr>
            <w:tcW w:w="1192" w:type="dxa"/>
            <w:tcBorders>
              <w:top w:val="single" w:sz="4" w:space="0" w:color="auto"/>
              <w:bottom w:val="single" w:sz="12" w:space="0" w:color="auto"/>
            </w:tcBorders>
            <w:shd w:val="clear" w:color="auto" w:fill="auto"/>
            <w:noWrap/>
            <w:vAlign w:val="bottom"/>
            <w:hideMark/>
          </w:tcPr>
          <w:p w14:paraId="782A766F" w14:textId="77777777" w:rsidR="000B5389" w:rsidRPr="00404AD7" w:rsidRDefault="000B5389" w:rsidP="00E53FC8">
            <w:pPr>
              <w:suppressAutoHyphens w:val="0"/>
              <w:spacing w:before="80" w:after="80" w:line="200" w:lineRule="exact"/>
              <w:jc w:val="right"/>
              <w:rPr>
                <w:i/>
                <w:sz w:val="16"/>
                <w:lang w:eastAsia="et-EE"/>
              </w:rPr>
            </w:pPr>
            <w:r w:rsidRPr="00404AD7">
              <w:rPr>
                <w:i/>
                <w:sz w:val="16"/>
                <w:lang w:eastAsia="et-EE"/>
              </w:rPr>
              <w:t>65 and older</w:t>
            </w:r>
          </w:p>
        </w:tc>
      </w:tr>
      <w:tr w:rsidR="000B5389" w:rsidRPr="00404AD7" w14:paraId="2057D183" w14:textId="77777777" w:rsidTr="003A2622">
        <w:tc>
          <w:tcPr>
            <w:tcW w:w="1226" w:type="dxa"/>
            <w:vMerge w:val="restart"/>
            <w:tcBorders>
              <w:top w:val="single" w:sz="12" w:space="0" w:color="auto"/>
            </w:tcBorders>
            <w:shd w:val="clear" w:color="auto" w:fill="auto"/>
            <w:noWrap/>
            <w:hideMark/>
          </w:tcPr>
          <w:p w14:paraId="18DB3BFB" w14:textId="77777777" w:rsidR="000B5389" w:rsidRPr="00404AD7" w:rsidRDefault="000B5389" w:rsidP="00E53FC8">
            <w:pPr>
              <w:suppressAutoHyphens w:val="0"/>
              <w:spacing w:before="40" w:after="40" w:line="220" w:lineRule="exact"/>
              <w:rPr>
                <w:b/>
                <w:sz w:val="18"/>
                <w:lang w:eastAsia="et-EE"/>
              </w:rPr>
            </w:pPr>
            <w:r w:rsidRPr="00404AD7">
              <w:rPr>
                <w:b/>
                <w:sz w:val="18"/>
                <w:lang w:eastAsia="et-EE"/>
              </w:rPr>
              <w:t>2016</w:t>
            </w:r>
          </w:p>
        </w:tc>
        <w:tc>
          <w:tcPr>
            <w:tcW w:w="1227" w:type="dxa"/>
            <w:tcBorders>
              <w:top w:val="single" w:sz="12" w:space="0" w:color="auto"/>
            </w:tcBorders>
            <w:shd w:val="clear" w:color="auto" w:fill="auto"/>
            <w:noWrap/>
            <w:vAlign w:val="bottom"/>
            <w:hideMark/>
          </w:tcPr>
          <w:p w14:paraId="2D98C787" w14:textId="77777777" w:rsidR="000B5389" w:rsidRPr="00404AD7" w:rsidRDefault="000B5389" w:rsidP="00E53FC8">
            <w:pPr>
              <w:suppressAutoHyphens w:val="0"/>
              <w:spacing w:before="40" w:after="40" w:line="220" w:lineRule="exact"/>
              <w:jc w:val="right"/>
              <w:rPr>
                <w:b/>
                <w:sz w:val="18"/>
                <w:lang w:eastAsia="et-EE"/>
              </w:rPr>
            </w:pPr>
            <w:r w:rsidRPr="00404AD7">
              <w:rPr>
                <w:b/>
                <w:sz w:val="18"/>
                <w:lang w:eastAsia="et-EE"/>
              </w:rPr>
              <w:t>Men</w:t>
            </w:r>
          </w:p>
        </w:tc>
        <w:tc>
          <w:tcPr>
            <w:tcW w:w="1227" w:type="dxa"/>
            <w:tcBorders>
              <w:top w:val="single" w:sz="12" w:space="0" w:color="auto"/>
            </w:tcBorders>
            <w:shd w:val="clear" w:color="auto" w:fill="auto"/>
            <w:noWrap/>
            <w:vAlign w:val="bottom"/>
            <w:hideMark/>
          </w:tcPr>
          <w:p w14:paraId="592B5A7C"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32,2</w:t>
            </w:r>
          </w:p>
        </w:tc>
        <w:tc>
          <w:tcPr>
            <w:tcW w:w="1227" w:type="dxa"/>
            <w:tcBorders>
              <w:top w:val="single" w:sz="12" w:space="0" w:color="auto"/>
            </w:tcBorders>
            <w:shd w:val="clear" w:color="auto" w:fill="auto"/>
            <w:noWrap/>
            <w:vAlign w:val="bottom"/>
            <w:hideMark/>
          </w:tcPr>
          <w:p w14:paraId="6F3B3C15"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34,9</w:t>
            </w:r>
          </w:p>
        </w:tc>
        <w:tc>
          <w:tcPr>
            <w:tcW w:w="1227" w:type="dxa"/>
            <w:tcBorders>
              <w:top w:val="single" w:sz="12" w:space="0" w:color="auto"/>
            </w:tcBorders>
            <w:shd w:val="clear" w:color="auto" w:fill="auto"/>
            <w:noWrap/>
            <w:vAlign w:val="bottom"/>
            <w:hideMark/>
          </w:tcPr>
          <w:p w14:paraId="4E7CE731"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34,9</w:t>
            </w:r>
          </w:p>
        </w:tc>
        <w:tc>
          <w:tcPr>
            <w:tcW w:w="1192" w:type="dxa"/>
            <w:tcBorders>
              <w:top w:val="single" w:sz="12" w:space="0" w:color="auto"/>
            </w:tcBorders>
            <w:shd w:val="clear" w:color="auto" w:fill="auto"/>
            <w:noWrap/>
            <w:vAlign w:val="bottom"/>
            <w:hideMark/>
          </w:tcPr>
          <w:p w14:paraId="28BE1C7E"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34,8</w:t>
            </w:r>
          </w:p>
        </w:tc>
      </w:tr>
      <w:tr w:rsidR="000B5389" w:rsidRPr="00404AD7" w14:paraId="195BAC2D" w14:textId="77777777" w:rsidTr="003A2622">
        <w:tc>
          <w:tcPr>
            <w:tcW w:w="1226" w:type="dxa"/>
            <w:vMerge/>
            <w:shd w:val="clear" w:color="auto" w:fill="auto"/>
            <w:hideMark/>
          </w:tcPr>
          <w:p w14:paraId="640D49DB" w14:textId="77777777" w:rsidR="000B5389" w:rsidRPr="00404AD7" w:rsidRDefault="000B5389" w:rsidP="00E53FC8">
            <w:pPr>
              <w:suppressAutoHyphens w:val="0"/>
              <w:spacing w:before="40" w:after="40" w:line="220" w:lineRule="exact"/>
              <w:rPr>
                <w:b/>
                <w:sz w:val="18"/>
                <w:lang w:eastAsia="et-EE"/>
              </w:rPr>
            </w:pPr>
          </w:p>
        </w:tc>
        <w:tc>
          <w:tcPr>
            <w:tcW w:w="1227" w:type="dxa"/>
            <w:shd w:val="clear" w:color="auto" w:fill="auto"/>
            <w:noWrap/>
            <w:vAlign w:val="bottom"/>
            <w:hideMark/>
          </w:tcPr>
          <w:p w14:paraId="6CD74A65" w14:textId="77777777" w:rsidR="000B5389" w:rsidRPr="00404AD7" w:rsidRDefault="000B5389" w:rsidP="00E53FC8">
            <w:pPr>
              <w:suppressAutoHyphens w:val="0"/>
              <w:spacing w:before="40" w:after="40" w:line="220" w:lineRule="exact"/>
              <w:jc w:val="right"/>
              <w:rPr>
                <w:b/>
                <w:sz w:val="18"/>
                <w:lang w:eastAsia="et-EE"/>
              </w:rPr>
            </w:pPr>
            <w:r w:rsidRPr="00404AD7">
              <w:rPr>
                <w:b/>
                <w:sz w:val="18"/>
                <w:lang w:eastAsia="et-EE"/>
              </w:rPr>
              <w:t>Women</w:t>
            </w:r>
          </w:p>
        </w:tc>
        <w:tc>
          <w:tcPr>
            <w:tcW w:w="1227" w:type="dxa"/>
            <w:shd w:val="clear" w:color="auto" w:fill="auto"/>
            <w:noWrap/>
            <w:vAlign w:val="bottom"/>
            <w:hideMark/>
          </w:tcPr>
          <w:p w14:paraId="1A4DFDDA"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46,1</w:t>
            </w:r>
          </w:p>
        </w:tc>
        <w:tc>
          <w:tcPr>
            <w:tcW w:w="1227" w:type="dxa"/>
            <w:shd w:val="clear" w:color="auto" w:fill="auto"/>
            <w:noWrap/>
            <w:vAlign w:val="bottom"/>
            <w:hideMark/>
          </w:tcPr>
          <w:p w14:paraId="3D106318"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31,3</w:t>
            </w:r>
          </w:p>
        </w:tc>
        <w:tc>
          <w:tcPr>
            <w:tcW w:w="1227" w:type="dxa"/>
            <w:shd w:val="clear" w:color="auto" w:fill="auto"/>
            <w:noWrap/>
            <w:vAlign w:val="bottom"/>
            <w:hideMark/>
          </w:tcPr>
          <w:p w14:paraId="38B673D3"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31,6</w:t>
            </w:r>
          </w:p>
        </w:tc>
        <w:tc>
          <w:tcPr>
            <w:tcW w:w="1192" w:type="dxa"/>
            <w:shd w:val="clear" w:color="auto" w:fill="auto"/>
            <w:noWrap/>
            <w:vAlign w:val="bottom"/>
            <w:hideMark/>
          </w:tcPr>
          <w:p w14:paraId="4A8632E7"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57,8</w:t>
            </w:r>
          </w:p>
        </w:tc>
      </w:tr>
      <w:tr w:rsidR="000B5389" w:rsidRPr="00404AD7" w14:paraId="69E234A1" w14:textId="77777777" w:rsidTr="003A2622">
        <w:tc>
          <w:tcPr>
            <w:tcW w:w="1226" w:type="dxa"/>
            <w:vMerge w:val="restart"/>
            <w:shd w:val="clear" w:color="auto" w:fill="auto"/>
            <w:noWrap/>
            <w:hideMark/>
          </w:tcPr>
          <w:p w14:paraId="6CE8EF2B" w14:textId="77777777" w:rsidR="000B5389" w:rsidRPr="00404AD7" w:rsidRDefault="000B5389" w:rsidP="00E53FC8">
            <w:pPr>
              <w:suppressAutoHyphens w:val="0"/>
              <w:spacing w:before="40" w:after="40" w:line="220" w:lineRule="exact"/>
              <w:rPr>
                <w:b/>
                <w:sz w:val="18"/>
                <w:lang w:eastAsia="et-EE"/>
              </w:rPr>
            </w:pPr>
            <w:r w:rsidRPr="00404AD7">
              <w:rPr>
                <w:b/>
                <w:sz w:val="18"/>
                <w:lang w:eastAsia="et-EE"/>
              </w:rPr>
              <w:t>2017</w:t>
            </w:r>
          </w:p>
        </w:tc>
        <w:tc>
          <w:tcPr>
            <w:tcW w:w="1227" w:type="dxa"/>
            <w:shd w:val="clear" w:color="auto" w:fill="auto"/>
            <w:noWrap/>
            <w:vAlign w:val="bottom"/>
            <w:hideMark/>
          </w:tcPr>
          <w:p w14:paraId="3F2C46FF" w14:textId="77777777" w:rsidR="000B5389" w:rsidRPr="00404AD7" w:rsidRDefault="000B5389" w:rsidP="00E53FC8">
            <w:pPr>
              <w:suppressAutoHyphens w:val="0"/>
              <w:spacing w:before="40" w:after="40" w:line="220" w:lineRule="exact"/>
              <w:jc w:val="right"/>
              <w:rPr>
                <w:b/>
                <w:sz w:val="18"/>
                <w:lang w:eastAsia="et-EE"/>
              </w:rPr>
            </w:pPr>
            <w:r w:rsidRPr="00404AD7">
              <w:rPr>
                <w:b/>
                <w:sz w:val="18"/>
                <w:lang w:eastAsia="et-EE"/>
              </w:rPr>
              <w:t>Men</w:t>
            </w:r>
          </w:p>
        </w:tc>
        <w:tc>
          <w:tcPr>
            <w:tcW w:w="1227" w:type="dxa"/>
            <w:shd w:val="clear" w:color="auto" w:fill="auto"/>
            <w:noWrap/>
            <w:vAlign w:val="bottom"/>
            <w:hideMark/>
          </w:tcPr>
          <w:p w14:paraId="20AC8093"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36,1</w:t>
            </w:r>
          </w:p>
        </w:tc>
        <w:tc>
          <w:tcPr>
            <w:tcW w:w="1227" w:type="dxa"/>
            <w:shd w:val="clear" w:color="auto" w:fill="auto"/>
            <w:noWrap/>
            <w:vAlign w:val="bottom"/>
            <w:hideMark/>
          </w:tcPr>
          <w:p w14:paraId="14CD5C60"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38,8</w:t>
            </w:r>
          </w:p>
        </w:tc>
        <w:tc>
          <w:tcPr>
            <w:tcW w:w="1227" w:type="dxa"/>
            <w:shd w:val="clear" w:color="auto" w:fill="auto"/>
            <w:noWrap/>
            <w:vAlign w:val="bottom"/>
            <w:hideMark/>
          </w:tcPr>
          <w:p w14:paraId="255D819A"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39</w:t>
            </w:r>
          </w:p>
        </w:tc>
        <w:tc>
          <w:tcPr>
            <w:tcW w:w="1192" w:type="dxa"/>
            <w:shd w:val="clear" w:color="auto" w:fill="auto"/>
            <w:noWrap/>
            <w:vAlign w:val="bottom"/>
            <w:hideMark/>
          </w:tcPr>
          <w:p w14:paraId="0F41C9AA"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39,3</w:t>
            </w:r>
          </w:p>
        </w:tc>
      </w:tr>
      <w:tr w:rsidR="000B5389" w:rsidRPr="00404AD7" w14:paraId="72FA2DAE" w14:textId="77777777" w:rsidTr="003A2622">
        <w:tc>
          <w:tcPr>
            <w:tcW w:w="1226" w:type="dxa"/>
            <w:vMerge/>
            <w:shd w:val="clear" w:color="auto" w:fill="auto"/>
            <w:hideMark/>
          </w:tcPr>
          <w:p w14:paraId="2609F555" w14:textId="77777777" w:rsidR="000B5389" w:rsidRPr="00404AD7" w:rsidRDefault="000B5389" w:rsidP="00E53FC8">
            <w:pPr>
              <w:suppressAutoHyphens w:val="0"/>
              <w:spacing w:before="40" w:after="40" w:line="220" w:lineRule="exact"/>
              <w:rPr>
                <w:b/>
                <w:sz w:val="18"/>
                <w:lang w:eastAsia="et-EE"/>
              </w:rPr>
            </w:pPr>
          </w:p>
        </w:tc>
        <w:tc>
          <w:tcPr>
            <w:tcW w:w="1227" w:type="dxa"/>
            <w:shd w:val="clear" w:color="auto" w:fill="auto"/>
            <w:noWrap/>
            <w:vAlign w:val="bottom"/>
            <w:hideMark/>
          </w:tcPr>
          <w:p w14:paraId="6715867B" w14:textId="77777777" w:rsidR="000B5389" w:rsidRPr="00404AD7" w:rsidRDefault="000B5389" w:rsidP="00E53FC8">
            <w:pPr>
              <w:suppressAutoHyphens w:val="0"/>
              <w:spacing w:before="40" w:after="40" w:line="220" w:lineRule="exact"/>
              <w:jc w:val="right"/>
              <w:rPr>
                <w:b/>
                <w:sz w:val="18"/>
                <w:lang w:eastAsia="et-EE"/>
              </w:rPr>
            </w:pPr>
            <w:r w:rsidRPr="00404AD7">
              <w:rPr>
                <w:b/>
                <w:sz w:val="18"/>
                <w:lang w:eastAsia="et-EE"/>
              </w:rPr>
              <w:t>Women</w:t>
            </w:r>
          </w:p>
        </w:tc>
        <w:tc>
          <w:tcPr>
            <w:tcW w:w="1227" w:type="dxa"/>
            <w:shd w:val="clear" w:color="auto" w:fill="auto"/>
            <w:noWrap/>
            <w:vAlign w:val="bottom"/>
            <w:hideMark/>
          </w:tcPr>
          <w:p w14:paraId="3FD51D43"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47,6</w:t>
            </w:r>
          </w:p>
        </w:tc>
        <w:tc>
          <w:tcPr>
            <w:tcW w:w="1227" w:type="dxa"/>
            <w:shd w:val="clear" w:color="auto" w:fill="auto"/>
            <w:noWrap/>
            <w:vAlign w:val="bottom"/>
            <w:hideMark/>
          </w:tcPr>
          <w:p w14:paraId="6DD0617D"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34,8</w:t>
            </w:r>
          </w:p>
        </w:tc>
        <w:tc>
          <w:tcPr>
            <w:tcW w:w="1227" w:type="dxa"/>
            <w:shd w:val="clear" w:color="auto" w:fill="auto"/>
            <w:noWrap/>
            <w:vAlign w:val="bottom"/>
            <w:hideMark/>
          </w:tcPr>
          <w:p w14:paraId="6E38E38E"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34,9</w:t>
            </w:r>
          </w:p>
        </w:tc>
        <w:tc>
          <w:tcPr>
            <w:tcW w:w="1192" w:type="dxa"/>
            <w:shd w:val="clear" w:color="auto" w:fill="auto"/>
            <w:noWrap/>
            <w:vAlign w:val="bottom"/>
            <w:hideMark/>
          </w:tcPr>
          <w:p w14:paraId="177EB533"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58,4</w:t>
            </w:r>
          </w:p>
        </w:tc>
      </w:tr>
      <w:tr w:rsidR="000B5389" w:rsidRPr="00404AD7" w14:paraId="11E2AC54" w14:textId="77777777" w:rsidTr="003A2622">
        <w:tc>
          <w:tcPr>
            <w:tcW w:w="1226" w:type="dxa"/>
            <w:vMerge w:val="restart"/>
            <w:shd w:val="clear" w:color="auto" w:fill="auto"/>
            <w:noWrap/>
            <w:hideMark/>
          </w:tcPr>
          <w:p w14:paraId="02B76958" w14:textId="77777777" w:rsidR="000B5389" w:rsidRPr="00404AD7" w:rsidRDefault="000B5389" w:rsidP="00E53FC8">
            <w:pPr>
              <w:suppressAutoHyphens w:val="0"/>
              <w:spacing w:before="40" w:after="40" w:line="220" w:lineRule="exact"/>
              <w:rPr>
                <w:b/>
                <w:sz w:val="18"/>
                <w:lang w:eastAsia="et-EE"/>
              </w:rPr>
            </w:pPr>
            <w:r w:rsidRPr="00404AD7">
              <w:rPr>
                <w:b/>
                <w:sz w:val="18"/>
                <w:lang w:eastAsia="et-EE"/>
              </w:rPr>
              <w:t>2018</w:t>
            </w:r>
          </w:p>
        </w:tc>
        <w:tc>
          <w:tcPr>
            <w:tcW w:w="1227" w:type="dxa"/>
            <w:shd w:val="clear" w:color="auto" w:fill="auto"/>
            <w:noWrap/>
            <w:vAlign w:val="bottom"/>
            <w:hideMark/>
          </w:tcPr>
          <w:p w14:paraId="515115A2" w14:textId="77777777" w:rsidR="000B5389" w:rsidRPr="00404AD7" w:rsidRDefault="000B5389" w:rsidP="00E53FC8">
            <w:pPr>
              <w:suppressAutoHyphens w:val="0"/>
              <w:spacing w:before="40" w:after="40" w:line="220" w:lineRule="exact"/>
              <w:jc w:val="right"/>
              <w:rPr>
                <w:b/>
                <w:sz w:val="18"/>
                <w:lang w:eastAsia="et-EE"/>
              </w:rPr>
            </w:pPr>
            <w:r w:rsidRPr="00404AD7">
              <w:rPr>
                <w:b/>
                <w:sz w:val="18"/>
                <w:lang w:eastAsia="et-EE"/>
              </w:rPr>
              <w:t>Men</w:t>
            </w:r>
          </w:p>
        </w:tc>
        <w:tc>
          <w:tcPr>
            <w:tcW w:w="1227" w:type="dxa"/>
            <w:shd w:val="clear" w:color="auto" w:fill="auto"/>
            <w:noWrap/>
            <w:vAlign w:val="bottom"/>
            <w:hideMark/>
          </w:tcPr>
          <w:p w14:paraId="2EB7B854"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37,6</w:t>
            </w:r>
          </w:p>
        </w:tc>
        <w:tc>
          <w:tcPr>
            <w:tcW w:w="1227" w:type="dxa"/>
            <w:shd w:val="clear" w:color="auto" w:fill="auto"/>
            <w:noWrap/>
            <w:vAlign w:val="bottom"/>
            <w:hideMark/>
          </w:tcPr>
          <w:p w14:paraId="59273C24"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40,7</w:t>
            </w:r>
          </w:p>
        </w:tc>
        <w:tc>
          <w:tcPr>
            <w:tcW w:w="1227" w:type="dxa"/>
            <w:shd w:val="clear" w:color="auto" w:fill="auto"/>
            <w:noWrap/>
            <w:vAlign w:val="bottom"/>
            <w:hideMark/>
          </w:tcPr>
          <w:p w14:paraId="513B11CF"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40,7</w:t>
            </w:r>
          </w:p>
        </w:tc>
        <w:tc>
          <w:tcPr>
            <w:tcW w:w="1192" w:type="dxa"/>
            <w:shd w:val="clear" w:color="auto" w:fill="auto"/>
            <w:noWrap/>
            <w:vAlign w:val="bottom"/>
            <w:hideMark/>
          </w:tcPr>
          <w:p w14:paraId="62271F25"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41,1</w:t>
            </w:r>
          </w:p>
        </w:tc>
      </w:tr>
      <w:tr w:rsidR="000B5389" w:rsidRPr="00404AD7" w14:paraId="4B5D4D91" w14:textId="77777777" w:rsidTr="003A2622">
        <w:tc>
          <w:tcPr>
            <w:tcW w:w="1226" w:type="dxa"/>
            <w:vMerge/>
            <w:shd w:val="clear" w:color="auto" w:fill="auto"/>
            <w:hideMark/>
          </w:tcPr>
          <w:p w14:paraId="3FF9DCD8" w14:textId="77777777" w:rsidR="000B5389" w:rsidRPr="00404AD7" w:rsidRDefault="000B5389" w:rsidP="00E53FC8">
            <w:pPr>
              <w:suppressAutoHyphens w:val="0"/>
              <w:spacing w:before="40" w:after="40" w:line="220" w:lineRule="exact"/>
              <w:rPr>
                <w:b/>
                <w:sz w:val="18"/>
                <w:lang w:eastAsia="et-EE"/>
              </w:rPr>
            </w:pPr>
          </w:p>
        </w:tc>
        <w:tc>
          <w:tcPr>
            <w:tcW w:w="1227" w:type="dxa"/>
            <w:shd w:val="clear" w:color="auto" w:fill="auto"/>
            <w:noWrap/>
            <w:vAlign w:val="bottom"/>
            <w:hideMark/>
          </w:tcPr>
          <w:p w14:paraId="6F9A2B80" w14:textId="77777777" w:rsidR="000B5389" w:rsidRPr="00404AD7" w:rsidRDefault="000B5389" w:rsidP="00E53FC8">
            <w:pPr>
              <w:suppressAutoHyphens w:val="0"/>
              <w:spacing w:before="40" w:after="40" w:line="220" w:lineRule="exact"/>
              <w:jc w:val="right"/>
              <w:rPr>
                <w:b/>
                <w:sz w:val="18"/>
                <w:lang w:eastAsia="et-EE"/>
              </w:rPr>
            </w:pPr>
            <w:r w:rsidRPr="00404AD7">
              <w:rPr>
                <w:b/>
                <w:sz w:val="18"/>
                <w:lang w:eastAsia="et-EE"/>
              </w:rPr>
              <w:t>Women</w:t>
            </w:r>
          </w:p>
        </w:tc>
        <w:tc>
          <w:tcPr>
            <w:tcW w:w="1227" w:type="dxa"/>
            <w:shd w:val="clear" w:color="auto" w:fill="auto"/>
            <w:noWrap/>
            <w:vAlign w:val="bottom"/>
            <w:hideMark/>
          </w:tcPr>
          <w:p w14:paraId="0883AFF6"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47,8</w:t>
            </w:r>
          </w:p>
        </w:tc>
        <w:tc>
          <w:tcPr>
            <w:tcW w:w="1227" w:type="dxa"/>
            <w:shd w:val="clear" w:color="auto" w:fill="auto"/>
            <w:noWrap/>
            <w:vAlign w:val="bottom"/>
            <w:hideMark/>
          </w:tcPr>
          <w:p w14:paraId="3F02178E"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30,6</w:t>
            </w:r>
          </w:p>
        </w:tc>
        <w:tc>
          <w:tcPr>
            <w:tcW w:w="1227" w:type="dxa"/>
            <w:shd w:val="clear" w:color="auto" w:fill="auto"/>
            <w:noWrap/>
            <w:vAlign w:val="bottom"/>
            <w:hideMark/>
          </w:tcPr>
          <w:p w14:paraId="4E4E7C59"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30,6</w:t>
            </w:r>
          </w:p>
        </w:tc>
        <w:tc>
          <w:tcPr>
            <w:tcW w:w="1192" w:type="dxa"/>
            <w:shd w:val="clear" w:color="auto" w:fill="auto"/>
            <w:noWrap/>
            <w:vAlign w:val="bottom"/>
            <w:hideMark/>
          </w:tcPr>
          <w:p w14:paraId="34055366"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60,6</w:t>
            </w:r>
          </w:p>
        </w:tc>
      </w:tr>
      <w:tr w:rsidR="000B5389" w:rsidRPr="00404AD7" w14:paraId="4FE5016C" w14:textId="77777777" w:rsidTr="003A2622">
        <w:tc>
          <w:tcPr>
            <w:tcW w:w="1226" w:type="dxa"/>
            <w:vMerge w:val="restart"/>
            <w:shd w:val="clear" w:color="auto" w:fill="auto"/>
            <w:noWrap/>
            <w:hideMark/>
          </w:tcPr>
          <w:p w14:paraId="55758186" w14:textId="77777777" w:rsidR="000B5389" w:rsidRPr="00404AD7" w:rsidRDefault="000B5389" w:rsidP="00E53FC8">
            <w:pPr>
              <w:suppressAutoHyphens w:val="0"/>
              <w:spacing w:before="40" w:after="40" w:line="220" w:lineRule="exact"/>
              <w:rPr>
                <w:b/>
                <w:sz w:val="18"/>
                <w:lang w:eastAsia="et-EE"/>
              </w:rPr>
            </w:pPr>
            <w:r w:rsidRPr="00404AD7">
              <w:rPr>
                <w:b/>
                <w:sz w:val="18"/>
                <w:lang w:eastAsia="et-EE"/>
              </w:rPr>
              <w:t>2019</w:t>
            </w:r>
          </w:p>
        </w:tc>
        <w:tc>
          <w:tcPr>
            <w:tcW w:w="1227" w:type="dxa"/>
            <w:shd w:val="clear" w:color="auto" w:fill="auto"/>
            <w:noWrap/>
            <w:vAlign w:val="bottom"/>
            <w:hideMark/>
          </w:tcPr>
          <w:p w14:paraId="17F6E752" w14:textId="77777777" w:rsidR="000B5389" w:rsidRPr="00404AD7" w:rsidRDefault="000B5389" w:rsidP="00E53FC8">
            <w:pPr>
              <w:suppressAutoHyphens w:val="0"/>
              <w:spacing w:before="40" w:after="40" w:line="220" w:lineRule="exact"/>
              <w:jc w:val="right"/>
              <w:rPr>
                <w:b/>
                <w:sz w:val="18"/>
                <w:lang w:eastAsia="et-EE"/>
              </w:rPr>
            </w:pPr>
            <w:r w:rsidRPr="00404AD7">
              <w:rPr>
                <w:b/>
                <w:sz w:val="18"/>
                <w:lang w:eastAsia="et-EE"/>
              </w:rPr>
              <w:t>Men</w:t>
            </w:r>
          </w:p>
        </w:tc>
        <w:tc>
          <w:tcPr>
            <w:tcW w:w="1227" w:type="dxa"/>
            <w:shd w:val="clear" w:color="auto" w:fill="auto"/>
            <w:noWrap/>
            <w:vAlign w:val="bottom"/>
            <w:hideMark/>
          </w:tcPr>
          <w:p w14:paraId="7614EF01"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34,2</w:t>
            </w:r>
          </w:p>
        </w:tc>
        <w:tc>
          <w:tcPr>
            <w:tcW w:w="1227" w:type="dxa"/>
            <w:shd w:val="clear" w:color="auto" w:fill="auto"/>
            <w:noWrap/>
            <w:vAlign w:val="bottom"/>
            <w:hideMark/>
          </w:tcPr>
          <w:p w14:paraId="1C21FEBD"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37,4</w:t>
            </w:r>
          </w:p>
        </w:tc>
        <w:tc>
          <w:tcPr>
            <w:tcW w:w="1227" w:type="dxa"/>
            <w:shd w:val="clear" w:color="auto" w:fill="auto"/>
            <w:noWrap/>
            <w:vAlign w:val="bottom"/>
            <w:hideMark/>
          </w:tcPr>
          <w:p w14:paraId="5F36586C"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37,4</w:t>
            </w:r>
          </w:p>
        </w:tc>
        <w:tc>
          <w:tcPr>
            <w:tcW w:w="1192" w:type="dxa"/>
            <w:shd w:val="clear" w:color="auto" w:fill="auto"/>
            <w:noWrap/>
            <w:vAlign w:val="bottom"/>
            <w:hideMark/>
          </w:tcPr>
          <w:p w14:paraId="42EB172D"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33,7</w:t>
            </w:r>
          </w:p>
        </w:tc>
      </w:tr>
      <w:tr w:rsidR="000B5389" w:rsidRPr="00404AD7" w14:paraId="0C6647BD" w14:textId="77777777" w:rsidTr="003A2622">
        <w:tc>
          <w:tcPr>
            <w:tcW w:w="1226" w:type="dxa"/>
            <w:vMerge/>
            <w:shd w:val="clear" w:color="auto" w:fill="auto"/>
            <w:hideMark/>
          </w:tcPr>
          <w:p w14:paraId="1F74718A" w14:textId="77777777" w:rsidR="000B5389" w:rsidRPr="00404AD7" w:rsidRDefault="000B5389" w:rsidP="00E53FC8">
            <w:pPr>
              <w:suppressAutoHyphens w:val="0"/>
              <w:spacing w:before="40" w:after="40" w:line="220" w:lineRule="exact"/>
              <w:rPr>
                <w:b/>
                <w:sz w:val="18"/>
                <w:lang w:eastAsia="et-EE"/>
              </w:rPr>
            </w:pPr>
          </w:p>
        </w:tc>
        <w:tc>
          <w:tcPr>
            <w:tcW w:w="1227" w:type="dxa"/>
            <w:shd w:val="clear" w:color="auto" w:fill="auto"/>
            <w:noWrap/>
            <w:vAlign w:val="bottom"/>
            <w:hideMark/>
          </w:tcPr>
          <w:p w14:paraId="513484C9" w14:textId="77777777" w:rsidR="000B5389" w:rsidRPr="00404AD7" w:rsidRDefault="000B5389" w:rsidP="00E53FC8">
            <w:pPr>
              <w:suppressAutoHyphens w:val="0"/>
              <w:spacing w:before="40" w:after="40" w:line="220" w:lineRule="exact"/>
              <w:jc w:val="right"/>
              <w:rPr>
                <w:b/>
                <w:sz w:val="18"/>
                <w:lang w:eastAsia="et-EE"/>
              </w:rPr>
            </w:pPr>
            <w:r w:rsidRPr="00404AD7">
              <w:rPr>
                <w:b/>
                <w:sz w:val="18"/>
                <w:lang w:eastAsia="et-EE"/>
              </w:rPr>
              <w:t>Women</w:t>
            </w:r>
          </w:p>
        </w:tc>
        <w:tc>
          <w:tcPr>
            <w:tcW w:w="1227" w:type="dxa"/>
            <w:shd w:val="clear" w:color="auto" w:fill="auto"/>
            <w:noWrap/>
            <w:vAlign w:val="bottom"/>
            <w:hideMark/>
          </w:tcPr>
          <w:p w14:paraId="66D70210"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45,7</w:t>
            </w:r>
          </w:p>
        </w:tc>
        <w:tc>
          <w:tcPr>
            <w:tcW w:w="1227" w:type="dxa"/>
            <w:shd w:val="clear" w:color="auto" w:fill="auto"/>
            <w:noWrap/>
            <w:vAlign w:val="bottom"/>
            <w:hideMark/>
          </w:tcPr>
          <w:p w14:paraId="617700FE"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30</w:t>
            </w:r>
          </w:p>
        </w:tc>
        <w:tc>
          <w:tcPr>
            <w:tcW w:w="1227" w:type="dxa"/>
            <w:shd w:val="clear" w:color="auto" w:fill="auto"/>
            <w:noWrap/>
            <w:vAlign w:val="bottom"/>
            <w:hideMark/>
          </w:tcPr>
          <w:p w14:paraId="2D6E00AB"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30,5</w:t>
            </w:r>
          </w:p>
        </w:tc>
        <w:tc>
          <w:tcPr>
            <w:tcW w:w="1192" w:type="dxa"/>
            <w:shd w:val="clear" w:color="auto" w:fill="auto"/>
            <w:noWrap/>
            <w:vAlign w:val="bottom"/>
            <w:hideMark/>
          </w:tcPr>
          <w:p w14:paraId="701C6547"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58,4</w:t>
            </w:r>
          </w:p>
        </w:tc>
      </w:tr>
      <w:tr w:rsidR="000B5389" w:rsidRPr="00404AD7" w14:paraId="5962C83E" w14:textId="77777777" w:rsidTr="003A2622">
        <w:tc>
          <w:tcPr>
            <w:tcW w:w="1226" w:type="dxa"/>
            <w:vMerge w:val="restart"/>
            <w:shd w:val="clear" w:color="auto" w:fill="auto"/>
            <w:noWrap/>
            <w:hideMark/>
          </w:tcPr>
          <w:p w14:paraId="4ADAC359" w14:textId="77777777" w:rsidR="000B5389" w:rsidRPr="00404AD7" w:rsidRDefault="000B5389" w:rsidP="00E53FC8">
            <w:pPr>
              <w:suppressAutoHyphens w:val="0"/>
              <w:spacing w:before="40" w:after="40" w:line="220" w:lineRule="exact"/>
              <w:rPr>
                <w:b/>
                <w:sz w:val="18"/>
                <w:lang w:eastAsia="et-EE"/>
              </w:rPr>
            </w:pPr>
            <w:r w:rsidRPr="00404AD7">
              <w:rPr>
                <w:b/>
                <w:sz w:val="18"/>
                <w:lang w:eastAsia="et-EE"/>
              </w:rPr>
              <w:t>2020</w:t>
            </w:r>
          </w:p>
        </w:tc>
        <w:tc>
          <w:tcPr>
            <w:tcW w:w="1227" w:type="dxa"/>
            <w:shd w:val="clear" w:color="auto" w:fill="auto"/>
            <w:noWrap/>
            <w:vAlign w:val="bottom"/>
            <w:hideMark/>
          </w:tcPr>
          <w:p w14:paraId="4585152F" w14:textId="77777777" w:rsidR="000B5389" w:rsidRPr="00404AD7" w:rsidRDefault="000B5389" w:rsidP="00E53FC8">
            <w:pPr>
              <w:suppressAutoHyphens w:val="0"/>
              <w:spacing w:before="40" w:after="40" w:line="220" w:lineRule="exact"/>
              <w:jc w:val="right"/>
              <w:rPr>
                <w:b/>
                <w:sz w:val="18"/>
                <w:lang w:eastAsia="et-EE"/>
              </w:rPr>
            </w:pPr>
            <w:r w:rsidRPr="00404AD7">
              <w:rPr>
                <w:b/>
                <w:sz w:val="18"/>
                <w:lang w:eastAsia="et-EE"/>
              </w:rPr>
              <w:t>Men</w:t>
            </w:r>
          </w:p>
        </w:tc>
        <w:tc>
          <w:tcPr>
            <w:tcW w:w="1227" w:type="dxa"/>
            <w:shd w:val="clear" w:color="auto" w:fill="auto"/>
            <w:noWrap/>
            <w:vAlign w:val="bottom"/>
            <w:hideMark/>
          </w:tcPr>
          <w:p w14:paraId="1D8A7C7A"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36,5</w:t>
            </w:r>
          </w:p>
        </w:tc>
        <w:tc>
          <w:tcPr>
            <w:tcW w:w="1227" w:type="dxa"/>
            <w:shd w:val="clear" w:color="auto" w:fill="auto"/>
            <w:noWrap/>
            <w:vAlign w:val="bottom"/>
            <w:hideMark/>
          </w:tcPr>
          <w:p w14:paraId="64D603F9"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39,1</w:t>
            </w:r>
          </w:p>
        </w:tc>
        <w:tc>
          <w:tcPr>
            <w:tcW w:w="1227" w:type="dxa"/>
            <w:shd w:val="clear" w:color="auto" w:fill="auto"/>
            <w:noWrap/>
            <w:vAlign w:val="bottom"/>
            <w:hideMark/>
          </w:tcPr>
          <w:p w14:paraId="01635562"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39,3</w:t>
            </w:r>
          </w:p>
        </w:tc>
        <w:tc>
          <w:tcPr>
            <w:tcW w:w="1192" w:type="dxa"/>
            <w:shd w:val="clear" w:color="auto" w:fill="auto"/>
            <w:noWrap/>
            <w:vAlign w:val="bottom"/>
            <w:hideMark/>
          </w:tcPr>
          <w:p w14:paraId="5ACF2F9F"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35,5</w:t>
            </w:r>
          </w:p>
        </w:tc>
      </w:tr>
      <w:tr w:rsidR="000B5389" w:rsidRPr="00404AD7" w14:paraId="73AC11C1" w14:textId="77777777" w:rsidTr="003A2622">
        <w:tc>
          <w:tcPr>
            <w:tcW w:w="1226" w:type="dxa"/>
            <w:vMerge/>
            <w:tcBorders>
              <w:bottom w:val="single" w:sz="12" w:space="0" w:color="auto"/>
            </w:tcBorders>
            <w:shd w:val="clear" w:color="auto" w:fill="auto"/>
            <w:hideMark/>
          </w:tcPr>
          <w:p w14:paraId="3DA8E3E4" w14:textId="77777777" w:rsidR="000B5389" w:rsidRPr="00404AD7" w:rsidRDefault="000B5389" w:rsidP="00E53FC8">
            <w:pPr>
              <w:suppressAutoHyphens w:val="0"/>
              <w:spacing w:before="40" w:after="40" w:line="220" w:lineRule="exact"/>
              <w:rPr>
                <w:b/>
                <w:sz w:val="18"/>
                <w:lang w:eastAsia="et-EE"/>
              </w:rPr>
            </w:pPr>
          </w:p>
        </w:tc>
        <w:tc>
          <w:tcPr>
            <w:tcW w:w="1227" w:type="dxa"/>
            <w:tcBorders>
              <w:bottom w:val="single" w:sz="12" w:space="0" w:color="auto"/>
            </w:tcBorders>
            <w:shd w:val="clear" w:color="auto" w:fill="auto"/>
            <w:noWrap/>
            <w:vAlign w:val="bottom"/>
            <w:hideMark/>
          </w:tcPr>
          <w:p w14:paraId="133B74DA" w14:textId="77777777" w:rsidR="000B5389" w:rsidRPr="00404AD7" w:rsidRDefault="000B5389" w:rsidP="00E53FC8">
            <w:pPr>
              <w:suppressAutoHyphens w:val="0"/>
              <w:spacing w:before="40" w:after="40" w:line="220" w:lineRule="exact"/>
              <w:jc w:val="right"/>
              <w:rPr>
                <w:b/>
                <w:sz w:val="18"/>
                <w:lang w:eastAsia="et-EE"/>
              </w:rPr>
            </w:pPr>
            <w:r w:rsidRPr="00404AD7">
              <w:rPr>
                <w:b/>
                <w:sz w:val="18"/>
                <w:lang w:eastAsia="et-EE"/>
              </w:rPr>
              <w:t>Women</w:t>
            </w:r>
          </w:p>
        </w:tc>
        <w:tc>
          <w:tcPr>
            <w:tcW w:w="1227" w:type="dxa"/>
            <w:tcBorders>
              <w:bottom w:val="single" w:sz="12" w:space="0" w:color="auto"/>
            </w:tcBorders>
            <w:shd w:val="clear" w:color="auto" w:fill="auto"/>
            <w:noWrap/>
            <w:vAlign w:val="bottom"/>
            <w:hideMark/>
          </w:tcPr>
          <w:p w14:paraId="6AFE8C8F"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46,6</w:t>
            </w:r>
          </w:p>
        </w:tc>
        <w:tc>
          <w:tcPr>
            <w:tcW w:w="1227" w:type="dxa"/>
            <w:tcBorders>
              <w:bottom w:val="single" w:sz="12" w:space="0" w:color="auto"/>
            </w:tcBorders>
            <w:shd w:val="clear" w:color="auto" w:fill="auto"/>
            <w:noWrap/>
            <w:vAlign w:val="bottom"/>
            <w:hideMark/>
          </w:tcPr>
          <w:p w14:paraId="42634116"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27,9</w:t>
            </w:r>
          </w:p>
        </w:tc>
        <w:tc>
          <w:tcPr>
            <w:tcW w:w="1227" w:type="dxa"/>
            <w:tcBorders>
              <w:bottom w:val="single" w:sz="12" w:space="0" w:color="auto"/>
            </w:tcBorders>
            <w:shd w:val="clear" w:color="auto" w:fill="auto"/>
            <w:noWrap/>
            <w:vAlign w:val="bottom"/>
            <w:hideMark/>
          </w:tcPr>
          <w:p w14:paraId="74C4BBA3"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28,6</w:t>
            </w:r>
          </w:p>
        </w:tc>
        <w:tc>
          <w:tcPr>
            <w:tcW w:w="1192" w:type="dxa"/>
            <w:tcBorders>
              <w:bottom w:val="single" w:sz="12" w:space="0" w:color="auto"/>
            </w:tcBorders>
            <w:shd w:val="clear" w:color="auto" w:fill="auto"/>
            <w:noWrap/>
            <w:vAlign w:val="bottom"/>
            <w:hideMark/>
          </w:tcPr>
          <w:p w14:paraId="3A5F4377" w14:textId="77777777" w:rsidR="000B5389" w:rsidRPr="00404AD7" w:rsidRDefault="000B5389" w:rsidP="00E53FC8">
            <w:pPr>
              <w:suppressAutoHyphens w:val="0"/>
              <w:spacing w:before="40" w:after="40" w:line="220" w:lineRule="exact"/>
              <w:jc w:val="right"/>
              <w:rPr>
                <w:sz w:val="18"/>
                <w:lang w:eastAsia="et-EE"/>
              </w:rPr>
            </w:pPr>
            <w:r w:rsidRPr="00404AD7">
              <w:rPr>
                <w:sz w:val="18"/>
                <w:lang w:eastAsia="et-EE"/>
              </w:rPr>
              <w:t>59,9</w:t>
            </w:r>
          </w:p>
        </w:tc>
      </w:tr>
    </w:tbl>
    <w:p w14:paraId="21C3684B" w14:textId="58A40953" w:rsidR="00936839" w:rsidRPr="00404AD7" w:rsidRDefault="00936839" w:rsidP="000B5389">
      <w:pPr>
        <w:pStyle w:val="FootnoteText"/>
        <w:tabs>
          <w:tab w:val="clear" w:pos="418"/>
          <w:tab w:val="right" w:pos="1476"/>
          <w:tab w:val="left" w:pos="1548"/>
          <w:tab w:val="right" w:pos="1836"/>
          <w:tab w:val="left" w:pos="1908"/>
        </w:tabs>
        <w:spacing w:line="120" w:lineRule="exact"/>
        <w:ind w:left="1548" w:right="1267" w:hanging="423"/>
        <w:rPr>
          <w:b/>
          <w:bCs/>
          <w:sz w:val="10"/>
        </w:rPr>
      </w:pPr>
    </w:p>
    <w:p w14:paraId="280692BD" w14:textId="4A87EA57" w:rsidR="000B5389" w:rsidRPr="00404AD7" w:rsidRDefault="008A0577" w:rsidP="008A0577">
      <w:pPr>
        <w:pStyle w:val="FootnoteText"/>
        <w:tabs>
          <w:tab w:val="clear" w:pos="418"/>
          <w:tab w:val="right" w:pos="1476"/>
          <w:tab w:val="left" w:pos="1548"/>
          <w:tab w:val="right" w:pos="1836"/>
          <w:tab w:val="left" w:pos="1908"/>
        </w:tabs>
        <w:ind w:left="1548" w:right="1267" w:hanging="423"/>
        <w:rPr>
          <w:i/>
          <w:iCs/>
        </w:rPr>
      </w:pPr>
      <w:r w:rsidRPr="00404AD7">
        <w:rPr>
          <w:i/>
          <w:iCs/>
        </w:rPr>
        <w:t>Source: Statistics Estonia</w:t>
      </w:r>
    </w:p>
    <w:p w14:paraId="5B35E00C" w14:textId="3CE12166" w:rsidR="008A0577" w:rsidRPr="00404AD7" w:rsidRDefault="008A0577" w:rsidP="008A0577">
      <w:pPr>
        <w:pStyle w:val="FootnoteText"/>
        <w:tabs>
          <w:tab w:val="clear" w:pos="418"/>
          <w:tab w:val="right" w:pos="1476"/>
          <w:tab w:val="left" w:pos="1548"/>
          <w:tab w:val="right" w:pos="1836"/>
          <w:tab w:val="left" w:pos="1908"/>
        </w:tabs>
        <w:spacing w:line="120" w:lineRule="exact"/>
        <w:ind w:left="1548" w:right="1267" w:hanging="423"/>
        <w:rPr>
          <w:sz w:val="10"/>
        </w:rPr>
      </w:pPr>
    </w:p>
    <w:p w14:paraId="23CB1542" w14:textId="40FB383A" w:rsidR="008A0577" w:rsidRPr="00404AD7" w:rsidRDefault="008A0577" w:rsidP="008A0577">
      <w:pPr>
        <w:pStyle w:val="FootnoteText"/>
        <w:tabs>
          <w:tab w:val="clear" w:pos="418"/>
          <w:tab w:val="right" w:pos="1476"/>
          <w:tab w:val="left" w:pos="1548"/>
          <w:tab w:val="right" w:pos="1836"/>
          <w:tab w:val="left" w:pos="1908"/>
        </w:tabs>
        <w:spacing w:line="120" w:lineRule="exact"/>
        <w:ind w:left="1548" w:right="1267" w:hanging="423"/>
        <w:rPr>
          <w:sz w:val="10"/>
        </w:rPr>
      </w:pPr>
    </w:p>
    <w:p w14:paraId="59490454" w14:textId="77777777" w:rsidR="00A134C9" w:rsidRPr="00404AD7" w:rsidRDefault="00A134C9">
      <w:pPr>
        <w:suppressAutoHyphens w:val="0"/>
        <w:spacing w:after="200" w:line="276" w:lineRule="auto"/>
        <w:rPr>
          <w:b/>
          <w:bCs/>
          <w:spacing w:val="5"/>
          <w:sz w:val="17"/>
        </w:rPr>
      </w:pPr>
      <w:bookmarkStart w:id="67" w:name="_Toc108692435"/>
      <w:r w:rsidRPr="00404AD7">
        <w:rPr>
          <w:b/>
          <w:bCs/>
        </w:rPr>
        <w:br w:type="page"/>
      </w:r>
    </w:p>
    <w:p w14:paraId="00A8EC34" w14:textId="1A020653" w:rsidR="008A0577" w:rsidRPr="00404AD7" w:rsidRDefault="007D71D2" w:rsidP="007D71D2">
      <w:pPr>
        <w:pStyle w:val="FootnoteText"/>
        <w:tabs>
          <w:tab w:val="clear" w:pos="418"/>
          <w:tab w:val="right" w:pos="1476"/>
          <w:tab w:val="left" w:pos="1548"/>
          <w:tab w:val="right" w:pos="1836"/>
          <w:tab w:val="left" w:pos="1908"/>
        </w:tabs>
        <w:ind w:left="1123" w:right="1267" w:firstLine="0"/>
        <w:rPr>
          <w:b/>
          <w:bCs/>
        </w:rPr>
      </w:pPr>
      <w:r w:rsidRPr="00404AD7">
        <w:rPr>
          <w:b/>
          <w:bCs/>
        </w:rPr>
        <w:lastRenderedPageBreak/>
        <w:t>Table: Gender pay gap, average salary and ratio to national average salary by county, I quarter 2022</w:t>
      </w:r>
      <w:bookmarkEnd w:id="67"/>
    </w:p>
    <w:p w14:paraId="5AB94F3B" w14:textId="7FEBC99A" w:rsidR="00A134C9" w:rsidRPr="00404AD7" w:rsidRDefault="00A134C9" w:rsidP="00A134C9">
      <w:pPr>
        <w:pStyle w:val="FootnoteText"/>
        <w:tabs>
          <w:tab w:val="clear" w:pos="418"/>
          <w:tab w:val="right" w:pos="1476"/>
          <w:tab w:val="left" w:pos="1548"/>
          <w:tab w:val="right" w:pos="1836"/>
          <w:tab w:val="left" w:pos="1908"/>
        </w:tabs>
        <w:spacing w:line="120" w:lineRule="exact"/>
        <w:ind w:left="1123" w:right="1267" w:firstLine="0"/>
        <w:rPr>
          <w:b/>
          <w:bCs/>
          <w:sz w:val="10"/>
        </w:rPr>
      </w:pPr>
    </w:p>
    <w:p w14:paraId="13A2031F" w14:textId="495E7E93" w:rsidR="00A134C9" w:rsidRPr="00404AD7" w:rsidRDefault="00A134C9" w:rsidP="00A134C9">
      <w:pPr>
        <w:pStyle w:val="FootnoteText"/>
        <w:tabs>
          <w:tab w:val="clear" w:pos="418"/>
          <w:tab w:val="right" w:pos="1476"/>
          <w:tab w:val="left" w:pos="1548"/>
          <w:tab w:val="right" w:pos="1836"/>
          <w:tab w:val="left" w:pos="1908"/>
        </w:tabs>
        <w:spacing w:line="120" w:lineRule="exact"/>
        <w:ind w:left="1123" w:right="1267" w:firstLine="0"/>
        <w:rPr>
          <w:sz w:val="10"/>
        </w:rPr>
      </w:pPr>
    </w:p>
    <w:tbl>
      <w:tblPr>
        <w:tblW w:w="7326" w:type="dxa"/>
        <w:tblInd w:w="1134" w:type="dxa"/>
        <w:tblLayout w:type="fixed"/>
        <w:tblCellMar>
          <w:left w:w="0" w:type="dxa"/>
          <w:right w:w="0" w:type="dxa"/>
        </w:tblCellMar>
        <w:tblLook w:val="04A0" w:firstRow="1" w:lastRow="0" w:firstColumn="1" w:lastColumn="0" w:noHBand="0" w:noVBand="1"/>
      </w:tblPr>
      <w:tblGrid>
        <w:gridCol w:w="1567"/>
        <w:gridCol w:w="1736"/>
        <w:gridCol w:w="1647"/>
        <w:gridCol w:w="2376"/>
      </w:tblGrid>
      <w:tr w:rsidR="003A2622" w:rsidRPr="00404AD7" w14:paraId="066A8741" w14:textId="77777777" w:rsidTr="003A2622">
        <w:trPr>
          <w:tblHeader/>
        </w:trPr>
        <w:tc>
          <w:tcPr>
            <w:tcW w:w="1567"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5DF4DB40" w14:textId="77777777" w:rsidR="003A2622" w:rsidRPr="00404AD7" w:rsidRDefault="003A2622" w:rsidP="00E53FC8">
            <w:pPr>
              <w:suppressAutoHyphens w:val="0"/>
              <w:spacing w:before="80" w:after="80" w:line="200" w:lineRule="exact"/>
              <w:rPr>
                <w:i/>
                <w:sz w:val="16"/>
                <w:lang w:eastAsia="et-EE"/>
              </w:rPr>
            </w:pPr>
            <w:r w:rsidRPr="00404AD7">
              <w:rPr>
                <w:i/>
                <w:sz w:val="16"/>
                <w:lang w:eastAsia="et-EE"/>
              </w:rPr>
              <w:t>County</w:t>
            </w:r>
          </w:p>
        </w:tc>
        <w:tc>
          <w:tcPr>
            <w:tcW w:w="1736"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158C1A3F" w14:textId="77777777" w:rsidR="003A2622" w:rsidRPr="00404AD7" w:rsidRDefault="003A2622" w:rsidP="00E53FC8">
            <w:pPr>
              <w:suppressAutoHyphens w:val="0"/>
              <w:spacing w:before="80" w:after="80" w:line="200" w:lineRule="exact"/>
              <w:jc w:val="right"/>
              <w:rPr>
                <w:i/>
                <w:sz w:val="16"/>
                <w:lang w:eastAsia="et-EE"/>
              </w:rPr>
            </w:pPr>
            <w:r w:rsidRPr="00404AD7">
              <w:rPr>
                <w:i/>
                <w:sz w:val="16"/>
                <w:lang w:eastAsia="et-EE"/>
              </w:rPr>
              <w:t>Gender pay gap</w:t>
            </w:r>
          </w:p>
        </w:tc>
        <w:tc>
          <w:tcPr>
            <w:tcW w:w="1647"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3AD78DE5" w14:textId="77777777" w:rsidR="003A2622" w:rsidRPr="00404AD7" w:rsidRDefault="003A2622" w:rsidP="00E53FC8">
            <w:pPr>
              <w:suppressAutoHyphens w:val="0"/>
              <w:spacing w:before="80" w:after="80" w:line="200" w:lineRule="exact"/>
              <w:jc w:val="right"/>
              <w:rPr>
                <w:i/>
                <w:sz w:val="16"/>
                <w:lang w:eastAsia="et-EE"/>
              </w:rPr>
            </w:pPr>
            <w:r w:rsidRPr="00404AD7">
              <w:rPr>
                <w:i/>
                <w:sz w:val="16"/>
                <w:lang w:eastAsia="et-EE"/>
              </w:rPr>
              <w:t>Average salary (euros)</w:t>
            </w:r>
          </w:p>
        </w:tc>
        <w:tc>
          <w:tcPr>
            <w:tcW w:w="2376"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A6B6E11" w14:textId="77777777" w:rsidR="003A2622" w:rsidRPr="00404AD7" w:rsidRDefault="003A2622" w:rsidP="00E53FC8">
            <w:pPr>
              <w:suppressAutoHyphens w:val="0"/>
              <w:spacing w:before="80" w:after="80" w:line="200" w:lineRule="exact"/>
              <w:jc w:val="right"/>
              <w:rPr>
                <w:i/>
                <w:sz w:val="16"/>
                <w:lang w:eastAsia="et-EE"/>
              </w:rPr>
            </w:pPr>
            <w:r w:rsidRPr="00404AD7">
              <w:rPr>
                <w:i/>
                <w:sz w:val="16"/>
                <w:lang w:eastAsia="et-EE"/>
              </w:rPr>
              <w:t>Ratio to national average salary</w:t>
            </w:r>
          </w:p>
        </w:tc>
      </w:tr>
      <w:tr w:rsidR="003A2622" w:rsidRPr="00404AD7" w14:paraId="269AE1BA" w14:textId="77777777" w:rsidTr="003A2622">
        <w:tc>
          <w:tcPr>
            <w:tcW w:w="1567" w:type="dxa"/>
            <w:tcBorders>
              <w:top w:val="single" w:sz="12" w:space="0" w:color="auto"/>
            </w:tcBorders>
            <w:shd w:val="clear" w:color="auto" w:fill="auto"/>
            <w:noWrap/>
            <w:tcMar>
              <w:top w:w="0" w:type="dxa"/>
              <w:left w:w="70" w:type="dxa"/>
              <w:bottom w:w="0" w:type="dxa"/>
              <w:right w:w="70" w:type="dxa"/>
            </w:tcMar>
            <w:hideMark/>
          </w:tcPr>
          <w:p w14:paraId="3FD36C81" w14:textId="77777777" w:rsidR="003A2622" w:rsidRPr="00404AD7" w:rsidRDefault="003A2622" w:rsidP="00E53FC8">
            <w:pPr>
              <w:suppressAutoHyphens w:val="0"/>
              <w:spacing w:before="40" w:after="40" w:line="220" w:lineRule="exact"/>
              <w:rPr>
                <w:bCs/>
                <w:sz w:val="18"/>
                <w:lang w:eastAsia="et-EE"/>
              </w:rPr>
            </w:pPr>
            <w:r w:rsidRPr="00404AD7">
              <w:rPr>
                <w:bCs/>
                <w:sz w:val="18"/>
                <w:lang w:eastAsia="et-EE"/>
              </w:rPr>
              <w:t>Harju</w:t>
            </w:r>
          </w:p>
        </w:tc>
        <w:tc>
          <w:tcPr>
            <w:tcW w:w="1736" w:type="dxa"/>
            <w:tcBorders>
              <w:top w:val="single" w:sz="12" w:space="0" w:color="auto"/>
            </w:tcBorders>
            <w:shd w:val="clear" w:color="auto" w:fill="auto"/>
            <w:noWrap/>
            <w:tcMar>
              <w:top w:w="0" w:type="dxa"/>
              <w:left w:w="70" w:type="dxa"/>
              <w:bottom w:w="0" w:type="dxa"/>
              <w:right w:w="70" w:type="dxa"/>
            </w:tcMar>
            <w:vAlign w:val="bottom"/>
            <w:hideMark/>
          </w:tcPr>
          <w:p w14:paraId="2CF66AEE"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18,2%</w:t>
            </w:r>
          </w:p>
        </w:tc>
        <w:tc>
          <w:tcPr>
            <w:tcW w:w="1647" w:type="dxa"/>
            <w:tcBorders>
              <w:top w:val="single" w:sz="12" w:space="0" w:color="auto"/>
            </w:tcBorders>
            <w:shd w:val="clear" w:color="auto" w:fill="auto"/>
            <w:noWrap/>
            <w:tcMar>
              <w:top w:w="0" w:type="dxa"/>
              <w:left w:w="70" w:type="dxa"/>
              <w:bottom w:w="0" w:type="dxa"/>
              <w:right w:w="70" w:type="dxa"/>
            </w:tcMar>
            <w:vAlign w:val="bottom"/>
            <w:hideMark/>
          </w:tcPr>
          <w:p w14:paraId="0470ECAE"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1805</w:t>
            </w:r>
          </w:p>
        </w:tc>
        <w:tc>
          <w:tcPr>
            <w:tcW w:w="2376" w:type="dxa"/>
            <w:tcBorders>
              <w:top w:val="single" w:sz="12" w:space="0" w:color="auto"/>
            </w:tcBorders>
            <w:shd w:val="clear" w:color="auto" w:fill="auto"/>
            <w:noWrap/>
            <w:tcMar>
              <w:top w:w="0" w:type="dxa"/>
              <w:left w:w="70" w:type="dxa"/>
              <w:bottom w:w="0" w:type="dxa"/>
              <w:right w:w="70" w:type="dxa"/>
            </w:tcMar>
            <w:vAlign w:val="bottom"/>
            <w:hideMark/>
          </w:tcPr>
          <w:p w14:paraId="7B3475DF"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1,15</w:t>
            </w:r>
          </w:p>
        </w:tc>
      </w:tr>
      <w:tr w:rsidR="003A2622" w:rsidRPr="00404AD7" w14:paraId="53574864" w14:textId="77777777" w:rsidTr="003A2622">
        <w:tc>
          <w:tcPr>
            <w:tcW w:w="1567" w:type="dxa"/>
            <w:shd w:val="clear" w:color="auto" w:fill="auto"/>
            <w:noWrap/>
            <w:tcMar>
              <w:top w:w="0" w:type="dxa"/>
              <w:left w:w="70" w:type="dxa"/>
              <w:bottom w:w="0" w:type="dxa"/>
              <w:right w:w="70" w:type="dxa"/>
            </w:tcMar>
            <w:hideMark/>
          </w:tcPr>
          <w:p w14:paraId="1ED25DD6" w14:textId="77777777" w:rsidR="003A2622" w:rsidRPr="00404AD7" w:rsidRDefault="003A2622" w:rsidP="00E53FC8">
            <w:pPr>
              <w:suppressAutoHyphens w:val="0"/>
              <w:spacing w:before="40" w:after="40" w:line="220" w:lineRule="exact"/>
              <w:rPr>
                <w:bCs/>
                <w:sz w:val="18"/>
                <w:lang w:eastAsia="et-EE"/>
              </w:rPr>
            </w:pPr>
            <w:proofErr w:type="spellStart"/>
            <w:r w:rsidRPr="00404AD7">
              <w:rPr>
                <w:bCs/>
                <w:sz w:val="18"/>
                <w:lang w:eastAsia="et-EE"/>
              </w:rPr>
              <w:t>Järva</w:t>
            </w:r>
            <w:proofErr w:type="spellEnd"/>
          </w:p>
        </w:tc>
        <w:tc>
          <w:tcPr>
            <w:tcW w:w="1736" w:type="dxa"/>
            <w:shd w:val="clear" w:color="auto" w:fill="auto"/>
            <w:noWrap/>
            <w:tcMar>
              <w:top w:w="0" w:type="dxa"/>
              <w:left w:w="70" w:type="dxa"/>
              <w:bottom w:w="0" w:type="dxa"/>
              <w:right w:w="70" w:type="dxa"/>
            </w:tcMar>
            <w:vAlign w:val="bottom"/>
            <w:hideMark/>
          </w:tcPr>
          <w:p w14:paraId="0766963D"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18,0%</w:t>
            </w:r>
          </w:p>
        </w:tc>
        <w:tc>
          <w:tcPr>
            <w:tcW w:w="1647" w:type="dxa"/>
            <w:shd w:val="clear" w:color="auto" w:fill="auto"/>
            <w:noWrap/>
            <w:tcMar>
              <w:top w:w="0" w:type="dxa"/>
              <w:left w:w="70" w:type="dxa"/>
              <w:bottom w:w="0" w:type="dxa"/>
              <w:right w:w="70" w:type="dxa"/>
            </w:tcMar>
            <w:vAlign w:val="bottom"/>
            <w:hideMark/>
          </w:tcPr>
          <w:p w14:paraId="059E5E2E"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1280</w:t>
            </w:r>
          </w:p>
        </w:tc>
        <w:tc>
          <w:tcPr>
            <w:tcW w:w="2376" w:type="dxa"/>
            <w:shd w:val="clear" w:color="auto" w:fill="auto"/>
            <w:noWrap/>
            <w:tcMar>
              <w:top w:w="0" w:type="dxa"/>
              <w:left w:w="70" w:type="dxa"/>
              <w:bottom w:w="0" w:type="dxa"/>
              <w:right w:w="70" w:type="dxa"/>
            </w:tcMar>
            <w:vAlign w:val="bottom"/>
            <w:hideMark/>
          </w:tcPr>
          <w:p w14:paraId="278FD125"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0,81</w:t>
            </w:r>
          </w:p>
        </w:tc>
      </w:tr>
      <w:tr w:rsidR="003A2622" w:rsidRPr="00404AD7" w14:paraId="05D58204" w14:textId="77777777" w:rsidTr="003A2622">
        <w:tc>
          <w:tcPr>
            <w:tcW w:w="1567" w:type="dxa"/>
            <w:shd w:val="clear" w:color="auto" w:fill="auto"/>
            <w:noWrap/>
            <w:tcMar>
              <w:top w:w="0" w:type="dxa"/>
              <w:left w:w="70" w:type="dxa"/>
              <w:bottom w:w="0" w:type="dxa"/>
              <w:right w:w="70" w:type="dxa"/>
            </w:tcMar>
            <w:hideMark/>
          </w:tcPr>
          <w:p w14:paraId="5680F6E6" w14:textId="77777777" w:rsidR="003A2622" w:rsidRPr="00404AD7" w:rsidRDefault="003A2622" w:rsidP="00E53FC8">
            <w:pPr>
              <w:suppressAutoHyphens w:val="0"/>
              <w:spacing w:before="40" w:after="40" w:line="220" w:lineRule="exact"/>
              <w:rPr>
                <w:bCs/>
                <w:sz w:val="18"/>
                <w:lang w:eastAsia="et-EE"/>
              </w:rPr>
            </w:pPr>
            <w:proofErr w:type="spellStart"/>
            <w:r w:rsidRPr="00404AD7">
              <w:rPr>
                <w:bCs/>
                <w:sz w:val="18"/>
                <w:lang w:eastAsia="et-EE"/>
              </w:rPr>
              <w:t>Rapla</w:t>
            </w:r>
            <w:proofErr w:type="spellEnd"/>
          </w:p>
        </w:tc>
        <w:tc>
          <w:tcPr>
            <w:tcW w:w="1736" w:type="dxa"/>
            <w:shd w:val="clear" w:color="auto" w:fill="auto"/>
            <w:noWrap/>
            <w:tcMar>
              <w:top w:w="0" w:type="dxa"/>
              <w:left w:w="70" w:type="dxa"/>
              <w:bottom w:w="0" w:type="dxa"/>
              <w:right w:w="70" w:type="dxa"/>
            </w:tcMar>
            <w:vAlign w:val="bottom"/>
            <w:hideMark/>
          </w:tcPr>
          <w:p w14:paraId="2C8CB5D7"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13,5%</w:t>
            </w:r>
          </w:p>
        </w:tc>
        <w:tc>
          <w:tcPr>
            <w:tcW w:w="1647" w:type="dxa"/>
            <w:shd w:val="clear" w:color="auto" w:fill="auto"/>
            <w:noWrap/>
            <w:tcMar>
              <w:top w:w="0" w:type="dxa"/>
              <w:left w:w="70" w:type="dxa"/>
              <w:bottom w:w="0" w:type="dxa"/>
              <w:right w:w="70" w:type="dxa"/>
            </w:tcMar>
            <w:vAlign w:val="bottom"/>
            <w:hideMark/>
          </w:tcPr>
          <w:p w14:paraId="2D28BC3E"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1246</w:t>
            </w:r>
          </w:p>
        </w:tc>
        <w:tc>
          <w:tcPr>
            <w:tcW w:w="2376" w:type="dxa"/>
            <w:shd w:val="clear" w:color="auto" w:fill="auto"/>
            <w:noWrap/>
            <w:tcMar>
              <w:top w:w="0" w:type="dxa"/>
              <w:left w:w="70" w:type="dxa"/>
              <w:bottom w:w="0" w:type="dxa"/>
              <w:right w:w="70" w:type="dxa"/>
            </w:tcMar>
            <w:vAlign w:val="bottom"/>
            <w:hideMark/>
          </w:tcPr>
          <w:p w14:paraId="0ECA66C6"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0,79</w:t>
            </w:r>
          </w:p>
        </w:tc>
      </w:tr>
      <w:tr w:rsidR="003A2622" w:rsidRPr="00404AD7" w14:paraId="0AD47D90" w14:textId="77777777" w:rsidTr="003A2622">
        <w:tc>
          <w:tcPr>
            <w:tcW w:w="1567" w:type="dxa"/>
            <w:shd w:val="clear" w:color="auto" w:fill="auto"/>
            <w:noWrap/>
            <w:tcMar>
              <w:top w:w="0" w:type="dxa"/>
              <w:left w:w="70" w:type="dxa"/>
              <w:bottom w:w="0" w:type="dxa"/>
              <w:right w:w="70" w:type="dxa"/>
            </w:tcMar>
            <w:hideMark/>
          </w:tcPr>
          <w:p w14:paraId="6AE97CE3" w14:textId="77777777" w:rsidR="003A2622" w:rsidRPr="00404AD7" w:rsidRDefault="003A2622" w:rsidP="00E53FC8">
            <w:pPr>
              <w:suppressAutoHyphens w:val="0"/>
              <w:spacing w:before="40" w:after="40" w:line="220" w:lineRule="exact"/>
              <w:rPr>
                <w:bCs/>
                <w:sz w:val="18"/>
                <w:lang w:eastAsia="et-EE"/>
              </w:rPr>
            </w:pPr>
            <w:proofErr w:type="spellStart"/>
            <w:r w:rsidRPr="00404AD7">
              <w:rPr>
                <w:bCs/>
                <w:sz w:val="18"/>
                <w:lang w:eastAsia="et-EE"/>
              </w:rPr>
              <w:t>Lääne</w:t>
            </w:r>
            <w:proofErr w:type="spellEnd"/>
          </w:p>
        </w:tc>
        <w:tc>
          <w:tcPr>
            <w:tcW w:w="1736" w:type="dxa"/>
            <w:shd w:val="clear" w:color="auto" w:fill="auto"/>
            <w:noWrap/>
            <w:tcMar>
              <w:top w:w="0" w:type="dxa"/>
              <w:left w:w="70" w:type="dxa"/>
              <w:bottom w:w="0" w:type="dxa"/>
              <w:right w:w="70" w:type="dxa"/>
            </w:tcMar>
            <w:vAlign w:val="bottom"/>
            <w:hideMark/>
          </w:tcPr>
          <w:p w14:paraId="1A68FB77"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10,4%</w:t>
            </w:r>
          </w:p>
        </w:tc>
        <w:tc>
          <w:tcPr>
            <w:tcW w:w="1647" w:type="dxa"/>
            <w:shd w:val="clear" w:color="auto" w:fill="auto"/>
            <w:noWrap/>
            <w:tcMar>
              <w:top w:w="0" w:type="dxa"/>
              <w:left w:w="70" w:type="dxa"/>
              <w:bottom w:w="0" w:type="dxa"/>
              <w:right w:w="70" w:type="dxa"/>
            </w:tcMar>
            <w:vAlign w:val="bottom"/>
            <w:hideMark/>
          </w:tcPr>
          <w:p w14:paraId="4883C664"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1227</w:t>
            </w:r>
          </w:p>
        </w:tc>
        <w:tc>
          <w:tcPr>
            <w:tcW w:w="2376" w:type="dxa"/>
            <w:shd w:val="clear" w:color="auto" w:fill="auto"/>
            <w:noWrap/>
            <w:tcMar>
              <w:top w:w="0" w:type="dxa"/>
              <w:left w:w="70" w:type="dxa"/>
              <w:bottom w:w="0" w:type="dxa"/>
              <w:right w:w="70" w:type="dxa"/>
            </w:tcMar>
            <w:vAlign w:val="bottom"/>
            <w:hideMark/>
          </w:tcPr>
          <w:p w14:paraId="025ED315"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0,78</w:t>
            </w:r>
          </w:p>
        </w:tc>
      </w:tr>
      <w:tr w:rsidR="003A2622" w:rsidRPr="00404AD7" w14:paraId="73D2F0C0" w14:textId="77777777" w:rsidTr="003A2622">
        <w:tc>
          <w:tcPr>
            <w:tcW w:w="1567" w:type="dxa"/>
            <w:shd w:val="clear" w:color="auto" w:fill="auto"/>
            <w:noWrap/>
            <w:tcMar>
              <w:top w:w="0" w:type="dxa"/>
              <w:left w:w="70" w:type="dxa"/>
              <w:bottom w:w="0" w:type="dxa"/>
              <w:right w:w="70" w:type="dxa"/>
            </w:tcMar>
            <w:hideMark/>
          </w:tcPr>
          <w:p w14:paraId="14E1A1E2" w14:textId="77777777" w:rsidR="003A2622" w:rsidRPr="00404AD7" w:rsidRDefault="003A2622" w:rsidP="00E53FC8">
            <w:pPr>
              <w:suppressAutoHyphens w:val="0"/>
              <w:spacing w:before="40" w:after="40" w:line="220" w:lineRule="exact"/>
              <w:rPr>
                <w:bCs/>
                <w:sz w:val="18"/>
                <w:lang w:eastAsia="et-EE"/>
              </w:rPr>
            </w:pPr>
            <w:proofErr w:type="spellStart"/>
            <w:r w:rsidRPr="00404AD7">
              <w:rPr>
                <w:bCs/>
                <w:sz w:val="18"/>
                <w:lang w:eastAsia="et-EE"/>
              </w:rPr>
              <w:t>Hiiu</w:t>
            </w:r>
            <w:proofErr w:type="spellEnd"/>
          </w:p>
        </w:tc>
        <w:tc>
          <w:tcPr>
            <w:tcW w:w="1736" w:type="dxa"/>
            <w:shd w:val="clear" w:color="auto" w:fill="auto"/>
            <w:noWrap/>
            <w:tcMar>
              <w:top w:w="0" w:type="dxa"/>
              <w:left w:w="70" w:type="dxa"/>
              <w:bottom w:w="0" w:type="dxa"/>
              <w:right w:w="70" w:type="dxa"/>
            </w:tcMar>
            <w:vAlign w:val="bottom"/>
            <w:hideMark/>
          </w:tcPr>
          <w:p w14:paraId="2F0C17C9"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15,6%</w:t>
            </w:r>
          </w:p>
        </w:tc>
        <w:tc>
          <w:tcPr>
            <w:tcW w:w="1647" w:type="dxa"/>
            <w:shd w:val="clear" w:color="auto" w:fill="auto"/>
            <w:noWrap/>
            <w:tcMar>
              <w:top w:w="0" w:type="dxa"/>
              <w:left w:w="70" w:type="dxa"/>
              <w:bottom w:w="0" w:type="dxa"/>
              <w:right w:w="70" w:type="dxa"/>
            </w:tcMar>
            <w:vAlign w:val="bottom"/>
            <w:hideMark/>
          </w:tcPr>
          <w:p w14:paraId="7DF9498D"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1205</w:t>
            </w:r>
          </w:p>
        </w:tc>
        <w:tc>
          <w:tcPr>
            <w:tcW w:w="2376" w:type="dxa"/>
            <w:shd w:val="clear" w:color="auto" w:fill="auto"/>
            <w:noWrap/>
            <w:tcMar>
              <w:top w:w="0" w:type="dxa"/>
              <w:left w:w="70" w:type="dxa"/>
              <w:bottom w:w="0" w:type="dxa"/>
              <w:right w:w="70" w:type="dxa"/>
            </w:tcMar>
            <w:vAlign w:val="bottom"/>
            <w:hideMark/>
          </w:tcPr>
          <w:p w14:paraId="5F87B260"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0,76</w:t>
            </w:r>
          </w:p>
        </w:tc>
      </w:tr>
      <w:tr w:rsidR="003A2622" w:rsidRPr="00404AD7" w14:paraId="14395FC8" w14:textId="77777777" w:rsidTr="003A2622">
        <w:tc>
          <w:tcPr>
            <w:tcW w:w="1567" w:type="dxa"/>
            <w:shd w:val="clear" w:color="auto" w:fill="auto"/>
            <w:noWrap/>
            <w:tcMar>
              <w:top w:w="0" w:type="dxa"/>
              <w:left w:w="70" w:type="dxa"/>
              <w:bottom w:w="0" w:type="dxa"/>
              <w:right w:w="70" w:type="dxa"/>
            </w:tcMar>
            <w:hideMark/>
          </w:tcPr>
          <w:p w14:paraId="7E6AFAD2" w14:textId="77777777" w:rsidR="003A2622" w:rsidRPr="00404AD7" w:rsidRDefault="003A2622" w:rsidP="00E53FC8">
            <w:pPr>
              <w:suppressAutoHyphens w:val="0"/>
              <w:spacing w:before="40" w:after="40" w:line="220" w:lineRule="exact"/>
              <w:rPr>
                <w:bCs/>
                <w:sz w:val="18"/>
                <w:lang w:eastAsia="et-EE"/>
              </w:rPr>
            </w:pPr>
            <w:proofErr w:type="spellStart"/>
            <w:r w:rsidRPr="00404AD7">
              <w:rPr>
                <w:bCs/>
                <w:sz w:val="18"/>
                <w:lang w:eastAsia="et-EE"/>
              </w:rPr>
              <w:t>Saare</w:t>
            </w:r>
            <w:proofErr w:type="spellEnd"/>
          </w:p>
        </w:tc>
        <w:tc>
          <w:tcPr>
            <w:tcW w:w="1736" w:type="dxa"/>
            <w:shd w:val="clear" w:color="auto" w:fill="auto"/>
            <w:noWrap/>
            <w:tcMar>
              <w:top w:w="0" w:type="dxa"/>
              <w:left w:w="70" w:type="dxa"/>
              <w:bottom w:w="0" w:type="dxa"/>
              <w:right w:w="70" w:type="dxa"/>
            </w:tcMar>
            <w:vAlign w:val="bottom"/>
            <w:hideMark/>
          </w:tcPr>
          <w:p w14:paraId="69253AE7"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12,3%</w:t>
            </w:r>
          </w:p>
        </w:tc>
        <w:tc>
          <w:tcPr>
            <w:tcW w:w="1647" w:type="dxa"/>
            <w:shd w:val="clear" w:color="auto" w:fill="auto"/>
            <w:noWrap/>
            <w:tcMar>
              <w:top w:w="0" w:type="dxa"/>
              <w:left w:w="70" w:type="dxa"/>
              <w:bottom w:w="0" w:type="dxa"/>
              <w:right w:w="70" w:type="dxa"/>
            </w:tcMar>
            <w:vAlign w:val="bottom"/>
            <w:hideMark/>
          </w:tcPr>
          <w:p w14:paraId="5451B06B"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1188</w:t>
            </w:r>
          </w:p>
        </w:tc>
        <w:tc>
          <w:tcPr>
            <w:tcW w:w="2376" w:type="dxa"/>
            <w:shd w:val="clear" w:color="auto" w:fill="auto"/>
            <w:noWrap/>
            <w:tcMar>
              <w:top w:w="0" w:type="dxa"/>
              <w:left w:w="70" w:type="dxa"/>
              <w:bottom w:w="0" w:type="dxa"/>
              <w:right w:w="70" w:type="dxa"/>
            </w:tcMar>
            <w:vAlign w:val="bottom"/>
            <w:hideMark/>
          </w:tcPr>
          <w:p w14:paraId="5CE9E66A"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0,75</w:t>
            </w:r>
          </w:p>
        </w:tc>
      </w:tr>
      <w:tr w:rsidR="003A2622" w:rsidRPr="00404AD7" w14:paraId="1B052E68" w14:textId="77777777" w:rsidTr="003A2622">
        <w:tc>
          <w:tcPr>
            <w:tcW w:w="1567" w:type="dxa"/>
            <w:shd w:val="clear" w:color="auto" w:fill="auto"/>
            <w:noWrap/>
            <w:tcMar>
              <w:top w:w="0" w:type="dxa"/>
              <w:left w:w="70" w:type="dxa"/>
              <w:bottom w:w="0" w:type="dxa"/>
              <w:right w:w="70" w:type="dxa"/>
            </w:tcMar>
            <w:hideMark/>
          </w:tcPr>
          <w:p w14:paraId="781C2503" w14:textId="77777777" w:rsidR="003A2622" w:rsidRPr="00404AD7" w:rsidRDefault="003A2622" w:rsidP="00E53FC8">
            <w:pPr>
              <w:suppressAutoHyphens w:val="0"/>
              <w:spacing w:before="40" w:after="40" w:line="220" w:lineRule="exact"/>
              <w:rPr>
                <w:bCs/>
                <w:sz w:val="18"/>
                <w:lang w:eastAsia="et-EE"/>
              </w:rPr>
            </w:pPr>
            <w:proofErr w:type="spellStart"/>
            <w:r w:rsidRPr="00404AD7">
              <w:rPr>
                <w:bCs/>
                <w:sz w:val="18"/>
                <w:lang w:eastAsia="et-EE"/>
              </w:rPr>
              <w:t>Pärnu</w:t>
            </w:r>
            <w:proofErr w:type="spellEnd"/>
          </w:p>
        </w:tc>
        <w:tc>
          <w:tcPr>
            <w:tcW w:w="1736" w:type="dxa"/>
            <w:shd w:val="clear" w:color="auto" w:fill="auto"/>
            <w:noWrap/>
            <w:tcMar>
              <w:top w:w="0" w:type="dxa"/>
              <w:left w:w="70" w:type="dxa"/>
              <w:bottom w:w="0" w:type="dxa"/>
              <w:right w:w="70" w:type="dxa"/>
            </w:tcMar>
            <w:vAlign w:val="bottom"/>
            <w:hideMark/>
          </w:tcPr>
          <w:p w14:paraId="6AC4EE7B"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13,0%</w:t>
            </w:r>
          </w:p>
        </w:tc>
        <w:tc>
          <w:tcPr>
            <w:tcW w:w="1647" w:type="dxa"/>
            <w:shd w:val="clear" w:color="auto" w:fill="auto"/>
            <w:noWrap/>
            <w:tcMar>
              <w:top w:w="0" w:type="dxa"/>
              <w:left w:w="70" w:type="dxa"/>
              <w:bottom w:w="0" w:type="dxa"/>
              <w:right w:w="70" w:type="dxa"/>
            </w:tcMar>
            <w:vAlign w:val="bottom"/>
            <w:hideMark/>
          </w:tcPr>
          <w:p w14:paraId="1FFDD168"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1240</w:t>
            </w:r>
          </w:p>
        </w:tc>
        <w:tc>
          <w:tcPr>
            <w:tcW w:w="2376" w:type="dxa"/>
            <w:shd w:val="clear" w:color="auto" w:fill="auto"/>
            <w:noWrap/>
            <w:tcMar>
              <w:top w:w="0" w:type="dxa"/>
              <w:left w:w="70" w:type="dxa"/>
              <w:bottom w:w="0" w:type="dxa"/>
              <w:right w:w="70" w:type="dxa"/>
            </w:tcMar>
            <w:vAlign w:val="bottom"/>
            <w:hideMark/>
          </w:tcPr>
          <w:p w14:paraId="67574BD6"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0,79</w:t>
            </w:r>
          </w:p>
        </w:tc>
      </w:tr>
      <w:tr w:rsidR="003A2622" w:rsidRPr="00404AD7" w14:paraId="5F0F212C" w14:textId="77777777" w:rsidTr="003A2622">
        <w:tc>
          <w:tcPr>
            <w:tcW w:w="1567" w:type="dxa"/>
            <w:shd w:val="clear" w:color="auto" w:fill="auto"/>
            <w:noWrap/>
            <w:tcMar>
              <w:top w:w="0" w:type="dxa"/>
              <w:left w:w="70" w:type="dxa"/>
              <w:bottom w:w="0" w:type="dxa"/>
              <w:right w:w="70" w:type="dxa"/>
            </w:tcMar>
            <w:hideMark/>
          </w:tcPr>
          <w:p w14:paraId="30D20135" w14:textId="77777777" w:rsidR="003A2622" w:rsidRPr="00404AD7" w:rsidRDefault="003A2622" w:rsidP="00E53FC8">
            <w:pPr>
              <w:suppressAutoHyphens w:val="0"/>
              <w:spacing w:before="40" w:after="40" w:line="220" w:lineRule="exact"/>
              <w:rPr>
                <w:bCs/>
                <w:sz w:val="18"/>
                <w:lang w:eastAsia="et-EE"/>
              </w:rPr>
            </w:pPr>
            <w:proofErr w:type="spellStart"/>
            <w:r w:rsidRPr="00404AD7">
              <w:rPr>
                <w:bCs/>
                <w:sz w:val="18"/>
                <w:lang w:eastAsia="et-EE"/>
              </w:rPr>
              <w:t>Viljandi</w:t>
            </w:r>
            <w:proofErr w:type="spellEnd"/>
          </w:p>
        </w:tc>
        <w:tc>
          <w:tcPr>
            <w:tcW w:w="1736" w:type="dxa"/>
            <w:shd w:val="clear" w:color="auto" w:fill="auto"/>
            <w:noWrap/>
            <w:tcMar>
              <w:top w:w="0" w:type="dxa"/>
              <w:left w:w="70" w:type="dxa"/>
              <w:bottom w:w="0" w:type="dxa"/>
              <w:right w:w="70" w:type="dxa"/>
            </w:tcMar>
            <w:vAlign w:val="bottom"/>
            <w:hideMark/>
          </w:tcPr>
          <w:p w14:paraId="0385154A"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14,0%</w:t>
            </w:r>
          </w:p>
        </w:tc>
        <w:tc>
          <w:tcPr>
            <w:tcW w:w="1647" w:type="dxa"/>
            <w:shd w:val="clear" w:color="auto" w:fill="auto"/>
            <w:noWrap/>
            <w:tcMar>
              <w:top w:w="0" w:type="dxa"/>
              <w:left w:w="70" w:type="dxa"/>
              <w:bottom w:w="0" w:type="dxa"/>
              <w:right w:w="70" w:type="dxa"/>
            </w:tcMar>
            <w:vAlign w:val="bottom"/>
            <w:hideMark/>
          </w:tcPr>
          <w:p w14:paraId="238E72DA"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1270</w:t>
            </w:r>
          </w:p>
        </w:tc>
        <w:tc>
          <w:tcPr>
            <w:tcW w:w="2376" w:type="dxa"/>
            <w:shd w:val="clear" w:color="auto" w:fill="auto"/>
            <w:noWrap/>
            <w:tcMar>
              <w:top w:w="0" w:type="dxa"/>
              <w:left w:w="70" w:type="dxa"/>
              <w:bottom w:w="0" w:type="dxa"/>
              <w:right w:w="70" w:type="dxa"/>
            </w:tcMar>
            <w:vAlign w:val="bottom"/>
            <w:hideMark/>
          </w:tcPr>
          <w:p w14:paraId="2AD8ED2A"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0,81</w:t>
            </w:r>
          </w:p>
        </w:tc>
      </w:tr>
      <w:tr w:rsidR="003A2622" w:rsidRPr="00404AD7" w14:paraId="73DFEC56" w14:textId="77777777" w:rsidTr="003A2622">
        <w:tc>
          <w:tcPr>
            <w:tcW w:w="1567" w:type="dxa"/>
            <w:shd w:val="clear" w:color="auto" w:fill="auto"/>
            <w:noWrap/>
            <w:tcMar>
              <w:top w:w="0" w:type="dxa"/>
              <w:left w:w="70" w:type="dxa"/>
              <w:bottom w:w="0" w:type="dxa"/>
              <w:right w:w="70" w:type="dxa"/>
            </w:tcMar>
            <w:hideMark/>
          </w:tcPr>
          <w:p w14:paraId="627888AC" w14:textId="77777777" w:rsidR="003A2622" w:rsidRPr="00404AD7" w:rsidRDefault="003A2622" w:rsidP="00E53FC8">
            <w:pPr>
              <w:suppressAutoHyphens w:val="0"/>
              <w:spacing w:before="40" w:after="40" w:line="220" w:lineRule="exact"/>
              <w:rPr>
                <w:bCs/>
                <w:sz w:val="18"/>
                <w:lang w:eastAsia="et-EE"/>
              </w:rPr>
            </w:pPr>
            <w:proofErr w:type="spellStart"/>
            <w:r w:rsidRPr="00404AD7">
              <w:rPr>
                <w:bCs/>
                <w:sz w:val="18"/>
                <w:lang w:eastAsia="et-EE"/>
              </w:rPr>
              <w:t>Jõgeva</w:t>
            </w:r>
            <w:proofErr w:type="spellEnd"/>
          </w:p>
        </w:tc>
        <w:tc>
          <w:tcPr>
            <w:tcW w:w="1736" w:type="dxa"/>
            <w:shd w:val="clear" w:color="auto" w:fill="auto"/>
            <w:noWrap/>
            <w:tcMar>
              <w:top w:w="0" w:type="dxa"/>
              <w:left w:w="70" w:type="dxa"/>
              <w:bottom w:w="0" w:type="dxa"/>
              <w:right w:w="70" w:type="dxa"/>
            </w:tcMar>
            <w:vAlign w:val="bottom"/>
            <w:hideMark/>
          </w:tcPr>
          <w:p w14:paraId="452019B5"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14,5%</w:t>
            </w:r>
          </w:p>
        </w:tc>
        <w:tc>
          <w:tcPr>
            <w:tcW w:w="1647" w:type="dxa"/>
            <w:shd w:val="clear" w:color="auto" w:fill="auto"/>
            <w:noWrap/>
            <w:tcMar>
              <w:top w:w="0" w:type="dxa"/>
              <w:left w:w="70" w:type="dxa"/>
              <w:bottom w:w="0" w:type="dxa"/>
              <w:right w:w="70" w:type="dxa"/>
            </w:tcMar>
            <w:vAlign w:val="bottom"/>
            <w:hideMark/>
          </w:tcPr>
          <w:p w14:paraId="7B870BD1"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1194</w:t>
            </w:r>
          </w:p>
        </w:tc>
        <w:tc>
          <w:tcPr>
            <w:tcW w:w="2376" w:type="dxa"/>
            <w:shd w:val="clear" w:color="auto" w:fill="auto"/>
            <w:noWrap/>
            <w:tcMar>
              <w:top w:w="0" w:type="dxa"/>
              <w:left w:w="70" w:type="dxa"/>
              <w:bottom w:w="0" w:type="dxa"/>
              <w:right w:w="70" w:type="dxa"/>
            </w:tcMar>
            <w:vAlign w:val="bottom"/>
            <w:hideMark/>
          </w:tcPr>
          <w:p w14:paraId="06DD53AE"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0,76</w:t>
            </w:r>
          </w:p>
        </w:tc>
      </w:tr>
      <w:tr w:rsidR="003A2622" w:rsidRPr="00404AD7" w14:paraId="2AEDF6AB" w14:textId="77777777" w:rsidTr="003A2622">
        <w:tc>
          <w:tcPr>
            <w:tcW w:w="1567" w:type="dxa"/>
            <w:shd w:val="clear" w:color="auto" w:fill="auto"/>
            <w:noWrap/>
            <w:tcMar>
              <w:top w:w="0" w:type="dxa"/>
              <w:left w:w="70" w:type="dxa"/>
              <w:bottom w:w="0" w:type="dxa"/>
              <w:right w:w="70" w:type="dxa"/>
            </w:tcMar>
            <w:hideMark/>
          </w:tcPr>
          <w:p w14:paraId="707A8CEF" w14:textId="77777777" w:rsidR="003A2622" w:rsidRPr="00404AD7" w:rsidRDefault="003A2622" w:rsidP="00E53FC8">
            <w:pPr>
              <w:suppressAutoHyphens w:val="0"/>
              <w:spacing w:before="40" w:after="40" w:line="220" w:lineRule="exact"/>
              <w:rPr>
                <w:bCs/>
                <w:sz w:val="18"/>
                <w:lang w:eastAsia="et-EE"/>
              </w:rPr>
            </w:pPr>
            <w:proofErr w:type="spellStart"/>
            <w:r w:rsidRPr="00404AD7">
              <w:rPr>
                <w:bCs/>
                <w:sz w:val="18"/>
                <w:lang w:eastAsia="et-EE"/>
              </w:rPr>
              <w:t>Lääne-Viru</w:t>
            </w:r>
            <w:proofErr w:type="spellEnd"/>
          </w:p>
        </w:tc>
        <w:tc>
          <w:tcPr>
            <w:tcW w:w="1736" w:type="dxa"/>
            <w:shd w:val="clear" w:color="auto" w:fill="auto"/>
            <w:noWrap/>
            <w:tcMar>
              <w:top w:w="0" w:type="dxa"/>
              <w:left w:w="70" w:type="dxa"/>
              <w:bottom w:w="0" w:type="dxa"/>
              <w:right w:w="70" w:type="dxa"/>
            </w:tcMar>
            <w:vAlign w:val="bottom"/>
            <w:hideMark/>
          </w:tcPr>
          <w:p w14:paraId="287DAA08"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15,3%</w:t>
            </w:r>
          </w:p>
        </w:tc>
        <w:tc>
          <w:tcPr>
            <w:tcW w:w="1647" w:type="dxa"/>
            <w:shd w:val="clear" w:color="auto" w:fill="auto"/>
            <w:noWrap/>
            <w:tcMar>
              <w:top w:w="0" w:type="dxa"/>
              <w:left w:w="70" w:type="dxa"/>
              <w:bottom w:w="0" w:type="dxa"/>
              <w:right w:w="70" w:type="dxa"/>
            </w:tcMar>
            <w:vAlign w:val="bottom"/>
            <w:hideMark/>
          </w:tcPr>
          <w:p w14:paraId="77F0BC76"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1221</w:t>
            </w:r>
          </w:p>
        </w:tc>
        <w:tc>
          <w:tcPr>
            <w:tcW w:w="2376" w:type="dxa"/>
            <w:shd w:val="clear" w:color="auto" w:fill="auto"/>
            <w:noWrap/>
            <w:tcMar>
              <w:top w:w="0" w:type="dxa"/>
              <w:left w:w="70" w:type="dxa"/>
              <w:bottom w:w="0" w:type="dxa"/>
              <w:right w:w="70" w:type="dxa"/>
            </w:tcMar>
            <w:vAlign w:val="bottom"/>
            <w:hideMark/>
          </w:tcPr>
          <w:p w14:paraId="697AE69D"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0,77</w:t>
            </w:r>
          </w:p>
        </w:tc>
      </w:tr>
      <w:tr w:rsidR="003A2622" w:rsidRPr="00404AD7" w14:paraId="7CD9C8A5" w14:textId="77777777" w:rsidTr="003A2622">
        <w:tc>
          <w:tcPr>
            <w:tcW w:w="1567" w:type="dxa"/>
            <w:shd w:val="clear" w:color="auto" w:fill="auto"/>
            <w:noWrap/>
            <w:tcMar>
              <w:top w:w="0" w:type="dxa"/>
              <w:left w:w="70" w:type="dxa"/>
              <w:bottom w:w="0" w:type="dxa"/>
              <w:right w:w="70" w:type="dxa"/>
            </w:tcMar>
            <w:hideMark/>
          </w:tcPr>
          <w:p w14:paraId="061CCB9A" w14:textId="77777777" w:rsidR="003A2622" w:rsidRPr="00404AD7" w:rsidRDefault="003A2622" w:rsidP="00E53FC8">
            <w:pPr>
              <w:suppressAutoHyphens w:val="0"/>
              <w:spacing w:before="40" w:after="40" w:line="220" w:lineRule="exact"/>
              <w:rPr>
                <w:bCs/>
                <w:sz w:val="18"/>
                <w:lang w:eastAsia="et-EE"/>
              </w:rPr>
            </w:pPr>
            <w:r w:rsidRPr="00404AD7">
              <w:rPr>
                <w:bCs/>
                <w:sz w:val="18"/>
                <w:lang w:eastAsia="et-EE"/>
              </w:rPr>
              <w:t>Ida-</w:t>
            </w:r>
            <w:proofErr w:type="spellStart"/>
            <w:r w:rsidRPr="00404AD7">
              <w:rPr>
                <w:bCs/>
                <w:sz w:val="18"/>
                <w:lang w:eastAsia="et-EE"/>
              </w:rPr>
              <w:t>Viru</w:t>
            </w:r>
            <w:proofErr w:type="spellEnd"/>
          </w:p>
        </w:tc>
        <w:tc>
          <w:tcPr>
            <w:tcW w:w="1736" w:type="dxa"/>
            <w:shd w:val="clear" w:color="auto" w:fill="auto"/>
            <w:noWrap/>
            <w:tcMar>
              <w:top w:w="0" w:type="dxa"/>
              <w:left w:w="70" w:type="dxa"/>
              <w:bottom w:w="0" w:type="dxa"/>
              <w:right w:w="70" w:type="dxa"/>
            </w:tcMar>
            <w:vAlign w:val="bottom"/>
            <w:hideMark/>
          </w:tcPr>
          <w:p w14:paraId="19BB7F61"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21,0%</w:t>
            </w:r>
          </w:p>
        </w:tc>
        <w:tc>
          <w:tcPr>
            <w:tcW w:w="1647" w:type="dxa"/>
            <w:shd w:val="clear" w:color="auto" w:fill="auto"/>
            <w:noWrap/>
            <w:tcMar>
              <w:top w:w="0" w:type="dxa"/>
              <w:left w:w="70" w:type="dxa"/>
              <w:bottom w:w="0" w:type="dxa"/>
              <w:right w:w="70" w:type="dxa"/>
            </w:tcMar>
            <w:vAlign w:val="bottom"/>
            <w:hideMark/>
          </w:tcPr>
          <w:p w14:paraId="49127B10"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1204</w:t>
            </w:r>
          </w:p>
        </w:tc>
        <w:tc>
          <w:tcPr>
            <w:tcW w:w="2376" w:type="dxa"/>
            <w:shd w:val="clear" w:color="auto" w:fill="auto"/>
            <w:noWrap/>
            <w:tcMar>
              <w:top w:w="0" w:type="dxa"/>
              <w:left w:w="70" w:type="dxa"/>
              <w:bottom w:w="0" w:type="dxa"/>
              <w:right w:w="70" w:type="dxa"/>
            </w:tcMar>
            <w:vAlign w:val="bottom"/>
            <w:hideMark/>
          </w:tcPr>
          <w:p w14:paraId="6507F1F2"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0,76</w:t>
            </w:r>
          </w:p>
        </w:tc>
      </w:tr>
      <w:tr w:rsidR="003A2622" w:rsidRPr="00404AD7" w14:paraId="37215D8E" w14:textId="77777777" w:rsidTr="003A2622">
        <w:tc>
          <w:tcPr>
            <w:tcW w:w="1567" w:type="dxa"/>
            <w:shd w:val="clear" w:color="auto" w:fill="auto"/>
            <w:noWrap/>
            <w:tcMar>
              <w:top w:w="0" w:type="dxa"/>
              <w:left w:w="70" w:type="dxa"/>
              <w:bottom w:w="0" w:type="dxa"/>
              <w:right w:w="70" w:type="dxa"/>
            </w:tcMar>
            <w:hideMark/>
          </w:tcPr>
          <w:p w14:paraId="49F36C2F" w14:textId="77777777" w:rsidR="003A2622" w:rsidRPr="00404AD7" w:rsidRDefault="003A2622" w:rsidP="00E53FC8">
            <w:pPr>
              <w:suppressAutoHyphens w:val="0"/>
              <w:spacing w:before="40" w:after="40" w:line="220" w:lineRule="exact"/>
              <w:rPr>
                <w:bCs/>
                <w:sz w:val="18"/>
                <w:lang w:eastAsia="et-EE"/>
              </w:rPr>
            </w:pPr>
            <w:proofErr w:type="spellStart"/>
            <w:r w:rsidRPr="00404AD7">
              <w:rPr>
                <w:bCs/>
                <w:sz w:val="18"/>
                <w:lang w:eastAsia="et-EE"/>
              </w:rPr>
              <w:t>Jõgeva</w:t>
            </w:r>
            <w:proofErr w:type="spellEnd"/>
          </w:p>
        </w:tc>
        <w:tc>
          <w:tcPr>
            <w:tcW w:w="1736" w:type="dxa"/>
            <w:shd w:val="clear" w:color="auto" w:fill="auto"/>
            <w:noWrap/>
            <w:tcMar>
              <w:top w:w="0" w:type="dxa"/>
              <w:left w:w="70" w:type="dxa"/>
              <w:bottom w:w="0" w:type="dxa"/>
              <w:right w:w="70" w:type="dxa"/>
            </w:tcMar>
            <w:vAlign w:val="bottom"/>
            <w:hideMark/>
          </w:tcPr>
          <w:p w14:paraId="1A8A25DC"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14,5%</w:t>
            </w:r>
          </w:p>
        </w:tc>
        <w:tc>
          <w:tcPr>
            <w:tcW w:w="1647" w:type="dxa"/>
            <w:shd w:val="clear" w:color="auto" w:fill="auto"/>
            <w:noWrap/>
            <w:tcMar>
              <w:top w:w="0" w:type="dxa"/>
              <w:left w:w="70" w:type="dxa"/>
              <w:bottom w:w="0" w:type="dxa"/>
              <w:right w:w="70" w:type="dxa"/>
            </w:tcMar>
            <w:vAlign w:val="bottom"/>
            <w:hideMark/>
          </w:tcPr>
          <w:p w14:paraId="40DB3A25"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1194</w:t>
            </w:r>
          </w:p>
        </w:tc>
        <w:tc>
          <w:tcPr>
            <w:tcW w:w="2376" w:type="dxa"/>
            <w:shd w:val="clear" w:color="auto" w:fill="auto"/>
            <w:noWrap/>
            <w:tcMar>
              <w:top w:w="0" w:type="dxa"/>
              <w:left w:w="70" w:type="dxa"/>
              <w:bottom w:w="0" w:type="dxa"/>
              <w:right w:w="70" w:type="dxa"/>
            </w:tcMar>
            <w:vAlign w:val="bottom"/>
            <w:hideMark/>
          </w:tcPr>
          <w:p w14:paraId="35527363"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0,76</w:t>
            </w:r>
          </w:p>
        </w:tc>
      </w:tr>
      <w:tr w:rsidR="003A2622" w:rsidRPr="00404AD7" w14:paraId="39FC263F" w14:textId="77777777" w:rsidTr="003A2622">
        <w:tc>
          <w:tcPr>
            <w:tcW w:w="1567" w:type="dxa"/>
            <w:shd w:val="clear" w:color="auto" w:fill="auto"/>
            <w:noWrap/>
            <w:tcMar>
              <w:top w:w="0" w:type="dxa"/>
              <w:left w:w="70" w:type="dxa"/>
              <w:bottom w:w="0" w:type="dxa"/>
              <w:right w:w="70" w:type="dxa"/>
            </w:tcMar>
            <w:hideMark/>
          </w:tcPr>
          <w:p w14:paraId="160EDA18" w14:textId="77777777" w:rsidR="003A2622" w:rsidRPr="00404AD7" w:rsidRDefault="003A2622" w:rsidP="00E53FC8">
            <w:pPr>
              <w:suppressAutoHyphens w:val="0"/>
              <w:spacing w:before="40" w:after="40" w:line="220" w:lineRule="exact"/>
              <w:rPr>
                <w:bCs/>
                <w:sz w:val="18"/>
                <w:lang w:eastAsia="et-EE"/>
              </w:rPr>
            </w:pPr>
            <w:proofErr w:type="spellStart"/>
            <w:r w:rsidRPr="00404AD7">
              <w:rPr>
                <w:bCs/>
                <w:sz w:val="18"/>
                <w:lang w:eastAsia="et-EE"/>
              </w:rPr>
              <w:t>Valga</w:t>
            </w:r>
            <w:proofErr w:type="spellEnd"/>
          </w:p>
        </w:tc>
        <w:tc>
          <w:tcPr>
            <w:tcW w:w="1736" w:type="dxa"/>
            <w:shd w:val="clear" w:color="auto" w:fill="auto"/>
            <w:noWrap/>
            <w:tcMar>
              <w:top w:w="0" w:type="dxa"/>
              <w:left w:w="70" w:type="dxa"/>
              <w:bottom w:w="0" w:type="dxa"/>
              <w:right w:w="70" w:type="dxa"/>
            </w:tcMar>
            <w:vAlign w:val="bottom"/>
            <w:hideMark/>
          </w:tcPr>
          <w:p w14:paraId="52D18576"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11,3%</w:t>
            </w:r>
          </w:p>
        </w:tc>
        <w:tc>
          <w:tcPr>
            <w:tcW w:w="1647" w:type="dxa"/>
            <w:shd w:val="clear" w:color="auto" w:fill="auto"/>
            <w:noWrap/>
            <w:tcMar>
              <w:top w:w="0" w:type="dxa"/>
              <w:left w:w="70" w:type="dxa"/>
              <w:bottom w:w="0" w:type="dxa"/>
              <w:right w:w="70" w:type="dxa"/>
            </w:tcMar>
            <w:vAlign w:val="bottom"/>
            <w:hideMark/>
          </w:tcPr>
          <w:p w14:paraId="4AF9E94A"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1133</w:t>
            </w:r>
          </w:p>
        </w:tc>
        <w:tc>
          <w:tcPr>
            <w:tcW w:w="2376" w:type="dxa"/>
            <w:shd w:val="clear" w:color="auto" w:fill="auto"/>
            <w:noWrap/>
            <w:tcMar>
              <w:top w:w="0" w:type="dxa"/>
              <w:left w:w="70" w:type="dxa"/>
              <w:bottom w:w="0" w:type="dxa"/>
              <w:right w:w="70" w:type="dxa"/>
            </w:tcMar>
            <w:vAlign w:val="bottom"/>
            <w:hideMark/>
          </w:tcPr>
          <w:p w14:paraId="7077AB86"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0,72</w:t>
            </w:r>
          </w:p>
        </w:tc>
      </w:tr>
      <w:tr w:rsidR="003A2622" w:rsidRPr="00404AD7" w14:paraId="757B3BC6" w14:textId="77777777" w:rsidTr="003A2622">
        <w:tc>
          <w:tcPr>
            <w:tcW w:w="1567" w:type="dxa"/>
            <w:shd w:val="clear" w:color="auto" w:fill="auto"/>
            <w:noWrap/>
            <w:tcMar>
              <w:top w:w="0" w:type="dxa"/>
              <w:left w:w="70" w:type="dxa"/>
              <w:bottom w:w="0" w:type="dxa"/>
              <w:right w:w="70" w:type="dxa"/>
            </w:tcMar>
            <w:hideMark/>
          </w:tcPr>
          <w:p w14:paraId="19540E63" w14:textId="77777777" w:rsidR="003A2622" w:rsidRPr="00404AD7" w:rsidRDefault="003A2622" w:rsidP="00E53FC8">
            <w:pPr>
              <w:suppressAutoHyphens w:val="0"/>
              <w:spacing w:before="40" w:after="40" w:line="220" w:lineRule="exact"/>
              <w:rPr>
                <w:bCs/>
                <w:sz w:val="18"/>
                <w:lang w:eastAsia="et-EE"/>
              </w:rPr>
            </w:pPr>
            <w:r w:rsidRPr="00404AD7">
              <w:rPr>
                <w:bCs/>
                <w:sz w:val="18"/>
                <w:lang w:eastAsia="et-EE"/>
              </w:rPr>
              <w:t>Tartu</w:t>
            </w:r>
          </w:p>
        </w:tc>
        <w:tc>
          <w:tcPr>
            <w:tcW w:w="1736" w:type="dxa"/>
            <w:shd w:val="clear" w:color="auto" w:fill="auto"/>
            <w:noWrap/>
            <w:tcMar>
              <w:top w:w="0" w:type="dxa"/>
              <w:left w:w="70" w:type="dxa"/>
              <w:bottom w:w="0" w:type="dxa"/>
              <w:right w:w="70" w:type="dxa"/>
            </w:tcMar>
            <w:vAlign w:val="bottom"/>
            <w:hideMark/>
          </w:tcPr>
          <w:p w14:paraId="48B8BB17"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14,7%</w:t>
            </w:r>
          </w:p>
        </w:tc>
        <w:tc>
          <w:tcPr>
            <w:tcW w:w="1647" w:type="dxa"/>
            <w:shd w:val="clear" w:color="auto" w:fill="auto"/>
            <w:noWrap/>
            <w:tcMar>
              <w:top w:w="0" w:type="dxa"/>
              <w:left w:w="70" w:type="dxa"/>
              <w:bottom w:w="0" w:type="dxa"/>
              <w:right w:w="70" w:type="dxa"/>
            </w:tcMar>
            <w:vAlign w:val="bottom"/>
            <w:hideMark/>
          </w:tcPr>
          <w:p w14:paraId="71EE3400"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1547</w:t>
            </w:r>
          </w:p>
        </w:tc>
        <w:tc>
          <w:tcPr>
            <w:tcW w:w="2376" w:type="dxa"/>
            <w:shd w:val="clear" w:color="auto" w:fill="auto"/>
            <w:noWrap/>
            <w:tcMar>
              <w:top w:w="0" w:type="dxa"/>
              <w:left w:w="70" w:type="dxa"/>
              <w:bottom w:w="0" w:type="dxa"/>
              <w:right w:w="70" w:type="dxa"/>
            </w:tcMar>
            <w:vAlign w:val="bottom"/>
            <w:hideMark/>
          </w:tcPr>
          <w:p w14:paraId="5A4DCB40"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0,98</w:t>
            </w:r>
          </w:p>
        </w:tc>
      </w:tr>
      <w:tr w:rsidR="003A2622" w:rsidRPr="00404AD7" w14:paraId="4343C41C" w14:textId="77777777" w:rsidTr="003A2622">
        <w:tc>
          <w:tcPr>
            <w:tcW w:w="1567" w:type="dxa"/>
            <w:shd w:val="clear" w:color="auto" w:fill="auto"/>
            <w:noWrap/>
            <w:tcMar>
              <w:top w:w="0" w:type="dxa"/>
              <w:left w:w="70" w:type="dxa"/>
              <w:bottom w:w="0" w:type="dxa"/>
              <w:right w:w="70" w:type="dxa"/>
            </w:tcMar>
            <w:hideMark/>
          </w:tcPr>
          <w:p w14:paraId="13B11FDB" w14:textId="77777777" w:rsidR="003A2622" w:rsidRPr="00404AD7" w:rsidRDefault="003A2622" w:rsidP="00E53FC8">
            <w:pPr>
              <w:suppressAutoHyphens w:val="0"/>
              <w:spacing w:before="40" w:after="40" w:line="220" w:lineRule="exact"/>
              <w:rPr>
                <w:bCs/>
                <w:sz w:val="18"/>
                <w:lang w:eastAsia="et-EE"/>
              </w:rPr>
            </w:pPr>
            <w:proofErr w:type="spellStart"/>
            <w:r w:rsidRPr="00404AD7">
              <w:rPr>
                <w:bCs/>
                <w:sz w:val="18"/>
                <w:lang w:eastAsia="et-EE"/>
              </w:rPr>
              <w:t>Põlva</w:t>
            </w:r>
            <w:proofErr w:type="spellEnd"/>
          </w:p>
        </w:tc>
        <w:tc>
          <w:tcPr>
            <w:tcW w:w="1736" w:type="dxa"/>
            <w:shd w:val="clear" w:color="auto" w:fill="auto"/>
            <w:noWrap/>
            <w:tcMar>
              <w:top w:w="0" w:type="dxa"/>
              <w:left w:w="70" w:type="dxa"/>
              <w:bottom w:w="0" w:type="dxa"/>
              <w:right w:w="70" w:type="dxa"/>
            </w:tcMar>
            <w:vAlign w:val="bottom"/>
            <w:hideMark/>
          </w:tcPr>
          <w:p w14:paraId="0D1FD107"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5,8%</w:t>
            </w:r>
          </w:p>
        </w:tc>
        <w:tc>
          <w:tcPr>
            <w:tcW w:w="1647" w:type="dxa"/>
            <w:shd w:val="clear" w:color="auto" w:fill="auto"/>
            <w:noWrap/>
            <w:tcMar>
              <w:top w:w="0" w:type="dxa"/>
              <w:left w:w="70" w:type="dxa"/>
              <w:bottom w:w="0" w:type="dxa"/>
              <w:right w:w="70" w:type="dxa"/>
            </w:tcMar>
            <w:vAlign w:val="bottom"/>
            <w:hideMark/>
          </w:tcPr>
          <w:p w14:paraId="18A2C36D"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1218</w:t>
            </w:r>
          </w:p>
        </w:tc>
        <w:tc>
          <w:tcPr>
            <w:tcW w:w="2376" w:type="dxa"/>
            <w:shd w:val="clear" w:color="auto" w:fill="auto"/>
            <w:noWrap/>
            <w:tcMar>
              <w:top w:w="0" w:type="dxa"/>
              <w:left w:w="70" w:type="dxa"/>
              <w:bottom w:w="0" w:type="dxa"/>
              <w:right w:w="70" w:type="dxa"/>
            </w:tcMar>
            <w:vAlign w:val="bottom"/>
            <w:hideMark/>
          </w:tcPr>
          <w:p w14:paraId="372FE3D2"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0,77</w:t>
            </w:r>
          </w:p>
        </w:tc>
      </w:tr>
      <w:tr w:rsidR="003A2622" w:rsidRPr="00404AD7" w14:paraId="0D7BE1D4" w14:textId="77777777" w:rsidTr="003A2622">
        <w:tc>
          <w:tcPr>
            <w:tcW w:w="1567" w:type="dxa"/>
            <w:tcBorders>
              <w:bottom w:val="single" w:sz="12" w:space="0" w:color="auto"/>
            </w:tcBorders>
            <w:shd w:val="clear" w:color="auto" w:fill="auto"/>
            <w:noWrap/>
            <w:tcMar>
              <w:top w:w="0" w:type="dxa"/>
              <w:left w:w="70" w:type="dxa"/>
              <w:bottom w:w="0" w:type="dxa"/>
              <w:right w:w="70" w:type="dxa"/>
            </w:tcMar>
            <w:hideMark/>
          </w:tcPr>
          <w:p w14:paraId="19C73154" w14:textId="77777777" w:rsidR="003A2622" w:rsidRPr="00404AD7" w:rsidRDefault="003A2622" w:rsidP="00E53FC8">
            <w:pPr>
              <w:suppressAutoHyphens w:val="0"/>
              <w:spacing w:before="40" w:after="40" w:line="220" w:lineRule="exact"/>
              <w:rPr>
                <w:bCs/>
                <w:sz w:val="18"/>
                <w:lang w:eastAsia="et-EE"/>
              </w:rPr>
            </w:pPr>
            <w:proofErr w:type="spellStart"/>
            <w:r w:rsidRPr="00404AD7">
              <w:rPr>
                <w:bCs/>
                <w:sz w:val="18"/>
                <w:lang w:eastAsia="et-EE"/>
              </w:rPr>
              <w:t>Võru</w:t>
            </w:r>
            <w:proofErr w:type="spellEnd"/>
          </w:p>
        </w:tc>
        <w:tc>
          <w:tcPr>
            <w:tcW w:w="1736" w:type="dxa"/>
            <w:tcBorders>
              <w:bottom w:val="single" w:sz="12" w:space="0" w:color="auto"/>
            </w:tcBorders>
            <w:shd w:val="clear" w:color="auto" w:fill="auto"/>
            <w:noWrap/>
            <w:tcMar>
              <w:top w:w="0" w:type="dxa"/>
              <w:left w:w="70" w:type="dxa"/>
              <w:bottom w:w="0" w:type="dxa"/>
              <w:right w:w="70" w:type="dxa"/>
            </w:tcMar>
            <w:vAlign w:val="bottom"/>
            <w:hideMark/>
          </w:tcPr>
          <w:p w14:paraId="09BC1E1D"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14,2%</w:t>
            </w:r>
          </w:p>
        </w:tc>
        <w:tc>
          <w:tcPr>
            <w:tcW w:w="1647" w:type="dxa"/>
            <w:tcBorders>
              <w:bottom w:val="single" w:sz="12" w:space="0" w:color="auto"/>
            </w:tcBorders>
            <w:shd w:val="clear" w:color="auto" w:fill="auto"/>
            <w:noWrap/>
            <w:tcMar>
              <w:top w:w="0" w:type="dxa"/>
              <w:left w:w="70" w:type="dxa"/>
              <w:bottom w:w="0" w:type="dxa"/>
              <w:right w:w="70" w:type="dxa"/>
            </w:tcMar>
            <w:vAlign w:val="bottom"/>
            <w:hideMark/>
          </w:tcPr>
          <w:p w14:paraId="10DBF3AA"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1193</w:t>
            </w:r>
          </w:p>
        </w:tc>
        <w:tc>
          <w:tcPr>
            <w:tcW w:w="2376" w:type="dxa"/>
            <w:tcBorders>
              <w:bottom w:val="single" w:sz="12" w:space="0" w:color="auto"/>
            </w:tcBorders>
            <w:shd w:val="clear" w:color="auto" w:fill="auto"/>
            <w:noWrap/>
            <w:tcMar>
              <w:top w:w="0" w:type="dxa"/>
              <w:left w:w="70" w:type="dxa"/>
              <w:bottom w:w="0" w:type="dxa"/>
              <w:right w:w="70" w:type="dxa"/>
            </w:tcMar>
            <w:vAlign w:val="bottom"/>
            <w:hideMark/>
          </w:tcPr>
          <w:p w14:paraId="611F6BEA" w14:textId="77777777" w:rsidR="003A2622" w:rsidRPr="00404AD7" w:rsidRDefault="003A2622" w:rsidP="00E53FC8">
            <w:pPr>
              <w:suppressAutoHyphens w:val="0"/>
              <w:spacing w:before="40" w:after="40" w:line="220" w:lineRule="exact"/>
              <w:jc w:val="right"/>
              <w:rPr>
                <w:sz w:val="18"/>
                <w:lang w:eastAsia="et-EE"/>
              </w:rPr>
            </w:pPr>
            <w:r w:rsidRPr="00404AD7">
              <w:rPr>
                <w:sz w:val="18"/>
                <w:lang w:eastAsia="et-EE"/>
              </w:rPr>
              <w:t>0,76</w:t>
            </w:r>
          </w:p>
        </w:tc>
      </w:tr>
    </w:tbl>
    <w:p w14:paraId="492A9DBA" w14:textId="1616CDB3" w:rsidR="00A134C9" w:rsidRPr="00404AD7" w:rsidRDefault="00A134C9" w:rsidP="002E00F0">
      <w:pPr>
        <w:pStyle w:val="FootnoteText"/>
        <w:tabs>
          <w:tab w:val="clear" w:pos="418"/>
          <w:tab w:val="right" w:pos="1476"/>
          <w:tab w:val="left" w:pos="1548"/>
          <w:tab w:val="right" w:pos="1836"/>
          <w:tab w:val="left" w:pos="1908"/>
        </w:tabs>
        <w:spacing w:line="120" w:lineRule="exact"/>
        <w:ind w:left="1123" w:right="1267" w:firstLine="0"/>
        <w:rPr>
          <w:sz w:val="10"/>
        </w:rPr>
      </w:pPr>
    </w:p>
    <w:p w14:paraId="03DE1430" w14:textId="04013F37" w:rsidR="002E00F0" w:rsidRPr="00404AD7" w:rsidRDefault="00787DCC" w:rsidP="00787DCC">
      <w:pPr>
        <w:pStyle w:val="FootnoteText"/>
        <w:tabs>
          <w:tab w:val="clear" w:pos="418"/>
          <w:tab w:val="right" w:pos="1476"/>
          <w:tab w:val="left" w:pos="1548"/>
          <w:tab w:val="right" w:pos="1836"/>
          <w:tab w:val="left" w:pos="1908"/>
        </w:tabs>
        <w:ind w:left="1548" w:right="1267" w:hanging="423"/>
      </w:pPr>
      <w:r w:rsidRPr="00404AD7">
        <w:rPr>
          <w:i/>
          <w:iCs/>
        </w:rPr>
        <w:t>Source</w:t>
      </w:r>
      <w:r w:rsidRPr="00404AD7">
        <w:t>: Statistics Estonia</w:t>
      </w:r>
    </w:p>
    <w:p w14:paraId="3EE2C9D1" w14:textId="1DC63E19" w:rsidR="00787DCC" w:rsidRPr="00404AD7" w:rsidRDefault="00787DCC" w:rsidP="00762F98">
      <w:pPr>
        <w:pStyle w:val="FootnoteText"/>
        <w:tabs>
          <w:tab w:val="clear" w:pos="418"/>
          <w:tab w:val="right" w:pos="1476"/>
          <w:tab w:val="left" w:pos="1548"/>
          <w:tab w:val="right" w:pos="1836"/>
          <w:tab w:val="left" w:pos="1908"/>
        </w:tabs>
        <w:spacing w:line="120" w:lineRule="exact"/>
        <w:ind w:left="1548" w:right="1267" w:hanging="423"/>
        <w:rPr>
          <w:sz w:val="10"/>
        </w:rPr>
      </w:pPr>
    </w:p>
    <w:p w14:paraId="5948F94E" w14:textId="5F911654" w:rsidR="00762F98" w:rsidRPr="00404AD7" w:rsidRDefault="00762F98" w:rsidP="00762F98">
      <w:pPr>
        <w:pStyle w:val="FootnoteText"/>
        <w:tabs>
          <w:tab w:val="clear" w:pos="418"/>
          <w:tab w:val="right" w:pos="1476"/>
          <w:tab w:val="left" w:pos="1548"/>
          <w:tab w:val="right" w:pos="1836"/>
          <w:tab w:val="left" w:pos="1908"/>
        </w:tabs>
        <w:spacing w:line="120" w:lineRule="exact"/>
        <w:ind w:left="1548" w:right="1267" w:hanging="423"/>
        <w:rPr>
          <w:sz w:val="10"/>
        </w:rPr>
      </w:pPr>
    </w:p>
    <w:p w14:paraId="5C126B0E" w14:textId="4D81857C" w:rsidR="00762F98" w:rsidRPr="00404AD7" w:rsidRDefault="00084076" w:rsidP="00787DCC">
      <w:pPr>
        <w:pStyle w:val="FootnoteText"/>
        <w:tabs>
          <w:tab w:val="clear" w:pos="418"/>
          <w:tab w:val="right" w:pos="1476"/>
          <w:tab w:val="left" w:pos="1548"/>
          <w:tab w:val="right" w:pos="1836"/>
          <w:tab w:val="left" w:pos="1908"/>
        </w:tabs>
        <w:ind w:left="1548" w:right="1267" w:hanging="423"/>
        <w:rPr>
          <w:b/>
          <w:bCs/>
        </w:rPr>
      </w:pPr>
      <w:bookmarkStart w:id="68" w:name="_Toc108692436"/>
      <w:r w:rsidRPr="00404AD7">
        <w:rPr>
          <w:b/>
          <w:bCs/>
        </w:rPr>
        <w:t>Table: Disability free life expectancy by sex and nationality, 2016-2020, years</w:t>
      </w:r>
      <w:bookmarkEnd w:id="68"/>
    </w:p>
    <w:p w14:paraId="7CEAB59E" w14:textId="53466ADA" w:rsidR="00084076" w:rsidRPr="00404AD7" w:rsidRDefault="00084076" w:rsidP="00084076">
      <w:pPr>
        <w:pStyle w:val="FootnoteText"/>
        <w:tabs>
          <w:tab w:val="clear" w:pos="418"/>
          <w:tab w:val="right" w:pos="1476"/>
          <w:tab w:val="left" w:pos="1548"/>
          <w:tab w:val="right" w:pos="1836"/>
          <w:tab w:val="left" w:pos="1908"/>
        </w:tabs>
        <w:spacing w:line="120" w:lineRule="exact"/>
        <w:ind w:left="1548" w:right="1267" w:hanging="423"/>
        <w:rPr>
          <w:b/>
          <w:bCs/>
          <w:sz w:val="10"/>
        </w:rPr>
      </w:pPr>
    </w:p>
    <w:p w14:paraId="4F7E2228" w14:textId="34F14720" w:rsidR="00084076" w:rsidRPr="00404AD7" w:rsidRDefault="00084076" w:rsidP="00084076">
      <w:pPr>
        <w:pStyle w:val="FootnoteText"/>
        <w:tabs>
          <w:tab w:val="clear" w:pos="418"/>
          <w:tab w:val="right" w:pos="1476"/>
          <w:tab w:val="left" w:pos="1548"/>
          <w:tab w:val="right" w:pos="1836"/>
          <w:tab w:val="left" w:pos="1908"/>
        </w:tabs>
        <w:spacing w:line="120" w:lineRule="exact"/>
        <w:ind w:left="1548" w:right="1267" w:hanging="423"/>
        <w:rPr>
          <w:sz w:val="10"/>
        </w:rPr>
      </w:pPr>
    </w:p>
    <w:tbl>
      <w:tblPr>
        <w:tblW w:w="7370" w:type="dxa"/>
        <w:tblInd w:w="1134" w:type="dxa"/>
        <w:tblLayout w:type="fixed"/>
        <w:tblCellMar>
          <w:left w:w="0" w:type="dxa"/>
          <w:right w:w="0" w:type="dxa"/>
        </w:tblCellMar>
        <w:tblLook w:val="04A0" w:firstRow="1" w:lastRow="0" w:firstColumn="1" w:lastColumn="0" w:noHBand="0" w:noVBand="1"/>
      </w:tblPr>
      <w:tblGrid>
        <w:gridCol w:w="1468"/>
        <w:gridCol w:w="2966"/>
        <w:gridCol w:w="1468"/>
        <w:gridCol w:w="1468"/>
      </w:tblGrid>
      <w:tr w:rsidR="000B4276" w:rsidRPr="00404AD7" w14:paraId="04FA0B6E" w14:textId="77777777" w:rsidTr="00E53FC8">
        <w:trPr>
          <w:tblHeader/>
        </w:trPr>
        <w:tc>
          <w:tcPr>
            <w:tcW w:w="1468" w:type="dxa"/>
            <w:tcBorders>
              <w:top w:val="single" w:sz="4" w:space="0" w:color="auto"/>
              <w:bottom w:val="single" w:sz="12" w:space="0" w:color="auto"/>
            </w:tcBorders>
            <w:shd w:val="clear" w:color="auto" w:fill="auto"/>
            <w:noWrap/>
            <w:vAlign w:val="bottom"/>
            <w:hideMark/>
          </w:tcPr>
          <w:p w14:paraId="4F5E778E" w14:textId="77777777" w:rsidR="000B4276" w:rsidRPr="00404AD7" w:rsidRDefault="000B4276" w:rsidP="00E53FC8">
            <w:pPr>
              <w:suppressAutoHyphens w:val="0"/>
              <w:spacing w:before="80" w:after="80" w:line="200" w:lineRule="exact"/>
              <w:rPr>
                <w:i/>
                <w:sz w:val="16"/>
                <w:lang w:eastAsia="et-EE"/>
              </w:rPr>
            </w:pPr>
            <w:r w:rsidRPr="00404AD7">
              <w:rPr>
                <w:i/>
                <w:sz w:val="16"/>
                <w:lang w:eastAsia="et-EE"/>
              </w:rPr>
              <w:t> </w:t>
            </w:r>
          </w:p>
        </w:tc>
        <w:tc>
          <w:tcPr>
            <w:tcW w:w="2966" w:type="dxa"/>
            <w:tcBorders>
              <w:top w:val="single" w:sz="4" w:space="0" w:color="auto"/>
              <w:bottom w:val="single" w:sz="12" w:space="0" w:color="auto"/>
            </w:tcBorders>
            <w:shd w:val="clear" w:color="auto" w:fill="auto"/>
            <w:noWrap/>
            <w:vAlign w:val="bottom"/>
            <w:hideMark/>
          </w:tcPr>
          <w:p w14:paraId="761D6603" w14:textId="77777777" w:rsidR="000B4276" w:rsidRPr="00404AD7" w:rsidRDefault="000B4276" w:rsidP="00E53FC8">
            <w:pPr>
              <w:suppressAutoHyphens w:val="0"/>
              <w:spacing w:before="80" w:after="80" w:line="200" w:lineRule="exact"/>
              <w:jc w:val="right"/>
              <w:rPr>
                <w:i/>
                <w:sz w:val="16"/>
                <w:lang w:eastAsia="et-EE"/>
              </w:rPr>
            </w:pPr>
            <w:r w:rsidRPr="00404AD7">
              <w:rPr>
                <w:i/>
                <w:sz w:val="16"/>
                <w:lang w:eastAsia="et-EE"/>
              </w:rPr>
              <w:t> </w:t>
            </w:r>
          </w:p>
        </w:tc>
        <w:tc>
          <w:tcPr>
            <w:tcW w:w="1468" w:type="dxa"/>
            <w:tcBorders>
              <w:top w:val="single" w:sz="4" w:space="0" w:color="auto"/>
              <w:bottom w:val="single" w:sz="12" w:space="0" w:color="auto"/>
            </w:tcBorders>
            <w:shd w:val="clear" w:color="auto" w:fill="auto"/>
            <w:noWrap/>
            <w:vAlign w:val="bottom"/>
            <w:hideMark/>
          </w:tcPr>
          <w:p w14:paraId="60DF82B7" w14:textId="77777777" w:rsidR="000B4276" w:rsidRPr="00404AD7" w:rsidRDefault="000B4276" w:rsidP="00E53FC8">
            <w:pPr>
              <w:suppressAutoHyphens w:val="0"/>
              <w:spacing w:before="80" w:after="80" w:line="200" w:lineRule="exact"/>
              <w:jc w:val="right"/>
              <w:rPr>
                <w:i/>
                <w:sz w:val="16"/>
                <w:lang w:eastAsia="et-EE"/>
              </w:rPr>
            </w:pPr>
            <w:r w:rsidRPr="00404AD7">
              <w:rPr>
                <w:i/>
                <w:sz w:val="16"/>
                <w:lang w:eastAsia="et-EE"/>
              </w:rPr>
              <w:t>Men</w:t>
            </w:r>
          </w:p>
        </w:tc>
        <w:tc>
          <w:tcPr>
            <w:tcW w:w="1468" w:type="dxa"/>
            <w:tcBorders>
              <w:top w:val="single" w:sz="4" w:space="0" w:color="auto"/>
              <w:bottom w:val="single" w:sz="12" w:space="0" w:color="auto"/>
            </w:tcBorders>
            <w:shd w:val="clear" w:color="auto" w:fill="auto"/>
            <w:noWrap/>
            <w:vAlign w:val="bottom"/>
            <w:hideMark/>
          </w:tcPr>
          <w:p w14:paraId="79A6899B" w14:textId="77777777" w:rsidR="000B4276" w:rsidRPr="00404AD7" w:rsidRDefault="000B4276" w:rsidP="00E53FC8">
            <w:pPr>
              <w:suppressAutoHyphens w:val="0"/>
              <w:spacing w:before="80" w:after="80" w:line="200" w:lineRule="exact"/>
              <w:jc w:val="right"/>
              <w:rPr>
                <w:i/>
                <w:sz w:val="16"/>
                <w:lang w:eastAsia="et-EE"/>
              </w:rPr>
            </w:pPr>
            <w:r w:rsidRPr="00404AD7">
              <w:rPr>
                <w:i/>
                <w:sz w:val="16"/>
                <w:lang w:eastAsia="et-EE"/>
              </w:rPr>
              <w:t>Women</w:t>
            </w:r>
          </w:p>
        </w:tc>
      </w:tr>
      <w:tr w:rsidR="000B4276" w:rsidRPr="00404AD7" w14:paraId="0343D205" w14:textId="77777777" w:rsidTr="00E53FC8">
        <w:tc>
          <w:tcPr>
            <w:tcW w:w="1468" w:type="dxa"/>
            <w:vMerge w:val="restart"/>
            <w:tcBorders>
              <w:top w:val="single" w:sz="12" w:space="0" w:color="auto"/>
            </w:tcBorders>
            <w:shd w:val="clear" w:color="auto" w:fill="auto"/>
            <w:noWrap/>
            <w:hideMark/>
          </w:tcPr>
          <w:p w14:paraId="079521DA" w14:textId="77777777" w:rsidR="000B4276" w:rsidRPr="00404AD7" w:rsidRDefault="000B4276" w:rsidP="00E53FC8">
            <w:pPr>
              <w:suppressAutoHyphens w:val="0"/>
              <w:spacing w:before="40" w:after="40" w:line="220" w:lineRule="exact"/>
              <w:rPr>
                <w:bCs/>
                <w:sz w:val="18"/>
                <w:lang w:eastAsia="et-EE"/>
              </w:rPr>
            </w:pPr>
            <w:r w:rsidRPr="00404AD7">
              <w:rPr>
                <w:bCs/>
                <w:sz w:val="18"/>
                <w:lang w:eastAsia="et-EE"/>
              </w:rPr>
              <w:t>2016</w:t>
            </w:r>
          </w:p>
        </w:tc>
        <w:tc>
          <w:tcPr>
            <w:tcW w:w="2966" w:type="dxa"/>
            <w:tcBorders>
              <w:top w:val="single" w:sz="12" w:space="0" w:color="auto"/>
            </w:tcBorders>
            <w:shd w:val="clear" w:color="auto" w:fill="auto"/>
            <w:noWrap/>
            <w:vAlign w:val="bottom"/>
            <w:hideMark/>
          </w:tcPr>
          <w:p w14:paraId="7F406615" w14:textId="77777777" w:rsidR="000B4276" w:rsidRPr="00404AD7" w:rsidRDefault="000B4276" w:rsidP="00E53FC8">
            <w:pPr>
              <w:suppressAutoHyphens w:val="0"/>
              <w:spacing w:before="40" w:after="40" w:line="220" w:lineRule="exact"/>
              <w:jc w:val="right"/>
              <w:rPr>
                <w:bCs/>
                <w:sz w:val="18"/>
                <w:lang w:eastAsia="et-EE"/>
              </w:rPr>
            </w:pPr>
            <w:r w:rsidRPr="00404AD7">
              <w:rPr>
                <w:bCs/>
                <w:sz w:val="18"/>
                <w:lang w:eastAsia="et-EE"/>
              </w:rPr>
              <w:t>Estonians</w:t>
            </w:r>
          </w:p>
        </w:tc>
        <w:tc>
          <w:tcPr>
            <w:tcW w:w="1468" w:type="dxa"/>
            <w:tcBorders>
              <w:top w:val="single" w:sz="12" w:space="0" w:color="auto"/>
            </w:tcBorders>
            <w:shd w:val="clear" w:color="auto" w:fill="auto"/>
            <w:noWrap/>
            <w:vAlign w:val="bottom"/>
            <w:hideMark/>
          </w:tcPr>
          <w:p w14:paraId="6499352E"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55,04</w:t>
            </w:r>
          </w:p>
        </w:tc>
        <w:tc>
          <w:tcPr>
            <w:tcW w:w="1468" w:type="dxa"/>
            <w:tcBorders>
              <w:top w:val="single" w:sz="12" w:space="0" w:color="auto"/>
            </w:tcBorders>
            <w:shd w:val="clear" w:color="auto" w:fill="auto"/>
            <w:noWrap/>
            <w:vAlign w:val="bottom"/>
            <w:hideMark/>
          </w:tcPr>
          <w:p w14:paraId="649A01CC"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60,91</w:t>
            </w:r>
          </w:p>
        </w:tc>
      </w:tr>
      <w:tr w:rsidR="000B4276" w:rsidRPr="00404AD7" w14:paraId="69A00E28" w14:textId="77777777" w:rsidTr="00E53FC8">
        <w:tc>
          <w:tcPr>
            <w:tcW w:w="1468" w:type="dxa"/>
            <w:vMerge/>
            <w:shd w:val="clear" w:color="auto" w:fill="auto"/>
            <w:hideMark/>
          </w:tcPr>
          <w:p w14:paraId="5BDCB44D" w14:textId="77777777" w:rsidR="000B4276" w:rsidRPr="00404AD7" w:rsidRDefault="000B4276" w:rsidP="00E53FC8">
            <w:pPr>
              <w:suppressAutoHyphens w:val="0"/>
              <w:spacing w:before="40" w:after="40" w:line="220" w:lineRule="exact"/>
              <w:rPr>
                <w:bCs/>
                <w:sz w:val="18"/>
                <w:lang w:eastAsia="et-EE"/>
              </w:rPr>
            </w:pPr>
          </w:p>
        </w:tc>
        <w:tc>
          <w:tcPr>
            <w:tcW w:w="2966" w:type="dxa"/>
            <w:shd w:val="clear" w:color="auto" w:fill="auto"/>
            <w:noWrap/>
            <w:vAlign w:val="bottom"/>
            <w:hideMark/>
          </w:tcPr>
          <w:p w14:paraId="3CFDC771" w14:textId="77777777" w:rsidR="000B4276" w:rsidRPr="00404AD7" w:rsidRDefault="000B4276" w:rsidP="00E53FC8">
            <w:pPr>
              <w:suppressAutoHyphens w:val="0"/>
              <w:spacing w:before="40" w:after="40" w:line="220" w:lineRule="exact"/>
              <w:jc w:val="right"/>
              <w:rPr>
                <w:bCs/>
                <w:sz w:val="18"/>
                <w:lang w:eastAsia="et-EE"/>
              </w:rPr>
            </w:pPr>
            <w:r w:rsidRPr="00404AD7">
              <w:rPr>
                <w:bCs/>
                <w:sz w:val="18"/>
                <w:lang w:eastAsia="et-EE"/>
              </w:rPr>
              <w:t>Non-Estonians</w:t>
            </w:r>
          </w:p>
        </w:tc>
        <w:tc>
          <w:tcPr>
            <w:tcW w:w="1468" w:type="dxa"/>
            <w:shd w:val="clear" w:color="auto" w:fill="auto"/>
            <w:noWrap/>
            <w:vAlign w:val="bottom"/>
            <w:hideMark/>
          </w:tcPr>
          <w:p w14:paraId="6ED8FFE2"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52,80</w:t>
            </w:r>
          </w:p>
        </w:tc>
        <w:tc>
          <w:tcPr>
            <w:tcW w:w="1468" w:type="dxa"/>
            <w:shd w:val="clear" w:color="auto" w:fill="auto"/>
            <w:noWrap/>
            <w:vAlign w:val="bottom"/>
            <w:hideMark/>
          </w:tcPr>
          <w:p w14:paraId="15DD6608"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54,73</w:t>
            </w:r>
          </w:p>
        </w:tc>
      </w:tr>
      <w:tr w:rsidR="000B4276" w:rsidRPr="00404AD7" w14:paraId="63EF138C" w14:textId="77777777" w:rsidTr="00E53FC8">
        <w:tc>
          <w:tcPr>
            <w:tcW w:w="1468" w:type="dxa"/>
            <w:vMerge w:val="restart"/>
            <w:shd w:val="clear" w:color="auto" w:fill="auto"/>
            <w:noWrap/>
            <w:hideMark/>
          </w:tcPr>
          <w:p w14:paraId="3C4BF8C9" w14:textId="77777777" w:rsidR="000B4276" w:rsidRPr="00404AD7" w:rsidRDefault="000B4276" w:rsidP="00E53FC8">
            <w:pPr>
              <w:suppressAutoHyphens w:val="0"/>
              <w:spacing w:before="40" w:after="40" w:line="220" w:lineRule="exact"/>
              <w:rPr>
                <w:bCs/>
                <w:sz w:val="18"/>
                <w:lang w:eastAsia="et-EE"/>
              </w:rPr>
            </w:pPr>
            <w:r w:rsidRPr="00404AD7">
              <w:rPr>
                <w:bCs/>
                <w:sz w:val="18"/>
                <w:lang w:eastAsia="et-EE"/>
              </w:rPr>
              <w:t>2017</w:t>
            </w:r>
          </w:p>
        </w:tc>
        <w:tc>
          <w:tcPr>
            <w:tcW w:w="2966" w:type="dxa"/>
            <w:shd w:val="clear" w:color="auto" w:fill="auto"/>
            <w:noWrap/>
            <w:vAlign w:val="bottom"/>
            <w:hideMark/>
          </w:tcPr>
          <w:p w14:paraId="49941235" w14:textId="77777777" w:rsidR="000B4276" w:rsidRPr="00404AD7" w:rsidRDefault="000B4276" w:rsidP="00E53FC8">
            <w:pPr>
              <w:suppressAutoHyphens w:val="0"/>
              <w:spacing w:before="40" w:after="40" w:line="220" w:lineRule="exact"/>
              <w:jc w:val="right"/>
              <w:rPr>
                <w:bCs/>
                <w:sz w:val="18"/>
                <w:lang w:eastAsia="et-EE"/>
              </w:rPr>
            </w:pPr>
            <w:r w:rsidRPr="00404AD7">
              <w:rPr>
                <w:bCs/>
                <w:sz w:val="18"/>
                <w:lang w:eastAsia="et-EE"/>
              </w:rPr>
              <w:t>Estonians</w:t>
            </w:r>
          </w:p>
        </w:tc>
        <w:tc>
          <w:tcPr>
            <w:tcW w:w="1468" w:type="dxa"/>
            <w:shd w:val="clear" w:color="auto" w:fill="auto"/>
            <w:noWrap/>
            <w:vAlign w:val="bottom"/>
            <w:hideMark/>
          </w:tcPr>
          <w:p w14:paraId="508B5744"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54,74</w:t>
            </w:r>
          </w:p>
        </w:tc>
        <w:tc>
          <w:tcPr>
            <w:tcW w:w="1468" w:type="dxa"/>
            <w:shd w:val="clear" w:color="auto" w:fill="auto"/>
            <w:noWrap/>
            <w:vAlign w:val="bottom"/>
            <w:hideMark/>
          </w:tcPr>
          <w:p w14:paraId="0C9FA7A5"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58,73</w:t>
            </w:r>
          </w:p>
        </w:tc>
      </w:tr>
      <w:tr w:rsidR="000B4276" w:rsidRPr="00404AD7" w14:paraId="59672725" w14:textId="77777777" w:rsidTr="00E53FC8">
        <w:tc>
          <w:tcPr>
            <w:tcW w:w="1468" w:type="dxa"/>
            <w:vMerge/>
            <w:shd w:val="clear" w:color="auto" w:fill="auto"/>
            <w:hideMark/>
          </w:tcPr>
          <w:p w14:paraId="65CDBAF2" w14:textId="77777777" w:rsidR="000B4276" w:rsidRPr="00404AD7" w:rsidRDefault="000B4276" w:rsidP="00E53FC8">
            <w:pPr>
              <w:suppressAutoHyphens w:val="0"/>
              <w:spacing w:before="40" w:after="40" w:line="220" w:lineRule="exact"/>
              <w:rPr>
                <w:bCs/>
                <w:sz w:val="18"/>
                <w:lang w:eastAsia="et-EE"/>
              </w:rPr>
            </w:pPr>
          </w:p>
        </w:tc>
        <w:tc>
          <w:tcPr>
            <w:tcW w:w="2966" w:type="dxa"/>
            <w:shd w:val="clear" w:color="auto" w:fill="auto"/>
            <w:noWrap/>
            <w:vAlign w:val="bottom"/>
            <w:hideMark/>
          </w:tcPr>
          <w:p w14:paraId="2089D4FF" w14:textId="77777777" w:rsidR="000B4276" w:rsidRPr="00404AD7" w:rsidRDefault="000B4276" w:rsidP="00E53FC8">
            <w:pPr>
              <w:suppressAutoHyphens w:val="0"/>
              <w:spacing w:before="40" w:after="40" w:line="220" w:lineRule="exact"/>
              <w:jc w:val="right"/>
              <w:rPr>
                <w:bCs/>
                <w:sz w:val="18"/>
                <w:lang w:eastAsia="et-EE"/>
              </w:rPr>
            </w:pPr>
            <w:r w:rsidRPr="00404AD7">
              <w:rPr>
                <w:bCs/>
                <w:sz w:val="18"/>
                <w:lang w:eastAsia="et-EE"/>
              </w:rPr>
              <w:t>Non-Estonians</w:t>
            </w:r>
          </w:p>
        </w:tc>
        <w:tc>
          <w:tcPr>
            <w:tcW w:w="1468" w:type="dxa"/>
            <w:shd w:val="clear" w:color="auto" w:fill="auto"/>
            <w:noWrap/>
            <w:vAlign w:val="bottom"/>
            <w:hideMark/>
          </w:tcPr>
          <w:p w14:paraId="62BCF082"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53,14</w:t>
            </w:r>
          </w:p>
        </w:tc>
        <w:tc>
          <w:tcPr>
            <w:tcW w:w="1468" w:type="dxa"/>
            <w:shd w:val="clear" w:color="auto" w:fill="auto"/>
            <w:noWrap/>
            <w:vAlign w:val="bottom"/>
            <w:hideMark/>
          </w:tcPr>
          <w:p w14:paraId="05639C13"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53,70</w:t>
            </w:r>
          </w:p>
        </w:tc>
      </w:tr>
      <w:tr w:rsidR="000B4276" w:rsidRPr="00404AD7" w14:paraId="56604653" w14:textId="77777777" w:rsidTr="00E53FC8">
        <w:tc>
          <w:tcPr>
            <w:tcW w:w="1468" w:type="dxa"/>
            <w:vMerge w:val="restart"/>
            <w:shd w:val="clear" w:color="auto" w:fill="auto"/>
            <w:noWrap/>
            <w:hideMark/>
          </w:tcPr>
          <w:p w14:paraId="655590A7" w14:textId="77777777" w:rsidR="000B4276" w:rsidRPr="00404AD7" w:rsidRDefault="000B4276" w:rsidP="00E53FC8">
            <w:pPr>
              <w:suppressAutoHyphens w:val="0"/>
              <w:spacing w:before="40" w:after="40" w:line="220" w:lineRule="exact"/>
              <w:rPr>
                <w:bCs/>
                <w:sz w:val="18"/>
                <w:lang w:eastAsia="et-EE"/>
              </w:rPr>
            </w:pPr>
            <w:r w:rsidRPr="00404AD7">
              <w:rPr>
                <w:bCs/>
                <w:sz w:val="18"/>
                <w:lang w:eastAsia="et-EE"/>
              </w:rPr>
              <w:t>2018</w:t>
            </w:r>
          </w:p>
        </w:tc>
        <w:tc>
          <w:tcPr>
            <w:tcW w:w="2966" w:type="dxa"/>
            <w:shd w:val="clear" w:color="auto" w:fill="auto"/>
            <w:noWrap/>
            <w:vAlign w:val="bottom"/>
            <w:hideMark/>
          </w:tcPr>
          <w:p w14:paraId="1E9B4B2F" w14:textId="77777777" w:rsidR="000B4276" w:rsidRPr="00404AD7" w:rsidRDefault="000B4276" w:rsidP="00E53FC8">
            <w:pPr>
              <w:suppressAutoHyphens w:val="0"/>
              <w:spacing w:before="40" w:after="40" w:line="220" w:lineRule="exact"/>
              <w:jc w:val="right"/>
              <w:rPr>
                <w:bCs/>
                <w:sz w:val="18"/>
                <w:lang w:eastAsia="et-EE"/>
              </w:rPr>
            </w:pPr>
            <w:r w:rsidRPr="00404AD7">
              <w:rPr>
                <w:bCs/>
                <w:sz w:val="18"/>
                <w:lang w:eastAsia="et-EE"/>
              </w:rPr>
              <w:t>Estonians</w:t>
            </w:r>
          </w:p>
        </w:tc>
        <w:tc>
          <w:tcPr>
            <w:tcW w:w="1468" w:type="dxa"/>
            <w:shd w:val="clear" w:color="auto" w:fill="auto"/>
            <w:noWrap/>
            <w:vAlign w:val="bottom"/>
            <w:hideMark/>
          </w:tcPr>
          <w:p w14:paraId="46A00EDC"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52,36</w:t>
            </w:r>
          </w:p>
        </w:tc>
        <w:tc>
          <w:tcPr>
            <w:tcW w:w="1468" w:type="dxa"/>
            <w:shd w:val="clear" w:color="auto" w:fill="auto"/>
            <w:noWrap/>
            <w:vAlign w:val="bottom"/>
            <w:hideMark/>
          </w:tcPr>
          <w:p w14:paraId="0566DE06"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56,35</w:t>
            </w:r>
          </w:p>
        </w:tc>
      </w:tr>
      <w:tr w:rsidR="000B4276" w:rsidRPr="00404AD7" w14:paraId="1AF38636" w14:textId="77777777" w:rsidTr="00E53FC8">
        <w:tc>
          <w:tcPr>
            <w:tcW w:w="1468" w:type="dxa"/>
            <w:vMerge/>
            <w:shd w:val="clear" w:color="auto" w:fill="auto"/>
            <w:hideMark/>
          </w:tcPr>
          <w:p w14:paraId="4676B631" w14:textId="77777777" w:rsidR="000B4276" w:rsidRPr="00404AD7" w:rsidRDefault="000B4276" w:rsidP="00E53FC8">
            <w:pPr>
              <w:suppressAutoHyphens w:val="0"/>
              <w:spacing w:before="40" w:after="40" w:line="220" w:lineRule="exact"/>
              <w:rPr>
                <w:bCs/>
                <w:sz w:val="18"/>
                <w:lang w:eastAsia="et-EE"/>
              </w:rPr>
            </w:pPr>
          </w:p>
        </w:tc>
        <w:tc>
          <w:tcPr>
            <w:tcW w:w="2966" w:type="dxa"/>
            <w:shd w:val="clear" w:color="auto" w:fill="auto"/>
            <w:noWrap/>
            <w:vAlign w:val="bottom"/>
            <w:hideMark/>
          </w:tcPr>
          <w:p w14:paraId="5338600C" w14:textId="77777777" w:rsidR="000B4276" w:rsidRPr="00404AD7" w:rsidRDefault="000B4276" w:rsidP="00E53FC8">
            <w:pPr>
              <w:suppressAutoHyphens w:val="0"/>
              <w:spacing w:before="40" w:after="40" w:line="220" w:lineRule="exact"/>
              <w:jc w:val="right"/>
              <w:rPr>
                <w:bCs/>
                <w:sz w:val="18"/>
                <w:lang w:eastAsia="et-EE"/>
              </w:rPr>
            </w:pPr>
            <w:r w:rsidRPr="00404AD7">
              <w:rPr>
                <w:bCs/>
                <w:sz w:val="18"/>
                <w:lang w:eastAsia="et-EE"/>
              </w:rPr>
              <w:t>Non-Estonians</w:t>
            </w:r>
          </w:p>
        </w:tc>
        <w:tc>
          <w:tcPr>
            <w:tcW w:w="1468" w:type="dxa"/>
            <w:shd w:val="clear" w:color="auto" w:fill="auto"/>
            <w:noWrap/>
            <w:vAlign w:val="bottom"/>
            <w:hideMark/>
          </w:tcPr>
          <w:p w14:paraId="34C99BEE"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53,54</w:t>
            </w:r>
          </w:p>
        </w:tc>
        <w:tc>
          <w:tcPr>
            <w:tcW w:w="1468" w:type="dxa"/>
            <w:shd w:val="clear" w:color="auto" w:fill="auto"/>
            <w:noWrap/>
            <w:vAlign w:val="bottom"/>
            <w:hideMark/>
          </w:tcPr>
          <w:p w14:paraId="356FBEB2"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54,11</w:t>
            </w:r>
          </w:p>
        </w:tc>
      </w:tr>
      <w:tr w:rsidR="000B4276" w:rsidRPr="00404AD7" w14:paraId="2B23D04A" w14:textId="77777777" w:rsidTr="00E53FC8">
        <w:tc>
          <w:tcPr>
            <w:tcW w:w="1468" w:type="dxa"/>
            <w:vMerge w:val="restart"/>
            <w:shd w:val="clear" w:color="auto" w:fill="auto"/>
            <w:noWrap/>
            <w:hideMark/>
          </w:tcPr>
          <w:p w14:paraId="0B708D67" w14:textId="77777777" w:rsidR="000B4276" w:rsidRPr="00404AD7" w:rsidRDefault="000B4276" w:rsidP="00E53FC8">
            <w:pPr>
              <w:suppressAutoHyphens w:val="0"/>
              <w:spacing w:before="40" w:after="40" w:line="220" w:lineRule="exact"/>
              <w:rPr>
                <w:bCs/>
                <w:sz w:val="18"/>
                <w:lang w:eastAsia="et-EE"/>
              </w:rPr>
            </w:pPr>
            <w:r w:rsidRPr="00404AD7">
              <w:rPr>
                <w:bCs/>
                <w:sz w:val="18"/>
                <w:lang w:eastAsia="et-EE"/>
              </w:rPr>
              <w:t>2019</w:t>
            </w:r>
          </w:p>
        </w:tc>
        <w:tc>
          <w:tcPr>
            <w:tcW w:w="2966" w:type="dxa"/>
            <w:shd w:val="clear" w:color="auto" w:fill="auto"/>
            <w:noWrap/>
            <w:vAlign w:val="bottom"/>
            <w:hideMark/>
          </w:tcPr>
          <w:p w14:paraId="77ED5C57" w14:textId="77777777" w:rsidR="000B4276" w:rsidRPr="00404AD7" w:rsidRDefault="000B4276" w:rsidP="00E53FC8">
            <w:pPr>
              <w:suppressAutoHyphens w:val="0"/>
              <w:spacing w:before="40" w:after="40" w:line="220" w:lineRule="exact"/>
              <w:jc w:val="right"/>
              <w:rPr>
                <w:bCs/>
                <w:sz w:val="18"/>
                <w:lang w:eastAsia="et-EE"/>
              </w:rPr>
            </w:pPr>
            <w:r w:rsidRPr="00404AD7">
              <w:rPr>
                <w:bCs/>
                <w:sz w:val="18"/>
                <w:lang w:eastAsia="et-EE"/>
              </w:rPr>
              <w:t>Estonians</w:t>
            </w:r>
          </w:p>
        </w:tc>
        <w:tc>
          <w:tcPr>
            <w:tcW w:w="1468" w:type="dxa"/>
            <w:shd w:val="clear" w:color="auto" w:fill="auto"/>
            <w:noWrap/>
            <w:vAlign w:val="bottom"/>
            <w:hideMark/>
          </w:tcPr>
          <w:p w14:paraId="67FC7116"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53,50</w:t>
            </w:r>
          </w:p>
        </w:tc>
        <w:tc>
          <w:tcPr>
            <w:tcW w:w="1468" w:type="dxa"/>
            <w:shd w:val="clear" w:color="auto" w:fill="auto"/>
            <w:noWrap/>
            <w:vAlign w:val="bottom"/>
            <w:hideMark/>
          </w:tcPr>
          <w:p w14:paraId="5A8B4004"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58,94</w:t>
            </w:r>
          </w:p>
        </w:tc>
      </w:tr>
      <w:tr w:rsidR="000B4276" w:rsidRPr="00404AD7" w14:paraId="5FA535B1" w14:textId="77777777" w:rsidTr="00E53FC8">
        <w:tc>
          <w:tcPr>
            <w:tcW w:w="1468" w:type="dxa"/>
            <w:vMerge/>
            <w:shd w:val="clear" w:color="auto" w:fill="auto"/>
            <w:hideMark/>
          </w:tcPr>
          <w:p w14:paraId="17FA83DF" w14:textId="77777777" w:rsidR="000B4276" w:rsidRPr="00404AD7" w:rsidRDefault="000B4276" w:rsidP="00E53FC8">
            <w:pPr>
              <w:suppressAutoHyphens w:val="0"/>
              <w:spacing w:before="40" w:after="40" w:line="220" w:lineRule="exact"/>
              <w:rPr>
                <w:bCs/>
                <w:sz w:val="18"/>
                <w:lang w:eastAsia="et-EE"/>
              </w:rPr>
            </w:pPr>
          </w:p>
        </w:tc>
        <w:tc>
          <w:tcPr>
            <w:tcW w:w="2966" w:type="dxa"/>
            <w:shd w:val="clear" w:color="auto" w:fill="auto"/>
            <w:noWrap/>
            <w:vAlign w:val="bottom"/>
            <w:hideMark/>
          </w:tcPr>
          <w:p w14:paraId="00A1C574" w14:textId="77777777" w:rsidR="000B4276" w:rsidRPr="00404AD7" w:rsidRDefault="000B4276" w:rsidP="00E53FC8">
            <w:pPr>
              <w:suppressAutoHyphens w:val="0"/>
              <w:spacing w:before="40" w:after="40" w:line="220" w:lineRule="exact"/>
              <w:jc w:val="right"/>
              <w:rPr>
                <w:bCs/>
                <w:sz w:val="18"/>
                <w:lang w:eastAsia="et-EE"/>
              </w:rPr>
            </w:pPr>
            <w:r w:rsidRPr="00404AD7">
              <w:rPr>
                <w:bCs/>
                <w:sz w:val="18"/>
                <w:lang w:eastAsia="et-EE"/>
              </w:rPr>
              <w:t>Non-Estonians</w:t>
            </w:r>
          </w:p>
        </w:tc>
        <w:tc>
          <w:tcPr>
            <w:tcW w:w="1468" w:type="dxa"/>
            <w:shd w:val="clear" w:color="auto" w:fill="auto"/>
            <w:noWrap/>
            <w:vAlign w:val="bottom"/>
            <w:hideMark/>
          </w:tcPr>
          <w:p w14:paraId="59209289"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55,78</w:t>
            </w:r>
          </w:p>
        </w:tc>
        <w:tc>
          <w:tcPr>
            <w:tcW w:w="1468" w:type="dxa"/>
            <w:shd w:val="clear" w:color="auto" w:fill="auto"/>
            <w:noWrap/>
            <w:vAlign w:val="bottom"/>
            <w:hideMark/>
          </w:tcPr>
          <w:p w14:paraId="51A26FBB"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55,27</w:t>
            </w:r>
          </w:p>
        </w:tc>
      </w:tr>
      <w:tr w:rsidR="000B4276" w:rsidRPr="00404AD7" w14:paraId="0AC06F89" w14:textId="77777777" w:rsidTr="00E53FC8">
        <w:tc>
          <w:tcPr>
            <w:tcW w:w="1468" w:type="dxa"/>
            <w:vMerge w:val="restart"/>
            <w:shd w:val="clear" w:color="auto" w:fill="auto"/>
            <w:noWrap/>
            <w:hideMark/>
          </w:tcPr>
          <w:p w14:paraId="6009C28E" w14:textId="77777777" w:rsidR="000B4276" w:rsidRPr="00404AD7" w:rsidRDefault="000B4276" w:rsidP="00E53FC8">
            <w:pPr>
              <w:suppressAutoHyphens w:val="0"/>
              <w:spacing w:before="40" w:after="40" w:line="220" w:lineRule="exact"/>
              <w:rPr>
                <w:bCs/>
                <w:sz w:val="18"/>
                <w:lang w:eastAsia="et-EE"/>
              </w:rPr>
            </w:pPr>
            <w:r w:rsidRPr="00404AD7">
              <w:rPr>
                <w:bCs/>
                <w:sz w:val="18"/>
                <w:lang w:eastAsia="et-EE"/>
              </w:rPr>
              <w:t>2020</w:t>
            </w:r>
          </w:p>
        </w:tc>
        <w:tc>
          <w:tcPr>
            <w:tcW w:w="2966" w:type="dxa"/>
            <w:shd w:val="clear" w:color="auto" w:fill="auto"/>
            <w:noWrap/>
            <w:vAlign w:val="bottom"/>
            <w:hideMark/>
          </w:tcPr>
          <w:p w14:paraId="7179BA11" w14:textId="77777777" w:rsidR="000B4276" w:rsidRPr="00404AD7" w:rsidRDefault="000B4276" w:rsidP="00E53FC8">
            <w:pPr>
              <w:suppressAutoHyphens w:val="0"/>
              <w:spacing w:before="40" w:after="40" w:line="220" w:lineRule="exact"/>
              <w:jc w:val="right"/>
              <w:rPr>
                <w:bCs/>
                <w:sz w:val="18"/>
                <w:lang w:eastAsia="et-EE"/>
              </w:rPr>
            </w:pPr>
            <w:r w:rsidRPr="00404AD7">
              <w:rPr>
                <w:bCs/>
                <w:sz w:val="18"/>
                <w:lang w:eastAsia="et-EE"/>
              </w:rPr>
              <w:t>Estonians</w:t>
            </w:r>
          </w:p>
        </w:tc>
        <w:tc>
          <w:tcPr>
            <w:tcW w:w="1468" w:type="dxa"/>
            <w:shd w:val="clear" w:color="auto" w:fill="auto"/>
            <w:noWrap/>
            <w:vAlign w:val="bottom"/>
            <w:hideMark/>
          </w:tcPr>
          <w:p w14:paraId="65E42160"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55,34</w:t>
            </w:r>
          </w:p>
        </w:tc>
        <w:tc>
          <w:tcPr>
            <w:tcW w:w="1468" w:type="dxa"/>
            <w:shd w:val="clear" w:color="auto" w:fill="auto"/>
            <w:noWrap/>
            <w:vAlign w:val="bottom"/>
            <w:hideMark/>
          </w:tcPr>
          <w:p w14:paraId="7BE13BCF"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60,96</w:t>
            </w:r>
          </w:p>
        </w:tc>
      </w:tr>
      <w:tr w:rsidR="000B4276" w:rsidRPr="00404AD7" w14:paraId="17500E2F" w14:textId="77777777" w:rsidTr="00E53FC8">
        <w:tc>
          <w:tcPr>
            <w:tcW w:w="1468" w:type="dxa"/>
            <w:vMerge/>
            <w:tcBorders>
              <w:bottom w:val="single" w:sz="12" w:space="0" w:color="auto"/>
            </w:tcBorders>
            <w:shd w:val="clear" w:color="auto" w:fill="auto"/>
            <w:hideMark/>
          </w:tcPr>
          <w:p w14:paraId="13838DA6" w14:textId="77777777" w:rsidR="000B4276" w:rsidRPr="00404AD7" w:rsidRDefault="000B4276" w:rsidP="00E53FC8">
            <w:pPr>
              <w:suppressAutoHyphens w:val="0"/>
              <w:spacing w:before="40" w:after="40" w:line="220" w:lineRule="exact"/>
              <w:rPr>
                <w:bCs/>
                <w:sz w:val="18"/>
                <w:lang w:eastAsia="et-EE"/>
              </w:rPr>
            </w:pPr>
          </w:p>
        </w:tc>
        <w:tc>
          <w:tcPr>
            <w:tcW w:w="2966" w:type="dxa"/>
            <w:tcBorders>
              <w:bottom w:val="single" w:sz="12" w:space="0" w:color="auto"/>
            </w:tcBorders>
            <w:shd w:val="clear" w:color="auto" w:fill="auto"/>
            <w:noWrap/>
            <w:vAlign w:val="bottom"/>
            <w:hideMark/>
          </w:tcPr>
          <w:p w14:paraId="38DDD998" w14:textId="77777777" w:rsidR="000B4276" w:rsidRPr="00404AD7" w:rsidRDefault="000B4276" w:rsidP="00E53FC8">
            <w:pPr>
              <w:suppressAutoHyphens w:val="0"/>
              <w:spacing w:before="40" w:after="40" w:line="220" w:lineRule="exact"/>
              <w:jc w:val="right"/>
              <w:rPr>
                <w:bCs/>
                <w:sz w:val="18"/>
                <w:lang w:eastAsia="et-EE"/>
              </w:rPr>
            </w:pPr>
            <w:r w:rsidRPr="00404AD7">
              <w:rPr>
                <w:bCs/>
                <w:sz w:val="18"/>
                <w:lang w:eastAsia="et-EE"/>
              </w:rPr>
              <w:t>Non-Estonians</w:t>
            </w:r>
          </w:p>
        </w:tc>
        <w:tc>
          <w:tcPr>
            <w:tcW w:w="1468" w:type="dxa"/>
            <w:tcBorders>
              <w:bottom w:val="single" w:sz="12" w:space="0" w:color="auto"/>
            </w:tcBorders>
            <w:shd w:val="clear" w:color="auto" w:fill="auto"/>
            <w:noWrap/>
            <w:vAlign w:val="bottom"/>
            <w:hideMark/>
          </w:tcPr>
          <w:p w14:paraId="31F17037"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55,59</w:t>
            </w:r>
          </w:p>
        </w:tc>
        <w:tc>
          <w:tcPr>
            <w:tcW w:w="1468" w:type="dxa"/>
            <w:tcBorders>
              <w:bottom w:val="single" w:sz="12" w:space="0" w:color="auto"/>
            </w:tcBorders>
            <w:shd w:val="clear" w:color="auto" w:fill="auto"/>
            <w:noWrap/>
            <w:vAlign w:val="bottom"/>
            <w:hideMark/>
          </w:tcPr>
          <w:p w14:paraId="166AB936" w14:textId="77777777" w:rsidR="000B4276" w:rsidRPr="00404AD7" w:rsidRDefault="000B4276" w:rsidP="00E53FC8">
            <w:pPr>
              <w:suppressAutoHyphens w:val="0"/>
              <w:spacing w:before="40" w:after="40" w:line="220" w:lineRule="exact"/>
              <w:jc w:val="right"/>
              <w:rPr>
                <w:sz w:val="18"/>
                <w:lang w:eastAsia="et-EE"/>
              </w:rPr>
            </w:pPr>
            <w:r w:rsidRPr="00404AD7">
              <w:rPr>
                <w:sz w:val="18"/>
                <w:lang w:eastAsia="et-EE"/>
              </w:rPr>
              <w:t>56,29</w:t>
            </w:r>
          </w:p>
        </w:tc>
      </w:tr>
    </w:tbl>
    <w:p w14:paraId="2742745D" w14:textId="6AA2E243" w:rsidR="00084076" w:rsidRPr="00404AD7" w:rsidRDefault="00084076" w:rsidP="000B4276">
      <w:pPr>
        <w:pStyle w:val="FootnoteText"/>
        <w:tabs>
          <w:tab w:val="clear" w:pos="418"/>
          <w:tab w:val="right" w:pos="1476"/>
          <w:tab w:val="left" w:pos="1548"/>
          <w:tab w:val="right" w:pos="1836"/>
          <w:tab w:val="left" w:pos="1908"/>
        </w:tabs>
        <w:spacing w:line="120" w:lineRule="exact"/>
        <w:ind w:left="1548" w:right="1267" w:hanging="423"/>
        <w:rPr>
          <w:sz w:val="10"/>
        </w:rPr>
      </w:pPr>
    </w:p>
    <w:p w14:paraId="05CF138A" w14:textId="54B98A8B" w:rsidR="000B4276" w:rsidRPr="00404AD7" w:rsidRDefault="001C3299" w:rsidP="001C3299">
      <w:pPr>
        <w:pStyle w:val="FootnoteText"/>
        <w:tabs>
          <w:tab w:val="clear" w:pos="418"/>
          <w:tab w:val="right" w:pos="1476"/>
          <w:tab w:val="left" w:pos="1548"/>
          <w:tab w:val="right" w:pos="1836"/>
          <w:tab w:val="left" w:pos="1908"/>
        </w:tabs>
        <w:ind w:left="1548" w:right="1267" w:hanging="423"/>
      </w:pPr>
      <w:r w:rsidRPr="00404AD7">
        <w:rPr>
          <w:i/>
          <w:iCs/>
        </w:rPr>
        <w:t>Source</w:t>
      </w:r>
      <w:r w:rsidRPr="00404AD7">
        <w:t>: Statistics Estonia</w:t>
      </w:r>
    </w:p>
    <w:p w14:paraId="6D04DF51" w14:textId="6EF82B0C" w:rsidR="001C3299" w:rsidRPr="00404AD7" w:rsidRDefault="001C3299" w:rsidP="001C3299">
      <w:pPr>
        <w:pStyle w:val="FootnoteText"/>
        <w:tabs>
          <w:tab w:val="clear" w:pos="418"/>
          <w:tab w:val="right" w:pos="1476"/>
          <w:tab w:val="left" w:pos="1548"/>
          <w:tab w:val="right" w:pos="1836"/>
          <w:tab w:val="left" w:pos="1908"/>
        </w:tabs>
        <w:spacing w:line="120" w:lineRule="exact"/>
        <w:ind w:left="1548" w:right="1267" w:hanging="423"/>
        <w:rPr>
          <w:i/>
          <w:iCs/>
          <w:sz w:val="10"/>
        </w:rPr>
      </w:pPr>
    </w:p>
    <w:p w14:paraId="419858AE" w14:textId="0C8EE5A7" w:rsidR="001C3299" w:rsidRPr="00404AD7" w:rsidRDefault="001C3299" w:rsidP="001C3299">
      <w:pPr>
        <w:pStyle w:val="FootnoteText"/>
        <w:tabs>
          <w:tab w:val="clear" w:pos="418"/>
          <w:tab w:val="right" w:pos="1476"/>
          <w:tab w:val="left" w:pos="1548"/>
          <w:tab w:val="right" w:pos="1836"/>
          <w:tab w:val="left" w:pos="1908"/>
        </w:tabs>
        <w:spacing w:line="120" w:lineRule="exact"/>
        <w:ind w:left="1548" w:right="1267" w:hanging="423"/>
        <w:rPr>
          <w:sz w:val="10"/>
        </w:rPr>
      </w:pPr>
    </w:p>
    <w:p w14:paraId="610CF45C" w14:textId="3BC7449F" w:rsidR="001C3299" w:rsidRPr="00404AD7" w:rsidRDefault="008E249E" w:rsidP="001C3299">
      <w:pPr>
        <w:pStyle w:val="FootnoteText"/>
        <w:tabs>
          <w:tab w:val="clear" w:pos="418"/>
          <w:tab w:val="right" w:pos="1476"/>
          <w:tab w:val="left" w:pos="1548"/>
          <w:tab w:val="right" w:pos="1836"/>
          <w:tab w:val="left" w:pos="1908"/>
        </w:tabs>
        <w:ind w:left="1548" w:right="1267" w:hanging="423"/>
        <w:rPr>
          <w:b/>
          <w:bCs/>
        </w:rPr>
      </w:pPr>
      <w:bookmarkStart w:id="69" w:name="_Toc108692437"/>
      <w:r w:rsidRPr="00404AD7">
        <w:rPr>
          <w:b/>
          <w:bCs/>
        </w:rPr>
        <w:t>Table: Populations</w:t>
      </w:r>
      <w:r w:rsidR="006B00A5" w:rsidRPr="00404AD7">
        <w:rPr>
          <w:b/>
          <w:bCs/>
        </w:rPr>
        <w:t>’</w:t>
      </w:r>
      <w:r w:rsidRPr="00404AD7">
        <w:rPr>
          <w:b/>
          <w:bCs/>
        </w:rPr>
        <w:t xml:space="preserve"> health, self-assessment, by age and sex, 2016-2021, %</w:t>
      </w:r>
      <w:bookmarkEnd w:id="69"/>
    </w:p>
    <w:p w14:paraId="2957624E" w14:textId="18631CC3" w:rsidR="008E249E" w:rsidRPr="00404AD7" w:rsidRDefault="008E249E" w:rsidP="008E249E">
      <w:pPr>
        <w:pStyle w:val="FootnoteText"/>
        <w:tabs>
          <w:tab w:val="clear" w:pos="418"/>
          <w:tab w:val="right" w:pos="1476"/>
          <w:tab w:val="left" w:pos="1548"/>
          <w:tab w:val="right" w:pos="1836"/>
          <w:tab w:val="left" w:pos="1908"/>
        </w:tabs>
        <w:spacing w:line="120" w:lineRule="exact"/>
        <w:ind w:left="1548" w:right="1267" w:hanging="423"/>
        <w:rPr>
          <w:b/>
          <w:bCs/>
          <w:sz w:val="10"/>
        </w:rPr>
      </w:pPr>
    </w:p>
    <w:p w14:paraId="2D5310D3" w14:textId="66B93A07" w:rsidR="008E249E" w:rsidRPr="00404AD7" w:rsidRDefault="008E249E" w:rsidP="008E249E">
      <w:pPr>
        <w:pStyle w:val="FootnoteText"/>
        <w:tabs>
          <w:tab w:val="clear" w:pos="418"/>
          <w:tab w:val="right" w:pos="1476"/>
          <w:tab w:val="left" w:pos="1548"/>
          <w:tab w:val="right" w:pos="1836"/>
          <w:tab w:val="left" w:pos="1908"/>
        </w:tabs>
        <w:spacing w:line="120" w:lineRule="exact"/>
        <w:ind w:left="1548" w:right="1267" w:hanging="423"/>
        <w:rPr>
          <w:sz w:val="10"/>
        </w:rPr>
      </w:pPr>
    </w:p>
    <w:tbl>
      <w:tblPr>
        <w:tblW w:w="7370" w:type="dxa"/>
        <w:tblInd w:w="1134" w:type="dxa"/>
        <w:tblLayout w:type="fixed"/>
        <w:tblCellMar>
          <w:left w:w="0" w:type="dxa"/>
          <w:right w:w="0" w:type="dxa"/>
        </w:tblCellMar>
        <w:tblLook w:val="04A0" w:firstRow="1" w:lastRow="0" w:firstColumn="1" w:lastColumn="0" w:noHBand="0" w:noVBand="1"/>
      </w:tblPr>
      <w:tblGrid>
        <w:gridCol w:w="1859"/>
        <w:gridCol w:w="985"/>
        <w:gridCol w:w="378"/>
        <w:gridCol w:w="378"/>
        <w:gridCol w:w="377"/>
        <w:gridCol w:w="377"/>
        <w:gridCol w:w="377"/>
        <w:gridCol w:w="377"/>
        <w:gridCol w:w="377"/>
        <w:gridCol w:w="377"/>
        <w:gridCol w:w="377"/>
        <w:gridCol w:w="377"/>
        <w:gridCol w:w="377"/>
        <w:gridCol w:w="377"/>
      </w:tblGrid>
      <w:tr w:rsidR="00E90769" w:rsidRPr="00404AD7" w14:paraId="570145AB" w14:textId="77777777" w:rsidTr="00E53FC8">
        <w:trPr>
          <w:tblHeader/>
        </w:trPr>
        <w:tc>
          <w:tcPr>
            <w:tcW w:w="2298" w:type="dxa"/>
            <w:vMerge w:val="restart"/>
            <w:tcBorders>
              <w:top w:val="single" w:sz="4" w:space="0" w:color="auto"/>
              <w:bottom w:val="single" w:sz="12" w:space="0" w:color="auto"/>
            </w:tcBorders>
            <w:shd w:val="clear" w:color="auto" w:fill="auto"/>
            <w:noWrap/>
            <w:vAlign w:val="bottom"/>
            <w:hideMark/>
          </w:tcPr>
          <w:p w14:paraId="36ED29A2" w14:textId="77777777" w:rsidR="00E90769" w:rsidRPr="00404AD7" w:rsidRDefault="00E90769" w:rsidP="00E53FC8">
            <w:pPr>
              <w:suppressAutoHyphens w:val="0"/>
              <w:spacing w:before="80" w:after="80" w:line="200" w:lineRule="exact"/>
              <w:rPr>
                <w:i/>
                <w:sz w:val="16"/>
                <w:szCs w:val="18"/>
                <w:lang w:eastAsia="et-EE"/>
              </w:rPr>
            </w:pPr>
            <w:r w:rsidRPr="00404AD7">
              <w:rPr>
                <w:i/>
                <w:sz w:val="16"/>
                <w:szCs w:val="18"/>
                <w:lang w:eastAsia="et-EE"/>
              </w:rPr>
              <w:t> </w:t>
            </w:r>
          </w:p>
        </w:tc>
        <w:tc>
          <w:tcPr>
            <w:tcW w:w="3993" w:type="dxa"/>
            <w:gridSpan w:val="7"/>
            <w:tcBorders>
              <w:top w:val="single" w:sz="4" w:space="0" w:color="auto"/>
              <w:bottom w:val="single" w:sz="12" w:space="0" w:color="auto"/>
            </w:tcBorders>
            <w:shd w:val="clear" w:color="auto" w:fill="auto"/>
            <w:noWrap/>
            <w:vAlign w:val="bottom"/>
            <w:hideMark/>
          </w:tcPr>
          <w:p w14:paraId="4362F97A" w14:textId="77777777" w:rsidR="00E90769" w:rsidRPr="00404AD7" w:rsidRDefault="00E90769" w:rsidP="00E53FC8">
            <w:pPr>
              <w:suppressAutoHyphens w:val="0"/>
              <w:spacing w:before="80" w:after="80" w:line="200" w:lineRule="exact"/>
              <w:jc w:val="right"/>
              <w:rPr>
                <w:i/>
                <w:sz w:val="16"/>
                <w:szCs w:val="18"/>
                <w:lang w:eastAsia="et-EE"/>
              </w:rPr>
            </w:pPr>
            <w:r w:rsidRPr="00404AD7">
              <w:rPr>
                <w:i/>
                <w:sz w:val="16"/>
                <w:szCs w:val="18"/>
                <w:lang w:eastAsia="et-EE"/>
              </w:rPr>
              <w:t>Men</w:t>
            </w:r>
          </w:p>
        </w:tc>
        <w:tc>
          <w:tcPr>
            <w:tcW w:w="2778" w:type="dxa"/>
            <w:gridSpan w:val="6"/>
            <w:tcBorders>
              <w:top w:val="single" w:sz="4" w:space="0" w:color="auto"/>
              <w:bottom w:val="single" w:sz="12" w:space="0" w:color="auto"/>
            </w:tcBorders>
            <w:shd w:val="clear" w:color="auto" w:fill="auto"/>
            <w:noWrap/>
            <w:vAlign w:val="bottom"/>
            <w:hideMark/>
          </w:tcPr>
          <w:p w14:paraId="47099E0D" w14:textId="77777777" w:rsidR="00E90769" w:rsidRPr="00404AD7" w:rsidRDefault="00E90769" w:rsidP="00E53FC8">
            <w:pPr>
              <w:suppressAutoHyphens w:val="0"/>
              <w:spacing w:before="80" w:after="80" w:line="200" w:lineRule="exact"/>
              <w:jc w:val="right"/>
              <w:rPr>
                <w:i/>
                <w:sz w:val="16"/>
                <w:szCs w:val="18"/>
                <w:lang w:eastAsia="et-EE"/>
              </w:rPr>
            </w:pPr>
            <w:r w:rsidRPr="00404AD7">
              <w:rPr>
                <w:i/>
                <w:sz w:val="16"/>
                <w:szCs w:val="18"/>
                <w:lang w:eastAsia="et-EE"/>
              </w:rPr>
              <w:t>Women</w:t>
            </w:r>
          </w:p>
        </w:tc>
      </w:tr>
      <w:tr w:rsidR="00E90769" w:rsidRPr="00404AD7" w14:paraId="47432E42" w14:textId="77777777" w:rsidTr="00E53FC8">
        <w:trPr>
          <w:tblHeader/>
        </w:trPr>
        <w:tc>
          <w:tcPr>
            <w:tcW w:w="2298" w:type="dxa"/>
            <w:vMerge/>
            <w:tcBorders>
              <w:top w:val="single" w:sz="12" w:space="0" w:color="auto"/>
            </w:tcBorders>
            <w:shd w:val="clear" w:color="auto" w:fill="auto"/>
            <w:vAlign w:val="bottom"/>
            <w:hideMark/>
          </w:tcPr>
          <w:p w14:paraId="66DA8F01" w14:textId="77777777" w:rsidR="00E90769" w:rsidRPr="00404AD7" w:rsidRDefault="00E90769" w:rsidP="00E53FC8">
            <w:pPr>
              <w:suppressAutoHyphens w:val="0"/>
              <w:spacing w:before="40" w:after="40" w:line="220" w:lineRule="exact"/>
              <w:rPr>
                <w:sz w:val="18"/>
                <w:szCs w:val="18"/>
                <w:lang w:eastAsia="et-EE"/>
              </w:rPr>
            </w:pPr>
          </w:p>
        </w:tc>
        <w:tc>
          <w:tcPr>
            <w:tcW w:w="1215" w:type="dxa"/>
            <w:tcBorders>
              <w:top w:val="single" w:sz="12" w:space="0" w:color="auto"/>
            </w:tcBorders>
            <w:shd w:val="clear" w:color="auto" w:fill="auto"/>
            <w:noWrap/>
            <w:vAlign w:val="bottom"/>
            <w:hideMark/>
          </w:tcPr>
          <w:p w14:paraId="69AD0A0E"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 </w:t>
            </w:r>
          </w:p>
        </w:tc>
        <w:tc>
          <w:tcPr>
            <w:tcW w:w="463" w:type="dxa"/>
            <w:tcBorders>
              <w:top w:val="single" w:sz="12" w:space="0" w:color="auto"/>
            </w:tcBorders>
            <w:shd w:val="clear" w:color="auto" w:fill="auto"/>
            <w:noWrap/>
            <w:vAlign w:val="bottom"/>
            <w:hideMark/>
          </w:tcPr>
          <w:p w14:paraId="2E679C1F" w14:textId="77777777" w:rsidR="00E90769" w:rsidRPr="00EA0F80" w:rsidRDefault="00E90769" w:rsidP="00E53FC8">
            <w:pPr>
              <w:suppressAutoHyphens w:val="0"/>
              <w:spacing w:before="40" w:after="40" w:line="220" w:lineRule="exact"/>
              <w:jc w:val="right"/>
              <w:rPr>
                <w:b/>
                <w:sz w:val="17"/>
                <w:szCs w:val="17"/>
                <w:lang w:eastAsia="et-EE"/>
              </w:rPr>
            </w:pPr>
            <w:r w:rsidRPr="00EA0F80">
              <w:rPr>
                <w:b/>
                <w:sz w:val="17"/>
                <w:szCs w:val="17"/>
                <w:lang w:eastAsia="et-EE"/>
              </w:rPr>
              <w:t>2016</w:t>
            </w:r>
          </w:p>
        </w:tc>
        <w:tc>
          <w:tcPr>
            <w:tcW w:w="463" w:type="dxa"/>
            <w:tcBorders>
              <w:top w:val="single" w:sz="12" w:space="0" w:color="auto"/>
            </w:tcBorders>
            <w:shd w:val="clear" w:color="auto" w:fill="auto"/>
            <w:noWrap/>
            <w:vAlign w:val="bottom"/>
            <w:hideMark/>
          </w:tcPr>
          <w:p w14:paraId="57DD0D5A" w14:textId="77777777" w:rsidR="00E90769" w:rsidRPr="00EA0F80" w:rsidRDefault="00E90769" w:rsidP="00E53FC8">
            <w:pPr>
              <w:suppressAutoHyphens w:val="0"/>
              <w:spacing w:before="40" w:after="40" w:line="220" w:lineRule="exact"/>
              <w:jc w:val="right"/>
              <w:rPr>
                <w:b/>
                <w:sz w:val="17"/>
                <w:szCs w:val="17"/>
                <w:lang w:eastAsia="et-EE"/>
              </w:rPr>
            </w:pPr>
            <w:r w:rsidRPr="00EA0F80">
              <w:rPr>
                <w:b/>
                <w:sz w:val="17"/>
                <w:szCs w:val="17"/>
                <w:lang w:eastAsia="et-EE"/>
              </w:rPr>
              <w:t>2017</w:t>
            </w:r>
          </w:p>
        </w:tc>
        <w:tc>
          <w:tcPr>
            <w:tcW w:w="463" w:type="dxa"/>
            <w:tcBorders>
              <w:top w:val="single" w:sz="12" w:space="0" w:color="auto"/>
            </w:tcBorders>
            <w:shd w:val="clear" w:color="auto" w:fill="auto"/>
            <w:noWrap/>
            <w:vAlign w:val="bottom"/>
            <w:hideMark/>
          </w:tcPr>
          <w:p w14:paraId="56562975" w14:textId="77777777" w:rsidR="00E90769" w:rsidRPr="00EA0F80" w:rsidRDefault="00E90769" w:rsidP="00E53FC8">
            <w:pPr>
              <w:suppressAutoHyphens w:val="0"/>
              <w:spacing w:before="40" w:after="40" w:line="220" w:lineRule="exact"/>
              <w:jc w:val="right"/>
              <w:rPr>
                <w:b/>
                <w:sz w:val="17"/>
                <w:szCs w:val="17"/>
                <w:lang w:eastAsia="et-EE"/>
              </w:rPr>
            </w:pPr>
            <w:r w:rsidRPr="00EA0F80">
              <w:rPr>
                <w:b/>
                <w:sz w:val="17"/>
                <w:szCs w:val="17"/>
                <w:lang w:eastAsia="et-EE"/>
              </w:rPr>
              <w:t>2018</w:t>
            </w:r>
          </w:p>
        </w:tc>
        <w:tc>
          <w:tcPr>
            <w:tcW w:w="463" w:type="dxa"/>
            <w:tcBorders>
              <w:top w:val="single" w:sz="12" w:space="0" w:color="auto"/>
            </w:tcBorders>
            <w:shd w:val="clear" w:color="auto" w:fill="auto"/>
            <w:noWrap/>
            <w:vAlign w:val="bottom"/>
            <w:hideMark/>
          </w:tcPr>
          <w:p w14:paraId="42815FB2" w14:textId="77777777" w:rsidR="00E90769" w:rsidRPr="00EA0F80" w:rsidRDefault="00E90769" w:rsidP="00E53FC8">
            <w:pPr>
              <w:suppressAutoHyphens w:val="0"/>
              <w:spacing w:before="40" w:after="40" w:line="220" w:lineRule="exact"/>
              <w:jc w:val="right"/>
              <w:rPr>
                <w:b/>
                <w:sz w:val="17"/>
                <w:szCs w:val="17"/>
                <w:lang w:eastAsia="et-EE"/>
              </w:rPr>
            </w:pPr>
            <w:r w:rsidRPr="00EA0F80">
              <w:rPr>
                <w:b/>
                <w:sz w:val="17"/>
                <w:szCs w:val="17"/>
                <w:lang w:eastAsia="et-EE"/>
              </w:rPr>
              <w:t>2019</w:t>
            </w:r>
          </w:p>
        </w:tc>
        <w:tc>
          <w:tcPr>
            <w:tcW w:w="463" w:type="dxa"/>
            <w:tcBorders>
              <w:top w:val="single" w:sz="12" w:space="0" w:color="auto"/>
            </w:tcBorders>
            <w:shd w:val="clear" w:color="auto" w:fill="auto"/>
            <w:noWrap/>
            <w:vAlign w:val="bottom"/>
            <w:hideMark/>
          </w:tcPr>
          <w:p w14:paraId="7841029B" w14:textId="77777777" w:rsidR="00E90769" w:rsidRPr="00EA0F80" w:rsidRDefault="00E90769" w:rsidP="00E53FC8">
            <w:pPr>
              <w:suppressAutoHyphens w:val="0"/>
              <w:spacing w:before="40" w:after="40" w:line="220" w:lineRule="exact"/>
              <w:jc w:val="right"/>
              <w:rPr>
                <w:b/>
                <w:sz w:val="17"/>
                <w:szCs w:val="17"/>
                <w:lang w:eastAsia="et-EE"/>
              </w:rPr>
            </w:pPr>
            <w:r w:rsidRPr="00EA0F80">
              <w:rPr>
                <w:b/>
                <w:sz w:val="17"/>
                <w:szCs w:val="17"/>
                <w:lang w:eastAsia="et-EE"/>
              </w:rPr>
              <w:t>2020</w:t>
            </w:r>
          </w:p>
        </w:tc>
        <w:tc>
          <w:tcPr>
            <w:tcW w:w="463" w:type="dxa"/>
            <w:tcBorders>
              <w:top w:val="single" w:sz="12" w:space="0" w:color="auto"/>
            </w:tcBorders>
            <w:shd w:val="clear" w:color="auto" w:fill="auto"/>
            <w:noWrap/>
            <w:vAlign w:val="bottom"/>
            <w:hideMark/>
          </w:tcPr>
          <w:p w14:paraId="710DF76E" w14:textId="77777777" w:rsidR="00E90769" w:rsidRPr="00EA0F80" w:rsidRDefault="00E90769" w:rsidP="00E53FC8">
            <w:pPr>
              <w:suppressAutoHyphens w:val="0"/>
              <w:spacing w:before="40" w:after="40" w:line="220" w:lineRule="exact"/>
              <w:jc w:val="right"/>
              <w:rPr>
                <w:b/>
                <w:sz w:val="17"/>
                <w:szCs w:val="17"/>
                <w:lang w:eastAsia="et-EE"/>
              </w:rPr>
            </w:pPr>
            <w:r w:rsidRPr="00EA0F80">
              <w:rPr>
                <w:b/>
                <w:sz w:val="17"/>
                <w:szCs w:val="17"/>
                <w:lang w:eastAsia="et-EE"/>
              </w:rPr>
              <w:t>2021</w:t>
            </w:r>
          </w:p>
        </w:tc>
        <w:tc>
          <w:tcPr>
            <w:tcW w:w="463" w:type="dxa"/>
            <w:tcBorders>
              <w:top w:val="single" w:sz="12" w:space="0" w:color="auto"/>
            </w:tcBorders>
            <w:shd w:val="clear" w:color="auto" w:fill="auto"/>
            <w:noWrap/>
            <w:vAlign w:val="bottom"/>
            <w:hideMark/>
          </w:tcPr>
          <w:p w14:paraId="3FDA325E" w14:textId="77777777" w:rsidR="00E90769" w:rsidRPr="00EA0F80" w:rsidRDefault="00E90769" w:rsidP="00E53FC8">
            <w:pPr>
              <w:suppressAutoHyphens w:val="0"/>
              <w:spacing w:before="40" w:after="40" w:line="220" w:lineRule="exact"/>
              <w:jc w:val="right"/>
              <w:rPr>
                <w:b/>
                <w:sz w:val="17"/>
                <w:szCs w:val="17"/>
                <w:lang w:eastAsia="et-EE"/>
              </w:rPr>
            </w:pPr>
            <w:r w:rsidRPr="00EA0F80">
              <w:rPr>
                <w:b/>
                <w:sz w:val="17"/>
                <w:szCs w:val="17"/>
                <w:lang w:eastAsia="et-EE"/>
              </w:rPr>
              <w:t>2016</w:t>
            </w:r>
          </w:p>
        </w:tc>
        <w:tc>
          <w:tcPr>
            <w:tcW w:w="463" w:type="dxa"/>
            <w:tcBorders>
              <w:top w:val="single" w:sz="12" w:space="0" w:color="auto"/>
            </w:tcBorders>
            <w:shd w:val="clear" w:color="auto" w:fill="auto"/>
            <w:noWrap/>
            <w:vAlign w:val="bottom"/>
            <w:hideMark/>
          </w:tcPr>
          <w:p w14:paraId="30CB2048" w14:textId="77777777" w:rsidR="00E90769" w:rsidRPr="00EA0F80" w:rsidRDefault="00E90769" w:rsidP="00E53FC8">
            <w:pPr>
              <w:suppressAutoHyphens w:val="0"/>
              <w:spacing w:before="40" w:after="40" w:line="220" w:lineRule="exact"/>
              <w:jc w:val="right"/>
              <w:rPr>
                <w:b/>
                <w:sz w:val="17"/>
                <w:szCs w:val="17"/>
                <w:lang w:eastAsia="et-EE"/>
              </w:rPr>
            </w:pPr>
            <w:r w:rsidRPr="00EA0F80">
              <w:rPr>
                <w:b/>
                <w:sz w:val="17"/>
                <w:szCs w:val="17"/>
                <w:lang w:eastAsia="et-EE"/>
              </w:rPr>
              <w:t>2017</w:t>
            </w:r>
          </w:p>
        </w:tc>
        <w:tc>
          <w:tcPr>
            <w:tcW w:w="463" w:type="dxa"/>
            <w:tcBorders>
              <w:top w:val="single" w:sz="12" w:space="0" w:color="auto"/>
            </w:tcBorders>
            <w:shd w:val="clear" w:color="auto" w:fill="auto"/>
            <w:noWrap/>
            <w:vAlign w:val="bottom"/>
            <w:hideMark/>
          </w:tcPr>
          <w:p w14:paraId="7BA245B7" w14:textId="77777777" w:rsidR="00E90769" w:rsidRPr="00EA0F80" w:rsidRDefault="00E90769" w:rsidP="00E53FC8">
            <w:pPr>
              <w:suppressAutoHyphens w:val="0"/>
              <w:spacing w:before="40" w:after="40" w:line="220" w:lineRule="exact"/>
              <w:jc w:val="right"/>
              <w:rPr>
                <w:b/>
                <w:sz w:val="17"/>
                <w:szCs w:val="17"/>
                <w:lang w:eastAsia="et-EE"/>
              </w:rPr>
            </w:pPr>
            <w:r w:rsidRPr="00EA0F80">
              <w:rPr>
                <w:b/>
                <w:sz w:val="17"/>
                <w:szCs w:val="17"/>
                <w:lang w:eastAsia="et-EE"/>
              </w:rPr>
              <w:t>2018</w:t>
            </w:r>
          </w:p>
        </w:tc>
        <w:tc>
          <w:tcPr>
            <w:tcW w:w="463" w:type="dxa"/>
            <w:tcBorders>
              <w:top w:val="single" w:sz="12" w:space="0" w:color="auto"/>
            </w:tcBorders>
            <w:shd w:val="clear" w:color="auto" w:fill="auto"/>
            <w:noWrap/>
            <w:vAlign w:val="bottom"/>
            <w:hideMark/>
          </w:tcPr>
          <w:p w14:paraId="1B597C56" w14:textId="77777777" w:rsidR="00E90769" w:rsidRPr="00EA0F80" w:rsidRDefault="00E90769" w:rsidP="00E53FC8">
            <w:pPr>
              <w:suppressAutoHyphens w:val="0"/>
              <w:spacing w:before="40" w:after="40" w:line="220" w:lineRule="exact"/>
              <w:jc w:val="right"/>
              <w:rPr>
                <w:b/>
                <w:sz w:val="17"/>
                <w:szCs w:val="17"/>
                <w:lang w:eastAsia="et-EE"/>
              </w:rPr>
            </w:pPr>
            <w:r w:rsidRPr="00EA0F80">
              <w:rPr>
                <w:b/>
                <w:sz w:val="17"/>
                <w:szCs w:val="17"/>
                <w:lang w:eastAsia="et-EE"/>
              </w:rPr>
              <w:t>2019</w:t>
            </w:r>
          </w:p>
        </w:tc>
        <w:tc>
          <w:tcPr>
            <w:tcW w:w="463" w:type="dxa"/>
            <w:tcBorders>
              <w:top w:val="single" w:sz="12" w:space="0" w:color="auto"/>
            </w:tcBorders>
            <w:shd w:val="clear" w:color="auto" w:fill="auto"/>
            <w:noWrap/>
            <w:vAlign w:val="bottom"/>
            <w:hideMark/>
          </w:tcPr>
          <w:p w14:paraId="5303B6A6" w14:textId="77777777" w:rsidR="00E90769" w:rsidRPr="00EA0F80" w:rsidRDefault="00E90769" w:rsidP="00E53FC8">
            <w:pPr>
              <w:suppressAutoHyphens w:val="0"/>
              <w:spacing w:before="40" w:after="40" w:line="220" w:lineRule="exact"/>
              <w:jc w:val="right"/>
              <w:rPr>
                <w:b/>
                <w:sz w:val="17"/>
                <w:szCs w:val="17"/>
                <w:lang w:eastAsia="et-EE"/>
              </w:rPr>
            </w:pPr>
            <w:r w:rsidRPr="00EA0F80">
              <w:rPr>
                <w:b/>
                <w:sz w:val="17"/>
                <w:szCs w:val="17"/>
                <w:lang w:eastAsia="et-EE"/>
              </w:rPr>
              <w:t>2020</w:t>
            </w:r>
          </w:p>
        </w:tc>
        <w:tc>
          <w:tcPr>
            <w:tcW w:w="463" w:type="dxa"/>
            <w:tcBorders>
              <w:top w:val="single" w:sz="12" w:space="0" w:color="auto"/>
            </w:tcBorders>
            <w:shd w:val="clear" w:color="auto" w:fill="auto"/>
            <w:noWrap/>
            <w:vAlign w:val="bottom"/>
            <w:hideMark/>
          </w:tcPr>
          <w:p w14:paraId="5082DC1D" w14:textId="77777777" w:rsidR="00E90769" w:rsidRPr="00EA0F80" w:rsidRDefault="00E90769" w:rsidP="00E53FC8">
            <w:pPr>
              <w:suppressAutoHyphens w:val="0"/>
              <w:spacing w:before="40" w:after="40" w:line="220" w:lineRule="exact"/>
              <w:jc w:val="right"/>
              <w:rPr>
                <w:b/>
                <w:sz w:val="17"/>
                <w:szCs w:val="17"/>
                <w:lang w:eastAsia="et-EE"/>
              </w:rPr>
            </w:pPr>
            <w:r w:rsidRPr="00EA0F80">
              <w:rPr>
                <w:b/>
                <w:sz w:val="17"/>
                <w:szCs w:val="17"/>
                <w:lang w:eastAsia="et-EE"/>
              </w:rPr>
              <w:t>2021</w:t>
            </w:r>
          </w:p>
        </w:tc>
      </w:tr>
      <w:tr w:rsidR="00E90769" w:rsidRPr="00404AD7" w14:paraId="6AA541C9" w14:textId="77777777" w:rsidTr="00E53FC8">
        <w:tc>
          <w:tcPr>
            <w:tcW w:w="2298" w:type="dxa"/>
            <w:vMerge w:val="restart"/>
            <w:shd w:val="clear" w:color="auto" w:fill="auto"/>
            <w:noWrap/>
            <w:hideMark/>
          </w:tcPr>
          <w:p w14:paraId="77527F20" w14:textId="77777777" w:rsidR="00E90769" w:rsidRPr="00404AD7" w:rsidRDefault="00E90769" w:rsidP="00E53FC8">
            <w:pPr>
              <w:suppressAutoHyphens w:val="0"/>
              <w:spacing w:before="40" w:after="40" w:line="220" w:lineRule="exact"/>
              <w:rPr>
                <w:b/>
                <w:sz w:val="18"/>
                <w:lang w:eastAsia="et-EE"/>
              </w:rPr>
            </w:pPr>
            <w:r w:rsidRPr="00404AD7">
              <w:rPr>
                <w:b/>
                <w:sz w:val="18"/>
                <w:lang w:eastAsia="et-EE"/>
              </w:rPr>
              <w:t>Very good or good</w:t>
            </w:r>
          </w:p>
        </w:tc>
        <w:tc>
          <w:tcPr>
            <w:tcW w:w="1215" w:type="dxa"/>
            <w:shd w:val="clear" w:color="auto" w:fill="auto"/>
            <w:noWrap/>
            <w:vAlign w:val="bottom"/>
            <w:hideMark/>
          </w:tcPr>
          <w:p w14:paraId="32E3F712"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16-24</w:t>
            </w:r>
          </w:p>
        </w:tc>
        <w:tc>
          <w:tcPr>
            <w:tcW w:w="463" w:type="dxa"/>
            <w:shd w:val="clear" w:color="auto" w:fill="auto"/>
            <w:noWrap/>
            <w:vAlign w:val="bottom"/>
            <w:hideMark/>
          </w:tcPr>
          <w:p w14:paraId="6E8A3E8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84,5</w:t>
            </w:r>
          </w:p>
        </w:tc>
        <w:tc>
          <w:tcPr>
            <w:tcW w:w="463" w:type="dxa"/>
            <w:shd w:val="clear" w:color="auto" w:fill="auto"/>
            <w:noWrap/>
            <w:vAlign w:val="bottom"/>
            <w:hideMark/>
          </w:tcPr>
          <w:p w14:paraId="488DF52C"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85,6</w:t>
            </w:r>
          </w:p>
        </w:tc>
        <w:tc>
          <w:tcPr>
            <w:tcW w:w="463" w:type="dxa"/>
            <w:shd w:val="clear" w:color="auto" w:fill="auto"/>
            <w:noWrap/>
            <w:vAlign w:val="bottom"/>
            <w:hideMark/>
          </w:tcPr>
          <w:p w14:paraId="090365F0"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83,4</w:t>
            </w:r>
          </w:p>
        </w:tc>
        <w:tc>
          <w:tcPr>
            <w:tcW w:w="463" w:type="dxa"/>
            <w:shd w:val="clear" w:color="auto" w:fill="auto"/>
            <w:noWrap/>
            <w:vAlign w:val="bottom"/>
            <w:hideMark/>
          </w:tcPr>
          <w:p w14:paraId="626A7091"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87,3</w:t>
            </w:r>
          </w:p>
        </w:tc>
        <w:tc>
          <w:tcPr>
            <w:tcW w:w="463" w:type="dxa"/>
            <w:shd w:val="clear" w:color="auto" w:fill="auto"/>
            <w:noWrap/>
            <w:vAlign w:val="bottom"/>
            <w:hideMark/>
          </w:tcPr>
          <w:p w14:paraId="286D565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88,7</w:t>
            </w:r>
          </w:p>
        </w:tc>
        <w:tc>
          <w:tcPr>
            <w:tcW w:w="463" w:type="dxa"/>
            <w:shd w:val="clear" w:color="auto" w:fill="auto"/>
            <w:noWrap/>
            <w:vAlign w:val="bottom"/>
            <w:hideMark/>
          </w:tcPr>
          <w:p w14:paraId="05966ED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86,8</w:t>
            </w:r>
          </w:p>
        </w:tc>
        <w:tc>
          <w:tcPr>
            <w:tcW w:w="463" w:type="dxa"/>
            <w:shd w:val="clear" w:color="auto" w:fill="auto"/>
            <w:noWrap/>
            <w:vAlign w:val="bottom"/>
            <w:hideMark/>
          </w:tcPr>
          <w:p w14:paraId="77273E7D"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87,3</w:t>
            </w:r>
          </w:p>
        </w:tc>
        <w:tc>
          <w:tcPr>
            <w:tcW w:w="463" w:type="dxa"/>
            <w:shd w:val="clear" w:color="auto" w:fill="auto"/>
            <w:noWrap/>
            <w:vAlign w:val="bottom"/>
            <w:hideMark/>
          </w:tcPr>
          <w:p w14:paraId="37954270"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88,8</w:t>
            </w:r>
          </w:p>
        </w:tc>
        <w:tc>
          <w:tcPr>
            <w:tcW w:w="463" w:type="dxa"/>
            <w:shd w:val="clear" w:color="auto" w:fill="auto"/>
            <w:noWrap/>
            <w:vAlign w:val="bottom"/>
            <w:hideMark/>
          </w:tcPr>
          <w:p w14:paraId="7422946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81,6</w:t>
            </w:r>
          </w:p>
        </w:tc>
        <w:tc>
          <w:tcPr>
            <w:tcW w:w="463" w:type="dxa"/>
            <w:shd w:val="clear" w:color="auto" w:fill="auto"/>
            <w:noWrap/>
            <w:vAlign w:val="bottom"/>
            <w:hideMark/>
          </w:tcPr>
          <w:p w14:paraId="6DA546A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87,3</w:t>
            </w:r>
          </w:p>
        </w:tc>
        <w:tc>
          <w:tcPr>
            <w:tcW w:w="463" w:type="dxa"/>
            <w:shd w:val="clear" w:color="auto" w:fill="auto"/>
            <w:noWrap/>
            <w:vAlign w:val="bottom"/>
            <w:hideMark/>
          </w:tcPr>
          <w:p w14:paraId="789571D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90,9</w:t>
            </w:r>
          </w:p>
        </w:tc>
        <w:tc>
          <w:tcPr>
            <w:tcW w:w="463" w:type="dxa"/>
            <w:shd w:val="clear" w:color="auto" w:fill="auto"/>
            <w:noWrap/>
            <w:vAlign w:val="bottom"/>
            <w:hideMark/>
          </w:tcPr>
          <w:p w14:paraId="183CAC28"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86,3</w:t>
            </w:r>
          </w:p>
        </w:tc>
      </w:tr>
      <w:tr w:rsidR="00E90769" w:rsidRPr="00404AD7" w14:paraId="663D63F8" w14:textId="77777777" w:rsidTr="00E53FC8">
        <w:tc>
          <w:tcPr>
            <w:tcW w:w="2298" w:type="dxa"/>
            <w:vMerge/>
            <w:shd w:val="clear" w:color="auto" w:fill="auto"/>
            <w:hideMark/>
          </w:tcPr>
          <w:p w14:paraId="60D9B241" w14:textId="77777777" w:rsidR="00E90769" w:rsidRPr="00404AD7" w:rsidRDefault="00E90769" w:rsidP="00E53FC8">
            <w:pPr>
              <w:suppressAutoHyphens w:val="0"/>
              <w:spacing w:before="40" w:after="40" w:line="220" w:lineRule="exact"/>
              <w:rPr>
                <w:b/>
                <w:sz w:val="18"/>
                <w:lang w:eastAsia="et-EE"/>
              </w:rPr>
            </w:pPr>
          </w:p>
        </w:tc>
        <w:tc>
          <w:tcPr>
            <w:tcW w:w="1215" w:type="dxa"/>
            <w:shd w:val="clear" w:color="auto" w:fill="auto"/>
            <w:noWrap/>
            <w:vAlign w:val="bottom"/>
            <w:hideMark/>
          </w:tcPr>
          <w:p w14:paraId="1A985995"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25-34</w:t>
            </w:r>
          </w:p>
        </w:tc>
        <w:tc>
          <w:tcPr>
            <w:tcW w:w="463" w:type="dxa"/>
            <w:shd w:val="clear" w:color="auto" w:fill="auto"/>
            <w:noWrap/>
            <w:vAlign w:val="bottom"/>
            <w:hideMark/>
          </w:tcPr>
          <w:p w14:paraId="61B1672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84,9</w:t>
            </w:r>
          </w:p>
        </w:tc>
        <w:tc>
          <w:tcPr>
            <w:tcW w:w="463" w:type="dxa"/>
            <w:shd w:val="clear" w:color="auto" w:fill="auto"/>
            <w:noWrap/>
            <w:vAlign w:val="bottom"/>
            <w:hideMark/>
          </w:tcPr>
          <w:p w14:paraId="6DCFC5B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84,3</w:t>
            </w:r>
          </w:p>
        </w:tc>
        <w:tc>
          <w:tcPr>
            <w:tcW w:w="463" w:type="dxa"/>
            <w:shd w:val="clear" w:color="auto" w:fill="auto"/>
            <w:noWrap/>
            <w:vAlign w:val="bottom"/>
            <w:hideMark/>
          </w:tcPr>
          <w:p w14:paraId="56E20428"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78,4</w:t>
            </w:r>
          </w:p>
        </w:tc>
        <w:tc>
          <w:tcPr>
            <w:tcW w:w="463" w:type="dxa"/>
            <w:shd w:val="clear" w:color="auto" w:fill="auto"/>
            <w:noWrap/>
            <w:vAlign w:val="bottom"/>
            <w:hideMark/>
          </w:tcPr>
          <w:p w14:paraId="37C64F5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80,1</w:t>
            </w:r>
          </w:p>
        </w:tc>
        <w:tc>
          <w:tcPr>
            <w:tcW w:w="463" w:type="dxa"/>
            <w:shd w:val="clear" w:color="auto" w:fill="auto"/>
            <w:noWrap/>
            <w:vAlign w:val="bottom"/>
            <w:hideMark/>
          </w:tcPr>
          <w:p w14:paraId="4DDFA50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84,8</w:t>
            </w:r>
          </w:p>
        </w:tc>
        <w:tc>
          <w:tcPr>
            <w:tcW w:w="463" w:type="dxa"/>
            <w:shd w:val="clear" w:color="auto" w:fill="auto"/>
            <w:noWrap/>
            <w:vAlign w:val="bottom"/>
            <w:hideMark/>
          </w:tcPr>
          <w:p w14:paraId="17CA3218"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81,0</w:t>
            </w:r>
          </w:p>
        </w:tc>
        <w:tc>
          <w:tcPr>
            <w:tcW w:w="463" w:type="dxa"/>
            <w:shd w:val="clear" w:color="auto" w:fill="auto"/>
            <w:noWrap/>
            <w:vAlign w:val="bottom"/>
            <w:hideMark/>
          </w:tcPr>
          <w:p w14:paraId="42F07991"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83,2</w:t>
            </w:r>
          </w:p>
        </w:tc>
        <w:tc>
          <w:tcPr>
            <w:tcW w:w="463" w:type="dxa"/>
            <w:shd w:val="clear" w:color="auto" w:fill="auto"/>
            <w:noWrap/>
            <w:vAlign w:val="bottom"/>
            <w:hideMark/>
          </w:tcPr>
          <w:p w14:paraId="1E74880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84,4</w:t>
            </w:r>
          </w:p>
        </w:tc>
        <w:tc>
          <w:tcPr>
            <w:tcW w:w="463" w:type="dxa"/>
            <w:shd w:val="clear" w:color="auto" w:fill="auto"/>
            <w:noWrap/>
            <w:vAlign w:val="bottom"/>
            <w:hideMark/>
          </w:tcPr>
          <w:p w14:paraId="7792E13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80,7</w:t>
            </w:r>
          </w:p>
        </w:tc>
        <w:tc>
          <w:tcPr>
            <w:tcW w:w="463" w:type="dxa"/>
            <w:shd w:val="clear" w:color="auto" w:fill="auto"/>
            <w:noWrap/>
            <w:vAlign w:val="bottom"/>
            <w:hideMark/>
          </w:tcPr>
          <w:p w14:paraId="58D6B3B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86,3</w:t>
            </w:r>
          </w:p>
        </w:tc>
        <w:tc>
          <w:tcPr>
            <w:tcW w:w="463" w:type="dxa"/>
            <w:shd w:val="clear" w:color="auto" w:fill="auto"/>
            <w:noWrap/>
            <w:vAlign w:val="bottom"/>
            <w:hideMark/>
          </w:tcPr>
          <w:p w14:paraId="3FB8C73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89,9</w:t>
            </w:r>
          </w:p>
        </w:tc>
        <w:tc>
          <w:tcPr>
            <w:tcW w:w="463" w:type="dxa"/>
            <w:shd w:val="clear" w:color="auto" w:fill="auto"/>
            <w:noWrap/>
            <w:vAlign w:val="bottom"/>
            <w:hideMark/>
          </w:tcPr>
          <w:p w14:paraId="2EBEBBF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87,9</w:t>
            </w:r>
          </w:p>
        </w:tc>
      </w:tr>
      <w:tr w:rsidR="00E90769" w:rsidRPr="00404AD7" w14:paraId="401DD79D" w14:textId="77777777" w:rsidTr="00E53FC8">
        <w:tc>
          <w:tcPr>
            <w:tcW w:w="2298" w:type="dxa"/>
            <w:vMerge/>
            <w:shd w:val="clear" w:color="auto" w:fill="auto"/>
            <w:hideMark/>
          </w:tcPr>
          <w:p w14:paraId="5C310340" w14:textId="77777777" w:rsidR="00E90769" w:rsidRPr="00404AD7" w:rsidRDefault="00E90769" w:rsidP="00E53FC8">
            <w:pPr>
              <w:suppressAutoHyphens w:val="0"/>
              <w:spacing w:before="40" w:after="40" w:line="220" w:lineRule="exact"/>
              <w:rPr>
                <w:b/>
                <w:sz w:val="18"/>
                <w:lang w:eastAsia="et-EE"/>
              </w:rPr>
            </w:pPr>
          </w:p>
        </w:tc>
        <w:tc>
          <w:tcPr>
            <w:tcW w:w="1215" w:type="dxa"/>
            <w:shd w:val="clear" w:color="auto" w:fill="auto"/>
            <w:noWrap/>
            <w:vAlign w:val="bottom"/>
            <w:hideMark/>
          </w:tcPr>
          <w:p w14:paraId="5F568624"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35-44</w:t>
            </w:r>
          </w:p>
        </w:tc>
        <w:tc>
          <w:tcPr>
            <w:tcW w:w="463" w:type="dxa"/>
            <w:shd w:val="clear" w:color="auto" w:fill="auto"/>
            <w:noWrap/>
            <w:vAlign w:val="bottom"/>
            <w:hideMark/>
          </w:tcPr>
          <w:p w14:paraId="1564EF6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73,9</w:t>
            </w:r>
          </w:p>
        </w:tc>
        <w:tc>
          <w:tcPr>
            <w:tcW w:w="463" w:type="dxa"/>
            <w:shd w:val="clear" w:color="auto" w:fill="auto"/>
            <w:noWrap/>
            <w:vAlign w:val="bottom"/>
            <w:hideMark/>
          </w:tcPr>
          <w:p w14:paraId="5C40A0C6"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75,3</w:t>
            </w:r>
          </w:p>
        </w:tc>
        <w:tc>
          <w:tcPr>
            <w:tcW w:w="463" w:type="dxa"/>
            <w:shd w:val="clear" w:color="auto" w:fill="auto"/>
            <w:noWrap/>
            <w:vAlign w:val="bottom"/>
            <w:hideMark/>
          </w:tcPr>
          <w:p w14:paraId="3664B6C7"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70,1</w:t>
            </w:r>
          </w:p>
        </w:tc>
        <w:tc>
          <w:tcPr>
            <w:tcW w:w="463" w:type="dxa"/>
            <w:shd w:val="clear" w:color="auto" w:fill="auto"/>
            <w:noWrap/>
            <w:vAlign w:val="bottom"/>
            <w:hideMark/>
          </w:tcPr>
          <w:p w14:paraId="50C4CAE1"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75,1</w:t>
            </w:r>
          </w:p>
        </w:tc>
        <w:tc>
          <w:tcPr>
            <w:tcW w:w="463" w:type="dxa"/>
            <w:shd w:val="clear" w:color="auto" w:fill="auto"/>
            <w:noWrap/>
            <w:vAlign w:val="bottom"/>
            <w:hideMark/>
          </w:tcPr>
          <w:p w14:paraId="28A80AB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78,6</w:t>
            </w:r>
          </w:p>
        </w:tc>
        <w:tc>
          <w:tcPr>
            <w:tcW w:w="463" w:type="dxa"/>
            <w:shd w:val="clear" w:color="auto" w:fill="auto"/>
            <w:noWrap/>
            <w:vAlign w:val="bottom"/>
            <w:hideMark/>
          </w:tcPr>
          <w:p w14:paraId="51B07E7A"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73,8</w:t>
            </w:r>
          </w:p>
        </w:tc>
        <w:tc>
          <w:tcPr>
            <w:tcW w:w="463" w:type="dxa"/>
            <w:shd w:val="clear" w:color="auto" w:fill="auto"/>
            <w:noWrap/>
            <w:vAlign w:val="bottom"/>
            <w:hideMark/>
          </w:tcPr>
          <w:p w14:paraId="7AF0E04A"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77,1</w:t>
            </w:r>
          </w:p>
        </w:tc>
        <w:tc>
          <w:tcPr>
            <w:tcW w:w="463" w:type="dxa"/>
            <w:shd w:val="clear" w:color="auto" w:fill="auto"/>
            <w:noWrap/>
            <w:vAlign w:val="bottom"/>
            <w:hideMark/>
          </w:tcPr>
          <w:p w14:paraId="05D96C26"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79,5</w:t>
            </w:r>
          </w:p>
        </w:tc>
        <w:tc>
          <w:tcPr>
            <w:tcW w:w="463" w:type="dxa"/>
            <w:shd w:val="clear" w:color="auto" w:fill="auto"/>
            <w:noWrap/>
            <w:vAlign w:val="bottom"/>
            <w:hideMark/>
          </w:tcPr>
          <w:p w14:paraId="0116ABA0"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74,4</w:t>
            </w:r>
          </w:p>
        </w:tc>
        <w:tc>
          <w:tcPr>
            <w:tcW w:w="463" w:type="dxa"/>
            <w:shd w:val="clear" w:color="auto" w:fill="auto"/>
            <w:noWrap/>
            <w:vAlign w:val="bottom"/>
            <w:hideMark/>
          </w:tcPr>
          <w:p w14:paraId="5DC2C6F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78,3</w:t>
            </w:r>
          </w:p>
        </w:tc>
        <w:tc>
          <w:tcPr>
            <w:tcW w:w="463" w:type="dxa"/>
            <w:shd w:val="clear" w:color="auto" w:fill="auto"/>
            <w:noWrap/>
            <w:vAlign w:val="bottom"/>
            <w:hideMark/>
          </w:tcPr>
          <w:p w14:paraId="14586B52"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82,7</w:t>
            </w:r>
          </w:p>
        </w:tc>
        <w:tc>
          <w:tcPr>
            <w:tcW w:w="463" w:type="dxa"/>
            <w:shd w:val="clear" w:color="auto" w:fill="auto"/>
            <w:noWrap/>
            <w:vAlign w:val="bottom"/>
            <w:hideMark/>
          </w:tcPr>
          <w:p w14:paraId="1F19E974"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78,8</w:t>
            </w:r>
          </w:p>
        </w:tc>
      </w:tr>
      <w:tr w:rsidR="00E90769" w:rsidRPr="00404AD7" w14:paraId="556D2B33" w14:textId="77777777" w:rsidTr="00E53FC8">
        <w:tc>
          <w:tcPr>
            <w:tcW w:w="2298" w:type="dxa"/>
            <w:vMerge/>
            <w:shd w:val="clear" w:color="auto" w:fill="auto"/>
            <w:hideMark/>
          </w:tcPr>
          <w:p w14:paraId="53E57F05" w14:textId="77777777" w:rsidR="00E90769" w:rsidRPr="00404AD7" w:rsidRDefault="00E90769" w:rsidP="00E53FC8">
            <w:pPr>
              <w:suppressAutoHyphens w:val="0"/>
              <w:spacing w:before="40" w:after="40" w:line="220" w:lineRule="exact"/>
              <w:rPr>
                <w:b/>
                <w:sz w:val="18"/>
                <w:lang w:eastAsia="et-EE"/>
              </w:rPr>
            </w:pPr>
          </w:p>
        </w:tc>
        <w:tc>
          <w:tcPr>
            <w:tcW w:w="1215" w:type="dxa"/>
            <w:shd w:val="clear" w:color="auto" w:fill="auto"/>
            <w:noWrap/>
            <w:vAlign w:val="bottom"/>
            <w:hideMark/>
          </w:tcPr>
          <w:p w14:paraId="2646CC9E"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45-54</w:t>
            </w:r>
          </w:p>
        </w:tc>
        <w:tc>
          <w:tcPr>
            <w:tcW w:w="463" w:type="dxa"/>
            <w:shd w:val="clear" w:color="auto" w:fill="auto"/>
            <w:noWrap/>
            <w:vAlign w:val="bottom"/>
            <w:hideMark/>
          </w:tcPr>
          <w:p w14:paraId="05248F2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58,2</w:t>
            </w:r>
          </w:p>
        </w:tc>
        <w:tc>
          <w:tcPr>
            <w:tcW w:w="463" w:type="dxa"/>
            <w:shd w:val="clear" w:color="auto" w:fill="auto"/>
            <w:noWrap/>
            <w:vAlign w:val="bottom"/>
            <w:hideMark/>
          </w:tcPr>
          <w:p w14:paraId="6694CF7D"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55,0</w:t>
            </w:r>
          </w:p>
        </w:tc>
        <w:tc>
          <w:tcPr>
            <w:tcW w:w="463" w:type="dxa"/>
            <w:shd w:val="clear" w:color="auto" w:fill="auto"/>
            <w:noWrap/>
            <w:vAlign w:val="bottom"/>
            <w:hideMark/>
          </w:tcPr>
          <w:p w14:paraId="75E8E611"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54,9</w:t>
            </w:r>
          </w:p>
        </w:tc>
        <w:tc>
          <w:tcPr>
            <w:tcW w:w="463" w:type="dxa"/>
            <w:shd w:val="clear" w:color="auto" w:fill="auto"/>
            <w:noWrap/>
            <w:vAlign w:val="bottom"/>
            <w:hideMark/>
          </w:tcPr>
          <w:p w14:paraId="02CF1D74"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60,4</w:t>
            </w:r>
          </w:p>
        </w:tc>
        <w:tc>
          <w:tcPr>
            <w:tcW w:w="463" w:type="dxa"/>
            <w:shd w:val="clear" w:color="auto" w:fill="auto"/>
            <w:noWrap/>
            <w:vAlign w:val="bottom"/>
            <w:hideMark/>
          </w:tcPr>
          <w:p w14:paraId="5EA9A79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60,0</w:t>
            </w:r>
          </w:p>
        </w:tc>
        <w:tc>
          <w:tcPr>
            <w:tcW w:w="463" w:type="dxa"/>
            <w:shd w:val="clear" w:color="auto" w:fill="auto"/>
            <w:noWrap/>
            <w:vAlign w:val="bottom"/>
            <w:hideMark/>
          </w:tcPr>
          <w:p w14:paraId="2D8FD58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63,2</w:t>
            </w:r>
          </w:p>
        </w:tc>
        <w:tc>
          <w:tcPr>
            <w:tcW w:w="463" w:type="dxa"/>
            <w:shd w:val="clear" w:color="auto" w:fill="auto"/>
            <w:noWrap/>
            <w:vAlign w:val="bottom"/>
            <w:hideMark/>
          </w:tcPr>
          <w:p w14:paraId="020076D1"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60,9</w:t>
            </w:r>
          </w:p>
        </w:tc>
        <w:tc>
          <w:tcPr>
            <w:tcW w:w="463" w:type="dxa"/>
            <w:shd w:val="clear" w:color="auto" w:fill="auto"/>
            <w:noWrap/>
            <w:vAlign w:val="bottom"/>
            <w:hideMark/>
          </w:tcPr>
          <w:p w14:paraId="66DAD550"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61,4</w:t>
            </w:r>
          </w:p>
        </w:tc>
        <w:tc>
          <w:tcPr>
            <w:tcW w:w="463" w:type="dxa"/>
            <w:shd w:val="clear" w:color="auto" w:fill="auto"/>
            <w:noWrap/>
            <w:vAlign w:val="bottom"/>
            <w:hideMark/>
          </w:tcPr>
          <w:p w14:paraId="74365067"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59,9</w:t>
            </w:r>
          </w:p>
        </w:tc>
        <w:tc>
          <w:tcPr>
            <w:tcW w:w="463" w:type="dxa"/>
            <w:shd w:val="clear" w:color="auto" w:fill="auto"/>
            <w:noWrap/>
            <w:vAlign w:val="bottom"/>
            <w:hideMark/>
          </w:tcPr>
          <w:p w14:paraId="62B7774D"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64,5</w:t>
            </w:r>
          </w:p>
        </w:tc>
        <w:tc>
          <w:tcPr>
            <w:tcW w:w="463" w:type="dxa"/>
            <w:shd w:val="clear" w:color="auto" w:fill="auto"/>
            <w:noWrap/>
            <w:vAlign w:val="bottom"/>
            <w:hideMark/>
          </w:tcPr>
          <w:p w14:paraId="3368B6CA"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69,2</w:t>
            </w:r>
          </w:p>
        </w:tc>
        <w:tc>
          <w:tcPr>
            <w:tcW w:w="463" w:type="dxa"/>
            <w:shd w:val="clear" w:color="auto" w:fill="auto"/>
            <w:noWrap/>
            <w:vAlign w:val="bottom"/>
            <w:hideMark/>
          </w:tcPr>
          <w:p w14:paraId="533939D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67,2</w:t>
            </w:r>
          </w:p>
        </w:tc>
      </w:tr>
      <w:tr w:rsidR="00E90769" w:rsidRPr="00404AD7" w14:paraId="3A4E0980" w14:textId="77777777" w:rsidTr="00E53FC8">
        <w:tc>
          <w:tcPr>
            <w:tcW w:w="2298" w:type="dxa"/>
            <w:vMerge/>
            <w:shd w:val="clear" w:color="auto" w:fill="auto"/>
            <w:hideMark/>
          </w:tcPr>
          <w:p w14:paraId="581F168C" w14:textId="77777777" w:rsidR="00E90769" w:rsidRPr="00404AD7" w:rsidRDefault="00E90769" w:rsidP="00E53FC8">
            <w:pPr>
              <w:suppressAutoHyphens w:val="0"/>
              <w:spacing w:before="40" w:after="40" w:line="220" w:lineRule="exact"/>
              <w:rPr>
                <w:b/>
                <w:sz w:val="18"/>
                <w:lang w:eastAsia="et-EE"/>
              </w:rPr>
            </w:pPr>
          </w:p>
        </w:tc>
        <w:tc>
          <w:tcPr>
            <w:tcW w:w="1215" w:type="dxa"/>
            <w:shd w:val="clear" w:color="auto" w:fill="auto"/>
            <w:noWrap/>
            <w:vAlign w:val="bottom"/>
            <w:hideMark/>
          </w:tcPr>
          <w:p w14:paraId="3BB0DC97"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55-64</w:t>
            </w:r>
          </w:p>
        </w:tc>
        <w:tc>
          <w:tcPr>
            <w:tcW w:w="463" w:type="dxa"/>
            <w:shd w:val="clear" w:color="auto" w:fill="auto"/>
            <w:noWrap/>
            <w:vAlign w:val="bottom"/>
            <w:hideMark/>
          </w:tcPr>
          <w:p w14:paraId="0B0B5DA2"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32,8</w:t>
            </w:r>
          </w:p>
        </w:tc>
        <w:tc>
          <w:tcPr>
            <w:tcW w:w="463" w:type="dxa"/>
            <w:shd w:val="clear" w:color="auto" w:fill="auto"/>
            <w:noWrap/>
            <w:vAlign w:val="bottom"/>
            <w:hideMark/>
          </w:tcPr>
          <w:p w14:paraId="4E13BBFC"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33,5</w:t>
            </w:r>
          </w:p>
        </w:tc>
        <w:tc>
          <w:tcPr>
            <w:tcW w:w="463" w:type="dxa"/>
            <w:shd w:val="clear" w:color="auto" w:fill="auto"/>
            <w:noWrap/>
            <w:vAlign w:val="bottom"/>
            <w:hideMark/>
          </w:tcPr>
          <w:p w14:paraId="661F8BDC"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34,2</w:t>
            </w:r>
          </w:p>
        </w:tc>
        <w:tc>
          <w:tcPr>
            <w:tcW w:w="463" w:type="dxa"/>
            <w:shd w:val="clear" w:color="auto" w:fill="auto"/>
            <w:noWrap/>
            <w:vAlign w:val="bottom"/>
            <w:hideMark/>
          </w:tcPr>
          <w:p w14:paraId="6345648A"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36,8</w:t>
            </w:r>
          </w:p>
        </w:tc>
        <w:tc>
          <w:tcPr>
            <w:tcW w:w="463" w:type="dxa"/>
            <w:shd w:val="clear" w:color="auto" w:fill="auto"/>
            <w:noWrap/>
            <w:vAlign w:val="bottom"/>
            <w:hideMark/>
          </w:tcPr>
          <w:p w14:paraId="782EF85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39,5</w:t>
            </w:r>
          </w:p>
        </w:tc>
        <w:tc>
          <w:tcPr>
            <w:tcW w:w="463" w:type="dxa"/>
            <w:shd w:val="clear" w:color="auto" w:fill="auto"/>
            <w:noWrap/>
            <w:vAlign w:val="bottom"/>
            <w:hideMark/>
          </w:tcPr>
          <w:p w14:paraId="3CFB201D"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40,7</w:t>
            </w:r>
          </w:p>
        </w:tc>
        <w:tc>
          <w:tcPr>
            <w:tcW w:w="463" w:type="dxa"/>
            <w:shd w:val="clear" w:color="auto" w:fill="auto"/>
            <w:noWrap/>
            <w:vAlign w:val="bottom"/>
            <w:hideMark/>
          </w:tcPr>
          <w:p w14:paraId="090BDD0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35,8</w:t>
            </w:r>
          </w:p>
        </w:tc>
        <w:tc>
          <w:tcPr>
            <w:tcW w:w="463" w:type="dxa"/>
            <w:shd w:val="clear" w:color="auto" w:fill="auto"/>
            <w:noWrap/>
            <w:vAlign w:val="bottom"/>
            <w:hideMark/>
          </w:tcPr>
          <w:p w14:paraId="272AAC2F"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37,2</w:t>
            </w:r>
          </w:p>
        </w:tc>
        <w:tc>
          <w:tcPr>
            <w:tcW w:w="463" w:type="dxa"/>
            <w:shd w:val="clear" w:color="auto" w:fill="auto"/>
            <w:noWrap/>
            <w:vAlign w:val="bottom"/>
            <w:hideMark/>
          </w:tcPr>
          <w:p w14:paraId="2B1C56B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37,6</w:t>
            </w:r>
          </w:p>
        </w:tc>
        <w:tc>
          <w:tcPr>
            <w:tcW w:w="463" w:type="dxa"/>
            <w:shd w:val="clear" w:color="auto" w:fill="auto"/>
            <w:noWrap/>
            <w:vAlign w:val="bottom"/>
            <w:hideMark/>
          </w:tcPr>
          <w:p w14:paraId="7937D444"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39,7</w:t>
            </w:r>
          </w:p>
        </w:tc>
        <w:tc>
          <w:tcPr>
            <w:tcW w:w="463" w:type="dxa"/>
            <w:shd w:val="clear" w:color="auto" w:fill="auto"/>
            <w:noWrap/>
            <w:vAlign w:val="bottom"/>
            <w:hideMark/>
          </w:tcPr>
          <w:p w14:paraId="6DD72578"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43,7</w:t>
            </w:r>
          </w:p>
        </w:tc>
        <w:tc>
          <w:tcPr>
            <w:tcW w:w="463" w:type="dxa"/>
            <w:shd w:val="clear" w:color="auto" w:fill="auto"/>
            <w:noWrap/>
            <w:vAlign w:val="bottom"/>
            <w:hideMark/>
          </w:tcPr>
          <w:p w14:paraId="71C554A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42,8</w:t>
            </w:r>
          </w:p>
        </w:tc>
      </w:tr>
      <w:tr w:rsidR="00E90769" w:rsidRPr="00404AD7" w14:paraId="77DB5519" w14:textId="77777777" w:rsidTr="00E53FC8">
        <w:tc>
          <w:tcPr>
            <w:tcW w:w="2298" w:type="dxa"/>
            <w:vMerge/>
            <w:shd w:val="clear" w:color="auto" w:fill="auto"/>
            <w:hideMark/>
          </w:tcPr>
          <w:p w14:paraId="5ECF4432" w14:textId="77777777" w:rsidR="00E90769" w:rsidRPr="00404AD7" w:rsidRDefault="00E90769" w:rsidP="00E53FC8">
            <w:pPr>
              <w:suppressAutoHyphens w:val="0"/>
              <w:spacing w:before="40" w:after="40" w:line="220" w:lineRule="exact"/>
              <w:rPr>
                <w:b/>
                <w:sz w:val="18"/>
                <w:lang w:eastAsia="et-EE"/>
              </w:rPr>
            </w:pPr>
          </w:p>
        </w:tc>
        <w:tc>
          <w:tcPr>
            <w:tcW w:w="1215" w:type="dxa"/>
            <w:shd w:val="clear" w:color="auto" w:fill="auto"/>
            <w:noWrap/>
            <w:vAlign w:val="bottom"/>
            <w:hideMark/>
          </w:tcPr>
          <w:p w14:paraId="5078240E"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65 and older</w:t>
            </w:r>
          </w:p>
        </w:tc>
        <w:tc>
          <w:tcPr>
            <w:tcW w:w="463" w:type="dxa"/>
            <w:shd w:val="clear" w:color="auto" w:fill="auto"/>
            <w:noWrap/>
            <w:vAlign w:val="bottom"/>
            <w:hideMark/>
          </w:tcPr>
          <w:p w14:paraId="2C0C0A86"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15,6</w:t>
            </w:r>
          </w:p>
        </w:tc>
        <w:tc>
          <w:tcPr>
            <w:tcW w:w="463" w:type="dxa"/>
            <w:shd w:val="clear" w:color="auto" w:fill="auto"/>
            <w:noWrap/>
            <w:vAlign w:val="bottom"/>
            <w:hideMark/>
          </w:tcPr>
          <w:p w14:paraId="64FC7D8F"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20,7</w:t>
            </w:r>
          </w:p>
        </w:tc>
        <w:tc>
          <w:tcPr>
            <w:tcW w:w="463" w:type="dxa"/>
            <w:shd w:val="clear" w:color="auto" w:fill="auto"/>
            <w:noWrap/>
            <w:vAlign w:val="bottom"/>
            <w:hideMark/>
          </w:tcPr>
          <w:p w14:paraId="4569D0B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17,9</w:t>
            </w:r>
          </w:p>
        </w:tc>
        <w:tc>
          <w:tcPr>
            <w:tcW w:w="463" w:type="dxa"/>
            <w:shd w:val="clear" w:color="auto" w:fill="auto"/>
            <w:noWrap/>
            <w:vAlign w:val="bottom"/>
            <w:hideMark/>
          </w:tcPr>
          <w:p w14:paraId="07788FF7"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19,9</w:t>
            </w:r>
          </w:p>
        </w:tc>
        <w:tc>
          <w:tcPr>
            <w:tcW w:w="463" w:type="dxa"/>
            <w:shd w:val="clear" w:color="auto" w:fill="auto"/>
            <w:noWrap/>
            <w:vAlign w:val="bottom"/>
            <w:hideMark/>
          </w:tcPr>
          <w:p w14:paraId="3737B2E6"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22,6</w:t>
            </w:r>
          </w:p>
        </w:tc>
        <w:tc>
          <w:tcPr>
            <w:tcW w:w="463" w:type="dxa"/>
            <w:shd w:val="clear" w:color="auto" w:fill="auto"/>
            <w:noWrap/>
            <w:vAlign w:val="bottom"/>
            <w:hideMark/>
          </w:tcPr>
          <w:p w14:paraId="6ED6F5EC"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25,2</w:t>
            </w:r>
          </w:p>
        </w:tc>
        <w:tc>
          <w:tcPr>
            <w:tcW w:w="463" w:type="dxa"/>
            <w:shd w:val="clear" w:color="auto" w:fill="auto"/>
            <w:noWrap/>
            <w:vAlign w:val="bottom"/>
            <w:hideMark/>
          </w:tcPr>
          <w:p w14:paraId="47A54CC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16,7</w:t>
            </w:r>
          </w:p>
        </w:tc>
        <w:tc>
          <w:tcPr>
            <w:tcW w:w="463" w:type="dxa"/>
            <w:shd w:val="clear" w:color="auto" w:fill="auto"/>
            <w:noWrap/>
            <w:vAlign w:val="bottom"/>
            <w:hideMark/>
          </w:tcPr>
          <w:p w14:paraId="2B804E3C"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15,5</w:t>
            </w:r>
          </w:p>
        </w:tc>
        <w:tc>
          <w:tcPr>
            <w:tcW w:w="463" w:type="dxa"/>
            <w:shd w:val="clear" w:color="auto" w:fill="auto"/>
            <w:noWrap/>
            <w:vAlign w:val="bottom"/>
            <w:hideMark/>
          </w:tcPr>
          <w:p w14:paraId="74460DA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17,0</w:t>
            </w:r>
          </w:p>
        </w:tc>
        <w:tc>
          <w:tcPr>
            <w:tcW w:w="463" w:type="dxa"/>
            <w:shd w:val="clear" w:color="auto" w:fill="auto"/>
            <w:noWrap/>
            <w:vAlign w:val="bottom"/>
            <w:hideMark/>
          </w:tcPr>
          <w:p w14:paraId="3E862F1C"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17,6</w:t>
            </w:r>
          </w:p>
        </w:tc>
        <w:tc>
          <w:tcPr>
            <w:tcW w:w="463" w:type="dxa"/>
            <w:shd w:val="clear" w:color="auto" w:fill="auto"/>
            <w:noWrap/>
            <w:vAlign w:val="bottom"/>
            <w:hideMark/>
          </w:tcPr>
          <w:p w14:paraId="3CCA199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20,3</w:t>
            </w:r>
          </w:p>
        </w:tc>
        <w:tc>
          <w:tcPr>
            <w:tcW w:w="463" w:type="dxa"/>
            <w:shd w:val="clear" w:color="auto" w:fill="auto"/>
            <w:noWrap/>
            <w:vAlign w:val="bottom"/>
            <w:hideMark/>
          </w:tcPr>
          <w:p w14:paraId="3045911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22,3</w:t>
            </w:r>
          </w:p>
        </w:tc>
      </w:tr>
      <w:tr w:rsidR="00E90769" w:rsidRPr="00404AD7" w14:paraId="1FA4D00B" w14:textId="77777777" w:rsidTr="00E53FC8">
        <w:tc>
          <w:tcPr>
            <w:tcW w:w="2298" w:type="dxa"/>
            <w:vMerge w:val="restart"/>
            <w:shd w:val="clear" w:color="auto" w:fill="auto"/>
            <w:noWrap/>
            <w:hideMark/>
          </w:tcPr>
          <w:p w14:paraId="345CA010" w14:textId="77777777" w:rsidR="00E90769" w:rsidRPr="00404AD7" w:rsidRDefault="00E90769" w:rsidP="00E53FC8">
            <w:pPr>
              <w:suppressAutoHyphens w:val="0"/>
              <w:spacing w:before="40" w:after="40" w:line="220" w:lineRule="exact"/>
              <w:rPr>
                <w:b/>
                <w:sz w:val="18"/>
                <w:lang w:eastAsia="et-EE"/>
              </w:rPr>
            </w:pPr>
            <w:r w:rsidRPr="00404AD7">
              <w:rPr>
                <w:b/>
                <w:sz w:val="18"/>
                <w:lang w:eastAsia="et-EE"/>
              </w:rPr>
              <w:t>Neither good nor bad</w:t>
            </w:r>
          </w:p>
        </w:tc>
        <w:tc>
          <w:tcPr>
            <w:tcW w:w="1215" w:type="dxa"/>
            <w:shd w:val="clear" w:color="auto" w:fill="auto"/>
            <w:noWrap/>
            <w:vAlign w:val="bottom"/>
            <w:hideMark/>
          </w:tcPr>
          <w:p w14:paraId="60754294"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16-24</w:t>
            </w:r>
          </w:p>
        </w:tc>
        <w:tc>
          <w:tcPr>
            <w:tcW w:w="463" w:type="dxa"/>
            <w:shd w:val="clear" w:color="auto" w:fill="auto"/>
            <w:noWrap/>
            <w:vAlign w:val="bottom"/>
            <w:hideMark/>
          </w:tcPr>
          <w:p w14:paraId="0D880D86"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12,3</w:t>
            </w:r>
          </w:p>
        </w:tc>
        <w:tc>
          <w:tcPr>
            <w:tcW w:w="463" w:type="dxa"/>
            <w:shd w:val="clear" w:color="auto" w:fill="auto"/>
            <w:noWrap/>
            <w:vAlign w:val="bottom"/>
            <w:hideMark/>
          </w:tcPr>
          <w:p w14:paraId="377B746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11,6</w:t>
            </w:r>
          </w:p>
        </w:tc>
        <w:tc>
          <w:tcPr>
            <w:tcW w:w="463" w:type="dxa"/>
            <w:shd w:val="clear" w:color="auto" w:fill="auto"/>
            <w:noWrap/>
            <w:vAlign w:val="bottom"/>
            <w:hideMark/>
          </w:tcPr>
          <w:p w14:paraId="162E0331"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13,9</w:t>
            </w:r>
          </w:p>
        </w:tc>
        <w:tc>
          <w:tcPr>
            <w:tcW w:w="463" w:type="dxa"/>
            <w:shd w:val="clear" w:color="auto" w:fill="auto"/>
            <w:noWrap/>
            <w:vAlign w:val="bottom"/>
            <w:hideMark/>
          </w:tcPr>
          <w:p w14:paraId="7E3D2BDD"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11,4</w:t>
            </w:r>
          </w:p>
        </w:tc>
        <w:tc>
          <w:tcPr>
            <w:tcW w:w="463" w:type="dxa"/>
            <w:shd w:val="clear" w:color="auto" w:fill="auto"/>
            <w:noWrap/>
            <w:vAlign w:val="bottom"/>
            <w:hideMark/>
          </w:tcPr>
          <w:p w14:paraId="0BC8BEEA"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9,1</w:t>
            </w:r>
          </w:p>
        </w:tc>
        <w:tc>
          <w:tcPr>
            <w:tcW w:w="463" w:type="dxa"/>
            <w:shd w:val="clear" w:color="auto" w:fill="auto"/>
            <w:noWrap/>
            <w:vAlign w:val="bottom"/>
            <w:hideMark/>
          </w:tcPr>
          <w:p w14:paraId="2F50D3C7"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11,3</w:t>
            </w:r>
          </w:p>
        </w:tc>
        <w:tc>
          <w:tcPr>
            <w:tcW w:w="463" w:type="dxa"/>
            <w:shd w:val="clear" w:color="auto" w:fill="auto"/>
            <w:noWrap/>
            <w:vAlign w:val="bottom"/>
            <w:hideMark/>
          </w:tcPr>
          <w:p w14:paraId="4AD938AF"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11,6</w:t>
            </w:r>
          </w:p>
        </w:tc>
        <w:tc>
          <w:tcPr>
            <w:tcW w:w="463" w:type="dxa"/>
            <w:shd w:val="clear" w:color="auto" w:fill="auto"/>
            <w:noWrap/>
            <w:vAlign w:val="bottom"/>
            <w:hideMark/>
          </w:tcPr>
          <w:p w14:paraId="0A605EA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9,8</w:t>
            </w:r>
          </w:p>
        </w:tc>
        <w:tc>
          <w:tcPr>
            <w:tcW w:w="463" w:type="dxa"/>
            <w:shd w:val="clear" w:color="auto" w:fill="auto"/>
            <w:noWrap/>
            <w:vAlign w:val="bottom"/>
            <w:hideMark/>
          </w:tcPr>
          <w:p w14:paraId="2E1CE92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15,9</w:t>
            </w:r>
          </w:p>
        </w:tc>
        <w:tc>
          <w:tcPr>
            <w:tcW w:w="463" w:type="dxa"/>
            <w:shd w:val="clear" w:color="auto" w:fill="auto"/>
            <w:noWrap/>
            <w:vAlign w:val="bottom"/>
            <w:hideMark/>
          </w:tcPr>
          <w:p w14:paraId="2629D3B1"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10,8</w:t>
            </w:r>
          </w:p>
        </w:tc>
        <w:tc>
          <w:tcPr>
            <w:tcW w:w="463" w:type="dxa"/>
            <w:shd w:val="clear" w:color="auto" w:fill="auto"/>
            <w:noWrap/>
            <w:vAlign w:val="bottom"/>
            <w:hideMark/>
          </w:tcPr>
          <w:p w14:paraId="2DAAE234"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7,6</w:t>
            </w:r>
          </w:p>
        </w:tc>
        <w:tc>
          <w:tcPr>
            <w:tcW w:w="463" w:type="dxa"/>
            <w:shd w:val="clear" w:color="auto" w:fill="auto"/>
            <w:noWrap/>
            <w:vAlign w:val="bottom"/>
            <w:hideMark/>
          </w:tcPr>
          <w:p w14:paraId="0FB4A18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10,6</w:t>
            </w:r>
          </w:p>
        </w:tc>
      </w:tr>
      <w:tr w:rsidR="00E90769" w:rsidRPr="00404AD7" w14:paraId="1831E1A2" w14:textId="77777777" w:rsidTr="00E53FC8">
        <w:tc>
          <w:tcPr>
            <w:tcW w:w="2298" w:type="dxa"/>
            <w:vMerge/>
            <w:shd w:val="clear" w:color="auto" w:fill="auto"/>
            <w:hideMark/>
          </w:tcPr>
          <w:p w14:paraId="10CE0B58" w14:textId="77777777" w:rsidR="00E90769" w:rsidRPr="00404AD7" w:rsidRDefault="00E90769" w:rsidP="00E53FC8">
            <w:pPr>
              <w:suppressAutoHyphens w:val="0"/>
              <w:spacing w:before="40" w:after="40" w:line="220" w:lineRule="exact"/>
              <w:rPr>
                <w:b/>
                <w:sz w:val="18"/>
                <w:lang w:eastAsia="et-EE"/>
              </w:rPr>
            </w:pPr>
          </w:p>
        </w:tc>
        <w:tc>
          <w:tcPr>
            <w:tcW w:w="1215" w:type="dxa"/>
            <w:shd w:val="clear" w:color="auto" w:fill="auto"/>
            <w:noWrap/>
            <w:vAlign w:val="bottom"/>
            <w:hideMark/>
          </w:tcPr>
          <w:p w14:paraId="4B95DE2C"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25-34</w:t>
            </w:r>
          </w:p>
        </w:tc>
        <w:tc>
          <w:tcPr>
            <w:tcW w:w="463" w:type="dxa"/>
            <w:shd w:val="clear" w:color="auto" w:fill="auto"/>
            <w:noWrap/>
            <w:vAlign w:val="bottom"/>
            <w:hideMark/>
          </w:tcPr>
          <w:p w14:paraId="4F79287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11,1</w:t>
            </w:r>
          </w:p>
        </w:tc>
        <w:tc>
          <w:tcPr>
            <w:tcW w:w="463" w:type="dxa"/>
            <w:shd w:val="clear" w:color="auto" w:fill="auto"/>
            <w:noWrap/>
            <w:vAlign w:val="bottom"/>
            <w:hideMark/>
          </w:tcPr>
          <w:p w14:paraId="7611EE9C"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12,6</w:t>
            </w:r>
          </w:p>
        </w:tc>
        <w:tc>
          <w:tcPr>
            <w:tcW w:w="463" w:type="dxa"/>
            <w:shd w:val="clear" w:color="auto" w:fill="auto"/>
            <w:noWrap/>
            <w:vAlign w:val="bottom"/>
            <w:hideMark/>
          </w:tcPr>
          <w:p w14:paraId="28FBDC4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16,7</w:t>
            </w:r>
          </w:p>
        </w:tc>
        <w:tc>
          <w:tcPr>
            <w:tcW w:w="463" w:type="dxa"/>
            <w:shd w:val="clear" w:color="auto" w:fill="auto"/>
            <w:noWrap/>
            <w:vAlign w:val="bottom"/>
            <w:hideMark/>
          </w:tcPr>
          <w:p w14:paraId="613E17CF"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16,7</w:t>
            </w:r>
          </w:p>
        </w:tc>
        <w:tc>
          <w:tcPr>
            <w:tcW w:w="463" w:type="dxa"/>
            <w:shd w:val="clear" w:color="auto" w:fill="auto"/>
            <w:noWrap/>
            <w:vAlign w:val="bottom"/>
            <w:hideMark/>
          </w:tcPr>
          <w:p w14:paraId="26244AC0"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12,5</w:t>
            </w:r>
          </w:p>
        </w:tc>
        <w:tc>
          <w:tcPr>
            <w:tcW w:w="463" w:type="dxa"/>
            <w:shd w:val="clear" w:color="auto" w:fill="auto"/>
            <w:noWrap/>
            <w:vAlign w:val="bottom"/>
            <w:hideMark/>
          </w:tcPr>
          <w:p w14:paraId="59546677"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14,9</w:t>
            </w:r>
          </w:p>
        </w:tc>
        <w:tc>
          <w:tcPr>
            <w:tcW w:w="463" w:type="dxa"/>
            <w:shd w:val="clear" w:color="auto" w:fill="auto"/>
            <w:noWrap/>
            <w:vAlign w:val="bottom"/>
            <w:hideMark/>
          </w:tcPr>
          <w:p w14:paraId="15EBBE5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14,6</w:t>
            </w:r>
          </w:p>
        </w:tc>
        <w:tc>
          <w:tcPr>
            <w:tcW w:w="463" w:type="dxa"/>
            <w:shd w:val="clear" w:color="auto" w:fill="auto"/>
            <w:noWrap/>
            <w:vAlign w:val="bottom"/>
            <w:hideMark/>
          </w:tcPr>
          <w:p w14:paraId="0FF20B04"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12,7</w:t>
            </w:r>
          </w:p>
        </w:tc>
        <w:tc>
          <w:tcPr>
            <w:tcW w:w="463" w:type="dxa"/>
            <w:shd w:val="clear" w:color="auto" w:fill="auto"/>
            <w:noWrap/>
            <w:vAlign w:val="bottom"/>
            <w:hideMark/>
          </w:tcPr>
          <w:p w14:paraId="539D5226"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16,6</w:t>
            </w:r>
          </w:p>
        </w:tc>
        <w:tc>
          <w:tcPr>
            <w:tcW w:w="463" w:type="dxa"/>
            <w:shd w:val="clear" w:color="auto" w:fill="auto"/>
            <w:noWrap/>
            <w:vAlign w:val="bottom"/>
            <w:hideMark/>
          </w:tcPr>
          <w:p w14:paraId="55655066"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10,9</w:t>
            </w:r>
          </w:p>
        </w:tc>
        <w:tc>
          <w:tcPr>
            <w:tcW w:w="463" w:type="dxa"/>
            <w:shd w:val="clear" w:color="auto" w:fill="auto"/>
            <w:noWrap/>
            <w:vAlign w:val="bottom"/>
            <w:hideMark/>
          </w:tcPr>
          <w:p w14:paraId="2ACA35A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8,9</w:t>
            </w:r>
          </w:p>
        </w:tc>
        <w:tc>
          <w:tcPr>
            <w:tcW w:w="463" w:type="dxa"/>
            <w:shd w:val="clear" w:color="auto" w:fill="auto"/>
            <w:noWrap/>
            <w:vAlign w:val="bottom"/>
            <w:hideMark/>
          </w:tcPr>
          <w:p w14:paraId="2A79A814"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10,4</w:t>
            </w:r>
          </w:p>
        </w:tc>
      </w:tr>
      <w:tr w:rsidR="00E90769" w:rsidRPr="00404AD7" w14:paraId="3E9A608B" w14:textId="77777777" w:rsidTr="00E53FC8">
        <w:tc>
          <w:tcPr>
            <w:tcW w:w="2298" w:type="dxa"/>
            <w:vMerge/>
            <w:shd w:val="clear" w:color="auto" w:fill="auto"/>
            <w:hideMark/>
          </w:tcPr>
          <w:p w14:paraId="4CA9B993" w14:textId="77777777" w:rsidR="00E90769" w:rsidRPr="00404AD7" w:rsidRDefault="00E90769" w:rsidP="00E53FC8">
            <w:pPr>
              <w:suppressAutoHyphens w:val="0"/>
              <w:spacing w:before="40" w:after="40" w:line="220" w:lineRule="exact"/>
              <w:rPr>
                <w:b/>
                <w:sz w:val="18"/>
                <w:lang w:eastAsia="et-EE"/>
              </w:rPr>
            </w:pPr>
          </w:p>
        </w:tc>
        <w:tc>
          <w:tcPr>
            <w:tcW w:w="1215" w:type="dxa"/>
            <w:shd w:val="clear" w:color="auto" w:fill="auto"/>
            <w:noWrap/>
            <w:vAlign w:val="bottom"/>
            <w:hideMark/>
          </w:tcPr>
          <w:p w14:paraId="26411F4F"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35-44</w:t>
            </w:r>
          </w:p>
        </w:tc>
        <w:tc>
          <w:tcPr>
            <w:tcW w:w="463" w:type="dxa"/>
            <w:shd w:val="clear" w:color="auto" w:fill="auto"/>
            <w:noWrap/>
            <w:vAlign w:val="bottom"/>
            <w:hideMark/>
          </w:tcPr>
          <w:p w14:paraId="2B5AEA8C"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22,1</w:t>
            </w:r>
          </w:p>
        </w:tc>
        <w:tc>
          <w:tcPr>
            <w:tcW w:w="463" w:type="dxa"/>
            <w:shd w:val="clear" w:color="auto" w:fill="auto"/>
            <w:noWrap/>
            <w:vAlign w:val="bottom"/>
            <w:hideMark/>
          </w:tcPr>
          <w:p w14:paraId="59E4D65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21,4</w:t>
            </w:r>
          </w:p>
        </w:tc>
        <w:tc>
          <w:tcPr>
            <w:tcW w:w="463" w:type="dxa"/>
            <w:shd w:val="clear" w:color="auto" w:fill="auto"/>
            <w:noWrap/>
            <w:vAlign w:val="bottom"/>
            <w:hideMark/>
          </w:tcPr>
          <w:p w14:paraId="3AFF035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24,4</w:t>
            </w:r>
          </w:p>
        </w:tc>
        <w:tc>
          <w:tcPr>
            <w:tcW w:w="463" w:type="dxa"/>
            <w:shd w:val="clear" w:color="auto" w:fill="auto"/>
            <w:noWrap/>
            <w:vAlign w:val="bottom"/>
            <w:hideMark/>
          </w:tcPr>
          <w:p w14:paraId="643034F6"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20,1</w:t>
            </w:r>
          </w:p>
        </w:tc>
        <w:tc>
          <w:tcPr>
            <w:tcW w:w="463" w:type="dxa"/>
            <w:shd w:val="clear" w:color="auto" w:fill="auto"/>
            <w:noWrap/>
            <w:vAlign w:val="bottom"/>
            <w:hideMark/>
          </w:tcPr>
          <w:p w14:paraId="286CB416"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17,8</w:t>
            </w:r>
          </w:p>
        </w:tc>
        <w:tc>
          <w:tcPr>
            <w:tcW w:w="463" w:type="dxa"/>
            <w:shd w:val="clear" w:color="auto" w:fill="auto"/>
            <w:noWrap/>
            <w:vAlign w:val="bottom"/>
            <w:hideMark/>
          </w:tcPr>
          <w:p w14:paraId="6D4566FD"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19,7</w:t>
            </w:r>
          </w:p>
        </w:tc>
        <w:tc>
          <w:tcPr>
            <w:tcW w:w="463" w:type="dxa"/>
            <w:shd w:val="clear" w:color="auto" w:fill="auto"/>
            <w:noWrap/>
            <w:vAlign w:val="bottom"/>
            <w:hideMark/>
          </w:tcPr>
          <w:p w14:paraId="1A8CDE31"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18,1</w:t>
            </w:r>
          </w:p>
        </w:tc>
        <w:tc>
          <w:tcPr>
            <w:tcW w:w="463" w:type="dxa"/>
            <w:shd w:val="clear" w:color="auto" w:fill="auto"/>
            <w:noWrap/>
            <w:vAlign w:val="bottom"/>
            <w:hideMark/>
          </w:tcPr>
          <w:p w14:paraId="2934AF08"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17,1</w:t>
            </w:r>
          </w:p>
        </w:tc>
        <w:tc>
          <w:tcPr>
            <w:tcW w:w="463" w:type="dxa"/>
            <w:shd w:val="clear" w:color="auto" w:fill="auto"/>
            <w:noWrap/>
            <w:vAlign w:val="bottom"/>
            <w:hideMark/>
          </w:tcPr>
          <w:p w14:paraId="652B8658"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21,2</w:t>
            </w:r>
          </w:p>
        </w:tc>
        <w:tc>
          <w:tcPr>
            <w:tcW w:w="463" w:type="dxa"/>
            <w:shd w:val="clear" w:color="auto" w:fill="auto"/>
            <w:noWrap/>
            <w:vAlign w:val="bottom"/>
            <w:hideMark/>
          </w:tcPr>
          <w:p w14:paraId="51CDBFE6"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16,6</w:t>
            </w:r>
          </w:p>
        </w:tc>
        <w:tc>
          <w:tcPr>
            <w:tcW w:w="463" w:type="dxa"/>
            <w:shd w:val="clear" w:color="auto" w:fill="auto"/>
            <w:noWrap/>
            <w:vAlign w:val="bottom"/>
            <w:hideMark/>
          </w:tcPr>
          <w:p w14:paraId="5D47C3E7"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13,8</w:t>
            </w:r>
          </w:p>
        </w:tc>
        <w:tc>
          <w:tcPr>
            <w:tcW w:w="463" w:type="dxa"/>
            <w:shd w:val="clear" w:color="auto" w:fill="auto"/>
            <w:noWrap/>
            <w:vAlign w:val="bottom"/>
            <w:hideMark/>
          </w:tcPr>
          <w:p w14:paraId="25335D98"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17,8</w:t>
            </w:r>
          </w:p>
        </w:tc>
      </w:tr>
      <w:tr w:rsidR="00E90769" w:rsidRPr="00404AD7" w14:paraId="25AFF8BD" w14:textId="77777777" w:rsidTr="00E53FC8">
        <w:tc>
          <w:tcPr>
            <w:tcW w:w="2298" w:type="dxa"/>
            <w:vMerge/>
            <w:shd w:val="clear" w:color="auto" w:fill="auto"/>
            <w:hideMark/>
          </w:tcPr>
          <w:p w14:paraId="4376838C" w14:textId="77777777" w:rsidR="00E90769" w:rsidRPr="00404AD7" w:rsidRDefault="00E90769" w:rsidP="00E53FC8">
            <w:pPr>
              <w:suppressAutoHyphens w:val="0"/>
              <w:spacing w:before="40" w:after="40" w:line="220" w:lineRule="exact"/>
              <w:rPr>
                <w:b/>
                <w:sz w:val="18"/>
                <w:lang w:eastAsia="et-EE"/>
              </w:rPr>
            </w:pPr>
          </w:p>
        </w:tc>
        <w:tc>
          <w:tcPr>
            <w:tcW w:w="1215" w:type="dxa"/>
            <w:shd w:val="clear" w:color="auto" w:fill="auto"/>
            <w:noWrap/>
            <w:vAlign w:val="bottom"/>
            <w:hideMark/>
          </w:tcPr>
          <w:p w14:paraId="34A15D8A"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45-54</w:t>
            </w:r>
          </w:p>
        </w:tc>
        <w:tc>
          <w:tcPr>
            <w:tcW w:w="463" w:type="dxa"/>
            <w:shd w:val="clear" w:color="auto" w:fill="auto"/>
            <w:noWrap/>
            <w:vAlign w:val="bottom"/>
            <w:hideMark/>
          </w:tcPr>
          <w:p w14:paraId="2D8E3C2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32,5</w:t>
            </w:r>
          </w:p>
        </w:tc>
        <w:tc>
          <w:tcPr>
            <w:tcW w:w="463" w:type="dxa"/>
            <w:shd w:val="clear" w:color="auto" w:fill="auto"/>
            <w:noWrap/>
            <w:vAlign w:val="bottom"/>
            <w:hideMark/>
          </w:tcPr>
          <w:p w14:paraId="44A6161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37,3</w:t>
            </w:r>
          </w:p>
        </w:tc>
        <w:tc>
          <w:tcPr>
            <w:tcW w:w="463" w:type="dxa"/>
            <w:shd w:val="clear" w:color="auto" w:fill="auto"/>
            <w:noWrap/>
            <w:vAlign w:val="bottom"/>
            <w:hideMark/>
          </w:tcPr>
          <w:p w14:paraId="32A9F7C6"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33,8</w:t>
            </w:r>
          </w:p>
        </w:tc>
        <w:tc>
          <w:tcPr>
            <w:tcW w:w="463" w:type="dxa"/>
            <w:shd w:val="clear" w:color="auto" w:fill="auto"/>
            <w:noWrap/>
            <w:vAlign w:val="bottom"/>
            <w:hideMark/>
          </w:tcPr>
          <w:p w14:paraId="3D934018"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28,0</w:t>
            </w:r>
          </w:p>
        </w:tc>
        <w:tc>
          <w:tcPr>
            <w:tcW w:w="463" w:type="dxa"/>
            <w:shd w:val="clear" w:color="auto" w:fill="auto"/>
            <w:noWrap/>
            <w:vAlign w:val="bottom"/>
            <w:hideMark/>
          </w:tcPr>
          <w:p w14:paraId="550EB867"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33,2</w:t>
            </w:r>
          </w:p>
        </w:tc>
        <w:tc>
          <w:tcPr>
            <w:tcW w:w="463" w:type="dxa"/>
            <w:shd w:val="clear" w:color="auto" w:fill="auto"/>
            <w:noWrap/>
            <w:vAlign w:val="bottom"/>
            <w:hideMark/>
          </w:tcPr>
          <w:p w14:paraId="30C51F8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28,4</w:t>
            </w:r>
          </w:p>
        </w:tc>
        <w:tc>
          <w:tcPr>
            <w:tcW w:w="463" w:type="dxa"/>
            <w:shd w:val="clear" w:color="auto" w:fill="auto"/>
            <w:noWrap/>
            <w:vAlign w:val="bottom"/>
            <w:hideMark/>
          </w:tcPr>
          <w:p w14:paraId="155795A0"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30,2</w:t>
            </w:r>
          </w:p>
        </w:tc>
        <w:tc>
          <w:tcPr>
            <w:tcW w:w="463" w:type="dxa"/>
            <w:shd w:val="clear" w:color="auto" w:fill="auto"/>
            <w:noWrap/>
            <w:vAlign w:val="bottom"/>
            <w:hideMark/>
          </w:tcPr>
          <w:p w14:paraId="5C13E03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30,2</w:t>
            </w:r>
          </w:p>
        </w:tc>
        <w:tc>
          <w:tcPr>
            <w:tcW w:w="463" w:type="dxa"/>
            <w:shd w:val="clear" w:color="auto" w:fill="auto"/>
            <w:noWrap/>
            <w:vAlign w:val="bottom"/>
            <w:hideMark/>
          </w:tcPr>
          <w:p w14:paraId="018D3D3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32,8</w:t>
            </w:r>
          </w:p>
        </w:tc>
        <w:tc>
          <w:tcPr>
            <w:tcW w:w="463" w:type="dxa"/>
            <w:shd w:val="clear" w:color="auto" w:fill="auto"/>
            <w:noWrap/>
            <w:vAlign w:val="bottom"/>
            <w:hideMark/>
          </w:tcPr>
          <w:p w14:paraId="2272AA1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27,3</w:t>
            </w:r>
          </w:p>
        </w:tc>
        <w:tc>
          <w:tcPr>
            <w:tcW w:w="463" w:type="dxa"/>
            <w:shd w:val="clear" w:color="auto" w:fill="auto"/>
            <w:noWrap/>
            <w:vAlign w:val="bottom"/>
            <w:hideMark/>
          </w:tcPr>
          <w:p w14:paraId="23F4344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24,4</w:t>
            </w:r>
          </w:p>
        </w:tc>
        <w:tc>
          <w:tcPr>
            <w:tcW w:w="463" w:type="dxa"/>
            <w:shd w:val="clear" w:color="auto" w:fill="auto"/>
            <w:noWrap/>
            <w:vAlign w:val="bottom"/>
            <w:hideMark/>
          </w:tcPr>
          <w:p w14:paraId="6A85AFA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25,4</w:t>
            </w:r>
          </w:p>
        </w:tc>
      </w:tr>
      <w:tr w:rsidR="00E90769" w:rsidRPr="00404AD7" w14:paraId="08EE3E2A" w14:textId="77777777" w:rsidTr="00E53FC8">
        <w:tc>
          <w:tcPr>
            <w:tcW w:w="2298" w:type="dxa"/>
            <w:vMerge/>
            <w:shd w:val="clear" w:color="auto" w:fill="auto"/>
            <w:hideMark/>
          </w:tcPr>
          <w:p w14:paraId="6AE637D6" w14:textId="77777777" w:rsidR="00E90769" w:rsidRPr="00404AD7" w:rsidRDefault="00E90769" w:rsidP="00E53FC8">
            <w:pPr>
              <w:suppressAutoHyphens w:val="0"/>
              <w:spacing w:before="40" w:after="40" w:line="220" w:lineRule="exact"/>
              <w:rPr>
                <w:b/>
                <w:sz w:val="18"/>
                <w:lang w:eastAsia="et-EE"/>
              </w:rPr>
            </w:pPr>
          </w:p>
        </w:tc>
        <w:tc>
          <w:tcPr>
            <w:tcW w:w="1215" w:type="dxa"/>
            <w:shd w:val="clear" w:color="auto" w:fill="auto"/>
            <w:noWrap/>
            <w:vAlign w:val="bottom"/>
            <w:hideMark/>
          </w:tcPr>
          <w:p w14:paraId="1CF8EA08"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55-64</w:t>
            </w:r>
          </w:p>
        </w:tc>
        <w:tc>
          <w:tcPr>
            <w:tcW w:w="463" w:type="dxa"/>
            <w:shd w:val="clear" w:color="auto" w:fill="auto"/>
            <w:noWrap/>
            <w:vAlign w:val="bottom"/>
            <w:hideMark/>
          </w:tcPr>
          <w:p w14:paraId="1436EDE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47,8</w:t>
            </w:r>
          </w:p>
        </w:tc>
        <w:tc>
          <w:tcPr>
            <w:tcW w:w="463" w:type="dxa"/>
            <w:shd w:val="clear" w:color="auto" w:fill="auto"/>
            <w:noWrap/>
            <w:vAlign w:val="bottom"/>
            <w:hideMark/>
          </w:tcPr>
          <w:p w14:paraId="1A527FB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46,7</w:t>
            </w:r>
          </w:p>
        </w:tc>
        <w:tc>
          <w:tcPr>
            <w:tcW w:w="463" w:type="dxa"/>
            <w:shd w:val="clear" w:color="auto" w:fill="auto"/>
            <w:noWrap/>
            <w:vAlign w:val="bottom"/>
            <w:hideMark/>
          </w:tcPr>
          <w:p w14:paraId="69F9F7BA"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46,0</w:t>
            </w:r>
          </w:p>
        </w:tc>
        <w:tc>
          <w:tcPr>
            <w:tcW w:w="463" w:type="dxa"/>
            <w:shd w:val="clear" w:color="auto" w:fill="auto"/>
            <w:noWrap/>
            <w:vAlign w:val="bottom"/>
            <w:hideMark/>
          </w:tcPr>
          <w:p w14:paraId="35A1848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45,3</w:t>
            </w:r>
          </w:p>
        </w:tc>
        <w:tc>
          <w:tcPr>
            <w:tcW w:w="463" w:type="dxa"/>
            <w:shd w:val="clear" w:color="auto" w:fill="auto"/>
            <w:noWrap/>
            <w:vAlign w:val="bottom"/>
            <w:hideMark/>
          </w:tcPr>
          <w:p w14:paraId="1065B604"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43,2</w:t>
            </w:r>
          </w:p>
        </w:tc>
        <w:tc>
          <w:tcPr>
            <w:tcW w:w="463" w:type="dxa"/>
            <w:shd w:val="clear" w:color="auto" w:fill="auto"/>
            <w:noWrap/>
            <w:vAlign w:val="bottom"/>
            <w:hideMark/>
          </w:tcPr>
          <w:p w14:paraId="290466CF"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42,9</w:t>
            </w:r>
          </w:p>
        </w:tc>
        <w:tc>
          <w:tcPr>
            <w:tcW w:w="463" w:type="dxa"/>
            <w:shd w:val="clear" w:color="auto" w:fill="auto"/>
            <w:noWrap/>
            <w:vAlign w:val="bottom"/>
            <w:hideMark/>
          </w:tcPr>
          <w:p w14:paraId="28E8E53F"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49,4</w:t>
            </w:r>
          </w:p>
        </w:tc>
        <w:tc>
          <w:tcPr>
            <w:tcW w:w="463" w:type="dxa"/>
            <w:shd w:val="clear" w:color="auto" w:fill="auto"/>
            <w:noWrap/>
            <w:vAlign w:val="bottom"/>
            <w:hideMark/>
          </w:tcPr>
          <w:p w14:paraId="09AF77C2"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48,0</w:t>
            </w:r>
          </w:p>
        </w:tc>
        <w:tc>
          <w:tcPr>
            <w:tcW w:w="463" w:type="dxa"/>
            <w:shd w:val="clear" w:color="auto" w:fill="auto"/>
            <w:noWrap/>
            <w:vAlign w:val="bottom"/>
            <w:hideMark/>
          </w:tcPr>
          <w:p w14:paraId="2B92071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45,0</w:t>
            </w:r>
          </w:p>
        </w:tc>
        <w:tc>
          <w:tcPr>
            <w:tcW w:w="463" w:type="dxa"/>
            <w:shd w:val="clear" w:color="auto" w:fill="auto"/>
            <w:noWrap/>
            <w:vAlign w:val="bottom"/>
            <w:hideMark/>
          </w:tcPr>
          <w:p w14:paraId="1C2717B6"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44,2</w:t>
            </w:r>
          </w:p>
        </w:tc>
        <w:tc>
          <w:tcPr>
            <w:tcW w:w="463" w:type="dxa"/>
            <w:shd w:val="clear" w:color="auto" w:fill="auto"/>
            <w:noWrap/>
            <w:vAlign w:val="bottom"/>
            <w:hideMark/>
          </w:tcPr>
          <w:p w14:paraId="22C55B7D"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41,8</w:t>
            </w:r>
          </w:p>
        </w:tc>
        <w:tc>
          <w:tcPr>
            <w:tcW w:w="463" w:type="dxa"/>
            <w:shd w:val="clear" w:color="auto" w:fill="auto"/>
            <w:noWrap/>
            <w:vAlign w:val="bottom"/>
            <w:hideMark/>
          </w:tcPr>
          <w:p w14:paraId="085390FF"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43,1</w:t>
            </w:r>
          </w:p>
        </w:tc>
      </w:tr>
      <w:tr w:rsidR="00E90769" w:rsidRPr="00404AD7" w14:paraId="234B1B01" w14:textId="77777777" w:rsidTr="00E53FC8">
        <w:tc>
          <w:tcPr>
            <w:tcW w:w="2298" w:type="dxa"/>
            <w:vMerge/>
            <w:shd w:val="clear" w:color="auto" w:fill="auto"/>
            <w:hideMark/>
          </w:tcPr>
          <w:p w14:paraId="36D37539" w14:textId="77777777" w:rsidR="00E90769" w:rsidRPr="00404AD7" w:rsidRDefault="00E90769" w:rsidP="00E53FC8">
            <w:pPr>
              <w:suppressAutoHyphens w:val="0"/>
              <w:spacing w:before="40" w:after="40" w:line="220" w:lineRule="exact"/>
              <w:rPr>
                <w:b/>
                <w:sz w:val="18"/>
                <w:lang w:eastAsia="et-EE"/>
              </w:rPr>
            </w:pPr>
          </w:p>
        </w:tc>
        <w:tc>
          <w:tcPr>
            <w:tcW w:w="1215" w:type="dxa"/>
            <w:shd w:val="clear" w:color="auto" w:fill="auto"/>
            <w:noWrap/>
            <w:vAlign w:val="bottom"/>
            <w:hideMark/>
          </w:tcPr>
          <w:p w14:paraId="6944ECBD"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65 and older</w:t>
            </w:r>
          </w:p>
        </w:tc>
        <w:tc>
          <w:tcPr>
            <w:tcW w:w="463" w:type="dxa"/>
            <w:shd w:val="clear" w:color="auto" w:fill="auto"/>
            <w:noWrap/>
            <w:vAlign w:val="bottom"/>
            <w:hideMark/>
          </w:tcPr>
          <w:p w14:paraId="143AF11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52,5</w:t>
            </w:r>
          </w:p>
        </w:tc>
        <w:tc>
          <w:tcPr>
            <w:tcW w:w="463" w:type="dxa"/>
            <w:shd w:val="clear" w:color="auto" w:fill="auto"/>
            <w:noWrap/>
            <w:vAlign w:val="bottom"/>
            <w:hideMark/>
          </w:tcPr>
          <w:p w14:paraId="3440D94D"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48,5</w:t>
            </w:r>
          </w:p>
        </w:tc>
        <w:tc>
          <w:tcPr>
            <w:tcW w:w="463" w:type="dxa"/>
            <w:shd w:val="clear" w:color="auto" w:fill="auto"/>
            <w:noWrap/>
            <w:vAlign w:val="bottom"/>
            <w:hideMark/>
          </w:tcPr>
          <w:p w14:paraId="36DD2ACD"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50,3</w:t>
            </w:r>
          </w:p>
        </w:tc>
        <w:tc>
          <w:tcPr>
            <w:tcW w:w="463" w:type="dxa"/>
            <w:shd w:val="clear" w:color="auto" w:fill="auto"/>
            <w:noWrap/>
            <w:vAlign w:val="bottom"/>
            <w:hideMark/>
          </w:tcPr>
          <w:p w14:paraId="5DBFCD6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51,2</w:t>
            </w:r>
          </w:p>
        </w:tc>
        <w:tc>
          <w:tcPr>
            <w:tcW w:w="463" w:type="dxa"/>
            <w:shd w:val="clear" w:color="auto" w:fill="auto"/>
            <w:noWrap/>
            <w:vAlign w:val="bottom"/>
            <w:hideMark/>
          </w:tcPr>
          <w:p w14:paraId="22385EA2"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50,5</w:t>
            </w:r>
          </w:p>
        </w:tc>
        <w:tc>
          <w:tcPr>
            <w:tcW w:w="463" w:type="dxa"/>
            <w:shd w:val="clear" w:color="auto" w:fill="auto"/>
            <w:noWrap/>
            <w:vAlign w:val="bottom"/>
            <w:hideMark/>
          </w:tcPr>
          <w:p w14:paraId="679341B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48,8</w:t>
            </w:r>
          </w:p>
        </w:tc>
        <w:tc>
          <w:tcPr>
            <w:tcW w:w="463" w:type="dxa"/>
            <w:shd w:val="clear" w:color="auto" w:fill="auto"/>
            <w:noWrap/>
            <w:vAlign w:val="bottom"/>
            <w:hideMark/>
          </w:tcPr>
          <w:p w14:paraId="174E0E8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47,2</w:t>
            </w:r>
          </w:p>
        </w:tc>
        <w:tc>
          <w:tcPr>
            <w:tcW w:w="463" w:type="dxa"/>
            <w:shd w:val="clear" w:color="auto" w:fill="auto"/>
            <w:noWrap/>
            <w:vAlign w:val="bottom"/>
            <w:hideMark/>
          </w:tcPr>
          <w:p w14:paraId="288F6E11"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48,9</w:t>
            </w:r>
          </w:p>
        </w:tc>
        <w:tc>
          <w:tcPr>
            <w:tcW w:w="463" w:type="dxa"/>
            <w:shd w:val="clear" w:color="auto" w:fill="auto"/>
            <w:noWrap/>
            <w:vAlign w:val="bottom"/>
            <w:hideMark/>
          </w:tcPr>
          <w:p w14:paraId="217E37AD"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47,2</w:t>
            </w:r>
          </w:p>
        </w:tc>
        <w:tc>
          <w:tcPr>
            <w:tcW w:w="463" w:type="dxa"/>
            <w:shd w:val="clear" w:color="auto" w:fill="auto"/>
            <w:noWrap/>
            <w:vAlign w:val="bottom"/>
            <w:hideMark/>
          </w:tcPr>
          <w:p w14:paraId="022AB5DA"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49,7</w:t>
            </w:r>
          </w:p>
        </w:tc>
        <w:tc>
          <w:tcPr>
            <w:tcW w:w="463" w:type="dxa"/>
            <w:shd w:val="clear" w:color="auto" w:fill="auto"/>
            <w:noWrap/>
            <w:vAlign w:val="bottom"/>
            <w:hideMark/>
          </w:tcPr>
          <w:p w14:paraId="3B8F230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51,6</w:t>
            </w:r>
          </w:p>
        </w:tc>
        <w:tc>
          <w:tcPr>
            <w:tcW w:w="463" w:type="dxa"/>
            <w:shd w:val="clear" w:color="auto" w:fill="auto"/>
            <w:noWrap/>
            <w:vAlign w:val="bottom"/>
            <w:hideMark/>
          </w:tcPr>
          <w:p w14:paraId="7D403556"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49,3</w:t>
            </w:r>
          </w:p>
        </w:tc>
      </w:tr>
      <w:tr w:rsidR="00E90769" w:rsidRPr="00404AD7" w14:paraId="63EE5E5D" w14:textId="77777777" w:rsidTr="00E53FC8">
        <w:tc>
          <w:tcPr>
            <w:tcW w:w="2298" w:type="dxa"/>
            <w:vMerge w:val="restart"/>
            <w:shd w:val="clear" w:color="auto" w:fill="auto"/>
            <w:noWrap/>
            <w:hideMark/>
          </w:tcPr>
          <w:p w14:paraId="1357CB75" w14:textId="77777777" w:rsidR="00E90769" w:rsidRPr="00404AD7" w:rsidRDefault="00E90769" w:rsidP="00E53FC8">
            <w:pPr>
              <w:suppressAutoHyphens w:val="0"/>
              <w:spacing w:before="40" w:after="40" w:line="220" w:lineRule="exact"/>
              <w:rPr>
                <w:b/>
                <w:sz w:val="18"/>
                <w:lang w:eastAsia="et-EE"/>
              </w:rPr>
            </w:pPr>
            <w:r w:rsidRPr="00404AD7">
              <w:rPr>
                <w:b/>
                <w:sz w:val="18"/>
                <w:lang w:eastAsia="et-EE"/>
              </w:rPr>
              <w:t>Bad or very bad</w:t>
            </w:r>
          </w:p>
        </w:tc>
        <w:tc>
          <w:tcPr>
            <w:tcW w:w="1215" w:type="dxa"/>
            <w:shd w:val="clear" w:color="auto" w:fill="auto"/>
            <w:noWrap/>
            <w:vAlign w:val="bottom"/>
            <w:hideMark/>
          </w:tcPr>
          <w:p w14:paraId="2A251608"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16-24</w:t>
            </w:r>
          </w:p>
        </w:tc>
        <w:tc>
          <w:tcPr>
            <w:tcW w:w="463" w:type="dxa"/>
            <w:shd w:val="clear" w:color="auto" w:fill="auto"/>
            <w:noWrap/>
            <w:vAlign w:val="bottom"/>
            <w:hideMark/>
          </w:tcPr>
          <w:p w14:paraId="6BCAF22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3,2</w:t>
            </w:r>
          </w:p>
        </w:tc>
        <w:tc>
          <w:tcPr>
            <w:tcW w:w="463" w:type="dxa"/>
            <w:shd w:val="clear" w:color="auto" w:fill="auto"/>
            <w:noWrap/>
            <w:vAlign w:val="bottom"/>
            <w:hideMark/>
          </w:tcPr>
          <w:p w14:paraId="63B93D7A"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w:t>
            </w:r>
          </w:p>
        </w:tc>
        <w:tc>
          <w:tcPr>
            <w:tcW w:w="463" w:type="dxa"/>
            <w:shd w:val="clear" w:color="auto" w:fill="auto"/>
            <w:noWrap/>
            <w:vAlign w:val="bottom"/>
            <w:hideMark/>
          </w:tcPr>
          <w:p w14:paraId="547853DA"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2,7</w:t>
            </w:r>
          </w:p>
        </w:tc>
        <w:tc>
          <w:tcPr>
            <w:tcW w:w="463" w:type="dxa"/>
            <w:shd w:val="clear" w:color="auto" w:fill="auto"/>
            <w:noWrap/>
            <w:vAlign w:val="bottom"/>
            <w:hideMark/>
          </w:tcPr>
          <w:p w14:paraId="2735A691"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w:t>
            </w:r>
          </w:p>
        </w:tc>
        <w:tc>
          <w:tcPr>
            <w:tcW w:w="463" w:type="dxa"/>
            <w:shd w:val="clear" w:color="auto" w:fill="auto"/>
            <w:noWrap/>
            <w:vAlign w:val="bottom"/>
            <w:hideMark/>
          </w:tcPr>
          <w:p w14:paraId="5043D062"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w:t>
            </w:r>
          </w:p>
        </w:tc>
        <w:tc>
          <w:tcPr>
            <w:tcW w:w="463" w:type="dxa"/>
            <w:shd w:val="clear" w:color="auto" w:fill="auto"/>
            <w:noWrap/>
            <w:vAlign w:val="bottom"/>
            <w:hideMark/>
          </w:tcPr>
          <w:p w14:paraId="549E12EC"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w:t>
            </w:r>
          </w:p>
        </w:tc>
        <w:tc>
          <w:tcPr>
            <w:tcW w:w="463" w:type="dxa"/>
            <w:shd w:val="clear" w:color="auto" w:fill="auto"/>
            <w:noWrap/>
            <w:vAlign w:val="bottom"/>
            <w:hideMark/>
          </w:tcPr>
          <w:p w14:paraId="4F48C0F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w:t>
            </w:r>
          </w:p>
        </w:tc>
        <w:tc>
          <w:tcPr>
            <w:tcW w:w="463" w:type="dxa"/>
            <w:shd w:val="clear" w:color="auto" w:fill="auto"/>
            <w:noWrap/>
            <w:vAlign w:val="bottom"/>
            <w:hideMark/>
          </w:tcPr>
          <w:p w14:paraId="351FF71C"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w:t>
            </w:r>
          </w:p>
        </w:tc>
        <w:tc>
          <w:tcPr>
            <w:tcW w:w="463" w:type="dxa"/>
            <w:shd w:val="clear" w:color="auto" w:fill="auto"/>
            <w:noWrap/>
            <w:vAlign w:val="bottom"/>
            <w:hideMark/>
          </w:tcPr>
          <w:p w14:paraId="2657C12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w:t>
            </w:r>
          </w:p>
        </w:tc>
        <w:tc>
          <w:tcPr>
            <w:tcW w:w="463" w:type="dxa"/>
            <w:shd w:val="clear" w:color="auto" w:fill="auto"/>
            <w:noWrap/>
            <w:vAlign w:val="bottom"/>
            <w:hideMark/>
          </w:tcPr>
          <w:p w14:paraId="0F9A59DA"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w:t>
            </w:r>
          </w:p>
        </w:tc>
        <w:tc>
          <w:tcPr>
            <w:tcW w:w="463" w:type="dxa"/>
            <w:shd w:val="clear" w:color="auto" w:fill="auto"/>
            <w:noWrap/>
            <w:vAlign w:val="bottom"/>
            <w:hideMark/>
          </w:tcPr>
          <w:p w14:paraId="2F75C1C2"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w:t>
            </w:r>
          </w:p>
        </w:tc>
        <w:tc>
          <w:tcPr>
            <w:tcW w:w="463" w:type="dxa"/>
            <w:shd w:val="clear" w:color="auto" w:fill="auto"/>
            <w:noWrap/>
            <w:vAlign w:val="bottom"/>
            <w:hideMark/>
          </w:tcPr>
          <w:p w14:paraId="539706D8"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3,1</w:t>
            </w:r>
          </w:p>
        </w:tc>
      </w:tr>
      <w:tr w:rsidR="00E90769" w:rsidRPr="00404AD7" w14:paraId="01A62BB7" w14:textId="77777777" w:rsidTr="00E53FC8">
        <w:tc>
          <w:tcPr>
            <w:tcW w:w="2298" w:type="dxa"/>
            <w:vMerge/>
            <w:shd w:val="clear" w:color="auto" w:fill="auto"/>
            <w:hideMark/>
          </w:tcPr>
          <w:p w14:paraId="4AA70414" w14:textId="77777777" w:rsidR="00E90769" w:rsidRPr="00404AD7" w:rsidRDefault="00E90769" w:rsidP="00E53FC8">
            <w:pPr>
              <w:suppressAutoHyphens w:val="0"/>
              <w:spacing w:before="40" w:after="40" w:line="220" w:lineRule="exact"/>
              <w:rPr>
                <w:b/>
                <w:sz w:val="18"/>
                <w:szCs w:val="18"/>
                <w:lang w:eastAsia="et-EE"/>
              </w:rPr>
            </w:pPr>
          </w:p>
        </w:tc>
        <w:tc>
          <w:tcPr>
            <w:tcW w:w="1215" w:type="dxa"/>
            <w:shd w:val="clear" w:color="auto" w:fill="auto"/>
            <w:noWrap/>
            <w:vAlign w:val="bottom"/>
            <w:hideMark/>
          </w:tcPr>
          <w:p w14:paraId="04545B7F"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25-34</w:t>
            </w:r>
          </w:p>
        </w:tc>
        <w:tc>
          <w:tcPr>
            <w:tcW w:w="463" w:type="dxa"/>
            <w:shd w:val="clear" w:color="auto" w:fill="auto"/>
            <w:noWrap/>
            <w:vAlign w:val="bottom"/>
            <w:hideMark/>
          </w:tcPr>
          <w:p w14:paraId="3346BDA7"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4,0</w:t>
            </w:r>
          </w:p>
        </w:tc>
        <w:tc>
          <w:tcPr>
            <w:tcW w:w="463" w:type="dxa"/>
            <w:shd w:val="clear" w:color="auto" w:fill="auto"/>
            <w:noWrap/>
            <w:vAlign w:val="bottom"/>
            <w:hideMark/>
          </w:tcPr>
          <w:p w14:paraId="3BE6711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3,1</w:t>
            </w:r>
          </w:p>
        </w:tc>
        <w:tc>
          <w:tcPr>
            <w:tcW w:w="463" w:type="dxa"/>
            <w:shd w:val="clear" w:color="auto" w:fill="auto"/>
            <w:noWrap/>
            <w:vAlign w:val="bottom"/>
            <w:hideMark/>
          </w:tcPr>
          <w:p w14:paraId="128CFC10"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4,9</w:t>
            </w:r>
          </w:p>
        </w:tc>
        <w:tc>
          <w:tcPr>
            <w:tcW w:w="463" w:type="dxa"/>
            <w:shd w:val="clear" w:color="auto" w:fill="auto"/>
            <w:noWrap/>
            <w:vAlign w:val="bottom"/>
            <w:hideMark/>
          </w:tcPr>
          <w:p w14:paraId="45AEA597"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3,2</w:t>
            </w:r>
          </w:p>
        </w:tc>
        <w:tc>
          <w:tcPr>
            <w:tcW w:w="463" w:type="dxa"/>
            <w:shd w:val="clear" w:color="auto" w:fill="auto"/>
            <w:noWrap/>
            <w:vAlign w:val="bottom"/>
            <w:hideMark/>
          </w:tcPr>
          <w:p w14:paraId="5813590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2,7</w:t>
            </w:r>
          </w:p>
        </w:tc>
        <w:tc>
          <w:tcPr>
            <w:tcW w:w="463" w:type="dxa"/>
            <w:shd w:val="clear" w:color="auto" w:fill="auto"/>
            <w:noWrap/>
            <w:vAlign w:val="bottom"/>
            <w:hideMark/>
          </w:tcPr>
          <w:p w14:paraId="794B9D8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4,1</w:t>
            </w:r>
          </w:p>
        </w:tc>
        <w:tc>
          <w:tcPr>
            <w:tcW w:w="463" w:type="dxa"/>
            <w:shd w:val="clear" w:color="auto" w:fill="auto"/>
            <w:noWrap/>
            <w:vAlign w:val="bottom"/>
            <w:hideMark/>
          </w:tcPr>
          <w:p w14:paraId="64E786D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2,2</w:t>
            </w:r>
          </w:p>
        </w:tc>
        <w:tc>
          <w:tcPr>
            <w:tcW w:w="463" w:type="dxa"/>
            <w:shd w:val="clear" w:color="auto" w:fill="auto"/>
            <w:noWrap/>
            <w:vAlign w:val="bottom"/>
            <w:hideMark/>
          </w:tcPr>
          <w:p w14:paraId="212D6397"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w:t>
            </w:r>
          </w:p>
        </w:tc>
        <w:tc>
          <w:tcPr>
            <w:tcW w:w="463" w:type="dxa"/>
            <w:shd w:val="clear" w:color="auto" w:fill="auto"/>
            <w:noWrap/>
            <w:vAlign w:val="bottom"/>
            <w:hideMark/>
          </w:tcPr>
          <w:p w14:paraId="65525E2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2,7</w:t>
            </w:r>
          </w:p>
        </w:tc>
        <w:tc>
          <w:tcPr>
            <w:tcW w:w="463" w:type="dxa"/>
            <w:shd w:val="clear" w:color="auto" w:fill="auto"/>
            <w:noWrap/>
            <w:vAlign w:val="bottom"/>
            <w:hideMark/>
          </w:tcPr>
          <w:p w14:paraId="23F24D18"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w:t>
            </w:r>
          </w:p>
        </w:tc>
        <w:tc>
          <w:tcPr>
            <w:tcW w:w="463" w:type="dxa"/>
            <w:shd w:val="clear" w:color="auto" w:fill="auto"/>
            <w:noWrap/>
            <w:vAlign w:val="bottom"/>
            <w:hideMark/>
          </w:tcPr>
          <w:p w14:paraId="2184462C"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w:t>
            </w:r>
          </w:p>
        </w:tc>
        <w:tc>
          <w:tcPr>
            <w:tcW w:w="463" w:type="dxa"/>
            <w:shd w:val="clear" w:color="auto" w:fill="auto"/>
            <w:noWrap/>
            <w:vAlign w:val="bottom"/>
            <w:hideMark/>
          </w:tcPr>
          <w:p w14:paraId="6A84BF27"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w:t>
            </w:r>
          </w:p>
        </w:tc>
      </w:tr>
      <w:tr w:rsidR="00E90769" w:rsidRPr="00404AD7" w14:paraId="7BC69C64" w14:textId="77777777" w:rsidTr="00E53FC8">
        <w:tc>
          <w:tcPr>
            <w:tcW w:w="2298" w:type="dxa"/>
            <w:vMerge/>
            <w:shd w:val="clear" w:color="auto" w:fill="auto"/>
            <w:hideMark/>
          </w:tcPr>
          <w:p w14:paraId="5EE7B836" w14:textId="77777777" w:rsidR="00E90769" w:rsidRPr="00404AD7" w:rsidRDefault="00E90769" w:rsidP="00E53FC8">
            <w:pPr>
              <w:suppressAutoHyphens w:val="0"/>
              <w:spacing w:before="40" w:after="40" w:line="220" w:lineRule="exact"/>
              <w:rPr>
                <w:b/>
                <w:sz w:val="18"/>
                <w:szCs w:val="18"/>
                <w:lang w:eastAsia="et-EE"/>
              </w:rPr>
            </w:pPr>
          </w:p>
        </w:tc>
        <w:tc>
          <w:tcPr>
            <w:tcW w:w="1215" w:type="dxa"/>
            <w:shd w:val="clear" w:color="auto" w:fill="auto"/>
            <w:noWrap/>
            <w:vAlign w:val="bottom"/>
            <w:hideMark/>
          </w:tcPr>
          <w:p w14:paraId="7A92DA50"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35-44</w:t>
            </w:r>
          </w:p>
        </w:tc>
        <w:tc>
          <w:tcPr>
            <w:tcW w:w="463" w:type="dxa"/>
            <w:shd w:val="clear" w:color="auto" w:fill="auto"/>
            <w:noWrap/>
            <w:vAlign w:val="bottom"/>
            <w:hideMark/>
          </w:tcPr>
          <w:p w14:paraId="6ECE2D8A"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4,0</w:t>
            </w:r>
          </w:p>
        </w:tc>
        <w:tc>
          <w:tcPr>
            <w:tcW w:w="463" w:type="dxa"/>
            <w:shd w:val="clear" w:color="auto" w:fill="auto"/>
            <w:noWrap/>
            <w:vAlign w:val="bottom"/>
            <w:hideMark/>
          </w:tcPr>
          <w:p w14:paraId="76B5F85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3,3</w:t>
            </w:r>
          </w:p>
        </w:tc>
        <w:tc>
          <w:tcPr>
            <w:tcW w:w="463" w:type="dxa"/>
            <w:shd w:val="clear" w:color="auto" w:fill="auto"/>
            <w:noWrap/>
            <w:vAlign w:val="bottom"/>
            <w:hideMark/>
          </w:tcPr>
          <w:p w14:paraId="3E0559D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5,5</w:t>
            </w:r>
          </w:p>
        </w:tc>
        <w:tc>
          <w:tcPr>
            <w:tcW w:w="463" w:type="dxa"/>
            <w:shd w:val="clear" w:color="auto" w:fill="auto"/>
            <w:noWrap/>
            <w:vAlign w:val="bottom"/>
            <w:hideMark/>
          </w:tcPr>
          <w:p w14:paraId="6E54F33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4,8</w:t>
            </w:r>
          </w:p>
        </w:tc>
        <w:tc>
          <w:tcPr>
            <w:tcW w:w="463" w:type="dxa"/>
            <w:shd w:val="clear" w:color="auto" w:fill="auto"/>
            <w:noWrap/>
            <w:vAlign w:val="bottom"/>
            <w:hideMark/>
          </w:tcPr>
          <w:p w14:paraId="4C03317D"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3,6</w:t>
            </w:r>
          </w:p>
        </w:tc>
        <w:tc>
          <w:tcPr>
            <w:tcW w:w="463" w:type="dxa"/>
            <w:shd w:val="clear" w:color="auto" w:fill="auto"/>
            <w:noWrap/>
            <w:vAlign w:val="bottom"/>
            <w:hideMark/>
          </w:tcPr>
          <w:p w14:paraId="318E5E5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6,5</w:t>
            </w:r>
          </w:p>
        </w:tc>
        <w:tc>
          <w:tcPr>
            <w:tcW w:w="463" w:type="dxa"/>
            <w:shd w:val="clear" w:color="auto" w:fill="auto"/>
            <w:noWrap/>
            <w:vAlign w:val="bottom"/>
            <w:hideMark/>
          </w:tcPr>
          <w:p w14:paraId="3DC689A6"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4,8</w:t>
            </w:r>
          </w:p>
        </w:tc>
        <w:tc>
          <w:tcPr>
            <w:tcW w:w="463" w:type="dxa"/>
            <w:shd w:val="clear" w:color="auto" w:fill="auto"/>
            <w:noWrap/>
            <w:vAlign w:val="bottom"/>
            <w:hideMark/>
          </w:tcPr>
          <w:p w14:paraId="049B6ED0"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3,4</w:t>
            </w:r>
          </w:p>
        </w:tc>
        <w:tc>
          <w:tcPr>
            <w:tcW w:w="463" w:type="dxa"/>
            <w:shd w:val="clear" w:color="auto" w:fill="auto"/>
            <w:noWrap/>
            <w:vAlign w:val="bottom"/>
            <w:hideMark/>
          </w:tcPr>
          <w:p w14:paraId="59F6DC4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4,4</w:t>
            </w:r>
          </w:p>
        </w:tc>
        <w:tc>
          <w:tcPr>
            <w:tcW w:w="463" w:type="dxa"/>
            <w:shd w:val="clear" w:color="auto" w:fill="auto"/>
            <w:noWrap/>
            <w:vAlign w:val="bottom"/>
            <w:hideMark/>
          </w:tcPr>
          <w:p w14:paraId="6E6E85C2"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5,1</w:t>
            </w:r>
          </w:p>
        </w:tc>
        <w:tc>
          <w:tcPr>
            <w:tcW w:w="463" w:type="dxa"/>
            <w:shd w:val="clear" w:color="auto" w:fill="auto"/>
            <w:noWrap/>
            <w:vAlign w:val="bottom"/>
            <w:hideMark/>
          </w:tcPr>
          <w:p w14:paraId="210E531F"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3,5</w:t>
            </w:r>
          </w:p>
        </w:tc>
        <w:tc>
          <w:tcPr>
            <w:tcW w:w="463" w:type="dxa"/>
            <w:shd w:val="clear" w:color="auto" w:fill="auto"/>
            <w:noWrap/>
            <w:vAlign w:val="bottom"/>
            <w:hideMark/>
          </w:tcPr>
          <w:p w14:paraId="3D97989D"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3,4</w:t>
            </w:r>
          </w:p>
        </w:tc>
      </w:tr>
      <w:tr w:rsidR="00E90769" w:rsidRPr="00404AD7" w14:paraId="798C300A" w14:textId="77777777" w:rsidTr="00E53FC8">
        <w:tc>
          <w:tcPr>
            <w:tcW w:w="2298" w:type="dxa"/>
            <w:vMerge/>
            <w:shd w:val="clear" w:color="auto" w:fill="auto"/>
            <w:hideMark/>
          </w:tcPr>
          <w:p w14:paraId="0D6AB4F9" w14:textId="77777777" w:rsidR="00E90769" w:rsidRPr="00404AD7" w:rsidRDefault="00E90769" w:rsidP="00E53FC8">
            <w:pPr>
              <w:suppressAutoHyphens w:val="0"/>
              <w:spacing w:before="40" w:after="40" w:line="220" w:lineRule="exact"/>
              <w:rPr>
                <w:b/>
                <w:sz w:val="18"/>
                <w:szCs w:val="18"/>
                <w:lang w:eastAsia="et-EE"/>
              </w:rPr>
            </w:pPr>
          </w:p>
        </w:tc>
        <w:tc>
          <w:tcPr>
            <w:tcW w:w="1215" w:type="dxa"/>
            <w:shd w:val="clear" w:color="auto" w:fill="auto"/>
            <w:noWrap/>
            <w:vAlign w:val="bottom"/>
            <w:hideMark/>
          </w:tcPr>
          <w:p w14:paraId="51AD65AF"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45-54</w:t>
            </w:r>
          </w:p>
        </w:tc>
        <w:tc>
          <w:tcPr>
            <w:tcW w:w="463" w:type="dxa"/>
            <w:shd w:val="clear" w:color="auto" w:fill="auto"/>
            <w:noWrap/>
            <w:vAlign w:val="bottom"/>
            <w:hideMark/>
          </w:tcPr>
          <w:p w14:paraId="0422D161"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9,3</w:t>
            </w:r>
          </w:p>
        </w:tc>
        <w:tc>
          <w:tcPr>
            <w:tcW w:w="463" w:type="dxa"/>
            <w:shd w:val="clear" w:color="auto" w:fill="auto"/>
            <w:noWrap/>
            <w:vAlign w:val="bottom"/>
            <w:hideMark/>
          </w:tcPr>
          <w:p w14:paraId="46C731C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7,7</w:t>
            </w:r>
          </w:p>
        </w:tc>
        <w:tc>
          <w:tcPr>
            <w:tcW w:w="463" w:type="dxa"/>
            <w:shd w:val="clear" w:color="auto" w:fill="auto"/>
            <w:noWrap/>
            <w:vAlign w:val="bottom"/>
            <w:hideMark/>
          </w:tcPr>
          <w:p w14:paraId="62CE952F"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11,3</w:t>
            </w:r>
          </w:p>
        </w:tc>
        <w:tc>
          <w:tcPr>
            <w:tcW w:w="463" w:type="dxa"/>
            <w:shd w:val="clear" w:color="auto" w:fill="auto"/>
            <w:noWrap/>
            <w:vAlign w:val="bottom"/>
            <w:hideMark/>
          </w:tcPr>
          <w:p w14:paraId="2A3E14C0"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11,6</w:t>
            </w:r>
          </w:p>
        </w:tc>
        <w:tc>
          <w:tcPr>
            <w:tcW w:w="463" w:type="dxa"/>
            <w:shd w:val="clear" w:color="auto" w:fill="auto"/>
            <w:noWrap/>
            <w:vAlign w:val="bottom"/>
            <w:hideMark/>
          </w:tcPr>
          <w:p w14:paraId="2AAEDA1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6,8</w:t>
            </w:r>
          </w:p>
        </w:tc>
        <w:tc>
          <w:tcPr>
            <w:tcW w:w="463" w:type="dxa"/>
            <w:shd w:val="clear" w:color="auto" w:fill="auto"/>
            <w:noWrap/>
            <w:vAlign w:val="bottom"/>
            <w:hideMark/>
          </w:tcPr>
          <w:p w14:paraId="10F0D9F4"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8,4</w:t>
            </w:r>
          </w:p>
        </w:tc>
        <w:tc>
          <w:tcPr>
            <w:tcW w:w="463" w:type="dxa"/>
            <w:shd w:val="clear" w:color="auto" w:fill="auto"/>
            <w:noWrap/>
            <w:vAlign w:val="bottom"/>
            <w:hideMark/>
          </w:tcPr>
          <w:p w14:paraId="02E63152"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8,9</w:t>
            </w:r>
          </w:p>
        </w:tc>
        <w:tc>
          <w:tcPr>
            <w:tcW w:w="463" w:type="dxa"/>
            <w:shd w:val="clear" w:color="auto" w:fill="auto"/>
            <w:noWrap/>
            <w:vAlign w:val="bottom"/>
            <w:hideMark/>
          </w:tcPr>
          <w:p w14:paraId="53FEDBCC"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8,4</w:t>
            </w:r>
          </w:p>
        </w:tc>
        <w:tc>
          <w:tcPr>
            <w:tcW w:w="463" w:type="dxa"/>
            <w:shd w:val="clear" w:color="auto" w:fill="auto"/>
            <w:noWrap/>
            <w:vAlign w:val="bottom"/>
            <w:hideMark/>
          </w:tcPr>
          <w:p w14:paraId="7343061D"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7,3</w:t>
            </w:r>
          </w:p>
        </w:tc>
        <w:tc>
          <w:tcPr>
            <w:tcW w:w="463" w:type="dxa"/>
            <w:shd w:val="clear" w:color="auto" w:fill="auto"/>
            <w:noWrap/>
            <w:vAlign w:val="bottom"/>
            <w:hideMark/>
          </w:tcPr>
          <w:p w14:paraId="6D4E71A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8,2</w:t>
            </w:r>
          </w:p>
        </w:tc>
        <w:tc>
          <w:tcPr>
            <w:tcW w:w="463" w:type="dxa"/>
            <w:shd w:val="clear" w:color="auto" w:fill="auto"/>
            <w:noWrap/>
            <w:vAlign w:val="bottom"/>
            <w:hideMark/>
          </w:tcPr>
          <w:p w14:paraId="756C16D2"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6,4</w:t>
            </w:r>
          </w:p>
        </w:tc>
        <w:tc>
          <w:tcPr>
            <w:tcW w:w="463" w:type="dxa"/>
            <w:shd w:val="clear" w:color="auto" w:fill="auto"/>
            <w:noWrap/>
            <w:vAlign w:val="bottom"/>
            <w:hideMark/>
          </w:tcPr>
          <w:p w14:paraId="4EB464CF"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7,4</w:t>
            </w:r>
          </w:p>
        </w:tc>
      </w:tr>
      <w:tr w:rsidR="00E90769" w:rsidRPr="00404AD7" w14:paraId="6290E86E" w14:textId="77777777" w:rsidTr="00E53FC8">
        <w:tc>
          <w:tcPr>
            <w:tcW w:w="2298" w:type="dxa"/>
            <w:vMerge/>
            <w:shd w:val="clear" w:color="auto" w:fill="auto"/>
            <w:hideMark/>
          </w:tcPr>
          <w:p w14:paraId="121BDD7B" w14:textId="77777777" w:rsidR="00E90769" w:rsidRPr="00404AD7" w:rsidRDefault="00E90769" w:rsidP="00E53FC8">
            <w:pPr>
              <w:suppressAutoHyphens w:val="0"/>
              <w:spacing w:before="40" w:after="40" w:line="220" w:lineRule="exact"/>
              <w:rPr>
                <w:b/>
                <w:sz w:val="18"/>
                <w:szCs w:val="18"/>
                <w:lang w:eastAsia="et-EE"/>
              </w:rPr>
            </w:pPr>
          </w:p>
        </w:tc>
        <w:tc>
          <w:tcPr>
            <w:tcW w:w="1215" w:type="dxa"/>
            <w:shd w:val="clear" w:color="auto" w:fill="auto"/>
            <w:noWrap/>
            <w:vAlign w:val="bottom"/>
            <w:hideMark/>
          </w:tcPr>
          <w:p w14:paraId="520C763F"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55-64</w:t>
            </w:r>
          </w:p>
        </w:tc>
        <w:tc>
          <w:tcPr>
            <w:tcW w:w="463" w:type="dxa"/>
            <w:shd w:val="clear" w:color="auto" w:fill="auto"/>
            <w:noWrap/>
            <w:vAlign w:val="bottom"/>
            <w:hideMark/>
          </w:tcPr>
          <w:p w14:paraId="4321426D"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19,4</w:t>
            </w:r>
          </w:p>
        </w:tc>
        <w:tc>
          <w:tcPr>
            <w:tcW w:w="463" w:type="dxa"/>
            <w:shd w:val="clear" w:color="auto" w:fill="auto"/>
            <w:noWrap/>
            <w:vAlign w:val="bottom"/>
            <w:hideMark/>
          </w:tcPr>
          <w:p w14:paraId="6DFE2CE2"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19,8</w:t>
            </w:r>
          </w:p>
        </w:tc>
        <w:tc>
          <w:tcPr>
            <w:tcW w:w="463" w:type="dxa"/>
            <w:shd w:val="clear" w:color="auto" w:fill="auto"/>
            <w:noWrap/>
            <w:vAlign w:val="bottom"/>
            <w:hideMark/>
          </w:tcPr>
          <w:p w14:paraId="4B0CB96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19,8</w:t>
            </w:r>
          </w:p>
        </w:tc>
        <w:tc>
          <w:tcPr>
            <w:tcW w:w="463" w:type="dxa"/>
            <w:shd w:val="clear" w:color="auto" w:fill="auto"/>
            <w:noWrap/>
            <w:vAlign w:val="bottom"/>
            <w:hideMark/>
          </w:tcPr>
          <w:p w14:paraId="4231CCC8"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17,9</w:t>
            </w:r>
          </w:p>
        </w:tc>
        <w:tc>
          <w:tcPr>
            <w:tcW w:w="463" w:type="dxa"/>
            <w:shd w:val="clear" w:color="auto" w:fill="auto"/>
            <w:noWrap/>
            <w:vAlign w:val="bottom"/>
            <w:hideMark/>
          </w:tcPr>
          <w:p w14:paraId="0B89F41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17,3</w:t>
            </w:r>
          </w:p>
        </w:tc>
        <w:tc>
          <w:tcPr>
            <w:tcW w:w="463" w:type="dxa"/>
            <w:shd w:val="clear" w:color="auto" w:fill="auto"/>
            <w:noWrap/>
            <w:vAlign w:val="bottom"/>
            <w:hideMark/>
          </w:tcPr>
          <w:p w14:paraId="4666E61C"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16,4</w:t>
            </w:r>
          </w:p>
        </w:tc>
        <w:tc>
          <w:tcPr>
            <w:tcW w:w="463" w:type="dxa"/>
            <w:shd w:val="clear" w:color="auto" w:fill="auto"/>
            <w:noWrap/>
            <w:vAlign w:val="bottom"/>
            <w:hideMark/>
          </w:tcPr>
          <w:p w14:paraId="7496976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14,8</w:t>
            </w:r>
          </w:p>
        </w:tc>
        <w:tc>
          <w:tcPr>
            <w:tcW w:w="463" w:type="dxa"/>
            <w:shd w:val="clear" w:color="auto" w:fill="auto"/>
            <w:noWrap/>
            <w:vAlign w:val="bottom"/>
            <w:hideMark/>
          </w:tcPr>
          <w:p w14:paraId="503A9B4A"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14,8</w:t>
            </w:r>
          </w:p>
        </w:tc>
        <w:tc>
          <w:tcPr>
            <w:tcW w:w="463" w:type="dxa"/>
            <w:shd w:val="clear" w:color="auto" w:fill="auto"/>
            <w:noWrap/>
            <w:vAlign w:val="bottom"/>
            <w:hideMark/>
          </w:tcPr>
          <w:p w14:paraId="73643621"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17,4</w:t>
            </w:r>
          </w:p>
        </w:tc>
        <w:tc>
          <w:tcPr>
            <w:tcW w:w="463" w:type="dxa"/>
            <w:shd w:val="clear" w:color="auto" w:fill="auto"/>
            <w:noWrap/>
            <w:vAlign w:val="bottom"/>
            <w:hideMark/>
          </w:tcPr>
          <w:p w14:paraId="667D7E6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16,1</w:t>
            </w:r>
          </w:p>
        </w:tc>
        <w:tc>
          <w:tcPr>
            <w:tcW w:w="463" w:type="dxa"/>
            <w:shd w:val="clear" w:color="auto" w:fill="auto"/>
            <w:noWrap/>
            <w:vAlign w:val="bottom"/>
            <w:hideMark/>
          </w:tcPr>
          <w:p w14:paraId="7768384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14,5</w:t>
            </w:r>
          </w:p>
        </w:tc>
        <w:tc>
          <w:tcPr>
            <w:tcW w:w="463" w:type="dxa"/>
            <w:shd w:val="clear" w:color="auto" w:fill="auto"/>
            <w:noWrap/>
            <w:vAlign w:val="bottom"/>
            <w:hideMark/>
          </w:tcPr>
          <w:p w14:paraId="7443A7FF"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14,1</w:t>
            </w:r>
          </w:p>
        </w:tc>
      </w:tr>
      <w:tr w:rsidR="00E90769" w:rsidRPr="00404AD7" w14:paraId="42FFC368" w14:textId="77777777" w:rsidTr="00E53FC8">
        <w:tc>
          <w:tcPr>
            <w:tcW w:w="2298" w:type="dxa"/>
            <w:vMerge/>
            <w:tcBorders>
              <w:bottom w:val="single" w:sz="12" w:space="0" w:color="auto"/>
            </w:tcBorders>
            <w:shd w:val="clear" w:color="auto" w:fill="auto"/>
            <w:hideMark/>
          </w:tcPr>
          <w:p w14:paraId="6C31BB78" w14:textId="77777777" w:rsidR="00E90769" w:rsidRPr="00404AD7" w:rsidRDefault="00E90769" w:rsidP="00E53FC8">
            <w:pPr>
              <w:suppressAutoHyphens w:val="0"/>
              <w:spacing w:before="40" w:after="40" w:line="220" w:lineRule="exact"/>
              <w:rPr>
                <w:b/>
                <w:sz w:val="18"/>
                <w:szCs w:val="18"/>
                <w:lang w:eastAsia="et-EE"/>
              </w:rPr>
            </w:pPr>
          </w:p>
        </w:tc>
        <w:tc>
          <w:tcPr>
            <w:tcW w:w="1215" w:type="dxa"/>
            <w:tcBorders>
              <w:bottom w:val="single" w:sz="12" w:space="0" w:color="auto"/>
            </w:tcBorders>
            <w:shd w:val="clear" w:color="auto" w:fill="auto"/>
            <w:noWrap/>
            <w:vAlign w:val="bottom"/>
            <w:hideMark/>
          </w:tcPr>
          <w:p w14:paraId="4AF1DFEE" w14:textId="77777777" w:rsidR="00E90769" w:rsidRPr="00404AD7" w:rsidRDefault="00E90769" w:rsidP="00E53FC8">
            <w:pPr>
              <w:suppressAutoHyphens w:val="0"/>
              <w:spacing w:before="40" w:after="40" w:line="220" w:lineRule="exact"/>
              <w:jc w:val="right"/>
              <w:rPr>
                <w:b/>
                <w:sz w:val="18"/>
                <w:szCs w:val="18"/>
                <w:lang w:eastAsia="et-EE"/>
              </w:rPr>
            </w:pPr>
            <w:r w:rsidRPr="00404AD7">
              <w:rPr>
                <w:b/>
                <w:sz w:val="18"/>
                <w:szCs w:val="18"/>
                <w:lang w:eastAsia="et-EE"/>
              </w:rPr>
              <w:t>65 and older</w:t>
            </w:r>
          </w:p>
        </w:tc>
        <w:tc>
          <w:tcPr>
            <w:tcW w:w="463" w:type="dxa"/>
            <w:tcBorders>
              <w:bottom w:val="single" w:sz="12" w:space="0" w:color="auto"/>
            </w:tcBorders>
            <w:shd w:val="clear" w:color="auto" w:fill="auto"/>
            <w:noWrap/>
            <w:vAlign w:val="bottom"/>
            <w:hideMark/>
          </w:tcPr>
          <w:p w14:paraId="3C2898AF"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32,1</w:t>
            </w:r>
          </w:p>
        </w:tc>
        <w:tc>
          <w:tcPr>
            <w:tcW w:w="463" w:type="dxa"/>
            <w:tcBorders>
              <w:bottom w:val="single" w:sz="12" w:space="0" w:color="auto"/>
            </w:tcBorders>
            <w:shd w:val="clear" w:color="auto" w:fill="auto"/>
            <w:noWrap/>
            <w:vAlign w:val="bottom"/>
            <w:hideMark/>
          </w:tcPr>
          <w:p w14:paraId="7C7648A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30,8</w:t>
            </w:r>
          </w:p>
        </w:tc>
        <w:tc>
          <w:tcPr>
            <w:tcW w:w="463" w:type="dxa"/>
            <w:tcBorders>
              <w:bottom w:val="single" w:sz="12" w:space="0" w:color="auto"/>
            </w:tcBorders>
            <w:shd w:val="clear" w:color="auto" w:fill="auto"/>
            <w:noWrap/>
            <w:vAlign w:val="bottom"/>
            <w:hideMark/>
          </w:tcPr>
          <w:p w14:paraId="60CD97F7"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31,8</w:t>
            </w:r>
          </w:p>
        </w:tc>
        <w:tc>
          <w:tcPr>
            <w:tcW w:w="463" w:type="dxa"/>
            <w:tcBorders>
              <w:bottom w:val="single" w:sz="12" w:space="0" w:color="auto"/>
            </w:tcBorders>
            <w:shd w:val="clear" w:color="auto" w:fill="auto"/>
            <w:noWrap/>
            <w:vAlign w:val="bottom"/>
            <w:hideMark/>
          </w:tcPr>
          <w:p w14:paraId="4A4BB738"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28,9</w:t>
            </w:r>
          </w:p>
        </w:tc>
        <w:tc>
          <w:tcPr>
            <w:tcW w:w="463" w:type="dxa"/>
            <w:tcBorders>
              <w:bottom w:val="single" w:sz="12" w:space="0" w:color="auto"/>
            </w:tcBorders>
            <w:shd w:val="clear" w:color="auto" w:fill="auto"/>
            <w:noWrap/>
            <w:vAlign w:val="bottom"/>
            <w:hideMark/>
          </w:tcPr>
          <w:p w14:paraId="55C0CD0A"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26,9</w:t>
            </w:r>
          </w:p>
        </w:tc>
        <w:tc>
          <w:tcPr>
            <w:tcW w:w="463" w:type="dxa"/>
            <w:tcBorders>
              <w:bottom w:val="single" w:sz="12" w:space="0" w:color="auto"/>
            </w:tcBorders>
            <w:shd w:val="clear" w:color="auto" w:fill="auto"/>
            <w:noWrap/>
            <w:vAlign w:val="bottom"/>
            <w:hideMark/>
          </w:tcPr>
          <w:p w14:paraId="6086CF79"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26,0</w:t>
            </w:r>
          </w:p>
        </w:tc>
        <w:tc>
          <w:tcPr>
            <w:tcW w:w="463" w:type="dxa"/>
            <w:tcBorders>
              <w:bottom w:val="single" w:sz="12" w:space="0" w:color="auto"/>
            </w:tcBorders>
            <w:shd w:val="clear" w:color="auto" w:fill="auto"/>
            <w:noWrap/>
            <w:vAlign w:val="bottom"/>
            <w:hideMark/>
          </w:tcPr>
          <w:p w14:paraId="2ED242CE"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36,1</w:t>
            </w:r>
          </w:p>
        </w:tc>
        <w:tc>
          <w:tcPr>
            <w:tcW w:w="463" w:type="dxa"/>
            <w:tcBorders>
              <w:bottom w:val="single" w:sz="12" w:space="0" w:color="auto"/>
            </w:tcBorders>
            <w:shd w:val="clear" w:color="auto" w:fill="auto"/>
            <w:noWrap/>
            <w:vAlign w:val="bottom"/>
            <w:hideMark/>
          </w:tcPr>
          <w:p w14:paraId="53599740"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35,6</w:t>
            </w:r>
          </w:p>
        </w:tc>
        <w:tc>
          <w:tcPr>
            <w:tcW w:w="463" w:type="dxa"/>
            <w:tcBorders>
              <w:bottom w:val="single" w:sz="12" w:space="0" w:color="auto"/>
            </w:tcBorders>
            <w:shd w:val="clear" w:color="auto" w:fill="auto"/>
            <w:noWrap/>
            <w:vAlign w:val="bottom"/>
            <w:hideMark/>
          </w:tcPr>
          <w:p w14:paraId="2F0C57DB"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35,8</w:t>
            </w:r>
          </w:p>
        </w:tc>
        <w:tc>
          <w:tcPr>
            <w:tcW w:w="463" w:type="dxa"/>
            <w:tcBorders>
              <w:bottom w:val="single" w:sz="12" w:space="0" w:color="auto"/>
            </w:tcBorders>
            <w:shd w:val="clear" w:color="auto" w:fill="auto"/>
            <w:noWrap/>
            <w:vAlign w:val="bottom"/>
            <w:hideMark/>
          </w:tcPr>
          <w:p w14:paraId="07932BBA"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32,7</w:t>
            </w:r>
          </w:p>
        </w:tc>
        <w:tc>
          <w:tcPr>
            <w:tcW w:w="463" w:type="dxa"/>
            <w:tcBorders>
              <w:bottom w:val="single" w:sz="12" w:space="0" w:color="auto"/>
            </w:tcBorders>
            <w:shd w:val="clear" w:color="auto" w:fill="auto"/>
            <w:noWrap/>
            <w:vAlign w:val="bottom"/>
            <w:hideMark/>
          </w:tcPr>
          <w:p w14:paraId="340136C5"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28,1</w:t>
            </w:r>
          </w:p>
        </w:tc>
        <w:tc>
          <w:tcPr>
            <w:tcW w:w="463" w:type="dxa"/>
            <w:tcBorders>
              <w:bottom w:val="single" w:sz="12" w:space="0" w:color="auto"/>
            </w:tcBorders>
            <w:shd w:val="clear" w:color="auto" w:fill="auto"/>
            <w:noWrap/>
            <w:vAlign w:val="bottom"/>
            <w:hideMark/>
          </w:tcPr>
          <w:p w14:paraId="2D9EDFE3" w14:textId="77777777" w:rsidR="00E90769" w:rsidRPr="00404AD7" w:rsidRDefault="00E90769" w:rsidP="00E53FC8">
            <w:pPr>
              <w:suppressAutoHyphens w:val="0"/>
              <w:spacing w:before="40" w:after="40" w:line="220" w:lineRule="exact"/>
              <w:jc w:val="right"/>
              <w:rPr>
                <w:sz w:val="18"/>
                <w:szCs w:val="18"/>
                <w:lang w:eastAsia="et-EE"/>
              </w:rPr>
            </w:pPr>
            <w:r w:rsidRPr="00404AD7">
              <w:rPr>
                <w:sz w:val="18"/>
                <w:szCs w:val="18"/>
                <w:lang w:eastAsia="et-EE"/>
              </w:rPr>
              <w:t>28,4</w:t>
            </w:r>
          </w:p>
        </w:tc>
      </w:tr>
    </w:tbl>
    <w:p w14:paraId="6AF41467" w14:textId="448A9138" w:rsidR="008E249E" w:rsidRPr="00404AD7" w:rsidRDefault="008E249E" w:rsidP="00E90769">
      <w:pPr>
        <w:pStyle w:val="FootnoteText"/>
        <w:tabs>
          <w:tab w:val="clear" w:pos="418"/>
          <w:tab w:val="right" w:pos="1476"/>
          <w:tab w:val="left" w:pos="1548"/>
          <w:tab w:val="right" w:pos="1836"/>
          <w:tab w:val="left" w:pos="1908"/>
        </w:tabs>
        <w:spacing w:line="120" w:lineRule="exact"/>
        <w:ind w:left="1548" w:right="1267" w:hanging="423"/>
        <w:rPr>
          <w:sz w:val="10"/>
        </w:rPr>
      </w:pPr>
    </w:p>
    <w:p w14:paraId="12F1F527" w14:textId="61186580" w:rsidR="00E90769" w:rsidRPr="00404AD7" w:rsidRDefault="004E592B" w:rsidP="004E592B">
      <w:pPr>
        <w:pStyle w:val="FootnoteText"/>
        <w:tabs>
          <w:tab w:val="clear" w:pos="418"/>
          <w:tab w:val="right" w:pos="1476"/>
          <w:tab w:val="left" w:pos="1548"/>
          <w:tab w:val="right" w:pos="1836"/>
          <w:tab w:val="left" w:pos="1908"/>
        </w:tabs>
        <w:ind w:left="1548" w:right="1267" w:hanging="423"/>
      </w:pPr>
      <w:r w:rsidRPr="00404AD7">
        <w:t>Source: Statistics Estonia</w:t>
      </w:r>
    </w:p>
    <w:p w14:paraId="7FFACA1F" w14:textId="5328F34F" w:rsidR="004E592B" w:rsidRPr="00404AD7" w:rsidRDefault="004E592B" w:rsidP="004E592B">
      <w:pPr>
        <w:pStyle w:val="FootnoteText"/>
        <w:tabs>
          <w:tab w:val="clear" w:pos="418"/>
          <w:tab w:val="right" w:pos="1476"/>
          <w:tab w:val="left" w:pos="1548"/>
          <w:tab w:val="right" w:pos="1836"/>
          <w:tab w:val="left" w:pos="1908"/>
        </w:tabs>
        <w:spacing w:line="120" w:lineRule="exact"/>
        <w:ind w:left="1548" w:right="1267" w:hanging="423"/>
        <w:rPr>
          <w:sz w:val="10"/>
        </w:rPr>
      </w:pPr>
    </w:p>
    <w:p w14:paraId="650AF4D7" w14:textId="705FBF75" w:rsidR="004E592B" w:rsidRPr="00404AD7" w:rsidRDefault="004E592B" w:rsidP="004E592B">
      <w:pPr>
        <w:pStyle w:val="FootnoteText"/>
        <w:tabs>
          <w:tab w:val="clear" w:pos="418"/>
          <w:tab w:val="right" w:pos="1476"/>
          <w:tab w:val="left" w:pos="1548"/>
          <w:tab w:val="right" w:pos="1836"/>
          <w:tab w:val="left" w:pos="1908"/>
        </w:tabs>
        <w:spacing w:line="120" w:lineRule="exact"/>
        <w:ind w:left="1548" w:right="1267" w:hanging="423"/>
        <w:rPr>
          <w:sz w:val="10"/>
        </w:rPr>
      </w:pPr>
    </w:p>
    <w:p w14:paraId="2440E62A" w14:textId="68CA9A12" w:rsidR="004E592B" w:rsidRPr="00404AD7" w:rsidRDefault="004E592B" w:rsidP="004E592B">
      <w:pPr>
        <w:pStyle w:val="FootnoteText"/>
        <w:tabs>
          <w:tab w:val="clear" w:pos="418"/>
          <w:tab w:val="right" w:pos="1476"/>
          <w:tab w:val="left" w:pos="1548"/>
          <w:tab w:val="right" w:pos="1836"/>
          <w:tab w:val="left" w:pos="1908"/>
        </w:tabs>
        <w:spacing w:line="120" w:lineRule="exact"/>
        <w:ind w:left="1548" w:right="1267" w:hanging="423"/>
        <w:rPr>
          <w:sz w:val="10"/>
        </w:rPr>
      </w:pPr>
    </w:p>
    <w:p w14:paraId="5790AA3C" w14:textId="3A06D750" w:rsidR="00603FCD" w:rsidRPr="00404AD7" w:rsidRDefault="00603FCD" w:rsidP="00603FCD">
      <w:pPr>
        <w:pStyle w:val="HChG"/>
        <w:spacing w:before="0"/>
        <w:ind w:left="1138" w:right="1138" w:hanging="1138"/>
        <w:rPr>
          <w:lang w:val="en-US"/>
        </w:rPr>
      </w:pPr>
      <w:bookmarkStart w:id="70" w:name="_Toc108692438"/>
      <w:r w:rsidRPr="00404AD7">
        <w:rPr>
          <w:lang w:val="en-US"/>
        </w:rPr>
        <w:tab/>
      </w:r>
      <w:r w:rsidRPr="00404AD7">
        <w:rPr>
          <w:lang w:val="en-US"/>
        </w:rPr>
        <w:tab/>
        <w:t>Marriage and family relations</w:t>
      </w:r>
      <w:bookmarkEnd w:id="70"/>
      <w:r w:rsidRPr="00404AD7">
        <w:rPr>
          <w:lang w:val="en-US"/>
        </w:rPr>
        <w:t xml:space="preserve"> </w:t>
      </w:r>
    </w:p>
    <w:p w14:paraId="63DF9F2E" w14:textId="77777777" w:rsidR="00603FCD" w:rsidRPr="00404AD7" w:rsidRDefault="00603FCD" w:rsidP="00603FCD">
      <w:pPr>
        <w:pStyle w:val="H1G"/>
        <w:rPr>
          <w:lang w:val="en-US"/>
        </w:rPr>
      </w:pPr>
      <w:r w:rsidRPr="00404AD7">
        <w:rPr>
          <w:lang w:val="en-US"/>
        </w:rPr>
        <w:tab/>
      </w:r>
      <w:r w:rsidRPr="00404AD7">
        <w:rPr>
          <w:lang w:val="en-US"/>
        </w:rPr>
        <w:tab/>
      </w:r>
      <w:bookmarkStart w:id="71" w:name="_Toc108692439"/>
      <w:r w:rsidRPr="00404AD7">
        <w:rPr>
          <w:lang w:val="en-US"/>
        </w:rPr>
        <w:t>Question 23</w:t>
      </w:r>
      <w:bookmarkEnd w:id="71"/>
    </w:p>
    <w:p w14:paraId="14EA8A52" w14:textId="77777777" w:rsidR="00603FCD" w:rsidRPr="00404AD7" w:rsidRDefault="00603FCD" w:rsidP="00985403">
      <w:pPr>
        <w:pStyle w:val="SingleTxtG"/>
        <w:numPr>
          <w:ilvl w:val="0"/>
          <w:numId w:val="32"/>
        </w:numPr>
        <w:ind w:left="1134" w:right="1191" w:firstLine="0"/>
      </w:pPr>
      <w:r w:rsidRPr="00404AD7">
        <w:t>In May 2022 the amendment of the Family Law Act paragraph 1, setting the minimum age of marriage at 18 without exceptions, was passed. The previous exception of court extending the active legal capacity of a person who has attained at least 15 years of age and getting married was used rarely – in 2018 there was 1 marriage and in 2019 4 marriages.</w:t>
      </w:r>
    </w:p>
    <w:p w14:paraId="04C920C4" w14:textId="77777777" w:rsidR="00603FCD" w:rsidRPr="00404AD7" w:rsidRDefault="00603FCD" w:rsidP="00985403">
      <w:pPr>
        <w:pStyle w:val="SingleTxtG"/>
        <w:numPr>
          <w:ilvl w:val="0"/>
          <w:numId w:val="32"/>
        </w:numPr>
        <w:ind w:left="1134" w:right="1191" w:firstLine="0"/>
      </w:pPr>
      <w:r w:rsidRPr="00404AD7">
        <w:t>No cases of child and/or forced marriages have occurred during the reporting period.</w:t>
      </w:r>
    </w:p>
    <w:p w14:paraId="32FAC2CA" w14:textId="77777777" w:rsidR="00603FCD" w:rsidRPr="00404AD7" w:rsidRDefault="00603FCD" w:rsidP="00985403">
      <w:pPr>
        <w:pStyle w:val="SingleTxtG"/>
        <w:numPr>
          <w:ilvl w:val="0"/>
          <w:numId w:val="32"/>
        </w:numPr>
        <w:ind w:left="1134" w:right="1191" w:firstLine="0"/>
      </w:pPr>
      <w:r w:rsidRPr="00404AD7">
        <w:t>As of 1 January 2022, the minimum monthly child maintenance payment does not depend on the minimum wage anymore. Instead, it is bound to the needs of the child, economic capability of the parents, family allowances paid by the state and the number of the children entitled to receive maintenance from the same person.</w:t>
      </w:r>
    </w:p>
    <w:p w14:paraId="590F9314" w14:textId="77777777" w:rsidR="00603FCD" w:rsidRPr="00404AD7" w:rsidRDefault="00603FCD" w:rsidP="00985403">
      <w:pPr>
        <w:pStyle w:val="SingleTxtG"/>
        <w:numPr>
          <w:ilvl w:val="0"/>
          <w:numId w:val="32"/>
        </w:numPr>
        <w:ind w:left="1134" w:right="1191" w:firstLine="0"/>
      </w:pPr>
      <w:r w:rsidRPr="00404AD7">
        <w:t>The minimum sum of child maintenance payment is consisting of following elements:</w:t>
      </w:r>
    </w:p>
    <w:p w14:paraId="458A3BFC" w14:textId="77777777" w:rsidR="00603FCD" w:rsidRPr="00404AD7" w:rsidRDefault="00603FCD" w:rsidP="00603FCD">
      <w:pPr>
        <w:pStyle w:val="SingleTxtG"/>
        <w:ind w:left="1068"/>
      </w:pPr>
      <w:r w:rsidRPr="00404AD7">
        <w:tab/>
        <w:t>(a)</w:t>
      </w:r>
      <w:r w:rsidRPr="00404AD7">
        <w:tab/>
        <w:t>Base amount is 200 euros. The base amount of maintenance is the minimum amount of maintenance proposed by the researchers in a recent survey of the minimum needs of the child. This sum shall be adjusted annually on 1 April according to the changes in the consumer price index;</w:t>
      </w:r>
    </w:p>
    <w:p w14:paraId="632C0497" w14:textId="77777777" w:rsidR="00603FCD" w:rsidRPr="00404AD7" w:rsidRDefault="00603FCD" w:rsidP="00603FCD">
      <w:pPr>
        <w:pStyle w:val="SingleTxtG"/>
        <w:ind w:left="1068"/>
      </w:pPr>
      <w:r w:rsidRPr="00404AD7">
        <w:tab/>
        <w:t>(b)</w:t>
      </w:r>
      <w:r w:rsidRPr="00404AD7">
        <w:tab/>
        <w:t xml:space="preserve">Economic situation of the obligated parent. In order to calculate the minimum maintenance, 3% of the Estonian average gross monthly salary of the previous calendar year is added to the base amount. On 1 January 2022 the amount to be added is 43 euros. The amount to be added shall also be adjusted annually on 1 April. The first recalculation on the basis of the average gross monthly salary of 2021 will take place on 1 April 2022. By agreement of the parents or determined by a court, the sum added to the basic amount may be 3% of the actual </w:t>
      </w:r>
      <w:r w:rsidRPr="00404AD7">
        <w:lastRenderedPageBreak/>
        <w:t>monthly salary of the obligated parent instead of the average gross monthly salary, provided that the actual salary is higher;</w:t>
      </w:r>
    </w:p>
    <w:p w14:paraId="2AB91117" w14:textId="278F75B0" w:rsidR="00603FCD" w:rsidRPr="00404AD7" w:rsidRDefault="00603FCD" w:rsidP="00603FCD">
      <w:pPr>
        <w:pStyle w:val="SingleTxtG"/>
      </w:pPr>
      <w:r w:rsidRPr="00404AD7">
        <w:tab/>
        <w:t>(c)</w:t>
      </w:r>
      <w:r w:rsidRPr="00404AD7">
        <w:tab/>
        <w:t xml:space="preserve">Family allowances paid by the state. Child allowance and the allowance for a family with many children are </w:t>
      </w:r>
      <w:proofErr w:type="gramStart"/>
      <w:r w:rsidRPr="00404AD7">
        <w:t>taken into account</w:t>
      </w:r>
      <w:proofErr w:type="gramEnd"/>
      <w:r w:rsidRPr="00404AD7">
        <w:t xml:space="preserve"> to determine the amount of maintenance. The parent does not have to provide maintenance to the extent that the child</w:t>
      </w:r>
      <w:r w:rsidR="006B00A5" w:rsidRPr="00404AD7">
        <w:t>’</w:t>
      </w:r>
      <w:r w:rsidRPr="00404AD7">
        <w:t>s needs can be met at the expense of these allowances. If the main caregiver of the children receives these allowances, half of the allowance for each child is deducted from the amount of maintenance. If the obligated parent receives those allowances, this amount is added to the maintenance. Currently half of the child allowance for one child is 30 euros (full sum is 60 euros per child);</w:t>
      </w:r>
    </w:p>
    <w:p w14:paraId="18D158FA" w14:textId="77777777" w:rsidR="00603FCD" w:rsidRPr="00404AD7" w:rsidRDefault="00603FCD" w:rsidP="00603FCD">
      <w:pPr>
        <w:pStyle w:val="SingleTxtG"/>
      </w:pPr>
      <w:r w:rsidRPr="00404AD7">
        <w:tab/>
        <w:t>(d)</w:t>
      </w:r>
      <w:r w:rsidRPr="00404AD7">
        <w:tab/>
        <w:t>Shared parenthood. If the child stays with the obligated parent for a monthly average of seven to fifteen days, the amount of maintenance is reduced proportionally to the time spent with the obligated parent. Thus, if the child resides with both parents equally, maintenance can only be claimed due to the greater needs of the child, a significant difference in the income of parents or an unequal distribution of the expenses between the parents;</w:t>
      </w:r>
    </w:p>
    <w:p w14:paraId="324F3C72" w14:textId="77777777" w:rsidR="00603FCD" w:rsidRPr="00404AD7" w:rsidRDefault="00603FCD" w:rsidP="00603FCD">
      <w:pPr>
        <w:pStyle w:val="SingleTxtG"/>
      </w:pPr>
      <w:r w:rsidRPr="00404AD7">
        <w:tab/>
        <w:t>(e)</w:t>
      </w:r>
      <w:r w:rsidRPr="00404AD7">
        <w:tab/>
        <w:t>Number of children receiving maintenance in the same household. Considering the possibility to somewhat aggregate the costs of raising several children at once (reuse of furniture, clothing, toys, etc), the amount of maintenance from the second child onwards is 15% lower than the amount of maintenance for the first child. The amount of maintenance is not reduced for twins, triplets etc and children with an age difference over three years.</w:t>
      </w:r>
    </w:p>
    <w:p w14:paraId="24CEC226" w14:textId="77777777" w:rsidR="00603FCD" w:rsidRPr="00404AD7" w:rsidRDefault="00603FCD" w:rsidP="00985403">
      <w:pPr>
        <w:pStyle w:val="SingleTxtG"/>
        <w:numPr>
          <w:ilvl w:val="0"/>
          <w:numId w:val="32"/>
        </w:numPr>
        <w:ind w:left="1134" w:right="1191" w:firstLine="0"/>
      </w:pPr>
      <w:r w:rsidRPr="00404AD7">
        <w:t xml:space="preserve">For example, if maintenance has to be paid to one child, the income of the obligated parent does not exceed the gross monthly salary in Estonia and the child resides with the obligated parent less than 7 days monthly, the minimum amount of maintenance is 213 euros per month per child (200+43-30). </w:t>
      </w:r>
    </w:p>
    <w:p w14:paraId="2AFAF264" w14:textId="77777777" w:rsidR="00603FCD" w:rsidRPr="00404AD7" w:rsidRDefault="00603FCD" w:rsidP="00985403">
      <w:pPr>
        <w:pStyle w:val="SingleTxtG"/>
        <w:numPr>
          <w:ilvl w:val="0"/>
          <w:numId w:val="32"/>
        </w:numPr>
        <w:ind w:left="1134" w:right="1191" w:firstLine="0"/>
      </w:pPr>
      <w:r w:rsidRPr="00404AD7">
        <w:t>Parents can also calculate the minimum sum by themselves, using a web application created by the Ministry of Justice - an amount of child maintenance that the court would probably establish in case of their family. The application (in Estonian) can be found here: https://www.just.ee/elatiskalkulaator/. We intend to translate it also into English in near future.</w:t>
      </w:r>
    </w:p>
    <w:p w14:paraId="78319DD9" w14:textId="77777777" w:rsidR="00603FCD" w:rsidRPr="00404AD7" w:rsidRDefault="00603FCD" w:rsidP="00985403">
      <w:pPr>
        <w:pStyle w:val="SingleTxtG"/>
        <w:numPr>
          <w:ilvl w:val="0"/>
          <w:numId w:val="32"/>
        </w:numPr>
        <w:ind w:left="1134" w:right="1191" w:firstLine="0"/>
      </w:pPr>
      <w:r w:rsidRPr="00404AD7">
        <w:t xml:space="preserve">The measures for the enforcement of child support orders have not been amended recently. The claimant can contact a bailiff for the enforcement of a child support </w:t>
      </w:r>
      <w:proofErr w:type="gramStart"/>
      <w:r w:rsidRPr="00404AD7">
        <w:t>order, if</w:t>
      </w:r>
      <w:proofErr w:type="gramEnd"/>
      <w:r w:rsidRPr="00404AD7">
        <w:t xml:space="preserve"> the other parent does not pay child maintenance voluntarily. The right of security on seized assets created on the basis of a child support order is of higher ranking than the other rights of security on seized assets regardless of the time of seizure.</w:t>
      </w:r>
    </w:p>
    <w:p w14:paraId="22817E87" w14:textId="77777777" w:rsidR="00603FCD" w:rsidRPr="00404AD7" w:rsidRDefault="00603FCD" w:rsidP="00985403">
      <w:pPr>
        <w:pStyle w:val="SingleTxtG"/>
        <w:numPr>
          <w:ilvl w:val="0"/>
          <w:numId w:val="32"/>
        </w:numPr>
        <w:ind w:left="1134" w:right="1191" w:firstLine="0"/>
      </w:pPr>
      <w:r w:rsidRPr="00404AD7">
        <w:t xml:space="preserve">Pursuant to subsection 63 (11) of the Code of Enforcement Procedure, information on whether a person has a child support debt and, if it exists, the amount of the collectable outstanding debt is publicly available in the enforcement register: https://www.eesti.ee/est/teenused/kodanik/oigusabi_2/elatisvolgnevus. </w:t>
      </w:r>
    </w:p>
    <w:p w14:paraId="5CDFBBB6" w14:textId="3C298290" w:rsidR="00603FCD" w:rsidRPr="00404AD7" w:rsidRDefault="00603FCD" w:rsidP="00985403">
      <w:pPr>
        <w:pStyle w:val="SingleTxtG"/>
        <w:numPr>
          <w:ilvl w:val="0"/>
          <w:numId w:val="32"/>
        </w:numPr>
        <w:ind w:left="1134" w:right="1191" w:firstLine="0"/>
      </w:pPr>
      <w:r w:rsidRPr="00404AD7">
        <w:t>There is also a number of restrictions in place for the parents that do not fulfil their obligation to provide maintenance to their children. The Code of Enforcement Procedure §177</w:t>
      </w:r>
      <w:r w:rsidRPr="00404AD7">
        <w:rPr>
          <w:vertAlign w:val="superscript"/>
          <w:lang w:val="et-EE"/>
        </w:rPr>
        <w:t xml:space="preserve"> 2 </w:t>
      </w:r>
      <w:proofErr w:type="spellStart"/>
      <w:r w:rsidRPr="00404AD7">
        <w:t>forsees</w:t>
      </w:r>
      <w:proofErr w:type="spellEnd"/>
      <w:r w:rsidRPr="00404AD7">
        <w:t xml:space="preserve"> that if, during enforcement proceedings, a child maintenance debtor has not, within three months, made regular payments towards the child</w:t>
      </w:r>
      <w:r w:rsidR="006B00A5" w:rsidRPr="00404AD7">
        <w:t>’</w:t>
      </w:r>
      <w:r w:rsidRPr="00404AD7">
        <w:t>s maintenance, and the enforcement agent</w:t>
      </w:r>
      <w:r w:rsidR="006B00A5" w:rsidRPr="00404AD7">
        <w:t>’</w:t>
      </w:r>
      <w:r w:rsidRPr="00404AD7">
        <w:t>s attempts to collect such maintenance out of the debtor</w:t>
      </w:r>
      <w:r w:rsidR="006B00A5" w:rsidRPr="00404AD7">
        <w:t>’</w:t>
      </w:r>
      <w:r w:rsidRPr="00404AD7">
        <w:t>s property have not been successful, the court – with the consent of the party seeking enforcement and on an application of the enforcement agent which has been preceded by warning the debtor – may, by order, indefinitely suspend the following rights and licences: 1) a right to engage in hunting; 2) a right to drive a motor vehicle; 3) a weapons permit and an acquisition permit for a weapon; 4) a right to drive recreational craft and personal watercraft; 5) a fishing card</w:t>
      </w:r>
      <w:r w:rsidRPr="00404AD7">
        <w:rPr>
          <w:i/>
          <w:iCs/>
        </w:rPr>
        <w:t xml:space="preserve">. </w:t>
      </w:r>
      <w:r w:rsidRPr="00404AD7">
        <w:t>Further, in these situations a court may, by order, revoke the following documents of the debtor, and restrain the issue of such documents for up to two years:1) an Estonian citizen</w:t>
      </w:r>
      <w:r w:rsidR="006B00A5" w:rsidRPr="00404AD7">
        <w:t>’</w:t>
      </w:r>
      <w:r w:rsidRPr="00404AD7">
        <w:t>s passport; 2) an alien</w:t>
      </w:r>
      <w:r w:rsidR="006B00A5" w:rsidRPr="00404AD7">
        <w:t>’</w:t>
      </w:r>
      <w:r w:rsidRPr="00404AD7">
        <w:t>s passport; 3) a refugee</w:t>
      </w:r>
      <w:r w:rsidR="006B00A5" w:rsidRPr="00404AD7">
        <w:t>’</w:t>
      </w:r>
      <w:r w:rsidRPr="00404AD7">
        <w:t>s travel document; 4) a temporary travel document; 5) a seafarer</w:t>
      </w:r>
      <w:r w:rsidR="006B00A5" w:rsidRPr="00404AD7">
        <w:t>’</w:t>
      </w:r>
      <w:r w:rsidRPr="00404AD7">
        <w:t>s discharge book; 6) a certificate of record of service on an Estonian ship; 7) a diplomatic passport.</w:t>
      </w:r>
    </w:p>
    <w:p w14:paraId="0E311794" w14:textId="77777777" w:rsidR="00603FCD" w:rsidRPr="00404AD7" w:rsidRDefault="00603FCD" w:rsidP="00985403">
      <w:pPr>
        <w:pStyle w:val="SingleTxtG"/>
        <w:numPr>
          <w:ilvl w:val="0"/>
          <w:numId w:val="32"/>
        </w:numPr>
        <w:ind w:left="1134" w:right="1191" w:firstLine="0"/>
      </w:pPr>
      <w:r w:rsidRPr="00404AD7">
        <w:lastRenderedPageBreak/>
        <w:t>The regulations to implement Registered Partnership Act of 2014 did not pass the Parliament together with the Act. The Ministry of Justice is waiting for further steps by the Parliament in this matter.</w:t>
      </w:r>
    </w:p>
    <w:p w14:paraId="0C622FCF" w14:textId="77777777" w:rsidR="00603FCD" w:rsidRPr="00404AD7" w:rsidRDefault="00603FCD" w:rsidP="00603FCD">
      <w:pPr>
        <w:pStyle w:val="HChG"/>
        <w:rPr>
          <w:lang w:val="en-US"/>
        </w:rPr>
      </w:pPr>
      <w:r w:rsidRPr="00404AD7">
        <w:rPr>
          <w:lang w:val="en-US"/>
        </w:rPr>
        <w:tab/>
      </w:r>
      <w:r w:rsidRPr="00404AD7">
        <w:rPr>
          <w:lang w:val="en-US"/>
        </w:rPr>
        <w:tab/>
      </w:r>
      <w:bookmarkStart w:id="72" w:name="_Toc108692440"/>
      <w:r w:rsidRPr="00404AD7">
        <w:rPr>
          <w:lang w:val="en-US"/>
        </w:rPr>
        <w:t>Climate change and disaster risk reduction</w:t>
      </w:r>
      <w:bookmarkEnd w:id="72"/>
    </w:p>
    <w:p w14:paraId="2DD0BDAA" w14:textId="77777777" w:rsidR="00603FCD" w:rsidRPr="00404AD7" w:rsidRDefault="00603FCD" w:rsidP="00603FCD">
      <w:pPr>
        <w:pStyle w:val="H1G"/>
        <w:rPr>
          <w:lang w:val="en-US"/>
        </w:rPr>
      </w:pPr>
      <w:r w:rsidRPr="00404AD7">
        <w:rPr>
          <w:lang w:val="en-US"/>
        </w:rPr>
        <w:tab/>
      </w:r>
      <w:r w:rsidRPr="00404AD7">
        <w:rPr>
          <w:lang w:val="en-US"/>
        </w:rPr>
        <w:tab/>
      </w:r>
      <w:bookmarkStart w:id="73" w:name="_Toc108692441"/>
      <w:r w:rsidRPr="00404AD7">
        <w:rPr>
          <w:lang w:val="en-US"/>
        </w:rPr>
        <w:t>Question 24</w:t>
      </w:r>
      <w:bookmarkEnd w:id="73"/>
    </w:p>
    <w:p w14:paraId="3C08F5B4" w14:textId="6A172772" w:rsidR="00603FCD" w:rsidRPr="00404AD7" w:rsidRDefault="00603FCD" w:rsidP="00985403">
      <w:pPr>
        <w:pStyle w:val="SingleTxtG"/>
        <w:numPr>
          <w:ilvl w:val="0"/>
          <w:numId w:val="32"/>
        </w:numPr>
        <w:ind w:left="1134" w:right="1191" w:firstLine="0"/>
      </w:pPr>
      <w:bookmarkStart w:id="74" w:name="_Hlk104885751"/>
      <w:r w:rsidRPr="00404AD7">
        <w:t xml:space="preserve">Strategy Climate Change Adaption Development Plan until 2030 was approved by the Parliament in 2017. The Ministry of the Environment was responsible for compiling the development plan. Preparation of the development plan was led by steering group chaired by a representative of the Estonian Environmental Research </w:t>
      </w:r>
      <w:proofErr w:type="spellStart"/>
      <w:r w:rsidRPr="00404AD7">
        <w:t>Center</w:t>
      </w:r>
      <w:proofErr w:type="spellEnd"/>
      <w:r w:rsidRPr="00404AD7">
        <w:t xml:space="preserve"> which included relevant ministries, local authorities, non-governmental organisations and representatives of research institutions. Prior to the preparation of the strategy four research papers were commissioned in different areas, one being </w:t>
      </w:r>
      <w:r w:rsidR="006B00A5" w:rsidRPr="00404AD7">
        <w:t>“</w:t>
      </w:r>
      <w:r w:rsidRPr="00404AD7">
        <w:t>Adapting to the climate change in the economic and societal spheres</w:t>
      </w:r>
      <w:r w:rsidR="006B00A5" w:rsidRPr="00404AD7">
        <w:t>”</w:t>
      </w:r>
      <w:r w:rsidRPr="00404AD7">
        <w:t>. The development plan broadens the possibilities of the public and the stakeholders to have a say in making the decisions and helps to better understand climate risks and the measures implemented for managing them. One of the objectives of the development plan is to raise awareness of the risks and opportunities regarding the climate change, including improving the risk management considering also different impacts the climate change has on various groups.</w:t>
      </w:r>
    </w:p>
    <w:p w14:paraId="3EC6D727" w14:textId="77777777" w:rsidR="00603FCD" w:rsidRPr="00404AD7" w:rsidRDefault="00603FCD" w:rsidP="00985403">
      <w:pPr>
        <w:pStyle w:val="SingleTxtG"/>
        <w:numPr>
          <w:ilvl w:val="0"/>
          <w:numId w:val="32"/>
        </w:numPr>
        <w:ind w:left="1134" w:right="1191" w:firstLine="0"/>
      </w:pPr>
      <w:r w:rsidRPr="00404AD7">
        <w:t>The Ministry of the Environment has started preparing a strategic development document in the field of environment with the aim to create a unified development plan. The process of preparing the development plan is approved by the steering committee of the development plan, which consists of the umbrella organisations of the most important stakeholders in the field, state agencies and representatives of the academic community. There are also public discussions taking place involving wider public.</w:t>
      </w:r>
    </w:p>
    <w:bookmarkEnd w:id="74"/>
    <w:p w14:paraId="6D38C80F" w14:textId="77777777" w:rsidR="00603FCD" w:rsidRPr="00404AD7" w:rsidRDefault="00603FCD" w:rsidP="00603FCD">
      <w:pPr>
        <w:pStyle w:val="HChG"/>
        <w:rPr>
          <w:lang w:val="en-US"/>
        </w:rPr>
      </w:pPr>
      <w:r w:rsidRPr="00404AD7">
        <w:rPr>
          <w:lang w:val="en-US"/>
        </w:rPr>
        <w:tab/>
      </w:r>
      <w:r w:rsidRPr="00404AD7">
        <w:rPr>
          <w:lang w:val="en-US"/>
        </w:rPr>
        <w:tab/>
      </w:r>
      <w:bookmarkStart w:id="75" w:name="_Toc108692442"/>
      <w:r w:rsidRPr="00404AD7">
        <w:rPr>
          <w:lang w:val="en-US"/>
        </w:rPr>
        <w:t>Additional information</w:t>
      </w:r>
      <w:bookmarkEnd w:id="75"/>
      <w:r w:rsidRPr="00404AD7">
        <w:rPr>
          <w:lang w:val="en-US"/>
        </w:rPr>
        <w:t xml:space="preserve"> </w:t>
      </w:r>
    </w:p>
    <w:p w14:paraId="365FDFEF" w14:textId="725173A6" w:rsidR="00603FCD" w:rsidRPr="00404AD7" w:rsidRDefault="00603FCD" w:rsidP="00985403">
      <w:pPr>
        <w:pStyle w:val="SingleTxtG"/>
        <w:numPr>
          <w:ilvl w:val="0"/>
          <w:numId w:val="32"/>
        </w:numPr>
        <w:ind w:left="1134" w:right="1191" w:firstLine="0"/>
      </w:pPr>
      <w:r w:rsidRPr="00404AD7">
        <w:t>In April 2021, the Government adopted the first Human Rights Diplomacy Action Plan that sets out Estonia</w:t>
      </w:r>
      <w:r w:rsidR="006B00A5" w:rsidRPr="00404AD7">
        <w:t>’</w:t>
      </w:r>
      <w:r w:rsidRPr="00404AD7">
        <w:t xml:space="preserve">s foreign policy actions for the protection of human rights and advancing democracy. Among thematic priorities, also protection of human rights of women and girls is listed, the activities focusing on achieving gender equality, empowering women and girls and fighting sexual and gender-based violence. </w:t>
      </w:r>
    </w:p>
    <w:p w14:paraId="171EB0AA" w14:textId="77777777" w:rsidR="00603FCD" w:rsidRPr="00404AD7" w:rsidRDefault="00603FCD" w:rsidP="00985403">
      <w:pPr>
        <w:pStyle w:val="SingleTxtG"/>
        <w:numPr>
          <w:ilvl w:val="0"/>
          <w:numId w:val="32"/>
        </w:numPr>
        <w:ind w:left="1134" w:right="1191" w:firstLine="0"/>
      </w:pPr>
      <w:r w:rsidRPr="00404AD7">
        <w:t>Our third National Action Plan on Women, Peace and Security until 2025 was adopted by the Government in May 2021. The action plan focuses on improving the situation of women in and after conflicts, raising awareness, improving cooperation and information exchange, and the representation of women in positions related to peace and security in Estonia. Estonia is also actively involved in Women, Peace and Security and Humanitarian Action (WPS-HA) Compact which was announced at the Generation Equality Forum in July 2021, and the development of its framework. The Compact seeks to drive a global inter-generational movement to implement existing commitments on Women, Peace and Security and Humanitarian Action. Signatories are invited to take transformative action for gender equality through strengthened coordination on existing mechanisms for women peace and security and humanitarian action; improved monitoring and assessment of progress; and a focus on financing, advocacy, and increased visibility.</w:t>
      </w:r>
    </w:p>
    <w:p w14:paraId="3F8582F3" w14:textId="29D6AF4C" w:rsidR="004E592B" w:rsidRPr="00404AD7" w:rsidRDefault="00985403" w:rsidP="004E592B">
      <w:pPr>
        <w:pStyle w:val="FootnoteText"/>
        <w:tabs>
          <w:tab w:val="clear" w:pos="418"/>
          <w:tab w:val="right" w:pos="1476"/>
          <w:tab w:val="left" w:pos="1548"/>
          <w:tab w:val="right" w:pos="1836"/>
          <w:tab w:val="left" w:pos="1908"/>
        </w:tabs>
        <w:ind w:left="1548" w:right="1267" w:hanging="423"/>
      </w:pPr>
      <w:r w:rsidRPr="00404AD7">
        <w:rPr>
          <w:noProof/>
          <w:w w:val="100"/>
        </w:rPr>
        <mc:AlternateContent>
          <mc:Choice Requires="wps">
            <w:drawing>
              <wp:anchor distT="0" distB="0" distL="114300" distR="114300" simplePos="0" relativeHeight="251660288" behindDoc="0" locked="0" layoutInCell="1" allowOverlap="1" wp14:anchorId="2C0FC729" wp14:editId="1976F0E2">
                <wp:simplePos x="0" y="0"/>
                <wp:positionH relativeFrom="margin">
                  <wp:align>center</wp:align>
                </wp:positionH>
                <wp:positionV relativeFrom="paragraph">
                  <wp:posOffset>132608</wp:posOffset>
                </wp:positionV>
                <wp:extent cx="9144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55FD2" id="Straight Connector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0.45pt" to="1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" strokecolor="#010000" strokeweight=".25pt">
                <w10:wrap anchorx="margin"/>
              </v:line>
            </w:pict>
          </mc:Fallback>
        </mc:AlternateContent>
      </w:r>
    </w:p>
    <w:sectPr w:rsidR="004E592B" w:rsidRPr="00404AD7" w:rsidSect="00E8776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8-17T10:58:00Z" w:initials="Start">
    <w:p w14:paraId="310D5205" w14:textId="77777777" w:rsidR="00DC340D" w:rsidRDefault="00DC340D">
      <w:pPr>
        <w:pStyle w:val="CommentText"/>
      </w:pPr>
      <w:r>
        <w:rPr>
          <w:rStyle w:val="CommentReference"/>
        </w:rPr>
        <w:annotationRef/>
      </w:r>
      <w:r>
        <w:t>&lt;&lt;ODS JOB NO&gt;&gt;N2245670E&lt;&lt;ODS JOB NO&gt;&gt;</w:t>
      </w:r>
    </w:p>
    <w:p w14:paraId="7B952CA6" w14:textId="77777777" w:rsidR="00DC340D" w:rsidRPr="00E8776D" w:rsidRDefault="00DC340D">
      <w:pPr>
        <w:pStyle w:val="CommentText"/>
        <w:rPr>
          <w:lang w:val="fr-FR"/>
        </w:rPr>
      </w:pPr>
      <w:r w:rsidRPr="00E8776D">
        <w:rPr>
          <w:lang w:val="fr-FR"/>
        </w:rPr>
        <w:t>&lt;&lt;ODS DOC SYMBOL1&gt;&gt;CEDAW/C/EST/7&lt;&lt;ODS DOC SYMBOL1&gt;&gt;</w:t>
      </w:r>
    </w:p>
    <w:p w14:paraId="67D5E2F7" w14:textId="24DEC821" w:rsidR="00DC340D" w:rsidRDefault="00DC340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D5E2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4868" w16cex:dateUtc="2022-08-17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D5E2F7" w16cid:durableId="26A748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CEDB" w14:textId="77777777" w:rsidR="00E90D29" w:rsidRDefault="00E90D29" w:rsidP="00556720">
      <w:r>
        <w:separator/>
      </w:r>
    </w:p>
  </w:endnote>
  <w:endnote w:type="continuationSeparator" w:id="0">
    <w:p w14:paraId="47F988E9" w14:textId="77777777" w:rsidR="00E90D29" w:rsidRDefault="00E90D2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C340D" w14:paraId="6D7C6613" w14:textId="77777777" w:rsidTr="00DC340D">
      <w:tc>
        <w:tcPr>
          <w:tcW w:w="4920" w:type="dxa"/>
          <w:shd w:val="clear" w:color="auto" w:fill="auto"/>
        </w:tcPr>
        <w:p w14:paraId="1576799C" w14:textId="629D7478" w:rsidR="00DC340D" w:rsidRPr="00DC340D" w:rsidRDefault="00DC340D" w:rsidP="00DC340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20C1">
            <w:rPr>
              <w:b w:val="0"/>
              <w:w w:val="103"/>
              <w:sz w:val="14"/>
            </w:rPr>
            <w:t>22-12463</w:t>
          </w:r>
          <w:r>
            <w:rPr>
              <w:b w:val="0"/>
              <w:w w:val="103"/>
              <w:sz w:val="14"/>
            </w:rPr>
            <w:fldChar w:fldCharType="end"/>
          </w:r>
        </w:p>
      </w:tc>
      <w:tc>
        <w:tcPr>
          <w:tcW w:w="4920" w:type="dxa"/>
          <w:shd w:val="clear" w:color="auto" w:fill="auto"/>
        </w:tcPr>
        <w:p w14:paraId="7D241D13" w14:textId="4027C894" w:rsidR="00DC340D" w:rsidRPr="00DC340D" w:rsidRDefault="00DC340D" w:rsidP="00DC340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6BE17D5" w14:textId="77777777" w:rsidR="00DC340D" w:rsidRPr="00DC340D" w:rsidRDefault="00DC340D" w:rsidP="00DC3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C340D" w14:paraId="46FA730E" w14:textId="77777777" w:rsidTr="00DC340D">
      <w:tc>
        <w:tcPr>
          <w:tcW w:w="4920" w:type="dxa"/>
          <w:shd w:val="clear" w:color="auto" w:fill="auto"/>
        </w:tcPr>
        <w:p w14:paraId="6F1DD3FF" w14:textId="6151C7BA" w:rsidR="00DC340D" w:rsidRPr="00DC340D" w:rsidRDefault="00DC340D" w:rsidP="00DC340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665ADDC3" w14:textId="417AC5C3" w:rsidR="00DC340D" w:rsidRPr="00DC340D" w:rsidRDefault="00DC340D" w:rsidP="00DC340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20C1">
            <w:rPr>
              <w:b w:val="0"/>
              <w:w w:val="103"/>
              <w:sz w:val="14"/>
            </w:rPr>
            <w:t>22-12463</w:t>
          </w:r>
          <w:r>
            <w:rPr>
              <w:b w:val="0"/>
              <w:w w:val="103"/>
              <w:sz w:val="14"/>
            </w:rPr>
            <w:fldChar w:fldCharType="end"/>
          </w:r>
        </w:p>
      </w:tc>
    </w:tr>
  </w:tbl>
  <w:p w14:paraId="3B2317DB" w14:textId="77777777" w:rsidR="00DC340D" w:rsidRPr="00DC340D" w:rsidRDefault="00DC340D" w:rsidP="00DC3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DC340D" w14:paraId="7E62DD56" w14:textId="77777777" w:rsidTr="00DC340D">
      <w:tc>
        <w:tcPr>
          <w:tcW w:w="3801" w:type="dxa"/>
        </w:tcPr>
        <w:p w14:paraId="2AF367F5" w14:textId="5774BA24" w:rsidR="00DC340D" w:rsidRDefault="00DC340D" w:rsidP="00DC340D">
          <w:pPr>
            <w:pStyle w:val="ReleaseDate0"/>
          </w:pPr>
          <w:r>
            <w:rPr>
              <w:noProof/>
            </w:rPr>
            <w:drawing>
              <wp:anchor distT="0" distB="0" distL="114300" distR="114300" simplePos="0" relativeHeight="251658240" behindDoc="0" locked="0" layoutInCell="1" allowOverlap="1" wp14:anchorId="6A5B24C7" wp14:editId="2A7E0E09">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22-12463 (E)    1</w:t>
          </w:r>
          <w:r w:rsidR="00A0213B">
            <w:t>8</w:t>
          </w:r>
          <w:r>
            <w:t xml:space="preserve">0822    </w:t>
          </w:r>
        </w:p>
        <w:p w14:paraId="4840560C" w14:textId="56E7FA91" w:rsidR="00DC340D" w:rsidRPr="00DC340D" w:rsidRDefault="00DC340D" w:rsidP="00DC340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*2212463*</w:t>
          </w:r>
        </w:p>
      </w:tc>
      <w:tc>
        <w:tcPr>
          <w:tcW w:w="4920" w:type="dxa"/>
        </w:tcPr>
        <w:p w14:paraId="6731D91B" w14:textId="2262B954" w:rsidR="00DC340D" w:rsidRDefault="00DC340D" w:rsidP="00DC340D">
          <w:pPr>
            <w:pStyle w:val="Footer"/>
            <w:jc w:val="right"/>
            <w:rPr>
              <w:b w:val="0"/>
              <w:sz w:val="20"/>
            </w:rPr>
          </w:pPr>
          <w:r>
            <w:rPr>
              <w:b w:val="0"/>
              <w:sz w:val="20"/>
            </w:rPr>
            <w:drawing>
              <wp:inline distT="0" distB="0" distL="0" distR="0" wp14:anchorId="406C935F" wp14:editId="6FF15DB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9D656E5" w14:textId="77777777" w:rsidR="00DC340D" w:rsidRPr="00DC340D" w:rsidRDefault="00DC340D" w:rsidP="00DC340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3AE7" w14:textId="77777777" w:rsidR="00E90D29" w:rsidRPr="003105A5" w:rsidRDefault="00E90D29" w:rsidP="003105A5">
      <w:pPr>
        <w:pStyle w:val="Footer"/>
        <w:spacing w:after="80"/>
        <w:ind w:left="792"/>
        <w:rPr>
          <w:sz w:val="16"/>
        </w:rPr>
      </w:pPr>
      <w:r w:rsidRPr="003105A5">
        <w:rPr>
          <w:sz w:val="16"/>
        </w:rPr>
        <w:t>__________________</w:t>
      </w:r>
    </w:p>
  </w:footnote>
  <w:footnote w:type="continuationSeparator" w:id="0">
    <w:p w14:paraId="35A5436B" w14:textId="77777777" w:rsidR="00E90D29" w:rsidRPr="003105A5" w:rsidRDefault="00E90D29" w:rsidP="003105A5">
      <w:pPr>
        <w:pStyle w:val="Footer"/>
        <w:spacing w:after="80"/>
        <w:ind w:left="792"/>
        <w:rPr>
          <w:sz w:val="16"/>
        </w:rPr>
      </w:pPr>
      <w:r w:rsidRPr="003105A5">
        <w:rPr>
          <w:sz w:val="16"/>
        </w:rPr>
        <w:t>__________________</w:t>
      </w:r>
    </w:p>
  </w:footnote>
  <w:footnote w:id="1">
    <w:p w14:paraId="479132C8" w14:textId="77777777" w:rsidR="008B4FAE" w:rsidRDefault="008B4FAE" w:rsidP="003105A5">
      <w:pPr>
        <w:pStyle w:val="FootnoteText"/>
        <w:tabs>
          <w:tab w:val="clear" w:pos="418"/>
          <w:tab w:val="right" w:pos="1195"/>
          <w:tab w:val="left" w:pos="1267"/>
          <w:tab w:val="left" w:pos="1742"/>
          <w:tab w:val="left" w:pos="2218"/>
          <w:tab w:val="left" w:pos="2693"/>
        </w:tabs>
        <w:ind w:left="1267" w:right="1260" w:hanging="432"/>
      </w:pPr>
      <w:r>
        <w:tab/>
      </w:r>
      <w:r>
        <w:rPr>
          <w:rStyle w:val="FootnoteReference"/>
          <w:sz w:val="20"/>
        </w:rPr>
        <w:t>*</w:t>
      </w:r>
      <w:r>
        <w:tab/>
        <w:t>The present document is being issued without formal editing</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C340D" w14:paraId="024CE369" w14:textId="77777777" w:rsidTr="00DC340D">
      <w:trPr>
        <w:trHeight w:hRule="exact" w:val="864"/>
      </w:trPr>
      <w:tc>
        <w:tcPr>
          <w:tcW w:w="4920" w:type="dxa"/>
          <w:shd w:val="clear" w:color="auto" w:fill="auto"/>
          <w:vAlign w:val="bottom"/>
        </w:tcPr>
        <w:p w14:paraId="6C45CD07" w14:textId="0CACEC03" w:rsidR="00DC340D" w:rsidRPr="00DC340D" w:rsidRDefault="00DC340D" w:rsidP="00DC340D">
          <w:pPr>
            <w:pStyle w:val="Header"/>
            <w:spacing w:after="80"/>
            <w:rPr>
              <w:b/>
            </w:rPr>
          </w:pPr>
          <w:r>
            <w:rPr>
              <w:b/>
            </w:rPr>
            <w:fldChar w:fldCharType="begin"/>
          </w:r>
          <w:r>
            <w:rPr>
              <w:b/>
            </w:rPr>
            <w:instrText xml:space="preserve"> DOCVARIABLE "sss1" \* MERGEFORMAT </w:instrText>
          </w:r>
          <w:r>
            <w:rPr>
              <w:b/>
            </w:rPr>
            <w:fldChar w:fldCharType="separate"/>
          </w:r>
          <w:r w:rsidR="00B620C1">
            <w:rPr>
              <w:b/>
            </w:rPr>
            <w:t>CEDAW/C/EST/7</w:t>
          </w:r>
          <w:r>
            <w:rPr>
              <w:b/>
            </w:rPr>
            <w:fldChar w:fldCharType="end"/>
          </w:r>
        </w:p>
      </w:tc>
      <w:tc>
        <w:tcPr>
          <w:tcW w:w="4920" w:type="dxa"/>
          <w:shd w:val="clear" w:color="auto" w:fill="auto"/>
          <w:vAlign w:val="bottom"/>
        </w:tcPr>
        <w:p w14:paraId="4CD77FC1" w14:textId="77777777" w:rsidR="00DC340D" w:rsidRDefault="00DC340D" w:rsidP="00DC340D">
          <w:pPr>
            <w:pStyle w:val="Header"/>
          </w:pPr>
        </w:p>
      </w:tc>
    </w:tr>
  </w:tbl>
  <w:p w14:paraId="0061E49A" w14:textId="77777777" w:rsidR="00DC340D" w:rsidRPr="00DC340D" w:rsidRDefault="00DC340D" w:rsidP="00DC3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C340D" w14:paraId="1B904F0C" w14:textId="77777777" w:rsidTr="00DC340D">
      <w:trPr>
        <w:trHeight w:hRule="exact" w:val="864"/>
      </w:trPr>
      <w:tc>
        <w:tcPr>
          <w:tcW w:w="4920" w:type="dxa"/>
          <w:shd w:val="clear" w:color="auto" w:fill="auto"/>
          <w:vAlign w:val="bottom"/>
        </w:tcPr>
        <w:p w14:paraId="5E7F538C" w14:textId="77777777" w:rsidR="00DC340D" w:rsidRDefault="00DC340D" w:rsidP="00DC340D">
          <w:pPr>
            <w:pStyle w:val="Header"/>
          </w:pPr>
        </w:p>
      </w:tc>
      <w:tc>
        <w:tcPr>
          <w:tcW w:w="4920" w:type="dxa"/>
          <w:shd w:val="clear" w:color="auto" w:fill="auto"/>
          <w:vAlign w:val="bottom"/>
        </w:tcPr>
        <w:p w14:paraId="55B4FE65" w14:textId="13E50DFB" w:rsidR="00DC340D" w:rsidRPr="00DC340D" w:rsidRDefault="00DC340D" w:rsidP="00DC340D">
          <w:pPr>
            <w:pStyle w:val="Header"/>
            <w:spacing w:after="80"/>
            <w:jc w:val="right"/>
            <w:rPr>
              <w:b/>
            </w:rPr>
          </w:pPr>
          <w:r>
            <w:rPr>
              <w:b/>
            </w:rPr>
            <w:fldChar w:fldCharType="begin"/>
          </w:r>
          <w:r>
            <w:rPr>
              <w:b/>
            </w:rPr>
            <w:instrText xml:space="preserve"> DOCVARIABLE "sss1" \* MERGEFORMAT </w:instrText>
          </w:r>
          <w:r>
            <w:rPr>
              <w:b/>
            </w:rPr>
            <w:fldChar w:fldCharType="separate"/>
          </w:r>
          <w:r w:rsidR="00B620C1">
            <w:rPr>
              <w:b/>
            </w:rPr>
            <w:t>CEDAW/C/EST/7</w:t>
          </w:r>
          <w:r>
            <w:rPr>
              <w:b/>
            </w:rPr>
            <w:fldChar w:fldCharType="end"/>
          </w:r>
        </w:p>
      </w:tc>
    </w:tr>
  </w:tbl>
  <w:p w14:paraId="4945EE12" w14:textId="77777777" w:rsidR="00DC340D" w:rsidRPr="00DC340D" w:rsidRDefault="00DC340D" w:rsidP="00DC3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C340D" w14:paraId="788D66BA" w14:textId="77777777" w:rsidTr="00DC340D">
      <w:trPr>
        <w:trHeight w:hRule="exact" w:val="864"/>
      </w:trPr>
      <w:tc>
        <w:tcPr>
          <w:tcW w:w="1267" w:type="dxa"/>
          <w:tcBorders>
            <w:bottom w:val="single" w:sz="4" w:space="0" w:color="auto"/>
          </w:tcBorders>
          <w:shd w:val="clear" w:color="auto" w:fill="auto"/>
          <w:vAlign w:val="bottom"/>
        </w:tcPr>
        <w:p w14:paraId="1286CE9B" w14:textId="77777777" w:rsidR="00DC340D" w:rsidRDefault="00DC340D" w:rsidP="00DC340D">
          <w:pPr>
            <w:pStyle w:val="Header"/>
            <w:spacing w:after="120"/>
          </w:pPr>
        </w:p>
      </w:tc>
      <w:tc>
        <w:tcPr>
          <w:tcW w:w="1872" w:type="dxa"/>
          <w:tcBorders>
            <w:bottom w:val="single" w:sz="4" w:space="0" w:color="auto"/>
          </w:tcBorders>
          <w:shd w:val="clear" w:color="auto" w:fill="auto"/>
          <w:vAlign w:val="bottom"/>
        </w:tcPr>
        <w:p w14:paraId="58B0C3DC" w14:textId="15EC124C" w:rsidR="00DC340D" w:rsidRPr="00DC340D" w:rsidRDefault="00DC340D" w:rsidP="00DC340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056A791" w14:textId="77777777" w:rsidR="00DC340D" w:rsidRDefault="00DC340D" w:rsidP="00DC340D">
          <w:pPr>
            <w:pStyle w:val="Header"/>
            <w:spacing w:after="120"/>
          </w:pPr>
        </w:p>
      </w:tc>
      <w:tc>
        <w:tcPr>
          <w:tcW w:w="6466" w:type="dxa"/>
          <w:gridSpan w:val="4"/>
          <w:tcBorders>
            <w:bottom w:val="single" w:sz="4" w:space="0" w:color="auto"/>
          </w:tcBorders>
          <w:shd w:val="clear" w:color="auto" w:fill="auto"/>
          <w:vAlign w:val="bottom"/>
        </w:tcPr>
        <w:p w14:paraId="67671494" w14:textId="77F20BB7" w:rsidR="00DC340D" w:rsidRPr="00DC340D" w:rsidRDefault="00DC340D" w:rsidP="00DC340D">
          <w:pPr>
            <w:spacing w:after="80" w:line="240" w:lineRule="auto"/>
            <w:jc w:val="right"/>
            <w:rPr>
              <w:position w:val="-4"/>
            </w:rPr>
          </w:pPr>
          <w:r>
            <w:rPr>
              <w:position w:val="-4"/>
              <w:sz w:val="40"/>
            </w:rPr>
            <w:t>CEDAW</w:t>
          </w:r>
          <w:r>
            <w:rPr>
              <w:position w:val="-4"/>
            </w:rPr>
            <w:t>/C/EST/7</w:t>
          </w:r>
        </w:p>
      </w:tc>
    </w:tr>
    <w:tr w:rsidR="00DC340D" w:rsidRPr="00DC340D" w14:paraId="5AA563A2" w14:textId="77777777" w:rsidTr="00DC340D">
      <w:trPr>
        <w:gridAfter w:val="1"/>
        <w:wAfter w:w="15" w:type="dxa"/>
        <w:trHeight w:hRule="exact" w:val="2880"/>
      </w:trPr>
      <w:tc>
        <w:tcPr>
          <w:tcW w:w="1267" w:type="dxa"/>
          <w:tcBorders>
            <w:top w:val="single" w:sz="4" w:space="0" w:color="auto"/>
            <w:bottom w:val="single" w:sz="12" w:space="0" w:color="auto"/>
          </w:tcBorders>
          <w:shd w:val="clear" w:color="auto" w:fill="auto"/>
        </w:tcPr>
        <w:p w14:paraId="63AADC2A" w14:textId="38DF0E9B" w:rsidR="00DC340D" w:rsidRPr="00DC340D" w:rsidRDefault="00DC340D" w:rsidP="00DC340D">
          <w:pPr>
            <w:pStyle w:val="Header"/>
            <w:spacing w:before="120"/>
            <w:jc w:val="center"/>
          </w:pPr>
          <w:r>
            <w:t xml:space="preserve"> </w:t>
          </w:r>
          <w:r>
            <w:drawing>
              <wp:inline distT="0" distB="0" distL="0" distR="0" wp14:anchorId="60401D68" wp14:editId="58A5B06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CCD14FF" w14:textId="676D8B60" w:rsidR="00DC340D" w:rsidRPr="00DC340D" w:rsidRDefault="00DC340D" w:rsidP="00DC340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2AB3707" w14:textId="77777777" w:rsidR="00DC340D" w:rsidRPr="00DC340D" w:rsidRDefault="00DC340D" w:rsidP="00DC340D">
          <w:pPr>
            <w:pStyle w:val="Header"/>
            <w:spacing w:before="109"/>
          </w:pPr>
        </w:p>
      </w:tc>
      <w:tc>
        <w:tcPr>
          <w:tcW w:w="3096" w:type="dxa"/>
          <w:tcBorders>
            <w:top w:val="single" w:sz="4" w:space="0" w:color="auto"/>
            <w:bottom w:val="single" w:sz="12" w:space="0" w:color="auto"/>
          </w:tcBorders>
          <w:shd w:val="clear" w:color="auto" w:fill="auto"/>
        </w:tcPr>
        <w:p w14:paraId="5C6687DF" w14:textId="77777777" w:rsidR="00DC340D" w:rsidRDefault="00DC340D" w:rsidP="00DC340D">
          <w:pPr>
            <w:pStyle w:val="Publication"/>
            <w:spacing w:before="240"/>
            <w:rPr>
              <w:color w:val="010000"/>
            </w:rPr>
          </w:pPr>
          <w:r>
            <w:rPr>
              <w:color w:val="010000"/>
            </w:rPr>
            <w:t>Distr.: General</w:t>
          </w:r>
        </w:p>
        <w:p w14:paraId="1F4E68EA" w14:textId="77777777" w:rsidR="00DC340D" w:rsidRDefault="00DC340D" w:rsidP="00DC340D">
          <w:r>
            <w:t>10 August 2022</w:t>
          </w:r>
        </w:p>
        <w:p w14:paraId="41DE2890" w14:textId="604B2548" w:rsidR="00DC340D" w:rsidRDefault="00DC340D" w:rsidP="00DC340D"/>
        <w:p w14:paraId="476375A8" w14:textId="77777777" w:rsidR="00DC340D" w:rsidRDefault="00DC340D" w:rsidP="00DC340D">
          <w:r>
            <w:t>Original: English</w:t>
          </w:r>
        </w:p>
        <w:p w14:paraId="0D6AF0D2" w14:textId="0D1B12F5" w:rsidR="00E8776D" w:rsidRPr="00DC340D" w:rsidRDefault="00E8776D" w:rsidP="00DC340D">
          <w:r>
            <w:t>English, French and Spanish</w:t>
          </w:r>
        </w:p>
      </w:tc>
    </w:tr>
  </w:tbl>
  <w:p w14:paraId="2F0FE115" w14:textId="77777777" w:rsidR="00DC340D" w:rsidRPr="00DC340D" w:rsidRDefault="00DC340D" w:rsidP="00DC340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8BF"/>
    <w:multiLevelType w:val="hybridMultilevel"/>
    <w:tmpl w:val="E96EC63E"/>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 w15:restartNumberingAfterBreak="0">
    <w:nsid w:val="081F3F40"/>
    <w:multiLevelType w:val="hybridMultilevel"/>
    <w:tmpl w:val="2546517A"/>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 w15:restartNumberingAfterBreak="0">
    <w:nsid w:val="0B3E735D"/>
    <w:multiLevelType w:val="hybridMultilevel"/>
    <w:tmpl w:val="1426591E"/>
    <w:lvl w:ilvl="0" w:tplc="C9B49ED6">
      <w:start w:val="99"/>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B2FBD"/>
    <w:multiLevelType w:val="hybridMultilevel"/>
    <w:tmpl w:val="E96EC63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2C0D1FBC"/>
    <w:multiLevelType w:val="hybridMultilevel"/>
    <w:tmpl w:val="2546517A"/>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3ED47AB7"/>
    <w:multiLevelType w:val="hybridMultilevel"/>
    <w:tmpl w:val="2546517A"/>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 w15:restartNumberingAfterBreak="0">
    <w:nsid w:val="482B4D0D"/>
    <w:multiLevelType w:val="hybridMultilevel"/>
    <w:tmpl w:val="2546517A"/>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15:restartNumberingAfterBreak="0">
    <w:nsid w:val="4FD1477B"/>
    <w:multiLevelType w:val="hybridMultilevel"/>
    <w:tmpl w:val="E96EC63E"/>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4FE12A03"/>
    <w:multiLevelType w:val="hybridMultilevel"/>
    <w:tmpl w:val="6ED8AE10"/>
    <w:lvl w:ilvl="0" w:tplc="359E694A">
      <w:start w:val="10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68AD07B2"/>
    <w:multiLevelType w:val="hybridMultilevel"/>
    <w:tmpl w:val="7FEE3222"/>
    <w:lvl w:ilvl="0" w:tplc="E7680876">
      <w:start w:val="1"/>
      <w:numFmt w:val="bullet"/>
      <w:pStyle w:val="Bullet1G"/>
      <w:lvlText w:val="•"/>
      <w:lvlJc w:val="left"/>
      <w:pPr>
        <w:tabs>
          <w:tab w:val="num" w:pos="1701"/>
        </w:tabs>
        <w:ind w:left="1701" w:hanging="170"/>
      </w:pPr>
      <w:rPr>
        <w:rFonts w:ascii="Times New Roman" w:hAnsi="Times New Roman" w:cs="Times New Roman" w:hint="default"/>
      </w:rPr>
    </w:lvl>
    <w:lvl w:ilvl="1" w:tplc="F098945E" w:tentative="1">
      <w:start w:val="1"/>
      <w:numFmt w:val="bullet"/>
      <w:lvlText w:val="o"/>
      <w:lvlJc w:val="left"/>
      <w:pPr>
        <w:tabs>
          <w:tab w:val="num" w:pos="3141"/>
        </w:tabs>
        <w:ind w:left="3141" w:hanging="360"/>
      </w:pPr>
      <w:rPr>
        <w:rFonts w:ascii="Courier New" w:hAnsi="Courier New" w:hint="default"/>
      </w:rPr>
    </w:lvl>
    <w:lvl w:ilvl="2" w:tplc="709C7BE6" w:tentative="1">
      <w:start w:val="1"/>
      <w:numFmt w:val="bullet"/>
      <w:lvlText w:val=""/>
      <w:lvlJc w:val="left"/>
      <w:pPr>
        <w:tabs>
          <w:tab w:val="num" w:pos="3861"/>
        </w:tabs>
        <w:ind w:left="3861" w:hanging="360"/>
      </w:pPr>
      <w:rPr>
        <w:rFonts w:ascii="Wingdings" w:hAnsi="Wingdings" w:hint="default"/>
      </w:rPr>
    </w:lvl>
    <w:lvl w:ilvl="3" w:tplc="A8B80B24" w:tentative="1">
      <w:start w:val="1"/>
      <w:numFmt w:val="bullet"/>
      <w:lvlText w:val=""/>
      <w:lvlJc w:val="left"/>
      <w:pPr>
        <w:tabs>
          <w:tab w:val="num" w:pos="4581"/>
        </w:tabs>
        <w:ind w:left="4581" w:hanging="360"/>
      </w:pPr>
      <w:rPr>
        <w:rFonts w:ascii="Symbol" w:hAnsi="Symbol" w:hint="default"/>
      </w:rPr>
    </w:lvl>
    <w:lvl w:ilvl="4" w:tplc="D4BA9E82" w:tentative="1">
      <w:start w:val="1"/>
      <w:numFmt w:val="bullet"/>
      <w:lvlText w:val="o"/>
      <w:lvlJc w:val="left"/>
      <w:pPr>
        <w:tabs>
          <w:tab w:val="num" w:pos="5301"/>
        </w:tabs>
        <w:ind w:left="5301" w:hanging="360"/>
      </w:pPr>
      <w:rPr>
        <w:rFonts w:ascii="Courier New" w:hAnsi="Courier New" w:hint="default"/>
      </w:rPr>
    </w:lvl>
    <w:lvl w:ilvl="5" w:tplc="8B9A1798" w:tentative="1">
      <w:start w:val="1"/>
      <w:numFmt w:val="bullet"/>
      <w:lvlText w:val=""/>
      <w:lvlJc w:val="left"/>
      <w:pPr>
        <w:tabs>
          <w:tab w:val="num" w:pos="6021"/>
        </w:tabs>
        <w:ind w:left="6021" w:hanging="360"/>
      </w:pPr>
      <w:rPr>
        <w:rFonts w:ascii="Wingdings" w:hAnsi="Wingdings" w:hint="default"/>
      </w:rPr>
    </w:lvl>
    <w:lvl w:ilvl="6" w:tplc="60924F00" w:tentative="1">
      <w:start w:val="1"/>
      <w:numFmt w:val="bullet"/>
      <w:lvlText w:val=""/>
      <w:lvlJc w:val="left"/>
      <w:pPr>
        <w:tabs>
          <w:tab w:val="num" w:pos="6741"/>
        </w:tabs>
        <w:ind w:left="6741" w:hanging="360"/>
      </w:pPr>
      <w:rPr>
        <w:rFonts w:ascii="Symbol" w:hAnsi="Symbol" w:hint="default"/>
      </w:rPr>
    </w:lvl>
    <w:lvl w:ilvl="7" w:tplc="34B0C64C" w:tentative="1">
      <w:start w:val="1"/>
      <w:numFmt w:val="bullet"/>
      <w:lvlText w:val="o"/>
      <w:lvlJc w:val="left"/>
      <w:pPr>
        <w:tabs>
          <w:tab w:val="num" w:pos="7461"/>
        </w:tabs>
        <w:ind w:left="7461" w:hanging="360"/>
      </w:pPr>
      <w:rPr>
        <w:rFonts w:ascii="Courier New" w:hAnsi="Courier New" w:hint="default"/>
      </w:rPr>
    </w:lvl>
    <w:lvl w:ilvl="8" w:tplc="05BA1D5A"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A752B4B"/>
    <w:multiLevelType w:val="multilevel"/>
    <w:tmpl w:val="B4081AE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4"/>
  </w:num>
  <w:num w:numId="2">
    <w:abstractNumId w:val="9"/>
  </w:num>
  <w:num w:numId="3">
    <w:abstractNumId w:val="12"/>
  </w:num>
  <w:num w:numId="4">
    <w:abstractNumId w:val="6"/>
  </w:num>
  <w:num w:numId="5">
    <w:abstractNumId w:val="12"/>
  </w:num>
  <w:num w:numId="6">
    <w:abstractNumId w:val="6"/>
  </w:num>
  <w:num w:numId="7">
    <w:abstractNumId w:val="12"/>
  </w:num>
  <w:num w:numId="8">
    <w:abstractNumId w:val="6"/>
  </w:num>
  <w:num w:numId="9">
    <w:abstractNumId w:val="12"/>
  </w:num>
  <w:num w:numId="10">
    <w:abstractNumId w:val="6"/>
  </w:num>
  <w:num w:numId="11">
    <w:abstractNumId w:val="12"/>
  </w:num>
  <w:num w:numId="12">
    <w:abstractNumId w:val="4"/>
  </w:num>
  <w:num w:numId="13">
    <w:abstractNumId w:val="6"/>
  </w:num>
  <w:num w:numId="14">
    <w:abstractNumId w:val="9"/>
  </w:num>
  <w:num w:numId="15">
    <w:abstractNumId w:val="12"/>
  </w:num>
  <w:num w:numId="16">
    <w:abstractNumId w:val="4"/>
  </w:num>
  <w:num w:numId="17">
    <w:abstractNumId w:val="6"/>
  </w:num>
  <w:num w:numId="18">
    <w:abstractNumId w:val="9"/>
  </w:num>
  <w:num w:numId="19">
    <w:abstractNumId w:val="12"/>
  </w:num>
  <w:num w:numId="20">
    <w:abstractNumId w:val="6"/>
  </w:num>
  <w:num w:numId="21">
    <w:abstractNumId w:val="12"/>
  </w:num>
  <w:num w:numId="22">
    <w:abstractNumId w:val="6"/>
  </w:num>
  <w:num w:numId="23">
    <w:abstractNumId w:val="12"/>
  </w:num>
  <w:num w:numId="24">
    <w:abstractNumId w:val="6"/>
  </w:num>
  <w:num w:numId="25">
    <w:abstractNumId w:val="13"/>
  </w:num>
  <w:num w:numId="26">
    <w:abstractNumId w:val="3"/>
  </w:num>
  <w:num w:numId="27">
    <w:abstractNumId w:val="7"/>
  </w:num>
  <w:num w:numId="28">
    <w:abstractNumId w:val="1"/>
  </w:num>
  <w:num w:numId="29">
    <w:abstractNumId w:val="5"/>
  </w:num>
  <w:num w:numId="30">
    <w:abstractNumId w:val="8"/>
  </w:num>
  <w:num w:numId="31">
    <w:abstractNumId w:val="2"/>
  </w:num>
  <w:num w:numId="32">
    <w:abstractNumId w:val="11"/>
  </w:num>
  <w:num w:numId="33">
    <w:abstractNumId w:val="0"/>
  </w:num>
  <w:num w:numId="34">
    <w:abstractNumId w:val="10"/>
  </w:num>
  <w:num w:numId="3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2463*"/>
    <w:docVar w:name="CreationDt" w:val="17/08/2022 10:58 AM"/>
    <w:docVar w:name="DocCategory" w:val="Doc"/>
    <w:docVar w:name="DocType" w:val="Final"/>
    <w:docVar w:name="DutyStation" w:val="New York"/>
    <w:docVar w:name="FooterJN" w:val="22-12463"/>
    <w:docVar w:name="jobn" w:val="22-12463 (E)"/>
    <w:docVar w:name="jobnDT" w:val="22-12463 (E)   170822"/>
    <w:docVar w:name="jobnDTDT" w:val="22-12463 (E)   170822   170822"/>
    <w:docVar w:name="JobNo" w:val="2212463E"/>
    <w:docVar w:name="JobNo2" w:val="2245670E"/>
    <w:docVar w:name="LocalDrive" w:val="0"/>
    <w:docVar w:name="OandT" w:val=" "/>
    <w:docVar w:name="sss1" w:val="CEDAW/C/EST/7"/>
    <w:docVar w:name="sss2" w:val="-"/>
    <w:docVar w:name="Symbol1" w:val="CEDAW/C/EST/7"/>
    <w:docVar w:name="Symbol2" w:val="-"/>
    <w:docVar w:name="Title1" w:val="Committee on the Elimination of Discrimination against Women_x000d_"/>
    <w:docVar w:name="Title2" w:val="_x0009__x0009_Seventh periodic report submitted by Estonia under article 18 of the Convention, due in 2022*_x000d_"/>
  </w:docVars>
  <w:rsids>
    <w:rsidRoot w:val="009874C5"/>
    <w:rsid w:val="00003B3D"/>
    <w:rsid w:val="00012805"/>
    <w:rsid w:val="0001325F"/>
    <w:rsid w:val="00017FCF"/>
    <w:rsid w:val="00022778"/>
    <w:rsid w:val="00024D1E"/>
    <w:rsid w:val="0003396A"/>
    <w:rsid w:val="000408AB"/>
    <w:rsid w:val="000448E6"/>
    <w:rsid w:val="00045CAE"/>
    <w:rsid w:val="00065F99"/>
    <w:rsid w:val="000749C3"/>
    <w:rsid w:val="00074CBD"/>
    <w:rsid w:val="00075E02"/>
    <w:rsid w:val="00077BBA"/>
    <w:rsid w:val="00084076"/>
    <w:rsid w:val="000B3288"/>
    <w:rsid w:val="000B4276"/>
    <w:rsid w:val="000B5389"/>
    <w:rsid w:val="000B5AFB"/>
    <w:rsid w:val="000C4C9C"/>
    <w:rsid w:val="000E7108"/>
    <w:rsid w:val="0011766D"/>
    <w:rsid w:val="0012341E"/>
    <w:rsid w:val="00127A29"/>
    <w:rsid w:val="001375DA"/>
    <w:rsid w:val="00155B97"/>
    <w:rsid w:val="00162A0E"/>
    <w:rsid w:val="001907AF"/>
    <w:rsid w:val="001A207A"/>
    <w:rsid w:val="001B6FC0"/>
    <w:rsid w:val="001C22A4"/>
    <w:rsid w:val="001C3299"/>
    <w:rsid w:val="001C33C8"/>
    <w:rsid w:val="001C66B8"/>
    <w:rsid w:val="001D79B0"/>
    <w:rsid w:val="001D79DD"/>
    <w:rsid w:val="001E5E85"/>
    <w:rsid w:val="001E6D42"/>
    <w:rsid w:val="001E7B16"/>
    <w:rsid w:val="001F2A27"/>
    <w:rsid w:val="002007C7"/>
    <w:rsid w:val="00200F9C"/>
    <w:rsid w:val="00201732"/>
    <w:rsid w:val="00214645"/>
    <w:rsid w:val="00241A2D"/>
    <w:rsid w:val="00263E63"/>
    <w:rsid w:val="002706A2"/>
    <w:rsid w:val="00270FFB"/>
    <w:rsid w:val="002A22C6"/>
    <w:rsid w:val="002A4D05"/>
    <w:rsid w:val="002C633D"/>
    <w:rsid w:val="002D51E7"/>
    <w:rsid w:val="002D5AB8"/>
    <w:rsid w:val="002E00F0"/>
    <w:rsid w:val="002E09A8"/>
    <w:rsid w:val="002F4BD0"/>
    <w:rsid w:val="002F7158"/>
    <w:rsid w:val="00300B6A"/>
    <w:rsid w:val="003105A5"/>
    <w:rsid w:val="00331251"/>
    <w:rsid w:val="00335CDC"/>
    <w:rsid w:val="003418B2"/>
    <w:rsid w:val="003437DC"/>
    <w:rsid w:val="00344867"/>
    <w:rsid w:val="00346E64"/>
    <w:rsid w:val="00371A3B"/>
    <w:rsid w:val="00385D71"/>
    <w:rsid w:val="003A0A16"/>
    <w:rsid w:val="003A2622"/>
    <w:rsid w:val="003B3A61"/>
    <w:rsid w:val="003C17D2"/>
    <w:rsid w:val="003D159A"/>
    <w:rsid w:val="003E14E1"/>
    <w:rsid w:val="003E3B08"/>
    <w:rsid w:val="003E67C4"/>
    <w:rsid w:val="003E723B"/>
    <w:rsid w:val="003F25BA"/>
    <w:rsid w:val="0040127B"/>
    <w:rsid w:val="00404AD7"/>
    <w:rsid w:val="004117AA"/>
    <w:rsid w:val="0044179B"/>
    <w:rsid w:val="00452066"/>
    <w:rsid w:val="004856CD"/>
    <w:rsid w:val="00492ED8"/>
    <w:rsid w:val="004A199E"/>
    <w:rsid w:val="004A352E"/>
    <w:rsid w:val="004A5381"/>
    <w:rsid w:val="004A6554"/>
    <w:rsid w:val="004B0B18"/>
    <w:rsid w:val="004B4C46"/>
    <w:rsid w:val="004C4936"/>
    <w:rsid w:val="004C7AF2"/>
    <w:rsid w:val="004D17DB"/>
    <w:rsid w:val="004E592B"/>
    <w:rsid w:val="004F1008"/>
    <w:rsid w:val="00515339"/>
    <w:rsid w:val="00525648"/>
    <w:rsid w:val="00533D65"/>
    <w:rsid w:val="0054091E"/>
    <w:rsid w:val="00541BEC"/>
    <w:rsid w:val="00556101"/>
    <w:rsid w:val="00556720"/>
    <w:rsid w:val="0056241F"/>
    <w:rsid w:val="00563875"/>
    <w:rsid w:val="00564E7E"/>
    <w:rsid w:val="00576DB7"/>
    <w:rsid w:val="005828E2"/>
    <w:rsid w:val="005909DF"/>
    <w:rsid w:val="00592811"/>
    <w:rsid w:val="005A0D4F"/>
    <w:rsid w:val="005C146D"/>
    <w:rsid w:val="005C49C8"/>
    <w:rsid w:val="005F2F1C"/>
    <w:rsid w:val="005F7563"/>
    <w:rsid w:val="00603FCD"/>
    <w:rsid w:val="00612565"/>
    <w:rsid w:val="006137E4"/>
    <w:rsid w:val="00617563"/>
    <w:rsid w:val="00636929"/>
    <w:rsid w:val="0064252E"/>
    <w:rsid w:val="00651750"/>
    <w:rsid w:val="00666633"/>
    <w:rsid w:val="00674235"/>
    <w:rsid w:val="00691AC7"/>
    <w:rsid w:val="006B00A5"/>
    <w:rsid w:val="006C07C2"/>
    <w:rsid w:val="006C572F"/>
    <w:rsid w:val="006D1352"/>
    <w:rsid w:val="006D6278"/>
    <w:rsid w:val="006E19F3"/>
    <w:rsid w:val="006E2FA3"/>
    <w:rsid w:val="007047F4"/>
    <w:rsid w:val="00707CAD"/>
    <w:rsid w:val="00711EE0"/>
    <w:rsid w:val="00723C70"/>
    <w:rsid w:val="007329A1"/>
    <w:rsid w:val="00741578"/>
    <w:rsid w:val="00744874"/>
    <w:rsid w:val="00747474"/>
    <w:rsid w:val="00747697"/>
    <w:rsid w:val="00762F98"/>
    <w:rsid w:val="00764135"/>
    <w:rsid w:val="00764DD9"/>
    <w:rsid w:val="00764F4B"/>
    <w:rsid w:val="00777887"/>
    <w:rsid w:val="00785BD1"/>
    <w:rsid w:val="00787DCC"/>
    <w:rsid w:val="007A4C14"/>
    <w:rsid w:val="007A620C"/>
    <w:rsid w:val="007C119C"/>
    <w:rsid w:val="007C1EBA"/>
    <w:rsid w:val="007D71D2"/>
    <w:rsid w:val="007F1EE6"/>
    <w:rsid w:val="007F2050"/>
    <w:rsid w:val="007F7712"/>
    <w:rsid w:val="00811400"/>
    <w:rsid w:val="0081260C"/>
    <w:rsid w:val="00820D92"/>
    <w:rsid w:val="00846D29"/>
    <w:rsid w:val="00855FFA"/>
    <w:rsid w:val="00861039"/>
    <w:rsid w:val="008723C3"/>
    <w:rsid w:val="0088620B"/>
    <w:rsid w:val="00890662"/>
    <w:rsid w:val="0089085F"/>
    <w:rsid w:val="00890B18"/>
    <w:rsid w:val="00890BFB"/>
    <w:rsid w:val="00893327"/>
    <w:rsid w:val="008A0577"/>
    <w:rsid w:val="008A156F"/>
    <w:rsid w:val="008B4FAE"/>
    <w:rsid w:val="008C33BC"/>
    <w:rsid w:val="008E249E"/>
    <w:rsid w:val="008E327C"/>
    <w:rsid w:val="008E42D4"/>
    <w:rsid w:val="008F0090"/>
    <w:rsid w:val="008F1C5D"/>
    <w:rsid w:val="00906BDA"/>
    <w:rsid w:val="00907A7B"/>
    <w:rsid w:val="00936839"/>
    <w:rsid w:val="00947922"/>
    <w:rsid w:val="009517EC"/>
    <w:rsid w:val="009652D9"/>
    <w:rsid w:val="0097341C"/>
    <w:rsid w:val="00985403"/>
    <w:rsid w:val="009874C5"/>
    <w:rsid w:val="009A3232"/>
    <w:rsid w:val="009A6819"/>
    <w:rsid w:val="009B544C"/>
    <w:rsid w:val="009D405A"/>
    <w:rsid w:val="009E1969"/>
    <w:rsid w:val="00A0213B"/>
    <w:rsid w:val="00A134C9"/>
    <w:rsid w:val="00A135EB"/>
    <w:rsid w:val="00A20AC0"/>
    <w:rsid w:val="00A26BF8"/>
    <w:rsid w:val="00A30DCB"/>
    <w:rsid w:val="00A62511"/>
    <w:rsid w:val="00A67B69"/>
    <w:rsid w:val="00A73452"/>
    <w:rsid w:val="00A80E37"/>
    <w:rsid w:val="00A81678"/>
    <w:rsid w:val="00A93A73"/>
    <w:rsid w:val="00AA2E74"/>
    <w:rsid w:val="00AA31F4"/>
    <w:rsid w:val="00AA442B"/>
    <w:rsid w:val="00AB2BAB"/>
    <w:rsid w:val="00AC48EC"/>
    <w:rsid w:val="00AC617F"/>
    <w:rsid w:val="00AE72A3"/>
    <w:rsid w:val="00B06FDD"/>
    <w:rsid w:val="00B07272"/>
    <w:rsid w:val="00B17781"/>
    <w:rsid w:val="00B2347A"/>
    <w:rsid w:val="00B27E2C"/>
    <w:rsid w:val="00B40842"/>
    <w:rsid w:val="00B53FE7"/>
    <w:rsid w:val="00B620C1"/>
    <w:rsid w:val="00B73C69"/>
    <w:rsid w:val="00BA1491"/>
    <w:rsid w:val="00BA666B"/>
    <w:rsid w:val="00BB5C7D"/>
    <w:rsid w:val="00BE196B"/>
    <w:rsid w:val="00BF5B27"/>
    <w:rsid w:val="00BF6BE0"/>
    <w:rsid w:val="00C462D1"/>
    <w:rsid w:val="00C603D3"/>
    <w:rsid w:val="00C70331"/>
    <w:rsid w:val="00C779E4"/>
    <w:rsid w:val="00C93742"/>
    <w:rsid w:val="00CB50FA"/>
    <w:rsid w:val="00CB51DD"/>
    <w:rsid w:val="00CB5AB9"/>
    <w:rsid w:val="00CC3488"/>
    <w:rsid w:val="00CD4AC4"/>
    <w:rsid w:val="00D22DFF"/>
    <w:rsid w:val="00D266C0"/>
    <w:rsid w:val="00D44A64"/>
    <w:rsid w:val="00D526E8"/>
    <w:rsid w:val="00D64E95"/>
    <w:rsid w:val="00D90E5C"/>
    <w:rsid w:val="00D91D8E"/>
    <w:rsid w:val="00D93206"/>
    <w:rsid w:val="00D94A42"/>
    <w:rsid w:val="00D954FF"/>
    <w:rsid w:val="00DA42A7"/>
    <w:rsid w:val="00DC340D"/>
    <w:rsid w:val="00DC607E"/>
    <w:rsid w:val="00DC63AD"/>
    <w:rsid w:val="00DC7B16"/>
    <w:rsid w:val="00DD42F7"/>
    <w:rsid w:val="00DF508E"/>
    <w:rsid w:val="00DF7816"/>
    <w:rsid w:val="00E12434"/>
    <w:rsid w:val="00E20DA7"/>
    <w:rsid w:val="00E36E7A"/>
    <w:rsid w:val="00E4290E"/>
    <w:rsid w:val="00E50856"/>
    <w:rsid w:val="00E7739E"/>
    <w:rsid w:val="00E870C2"/>
    <w:rsid w:val="00E8776D"/>
    <w:rsid w:val="00E90769"/>
    <w:rsid w:val="00E90D29"/>
    <w:rsid w:val="00EA0F80"/>
    <w:rsid w:val="00EB1918"/>
    <w:rsid w:val="00EC58B4"/>
    <w:rsid w:val="00ED24CC"/>
    <w:rsid w:val="00ED42F5"/>
    <w:rsid w:val="00ED479F"/>
    <w:rsid w:val="00ED5AA7"/>
    <w:rsid w:val="00F05DBB"/>
    <w:rsid w:val="00F1538F"/>
    <w:rsid w:val="00F27BF6"/>
    <w:rsid w:val="00F30184"/>
    <w:rsid w:val="00F47D33"/>
    <w:rsid w:val="00F5593E"/>
    <w:rsid w:val="00F56BCA"/>
    <w:rsid w:val="00F60D16"/>
    <w:rsid w:val="00F63962"/>
    <w:rsid w:val="00F7600D"/>
    <w:rsid w:val="00F77884"/>
    <w:rsid w:val="00F8600E"/>
    <w:rsid w:val="00F94BC6"/>
    <w:rsid w:val="00FC065F"/>
    <w:rsid w:val="00FC49F5"/>
    <w:rsid w:val="00FD55F3"/>
    <w:rsid w:val="00FD794F"/>
    <w:rsid w:val="00FE60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E1B489"/>
  <w15:chartTrackingRefBased/>
  <w15:docId w15:val="{10E7DED5-D54F-4BF9-8B57-18F909D4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6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3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3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3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263E6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63E63"/>
    <w:pPr>
      <w:spacing w:line="300" w:lineRule="exact"/>
      <w:ind w:left="0" w:right="0" w:firstLine="0"/>
    </w:pPr>
    <w:rPr>
      <w:spacing w:val="-2"/>
      <w:sz w:val="28"/>
    </w:rPr>
  </w:style>
  <w:style w:type="paragraph" w:customStyle="1" w:styleId="HM">
    <w:name w:val="_ H __M"/>
    <w:basedOn w:val="HCh"/>
    <w:next w:val="Normal"/>
    <w:rsid w:val="00263E63"/>
    <w:pPr>
      <w:spacing w:line="360" w:lineRule="exact"/>
    </w:pPr>
    <w:rPr>
      <w:spacing w:val="-3"/>
      <w:w w:val="99"/>
      <w:sz w:val="34"/>
    </w:rPr>
  </w:style>
  <w:style w:type="paragraph" w:customStyle="1" w:styleId="H23">
    <w:name w:val="_ H_2/3"/>
    <w:basedOn w:val="Normal"/>
    <w:next w:val="Normal"/>
    <w:rsid w:val="00263E63"/>
    <w:pPr>
      <w:outlineLvl w:val="1"/>
    </w:pPr>
    <w:rPr>
      <w:b/>
      <w:lang w:val="en-US"/>
    </w:rPr>
  </w:style>
  <w:style w:type="paragraph" w:customStyle="1" w:styleId="H4">
    <w:name w:val="_ H_4"/>
    <w:basedOn w:val="Normal"/>
    <w:next w:val="Normal"/>
    <w:rsid w:val="00263E6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63E6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63E6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63E6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63E63"/>
    <w:pPr>
      <w:spacing w:line="540" w:lineRule="exact"/>
    </w:pPr>
    <w:rPr>
      <w:spacing w:val="-8"/>
      <w:w w:val="96"/>
      <w:sz w:val="57"/>
    </w:rPr>
  </w:style>
  <w:style w:type="paragraph" w:customStyle="1" w:styleId="SS">
    <w:name w:val="__S_S"/>
    <w:basedOn w:val="HCh"/>
    <w:next w:val="Normal"/>
    <w:rsid w:val="00263E63"/>
    <w:pPr>
      <w:ind w:left="1267" w:right="1267"/>
    </w:pPr>
  </w:style>
  <w:style w:type="paragraph" w:customStyle="1" w:styleId="SingleTxt">
    <w:name w:val="__Single Txt"/>
    <w:basedOn w:val="Normal"/>
    <w:rsid w:val="00263E6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63E63"/>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263E6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63E63"/>
    <w:pPr>
      <w:spacing w:line="240" w:lineRule="exact"/>
      <w:ind w:left="0" w:right="5040" w:firstLine="0"/>
      <w:outlineLvl w:val="1"/>
    </w:pPr>
    <w:rPr>
      <w:sz w:val="20"/>
    </w:rPr>
  </w:style>
  <w:style w:type="paragraph" w:styleId="BalloonText">
    <w:name w:val="Balloon Text"/>
    <w:basedOn w:val="Normal"/>
    <w:link w:val="BalloonTextChar"/>
    <w:semiHidden/>
    <w:rsid w:val="00263E63"/>
    <w:rPr>
      <w:rFonts w:ascii="Tahoma" w:hAnsi="Tahoma" w:cs="Tahoma"/>
      <w:sz w:val="16"/>
      <w:szCs w:val="16"/>
    </w:rPr>
  </w:style>
  <w:style w:type="character" w:customStyle="1" w:styleId="BalloonTextChar">
    <w:name w:val="Balloon Text Char"/>
    <w:basedOn w:val="DefaultParagraphFont"/>
    <w:link w:val="BalloonText"/>
    <w:semiHidden/>
    <w:rsid w:val="00263E6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63E63"/>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263E63"/>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uiPriority w:val="99"/>
    <w:semiHidden/>
    <w:rsid w:val="00263E63"/>
    <w:rPr>
      <w:sz w:val="6"/>
    </w:rPr>
  </w:style>
  <w:style w:type="paragraph" w:customStyle="1" w:styleId="Distribution">
    <w:name w:val="Distribution"/>
    <w:next w:val="Normal"/>
    <w:rsid w:val="00263E6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63E6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
    <w:basedOn w:val="Normal"/>
    <w:link w:val="FootnoteTextChar"/>
    <w:uiPriority w:val="99"/>
    <w:qFormat/>
    <w:rsid w:val="00263E63"/>
    <w:pPr>
      <w:widowControl w:val="0"/>
      <w:tabs>
        <w:tab w:val="right" w:pos="418"/>
      </w:tabs>
      <w:spacing w:line="210" w:lineRule="exact"/>
      <w:ind w:left="475" w:hanging="475"/>
    </w:pPr>
    <w:rPr>
      <w:spacing w:val="5"/>
      <w:sz w:val="17"/>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263E6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63E63"/>
  </w:style>
  <w:style w:type="character" w:customStyle="1" w:styleId="EndnoteTextChar">
    <w:name w:val="Endnote Text Char"/>
    <w:basedOn w:val="DefaultParagraphFont"/>
    <w:link w:val="EndnoteText"/>
    <w:semiHidden/>
    <w:rsid w:val="00263E63"/>
    <w:rPr>
      <w:rFonts w:ascii="Times New Roman" w:eastAsiaTheme="minorHAnsi" w:hAnsi="Times New Roman" w:cs="Times New Roman"/>
      <w:spacing w:val="5"/>
      <w:w w:val="103"/>
      <w:kern w:val="14"/>
      <w:sz w:val="17"/>
      <w:szCs w:val="20"/>
      <w:lang w:eastAsia="en-US"/>
    </w:rPr>
  </w:style>
  <w:style w:type="paragraph" w:styleId="Footer">
    <w:name w:val="footer"/>
    <w:aliases w:val="3_G"/>
    <w:link w:val="FooterChar"/>
    <w:uiPriority w:val="99"/>
    <w:rsid w:val="00263E6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aliases w:val="3_G Char"/>
    <w:basedOn w:val="DefaultParagraphFont"/>
    <w:link w:val="Footer"/>
    <w:uiPriority w:val="99"/>
    <w:rsid w:val="00263E63"/>
    <w:rPr>
      <w:rFonts w:ascii="Times New Roman" w:eastAsiaTheme="minorHAnsi" w:hAnsi="Times New Roman" w:cs="Times New Roman"/>
      <w:b/>
      <w:noProof/>
      <w:sz w:val="17"/>
      <w:szCs w:val="20"/>
      <w:lang w:val="en-US" w:eastAsia="en-US"/>
    </w:rPr>
  </w:style>
  <w:style w:type="character" w:styleId="FootnoteReference">
    <w:name w:val="footnote reference"/>
    <w:aliases w:val="4_G,Footnote symbol Car Zchn Zchn Char,Footnote Car Zchn Zchn Char,Times 10 Point Car Zchn Zchn Char,Exposant 3 Point Car Zchn Zchn Char,Footnote Reference Superscript Car Zchn Zchn Char,Char Char Char Char Char Car Zchn Zchn Char"/>
    <w:link w:val="FootnotesymbolCarZchnZchn"/>
    <w:uiPriority w:val="99"/>
    <w:qFormat/>
    <w:rsid w:val="00263E6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263E6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63E6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263E6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263E6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63E6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63E63"/>
    <w:pPr>
      <w:tabs>
        <w:tab w:val="right" w:pos="9965"/>
      </w:tabs>
      <w:spacing w:line="210" w:lineRule="exact"/>
    </w:pPr>
    <w:rPr>
      <w:spacing w:val="5"/>
      <w:w w:val="104"/>
      <w:sz w:val="17"/>
    </w:rPr>
  </w:style>
  <w:style w:type="paragraph" w:customStyle="1" w:styleId="SmallX">
    <w:name w:val="SmallX"/>
    <w:basedOn w:val="Small"/>
    <w:next w:val="Normal"/>
    <w:rsid w:val="00263E63"/>
    <w:pPr>
      <w:spacing w:line="180" w:lineRule="exact"/>
      <w:jc w:val="right"/>
    </w:pPr>
    <w:rPr>
      <w:spacing w:val="6"/>
      <w:w w:val="106"/>
      <w:sz w:val="14"/>
    </w:rPr>
  </w:style>
  <w:style w:type="paragraph" w:customStyle="1" w:styleId="TitleHCH">
    <w:name w:val="Title_H_CH"/>
    <w:basedOn w:val="H1"/>
    <w:next w:val="Normal"/>
    <w:qFormat/>
    <w:rsid w:val="00263E63"/>
    <w:pPr>
      <w:spacing w:line="300" w:lineRule="exact"/>
      <w:ind w:left="0" w:right="0" w:firstLine="0"/>
    </w:pPr>
    <w:rPr>
      <w:spacing w:val="-2"/>
      <w:sz w:val="28"/>
    </w:rPr>
  </w:style>
  <w:style w:type="paragraph" w:customStyle="1" w:styleId="TitleH2">
    <w:name w:val="Title_H2"/>
    <w:basedOn w:val="Normal"/>
    <w:next w:val="Normal"/>
    <w:qFormat/>
    <w:rsid w:val="00263E6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263E63"/>
    <w:pPr>
      <w:spacing w:line="390" w:lineRule="exact"/>
    </w:pPr>
    <w:rPr>
      <w:spacing w:val="-4"/>
      <w:w w:val="98"/>
      <w:sz w:val="40"/>
    </w:rPr>
  </w:style>
  <w:style w:type="character" w:styleId="Hyperlink">
    <w:name w:val="Hyperlink"/>
    <w:basedOn w:val="DefaultParagraphFont"/>
    <w:uiPriority w:val="99"/>
    <w:rsid w:val="00263E63"/>
    <w:rPr>
      <w:color w:val="0000FF"/>
      <w:u w:val="none"/>
    </w:rPr>
  </w:style>
  <w:style w:type="paragraph" w:styleId="PlainText">
    <w:name w:val="Plain Text"/>
    <w:basedOn w:val="Normal"/>
    <w:link w:val="PlainTextChar"/>
    <w:rsid w:val="00263E6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63E63"/>
    <w:rPr>
      <w:rFonts w:ascii="Courier New" w:eastAsia="Times New Roman" w:hAnsi="Courier New" w:cs="Times New Roman"/>
      <w:sz w:val="20"/>
      <w:szCs w:val="20"/>
      <w:lang w:val="en-US" w:eastAsia="en-GB"/>
    </w:rPr>
  </w:style>
  <w:style w:type="paragraph" w:customStyle="1" w:styleId="ReleaseDate0">
    <w:name w:val="Release Date"/>
    <w:next w:val="Footer"/>
    <w:rsid w:val="00263E6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63E63"/>
  </w:style>
  <w:style w:type="table" w:styleId="TableGrid">
    <w:name w:val="Table Grid"/>
    <w:basedOn w:val="TableNormal"/>
    <w:uiPriority w:val="39"/>
    <w:rsid w:val="00263E6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DC340D"/>
    <w:pPr>
      <w:spacing w:line="240" w:lineRule="auto"/>
    </w:pPr>
  </w:style>
  <w:style w:type="character" w:customStyle="1" w:styleId="CommentTextChar">
    <w:name w:val="Comment Text Char"/>
    <w:basedOn w:val="DefaultParagraphFont"/>
    <w:link w:val="CommentText"/>
    <w:uiPriority w:val="99"/>
    <w:rsid w:val="00DC340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C340D"/>
    <w:rPr>
      <w:b/>
      <w:bCs/>
    </w:rPr>
  </w:style>
  <w:style w:type="character" w:customStyle="1" w:styleId="CommentSubjectChar">
    <w:name w:val="Comment Subject Char"/>
    <w:basedOn w:val="CommentTextChar"/>
    <w:link w:val="CommentSubject"/>
    <w:uiPriority w:val="99"/>
    <w:semiHidden/>
    <w:rsid w:val="00DC340D"/>
    <w:rPr>
      <w:rFonts w:ascii="Times New Roman" w:eastAsiaTheme="minorHAnsi" w:hAnsi="Times New Roman" w:cs="Times New Roman"/>
      <w:b/>
      <w:bCs/>
      <w:spacing w:val="4"/>
      <w:w w:val="103"/>
      <w:kern w:val="14"/>
      <w:sz w:val="20"/>
      <w:szCs w:val="20"/>
      <w:lang w:eastAsia="en-US"/>
    </w:rPr>
  </w:style>
  <w:style w:type="paragraph" w:customStyle="1" w:styleId="SLG">
    <w:name w:val="__S_L_G"/>
    <w:basedOn w:val="Normal"/>
    <w:next w:val="Normal"/>
    <w:rsid w:val="008B4FAE"/>
    <w:pPr>
      <w:keepNext/>
      <w:keepLines/>
      <w:spacing w:before="240" w:after="240" w:line="580" w:lineRule="exact"/>
      <w:ind w:left="1134" w:right="1134"/>
    </w:pPr>
    <w:rPr>
      <w:rFonts w:eastAsia="Times New Roman"/>
      <w:b/>
      <w:spacing w:val="0"/>
      <w:w w:val="100"/>
      <w:kern w:val="0"/>
      <w:sz w:val="56"/>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ftref,Ref"/>
    <w:basedOn w:val="Normal"/>
    <w:link w:val="FootnoteReference"/>
    <w:uiPriority w:val="99"/>
    <w:rsid w:val="008B4FAE"/>
    <w:pPr>
      <w:ind w:left="1163" w:hanging="454"/>
      <w:jc w:val="both"/>
    </w:pPr>
    <w:rPr>
      <w:rFonts w:asciiTheme="minorHAnsi" w:eastAsiaTheme="minorEastAsia" w:hAnsiTheme="minorHAnsi" w:cstheme="minorBidi"/>
      <w:spacing w:val="5"/>
      <w:sz w:val="22"/>
      <w:szCs w:val="22"/>
      <w:vertAlign w:val="superscript"/>
      <w:lang w:eastAsia="zh-CN"/>
    </w:rPr>
  </w:style>
  <w:style w:type="paragraph" w:customStyle="1" w:styleId="HChG">
    <w:name w:val="_ H _Ch_G"/>
    <w:basedOn w:val="Normal"/>
    <w:next w:val="Normal"/>
    <w:qFormat/>
    <w:rsid w:val="00861039"/>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rPr>
  </w:style>
  <w:style w:type="paragraph" w:customStyle="1" w:styleId="H1G">
    <w:name w:val="_ H_1_G"/>
    <w:basedOn w:val="Normal"/>
    <w:next w:val="Normal"/>
    <w:qFormat/>
    <w:rsid w:val="00861039"/>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rPr>
  </w:style>
  <w:style w:type="paragraph" w:customStyle="1" w:styleId="SingleTxtG">
    <w:name w:val="_ Single Txt_G"/>
    <w:basedOn w:val="Normal"/>
    <w:link w:val="SingleTxtGChar"/>
    <w:qFormat/>
    <w:rsid w:val="00861039"/>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kern w:val="0"/>
    </w:rPr>
  </w:style>
  <w:style w:type="paragraph" w:customStyle="1" w:styleId="Bullet1G">
    <w:name w:val="_Bullet 1_G"/>
    <w:basedOn w:val="Normal"/>
    <w:qFormat/>
    <w:rsid w:val="00861039"/>
    <w:pPr>
      <w:numPr>
        <w:numId w:val="25"/>
      </w:numPr>
      <w:kinsoku w:val="0"/>
      <w:overflowPunct w:val="0"/>
      <w:autoSpaceDE w:val="0"/>
      <w:autoSpaceDN w:val="0"/>
      <w:adjustRightInd w:val="0"/>
      <w:snapToGrid w:val="0"/>
      <w:spacing w:after="120" w:line="240" w:lineRule="atLeast"/>
      <w:ind w:right="1134"/>
      <w:jc w:val="both"/>
    </w:pPr>
    <w:rPr>
      <w:spacing w:val="0"/>
      <w:w w:val="100"/>
      <w:kern w:val="0"/>
    </w:rPr>
  </w:style>
  <w:style w:type="character" w:customStyle="1" w:styleId="SingleTxtGChar">
    <w:name w:val="_ Single Txt_G Char"/>
    <w:link w:val="SingleTxtG"/>
    <w:locked/>
    <w:rsid w:val="00861039"/>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1B6FC0"/>
    <w:pPr>
      <w:ind w:left="720"/>
      <w:contextualSpacing/>
    </w:pPr>
  </w:style>
  <w:style w:type="character" w:styleId="UnresolvedMention">
    <w:name w:val="Unresolved Mention"/>
    <w:basedOn w:val="DefaultParagraphFont"/>
    <w:uiPriority w:val="99"/>
    <w:semiHidden/>
    <w:unhideWhenUsed/>
    <w:rsid w:val="00711EE0"/>
    <w:rPr>
      <w:color w:val="605E5C"/>
      <w:shd w:val="clear" w:color="auto" w:fill="E1DFDD"/>
    </w:rPr>
  </w:style>
  <w:style w:type="paragraph" w:styleId="Revision">
    <w:name w:val="Revision"/>
    <w:hidden/>
    <w:uiPriority w:val="99"/>
    <w:semiHidden/>
    <w:rsid w:val="00CB5AB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www.just.ee/en/crime-and-prevention-crime/violence-prevention-agreement" TargetMode="External"/><Relationship Id="rId3" Type="http://schemas.openxmlformats.org/officeDocument/2006/relationships/settings" Target="settings.xml"/><Relationship Id="rId21" Type="http://schemas.openxmlformats.org/officeDocument/2006/relationships/hyperlink" Target="http://www.volinik.ee/trukised/"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palunabi.ee"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www.narko.e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41</Pages>
  <Words>19081</Words>
  <Characters>108767</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Emily Fox</cp:lastModifiedBy>
  <cp:revision>12</cp:revision>
  <cp:lastPrinted>2022-08-18T20:08:00Z</cp:lastPrinted>
  <dcterms:created xsi:type="dcterms:W3CDTF">2022-08-17T18:43:00Z</dcterms:created>
  <dcterms:modified xsi:type="dcterms:W3CDTF">2022-08-18T20:09:00Z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2212463</vt:lpwstr>
  </property>
  <property fmtid="{D5CDD505-2E9C-101B-9397-08002B2CF9AE}" pid="3" name="ODSRefJobNo">
    <vt:lpwstr>2245670E</vt:lpwstr>
  </property>
  <property fmtid="{D5CDD505-2E9C-101B-9397-08002B2CF9AE}" pid="4" name="Symbol1">
    <vt:lpwstr>CEDAW/C/EST/7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F</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170822</vt:lpwstr>
  </property>
  <property fmtid="{D5CDD505-2E9C-101B-9397-08002B2CF9AE}" pid="15" name="Title1">
    <vt:lpwstr>Committee on the Elimination of Discrimination against Women_x000d_</vt:lpwstr>
  </property>
  <property fmtid="{D5CDD505-2E9C-101B-9397-08002B2CF9AE}" pid="16" name="Title2">
    <vt:lpwstr>Seventh periodic report submitted by Estonia under article 18 of the Convention, due in 2022</vt:lpwstr>
  </property>
</Properties>
</file>