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786F10ED" w14:textId="77777777" w:rsidTr="00684327">
        <w:trPr>
          <w:trHeight w:hRule="exact" w:val="851"/>
        </w:trPr>
        <w:tc>
          <w:tcPr>
            <w:tcW w:w="1280" w:type="dxa"/>
            <w:tcBorders>
              <w:bottom w:val="single" w:sz="4" w:space="0" w:color="auto"/>
            </w:tcBorders>
          </w:tcPr>
          <w:p w14:paraId="4B4878C4"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364DE75F"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5B1FE20" w14:textId="418378C7" w:rsidR="006621F5" w:rsidRPr="00491CB3" w:rsidRDefault="00A9461C" w:rsidP="00684327">
            <w:pPr>
              <w:spacing w:line="240" w:lineRule="atLeast"/>
              <w:jc w:val="right"/>
              <w:rPr>
                <w:sz w:val="20"/>
                <w:szCs w:val="21"/>
              </w:rPr>
            </w:pPr>
            <w:proofErr w:type="spellStart"/>
            <w:r>
              <w:rPr>
                <w:sz w:val="40"/>
                <w:szCs w:val="21"/>
              </w:rPr>
              <w:t>CERD</w:t>
            </w:r>
            <w:proofErr w:type="spellEnd"/>
            <w:r>
              <w:rPr>
                <w:sz w:val="20"/>
                <w:szCs w:val="21"/>
              </w:rPr>
              <w:t>/C/5</w:t>
            </w:r>
            <w:r w:rsidR="00491CB3">
              <w:rPr>
                <w:sz w:val="20"/>
                <w:szCs w:val="21"/>
              </w:rPr>
              <w:t>0</w:t>
            </w:r>
            <w:r>
              <w:rPr>
                <w:sz w:val="20"/>
                <w:szCs w:val="21"/>
              </w:rPr>
              <w:t>5</w:t>
            </w:r>
            <w:r w:rsidR="000A1F5E" w:rsidRPr="000A1F5E">
              <w:rPr>
                <w:rStyle w:val="a8"/>
                <w:rFonts w:eastAsia="宋体"/>
                <w:sz w:val="20"/>
                <w:vertAlign w:val="baseline"/>
              </w:rPr>
              <w:footnoteReference w:customMarkFollows="1" w:id="2"/>
              <w:t>*</w:t>
            </w:r>
          </w:p>
        </w:tc>
      </w:tr>
      <w:tr w:rsidR="006621F5" w:rsidRPr="00F124C6" w14:paraId="16BEF132" w14:textId="77777777" w:rsidTr="00684327">
        <w:trPr>
          <w:trHeight w:hRule="exact" w:val="2835"/>
        </w:trPr>
        <w:tc>
          <w:tcPr>
            <w:tcW w:w="1280" w:type="dxa"/>
            <w:tcBorders>
              <w:top w:val="single" w:sz="4" w:space="0" w:color="auto"/>
              <w:bottom w:val="single" w:sz="12" w:space="0" w:color="auto"/>
            </w:tcBorders>
          </w:tcPr>
          <w:p w14:paraId="57E9453D" w14:textId="77777777" w:rsidR="006621F5" w:rsidRPr="00F124C6" w:rsidRDefault="006621F5" w:rsidP="00684327">
            <w:pPr>
              <w:spacing w:line="120" w:lineRule="atLeast"/>
              <w:rPr>
                <w:sz w:val="10"/>
                <w:szCs w:val="10"/>
              </w:rPr>
            </w:pPr>
          </w:p>
          <w:p w14:paraId="2B1219CA"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13ECC781" wp14:editId="7DAE4E77">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74320C"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34B0E421" w14:textId="33C20C9A" w:rsidR="006621F5" w:rsidRPr="0004600B" w:rsidRDefault="00A9461C" w:rsidP="00684327">
            <w:pPr>
              <w:spacing w:before="240" w:line="240" w:lineRule="atLeast"/>
              <w:rPr>
                <w:sz w:val="20"/>
              </w:rPr>
            </w:pPr>
            <w:r>
              <w:rPr>
                <w:sz w:val="20"/>
              </w:rPr>
              <w:t>Distr.: General</w:t>
            </w:r>
          </w:p>
          <w:p w14:paraId="012CA3E1" w14:textId="66E7F141" w:rsidR="006621F5" w:rsidRPr="00F124C6" w:rsidRDefault="00A9461C" w:rsidP="00684327">
            <w:pPr>
              <w:spacing w:line="240" w:lineRule="atLeast"/>
              <w:rPr>
                <w:sz w:val="20"/>
              </w:rPr>
            </w:pPr>
            <w:r>
              <w:rPr>
                <w:sz w:val="20"/>
              </w:rPr>
              <w:t>2</w:t>
            </w:r>
            <w:r w:rsidR="00491CB3">
              <w:rPr>
                <w:sz w:val="20"/>
              </w:rPr>
              <w:t xml:space="preserve"> </w:t>
            </w:r>
            <w:r>
              <w:rPr>
                <w:sz w:val="20"/>
              </w:rPr>
              <w:t>June</w:t>
            </w:r>
            <w:r w:rsidR="006D1FBC">
              <w:rPr>
                <w:sz w:val="20"/>
              </w:rPr>
              <w:t xml:space="preserve"> </w:t>
            </w:r>
            <w:r>
              <w:rPr>
                <w:sz w:val="20"/>
              </w:rPr>
              <w:t>2</w:t>
            </w:r>
            <w:r w:rsidR="006D1FBC">
              <w:rPr>
                <w:sz w:val="20"/>
              </w:rPr>
              <w:t>0</w:t>
            </w:r>
            <w:r>
              <w:rPr>
                <w:sz w:val="20"/>
              </w:rPr>
              <w:t>22</w:t>
            </w:r>
          </w:p>
          <w:p w14:paraId="289792B5" w14:textId="6C81AC33" w:rsidR="006621F5" w:rsidRPr="00F124C6" w:rsidRDefault="00A9461C" w:rsidP="00684327">
            <w:pPr>
              <w:spacing w:line="240" w:lineRule="atLeast"/>
              <w:rPr>
                <w:sz w:val="20"/>
              </w:rPr>
            </w:pPr>
            <w:r>
              <w:rPr>
                <w:sz w:val="20"/>
              </w:rPr>
              <w:t>Chinese</w:t>
            </w:r>
            <w:r w:rsidR="006621F5" w:rsidRPr="00F124C6">
              <w:rPr>
                <w:sz w:val="20"/>
              </w:rPr>
              <w:t xml:space="preserve"> </w:t>
            </w:r>
          </w:p>
          <w:p w14:paraId="59E3E46C" w14:textId="413A355F" w:rsidR="006621F5" w:rsidRPr="00F124C6" w:rsidRDefault="00A9461C" w:rsidP="00684327">
            <w:pPr>
              <w:spacing w:line="240" w:lineRule="atLeast"/>
            </w:pPr>
            <w:r>
              <w:rPr>
                <w:sz w:val="20"/>
              </w:rPr>
              <w:t>Original: English</w:t>
            </w:r>
          </w:p>
        </w:tc>
      </w:tr>
    </w:tbl>
    <w:p w14:paraId="5BB9A062" w14:textId="77777777" w:rsidR="00A9461C" w:rsidRDefault="00A9461C"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441EA8FA" w14:textId="2AF35AB8" w:rsidR="00CA5866" w:rsidRDefault="00CA5866" w:rsidP="004D3D5E">
      <w:pPr>
        <w:pStyle w:val="HChGC"/>
        <w:spacing w:before="440"/>
      </w:pPr>
      <w:r>
        <w:rPr>
          <w:rFonts w:hint="eastAsia"/>
        </w:rPr>
        <w:tab/>
      </w:r>
      <w:r>
        <w:rPr>
          <w:rFonts w:hint="eastAsia"/>
        </w:rPr>
        <w:tab/>
      </w:r>
      <w:r>
        <w:rPr>
          <w:rFonts w:hint="eastAsia"/>
        </w:rPr>
        <w:t>委员会与国家人权机构合作的准则</w:t>
      </w:r>
      <w:r w:rsidR="000A1F5E" w:rsidRPr="000A1F5E">
        <w:rPr>
          <w:rStyle w:val="a8"/>
          <w:rFonts w:eastAsia="黑体"/>
          <w:sz w:val="28"/>
          <w:vertAlign w:val="baseline"/>
        </w:rPr>
        <w:footnoteReference w:customMarkFollows="1" w:id="3"/>
        <w:t>**</w:t>
      </w:r>
    </w:p>
    <w:p w14:paraId="6745463A" w14:textId="3C7E5F00" w:rsidR="00CA5866" w:rsidRDefault="00CA5866" w:rsidP="00AA728C">
      <w:pPr>
        <w:pStyle w:val="H1GC"/>
      </w:pPr>
      <w:r>
        <w:rPr>
          <w:rFonts w:hint="eastAsia"/>
        </w:rPr>
        <w:tab/>
      </w:r>
      <w:r w:rsidR="00A9461C">
        <w:rPr>
          <w:rFonts w:hint="eastAsia"/>
        </w:rPr>
        <w:t>A</w:t>
      </w:r>
      <w:r>
        <w:rPr>
          <w:rFonts w:hint="eastAsia"/>
        </w:rPr>
        <w:t>.</w:t>
      </w:r>
      <w:r>
        <w:rPr>
          <w:rFonts w:hint="eastAsia"/>
        </w:rPr>
        <w:tab/>
      </w:r>
      <w:r>
        <w:rPr>
          <w:rFonts w:hint="eastAsia"/>
        </w:rPr>
        <w:t>一般意见</w:t>
      </w:r>
    </w:p>
    <w:p w14:paraId="67A3FCE1" w14:textId="08662B24" w:rsidR="00CA5866" w:rsidRDefault="00A9461C" w:rsidP="00CA5866">
      <w:pPr>
        <w:pStyle w:val="SingleTxtGC"/>
      </w:pPr>
      <w:r>
        <w:rPr>
          <w:rFonts w:hint="eastAsia"/>
        </w:rPr>
        <w:t>1.</w:t>
      </w:r>
      <w:r w:rsidR="00CA5866">
        <w:rPr>
          <w:rFonts w:hint="eastAsia"/>
        </w:rPr>
        <w:tab/>
      </w:r>
      <w:r w:rsidR="00CA5866">
        <w:rPr>
          <w:rFonts w:hint="eastAsia"/>
        </w:rPr>
        <w:t>消除种族歧视委员会认为</w:t>
      </w:r>
      <w:r>
        <w:rPr>
          <w:rFonts w:hint="eastAsia"/>
        </w:rPr>
        <w:t>，</w:t>
      </w:r>
      <w:r w:rsidR="00CA5866">
        <w:rPr>
          <w:rFonts w:hint="eastAsia"/>
        </w:rPr>
        <w:t>委员会与国家人权机构之间的密切合作</w:t>
      </w:r>
      <w:r>
        <w:rPr>
          <w:rFonts w:hint="eastAsia"/>
        </w:rPr>
        <w:t>，</w:t>
      </w:r>
      <w:r w:rsidR="00CA5866">
        <w:rPr>
          <w:rFonts w:hint="eastAsia"/>
        </w:rPr>
        <w:t>对于在国内和国际各级推广和有效落实《消除一切形式种族歧视国际公约》十分重要。</w:t>
      </w:r>
    </w:p>
    <w:p w14:paraId="19292D77" w14:textId="0AE99F2F" w:rsidR="00CA5866" w:rsidRDefault="00A9461C" w:rsidP="00CA5866">
      <w:pPr>
        <w:pStyle w:val="SingleTxtGC"/>
      </w:pPr>
      <w:r w:rsidRPr="004D3D5E">
        <w:rPr>
          <w:rFonts w:hint="eastAsia"/>
          <w:spacing w:val="4"/>
        </w:rPr>
        <w:t>2.</w:t>
      </w:r>
      <w:r w:rsidR="00CA5866" w:rsidRPr="004D3D5E">
        <w:rPr>
          <w:rFonts w:hint="eastAsia"/>
          <w:spacing w:val="4"/>
        </w:rPr>
        <w:tab/>
      </w:r>
      <w:r w:rsidR="00CA5866" w:rsidRPr="004D3D5E">
        <w:rPr>
          <w:rFonts w:hint="eastAsia"/>
          <w:spacing w:val="4"/>
        </w:rPr>
        <w:t>委员会决定制定与国家人权机构合作的准则</w:t>
      </w:r>
      <w:r w:rsidRPr="004D3D5E">
        <w:rPr>
          <w:rFonts w:hint="eastAsia"/>
          <w:spacing w:val="4"/>
        </w:rPr>
        <w:t>，</w:t>
      </w:r>
      <w:r w:rsidR="00CA5866" w:rsidRPr="004D3D5E">
        <w:rPr>
          <w:rFonts w:hint="eastAsia"/>
          <w:spacing w:val="4"/>
        </w:rPr>
        <w:t>以明确和进一步发展这种合</w:t>
      </w:r>
      <w:r w:rsidR="00CA5866">
        <w:rPr>
          <w:rFonts w:hint="eastAsia"/>
        </w:rPr>
        <w:t>作</w:t>
      </w:r>
      <w:r>
        <w:rPr>
          <w:rFonts w:hint="eastAsia"/>
        </w:rPr>
        <w:t>，</w:t>
      </w:r>
      <w:r w:rsidR="006A5B43">
        <w:rPr>
          <w:rStyle w:val="a8"/>
          <w:rFonts w:eastAsia="宋体"/>
        </w:rPr>
        <w:footnoteReference w:id="4"/>
      </w:r>
      <w:r w:rsidR="00CA5866">
        <w:rPr>
          <w:rFonts w:hint="eastAsia"/>
        </w:rPr>
        <w:t xml:space="preserve"> </w:t>
      </w:r>
      <w:r w:rsidR="00CA5866">
        <w:rPr>
          <w:rFonts w:hint="eastAsia"/>
        </w:rPr>
        <w:t>本文件根据上述决定编写。在本准则中</w:t>
      </w:r>
      <w:r>
        <w:rPr>
          <w:rFonts w:hint="eastAsia"/>
        </w:rPr>
        <w:t>，</w:t>
      </w:r>
      <w:r w:rsidR="00CA5866">
        <w:rPr>
          <w:rFonts w:hint="eastAsia"/>
        </w:rPr>
        <w:t>委员会以其关于设立国家机构推动落实《公约》的第</w:t>
      </w:r>
      <w:r>
        <w:rPr>
          <w:rFonts w:hint="eastAsia"/>
        </w:rPr>
        <w:t>17</w:t>
      </w:r>
      <w:r w:rsidR="00CA5866">
        <w:rPr>
          <w:rFonts w:hint="eastAsia"/>
        </w:rPr>
        <w:t>号一般性建议</w:t>
      </w:r>
      <w:r>
        <w:rPr>
          <w:rFonts w:hint="eastAsia"/>
        </w:rPr>
        <w:t>(1993</w:t>
      </w:r>
      <w:r w:rsidR="00CA5866">
        <w:rPr>
          <w:rFonts w:hint="eastAsia"/>
        </w:rPr>
        <w:t>年</w:t>
      </w:r>
      <w:r>
        <w:rPr>
          <w:rFonts w:hint="eastAsia"/>
        </w:rPr>
        <w:t>)</w:t>
      </w:r>
      <w:r w:rsidR="00CA5866">
        <w:rPr>
          <w:rFonts w:hint="eastAsia"/>
        </w:rPr>
        <w:t>为基础</w:t>
      </w:r>
      <w:r>
        <w:rPr>
          <w:rFonts w:hint="eastAsia"/>
        </w:rPr>
        <w:t>，</w:t>
      </w:r>
      <w:r w:rsidR="00CA5866">
        <w:rPr>
          <w:rFonts w:hint="eastAsia"/>
        </w:rPr>
        <w:t>同时考虑到委员会和其他条约机构后来制定的程序和做法。</w:t>
      </w:r>
    </w:p>
    <w:p w14:paraId="5BC1ED05" w14:textId="1505A678" w:rsidR="00CA5866" w:rsidRDefault="00A9461C" w:rsidP="00CA5866">
      <w:pPr>
        <w:pStyle w:val="SingleTxtGC"/>
      </w:pPr>
      <w:r>
        <w:rPr>
          <w:rFonts w:hint="eastAsia"/>
        </w:rPr>
        <w:t>3.</w:t>
      </w:r>
      <w:r w:rsidR="00CA5866">
        <w:rPr>
          <w:rFonts w:hint="eastAsia"/>
        </w:rPr>
        <w:tab/>
      </w:r>
      <w:r w:rsidR="00CA5866" w:rsidRPr="008045E4">
        <w:rPr>
          <w:rFonts w:hint="eastAsia"/>
          <w:spacing w:val="-4"/>
        </w:rPr>
        <w:t>委员会指出</w:t>
      </w:r>
      <w:r w:rsidRPr="008045E4">
        <w:rPr>
          <w:rFonts w:hint="eastAsia"/>
          <w:spacing w:val="-4"/>
        </w:rPr>
        <w:t>，</w:t>
      </w:r>
      <w:r w:rsidR="00CA5866" w:rsidRPr="008045E4">
        <w:rPr>
          <w:rFonts w:hint="eastAsia"/>
          <w:spacing w:val="-4"/>
        </w:rPr>
        <w:t>为使国家人权机构有效发挥作用</w:t>
      </w:r>
      <w:r w:rsidRPr="008045E4">
        <w:rPr>
          <w:rFonts w:hint="eastAsia"/>
          <w:spacing w:val="-4"/>
        </w:rPr>
        <w:t>，</w:t>
      </w:r>
      <w:r w:rsidR="00CA5866" w:rsidRPr="008045E4">
        <w:rPr>
          <w:rFonts w:hint="eastAsia"/>
          <w:spacing w:val="-4"/>
        </w:rPr>
        <w:t>应全面遵循《关于促进和保护</w:t>
      </w:r>
      <w:r w:rsidR="00CA5866" w:rsidRPr="008045E4">
        <w:rPr>
          <w:rFonts w:hint="eastAsia"/>
          <w:spacing w:val="2"/>
        </w:rPr>
        <w:t>人权的国家机构的地位的原则》</w:t>
      </w:r>
      <w:r w:rsidRPr="008045E4">
        <w:rPr>
          <w:rFonts w:hint="eastAsia"/>
          <w:spacing w:val="2"/>
        </w:rPr>
        <w:t>(</w:t>
      </w:r>
      <w:r w:rsidR="00CA5866" w:rsidRPr="008045E4">
        <w:rPr>
          <w:rFonts w:hint="eastAsia"/>
          <w:spacing w:val="2"/>
        </w:rPr>
        <w:t>《巴黎原则》</w:t>
      </w:r>
      <w:r w:rsidRPr="008045E4">
        <w:rPr>
          <w:rFonts w:hint="eastAsia"/>
          <w:spacing w:val="2"/>
        </w:rPr>
        <w:t>)</w:t>
      </w:r>
      <w:r w:rsidRPr="008045E4">
        <w:rPr>
          <w:rFonts w:hint="eastAsia"/>
          <w:spacing w:val="2"/>
        </w:rPr>
        <w:t>，</w:t>
      </w:r>
      <w:r w:rsidR="00CA5866" w:rsidRPr="008045E4">
        <w:rPr>
          <w:rFonts w:hint="eastAsia"/>
          <w:spacing w:val="2"/>
        </w:rPr>
        <w:t>建立并视需要加强国家人权</w:t>
      </w:r>
      <w:r w:rsidR="00CA5866" w:rsidRPr="0005125D">
        <w:rPr>
          <w:rFonts w:hint="eastAsia"/>
          <w:spacing w:val="-4"/>
        </w:rPr>
        <w:t>机构</w:t>
      </w:r>
      <w:r w:rsidRPr="0005125D">
        <w:rPr>
          <w:rFonts w:hint="eastAsia"/>
          <w:spacing w:val="-4"/>
        </w:rPr>
        <w:t>，</w:t>
      </w:r>
      <w:r w:rsidR="00CA5866" w:rsidRPr="0005125D">
        <w:rPr>
          <w:rFonts w:hint="eastAsia"/>
          <w:spacing w:val="-4"/>
        </w:rPr>
        <w:t>并由国家人权机构全球联盟对机构</w:t>
      </w:r>
      <w:proofErr w:type="gramStart"/>
      <w:r w:rsidR="00CA5866" w:rsidRPr="0005125D">
        <w:rPr>
          <w:rFonts w:hint="eastAsia"/>
          <w:spacing w:val="-4"/>
        </w:rPr>
        <w:t>作出</w:t>
      </w:r>
      <w:proofErr w:type="gramEnd"/>
      <w:r w:rsidR="00CA5866" w:rsidRPr="0005125D">
        <w:rPr>
          <w:rFonts w:hint="eastAsia"/>
          <w:spacing w:val="-4"/>
        </w:rPr>
        <w:t>应有的认证。委员会已建议并将继续</w:t>
      </w:r>
      <w:r w:rsidR="00CA5866">
        <w:rPr>
          <w:rFonts w:hint="eastAsia"/>
        </w:rPr>
        <w:t>酌情建议《公约》所有缔约国全面遵循《巴黎原则》建立和加强国家人权机构。委员会鼓励缔约国赋予这些机构审查关于种族歧视的个人申诉的权限。</w:t>
      </w:r>
    </w:p>
    <w:p w14:paraId="39AEBAE6" w14:textId="4BD93E8A" w:rsidR="00CA5866" w:rsidRDefault="00A9461C" w:rsidP="00CA5866">
      <w:pPr>
        <w:pStyle w:val="SingleTxtGC"/>
      </w:pPr>
      <w:r>
        <w:rPr>
          <w:rFonts w:hint="eastAsia"/>
        </w:rPr>
        <w:t>4.</w:t>
      </w:r>
      <w:r w:rsidR="00CA5866">
        <w:rPr>
          <w:rFonts w:hint="eastAsia"/>
        </w:rPr>
        <w:tab/>
      </w:r>
      <w:r w:rsidR="00CA5866">
        <w:rPr>
          <w:rFonts w:hint="eastAsia"/>
        </w:rPr>
        <w:t>国家人权机构是委员会促进尊重《公约》方面的重要国家合作伙伴。在国家一级</w:t>
      </w:r>
      <w:r>
        <w:rPr>
          <w:rFonts w:hint="eastAsia"/>
        </w:rPr>
        <w:t>，</w:t>
      </w:r>
      <w:r w:rsidR="00CA5866">
        <w:rPr>
          <w:rFonts w:hint="eastAsia"/>
        </w:rPr>
        <w:t>国家人权机构可审查保护人们免遭种族歧视的立法草案和政府政策</w:t>
      </w:r>
      <w:r>
        <w:rPr>
          <w:rFonts w:hint="eastAsia"/>
        </w:rPr>
        <w:t>；</w:t>
      </w:r>
      <w:r w:rsidR="00CA5866">
        <w:rPr>
          <w:rFonts w:hint="eastAsia"/>
        </w:rPr>
        <w:t>监测</w:t>
      </w:r>
      <w:r w:rsidR="00CA5866" w:rsidRPr="0005125D">
        <w:rPr>
          <w:rFonts w:hint="eastAsia"/>
          <w:spacing w:val="2"/>
        </w:rPr>
        <w:t>立法是否符合《公约》的各项规定</w:t>
      </w:r>
      <w:r w:rsidRPr="0005125D">
        <w:rPr>
          <w:rFonts w:hint="eastAsia"/>
          <w:spacing w:val="2"/>
        </w:rPr>
        <w:t>；</w:t>
      </w:r>
      <w:r w:rsidR="00CA5866" w:rsidRPr="0005125D">
        <w:rPr>
          <w:rFonts w:hint="eastAsia"/>
          <w:spacing w:val="2"/>
        </w:rPr>
        <w:t>在履行任务时考虑到委员会的各项一般性建</w:t>
      </w:r>
      <w:r w:rsidR="00CA5866">
        <w:rPr>
          <w:rFonts w:hint="eastAsia"/>
        </w:rPr>
        <w:t>议和判例</w:t>
      </w:r>
      <w:r>
        <w:rPr>
          <w:rFonts w:hint="eastAsia"/>
        </w:rPr>
        <w:t>；</w:t>
      </w:r>
      <w:r w:rsidR="00CA5866">
        <w:rPr>
          <w:rFonts w:hint="eastAsia"/>
        </w:rPr>
        <w:t>教育公众了解缔约国的义务</w:t>
      </w:r>
      <w:r>
        <w:rPr>
          <w:rFonts w:hint="eastAsia"/>
        </w:rPr>
        <w:t>；</w:t>
      </w:r>
      <w:r w:rsidR="00CA5866">
        <w:rPr>
          <w:rFonts w:hint="eastAsia"/>
        </w:rPr>
        <w:t>并协助政府编写提交委员会的报告。在国际一级</w:t>
      </w:r>
      <w:r>
        <w:rPr>
          <w:rFonts w:hint="eastAsia"/>
        </w:rPr>
        <w:t>，</w:t>
      </w:r>
      <w:r w:rsidR="00CA5866">
        <w:rPr>
          <w:rFonts w:hint="eastAsia"/>
        </w:rPr>
        <w:t>国家人权机构应鼓励缔约国履行其报告义务</w:t>
      </w:r>
      <w:r>
        <w:rPr>
          <w:rFonts w:hint="eastAsia"/>
        </w:rPr>
        <w:t>；</w:t>
      </w:r>
      <w:r w:rsidR="00CA5866">
        <w:rPr>
          <w:rFonts w:hint="eastAsia"/>
        </w:rPr>
        <w:t>可向委员会提供关于</w:t>
      </w:r>
      <w:r w:rsidR="00CA5866" w:rsidRPr="00A34CAD">
        <w:rPr>
          <w:rFonts w:hint="eastAsia"/>
          <w:spacing w:val="-6"/>
        </w:rPr>
        <w:t>本国执行《公约》情况的独立资料</w:t>
      </w:r>
      <w:r w:rsidRPr="00A34CAD">
        <w:rPr>
          <w:rFonts w:hint="eastAsia"/>
          <w:spacing w:val="-6"/>
        </w:rPr>
        <w:t>；</w:t>
      </w:r>
      <w:r w:rsidR="00CA5866" w:rsidRPr="00A34CAD">
        <w:rPr>
          <w:rFonts w:hint="eastAsia"/>
          <w:spacing w:val="-6"/>
        </w:rPr>
        <w:t>并可就委员会的结论性意见、意见和其他决定中</w:t>
      </w:r>
      <w:r w:rsidR="00CA5866">
        <w:rPr>
          <w:rFonts w:hint="eastAsia"/>
        </w:rPr>
        <w:t>所载建议开展后续工作</w:t>
      </w:r>
      <w:r>
        <w:rPr>
          <w:rFonts w:hint="eastAsia"/>
        </w:rPr>
        <w:t>，</w:t>
      </w:r>
      <w:r w:rsidR="00CA5866">
        <w:rPr>
          <w:rFonts w:hint="eastAsia"/>
        </w:rPr>
        <w:t>监测落实情况。在非《公约》缔约国</w:t>
      </w:r>
      <w:r>
        <w:rPr>
          <w:rFonts w:hint="eastAsia"/>
        </w:rPr>
        <w:t>，</w:t>
      </w:r>
      <w:r w:rsidR="00CA5866">
        <w:rPr>
          <w:rFonts w:hint="eastAsia"/>
        </w:rPr>
        <w:t>国家人权机构可鼓励批准《公约》。</w:t>
      </w:r>
    </w:p>
    <w:p w14:paraId="7F44DA79" w14:textId="3597ABA7" w:rsidR="00CA5866" w:rsidRDefault="00A9461C" w:rsidP="00CA5866">
      <w:pPr>
        <w:pStyle w:val="SingleTxtGC"/>
      </w:pPr>
      <w:r>
        <w:rPr>
          <w:rFonts w:hint="eastAsia"/>
        </w:rPr>
        <w:t>5.</w:t>
      </w:r>
      <w:r w:rsidR="00CA5866">
        <w:rPr>
          <w:rFonts w:hint="eastAsia"/>
        </w:rPr>
        <w:tab/>
      </w:r>
      <w:r w:rsidR="00CA5866">
        <w:rPr>
          <w:rFonts w:hint="eastAsia"/>
        </w:rPr>
        <w:t>委员会承诺使国家人权机构更容易了解其工作。为此</w:t>
      </w:r>
      <w:r>
        <w:rPr>
          <w:rFonts w:hint="eastAsia"/>
        </w:rPr>
        <w:t>，</w:t>
      </w:r>
      <w:r w:rsidR="00CA5866">
        <w:rPr>
          <w:rFonts w:hint="eastAsia"/>
        </w:rPr>
        <w:t>委员会秘书处及时向</w:t>
      </w:r>
      <w:r w:rsidR="00CA5866" w:rsidRPr="006173D7">
        <w:rPr>
          <w:rFonts w:hint="eastAsia"/>
          <w:spacing w:val="-4"/>
        </w:rPr>
        <w:t>国家人权机构提供信息</w:t>
      </w:r>
      <w:r w:rsidRPr="006173D7">
        <w:rPr>
          <w:rFonts w:hint="eastAsia"/>
          <w:spacing w:val="-4"/>
        </w:rPr>
        <w:t>，</w:t>
      </w:r>
      <w:r w:rsidR="00CA5866" w:rsidRPr="006173D7">
        <w:rPr>
          <w:rFonts w:hint="eastAsia"/>
          <w:spacing w:val="-4"/>
        </w:rPr>
        <w:t>并就参与委员会工作的机会提供咨询意见。此外</w:t>
      </w:r>
      <w:r w:rsidRPr="006173D7">
        <w:rPr>
          <w:rFonts w:hint="eastAsia"/>
          <w:spacing w:val="-4"/>
        </w:rPr>
        <w:t>，</w:t>
      </w:r>
      <w:r w:rsidR="00CA5866" w:rsidRPr="006173D7">
        <w:rPr>
          <w:rFonts w:hint="eastAsia"/>
          <w:spacing w:val="-4"/>
        </w:rPr>
        <w:t>秘书处</w:t>
      </w:r>
      <w:r w:rsidR="00CA5866" w:rsidRPr="006173D7">
        <w:rPr>
          <w:rFonts w:hint="eastAsia"/>
          <w:spacing w:val="2"/>
        </w:rPr>
        <w:t>还与设在日内瓦的国家人权机构全球联盟总部保持联络</w:t>
      </w:r>
      <w:r w:rsidRPr="006173D7">
        <w:rPr>
          <w:rFonts w:hint="eastAsia"/>
          <w:spacing w:val="2"/>
        </w:rPr>
        <w:t>，</w:t>
      </w:r>
      <w:r w:rsidR="00CA5866" w:rsidRPr="006173D7">
        <w:rPr>
          <w:rFonts w:hint="eastAsia"/>
          <w:spacing w:val="2"/>
        </w:rPr>
        <w:t>该联盟鼓励国家人权</w:t>
      </w:r>
      <w:r w:rsidR="00CA5866" w:rsidRPr="006173D7">
        <w:rPr>
          <w:rFonts w:hint="eastAsia"/>
          <w:spacing w:val="2"/>
        </w:rPr>
        <w:lastRenderedPageBreak/>
        <w:t>机</w:t>
      </w:r>
      <w:r w:rsidR="00CA5866">
        <w:rPr>
          <w:rFonts w:hint="eastAsia"/>
        </w:rPr>
        <w:t>构在工作中更有效地与委员会合作</w:t>
      </w:r>
      <w:r>
        <w:rPr>
          <w:rFonts w:hint="eastAsia"/>
        </w:rPr>
        <w:t>，</w:t>
      </w:r>
      <w:r w:rsidR="00CA5866">
        <w:rPr>
          <w:rFonts w:hint="eastAsia"/>
        </w:rPr>
        <w:t>并向这些机构提供支持</w:t>
      </w:r>
      <w:r>
        <w:rPr>
          <w:rFonts w:hint="eastAsia"/>
        </w:rPr>
        <w:t>，</w:t>
      </w:r>
      <w:r w:rsidR="00CA5866">
        <w:rPr>
          <w:rFonts w:hint="eastAsia"/>
        </w:rPr>
        <w:t>包括共享信息、传播委员会的工作成果和文件以及向这些机构介绍</w:t>
      </w:r>
      <w:proofErr w:type="gramStart"/>
      <w:r w:rsidR="00CA5866">
        <w:rPr>
          <w:rFonts w:hint="eastAsia"/>
        </w:rPr>
        <w:t>作出</w:t>
      </w:r>
      <w:proofErr w:type="gramEnd"/>
      <w:r w:rsidR="00CA5866">
        <w:rPr>
          <w:rFonts w:hint="eastAsia"/>
        </w:rPr>
        <w:t>贡献的机会。</w:t>
      </w:r>
    </w:p>
    <w:p w14:paraId="0F7E5AC2" w14:textId="1897DB9C" w:rsidR="00CA5866" w:rsidRDefault="00A9461C" w:rsidP="00CA5866">
      <w:pPr>
        <w:pStyle w:val="SingleTxtGC"/>
      </w:pPr>
      <w:r>
        <w:rPr>
          <w:rFonts w:hint="eastAsia"/>
        </w:rPr>
        <w:t>6.</w:t>
      </w:r>
      <w:r w:rsidR="00CA5866">
        <w:rPr>
          <w:rFonts w:hint="eastAsia"/>
        </w:rPr>
        <w:tab/>
      </w:r>
      <w:r w:rsidR="00CA5866" w:rsidRPr="00376AC4">
        <w:rPr>
          <w:rFonts w:hint="eastAsia"/>
          <w:spacing w:val="-4"/>
        </w:rPr>
        <w:t>委员会欢迎国家人权机构派代表出席委员会届会和其他各种会议并</w:t>
      </w:r>
      <w:proofErr w:type="gramStart"/>
      <w:r w:rsidR="00CA5866" w:rsidRPr="00376AC4">
        <w:rPr>
          <w:rFonts w:hint="eastAsia"/>
          <w:spacing w:val="-4"/>
        </w:rPr>
        <w:t>作出</w:t>
      </w:r>
      <w:proofErr w:type="gramEnd"/>
      <w:r w:rsidR="00CA5866" w:rsidRPr="00376AC4">
        <w:rPr>
          <w:rFonts w:hint="eastAsia"/>
          <w:spacing w:val="-4"/>
        </w:rPr>
        <w:t>贡献。</w:t>
      </w:r>
      <w:r w:rsidR="00CA5866">
        <w:rPr>
          <w:rFonts w:hint="eastAsia"/>
        </w:rPr>
        <w:t>委员会还欢迎在届会期间利用视频会议等信息和通信技术</w:t>
      </w:r>
      <w:r>
        <w:rPr>
          <w:rFonts w:hint="eastAsia"/>
        </w:rPr>
        <w:t>，</w:t>
      </w:r>
      <w:r w:rsidR="00CA5866">
        <w:rPr>
          <w:rFonts w:hint="eastAsia"/>
        </w:rPr>
        <w:t>加强各区域国家人权机构的贡献。</w:t>
      </w:r>
    </w:p>
    <w:p w14:paraId="7D6C6F42" w14:textId="101E3F42" w:rsidR="00CA5866" w:rsidRDefault="00CA5866" w:rsidP="00AA728C">
      <w:pPr>
        <w:pStyle w:val="H1GC"/>
      </w:pPr>
      <w:r>
        <w:rPr>
          <w:rFonts w:hint="eastAsia"/>
        </w:rPr>
        <w:tab/>
      </w:r>
      <w:r w:rsidR="00A9461C">
        <w:rPr>
          <w:rFonts w:hint="eastAsia"/>
        </w:rPr>
        <w:t>B</w:t>
      </w:r>
      <w:r>
        <w:rPr>
          <w:rFonts w:hint="eastAsia"/>
        </w:rPr>
        <w:t>.</w:t>
      </w:r>
      <w:r>
        <w:rPr>
          <w:rFonts w:hint="eastAsia"/>
        </w:rPr>
        <w:tab/>
      </w:r>
      <w:r>
        <w:rPr>
          <w:rFonts w:hint="eastAsia"/>
        </w:rPr>
        <w:t>国家人权机构的独立作用</w:t>
      </w:r>
    </w:p>
    <w:p w14:paraId="43F52C50" w14:textId="54BB35D8" w:rsidR="00CA5866" w:rsidRDefault="00A9461C" w:rsidP="00CA5866">
      <w:pPr>
        <w:pStyle w:val="SingleTxtGC"/>
      </w:pPr>
      <w:r w:rsidRPr="00376AC4">
        <w:rPr>
          <w:rFonts w:hint="eastAsia"/>
          <w:spacing w:val="2"/>
        </w:rPr>
        <w:t>7.</w:t>
      </w:r>
      <w:r w:rsidR="00CA5866" w:rsidRPr="00376AC4">
        <w:rPr>
          <w:rFonts w:hint="eastAsia"/>
          <w:spacing w:val="2"/>
        </w:rPr>
        <w:tab/>
      </w:r>
      <w:r w:rsidR="00CA5866" w:rsidRPr="00376AC4">
        <w:rPr>
          <w:rFonts w:hint="eastAsia"/>
          <w:spacing w:val="2"/>
        </w:rPr>
        <w:t>委员会承认</w:t>
      </w:r>
      <w:r w:rsidRPr="00376AC4">
        <w:rPr>
          <w:rFonts w:hint="eastAsia"/>
          <w:spacing w:val="2"/>
        </w:rPr>
        <w:t>，</w:t>
      </w:r>
      <w:r w:rsidR="00CA5866" w:rsidRPr="00376AC4">
        <w:rPr>
          <w:rFonts w:hint="eastAsia"/>
          <w:spacing w:val="2"/>
        </w:rPr>
        <w:t>根据《巴黎原则》规定的任务</w:t>
      </w:r>
      <w:r w:rsidRPr="00376AC4">
        <w:rPr>
          <w:rFonts w:hint="eastAsia"/>
          <w:spacing w:val="2"/>
        </w:rPr>
        <w:t>，</w:t>
      </w:r>
      <w:r w:rsidR="00CA5866" w:rsidRPr="00376AC4">
        <w:rPr>
          <w:rFonts w:hint="eastAsia"/>
          <w:spacing w:val="2"/>
        </w:rPr>
        <w:t>国家人权机构与委员会有着独</w:t>
      </w:r>
      <w:r w:rsidR="00CA5866">
        <w:rPr>
          <w:rFonts w:hint="eastAsia"/>
        </w:rPr>
        <w:t>立而又独特的关系。这种关系区别于与缔约国、民间社会、非政府组织和其他行为体的关系</w:t>
      </w:r>
      <w:r>
        <w:rPr>
          <w:rFonts w:hint="eastAsia"/>
        </w:rPr>
        <w:t>，</w:t>
      </w:r>
      <w:r w:rsidR="00CA5866">
        <w:rPr>
          <w:rFonts w:hint="eastAsia"/>
        </w:rPr>
        <w:t>但又具有补充性质。国家人权机构是拉近委员会工作与国家一级</w:t>
      </w:r>
      <w:proofErr w:type="gramStart"/>
      <w:r w:rsidR="00CA5866">
        <w:rPr>
          <w:rFonts w:hint="eastAsia"/>
        </w:rPr>
        <w:t>所有利益</w:t>
      </w:r>
      <w:proofErr w:type="gramEnd"/>
      <w:r w:rsidR="00CA5866">
        <w:rPr>
          <w:rFonts w:hint="eastAsia"/>
        </w:rPr>
        <w:t>攸关方的桥梁</w:t>
      </w:r>
      <w:r>
        <w:rPr>
          <w:rFonts w:hint="eastAsia"/>
        </w:rPr>
        <w:t>，</w:t>
      </w:r>
      <w:r w:rsidR="00CA5866">
        <w:rPr>
          <w:rFonts w:hint="eastAsia"/>
        </w:rPr>
        <w:t>也让委员会更加贴近各国的现实状况。相应地</w:t>
      </w:r>
      <w:r>
        <w:rPr>
          <w:rFonts w:hint="eastAsia"/>
        </w:rPr>
        <w:t>，</w:t>
      </w:r>
      <w:r w:rsidR="00CA5866">
        <w:rPr>
          <w:rFonts w:hint="eastAsia"/>
        </w:rPr>
        <w:t>委员会为获得国家人权机构全球联盟认证的国家人权机构提供了与其他行为</w:t>
      </w:r>
      <w:proofErr w:type="gramStart"/>
      <w:r w:rsidR="00CA5866">
        <w:rPr>
          <w:rFonts w:hint="eastAsia"/>
        </w:rPr>
        <w:t>体不同</w:t>
      </w:r>
      <w:proofErr w:type="gramEnd"/>
      <w:r w:rsidR="00CA5866">
        <w:rPr>
          <w:rFonts w:hint="eastAsia"/>
        </w:rPr>
        <w:t>的与</w:t>
      </w:r>
      <w:r w:rsidR="00CA5866" w:rsidRPr="00376AC4">
        <w:rPr>
          <w:rFonts w:hint="eastAsia"/>
          <w:spacing w:val="4"/>
        </w:rPr>
        <w:t>委员会接触的机会。委员会为这些经认证机构提供的参与模式包括单独安排座</w:t>
      </w:r>
      <w:r w:rsidR="00CA5866">
        <w:rPr>
          <w:rFonts w:hint="eastAsia"/>
        </w:rPr>
        <w:t>位</w:t>
      </w:r>
      <w:r>
        <w:rPr>
          <w:rFonts w:hint="eastAsia"/>
        </w:rPr>
        <w:t>，</w:t>
      </w:r>
      <w:r w:rsidR="00CA5866">
        <w:rPr>
          <w:rFonts w:hint="eastAsia"/>
        </w:rPr>
        <w:t>在与委员会举行的</w:t>
      </w:r>
      <w:proofErr w:type="gramStart"/>
      <w:r w:rsidR="00CA5866">
        <w:rPr>
          <w:rFonts w:hint="eastAsia"/>
        </w:rPr>
        <w:t>特定会议</w:t>
      </w:r>
      <w:proofErr w:type="gramEnd"/>
      <w:r w:rsidR="00CA5866">
        <w:rPr>
          <w:rFonts w:hint="eastAsia"/>
        </w:rPr>
        <w:t>上</w:t>
      </w:r>
      <w:r>
        <w:rPr>
          <w:rFonts w:hint="eastAsia"/>
        </w:rPr>
        <w:t>，</w:t>
      </w:r>
      <w:r w:rsidR="00CA5866">
        <w:rPr>
          <w:rFonts w:hint="eastAsia"/>
        </w:rPr>
        <w:t>特别是在届会之前和届会期间</w:t>
      </w:r>
      <w:r>
        <w:rPr>
          <w:rFonts w:hint="eastAsia"/>
        </w:rPr>
        <w:t>，</w:t>
      </w:r>
      <w:r w:rsidR="00CA5866">
        <w:rPr>
          <w:rFonts w:hint="eastAsia"/>
        </w:rPr>
        <w:t>安排发言介绍情况。对于获得国家人权机构全球联盟</w:t>
      </w:r>
      <w:r>
        <w:rPr>
          <w:rFonts w:hint="eastAsia"/>
        </w:rPr>
        <w:t>A</w:t>
      </w:r>
      <w:r w:rsidR="00CA5866">
        <w:rPr>
          <w:rFonts w:hint="eastAsia"/>
        </w:rPr>
        <w:t>级认证的国家人权机构</w:t>
      </w:r>
      <w:r>
        <w:rPr>
          <w:rFonts w:hint="eastAsia"/>
        </w:rPr>
        <w:t>，</w:t>
      </w:r>
      <w:r w:rsidR="00CA5866">
        <w:rPr>
          <w:rFonts w:hint="eastAsia"/>
        </w:rPr>
        <w:t>如果相关缔约国同意</w:t>
      </w:r>
      <w:r>
        <w:rPr>
          <w:rFonts w:hint="eastAsia"/>
        </w:rPr>
        <w:t>，</w:t>
      </w:r>
      <w:r w:rsidR="00CA5866">
        <w:rPr>
          <w:rFonts w:hint="eastAsia"/>
        </w:rPr>
        <w:t>可在审议缔约国报告期间为这些机构安排额外发言机会。</w:t>
      </w:r>
    </w:p>
    <w:p w14:paraId="2FB1E449" w14:textId="51B67F0C" w:rsidR="00CA5866" w:rsidRDefault="00CA5866" w:rsidP="00AA728C">
      <w:pPr>
        <w:pStyle w:val="H1GC"/>
      </w:pPr>
      <w:r>
        <w:rPr>
          <w:rFonts w:hint="eastAsia"/>
        </w:rPr>
        <w:tab/>
      </w:r>
      <w:r w:rsidR="00A9461C">
        <w:rPr>
          <w:rFonts w:hint="eastAsia"/>
        </w:rPr>
        <w:t>C</w:t>
      </w:r>
      <w:r>
        <w:rPr>
          <w:rFonts w:hint="eastAsia"/>
        </w:rPr>
        <w:t>.</w:t>
      </w:r>
      <w:r>
        <w:rPr>
          <w:rFonts w:hint="eastAsia"/>
        </w:rPr>
        <w:tab/>
      </w:r>
      <w:r>
        <w:rPr>
          <w:rFonts w:hint="eastAsia"/>
        </w:rPr>
        <w:t>国家人权机构在报告程序中的作用</w:t>
      </w:r>
    </w:p>
    <w:p w14:paraId="568F9B96" w14:textId="17D28A5C" w:rsidR="00CA5866" w:rsidRDefault="00A9461C" w:rsidP="00CA5866">
      <w:pPr>
        <w:pStyle w:val="SingleTxtGC"/>
      </w:pPr>
      <w:r>
        <w:rPr>
          <w:rFonts w:hint="eastAsia"/>
        </w:rPr>
        <w:t>8.</w:t>
      </w:r>
      <w:r w:rsidR="00CA5866">
        <w:rPr>
          <w:rFonts w:hint="eastAsia"/>
        </w:rPr>
        <w:tab/>
      </w:r>
      <w:r w:rsidR="00CA5866" w:rsidRPr="00313D7B">
        <w:rPr>
          <w:rFonts w:hint="eastAsia"/>
          <w:spacing w:val="-4"/>
        </w:rPr>
        <w:t>委员会承认</w:t>
      </w:r>
      <w:r w:rsidRPr="00313D7B">
        <w:rPr>
          <w:rFonts w:hint="eastAsia"/>
          <w:spacing w:val="-4"/>
        </w:rPr>
        <w:t>，</w:t>
      </w:r>
      <w:r w:rsidR="00CA5866" w:rsidRPr="00313D7B">
        <w:rPr>
          <w:rFonts w:hint="eastAsia"/>
          <w:spacing w:val="-4"/>
        </w:rPr>
        <w:t>符合《巴黎原则》的国家人权机构可在《公约》规定的报告进程</w:t>
      </w:r>
      <w:r w:rsidR="00CA5866">
        <w:rPr>
          <w:rFonts w:hint="eastAsia"/>
        </w:rPr>
        <w:t>的所有阶段</w:t>
      </w:r>
      <w:proofErr w:type="gramStart"/>
      <w:r w:rsidR="00CA5866">
        <w:rPr>
          <w:rFonts w:hint="eastAsia"/>
        </w:rPr>
        <w:t>作出</w:t>
      </w:r>
      <w:proofErr w:type="gramEnd"/>
      <w:r w:rsidR="00CA5866">
        <w:rPr>
          <w:rFonts w:hint="eastAsia"/>
        </w:rPr>
        <w:t>贡献</w:t>
      </w:r>
      <w:r>
        <w:rPr>
          <w:rFonts w:hint="eastAsia"/>
        </w:rPr>
        <w:t>，</w:t>
      </w:r>
      <w:r w:rsidR="00CA5866">
        <w:rPr>
          <w:rFonts w:hint="eastAsia"/>
        </w:rPr>
        <w:t>包括为编写主题清单和报告</w:t>
      </w:r>
      <w:proofErr w:type="gramStart"/>
      <w:r w:rsidR="00CA5866">
        <w:rPr>
          <w:rFonts w:hint="eastAsia"/>
        </w:rPr>
        <w:t>前问题</w:t>
      </w:r>
      <w:proofErr w:type="gramEnd"/>
      <w:r w:rsidR="00CA5866">
        <w:rPr>
          <w:rFonts w:hint="eastAsia"/>
        </w:rPr>
        <w:t>清单提供资料</w:t>
      </w:r>
      <w:r>
        <w:rPr>
          <w:rFonts w:hint="eastAsia"/>
        </w:rPr>
        <w:t>，</w:t>
      </w:r>
      <w:r w:rsidR="00CA5866">
        <w:rPr>
          <w:rFonts w:hint="eastAsia"/>
        </w:rPr>
        <w:t>在审议缔约国报告之前和期间以及在结论性意见的后续行动方面</w:t>
      </w:r>
      <w:proofErr w:type="gramStart"/>
      <w:r w:rsidR="00CA5866">
        <w:rPr>
          <w:rFonts w:hint="eastAsia"/>
        </w:rPr>
        <w:t>作出</w:t>
      </w:r>
      <w:proofErr w:type="gramEnd"/>
      <w:r w:rsidR="00CA5866">
        <w:rPr>
          <w:rFonts w:hint="eastAsia"/>
        </w:rPr>
        <w:t>贡献。</w:t>
      </w:r>
    </w:p>
    <w:p w14:paraId="5E50A5E1" w14:textId="0EB7145A" w:rsidR="00CA5866" w:rsidRDefault="00A9461C" w:rsidP="00CA5866">
      <w:pPr>
        <w:pStyle w:val="SingleTxtGC"/>
      </w:pPr>
      <w:r>
        <w:rPr>
          <w:rFonts w:hint="eastAsia"/>
        </w:rPr>
        <w:t>9.</w:t>
      </w:r>
      <w:r w:rsidR="00CA5866">
        <w:rPr>
          <w:rFonts w:hint="eastAsia"/>
        </w:rPr>
        <w:tab/>
      </w:r>
      <w:r w:rsidR="00CA5866">
        <w:rPr>
          <w:rFonts w:hint="eastAsia"/>
        </w:rPr>
        <w:t>鼓励国家人权机构提供补充报告</w:t>
      </w:r>
      <w:r>
        <w:rPr>
          <w:rFonts w:hint="eastAsia"/>
        </w:rPr>
        <w:t>，</w:t>
      </w:r>
      <w:r w:rsidR="00CA5866">
        <w:rPr>
          <w:rFonts w:hint="eastAsia"/>
        </w:rPr>
        <w:t>内容可包括</w:t>
      </w:r>
      <w:r>
        <w:rPr>
          <w:rFonts w:hint="eastAsia"/>
        </w:rPr>
        <w:t>：</w:t>
      </w:r>
    </w:p>
    <w:p w14:paraId="56F88127" w14:textId="7329F93D" w:rsidR="00CA5866" w:rsidRDefault="00CA5866" w:rsidP="00CA5866">
      <w:pPr>
        <w:pStyle w:val="SingleTxtGC"/>
      </w:pPr>
      <w:r>
        <w:rPr>
          <w:rFonts w:hint="eastAsia"/>
        </w:rPr>
        <w:tab/>
      </w:r>
      <w:r w:rsidR="00A9461C">
        <w:rPr>
          <w:rFonts w:hint="eastAsia"/>
        </w:rPr>
        <w:t>(a)</w:t>
      </w:r>
      <w:r>
        <w:rPr>
          <w:rFonts w:hint="eastAsia"/>
        </w:rPr>
        <w:tab/>
      </w:r>
      <w:r>
        <w:rPr>
          <w:rFonts w:hint="eastAsia"/>
        </w:rPr>
        <w:t>关于《公约》部分或全部规定落实情况的资料</w:t>
      </w:r>
      <w:r w:rsidR="00A9461C">
        <w:rPr>
          <w:rFonts w:hint="eastAsia"/>
        </w:rPr>
        <w:t>；</w:t>
      </w:r>
    </w:p>
    <w:p w14:paraId="167F9BE6" w14:textId="4D07A2E5" w:rsidR="00CA5866" w:rsidRDefault="00CA5866" w:rsidP="00CA5866">
      <w:pPr>
        <w:pStyle w:val="SingleTxtGC"/>
      </w:pPr>
      <w:r>
        <w:rPr>
          <w:rFonts w:hint="eastAsia"/>
        </w:rPr>
        <w:tab/>
      </w:r>
      <w:r w:rsidR="00A9461C">
        <w:rPr>
          <w:rFonts w:hint="eastAsia"/>
        </w:rPr>
        <w:t>(b)</w:t>
      </w:r>
      <w:r>
        <w:rPr>
          <w:rFonts w:hint="eastAsia"/>
        </w:rPr>
        <w:tab/>
      </w:r>
      <w:r>
        <w:rPr>
          <w:rFonts w:hint="eastAsia"/>
        </w:rPr>
        <w:t>对缔约国报告的评论</w:t>
      </w:r>
      <w:r w:rsidR="00A9461C">
        <w:rPr>
          <w:rFonts w:hint="eastAsia"/>
        </w:rPr>
        <w:t>；</w:t>
      </w:r>
    </w:p>
    <w:p w14:paraId="388C7B28" w14:textId="41E0B226" w:rsidR="00CA5866" w:rsidRDefault="00CA5866" w:rsidP="00CA5866">
      <w:pPr>
        <w:pStyle w:val="SingleTxtGC"/>
      </w:pPr>
      <w:r>
        <w:rPr>
          <w:rFonts w:hint="eastAsia"/>
        </w:rPr>
        <w:tab/>
      </w:r>
      <w:r w:rsidR="00A9461C">
        <w:rPr>
          <w:rFonts w:hint="eastAsia"/>
        </w:rPr>
        <w:t>(c)</w:t>
      </w:r>
      <w:r>
        <w:rPr>
          <w:rFonts w:hint="eastAsia"/>
        </w:rPr>
        <w:tab/>
      </w:r>
      <w:r>
        <w:rPr>
          <w:rFonts w:hint="eastAsia"/>
        </w:rPr>
        <w:t>关于缔约国落实委员会以往结论性意见所载建议的资料。</w:t>
      </w:r>
    </w:p>
    <w:p w14:paraId="005D74A4" w14:textId="46308134" w:rsidR="00CA5866" w:rsidRDefault="00A9461C" w:rsidP="00CA5866">
      <w:pPr>
        <w:pStyle w:val="SingleTxtGC"/>
      </w:pPr>
      <w:r>
        <w:rPr>
          <w:rFonts w:hint="eastAsia"/>
        </w:rPr>
        <w:t>10.</w:t>
      </w:r>
      <w:r w:rsidR="00CA5866">
        <w:rPr>
          <w:rFonts w:hint="eastAsia"/>
        </w:rPr>
        <w:tab/>
      </w:r>
      <w:r w:rsidR="00CA5866" w:rsidRPr="00863729">
        <w:rPr>
          <w:rFonts w:hint="eastAsia"/>
          <w:spacing w:val="-4"/>
        </w:rPr>
        <w:t>国家人权机构应确保在秘书处规定的期限内提交报告。应提供侧重于《公约》</w:t>
      </w:r>
      <w:r w:rsidR="00CA5866">
        <w:rPr>
          <w:rFonts w:hint="eastAsia"/>
        </w:rPr>
        <w:t>所涉领域的资料</w:t>
      </w:r>
      <w:r>
        <w:rPr>
          <w:rFonts w:hint="eastAsia"/>
        </w:rPr>
        <w:t>，</w:t>
      </w:r>
      <w:r w:rsidR="00CA5866">
        <w:rPr>
          <w:rFonts w:hint="eastAsia"/>
        </w:rPr>
        <w:t>并确保资料符合可靠、简明、相关和文明用语的标准。报告应</w:t>
      </w:r>
      <w:r w:rsidR="00CA5866" w:rsidRPr="00863729">
        <w:rPr>
          <w:rFonts w:hint="eastAsia"/>
          <w:spacing w:val="-4"/>
        </w:rPr>
        <w:t>确保匿名</w:t>
      </w:r>
      <w:r w:rsidRPr="00863729">
        <w:rPr>
          <w:rFonts w:hint="eastAsia"/>
          <w:spacing w:val="-4"/>
        </w:rPr>
        <w:t>，</w:t>
      </w:r>
      <w:proofErr w:type="gramStart"/>
      <w:r w:rsidR="00CA5866" w:rsidRPr="00863729">
        <w:rPr>
          <w:rFonts w:hint="eastAsia"/>
          <w:spacing w:val="-4"/>
        </w:rPr>
        <w:t>不</w:t>
      </w:r>
      <w:proofErr w:type="gramEnd"/>
      <w:r w:rsidR="00CA5866" w:rsidRPr="00863729">
        <w:rPr>
          <w:rFonts w:hint="eastAsia"/>
          <w:spacing w:val="-4"/>
        </w:rPr>
        <w:t>提及个人姓名</w:t>
      </w:r>
      <w:r w:rsidRPr="00863729">
        <w:rPr>
          <w:rFonts w:hint="eastAsia"/>
          <w:spacing w:val="-4"/>
        </w:rPr>
        <w:t>，</w:t>
      </w:r>
      <w:r w:rsidR="00CA5866" w:rsidRPr="00863729">
        <w:rPr>
          <w:rFonts w:hint="eastAsia"/>
          <w:spacing w:val="-4"/>
        </w:rPr>
        <w:t>除非这些姓名已为公众所知或所涉个人已表示同意。</w:t>
      </w:r>
      <w:r w:rsidR="00CA5866">
        <w:rPr>
          <w:rFonts w:hint="eastAsia"/>
        </w:rPr>
        <w:t>鼓励国家人权机构提交的报告不超过</w:t>
      </w:r>
      <w:r>
        <w:rPr>
          <w:rFonts w:hint="eastAsia"/>
        </w:rPr>
        <w:t>2</w:t>
      </w:r>
      <w:r w:rsidR="00CA5866">
        <w:rPr>
          <w:rFonts w:hint="eastAsia"/>
        </w:rPr>
        <w:t>0</w:t>
      </w:r>
      <w:r w:rsidR="00CA5866">
        <w:rPr>
          <w:rFonts w:hint="eastAsia"/>
        </w:rPr>
        <w:t>页。</w:t>
      </w:r>
    </w:p>
    <w:p w14:paraId="1C507984" w14:textId="30CE48BF" w:rsidR="00CA5866" w:rsidRDefault="00CA5866" w:rsidP="005D2748">
      <w:pPr>
        <w:pStyle w:val="H23GC"/>
      </w:pPr>
      <w:r>
        <w:rPr>
          <w:rFonts w:hint="eastAsia"/>
        </w:rPr>
        <w:tab/>
      </w:r>
      <w:r w:rsidR="00A9461C">
        <w:rPr>
          <w:rFonts w:hint="eastAsia"/>
        </w:rPr>
        <w:t>1.</w:t>
      </w:r>
      <w:r>
        <w:rPr>
          <w:rFonts w:hint="eastAsia"/>
        </w:rPr>
        <w:tab/>
      </w:r>
      <w:r>
        <w:rPr>
          <w:rFonts w:hint="eastAsia"/>
        </w:rPr>
        <w:t>《公约》规定的国家报告要求</w:t>
      </w:r>
    </w:p>
    <w:p w14:paraId="565290CC" w14:textId="29F91863" w:rsidR="00CA5866" w:rsidRDefault="00A9461C" w:rsidP="00CA5866">
      <w:pPr>
        <w:pStyle w:val="SingleTxtGC"/>
      </w:pPr>
      <w:r>
        <w:rPr>
          <w:rFonts w:hint="eastAsia"/>
        </w:rPr>
        <w:t>11.</w:t>
      </w:r>
      <w:r w:rsidR="00CA5866">
        <w:rPr>
          <w:rFonts w:hint="eastAsia"/>
        </w:rPr>
        <w:tab/>
      </w:r>
      <w:r w:rsidR="00CA5866">
        <w:rPr>
          <w:rFonts w:hint="eastAsia"/>
        </w:rPr>
        <w:t>委员会认为</w:t>
      </w:r>
      <w:r>
        <w:rPr>
          <w:rFonts w:hint="eastAsia"/>
        </w:rPr>
        <w:t>，</w:t>
      </w:r>
      <w:r w:rsidR="00CA5866">
        <w:rPr>
          <w:rFonts w:hint="eastAsia"/>
        </w:rPr>
        <w:t>国家人权机构在鼓励本国履行报告义务方面可发挥重要作用。委员会鼓励国家人权机构开展人权教育和提高认识方案</w:t>
      </w:r>
      <w:r>
        <w:rPr>
          <w:rFonts w:hint="eastAsia"/>
        </w:rPr>
        <w:t>，</w:t>
      </w:r>
      <w:r w:rsidR="00CA5866">
        <w:rPr>
          <w:rFonts w:hint="eastAsia"/>
        </w:rPr>
        <w:t>以便向国家官员和包括</w:t>
      </w:r>
      <w:r w:rsidR="00CA5866" w:rsidRPr="00D55BDF">
        <w:rPr>
          <w:rFonts w:hint="eastAsia"/>
          <w:spacing w:val="2"/>
        </w:rPr>
        <w:t>民间社会行为体在内的其他利益攸关</w:t>
      </w:r>
      <w:proofErr w:type="gramStart"/>
      <w:r w:rsidR="00CA5866" w:rsidRPr="00D55BDF">
        <w:rPr>
          <w:rFonts w:hint="eastAsia"/>
          <w:spacing w:val="2"/>
        </w:rPr>
        <w:t>方宣传</w:t>
      </w:r>
      <w:proofErr w:type="gramEnd"/>
      <w:r w:rsidR="00CA5866" w:rsidRPr="00D55BDF">
        <w:rPr>
          <w:rFonts w:hint="eastAsia"/>
          <w:spacing w:val="2"/>
        </w:rPr>
        <w:t>《公约》规定的缔约国报告义务</w:t>
      </w:r>
      <w:r w:rsidRPr="00D55BDF">
        <w:rPr>
          <w:rFonts w:hint="eastAsia"/>
          <w:spacing w:val="2"/>
        </w:rPr>
        <w:t>，</w:t>
      </w:r>
      <w:r w:rsidR="00CA5866" w:rsidRPr="00D55BDF">
        <w:rPr>
          <w:rFonts w:hint="eastAsia"/>
          <w:spacing w:val="2"/>
        </w:rPr>
        <w:t>提</w:t>
      </w:r>
      <w:r w:rsidR="00CA5866">
        <w:rPr>
          <w:rFonts w:hint="eastAsia"/>
        </w:rPr>
        <w:t>高他们的相关认识。</w:t>
      </w:r>
    </w:p>
    <w:p w14:paraId="3889D427" w14:textId="2B220251" w:rsidR="00CA5866" w:rsidRDefault="00CA5866" w:rsidP="005D2748">
      <w:pPr>
        <w:pStyle w:val="H23GC"/>
      </w:pPr>
      <w:r>
        <w:rPr>
          <w:rFonts w:hint="eastAsia"/>
        </w:rPr>
        <w:tab/>
      </w:r>
      <w:r w:rsidR="00A9461C">
        <w:rPr>
          <w:rFonts w:hint="eastAsia"/>
        </w:rPr>
        <w:t>2.</w:t>
      </w:r>
      <w:r>
        <w:rPr>
          <w:rFonts w:hint="eastAsia"/>
        </w:rPr>
        <w:tab/>
      </w:r>
      <w:r>
        <w:rPr>
          <w:rFonts w:hint="eastAsia"/>
        </w:rPr>
        <w:t>就缔约国报告进行协商并提出意见</w:t>
      </w:r>
    </w:p>
    <w:p w14:paraId="1A9CA12E" w14:textId="2EB38843" w:rsidR="00CA5866" w:rsidRDefault="00A9461C" w:rsidP="00CA5866">
      <w:pPr>
        <w:pStyle w:val="SingleTxtGC"/>
      </w:pPr>
      <w:r>
        <w:rPr>
          <w:rFonts w:hint="eastAsia"/>
        </w:rPr>
        <w:t>12.</w:t>
      </w:r>
      <w:r w:rsidR="00CA5866">
        <w:rPr>
          <w:rFonts w:hint="eastAsia"/>
        </w:rPr>
        <w:tab/>
      </w:r>
      <w:r w:rsidR="00CA5866" w:rsidRPr="00936930">
        <w:rPr>
          <w:rFonts w:hint="eastAsia"/>
          <w:spacing w:val="-4"/>
        </w:rPr>
        <w:t>委员会确认缔约国在起草《公约》规定</w:t>
      </w:r>
      <w:r w:rsidR="003D4013" w:rsidRPr="00936930">
        <w:rPr>
          <w:rFonts w:hint="eastAsia"/>
          <w:spacing w:val="-4"/>
        </w:rPr>
        <w:t>的</w:t>
      </w:r>
      <w:r w:rsidR="00CA5866" w:rsidRPr="00936930">
        <w:rPr>
          <w:rFonts w:hint="eastAsia"/>
          <w:spacing w:val="-4"/>
        </w:rPr>
        <w:t>报告时组织广泛全国协商的重要性。</w:t>
      </w:r>
      <w:r w:rsidR="00CA5866" w:rsidRPr="00936930">
        <w:rPr>
          <w:rFonts w:hint="eastAsia"/>
          <w:spacing w:val="2"/>
        </w:rPr>
        <w:t>在这方面</w:t>
      </w:r>
      <w:r w:rsidRPr="00936930">
        <w:rPr>
          <w:rFonts w:hint="eastAsia"/>
          <w:spacing w:val="2"/>
        </w:rPr>
        <w:t>，</w:t>
      </w:r>
      <w:r w:rsidR="00CA5866" w:rsidRPr="00936930">
        <w:rPr>
          <w:rFonts w:hint="eastAsia"/>
          <w:spacing w:val="2"/>
        </w:rPr>
        <w:t>委员会还确认</w:t>
      </w:r>
      <w:r w:rsidRPr="00936930">
        <w:rPr>
          <w:rFonts w:hint="eastAsia"/>
          <w:spacing w:val="2"/>
        </w:rPr>
        <w:t>，</w:t>
      </w:r>
      <w:r w:rsidR="00CA5866" w:rsidRPr="00936930">
        <w:rPr>
          <w:rFonts w:hint="eastAsia"/>
          <w:spacing w:val="2"/>
        </w:rPr>
        <w:t>缔约国应事先向国家人权机构和民间社会各界提供</w:t>
      </w:r>
      <w:r w:rsidR="00CA5866" w:rsidRPr="00936930">
        <w:rPr>
          <w:rFonts w:hint="eastAsia"/>
          <w:spacing w:val="-4"/>
        </w:rPr>
        <w:t>报告</w:t>
      </w:r>
      <w:r w:rsidRPr="00936930">
        <w:rPr>
          <w:rFonts w:hint="eastAsia"/>
          <w:spacing w:val="-4"/>
        </w:rPr>
        <w:t>，</w:t>
      </w:r>
      <w:r w:rsidR="00CA5866" w:rsidRPr="00936930">
        <w:rPr>
          <w:rFonts w:hint="eastAsia"/>
          <w:spacing w:val="-4"/>
        </w:rPr>
        <w:t>并请</w:t>
      </w:r>
      <w:proofErr w:type="gramStart"/>
      <w:r w:rsidR="00CA5866" w:rsidRPr="00936930">
        <w:rPr>
          <w:rFonts w:hint="eastAsia"/>
          <w:spacing w:val="-4"/>
        </w:rPr>
        <w:t>所有利益</w:t>
      </w:r>
      <w:proofErr w:type="gramEnd"/>
      <w:r w:rsidR="00CA5866" w:rsidRPr="00936930">
        <w:rPr>
          <w:rFonts w:hint="eastAsia"/>
          <w:spacing w:val="-4"/>
        </w:rPr>
        <w:t>攸关方就报告进行协商。国家人权机构可以提供可能对缔约国</w:t>
      </w:r>
      <w:r w:rsidR="00CA5866" w:rsidRPr="007B54B9">
        <w:rPr>
          <w:rFonts w:hint="eastAsia"/>
          <w:spacing w:val="2"/>
        </w:rPr>
        <w:lastRenderedPageBreak/>
        <w:t>报告有助益的资料</w:t>
      </w:r>
      <w:r w:rsidRPr="007B54B9">
        <w:rPr>
          <w:rFonts w:hint="eastAsia"/>
          <w:spacing w:val="2"/>
        </w:rPr>
        <w:t>，</w:t>
      </w:r>
      <w:r w:rsidR="00CA5866" w:rsidRPr="007B54B9">
        <w:rPr>
          <w:rFonts w:hint="eastAsia"/>
          <w:spacing w:val="2"/>
        </w:rPr>
        <w:t>但这并不排除国家人权机构向委员会提交自己的独立补充报</w:t>
      </w:r>
      <w:r w:rsidR="00CA5866">
        <w:rPr>
          <w:rFonts w:hint="eastAsia"/>
        </w:rPr>
        <w:t>告。</w:t>
      </w:r>
    </w:p>
    <w:p w14:paraId="05E0205B" w14:textId="09461B96" w:rsidR="00CA5866" w:rsidRDefault="00CA5866" w:rsidP="005D2748">
      <w:pPr>
        <w:pStyle w:val="H23GC"/>
      </w:pPr>
      <w:r>
        <w:rPr>
          <w:rFonts w:hint="eastAsia"/>
        </w:rPr>
        <w:tab/>
      </w:r>
      <w:r w:rsidR="00A9461C">
        <w:rPr>
          <w:rFonts w:hint="eastAsia"/>
        </w:rPr>
        <w:t>3.</w:t>
      </w:r>
      <w:r>
        <w:rPr>
          <w:rFonts w:hint="eastAsia"/>
        </w:rPr>
        <w:tab/>
      </w:r>
      <w:r>
        <w:rPr>
          <w:rFonts w:hint="eastAsia"/>
        </w:rPr>
        <w:t>协助编制主题清单和报告</w:t>
      </w:r>
      <w:proofErr w:type="gramStart"/>
      <w:r>
        <w:rPr>
          <w:rFonts w:hint="eastAsia"/>
        </w:rPr>
        <w:t>前问题</w:t>
      </w:r>
      <w:proofErr w:type="gramEnd"/>
      <w:r>
        <w:rPr>
          <w:rFonts w:hint="eastAsia"/>
        </w:rPr>
        <w:t>清单</w:t>
      </w:r>
    </w:p>
    <w:p w14:paraId="0245F0D8" w14:textId="5F4F6FF1" w:rsidR="00CA5866" w:rsidRDefault="00A9461C" w:rsidP="00CA5866">
      <w:pPr>
        <w:pStyle w:val="SingleTxtGC"/>
      </w:pPr>
      <w:r>
        <w:rPr>
          <w:rFonts w:hint="eastAsia"/>
        </w:rPr>
        <w:t>13.</w:t>
      </w:r>
      <w:r w:rsidR="00CA5866">
        <w:rPr>
          <w:rFonts w:hint="eastAsia"/>
        </w:rPr>
        <w:tab/>
      </w:r>
      <w:r w:rsidR="00CA5866">
        <w:rPr>
          <w:rFonts w:hint="eastAsia"/>
        </w:rPr>
        <w:t>在报告进程的早期阶段收到国家人权机构的资料对委员会的工作至关重要。</w:t>
      </w:r>
      <w:r w:rsidR="00CA5866" w:rsidRPr="007B54B9">
        <w:rPr>
          <w:rFonts w:hint="eastAsia"/>
          <w:spacing w:val="2"/>
        </w:rPr>
        <w:t>因此</w:t>
      </w:r>
      <w:r w:rsidRPr="007B54B9">
        <w:rPr>
          <w:rFonts w:hint="eastAsia"/>
          <w:spacing w:val="2"/>
        </w:rPr>
        <w:t>，</w:t>
      </w:r>
      <w:r w:rsidR="00CA5866" w:rsidRPr="007B54B9">
        <w:rPr>
          <w:rFonts w:hint="eastAsia"/>
          <w:spacing w:val="2"/>
        </w:rPr>
        <w:t>委员会请这些机构提交书面材料</w:t>
      </w:r>
      <w:r w:rsidRPr="007B54B9">
        <w:rPr>
          <w:rFonts w:hint="eastAsia"/>
          <w:spacing w:val="2"/>
        </w:rPr>
        <w:t>，</w:t>
      </w:r>
      <w:r w:rsidR="00CA5866" w:rsidRPr="007B54B9">
        <w:rPr>
          <w:rFonts w:hint="eastAsia"/>
          <w:spacing w:val="2"/>
        </w:rPr>
        <w:t>作为编写主题清单和报告</w:t>
      </w:r>
      <w:proofErr w:type="gramStart"/>
      <w:r w:rsidR="00CA5866" w:rsidRPr="007B54B9">
        <w:rPr>
          <w:rFonts w:hint="eastAsia"/>
          <w:spacing w:val="2"/>
        </w:rPr>
        <w:t>前问题</w:t>
      </w:r>
      <w:proofErr w:type="gramEnd"/>
      <w:r w:rsidR="00CA5866" w:rsidRPr="007B54B9">
        <w:rPr>
          <w:rFonts w:hint="eastAsia"/>
          <w:spacing w:val="2"/>
        </w:rPr>
        <w:t>清单可</w:t>
      </w:r>
      <w:r w:rsidR="00CA5866">
        <w:rPr>
          <w:rFonts w:hint="eastAsia"/>
        </w:rPr>
        <w:t>用的意见。</w:t>
      </w:r>
    </w:p>
    <w:p w14:paraId="50354145" w14:textId="2348F50D" w:rsidR="00CA5866" w:rsidRDefault="00A9461C" w:rsidP="00CA5866">
      <w:pPr>
        <w:pStyle w:val="SingleTxtGC"/>
      </w:pPr>
      <w:r>
        <w:rPr>
          <w:rFonts w:hint="eastAsia"/>
        </w:rPr>
        <w:t>14.</w:t>
      </w:r>
      <w:r w:rsidR="00CA5866">
        <w:rPr>
          <w:rFonts w:hint="eastAsia"/>
        </w:rPr>
        <w:tab/>
      </w:r>
      <w:r w:rsidR="00CA5866">
        <w:rPr>
          <w:rFonts w:hint="eastAsia"/>
        </w:rPr>
        <w:t>为方便国家人权机构及时提交报告</w:t>
      </w:r>
      <w:r>
        <w:rPr>
          <w:rFonts w:hint="eastAsia"/>
        </w:rPr>
        <w:t>，</w:t>
      </w:r>
      <w:r w:rsidR="00CA5866">
        <w:rPr>
          <w:rFonts w:hint="eastAsia"/>
        </w:rPr>
        <w:t>委员会秘书处会提前通知有关机构提交报告的时间表</w:t>
      </w:r>
      <w:r>
        <w:rPr>
          <w:rFonts w:hint="eastAsia"/>
        </w:rPr>
        <w:t>，</w:t>
      </w:r>
      <w:r w:rsidR="00CA5866">
        <w:rPr>
          <w:rFonts w:hint="eastAsia"/>
        </w:rPr>
        <w:t>并就在这方面</w:t>
      </w:r>
      <w:proofErr w:type="gramStart"/>
      <w:r w:rsidR="00CA5866">
        <w:rPr>
          <w:rFonts w:hint="eastAsia"/>
        </w:rPr>
        <w:t>作出</w:t>
      </w:r>
      <w:proofErr w:type="gramEnd"/>
      <w:r w:rsidR="00CA5866">
        <w:rPr>
          <w:rFonts w:hint="eastAsia"/>
        </w:rPr>
        <w:t>贡献的机会提供咨询意见。</w:t>
      </w:r>
    </w:p>
    <w:p w14:paraId="2615D3C1" w14:textId="7D9AC2FD" w:rsidR="00CA5866" w:rsidRDefault="00CA5866" w:rsidP="005D2748">
      <w:pPr>
        <w:pStyle w:val="H23GC"/>
      </w:pPr>
      <w:r>
        <w:rPr>
          <w:rFonts w:hint="eastAsia"/>
        </w:rPr>
        <w:tab/>
      </w:r>
      <w:r w:rsidR="00A9461C">
        <w:rPr>
          <w:rFonts w:hint="eastAsia"/>
        </w:rPr>
        <w:t>4.</w:t>
      </w:r>
      <w:r>
        <w:rPr>
          <w:rFonts w:hint="eastAsia"/>
        </w:rPr>
        <w:tab/>
      </w:r>
      <w:r>
        <w:rPr>
          <w:rFonts w:hint="eastAsia"/>
        </w:rPr>
        <w:t>为委员会届会和在届会期间作出贡献</w:t>
      </w:r>
    </w:p>
    <w:p w14:paraId="2E695BDF" w14:textId="3A4E8633" w:rsidR="00CA5866" w:rsidRDefault="00A9461C" w:rsidP="00CA5866">
      <w:pPr>
        <w:pStyle w:val="SingleTxtGC"/>
      </w:pPr>
      <w:r>
        <w:rPr>
          <w:rFonts w:hint="eastAsia"/>
        </w:rPr>
        <w:t>15.</w:t>
      </w:r>
      <w:r w:rsidR="00CA5866">
        <w:rPr>
          <w:rFonts w:hint="eastAsia"/>
        </w:rPr>
        <w:tab/>
      </w:r>
      <w:r w:rsidR="00CA5866" w:rsidRPr="00B812C5">
        <w:rPr>
          <w:rFonts w:hint="eastAsia"/>
          <w:spacing w:val="-4"/>
        </w:rPr>
        <w:t>委员会欢迎国家人权机构提交补充报告和进行口头陈述</w:t>
      </w:r>
      <w:r w:rsidRPr="00B812C5">
        <w:rPr>
          <w:rFonts w:hint="eastAsia"/>
          <w:spacing w:val="-4"/>
        </w:rPr>
        <w:t>，</w:t>
      </w:r>
      <w:r w:rsidR="00CA5866" w:rsidRPr="00B812C5">
        <w:rPr>
          <w:rFonts w:hint="eastAsia"/>
          <w:spacing w:val="-4"/>
        </w:rPr>
        <w:t>并鼓励这些机构出席</w:t>
      </w:r>
      <w:r w:rsidR="00CA5866">
        <w:rPr>
          <w:rFonts w:hint="eastAsia"/>
        </w:rPr>
        <w:t>对缔约国报告的审议。</w:t>
      </w:r>
    </w:p>
    <w:p w14:paraId="1AF63BCD" w14:textId="22BC5E3B" w:rsidR="00CA5866" w:rsidRDefault="00A9461C" w:rsidP="00CA5866">
      <w:pPr>
        <w:pStyle w:val="SingleTxtGC"/>
      </w:pPr>
      <w:r w:rsidRPr="00B812C5">
        <w:rPr>
          <w:rFonts w:hint="eastAsia"/>
          <w:spacing w:val="2"/>
        </w:rPr>
        <w:t>16.</w:t>
      </w:r>
      <w:r w:rsidR="00CA5866" w:rsidRPr="00B812C5">
        <w:rPr>
          <w:rFonts w:hint="eastAsia"/>
          <w:spacing w:val="2"/>
        </w:rPr>
        <w:tab/>
      </w:r>
      <w:r w:rsidR="00CA5866" w:rsidRPr="00B812C5">
        <w:rPr>
          <w:rFonts w:hint="eastAsia"/>
          <w:spacing w:val="2"/>
        </w:rPr>
        <w:t>若国家人权机构提出申请</w:t>
      </w:r>
      <w:r w:rsidRPr="00B812C5">
        <w:rPr>
          <w:rFonts w:hint="eastAsia"/>
          <w:spacing w:val="2"/>
        </w:rPr>
        <w:t>，</w:t>
      </w:r>
      <w:r w:rsidR="00CA5866" w:rsidRPr="00B812C5">
        <w:rPr>
          <w:rFonts w:hint="eastAsia"/>
          <w:spacing w:val="2"/>
        </w:rPr>
        <w:t>在紧接与缔约国对话之前</w:t>
      </w:r>
      <w:r w:rsidRPr="00B812C5">
        <w:rPr>
          <w:rFonts w:hint="eastAsia"/>
          <w:spacing w:val="2"/>
        </w:rPr>
        <w:t>，</w:t>
      </w:r>
      <w:r w:rsidR="00CA5866" w:rsidRPr="00B812C5">
        <w:rPr>
          <w:rFonts w:hint="eastAsia"/>
          <w:spacing w:val="2"/>
        </w:rPr>
        <w:t>国家人权机构可在提</w:t>
      </w:r>
      <w:r w:rsidR="00CA5866">
        <w:rPr>
          <w:rFonts w:hint="eastAsia"/>
        </w:rPr>
        <w:t>供口译服务的委员会正式闭门会议和非正式非公开会议上发言。这些会议容许委员会和国家人权机构进行互动讨论</w:t>
      </w:r>
      <w:r>
        <w:rPr>
          <w:rFonts w:hint="eastAsia"/>
        </w:rPr>
        <w:t>，</w:t>
      </w:r>
      <w:r w:rsidR="00CA5866">
        <w:rPr>
          <w:rFonts w:hint="eastAsia"/>
        </w:rPr>
        <w:t>交流最新补充资料。经申请</w:t>
      </w:r>
      <w:r>
        <w:rPr>
          <w:rFonts w:hint="eastAsia"/>
        </w:rPr>
        <w:t>，</w:t>
      </w:r>
      <w:r w:rsidR="00CA5866">
        <w:rPr>
          <w:rFonts w:hint="eastAsia"/>
        </w:rPr>
        <w:t>国家人权机</w:t>
      </w:r>
      <w:r w:rsidR="00CA5866" w:rsidRPr="00F1374A">
        <w:rPr>
          <w:rFonts w:hint="eastAsia"/>
          <w:spacing w:val="-4"/>
        </w:rPr>
        <w:t>构还可在非正式非公开会议期间向委员会提供更多的详细资料。举行非公开会议的</w:t>
      </w:r>
      <w:r w:rsidR="00CA5866">
        <w:rPr>
          <w:rFonts w:hint="eastAsia"/>
        </w:rPr>
        <w:t>目的是确保国家人权机构可以无拘无束地与委员会进行有效交流</w:t>
      </w:r>
      <w:r>
        <w:rPr>
          <w:rFonts w:hint="eastAsia"/>
        </w:rPr>
        <w:t>，</w:t>
      </w:r>
      <w:r w:rsidR="00CA5866">
        <w:rPr>
          <w:rFonts w:hint="eastAsia"/>
        </w:rPr>
        <w:t>不必担心遭到</w:t>
      </w:r>
      <w:r w:rsidR="00CA5866" w:rsidRPr="00F1374A">
        <w:rPr>
          <w:rFonts w:hint="eastAsia"/>
          <w:spacing w:val="2"/>
        </w:rPr>
        <w:t>报复或恐吓。委员会秘书处将尽早与国家人权机构联络</w:t>
      </w:r>
      <w:r w:rsidRPr="00F1374A">
        <w:rPr>
          <w:rFonts w:hint="eastAsia"/>
          <w:spacing w:val="2"/>
        </w:rPr>
        <w:t>，</w:t>
      </w:r>
      <w:r w:rsidR="00CA5866" w:rsidRPr="00F1374A">
        <w:rPr>
          <w:rFonts w:hint="eastAsia"/>
          <w:spacing w:val="2"/>
        </w:rPr>
        <w:t>为非正式非公开会议提</w:t>
      </w:r>
      <w:r w:rsidR="00CA5866">
        <w:rPr>
          <w:rFonts w:hint="eastAsia"/>
        </w:rPr>
        <w:t>供便利。</w:t>
      </w:r>
    </w:p>
    <w:p w14:paraId="7360ED61" w14:textId="795B18B6" w:rsidR="00CA5866" w:rsidRDefault="00A9461C" w:rsidP="00CA5866">
      <w:pPr>
        <w:pStyle w:val="SingleTxtGC"/>
      </w:pPr>
      <w:r>
        <w:rPr>
          <w:rFonts w:hint="eastAsia"/>
        </w:rPr>
        <w:t>17.</w:t>
      </w:r>
      <w:r w:rsidR="00CA5866">
        <w:rPr>
          <w:rFonts w:hint="eastAsia"/>
        </w:rPr>
        <w:tab/>
      </w:r>
      <w:r w:rsidR="00CA5866">
        <w:rPr>
          <w:rFonts w:hint="eastAsia"/>
        </w:rPr>
        <w:t>经国家人权机构全球联盟认证具有</w:t>
      </w:r>
      <w:r>
        <w:rPr>
          <w:rFonts w:hint="eastAsia"/>
        </w:rPr>
        <w:t>A</w:t>
      </w:r>
      <w:r w:rsidR="00CA5866">
        <w:rPr>
          <w:rFonts w:hint="eastAsia"/>
        </w:rPr>
        <w:t>级地位的国家人权机构提出申请后</w:t>
      </w:r>
      <w:r>
        <w:rPr>
          <w:rFonts w:hint="eastAsia"/>
        </w:rPr>
        <w:t>，</w:t>
      </w:r>
      <w:r w:rsidR="00CA5866">
        <w:rPr>
          <w:rFonts w:hint="eastAsia"/>
        </w:rPr>
        <w:t>有可能在与缔约国的正式对话中获得发言机会</w:t>
      </w:r>
      <w:r>
        <w:rPr>
          <w:rFonts w:hint="eastAsia"/>
        </w:rPr>
        <w:t>，</w:t>
      </w:r>
      <w:r w:rsidR="00CA5866">
        <w:rPr>
          <w:rFonts w:hint="eastAsia"/>
        </w:rPr>
        <w:t>发言时长由委员会规定。发言申请应尽早向秘书处提出。</w:t>
      </w:r>
    </w:p>
    <w:p w14:paraId="687F8E22" w14:textId="36714859" w:rsidR="00CA5866" w:rsidRDefault="00CA5866" w:rsidP="005D2748">
      <w:pPr>
        <w:pStyle w:val="H23GC"/>
      </w:pPr>
      <w:r>
        <w:rPr>
          <w:rFonts w:hint="eastAsia"/>
        </w:rPr>
        <w:tab/>
      </w:r>
      <w:r w:rsidR="00A9461C">
        <w:rPr>
          <w:rFonts w:hint="eastAsia"/>
        </w:rPr>
        <w:t>5.</w:t>
      </w:r>
      <w:r>
        <w:rPr>
          <w:rFonts w:hint="eastAsia"/>
        </w:rPr>
        <w:tab/>
      </w:r>
      <w:r>
        <w:rPr>
          <w:rFonts w:hint="eastAsia"/>
        </w:rPr>
        <w:t>促进结论性意见的后续落实</w:t>
      </w:r>
    </w:p>
    <w:p w14:paraId="007C9DC6" w14:textId="7FA849B8" w:rsidR="00CA5866" w:rsidRDefault="00A9461C" w:rsidP="00CA5866">
      <w:pPr>
        <w:pStyle w:val="SingleTxtGC"/>
      </w:pPr>
      <w:r>
        <w:rPr>
          <w:rFonts w:hint="eastAsia"/>
        </w:rPr>
        <w:t>18.</w:t>
      </w:r>
      <w:r w:rsidR="00CA5866">
        <w:rPr>
          <w:rFonts w:hint="eastAsia"/>
        </w:rPr>
        <w:tab/>
      </w:r>
      <w:r w:rsidR="00CA5866">
        <w:rPr>
          <w:rFonts w:hint="eastAsia"/>
        </w:rPr>
        <w:t>根据《巴黎原则》</w:t>
      </w:r>
      <w:r>
        <w:rPr>
          <w:rFonts w:hint="eastAsia"/>
        </w:rPr>
        <w:t>，</w:t>
      </w:r>
      <w:r w:rsidR="00CA5866">
        <w:rPr>
          <w:rFonts w:hint="eastAsia"/>
        </w:rPr>
        <w:t>国家人权机构负有监测和报告本国遵守国际人权文书情况</w:t>
      </w:r>
      <w:r>
        <w:rPr>
          <w:rFonts w:hint="eastAsia"/>
        </w:rPr>
        <w:t>，</w:t>
      </w:r>
      <w:r w:rsidR="00CA5866">
        <w:rPr>
          <w:rFonts w:hint="eastAsia"/>
        </w:rPr>
        <w:t>包括遵守国际人权机构所提建议情况的具体使命。国家人权机构可向委员会提供书面资料</w:t>
      </w:r>
      <w:r>
        <w:rPr>
          <w:rFonts w:hint="eastAsia"/>
        </w:rPr>
        <w:t>，</w:t>
      </w:r>
      <w:r w:rsidR="00CA5866">
        <w:rPr>
          <w:rFonts w:hint="eastAsia"/>
        </w:rPr>
        <w:t>包括对缔约国为落实委员会为其后续程序选定建议所采取措施的</w:t>
      </w:r>
      <w:r w:rsidR="00CA5866" w:rsidRPr="007F4F27">
        <w:rPr>
          <w:rFonts w:hint="eastAsia"/>
          <w:spacing w:val="-2"/>
        </w:rPr>
        <w:t>评估。这些材料应在缔约国后续报告到期之时</w:t>
      </w:r>
      <w:r w:rsidRPr="007F4F27">
        <w:rPr>
          <w:rFonts w:hint="eastAsia"/>
          <w:spacing w:val="-2"/>
        </w:rPr>
        <w:t>(</w:t>
      </w:r>
      <w:r w:rsidR="00CA5866" w:rsidRPr="007F4F27">
        <w:rPr>
          <w:rFonts w:hint="eastAsia"/>
          <w:spacing w:val="-2"/>
        </w:rPr>
        <w:t>在通过关于缔约国的结论性意见后</w:t>
      </w:r>
      <w:r w:rsidR="00CA5866">
        <w:rPr>
          <w:rFonts w:hint="eastAsia"/>
        </w:rPr>
        <w:t>一年内</w:t>
      </w:r>
      <w:r>
        <w:rPr>
          <w:rFonts w:hint="eastAsia"/>
        </w:rPr>
        <w:t>)</w:t>
      </w:r>
      <w:r w:rsidR="00CA5866">
        <w:rPr>
          <w:rFonts w:hint="eastAsia"/>
        </w:rPr>
        <w:t>或于报告公布后在规定的期限内提交委员会。</w:t>
      </w:r>
    </w:p>
    <w:p w14:paraId="47BD6C3A" w14:textId="7AD7A68A" w:rsidR="00CA5866" w:rsidRDefault="00A9461C" w:rsidP="00CA5866">
      <w:pPr>
        <w:pStyle w:val="SingleTxtGC"/>
      </w:pPr>
      <w:r>
        <w:rPr>
          <w:rFonts w:hint="eastAsia"/>
        </w:rPr>
        <w:t>19.</w:t>
      </w:r>
      <w:r w:rsidR="00CA5866">
        <w:rPr>
          <w:rFonts w:hint="eastAsia"/>
        </w:rPr>
        <w:tab/>
      </w:r>
      <w:r w:rsidR="00CA5866">
        <w:rPr>
          <w:rFonts w:hint="eastAsia"/>
        </w:rPr>
        <w:t>委员会欢迎并支持国家人权机构在支持本国落实结论性意见所载建议方面发挥的重要作用</w:t>
      </w:r>
      <w:r>
        <w:rPr>
          <w:rFonts w:hint="eastAsia"/>
        </w:rPr>
        <w:t>，</w:t>
      </w:r>
      <w:r w:rsidR="00CA5866">
        <w:rPr>
          <w:rFonts w:hint="eastAsia"/>
        </w:rPr>
        <w:t>同时回顾</w:t>
      </w:r>
      <w:r>
        <w:rPr>
          <w:rFonts w:hint="eastAsia"/>
        </w:rPr>
        <w:t>，</w:t>
      </w:r>
      <w:r w:rsidR="00CA5866">
        <w:rPr>
          <w:rFonts w:hint="eastAsia"/>
        </w:rPr>
        <w:t>各国本身负有落实《公约》的责任。国家人权机构可通过多种方式支持落实工作</w:t>
      </w:r>
      <w:r>
        <w:rPr>
          <w:rFonts w:hint="eastAsia"/>
        </w:rPr>
        <w:t>，</w:t>
      </w:r>
      <w:r w:rsidR="00CA5866">
        <w:rPr>
          <w:rFonts w:hint="eastAsia"/>
        </w:rPr>
        <w:t>其中包括</w:t>
      </w:r>
      <w:r>
        <w:rPr>
          <w:rFonts w:hint="eastAsia"/>
        </w:rPr>
        <w:t>：</w:t>
      </w:r>
      <w:r w:rsidR="00CA5866">
        <w:rPr>
          <w:rFonts w:hint="eastAsia"/>
        </w:rPr>
        <w:t>向</w:t>
      </w:r>
      <w:proofErr w:type="gramStart"/>
      <w:r w:rsidR="00CA5866">
        <w:rPr>
          <w:rFonts w:hint="eastAsia"/>
        </w:rPr>
        <w:t>所有利益</w:t>
      </w:r>
      <w:proofErr w:type="gramEnd"/>
      <w:r w:rsidR="00CA5866">
        <w:rPr>
          <w:rFonts w:hint="eastAsia"/>
        </w:rPr>
        <w:t>攸关方广泛宣传《公约》的原则和结论性意见</w:t>
      </w:r>
      <w:r>
        <w:rPr>
          <w:rFonts w:hint="eastAsia"/>
        </w:rPr>
        <w:t>；</w:t>
      </w:r>
      <w:r w:rsidR="00CA5866">
        <w:rPr>
          <w:rFonts w:hint="eastAsia"/>
        </w:rPr>
        <w:t>组织由政府和非政府组织以及议会和其他机构参加的后续协商和研讨会</w:t>
      </w:r>
      <w:r>
        <w:rPr>
          <w:rFonts w:hint="eastAsia"/>
        </w:rPr>
        <w:t>；</w:t>
      </w:r>
      <w:r w:rsidR="00CA5866">
        <w:rPr>
          <w:rFonts w:hint="eastAsia"/>
        </w:rPr>
        <w:t>以及建议</w:t>
      </w:r>
      <w:proofErr w:type="gramStart"/>
      <w:r w:rsidR="00CA5866">
        <w:rPr>
          <w:rFonts w:hint="eastAsia"/>
        </w:rPr>
        <w:t>本国将</w:t>
      </w:r>
      <w:proofErr w:type="gramEnd"/>
      <w:r w:rsidR="00CA5866">
        <w:rPr>
          <w:rFonts w:hint="eastAsia"/>
        </w:rPr>
        <w:t>结论性意见中的建议融入并贯穿国家规划和立法审查进程。此外</w:t>
      </w:r>
      <w:r>
        <w:rPr>
          <w:rFonts w:hint="eastAsia"/>
        </w:rPr>
        <w:t>，</w:t>
      </w:r>
      <w:r w:rsidR="00CA5866">
        <w:rPr>
          <w:rFonts w:hint="eastAsia"/>
        </w:rPr>
        <w:t>委员会鼓励国家人权机构利用其年度报告监测委员会结论性意见所载建议的落实情况。</w:t>
      </w:r>
    </w:p>
    <w:p w14:paraId="48EDC8DC" w14:textId="58C0AF0B" w:rsidR="00CA5866" w:rsidRDefault="00A9461C" w:rsidP="00CA5866">
      <w:pPr>
        <w:pStyle w:val="SingleTxtGC"/>
      </w:pPr>
      <w:r>
        <w:rPr>
          <w:rFonts w:hint="eastAsia"/>
        </w:rPr>
        <w:t>20.</w:t>
      </w:r>
      <w:r w:rsidR="00CA5866">
        <w:rPr>
          <w:rFonts w:hint="eastAsia"/>
        </w:rPr>
        <w:tab/>
      </w:r>
      <w:r w:rsidR="00CA5866">
        <w:rPr>
          <w:rFonts w:hint="eastAsia"/>
        </w:rPr>
        <w:t>为了确保国家人权机构最有效地参与后续程序</w:t>
      </w:r>
      <w:r>
        <w:rPr>
          <w:rFonts w:hint="eastAsia"/>
        </w:rPr>
        <w:t>，</w:t>
      </w:r>
      <w:r w:rsidR="00CA5866">
        <w:rPr>
          <w:rFonts w:hint="eastAsia"/>
        </w:rPr>
        <w:t>委员会秘书处应向有关机构提前通知后续程序的时间表</w:t>
      </w:r>
      <w:r>
        <w:rPr>
          <w:rFonts w:hint="eastAsia"/>
        </w:rPr>
        <w:t>，</w:t>
      </w:r>
      <w:r w:rsidR="00CA5866">
        <w:rPr>
          <w:rFonts w:hint="eastAsia"/>
        </w:rPr>
        <w:t>并就为这一进程</w:t>
      </w:r>
      <w:proofErr w:type="gramStart"/>
      <w:r w:rsidR="00CA5866">
        <w:rPr>
          <w:rFonts w:hint="eastAsia"/>
        </w:rPr>
        <w:t>作出</w:t>
      </w:r>
      <w:proofErr w:type="gramEnd"/>
      <w:r w:rsidR="00CA5866">
        <w:rPr>
          <w:rFonts w:hint="eastAsia"/>
        </w:rPr>
        <w:t>贡献的机会提供咨询意见。</w:t>
      </w:r>
    </w:p>
    <w:p w14:paraId="653F726A" w14:textId="1E630577" w:rsidR="00CA5866" w:rsidRDefault="00CA5866" w:rsidP="005D2748">
      <w:pPr>
        <w:pStyle w:val="H23GC"/>
      </w:pPr>
      <w:r>
        <w:rPr>
          <w:rFonts w:hint="eastAsia"/>
        </w:rPr>
        <w:lastRenderedPageBreak/>
        <w:tab/>
      </w:r>
      <w:r w:rsidR="00A9461C">
        <w:rPr>
          <w:rFonts w:hint="eastAsia"/>
        </w:rPr>
        <w:t>6.</w:t>
      </w:r>
      <w:r>
        <w:rPr>
          <w:rFonts w:hint="eastAsia"/>
        </w:rPr>
        <w:tab/>
      </w:r>
      <w:r>
        <w:rPr>
          <w:rFonts w:hint="eastAsia"/>
        </w:rPr>
        <w:t>在审议程序下</w:t>
      </w:r>
      <w:proofErr w:type="gramStart"/>
      <w:r>
        <w:rPr>
          <w:rFonts w:hint="eastAsia"/>
        </w:rPr>
        <w:t>作出</w:t>
      </w:r>
      <w:proofErr w:type="gramEnd"/>
      <w:r>
        <w:rPr>
          <w:rFonts w:hint="eastAsia"/>
        </w:rPr>
        <w:t>贡献</w:t>
      </w:r>
    </w:p>
    <w:p w14:paraId="4E154C2F" w14:textId="17D2ECE6" w:rsidR="00CA5866" w:rsidRDefault="00A9461C" w:rsidP="00CA5866">
      <w:pPr>
        <w:pStyle w:val="SingleTxtGC"/>
      </w:pPr>
      <w:r w:rsidRPr="00AE324F">
        <w:rPr>
          <w:rFonts w:hint="eastAsia"/>
          <w:spacing w:val="2"/>
        </w:rPr>
        <w:t>21.</w:t>
      </w:r>
      <w:r w:rsidR="00CA5866" w:rsidRPr="00AE324F">
        <w:rPr>
          <w:rFonts w:hint="eastAsia"/>
          <w:spacing w:val="2"/>
        </w:rPr>
        <w:tab/>
      </w:r>
      <w:r w:rsidR="00CA5866" w:rsidRPr="00AE324F">
        <w:rPr>
          <w:rFonts w:hint="eastAsia"/>
          <w:spacing w:val="2"/>
        </w:rPr>
        <w:t>如果委员会决定在未收到缔约国报告的情况下对缔约国进行审议</w:t>
      </w:r>
      <w:r w:rsidRPr="00AE324F">
        <w:rPr>
          <w:rFonts w:hint="eastAsia"/>
          <w:spacing w:val="2"/>
        </w:rPr>
        <w:t>，</w:t>
      </w:r>
      <w:r w:rsidR="00CA5866" w:rsidRPr="00AE324F">
        <w:rPr>
          <w:rFonts w:hint="eastAsia"/>
          <w:spacing w:val="2"/>
        </w:rPr>
        <w:t>委员会鼓</w:t>
      </w:r>
      <w:r w:rsidR="00CA5866">
        <w:rPr>
          <w:rFonts w:hint="eastAsia"/>
        </w:rPr>
        <w:t>励国家人权机构提交替代报告。国家人权机构将获得与在正常报告程序下同等的贡献机会</w:t>
      </w:r>
      <w:r>
        <w:rPr>
          <w:rFonts w:hint="eastAsia"/>
        </w:rPr>
        <w:t>，</w:t>
      </w:r>
      <w:r w:rsidR="00CA5866">
        <w:rPr>
          <w:rFonts w:hint="eastAsia"/>
        </w:rPr>
        <w:t>包括在委员会决定通过的主题清单方面</w:t>
      </w:r>
      <w:proofErr w:type="gramStart"/>
      <w:r w:rsidR="00CA5866">
        <w:rPr>
          <w:rFonts w:hint="eastAsia"/>
        </w:rPr>
        <w:t>作出</w:t>
      </w:r>
      <w:proofErr w:type="gramEnd"/>
      <w:r w:rsidR="00CA5866">
        <w:rPr>
          <w:rFonts w:hint="eastAsia"/>
        </w:rPr>
        <w:t>贡献。</w:t>
      </w:r>
    </w:p>
    <w:p w14:paraId="221894B2" w14:textId="6824B434" w:rsidR="00CA5866" w:rsidRDefault="00CA5866" w:rsidP="005D2748">
      <w:pPr>
        <w:pStyle w:val="H1GC"/>
      </w:pPr>
      <w:r>
        <w:rPr>
          <w:rFonts w:hint="eastAsia"/>
        </w:rPr>
        <w:tab/>
      </w:r>
      <w:r w:rsidR="00A9461C">
        <w:rPr>
          <w:rFonts w:hint="eastAsia"/>
        </w:rPr>
        <w:t>D</w:t>
      </w:r>
      <w:r>
        <w:rPr>
          <w:rFonts w:hint="eastAsia"/>
        </w:rPr>
        <w:t>.</w:t>
      </w:r>
      <w:r>
        <w:rPr>
          <w:rFonts w:hint="eastAsia"/>
        </w:rPr>
        <w:tab/>
      </w:r>
      <w:r>
        <w:rPr>
          <w:rFonts w:hint="eastAsia"/>
        </w:rPr>
        <w:t>国家人权机构在预警和紧急行动程序方面的作用</w:t>
      </w:r>
    </w:p>
    <w:p w14:paraId="240D408A" w14:textId="1550393B" w:rsidR="00CA5866" w:rsidRDefault="00A9461C" w:rsidP="00CA5866">
      <w:pPr>
        <w:pStyle w:val="SingleTxtGC"/>
      </w:pPr>
      <w:r w:rsidRPr="00AE324F">
        <w:rPr>
          <w:rFonts w:hint="eastAsia"/>
          <w:spacing w:val="2"/>
        </w:rPr>
        <w:t>22.</w:t>
      </w:r>
      <w:r w:rsidR="00CA5866" w:rsidRPr="00AE324F">
        <w:rPr>
          <w:rFonts w:hint="eastAsia"/>
          <w:spacing w:val="2"/>
        </w:rPr>
        <w:tab/>
      </w:r>
      <w:r w:rsidR="00CA5866" w:rsidRPr="00AE324F">
        <w:rPr>
          <w:rFonts w:hint="eastAsia"/>
          <w:spacing w:val="2"/>
        </w:rPr>
        <w:t>国家人权机构可在国家一级提高对预警和紧急行动程序的认识。国家人权机</w:t>
      </w:r>
      <w:r w:rsidR="00CA5866">
        <w:rPr>
          <w:rFonts w:hint="eastAsia"/>
        </w:rPr>
        <w:t>构还可根据委员会关于预警和紧急行动程序的准则</w:t>
      </w:r>
      <w:r>
        <w:rPr>
          <w:rFonts w:hint="eastAsia"/>
        </w:rPr>
        <w:t>，</w:t>
      </w:r>
      <w:r w:rsidR="00CA5866">
        <w:rPr>
          <w:rFonts w:hint="eastAsia"/>
        </w:rPr>
        <w:t>向委员会提供可靠的循证</w:t>
      </w:r>
      <w:r w:rsidR="00CA5866" w:rsidRPr="00B95E5C">
        <w:rPr>
          <w:rFonts w:hint="eastAsia"/>
          <w:spacing w:val="2"/>
        </w:rPr>
        <w:t>资料</w:t>
      </w:r>
      <w:r w:rsidRPr="00B95E5C">
        <w:rPr>
          <w:rFonts w:hint="eastAsia"/>
          <w:spacing w:val="2"/>
        </w:rPr>
        <w:t>，</w:t>
      </w:r>
      <w:r w:rsidR="00CA5866" w:rsidRPr="00B95E5C">
        <w:rPr>
          <w:rFonts w:hint="eastAsia"/>
          <w:spacing w:val="2"/>
        </w:rPr>
        <w:t>反映在各自缔约国管辖领土内可能发生或已经发生的严重违反《公约》行</w:t>
      </w:r>
      <w:r w:rsidR="00CA5866">
        <w:rPr>
          <w:rFonts w:hint="eastAsia"/>
        </w:rPr>
        <w:t>为。</w:t>
      </w:r>
    </w:p>
    <w:p w14:paraId="2B71B9BD" w14:textId="0BD250A6" w:rsidR="00CA5866" w:rsidRDefault="00A9461C" w:rsidP="00CA5866">
      <w:pPr>
        <w:pStyle w:val="SingleTxtGC"/>
      </w:pPr>
      <w:r w:rsidRPr="00BF520F">
        <w:rPr>
          <w:rFonts w:hint="eastAsia"/>
          <w:spacing w:val="2"/>
        </w:rPr>
        <w:t>23.</w:t>
      </w:r>
      <w:r w:rsidR="00CA5866" w:rsidRPr="00BF520F">
        <w:rPr>
          <w:rFonts w:hint="eastAsia"/>
          <w:spacing w:val="2"/>
        </w:rPr>
        <w:tab/>
      </w:r>
      <w:r w:rsidR="00CA5866" w:rsidRPr="00BF520F">
        <w:rPr>
          <w:rFonts w:hint="eastAsia"/>
          <w:spacing w:val="2"/>
        </w:rPr>
        <w:t>委员会鼓励国家人权机构提交相关和可靠的资料</w:t>
      </w:r>
      <w:r w:rsidRPr="00BF520F">
        <w:rPr>
          <w:rFonts w:hint="eastAsia"/>
          <w:spacing w:val="2"/>
        </w:rPr>
        <w:t>，</w:t>
      </w:r>
      <w:r w:rsidR="00CA5866" w:rsidRPr="00BF520F">
        <w:rPr>
          <w:rFonts w:hint="eastAsia"/>
          <w:spacing w:val="2"/>
        </w:rPr>
        <w:t>说明在预警和紧急行动程</w:t>
      </w:r>
      <w:r w:rsidR="00CA5866">
        <w:rPr>
          <w:rFonts w:hint="eastAsia"/>
        </w:rPr>
        <w:t>序的任何阶段发生的任何事态发展</w:t>
      </w:r>
      <w:r>
        <w:rPr>
          <w:rFonts w:hint="eastAsia"/>
        </w:rPr>
        <w:t>，</w:t>
      </w:r>
      <w:r w:rsidR="00CA5866">
        <w:rPr>
          <w:rFonts w:hint="eastAsia"/>
        </w:rPr>
        <w:t>包括说明委员会就具体形势所采取行动的后续情况。</w:t>
      </w:r>
    </w:p>
    <w:p w14:paraId="44EF45B3" w14:textId="5126982C" w:rsidR="00CA5866" w:rsidRDefault="00CA5866" w:rsidP="005D2748">
      <w:pPr>
        <w:pStyle w:val="H1GC"/>
      </w:pPr>
      <w:r>
        <w:rPr>
          <w:rFonts w:hint="eastAsia"/>
        </w:rPr>
        <w:tab/>
      </w:r>
      <w:r w:rsidR="00A9461C">
        <w:rPr>
          <w:rFonts w:hint="eastAsia"/>
        </w:rPr>
        <w:t>E</w:t>
      </w:r>
      <w:r>
        <w:rPr>
          <w:rFonts w:hint="eastAsia"/>
        </w:rPr>
        <w:t>.</w:t>
      </w:r>
      <w:r>
        <w:rPr>
          <w:rFonts w:hint="eastAsia"/>
        </w:rPr>
        <w:tab/>
      </w:r>
      <w:r>
        <w:rPr>
          <w:rFonts w:hint="eastAsia"/>
        </w:rPr>
        <w:t>国家人权机构在拟订和传播一般性建议方面的作用</w:t>
      </w:r>
    </w:p>
    <w:p w14:paraId="2A51CD27" w14:textId="2ADD0947" w:rsidR="00CA5866" w:rsidRDefault="00A9461C" w:rsidP="00CA5866">
      <w:pPr>
        <w:pStyle w:val="SingleTxtGC"/>
      </w:pPr>
      <w:r w:rsidRPr="00BF520F">
        <w:rPr>
          <w:rFonts w:hint="eastAsia"/>
          <w:spacing w:val="2"/>
        </w:rPr>
        <w:t>24.</w:t>
      </w:r>
      <w:r w:rsidR="00CA5866" w:rsidRPr="00BF520F">
        <w:rPr>
          <w:rFonts w:hint="eastAsia"/>
          <w:spacing w:val="2"/>
        </w:rPr>
        <w:tab/>
      </w:r>
      <w:r w:rsidR="00CA5866" w:rsidRPr="00BF520F">
        <w:rPr>
          <w:rFonts w:hint="eastAsia"/>
          <w:spacing w:val="2"/>
        </w:rPr>
        <w:t>委员会鼓励国家人权机构在拟订一般性建议的所有阶段提供意见</w:t>
      </w:r>
      <w:r w:rsidRPr="00BF520F">
        <w:rPr>
          <w:rFonts w:hint="eastAsia"/>
          <w:spacing w:val="2"/>
        </w:rPr>
        <w:t>，</w:t>
      </w:r>
      <w:r w:rsidR="00CA5866" w:rsidRPr="00BF520F">
        <w:rPr>
          <w:rFonts w:hint="eastAsia"/>
          <w:spacing w:val="2"/>
        </w:rPr>
        <w:t>包括在委员会组织的一般性讨论日期间、在协商过程中以书面形式或以其他形式提供意</w:t>
      </w:r>
      <w:r w:rsidR="00CA5866">
        <w:rPr>
          <w:rFonts w:hint="eastAsia"/>
        </w:rPr>
        <w:t>见。</w:t>
      </w:r>
    </w:p>
    <w:p w14:paraId="1F3824F1" w14:textId="6E607235" w:rsidR="00CA5866" w:rsidRDefault="00A9461C" w:rsidP="00CA5866">
      <w:pPr>
        <w:pStyle w:val="SingleTxtGC"/>
      </w:pPr>
      <w:r w:rsidRPr="004708D0">
        <w:rPr>
          <w:rFonts w:hint="eastAsia"/>
          <w:spacing w:val="2"/>
        </w:rPr>
        <w:t>25.</w:t>
      </w:r>
      <w:r w:rsidR="00CA5866" w:rsidRPr="004708D0">
        <w:rPr>
          <w:rFonts w:hint="eastAsia"/>
          <w:spacing w:val="2"/>
        </w:rPr>
        <w:tab/>
      </w:r>
      <w:r w:rsidR="00CA5866" w:rsidRPr="004708D0">
        <w:rPr>
          <w:rFonts w:hint="eastAsia"/>
          <w:spacing w:val="2"/>
        </w:rPr>
        <w:t>鼓励国家人权机构在国内宣传工作和相关政策制定中传播和使用委员会的一</w:t>
      </w:r>
      <w:r w:rsidR="00CA5866">
        <w:rPr>
          <w:rFonts w:hint="eastAsia"/>
        </w:rPr>
        <w:t>般性建议</w:t>
      </w:r>
      <w:r>
        <w:rPr>
          <w:rFonts w:hint="eastAsia"/>
        </w:rPr>
        <w:t>，</w:t>
      </w:r>
      <w:r w:rsidR="00CA5866">
        <w:rPr>
          <w:rFonts w:hint="eastAsia"/>
        </w:rPr>
        <w:t>并确保以国家和适用的地方语言广泛传播一般性建议</w:t>
      </w:r>
      <w:r>
        <w:rPr>
          <w:rFonts w:hint="eastAsia"/>
        </w:rPr>
        <w:t>，</w:t>
      </w:r>
      <w:r w:rsidR="00CA5866">
        <w:rPr>
          <w:rFonts w:hint="eastAsia"/>
        </w:rPr>
        <w:t>包括倡导将一般性建议翻译成这些语言。</w:t>
      </w:r>
    </w:p>
    <w:p w14:paraId="47EDE7E0" w14:textId="309152E6" w:rsidR="00CA5866" w:rsidRDefault="00A9461C" w:rsidP="00CA5866">
      <w:pPr>
        <w:pStyle w:val="SingleTxtGC"/>
      </w:pPr>
      <w:r w:rsidRPr="004708D0">
        <w:rPr>
          <w:rFonts w:hint="eastAsia"/>
          <w:spacing w:val="2"/>
        </w:rPr>
        <w:t>26.</w:t>
      </w:r>
      <w:r w:rsidR="00CA5866" w:rsidRPr="004708D0">
        <w:rPr>
          <w:rFonts w:hint="eastAsia"/>
          <w:spacing w:val="2"/>
        </w:rPr>
        <w:tab/>
      </w:r>
      <w:r w:rsidR="00CA5866" w:rsidRPr="004708D0">
        <w:rPr>
          <w:rFonts w:hint="eastAsia"/>
          <w:spacing w:val="2"/>
        </w:rPr>
        <w:t>为了最大限度地发挥国家人权机构在拟订一般性建议方面的贡献的效力</w:t>
      </w:r>
      <w:r w:rsidRPr="004708D0">
        <w:rPr>
          <w:rFonts w:hint="eastAsia"/>
          <w:spacing w:val="2"/>
        </w:rPr>
        <w:t>，</w:t>
      </w:r>
      <w:r w:rsidR="00CA5866" w:rsidRPr="004708D0">
        <w:rPr>
          <w:rFonts w:hint="eastAsia"/>
          <w:spacing w:val="2"/>
        </w:rPr>
        <w:t>委</w:t>
      </w:r>
      <w:r w:rsidR="00CA5866">
        <w:rPr>
          <w:rFonts w:hint="eastAsia"/>
        </w:rPr>
        <w:t>员会秘书处将及时向这些机构介绍它们</w:t>
      </w:r>
      <w:proofErr w:type="gramStart"/>
      <w:r w:rsidR="00CA5866">
        <w:rPr>
          <w:rFonts w:hint="eastAsia"/>
        </w:rPr>
        <w:t>作出</w:t>
      </w:r>
      <w:proofErr w:type="gramEnd"/>
      <w:r w:rsidR="00CA5866">
        <w:rPr>
          <w:rFonts w:hint="eastAsia"/>
        </w:rPr>
        <w:t>贡献的机会。</w:t>
      </w:r>
    </w:p>
    <w:p w14:paraId="0CE54A4E" w14:textId="73BE1BD8" w:rsidR="00CA5866" w:rsidRDefault="00CA5866" w:rsidP="005D2748">
      <w:pPr>
        <w:pStyle w:val="H1GC"/>
      </w:pPr>
      <w:r>
        <w:rPr>
          <w:rFonts w:hint="eastAsia"/>
        </w:rPr>
        <w:tab/>
      </w:r>
      <w:r w:rsidR="00A9461C">
        <w:rPr>
          <w:rFonts w:hint="eastAsia"/>
        </w:rPr>
        <w:t>F</w:t>
      </w:r>
      <w:r>
        <w:rPr>
          <w:rFonts w:hint="eastAsia"/>
        </w:rPr>
        <w:t>.</w:t>
      </w:r>
      <w:r>
        <w:rPr>
          <w:rFonts w:hint="eastAsia"/>
        </w:rPr>
        <w:tab/>
      </w:r>
      <w:r>
        <w:rPr>
          <w:rFonts w:hint="eastAsia"/>
        </w:rPr>
        <w:t>国家人权机构和个人来文程序</w:t>
      </w:r>
    </w:p>
    <w:p w14:paraId="53604237" w14:textId="199FB2C1" w:rsidR="00CA5866" w:rsidRDefault="00A9461C" w:rsidP="00CA5866">
      <w:pPr>
        <w:pStyle w:val="SingleTxtGC"/>
      </w:pPr>
      <w:r w:rsidRPr="00E27E6B">
        <w:rPr>
          <w:rFonts w:hint="eastAsia"/>
          <w:spacing w:val="2"/>
        </w:rPr>
        <w:t>27.</w:t>
      </w:r>
      <w:r w:rsidR="00CA5866" w:rsidRPr="00E27E6B">
        <w:rPr>
          <w:rFonts w:hint="eastAsia"/>
          <w:spacing w:val="2"/>
        </w:rPr>
        <w:tab/>
      </w:r>
      <w:r w:rsidR="00CA5866" w:rsidRPr="00E27E6B">
        <w:rPr>
          <w:rFonts w:hint="eastAsia"/>
          <w:spacing w:val="2"/>
        </w:rPr>
        <w:t>国家人权机构可鼓励各自缔约国的国家主管部门根据第十四条发表声明</w:t>
      </w:r>
      <w:r w:rsidRPr="00E27E6B">
        <w:rPr>
          <w:rFonts w:hint="eastAsia"/>
          <w:spacing w:val="2"/>
        </w:rPr>
        <w:t>，</w:t>
      </w:r>
      <w:r w:rsidR="00CA5866" w:rsidRPr="00E27E6B">
        <w:rPr>
          <w:rFonts w:hint="eastAsia"/>
          <w:spacing w:val="2"/>
        </w:rPr>
        <w:t>承认委员会有权接受并审查在其管辖下自称为该缔约国侵犯《公约》所载任何权</w:t>
      </w:r>
      <w:r w:rsidR="00CA5866">
        <w:rPr>
          <w:rFonts w:hint="eastAsia"/>
        </w:rPr>
        <w:t>利</w:t>
      </w:r>
      <w:r w:rsidR="00CA5866" w:rsidRPr="00561427">
        <w:rPr>
          <w:rFonts w:hint="eastAsia"/>
          <w:spacing w:val="2"/>
        </w:rPr>
        <w:t>行为受害者的个人或个人联名提出的来文。鼓励国家人权机构提供资料</w:t>
      </w:r>
      <w:r w:rsidRPr="00561427">
        <w:rPr>
          <w:rFonts w:hint="eastAsia"/>
          <w:spacing w:val="2"/>
        </w:rPr>
        <w:t>，</w:t>
      </w:r>
      <w:r w:rsidR="00CA5866" w:rsidRPr="00561427">
        <w:rPr>
          <w:rFonts w:hint="eastAsia"/>
          <w:spacing w:val="2"/>
        </w:rPr>
        <w:t>说明国</w:t>
      </w:r>
      <w:r w:rsidR="00CA5866">
        <w:rPr>
          <w:rFonts w:hint="eastAsia"/>
        </w:rPr>
        <w:t>家一级的个人来文程序以及委员会意见的落实和传播情况。</w:t>
      </w:r>
    </w:p>
    <w:p w14:paraId="2ED91471" w14:textId="14C81CD2" w:rsidR="00CA5866" w:rsidRDefault="00CA5866" w:rsidP="005D2748">
      <w:pPr>
        <w:pStyle w:val="H1GC"/>
      </w:pPr>
      <w:r>
        <w:rPr>
          <w:rFonts w:hint="eastAsia"/>
        </w:rPr>
        <w:tab/>
      </w:r>
      <w:r w:rsidR="00A9461C">
        <w:rPr>
          <w:rFonts w:hint="eastAsia"/>
        </w:rPr>
        <w:t>G</w:t>
      </w:r>
      <w:r>
        <w:rPr>
          <w:rFonts w:hint="eastAsia"/>
        </w:rPr>
        <w:t>.</w:t>
      </w:r>
      <w:r>
        <w:rPr>
          <w:rFonts w:hint="eastAsia"/>
        </w:rPr>
        <w:tab/>
      </w:r>
      <w:r>
        <w:rPr>
          <w:rFonts w:hint="eastAsia"/>
        </w:rPr>
        <w:t>报复</w:t>
      </w:r>
    </w:p>
    <w:p w14:paraId="3637C0D0" w14:textId="3DFC99FF" w:rsidR="00491CB3" w:rsidRDefault="00A9461C" w:rsidP="00CA5866">
      <w:pPr>
        <w:pStyle w:val="SingleTxtGC"/>
      </w:pPr>
      <w:r w:rsidRPr="00D01DCD">
        <w:rPr>
          <w:rFonts w:hint="eastAsia"/>
          <w:spacing w:val="4"/>
        </w:rPr>
        <w:t>28.</w:t>
      </w:r>
      <w:r w:rsidR="00CA5866" w:rsidRPr="00D01DCD">
        <w:rPr>
          <w:rFonts w:hint="eastAsia"/>
          <w:spacing w:val="4"/>
        </w:rPr>
        <w:tab/>
      </w:r>
      <w:r w:rsidR="00CA5866" w:rsidRPr="00D01DCD">
        <w:rPr>
          <w:rFonts w:hint="eastAsia"/>
          <w:spacing w:val="4"/>
        </w:rPr>
        <w:t>根据大会第</w:t>
      </w:r>
      <w:r w:rsidRPr="00D01DCD">
        <w:rPr>
          <w:rFonts w:hint="eastAsia"/>
          <w:spacing w:val="4"/>
        </w:rPr>
        <w:t>68/171</w:t>
      </w:r>
      <w:r w:rsidR="00CA5866" w:rsidRPr="00D01DCD">
        <w:rPr>
          <w:rFonts w:hint="eastAsia"/>
          <w:spacing w:val="4"/>
        </w:rPr>
        <w:t>号决议和委员会关于与委员会合作的人员和组织遭到报</w:t>
      </w:r>
      <w:r w:rsidR="00CA5866">
        <w:rPr>
          <w:rFonts w:hint="eastAsia"/>
        </w:rPr>
        <w:t>复和恐吓的指控的处理准则</w:t>
      </w:r>
      <w:r w:rsidR="00C848D1">
        <w:rPr>
          <w:rStyle w:val="a8"/>
          <w:rFonts w:eastAsia="宋体"/>
        </w:rPr>
        <w:footnoteReference w:id="5"/>
      </w:r>
      <w:r>
        <w:rPr>
          <w:rFonts w:hint="eastAsia"/>
        </w:rPr>
        <w:t>，</w:t>
      </w:r>
      <w:r w:rsidR="00CA5866">
        <w:rPr>
          <w:rFonts w:hint="eastAsia"/>
        </w:rPr>
        <w:t>国家人权机构可向委员会报告机构成员或工作</w:t>
      </w:r>
      <w:r w:rsidR="00CA5866" w:rsidRPr="00D01DCD">
        <w:rPr>
          <w:rFonts w:hint="eastAsia"/>
          <w:spacing w:val="2"/>
        </w:rPr>
        <w:t>人员或人权维护者因寻求、正在或曾经与委员会合作而受到恐吓、报复威胁和报</w:t>
      </w:r>
      <w:r w:rsidR="00CA5866">
        <w:rPr>
          <w:rFonts w:hint="eastAsia"/>
        </w:rPr>
        <w:t>复行为的案件。</w:t>
      </w:r>
    </w:p>
    <w:p w14:paraId="51DB9BCC" w14:textId="394033C5" w:rsidR="00CA5866" w:rsidRDefault="00CA5866" w:rsidP="00CA5866">
      <w:pPr>
        <w:spacing w:before="240"/>
        <w:jc w:val="center"/>
      </w:pPr>
      <w:r>
        <w:rPr>
          <w:rFonts w:hint="eastAsia"/>
          <w:u w:val="single"/>
        </w:rPr>
        <w:lastRenderedPageBreak/>
        <w:tab/>
      </w:r>
      <w:r>
        <w:rPr>
          <w:rFonts w:hint="eastAsia"/>
          <w:u w:val="single"/>
        </w:rPr>
        <w:tab/>
      </w:r>
      <w:r>
        <w:rPr>
          <w:rFonts w:hint="eastAsia"/>
          <w:u w:val="single"/>
        </w:rPr>
        <w:tab/>
      </w:r>
      <w:r>
        <w:rPr>
          <w:u w:val="single"/>
        </w:rPr>
        <w:tab/>
      </w:r>
    </w:p>
    <w:sectPr w:rsidR="00CA5866"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ABC5" w14:textId="77777777" w:rsidR="001456BC" w:rsidRPr="000D319F" w:rsidRDefault="001456BC" w:rsidP="000D319F">
      <w:pPr>
        <w:pStyle w:val="af0"/>
        <w:spacing w:after="240"/>
        <w:ind w:left="907"/>
        <w:rPr>
          <w:rFonts w:asciiTheme="majorBidi" w:eastAsia="宋体" w:hAnsiTheme="majorBidi" w:cstheme="majorBidi"/>
          <w:sz w:val="21"/>
          <w:szCs w:val="21"/>
          <w:lang w:val="en-US"/>
        </w:rPr>
      </w:pPr>
    </w:p>
    <w:p w14:paraId="1F8B8BBF" w14:textId="77777777" w:rsidR="001456BC" w:rsidRPr="000D319F" w:rsidRDefault="001456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B3B3512" w14:textId="77777777" w:rsidR="001456BC" w:rsidRPr="000D319F" w:rsidRDefault="001456BC" w:rsidP="000D319F">
      <w:pPr>
        <w:pStyle w:val="af0"/>
      </w:pPr>
    </w:p>
  </w:endnote>
  <w:endnote w:type="continuationNotice" w:id="1">
    <w:p w14:paraId="5DE81949" w14:textId="77777777" w:rsidR="001456BC" w:rsidRDefault="001456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BE96" w14:textId="77777777" w:rsidR="00056632" w:rsidRPr="00491CB3" w:rsidRDefault="00491CB3" w:rsidP="00491CB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91CB3">
      <w:rPr>
        <w:rStyle w:val="af2"/>
        <w:b w:val="0"/>
        <w:snapToGrid w:val="0"/>
        <w:sz w:val="16"/>
      </w:rPr>
      <w:t>GE.22</w:t>
    </w:r>
    <w:proofErr w:type="spellEnd"/>
    <w:r w:rsidRPr="00491CB3">
      <w:rPr>
        <w:rStyle w:val="af2"/>
        <w:b w:val="0"/>
        <w:snapToGrid w:val="0"/>
        <w:sz w:val="16"/>
      </w:rPr>
      <w:t>-08410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5FA5" w14:textId="77777777" w:rsidR="00056632" w:rsidRPr="00491CB3" w:rsidRDefault="00491CB3" w:rsidP="00491CB3">
    <w:pPr>
      <w:pStyle w:val="af0"/>
      <w:tabs>
        <w:tab w:val="clear" w:pos="431"/>
        <w:tab w:val="right" w:pos="9638"/>
      </w:tabs>
      <w:rPr>
        <w:rStyle w:val="af2"/>
      </w:rPr>
    </w:pPr>
    <w:proofErr w:type="spellStart"/>
    <w:r>
      <w:t>GE.22</w:t>
    </w:r>
    <w:proofErr w:type="spellEnd"/>
    <w:r>
      <w:t>-08410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8AF" w14:textId="611AB0C5" w:rsidR="00056632" w:rsidRPr="00487939" w:rsidRDefault="00491CB3"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8492BA1" wp14:editId="1A1B8BD8">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-08410</w:t>
    </w:r>
    <w:r w:rsidR="00731A42" w:rsidRPr="00EE277A">
      <w:rPr>
        <w:sz w:val="20"/>
        <w:lang w:eastAsia="zh-CN"/>
      </w:rPr>
      <w:t xml:space="preserve"> (C)</w:t>
    </w:r>
    <w:r w:rsidR="006D1FBC">
      <w:rPr>
        <w:sz w:val="20"/>
        <w:lang w:eastAsia="zh-CN"/>
      </w:rPr>
      <w:tab/>
    </w:r>
    <w:r w:rsidR="002E16F3">
      <w:rPr>
        <w:sz w:val="20"/>
        <w:lang w:eastAsia="zh-CN"/>
      </w:rPr>
      <w:t>23</w:t>
    </w:r>
    <w:r w:rsidR="006D1FBC">
      <w:rPr>
        <w:sz w:val="20"/>
        <w:lang w:eastAsia="zh-CN"/>
      </w:rPr>
      <w:t>0</w:t>
    </w:r>
    <w:r w:rsidR="002E16F3">
      <w:rPr>
        <w:sz w:val="20"/>
        <w:lang w:eastAsia="zh-CN"/>
      </w:rPr>
      <w:t>6</w:t>
    </w:r>
    <w:r w:rsidR="001635B2">
      <w:rPr>
        <w:sz w:val="20"/>
        <w:lang w:eastAsia="zh-CN"/>
      </w:rPr>
      <w:t>2</w:t>
    </w:r>
    <w:r w:rsidR="002E16F3">
      <w:rPr>
        <w:sz w:val="20"/>
        <w:lang w:eastAsia="zh-CN"/>
      </w:rPr>
      <w:t>2</w:t>
    </w:r>
    <w:r w:rsidR="00731A42">
      <w:rPr>
        <w:sz w:val="20"/>
        <w:lang w:eastAsia="zh-CN"/>
      </w:rPr>
      <w:tab/>
    </w:r>
    <w:r w:rsidR="009F6D3F" w:rsidRPr="009F6D3F">
      <w:rPr>
        <w:rFonts w:ascii="Time New Roman" w:eastAsia="宋体" w:hAnsi="Time New Roman"/>
        <w:sz w:val="20"/>
        <w:lang w:eastAsia="zh-CN"/>
      </w:rPr>
      <w:t>2609</w:t>
    </w:r>
    <w:r w:rsidR="001635B2">
      <w:rPr>
        <w:sz w:val="20"/>
        <w:lang w:eastAsia="zh-CN"/>
      </w:rPr>
      <w:t>2</w:t>
    </w:r>
    <w:r w:rsidR="002E16F3">
      <w:rPr>
        <w:sz w:val="20"/>
        <w:lang w:eastAsia="zh-CN"/>
      </w:rPr>
      <w:t>2</w:t>
    </w:r>
    <w:r w:rsidR="00731A42">
      <w:rPr>
        <w:b/>
        <w:sz w:val="21"/>
      </w:rPr>
      <w:tab/>
    </w:r>
    <w:r w:rsidR="00A1364C">
      <w:rPr>
        <w:rFonts w:hint="eastAsia"/>
        <w:b/>
        <w:noProof/>
        <w:snapToGrid/>
        <w:sz w:val="21"/>
        <w:lang w:val="en-US" w:eastAsia="zh-CN"/>
      </w:rPr>
      <w:drawing>
        <wp:inline distT="0" distB="0" distL="0" distR="0" wp14:anchorId="2DD09478" wp14:editId="35DC7F8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2C59" w14:textId="77777777" w:rsidR="001456BC" w:rsidRPr="000157B1" w:rsidRDefault="001456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F02DAD9" w14:textId="77777777" w:rsidR="001456BC" w:rsidRPr="000157B1" w:rsidRDefault="001456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3402B94" w14:textId="77777777" w:rsidR="001456BC" w:rsidRDefault="001456BC"/>
  </w:footnote>
  <w:footnote w:id="2">
    <w:p w14:paraId="6BBD4CE5" w14:textId="2A3A909A" w:rsidR="000A1F5E" w:rsidRPr="000A1F5E" w:rsidRDefault="000A1F5E" w:rsidP="000A1F5E">
      <w:pPr>
        <w:pStyle w:val="a6"/>
        <w:tabs>
          <w:tab w:val="clear" w:pos="1021"/>
          <w:tab w:val="right" w:pos="1020"/>
        </w:tabs>
        <w:rPr>
          <w:lang w:val="fr-CH"/>
        </w:rPr>
      </w:pPr>
      <w:r w:rsidRPr="000A1F5E">
        <w:rPr>
          <w:rStyle w:val="a8"/>
          <w:rFonts w:eastAsia="宋体"/>
          <w:vertAlign w:val="baseline"/>
        </w:rPr>
        <w:tab/>
        <w:t>*</w:t>
      </w:r>
      <w:r w:rsidRPr="000A1F5E">
        <w:tab/>
      </w:r>
      <w:r>
        <w:rPr>
          <w:rFonts w:hint="eastAsia"/>
          <w:lang w:val="fr-CH"/>
        </w:rPr>
        <w:t>因技术原因于</w:t>
      </w:r>
      <w:r>
        <w:rPr>
          <w:rFonts w:hint="eastAsia"/>
          <w:lang w:val="fr-CH"/>
        </w:rPr>
        <w:t>2022</w:t>
      </w:r>
      <w:r>
        <w:rPr>
          <w:rFonts w:hint="eastAsia"/>
          <w:lang w:val="fr-CH"/>
        </w:rPr>
        <w:t>年</w:t>
      </w:r>
      <w:r>
        <w:rPr>
          <w:rFonts w:hint="eastAsia"/>
          <w:lang w:val="fr-CH"/>
        </w:rPr>
        <w:t>9</w:t>
      </w:r>
      <w:r>
        <w:rPr>
          <w:rFonts w:hint="eastAsia"/>
          <w:lang w:val="fr-CH"/>
        </w:rPr>
        <w:t>月</w:t>
      </w:r>
      <w:r>
        <w:rPr>
          <w:rFonts w:hint="eastAsia"/>
          <w:lang w:val="fr-CH"/>
        </w:rPr>
        <w:t>22</w:t>
      </w:r>
      <w:r>
        <w:rPr>
          <w:rFonts w:hint="eastAsia"/>
          <w:lang w:val="fr-CH"/>
        </w:rPr>
        <w:t>日重新印发。</w:t>
      </w:r>
    </w:p>
  </w:footnote>
  <w:footnote w:id="3">
    <w:p w14:paraId="201020F0" w14:textId="2CCC0BF4" w:rsidR="000A1F5E" w:rsidRPr="000A1F5E" w:rsidRDefault="000A1F5E" w:rsidP="000A1F5E">
      <w:pPr>
        <w:pStyle w:val="a6"/>
        <w:tabs>
          <w:tab w:val="clear" w:pos="1021"/>
          <w:tab w:val="right" w:pos="1020"/>
        </w:tabs>
      </w:pPr>
      <w:r w:rsidRPr="000A1F5E">
        <w:rPr>
          <w:rStyle w:val="a8"/>
          <w:rFonts w:eastAsia="宋体"/>
          <w:vertAlign w:val="baseline"/>
        </w:rPr>
        <w:tab/>
        <w:t>**</w:t>
      </w:r>
      <w:r w:rsidRPr="000A1F5E">
        <w:tab/>
      </w:r>
      <w:r w:rsidRPr="000A1F5E">
        <w:rPr>
          <w:rFonts w:hint="eastAsia"/>
        </w:rPr>
        <w:t>委员会第一百零五届会议</w:t>
      </w:r>
      <w:r w:rsidRPr="000A1F5E">
        <w:rPr>
          <w:rFonts w:hint="eastAsia"/>
        </w:rPr>
        <w:t>(2021</w:t>
      </w:r>
      <w:r w:rsidRPr="000A1F5E">
        <w:rPr>
          <w:rFonts w:hint="eastAsia"/>
        </w:rPr>
        <w:t>年</w:t>
      </w:r>
      <w:r w:rsidRPr="000A1F5E">
        <w:rPr>
          <w:rFonts w:hint="eastAsia"/>
        </w:rPr>
        <w:t>11</w:t>
      </w:r>
      <w:r w:rsidRPr="000A1F5E">
        <w:rPr>
          <w:rFonts w:hint="eastAsia"/>
        </w:rPr>
        <w:t>月</w:t>
      </w:r>
      <w:r w:rsidRPr="000A1F5E">
        <w:rPr>
          <w:rFonts w:hint="eastAsia"/>
        </w:rPr>
        <w:t>15</w:t>
      </w:r>
      <w:r w:rsidRPr="000A1F5E">
        <w:rPr>
          <w:rFonts w:hint="eastAsia"/>
        </w:rPr>
        <w:t>日至</w:t>
      </w:r>
      <w:r w:rsidRPr="000A1F5E">
        <w:rPr>
          <w:rFonts w:hint="eastAsia"/>
        </w:rPr>
        <w:t>12</w:t>
      </w:r>
      <w:r w:rsidRPr="000A1F5E">
        <w:rPr>
          <w:rFonts w:hint="eastAsia"/>
        </w:rPr>
        <w:t>月</w:t>
      </w:r>
      <w:r w:rsidRPr="000A1F5E">
        <w:rPr>
          <w:rFonts w:hint="eastAsia"/>
        </w:rPr>
        <w:t>3</w:t>
      </w:r>
      <w:r w:rsidRPr="000A1F5E">
        <w:rPr>
          <w:rFonts w:hint="eastAsia"/>
        </w:rPr>
        <w:t>日</w:t>
      </w:r>
      <w:r w:rsidRPr="000A1F5E">
        <w:rPr>
          <w:rFonts w:hint="eastAsia"/>
        </w:rPr>
        <w:t>)</w:t>
      </w:r>
      <w:r w:rsidRPr="000A1F5E">
        <w:rPr>
          <w:rFonts w:hint="eastAsia"/>
        </w:rPr>
        <w:t>通过。</w:t>
      </w:r>
    </w:p>
  </w:footnote>
  <w:footnote w:id="4">
    <w:p w14:paraId="1D067801" w14:textId="0167B0FE" w:rsidR="006A5B43" w:rsidRDefault="006A5B43" w:rsidP="004D3D5E">
      <w:pPr>
        <w:pStyle w:val="a6"/>
        <w:spacing w:after="40"/>
      </w:pPr>
      <w:r>
        <w:tab/>
      </w:r>
      <w:r>
        <w:rPr>
          <w:rStyle w:val="a8"/>
          <w:rFonts w:eastAsia="宋体"/>
        </w:rPr>
        <w:footnoteRef/>
      </w:r>
      <w:r>
        <w:tab/>
      </w:r>
      <w:r w:rsidRPr="006A5B43">
        <w:rPr>
          <w:rFonts w:hint="eastAsia"/>
        </w:rPr>
        <w:t>见</w:t>
      </w:r>
      <w:r w:rsidR="00F37656">
        <w:fldChar w:fldCharType="begin"/>
      </w:r>
      <w:r w:rsidR="00F37656">
        <w:instrText xml:space="preserve"> HYPERLINK "http://undocs.org/ch/A/76/18" </w:instrText>
      </w:r>
      <w:r w:rsidR="00F37656">
        <w:fldChar w:fldCharType="separate"/>
      </w:r>
      <w:r w:rsidRPr="001535DB">
        <w:rPr>
          <w:rStyle w:val="af5"/>
          <w:rFonts w:hint="eastAsia"/>
          <w:u w:val="none"/>
        </w:rPr>
        <w:t>A/76/18</w:t>
      </w:r>
      <w:r w:rsidR="00F37656">
        <w:rPr>
          <w:rStyle w:val="af5"/>
          <w:u w:val="none"/>
        </w:rPr>
        <w:fldChar w:fldCharType="end"/>
      </w:r>
      <w:r w:rsidRPr="001535DB">
        <w:t xml:space="preserve">, </w:t>
      </w:r>
      <w:r w:rsidRPr="006A5B43">
        <w:rPr>
          <w:rFonts w:hint="eastAsia"/>
        </w:rPr>
        <w:t>第</w:t>
      </w:r>
      <w:r w:rsidRPr="006A5B43">
        <w:rPr>
          <w:rFonts w:hint="eastAsia"/>
        </w:rPr>
        <w:t>5</w:t>
      </w:r>
      <w:r w:rsidR="000A1F5E">
        <w:rPr>
          <w:rFonts w:hint="eastAsia"/>
        </w:rPr>
        <w:t>2</w:t>
      </w:r>
      <w:r w:rsidRPr="006A5B43">
        <w:rPr>
          <w:rFonts w:hint="eastAsia"/>
        </w:rPr>
        <w:t>段。</w:t>
      </w:r>
    </w:p>
  </w:footnote>
  <w:footnote w:id="5">
    <w:p w14:paraId="1EACB36A" w14:textId="4364F086" w:rsidR="00C848D1" w:rsidRDefault="00C848D1" w:rsidP="00126360">
      <w:pPr>
        <w:pStyle w:val="a6"/>
        <w:wordWrap w:val="0"/>
      </w:pPr>
      <w:r>
        <w:tab/>
      </w:r>
      <w:r>
        <w:rPr>
          <w:rStyle w:val="a8"/>
          <w:rFonts w:eastAsia="宋体"/>
        </w:rPr>
        <w:footnoteRef/>
      </w:r>
      <w:r>
        <w:tab/>
      </w:r>
      <w:r w:rsidRPr="00126360">
        <w:rPr>
          <w:rFonts w:hint="eastAsia"/>
        </w:rPr>
        <w:t>可查阅</w:t>
      </w:r>
      <w:r w:rsidR="007235B7">
        <w:br/>
      </w:r>
      <w:hyperlink r:id="rId1" w:history="1">
        <w:r w:rsidR="00EF4F64" w:rsidRPr="00EF4F64">
          <w:rPr>
            <w:rStyle w:val="af5"/>
            <w:spacing w:val="-1"/>
            <w:u w:val="none"/>
          </w:rPr>
          <w:t>https://tbinternet.ohchr.org/_layouts/15/treatybodyexternal/Download.aspx?symbolno=</w:t>
        </w:r>
        <w:r w:rsidR="00EF4F64" w:rsidRPr="00EF4F64">
          <w:rPr>
            <w:rStyle w:val="af5"/>
            <w:spacing w:val="-1"/>
            <w:u w:val="none"/>
          </w:rPr>
          <w:br/>
        </w:r>
        <w:proofErr w:type="spellStart"/>
        <w:r w:rsidR="00EF4F64" w:rsidRPr="00EF4F64">
          <w:rPr>
            <w:rStyle w:val="af5"/>
            <w:spacing w:val="-1"/>
            <w:u w:val="none"/>
          </w:rPr>
          <w:t>INT%</w:t>
        </w:r>
        <w:r w:rsidR="00EF4F64" w:rsidRPr="00EF4F64">
          <w:rPr>
            <w:rStyle w:val="af5"/>
            <w:u w:val="none"/>
          </w:rPr>
          <w:t>2fCERD%2fRLE%2f9029&amp;Lang</w:t>
        </w:r>
        <w:proofErr w:type="spellEnd"/>
        <w:r w:rsidR="00EF4F64" w:rsidRPr="00EF4F64">
          <w:rPr>
            <w:rStyle w:val="af5"/>
            <w:u w:val="none"/>
          </w:rPr>
          <w:t>=</w:t>
        </w:r>
        <w:proofErr w:type="spellStart"/>
        <w:r w:rsidR="00EF4F64" w:rsidRPr="00EF4F64">
          <w:rPr>
            <w:rStyle w:val="af5"/>
            <w:u w:val="none"/>
          </w:rPr>
          <w:t>en</w:t>
        </w:r>
        <w:proofErr w:type="spellEnd"/>
      </w:hyperlink>
      <w:r w:rsidRPr="00EF4F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7BE5" w14:textId="77777777" w:rsidR="00056632" w:rsidRDefault="00491CB3" w:rsidP="00491CB3">
    <w:pPr>
      <w:pStyle w:val="af3"/>
    </w:pPr>
    <w:proofErr w:type="spellStart"/>
    <w:r>
      <w:t>CERD</w:t>
    </w:r>
    <w:proofErr w:type="spellEnd"/>
    <w:r>
      <w:t>/C/505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BD7" w14:textId="77777777" w:rsidR="00056632" w:rsidRPr="00202A30" w:rsidRDefault="00491CB3" w:rsidP="00491CB3">
    <w:pPr>
      <w:pStyle w:val="af3"/>
      <w:jc w:val="right"/>
    </w:pPr>
    <w:proofErr w:type="spellStart"/>
    <w:r>
      <w:t>CERD</w:t>
    </w:r>
    <w:proofErr w:type="spellEnd"/>
    <w:r>
      <w:t>/C/505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BC"/>
    <w:rsid w:val="00011483"/>
    <w:rsid w:val="000152A7"/>
    <w:rsid w:val="0005125D"/>
    <w:rsid w:val="0007509A"/>
    <w:rsid w:val="000A1F5E"/>
    <w:rsid w:val="000D319F"/>
    <w:rsid w:val="000E4D0E"/>
    <w:rsid w:val="000F097B"/>
    <w:rsid w:val="001110C9"/>
    <w:rsid w:val="00126360"/>
    <w:rsid w:val="00133EF4"/>
    <w:rsid w:val="00144B69"/>
    <w:rsid w:val="001456BC"/>
    <w:rsid w:val="001535DB"/>
    <w:rsid w:val="00153E86"/>
    <w:rsid w:val="001635B2"/>
    <w:rsid w:val="001B1BD1"/>
    <w:rsid w:val="001C3EF2"/>
    <w:rsid w:val="001D17F6"/>
    <w:rsid w:val="00204B42"/>
    <w:rsid w:val="0021248C"/>
    <w:rsid w:val="0021265F"/>
    <w:rsid w:val="002231C3"/>
    <w:rsid w:val="0024417F"/>
    <w:rsid w:val="00250F8D"/>
    <w:rsid w:val="0025129E"/>
    <w:rsid w:val="002D5B34"/>
    <w:rsid w:val="002E16F3"/>
    <w:rsid w:val="002E1C97"/>
    <w:rsid w:val="002E742B"/>
    <w:rsid w:val="002F5834"/>
    <w:rsid w:val="003006AB"/>
    <w:rsid w:val="00313D7B"/>
    <w:rsid w:val="00326EBF"/>
    <w:rsid w:val="00327FE4"/>
    <w:rsid w:val="00376AC4"/>
    <w:rsid w:val="003838DB"/>
    <w:rsid w:val="003C2455"/>
    <w:rsid w:val="003D4013"/>
    <w:rsid w:val="003D5050"/>
    <w:rsid w:val="00427F63"/>
    <w:rsid w:val="00434D38"/>
    <w:rsid w:val="004708D0"/>
    <w:rsid w:val="00491CB3"/>
    <w:rsid w:val="00494EB8"/>
    <w:rsid w:val="004B6B8B"/>
    <w:rsid w:val="004C4A0A"/>
    <w:rsid w:val="004D3D5E"/>
    <w:rsid w:val="00501220"/>
    <w:rsid w:val="0050403D"/>
    <w:rsid w:val="00531F42"/>
    <w:rsid w:val="00561427"/>
    <w:rsid w:val="005D043E"/>
    <w:rsid w:val="005D2748"/>
    <w:rsid w:val="005E403A"/>
    <w:rsid w:val="005F5348"/>
    <w:rsid w:val="006173D7"/>
    <w:rsid w:val="00644081"/>
    <w:rsid w:val="006621F5"/>
    <w:rsid w:val="0067651B"/>
    <w:rsid w:val="00680656"/>
    <w:rsid w:val="00684327"/>
    <w:rsid w:val="006A5B43"/>
    <w:rsid w:val="006B1119"/>
    <w:rsid w:val="006B5316"/>
    <w:rsid w:val="006D1FBC"/>
    <w:rsid w:val="006E0D5F"/>
    <w:rsid w:val="006E3E46"/>
    <w:rsid w:val="006E71B1"/>
    <w:rsid w:val="006F1404"/>
    <w:rsid w:val="006F3BEF"/>
    <w:rsid w:val="0070593B"/>
    <w:rsid w:val="00705D89"/>
    <w:rsid w:val="007235B7"/>
    <w:rsid w:val="00731A42"/>
    <w:rsid w:val="00750947"/>
    <w:rsid w:val="00767E69"/>
    <w:rsid w:val="0077079A"/>
    <w:rsid w:val="007A5599"/>
    <w:rsid w:val="007B54B9"/>
    <w:rsid w:val="007D2139"/>
    <w:rsid w:val="007D2CD7"/>
    <w:rsid w:val="007F4F27"/>
    <w:rsid w:val="008045E4"/>
    <w:rsid w:val="00806D29"/>
    <w:rsid w:val="00845F45"/>
    <w:rsid w:val="00856233"/>
    <w:rsid w:val="00860F27"/>
    <w:rsid w:val="00863729"/>
    <w:rsid w:val="00886495"/>
    <w:rsid w:val="00897EFD"/>
    <w:rsid w:val="008B0560"/>
    <w:rsid w:val="008B2BFA"/>
    <w:rsid w:val="008C6244"/>
    <w:rsid w:val="008E158F"/>
    <w:rsid w:val="008E6A3F"/>
    <w:rsid w:val="00901FE7"/>
    <w:rsid w:val="00936930"/>
    <w:rsid w:val="00936F03"/>
    <w:rsid w:val="00943B69"/>
    <w:rsid w:val="00944CB3"/>
    <w:rsid w:val="00986624"/>
    <w:rsid w:val="009A0BBA"/>
    <w:rsid w:val="009A5741"/>
    <w:rsid w:val="009B09D7"/>
    <w:rsid w:val="009D35ED"/>
    <w:rsid w:val="009D3F2F"/>
    <w:rsid w:val="009F422E"/>
    <w:rsid w:val="009F6D3F"/>
    <w:rsid w:val="00A03CB6"/>
    <w:rsid w:val="00A1364C"/>
    <w:rsid w:val="00A21076"/>
    <w:rsid w:val="00A34CAD"/>
    <w:rsid w:val="00A3739A"/>
    <w:rsid w:val="00A52DAF"/>
    <w:rsid w:val="00A550DA"/>
    <w:rsid w:val="00A6295D"/>
    <w:rsid w:val="00A66C07"/>
    <w:rsid w:val="00A84072"/>
    <w:rsid w:val="00A9461C"/>
    <w:rsid w:val="00AA728C"/>
    <w:rsid w:val="00AB2D1F"/>
    <w:rsid w:val="00AE324F"/>
    <w:rsid w:val="00B16570"/>
    <w:rsid w:val="00B23B03"/>
    <w:rsid w:val="00B25048"/>
    <w:rsid w:val="00B43EB7"/>
    <w:rsid w:val="00B53320"/>
    <w:rsid w:val="00B73449"/>
    <w:rsid w:val="00B812C5"/>
    <w:rsid w:val="00B95E5C"/>
    <w:rsid w:val="00BC6522"/>
    <w:rsid w:val="00BF520F"/>
    <w:rsid w:val="00C121D5"/>
    <w:rsid w:val="00C17349"/>
    <w:rsid w:val="00C351AA"/>
    <w:rsid w:val="00C7253F"/>
    <w:rsid w:val="00C848D1"/>
    <w:rsid w:val="00CA5866"/>
    <w:rsid w:val="00CF6941"/>
    <w:rsid w:val="00D01DCD"/>
    <w:rsid w:val="00D26A05"/>
    <w:rsid w:val="00D43327"/>
    <w:rsid w:val="00D55BDF"/>
    <w:rsid w:val="00D81919"/>
    <w:rsid w:val="00D97B98"/>
    <w:rsid w:val="00DC671F"/>
    <w:rsid w:val="00DE4DA7"/>
    <w:rsid w:val="00E07C86"/>
    <w:rsid w:val="00E27E6B"/>
    <w:rsid w:val="00E33B38"/>
    <w:rsid w:val="00E47FE5"/>
    <w:rsid w:val="00E574AF"/>
    <w:rsid w:val="00E60353"/>
    <w:rsid w:val="00E628C4"/>
    <w:rsid w:val="00E74A10"/>
    <w:rsid w:val="00ED09A7"/>
    <w:rsid w:val="00EF4F64"/>
    <w:rsid w:val="00F1374A"/>
    <w:rsid w:val="00F24E6D"/>
    <w:rsid w:val="00F714DA"/>
    <w:rsid w:val="00F95E00"/>
    <w:rsid w:val="00FB262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5D9DC"/>
  <w15:docId w15:val="{DBA34F38-735F-407F-9C62-0A43ACF9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1535DB"/>
    <w:rPr>
      <w:color w:val="0000FF" w:themeColor="hyperlink"/>
      <w:u w:val="single"/>
    </w:rPr>
  </w:style>
  <w:style w:type="character" w:styleId="af6">
    <w:name w:val="Unresolved Mention"/>
    <w:basedOn w:val="a0"/>
    <w:uiPriority w:val="99"/>
    <w:semiHidden/>
    <w:unhideWhenUsed/>
    <w:rsid w:val="0015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RD%2fRLE%2f9029&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3601</Words>
  <Characters>3729</Characters>
  <Application>Microsoft Office Word</Application>
  <DocSecurity>0</DocSecurity>
  <Lines>140</Lines>
  <Paragraphs>53</Paragraphs>
  <ScaleCrop>false</ScaleCrop>
  <Company>DCM</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CERD/C/505</dc:title>
  <dc:subject>2208410</dc:subject>
  <dc:creator>Xu</dc:creator>
  <cp:keywords/>
  <dc:description/>
  <cp:lastModifiedBy>Xiaoqing Yang</cp:lastModifiedBy>
  <cp:revision>2</cp:revision>
  <cp:lastPrinted>2014-05-09T11:28:00Z</cp:lastPrinted>
  <dcterms:created xsi:type="dcterms:W3CDTF">2022-09-26T14:11:00Z</dcterms:created>
  <dcterms:modified xsi:type="dcterms:W3CDTF">2022-09-26T14:11:00Z</dcterms:modified>
</cp:coreProperties>
</file>