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E61E1C" w:rsidTr="00A70FFD">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E61E1C" w:rsidRDefault="00297B00" w:rsidP="00A56EA8">
            <w:pPr>
              <w:spacing w:after="80" w:line="300" w:lineRule="exact"/>
              <w:rPr>
                <w:sz w:val="28"/>
              </w:rPr>
            </w:pPr>
            <w:r w:rsidRPr="00E61E1C">
              <w:rPr>
                <w:sz w:val="28"/>
              </w:rPr>
              <w:t>Nations Unies</w:t>
            </w:r>
          </w:p>
        </w:tc>
        <w:tc>
          <w:tcPr>
            <w:tcW w:w="6095" w:type="dxa"/>
            <w:gridSpan w:val="2"/>
            <w:tcBorders>
              <w:bottom w:val="single" w:sz="4" w:space="0" w:color="auto"/>
            </w:tcBorders>
            <w:vAlign w:val="bottom"/>
          </w:tcPr>
          <w:p w:rsidR="00297B00" w:rsidRPr="00E61E1C" w:rsidRDefault="00A70FFD" w:rsidP="00A8795E">
            <w:pPr>
              <w:jc w:val="right"/>
            </w:pPr>
            <w:r w:rsidRPr="00E61E1C">
              <w:rPr>
                <w:sz w:val="40"/>
              </w:rPr>
              <w:t>CAT</w:t>
            </w:r>
            <w:r w:rsidR="00BC2105" w:rsidRPr="00E61E1C">
              <w:t>/C/</w:t>
            </w:r>
            <w:r w:rsidR="00600385" w:rsidRPr="00E61E1C">
              <w:t>MCO</w:t>
            </w:r>
            <w:r w:rsidRPr="00E61E1C">
              <w:t>/QPR/</w:t>
            </w:r>
            <w:r w:rsidR="00600385" w:rsidRPr="00E61E1C">
              <w:t>6</w:t>
            </w:r>
          </w:p>
        </w:tc>
      </w:tr>
      <w:tr w:rsidR="00297B00" w:rsidRPr="00E61E1C" w:rsidTr="00A56EA8">
        <w:trPr>
          <w:trHeight w:hRule="exact" w:val="2835"/>
        </w:trPr>
        <w:tc>
          <w:tcPr>
            <w:tcW w:w="1276" w:type="dxa"/>
            <w:tcBorders>
              <w:top w:val="single" w:sz="4" w:space="0" w:color="auto"/>
              <w:bottom w:val="single" w:sz="12" w:space="0" w:color="auto"/>
            </w:tcBorders>
          </w:tcPr>
          <w:p w:rsidR="00297B00" w:rsidRPr="00E61E1C" w:rsidRDefault="00711A47" w:rsidP="00A56EA8">
            <w:pPr>
              <w:spacing w:before="120"/>
              <w:jc w:val="center"/>
            </w:pPr>
            <w:r w:rsidRPr="00E61E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E61E1C" w:rsidRDefault="00297B00" w:rsidP="00A56EA8">
            <w:pPr>
              <w:spacing w:before="120" w:line="380" w:lineRule="exact"/>
              <w:rPr>
                <w:b/>
                <w:sz w:val="40"/>
                <w:szCs w:val="40"/>
              </w:rPr>
            </w:pPr>
            <w:r w:rsidRPr="00E61E1C">
              <w:rPr>
                <w:b/>
                <w:sz w:val="34"/>
                <w:szCs w:val="34"/>
              </w:rPr>
              <w:t>Convention contre</w:t>
            </w:r>
            <w:r w:rsidRPr="00E61E1C">
              <w:rPr>
                <w:b/>
                <w:sz w:val="34"/>
                <w:szCs w:val="34"/>
              </w:rPr>
              <w:br/>
              <w:t>la torture et autres peines</w:t>
            </w:r>
            <w:r w:rsidRPr="00E61E1C">
              <w:rPr>
                <w:b/>
                <w:sz w:val="34"/>
                <w:szCs w:val="34"/>
              </w:rPr>
              <w:br/>
              <w:t>ou traitements cruels,</w:t>
            </w:r>
            <w:r w:rsidRPr="00E61E1C">
              <w:rPr>
                <w:b/>
                <w:sz w:val="34"/>
                <w:szCs w:val="34"/>
              </w:rPr>
              <w:br/>
              <w:t>inhumains ou dégradants</w:t>
            </w:r>
          </w:p>
        </w:tc>
        <w:tc>
          <w:tcPr>
            <w:tcW w:w="2835" w:type="dxa"/>
            <w:tcBorders>
              <w:top w:val="single" w:sz="4" w:space="0" w:color="auto"/>
              <w:bottom w:val="single" w:sz="12" w:space="0" w:color="auto"/>
            </w:tcBorders>
          </w:tcPr>
          <w:p w:rsidR="00297B00" w:rsidRPr="00E61E1C" w:rsidRDefault="00A70FFD" w:rsidP="00A56EA8">
            <w:pPr>
              <w:spacing w:before="240"/>
            </w:pPr>
            <w:r w:rsidRPr="00E61E1C">
              <w:t xml:space="preserve">Distr. </w:t>
            </w:r>
            <w:r w:rsidR="00A8795E" w:rsidRPr="00E61E1C">
              <w:t>générale</w:t>
            </w:r>
          </w:p>
          <w:p w:rsidR="00A70FFD" w:rsidRPr="00E61E1C" w:rsidRDefault="00947667" w:rsidP="0091596B">
            <w:pPr>
              <w:spacing w:line="240" w:lineRule="exact"/>
            </w:pPr>
            <w:r w:rsidRPr="00E61E1C">
              <w:t>1</w:t>
            </w:r>
            <w:r w:rsidR="002414AC">
              <w:t>5</w:t>
            </w:r>
            <w:r w:rsidR="00A8795E" w:rsidRPr="00E61E1C">
              <w:t xml:space="preserve"> jui</w:t>
            </w:r>
            <w:r w:rsidR="00912A93" w:rsidRPr="00E61E1C">
              <w:t>llet</w:t>
            </w:r>
            <w:r w:rsidR="00A70FFD" w:rsidRPr="00E61E1C">
              <w:t xml:space="preserve"> 2013</w:t>
            </w:r>
          </w:p>
          <w:p w:rsidR="00A70FFD" w:rsidRPr="00E61E1C" w:rsidRDefault="00A70FFD" w:rsidP="00A70FFD">
            <w:pPr>
              <w:spacing w:line="240" w:lineRule="exact"/>
            </w:pPr>
          </w:p>
          <w:p w:rsidR="00A70FFD" w:rsidRPr="00E61E1C" w:rsidRDefault="00A70FFD" w:rsidP="00A70FFD">
            <w:pPr>
              <w:spacing w:line="240" w:lineRule="exact"/>
            </w:pPr>
            <w:r w:rsidRPr="00E61E1C">
              <w:t xml:space="preserve">Original: français </w:t>
            </w:r>
          </w:p>
        </w:tc>
      </w:tr>
    </w:tbl>
    <w:p w:rsidR="00A70FFD" w:rsidRPr="00E61E1C" w:rsidRDefault="00A70FFD" w:rsidP="00A70FFD">
      <w:pPr>
        <w:rPr>
          <w:b/>
          <w:sz w:val="24"/>
          <w:szCs w:val="24"/>
        </w:rPr>
      </w:pPr>
      <w:r w:rsidRPr="00E61E1C">
        <w:rPr>
          <w:b/>
          <w:sz w:val="24"/>
          <w:szCs w:val="24"/>
        </w:rPr>
        <w:t>Comité contre la torture</w:t>
      </w:r>
    </w:p>
    <w:p w:rsidR="00105190" w:rsidRPr="00E61E1C" w:rsidRDefault="00A70FFD" w:rsidP="000A04AB">
      <w:pPr>
        <w:pStyle w:val="HChG"/>
        <w:rPr>
          <w:lang w:val="fr-FR"/>
        </w:rPr>
      </w:pPr>
      <w:r w:rsidRPr="00E61E1C">
        <w:tab/>
      </w:r>
      <w:r w:rsidRPr="00E61E1C">
        <w:tab/>
      </w:r>
      <w:r w:rsidR="00105190" w:rsidRPr="00E61E1C">
        <w:rPr>
          <w:lang w:val="fr-FR"/>
        </w:rPr>
        <w:t xml:space="preserve">Liste des </w:t>
      </w:r>
      <w:r w:rsidR="00105190" w:rsidRPr="00E61E1C">
        <w:t>points</w:t>
      </w:r>
      <w:r w:rsidR="00105190" w:rsidRPr="00E61E1C">
        <w:rPr>
          <w:lang w:val="fr-FR"/>
        </w:rPr>
        <w:t xml:space="preserve"> à traiter établie avant la soumission du sixième rapport périodique de Monaco</w:t>
      </w:r>
      <w:r w:rsidR="00A8795E" w:rsidRPr="00E61E1C">
        <w:rPr>
          <w:lang w:val="fr-FR"/>
        </w:rPr>
        <w:t xml:space="preserve">, adoptée par le Comité </w:t>
      </w:r>
      <w:r w:rsidR="000A04AB" w:rsidRPr="00E61E1C">
        <w:rPr>
          <w:lang w:val="fr-FR"/>
        </w:rPr>
        <w:t>à</w:t>
      </w:r>
      <w:r w:rsidR="00A8795E" w:rsidRPr="00E61E1C">
        <w:rPr>
          <w:lang w:val="fr-FR"/>
        </w:rPr>
        <w:t xml:space="preserve"> sa cinquantième session (6-31 mai 2013)</w:t>
      </w:r>
    </w:p>
    <w:p w:rsidR="007D2D21" w:rsidRDefault="00E532B5" w:rsidP="007D2D21">
      <w:pPr>
        <w:pStyle w:val="SingleTxtG"/>
        <w:rPr>
          <w:lang w:val="fr-FR"/>
        </w:rPr>
      </w:pPr>
      <w:r w:rsidRPr="00E61E1C">
        <w:rPr>
          <w:lang w:val="fr-FR"/>
        </w:rPr>
        <w:t>À sa trente-huitième session (A/62/44, par. 23 et 24), l</w:t>
      </w:r>
      <w:r w:rsidR="00105190" w:rsidRPr="00E61E1C">
        <w:rPr>
          <w:lang w:val="fr-FR"/>
        </w:rPr>
        <w:t xml:space="preserve">e Comité contre la torture a </w:t>
      </w:r>
      <w:r w:rsidRPr="00E61E1C">
        <w:rPr>
          <w:lang w:val="fr-FR"/>
        </w:rPr>
        <w:t xml:space="preserve">mis en place </w:t>
      </w:r>
      <w:r w:rsidR="00105190" w:rsidRPr="00E61E1C">
        <w:rPr>
          <w:lang w:val="fr-FR"/>
        </w:rPr>
        <w:t>une nouvelle procédure facultative</w:t>
      </w:r>
      <w:r w:rsidRPr="00E61E1C">
        <w:rPr>
          <w:lang w:val="fr-FR"/>
        </w:rPr>
        <w:t>,</w:t>
      </w:r>
      <w:r w:rsidR="00105190" w:rsidRPr="00E61E1C">
        <w:rPr>
          <w:lang w:val="fr-FR"/>
        </w:rPr>
        <w:t xml:space="preserve"> qui consiste </w:t>
      </w:r>
      <w:r w:rsidRPr="00E61E1C">
        <w:rPr>
          <w:lang w:val="fr-FR"/>
        </w:rPr>
        <w:t xml:space="preserve">à élaborer </w:t>
      </w:r>
      <w:r w:rsidR="00105190" w:rsidRPr="00E61E1C">
        <w:rPr>
          <w:lang w:val="fr-FR"/>
        </w:rPr>
        <w:t>et adopt</w:t>
      </w:r>
      <w:r w:rsidRPr="00E61E1C">
        <w:rPr>
          <w:lang w:val="fr-FR"/>
        </w:rPr>
        <w:t xml:space="preserve">er </w:t>
      </w:r>
      <w:r w:rsidR="00105190" w:rsidRPr="00E61E1C">
        <w:rPr>
          <w:lang w:val="fr-FR"/>
        </w:rPr>
        <w:t>de</w:t>
      </w:r>
      <w:r w:rsidRPr="00E61E1C">
        <w:rPr>
          <w:lang w:val="fr-FR"/>
        </w:rPr>
        <w:t>s</w:t>
      </w:r>
      <w:r w:rsidR="00105190" w:rsidRPr="00E61E1C">
        <w:rPr>
          <w:lang w:val="fr-FR"/>
        </w:rPr>
        <w:t xml:space="preserve"> liste</w:t>
      </w:r>
      <w:r w:rsidR="00927BA2" w:rsidRPr="00E61E1C">
        <w:rPr>
          <w:lang w:val="fr-FR"/>
        </w:rPr>
        <w:t>s</w:t>
      </w:r>
      <w:r w:rsidR="00E75E48" w:rsidRPr="00E61E1C">
        <w:rPr>
          <w:lang w:val="fr-FR"/>
        </w:rPr>
        <w:t xml:space="preserve"> de</w:t>
      </w:r>
      <w:r w:rsidR="00105190" w:rsidRPr="00E61E1C">
        <w:rPr>
          <w:lang w:val="fr-FR"/>
        </w:rPr>
        <w:t xml:space="preserve"> </w:t>
      </w:r>
      <w:r w:rsidRPr="00E61E1C">
        <w:rPr>
          <w:lang w:val="fr-FR"/>
        </w:rPr>
        <w:t xml:space="preserve">points et </w:t>
      </w:r>
      <w:r w:rsidR="00105190" w:rsidRPr="00E61E1C">
        <w:rPr>
          <w:lang w:val="fr-FR"/>
        </w:rPr>
        <w:t xml:space="preserve">à </w:t>
      </w:r>
      <w:r w:rsidRPr="00E61E1C">
        <w:rPr>
          <w:lang w:val="fr-FR"/>
        </w:rPr>
        <w:t xml:space="preserve">les </w:t>
      </w:r>
      <w:r w:rsidR="00105190" w:rsidRPr="00E61E1C">
        <w:rPr>
          <w:lang w:val="fr-FR"/>
        </w:rPr>
        <w:t xml:space="preserve">transmettre aux États parties avant </w:t>
      </w:r>
      <w:r w:rsidRPr="00E61E1C">
        <w:rPr>
          <w:lang w:val="fr-FR"/>
        </w:rPr>
        <w:t xml:space="preserve">que ceux-ci ne soumettent </w:t>
      </w:r>
      <w:r w:rsidR="00105190" w:rsidRPr="00E61E1C">
        <w:rPr>
          <w:lang w:val="fr-FR"/>
        </w:rPr>
        <w:t xml:space="preserve">le rapport périodique </w:t>
      </w:r>
      <w:r w:rsidRPr="00E61E1C">
        <w:rPr>
          <w:lang w:val="fr-FR"/>
        </w:rPr>
        <w:t>attendu</w:t>
      </w:r>
      <w:r w:rsidR="00105190" w:rsidRPr="00E61E1C">
        <w:rPr>
          <w:lang w:val="fr-FR"/>
        </w:rPr>
        <w:t xml:space="preserve">. Les réponses à cette liste constitueront le rapport </w:t>
      </w:r>
      <w:r w:rsidRPr="00E61E1C">
        <w:rPr>
          <w:lang w:val="fr-FR"/>
        </w:rPr>
        <w:t xml:space="preserve">de l’État partie au titre de </w:t>
      </w:r>
      <w:r w:rsidR="00105190" w:rsidRPr="00E61E1C">
        <w:rPr>
          <w:lang w:val="fr-FR"/>
        </w:rPr>
        <w:t>l</w:t>
      </w:r>
      <w:r w:rsidR="007F35DF" w:rsidRPr="00E61E1C">
        <w:t>’</w:t>
      </w:r>
      <w:r w:rsidR="00105190" w:rsidRPr="00E61E1C">
        <w:rPr>
          <w:lang w:val="fr-FR"/>
        </w:rPr>
        <w:t>article</w:t>
      </w:r>
      <w:r w:rsidR="007C3786" w:rsidRPr="00E61E1C">
        <w:rPr>
          <w:lang w:val="fr-FR"/>
        </w:rPr>
        <w:t> </w:t>
      </w:r>
      <w:r w:rsidR="00105190" w:rsidRPr="00E61E1C">
        <w:rPr>
          <w:lang w:val="fr-FR"/>
        </w:rPr>
        <w:t>19 de la Convention.</w:t>
      </w:r>
      <w:r w:rsidR="00A8795E" w:rsidRPr="00E61E1C">
        <w:rPr>
          <w:lang w:val="fr-FR"/>
        </w:rPr>
        <w:t xml:space="preserve"> </w:t>
      </w:r>
    </w:p>
    <w:p w:rsidR="00105190" w:rsidRPr="00E61E1C" w:rsidRDefault="002414AC" w:rsidP="002414AC">
      <w:pPr>
        <w:pStyle w:val="H23G"/>
      </w:pPr>
      <w:r>
        <w:rPr>
          <w:lang w:val="fr-FR"/>
        </w:rPr>
        <w:br w:type="page"/>
      </w:r>
      <w:r>
        <w:rPr>
          <w:lang w:val="fr-FR"/>
        </w:rPr>
        <w:tab/>
      </w:r>
      <w:r>
        <w:rPr>
          <w:lang w:val="fr-FR"/>
        </w:rPr>
        <w:tab/>
      </w:r>
      <w:r w:rsidR="00105190" w:rsidRPr="00E61E1C">
        <w:t xml:space="preserve">Article </w:t>
      </w:r>
      <w:r w:rsidR="00953920" w:rsidRPr="00E61E1C">
        <w:t>premier</w:t>
      </w:r>
    </w:p>
    <w:p w:rsidR="00105190" w:rsidRPr="00E61E1C" w:rsidRDefault="00105190" w:rsidP="004B4AF6">
      <w:pPr>
        <w:spacing w:after="120"/>
        <w:ind w:left="1134" w:right="1134"/>
        <w:jc w:val="both"/>
        <w:rPr>
          <w:lang w:eastAsia="es-ES"/>
        </w:rPr>
      </w:pPr>
      <w:r w:rsidRPr="00E61E1C">
        <w:rPr>
          <w:lang w:eastAsia="es-ES"/>
        </w:rPr>
        <w:t>1.</w:t>
      </w:r>
      <w:r w:rsidRPr="00E61E1C">
        <w:rPr>
          <w:lang w:eastAsia="es-ES"/>
        </w:rPr>
        <w:tab/>
        <w:t>Compte tenu des précédentes observations finales du Comité</w:t>
      </w:r>
      <w:r w:rsidRPr="00E61E1C">
        <w:rPr>
          <w:sz w:val="18"/>
          <w:vertAlign w:val="superscript"/>
          <w:lang w:eastAsia="es-ES"/>
        </w:rPr>
        <w:footnoteReference w:id="2"/>
      </w:r>
      <w:r w:rsidR="004B4AF6" w:rsidRPr="00E61E1C">
        <w:rPr>
          <w:lang w:eastAsia="es-ES"/>
        </w:rPr>
        <w:t xml:space="preserve"> (par. 7)</w:t>
      </w:r>
      <w:r w:rsidRPr="00E61E1C">
        <w:rPr>
          <w:lang w:eastAsia="es-ES"/>
        </w:rPr>
        <w:t>, donner des informations mises à jour sur l</w:t>
      </w:r>
      <w:r w:rsidR="00D25456" w:rsidRPr="00E61E1C">
        <w:rPr>
          <w:lang w:eastAsia="es-ES"/>
        </w:rPr>
        <w:t xml:space="preserve">eur </w:t>
      </w:r>
      <w:r w:rsidRPr="00E61E1C">
        <w:rPr>
          <w:lang w:eastAsia="es-ES"/>
        </w:rPr>
        <w:t xml:space="preserve">intégration dans la législation pénale. </w:t>
      </w:r>
      <w:r w:rsidR="006E2E79" w:rsidRPr="00E61E1C">
        <w:rPr>
          <w:lang w:eastAsia="es-ES"/>
        </w:rPr>
        <w:t>N</w:t>
      </w:r>
      <w:r w:rsidRPr="00E61E1C">
        <w:rPr>
          <w:lang w:eastAsia="es-ES"/>
        </w:rPr>
        <w:t xml:space="preserve">oter que la définition de la torture doit être strictement conforme à celle de l’article premier de la Convention. </w:t>
      </w:r>
    </w:p>
    <w:p w:rsidR="00105190" w:rsidRPr="00E61E1C" w:rsidRDefault="00105190" w:rsidP="00914350">
      <w:pPr>
        <w:pStyle w:val="H23G"/>
      </w:pPr>
      <w:r w:rsidRPr="00E61E1C">
        <w:tab/>
      </w:r>
      <w:r w:rsidRPr="00E61E1C">
        <w:tab/>
        <w:t>Article 2</w:t>
      </w:r>
      <w:r w:rsidRPr="00E61E1C">
        <w:rPr>
          <w:sz w:val="18"/>
          <w:vertAlign w:val="superscript"/>
        </w:rPr>
        <w:footnoteReference w:id="3"/>
      </w:r>
    </w:p>
    <w:p w:rsidR="00105190" w:rsidRPr="00E61E1C" w:rsidRDefault="00105190" w:rsidP="006E2E79">
      <w:pPr>
        <w:spacing w:after="120"/>
        <w:ind w:left="1134" w:right="1134"/>
        <w:jc w:val="both"/>
        <w:rPr>
          <w:lang w:eastAsia="es-ES"/>
        </w:rPr>
      </w:pPr>
      <w:r w:rsidRPr="00E61E1C">
        <w:rPr>
          <w:lang w:eastAsia="es-ES"/>
        </w:rPr>
        <w:t>2.</w:t>
      </w:r>
      <w:r w:rsidRPr="00E61E1C">
        <w:rPr>
          <w:lang w:eastAsia="es-ES"/>
        </w:rPr>
        <w:tab/>
      </w:r>
      <w:r w:rsidR="005546DB" w:rsidRPr="00E61E1C">
        <w:rPr>
          <w:lang w:eastAsia="es-ES"/>
        </w:rPr>
        <w:t>À</w:t>
      </w:r>
      <w:r w:rsidRPr="00E61E1C">
        <w:rPr>
          <w:lang w:eastAsia="es-ES"/>
        </w:rPr>
        <w:t xml:space="preserve"> la lumière des précédentes observations finales du Comité (par.</w:t>
      </w:r>
      <w:r w:rsidR="00D25456" w:rsidRPr="00E61E1C">
        <w:rPr>
          <w:lang w:eastAsia="es-ES"/>
        </w:rPr>
        <w:t> </w:t>
      </w:r>
      <w:r w:rsidRPr="00E61E1C">
        <w:rPr>
          <w:lang w:eastAsia="es-ES"/>
        </w:rPr>
        <w:t xml:space="preserve">8), indiquer si le Code pénal a été modifié pour inclure des dispositions spécifiques interdisant </w:t>
      </w:r>
      <w:r w:rsidR="00254AF1" w:rsidRPr="00E61E1C">
        <w:rPr>
          <w:lang w:eastAsia="es-ES"/>
        </w:rPr>
        <w:t xml:space="preserve">à </w:t>
      </w:r>
      <w:r w:rsidRPr="00E61E1C">
        <w:rPr>
          <w:lang w:eastAsia="es-ES"/>
        </w:rPr>
        <w:t xml:space="preserve">un prévenu d’invoquer des circonstances exceptionnelles ou l’ordre d’un supérieur pour justifier la torture. </w:t>
      </w:r>
      <w:r w:rsidR="006E2E79" w:rsidRPr="00E61E1C">
        <w:rPr>
          <w:lang w:eastAsia="es-ES"/>
        </w:rPr>
        <w:t>F</w:t>
      </w:r>
      <w:r w:rsidRPr="00E61E1C">
        <w:rPr>
          <w:lang w:eastAsia="es-ES"/>
        </w:rPr>
        <w:t>ournir des informations sur les mesures législatives, administratives, judiciaires et autres qui ont été prises pour empêcher des actes de torture, y compris celles prises dans le but de renforcer les garanties de protection en faveur d’un agent qui refuse d’exécuter l’ordre illégal donné par son supérieur hiérarchique.</w:t>
      </w:r>
    </w:p>
    <w:p w:rsidR="00105190" w:rsidRPr="00E61E1C" w:rsidRDefault="00105190" w:rsidP="003F7ADC">
      <w:pPr>
        <w:spacing w:after="120"/>
        <w:ind w:left="1134" w:right="1134"/>
        <w:jc w:val="both"/>
        <w:rPr>
          <w:lang w:eastAsia="es-ES"/>
        </w:rPr>
      </w:pPr>
      <w:r w:rsidRPr="00E61E1C">
        <w:rPr>
          <w:lang w:eastAsia="es-ES"/>
        </w:rPr>
        <w:t>3.</w:t>
      </w:r>
      <w:r w:rsidRPr="00E61E1C">
        <w:rPr>
          <w:lang w:eastAsia="es-ES"/>
        </w:rPr>
        <w:tab/>
        <w:t>Compte tenu des précédentes observations finales du Comité (par.</w:t>
      </w:r>
      <w:r w:rsidR="005546DB" w:rsidRPr="00E61E1C">
        <w:rPr>
          <w:lang w:eastAsia="es-ES"/>
        </w:rPr>
        <w:t> </w:t>
      </w:r>
      <w:r w:rsidRPr="00E61E1C">
        <w:rPr>
          <w:lang w:eastAsia="es-ES"/>
        </w:rPr>
        <w:t xml:space="preserve">11) et eu égard à la réponse </w:t>
      </w:r>
      <w:r w:rsidR="00283759" w:rsidRPr="00E61E1C">
        <w:rPr>
          <w:lang w:eastAsia="es-ES"/>
        </w:rPr>
        <w:t xml:space="preserve">de suivi </w:t>
      </w:r>
      <w:r w:rsidRPr="00E61E1C">
        <w:rPr>
          <w:lang w:eastAsia="es-ES"/>
        </w:rPr>
        <w:t>de l’</w:t>
      </w:r>
      <w:r w:rsidR="005546DB" w:rsidRPr="00E61E1C">
        <w:rPr>
          <w:lang w:val="fr-FR"/>
        </w:rPr>
        <w:t>É</w:t>
      </w:r>
      <w:r w:rsidRPr="00E61E1C">
        <w:rPr>
          <w:lang w:eastAsia="es-ES"/>
        </w:rPr>
        <w:t>tat partie</w:t>
      </w:r>
      <w:r w:rsidRPr="00E61E1C">
        <w:rPr>
          <w:sz w:val="18"/>
          <w:vertAlign w:val="superscript"/>
          <w:lang w:val="en-GB" w:eastAsia="es-ES"/>
        </w:rPr>
        <w:footnoteReference w:id="4"/>
      </w:r>
      <w:r w:rsidR="00283759" w:rsidRPr="00E61E1C">
        <w:rPr>
          <w:lang w:eastAsia="es-ES"/>
        </w:rPr>
        <w:t xml:space="preserve"> du 6 juin 2012</w:t>
      </w:r>
      <w:r w:rsidRPr="00E61E1C">
        <w:rPr>
          <w:lang w:eastAsia="es-ES"/>
        </w:rPr>
        <w:t xml:space="preserve">, </w:t>
      </w:r>
      <w:r w:rsidR="00283759" w:rsidRPr="00E61E1C">
        <w:rPr>
          <w:lang w:eastAsia="es-ES"/>
        </w:rPr>
        <w:t xml:space="preserve">décrire les mesures en place pour surveiller la mise en œuvre effective des dispositions de la </w:t>
      </w:r>
      <w:r w:rsidR="005546DB" w:rsidRPr="00E61E1C">
        <w:rPr>
          <w:lang w:eastAsia="es-ES"/>
        </w:rPr>
        <w:t>l</w:t>
      </w:r>
      <w:r w:rsidR="00283759" w:rsidRPr="00E61E1C">
        <w:rPr>
          <w:lang w:eastAsia="es-ES"/>
        </w:rPr>
        <w:t xml:space="preserve">oi </w:t>
      </w:r>
      <w:r w:rsidR="005546DB" w:rsidRPr="00E61E1C">
        <w:rPr>
          <w:lang w:eastAsia="es-ES"/>
        </w:rPr>
        <w:t>n°</w:t>
      </w:r>
      <w:r w:rsidR="00D25456" w:rsidRPr="00E61E1C">
        <w:rPr>
          <w:lang w:eastAsia="es-ES"/>
        </w:rPr>
        <w:t> </w:t>
      </w:r>
      <w:r w:rsidR="00283759" w:rsidRPr="00E61E1C">
        <w:rPr>
          <w:lang w:eastAsia="es-ES"/>
        </w:rPr>
        <w:t>1.382 du 20 juillet 2011</w:t>
      </w:r>
      <w:r w:rsidR="005546DB" w:rsidRPr="00E61E1C">
        <w:rPr>
          <w:lang w:eastAsia="es-ES"/>
        </w:rPr>
        <w:t xml:space="preserve"> </w:t>
      </w:r>
      <w:r w:rsidR="004E30D0" w:rsidRPr="00E61E1C">
        <w:rPr>
          <w:lang w:eastAsia="es-ES"/>
        </w:rPr>
        <w:t>relative</w:t>
      </w:r>
      <w:r w:rsidR="00283759" w:rsidRPr="00E61E1C">
        <w:rPr>
          <w:lang w:eastAsia="es-ES"/>
        </w:rPr>
        <w:t xml:space="preserve"> </w:t>
      </w:r>
      <w:r w:rsidR="004E30D0" w:rsidRPr="00E61E1C">
        <w:rPr>
          <w:lang w:eastAsia="es-ES"/>
        </w:rPr>
        <w:t xml:space="preserve">à </w:t>
      </w:r>
      <w:r w:rsidR="00283759" w:rsidRPr="00E61E1C">
        <w:rPr>
          <w:lang w:eastAsia="es-ES"/>
        </w:rPr>
        <w:t xml:space="preserve">la prévention et </w:t>
      </w:r>
      <w:r w:rsidR="004E30D0" w:rsidRPr="00E61E1C">
        <w:rPr>
          <w:lang w:eastAsia="es-ES"/>
        </w:rPr>
        <w:t xml:space="preserve">à </w:t>
      </w:r>
      <w:r w:rsidR="00283759" w:rsidRPr="00E61E1C">
        <w:rPr>
          <w:lang w:eastAsia="es-ES"/>
        </w:rPr>
        <w:t>la répression de</w:t>
      </w:r>
      <w:r w:rsidR="004E30D0" w:rsidRPr="00E61E1C">
        <w:rPr>
          <w:lang w:eastAsia="es-ES"/>
        </w:rPr>
        <w:t>s</w:t>
      </w:r>
      <w:r w:rsidR="00283759" w:rsidRPr="00E61E1C">
        <w:rPr>
          <w:lang w:eastAsia="es-ES"/>
        </w:rPr>
        <w:t xml:space="preserve"> violence</w:t>
      </w:r>
      <w:r w:rsidR="004E30D0" w:rsidRPr="00E61E1C">
        <w:rPr>
          <w:lang w:eastAsia="es-ES"/>
        </w:rPr>
        <w:t>s particulières</w:t>
      </w:r>
      <w:r w:rsidR="00283759" w:rsidRPr="00E61E1C">
        <w:rPr>
          <w:lang w:eastAsia="es-ES"/>
        </w:rPr>
        <w:t xml:space="preserve"> afin d’assurer l’efficacité de</w:t>
      </w:r>
      <w:r w:rsidR="00B10725" w:rsidRPr="00E61E1C">
        <w:rPr>
          <w:lang w:eastAsia="es-ES"/>
        </w:rPr>
        <w:t xml:space="preserve"> la </w:t>
      </w:r>
      <w:r w:rsidR="005546DB" w:rsidRPr="00E61E1C">
        <w:rPr>
          <w:lang w:eastAsia="es-ES"/>
        </w:rPr>
        <w:t>l</w:t>
      </w:r>
      <w:r w:rsidR="00B10725" w:rsidRPr="00E61E1C">
        <w:rPr>
          <w:lang w:eastAsia="es-ES"/>
        </w:rPr>
        <w:t xml:space="preserve">oi sur la prévention et la lutte contre la violence </w:t>
      </w:r>
      <w:r w:rsidR="007C13CB" w:rsidRPr="00E61E1C">
        <w:rPr>
          <w:lang w:eastAsia="es-ES"/>
        </w:rPr>
        <w:t>envers</w:t>
      </w:r>
      <w:r w:rsidR="00B10725" w:rsidRPr="00E61E1C">
        <w:rPr>
          <w:lang w:eastAsia="es-ES"/>
        </w:rPr>
        <w:t xml:space="preserve"> les femmes, les enfants et les personnes handicapées. </w:t>
      </w:r>
      <w:r w:rsidR="006E2E79" w:rsidRPr="00E61E1C">
        <w:rPr>
          <w:lang w:eastAsia="es-ES"/>
        </w:rPr>
        <w:t>I</w:t>
      </w:r>
      <w:r w:rsidR="00B10725" w:rsidRPr="00E61E1C">
        <w:rPr>
          <w:lang w:eastAsia="es-ES"/>
        </w:rPr>
        <w:t>ndiquer comment l’</w:t>
      </w:r>
      <w:r w:rsidR="005546DB" w:rsidRPr="00E61E1C">
        <w:rPr>
          <w:lang w:val="fr-FR"/>
        </w:rPr>
        <w:t>É</w:t>
      </w:r>
      <w:r w:rsidR="00B10725" w:rsidRPr="00E61E1C">
        <w:rPr>
          <w:lang w:eastAsia="es-ES"/>
        </w:rPr>
        <w:t>tat partie évalue l’e</w:t>
      </w:r>
      <w:r w:rsidR="005546DB" w:rsidRPr="00E61E1C">
        <w:rPr>
          <w:lang w:eastAsia="es-ES"/>
        </w:rPr>
        <w:t>f</w:t>
      </w:r>
      <w:r w:rsidR="00B10725" w:rsidRPr="00E61E1C">
        <w:rPr>
          <w:lang w:eastAsia="es-ES"/>
        </w:rPr>
        <w:t>ficacité d</w:t>
      </w:r>
      <w:r w:rsidR="007C13CB" w:rsidRPr="00E61E1C">
        <w:rPr>
          <w:lang w:eastAsia="es-ES"/>
        </w:rPr>
        <w:t>es</w:t>
      </w:r>
      <w:r w:rsidR="00B10725" w:rsidRPr="00E61E1C">
        <w:rPr>
          <w:lang w:eastAsia="es-ES"/>
        </w:rPr>
        <w:t xml:space="preserve"> programme</w:t>
      </w:r>
      <w:r w:rsidR="007C13CB" w:rsidRPr="00E61E1C">
        <w:rPr>
          <w:lang w:eastAsia="es-ES"/>
        </w:rPr>
        <w:t>s,</w:t>
      </w:r>
      <w:r w:rsidR="00B10725" w:rsidRPr="00E61E1C">
        <w:rPr>
          <w:lang w:eastAsia="es-ES"/>
        </w:rPr>
        <w:t xml:space="preserve"> </w:t>
      </w:r>
      <w:r w:rsidR="007C13CB" w:rsidRPr="00E61E1C">
        <w:rPr>
          <w:lang w:eastAsia="es-ES"/>
        </w:rPr>
        <w:t>prévus par la loi,</w:t>
      </w:r>
      <w:r w:rsidR="007C13CB" w:rsidRPr="00E61E1C" w:rsidDel="007C13CB">
        <w:rPr>
          <w:lang w:eastAsia="es-ES"/>
        </w:rPr>
        <w:t xml:space="preserve"> </w:t>
      </w:r>
      <w:r w:rsidR="00B10725" w:rsidRPr="00E61E1C">
        <w:rPr>
          <w:lang w:eastAsia="es-ES"/>
        </w:rPr>
        <w:t xml:space="preserve">de sensibilisation et de formation </w:t>
      </w:r>
      <w:r w:rsidR="007C13CB" w:rsidRPr="00E61E1C">
        <w:rPr>
          <w:lang w:eastAsia="es-ES"/>
        </w:rPr>
        <w:t>d</w:t>
      </w:r>
      <w:r w:rsidR="00B10725" w:rsidRPr="00E61E1C">
        <w:rPr>
          <w:lang w:eastAsia="es-ES"/>
        </w:rPr>
        <w:t>es</w:t>
      </w:r>
      <w:r w:rsidR="007C13CB" w:rsidRPr="00E61E1C">
        <w:rPr>
          <w:lang w:eastAsia="es-ES"/>
        </w:rPr>
        <w:t>tinés aux</w:t>
      </w:r>
      <w:r w:rsidR="00B10725" w:rsidRPr="00E61E1C">
        <w:rPr>
          <w:lang w:eastAsia="es-ES"/>
        </w:rPr>
        <w:t xml:space="preserve"> professionnels sur l’identification et l’aide aux victimes de violen</w:t>
      </w:r>
      <w:r w:rsidR="00C017A8" w:rsidRPr="00E61E1C">
        <w:rPr>
          <w:lang w:eastAsia="es-ES"/>
        </w:rPr>
        <w:t xml:space="preserve">ce domestique. </w:t>
      </w:r>
      <w:r w:rsidR="006E2E79" w:rsidRPr="00E61E1C">
        <w:rPr>
          <w:lang w:eastAsia="es-ES"/>
        </w:rPr>
        <w:t>F</w:t>
      </w:r>
      <w:r w:rsidR="00C017A8" w:rsidRPr="00E61E1C">
        <w:rPr>
          <w:lang w:eastAsia="es-ES"/>
        </w:rPr>
        <w:t xml:space="preserve">ournir </w:t>
      </w:r>
      <w:r w:rsidR="006E2E79" w:rsidRPr="00E61E1C">
        <w:rPr>
          <w:lang w:eastAsia="es-ES"/>
        </w:rPr>
        <w:t xml:space="preserve">également </w:t>
      </w:r>
      <w:r w:rsidR="00C017A8" w:rsidRPr="00E61E1C">
        <w:rPr>
          <w:lang w:eastAsia="es-ES"/>
        </w:rPr>
        <w:t xml:space="preserve">des données sur l’application des sanctions accrues pour violence domestique prévue par la </w:t>
      </w:r>
      <w:r w:rsidR="005546DB" w:rsidRPr="00E61E1C">
        <w:rPr>
          <w:lang w:eastAsia="es-ES"/>
        </w:rPr>
        <w:t>l</w:t>
      </w:r>
      <w:r w:rsidR="00C017A8" w:rsidRPr="00E61E1C">
        <w:rPr>
          <w:lang w:eastAsia="es-ES"/>
        </w:rPr>
        <w:t xml:space="preserve">oi, ainsi que sur l’application de la </w:t>
      </w:r>
      <w:r w:rsidR="005546DB" w:rsidRPr="00E61E1C">
        <w:rPr>
          <w:lang w:eastAsia="es-ES"/>
        </w:rPr>
        <w:t>l</w:t>
      </w:r>
      <w:r w:rsidR="00C017A8" w:rsidRPr="00E61E1C">
        <w:rPr>
          <w:lang w:eastAsia="es-ES"/>
        </w:rPr>
        <w:t xml:space="preserve">oi </w:t>
      </w:r>
      <w:r w:rsidR="005546DB" w:rsidRPr="00E61E1C">
        <w:rPr>
          <w:lang w:eastAsia="es-ES"/>
        </w:rPr>
        <w:t>n° </w:t>
      </w:r>
      <w:r w:rsidR="00C017A8" w:rsidRPr="00E61E1C">
        <w:rPr>
          <w:lang w:eastAsia="es-ES"/>
        </w:rPr>
        <w:t>1.344</w:t>
      </w:r>
      <w:r w:rsidR="00B10725" w:rsidRPr="00E61E1C">
        <w:rPr>
          <w:lang w:eastAsia="es-ES"/>
        </w:rPr>
        <w:t xml:space="preserve"> </w:t>
      </w:r>
      <w:r w:rsidR="00C017A8" w:rsidRPr="00E61E1C">
        <w:rPr>
          <w:lang w:eastAsia="es-ES"/>
        </w:rPr>
        <w:t>du 26</w:t>
      </w:r>
      <w:r w:rsidR="00BE2C8A" w:rsidRPr="00E61E1C">
        <w:rPr>
          <w:lang w:eastAsia="es-ES"/>
        </w:rPr>
        <w:t> </w:t>
      </w:r>
      <w:r w:rsidR="00C017A8" w:rsidRPr="00E61E1C">
        <w:rPr>
          <w:lang w:eastAsia="es-ES"/>
        </w:rPr>
        <w:t xml:space="preserve">décembre 2007 </w:t>
      </w:r>
      <w:r w:rsidR="004E30D0" w:rsidRPr="00E61E1C">
        <w:rPr>
          <w:lang w:eastAsia="es-ES"/>
        </w:rPr>
        <w:t xml:space="preserve">relative au renforcement de la répression des crimes et délits </w:t>
      </w:r>
      <w:r w:rsidR="00C017A8" w:rsidRPr="00E61E1C">
        <w:rPr>
          <w:lang w:eastAsia="es-ES"/>
        </w:rPr>
        <w:t>contre l</w:t>
      </w:r>
      <w:r w:rsidR="004E30D0" w:rsidRPr="00E61E1C">
        <w:rPr>
          <w:lang w:eastAsia="es-ES"/>
        </w:rPr>
        <w:t>’</w:t>
      </w:r>
      <w:r w:rsidR="00C017A8" w:rsidRPr="00E61E1C">
        <w:rPr>
          <w:lang w:eastAsia="es-ES"/>
        </w:rPr>
        <w:t>enfant.</w:t>
      </w:r>
    </w:p>
    <w:p w:rsidR="00105190" w:rsidRPr="00E61E1C" w:rsidRDefault="00105190" w:rsidP="00000968">
      <w:pPr>
        <w:spacing w:after="120"/>
        <w:ind w:left="1138" w:right="1138"/>
        <w:jc w:val="both"/>
        <w:rPr>
          <w:lang w:eastAsia="es-ES"/>
        </w:rPr>
      </w:pPr>
      <w:r w:rsidRPr="00E61E1C">
        <w:rPr>
          <w:lang w:eastAsia="es-ES"/>
        </w:rPr>
        <w:t>4.</w:t>
      </w:r>
      <w:r w:rsidRPr="00E61E1C">
        <w:rPr>
          <w:lang w:eastAsia="es-ES"/>
        </w:rPr>
        <w:tab/>
      </w:r>
      <w:r w:rsidR="005546DB" w:rsidRPr="00E61E1C">
        <w:rPr>
          <w:lang w:eastAsia="es-ES"/>
        </w:rPr>
        <w:t>À</w:t>
      </w:r>
      <w:r w:rsidRPr="00E61E1C">
        <w:rPr>
          <w:lang w:eastAsia="es-ES"/>
        </w:rPr>
        <w:t xml:space="preserve"> la lumière des précédentes observations finales du Comité (</w:t>
      </w:r>
      <w:r w:rsidR="003F7ADC" w:rsidRPr="00E61E1C">
        <w:rPr>
          <w:lang w:eastAsia="es-ES"/>
        </w:rPr>
        <w:t>par. </w:t>
      </w:r>
      <w:r w:rsidRPr="00E61E1C">
        <w:rPr>
          <w:lang w:eastAsia="es-ES"/>
        </w:rPr>
        <w:t xml:space="preserve">14), </w:t>
      </w:r>
      <w:r w:rsidR="007C13CB" w:rsidRPr="00E61E1C">
        <w:rPr>
          <w:lang w:eastAsia="es-ES"/>
        </w:rPr>
        <w:t xml:space="preserve">préciser </w:t>
      </w:r>
      <w:r w:rsidRPr="00E61E1C">
        <w:rPr>
          <w:lang w:eastAsia="es-ES"/>
        </w:rPr>
        <w:t>si une définition plus précise des actes terroristes a été adoptée par l’</w:t>
      </w:r>
      <w:r w:rsidR="005546DB" w:rsidRPr="00E61E1C">
        <w:rPr>
          <w:lang w:val="fr-FR"/>
        </w:rPr>
        <w:t>É</w:t>
      </w:r>
      <w:r w:rsidRPr="00E61E1C">
        <w:rPr>
          <w:lang w:eastAsia="es-ES"/>
        </w:rPr>
        <w:t xml:space="preserve">tat partie afin de veiller à ce que </w:t>
      </w:r>
      <w:r w:rsidR="00000968" w:rsidRPr="00E61E1C">
        <w:rPr>
          <w:lang w:eastAsia="es-ES"/>
        </w:rPr>
        <w:t xml:space="preserve">toutes les </w:t>
      </w:r>
      <w:r w:rsidRPr="00E61E1C">
        <w:rPr>
          <w:lang w:eastAsia="es-ES"/>
        </w:rPr>
        <w:t xml:space="preserve">mesures </w:t>
      </w:r>
      <w:r w:rsidR="00000968" w:rsidRPr="00E61E1C">
        <w:rPr>
          <w:lang w:eastAsia="es-ES"/>
        </w:rPr>
        <w:t xml:space="preserve">prises par </w:t>
      </w:r>
      <w:r w:rsidRPr="00E61E1C">
        <w:rPr>
          <w:lang w:eastAsia="es-ES"/>
        </w:rPr>
        <w:t>l’</w:t>
      </w:r>
      <w:r w:rsidR="005546DB" w:rsidRPr="00E61E1C">
        <w:rPr>
          <w:lang w:val="fr-FR"/>
        </w:rPr>
        <w:t>É</w:t>
      </w:r>
      <w:r w:rsidRPr="00E61E1C">
        <w:rPr>
          <w:lang w:eastAsia="es-ES"/>
        </w:rPr>
        <w:t>tat partie contre le terrorisme respectent toutes les obligations qui lui incombent en vertu du droit international, y compris l’article</w:t>
      </w:r>
      <w:r w:rsidR="00FB70AC" w:rsidRPr="00E61E1C">
        <w:rPr>
          <w:lang w:eastAsia="es-ES"/>
        </w:rPr>
        <w:t> </w:t>
      </w:r>
      <w:r w:rsidRPr="00E61E1C">
        <w:rPr>
          <w:lang w:eastAsia="es-ES"/>
        </w:rPr>
        <w:t>2 de la Convention.</w:t>
      </w:r>
    </w:p>
    <w:p w:rsidR="00105190" w:rsidRPr="00E61E1C" w:rsidRDefault="00105190" w:rsidP="006E2E79">
      <w:pPr>
        <w:spacing w:after="120"/>
        <w:ind w:left="1138" w:right="1138"/>
        <w:jc w:val="both"/>
        <w:rPr>
          <w:lang w:eastAsia="es-ES"/>
        </w:rPr>
      </w:pPr>
      <w:r w:rsidRPr="00E61E1C">
        <w:rPr>
          <w:lang w:eastAsia="es-ES"/>
        </w:rPr>
        <w:t>5.</w:t>
      </w:r>
      <w:r w:rsidRPr="00E61E1C">
        <w:rPr>
          <w:lang w:eastAsia="es-ES"/>
        </w:rPr>
        <w:tab/>
        <w:t>Compte tenu des précédentes observations finales du Comité (</w:t>
      </w:r>
      <w:r w:rsidR="003F7ADC" w:rsidRPr="00E61E1C">
        <w:rPr>
          <w:lang w:eastAsia="es-ES"/>
        </w:rPr>
        <w:t>par. </w:t>
      </w:r>
      <w:r w:rsidRPr="00E61E1C">
        <w:rPr>
          <w:lang w:eastAsia="es-ES"/>
        </w:rPr>
        <w:t>15), fournir des informations à jour sur la mise sur pied d’une institution nationale des droits de l’homme indépendante qui soit conforme aux Principes concernant le statut des institutions nationales pour la promotion et la protection des droits de l’homme (Principe</w:t>
      </w:r>
      <w:r w:rsidR="00CD766B" w:rsidRPr="00E61E1C">
        <w:rPr>
          <w:lang w:eastAsia="es-ES"/>
        </w:rPr>
        <w:t>s</w:t>
      </w:r>
      <w:r w:rsidRPr="00E61E1C">
        <w:rPr>
          <w:lang w:eastAsia="es-ES"/>
        </w:rPr>
        <w:t xml:space="preserve"> de Paris, annexe à la résolution 48/134 de l’Assemblée générale); </w:t>
      </w:r>
      <w:r w:rsidR="007C13CB" w:rsidRPr="00E61E1C">
        <w:rPr>
          <w:lang w:eastAsia="es-ES"/>
        </w:rPr>
        <w:t>précise</w:t>
      </w:r>
      <w:r w:rsidR="006E2E79" w:rsidRPr="00E61E1C">
        <w:rPr>
          <w:lang w:eastAsia="es-ES"/>
        </w:rPr>
        <w:t>r</w:t>
      </w:r>
      <w:r w:rsidR="007C13CB" w:rsidRPr="00E61E1C">
        <w:rPr>
          <w:lang w:eastAsia="es-ES"/>
        </w:rPr>
        <w:t xml:space="preserve"> </w:t>
      </w:r>
      <w:r w:rsidR="00BE2C8A" w:rsidRPr="00E61E1C">
        <w:rPr>
          <w:lang w:eastAsia="es-ES"/>
        </w:rPr>
        <w:t>notammen</w:t>
      </w:r>
      <w:r w:rsidRPr="00E61E1C">
        <w:rPr>
          <w:lang w:eastAsia="es-ES"/>
        </w:rPr>
        <w:t>t si l’institution dispose des ressources humaines et financières lui permettant de remplir son rôle de manière efficace, y compris d’enquêter sur les allégations de torture.</w:t>
      </w:r>
    </w:p>
    <w:p w:rsidR="00105190" w:rsidRPr="00E61E1C" w:rsidRDefault="00105190" w:rsidP="00914350">
      <w:pPr>
        <w:pStyle w:val="H23G"/>
      </w:pPr>
      <w:r w:rsidRPr="00E61E1C">
        <w:tab/>
      </w:r>
      <w:r w:rsidRPr="00E61E1C">
        <w:tab/>
        <w:t>Article 3</w:t>
      </w:r>
    </w:p>
    <w:p w:rsidR="00105190" w:rsidRPr="00E61E1C" w:rsidRDefault="00105190" w:rsidP="00217952">
      <w:pPr>
        <w:spacing w:after="120"/>
        <w:ind w:left="1134" w:right="1134"/>
        <w:jc w:val="both"/>
        <w:rPr>
          <w:lang w:eastAsia="es-ES"/>
        </w:rPr>
      </w:pPr>
      <w:r w:rsidRPr="00E61E1C">
        <w:rPr>
          <w:lang w:eastAsia="es-ES"/>
        </w:rPr>
        <w:t>6.</w:t>
      </w:r>
      <w:r w:rsidRPr="00E61E1C">
        <w:rPr>
          <w:lang w:eastAsia="es-ES"/>
        </w:rPr>
        <w:tab/>
        <w:t>Compte tenu des précédent</w:t>
      </w:r>
      <w:r w:rsidR="00F3586F" w:rsidRPr="00E61E1C">
        <w:rPr>
          <w:lang w:eastAsia="es-ES"/>
        </w:rPr>
        <w:t>e</w:t>
      </w:r>
      <w:r w:rsidRPr="00E61E1C">
        <w:rPr>
          <w:lang w:eastAsia="es-ES"/>
        </w:rPr>
        <w:t>s observations finales du Comité (</w:t>
      </w:r>
      <w:r w:rsidR="003F7ADC" w:rsidRPr="00E61E1C">
        <w:rPr>
          <w:lang w:eastAsia="es-ES"/>
        </w:rPr>
        <w:t>par. </w:t>
      </w:r>
      <w:r w:rsidRPr="00E61E1C">
        <w:rPr>
          <w:lang w:eastAsia="es-ES"/>
        </w:rPr>
        <w:t>9) et eu égard à la réponse</w:t>
      </w:r>
      <w:r w:rsidR="009950F5" w:rsidRPr="00E61E1C">
        <w:rPr>
          <w:lang w:eastAsia="es-ES"/>
        </w:rPr>
        <w:t xml:space="preserve"> de suivi du 6 juin 2012</w:t>
      </w:r>
      <w:r w:rsidRPr="00E61E1C">
        <w:rPr>
          <w:lang w:eastAsia="es-ES"/>
        </w:rPr>
        <w:t xml:space="preserve"> de l’</w:t>
      </w:r>
      <w:r w:rsidR="005546DB" w:rsidRPr="00E61E1C">
        <w:rPr>
          <w:lang w:val="fr-FR"/>
        </w:rPr>
        <w:t>É</w:t>
      </w:r>
      <w:r w:rsidRPr="00E61E1C">
        <w:rPr>
          <w:lang w:eastAsia="es-ES"/>
        </w:rPr>
        <w:t>tat partie</w:t>
      </w:r>
      <w:r w:rsidRPr="00E61E1C">
        <w:rPr>
          <w:sz w:val="18"/>
          <w:vertAlign w:val="superscript"/>
          <w:lang w:val="en-GB" w:eastAsia="es-ES"/>
        </w:rPr>
        <w:footnoteReference w:id="5"/>
      </w:r>
      <w:r w:rsidRPr="00E61E1C">
        <w:rPr>
          <w:lang w:eastAsia="es-ES"/>
        </w:rPr>
        <w:t xml:space="preserve">, </w:t>
      </w:r>
      <w:r w:rsidR="004D5CB1" w:rsidRPr="00E61E1C">
        <w:rPr>
          <w:lang w:eastAsia="es-ES"/>
        </w:rPr>
        <w:t xml:space="preserve">communiquer </w:t>
      </w:r>
      <w:r w:rsidRPr="00E61E1C">
        <w:rPr>
          <w:lang w:eastAsia="es-ES"/>
        </w:rPr>
        <w:t xml:space="preserve">des informations sur l’établissement d’un mécanisme de suivi des dossiers de demandeurs d’asile auprès de l’Office français </w:t>
      </w:r>
      <w:r w:rsidR="00F3586F" w:rsidRPr="00E61E1C">
        <w:rPr>
          <w:lang w:eastAsia="es-ES"/>
        </w:rPr>
        <w:t xml:space="preserve">de protection </w:t>
      </w:r>
      <w:r w:rsidRPr="00E61E1C">
        <w:rPr>
          <w:lang w:eastAsia="es-ES"/>
        </w:rPr>
        <w:t xml:space="preserve">des réfugiés et apatrides (OFPRA). </w:t>
      </w:r>
      <w:r w:rsidR="006E2E79" w:rsidRPr="00E61E1C">
        <w:rPr>
          <w:lang w:eastAsia="es-ES"/>
        </w:rPr>
        <w:t>F</w:t>
      </w:r>
      <w:r w:rsidR="009950F5" w:rsidRPr="00E61E1C">
        <w:rPr>
          <w:lang w:eastAsia="es-ES"/>
        </w:rPr>
        <w:t xml:space="preserve">ournir </w:t>
      </w:r>
      <w:r w:rsidR="006E2E79" w:rsidRPr="00E61E1C">
        <w:rPr>
          <w:lang w:eastAsia="es-ES"/>
        </w:rPr>
        <w:t xml:space="preserve">également </w:t>
      </w:r>
      <w:r w:rsidR="009950F5" w:rsidRPr="00E61E1C">
        <w:rPr>
          <w:lang w:eastAsia="es-ES"/>
        </w:rPr>
        <w:t xml:space="preserve">des données sur le </w:t>
      </w:r>
      <w:r w:rsidR="00516E7A" w:rsidRPr="00E61E1C">
        <w:rPr>
          <w:lang w:eastAsia="es-ES"/>
        </w:rPr>
        <w:t xml:space="preserve">nombre </w:t>
      </w:r>
      <w:r w:rsidR="009950F5" w:rsidRPr="00E61E1C">
        <w:rPr>
          <w:lang w:eastAsia="es-ES"/>
        </w:rPr>
        <w:t xml:space="preserve">total des demandeurs d’asile </w:t>
      </w:r>
      <w:r w:rsidR="00516E7A" w:rsidRPr="00E61E1C">
        <w:rPr>
          <w:lang w:eastAsia="es-ES"/>
        </w:rPr>
        <w:t xml:space="preserve">référés </w:t>
      </w:r>
      <w:r w:rsidR="009950F5" w:rsidRPr="00E61E1C">
        <w:rPr>
          <w:lang w:eastAsia="es-ES"/>
        </w:rPr>
        <w:t>par l’</w:t>
      </w:r>
      <w:r w:rsidR="005546DB" w:rsidRPr="00E61E1C">
        <w:rPr>
          <w:lang w:val="fr-FR"/>
        </w:rPr>
        <w:t>É</w:t>
      </w:r>
      <w:r w:rsidR="009950F5" w:rsidRPr="00E61E1C">
        <w:rPr>
          <w:lang w:eastAsia="es-ES"/>
        </w:rPr>
        <w:t>tat partie à l’OF</w:t>
      </w:r>
      <w:r w:rsidR="00F3586F" w:rsidRPr="00E61E1C">
        <w:rPr>
          <w:lang w:eastAsia="es-ES"/>
        </w:rPr>
        <w:t>P</w:t>
      </w:r>
      <w:r w:rsidR="009950F5" w:rsidRPr="00E61E1C">
        <w:rPr>
          <w:lang w:eastAsia="es-ES"/>
        </w:rPr>
        <w:t xml:space="preserve">RA depuis le précédent examen, y compris leur pays de nationalité. </w:t>
      </w:r>
      <w:r w:rsidR="006E2E79" w:rsidRPr="00E61E1C">
        <w:rPr>
          <w:lang w:eastAsia="es-ES"/>
        </w:rPr>
        <w:t>I</w:t>
      </w:r>
      <w:r w:rsidR="009950F5" w:rsidRPr="00E61E1C">
        <w:rPr>
          <w:lang w:eastAsia="es-ES"/>
        </w:rPr>
        <w:t xml:space="preserve">ndiquer </w:t>
      </w:r>
      <w:r w:rsidR="006E2E79" w:rsidRPr="00E61E1C">
        <w:rPr>
          <w:lang w:eastAsia="es-ES"/>
        </w:rPr>
        <w:t xml:space="preserve">aussi </w:t>
      </w:r>
      <w:r w:rsidR="009950F5" w:rsidRPr="00E61E1C">
        <w:rPr>
          <w:lang w:eastAsia="es-ES"/>
        </w:rPr>
        <w:t>le nombre de cas</w:t>
      </w:r>
      <w:r w:rsidR="00F3586F" w:rsidRPr="00E61E1C">
        <w:rPr>
          <w:lang w:eastAsia="es-ES"/>
        </w:rPr>
        <w:t>,</w:t>
      </w:r>
      <w:r w:rsidR="009950F5" w:rsidRPr="00E61E1C">
        <w:rPr>
          <w:lang w:eastAsia="es-ES"/>
        </w:rPr>
        <w:t xml:space="preserve"> depuis l’examen précédent</w:t>
      </w:r>
      <w:r w:rsidR="00F3586F" w:rsidRPr="00E61E1C">
        <w:rPr>
          <w:lang w:eastAsia="es-ES"/>
        </w:rPr>
        <w:t>,</w:t>
      </w:r>
      <w:r w:rsidR="009950F5" w:rsidRPr="00E61E1C">
        <w:rPr>
          <w:lang w:eastAsia="es-ES"/>
        </w:rPr>
        <w:t xml:space="preserve"> d</w:t>
      </w:r>
      <w:r w:rsidR="00F3586F" w:rsidRPr="00E61E1C">
        <w:rPr>
          <w:lang w:eastAsia="es-ES"/>
        </w:rPr>
        <w:t>’</w:t>
      </w:r>
      <w:r w:rsidR="009950F5" w:rsidRPr="00E61E1C">
        <w:rPr>
          <w:lang w:eastAsia="es-ES"/>
        </w:rPr>
        <w:t xml:space="preserve">individus </w:t>
      </w:r>
      <w:r w:rsidR="00F20DB6" w:rsidRPr="00E61E1C">
        <w:rPr>
          <w:lang w:eastAsia="es-ES"/>
        </w:rPr>
        <w:t>susceptibles d’être</w:t>
      </w:r>
      <w:r w:rsidR="009950F5" w:rsidRPr="00E61E1C">
        <w:rPr>
          <w:lang w:eastAsia="es-ES"/>
        </w:rPr>
        <w:t xml:space="preserve"> retourn</w:t>
      </w:r>
      <w:r w:rsidR="00F20DB6" w:rsidRPr="00E61E1C">
        <w:rPr>
          <w:lang w:eastAsia="es-ES"/>
        </w:rPr>
        <w:t>és</w:t>
      </w:r>
      <w:r w:rsidR="009950F5" w:rsidRPr="00E61E1C">
        <w:rPr>
          <w:lang w:eastAsia="es-ES"/>
        </w:rPr>
        <w:t xml:space="preserve"> ou </w:t>
      </w:r>
      <w:r w:rsidR="00516E7A" w:rsidRPr="00E61E1C">
        <w:rPr>
          <w:lang w:eastAsia="es-ES"/>
        </w:rPr>
        <w:t>expulsés</w:t>
      </w:r>
      <w:r w:rsidR="009950F5" w:rsidRPr="00E61E1C">
        <w:rPr>
          <w:lang w:eastAsia="es-ES"/>
        </w:rPr>
        <w:t xml:space="preserve"> </w:t>
      </w:r>
      <w:r w:rsidR="00F3586F" w:rsidRPr="00E61E1C">
        <w:rPr>
          <w:lang w:eastAsia="es-ES"/>
        </w:rPr>
        <w:t>qui on</w:t>
      </w:r>
      <w:r w:rsidR="009950F5" w:rsidRPr="00E61E1C">
        <w:rPr>
          <w:lang w:eastAsia="es-ES"/>
        </w:rPr>
        <w:t xml:space="preserve">t </w:t>
      </w:r>
      <w:r w:rsidR="00F3586F" w:rsidRPr="00E61E1C">
        <w:rPr>
          <w:lang w:eastAsia="es-ES"/>
        </w:rPr>
        <w:t xml:space="preserve">fait </w:t>
      </w:r>
      <w:r w:rsidR="009950F5" w:rsidRPr="00E61E1C">
        <w:rPr>
          <w:lang w:eastAsia="es-ES"/>
        </w:rPr>
        <w:t xml:space="preserve">appel de ces ordres </w:t>
      </w:r>
      <w:r w:rsidR="00516E7A" w:rsidRPr="00E61E1C">
        <w:rPr>
          <w:lang w:eastAsia="es-ES"/>
        </w:rPr>
        <w:t xml:space="preserve">d’expulsion </w:t>
      </w:r>
      <w:r w:rsidR="009950F5" w:rsidRPr="00E61E1C">
        <w:rPr>
          <w:lang w:eastAsia="es-ES"/>
        </w:rPr>
        <w:t xml:space="preserve">devant la Cour </w:t>
      </w:r>
      <w:r w:rsidR="00F3586F" w:rsidRPr="00E61E1C">
        <w:rPr>
          <w:lang w:eastAsia="es-ES"/>
        </w:rPr>
        <w:t>s</w:t>
      </w:r>
      <w:r w:rsidR="009950F5" w:rsidRPr="00E61E1C">
        <w:rPr>
          <w:lang w:eastAsia="es-ES"/>
        </w:rPr>
        <w:t xml:space="preserve">uprême, </w:t>
      </w:r>
      <w:r w:rsidR="004D5CB1" w:rsidRPr="00E61E1C">
        <w:rPr>
          <w:lang w:eastAsia="es-ES"/>
        </w:rPr>
        <w:t>précise</w:t>
      </w:r>
      <w:r w:rsidR="006E2E79" w:rsidRPr="00E61E1C">
        <w:rPr>
          <w:lang w:eastAsia="es-ES"/>
        </w:rPr>
        <w:t>r</w:t>
      </w:r>
      <w:r w:rsidR="004D5CB1" w:rsidRPr="00E61E1C">
        <w:rPr>
          <w:lang w:eastAsia="es-ES"/>
        </w:rPr>
        <w:t xml:space="preserve"> </w:t>
      </w:r>
      <w:r w:rsidR="009950F5" w:rsidRPr="00E61E1C">
        <w:rPr>
          <w:lang w:eastAsia="es-ES"/>
        </w:rPr>
        <w:t>si le requérant a ensuite déposé un</w:t>
      </w:r>
      <w:r w:rsidR="00516E7A" w:rsidRPr="00E61E1C">
        <w:rPr>
          <w:lang w:eastAsia="es-ES"/>
        </w:rPr>
        <w:t>e demande de</w:t>
      </w:r>
      <w:r w:rsidR="009950F5" w:rsidRPr="00E61E1C">
        <w:rPr>
          <w:lang w:eastAsia="es-ES"/>
        </w:rPr>
        <w:t xml:space="preserve"> sursis et si </w:t>
      </w:r>
      <w:r w:rsidR="00516E7A" w:rsidRPr="00E61E1C">
        <w:rPr>
          <w:lang w:eastAsia="es-ES"/>
        </w:rPr>
        <w:t>cette demande a eu un effet suspe</w:t>
      </w:r>
      <w:r w:rsidR="005546DB" w:rsidRPr="00E61E1C">
        <w:rPr>
          <w:lang w:eastAsia="es-ES"/>
        </w:rPr>
        <w:t>n</w:t>
      </w:r>
      <w:r w:rsidR="00516E7A" w:rsidRPr="00E61E1C">
        <w:rPr>
          <w:lang w:eastAsia="es-ES"/>
        </w:rPr>
        <w:t>sif pendant les d</w:t>
      </w:r>
      <w:r w:rsidR="005546DB" w:rsidRPr="00E61E1C">
        <w:rPr>
          <w:lang w:eastAsia="es-ES"/>
        </w:rPr>
        <w:t>é</w:t>
      </w:r>
      <w:r w:rsidR="00516E7A" w:rsidRPr="00E61E1C">
        <w:rPr>
          <w:lang w:eastAsia="es-ES"/>
        </w:rPr>
        <w:t>lib</w:t>
      </w:r>
      <w:r w:rsidR="00F3586F" w:rsidRPr="00E61E1C">
        <w:rPr>
          <w:lang w:eastAsia="es-ES"/>
        </w:rPr>
        <w:t>é</w:t>
      </w:r>
      <w:r w:rsidR="00516E7A" w:rsidRPr="00E61E1C">
        <w:rPr>
          <w:lang w:eastAsia="es-ES"/>
        </w:rPr>
        <w:t xml:space="preserve">rations de </w:t>
      </w:r>
      <w:r w:rsidR="009950F5" w:rsidRPr="00E61E1C">
        <w:rPr>
          <w:lang w:eastAsia="es-ES"/>
        </w:rPr>
        <w:t xml:space="preserve">la Cour </w:t>
      </w:r>
      <w:r w:rsidR="005546DB" w:rsidRPr="00E61E1C">
        <w:rPr>
          <w:lang w:eastAsia="es-ES"/>
        </w:rPr>
        <w:t>s</w:t>
      </w:r>
      <w:r w:rsidR="009950F5" w:rsidRPr="00E61E1C">
        <w:rPr>
          <w:lang w:eastAsia="es-ES"/>
        </w:rPr>
        <w:t>uprême</w:t>
      </w:r>
      <w:r w:rsidR="00516E7A" w:rsidRPr="00E61E1C">
        <w:rPr>
          <w:lang w:eastAsia="es-ES"/>
        </w:rPr>
        <w:t>.</w:t>
      </w:r>
      <w:r w:rsidR="009950F5" w:rsidRPr="00E61E1C">
        <w:rPr>
          <w:lang w:eastAsia="es-ES"/>
        </w:rPr>
        <w:t xml:space="preserve"> </w:t>
      </w:r>
    </w:p>
    <w:p w:rsidR="00105190" w:rsidRPr="00E61E1C" w:rsidRDefault="00105190" w:rsidP="00914350">
      <w:pPr>
        <w:pStyle w:val="H23G"/>
        <w:rPr>
          <w:lang w:eastAsia="es-ES"/>
        </w:rPr>
      </w:pPr>
      <w:r w:rsidRPr="00E61E1C">
        <w:tab/>
      </w:r>
      <w:r w:rsidRPr="00E61E1C">
        <w:tab/>
        <w:t>Article 4</w:t>
      </w:r>
    </w:p>
    <w:p w:rsidR="00105190" w:rsidRPr="00E61E1C" w:rsidRDefault="00105190" w:rsidP="000D7208">
      <w:pPr>
        <w:spacing w:after="120"/>
        <w:ind w:left="1134" w:right="1134"/>
        <w:jc w:val="both"/>
        <w:rPr>
          <w:lang w:eastAsia="es-ES"/>
        </w:rPr>
      </w:pPr>
      <w:r w:rsidRPr="00E61E1C">
        <w:rPr>
          <w:lang w:eastAsia="es-ES"/>
        </w:rPr>
        <w:t>7.</w:t>
      </w:r>
      <w:r w:rsidRPr="00E61E1C">
        <w:rPr>
          <w:lang w:eastAsia="es-ES"/>
        </w:rPr>
        <w:tab/>
      </w:r>
      <w:r w:rsidR="005546DB" w:rsidRPr="00E61E1C">
        <w:rPr>
          <w:lang w:eastAsia="es-ES"/>
        </w:rPr>
        <w:t>À</w:t>
      </w:r>
      <w:r w:rsidRPr="00E61E1C">
        <w:rPr>
          <w:lang w:eastAsia="es-ES"/>
        </w:rPr>
        <w:t xml:space="preserve"> la lumière des précédentes observations finales du Comité (</w:t>
      </w:r>
      <w:r w:rsidR="003F7ADC" w:rsidRPr="00E61E1C">
        <w:rPr>
          <w:lang w:eastAsia="es-ES"/>
        </w:rPr>
        <w:t>par. </w:t>
      </w:r>
      <w:r w:rsidRPr="00E61E1C">
        <w:rPr>
          <w:lang w:eastAsia="es-ES"/>
        </w:rPr>
        <w:t>7), fournir des informations sur l’incorporation dans le Code pénal de dispositions spécifiques pour que la torture soit traitée comme une infraction distincte des autres crimes</w:t>
      </w:r>
      <w:r w:rsidR="000D7208" w:rsidRPr="00E61E1C">
        <w:rPr>
          <w:lang w:eastAsia="es-ES"/>
        </w:rPr>
        <w:t xml:space="preserve"> et d’une gravité particulière</w:t>
      </w:r>
      <w:r w:rsidRPr="00E61E1C">
        <w:rPr>
          <w:lang w:eastAsia="es-ES"/>
        </w:rPr>
        <w:t>, renforçant ainsi l’effet dissuasif de l’interdiction absolue de la torture.</w:t>
      </w:r>
    </w:p>
    <w:p w:rsidR="00105190" w:rsidRPr="00E61E1C" w:rsidRDefault="00105190" w:rsidP="00914350">
      <w:pPr>
        <w:pStyle w:val="H23G"/>
      </w:pPr>
      <w:r w:rsidRPr="00E61E1C">
        <w:tab/>
      </w:r>
      <w:r w:rsidRPr="00E61E1C">
        <w:tab/>
        <w:t>Articles 5, 7 et 8</w:t>
      </w:r>
    </w:p>
    <w:p w:rsidR="00105190" w:rsidRPr="00E61E1C" w:rsidRDefault="00105190" w:rsidP="006E2E79">
      <w:pPr>
        <w:spacing w:after="120"/>
        <w:ind w:left="1134" w:right="1134"/>
        <w:jc w:val="both"/>
        <w:rPr>
          <w:lang w:eastAsia="es-ES"/>
        </w:rPr>
      </w:pPr>
      <w:r w:rsidRPr="00E61E1C">
        <w:rPr>
          <w:lang w:eastAsia="es-ES"/>
        </w:rPr>
        <w:t>8.</w:t>
      </w:r>
      <w:r w:rsidR="005546DB" w:rsidRPr="00E61E1C">
        <w:tab/>
      </w:r>
      <w:r w:rsidR="006E2E79" w:rsidRPr="00E61E1C">
        <w:rPr>
          <w:rFonts w:eastAsia="Calibri"/>
        </w:rPr>
        <w:t>I</w:t>
      </w:r>
      <w:r w:rsidRPr="00E61E1C">
        <w:rPr>
          <w:rFonts w:eastAsia="Calibri"/>
        </w:rPr>
        <w:t>ndiquer si, depuis l’examen du précédent rapport, l’État partie a rejeté, pour quelque motif que ce soit, une demande d’extradition concernant une personne soupçonnée d’avoir commis des actes de torture</w:t>
      </w:r>
      <w:r w:rsidR="004D5CB1" w:rsidRPr="00E61E1C">
        <w:rPr>
          <w:rFonts w:eastAsia="Calibri"/>
        </w:rPr>
        <w:t>. Précise</w:t>
      </w:r>
      <w:r w:rsidR="00EF2E6B" w:rsidRPr="00E61E1C">
        <w:rPr>
          <w:rFonts w:eastAsia="Calibri"/>
        </w:rPr>
        <w:t>r</w:t>
      </w:r>
      <w:r w:rsidR="004D5CB1" w:rsidRPr="00E61E1C">
        <w:rPr>
          <w:rFonts w:eastAsia="Calibri"/>
        </w:rPr>
        <w:t xml:space="preserve"> </w:t>
      </w:r>
      <w:r w:rsidRPr="00E61E1C">
        <w:rPr>
          <w:rFonts w:eastAsia="Calibri"/>
        </w:rPr>
        <w:t>s’il a, par la suite, engagé</w:t>
      </w:r>
      <w:r w:rsidRPr="00E61E1C">
        <w:rPr>
          <w:lang w:eastAsia="es-ES"/>
        </w:rPr>
        <w:t xml:space="preserve"> </w:t>
      </w:r>
      <w:r w:rsidRPr="00E61E1C">
        <w:rPr>
          <w:rFonts w:eastAsia="Calibri"/>
        </w:rPr>
        <w:t>lui-même des poursuites. Le cas échéant, donner des renseignements sur l’état d’avancement et les résultats de la procédure</w:t>
      </w:r>
      <w:r w:rsidRPr="00E61E1C">
        <w:rPr>
          <w:lang w:eastAsia="es-ES"/>
        </w:rPr>
        <w:t>.</w:t>
      </w:r>
    </w:p>
    <w:p w:rsidR="00105190" w:rsidRPr="00E61E1C" w:rsidRDefault="00105190" w:rsidP="00914350">
      <w:pPr>
        <w:pStyle w:val="H23G"/>
      </w:pPr>
      <w:r w:rsidRPr="00E61E1C">
        <w:tab/>
      </w:r>
      <w:r w:rsidRPr="00E61E1C">
        <w:tab/>
        <w:t>Article 10</w:t>
      </w:r>
    </w:p>
    <w:p w:rsidR="00105190" w:rsidRPr="00E61E1C" w:rsidRDefault="00105190" w:rsidP="001374EF">
      <w:pPr>
        <w:spacing w:after="120"/>
        <w:ind w:left="1134" w:right="1134"/>
        <w:jc w:val="both"/>
        <w:rPr>
          <w:lang w:eastAsia="es-ES"/>
        </w:rPr>
      </w:pPr>
      <w:r w:rsidRPr="00E61E1C">
        <w:t>9.</w:t>
      </w:r>
      <w:r w:rsidRPr="00E61E1C">
        <w:tab/>
      </w:r>
      <w:r w:rsidR="005546DB" w:rsidRPr="00E61E1C">
        <w:rPr>
          <w:lang w:eastAsia="es-ES"/>
        </w:rPr>
        <w:t>À</w:t>
      </w:r>
      <w:r w:rsidRPr="00E61E1C">
        <w:rPr>
          <w:lang w:eastAsia="es-ES"/>
        </w:rPr>
        <w:t xml:space="preserve"> la lumière des précédentes observations finales du Comité (</w:t>
      </w:r>
      <w:r w:rsidR="003F7ADC" w:rsidRPr="00E61E1C">
        <w:rPr>
          <w:lang w:eastAsia="es-ES"/>
        </w:rPr>
        <w:t>par. </w:t>
      </w:r>
      <w:r w:rsidRPr="00E61E1C">
        <w:rPr>
          <w:lang w:eastAsia="es-ES"/>
        </w:rPr>
        <w:t xml:space="preserve">13), indiquer si des sessions </w:t>
      </w:r>
      <w:r w:rsidR="00AF2F18" w:rsidRPr="00E61E1C">
        <w:rPr>
          <w:lang w:eastAsia="es-ES"/>
        </w:rPr>
        <w:t xml:space="preserve">de formation </w:t>
      </w:r>
      <w:r w:rsidRPr="00E61E1C">
        <w:rPr>
          <w:lang w:eastAsia="es-ES"/>
        </w:rPr>
        <w:t>sur les droits de l’homme</w:t>
      </w:r>
      <w:r w:rsidR="004D5CB1" w:rsidRPr="00E61E1C">
        <w:rPr>
          <w:lang w:eastAsia="es-ES"/>
        </w:rPr>
        <w:t>,</w:t>
      </w:r>
      <w:r w:rsidRPr="00E61E1C">
        <w:rPr>
          <w:lang w:eastAsia="es-ES"/>
        </w:rPr>
        <w:t xml:space="preserve"> y compris les dispositions de la Convention et l’interdiction absolue de la torture, ont été inclu</w:t>
      </w:r>
      <w:r w:rsidR="001E76A0" w:rsidRPr="00E61E1C">
        <w:rPr>
          <w:lang w:eastAsia="es-ES"/>
        </w:rPr>
        <w:t>s</w:t>
      </w:r>
      <w:r w:rsidRPr="00E61E1C">
        <w:rPr>
          <w:lang w:eastAsia="es-ES"/>
        </w:rPr>
        <w:t xml:space="preserve">es dans la formation des magistrats, des agents de la sécurité publique et autres professionnels. </w:t>
      </w:r>
      <w:r w:rsidR="001374EF" w:rsidRPr="00E61E1C">
        <w:rPr>
          <w:lang w:eastAsia="es-ES"/>
        </w:rPr>
        <w:t xml:space="preserve">Indiquer si </w:t>
      </w:r>
      <w:r w:rsidRPr="00E61E1C">
        <w:rPr>
          <w:lang w:eastAsia="es-ES"/>
        </w:rPr>
        <w:t xml:space="preserve">le </w:t>
      </w:r>
      <w:r w:rsidRPr="00E61E1C">
        <w:rPr>
          <w:i/>
          <w:iCs/>
          <w:lang w:eastAsia="es-ES"/>
        </w:rPr>
        <w:t>Manuel pour enquêter efficacement sur la torture et autres peines ou traitements cruels, inhumains ou dégradants</w:t>
      </w:r>
      <w:r w:rsidRPr="00E61E1C">
        <w:rPr>
          <w:lang w:eastAsia="es-ES"/>
        </w:rPr>
        <w:t xml:space="preserve"> (Protocole d’Istanbul</w:t>
      </w:r>
      <w:r w:rsidR="003A5A5A" w:rsidRPr="00E61E1C">
        <w:rPr>
          <w:lang w:eastAsia="es-ES"/>
        </w:rPr>
        <w:t xml:space="preserve">) </w:t>
      </w:r>
      <w:r w:rsidRPr="00E61E1C">
        <w:rPr>
          <w:lang w:eastAsia="es-ES"/>
        </w:rPr>
        <w:t xml:space="preserve">fait partie des programmes de formation du personnel médical et </w:t>
      </w:r>
      <w:r w:rsidR="004D5CB1" w:rsidRPr="00E61E1C">
        <w:rPr>
          <w:lang w:eastAsia="es-ES"/>
        </w:rPr>
        <w:t>d’</w:t>
      </w:r>
      <w:r w:rsidRPr="00E61E1C">
        <w:rPr>
          <w:lang w:eastAsia="es-ES"/>
        </w:rPr>
        <w:t>autres catégories professionnelles</w:t>
      </w:r>
      <w:r w:rsidR="001374EF" w:rsidRPr="00E61E1C">
        <w:rPr>
          <w:lang w:eastAsia="es-ES"/>
        </w:rPr>
        <w:t>.</w:t>
      </w:r>
    </w:p>
    <w:p w:rsidR="00105190" w:rsidRPr="00E61E1C" w:rsidRDefault="00105190" w:rsidP="00914350">
      <w:pPr>
        <w:pStyle w:val="H23G"/>
      </w:pPr>
      <w:r w:rsidRPr="00E61E1C">
        <w:tab/>
      </w:r>
      <w:r w:rsidRPr="00E61E1C">
        <w:tab/>
        <w:t>Article 11</w:t>
      </w:r>
    </w:p>
    <w:p w:rsidR="00105190" w:rsidRPr="00E61E1C" w:rsidRDefault="00105190" w:rsidP="004E4944">
      <w:pPr>
        <w:spacing w:after="120"/>
        <w:ind w:left="1134" w:right="1134"/>
        <w:jc w:val="both"/>
        <w:rPr>
          <w:lang w:eastAsia="es-ES"/>
        </w:rPr>
      </w:pPr>
      <w:r w:rsidRPr="00E61E1C">
        <w:rPr>
          <w:lang w:eastAsia="es-ES"/>
        </w:rPr>
        <w:t>10.</w:t>
      </w:r>
      <w:r w:rsidRPr="00E61E1C">
        <w:rPr>
          <w:lang w:eastAsia="es-ES"/>
        </w:rPr>
        <w:tab/>
        <w:t>Compte tenu des précédent</w:t>
      </w:r>
      <w:r w:rsidR="004514E7" w:rsidRPr="00E61E1C">
        <w:rPr>
          <w:lang w:eastAsia="es-ES"/>
        </w:rPr>
        <w:t>e</w:t>
      </w:r>
      <w:r w:rsidRPr="00E61E1C">
        <w:rPr>
          <w:lang w:eastAsia="es-ES"/>
        </w:rPr>
        <w:t>s observations finales du Comité (</w:t>
      </w:r>
      <w:r w:rsidR="003F7ADC" w:rsidRPr="00E61E1C">
        <w:rPr>
          <w:lang w:eastAsia="es-ES"/>
        </w:rPr>
        <w:t>par. </w:t>
      </w:r>
      <w:r w:rsidRPr="00E61E1C">
        <w:rPr>
          <w:lang w:eastAsia="es-ES"/>
        </w:rPr>
        <w:t>10) et eu égard à la réponse</w:t>
      </w:r>
      <w:r w:rsidR="00322A59" w:rsidRPr="00E61E1C">
        <w:rPr>
          <w:lang w:eastAsia="es-ES"/>
        </w:rPr>
        <w:t xml:space="preserve"> de suivi du 6 juin 2012</w:t>
      </w:r>
      <w:r w:rsidRPr="00E61E1C">
        <w:rPr>
          <w:lang w:eastAsia="es-ES"/>
        </w:rPr>
        <w:t xml:space="preserve"> de l’</w:t>
      </w:r>
      <w:r w:rsidR="005546DB" w:rsidRPr="00E61E1C">
        <w:rPr>
          <w:lang w:val="fr-FR"/>
        </w:rPr>
        <w:t>É</w:t>
      </w:r>
      <w:r w:rsidRPr="00E61E1C">
        <w:rPr>
          <w:lang w:eastAsia="es-ES"/>
        </w:rPr>
        <w:t>tat partie</w:t>
      </w:r>
      <w:r w:rsidRPr="00E61E1C">
        <w:rPr>
          <w:sz w:val="18"/>
          <w:vertAlign w:val="superscript"/>
          <w:lang w:val="en-GB" w:eastAsia="es-ES"/>
        </w:rPr>
        <w:footnoteReference w:id="6"/>
      </w:r>
      <w:r w:rsidRPr="00E61E1C">
        <w:rPr>
          <w:lang w:eastAsia="es-ES"/>
        </w:rPr>
        <w:t xml:space="preserve">, fournir des informations à jour sur les discussions avec les autorités compétentes françaises en vue d’un accord permettant d’assurer un suivi plus efficace de la détention des prisonniers condamnés par les juridictions monégasques et placés dans les établissements pénitentiaires français. </w:t>
      </w:r>
      <w:r w:rsidR="006E2E79" w:rsidRPr="00E61E1C">
        <w:rPr>
          <w:lang w:eastAsia="es-ES"/>
        </w:rPr>
        <w:t>I</w:t>
      </w:r>
      <w:r w:rsidRPr="00E61E1C">
        <w:rPr>
          <w:lang w:eastAsia="es-ES"/>
        </w:rPr>
        <w:t>ndiquer le statut de la procédure relative à l’échange de lettres administrati</w:t>
      </w:r>
      <w:r w:rsidR="00996500" w:rsidRPr="00E61E1C">
        <w:rPr>
          <w:lang w:eastAsia="es-ES"/>
        </w:rPr>
        <w:t>f</w:t>
      </w:r>
      <w:r w:rsidRPr="00E61E1C">
        <w:rPr>
          <w:lang w:eastAsia="es-ES"/>
        </w:rPr>
        <w:t xml:space="preserve"> entre le Ministre de la </w:t>
      </w:r>
      <w:r w:rsidR="00996500" w:rsidRPr="00E61E1C">
        <w:rPr>
          <w:lang w:eastAsia="es-ES"/>
        </w:rPr>
        <w:t xml:space="preserve">justice </w:t>
      </w:r>
      <w:r w:rsidRPr="00E61E1C">
        <w:rPr>
          <w:lang w:eastAsia="es-ES"/>
        </w:rPr>
        <w:t xml:space="preserve">français et le Directeur des </w:t>
      </w:r>
      <w:r w:rsidR="00996500" w:rsidRPr="00E61E1C">
        <w:rPr>
          <w:lang w:eastAsia="es-ES"/>
        </w:rPr>
        <w:t>s</w:t>
      </w:r>
      <w:r w:rsidRPr="00E61E1C">
        <w:rPr>
          <w:lang w:eastAsia="es-ES"/>
        </w:rPr>
        <w:t>ervices judiciaire</w:t>
      </w:r>
      <w:r w:rsidR="00996500" w:rsidRPr="00E61E1C">
        <w:rPr>
          <w:lang w:eastAsia="es-ES"/>
        </w:rPr>
        <w:t>s</w:t>
      </w:r>
      <w:r w:rsidRPr="00E61E1C">
        <w:rPr>
          <w:lang w:eastAsia="es-ES"/>
        </w:rPr>
        <w:t xml:space="preserve"> monégasque</w:t>
      </w:r>
      <w:r w:rsidR="00E06C84" w:rsidRPr="00E61E1C">
        <w:rPr>
          <w:lang w:eastAsia="es-ES"/>
        </w:rPr>
        <w:t>s</w:t>
      </w:r>
      <w:r w:rsidRPr="00E61E1C">
        <w:rPr>
          <w:lang w:eastAsia="es-ES"/>
        </w:rPr>
        <w:t xml:space="preserve"> visant à faciliter le suivi du traitement et des conditions matérielles de ces détenus. </w:t>
      </w:r>
      <w:r w:rsidR="006E2E79" w:rsidRPr="00E61E1C">
        <w:rPr>
          <w:lang w:eastAsia="es-ES"/>
        </w:rPr>
        <w:t>I</w:t>
      </w:r>
      <w:r w:rsidR="001F6BAE" w:rsidRPr="00E61E1C">
        <w:rPr>
          <w:lang w:eastAsia="es-ES"/>
        </w:rPr>
        <w:t>ndiquer si, comme prévu dans l’information de suivi de l’</w:t>
      </w:r>
      <w:r w:rsidR="005546DB" w:rsidRPr="00E61E1C">
        <w:rPr>
          <w:lang w:val="fr-FR"/>
        </w:rPr>
        <w:t>É</w:t>
      </w:r>
      <w:r w:rsidR="001F6BAE" w:rsidRPr="00E61E1C">
        <w:rPr>
          <w:lang w:eastAsia="es-ES"/>
        </w:rPr>
        <w:t>tat partie, l’</w:t>
      </w:r>
      <w:r w:rsidR="005546DB" w:rsidRPr="00E61E1C">
        <w:rPr>
          <w:lang w:val="fr-FR"/>
        </w:rPr>
        <w:t>É</w:t>
      </w:r>
      <w:r w:rsidR="001F6BAE" w:rsidRPr="00E61E1C">
        <w:rPr>
          <w:lang w:eastAsia="es-ES"/>
        </w:rPr>
        <w:t xml:space="preserve">tat partie a désigné un </w:t>
      </w:r>
      <w:r w:rsidR="00996500" w:rsidRPr="00E61E1C">
        <w:rPr>
          <w:lang w:eastAsia="es-ES"/>
        </w:rPr>
        <w:t xml:space="preserve">magistrat </w:t>
      </w:r>
      <w:r w:rsidR="001F6BAE" w:rsidRPr="00E61E1C">
        <w:rPr>
          <w:lang w:eastAsia="es-ES"/>
        </w:rPr>
        <w:t>pour visite</w:t>
      </w:r>
      <w:r w:rsidR="00996500" w:rsidRPr="00E61E1C">
        <w:rPr>
          <w:lang w:eastAsia="es-ES"/>
        </w:rPr>
        <w:t>r</w:t>
      </w:r>
      <w:r w:rsidR="001F6BAE" w:rsidRPr="00E61E1C">
        <w:rPr>
          <w:lang w:eastAsia="es-ES"/>
        </w:rPr>
        <w:t xml:space="preserve"> périodique</w:t>
      </w:r>
      <w:r w:rsidR="00996500" w:rsidRPr="00E61E1C">
        <w:rPr>
          <w:lang w:eastAsia="es-ES"/>
        </w:rPr>
        <w:t>ment</w:t>
      </w:r>
      <w:r w:rsidR="001F6BAE" w:rsidRPr="00E61E1C">
        <w:rPr>
          <w:lang w:eastAsia="es-ES"/>
        </w:rPr>
        <w:t xml:space="preserve"> </w:t>
      </w:r>
      <w:r w:rsidR="008F734D" w:rsidRPr="00E61E1C">
        <w:rPr>
          <w:lang w:eastAsia="es-ES"/>
        </w:rPr>
        <w:t>ces prisonniers</w:t>
      </w:r>
      <w:r w:rsidR="00996500" w:rsidRPr="00E61E1C">
        <w:rPr>
          <w:lang w:eastAsia="es-ES"/>
        </w:rPr>
        <w:t xml:space="preserve"> dans les prisons françaises</w:t>
      </w:r>
      <w:r w:rsidR="008F734D" w:rsidRPr="00E61E1C">
        <w:rPr>
          <w:lang w:eastAsia="es-ES"/>
        </w:rPr>
        <w:t xml:space="preserve">. </w:t>
      </w:r>
      <w:r w:rsidR="006E2E79" w:rsidRPr="00E61E1C">
        <w:rPr>
          <w:lang w:eastAsia="es-ES"/>
        </w:rPr>
        <w:t>P</w:t>
      </w:r>
      <w:r w:rsidR="004D5CB1" w:rsidRPr="00E61E1C">
        <w:rPr>
          <w:lang w:eastAsia="es-ES"/>
        </w:rPr>
        <w:t>récis</w:t>
      </w:r>
      <w:r w:rsidR="008F734D" w:rsidRPr="00E61E1C">
        <w:rPr>
          <w:lang w:eastAsia="es-ES"/>
        </w:rPr>
        <w:t xml:space="preserve">er le nombre de visites </w:t>
      </w:r>
      <w:r w:rsidR="00996500" w:rsidRPr="00E61E1C">
        <w:rPr>
          <w:lang w:eastAsia="es-ES"/>
        </w:rPr>
        <w:t>effectuées</w:t>
      </w:r>
      <w:r w:rsidR="008F734D" w:rsidRPr="00E61E1C">
        <w:rPr>
          <w:lang w:eastAsia="es-ES"/>
        </w:rPr>
        <w:t>, le nombre de ces prisonniers à l’heure actuelle</w:t>
      </w:r>
      <w:r w:rsidR="004D5CB1" w:rsidRPr="00E61E1C">
        <w:rPr>
          <w:lang w:eastAsia="es-ES"/>
        </w:rPr>
        <w:t xml:space="preserve"> et combien</w:t>
      </w:r>
      <w:r w:rsidR="008F734D" w:rsidRPr="00E61E1C">
        <w:rPr>
          <w:lang w:eastAsia="es-ES"/>
        </w:rPr>
        <w:t xml:space="preserve"> ont </w:t>
      </w:r>
      <w:r w:rsidR="004E4944" w:rsidRPr="00E61E1C">
        <w:rPr>
          <w:lang w:eastAsia="es-ES"/>
        </w:rPr>
        <w:t xml:space="preserve">rencontré </w:t>
      </w:r>
      <w:r w:rsidR="008F734D" w:rsidRPr="00E61E1C">
        <w:rPr>
          <w:lang w:eastAsia="es-ES"/>
        </w:rPr>
        <w:t xml:space="preserve">le fonctionnaire </w:t>
      </w:r>
      <w:r w:rsidR="00727ED4" w:rsidRPr="00E61E1C">
        <w:rPr>
          <w:lang w:eastAsia="es-ES"/>
        </w:rPr>
        <w:t xml:space="preserve">et </w:t>
      </w:r>
      <w:r w:rsidR="004D5CB1" w:rsidRPr="00E61E1C">
        <w:rPr>
          <w:lang w:eastAsia="es-ES"/>
        </w:rPr>
        <w:t>quel a été</w:t>
      </w:r>
      <w:r w:rsidR="00727ED4" w:rsidRPr="00E61E1C">
        <w:rPr>
          <w:lang w:eastAsia="es-ES"/>
        </w:rPr>
        <w:t xml:space="preserve"> le résultat de ces visites, y compris si les rapports sur les visites </w:t>
      </w:r>
      <w:r w:rsidR="00AB1634" w:rsidRPr="00E61E1C">
        <w:rPr>
          <w:lang w:eastAsia="es-ES"/>
        </w:rPr>
        <w:t xml:space="preserve">du fonctionnaire </w:t>
      </w:r>
      <w:r w:rsidR="00727ED4" w:rsidRPr="00E61E1C">
        <w:rPr>
          <w:lang w:eastAsia="es-ES"/>
        </w:rPr>
        <w:t>aux autorités françaises sont rendus publics.</w:t>
      </w:r>
      <w:r w:rsidR="001F6BAE" w:rsidRPr="00E61E1C">
        <w:rPr>
          <w:lang w:eastAsia="es-ES"/>
        </w:rPr>
        <w:t xml:space="preserve"> </w:t>
      </w:r>
      <w:r w:rsidR="001374EF" w:rsidRPr="00E61E1C">
        <w:rPr>
          <w:lang w:eastAsia="es-ES"/>
        </w:rPr>
        <w:t xml:space="preserve">Indiquer si </w:t>
      </w:r>
      <w:r w:rsidR="004D5CB1" w:rsidRPr="00E61E1C">
        <w:rPr>
          <w:lang w:eastAsia="es-ES"/>
        </w:rPr>
        <w:t xml:space="preserve">la nécessité du </w:t>
      </w:r>
      <w:r w:rsidRPr="00E61E1C">
        <w:rPr>
          <w:lang w:eastAsia="es-ES"/>
        </w:rPr>
        <w:t xml:space="preserve">consentement explicite des condamnés à Monaco sur leur transfèrement en France a été formellement </w:t>
      </w:r>
      <w:r w:rsidR="00FB70AC" w:rsidRPr="00E61E1C">
        <w:rPr>
          <w:lang w:eastAsia="es-ES"/>
        </w:rPr>
        <w:t>consacrée</w:t>
      </w:r>
      <w:r w:rsidRPr="00E61E1C">
        <w:rPr>
          <w:lang w:eastAsia="es-ES"/>
        </w:rPr>
        <w:t xml:space="preserve"> par un texte</w:t>
      </w:r>
      <w:r w:rsidR="001374EF" w:rsidRPr="00E61E1C">
        <w:rPr>
          <w:lang w:eastAsia="es-ES"/>
        </w:rPr>
        <w:t>.</w:t>
      </w:r>
    </w:p>
    <w:p w:rsidR="00105190" w:rsidRPr="00E61E1C" w:rsidRDefault="00105190" w:rsidP="00914350">
      <w:pPr>
        <w:pStyle w:val="H23G"/>
      </w:pPr>
      <w:r w:rsidRPr="00E61E1C">
        <w:tab/>
      </w:r>
      <w:r w:rsidRPr="00E61E1C">
        <w:tab/>
        <w:t>Articles 12 et 13</w:t>
      </w:r>
    </w:p>
    <w:p w:rsidR="00105190" w:rsidRPr="00E61E1C" w:rsidRDefault="00105190" w:rsidP="006E2E79">
      <w:pPr>
        <w:spacing w:after="120"/>
        <w:ind w:left="1134" w:right="1134"/>
        <w:jc w:val="both"/>
      </w:pPr>
      <w:r w:rsidRPr="00E61E1C">
        <w:t>11.</w:t>
      </w:r>
      <w:r w:rsidRPr="00E61E1C">
        <w:tab/>
      </w:r>
      <w:r w:rsidR="006E2E79" w:rsidRPr="00E61E1C">
        <w:t>F</w:t>
      </w:r>
      <w:r w:rsidRPr="00E61E1C">
        <w:t>ournir des données statistiques détaillées, ventilées par appartenance ethnique, âge et sexe, sur les plaintes relatives à des actes de torture ou à des mauvais traitements commis par des agents des forces de l’ordre, ainsi que sur les enquêtes</w:t>
      </w:r>
      <w:r w:rsidR="00F20DB6" w:rsidRPr="00E61E1C">
        <w:t xml:space="preserve"> qui auraient été menées à ce sujet</w:t>
      </w:r>
      <w:r w:rsidRPr="00E61E1C">
        <w:t xml:space="preserve">, </w:t>
      </w:r>
      <w:r w:rsidR="00BE2C8A" w:rsidRPr="00E61E1C">
        <w:t xml:space="preserve">et </w:t>
      </w:r>
      <w:r w:rsidR="00F20DB6" w:rsidRPr="00E61E1C">
        <w:t xml:space="preserve">les </w:t>
      </w:r>
      <w:r w:rsidRPr="00E61E1C">
        <w:t>poursuites et sanctions pénales ou disciplinaires</w:t>
      </w:r>
      <w:r w:rsidR="00F20DB6" w:rsidRPr="00E61E1C">
        <w:t xml:space="preserve"> prises</w:t>
      </w:r>
      <w:r w:rsidRPr="00E61E1C">
        <w:t>. Des exemples concrets d’infractions et de sanctions devraient aussi être fournis.</w:t>
      </w:r>
    </w:p>
    <w:p w:rsidR="00105190" w:rsidRPr="00E61E1C" w:rsidRDefault="00105190" w:rsidP="00914350">
      <w:pPr>
        <w:pStyle w:val="H23G"/>
      </w:pPr>
      <w:r w:rsidRPr="00E61E1C">
        <w:tab/>
      </w:r>
      <w:r w:rsidRPr="00E61E1C">
        <w:tab/>
        <w:t>Article 14</w:t>
      </w:r>
    </w:p>
    <w:p w:rsidR="00105190" w:rsidRPr="00E61E1C" w:rsidRDefault="00105190" w:rsidP="00FB70AC">
      <w:pPr>
        <w:spacing w:after="120"/>
        <w:ind w:left="1134" w:right="1134"/>
        <w:jc w:val="both"/>
        <w:rPr>
          <w:lang w:eastAsia="es-ES"/>
        </w:rPr>
      </w:pPr>
      <w:r w:rsidRPr="00E61E1C">
        <w:t>12.</w:t>
      </w:r>
      <w:r w:rsidRPr="00E61E1C">
        <w:tab/>
      </w:r>
      <w:r w:rsidR="005546DB" w:rsidRPr="00E61E1C">
        <w:rPr>
          <w:lang w:eastAsia="es-ES"/>
        </w:rPr>
        <w:t>À</w:t>
      </w:r>
      <w:r w:rsidRPr="00E61E1C">
        <w:rPr>
          <w:lang w:eastAsia="es-ES"/>
        </w:rPr>
        <w:t xml:space="preserve"> la lumière des précédentes observations finales du Comité (</w:t>
      </w:r>
      <w:r w:rsidR="003F7ADC" w:rsidRPr="00E61E1C">
        <w:rPr>
          <w:lang w:eastAsia="es-ES"/>
        </w:rPr>
        <w:t>par. </w:t>
      </w:r>
      <w:r w:rsidRPr="00E61E1C">
        <w:rPr>
          <w:lang w:eastAsia="es-ES"/>
        </w:rPr>
        <w:t>12), indiquer si des dispositions spécifiques relatives à la réparation et à l’indemnisation des victimes de torture ou de mauvais traitements, y compris en cas de mort de la victime résultant d’un acte de torture, ont été incorporé</w:t>
      </w:r>
      <w:r w:rsidR="00FD462D" w:rsidRPr="00E61E1C">
        <w:rPr>
          <w:lang w:eastAsia="es-ES"/>
        </w:rPr>
        <w:t>es</w:t>
      </w:r>
      <w:r w:rsidRPr="00E61E1C">
        <w:rPr>
          <w:lang w:eastAsia="es-ES"/>
        </w:rPr>
        <w:t xml:space="preserve"> dans </w:t>
      </w:r>
      <w:r w:rsidR="006F5839" w:rsidRPr="00E61E1C">
        <w:rPr>
          <w:lang w:eastAsia="es-ES"/>
        </w:rPr>
        <w:t xml:space="preserve">la </w:t>
      </w:r>
      <w:r w:rsidR="00FD462D" w:rsidRPr="00E61E1C">
        <w:rPr>
          <w:lang w:eastAsia="es-ES"/>
        </w:rPr>
        <w:t>loi n° 1.382 du 20 juillet 2011 relative à la prévention et à la répression des violences particulières</w:t>
      </w:r>
      <w:r w:rsidRPr="00E61E1C">
        <w:rPr>
          <w:lang w:eastAsia="es-ES"/>
        </w:rPr>
        <w:t>, en conformité avec l’article</w:t>
      </w:r>
      <w:r w:rsidR="00FB70AC" w:rsidRPr="00E61E1C">
        <w:rPr>
          <w:lang w:eastAsia="es-ES"/>
        </w:rPr>
        <w:t> </w:t>
      </w:r>
      <w:r w:rsidRPr="00E61E1C">
        <w:rPr>
          <w:lang w:eastAsia="es-ES"/>
        </w:rPr>
        <w:t>14 de la Convention et l</w:t>
      </w:r>
      <w:r w:rsidR="00F20DB6" w:rsidRPr="00E61E1C">
        <w:rPr>
          <w:lang w:eastAsia="es-ES"/>
        </w:rPr>
        <w:t>’observation</w:t>
      </w:r>
      <w:r w:rsidRPr="00E61E1C">
        <w:rPr>
          <w:lang w:eastAsia="es-ES"/>
        </w:rPr>
        <w:t xml:space="preserve"> général</w:t>
      </w:r>
      <w:r w:rsidR="00F20DB6" w:rsidRPr="00E61E1C">
        <w:rPr>
          <w:lang w:eastAsia="es-ES"/>
        </w:rPr>
        <w:t>e</w:t>
      </w:r>
      <w:r w:rsidRPr="00E61E1C">
        <w:rPr>
          <w:lang w:eastAsia="es-ES"/>
        </w:rPr>
        <w:t xml:space="preserve"> n</w:t>
      </w:r>
      <w:r w:rsidR="00FD462D" w:rsidRPr="00E61E1C">
        <w:rPr>
          <w:lang w:eastAsia="es-ES"/>
        </w:rPr>
        <w:t>° </w:t>
      </w:r>
      <w:r w:rsidRPr="00E61E1C">
        <w:rPr>
          <w:lang w:eastAsia="es-ES"/>
        </w:rPr>
        <w:t xml:space="preserve">3 </w:t>
      </w:r>
      <w:r w:rsidR="00F20DB6" w:rsidRPr="00E61E1C">
        <w:rPr>
          <w:lang w:eastAsia="es-ES"/>
        </w:rPr>
        <w:t>(2</w:t>
      </w:r>
      <w:r w:rsidR="00F20DB6" w:rsidRPr="00E61E1C">
        <w:rPr>
          <w:rStyle w:val="SingleTxtGChar"/>
        </w:rPr>
        <w:t xml:space="preserve">012) </w:t>
      </w:r>
      <w:r w:rsidR="005B5D27" w:rsidRPr="00E61E1C">
        <w:rPr>
          <w:rStyle w:val="SingleTxtGChar"/>
        </w:rPr>
        <w:t>sur l’application de l’article</w:t>
      </w:r>
      <w:r w:rsidR="0027536D" w:rsidRPr="00E61E1C">
        <w:rPr>
          <w:rStyle w:val="SingleTxtGChar"/>
        </w:rPr>
        <w:t> </w:t>
      </w:r>
      <w:r w:rsidR="005B5D27" w:rsidRPr="00E61E1C">
        <w:rPr>
          <w:rStyle w:val="SingleTxtGChar"/>
        </w:rPr>
        <w:t>14 par les États parties</w:t>
      </w:r>
      <w:r w:rsidRPr="00E61E1C">
        <w:t>.</w:t>
      </w:r>
      <w:r w:rsidR="003F7ADC" w:rsidRPr="00E61E1C">
        <w:t xml:space="preserve"> </w:t>
      </w:r>
    </w:p>
    <w:p w:rsidR="00105190" w:rsidRPr="00E61E1C" w:rsidRDefault="00105190" w:rsidP="00914350">
      <w:pPr>
        <w:pStyle w:val="H23G"/>
      </w:pPr>
      <w:r w:rsidRPr="00E61E1C">
        <w:tab/>
      </w:r>
      <w:r w:rsidRPr="00E61E1C">
        <w:tab/>
      </w:r>
      <w:r w:rsidRPr="00E61E1C">
        <w:rPr>
          <w:lang w:eastAsia="es-ES"/>
        </w:rPr>
        <w:t>Autres questions</w:t>
      </w:r>
    </w:p>
    <w:p w:rsidR="00105190" w:rsidRPr="00E61E1C" w:rsidRDefault="00105190" w:rsidP="00AA4C2F">
      <w:pPr>
        <w:spacing w:after="120"/>
        <w:ind w:left="1134" w:right="1134"/>
        <w:jc w:val="both"/>
      </w:pPr>
      <w:r w:rsidRPr="00E61E1C">
        <w:t>13.</w:t>
      </w:r>
      <w:r w:rsidRPr="00E61E1C">
        <w:tab/>
      </w:r>
      <w:r w:rsidR="006E2E79" w:rsidRPr="00E61E1C">
        <w:t>D</w:t>
      </w:r>
      <w:r w:rsidRPr="00E61E1C">
        <w:t>onner des informations à jour sur les dispositions prises par l’État partie pour répondre à d’éventuelles menaces terroristes</w:t>
      </w:r>
      <w:r w:rsidR="00817255" w:rsidRPr="00E61E1C">
        <w:t>. Précise</w:t>
      </w:r>
      <w:r w:rsidR="006E2E79" w:rsidRPr="00E61E1C">
        <w:t>r</w:t>
      </w:r>
      <w:r w:rsidR="00817255" w:rsidRPr="00E61E1C">
        <w:t xml:space="preserve"> </w:t>
      </w:r>
      <w:r w:rsidRPr="00E61E1C">
        <w:t>si elles ont eu des répercussions sur les garanties relatives aux droits de l’homme, en droit et dans la pratique, et de quelle manière, et indique</w:t>
      </w:r>
      <w:r w:rsidR="006E2E79" w:rsidRPr="00E61E1C">
        <w:t>r</w:t>
      </w:r>
      <w:r w:rsidRPr="00E61E1C">
        <w:t xml:space="preserve"> comment l’État partie a procédé pour assurer la conformité des mesures antiterroristes avec toutes les obligations qui lui incombent en vertu du droit international. </w:t>
      </w:r>
      <w:r w:rsidR="00FD462D" w:rsidRPr="00E61E1C">
        <w:t>Décri</w:t>
      </w:r>
      <w:r w:rsidR="006E2E79" w:rsidRPr="00E61E1C">
        <w:t>re</w:t>
      </w:r>
      <w:r w:rsidR="00FD462D" w:rsidRPr="00E61E1C">
        <w:t xml:space="preserve"> </w:t>
      </w:r>
      <w:r w:rsidRPr="00E61E1C">
        <w:t>la formation dispensée en la matière aux forces de l’ordre, le nombre et la nature des condamnations prononcées en application de la législation antiterroriste et les recours dont disposent les personnes soumises aux mesures antiterroristes</w:t>
      </w:r>
      <w:r w:rsidR="00817255" w:rsidRPr="00E61E1C">
        <w:t>. I</w:t>
      </w:r>
      <w:r w:rsidRPr="00E61E1C">
        <w:t>ndique</w:t>
      </w:r>
      <w:r w:rsidR="006E2E79" w:rsidRPr="00E61E1C">
        <w:t>r</w:t>
      </w:r>
      <w:r w:rsidRPr="00E61E1C">
        <w:t xml:space="preserve"> si des plaintes ont été déposées pour non-respect des normes internationales et l’issue de ces plaintes.</w:t>
      </w:r>
    </w:p>
    <w:p w:rsidR="00105190" w:rsidRPr="00E61E1C" w:rsidRDefault="00105190" w:rsidP="00914350">
      <w:pPr>
        <w:pStyle w:val="H23G"/>
        <w:rPr>
          <w:lang w:eastAsia="es-ES"/>
        </w:rPr>
      </w:pPr>
      <w:r w:rsidRPr="00E61E1C">
        <w:rPr>
          <w:lang w:eastAsia="es-ES"/>
        </w:rPr>
        <w:tab/>
      </w:r>
      <w:r w:rsidRPr="00E61E1C">
        <w:rPr>
          <w:lang w:eastAsia="es-ES"/>
        </w:rPr>
        <w:tab/>
        <w:t>Renseignements d’ordre général sur la situation des droits de l’homme dans l’</w:t>
      </w:r>
      <w:r w:rsidR="005546DB" w:rsidRPr="00E61E1C">
        <w:rPr>
          <w:bCs/>
          <w:lang w:val="fr-FR"/>
        </w:rPr>
        <w:t>É</w:t>
      </w:r>
      <w:r w:rsidRPr="00E61E1C">
        <w:rPr>
          <w:lang w:eastAsia="es-ES"/>
        </w:rPr>
        <w:t xml:space="preserve">tat partie, y compris sur les nouvelles mesures et les faits nouveaux concernant la mise en </w:t>
      </w:r>
      <w:r w:rsidR="004B475F" w:rsidRPr="00E61E1C">
        <w:rPr>
          <w:lang w:eastAsia="es-ES"/>
        </w:rPr>
        <w:t>œuvre</w:t>
      </w:r>
      <w:r w:rsidRPr="00E61E1C">
        <w:rPr>
          <w:lang w:eastAsia="es-ES"/>
        </w:rPr>
        <w:t xml:space="preserve"> de la Convention </w:t>
      </w:r>
    </w:p>
    <w:p w:rsidR="00132DB3" w:rsidRPr="00E61E1C" w:rsidRDefault="00132DB3" w:rsidP="008E4E1F">
      <w:pPr>
        <w:pStyle w:val="SingleTxtG"/>
        <w:rPr>
          <w:lang w:eastAsia="es-ES"/>
        </w:rPr>
      </w:pPr>
      <w:r w:rsidRPr="00E61E1C">
        <w:rPr>
          <w:lang w:eastAsia="es-ES"/>
        </w:rPr>
        <w:t>14.</w:t>
      </w:r>
      <w:r w:rsidRPr="00E61E1C">
        <w:rPr>
          <w:lang w:eastAsia="es-ES"/>
        </w:rPr>
        <w:tab/>
      </w:r>
      <w:r w:rsidR="007D7A46" w:rsidRPr="00E61E1C">
        <w:rPr>
          <w:lang w:eastAsia="es-ES"/>
        </w:rPr>
        <w:t>Donner</w:t>
      </w:r>
      <w:r w:rsidRPr="00E61E1C">
        <w:rPr>
          <w:lang w:eastAsia="es-ES"/>
        </w:rPr>
        <w:t xml:space="preserve"> des informations détaillées sur </w:t>
      </w:r>
      <w:r w:rsidR="007D7A46" w:rsidRPr="00E61E1C">
        <w:rPr>
          <w:lang w:eastAsia="es-ES"/>
        </w:rPr>
        <w:t xml:space="preserve">toute </w:t>
      </w:r>
      <w:r w:rsidRPr="00E61E1C">
        <w:rPr>
          <w:lang w:eastAsia="es-ES"/>
        </w:rPr>
        <w:t xml:space="preserve">mesure </w:t>
      </w:r>
      <w:r w:rsidR="007D7A46" w:rsidRPr="00E61E1C">
        <w:rPr>
          <w:lang w:eastAsia="es-ES"/>
        </w:rPr>
        <w:t xml:space="preserve">pertinente d’ordre </w:t>
      </w:r>
      <w:r w:rsidRPr="00E61E1C">
        <w:rPr>
          <w:lang w:eastAsia="es-ES"/>
        </w:rPr>
        <w:t>législati</w:t>
      </w:r>
      <w:r w:rsidR="007D7A46" w:rsidRPr="00E61E1C">
        <w:rPr>
          <w:lang w:eastAsia="es-ES"/>
        </w:rPr>
        <w:t>f</w:t>
      </w:r>
      <w:r w:rsidRPr="00E61E1C">
        <w:rPr>
          <w:lang w:eastAsia="es-ES"/>
        </w:rPr>
        <w:t>, administrati</w:t>
      </w:r>
      <w:r w:rsidR="007D7A46" w:rsidRPr="00E61E1C">
        <w:rPr>
          <w:lang w:eastAsia="es-ES"/>
        </w:rPr>
        <w:t>f</w:t>
      </w:r>
      <w:r w:rsidRPr="00E61E1C">
        <w:rPr>
          <w:lang w:eastAsia="es-ES"/>
        </w:rPr>
        <w:t xml:space="preserve">, judiciaire et autre </w:t>
      </w:r>
      <w:r w:rsidR="007D7A46" w:rsidRPr="00E61E1C">
        <w:rPr>
          <w:lang w:eastAsia="es-ES"/>
        </w:rPr>
        <w:t xml:space="preserve">qui a été </w:t>
      </w:r>
      <w:r w:rsidRPr="00E61E1C">
        <w:rPr>
          <w:lang w:eastAsia="es-ES"/>
        </w:rPr>
        <w:t>prise depuis l</w:t>
      </w:r>
      <w:r w:rsidR="00817255" w:rsidRPr="00E61E1C">
        <w:t>’</w:t>
      </w:r>
      <w:r w:rsidRPr="00E61E1C">
        <w:rPr>
          <w:lang w:eastAsia="es-ES"/>
        </w:rPr>
        <w:t>examen du précédent rapport</w:t>
      </w:r>
      <w:r w:rsidR="007D7A46" w:rsidRPr="00E61E1C">
        <w:rPr>
          <w:lang w:eastAsia="es-ES"/>
        </w:rPr>
        <w:t xml:space="preserve"> pour </w:t>
      </w:r>
      <w:r w:rsidRPr="00E61E1C">
        <w:rPr>
          <w:lang w:eastAsia="es-ES"/>
        </w:rPr>
        <w:t>mett</w:t>
      </w:r>
      <w:r w:rsidR="007D7A46" w:rsidRPr="00E61E1C">
        <w:rPr>
          <w:lang w:eastAsia="es-ES"/>
        </w:rPr>
        <w:t>r</w:t>
      </w:r>
      <w:r w:rsidRPr="00E61E1C">
        <w:rPr>
          <w:lang w:eastAsia="es-ES"/>
        </w:rPr>
        <w:t xml:space="preserve">e en œuvre les dispositions de la Convention ou </w:t>
      </w:r>
      <w:r w:rsidR="007D7A46" w:rsidRPr="00E61E1C">
        <w:rPr>
          <w:lang w:eastAsia="es-ES"/>
        </w:rPr>
        <w:t xml:space="preserve">pour donner suite aux </w:t>
      </w:r>
      <w:r w:rsidRPr="00E61E1C">
        <w:rPr>
          <w:lang w:eastAsia="es-ES"/>
        </w:rPr>
        <w:t xml:space="preserve">recommandations du Comité. </w:t>
      </w:r>
      <w:r w:rsidR="007D7A46" w:rsidRPr="00E61E1C">
        <w:rPr>
          <w:lang w:eastAsia="es-ES"/>
        </w:rPr>
        <w:t xml:space="preserve">Il peut s’agir aussi </w:t>
      </w:r>
      <w:r w:rsidRPr="00E61E1C">
        <w:rPr>
          <w:lang w:eastAsia="es-ES"/>
        </w:rPr>
        <w:t>de changements institutionnels</w:t>
      </w:r>
      <w:r w:rsidR="007D7A46" w:rsidRPr="00E61E1C">
        <w:rPr>
          <w:lang w:eastAsia="es-ES"/>
        </w:rPr>
        <w:t xml:space="preserve"> et</w:t>
      </w:r>
      <w:r w:rsidRPr="00E61E1C">
        <w:rPr>
          <w:lang w:eastAsia="es-ES"/>
        </w:rPr>
        <w:t xml:space="preserve"> de plans ou programmes</w:t>
      </w:r>
      <w:r w:rsidR="007D7A46" w:rsidRPr="00E61E1C">
        <w:rPr>
          <w:lang w:eastAsia="es-ES"/>
        </w:rPr>
        <w:t xml:space="preserve">. Préciser </w:t>
      </w:r>
      <w:r w:rsidR="00ED686E" w:rsidRPr="00E61E1C">
        <w:rPr>
          <w:lang w:eastAsia="es-ES"/>
        </w:rPr>
        <w:t>l</w:t>
      </w:r>
      <w:r w:rsidRPr="00E61E1C">
        <w:rPr>
          <w:lang w:eastAsia="es-ES"/>
        </w:rPr>
        <w:t xml:space="preserve">es ressources allouées et </w:t>
      </w:r>
      <w:r w:rsidR="007D7A46" w:rsidRPr="00E61E1C">
        <w:rPr>
          <w:lang w:eastAsia="es-ES"/>
        </w:rPr>
        <w:t xml:space="preserve">fournir </w:t>
      </w:r>
      <w:r w:rsidRPr="00E61E1C">
        <w:rPr>
          <w:lang w:eastAsia="es-ES"/>
        </w:rPr>
        <w:t>des données statistiques ou tout</w:t>
      </w:r>
      <w:r w:rsidR="007D7A46" w:rsidRPr="00E61E1C">
        <w:rPr>
          <w:lang w:eastAsia="es-ES"/>
        </w:rPr>
        <w:t>e</w:t>
      </w:r>
      <w:r w:rsidRPr="00E61E1C">
        <w:rPr>
          <w:lang w:eastAsia="es-ES"/>
        </w:rPr>
        <w:t xml:space="preserve"> autre information que l</w:t>
      </w:r>
      <w:r w:rsidR="00817255" w:rsidRPr="00E61E1C">
        <w:t>’</w:t>
      </w:r>
      <w:r w:rsidRPr="00E61E1C">
        <w:rPr>
          <w:lang w:eastAsia="es-ES"/>
        </w:rPr>
        <w:t xml:space="preserve">État partie </w:t>
      </w:r>
      <w:r w:rsidR="007D7A46" w:rsidRPr="00E61E1C">
        <w:rPr>
          <w:lang w:eastAsia="es-ES"/>
        </w:rPr>
        <w:t>estime utile.</w:t>
      </w:r>
    </w:p>
    <w:p w:rsidR="00105190" w:rsidRPr="00250BDD" w:rsidRDefault="00250BDD" w:rsidP="00250BDD">
      <w:pPr>
        <w:spacing w:before="240"/>
        <w:ind w:left="1134" w:right="1134"/>
        <w:jc w:val="center"/>
        <w:rPr>
          <w:u w:val="single"/>
          <w:lang w:eastAsia="en-GB"/>
        </w:rPr>
      </w:pPr>
      <w:r>
        <w:rPr>
          <w:u w:val="single"/>
          <w:lang w:eastAsia="en-GB"/>
        </w:rPr>
        <w:tab/>
      </w:r>
      <w:r>
        <w:rPr>
          <w:u w:val="single"/>
          <w:lang w:eastAsia="en-GB"/>
        </w:rPr>
        <w:tab/>
      </w:r>
      <w:r>
        <w:rPr>
          <w:u w:val="single"/>
          <w:lang w:eastAsia="en-GB"/>
        </w:rPr>
        <w:tab/>
      </w:r>
    </w:p>
    <w:sectPr w:rsidR="00105190" w:rsidRPr="00250BDD" w:rsidSect="00A70FF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0A" w:rsidRDefault="00BD660A"/>
  </w:endnote>
  <w:endnote w:type="continuationSeparator" w:id="0">
    <w:p w:rsidR="00BD660A" w:rsidRDefault="00BD660A"/>
  </w:endnote>
  <w:endnote w:type="continuationNotice" w:id="1">
    <w:p w:rsidR="00BD660A" w:rsidRDefault="00BD660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7B" w:rsidRPr="00A70FFD" w:rsidRDefault="006C317B" w:rsidP="00A70FFD">
    <w:pPr>
      <w:pStyle w:val="Footer"/>
      <w:tabs>
        <w:tab w:val="right" w:pos="9638"/>
      </w:tabs>
    </w:pPr>
    <w:r w:rsidRPr="00A70FFD">
      <w:rPr>
        <w:b/>
        <w:sz w:val="18"/>
      </w:rPr>
      <w:fldChar w:fldCharType="begin"/>
    </w:r>
    <w:r w:rsidRPr="00A70FFD">
      <w:rPr>
        <w:b/>
        <w:sz w:val="18"/>
      </w:rPr>
      <w:instrText xml:space="preserve"> PAGE  \* MERGEFORMAT </w:instrText>
    </w:r>
    <w:r w:rsidRPr="00A70FFD">
      <w:rPr>
        <w:b/>
        <w:sz w:val="18"/>
      </w:rPr>
      <w:fldChar w:fldCharType="separate"/>
    </w:r>
    <w:r w:rsidR="00CE124F">
      <w:rPr>
        <w:b/>
        <w:noProof/>
        <w:sz w:val="18"/>
      </w:rPr>
      <w:t>2</w:t>
    </w:r>
    <w:r w:rsidRPr="00A70FF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7B" w:rsidRPr="00A70FFD" w:rsidRDefault="006C317B" w:rsidP="00A70FFD">
    <w:pPr>
      <w:pStyle w:val="Footer"/>
      <w:tabs>
        <w:tab w:val="right" w:pos="9638"/>
      </w:tabs>
      <w:rPr>
        <w:b/>
        <w:sz w:val="18"/>
      </w:rPr>
    </w:pPr>
    <w:r>
      <w:tab/>
    </w:r>
    <w:r w:rsidRPr="00A70FFD">
      <w:rPr>
        <w:b/>
        <w:sz w:val="18"/>
      </w:rPr>
      <w:fldChar w:fldCharType="begin"/>
    </w:r>
    <w:r w:rsidRPr="00A70FFD">
      <w:rPr>
        <w:b/>
        <w:sz w:val="18"/>
      </w:rPr>
      <w:instrText xml:space="preserve"> PAGE  \* MERGEFORMAT </w:instrText>
    </w:r>
    <w:r w:rsidRPr="00A70FFD">
      <w:rPr>
        <w:b/>
        <w:sz w:val="18"/>
      </w:rPr>
      <w:fldChar w:fldCharType="separate"/>
    </w:r>
    <w:r w:rsidR="00CE124F">
      <w:rPr>
        <w:b/>
        <w:noProof/>
        <w:sz w:val="18"/>
      </w:rPr>
      <w:t>3</w:t>
    </w:r>
    <w:r w:rsidRPr="00A70FF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7B" w:rsidRPr="00A70FFD" w:rsidRDefault="006C317B">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GE.13</w:t>
    </w:r>
    <w:r w:rsidR="00D823A3">
      <w:rPr>
        <w:sz w:val="20"/>
      </w:rPr>
      <w:t>-</w:t>
    </w:r>
    <w:r w:rsidR="00CE124F">
      <w:rPr>
        <w:sz w:val="20"/>
      </w:rPr>
      <w:t>45541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0A" w:rsidRPr="00D27D5E" w:rsidRDefault="00BD660A" w:rsidP="00D27D5E">
      <w:pPr>
        <w:tabs>
          <w:tab w:val="right" w:pos="2155"/>
        </w:tabs>
        <w:spacing w:after="80"/>
        <w:ind w:left="680"/>
        <w:rPr>
          <w:u w:val="single"/>
        </w:rPr>
      </w:pPr>
      <w:r>
        <w:rPr>
          <w:u w:val="single"/>
        </w:rPr>
        <w:tab/>
      </w:r>
    </w:p>
  </w:footnote>
  <w:footnote w:type="continuationSeparator" w:id="0">
    <w:p w:rsidR="00BD660A" w:rsidRPr="00A103C4" w:rsidRDefault="00BD660A" w:rsidP="00A103C4">
      <w:pPr>
        <w:tabs>
          <w:tab w:val="right" w:pos="2155"/>
        </w:tabs>
        <w:spacing w:after="80"/>
        <w:ind w:left="680"/>
        <w:rPr>
          <w:u w:val="single"/>
        </w:rPr>
      </w:pPr>
      <w:r w:rsidRPr="00A103C4">
        <w:rPr>
          <w:u w:val="single"/>
        </w:rPr>
        <w:tab/>
      </w:r>
    </w:p>
  </w:footnote>
  <w:footnote w:type="continuationNotice" w:id="1">
    <w:p w:rsidR="00BD660A" w:rsidRDefault="00BD660A"/>
  </w:footnote>
  <w:footnote w:id="2">
    <w:p w:rsidR="006C317B" w:rsidRPr="00E61E1C" w:rsidRDefault="006C317B" w:rsidP="00E152B7">
      <w:pPr>
        <w:pStyle w:val="FootnoteText"/>
        <w:widowControl w:val="0"/>
        <w:tabs>
          <w:tab w:val="clear" w:pos="1021"/>
          <w:tab w:val="right" w:pos="1020"/>
        </w:tabs>
        <w:jc w:val="both"/>
        <w:rPr>
          <w:lang w:val="fr-FR"/>
        </w:rPr>
      </w:pPr>
      <w:r w:rsidRPr="00E61E1C">
        <w:rPr>
          <w:lang w:val="fr-FR"/>
        </w:rPr>
        <w:tab/>
      </w:r>
      <w:r w:rsidRPr="00E61E1C">
        <w:rPr>
          <w:rStyle w:val="FootnoteReference"/>
          <w:lang w:val="fr-FR"/>
        </w:rPr>
        <w:footnoteRef/>
      </w:r>
      <w:r w:rsidRPr="00E61E1C">
        <w:rPr>
          <w:lang w:val="fr-FR"/>
        </w:rPr>
        <w:tab/>
        <w:t>Les numéros des paragraphes entre parenthèses renvoient aux précédentes observations finales du Comité, publiées sous la cote CAT/C/MCO/CO/4-5.</w:t>
      </w:r>
    </w:p>
  </w:footnote>
  <w:footnote w:id="3">
    <w:p w:rsidR="006C317B" w:rsidRPr="00E61E1C" w:rsidRDefault="006C317B" w:rsidP="00E152B7">
      <w:pPr>
        <w:pStyle w:val="FootnoteText"/>
        <w:widowControl w:val="0"/>
        <w:tabs>
          <w:tab w:val="clear" w:pos="1021"/>
          <w:tab w:val="right" w:pos="1020"/>
        </w:tabs>
        <w:jc w:val="both"/>
        <w:rPr>
          <w:lang w:val="fr-FR"/>
        </w:rPr>
      </w:pPr>
      <w:r w:rsidRPr="00E61E1C">
        <w:rPr>
          <w:lang w:val="fr-FR"/>
        </w:rPr>
        <w:tab/>
      </w:r>
      <w:r w:rsidRPr="00E61E1C">
        <w:rPr>
          <w:rStyle w:val="FootnoteReference"/>
          <w:lang w:val="fr-FR"/>
        </w:rPr>
        <w:footnoteRef/>
      </w:r>
      <w:r w:rsidRPr="00E61E1C">
        <w:rPr>
          <w:lang w:val="fr-FR"/>
        </w:rPr>
        <w:tab/>
        <w:t>Les questions soulevées au titre de l’article 2 peuvent également l’être au titre d’autres articles de la Convention, notamment, mais pas exclusivement de l’article 16. Comme il est indiqué au paragraphe 3 de l’Observation générale n° 2 (2007) sur l’application de l’article 2 par les États parties, «L’obligation de prévenir la torture consacrée à l’article 2 est de portée large. Cette obligation et celle de prévenir les peines ou traitements cruels, inhumains ou dégradants (ci-après “mauvais traitements”),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 Voir également la partie V de cette même observation générale.</w:t>
      </w:r>
    </w:p>
  </w:footnote>
  <w:footnote w:id="4">
    <w:p w:rsidR="006C317B" w:rsidRPr="00E61E1C" w:rsidRDefault="006C317B" w:rsidP="00E152B7">
      <w:pPr>
        <w:pStyle w:val="FootnoteText"/>
        <w:jc w:val="both"/>
        <w:rPr>
          <w:sz w:val="16"/>
          <w:szCs w:val="16"/>
          <w:lang w:val="fr-FR" w:eastAsia="en-GB"/>
        </w:rPr>
      </w:pPr>
      <w:r w:rsidRPr="00E61E1C">
        <w:rPr>
          <w:lang w:val="fr-FR" w:eastAsia="en-GB"/>
        </w:rPr>
        <w:tab/>
      </w:r>
      <w:r w:rsidRPr="00E61E1C">
        <w:rPr>
          <w:sz w:val="16"/>
          <w:szCs w:val="16"/>
          <w:vertAlign w:val="superscript"/>
          <w:lang w:val="fr-FR" w:eastAsia="en-GB"/>
        </w:rPr>
        <w:footnoteRef/>
      </w:r>
      <w:r w:rsidRPr="00E61E1C">
        <w:rPr>
          <w:sz w:val="16"/>
          <w:szCs w:val="16"/>
          <w:lang w:val="fr-FR" w:eastAsia="en-GB"/>
        </w:rPr>
        <w:tab/>
        <w:t>CAT/C/MCO/CO/4-5/Add.1.</w:t>
      </w:r>
    </w:p>
  </w:footnote>
  <w:footnote w:id="5">
    <w:p w:rsidR="006C317B" w:rsidRPr="00E61E1C" w:rsidRDefault="006C317B" w:rsidP="00E152B7">
      <w:pPr>
        <w:pStyle w:val="FootnoteText"/>
        <w:jc w:val="both"/>
        <w:rPr>
          <w:sz w:val="16"/>
          <w:szCs w:val="16"/>
          <w:lang w:val="fr-FR" w:eastAsia="en-GB"/>
        </w:rPr>
      </w:pPr>
      <w:r w:rsidRPr="00E61E1C">
        <w:rPr>
          <w:lang w:val="fr-FR" w:eastAsia="en-GB"/>
        </w:rPr>
        <w:tab/>
      </w:r>
      <w:r w:rsidRPr="00E61E1C">
        <w:rPr>
          <w:sz w:val="16"/>
          <w:szCs w:val="16"/>
          <w:vertAlign w:val="superscript"/>
          <w:lang w:val="fr-FR" w:eastAsia="en-GB"/>
        </w:rPr>
        <w:footnoteRef/>
      </w:r>
      <w:r w:rsidRPr="00E61E1C">
        <w:rPr>
          <w:sz w:val="16"/>
          <w:szCs w:val="16"/>
          <w:lang w:val="fr-FR" w:eastAsia="en-GB"/>
        </w:rPr>
        <w:tab/>
        <w:t>Ibid.</w:t>
      </w:r>
    </w:p>
  </w:footnote>
  <w:footnote w:id="6">
    <w:p w:rsidR="006C317B" w:rsidRPr="00E61E1C" w:rsidRDefault="006C317B" w:rsidP="00E152B7">
      <w:pPr>
        <w:pStyle w:val="FootnoteText"/>
        <w:jc w:val="both"/>
        <w:rPr>
          <w:sz w:val="16"/>
          <w:szCs w:val="16"/>
          <w:lang w:val="fr-FR" w:eastAsia="en-GB"/>
        </w:rPr>
      </w:pPr>
      <w:r w:rsidRPr="00E61E1C">
        <w:rPr>
          <w:lang w:val="fr-FR" w:eastAsia="en-GB"/>
        </w:rPr>
        <w:tab/>
      </w:r>
      <w:r w:rsidRPr="00E61E1C">
        <w:rPr>
          <w:sz w:val="16"/>
          <w:szCs w:val="16"/>
          <w:vertAlign w:val="superscript"/>
          <w:lang w:val="fr-FR" w:eastAsia="en-GB"/>
        </w:rPr>
        <w:footnoteRef/>
      </w:r>
      <w:r w:rsidRPr="00E61E1C">
        <w:rPr>
          <w:sz w:val="16"/>
          <w:szCs w:val="16"/>
          <w:lang w:val="fr-FR" w:eastAsia="en-GB"/>
        </w:rPr>
        <w:tab/>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7B" w:rsidRPr="00A70FFD" w:rsidRDefault="006C317B">
    <w:pPr>
      <w:pStyle w:val="Header"/>
    </w:pPr>
    <w:r>
      <w:t>CAT/C/MCO/QPR/6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7B" w:rsidRPr="00A70FFD" w:rsidRDefault="006C317B" w:rsidP="00A70FFD">
    <w:pPr>
      <w:pStyle w:val="Header"/>
      <w:jc w:val="right"/>
    </w:pPr>
    <w:r>
      <w:t>CAT/C/MCO/QPR/6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4F" w:rsidRDefault="00CE12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FFD"/>
    <w:rsid w:val="00000968"/>
    <w:rsid w:val="00001F11"/>
    <w:rsid w:val="00014321"/>
    <w:rsid w:val="00016AC5"/>
    <w:rsid w:val="00021CC8"/>
    <w:rsid w:val="00050FE3"/>
    <w:rsid w:val="00072980"/>
    <w:rsid w:val="00073575"/>
    <w:rsid w:val="000A04AB"/>
    <w:rsid w:val="000A3903"/>
    <w:rsid w:val="000D7208"/>
    <w:rsid w:val="000E5314"/>
    <w:rsid w:val="000F41F2"/>
    <w:rsid w:val="00105190"/>
    <w:rsid w:val="00126C31"/>
    <w:rsid w:val="001307C7"/>
    <w:rsid w:val="0013286D"/>
    <w:rsid w:val="00132DB3"/>
    <w:rsid w:val="001374EF"/>
    <w:rsid w:val="00137A17"/>
    <w:rsid w:val="00156612"/>
    <w:rsid w:val="00160540"/>
    <w:rsid w:val="00176BCA"/>
    <w:rsid w:val="00192EEB"/>
    <w:rsid w:val="001A1611"/>
    <w:rsid w:val="001A20FB"/>
    <w:rsid w:val="001C182F"/>
    <w:rsid w:val="001C2FC1"/>
    <w:rsid w:val="001C43CF"/>
    <w:rsid w:val="001C7150"/>
    <w:rsid w:val="001D7F8A"/>
    <w:rsid w:val="001E07E2"/>
    <w:rsid w:val="001E3FEB"/>
    <w:rsid w:val="001E4A02"/>
    <w:rsid w:val="001E76A0"/>
    <w:rsid w:val="001F6BAE"/>
    <w:rsid w:val="0020074D"/>
    <w:rsid w:val="00217952"/>
    <w:rsid w:val="00225A8C"/>
    <w:rsid w:val="00227D82"/>
    <w:rsid w:val="00233958"/>
    <w:rsid w:val="002414AC"/>
    <w:rsid w:val="002414F9"/>
    <w:rsid w:val="00250BDD"/>
    <w:rsid w:val="00254AF1"/>
    <w:rsid w:val="00256720"/>
    <w:rsid w:val="00263535"/>
    <w:rsid w:val="002659F1"/>
    <w:rsid w:val="0027536D"/>
    <w:rsid w:val="00283759"/>
    <w:rsid w:val="00287E79"/>
    <w:rsid w:val="002928F9"/>
    <w:rsid w:val="002949C4"/>
    <w:rsid w:val="00297B00"/>
    <w:rsid w:val="002A5D07"/>
    <w:rsid w:val="002E0C1D"/>
    <w:rsid w:val="002E77BF"/>
    <w:rsid w:val="003016B7"/>
    <w:rsid w:val="00310E6F"/>
    <w:rsid w:val="00311ADA"/>
    <w:rsid w:val="00322A59"/>
    <w:rsid w:val="00336C9C"/>
    <w:rsid w:val="003515AA"/>
    <w:rsid w:val="00362DCC"/>
    <w:rsid w:val="00363E8F"/>
    <w:rsid w:val="00374106"/>
    <w:rsid w:val="0037418A"/>
    <w:rsid w:val="00384A5A"/>
    <w:rsid w:val="003976D5"/>
    <w:rsid w:val="003A2189"/>
    <w:rsid w:val="003A5A5A"/>
    <w:rsid w:val="003B28BC"/>
    <w:rsid w:val="003D4E3D"/>
    <w:rsid w:val="003D6C68"/>
    <w:rsid w:val="003F025C"/>
    <w:rsid w:val="003F7ADC"/>
    <w:rsid w:val="004010FF"/>
    <w:rsid w:val="004159D0"/>
    <w:rsid w:val="00430843"/>
    <w:rsid w:val="00433F73"/>
    <w:rsid w:val="004401E5"/>
    <w:rsid w:val="00450582"/>
    <w:rsid w:val="004514E7"/>
    <w:rsid w:val="004554F7"/>
    <w:rsid w:val="00455D94"/>
    <w:rsid w:val="00481A82"/>
    <w:rsid w:val="0048791D"/>
    <w:rsid w:val="004A51A8"/>
    <w:rsid w:val="004A7356"/>
    <w:rsid w:val="004B475F"/>
    <w:rsid w:val="004B4AF6"/>
    <w:rsid w:val="004C0927"/>
    <w:rsid w:val="004C78BC"/>
    <w:rsid w:val="004D5CB1"/>
    <w:rsid w:val="004E30D0"/>
    <w:rsid w:val="004E4944"/>
    <w:rsid w:val="004E7CA2"/>
    <w:rsid w:val="004F6700"/>
    <w:rsid w:val="005104AC"/>
    <w:rsid w:val="00516E7A"/>
    <w:rsid w:val="00525DBB"/>
    <w:rsid w:val="00543BB8"/>
    <w:rsid w:val="00543D5E"/>
    <w:rsid w:val="00553DDB"/>
    <w:rsid w:val="005546DB"/>
    <w:rsid w:val="005610B3"/>
    <w:rsid w:val="00571F41"/>
    <w:rsid w:val="00585DD1"/>
    <w:rsid w:val="005B5D27"/>
    <w:rsid w:val="005D0661"/>
    <w:rsid w:val="005E0932"/>
    <w:rsid w:val="005E5D1F"/>
    <w:rsid w:val="00600385"/>
    <w:rsid w:val="00601B61"/>
    <w:rsid w:val="00604A64"/>
    <w:rsid w:val="00605BE5"/>
    <w:rsid w:val="00611D43"/>
    <w:rsid w:val="00612D48"/>
    <w:rsid w:val="00616B45"/>
    <w:rsid w:val="00630D9B"/>
    <w:rsid w:val="00631953"/>
    <w:rsid w:val="006439EC"/>
    <w:rsid w:val="006647E0"/>
    <w:rsid w:val="00666930"/>
    <w:rsid w:val="00676424"/>
    <w:rsid w:val="006B132B"/>
    <w:rsid w:val="006B4590"/>
    <w:rsid w:val="006C096C"/>
    <w:rsid w:val="006C317B"/>
    <w:rsid w:val="006C33B3"/>
    <w:rsid w:val="006C340C"/>
    <w:rsid w:val="006D5139"/>
    <w:rsid w:val="006D6C8A"/>
    <w:rsid w:val="006E0BCE"/>
    <w:rsid w:val="006E2B1A"/>
    <w:rsid w:val="006E2E79"/>
    <w:rsid w:val="006E4A80"/>
    <w:rsid w:val="006F3595"/>
    <w:rsid w:val="006F5839"/>
    <w:rsid w:val="00702774"/>
    <w:rsid w:val="0070347C"/>
    <w:rsid w:val="00711A47"/>
    <w:rsid w:val="00716D83"/>
    <w:rsid w:val="007176C1"/>
    <w:rsid w:val="00724D70"/>
    <w:rsid w:val="00727ED4"/>
    <w:rsid w:val="00733054"/>
    <w:rsid w:val="007356B6"/>
    <w:rsid w:val="00737190"/>
    <w:rsid w:val="00737514"/>
    <w:rsid w:val="00757C6F"/>
    <w:rsid w:val="0078430C"/>
    <w:rsid w:val="007B0499"/>
    <w:rsid w:val="007C13CB"/>
    <w:rsid w:val="007C3786"/>
    <w:rsid w:val="007C69E6"/>
    <w:rsid w:val="007D2D21"/>
    <w:rsid w:val="007D7713"/>
    <w:rsid w:val="007D7A46"/>
    <w:rsid w:val="007F35DF"/>
    <w:rsid w:val="007F3FA0"/>
    <w:rsid w:val="007F55CB"/>
    <w:rsid w:val="00806D80"/>
    <w:rsid w:val="00817255"/>
    <w:rsid w:val="00841DC3"/>
    <w:rsid w:val="00844750"/>
    <w:rsid w:val="008464C8"/>
    <w:rsid w:val="008478DD"/>
    <w:rsid w:val="008701A8"/>
    <w:rsid w:val="008835DC"/>
    <w:rsid w:val="008B44C4"/>
    <w:rsid w:val="008C0AF2"/>
    <w:rsid w:val="008E4E1F"/>
    <w:rsid w:val="008E675E"/>
    <w:rsid w:val="008E7FAE"/>
    <w:rsid w:val="008F4032"/>
    <w:rsid w:val="008F734D"/>
    <w:rsid w:val="00900FEA"/>
    <w:rsid w:val="00911BF7"/>
    <w:rsid w:val="00912A93"/>
    <w:rsid w:val="00914350"/>
    <w:rsid w:val="0091596B"/>
    <w:rsid w:val="00927BA2"/>
    <w:rsid w:val="00947667"/>
    <w:rsid w:val="00953920"/>
    <w:rsid w:val="00977EC8"/>
    <w:rsid w:val="009950F5"/>
    <w:rsid w:val="00996500"/>
    <w:rsid w:val="009D3A8C"/>
    <w:rsid w:val="009D4648"/>
    <w:rsid w:val="009E1D9F"/>
    <w:rsid w:val="009E7956"/>
    <w:rsid w:val="00A05F68"/>
    <w:rsid w:val="00A103C4"/>
    <w:rsid w:val="00A2492E"/>
    <w:rsid w:val="00A50390"/>
    <w:rsid w:val="00A56EA8"/>
    <w:rsid w:val="00A67188"/>
    <w:rsid w:val="00A70FFD"/>
    <w:rsid w:val="00A8795E"/>
    <w:rsid w:val="00AA17A7"/>
    <w:rsid w:val="00AA4C2F"/>
    <w:rsid w:val="00AB1634"/>
    <w:rsid w:val="00AC67A1"/>
    <w:rsid w:val="00AC7977"/>
    <w:rsid w:val="00AD79E1"/>
    <w:rsid w:val="00AE15F3"/>
    <w:rsid w:val="00AE352C"/>
    <w:rsid w:val="00AE67A7"/>
    <w:rsid w:val="00AF2F18"/>
    <w:rsid w:val="00B10725"/>
    <w:rsid w:val="00B32E2D"/>
    <w:rsid w:val="00B40CA6"/>
    <w:rsid w:val="00B61990"/>
    <w:rsid w:val="00B63A55"/>
    <w:rsid w:val="00B77C99"/>
    <w:rsid w:val="00B97671"/>
    <w:rsid w:val="00BA31B5"/>
    <w:rsid w:val="00BC2105"/>
    <w:rsid w:val="00BC4454"/>
    <w:rsid w:val="00BC554A"/>
    <w:rsid w:val="00BD660A"/>
    <w:rsid w:val="00BE01EE"/>
    <w:rsid w:val="00BE2C8A"/>
    <w:rsid w:val="00BE5C3E"/>
    <w:rsid w:val="00BF0556"/>
    <w:rsid w:val="00BF49CA"/>
    <w:rsid w:val="00C005F9"/>
    <w:rsid w:val="00C017A8"/>
    <w:rsid w:val="00C13EF2"/>
    <w:rsid w:val="00C1562D"/>
    <w:rsid w:val="00C261F8"/>
    <w:rsid w:val="00C30EFA"/>
    <w:rsid w:val="00C33100"/>
    <w:rsid w:val="00C35731"/>
    <w:rsid w:val="00C42566"/>
    <w:rsid w:val="00CA06D4"/>
    <w:rsid w:val="00CA7CAA"/>
    <w:rsid w:val="00CB2384"/>
    <w:rsid w:val="00CD1A71"/>
    <w:rsid w:val="00CD1FBB"/>
    <w:rsid w:val="00CD766B"/>
    <w:rsid w:val="00CE124F"/>
    <w:rsid w:val="00CE7DBD"/>
    <w:rsid w:val="00CF0EEB"/>
    <w:rsid w:val="00D016B5"/>
    <w:rsid w:val="00D034F1"/>
    <w:rsid w:val="00D07143"/>
    <w:rsid w:val="00D17B1D"/>
    <w:rsid w:val="00D25456"/>
    <w:rsid w:val="00D27D5E"/>
    <w:rsid w:val="00D77A35"/>
    <w:rsid w:val="00D80B7E"/>
    <w:rsid w:val="00D80C7A"/>
    <w:rsid w:val="00D823A3"/>
    <w:rsid w:val="00DA36FF"/>
    <w:rsid w:val="00DB4FBC"/>
    <w:rsid w:val="00DB7C57"/>
    <w:rsid w:val="00DC17F0"/>
    <w:rsid w:val="00DD0248"/>
    <w:rsid w:val="00DE6D90"/>
    <w:rsid w:val="00DF002F"/>
    <w:rsid w:val="00E009A3"/>
    <w:rsid w:val="00E01507"/>
    <w:rsid w:val="00E0244D"/>
    <w:rsid w:val="00E06C84"/>
    <w:rsid w:val="00E152B7"/>
    <w:rsid w:val="00E532B5"/>
    <w:rsid w:val="00E61E1C"/>
    <w:rsid w:val="00E650EE"/>
    <w:rsid w:val="00E66BCC"/>
    <w:rsid w:val="00E728BE"/>
    <w:rsid w:val="00E74FB6"/>
    <w:rsid w:val="00E75E48"/>
    <w:rsid w:val="00E81E94"/>
    <w:rsid w:val="00E82607"/>
    <w:rsid w:val="00EA5113"/>
    <w:rsid w:val="00EA5EEB"/>
    <w:rsid w:val="00EB05A1"/>
    <w:rsid w:val="00ED686E"/>
    <w:rsid w:val="00EE1A0D"/>
    <w:rsid w:val="00EF2E6B"/>
    <w:rsid w:val="00F12176"/>
    <w:rsid w:val="00F20DB6"/>
    <w:rsid w:val="00F21F05"/>
    <w:rsid w:val="00F3586F"/>
    <w:rsid w:val="00F37463"/>
    <w:rsid w:val="00F51E3D"/>
    <w:rsid w:val="00F95A12"/>
    <w:rsid w:val="00FA5A79"/>
    <w:rsid w:val="00FB0BFE"/>
    <w:rsid w:val="00FB4C51"/>
    <w:rsid w:val="00FB70AC"/>
    <w:rsid w:val="00FD462D"/>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horttext">
    <w:name w:val="short_text"/>
    <w:rsid w:val="00A70FFD"/>
  </w:style>
  <w:style w:type="character" w:customStyle="1" w:styleId="hps">
    <w:name w:val="hps"/>
    <w:rsid w:val="00A70FFD"/>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locked/>
    <w:rsid w:val="00176BCA"/>
    <w:rPr>
      <w:sz w:val="18"/>
      <w:lang w:val="fr-CH" w:eastAsia="en-US"/>
    </w:rPr>
  </w:style>
  <w:style w:type="paragraph" w:customStyle="1" w:styleId="Default">
    <w:name w:val="Default"/>
    <w:rsid w:val="00176BCA"/>
    <w:pPr>
      <w:autoSpaceDE w:val="0"/>
      <w:autoSpaceDN w:val="0"/>
      <w:adjustRightInd w:val="0"/>
    </w:pPr>
    <w:rPr>
      <w:color w:val="000000"/>
      <w:sz w:val="24"/>
      <w:szCs w:val="24"/>
      <w:lang w:val="en-GB" w:eastAsia="en-GB"/>
    </w:rPr>
  </w:style>
  <w:style w:type="paragraph" w:styleId="BalloonText">
    <w:name w:val="Balloon Text"/>
    <w:basedOn w:val="Normal"/>
    <w:link w:val="BalloonTextChar"/>
    <w:rsid w:val="00263535"/>
    <w:pPr>
      <w:spacing w:line="240" w:lineRule="auto"/>
    </w:pPr>
    <w:rPr>
      <w:rFonts w:ascii="Tahoma" w:hAnsi="Tahoma"/>
      <w:sz w:val="16"/>
      <w:szCs w:val="16"/>
    </w:rPr>
  </w:style>
  <w:style w:type="character" w:customStyle="1" w:styleId="BalloonTextChar">
    <w:name w:val="Balloon Text Char"/>
    <w:link w:val="BalloonText"/>
    <w:rsid w:val="00263535"/>
    <w:rPr>
      <w:rFonts w:ascii="Tahoma" w:hAnsi="Tahoma" w:cs="Tahoma"/>
      <w:sz w:val="16"/>
      <w:szCs w:val="16"/>
      <w:lang w:val="fr-CH" w:eastAsia="en-US"/>
    </w:rPr>
  </w:style>
  <w:style w:type="character" w:customStyle="1" w:styleId="SingleTxtGChar">
    <w:name w:val="_ Single Txt_G Char"/>
    <w:link w:val="SingleTxtG"/>
    <w:rsid w:val="0027536D"/>
    <w:rPr>
      <w:lang w:val="fr-CH" w:eastAsia="en-US" w:bidi="ar-SA"/>
    </w:rPr>
  </w:style>
  <w:style w:type="character" w:styleId="CommentReference">
    <w:name w:val="annotation reference"/>
    <w:semiHidden/>
    <w:rsid w:val="000E5314"/>
    <w:rPr>
      <w:sz w:val="16"/>
      <w:szCs w:val="16"/>
    </w:rPr>
  </w:style>
  <w:style w:type="paragraph" w:styleId="CommentText">
    <w:name w:val="annotation text"/>
    <w:basedOn w:val="Normal"/>
    <w:semiHidden/>
    <w:rsid w:val="000E5314"/>
  </w:style>
  <w:style w:type="paragraph" w:styleId="CommentSubject">
    <w:name w:val="annotation subject"/>
    <w:basedOn w:val="CommentText"/>
    <w:next w:val="CommentText"/>
    <w:semiHidden/>
    <w:rsid w:val="000E5314"/>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CAT_F.dotm</Template>
  <TotalTime>0</TotalTime>
  <Pages>1</Pages>
  <Words>1444</Words>
  <Characters>8264</Characters>
  <Application>Microsoft Office Outlook</Application>
  <DocSecurity>4</DocSecurity>
  <Lines>144</Lines>
  <Paragraphs>49</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Corvalan Bounkham</dc:creator>
  <cp:keywords/>
  <cp:lastModifiedBy>DCM</cp:lastModifiedBy>
  <cp:revision>2</cp:revision>
  <cp:lastPrinted>2013-07-11T07:22:00Z</cp:lastPrinted>
  <dcterms:created xsi:type="dcterms:W3CDTF">2013-07-16T13:54:00Z</dcterms:created>
  <dcterms:modified xsi:type="dcterms:W3CDTF">2013-07-16T13:54:00Z</dcterms:modified>
</cp:coreProperties>
</file>