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62AD9458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E7AD3B" w14:textId="77777777" w:rsidR="002D5AAC" w:rsidRDefault="002D5AAC" w:rsidP="007E1DD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18EDA540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6FE9429E" w14:textId="76FB8B83" w:rsidR="002D5AAC" w:rsidRDefault="007E1DD2" w:rsidP="007E1DD2">
            <w:pPr>
              <w:jc w:val="right"/>
            </w:pPr>
            <w:r w:rsidRPr="00EA3215">
              <w:rPr>
                <w:sz w:val="40"/>
              </w:rPr>
              <w:t>CAT</w:t>
            </w:r>
            <w:r w:rsidRPr="00EA3215">
              <w:t>/C/KGZ/CO/3</w:t>
            </w:r>
          </w:p>
        </w:tc>
      </w:tr>
      <w:tr w:rsidR="002D5AAC" w:rsidRPr="00245933" w14:paraId="1DE98400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20D201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2EF2467" wp14:editId="1B545A1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2548A1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8C2E010" w14:textId="77777777" w:rsidR="002D5AAC" w:rsidRPr="0016249F" w:rsidRDefault="007E1DD2" w:rsidP="00F90E40">
            <w:pPr>
              <w:spacing w:before="240"/>
              <w:rPr>
                <w:lang w:val="en-US"/>
              </w:rPr>
            </w:pPr>
            <w:r w:rsidRPr="0016249F">
              <w:rPr>
                <w:lang w:val="en-US"/>
              </w:rPr>
              <w:t>Distr.: General</w:t>
            </w:r>
          </w:p>
          <w:p w14:paraId="6D52DABA" w14:textId="77777777" w:rsidR="007E1DD2" w:rsidRPr="0016249F" w:rsidRDefault="007E1DD2" w:rsidP="007E1DD2">
            <w:pPr>
              <w:spacing w:line="240" w:lineRule="exact"/>
              <w:rPr>
                <w:lang w:val="en-US"/>
              </w:rPr>
            </w:pPr>
            <w:r w:rsidRPr="0016249F">
              <w:rPr>
                <w:lang w:val="en-US"/>
              </w:rPr>
              <w:t>21 December 2021</w:t>
            </w:r>
          </w:p>
          <w:p w14:paraId="16C8BDD3" w14:textId="77777777" w:rsidR="007E1DD2" w:rsidRPr="0016249F" w:rsidRDefault="007E1DD2" w:rsidP="007E1DD2">
            <w:pPr>
              <w:spacing w:line="240" w:lineRule="exact"/>
              <w:rPr>
                <w:lang w:val="en-US"/>
              </w:rPr>
            </w:pPr>
            <w:r w:rsidRPr="0016249F">
              <w:rPr>
                <w:lang w:val="en-US"/>
              </w:rPr>
              <w:t>Russian</w:t>
            </w:r>
          </w:p>
          <w:p w14:paraId="57602147" w14:textId="27A83C3B" w:rsidR="007E1DD2" w:rsidRPr="0016249F" w:rsidRDefault="007E1DD2" w:rsidP="007E1DD2">
            <w:pPr>
              <w:spacing w:line="240" w:lineRule="exact"/>
              <w:rPr>
                <w:lang w:val="en-US"/>
              </w:rPr>
            </w:pPr>
            <w:r w:rsidRPr="0016249F">
              <w:rPr>
                <w:lang w:val="en-US"/>
              </w:rPr>
              <w:t>Original: English</w:t>
            </w:r>
          </w:p>
        </w:tc>
      </w:tr>
    </w:tbl>
    <w:p w14:paraId="704DF7FE" w14:textId="77777777" w:rsidR="007E1DD2" w:rsidRPr="004943E3" w:rsidRDefault="007E1DD2" w:rsidP="007E1DD2">
      <w:pPr>
        <w:spacing w:before="120"/>
        <w:rPr>
          <w:b/>
          <w:sz w:val="24"/>
          <w:szCs w:val="24"/>
        </w:rPr>
      </w:pPr>
      <w:r w:rsidRPr="004943E3">
        <w:rPr>
          <w:b/>
          <w:bCs/>
          <w:sz w:val="24"/>
          <w:szCs w:val="24"/>
        </w:rPr>
        <w:t>Комитет против пыток</w:t>
      </w:r>
    </w:p>
    <w:p w14:paraId="7A2FB020" w14:textId="77777777" w:rsidR="007E1DD2" w:rsidRPr="004943E3" w:rsidRDefault="007E1DD2" w:rsidP="007E1DD2">
      <w:pPr>
        <w:pStyle w:val="HChG"/>
        <w:rPr>
          <w:bCs/>
          <w:sz w:val="20"/>
        </w:rPr>
      </w:pPr>
      <w:r>
        <w:tab/>
      </w:r>
      <w:r>
        <w:tab/>
      </w:r>
      <w:r>
        <w:rPr>
          <w:bCs/>
        </w:rPr>
        <w:t>Заключительные замечания по третьему периодическому докладу Кыргызстана</w:t>
      </w:r>
      <w:r w:rsidRPr="00911563">
        <w:rPr>
          <w:b w:val="0"/>
          <w:sz w:val="20"/>
        </w:rPr>
        <w:footnoteReference w:customMarkFollows="1" w:id="1"/>
        <w:t>*</w:t>
      </w:r>
    </w:p>
    <w:p w14:paraId="1284A859" w14:textId="559F1A37" w:rsidR="007E1DD2" w:rsidRPr="004943E3" w:rsidRDefault="007E1DD2" w:rsidP="007E1DD2">
      <w:pPr>
        <w:spacing w:after="120"/>
        <w:ind w:left="1134" w:right="1134"/>
        <w:jc w:val="both"/>
      </w:pPr>
      <w:r>
        <w:t>1.</w:t>
      </w:r>
      <w:r>
        <w:tab/>
        <w:t>Комитет против пыток рассмотрел третий периодический доклад Кыргызстана</w:t>
      </w:r>
      <w:r w:rsidRPr="00911563">
        <w:rPr>
          <w:rStyle w:val="aa"/>
        </w:rPr>
        <w:footnoteReference w:id="2"/>
      </w:r>
      <w:r>
        <w:t xml:space="preserve"> на своих 1844-м и 1847-м заседаниях</w:t>
      </w:r>
      <w:r w:rsidRPr="00911563">
        <w:rPr>
          <w:rStyle w:val="aa"/>
        </w:rPr>
        <w:footnoteReference w:id="3"/>
      </w:r>
      <w:r>
        <w:t xml:space="preserve">, состоявшихся 10 и 11 ноября 2021 года, и принял настоящие заключительные замечания на своем 1868-м заседании 26 </w:t>
      </w:r>
      <w:r w:rsidR="00245933">
        <w:t>ноября</w:t>
      </w:r>
      <w:r>
        <w:t xml:space="preserve"> 2021 года.</w:t>
      </w:r>
    </w:p>
    <w:p w14:paraId="063B2764" w14:textId="77777777" w:rsidR="007E1DD2" w:rsidRPr="004943E3" w:rsidRDefault="007E1DD2" w:rsidP="007E1DD2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Введение</w:t>
      </w:r>
    </w:p>
    <w:p w14:paraId="2662DEA1" w14:textId="77777777" w:rsidR="007E1DD2" w:rsidRPr="004943E3" w:rsidRDefault="007E1DD2" w:rsidP="007E1DD2">
      <w:pPr>
        <w:pStyle w:val="SingleTxtG"/>
      </w:pPr>
      <w:r>
        <w:t>2.</w:t>
      </w:r>
      <w:r>
        <w:tab/>
        <w:t>Комитет выражает признательность государству-участнику за принятие упрощенной процедуры представления докладов, поскольку это позволяет вести более целенаправленный диалог с государством-участником и Комитетом. Вместе с тем он сожалеет, что доклад был представлен с более чем годовым опозданием.</w:t>
      </w:r>
    </w:p>
    <w:p w14:paraId="3A037BEA" w14:textId="77777777" w:rsidR="007E1DD2" w:rsidRPr="004943E3" w:rsidRDefault="007E1DD2" w:rsidP="007E1DD2">
      <w:pPr>
        <w:spacing w:after="120"/>
        <w:ind w:left="1134" w:right="1134"/>
        <w:jc w:val="both"/>
        <w:rPr>
          <w:rFonts w:eastAsia="Calibri"/>
        </w:rPr>
      </w:pPr>
      <w:r>
        <w:t>3.</w:t>
      </w:r>
      <w:r>
        <w:tab/>
        <w:t>Комитет высоко оценивает конструктивный диалог с делегацией государства-участника и представленные устные ответы на вопросы и проблемы, поднятые в ходе рассмотрения доклада.</w:t>
      </w:r>
    </w:p>
    <w:p w14:paraId="32B5870A" w14:textId="77777777" w:rsidR="007E1DD2" w:rsidRPr="004943E3" w:rsidRDefault="007E1DD2" w:rsidP="007E1DD2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Позитивные аспекты</w:t>
      </w:r>
    </w:p>
    <w:p w14:paraId="790A6BF6" w14:textId="77777777" w:rsidR="007E1DD2" w:rsidRPr="004943E3" w:rsidRDefault="007E1DD2" w:rsidP="007E1DD2">
      <w:pPr>
        <w:spacing w:after="120"/>
        <w:ind w:left="1134" w:right="1134"/>
        <w:jc w:val="both"/>
      </w:pPr>
      <w:r>
        <w:t>4.</w:t>
      </w:r>
      <w:r>
        <w:tab/>
        <w:t>Комитет приветствует ратификацию государством-участником Конвенции о правах инвалидов в 2019 году.</w:t>
      </w:r>
    </w:p>
    <w:p w14:paraId="1FDCBAB3" w14:textId="77777777" w:rsidR="007E1DD2" w:rsidRPr="004943E3" w:rsidRDefault="007E1DD2" w:rsidP="007E1DD2">
      <w:pPr>
        <w:pStyle w:val="SingleTxtG"/>
      </w:pPr>
      <w:r>
        <w:t>5.</w:t>
      </w:r>
      <w:r>
        <w:tab/>
        <w:t>Комитет также приветствует инициативы государства-участника по пересмотру своего законодательства в областях, имеющих отношение к Конвенции, включая:</w:t>
      </w:r>
    </w:p>
    <w:p w14:paraId="71F32217" w14:textId="77777777" w:rsidR="007E1DD2" w:rsidRPr="004943E3" w:rsidRDefault="007E1DD2" w:rsidP="007E1DD2">
      <w:pPr>
        <w:spacing w:after="120"/>
        <w:ind w:left="1134" w:right="1134" w:firstLine="567"/>
        <w:jc w:val="both"/>
      </w:pPr>
      <w:r>
        <w:t>a)</w:t>
      </w:r>
      <w:r>
        <w:tab/>
        <w:t>статью 56 Конституции, принятой в апреле 2021 года, в которой предусматривается, что никто не может быть подвергнут пыткам или иному жестокому, бесчеловечному или унижающему достоинство обращению или наказанию, а пытки квалифицируются как преступление;</w:t>
      </w:r>
    </w:p>
    <w:p w14:paraId="176FCDFC" w14:textId="77777777" w:rsidR="007E1DD2" w:rsidRPr="004943E3" w:rsidRDefault="007E1DD2" w:rsidP="007E1DD2">
      <w:pPr>
        <w:spacing w:after="120"/>
        <w:ind w:left="1134" w:right="1134" w:firstLine="567"/>
        <w:jc w:val="both"/>
      </w:pPr>
      <w:r>
        <w:t>b)</w:t>
      </w:r>
      <w:r>
        <w:tab/>
        <w:t>новый Уголовный кодекс и новый Уголовно-процессуальный кодекс, принятые в январе 2019 года, в которых объявлены вне закона пытки и жестокое обращение, исключены доказательства, полученные с помощью пыток и других видов жестокого обращения, и установлены соответствующие наказания за преступление пытки;</w:t>
      </w:r>
    </w:p>
    <w:p w14:paraId="373DF951" w14:textId="77777777" w:rsidR="007E1DD2" w:rsidRPr="004943E3" w:rsidRDefault="007E1DD2" w:rsidP="007E1DD2">
      <w:pPr>
        <w:spacing w:after="120"/>
        <w:ind w:left="1134" w:right="1134" w:firstLine="567"/>
        <w:jc w:val="both"/>
      </w:pPr>
      <w:r>
        <w:t>c)</w:t>
      </w:r>
      <w:r>
        <w:tab/>
        <w:t>Закон о защите от бытового насилия, принятый в 2017 году, в котором установлена уголовная ответственность за бытовое насилие;</w:t>
      </w:r>
    </w:p>
    <w:p w14:paraId="5F9257D0" w14:textId="77777777" w:rsidR="007E1DD2" w:rsidRPr="004943E3" w:rsidRDefault="007E1DD2" w:rsidP="007E1DD2">
      <w:pPr>
        <w:spacing w:after="120"/>
        <w:ind w:left="1134" w:right="1134" w:firstLine="567"/>
        <w:jc w:val="both"/>
      </w:pPr>
      <w:r>
        <w:lastRenderedPageBreak/>
        <w:t>d)</w:t>
      </w:r>
      <w:r>
        <w:tab/>
        <w:t>внесение в ноябре 2016 года в Уголовный кодекс и Семейный кодекс поправок, касающихся предотвращения детских браков;</w:t>
      </w:r>
    </w:p>
    <w:p w14:paraId="0C3FBA08" w14:textId="77777777" w:rsidR="007E1DD2" w:rsidRPr="004943E3" w:rsidRDefault="007E1DD2" w:rsidP="007E1DD2">
      <w:pPr>
        <w:spacing w:after="120"/>
        <w:ind w:left="1134" w:right="1134" w:firstLine="567"/>
        <w:jc w:val="both"/>
      </w:pPr>
      <w:r>
        <w:t>e)</w:t>
      </w:r>
      <w:r>
        <w:tab/>
        <w:t>принятие в апреле 2021 года Уголовно-исполнительного кодекса и Кодекса о мелких правонарушениях.</w:t>
      </w:r>
    </w:p>
    <w:p w14:paraId="03D074DD" w14:textId="77777777" w:rsidR="007E1DD2" w:rsidRPr="004943E3" w:rsidRDefault="007E1DD2" w:rsidP="007E1DD2">
      <w:pPr>
        <w:spacing w:after="120"/>
        <w:ind w:left="1134" w:right="1134"/>
        <w:jc w:val="both"/>
      </w:pPr>
      <w:r>
        <w:t>6.</w:t>
      </w:r>
      <w:r>
        <w:tab/>
        <w:t>Комитет с удовлетворением отмечает инициативы государства-участника по внесению изменений в свою политику и процедуры с целью обеспечения большей защиты прав человека и применения Конвенции, в частности:</w:t>
      </w:r>
    </w:p>
    <w:p w14:paraId="6F1FFF59" w14:textId="77777777" w:rsidR="007E1DD2" w:rsidRPr="004943E3" w:rsidRDefault="007E1DD2" w:rsidP="007E1DD2">
      <w:pPr>
        <w:spacing w:after="120"/>
        <w:ind w:left="1134" w:right="1134" w:firstLine="567"/>
        <w:jc w:val="both"/>
      </w:pPr>
      <w:r>
        <w:t>a)</w:t>
      </w:r>
      <w:r>
        <w:tab/>
        <w:t>принятие Плана действий в области прав человека (на 2019–2021 годы);</w:t>
      </w:r>
    </w:p>
    <w:p w14:paraId="3993FAF5" w14:textId="77777777" w:rsidR="007E1DD2" w:rsidRPr="004943E3" w:rsidRDefault="007E1DD2" w:rsidP="007E1DD2">
      <w:pPr>
        <w:spacing w:after="120"/>
        <w:ind w:left="1134" w:right="1134" w:firstLine="567"/>
        <w:jc w:val="both"/>
      </w:pPr>
      <w:r>
        <w:t>b)</w:t>
      </w:r>
      <w:r>
        <w:tab/>
        <w:t>принятие в 2019 году плана действий по приведению законодательства в соответствие с кодексами, принятыми в рамках проводимой в настоящее время судебно-правовой реформы;</w:t>
      </w:r>
    </w:p>
    <w:p w14:paraId="7D0F6C21" w14:textId="77777777" w:rsidR="007E1DD2" w:rsidRPr="004943E3" w:rsidRDefault="007E1DD2" w:rsidP="007E1DD2">
      <w:pPr>
        <w:spacing w:after="120"/>
        <w:ind w:left="1134" w:right="1134" w:firstLine="567"/>
        <w:jc w:val="both"/>
      </w:pPr>
      <w:r>
        <w:t>c)</w:t>
      </w:r>
      <w:r>
        <w:tab/>
        <w:t>принятие Национального плана действий по достижению гендерного равенства (на 2018–2020 годы);</w:t>
      </w:r>
    </w:p>
    <w:p w14:paraId="53B43A1A" w14:textId="77777777" w:rsidR="007E1DD2" w:rsidRPr="004943E3" w:rsidRDefault="007E1DD2" w:rsidP="007E1DD2">
      <w:pPr>
        <w:spacing w:after="120"/>
        <w:ind w:left="1134" w:right="1134" w:firstLine="567"/>
        <w:jc w:val="both"/>
      </w:pPr>
      <w:r>
        <w:t>d)</w:t>
      </w:r>
      <w:r>
        <w:tab/>
        <w:t>учреждение 17 частных и одного государственного кризисного центра муниципального уровня, оказывающих материальную, медицинскую и юридическую помощь женщинам, пострадавшим от насилия;</w:t>
      </w:r>
    </w:p>
    <w:p w14:paraId="4425EB0F" w14:textId="77777777" w:rsidR="007E1DD2" w:rsidRPr="004943E3" w:rsidRDefault="007E1DD2" w:rsidP="007E1DD2">
      <w:pPr>
        <w:spacing w:after="120"/>
        <w:ind w:left="1134" w:right="1134" w:firstLine="567"/>
        <w:jc w:val="both"/>
      </w:pPr>
      <w:r>
        <w:t>e)</w:t>
      </w:r>
      <w:r>
        <w:tab/>
        <w:t>принятие национального плана действий по предотвращению жестокого обращения с детьми и насилия в отношении детей (на 2015–2017 годы);</w:t>
      </w:r>
    </w:p>
    <w:p w14:paraId="7DB782B3" w14:textId="77777777" w:rsidR="007E1DD2" w:rsidRPr="004943E3" w:rsidRDefault="007E1DD2" w:rsidP="007E1DD2">
      <w:pPr>
        <w:spacing w:after="120"/>
        <w:ind w:left="1134" w:right="1134" w:firstLine="567"/>
        <w:jc w:val="both"/>
      </w:pPr>
      <w:r>
        <w:t>f)</w:t>
      </w:r>
      <w:r>
        <w:tab/>
        <w:t>создание Координационного совета по ювенальной юстиции и разработка базы данных в целях выявления детей, подверженных риску насилия;</w:t>
      </w:r>
    </w:p>
    <w:p w14:paraId="041E0E95" w14:textId="77777777" w:rsidR="007E1DD2" w:rsidRPr="004943E3" w:rsidRDefault="007E1DD2" w:rsidP="007E1DD2">
      <w:pPr>
        <w:spacing w:after="120"/>
        <w:ind w:left="1134" w:right="1134" w:firstLine="567"/>
        <w:jc w:val="both"/>
      </w:pPr>
      <w:r>
        <w:t>g)</w:t>
      </w:r>
      <w:r>
        <w:tab/>
        <w:t>создание программы развития системы правосудия для детей в возрасте 14–18 лет (на 2014–2018 годы);</w:t>
      </w:r>
    </w:p>
    <w:p w14:paraId="10221FDB" w14:textId="77777777" w:rsidR="007E1DD2" w:rsidRPr="004943E3" w:rsidRDefault="007E1DD2" w:rsidP="007E1DD2">
      <w:pPr>
        <w:spacing w:after="120"/>
        <w:ind w:left="1134" w:right="1134" w:firstLine="567"/>
        <w:jc w:val="both"/>
      </w:pPr>
      <w:r>
        <w:t>h)</w:t>
      </w:r>
      <w:r>
        <w:tab/>
        <w:t>создание программы защиты детей (на 2018–2028 годы) и связанного с ней плана действий правительства (на 2020–2024 годы);</w:t>
      </w:r>
    </w:p>
    <w:p w14:paraId="082CD11B" w14:textId="77777777" w:rsidR="007E1DD2" w:rsidRPr="004943E3" w:rsidRDefault="007E1DD2" w:rsidP="007E1DD2">
      <w:pPr>
        <w:spacing w:after="120"/>
        <w:ind w:left="1134" w:right="1134" w:firstLine="567"/>
        <w:jc w:val="both"/>
      </w:pPr>
      <w:r>
        <w:t>i)</w:t>
      </w:r>
      <w:r>
        <w:tab/>
        <w:t>создание во всех органах внутренних дел 78 телефонных линий экстренной связи для приема информации о случаях жестокого обращения с детьми и насилия в отношении несовершеннолетних;</w:t>
      </w:r>
    </w:p>
    <w:p w14:paraId="3A5EA34B" w14:textId="77777777" w:rsidR="007E1DD2" w:rsidRPr="004943E3" w:rsidRDefault="007E1DD2" w:rsidP="007E1DD2">
      <w:pPr>
        <w:spacing w:after="120"/>
        <w:ind w:left="1134" w:right="1134" w:firstLine="567"/>
        <w:jc w:val="both"/>
      </w:pPr>
      <w:r>
        <w:t>j)</w:t>
      </w:r>
      <w:r>
        <w:tab/>
        <w:t>создание программы по борьбе с торговлей людьми (на 2017–2020 годы) и плана действий по ее реализации;</w:t>
      </w:r>
    </w:p>
    <w:p w14:paraId="5BAB4DB6" w14:textId="77777777" w:rsidR="007E1DD2" w:rsidRPr="004943E3" w:rsidRDefault="007E1DD2" w:rsidP="007E1DD2">
      <w:pPr>
        <w:spacing w:after="120"/>
        <w:ind w:left="1134" w:right="1134" w:firstLine="567"/>
        <w:jc w:val="both"/>
        <w:rPr>
          <w:bCs/>
        </w:rPr>
      </w:pPr>
      <w:r>
        <w:t>k)</w:t>
      </w:r>
      <w:r>
        <w:tab/>
        <w:t>разработка правил медицинского документирования случаев насилия, пыток и других жестоких, бесчеловечных или унижающих достоинство видов обращения и наказания; принятие в январе 2021 года плана действий по реализации принципов Руководства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протокол); и создание межведомственной рабочей группы по реализации Стамбульского протокола.</w:t>
      </w:r>
    </w:p>
    <w:p w14:paraId="55D1144F" w14:textId="3CFDE6D5" w:rsidR="007E1DD2" w:rsidRPr="004943E3" w:rsidRDefault="007E1DD2" w:rsidP="007E1DD2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Основные вопросы, вызывающие обеспокоенность, и</w:t>
      </w:r>
      <w:r w:rsidR="00100E94">
        <w:rPr>
          <w:bCs/>
          <w:lang w:val="fr-CH"/>
        </w:rPr>
        <w:t> </w:t>
      </w:r>
      <w:r>
        <w:rPr>
          <w:bCs/>
        </w:rPr>
        <w:t>рекомендации</w:t>
      </w:r>
    </w:p>
    <w:p w14:paraId="510508B1" w14:textId="0C6003D1" w:rsidR="007E1DD2" w:rsidRPr="004943E3" w:rsidRDefault="007E1DD2" w:rsidP="007E1DD2">
      <w:pPr>
        <w:pStyle w:val="H23G"/>
      </w:pPr>
      <w:r>
        <w:tab/>
      </w:r>
      <w:r>
        <w:tab/>
      </w:r>
      <w:r>
        <w:rPr>
          <w:bCs/>
        </w:rPr>
        <w:t>Вопросы последующей деятельности, оставшиеся нерассмотренными со</w:t>
      </w:r>
      <w:r w:rsidR="00100E94">
        <w:rPr>
          <w:bCs/>
          <w:lang w:val="fr-CH"/>
        </w:rPr>
        <w:t> </w:t>
      </w:r>
      <w:r>
        <w:rPr>
          <w:bCs/>
        </w:rPr>
        <w:t>времени предыдущего отчетного периода</w:t>
      </w:r>
    </w:p>
    <w:p w14:paraId="492B6104" w14:textId="2E413880" w:rsidR="007E1DD2" w:rsidRPr="004943E3" w:rsidRDefault="007E1DD2" w:rsidP="007E1DD2">
      <w:pPr>
        <w:pStyle w:val="SingleTxtG"/>
      </w:pPr>
      <w:r>
        <w:t>7.</w:t>
      </w:r>
      <w:r>
        <w:tab/>
        <w:t>В своих предыдущих заключительных замечаниях</w:t>
      </w:r>
      <w:r w:rsidRPr="00911563">
        <w:rPr>
          <w:rStyle w:val="aa"/>
        </w:rPr>
        <w:footnoteReference w:id="4"/>
      </w:r>
      <w:r>
        <w:t xml:space="preserve"> Комитет просил государство-участник представить последующую информацию о мерах, принятых в целях выполнения его рекомендаций, касающихся безнаказанности широко распространенных актов пыток и жестокого обращения, остающихся нерасследованными</w:t>
      </w:r>
      <w:r w:rsidRPr="00911563">
        <w:rPr>
          <w:rStyle w:val="aa"/>
        </w:rPr>
        <w:footnoteReference w:id="5"/>
      </w:r>
      <w:r>
        <w:t xml:space="preserve">; определения пытки и ее квалификации в качестве уголовного </w:t>
      </w:r>
      <w:r>
        <w:lastRenderedPageBreak/>
        <w:t>преступления</w:t>
      </w:r>
      <w:r w:rsidRPr="00911563">
        <w:rPr>
          <w:rStyle w:val="aa"/>
        </w:rPr>
        <w:footnoteReference w:id="6"/>
      </w:r>
      <w:r>
        <w:t>; и национального правозащитного учреждения</w:t>
      </w:r>
      <w:r w:rsidRPr="00911563">
        <w:rPr>
          <w:rStyle w:val="aa"/>
        </w:rPr>
        <w:footnoteReference w:id="7"/>
      </w:r>
      <w:r>
        <w:t>. Хотя докладчик Комитета по последующей деятельности в связи с заключительными замечаниями 8</w:t>
      </w:r>
      <w:r w:rsidR="00100E94">
        <w:rPr>
          <w:lang w:val="fr-CH"/>
        </w:rPr>
        <w:t> </w:t>
      </w:r>
      <w:r>
        <w:t>декабря 2014 года направил государству-участнику напоминание, Комитет не получил ответа от государства-участника. Комитет считает, что рекомендации, содержащиеся в пунктах 7, 8, 10 и 14 предыдущих заключительных замечаний, не были выполнены (см. пп. 9, 11, 13 и 25 ниже).</w:t>
      </w:r>
    </w:p>
    <w:p w14:paraId="2035B3D1" w14:textId="77777777" w:rsidR="007E1DD2" w:rsidRPr="004943E3" w:rsidRDefault="007E1DD2" w:rsidP="007E1DD2">
      <w:pPr>
        <w:pStyle w:val="H23G"/>
      </w:pPr>
      <w:r>
        <w:tab/>
      </w:r>
      <w:r>
        <w:tab/>
      </w:r>
      <w:r>
        <w:rPr>
          <w:bCs/>
        </w:rPr>
        <w:t>Определение пытки и ее квалификация в качестве уголовного преступления</w:t>
      </w:r>
    </w:p>
    <w:p w14:paraId="474018D7" w14:textId="7546291D" w:rsidR="007E1DD2" w:rsidRPr="004943E3" w:rsidRDefault="007E1DD2" w:rsidP="007E1DD2">
      <w:pPr>
        <w:pStyle w:val="SingleTxtG"/>
      </w:pPr>
      <w:r>
        <w:t>8.</w:t>
      </w:r>
      <w:r>
        <w:tab/>
        <w:t>Ссылаясь на свои предыдущие заключительные замечания</w:t>
      </w:r>
      <w:r w:rsidRPr="00911563">
        <w:rPr>
          <w:rStyle w:val="aa"/>
        </w:rPr>
        <w:footnoteReference w:id="8"/>
      </w:r>
      <w:r>
        <w:t>, Комитет принимает к сведению утверждение делегации о том, что статья 305 (1) Уголовного кодекса и содержащееся в ней определение пытки не ограничивает уголовную ответственность только государственными служащими, а применяется к любому лицу, совершившему преступление в виде пытки. Комитет с обеспокоенностью отмечает, что законодательство государства-участника не исключает применения президентского помилования в отношении преступления пытки. В связи с этим Комитет подтверждает свое мнение о том, что амнистия и помилование за применение пыток несовместимы с обязательствами государств-участников в плане обеспечения абсолютного и не допускающего отступлений характера запрета пыток, как это изложено в замечании общего порядка № 2 (2007) Комитета об осуществлении статьи</w:t>
      </w:r>
      <w:r w:rsidR="00100E94">
        <w:rPr>
          <w:lang w:val="fr-CH"/>
        </w:rPr>
        <w:t> </w:t>
      </w:r>
      <w:r>
        <w:t>2 и замечании общего порядка № 3 (2012) об осуществлении статьи 14 (пп. 1, 2 и 4).</w:t>
      </w:r>
    </w:p>
    <w:p w14:paraId="0105C7A0" w14:textId="77777777" w:rsidR="007E1DD2" w:rsidRPr="004943E3" w:rsidRDefault="007E1DD2" w:rsidP="007E1DD2">
      <w:pPr>
        <w:pStyle w:val="SingleTxtG"/>
        <w:rPr>
          <w:b/>
        </w:rPr>
      </w:pPr>
      <w:r>
        <w:t>9.</w:t>
      </w:r>
      <w:r>
        <w:tab/>
      </w:r>
      <w:r>
        <w:rPr>
          <w:b/>
          <w:bCs/>
        </w:rPr>
        <w:t>Государству-участнику следует:</w:t>
      </w:r>
    </w:p>
    <w:p w14:paraId="55C7FE98" w14:textId="77777777" w:rsidR="007E1DD2" w:rsidRPr="004943E3" w:rsidRDefault="007E1DD2" w:rsidP="007E1DD2">
      <w:pPr>
        <w:pStyle w:val="SingleTxtG"/>
        <w:rPr>
          <w:b/>
        </w:rPr>
      </w:pPr>
      <w:r>
        <w:tab/>
      </w:r>
      <w:r w:rsidRPr="0078799B">
        <w:rPr>
          <w:b/>
          <w:bCs/>
        </w:rPr>
        <w:t>a)</w:t>
      </w:r>
      <w:r>
        <w:tab/>
      </w:r>
      <w:r>
        <w:rPr>
          <w:b/>
          <w:bCs/>
        </w:rPr>
        <w:t>привести содержание статьи 305 (1) Уголовного кодекса в соответствие со всеми элементами, содержащимися в статье 1 Конвенции;</w:t>
      </w:r>
    </w:p>
    <w:p w14:paraId="747EF345" w14:textId="77777777" w:rsidR="007E1DD2" w:rsidRPr="004943E3" w:rsidRDefault="007E1DD2" w:rsidP="007E1DD2">
      <w:pPr>
        <w:pStyle w:val="SingleTxtG"/>
        <w:rPr>
          <w:b/>
        </w:rPr>
      </w:pPr>
      <w:r>
        <w:tab/>
      </w:r>
      <w:r w:rsidRPr="0078799B">
        <w:rPr>
          <w:b/>
          <w:bCs/>
        </w:rPr>
        <w:t>b)</w:t>
      </w:r>
      <w:r>
        <w:tab/>
      </w:r>
      <w:r>
        <w:rPr>
          <w:b/>
          <w:bCs/>
        </w:rPr>
        <w:t>исключить возможность помилования лиц, признанных виновными в совершении актов пыток.</w:t>
      </w:r>
    </w:p>
    <w:p w14:paraId="45479281" w14:textId="77777777" w:rsidR="007E1DD2" w:rsidRPr="004943E3" w:rsidRDefault="007E1DD2" w:rsidP="007E1DD2">
      <w:pPr>
        <w:pStyle w:val="H23G"/>
      </w:pPr>
      <w:r>
        <w:tab/>
      </w:r>
      <w:r>
        <w:tab/>
      </w:r>
      <w:r>
        <w:rPr>
          <w:bCs/>
        </w:rPr>
        <w:t>Национальное правозащитное учреждение</w:t>
      </w:r>
    </w:p>
    <w:p w14:paraId="65CC4331" w14:textId="75F2E67D" w:rsidR="007E1DD2" w:rsidRPr="004943E3" w:rsidRDefault="007E1DD2" w:rsidP="007E1DD2">
      <w:pPr>
        <w:pStyle w:val="SingleTxtG"/>
      </w:pPr>
      <w:r>
        <w:t>10.</w:t>
      </w:r>
      <w:r>
        <w:tab/>
        <w:t>Комитет сожалеет о том, что, несмотря на его предыдущие заключительные замечания</w:t>
      </w:r>
      <w:r w:rsidRPr="00911563">
        <w:rPr>
          <w:rStyle w:val="aa"/>
        </w:rPr>
        <w:footnoteReference w:id="9"/>
      </w:r>
      <w:r>
        <w:t xml:space="preserve">, Аппарат Акыйкатчы (Омбудсмена) все еще не полностью соответствует принципам, касающимся статуса национальных учреждений, занимающихся поощрением и защитой прав человека (Парижским принципам), и что в Законе об </w:t>
      </w:r>
      <w:r w:rsidR="00100E94">
        <w:t>О</w:t>
      </w:r>
      <w:r>
        <w:t>мбудсмене (Акыйкатчы) по-прежнему установлено, что полномочия омбудсмена могут быть прекращены, в случае неодобрения его ежегодного доклада. Комитет принимает к сведению информацию о том, что разработан и находится на рассмотрении в парламенте новый закон об Омбудсмене, который вносит изменения, в частности, в порядок избрания и освобождения от должности Омбудсмена, в его правовой статус и компетенцию. Тем не менее Комитет сожалеет о том, что этот законопроект находится на рассмотрении парламента с 2017 года (ст. 2, 11 и 13).</w:t>
      </w:r>
    </w:p>
    <w:p w14:paraId="683A90F4" w14:textId="77777777" w:rsidR="007E1DD2" w:rsidRPr="004943E3" w:rsidRDefault="007E1DD2" w:rsidP="007E1DD2">
      <w:pPr>
        <w:pStyle w:val="SingleTxtG"/>
      </w:pPr>
      <w:r>
        <w:t>11.</w:t>
      </w:r>
      <w:r>
        <w:tab/>
      </w:r>
      <w:r>
        <w:rPr>
          <w:b/>
          <w:bCs/>
        </w:rPr>
        <w:t>Государству-участнику следует принять необходимые меры в целях укрепления мандата и независимости Аппарата Омбудсмена в соответствии с Парижскими принципами и обеспечить наличие достаточных финансовых и людских ресурсов, с тем чтобы он имел возможность независимо и эффективно исполнять свой мандат.</w:t>
      </w:r>
    </w:p>
    <w:p w14:paraId="29D7DEE5" w14:textId="77777777" w:rsidR="007E1DD2" w:rsidRPr="004943E3" w:rsidRDefault="007E1DD2" w:rsidP="007E1DD2">
      <w:pPr>
        <w:pStyle w:val="H23G"/>
      </w:pPr>
      <w:r>
        <w:tab/>
      </w:r>
      <w:r>
        <w:tab/>
      </w:r>
      <w:r>
        <w:rPr>
          <w:bCs/>
        </w:rPr>
        <w:t>Национальный превентивный механизм</w:t>
      </w:r>
    </w:p>
    <w:p w14:paraId="598ED380" w14:textId="4FD66875" w:rsidR="007E1DD2" w:rsidRPr="004943E3" w:rsidRDefault="007E1DD2" w:rsidP="007E1DD2">
      <w:pPr>
        <w:pStyle w:val="SingleTxtG"/>
      </w:pPr>
      <w:r>
        <w:t>12.</w:t>
      </w:r>
      <w:r>
        <w:tab/>
        <w:t xml:space="preserve">Несмотря на общие усилия по поощрению деятельности Национального центра по предупреждению пыток, Комитет считает, что существуют препятствия, мешающие его эффективному функционированию. Он с обеспокоенностью отмечает, что специальное положение в Уголовном кодексе (ст. 146-2), предусматривающее наказание за любое препятствование Координационному совету по правам человека </w:t>
      </w:r>
      <w:r>
        <w:lastRenderedPageBreak/>
        <w:t>или Национальному центру в осуществлении ими своих полномочий, было отменено. Он также сожалеет, что Национальный центр не выполнил своего мандата в отношении проведения предусмотренных посещений, особенно во время пандемии, в основном из-за нехватки людских и бюджетных ресурсов, в частности в региональных офисах. Комитет принимает к сведению утверждение делегации о том, что вопрос о нехватке персонала и недостатке бюджетных средств решен в законопроекте о бюджете на 2022 год и что выделенные Национальному центру бюджетные средства будут увеличены (ст. 2).</w:t>
      </w:r>
    </w:p>
    <w:p w14:paraId="5754CD4F" w14:textId="77777777" w:rsidR="007E1DD2" w:rsidRPr="004943E3" w:rsidRDefault="007E1DD2" w:rsidP="007E1DD2">
      <w:pPr>
        <w:pStyle w:val="SingleTxtG"/>
        <w:rPr>
          <w:b/>
        </w:rPr>
      </w:pPr>
      <w:r>
        <w:t>13.</w:t>
      </w:r>
      <w:r>
        <w:tab/>
      </w:r>
      <w:r>
        <w:rPr>
          <w:b/>
          <w:bCs/>
        </w:rPr>
        <w:t>Государству-участнику следует:</w:t>
      </w:r>
    </w:p>
    <w:p w14:paraId="6B553A8B" w14:textId="77777777" w:rsidR="007E1DD2" w:rsidRPr="004943E3" w:rsidRDefault="007E1DD2" w:rsidP="007E1DD2">
      <w:pPr>
        <w:pStyle w:val="SingleTxtG"/>
        <w:rPr>
          <w:b/>
        </w:rPr>
      </w:pPr>
      <w:r>
        <w:tab/>
      </w:r>
      <w:r w:rsidRPr="00EE03E6">
        <w:rPr>
          <w:b/>
          <w:bCs/>
        </w:rPr>
        <w:t>a)</w:t>
      </w:r>
      <w:r>
        <w:tab/>
      </w:r>
      <w:r>
        <w:rPr>
          <w:b/>
          <w:bCs/>
        </w:rPr>
        <w:t>ввести вновь статью 146-2 в Уголовный кодекс и обеспечить эффективное расследование любого препятствования или вмешательства в работу Национального центра по предупреждению пыток, а также привлечение виновных в этом к судебной ответственности;</w:t>
      </w:r>
    </w:p>
    <w:p w14:paraId="3FB3E773" w14:textId="77777777" w:rsidR="007E1DD2" w:rsidRPr="004943E3" w:rsidRDefault="007E1DD2" w:rsidP="007E1DD2">
      <w:pPr>
        <w:pStyle w:val="SingleTxtG"/>
        <w:rPr>
          <w:b/>
          <w:bCs/>
        </w:rPr>
      </w:pPr>
      <w:r>
        <w:tab/>
      </w:r>
      <w:r w:rsidRPr="00EE03E6">
        <w:rPr>
          <w:b/>
          <w:bCs/>
        </w:rPr>
        <w:t>b)</w:t>
      </w:r>
      <w:r>
        <w:tab/>
      </w:r>
      <w:r>
        <w:rPr>
          <w:b/>
          <w:bCs/>
        </w:rPr>
        <w:t>обеспечить, чтобы у Национального центра по предупреждению пыток имелись необходимые финансовые, людские и материальные ресурсы для эффективного исполнения своего мандата на всей территории страны, имелся беспрепятственный доступ во все места лишения свободы, а также возможности проведения конфиденциальных встреч с заключенными и осуществления последующей деятельности согласно своим выводам и рекомендациям совместно с соответствующими органами.</w:t>
      </w:r>
    </w:p>
    <w:p w14:paraId="73C2F17A" w14:textId="77777777" w:rsidR="007E1DD2" w:rsidRPr="004943E3" w:rsidRDefault="007E1DD2" w:rsidP="007E1DD2">
      <w:pPr>
        <w:pStyle w:val="H23G"/>
      </w:pPr>
      <w:r>
        <w:tab/>
      </w:r>
      <w:r>
        <w:tab/>
      </w:r>
      <w:r>
        <w:rPr>
          <w:bCs/>
        </w:rPr>
        <w:t>Основные правовые гарантии</w:t>
      </w:r>
    </w:p>
    <w:p w14:paraId="18B6D932" w14:textId="77777777" w:rsidR="007E1DD2" w:rsidRPr="004943E3" w:rsidRDefault="007E1DD2" w:rsidP="007E1DD2">
      <w:pPr>
        <w:pStyle w:val="SingleTxtG"/>
      </w:pPr>
      <w:r>
        <w:t>14.</w:t>
      </w:r>
      <w:r>
        <w:tab/>
        <w:t>Комитет вновь выражает свою обеспокоенность тем, что все лица, лишенные свободы, особенно те, кого содержат в предварительном заключении, на практике не пользуются всеми основными правовыми гарантиями с самого начала лишения их свободы. Комитет обеспокоен сообщениями о том, что задержанным не предоставляется своевременный доступ к адвокату, во многих случаях не ранее суда; малым числом адвокатов, значащихся в реестре гарантируемой государством юридической помощи, и их недоступностью в отдаленных районах; а также отсутствием доступа к качественной юридической помощи. Кроме того, из-за нехватки комнат для свиданий в изоляторах временного содержания (ИВС) и следственных изоляторах (СИЗО) образуются длинные очереди из адвокатов, желающих встретиться со своими клиентами. Приветствуя сообщения о том, что многочисленные сотрудники медицинского персонала тюрем прошли подготовку по положениям Стамбульского протокола, Комитет обеспокоен утверждениями о том, что некоторые обследования проводятся поверхностно, иногда с задержкой, и лицами, которые не относятся к медицинскому персоналу в местах предварительного заключения. Наконец, Комитет с большой обеспокоенностью отмечает, что несовершеннолетние проходят первичный допрос без присутствия их адвокатов, родителей или других доверенных лиц (ст. 2, 11–13, 15 и 16).</w:t>
      </w:r>
    </w:p>
    <w:p w14:paraId="39B72104" w14:textId="77777777" w:rsidR="007E1DD2" w:rsidRPr="004943E3" w:rsidRDefault="007E1DD2" w:rsidP="007E1DD2">
      <w:pPr>
        <w:pStyle w:val="SingleTxtG"/>
      </w:pPr>
      <w:r>
        <w:t>15.</w:t>
      </w:r>
      <w:r>
        <w:tab/>
      </w:r>
      <w:r>
        <w:rPr>
          <w:b/>
          <w:bCs/>
        </w:rPr>
        <w:t>Ссылаясь на свою предыдущую рекомендацию</w:t>
      </w:r>
      <w:r w:rsidRPr="00482BCE">
        <w:rPr>
          <w:rStyle w:val="aa"/>
          <w:bCs/>
        </w:rPr>
        <w:footnoteReference w:id="10"/>
      </w:r>
      <w:r>
        <w:rPr>
          <w:b/>
          <w:bCs/>
        </w:rPr>
        <w:t>, Комитет рекомендует государству-участнику обеспечить, чтобы всем арестованным или задержанным лицам, включая несовершеннолетних, на практике предоставлялись все основные правовые гарантии против пыток с самого начала лишения их свободы, включая право на незамедлительный доступ к адвокату или, в случае необходимости, на бесплатную юридическую помощь, особенно на этапах проведения расследования и допроса, право требовать и незамедлительно проходить медицинское обследование, осуществляемое квалифицированным специалистом, после прибытия в место содержания под стражей, а также право по запросу получать доступ к независимому врачу.</w:t>
      </w:r>
      <w:r>
        <w:t xml:space="preserve"> </w:t>
      </w:r>
      <w:r>
        <w:rPr>
          <w:b/>
          <w:bCs/>
        </w:rPr>
        <w:t>Государству-участнику следует представить в своем следующем периодическом докладе Комитету информацию о числе полученных жалоб на несоблюдение основных правовых гарантий и о результатах рассмотрения таких жалоб.</w:t>
      </w:r>
    </w:p>
    <w:p w14:paraId="417A65BA" w14:textId="77777777" w:rsidR="007E1DD2" w:rsidRPr="004943E3" w:rsidRDefault="007E1DD2" w:rsidP="007E1DD2">
      <w:pPr>
        <w:pStyle w:val="H23G"/>
        <w:rPr>
          <w:bCs/>
        </w:rPr>
      </w:pPr>
      <w:r>
        <w:lastRenderedPageBreak/>
        <w:tab/>
      </w:r>
      <w:r>
        <w:tab/>
      </w:r>
      <w:r>
        <w:rPr>
          <w:bCs/>
        </w:rPr>
        <w:t>Продолжительность предварительного заключения</w:t>
      </w:r>
    </w:p>
    <w:p w14:paraId="0F9D7128" w14:textId="38672168" w:rsidR="007E1DD2" w:rsidRPr="004943E3" w:rsidRDefault="007E1DD2" w:rsidP="007E1DD2">
      <w:pPr>
        <w:pStyle w:val="SingleTxtG"/>
      </w:pPr>
      <w:r>
        <w:t>16.</w:t>
      </w:r>
      <w:r>
        <w:tab/>
        <w:t xml:space="preserve">Принимая к сведению гарантии, изложенные в </w:t>
      </w:r>
      <w:r w:rsidR="00A564FE">
        <w:t>пункте 4 статьи</w:t>
      </w:r>
      <w:r>
        <w:t xml:space="preserve"> 59 Конституции и пункте 11 статьи 45.1 Уголовно-процессуального кодекса, Комитет выражает обеспокоенность тем, что предельный срок в 48 часов, в течение которых арестованные лица должны предстать перед судьей, начинается с того момента, когда их доставили в полицейский участок, а не с самого начала лишения их свободы. Кроме того, 48-часовой срок может быть продлен, если следователи и прокуроры представят обоснования для проведения дополнительного расследования. Комитет обеспокоен тем, что в связи с положениями о коронавирусной инфекции (COVID-19) сроки содержания под стражей в условиях карантина продлевались без какой-либо оценки положения задержанных. По имеющейся у Комитета информации, большое число задержанных лиц незаконно находились в изоляторах временного содержания в течение всего срока их предварительного заключения в некоторых областях, особенно в Джалал-Абадской области, в то время как их следовало перевести в центр предварительного заключения. Комитет считает, что длительное пребывание лица в изоляторе временного содержания может быть приравнено к жестокому, бесчеловечному и унижающему достоинство обращению. Комитет приветствует представленную делегацией государства-участника информацию о том, что в новом Уголовно-процессуальном кодексе, который вступит в силу в декабре 2021 года, будет предусматриваться, что максимальный срок пребывания в местах предварительного заключения не должен превышать одного года, после чего обвиняемый подлежит немедленному освобождению (ст. 2, 11 и 16).</w:t>
      </w:r>
    </w:p>
    <w:p w14:paraId="260AC42E" w14:textId="77777777" w:rsidR="007E1DD2" w:rsidRPr="004943E3" w:rsidRDefault="007E1DD2" w:rsidP="007E1DD2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Государству-участнику следует:</w:t>
      </w:r>
    </w:p>
    <w:p w14:paraId="0614D87B" w14:textId="77777777" w:rsidR="007E1DD2" w:rsidRPr="004943E3" w:rsidRDefault="007E1DD2" w:rsidP="007E1DD2">
      <w:pPr>
        <w:pStyle w:val="SingleTxtG"/>
        <w:rPr>
          <w:b/>
        </w:rPr>
      </w:pPr>
      <w:r>
        <w:tab/>
      </w:r>
      <w:r w:rsidRPr="00EE03E6">
        <w:rPr>
          <w:b/>
          <w:bCs/>
        </w:rPr>
        <w:t>a)</w:t>
      </w:r>
      <w:r>
        <w:tab/>
      </w:r>
      <w:r>
        <w:rPr>
          <w:b/>
          <w:bCs/>
        </w:rPr>
        <w:t>обеспечить, чтобы срок задержания лица до момента доставки к судье не превышал 48 часов;</w:t>
      </w:r>
    </w:p>
    <w:p w14:paraId="68C189E6" w14:textId="77777777" w:rsidR="007E1DD2" w:rsidRPr="004943E3" w:rsidRDefault="007E1DD2" w:rsidP="007E1DD2">
      <w:pPr>
        <w:pStyle w:val="SingleTxtG"/>
        <w:rPr>
          <w:b/>
        </w:rPr>
      </w:pPr>
      <w:r>
        <w:tab/>
      </w:r>
      <w:r w:rsidRPr="00EE03E6">
        <w:rPr>
          <w:b/>
          <w:bCs/>
        </w:rPr>
        <w:t>b)</w:t>
      </w:r>
      <w:r>
        <w:tab/>
      </w:r>
      <w:r>
        <w:rPr>
          <w:b/>
          <w:bCs/>
        </w:rPr>
        <w:t>обеспечить в законодательстве и на практике, чтобы предварительное заключение применялось в качестве крайней меры;</w:t>
      </w:r>
    </w:p>
    <w:p w14:paraId="63D424A1" w14:textId="77777777" w:rsidR="007E1DD2" w:rsidRPr="004943E3" w:rsidRDefault="007E1DD2" w:rsidP="007E1DD2">
      <w:pPr>
        <w:pStyle w:val="SingleTxtG"/>
        <w:rPr>
          <w:rFonts w:ascii="TimesNewRomanPS" w:hAnsi="TimesNewRomanPS"/>
          <w:b/>
          <w:bCs/>
        </w:rPr>
      </w:pPr>
      <w:r>
        <w:tab/>
      </w:r>
      <w:r w:rsidRPr="00EE03E6">
        <w:rPr>
          <w:b/>
          <w:bCs/>
        </w:rPr>
        <w:t>c)</w:t>
      </w:r>
      <w:r>
        <w:tab/>
      </w:r>
      <w:r>
        <w:rPr>
          <w:b/>
          <w:bCs/>
        </w:rPr>
        <w:t>рассмотреть возможность замены предварительного заключения мерами, не связанными с лишением свободы.</w:t>
      </w:r>
    </w:p>
    <w:p w14:paraId="5C8E19CA" w14:textId="77777777" w:rsidR="007E1DD2" w:rsidRPr="004943E3" w:rsidRDefault="007E1DD2" w:rsidP="007E1DD2">
      <w:pPr>
        <w:pStyle w:val="H23G"/>
      </w:pPr>
      <w:r>
        <w:tab/>
      </w:r>
      <w:r>
        <w:tab/>
      </w:r>
      <w:r>
        <w:rPr>
          <w:bCs/>
        </w:rPr>
        <w:t>Насилие в отношении женщин, включая похищение невест</w:t>
      </w:r>
    </w:p>
    <w:p w14:paraId="52804A66" w14:textId="15B7AF3D" w:rsidR="007E1DD2" w:rsidRPr="004943E3" w:rsidRDefault="007E1DD2" w:rsidP="007E1DD2">
      <w:pPr>
        <w:pStyle w:val="SingleTxtG"/>
      </w:pPr>
      <w:r>
        <w:t>18.</w:t>
      </w:r>
      <w:r>
        <w:tab/>
        <w:t>Приветствуя различные инициативы по борьбе со всеми формами насилия в отношении женщин, Комитет выражает обеспокоенность по-прежнему высокими показателями распространения насилия в отношении женщин, в частности бытового насилия, и крайне малым числом расследований по таким случаям. Правоохранительные органы и судебная система по-прежнему не в состоянии эффективно расследовать жалобы на насилие в отношении женщин и наказывать виновных. Более того, лишь 944 из 9025 дел о бытовом насилии, зарегистрированных в 2020 году, были переданы в суд. Комитет обеспокоен тем, что в результате поправок к Уголовно-процессуальному кодексу, принятых в 2021 году, бытовое насилие приводится к категории административного правонарушения. Отмечая, что статьи</w:t>
      </w:r>
      <w:r w:rsidR="00255F2F">
        <w:t> </w:t>
      </w:r>
      <w:r>
        <w:t>Уголовного кодекса ужесточают наказание за похищение невесты, которое рассматривается как серьезное преступление, Комитет по-прежнему обеспокоен продолжающимися похищениями женщин и девочек для принудительных браков. Он</w:t>
      </w:r>
      <w:r w:rsidR="00405233">
        <w:t> </w:t>
      </w:r>
      <w:r>
        <w:t>был бы признателен за предоставление обновленной информации о принятых в связи с этим дополнительных мерах и об их эффективности (статьи 2 и 16).</w:t>
      </w:r>
    </w:p>
    <w:p w14:paraId="1EB31A1A" w14:textId="77777777" w:rsidR="007E1DD2" w:rsidRPr="004943E3" w:rsidRDefault="007E1DD2" w:rsidP="007E1DD2">
      <w:pPr>
        <w:pStyle w:val="SingleTxtG"/>
        <w:rPr>
          <w:b/>
        </w:rPr>
      </w:pPr>
      <w:r>
        <w:t>19.</w:t>
      </w:r>
      <w:r>
        <w:tab/>
      </w:r>
      <w:r>
        <w:rPr>
          <w:b/>
          <w:bCs/>
        </w:rPr>
        <w:t>Государству-участнику следует:</w:t>
      </w:r>
    </w:p>
    <w:p w14:paraId="57FD1243" w14:textId="77777777" w:rsidR="007E1DD2" w:rsidRPr="004943E3" w:rsidRDefault="007E1DD2" w:rsidP="007E1DD2">
      <w:pPr>
        <w:pStyle w:val="SingleTxtG"/>
        <w:rPr>
          <w:b/>
          <w:bCs/>
        </w:rPr>
      </w:pPr>
      <w:r>
        <w:tab/>
      </w:r>
      <w:r w:rsidRPr="00405233">
        <w:rPr>
          <w:b/>
          <w:bCs/>
        </w:rPr>
        <w:t>a)</w:t>
      </w:r>
      <w:r>
        <w:tab/>
      </w:r>
      <w:r>
        <w:rPr>
          <w:b/>
          <w:bCs/>
        </w:rPr>
        <w:t>обеспечить, чтобы все случаи насилия в отношении женщин, особенно те, которые связаны с действиями или бездействием государственных органов или других субъектов, влекущими международную ответственность государства-участника по Конвенции, тщательно расследовались, чтобы предполагаемые виновники привлекались к ответственности и, в случае их осуждения, несли соответствующее наказание, а жертвы или их семьи получали возмещение, включая надлежащую компенсацию;</w:t>
      </w:r>
    </w:p>
    <w:p w14:paraId="22B284BC" w14:textId="77777777" w:rsidR="007E1DD2" w:rsidRPr="004943E3" w:rsidRDefault="007E1DD2" w:rsidP="007E1DD2">
      <w:pPr>
        <w:pStyle w:val="SingleTxtG"/>
        <w:rPr>
          <w:b/>
          <w:bCs/>
        </w:rPr>
      </w:pPr>
      <w:r>
        <w:lastRenderedPageBreak/>
        <w:tab/>
      </w:r>
      <w:r w:rsidRPr="00405233">
        <w:rPr>
          <w:b/>
          <w:bCs/>
        </w:rPr>
        <w:t>b)</w:t>
      </w:r>
      <w:r>
        <w:tab/>
      </w:r>
      <w:r>
        <w:rPr>
          <w:b/>
          <w:bCs/>
        </w:rPr>
        <w:t>рассмотреть возможность создания эффективного и независимого механизма подачи жалоб для жертв бытового насилия;</w:t>
      </w:r>
    </w:p>
    <w:p w14:paraId="359AE575" w14:textId="77777777" w:rsidR="007E1DD2" w:rsidRPr="004943E3" w:rsidRDefault="007E1DD2" w:rsidP="007E1DD2">
      <w:pPr>
        <w:pStyle w:val="SingleTxtG"/>
        <w:rPr>
          <w:b/>
          <w:bCs/>
        </w:rPr>
      </w:pPr>
      <w:r>
        <w:tab/>
      </w:r>
      <w:r w:rsidRPr="00405233">
        <w:rPr>
          <w:b/>
          <w:bCs/>
        </w:rPr>
        <w:t>c)</w:t>
      </w:r>
      <w:r>
        <w:tab/>
      </w:r>
      <w:r>
        <w:rPr>
          <w:b/>
          <w:bCs/>
        </w:rPr>
        <w:t>обеспечить, чтобы жертвы насилия в отношении женщин пользовались защитой, включая судебные защитные предписания, и имели доступ к медицинским, социальным и юридическим услугам, в том числе психологическому консультированию, возмещению ущерба, реабилитации, к безопасным и надлежащим образом финансируемым приютам на всей территории страны и помощи в поиске другого жилья;</w:t>
      </w:r>
    </w:p>
    <w:p w14:paraId="12618615" w14:textId="77777777" w:rsidR="007E1DD2" w:rsidRPr="004943E3" w:rsidRDefault="007E1DD2" w:rsidP="007E1DD2">
      <w:pPr>
        <w:pStyle w:val="SingleTxtG"/>
        <w:rPr>
          <w:b/>
          <w:bCs/>
        </w:rPr>
      </w:pPr>
      <w:r>
        <w:tab/>
      </w:r>
      <w:r w:rsidRPr="00405233">
        <w:rPr>
          <w:b/>
          <w:bCs/>
        </w:rPr>
        <w:t>d)</w:t>
      </w:r>
      <w:r>
        <w:tab/>
      </w:r>
      <w:r>
        <w:rPr>
          <w:b/>
          <w:bCs/>
        </w:rPr>
        <w:t>обеспечить, чтобы сотрудники правоохранительных, судебных органов, медицинские и социальные работники проходили соответствующую подготовку для работы по таким делам;</w:t>
      </w:r>
    </w:p>
    <w:p w14:paraId="42619F88" w14:textId="77777777" w:rsidR="007E1DD2" w:rsidRPr="004943E3" w:rsidRDefault="007E1DD2" w:rsidP="007E1DD2">
      <w:pPr>
        <w:pStyle w:val="SingleTxtG"/>
        <w:rPr>
          <w:b/>
          <w:bCs/>
        </w:rPr>
      </w:pPr>
      <w:r>
        <w:tab/>
      </w:r>
      <w:r w:rsidRPr="00405233">
        <w:rPr>
          <w:b/>
          <w:bCs/>
        </w:rPr>
        <w:t>e)</w:t>
      </w:r>
      <w:r>
        <w:tab/>
      </w:r>
      <w:r>
        <w:rPr>
          <w:b/>
          <w:bCs/>
        </w:rPr>
        <w:t>активизировать усилия по повышению осведомленности общественности о таких явлениях.</w:t>
      </w:r>
    </w:p>
    <w:p w14:paraId="3631FE52" w14:textId="77777777" w:rsidR="007E1DD2" w:rsidRPr="004943E3" w:rsidRDefault="007E1DD2" w:rsidP="007E1DD2">
      <w:pPr>
        <w:pStyle w:val="H23G"/>
      </w:pPr>
      <w:r>
        <w:tab/>
      </w:r>
      <w:r>
        <w:tab/>
      </w:r>
      <w:r>
        <w:rPr>
          <w:bCs/>
        </w:rPr>
        <w:t>Торговля людьми</w:t>
      </w:r>
    </w:p>
    <w:p w14:paraId="36F6686E" w14:textId="77777777" w:rsidR="007E1DD2" w:rsidRPr="004943E3" w:rsidRDefault="007E1DD2" w:rsidP="007E1DD2">
      <w:pPr>
        <w:pStyle w:val="SingleTxtG"/>
      </w:pPr>
      <w:r>
        <w:t>20.</w:t>
      </w:r>
      <w:r>
        <w:tab/>
        <w:t>Приветствуя меры, принятые государством-участником в целях борьбы с торговлей людьми, включая поправки к Уголовному кодексу, предусматривающие ужесточение наказаний за такие преступления, Комитет выражает обеспокоенность по поводу продолжающих поступать сообщений о торговле гражданами Кыргызстана и иностранцами внутри страны и за ее пределами и слабого применения существующего законодательства и стратегий для ее предотвращения, а также по поводу отсутствия мер по устранению коренных причин этого явления и нехватки приютов для жертв, особенно для девочек и женщин (ст. 2 и 16).</w:t>
      </w:r>
    </w:p>
    <w:p w14:paraId="2611193B" w14:textId="77777777" w:rsidR="007E1DD2" w:rsidRPr="004943E3" w:rsidRDefault="007E1DD2" w:rsidP="007E1DD2">
      <w:pPr>
        <w:pStyle w:val="SingleTxtG"/>
        <w:rPr>
          <w:b/>
        </w:rPr>
      </w:pPr>
      <w:r>
        <w:t>21.</w:t>
      </w:r>
      <w:r>
        <w:tab/>
      </w:r>
      <w:r>
        <w:rPr>
          <w:b/>
          <w:bCs/>
        </w:rPr>
        <w:t>Государству-участнику следует:</w:t>
      </w:r>
    </w:p>
    <w:p w14:paraId="7901BB08" w14:textId="0144BC07" w:rsidR="007E1DD2" w:rsidRPr="004943E3" w:rsidRDefault="00405233" w:rsidP="007E1DD2">
      <w:pPr>
        <w:pStyle w:val="SingleTxtG"/>
        <w:rPr>
          <w:b/>
        </w:rPr>
      </w:pPr>
      <w:r>
        <w:tab/>
      </w:r>
      <w:r w:rsidR="007E1DD2" w:rsidRPr="00405233">
        <w:rPr>
          <w:b/>
          <w:bCs/>
        </w:rPr>
        <w:t>a)</w:t>
      </w:r>
      <w:r w:rsidR="007E1DD2">
        <w:tab/>
      </w:r>
      <w:r w:rsidR="007E1DD2">
        <w:rPr>
          <w:b/>
          <w:bCs/>
        </w:rPr>
        <w:t>продолжать принимать меры по предотвращению и искоренению торговли людьми, включая энергичное применение законодательства по борьбе с торговлей людьми, и выделять достаточные средства на реализацию плана действий по борьбе с торговлей людьми;</w:t>
      </w:r>
    </w:p>
    <w:p w14:paraId="52711080" w14:textId="44EE0F04" w:rsidR="007E1DD2" w:rsidRPr="004943E3" w:rsidRDefault="00405233" w:rsidP="007E1DD2">
      <w:pPr>
        <w:pStyle w:val="SingleTxtG"/>
        <w:rPr>
          <w:b/>
        </w:rPr>
      </w:pPr>
      <w:r>
        <w:tab/>
      </w:r>
      <w:r w:rsidR="007E1DD2" w:rsidRPr="00405233">
        <w:rPr>
          <w:b/>
          <w:bCs/>
        </w:rPr>
        <w:t>b)</w:t>
      </w:r>
      <w:r w:rsidR="007E1DD2">
        <w:tab/>
      </w:r>
      <w:r w:rsidR="007E1DD2">
        <w:rPr>
          <w:b/>
          <w:bCs/>
        </w:rPr>
        <w:t>оперативно, эффективно и беспристрастно расследовать, преследовать в судебном порядке и наказывать за совершение преступления торговли людьми и обеспечивать необходимые процессуальные гарантии и помощь жертвам при обращении в полицию с сообщениями о случаях торговли людьми;</w:t>
      </w:r>
    </w:p>
    <w:p w14:paraId="5692DC3C" w14:textId="7BC2E850" w:rsidR="007E1DD2" w:rsidRPr="004943E3" w:rsidRDefault="00405233" w:rsidP="007E1DD2">
      <w:pPr>
        <w:pStyle w:val="SingleTxtG"/>
        <w:rPr>
          <w:b/>
        </w:rPr>
      </w:pPr>
      <w:r>
        <w:tab/>
      </w:r>
      <w:r w:rsidR="007E1DD2" w:rsidRPr="00405233">
        <w:rPr>
          <w:b/>
          <w:bCs/>
        </w:rPr>
        <w:t>c)</w:t>
      </w:r>
      <w:r w:rsidR="007E1DD2">
        <w:tab/>
      </w:r>
      <w:r w:rsidR="007E1DD2">
        <w:rPr>
          <w:b/>
          <w:bCs/>
        </w:rPr>
        <w:t>предоставлять возмещение жертвам торговли людьми, в том числе юридическую, медицинскую и психологическую помощь и реабилитацию, а также надлежащие убежища;</w:t>
      </w:r>
    </w:p>
    <w:p w14:paraId="5B17CC8D" w14:textId="7F5744E3" w:rsidR="007E1DD2" w:rsidRPr="004943E3" w:rsidRDefault="00405233" w:rsidP="007E1DD2">
      <w:pPr>
        <w:pStyle w:val="SingleTxtG"/>
        <w:rPr>
          <w:b/>
          <w:sz w:val="24"/>
          <w:szCs w:val="24"/>
        </w:rPr>
      </w:pPr>
      <w:r>
        <w:tab/>
      </w:r>
      <w:r w:rsidR="007E1DD2" w:rsidRPr="00405233">
        <w:rPr>
          <w:b/>
          <w:bCs/>
        </w:rPr>
        <w:t>d)</w:t>
      </w:r>
      <w:r w:rsidR="007E1DD2">
        <w:tab/>
      </w:r>
      <w:r w:rsidR="007E1DD2">
        <w:rPr>
          <w:b/>
          <w:bCs/>
        </w:rPr>
        <w:t>обеспечить обязательную и непрерывную подготовку по вопросам предотвращения торговли людьми для всех сотрудников системы правосудия и правоохранительных органов.</w:t>
      </w:r>
    </w:p>
    <w:p w14:paraId="3B0F267F" w14:textId="77777777" w:rsidR="007E1DD2" w:rsidRPr="004943E3" w:rsidRDefault="007E1DD2" w:rsidP="007E1DD2">
      <w:pPr>
        <w:pStyle w:val="H23G"/>
      </w:pPr>
      <w:r>
        <w:tab/>
      </w:r>
      <w:r>
        <w:tab/>
      </w:r>
      <w:r>
        <w:rPr>
          <w:bCs/>
        </w:rPr>
        <w:t>Условия содержания под стражей</w:t>
      </w:r>
    </w:p>
    <w:p w14:paraId="4F44B7D8" w14:textId="31AD0CAA" w:rsidR="007E1DD2" w:rsidRPr="004943E3" w:rsidRDefault="007E1DD2" w:rsidP="007E1DD2">
      <w:pPr>
        <w:pStyle w:val="SingleTxtG"/>
      </w:pPr>
      <w:r>
        <w:t>22.</w:t>
      </w:r>
      <w:r>
        <w:tab/>
        <w:t>Высоко оценивая принятые государством-участником меры по ремонту некоторых мест содержания под стражей и строительству дополнительных помещений для заключенных, отбывающих пожизненные сроки, Комитет по</w:t>
      </w:r>
      <w:r w:rsidR="00405233">
        <w:noBreakHyphen/>
      </w:r>
      <w:r>
        <w:t>прежнему обеспокоен сообщениями о ненадлежащих и удручающих условиях содержания под стражей, включая переполненность помещений. Комитет выражает обеспокоенность также ужасающими условиями содержания женщин в местах лишения свободы и отсутствием надлежащего медицинского обслуживания женщин-заключенных, в том числе беременных женщин и матерей с детьми. Комитет обеспокоен далее сообщениями об очень плохих условиях, царящих в психиатрических больницах, в домах социального ухода и в детских интернатах (ст.</w:t>
      </w:r>
      <w:r w:rsidR="00405233">
        <w:t> </w:t>
      </w:r>
      <w:r>
        <w:t>11 и 16).</w:t>
      </w:r>
    </w:p>
    <w:p w14:paraId="1A4DADEA" w14:textId="77777777" w:rsidR="007E1DD2" w:rsidRPr="004943E3" w:rsidRDefault="007E1DD2" w:rsidP="00405233">
      <w:pPr>
        <w:pStyle w:val="SingleTxtG"/>
        <w:pageBreakBefore/>
        <w:rPr>
          <w:b/>
        </w:rPr>
      </w:pPr>
      <w:r>
        <w:lastRenderedPageBreak/>
        <w:t>23.</w:t>
      </w:r>
      <w:r>
        <w:tab/>
      </w:r>
      <w:r>
        <w:rPr>
          <w:b/>
          <w:bCs/>
        </w:rPr>
        <w:t>Комитет настоятельно призывает государство-участник:</w:t>
      </w:r>
    </w:p>
    <w:p w14:paraId="3115B8AF" w14:textId="77777777" w:rsidR="007E1DD2" w:rsidRPr="004943E3" w:rsidRDefault="007E1DD2" w:rsidP="007E1DD2">
      <w:pPr>
        <w:pStyle w:val="SingleTxtG"/>
        <w:rPr>
          <w:b/>
        </w:rPr>
      </w:pPr>
      <w:r>
        <w:tab/>
      </w:r>
      <w:r w:rsidRPr="00405233">
        <w:rPr>
          <w:b/>
          <w:bCs/>
        </w:rPr>
        <w:t>a)</w:t>
      </w:r>
      <w:r>
        <w:tab/>
      </w:r>
      <w:r>
        <w:rPr>
          <w:b/>
          <w:bCs/>
        </w:rPr>
        <w:t>активизировать усилия по улучшению условий содержания под стражей и снижению переполненности пенитенциарных учреждений, в том числе путем применения мер, не связанных с лишением свободы.</w:t>
      </w:r>
      <w:r>
        <w:t xml:space="preserve"> </w:t>
      </w:r>
      <w:r>
        <w:rPr>
          <w:b/>
          <w:bCs/>
        </w:rPr>
        <w:t>В связи с этим Комитет обращает внимание государства-участника на соблюдение Минимальных стандартных правил Организации Объединенных Наций в отношении обращения с заключенными (Правила Нельсона Манделы), Минимальных стандартных правил Организации Объединенных Наций в отношении мер, не связанных с тюремным заключением (Токийские правила), и Правил Организации Объединенных Наций, касающихся обращения с женщинами-заключенными и мер наказания для женщин-правонарушителей, не связанных с лишением свободы (Бангкокские правила), и рекомендует государству-участнику, в частности, обеспечить, чтобы заключенным были созданы надлежащие материальные и гигиенические условия, включая достаточное естественное и искусственное освещение;</w:t>
      </w:r>
      <w:r>
        <w:t xml:space="preserve"> </w:t>
      </w:r>
      <w:r>
        <w:rPr>
          <w:b/>
          <w:bCs/>
        </w:rPr>
        <w:t>надлежащие системы канализации и санитарного оборудования, в том числе туалеты и душевые;</w:t>
      </w:r>
      <w:r>
        <w:t xml:space="preserve"> </w:t>
      </w:r>
      <w:r>
        <w:rPr>
          <w:b/>
          <w:bCs/>
        </w:rPr>
        <w:t>отопление в тюремных камерах;</w:t>
      </w:r>
      <w:r>
        <w:t xml:space="preserve"> </w:t>
      </w:r>
      <w:r>
        <w:rPr>
          <w:b/>
          <w:bCs/>
        </w:rPr>
        <w:t>достаточную вентиляцию;</w:t>
      </w:r>
      <w:r>
        <w:t xml:space="preserve"> </w:t>
      </w:r>
      <w:r>
        <w:rPr>
          <w:b/>
          <w:bCs/>
        </w:rPr>
        <w:t>надлежащего качества и в надлежащем количестве питание, постельные принадлежности, одеяла и предметы личной гигиены;</w:t>
      </w:r>
      <w:r>
        <w:t xml:space="preserve"> </w:t>
      </w:r>
      <w:r>
        <w:rPr>
          <w:b/>
          <w:bCs/>
        </w:rPr>
        <w:t>медико-санитарную помощь;</w:t>
      </w:r>
      <w:r>
        <w:t xml:space="preserve"> </w:t>
      </w:r>
      <w:r>
        <w:rPr>
          <w:b/>
          <w:bCs/>
        </w:rPr>
        <w:t>возможности для прогулок на открытом воздухе;</w:t>
      </w:r>
      <w:r>
        <w:t xml:space="preserve"> </w:t>
      </w:r>
      <w:r>
        <w:rPr>
          <w:b/>
          <w:bCs/>
        </w:rPr>
        <w:t>и посещения родственниками;</w:t>
      </w:r>
    </w:p>
    <w:p w14:paraId="295AE0C6" w14:textId="77777777" w:rsidR="007E1DD2" w:rsidRPr="004943E3" w:rsidRDefault="007E1DD2" w:rsidP="007E1DD2">
      <w:pPr>
        <w:pStyle w:val="SingleTxtG"/>
        <w:rPr>
          <w:b/>
        </w:rPr>
      </w:pPr>
      <w:r>
        <w:tab/>
      </w:r>
      <w:r w:rsidRPr="003B2157">
        <w:rPr>
          <w:b/>
          <w:bCs/>
        </w:rPr>
        <w:t>b)</w:t>
      </w:r>
      <w:r>
        <w:tab/>
      </w:r>
      <w:r>
        <w:rPr>
          <w:b/>
          <w:bCs/>
        </w:rPr>
        <w:t>обеспечить достаточное число врачей и психиатров во всех местах лишения свободы;</w:t>
      </w:r>
    </w:p>
    <w:p w14:paraId="1E6DE58C" w14:textId="77777777" w:rsidR="007E1DD2" w:rsidRPr="004943E3" w:rsidRDefault="007E1DD2" w:rsidP="007E1DD2">
      <w:pPr>
        <w:pStyle w:val="SingleTxtG"/>
        <w:rPr>
          <w:b/>
        </w:rPr>
      </w:pPr>
      <w:r>
        <w:tab/>
      </w:r>
      <w:r w:rsidRPr="003B2157">
        <w:rPr>
          <w:b/>
          <w:bCs/>
        </w:rPr>
        <w:t>c)</w:t>
      </w:r>
      <w:r>
        <w:tab/>
      </w:r>
      <w:r>
        <w:rPr>
          <w:b/>
          <w:bCs/>
        </w:rPr>
        <w:t>обеспечить надлежащие условия и достаточную численность женского персонала в местах лишения свободы для женщин;</w:t>
      </w:r>
    </w:p>
    <w:p w14:paraId="790BE8A0" w14:textId="77777777" w:rsidR="007E1DD2" w:rsidRPr="004943E3" w:rsidRDefault="007E1DD2" w:rsidP="007E1DD2">
      <w:pPr>
        <w:pStyle w:val="SingleTxtG"/>
        <w:rPr>
          <w:b/>
        </w:rPr>
      </w:pPr>
      <w:r>
        <w:tab/>
      </w:r>
      <w:r w:rsidRPr="003B2157">
        <w:rPr>
          <w:b/>
          <w:bCs/>
        </w:rPr>
        <w:t>d)</w:t>
      </w:r>
      <w:r>
        <w:tab/>
      </w:r>
      <w:r>
        <w:rPr>
          <w:b/>
          <w:bCs/>
        </w:rPr>
        <w:t>улучшить условия в психиатрических больницах, учреждениях социальной помощи и детских учреждениях.</w:t>
      </w:r>
    </w:p>
    <w:p w14:paraId="58E827E0" w14:textId="77777777" w:rsidR="007E1DD2" w:rsidRPr="004943E3" w:rsidRDefault="007E1DD2" w:rsidP="007E1DD2">
      <w:pPr>
        <w:pStyle w:val="H23G"/>
      </w:pPr>
      <w:r>
        <w:tab/>
      </w:r>
      <w:r>
        <w:tab/>
      </w:r>
      <w:r>
        <w:rPr>
          <w:bCs/>
        </w:rPr>
        <w:t>Расследование актов пыток и жестокого обращения</w:t>
      </w:r>
    </w:p>
    <w:p w14:paraId="5D4EAFFD" w14:textId="62C74900" w:rsidR="007E1DD2" w:rsidRPr="004943E3" w:rsidRDefault="007E1DD2" w:rsidP="007E1DD2">
      <w:pPr>
        <w:pStyle w:val="SingleTxtG"/>
        <w:rPr>
          <w:b/>
          <w:bCs/>
        </w:rPr>
      </w:pPr>
      <w:r>
        <w:t>24.</w:t>
      </w:r>
      <w:r>
        <w:tab/>
        <w:t>Комитет глубоко обеспокоен сообщениями о многочисленных случаях пыток и жестокого обращения с лицами, лишенными свободы, в частности сообщениями о задержанных лицах, находящихся в полиции и подвергшихся пыткам или жестокому обращению со стороны сотрудников правоохранительных органов. Комитет по</w:t>
      </w:r>
      <w:r w:rsidR="00606974">
        <w:noBreakHyphen/>
      </w:r>
      <w:r>
        <w:t>прежнему серьезно обеспокоен крайне низким показателем уголовных расследований, возбужденных по таким заявлениям, по сравнению с числом полученных жалоб, а также крайне малым числом случаев, когда государственные должностные лица были привлечены к ответственности, осуждены и приговорены к тюремному заключению. Согласно информации, предоставленной государством-участником, в период между 2012 годом и первыми шестью месяцами 2021 года суды признали 18 должностных лиц виновными в применении пыток, а 12 из них отбывают тюремное заключение. Еще один вопрос, вызывающий беспокойство, — передача полномочий по расследованию случаев применения пыток из прокуратуры Государственному комитету национальной безопасности, который действует на основании Закона о защите государственных секретов. Комитет принял к сведению информацию о том, что эта функция недавно была частично передана обратно в прокуратуру. Кроме того, Комитет также обеспокоен сообщениями о преследованиях со стороны полиции, произвольных арестах, жестоком обращении и пытках, совершенных в отношении лиц из числа лесбиянок, геев, бисексуалов и трансгендеров, которые не были расследованы. Комитет сожалеет о том, что механизм возмещения ущерба за совершение пыток и жестокого обращения не создан, и что на практике жертвы пыток не получают справедливого и надлежащего возмещения, компенсации и реабилитации в результате актов пыток и жестокого обращения (ст. 2, 10–16).</w:t>
      </w:r>
    </w:p>
    <w:p w14:paraId="2EC2612A" w14:textId="77777777" w:rsidR="007E1DD2" w:rsidRPr="004943E3" w:rsidRDefault="007E1DD2" w:rsidP="00606974">
      <w:pPr>
        <w:pStyle w:val="SingleTxtG"/>
        <w:pageBreakBefore/>
        <w:rPr>
          <w:b/>
        </w:rPr>
      </w:pPr>
      <w:r>
        <w:lastRenderedPageBreak/>
        <w:t>25.</w:t>
      </w:r>
      <w:r>
        <w:tab/>
      </w:r>
      <w:r>
        <w:rPr>
          <w:b/>
          <w:bCs/>
        </w:rPr>
        <w:t>Напоминая о своей предыдущей рекомендации</w:t>
      </w:r>
      <w:r w:rsidRPr="00153638">
        <w:rPr>
          <w:rStyle w:val="aa"/>
          <w:bCs/>
        </w:rPr>
        <w:footnoteReference w:id="11"/>
      </w:r>
      <w:r>
        <w:rPr>
          <w:b/>
          <w:bCs/>
        </w:rPr>
        <w:t>, Комитет рекомендует государству-участнику:</w:t>
      </w:r>
    </w:p>
    <w:p w14:paraId="72166371" w14:textId="0213AFA1" w:rsidR="007E1DD2" w:rsidRPr="004943E3" w:rsidRDefault="007E1DD2" w:rsidP="007E1DD2">
      <w:pPr>
        <w:pStyle w:val="SingleTxtG"/>
        <w:rPr>
          <w:b/>
        </w:rPr>
      </w:pPr>
      <w:r>
        <w:tab/>
      </w:r>
      <w:r w:rsidRPr="00606974">
        <w:rPr>
          <w:b/>
          <w:bCs/>
        </w:rPr>
        <w:t>a)</w:t>
      </w:r>
      <w:r>
        <w:tab/>
      </w:r>
      <w:r>
        <w:rPr>
          <w:b/>
          <w:bCs/>
        </w:rPr>
        <w:t>обеспечивать проведение оперативных, независимых, беспристрастных и эффективных расследований по всем утверждениям о пытках и жестоком обращении со стороны сотрудников правоохранительных органов, в том числе в отношении лиц из числа лесбиянок, геев, бисексуалов и трансгендеров, а также обеспечить привлечение виновников к ответственности и выплату жертвам надлежащей компенсации и реабилитацию;</w:t>
      </w:r>
    </w:p>
    <w:p w14:paraId="5FF1E86D" w14:textId="77777777" w:rsidR="007E1DD2" w:rsidRPr="004943E3" w:rsidRDefault="007E1DD2" w:rsidP="007E1DD2">
      <w:pPr>
        <w:pStyle w:val="SingleTxtG"/>
        <w:rPr>
          <w:b/>
        </w:rPr>
      </w:pPr>
      <w:r>
        <w:tab/>
      </w:r>
      <w:r w:rsidRPr="00B85348">
        <w:rPr>
          <w:b/>
          <w:bCs/>
        </w:rPr>
        <w:t>b)</w:t>
      </w:r>
      <w:r>
        <w:tab/>
      </w:r>
      <w:r>
        <w:rPr>
          <w:b/>
          <w:bCs/>
        </w:rPr>
        <w:t>обеспечивать, чтобы власти начинали расследования во всех случаях, когда имеются разумные основания полагать, что был совершен акт пыток или жестокого обращения;</w:t>
      </w:r>
    </w:p>
    <w:p w14:paraId="5E6E7988" w14:textId="77777777" w:rsidR="007E1DD2" w:rsidRPr="004943E3" w:rsidRDefault="007E1DD2" w:rsidP="007E1DD2">
      <w:pPr>
        <w:pStyle w:val="SingleTxtG"/>
        <w:rPr>
          <w:b/>
        </w:rPr>
      </w:pPr>
      <w:r>
        <w:tab/>
      </w:r>
      <w:r w:rsidRPr="00BA7B61">
        <w:rPr>
          <w:b/>
          <w:bCs/>
        </w:rPr>
        <w:t>c)</w:t>
      </w:r>
      <w:r>
        <w:tab/>
      </w:r>
      <w:r>
        <w:rPr>
          <w:b/>
          <w:bCs/>
        </w:rPr>
        <w:t>обеспечивать, чтобы лиц, подозреваемых в применении пыток или в жестоком обращении, незамедлительно отстраняли от исполнения их должностных обязанностей на весь период проведения расследования, особенно если существует опасность того, что в противном случае они смогут повторить вменяемое им в вину деяние, прибегнуть к актам возмездия против предполагаемых жертв или воспрепятствовать расследованию;</w:t>
      </w:r>
    </w:p>
    <w:p w14:paraId="4F3951BD" w14:textId="77777777" w:rsidR="007E1DD2" w:rsidRPr="004943E3" w:rsidRDefault="007E1DD2" w:rsidP="007E1DD2">
      <w:pPr>
        <w:pStyle w:val="SingleTxtG"/>
        <w:rPr>
          <w:b/>
          <w:bCs/>
          <w:sz w:val="24"/>
          <w:szCs w:val="24"/>
        </w:rPr>
      </w:pPr>
      <w:r>
        <w:tab/>
      </w:r>
      <w:r w:rsidRPr="00BA7B61">
        <w:rPr>
          <w:b/>
          <w:bCs/>
        </w:rPr>
        <w:t>d)</w:t>
      </w:r>
      <w:r>
        <w:tab/>
      </w:r>
      <w:r>
        <w:rPr>
          <w:b/>
          <w:bCs/>
        </w:rPr>
        <w:t>собирать и представлять Комитету информацию о мерах по возмещению ущерба и компенсации, в том числе о средствах реабилитации, назначенных постановлениями судов или других органов в государстве-участнике, фактически предоставленных жертвам пыток или жестокого обращения, включая выплаченные суммы.</w:t>
      </w:r>
      <w:bookmarkStart w:id="0" w:name="_Toc516758031"/>
    </w:p>
    <w:p w14:paraId="650198BF" w14:textId="77777777" w:rsidR="007E1DD2" w:rsidRPr="004943E3" w:rsidRDefault="007E1DD2" w:rsidP="007E1DD2">
      <w:pPr>
        <w:pStyle w:val="H23G"/>
      </w:pPr>
      <w:r>
        <w:tab/>
      </w:r>
      <w:r>
        <w:tab/>
      </w:r>
      <w:r>
        <w:rPr>
          <w:bCs/>
        </w:rPr>
        <w:t>Контрмеры против правозащитников и журналистов</w:t>
      </w:r>
    </w:p>
    <w:p w14:paraId="094DD678" w14:textId="15A53AA2" w:rsidR="007E1DD2" w:rsidRPr="004943E3" w:rsidRDefault="007E1DD2" w:rsidP="007E1DD2">
      <w:pPr>
        <w:pStyle w:val="SingleTxtG"/>
      </w:pPr>
      <w:r>
        <w:t>26.</w:t>
      </w:r>
      <w:r>
        <w:tab/>
        <w:t>Комитет обеспокоен сообщениями о том, что журналисты сталкиваются с запугиванием, в том числе с угрозами применения насилия и преследованиями со стороны богатых и имеющих прочные связи в политических кругах негосударственных субъектов из-за сообщений о предполагаемой коррупции. Радио</w:t>
      </w:r>
      <w:r w:rsidR="00BA7B61">
        <w:t> </w:t>
      </w:r>
      <w:r>
        <w:t>3 Европа, например, было вынуждено перевести некоторых своих журналистов в Прагу из-за серьезных угроз, после того как те сообщили о коррупции бывших высокопоставленных государственных чиновников. Комитет сожалеет об отсутствии информации о каком-либо расследовании случая, связанного с Айболом Кожомуратовым, продюсером телеканала «Настоящее Время», опубликовавшим в Твиттере видеоролик, в котором показано, как сотрудник правоохранительных органов стреляет в него из оружия во время ведения им репортажа. Что касается дела о смерти в заключении правозащитника Азимжана Аскарова в 2020 году, то Комитет принимает к сведению предоставленную делегацией информацию о том, что органы национальной безопасности проводят собственное расследование. Комитет сожалеет, однако, что суды отказали его вдове в праве на компенсацию, поскольку она не могла быть названа наследницей в судебном процессе, а</w:t>
      </w:r>
      <w:r w:rsidR="00BA7B61">
        <w:t>,</w:t>
      </w:r>
      <w:r>
        <w:t xml:space="preserve"> кроме того, вопрос о возмещении ущерба не мог быть рассмотрен до закрытия дела о смерти Аскарова. Комитет сожалеет также, что статья 417 Уголовно-процессуального кодекса препятствует реализации прав жертв на возмещение ущерба в гражданском суде до тех пор, пока уголовный суд не вынесет обвинительного приговора виновным. Комитет сожалеет далее, что государство-участник не представило информацию о каких-либо планах, позволяющих родственникам жертвы пыток требовать надлежащей и справедливой компенсации (ст. 2, 12, 13 и 16).</w:t>
      </w:r>
    </w:p>
    <w:p w14:paraId="0A296F79" w14:textId="77777777" w:rsidR="007E1DD2" w:rsidRPr="004943E3" w:rsidRDefault="007E1DD2" w:rsidP="007E1DD2">
      <w:pPr>
        <w:pStyle w:val="SingleTxtG"/>
        <w:rPr>
          <w:b/>
        </w:rPr>
      </w:pPr>
      <w:r>
        <w:t>27.</w:t>
      </w:r>
      <w:r>
        <w:tab/>
      </w:r>
      <w:r>
        <w:rPr>
          <w:b/>
          <w:bCs/>
        </w:rPr>
        <w:t>Государству-участнику следует:</w:t>
      </w:r>
    </w:p>
    <w:p w14:paraId="72A61912" w14:textId="77777777" w:rsidR="007E1DD2" w:rsidRPr="004943E3" w:rsidRDefault="007E1DD2" w:rsidP="007E1DD2">
      <w:pPr>
        <w:pStyle w:val="SingleTxtG"/>
        <w:rPr>
          <w:b/>
        </w:rPr>
      </w:pPr>
      <w:r>
        <w:tab/>
      </w:r>
      <w:r w:rsidRPr="00BA7B61">
        <w:rPr>
          <w:b/>
          <w:bCs/>
        </w:rPr>
        <w:t>a)</w:t>
      </w:r>
      <w:r>
        <w:tab/>
      </w:r>
      <w:r>
        <w:rPr>
          <w:b/>
          <w:bCs/>
        </w:rPr>
        <w:t>обеспечить, чтобы правозащитники и журналисты могли свободно осуществлять свою работу и деятельность в государстве-участнике, не опасаясь репрессий или нападений;</w:t>
      </w:r>
    </w:p>
    <w:p w14:paraId="691CB681" w14:textId="77777777" w:rsidR="007E1DD2" w:rsidRPr="004943E3" w:rsidRDefault="007E1DD2" w:rsidP="007E1DD2">
      <w:pPr>
        <w:pStyle w:val="SingleTxtG"/>
        <w:rPr>
          <w:b/>
        </w:rPr>
      </w:pPr>
      <w:r>
        <w:lastRenderedPageBreak/>
        <w:tab/>
      </w:r>
      <w:r w:rsidRPr="00BA7B61">
        <w:rPr>
          <w:b/>
          <w:bCs/>
        </w:rPr>
        <w:t>b)</w:t>
      </w:r>
      <w:r>
        <w:tab/>
      </w:r>
      <w:r>
        <w:rPr>
          <w:b/>
          <w:bCs/>
        </w:rPr>
        <w:t>оперативно, тщательно, независимо и беспристрастно расследовать все нарушения, совершенные против правозащитников и журналистов, и должным образом наказывать виновных лиц;</w:t>
      </w:r>
    </w:p>
    <w:p w14:paraId="0D927385" w14:textId="77777777" w:rsidR="007E1DD2" w:rsidRPr="004943E3" w:rsidRDefault="007E1DD2" w:rsidP="007E1DD2">
      <w:pPr>
        <w:pStyle w:val="SingleTxtG"/>
        <w:rPr>
          <w:b/>
        </w:rPr>
      </w:pPr>
      <w:r>
        <w:tab/>
      </w:r>
      <w:r w:rsidRPr="00BA7B61">
        <w:rPr>
          <w:b/>
          <w:bCs/>
        </w:rPr>
        <w:t>c)</w:t>
      </w:r>
      <w:r>
        <w:tab/>
      </w:r>
      <w:r>
        <w:rPr>
          <w:b/>
          <w:bCs/>
        </w:rPr>
        <w:t>пересмотреть свое законодательство, с тем чтобы дать жертвам пыток возможность подавать гражданские иски о возмещении ущерба, даже если уголовное дело находится в производстве или не завершилось осуждением, в соответствии с замечанием общего порядка № 3 (2012) Комитета.</w:t>
      </w:r>
    </w:p>
    <w:bookmarkEnd w:id="0"/>
    <w:p w14:paraId="46666412" w14:textId="77777777" w:rsidR="007E1DD2" w:rsidRPr="004943E3" w:rsidRDefault="007E1DD2" w:rsidP="007E1DD2">
      <w:pPr>
        <w:pStyle w:val="H23G"/>
      </w:pPr>
      <w:r>
        <w:tab/>
      </w:r>
      <w:r>
        <w:tab/>
      </w:r>
      <w:r>
        <w:rPr>
          <w:bCs/>
        </w:rPr>
        <w:t>Насилие в отношении детей</w:t>
      </w:r>
    </w:p>
    <w:p w14:paraId="6119ED90" w14:textId="77777777" w:rsidR="007E1DD2" w:rsidRPr="004943E3" w:rsidRDefault="007E1DD2" w:rsidP="007E1DD2">
      <w:pPr>
        <w:pStyle w:val="SingleTxtG"/>
      </w:pPr>
      <w:r>
        <w:t>28.</w:t>
      </w:r>
      <w:r>
        <w:tab/>
        <w:t>Хотя телесные наказания детей являются незаконными в школах, в учреждениях пенитенциарной системы и в некоторых учреждениях по обеспечению ухода, Комитет обеспокоен утверждениями о том, что значительное число детей подвергаются насилию, жестокому обращению или пренебрежительному отношению как в семье, так и в учреждениях по уходу. По информации, представленной Комитету, мониторинг детских интернатных учреждений, проведенный в 2019–2020 годах, выявил неэффективность системы предупреждения насилия, жестокого обращения и пыток. Дети не знали о запрете насилия в отношении них, и, по-видимому, в детских учреждениях интернатного типа отсутствовали механизмы, позволяющие сообщать им об этом (ст. 16).</w:t>
      </w:r>
    </w:p>
    <w:p w14:paraId="3ABBA426" w14:textId="77777777" w:rsidR="007E1DD2" w:rsidRPr="004943E3" w:rsidRDefault="007E1DD2" w:rsidP="007E1DD2">
      <w:pPr>
        <w:pStyle w:val="SingleTxtG"/>
        <w:rPr>
          <w:b/>
        </w:rPr>
      </w:pPr>
      <w:r w:rsidRPr="0016249F">
        <w:rPr>
          <w:color w:val="000000" w:themeColor="text1"/>
        </w:rPr>
        <w:t>29.</w:t>
      </w:r>
      <w:r w:rsidRPr="0016249F">
        <w:rPr>
          <w:color w:val="000000" w:themeColor="text1"/>
        </w:rPr>
        <w:tab/>
      </w:r>
      <w:r w:rsidRPr="0016249F">
        <w:rPr>
          <w:b/>
          <w:bCs/>
          <w:color w:val="000000" w:themeColor="text1"/>
        </w:rPr>
        <w:t>Государству</w:t>
      </w:r>
      <w:r>
        <w:rPr>
          <w:b/>
          <w:bCs/>
        </w:rPr>
        <w:t>-участнику следует:</w:t>
      </w:r>
    </w:p>
    <w:p w14:paraId="4B9522CA" w14:textId="77777777" w:rsidR="007E1DD2" w:rsidRPr="004943E3" w:rsidRDefault="007E1DD2" w:rsidP="007E1DD2">
      <w:pPr>
        <w:pStyle w:val="SingleTxtG"/>
        <w:rPr>
          <w:b/>
          <w:bCs/>
        </w:rPr>
      </w:pPr>
      <w:r>
        <w:tab/>
      </w:r>
      <w:r w:rsidRPr="0016249F">
        <w:rPr>
          <w:b/>
          <w:bCs/>
        </w:rPr>
        <w:t>a)</w:t>
      </w:r>
      <w:r>
        <w:tab/>
      </w:r>
      <w:r>
        <w:rPr>
          <w:b/>
          <w:bCs/>
        </w:rPr>
        <w:t>прямо запретить телесные наказания детей в любых условиях, в том числе дома, в учреждениях и в условиях альтернативного ухода, а также обеспечить применение мер по повышению осведомленности и просвещению общественности;</w:t>
      </w:r>
    </w:p>
    <w:p w14:paraId="3364892F" w14:textId="77777777" w:rsidR="007E1DD2" w:rsidRPr="004943E3" w:rsidRDefault="007E1DD2" w:rsidP="007E1DD2">
      <w:pPr>
        <w:pStyle w:val="SingleTxtG"/>
        <w:rPr>
          <w:b/>
          <w:bCs/>
        </w:rPr>
      </w:pPr>
      <w:r>
        <w:tab/>
      </w:r>
      <w:r w:rsidRPr="0016249F">
        <w:rPr>
          <w:b/>
          <w:bCs/>
        </w:rPr>
        <w:t>b)</w:t>
      </w:r>
      <w:r>
        <w:tab/>
      </w:r>
      <w:r>
        <w:rPr>
          <w:b/>
          <w:bCs/>
        </w:rPr>
        <w:t>предоставлять Комитету информацию о любом механизме рассмотрения жалоб на применение насилия в детских учреждениях интернатного типа, о проведении каких-либо расследований в таких учреждениях и об имеющихся мерах в целях предотвращения такого насилия.</w:t>
      </w:r>
    </w:p>
    <w:p w14:paraId="32EF95D5" w14:textId="77777777" w:rsidR="007E1DD2" w:rsidRPr="004943E3" w:rsidRDefault="007E1DD2" w:rsidP="007E1DD2">
      <w:pPr>
        <w:pStyle w:val="H23G"/>
        <w:rPr>
          <w:shd w:val="clear" w:color="auto" w:fill="FFFFFF"/>
        </w:rPr>
      </w:pPr>
      <w:r>
        <w:tab/>
      </w:r>
      <w:r>
        <w:tab/>
      </w:r>
      <w:r>
        <w:rPr>
          <w:bCs/>
        </w:rPr>
        <w:t>Беженцы и просители убежища</w:t>
      </w:r>
    </w:p>
    <w:p w14:paraId="2C53EA57" w14:textId="77777777" w:rsidR="007E1DD2" w:rsidRPr="004943E3" w:rsidRDefault="007E1DD2" w:rsidP="007E1DD2">
      <w:pPr>
        <w:pStyle w:val="SingleTxtG"/>
        <w:rPr>
          <w:b/>
          <w:bCs/>
        </w:rPr>
      </w:pPr>
      <w:r>
        <w:t>30.</w:t>
      </w:r>
      <w:r>
        <w:tab/>
        <w:t>Приветствуя реализацию мер по улучшению положения лиц без гражданства, Комитет с обеспокоенностью отмечает, что некоторые положения национального законодательства могут приводить к нарушениям принципа невысылки, поскольку в них отсутствует прямое признание этого принципа в период рассмотрения ходатайства о предоставлении убежища, а предусматривается высылка лиц. В связи с этим Комитет принимает к сведению ответы делегации по делам Бобомурода Абдуллаева и Мурата Тунгишбаева, а также шаги, которые предпринимаются в целях расследования дела Орхана Инанди (ст. 3 и 16).</w:t>
      </w:r>
    </w:p>
    <w:p w14:paraId="2A51DCE8" w14:textId="77777777" w:rsidR="007E1DD2" w:rsidRPr="004943E3" w:rsidRDefault="007E1DD2" w:rsidP="007E1DD2">
      <w:pPr>
        <w:pStyle w:val="SingleTxtG"/>
      </w:pPr>
      <w:r>
        <w:t>31.</w:t>
      </w:r>
      <w:r>
        <w:tab/>
      </w:r>
      <w:r>
        <w:rPr>
          <w:b/>
          <w:bCs/>
        </w:rPr>
        <w:t>Государству-участнику следует обеспечить, чтобы на практике никто не мог быть выслан, возвращен или экстрадирован в другое государство, если есть серьезные основания полагать, что ему или ей лично может угрожать предсказуемая опасность подвергнуться пыткам или жестокому обращению.</w:t>
      </w:r>
    </w:p>
    <w:p w14:paraId="219466D5" w14:textId="77777777" w:rsidR="007E1DD2" w:rsidRPr="004943E3" w:rsidRDefault="007E1DD2" w:rsidP="007E1DD2">
      <w:pPr>
        <w:pStyle w:val="H23G"/>
      </w:pPr>
      <w:r>
        <w:tab/>
      </w:r>
      <w:r>
        <w:tab/>
      </w:r>
      <w:r>
        <w:rPr>
          <w:bCs/>
        </w:rPr>
        <w:t>Подготовка кадров</w:t>
      </w:r>
    </w:p>
    <w:p w14:paraId="5539B5D8" w14:textId="11896B7E" w:rsidR="007E1DD2" w:rsidRPr="004943E3" w:rsidRDefault="007E1DD2" w:rsidP="007E1DD2">
      <w:pPr>
        <w:pStyle w:val="SingleTxtG"/>
      </w:pPr>
      <w:r>
        <w:t>32.</w:t>
      </w:r>
      <w:r>
        <w:tab/>
        <w:t xml:space="preserve">Отмечая различные программы правозащитной подготовки для государственных служащих и судей, Комитет выражает сожаление: </w:t>
      </w:r>
      <w:r w:rsidR="0016249F">
        <w:br/>
      </w:r>
      <w:r>
        <w:t xml:space="preserve">a) о недостаточном уровне практической подготовки по положениям Конвенции для сотрудников правоохранительных и судебных органов; b) об отсутствии специальной подготовки по выявлению признаков пыток и жестокого обращения для медицинского персонала, работающего с задержанными; и c) об отсутствии информации о воздействии существующих программ подготовки на предупреждение преступлений, связанных с пытками или жестоким обращением. Кроме того, Комитет обеспокоен отсутствием конкретных методик оценки эффективности программ подготовки и обучения по положениям Конвенции для сотрудников правоохранительных органов и других государственных служащих и их воздействия на снижение числа случаев пыток </w:t>
      </w:r>
      <w:r>
        <w:lastRenderedPageBreak/>
        <w:t>и жестокого обращения. Комитет также обеспокоен тем, что подготовка по вопросам, касающимся Стамбульского протокола, не предоставляется всем специалистам-медикам, работающим с лицами, лишенными свободы (ст. 10).</w:t>
      </w:r>
    </w:p>
    <w:p w14:paraId="22020FB7" w14:textId="77777777" w:rsidR="007E1DD2" w:rsidRPr="004943E3" w:rsidRDefault="007E1DD2" w:rsidP="007E1DD2">
      <w:pPr>
        <w:pStyle w:val="SingleTxtG"/>
        <w:rPr>
          <w:b/>
        </w:rPr>
      </w:pPr>
      <w:r>
        <w:t>33.</w:t>
      </w:r>
      <w:r>
        <w:tab/>
      </w:r>
      <w:r>
        <w:rPr>
          <w:b/>
          <w:bCs/>
        </w:rPr>
        <w:t>Государству-участнику следует:</w:t>
      </w:r>
    </w:p>
    <w:p w14:paraId="442196B4" w14:textId="77777777" w:rsidR="007E1DD2" w:rsidRPr="004943E3" w:rsidRDefault="007E1DD2" w:rsidP="007E1DD2">
      <w:pPr>
        <w:pStyle w:val="SingleTxtG"/>
        <w:rPr>
          <w:b/>
        </w:rPr>
      </w:pPr>
      <w:r>
        <w:tab/>
      </w:r>
      <w:r w:rsidRPr="0016249F">
        <w:rPr>
          <w:b/>
          <w:bCs/>
        </w:rPr>
        <w:t>a)</w:t>
      </w:r>
      <w:r>
        <w:tab/>
      </w:r>
      <w:r>
        <w:rPr>
          <w:b/>
          <w:bCs/>
        </w:rPr>
        <w:t>продолжать разработку обязательных программ начальной подготовки и подготовки без отрыва от работы для обеспечения того, чтобы все государственные должностные лица были хорошо знакомы с положениями Конвенции, особенно с принципом абсолютного запрещения пыток, и чтобы они были полностью осведомлены о том, что ее нарушения недопустимы и будут расследоваться, а виновников будут преследовать в судебном порядке и в случае признания их вины подвергать надлежащему наказанию;</w:t>
      </w:r>
    </w:p>
    <w:p w14:paraId="579F4C35" w14:textId="77777777" w:rsidR="007E1DD2" w:rsidRPr="004943E3" w:rsidRDefault="007E1DD2" w:rsidP="007E1DD2">
      <w:pPr>
        <w:pStyle w:val="SingleTxtG"/>
        <w:rPr>
          <w:b/>
        </w:rPr>
      </w:pPr>
      <w:r>
        <w:tab/>
      </w:r>
      <w:r w:rsidRPr="0016249F">
        <w:rPr>
          <w:b/>
          <w:bCs/>
        </w:rPr>
        <w:t>b)</w:t>
      </w:r>
      <w:r>
        <w:tab/>
      </w:r>
      <w:r>
        <w:rPr>
          <w:b/>
          <w:bCs/>
        </w:rPr>
        <w:t>продолжать обеспечение специализированной подготовки всех соответствующих сотрудников, включая медицинский персонал, по вопросам выявления случаев пыток и жестокого обращения в соответствии со Стамбульским протоколом;</w:t>
      </w:r>
    </w:p>
    <w:p w14:paraId="153B7EC6" w14:textId="77777777" w:rsidR="007E1DD2" w:rsidRPr="004943E3" w:rsidRDefault="007E1DD2" w:rsidP="007E1DD2">
      <w:pPr>
        <w:pStyle w:val="SingleTxtG"/>
        <w:rPr>
          <w:b/>
        </w:rPr>
      </w:pPr>
      <w:r>
        <w:tab/>
      </w:r>
      <w:r w:rsidRPr="0016249F">
        <w:rPr>
          <w:b/>
          <w:bCs/>
        </w:rPr>
        <w:t>c)</w:t>
      </w:r>
      <w:r>
        <w:tab/>
      </w:r>
      <w:r>
        <w:rPr>
          <w:b/>
          <w:bCs/>
        </w:rPr>
        <w:t>разработать методику оценки эффективности программ обучения и адаптировать их к соответствующим потребностям в профессиональной подготовке вышеупомянутых должностных лиц.</w:t>
      </w:r>
    </w:p>
    <w:p w14:paraId="267B2C87" w14:textId="77777777" w:rsidR="007E1DD2" w:rsidRPr="004943E3" w:rsidRDefault="007E1DD2" w:rsidP="007E1DD2">
      <w:pPr>
        <w:pStyle w:val="H23G"/>
      </w:pPr>
      <w:r>
        <w:tab/>
      </w:r>
      <w:r>
        <w:tab/>
      </w:r>
      <w:r>
        <w:rPr>
          <w:bCs/>
        </w:rPr>
        <w:t>Сбор данных</w:t>
      </w:r>
    </w:p>
    <w:p w14:paraId="5E67EC2A" w14:textId="77777777" w:rsidR="007E1DD2" w:rsidRPr="004943E3" w:rsidRDefault="007E1DD2" w:rsidP="007E1DD2">
      <w:pPr>
        <w:pStyle w:val="SingleTxtG"/>
        <w:rPr>
          <w:bCs/>
        </w:rPr>
      </w:pPr>
      <w:r>
        <w:t>34.</w:t>
      </w:r>
      <w:r>
        <w:tab/>
        <w:t>Комитет сожалеет об отсутствии всеобъемлющих и подробных данных о жалобах, расследованиях, преследованиях и осуждениях в случаях применения пыток и жестокого обращения со стороны сотрудников правоохранительных органов, военнослужащих и тюремного персонала, а также о случаях бытового, сексуального и гендерного насилия, насилия в отношении лиц из числа лесбиянок, геев, бисексуалов и трансгендеров и торговли людьми.</w:t>
      </w:r>
    </w:p>
    <w:p w14:paraId="53DBFF24" w14:textId="77777777" w:rsidR="007E1DD2" w:rsidRPr="004943E3" w:rsidRDefault="007E1DD2" w:rsidP="007E1DD2">
      <w:pPr>
        <w:pStyle w:val="SingleTxtG"/>
        <w:rPr>
          <w:b/>
        </w:rPr>
      </w:pPr>
      <w:r>
        <w:t>35.</w:t>
      </w:r>
      <w:r>
        <w:tab/>
      </w:r>
      <w:r>
        <w:rPr>
          <w:b/>
          <w:bCs/>
        </w:rPr>
        <w:t>Государству-участнику следует собирать статистические данные, необходимые для мониторинга осуществления Конвенции на национальном уровне, включая статистику в разбивке, в частности, по возрасту, полу, этнической принадлежности, видам преступлений и географическим местам их совершения, о жалобах, расследованиях, преследованиях и приговорах по делам о пытках и жестоком обращении, бытовом, сексуальном и гендерном насилии, торговле людьми, насилии в отношении детей и о результатах рассмотрения всех таких жалоб и дел, в том числе о способах возмещения ущерба.</w:t>
      </w:r>
    </w:p>
    <w:p w14:paraId="39D7F9E5" w14:textId="77777777" w:rsidR="007E1DD2" w:rsidRPr="004943E3" w:rsidRDefault="007E1DD2" w:rsidP="007E1DD2">
      <w:pPr>
        <w:pStyle w:val="SingleTxtG"/>
      </w:pPr>
      <w:r>
        <w:t>36.</w:t>
      </w:r>
      <w:r>
        <w:tab/>
      </w:r>
      <w:r>
        <w:rPr>
          <w:b/>
          <w:bCs/>
        </w:rPr>
        <w:t>Комитет призывает государство-участник рассмотреть возможность сделать заявления в соответствии со статьями 21 и 22 Конвенции о признании компетенции Комитета получать и рассматривать сообщения от лиц, подпадающих под его юрисдикцию.</w:t>
      </w:r>
    </w:p>
    <w:p w14:paraId="2D9A9CA9" w14:textId="77777777" w:rsidR="007E1DD2" w:rsidRPr="004943E3" w:rsidRDefault="007E1DD2" w:rsidP="007E1DD2">
      <w:pPr>
        <w:pStyle w:val="SingleTxtG"/>
      </w:pPr>
      <w:r>
        <w:t>37.</w:t>
      </w:r>
      <w:r>
        <w:tab/>
      </w:r>
      <w:r>
        <w:rPr>
          <w:b/>
          <w:bCs/>
        </w:rPr>
        <w:t>Государству-участнику предлагается обеспечить широкое распространение представленного Комитету доклада и настоящих заключительных замечаний на соответствующих языках через официальные веб-сайты, средства массовой информации и неправительственные организации и информировать Комитет о проведенных мероприятиях по распространению.</w:t>
      </w:r>
    </w:p>
    <w:p w14:paraId="1F78CA66" w14:textId="3F68CC91" w:rsidR="007E1DD2" w:rsidRPr="004943E3" w:rsidRDefault="007E1DD2" w:rsidP="007E1DD2">
      <w:pPr>
        <w:pStyle w:val="SingleTxtG"/>
      </w:pPr>
      <w:r>
        <w:t>38.</w:t>
      </w:r>
      <w:r>
        <w:tab/>
      </w:r>
      <w:r>
        <w:rPr>
          <w:b/>
          <w:bCs/>
        </w:rPr>
        <w:t>Комитет просит государство-участник представить к 3 декабря 2022 года информацию о последующих мерах по выполнению рекомендаций Комитета, касающихся национального превентивного механизма, насилия в отношении женщин, включая похищение невест, и расследования актов пыток и жестокого обращения (см. пункты 13, 19 и 25 выше).</w:t>
      </w:r>
      <w:r>
        <w:t xml:space="preserve"> </w:t>
      </w:r>
      <w:r>
        <w:rPr>
          <w:b/>
          <w:bCs/>
        </w:rPr>
        <w:t>В связи с этим государству-участнику предлагается сообщить Комитету о своих планах по выполнению в предстоящий отчетный период некоторых или всех оставшихся рекомендаций, содержащихся в заключительных замечаниях.</w:t>
      </w:r>
    </w:p>
    <w:p w14:paraId="77F97E12" w14:textId="7498091B" w:rsidR="007E1DD2" w:rsidRPr="004943E3" w:rsidRDefault="007E1DD2" w:rsidP="007E1DD2">
      <w:pPr>
        <w:pStyle w:val="SingleTxtG"/>
      </w:pPr>
      <w:r>
        <w:t>39.</w:t>
      </w:r>
      <w:r>
        <w:tab/>
      </w:r>
      <w:r>
        <w:rPr>
          <w:b/>
          <w:bCs/>
        </w:rPr>
        <w:t>Комитет просит государство-участник представить свой следующий доклад, который будет четвертым периодическим докладом, к 3 декабря 2025</w:t>
      </w:r>
      <w:r w:rsidR="0016249F">
        <w:rPr>
          <w:b/>
          <w:bCs/>
        </w:rPr>
        <w:t> </w:t>
      </w:r>
      <w:r>
        <w:rPr>
          <w:b/>
          <w:bCs/>
        </w:rPr>
        <w:t>года.</w:t>
      </w:r>
      <w:r>
        <w:t xml:space="preserve"> </w:t>
      </w:r>
      <w:r>
        <w:rPr>
          <w:b/>
          <w:bCs/>
        </w:rPr>
        <w:t xml:space="preserve">С этой целью и с учетом того, что государство-участник согласилось </w:t>
      </w:r>
      <w:r>
        <w:rPr>
          <w:b/>
          <w:bCs/>
        </w:rPr>
        <w:lastRenderedPageBreak/>
        <w:t>представлять Комитету доклады по упрощенной процедуре представления докладов, Комитет в надлежащее время препроводит государству-участнику перечень вопросов до представления доклада.</w:t>
      </w:r>
      <w:r>
        <w:t xml:space="preserve"> </w:t>
      </w:r>
      <w:r>
        <w:rPr>
          <w:b/>
          <w:bCs/>
        </w:rPr>
        <w:t>Ответы государства-участника на этот перечень вопросов составят его четвертый периодический доклад в соответствии со статьей 19 Конвенции.</w:t>
      </w:r>
    </w:p>
    <w:p w14:paraId="4CE814D9" w14:textId="30D58310" w:rsidR="00381C24" w:rsidRPr="00BC18B2" w:rsidRDefault="007E1DD2" w:rsidP="007E1DD2">
      <w:pPr>
        <w:spacing w:before="240"/>
        <w:jc w:val="center"/>
      </w:pPr>
      <w:r w:rsidRPr="004943E3">
        <w:rPr>
          <w:u w:val="single"/>
        </w:rPr>
        <w:tab/>
      </w:r>
      <w:r w:rsidRPr="004943E3">
        <w:rPr>
          <w:u w:val="single"/>
        </w:rPr>
        <w:tab/>
      </w:r>
      <w:r w:rsidRPr="004943E3">
        <w:rPr>
          <w:u w:val="single"/>
        </w:rPr>
        <w:tab/>
      </w:r>
    </w:p>
    <w:sectPr w:rsidR="00381C24" w:rsidRPr="00BC18B2" w:rsidSect="007E1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26F1" w14:textId="77777777" w:rsidR="00F6125F" w:rsidRPr="00A312BC" w:rsidRDefault="00F6125F" w:rsidP="00A312BC"/>
  </w:endnote>
  <w:endnote w:type="continuationSeparator" w:id="0">
    <w:p w14:paraId="3CD2E291" w14:textId="77777777" w:rsidR="00F6125F" w:rsidRPr="00A312BC" w:rsidRDefault="00F6125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9AE3" w14:textId="65EC9FE3" w:rsidR="007E1DD2" w:rsidRPr="007E1DD2" w:rsidRDefault="007E1DD2">
    <w:pPr>
      <w:pStyle w:val="a8"/>
    </w:pPr>
    <w:r w:rsidRPr="007E1DD2">
      <w:rPr>
        <w:b/>
        <w:sz w:val="18"/>
      </w:rPr>
      <w:fldChar w:fldCharType="begin"/>
    </w:r>
    <w:r w:rsidRPr="007E1DD2">
      <w:rPr>
        <w:b/>
        <w:sz w:val="18"/>
      </w:rPr>
      <w:instrText xml:space="preserve"> PAGE  \* MERGEFORMAT </w:instrText>
    </w:r>
    <w:r w:rsidRPr="007E1DD2">
      <w:rPr>
        <w:b/>
        <w:sz w:val="18"/>
      </w:rPr>
      <w:fldChar w:fldCharType="separate"/>
    </w:r>
    <w:r w:rsidRPr="007E1DD2">
      <w:rPr>
        <w:b/>
        <w:noProof/>
        <w:sz w:val="18"/>
      </w:rPr>
      <w:t>2</w:t>
    </w:r>
    <w:r w:rsidRPr="007E1DD2">
      <w:rPr>
        <w:b/>
        <w:sz w:val="18"/>
      </w:rPr>
      <w:fldChar w:fldCharType="end"/>
    </w:r>
    <w:r>
      <w:rPr>
        <w:b/>
        <w:sz w:val="18"/>
      </w:rPr>
      <w:tab/>
    </w:r>
    <w:r>
      <w:t>GE.21-19376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7A7C" w14:textId="705B4E7A" w:rsidR="007E1DD2" w:rsidRPr="007E1DD2" w:rsidRDefault="007E1DD2" w:rsidP="007E1DD2">
    <w:pPr>
      <w:pStyle w:val="a8"/>
      <w:tabs>
        <w:tab w:val="clear" w:pos="9639"/>
        <w:tab w:val="right" w:pos="9638"/>
      </w:tabs>
      <w:rPr>
        <w:b/>
        <w:sz w:val="18"/>
      </w:rPr>
    </w:pPr>
    <w:r>
      <w:t>GE.21-19376</w:t>
    </w:r>
    <w:r>
      <w:tab/>
    </w:r>
    <w:r w:rsidRPr="007E1DD2">
      <w:rPr>
        <w:b/>
        <w:sz w:val="18"/>
      </w:rPr>
      <w:fldChar w:fldCharType="begin"/>
    </w:r>
    <w:r w:rsidRPr="007E1DD2">
      <w:rPr>
        <w:b/>
        <w:sz w:val="18"/>
      </w:rPr>
      <w:instrText xml:space="preserve"> PAGE  \* MERGEFORMAT </w:instrText>
    </w:r>
    <w:r w:rsidRPr="007E1DD2">
      <w:rPr>
        <w:b/>
        <w:sz w:val="18"/>
      </w:rPr>
      <w:fldChar w:fldCharType="separate"/>
    </w:r>
    <w:r w:rsidRPr="007E1DD2">
      <w:rPr>
        <w:b/>
        <w:noProof/>
        <w:sz w:val="18"/>
      </w:rPr>
      <w:t>3</w:t>
    </w:r>
    <w:r w:rsidRPr="007E1D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81F0" w14:textId="62697EE8" w:rsidR="00042B72" w:rsidRPr="007E1DD2" w:rsidRDefault="007E1DD2" w:rsidP="007E1DD2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DE749EB" wp14:editId="5727C01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21-19376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9F39E64" wp14:editId="27F13E1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140222  020322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6C97" w14:textId="77777777" w:rsidR="00F6125F" w:rsidRPr="001075E9" w:rsidRDefault="00F6125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812E9C" w14:textId="77777777" w:rsidR="00F6125F" w:rsidRDefault="00F6125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CAE51B3" w14:textId="77777777" w:rsidR="007E1DD2" w:rsidRPr="004943E3" w:rsidRDefault="007E1DD2" w:rsidP="007E1DD2">
      <w:pPr>
        <w:pStyle w:val="ad"/>
      </w:pPr>
      <w:r>
        <w:tab/>
      </w:r>
      <w:r w:rsidRPr="00EA3215">
        <w:rPr>
          <w:sz w:val="20"/>
        </w:rPr>
        <w:t>*</w:t>
      </w:r>
      <w:r>
        <w:tab/>
        <w:t>Приняты Комитетом на его семьдесят второй сессии (8 ноября — 3 декабря 2021 года).</w:t>
      </w:r>
    </w:p>
  </w:footnote>
  <w:footnote w:id="2">
    <w:p w14:paraId="3681197E" w14:textId="6A5C9242" w:rsidR="007E1DD2" w:rsidRPr="00245933" w:rsidRDefault="007E1DD2" w:rsidP="007E1DD2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245933">
        <w:rPr>
          <w:lang w:val="en-US"/>
        </w:rPr>
        <w:tab/>
      </w:r>
      <w:hyperlink r:id="rId1" w:history="1">
        <w:r w:rsidR="00EA3215" w:rsidRPr="00EA3215">
          <w:rPr>
            <w:rStyle w:val="af1"/>
            <w:lang w:val="en-US"/>
          </w:rPr>
          <w:t>CAT</w:t>
        </w:r>
        <w:r w:rsidR="00EA3215" w:rsidRPr="00245933">
          <w:rPr>
            <w:rStyle w:val="af1"/>
            <w:lang w:val="en-US"/>
          </w:rPr>
          <w:t>/</w:t>
        </w:r>
        <w:r w:rsidR="00EA3215" w:rsidRPr="00EA3215">
          <w:rPr>
            <w:rStyle w:val="af1"/>
            <w:lang w:val="en-US"/>
          </w:rPr>
          <w:t>C</w:t>
        </w:r>
        <w:r w:rsidR="00EA3215" w:rsidRPr="00245933">
          <w:rPr>
            <w:rStyle w:val="af1"/>
            <w:lang w:val="en-US"/>
          </w:rPr>
          <w:t>/</w:t>
        </w:r>
        <w:r w:rsidR="00EA3215" w:rsidRPr="00EA3215">
          <w:rPr>
            <w:rStyle w:val="af1"/>
            <w:lang w:val="en-US"/>
          </w:rPr>
          <w:t>KGZ</w:t>
        </w:r>
        <w:r w:rsidR="00EA3215" w:rsidRPr="00245933">
          <w:rPr>
            <w:rStyle w:val="af1"/>
            <w:lang w:val="en-US"/>
          </w:rPr>
          <w:t>/3</w:t>
        </w:r>
      </w:hyperlink>
      <w:r w:rsidRPr="00245933">
        <w:rPr>
          <w:lang w:val="en-US"/>
        </w:rPr>
        <w:t>.</w:t>
      </w:r>
    </w:p>
  </w:footnote>
  <w:footnote w:id="3">
    <w:p w14:paraId="11BBCBF8" w14:textId="65BAF757" w:rsidR="007E1DD2" w:rsidRPr="00245933" w:rsidRDefault="007E1DD2" w:rsidP="007E1DD2">
      <w:pPr>
        <w:pStyle w:val="ad"/>
        <w:rPr>
          <w:lang w:val="en-US"/>
        </w:rPr>
      </w:pPr>
      <w:r w:rsidRPr="00245933">
        <w:rPr>
          <w:lang w:val="en-US"/>
        </w:rPr>
        <w:tab/>
      </w:r>
      <w:r>
        <w:rPr>
          <w:rStyle w:val="aa"/>
        </w:rPr>
        <w:footnoteRef/>
      </w:r>
      <w:r w:rsidRPr="00245933">
        <w:rPr>
          <w:lang w:val="en-US"/>
        </w:rPr>
        <w:tab/>
      </w:r>
      <w:r>
        <w:t>См</w:t>
      </w:r>
      <w:r w:rsidRPr="00245933">
        <w:rPr>
          <w:lang w:val="en-US"/>
        </w:rPr>
        <w:t xml:space="preserve">. </w:t>
      </w:r>
      <w:hyperlink r:id="rId2" w:history="1">
        <w:r w:rsidRPr="00EA3215">
          <w:rPr>
            <w:rStyle w:val="af1"/>
            <w:lang w:val="en-US"/>
          </w:rPr>
          <w:t>CAT</w:t>
        </w:r>
        <w:r w:rsidRPr="00245933">
          <w:rPr>
            <w:rStyle w:val="af1"/>
            <w:lang w:val="en-US"/>
          </w:rPr>
          <w:t>/</w:t>
        </w:r>
        <w:r w:rsidRPr="00EA3215">
          <w:rPr>
            <w:rStyle w:val="af1"/>
            <w:lang w:val="en-US"/>
          </w:rPr>
          <w:t>C</w:t>
        </w:r>
        <w:r w:rsidRPr="00245933">
          <w:rPr>
            <w:rStyle w:val="af1"/>
            <w:lang w:val="en-US"/>
          </w:rPr>
          <w:t>/</w:t>
        </w:r>
        <w:r w:rsidRPr="00EA3215">
          <w:rPr>
            <w:rStyle w:val="af1"/>
            <w:lang w:val="en-US"/>
          </w:rPr>
          <w:t>SR</w:t>
        </w:r>
        <w:r w:rsidRPr="00245933">
          <w:rPr>
            <w:rStyle w:val="af1"/>
            <w:lang w:val="en-US"/>
          </w:rPr>
          <w:t>.1844</w:t>
        </w:r>
      </w:hyperlink>
      <w:r w:rsidRPr="00245933">
        <w:rPr>
          <w:lang w:val="en-US"/>
        </w:rPr>
        <w:t xml:space="preserve"> </w:t>
      </w:r>
      <w:r>
        <w:t>и</w:t>
      </w:r>
      <w:r w:rsidRPr="00245933">
        <w:rPr>
          <w:lang w:val="en-US"/>
        </w:rPr>
        <w:t xml:space="preserve"> </w:t>
      </w:r>
      <w:hyperlink r:id="rId3" w:history="1">
        <w:r w:rsidRPr="00EA3215">
          <w:rPr>
            <w:rStyle w:val="af1"/>
            <w:lang w:val="en-US"/>
          </w:rPr>
          <w:t>CAT</w:t>
        </w:r>
        <w:r w:rsidRPr="00245933">
          <w:rPr>
            <w:rStyle w:val="af1"/>
            <w:lang w:val="en-US"/>
          </w:rPr>
          <w:t>/</w:t>
        </w:r>
        <w:r w:rsidRPr="00EA3215">
          <w:rPr>
            <w:rStyle w:val="af1"/>
            <w:lang w:val="en-US"/>
          </w:rPr>
          <w:t>C</w:t>
        </w:r>
        <w:r w:rsidRPr="00245933">
          <w:rPr>
            <w:rStyle w:val="af1"/>
            <w:lang w:val="en-US"/>
          </w:rPr>
          <w:t>/</w:t>
        </w:r>
        <w:r w:rsidRPr="00EA3215">
          <w:rPr>
            <w:rStyle w:val="af1"/>
            <w:lang w:val="en-US"/>
          </w:rPr>
          <w:t>SR</w:t>
        </w:r>
        <w:r w:rsidRPr="00245933">
          <w:rPr>
            <w:rStyle w:val="af1"/>
            <w:lang w:val="en-US"/>
          </w:rPr>
          <w:t>.1847</w:t>
        </w:r>
      </w:hyperlink>
      <w:r w:rsidRPr="00245933">
        <w:rPr>
          <w:lang w:val="en-US"/>
        </w:rPr>
        <w:t>.</w:t>
      </w:r>
    </w:p>
  </w:footnote>
  <w:footnote w:id="4">
    <w:p w14:paraId="6C8CB0B9" w14:textId="5CF28DC3" w:rsidR="007E1DD2" w:rsidRPr="00746A30" w:rsidRDefault="007E1DD2" w:rsidP="007E1DD2">
      <w:pPr>
        <w:pStyle w:val="ad"/>
        <w:rPr>
          <w:lang w:val="en-US"/>
        </w:rPr>
      </w:pPr>
      <w:r w:rsidRPr="00245933">
        <w:rPr>
          <w:lang w:val="en-US"/>
        </w:rPr>
        <w:tab/>
      </w:r>
      <w:r>
        <w:rPr>
          <w:rStyle w:val="aa"/>
        </w:rPr>
        <w:footnoteRef/>
      </w:r>
      <w:r w:rsidRPr="00746A30">
        <w:rPr>
          <w:lang w:val="en-US"/>
        </w:rPr>
        <w:tab/>
      </w:r>
      <w:hyperlink r:id="rId4" w:history="1">
        <w:r w:rsidRPr="00EA3215">
          <w:rPr>
            <w:rStyle w:val="af1"/>
            <w:lang w:val="en-US"/>
          </w:rPr>
          <w:t>CAT/C/KGZ/CO/2</w:t>
        </w:r>
      </w:hyperlink>
      <w:r w:rsidRPr="00746A30">
        <w:rPr>
          <w:lang w:val="en-US"/>
        </w:rPr>
        <w:t xml:space="preserve">, </w:t>
      </w:r>
      <w:r>
        <w:t>п</w:t>
      </w:r>
      <w:r w:rsidRPr="00746A30">
        <w:rPr>
          <w:lang w:val="en-US"/>
        </w:rPr>
        <w:t>. 29.</w:t>
      </w:r>
    </w:p>
  </w:footnote>
  <w:footnote w:id="5">
    <w:p w14:paraId="6C649BEB" w14:textId="77777777" w:rsidR="007E1DD2" w:rsidRPr="00746A30" w:rsidRDefault="007E1DD2" w:rsidP="007E1DD2">
      <w:pPr>
        <w:pStyle w:val="ad"/>
      </w:pPr>
      <w:r w:rsidRPr="00746A30">
        <w:rPr>
          <w:lang w:val="en-US"/>
        </w:rPr>
        <w:tab/>
      </w:r>
      <w:r>
        <w:rPr>
          <w:rStyle w:val="aa"/>
        </w:rPr>
        <w:footnoteRef/>
      </w:r>
      <w:r w:rsidRPr="00746A30">
        <w:tab/>
      </w:r>
      <w:r>
        <w:t>Там же, пп. 7 и 8.</w:t>
      </w:r>
    </w:p>
  </w:footnote>
  <w:footnote w:id="6">
    <w:p w14:paraId="6ABE8A2B" w14:textId="77777777" w:rsidR="007E1DD2" w:rsidRPr="004943E3" w:rsidRDefault="007E1DD2" w:rsidP="007E1DD2">
      <w:pPr>
        <w:pStyle w:val="ad"/>
      </w:pPr>
      <w:r w:rsidRPr="00746A30">
        <w:tab/>
      </w:r>
      <w:r>
        <w:rPr>
          <w:rStyle w:val="aa"/>
        </w:rPr>
        <w:footnoteRef/>
      </w:r>
      <w:r>
        <w:tab/>
        <w:t>Там же, п. 10.</w:t>
      </w:r>
    </w:p>
  </w:footnote>
  <w:footnote w:id="7">
    <w:p w14:paraId="2AC780F1" w14:textId="77777777" w:rsidR="007E1DD2" w:rsidRPr="004943E3" w:rsidRDefault="007E1DD2" w:rsidP="007E1DD2">
      <w:pPr>
        <w:pStyle w:val="ad"/>
      </w:pPr>
      <w:r w:rsidRPr="004C3B19">
        <w:tab/>
      </w:r>
      <w:r>
        <w:rPr>
          <w:rStyle w:val="aa"/>
        </w:rPr>
        <w:footnoteRef/>
      </w:r>
      <w:r>
        <w:tab/>
        <w:t>Там же, п. 14.</w:t>
      </w:r>
    </w:p>
  </w:footnote>
  <w:footnote w:id="8">
    <w:p w14:paraId="42AA77EA" w14:textId="77777777" w:rsidR="007E1DD2" w:rsidRPr="004943E3" w:rsidRDefault="007E1DD2" w:rsidP="007E1DD2">
      <w:pPr>
        <w:pStyle w:val="ad"/>
      </w:pPr>
      <w:r w:rsidRPr="004C3B19">
        <w:tab/>
      </w:r>
      <w:r>
        <w:rPr>
          <w:rStyle w:val="aa"/>
        </w:rPr>
        <w:footnoteRef/>
      </w:r>
      <w:r>
        <w:tab/>
        <w:t>Там же, п. 10.</w:t>
      </w:r>
    </w:p>
  </w:footnote>
  <w:footnote w:id="9">
    <w:p w14:paraId="20C72819" w14:textId="77777777" w:rsidR="007E1DD2" w:rsidRPr="004943E3" w:rsidRDefault="007E1DD2" w:rsidP="007E1DD2">
      <w:pPr>
        <w:pStyle w:val="ad"/>
      </w:pPr>
      <w:r w:rsidRPr="004C3B19">
        <w:tab/>
      </w:r>
      <w:r>
        <w:rPr>
          <w:rStyle w:val="aa"/>
        </w:rPr>
        <w:footnoteRef/>
      </w:r>
      <w:r>
        <w:tab/>
        <w:t>Там же, п. 14.</w:t>
      </w:r>
    </w:p>
  </w:footnote>
  <w:footnote w:id="10">
    <w:p w14:paraId="135A03A1" w14:textId="77777777" w:rsidR="007E1DD2" w:rsidRPr="004943E3" w:rsidRDefault="007E1DD2" w:rsidP="007E1DD2">
      <w:pPr>
        <w:pStyle w:val="ad"/>
      </w:pPr>
      <w:r w:rsidRPr="004C3B19">
        <w:tab/>
      </w:r>
      <w:r>
        <w:rPr>
          <w:rStyle w:val="aa"/>
        </w:rPr>
        <w:footnoteRef/>
      </w:r>
      <w:r>
        <w:tab/>
        <w:t>Там же, п. 9.</w:t>
      </w:r>
    </w:p>
  </w:footnote>
  <w:footnote w:id="11">
    <w:p w14:paraId="7F49E1F8" w14:textId="77777777" w:rsidR="007E1DD2" w:rsidRPr="004943E3" w:rsidRDefault="007E1DD2" w:rsidP="007E1DD2">
      <w:pPr>
        <w:pStyle w:val="ad"/>
      </w:pPr>
      <w:r>
        <w:tab/>
      </w:r>
      <w:r>
        <w:rPr>
          <w:rStyle w:val="aa"/>
        </w:rPr>
        <w:footnoteRef/>
      </w:r>
      <w:r>
        <w:tab/>
        <w:t>Там же, пп. 5</w:t>
      </w:r>
      <w:r>
        <w:rPr>
          <w:lang w:val="en-US"/>
        </w:rPr>
        <w:t xml:space="preserve"> </w:t>
      </w:r>
      <w:r>
        <w:t>и 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A4A5" w14:textId="22EF2733" w:rsidR="007E1DD2" w:rsidRPr="007E1DD2" w:rsidRDefault="00877DE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CAT/C/KGZ/CO/3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7439" w14:textId="0E116387" w:rsidR="007E1DD2" w:rsidRPr="007E1DD2" w:rsidRDefault="00877DE2" w:rsidP="007E1DD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CAT/C/KGZ/CO/3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8BA6" w14:textId="77777777" w:rsidR="007E1DD2" w:rsidRDefault="007E1DD2" w:rsidP="007E1DD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A3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C2E62"/>
    <w:rsid w:val="000F09DF"/>
    <w:rsid w:val="000F61B2"/>
    <w:rsid w:val="00100E94"/>
    <w:rsid w:val="001075E9"/>
    <w:rsid w:val="0016249F"/>
    <w:rsid w:val="00180183"/>
    <w:rsid w:val="0018024D"/>
    <w:rsid w:val="0018649F"/>
    <w:rsid w:val="00196389"/>
    <w:rsid w:val="001B3EF6"/>
    <w:rsid w:val="001C7A89"/>
    <w:rsid w:val="00245933"/>
    <w:rsid w:val="00255F2F"/>
    <w:rsid w:val="002A2EFC"/>
    <w:rsid w:val="002C0E18"/>
    <w:rsid w:val="002D525E"/>
    <w:rsid w:val="002D5AAC"/>
    <w:rsid w:val="002E5067"/>
    <w:rsid w:val="002F405F"/>
    <w:rsid w:val="002F7EEC"/>
    <w:rsid w:val="00301299"/>
    <w:rsid w:val="00307FB6"/>
    <w:rsid w:val="00315ED6"/>
    <w:rsid w:val="00317339"/>
    <w:rsid w:val="00322004"/>
    <w:rsid w:val="003269FF"/>
    <w:rsid w:val="003402C2"/>
    <w:rsid w:val="00374EC6"/>
    <w:rsid w:val="00381C24"/>
    <w:rsid w:val="00391966"/>
    <w:rsid w:val="00393C46"/>
    <w:rsid w:val="003958D0"/>
    <w:rsid w:val="003B00E5"/>
    <w:rsid w:val="003B2157"/>
    <w:rsid w:val="00403C9E"/>
    <w:rsid w:val="00405233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C11C9"/>
    <w:rsid w:val="005D7914"/>
    <w:rsid w:val="005E2B41"/>
    <w:rsid w:val="005F0B42"/>
    <w:rsid w:val="00606974"/>
    <w:rsid w:val="00611BA3"/>
    <w:rsid w:val="00681A10"/>
    <w:rsid w:val="006A1ED8"/>
    <w:rsid w:val="006C2031"/>
    <w:rsid w:val="006D461A"/>
    <w:rsid w:val="006F35EE"/>
    <w:rsid w:val="007021FF"/>
    <w:rsid w:val="00712895"/>
    <w:rsid w:val="00757357"/>
    <w:rsid w:val="0078799B"/>
    <w:rsid w:val="007E1DD2"/>
    <w:rsid w:val="00825F8D"/>
    <w:rsid w:val="00834B71"/>
    <w:rsid w:val="00834CC0"/>
    <w:rsid w:val="0086445C"/>
    <w:rsid w:val="00877DE2"/>
    <w:rsid w:val="00894693"/>
    <w:rsid w:val="008A08D7"/>
    <w:rsid w:val="008B6909"/>
    <w:rsid w:val="00906890"/>
    <w:rsid w:val="00911BE4"/>
    <w:rsid w:val="00951972"/>
    <w:rsid w:val="00953B7A"/>
    <w:rsid w:val="009569AF"/>
    <w:rsid w:val="009608F3"/>
    <w:rsid w:val="009A24AC"/>
    <w:rsid w:val="00A312BC"/>
    <w:rsid w:val="00A478EF"/>
    <w:rsid w:val="00A564FE"/>
    <w:rsid w:val="00A66C5E"/>
    <w:rsid w:val="00A74D9D"/>
    <w:rsid w:val="00A84021"/>
    <w:rsid w:val="00A84D35"/>
    <w:rsid w:val="00A917B3"/>
    <w:rsid w:val="00A96404"/>
    <w:rsid w:val="00AB4B51"/>
    <w:rsid w:val="00B10CC7"/>
    <w:rsid w:val="00B20CB2"/>
    <w:rsid w:val="00B539E7"/>
    <w:rsid w:val="00B62458"/>
    <w:rsid w:val="00B85348"/>
    <w:rsid w:val="00BA7B61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04C3"/>
    <w:rsid w:val="00CF55F6"/>
    <w:rsid w:val="00D33D63"/>
    <w:rsid w:val="00D46096"/>
    <w:rsid w:val="00D7263B"/>
    <w:rsid w:val="00D90028"/>
    <w:rsid w:val="00D90138"/>
    <w:rsid w:val="00DF71B9"/>
    <w:rsid w:val="00E21169"/>
    <w:rsid w:val="00E32A30"/>
    <w:rsid w:val="00E528D1"/>
    <w:rsid w:val="00E73F76"/>
    <w:rsid w:val="00EA2C9F"/>
    <w:rsid w:val="00EA3215"/>
    <w:rsid w:val="00ED0BDA"/>
    <w:rsid w:val="00EE03E6"/>
    <w:rsid w:val="00EF1360"/>
    <w:rsid w:val="00EF3220"/>
    <w:rsid w:val="00F21B00"/>
    <w:rsid w:val="00F6125F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9AE6F4"/>
  <w15:docId w15:val="{3EFA919D-39B0-4319-9BC5-C20C8B47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7E1DD2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EA3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en/CAT/C/SR.1847" TargetMode="External"/><Relationship Id="rId2" Type="http://schemas.openxmlformats.org/officeDocument/2006/relationships/hyperlink" Target="http://undocs.org/en/CAT/C/SR.1844" TargetMode="External"/><Relationship Id="rId1" Type="http://schemas.openxmlformats.org/officeDocument/2006/relationships/hyperlink" Target="http://undocs.org/ru/CAT/C/KGZ/3" TargetMode="External"/><Relationship Id="rId4" Type="http://schemas.openxmlformats.org/officeDocument/2006/relationships/hyperlink" Target="http://undocs.org/ru/CAT/C/KGZ/CO/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11</Pages>
  <Words>4068</Words>
  <Characters>28100</Characters>
  <Application>Microsoft Office Word</Application>
  <DocSecurity>0</DocSecurity>
  <Lines>419</Lines>
  <Paragraphs>85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CAT/C/KGZ/CO/3</vt:lpstr>
      <vt:lpstr>A/</vt:lpstr>
      <vt:lpstr>A/</vt:lpstr>
      <vt:lpstr>A/</vt:lpstr>
    </vt:vector>
  </TitlesOfParts>
  <Company>DCM</Company>
  <LinksUpToDate>false</LinksUpToDate>
  <CharactersWithSpaces>32083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CAT/C/KGZ/CO/3</dc:title>
  <dc:subject/>
  <dc:creator>Olga OVTCHINNIKOVA</dc:creator>
  <cp:keywords/>
  <cp:lastModifiedBy>Anna Petelina</cp:lastModifiedBy>
  <cp:revision>3</cp:revision>
  <cp:lastPrinted>2022-03-02T16:05:00Z</cp:lastPrinted>
  <dcterms:created xsi:type="dcterms:W3CDTF">2022-03-02T16:05:00Z</dcterms:created>
  <dcterms:modified xsi:type="dcterms:W3CDTF">2022-03-02T16:06:00Z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