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15E5BC4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7D4020" w14:textId="77777777" w:rsidR="002D5AAC" w:rsidRDefault="002D5AAC" w:rsidP="003347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811B73C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AAF47B2" w14:textId="7139D687" w:rsidR="002D5AAC" w:rsidRDefault="0033479A" w:rsidP="0033479A">
            <w:pPr>
              <w:jc w:val="right"/>
            </w:pPr>
            <w:r w:rsidRPr="0033479A">
              <w:rPr>
                <w:sz w:val="40"/>
              </w:rPr>
              <w:t>CAT</w:t>
            </w:r>
            <w:r>
              <w:t>/C/BWA/CO/1</w:t>
            </w:r>
          </w:p>
        </w:tc>
      </w:tr>
      <w:tr w:rsidR="002D5AAC" w:rsidRPr="00C23549" w14:paraId="25D8C14F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F361D0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FA4368" wp14:editId="13F8E5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FC732E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58965DD" w14:textId="77777777" w:rsidR="002D5AAC" w:rsidRDefault="0033479A" w:rsidP="00F90E40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.: General</w:t>
            </w:r>
          </w:p>
          <w:p w14:paraId="3172C3EB" w14:textId="77777777" w:rsidR="0033479A" w:rsidRDefault="0033479A" w:rsidP="0033479A">
            <w:pPr>
              <w:spacing w:line="240" w:lineRule="exact"/>
            </w:pPr>
            <w:r>
              <w:t xml:space="preserve">23 </w:t>
            </w:r>
            <w:proofErr w:type="spellStart"/>
            <w:r>
              <w:t>August</w:t>
            </w:r>
            <w:proofErr w:type="spellEnd"/>
            <w:r>
              <w:t xml:space="preserve"> 2022</w:t>
            </w:r>
          </w:p>
          <w:p w14:paraId="730688E9" w14:textId="77777777" w:rsidR="0033479A" w:rsidRDefault="0033479A" w:rsidP="0033479A">
            <w:pPr>
              <w:spacing w:line="240" w:lineRule="exact"/>
            </w:pPr>
            <w:r>
              <w:t>Russian</w:t>
            </w:r>
          </w:p>
          <w:p w14:paraId="69DB870C" w14:textId="3044FE53" w:rsidR="0033479A" w:rsidRPr="00E528D1" w:rsidRDefault="0033479A" w:rsidP="0033479A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>: English</w:t>
            </w:r>
          </w:p>
        </w:tc>
      </w:tr>
    </w:tbl>
    <w:p w14:paraId="7ABECA63" w14:textId="77777777" w:rsidR="0033479A" w:rsidRPr="0033479A" w:rsidRDefault="0033479A" w:rsidP="0033479A">
      <w:pPr>
        <w:spacing w:before="120"/>
        <w:rPr>
          <w:b/>
          <w:sz w:val="24"/>
          <w:szCs w:val="24"/>
        </w:rPr>
      </w:pPr>
      <w:r w:rsidRPr="0033479A">
        <w:rPr>
          <w:b/>
          <w:bCs/>
          <w:sz w:val="24"/>
          <w:szCs w:val="24"/>
        </w:rPr>
        <w:t>Комитет против пыток</w:t>
      </w:r>
    </w:p>
    <w:p w14:paraId="04672CA2" w14:textId="77777777" w:rsidR="0033479A" w:rsidRPr="004754D9" w:rsidRDefault="0033479A" w:rsidP="0033479A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первоначальному докладу Ботсваны</w:t>
      </w:r>
      <w:r w:rsidRPr="006A473D">
        <w:rPr>
          <w:b w:val="0"/>
          <w:bCs/>
          <w:sz w:val="20"/>
        </w:rPr>
        <w:footnoteReference w:customMarkFollows="1" w:id="1"/>
        <w:t>*</w:t>
      </w:r>
    </w:p>
    <w:p w14:paraId="0527EF4A" w14:textId="678B3ECB" w:rsidR="0033479A" w:rsidRPr="004754D9" w:rsidRDefault="0033479A" w:rsidP="0033479A">
      <w:pPr>
        <w:pStyle w:val="SingleTxtG"/>
      </w:pPr>
      <w:r>
        <w:t>1.</w:t>
      </w:r>
      <w:r>
        <w:tab/>
        <w:t>Комитет против пыток рассмотрел первоначальный доклад Ботсваны</w:t>
      </w:r>
      <w:r w:rsidRPr="006A473D">
        <w:rPr>
          <w:rStyle w:val="aa"/>
        </w:rPr>
        <w:footnoteReference w:id="2"/>
      </w:r>
      <w:r>
        <w:t xml:space="preserve"> на своих 1923-м и 1926-м заседаниях</w:t>
      </w:r>
      <w:r w:rsidRPr="006A473D">
        <w:rPr>
          <w:rStyle w:val="aa"/>
        </w:rPr>
        <w:footnoteReference w:id="3"/>
      </w:r>
      <w:r>
        <w:t xml:space="preserve">, состоявшихся 20 и 21 июля 2022 года, и на своем </w:t>
      </w:r>
      <w:r>
        <w:br/>
        <w:t>1934-м заседании, состоявшемся 28 июля 2022 года, принял настоящие заключительные замечания.</w:t>
      </w:r>
    </w:p>
    <w:p w14:paraId="68139258" w14:textId="77777777" w:rsidR="0033479A" w:rsidRPr="004754D9" w:rsidRDefault="0033479A" w:rsidP="0033479A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51E2171B" w14:textId="77777777" w:rsidR="0033479A" w:rsidRPr="004754D9" w:rsidRDefault="0033479A" w:rsidP="0033479A">
      <w:pPr>
        <w:pStyle w:val="SingleTxtG"/>
      </w:pPr>
      <w:r>
        <w:t>2.</w:t>
      </w:r>
      <w:r>
        <w:tab/>
        <w:t>Комитет выражает признательность государству-участнику за принятие упрощенной процедуры представления докладов и представление в соответствии с ней своего первоначального доклада, поскольку это позволяет наладить более предметный диалог между государством-участником и Комитетом. Вместе с тем он сожалеет, что доклад был представлен с более чем 20-летним опозданием.</w:t>
      </w:r>
    </w:p>
    <w:p w14:paraId="699D382E" w14:textId="77777777" w:rsidR="0033479A" w:rsidRPr="004754D9" w:rsidRDefault="0033479A" w:rsidP="0033479A">
      <w:pPr>
        <w:pStyle w:val="SingleTxtG"/>
      </w:pPr>
      <w:r>
        <w:t>3.</w:t>
      </w:r>
      <w:r>
        <w:tab/>
        <w:t>Комитет выражает удовлетворение в связи с тем, что имел возможность провести конструктивный диалог с делегацией государства-участника, и высоко оценивает ответы на вопросы и озабоченности, озвученные в ходе рассмотрения первоначального доклада.</w:t>
      </w:r>
    </w:p>
    <w:p w14:paraId="4F812097" w14:textId="77777777" w:rsidR="0033479A" w:rsidRPr="004754D9" w:rsidRDefault="0033479A" w:rsidP="0033479A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27CC1F91" w14:textId="77777777" w:rsidR="0033479A" w:rsidRPr="004754D9" w:rsidRDefault="0033479A" w:rsidP="0033479A">
      <w:pPr>
        <w:pStyle w:val="SingleTxtG"/>
      </w:pPr>
      <w:r>
        <w:t>4.</w:t>
      </w:r>
      <w:r>
        <w:tab/>
        <w:t xml:space="preserve">Комитет приветствует ратификацию государством-участником следующих международных договоров или присоединение к ним: </w:t>
      </w:r>
    </w:p>
    <w:p w14:paraId="5CE3C7EE" w14:textId="63F4E38F" w:rsidR="0033479A" w:rsidRPr="004754D9" w:rsidRDefault="0033479A" w:rsidP="0033479A">
      <w:pPr>
        <w:pStyle w:val="SingleTxtG"/>
      </w:pPr>
      <w:r>
        <w:tab/>
        <w:t>a)</w:t>
      </w:r>
      <w:r>
        <w:tab/>
        <w:t>Международного пакта о гражданских и политических правах —</w:t>
      </w:r>
      <w:r w:rsidRPr="00F40D98">
        <w:t xml:space="preserve"> </w:t>
      </w:r>
      <w:r>
        <w:br/>
        <w:t>в 2000 году;</w:t>
      </w:r>
    </w:p>
    <w:p w14:paraId="2979CF87" w14:textId="77777777" w:rsidR="0033479A" w:rsidRPr="004754D9" w:rsidRDefault="0033479A" w:rsidP="0033479A">
      <w:pPr>
        <w:pStyle w:val="SingleTxtG"/>
      </w:pPr>
      <w:r>
        <w:tab/>
        <w:t>b)</w:t>
      </w:r>
      <w:r>
        <w:tab/>
        <w:t>Международной конвенции о ликвидации всех форм расовой дискриминации —</w:t>
      </w:r>
      <w:r w:rsidRPr="00F40D98">
        <w:t xml:space="preserve"> </w:t>
      </w:r>
      <w:r>
        <w:t>в 1974 году;</w:t>
      </w:r>
    </w:p>
    <w:p w14:paraId="411B2E42" w14:textId="77777777" w:rsidR="0033479A" w:rsidRPr="004754D9" w:rsidRDefault="0033479A" w:rsidP="0033479A">
      <w:pPr>
        <w:pStyle w:val="SingleTxtG"/>
      </w:pPr>
      <w:r>
        <w:tab/>
        <w:t>c)</w:t>
      </w:r>
      <w:r>
        <w:tab/>
        <w:t>Конвенции о ликвидации всех форм дискриминации в отношении женщин —</w:t>
      </w:r>
      <w:r w:rsidRPr="00F40D98">
        <w:t xml:space="preserve"> </w:t>
      </w:r>
      <w:r>
        <w:t>в 1996 году;</w:t>
      </w:r>
    </w:p>
    <w:p w14:paraId="4ACA6701" w14:textId="77777777" w:rsidR="0033479A" w:rsidRPr="004754D9" w:rsidRDefault="0033479A" w:rsidP="0033479A">
      <w:pPr>
        <w:pStyle w:val="SingleTxtG"/>
      </w:pPr>
      <w:r>
        <w:tab/>
        <w:t>d)</w:t>
      </w:r>
      <w:r>
        <w:tab/>
        <w:t>Факультативного протокола к Конвенции о ликвидации всех форм дискриминации в отношении женщин —</w:t>
      </w:r>
      <w:r w:rsidRPr="00F40D98">
        <w:t xml:space="preserve"> </w:t>
      </w:r>
      <w:r>
        <w:t>в 2007 году;</w:t>
      </w:r>
    </w:p>
    <w:p w14:paraId="51DE60B6" w14:textId="77777777" w:rsidR="0033479A" w:rsidRPr="004754D9" w:rsidRDefault="0033479A" w:rsidP="0033479A">
      <w:pPr>
        <w:pStyle w:val="SingleTxtG"/>
      </w:pPr>
      <w:r>
        <w:tab/>
        <w:t>e)</w:t>
      </w:r>
      <w:r>
        <w:tab/>
        <w:t>Конвенции о правах инвалидов —</w:t>
      </w:r>
      <w:r w:rsidRPr="00F40D98">
        <w:t xml:space="preserve"> </w:t>
      </w:r>
      <w:r>
        <w:t>в 2021 году;</w:t>
      </w:r>
    </w:p>
    <w:p w14:paraId="5B310DAB" w14:textId="77777777" w:rsidR="0033479A" w:rsidRPr="004754D9" w:rsidRDefault="0033479A" w:rsidP="0033479A">
      <w:pPr>
        <w:pStyle w:val="SingleTxtG"/>
      </w:pPr>
      <w:r>
        <w:tab/>
        <w:t>f)</w:t>
      </w:r>
      <w:r>
        <w:tab/>
        <w:t>Римского статута Международного уголовного суда —</w:t>
      </w:r>
      <w:r w:rsidRPr="00F40D98">
        <w:t xml:space="preserve"> </w:t>
      </w:r>
      <w:r>
        <w:t>в 2017 году;</w:t>
      </w:r>
    </w:p>
    <w:p w14:paraId="03E63403" w14:textId="77777777" w:rsidR="0033479A" w:rsidRPr="004754D9" w:rsidRDefault="0033479A" w:rsidP="0033479A">
      <w:pPr>
        <w:pStyle w:val="SingleTxtG"/>
      </w:pPr>
      <w:r>
        <w:tab/>
        <w:t>g)</w:t>
      </w:r>
      <w:r>
        <w:tab/>
        <w:t>Конвенции о правах ребенка</w:t>
      </w:r>
      <w:r w:rsidRPr="00F40D98">
        <w:t xml:space="preserve"> </w:t>
      </w:r>
      <w:r>
        <w:t>— в 1995 году;</w:t>
      </w:r>
    </w:p>
    <w:p w14:paraId="3166173B" w14:textId="77777777" w:rsidR="0033479A" w:rsidRPr="004754D9" w:rsidRDefault="0033479A" w:rsidP="0033479A">
      <w:pPr>
        <w:pStyle w:val="SingleTxtG"/>
      </w:pPr>
      <w:r>
        <w:lastRenderedPageBreak/>
        <w:tab/>
        <w:t>h)</w:t>
      </w:r>
      <w:r>
        <w:tab/>
        <w:t>Факультативного протокола к Конвенции о правах ребенка, касающегося участия детей в вооруженных конфликтах, —</w:t>
      </w:r>
      <w:r w:rsidRPr="00F40D98">
        <w:t xml:space="preserve"> </w:t>
      </w:r>
      <w:r>
        <w:t>в 2004 году;</w:t>
      </w:r>
    </w:p>
    <w:p w14:paraId="3495F87E" w14:textId="77777777" w:rsidR="0033479A" w:rsidRPr="004754D9" w:rsidRDefault="0033479A" w:rsidP="0033479A">
      <w:pPr>
        <w:pStyle w:val="SingleTxtG"/>
      </w:pPr>
      <w:r>
        <w:tab/>
        <w:t>i)</w:t>
      </w:r>
      <w:r>
        <w:tab/>
        <w:t>Факультативного протокола к Конвенции о правах ребенка, касающегося торговли детьми, детской проституции и детской порнографии, —</w:t>
      </w:r>
      <w:r w:rsidRPr="00F40D98">
        <w:t xml:space="preserve"> </w:t>
      </w:r>
      <w:r>
        <w:t>в 2003 году;</w:t>
      </w:r>
    </w:p>
    <w:p w14:paraId="786ACD3E" w14:textId="54913FA3" w:rsidR="0033479A" w:rsidRPr="004754D9" w:rsidRDefault="0033479A" w:rsidP="0033479A">
      <w:pPr>
        <w:pStyle w:val="SingleTxtG"/>
      </w:pPr>
      <w:r>
        <w:tab/>
        <w:t>j)</w:t>
      </w:r>
      <w:r>
        <w:tab/>
        <w:t xml:space="preserve">Конвенции Организации Объединенных Наций против коррупции — </w:t>
      </w:r>
      <w:r>
        <w:br/>
        <w:t>в 2011 году;</w:t>
      </w:r>
    </w:p>
    <w:p w14:paraId="3450AAB3" w14:textId="77777777" w:rsidR="0033479A" w:rsidRPr="004754D9" w:rsidRDefault="0033479A" w:rsidP="0033479A">
      <w:pPr>
        <w:pStyle w:val="SingleTxtG"/>
      </w:pPr>
      <w:r>
        <w:tab/>
        <w:t>k)</w:t>
      </w:r>
      <w:r>
        <w:tab/>
        <w:t>Конвенции Организации Объединенных Наций против транснациональной организованной преступности — в 2002 году.</w:t>
      </w:r>
    </w:p>
    <w:p w14:paraId="15B17384" w14:textId="77777777" w:rsidR="0033479A" w:rsidRPr="004754D9" w:rsidRDefault="0033479A" w:rsidP="0033479A">
      <w:pPr>
        <w:pStyle w:val="SingleTxtG"/>
      </w:pPr>
      <w:r>
        <w:t>5.</w:t>
      </w:r>
      <w:r>
        <w:tab/>
        <w:t xml:space="preserve">Комитет также приветствует инициативы государства-участника по пересмотру своего законодательства в областях, имеющих отношение к Конвенции, включая: </w:t>
      </w:r>
    </w:p>
    <w:p w14:paraId="53A9444D" w14:textId="77777777" w:rsidR="0033479A" w:rsidRPr="004754D9" w:rsidRDefault="0033479A" w:rsidP="0033479A">
      <w:pPr>
        <w:pStyle w:val="SingleTxtG"/>
      </w:pPr>
      <w:r>
        <w:tab/>
        <w:t>a)</w:t>
      </w:r>
      <w:r>
        <w:tab/>
        <w:t>принятие в 2014 году Закона о борьбе с торговлей людьми;</w:t>
      </w:r>
    </w:p>
    <w:p w14:paraId="1FAE2467" w14:textId="77777777" w:rsidR="0033479A" w:rsidRPr="004754D9" w:rsidRDefault="0033479A" w:rsidP="0033479A">
      <w:pPr>
        <w:pStyle w:val="SingleTxtG"/>
      </w:pPr>
      <w:r>
        <w:tab/>
        <w:t>b)</w:t>
      </w:r>
      <w:r>
        <w:tab/>
        <w:t>недавнее подписание Закона № 22 об Омбудсмене от 2021 года;</w:t>
      </w:r>
    </w:p>
    <w:p w14:paraId="76B74281" w14:textId="77777777" w:rsidR="0033479A" w:rsidRPr="004754D9" w:rsidRDefault="0033479A" w:rsidP="0033479A">
      <w:pPr>
        <w:pStyle w:val="SingleTxtG"/>
      </w:pPr>
      <w:r>
        <w:tab/>
        <w:t>c)</w:t>
      </w:r>
      <w:r>
        <w:tab/>
        <w:t>принятие в 2013 году Закона о правовой помощи;</w:t>
      </w:r>
    </w:p>
    <w:p w14:paraId="6F7F4CD1" w14:textId="77777777" w:rsidR="0033479A" w:rsidRPr="004754D9" w:rsidRDefault="0033479A" w:rsidP="0033479A">
      <w:pPr>
        <w:pStyle w:val="SingleTxtG"/>
      </w:pPr>
      <w:r>
        <w:tab/>
        <w:t>d)</w:t>
      </w:r>
      <w:r>
        <w:tab/>
        <w:t>принятие в 2009 году Закона о детях;</w:t>
      </w:r>
    </w:p>
    <w:p w14:paraId="01B2D4CE" w14:textId="77777777" w:rsidR="0033479A" w:rsidRPr="004754D9" w:rsidRDefault="0033479A" w:rsidP="0033479A">
      <w:pPr>
        <w:pStyle w:val="SingleTxtG"/>
      </w:pPr>
      <w:r>
        <w:tab/>
        <w:t>e)</w:t>
      </w:r>
      <w:r>
        <w:tab/>
        <w:t xml:space="preserve">принятие в 2008 году Закона о домашнем насилии; </w:t>
      </w:r>
    </w:p>
    <w:p w14:paraId="449AA572" w14:textId="77777777" w:rsidR="0033479A" w:rsidRPr="004754D9" w:rsidRDefault="0033479A" w:rsidP="0033479A">
      <w:pPr>
        <w:pStyle w:val="SingleTxtG"/>
      </w:pPr>
      <w:r>
        <w:tab/>
        <w:t>f)</w:t>
      </w:r>
      <w:r>
        <w:tab/>
        <w:t>принятие в 2021 году Закона № 7 о реестре сексуальных преступников.</w:t>
      </w:r>
    </w:p>
    <w:p w14:paraId="7BC9F29C" w14:textId="77777777" w:rsidR="0033479A" w:rsidRPr="004754D9" w:rsidRDefault="0033479A" w:rsidP="0033479A">
      <w:pPr>
        <w:pStyle w:val="SingleTxtG"/>
      </w:pPr>
      <w:r>
        <w:t>6.</w:t>
      </w:r>
      <w:r>
        <w:tab/>
        <w:t xml:space="preserve">Комитет высоко оценивает инициативы государства-участника по внесению изменений в свою политику и процедуры с целью обеспечения большей защиты прав человека и применения Конвенции, в том числе: </w:t>
      </w:r>
    </w:p>
    <w:p w14:paraId="0D6D469B" w14:textId="77777777" w:rsidR="0033479A" w:rsidRPr="004754D9" w:rsidRDefault="0033479A" w:rsidP="0033479A">
      <w:pPr>
        <w:pStyle w:val="SingleTxtG"/>
      </w:pPr>
      <w:r>
        <w:tab/>
        <w:t>a)</w:t>
      </w:r>
      <w:r>
        <w:tab/>
        <w:t>вывод вопросов правосудия из ведения бывшего Министерства обороны, юстиции и безопасности путем создания отдельного Министерства юстиции;</w:t>
      </w:r>
    </w:p>
    <w:p w14:paraId="343A6C92" w14:textId="77777777" w:rsidR="0033479A" w:rsidRPr="004754D9" w:rsidRDefault="0033479A" w:rsidP="0033479A">
      <w:pPr>
        <w:pStyle w:val="SingleTxtG"/>
      </w:pPr>
      <w:r>
        <w:tab/>
        <w:t>b)</w:t>
      </w:r>
      <w:r>
        <w:tab/>
        <w:t>учреждение в январе 2022 года комитета по пересмотру конституции с целью представления окончательного доклада в сентябре 2022 года;</w:t>
      </w:r>
    </w:p>
    <w:p w14:paraId="4063E2B9" w14:textId="7A09FFFE" w:rsidR="0033479A" w:rsidRPr="004754D9" w:rsidRDefault="0033479A" w:rsidP="0033479A">
      <w:pPr>
        <w:pStyle w:val="SingleTxtG"/>
      </w:pPr>
      <w:r>
        <w:tab/>
        <w:t>c)</w:t>
      </w:r>
      <w:r>
        <w:tab/>
        <w:t>создание в 2019 году подразделения по правам человека, а в 2020 году</w:t>
      </w:r>
      <w:r>
        <w:rPr>
          <w:lang w:val="en-US"/>
        </w:rPr>
        <w:t> </w:t>
      </w:r>
      <w:r w:rsidRPr="0033479A">
        <w:t xml:space="preserve">— </w:t>
      </w:r>
      <w:r>
        <w:t xml:space="preserve">национального комитета по правам человека; </w:t>
      </w:r>
    </w:p>
    <w:p w14:paraId="52FDAA33" w14:textId="77777777" w:rsidR="0033479A" w:rsidRPr="004754D9" w:rsidRDefault="0033479A" w:rsidP="0033479A">
      <w:pPr>
        <w:pStyle w:val="SingleTxtG"/>
      </w:pPr>
      <w:r>
        <w:tab/>
        <w:t>d)</w:t>
      </w:r>
      <w:r>
        <w:tab/>
        <w:t>создание в 2002 году постоянного межведомственного комитета по договорам, конвенциям и протоколам при Министерстве иностранных дел;</w:t>
      </w:r>
    </w:p>
    <w:p w14:paraId="68773BF2" w14:textId="09ECBAE8" w:rsidR="0033479A" w:rsidRPr="0033479A" w:rsidRDefault="0033479A" w:rsidP="0033479A">
      <w:pPr>
        <w:pStyle w:val="SingleTxtG"/>
      </w:pPr>
      <w:r>
        <w:tab/>
        <w:t>e)</w:t>
      </w:r>
      <w:r>
        <w:tab/>
        <w:t>утверждение в 2016 году национальной стратегии на 2016</w:t>
      </w:r>
      <w:r w:rsidRPr="0033479A">
        <w:t>–</w:t>
      </w:r>
      <w:r>
        <w:t>2020 годы, направленной на пресечение гендерного насилия в Ботсване, и национальной стратегии обеспечения гендерного равноправия и развития</w:t>
      </w:r>
      <w:r w:rsidRPr="0033479A">
        <w:t>;</w:t>
      </w:r>
    </w:p>
    <w:p w14:paraId="41438F73" w14:textId="77777777" w:rsidR="0033479A" w:rsidRPr="004754D9" w:rsidRDefault="0033479A" w:rsidP="0033479A">
      <w:pPr>
        <w:pStyle w:val="SingleTxtG"/>
      </w:pPr>
      <w:r>
        <w:tab/>
        <w:t>f)</w:t>
      </w:r>
      <w:r>
        <w:tab/>
        <w:t xml:space="preserve">осуществление усилий по укреплению в государстве-участнике структур, способствовавших представлению государством-участником докладов в пять органов Организации Объединенных Наций, учрежденных согласно договорам по правам человека, участником которых оно является; </w:t>
      </w:r>
    </w:p>
    <w:p w14:paraId="57E31521" w14:textId="5FF6E9FB" w:rsidR="0033479A" w:rsidRPr="004754D9" w:rsidRDefault="0033479A" w:rsidP="0033479A">
      <w:pPr>
        <w:pStyle w:val="SingleTxtG"/>
      </w:pPr>
      <w:r>
        <w:tab/>
        <w:t>g)</w:t>
      </w:r>
      <w:r>
        <w:tab/>
        <w:t>утверждение национального плана действий по борьбе с торговлей людьми на период 2017</w:t>
      </w:r>
      <w:r w:rsidRPr="0033479A">
        <w:t>–</w:t>
      </w:r>
      <w:r>
        <w:t>2018 годов.</w:t>
      </w:r>
    </w:p>
    <w:p w14:paraId="3DAE7179" w14:textId="74817D41" w:rsidR="0033479A" w:rsidRPr="004754D9" w:rsidRDefault="0033479A" w:rsidP="0033479A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Основные вопросы, вызывающие обеспокоенность, и</w:t>
      </w:r>
      <w:r>
        <w:rPr>
          <w:bCs/>
          <w:lang w:val="en-US"/>
        </w:rPr>
        <w:t> </w:t>
      </w:r>
      <w:r>
        <w:rPr>
          <w:bCs/>
        </w:rPr>
        <w:t>рекомендации</w:t>
      </w:r>
      <w:r>
        <w:t xml:space="preserve"> </w:t>
      </w:r>
    </w:p>
    <w:p w14:paraId="68440AAB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Процесс включения в национальное законодательство договоров по правам человека</w:t>
      </w:r>
      <w:r>
        <w:t xml:space="preserve"> </w:t>
      </w:r>
    </w:p>
    <w:p w14:paraId="155A288D" w14:textId="259F720F" w:rsidR="0033479A" w:rsidRPr="004754D9" w:rsidRDefault="0033479A" w:rsidP="0033479A">
      <w:pPr>
        <w:pStyle w:val="SingleTxtG"/>
      </w:pPr>
      <w:r>
        <w:t>7.</w:t>
      </w:r>
      <w:r>
        <w:tab/>
        <w:t>Комитет приветствует взятое на себя государством-участником в ходе универсального периодического обзора в 2018 году обязательство включить в национальное законодательство все договоры по правам человека, участником которых оно является, включая Конвенцию против пыток и других жестоких, бесчеловечных или унижающих достоинство видов обращения и наказания. Он</w:t>
      </w:r>
      <w:r>
        <w:rPr>
          <w:lang w:val="en-US"/>
        </w:rPr>
        <w:t> </w:t>
      </w:r>
      <w:r>
        <w:t xml:space="preserve">высоко оценивает представленные государством-участником разъяснения относительно шагов, которые необходимо предпринять в законодательном порядке и </w:t>
      </w:r>
      <w:r>
        <w:lastRenderedPageBreak/>
        <w:t>на практике для обеспечения вступления в силу законодательных актов о включении этих договоров в национальное законодательство, включая необходимость проведения консультаций с общественностью</w:t>
      </w:r>
      <w:r w:rsidRPr="006A473D">
        <w:rPr>
          <w:rStyle w:val="aa"/>
        </w:rPr>
        <w:footnoteReference w:id="4"/>
      </w:r>
      <w:r>
        <w:t>. В то же время Комитет сожалеет, что государство-участник так и не смогло завершить процесс включения в свое национальное законодательство как Конвенции, так и других договоров по правам человека, участником которых оно является.</w:t>
      </w:r>
    </w:p>
    <w:p w14:paraId="3ED26850" w14:textId="77777777" w:rsidR="0033479A" w:rsidRPr="004754D9" w:rsidRDefault="0033479A" w:rsidP="0033479A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настоятельно призывает государство-участник ускорить процесс включения в национальное законодательство договоров по правам человека, участником которых оно является, включая Конвенцию, с целью обеспечения скорейшего вступления в силу необходимых законодательных актов, обеспечивающих приведение его национального законодательства в соответствие с его международно-правовыми обязательствами.</w:t>
      </w:r>
      <w:r>
        <w:t xml:space="preserve"> </w:t>
      </w:r>
    </w:p>
    <w:p w14:paraId="28F89CA8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Определение и квалификация пытки в качестве преступления</w:t>
      </w:r>
    </w:p>
    <w:p w14:paraId="649E9978" w14:textId="09BFF1B3" w:rsidR="0033479A" w:rsidRPr="004754D9" w:rsidRDefault="0033479A" w:rsidP="0033479A">
      <w:pPr>
        <w:pStyle w:val="SingleTxtG"/>
      </w:pPr>
      <w:r>
        <w:t>9.</w:t>
      </w:r>
      <w:r>
        <w:tab/>
        <w:t>Комитет приветствует предоставленную государством-участником информацию о различных нормативно-правовых актах, являющихся частью его общего законодательства, на которые при определенных обстоятельствах можно опираться в целях расследования действий, подпадающих под значение слова «пытка», как оно определено в статье 1 Конвенции, и преследования в судебном порядке виновных. Вместе с тем Комитет серьезно обеспокоен тем, что государство-участник до сих пор не выработало определение пытки как отдельного преступления и тем, что имеются значительные пробелы между действиями, которые криминализируются в этих нормативно-правовых актах, которые являются частью общего законодательства и о которых государство-участник представило информацию, и определением пытки согласно статье 1 Конвенции. Комитет обращает внимание государства-участника на свое замечание общего порядка № 2 (2007), в</w:t>
      </w:r>
      <w:r>
        <w:rPr>
          <w:lang w:val="en-US"/>
        </w:rPr>
        <w:t> </w:t>
      </w:r>
      <w:r>
        <w:t>котором ясно говорится, что расхождения между определением, данным в Конвенции, и национальным законодательством государства могут открывать реальные или потенциальные лазейки для безнаказанности (статьи 1, 2 (2) и 4).</w:t>
      </w:r>
    </w:p>
    <w:p w14:paraId="33727287" w14:textId="77777777" w:rsidR="0033479A" w:rsidRPr="004754D9" w:rsidRDefault="0033479A" w:rsidP="0033479A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настоятельно призывает государство-участник пересмотреть и изменить свое законодательство, чтобы обеспечить запрет всех форм пыток в соответствии с определением, закрепленным в Конвенции.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государству-участнику:</w:t>
      </w:r>
    </w:p>
    <w:p w14:paraId="48A06807" w14:textId="77777777" w:rsidR="0033479A" w:rsidRPr="0033479A" w:rsidRDefault="0033479A" w:rsidP="0033479A">
      <w:pPr>
        <w:pStyle w:val="SingleTxtG"/>
        <w:rPr>
          <w:b/>
          <w:bCs/>
        </w:rPr>
      </w:pPr>
      <w:r>
        <w:tab/>
      </w:r>
      <w:r w:rsidRPr="0033479A">
        <w:rPr>
          <w:b/>
          <w:bCs/>
        </w:rPr>
        <w:t>a)</w:t>
      </w:r>
      <w:r w:rsidRPr="0033479A">
        <w:rPr>
          <w:b/>
          <w:bCs/>
        </w:rPr>
        <w:tab/>
        <w:t xml:space="preserve">обеспечивать, чтобы запрет пыток был абсолютным и не допускал отступлений в национальном </w:t>
      </w:r>
      <w:proofErr w:type="gramStart"/>
      <w:r w:rsidRPr="0033479A">
        <w:rPr>
          <w:b/>
          <w:bCs/>
        </w:rPr>
        <w:t>законодательстве</w:t>
      </w:r>
      <w:proofErr w:type="gramEnd"/>
      <w:r w:rsidRPr="0033479A">
        <w:rPr>
          <w:b/>
          <w:bCs/>
        </w:rPr>
        <w:t xml:space="preserve"> и чтобы никакие исключительные обстоятельства, включая чрезвычайное положение или угрозу войны, не могли использоваться для оправдания применения пыток;</w:t>
      </w:r>
    </w:p>
    <w:p w14:paraId="4CC3BD38" w14:textId="77777777" w:rsidR="0033479A" w:rsidRPr="0033479A" w:rsidRDefault="0033479A" w:rsidP="0033479A">
      <w:pPr>
        <w:pStyle w:val="SingleTxtG"/>
        <w:rPr>
          <w:b/>
          <w:bCs/>
        </w:rPr>
      </w:pPr>
      <w:r w:rsidRPr="0033479A">
        <w:rPr>
          <w:b/>
          <w:bCs/>
        </w:rPr>
        <w:tab/>
        <w:t>b)</w:t>
      </w:r>
      <w:r w:rsidRPr="0033479A">
        <w:rPr>
          <w:b/>
          <w:bCs/>
        </w:rPr>
        <w:tab/>
        <w:t>обеспечивать, чтобы наказание за преступление пытки было соразмерно тяжести этого деяния, как того требует статья 4 (2) Конвенции;</w:t>
      </w:r>
    </w:p>
    <w:p w14:paraId="0C3EDDAC" w14:textId="77777777" w:rsidR="0033479A" w:rsidRPr="0033479A" w:rsidRDefault="0033479A" w:rsidP="000C55DE">
      <w:pPr>
        <w:pStyle w:val="SingleTxtG"/>
        <w:rPr>
          <w:b/>
          <w:bCs/>
        </w:rPr>
      </w:pPr>
      <w:r w:rsidRPr="0033479A">
        <w:rPr>
          <w:b/>
          <w:bCs/>
        </w:rPr>
        <w:tab/>
        <w:t>c)</w:t>
      </w:r>
      <w:r w:rsidRPr="0033479A">
        <w:rPr>
          <w:b/>
          <w:bCs/>
        </w:rPr>
        <w:tab/>
        <w:t>обеспечивать, чтобы в силу абсолютного характера запрещения пыток никакого срока давности в отношении актов пыток предусмотрено не было, что позволило бы эффективным образом проводить расследования, преследовать и наказывать лиц, совершающих такие преступления или причастных к ним;</w:t>
      </w:r>
    </w:p>
    <w:p w14:paraId="62CAB82B" w14:textId="2B488B0B" w:rsidR="0033479A" w:rsidRPr="0033479A" w:rsidRDefault="0033479A" w:rsidP="0033479A">
      <w:pPr>
        <w:pStyle w:val="SingleTxtG"/>
        <w:rPr>
          <w:b/>
          <w:bCs/>
        </w:rPr>
      </w:pPr>
      <w:r w:rsidRPr="0033479A">
        <w:rPr>
          <w:b/>
          <w:bCs/>
        </w:rPr>
        <w:tab/>
        <w:t>d)</w:t>
      </w:r>
      <w:r w:rsidRPr="0033479A">
        <w:rPr>
          <w:b/>
          <w:bCs/>
        </w:rPr>
        <w:tab/>
        <w:t xml:space="preserve">обеспечивать применение уголовного наказания не только к должностным лицам, непосредственно совершающим акты пыток, но и к тем, кто «дает согласие» на них или «попустительствует» им. </w:t>
      </w:r>
    </w:p>
    <w:p w14:paraId="16083BAA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Определение в конкретном законодательном акте</w:t>
      </w:r>
    </w:p>
    <w:p w14:paraId="54E5ADC4" w14:textId="1B9C452F" w:rsidR="0033479A" w:rsidRPr="004754D9" w:rsidRDefault="0033479A" w:rsidP="0033479A">
      <w:pPr>
        <w:pStyle w:val="SingleTxtG"/>
      </w:pPr>
      <w:r>
        <w:t>11.</w:t>
      </w:r>
      <w:r>
        <w:tab/>
        <w:t>Комитет обеспокоен наличием значительных пробелов даже в тех случаях, когда конкретные законодательные акты содержат применимое в конкретной области определение пытки, в частности определение пытки, содержащееся в статье</w:t>
      </w:r>
      <w:r w:rsidR="00442935">
        <w:rPr>
          <w:lang w:val="en-US"/>
        </w:rPr>
        <w:t> </w:t>
      </w:r>
      <w:r>
        <w:t xml:space="preserve">66 </w:t>
      </w:r>
      <w:r>
        <w:lastRenderedPageBreak/>
        <w:t>Закона</w:t>
      </w:r>
      <w:r w:rsidR="00442935">
        <w:rPr>
          <w:lang w:val="en-US"/>
        </w:rPr>
        <w:t> </w:t>
      </w:r>
      <w:r>
        <w:t xml:space="preserve">№ 3 о Силах обороны Ботсваны от 2018 года. </w:t>
      </w:r>
      <w:proofErr w:type="gramStart"/>
      <w:r>
        <w:t>Среди прочего,</w:t>
      </w:r>
      <w:proofErr w:type="gramEnd"/>
      <w:r>
        <w:t xml:space="preserve"> это определение предусматривает, что действия, которые в противном случае квалифицировались бы как пытка, не подпадают под это определение, если они выражаются в том, что называется «разумными действиями, предпринятыми в целях обучения и поддержания дисциплины»; и предусматривает наказание, которое может сводиться просто к незначительному штрафу. Это противоречит обязательствам государства-участника по Конвенции (статьи 1 и 4). </w:t>
      </w:r>
    </w:p>
    <w:p w14:paraId="0A481D36" w14:textId="67F41C95" w:rsidR="0033479A" w:rsidRPr="004754D9" w:rsidRDefault="0033479A" w:rsidP="0033479A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Государству-участнику следует принять поправки, которые приведут определение, содержащееся в статье 66 Закона № 3 о Силах обороны Ботсваны от</w:t>
      </w:r>
      <w:r w:rsidR="00442935">
        <w:rPr>
          <w:b/>
          <w:bCs/>
          <w:lang w:val="en-US"/>
        </w:rPr>
        <w:t> </w:t>
      </w:r>
      <w:r>
        <w:rPr>
          <w:b/>
          <w:bCs/>
        </w:rPr>
        <w:t>2018 года, в соответствие с обязательствами государства-участника по Конвенции.</w:t>
      </w:r>
      <w:r>
        <w:t xml:space="preserve"> </w:t>
      </w:r>
    </w:p>
    <w:p w14:paraId="0B954E67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Другие требования, связанные с пытками</w:t>
      </w:r>
    </w:p>
    <w:p w14:paraId="79ED7837" w14:textId="51C9C802" w:rsidR="0033479A" w:rsidRPr="004754D9" w:rsidRDefault="0033479A" w:rsidP="0033479A">
      <w:pPr>
        <w:pStyle w:val="SingleTxtG"/>
      </w:pPr>
      <w:r>
        <w:t>13.</w:t>
      </w:r>
      <w:r>
        <w:tab/>
        <w:t xml:space="preserve">Комитет отмечает, что в дополнение к установлению обязательства для государств криминализировать пытки, Конвенция предусматривает ряд других элементов, которые государства-участники должны учитывать, чтобы соответствовать Конвенции. Эти элементы включают следующие требования: устанавливать юрисдикцию в отношении преступления пытки в любой ситуации, когда предполагаемый преступник находится на его территории, даже если соответствующие действия были совершены за пределами территории государства-участника и ни преступник, ни кто-либо из жертв не являются гражданами государства-участника; рассматривать пытки как преступление, в отношении которого приказ вышестоящего начальника или представителя государственной власти не может служить оправданием пыток; обеспечивать, чтобы попытки совершения пыток, представляющие собой соучастие или участие, также являлись преступлениями по уголовному законодательству государства-участника; и обеспечивать наличие законодательства, в соответствии с которым государство-участник, на территории которого находится лицо, предположительно совершившее пытки, может и будет, если оно не выдает это лицо, передавать дело своим компетентным органам для целей судебного преследования. Общее законодательство того типа, на которое государство-участник ссылалось как на доступное для преследования актов пыток </w:t>
      </w:r>
      <w:r w:rsidR="000C55DE" w:rsidRPr="000C55DE">
        <w:t>—</w:t>
      </w:r>
      <w:r>
        <w:t xml:space="preserve"> например, возможность преследования лиц, совершивших не вызванное необходимостью насилие в отношении задержанных в соответствии с Законом о полиции, или возможность судебного преследования за нападения по Уголовному кодексу</w:t>
      </w:r>
      <w:r w:rsidR="00D11F7E" w:rsidRPr="00BE3F90">
        <w:t>,</w:t>
      </w:r>
      <w:r>
        <w:t xml:space="preserve"> </w:t>
      </w:r>
      <w:r w:rsidR="000C55DE" w:rsidRPr="000C55DE">
        <w:t>—</w:t>
      </w:r>
      <w:r>
        <w:t xml:space="preserve"> не</w:t>
      </w:r>
      <w:r w:rsidR="000C55DE">
        <w:rPr>
          <w:lang w:val="en-US"/>
        </w:rPr>
        <w:t> </w:t>
      </w:r>
      <w:r>
        <w:t>будет отвечать этим другим требованиям. Таким образом, опора на указанные государством-участником общие нормативно-правовые акты оставляет значительные пробелы между законодательством государства-участника и требованиями, предъявляемыми к нему Конвенцией (статьи 1, 2 (3) и 5</w:t>
      </w:r>
      <w:r w:rsidR="000C55DE" w:rsidRPr="000C55DE">
        <w:t>–</w:t>
      </w:r>
      <w:r>
        <w:t>9).</w:t>
      </w:r>
    </w:p>
    <w:p w14:paraId="2629DC07" w14:textId="60CEFBEA" w:rsidR="0033479A" w:rsidRPr="004754D9" w:rsidRDefault="0033479A" w:rsidP="0033479A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настоятельно призывает государство-участник пересмотреть свое национальное законодательство для обеспечения того, чтобы, помимо соответствия определению в статье 1, его отношение к преступлению пытки во всех отношениях соответствовало требованиям Конвенции в соответствии со статьями 2 (3) и 5</w:t>
      </w:r>
      <w:r w:rsidR="000C55DE" w:rsidRPr="000C55DE">
        <w:rPr>
          <w:b/>
          <w:bCs/>
        </w:rPr>
        <w:t>–</w:t>
      </w:r>
      <w:r>
        <w:rPr>
          <w:b/>
          <w:bCs/>
        </w:rPr>
        <w:t>9.</w:t>
      </w:r>
      <w:r>
        <w:t xml:space="preserve"> </w:t>
      </w:r>
    </w:p>
    <w:p w14:paraId="2EEAD0BC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Оговорка к Конвенции</w:t>
      </w:r>
    </w:p>
    <w:p w14:paraId="01568E1F" w14:textId="03B27948" w:rsidR="0033479A" w:rsidRPr="004754D9" w:rsidRDefault="0033479A" w:rsidP="0033479A">
      <w:pPr>
        <w:pStyle w:val="SingleTxtG"/>
      </w:pPr>
      <w:r>
        <w:t>15.</w:t>
      </w:r>
      <w:r>
        <w:tab/>
        <w:t>Комитет серьезно обеспокоен оговоркой государства-участника к Конвенции, в</w:t>
      </w:r>
      <w:r w:rsidR="00BE3F90">
        <w:rPr>
          <w:lang w:val="en-US"/>
        </w:rPr>
        <w:t> </w:t>
      </w:r>
      <w:r>
        <w:t xml:space="preserve">отношении которой государство-участник заявило, что считает себя связанным определением, закрепленным в статье 1 Конвенции, только в той мере, в какой оно отражает действия, запрещенные статьей 7 Конституции государства-участника. Статья 7 Конституции состоит из двух пунктов. В той мере, в какой оговорка относится к первому пункту статьи 7, она, как представляется, направлена на ограничение международно-правового обязательства государства-участника действиями, которые запрещены в соответствии с его толкованием слова «пытка» согласно его собственному национальному законодательству, а не пытками, как они определены в Конвенции. В той мере, в какой оговорка относится ко второму пункту статьи 7, она, как представляется, направлена на то, чтобы позволить государству-участнику совершать действия, определяемые как пытки в соответствии с Конвенцией, </w:t>
      </w:r>
      <w:r>
        <w:lastRenderedPageBreak/>
        <w:t xml:space="preserve">или даже пытки, как это слово толкуется в национальном законодательстве государства-участника, если такие действия были законными в качестве наказания в государстве-участнике на момент принятия его Конституции в 1966 году. Комитет также считает проблематичным объяснение государства-участника, согласно которому оно должно сохранить свою оговорку как необходимую для учета второго пункта статьи 7 Конституции, однако его оговорка относится как к первому, так и ко второму пунктам. Комитет далее считает особенно проблематичным выраженное государством-участником мнение, согласно которому отраженная в его оговорке формулировка ограничивает обязательство государства-участника запрещать пытки не только по Конвенции, но и по обычному международному праву (статья 1). </w:t>
      </w:r>
    </w:p>
    <w:p w14:paraId="7096FC39" w14:textId="77777777" w:rsidR="0033479A" w:rsidRPr="004754D9" w:rsidRDefault="0033479A" w:rsidP="0033479A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настоятельно призывает государство-участник в срочном порядке рассмотреть вопрос о снятии своей оговорки и пересмотреть мнение, которое Комитет считает несостоятельным и согласно которому оговорка ограничивает обязательство государства-участника запрещать пытки не только по Конвенции, но и по обычному международному праву.</w:t>
      </w:r>
    </w:p>
    <w:p w14:paraId="6B57030D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Основные правовые гарантии</w:t>
      </w:r>
    </w:p>
    <w:p w14:paraId="041D0821" w14:textId="77777777" w:rsidR="0033479A" w:rsidRPr="00C54A71" w:rsidRDefault="0033479A" w:rsidP="0033479A">
      <w:pPr>
        <w:pStyle w:val="SingleTxtG"/>
      </w:pPr>
      <w:r>
        <w:t>17.</w:t>
      </w:r>
      <w:r>
        <w:tab/>
        <w:t xml:space="preserve">Комитет приветствует усилия государства-участника по обеспечению того, чтобы задержанные лица пользовались на практике всеми основными правовыми гарантиями с самого начала их лишения свободы. Все лица, лишенные свободы, должны быть проинформированы о причине их ареста и характере предъявленных им обвинений. Им также должно быть предоставлено право уведомить члена семьи или других соответствующих лиц по их выбору о своем аресте, задержании или заключении, или о своем переводе и о месте, где они содержатся. Кроме того, им должно быть предоставлено право запрашивать и проходить независимое и конфиденциальное медицинское обследование бесплатно или у врача по их выбору и по их просьбе; и право на незамедлительную помощь адвоката и получение бесплатной правовой помощи в случае необходимости на всех стадиях процесса. Комитет обеспокоен тем, что бесплатная правовая помощь оказывается государством-участником только в отношении преступлений, караемых смертной казнью (статья 2). </w:t>
      </w:r>
    </w:p>
    <w:p w14:paraId="68CD9DF2" w14:textId="77777777" w:rsidR="0033479A" w:rsidRPr="004754D9" w:rsidRDefault="0033479A" w:rsidP="0033479A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настоятельно призывает государство-участник приступить к пересмотру Закона о правовой помощи, с тем чтобы обеспечивать всем лицам бесплатную правовую помощь со стороны государства-участника по всем тяжким преступлениям.</w:t>
      </w:r>
      <w:r>
        <w:t xml:space="preserve"> </w:t>
      </w:r>
    </w:p>
    <w:p w14:paraId="33314374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Положения о сроке исковой давности</w:t>
      </w:r>
      <w:r>
        <w:t xml:space="preserve"> </w:t>
      </w:r>
    </w:p>
    <w:p w14:paraId="03F57A42" w14:textId="1E0DDC20" w:rsidR="0033479A" w:rsidRPr="004754D9" w:rsidRDefault="0033479A" w:rsidP="0033479A">
      <w:pPr>
        <w:pStyle w:val="SingleTxtG"/>
      </w:pPr>
      <w:r>
        <w:t>19.</w:t>
      </w:r>
      <w:r>
        <w:tab/>
        <w:t xml:space="preserve">Комитет выражает признательность государству-участнику за информацию о сроке давности в 20 лет, который применяется к актам пыток в рамках уголовного судопроизводства, и в </w:t>
      </w:r>
      <w:r w:rsidR="001B6241" w:rsidRPr="000C0ACF">
        <w:t>3</w:t>
      </w:r>
      <w:r>
        <w:t xml:space="preserve"> года, который применяется в рамках гражданского судопроизводства в соответствии с Законом об исковой давности. Комитет считает, что применение срока давности в принципе несовместимо с обязательствами государств-участников по Конвенции и чревато созданием ситуаций безнаказанности. Он особенно обеспокоен положением Закона об исковой давности и связанным с ним риском, отмеченным в Замечании общего порядка № 3 (2012) Комитета, лишить жертв положенных им по статье 14 Конвенции возмещения, компенсации и реабилитации.</w:t>
      </w:r>
    </w:p>
    <w:p w14:paraId="7B5FE388" w14:textId="77777777" w:rsidR="0033479A" w:rsidRPr="004754D9" w:rsidRDefault="0033479A" w:rsidP="0033479A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Государству-участнику следует обеспечить, чтобы никакой срок давности на преступление пытки не распространялся, с тем чтобы исключить любой риск безнаказанности в отношении расследования актов пыток и преследования и наказания виновных, а также обеспечить, чтобы жертвы пыток не были лишены своих прав на возмещение ущерба, компенсацию и реабилитацию.</w:t>
      </w:r>
    </w:p>
    <w:p w14:paraId="28A8C308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14:paraId="6D4ECFA9" w14:textId="77777777" w:rsidR="0033479A" w:rsidRPr="004754D9" w:rsidRDefault="0033479A" w:rsidP="0033479A">
      <w:pPr>
        <w:pStyle w:val="SingleTxtG"/>
      </w:pPr>
      <w:r>
        <w:t>21.</w:t>
      </w:r>
      <w:r>
        <w:tab/>
        <w:t xml:space="preserve">Комитет приветствует поправки о создании института Омбудсмена в качестве национального правозащитного учреждения путем расширения мандата и возможностей Омбудсмена в отношении поощрения и защиты прав человека, включая права, защищаемые Конвенцией. Признавая, что этот институт еще не получил </w:t>
      </w:r>
      <w:r>
        <w:lastRenderedPageBreak/>
        <w:t xml:space="preserve">рейтинг от Глобального альянса национальных правозащитных учреждений, Комитет выражает обеспокоенность сообщениями о том, что Закон об Омбудсмене с внесенными в него поправками в недостаточной степени обеспечивает участие гражданского общества в назначении должностных лиц национального правозащитного учреждения и не полностью соответствует принципам, касающимся статуса национальных учреждений, занимающихся поощрением и защитой прав человека (Парижские принципы). Высказывалась также озабоченность по поводу того, что предусмотренного поправками расширения его мандата и укрепления его потенциала на практике еще не произошло, в частности по поводу того, что представители национального правозащитного учреждения на деле не смогут посещать все места содержания под стражей (статья 2). </w:t>
      </w:r>
    </w:p>
    <w:p w14:paraId="03818AB9" w14:textId="77777777" w:rsidR="0033479A" w:rsidRPr="004754D9" w:rsidRDefault="0033479A" w:rsidP="0033479A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Государству-участнику следует принять незамедлительные меры для обеспечения того, чтобы мандат и потенциал национального правозащитного учреждения полностью отражали Парижские принципы, а также обеспечить выделение достаточных финансовых и людских ресурсов для того, чтобы оно могло независимо и эффективно выполнять свой расширенный мандат в качестве национального правозащитного учреждения, в том числе путем использования региональных отделений.</w:t>
      </w:r>
      <w:r>
        <w:t xml:space="preserve"> </w:t>
      </w:r>
      <w:r>
        <w:rPr>
          <w:b/>
          <w:bCs/>
        </w:rPr>
        <w:t>Кроме того, Комитет выносит следующие рекомендации:</w:t>
      </w:r>
    </w:p>
    <w:p w14:paraId="1BB3864B" w14:textId="77777777" w:rsidR="0033479A" w:rsidRPr="000C55DE" w:rsidRDefault="0033479A" w:rsidP="0033479A">
      <w:pPr>
        <w:pStyle w:val="SingleTxtG"/>
        <w:rPr>
          <w:b/>
          <w:bCs/>
        </w:rPr>
      </w:pPr>
      <w:r>
        <w:tab/>
      </w:r>
      <w:r w:rsidRPr="000C55DE">
        <w:rPr>
          <w:b/>
          <w:bCs/>
        </w:rPr>
        <w:t>a)</w:t>
      </w:r>
      <w:r w:rsidRPr="000C55DE">
        <w:rPr>
          <w:b/>
          <w:bCs/>
        </w:rPr>
        <w:tab/>
        <w:t>государству-участнику следует обеспечить проведение всесторонних консультаций с гражданским обществом и его участие в процессе назначения должностных лиц национального правозащитного учреждения;</w:t>
      </w:r>
    </w:p>
    <w:p w14:paraId="5133AFBB" w14:textId="77777777" w:rsidR="0033479A" w:rsidRPr="000C55DE" w:rsidRDefault="0033479A" w:rsidP="0033479A">
      <w:pPr>
        <w:pStyle w:val="SingleTxtG"/>
        <w:rPr>
          <w:b/>
          <w:bCs/>
        </w:rPr>
      </w:pPr>
      <w:r w:rsidRPr="000C55DE">
        <w:rPr>
          <w:b/>
          <w:bCs/>
        </w:rPr>
        <w:tab/>
        <w:t>b)</w:t>
      </w:r>
      <w:r w:rsidRPr="000C55DE">
        <w:rPr>
          <w:b/>
          <w:bCs/>
        </w:rPr>
        <w:tab/>
        <w:t xml:space="preserve">мандат национального правозащитного учреждения должен включать в себя четкие полномочия на проведение необъявленных посещений любых мест на территории государства-участника, в которых любые лица лишены или могут быть лишены свободы; </w:t>
      </w:r>
    </w:p>
    <w:p w14:paraId="46E97386" w14:textId="723778B0" w:rsidR="0033479A" w:rsidRPr="000C55DE" w:rsidRDefault="0033479A" w:rsidP="0033479A">
      <w:pPr>
        <w:pStyle w:val="SingleTxtG"/>
        <w:rPr>
          <w:b/>
          <w:bCs/>
        </w:rPr>
      </w:pPr>
      <w:r w:rsidRPr="000C55DE">
        <w:rPr>
          <w:b/>
          <w:bCs/>
        </w:rPr>
        <w:tab/>
        <w:t>c)</w:t>
      </w:r>
      <w:r w:rsidRPr="000C55DE">
        <w:rPr>
          <w:b/>
          <w:bCs/>
        </w:rPr>
        <w:tab/>
        <w:t>государству-участнику следует незамедлительно принять практические меры по расширению мандата и укреплению потенциала национального правозащитного учреждения, в том числе путем выделения всех необходимых финансовых средств и использования региональных отделений, а</w:t>
      </w:r>
      <w:r w:rsidR="000C0ACF">
        <w:rPr>
          <w:b/>
          <w:bCs/>
          <w:lang w:val="en-US"/>
        </w:rPr>
        <w:t> </w:t>
      </w:r>
      <w:r w:rsidRPr="000C55DE">
        <w:rPr>
          <w:b/>
          <w:bCs/>
        </w:rPr>
        <w:t>также четко предусмотреть отдельную статью бюджета, чтобы обеспечить финансовую автономию национального правозащитного учреждения;</w:t>
      </w:r>
    </w:p>
    <w:p w14:paraId="0501A650" w14:textId="77777777" w:rsidR="0033479A" w:rsidRPr="000C55DE" w:rsidRDefault="0033479A" w:rsidP="0033479A">
      <w:pPr>
        <w:pStyle w:val="SingleTxtG"/>
        <w:rPr>
          <w:b/>
          <w:bCs/>
        </w:rPr>
      </w:pPr>
      <w:r w:rsidRPr="000C55DE">
        <w:rPr>
          <w:b/>
          <w:bCs/>
        </w:rPr>
        <w:tab/>
        <w:t>d)</w:t>
      </w:r>
      <w:r w:rsidRPr="000C55DE">
        <w:rPr>
          <w:b/>
          <w:bCs/>
        </w:rPr>
        <w:tab/>
        <w:t xml:space="preserve">государству-участнику следует обратиться за технической поддержкой и помощью и консультациями в вопросах наращивания потенциала, в частности в Управление Верховного комиссара Организации Объединенных Наций по правам человека. </w:t>
      </w:r>
    </w:p>
    <w:p w14:paraId="2B55FB3E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Смертная казнь</w:t>
      </w:r>
    </w:p>
    <w:p w14:paraId="1C944B7F" w14:textId="77777777" w:rsidR="0033479A" w:rsidRPr="004754D9" w:rsidRDefault="0033479A" w:rsidP="0033479A">
      <w:pPr>
        <w:pStyle w:val="SingleTxtG"/>
      </w:pPr>
      <w:r>
        <w:t>23.</w:t>
      </w:r>
      <w:r>
        <w:tab/>
        <w:t xml:space="preserve">Выражая признательность за полученную от государства-участника информацию о том, что вопрос о смертной казни является предметом постоянных обсуждений и что ожидаются дальнейшие публичные дискуссии, в том числе в контексте конституционного обзора, Комитет с обеспокоенностью отмечает, что государство-участник продолжает применять смертную казнь, включая практику обязательных смертных приговоров, что не соответствует требованию международного права, предусматривающему в случае определенных преступлений возможность индивидуального рассмотрения обстоятельств, касающихся того или иного лица. Комитет выражает крайнюю обеспокоенность не только по поводу продолжающегося применения смертной казни как таковой, но и по поводу того, как приводятся в исполнение смертные приговоры, что само по себе является жестоким, бесчеловечным или унижающим достоинство обращением. Комитет отмечает, что смертные приговоры приводятся в исполнение без предварительного уведомления о дате и времени исполнения ни лиц, ожидающих смертной казни, ни их родственников или представителей, в результате чего сами лица никогда не знают, когда именно они будут казнены, а сами лица и их родственники не могут встретиться в последний раз. Жестокость ситуации еще больше усугубляется тем, что в качестве метода казни до сих пор применяется повешение, а тела казненных не передаются их семьям для </w:t>
      </w:r>
      <w:r>
        <w:lastRenderedPageBreak/>
        <w:t xml:space="preserve">захоронения. В этой связи Комитет отмечает, что в 2019 году Африканский суд по правам человека и народов установил, что обстоятельства, связанные с такими казнями, и тот факт, что казнят по-прежнему путем повешения, неизбежно представляют собой посягательство на достоинство в свете запрета пыток и жестокого, бесчеловечного и унижающего достоинство обращения (статьи 2, 11 и 16). </w:t>
      </w:r>
    </w:p>
    <w:p w14:paraId="0021160A" w14:textId="77777777" w:rsidR="0033479A" w:rsidRPr="004754D9" w:rsidRDefault="0033479A" w:rsidP="0033479A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настоятельно призывает государство-участник в приоритетном порядке принять во внимание эти озабоченности.</w:t>
      </w:r>
      <w:r>
        <w:t xml:space="preserve"> </w:t>
      </w:r>
      <w:r>
        <w:rPr>
          <w:b/>
          <w:bCs/>
        </w:rPr>
        <w:t>Он далее настоятельно призывает государство-участник отменить все уже вынесенные смертные приговоры, заменив их иной мерой наказания, и ввести мораторий на смертную казнь с целью ее отмены, обеспечив при этом, чтобы условия содержания осужденных заключенных не представляли собой жестокое, бесчеловечное или унижающее достоинство обращение.</w:t>
      </w:r>
      <w:r>
        <w:t xml:space="preserve"> </w:t>
      </w:r>
    </w:p>
    <w:p w14:paraId="10573B61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Телесные наказания</w:t>
      </w:r>
      <w:r>
        <w:t xml:space="preserve"> </w:t>
      </w:r>
    </w:p>
    <w:p w14:paraId="7D8D9F20" w14:textId="77777777" w:rsidR="0033479A" w:rsidRPr="004754D9" w:rsidRDefault="0033479A" w:rsidP="0033479A">
      <w:pPr>
        <w:pStyle w:val="SingleTxtG"/>
      </w:pPr>
      <w:r>
        <w:t>25.</w:t>
      </w:r>
      <w:r>
        <w:tab/>
        <w:t>Комитет обеспокоен тем, что телесные наказания остаются законными при различных обстоятельствах на территории государства-участника. Речь идет об их применении против детей дома; в качестве одного из методов поддержания дисциплины в школах; в процессе отправления правосудия, в том числе посредством наказания розгами, предусмотренного в статье 28 Уголовного кодекса и статье 305 Закона об уголовном судопроизводстве и доказательствах; в форме наказания розгами, как это практикуется в судах обычного права; и на основании правовых положений статей 27 и 61 Закона о детях. Комитет также с обеспокоенностью отмечает, что поправка к Закону об образовании 1968 года допускает телесные наказания в школе при определенных обстоятельствах. Кроме того, Законом о тюрьмах устанавливается, что телесные наказания, такие как наказание розгами, являются дисциплинарной мерой. Кроме того, законодательство государства-участника по-прежнему допускает использование в местах лишения свободы сокращенного рациона питания в качестве дисциплинарной меры, несмотря на правило 43 Минимальных стандартных правил обращения с заключенными Организации Объединенных Наций (Правила Нельсона Манделы) (статьи 11 и 16).</w:t>
      </w:r>
    </w:p>
    <w:p w14:paraId="3D1E813F" w14:textId="77777777" w:rsidR="0033479A" w:rsidRPr="004754D9" w:rsidRDefault="0033479A" w:rsidP="0033479A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призывает государство-участник ввести однозначный запрет на телесные наказания при любых обстоятельствах и принять любой национальный нормативно-правовой акт, необходимый для недопущения телесных наказаний.</w:t>
      </w:r>
      <w:r>
        <w:t xml:space="preserve"> </w:t>
      </w:r>
      <w:r>
        <w:rPr>
          <w:b/>
          <w:bCs/>
        </w:rPr>
        <w:t>Комитет рекомендует государству-участнику при пересмотре законопроекта об образовании и профессиональной подготовке исключить любые ссылки на допустимые наказания, чтобы обеспечить запрет телесных наказаний в школе без каких-либо исключений.</w:t>
      </w:r>
      <w:r>
        <w:t xml:space="preserve"> </w:t>
      </w:r>
      <w:r>
        <w:rPr>
          <w:b/>
          <w:bCs/>
        </w:rPr>
        <w:t>Комитет также призывает государство-участник немедленно отказаться от сокращения рациона питания в качестве дисциплинарной меры при любых обстоятельствах.</w:t>
      </w:r>
    </w:p>
    <w:p w14:paraId="56512C38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Случаи смерти в местах содержания под стражей</w:t>
      </w:r>
    </w:p>
    <w:p w14:paraId="031A547D" w14:textId="77777777" w:rsidR="0033479A" w:rsidRPr="004754D9" w:rsidRDefault="0033479A" w:rsidP="0033479A">
      <w:pPr>
        <w:pStyle w:val="SingleTxtG"/>
      </w:pPr>
      <w:r>
        <w:t>27.</w:t>
      </w:r>
      <w:r>
        <w:tab/>
        <w:t>Принимая к сведению предоставленную государством-участником информацию о том, что все случаи смерти в полицейских изоляторах расследуются в соответствии с законом государства-участника о дознании, Комитет, тем не менее, обеспокоен большим количеством смертей в местах содержания под стражей, большинство из которых, как сообщается, наступают в результате самоповешения (статьи 2, 11 и 16).</w:t>
      </w:r>
    </w:p>
    <w:p w14:paraId="2427E15B" w14:textId="77777777" w:rsidR="0033479A" w:rsidRPr="004754D9" w:rsidRDefault="0033479A" w:rsidP="0033479A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 xml:space="preserve">Государству-участнику следует обеспечивать, чтобы все случаи смерти в местах содержания под стражей оперативно и беспристрастно расследовались независимым </w:t>
      </w:r>
      <w:proofErr w:type="gramStart"/>
      <w:r>
        <w:rPr>
          <w:b/>
          <w:bCs/>
        </w:rPr>
        <w:t>органом</w:t>
      </w:r>
      <w:proofErr w:type="gramEnd"/>
      <w:r>
        <w:rPr>
          <w:b/>
          <w:bCs/>
        </w:rPr>
        <w:t xml:space="preserve"> и чтобы, при необходимости, применялись соответствующие санкции.</w:t>
      </w:r>
      <w:r>
        <w:t xml:space="preserve"> </w:t>
      </w:r>
      <w:r>
        <w:rPr>
          <w:b/>
          <w:bCs/>
        </w:rPr>
        <w:t>Государству-участнику следует также заново оценить эффективность стратегий и программ по предотвращению самоубийств и членовредительства.</w:t>
      </w:r>
    </w:p>
    <w:p w14:paraId="28FD1E67" w14:textId="77777777" w:rsidR="0033479A" w:rsidRPr="004754D9" w:rsidRDefault="0033479A" w:rsidP="0033479A">
      <w:pPr>
        <w:pStyle w:val="H23G"/>
      </w:pPr>
      <w:r>
        <w:lastRenderedPageBreak/>
        <w:tab/>
      </w:r>
      <w:r>
        <w:tab/>
      </w:r>
      <w:r>
        <w:rPr>
          <w:bCs/>
        </w:rPr>
        <w:t>Суды обычного права</w:t>
      </w:r>
    </w:p>
    <w:p w14:paraId="118424B2" w14:textId="6FAA8779" w:rsidR="0033479A" w:rsidRPr="004754D9" w:rsidRDefault="0033479A" w:rsidP="0033479A">
      <w:pPr>
        <w:pStyle w:val="SingleTxtG"/>
      </w:pPr>
      <w:r>
        <w:t>29.</w:t>
      </w:r>
      <w:r>
        <w:tab/>
        <w:t>Комитет принимает к сведению представленную государством-участником информацию о том, что система судов обычного права регулируется в иерархическом порядке вместе с системой магистратских судов, как это установлено Конституцией и законом, и что дела могут передаваться из судов обычного права в магистратские суды, тем не менее он обеспокоен тем, что суды обычного права не работают в полном соответствии с международными стандартами в области прав человека, в том числе не предусматривают участие адвокатов и не передают автоматически дела, которые могут повлечь серьезные санкции, в магистратские суды (статья 2).</w:t>
      </w:r>
    </w:p>
    <w:p w14:paraId="15807AE3" w14:textId="77777777" w:rsidR="0033479A" w:rsidRPr="004754D9" w:rsidRDefault="0033479A" w:rsidP="0033479A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 xml:space="preserve">Комитет настоятельно призывает государство-участник принять необходимые меры для обеспечения того, чтобы во всех случаях суды обычного права действовали в полном соответствии с обязательствами государства-участника по </w:t>
      </w:r>
      <w:proofErr w:type="gramStart"/>
      <w:r>
        <w:rPr>
          <w:b/>
          <w:bCs/>
        </w:rPr>
        <w:t>Конвенции</w:t>
      </w:r>
      <w:proofErr w:type="gramEnd"/>
      <w:r>
        <w:rPr>
          <w:b/>
          <w:bCs/>
        </w:rPr>
        <w:t xml:space="preserve"> и чтобы в случае возникновения вопросов относительно способности судов обычного права делать это, такие дела автоматически передавались в систему магистратских судов.</w:t>
      </w:r>
      <w:r>
        <w:t xml:space="preserve"> </w:t>
      </w:r>
    </w:p>
    <w:p w14:paraId="7CF70F1B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Признания, полученные с применением пыток или жестокого обращения</w:t>
      </w:r>
    </w:p>
    <w:p w14:paraId="2D0B8B4D" w14:textId="5E6F5F93" w:rsidR="0033479A" w:rsidRPr="004754D9" w:rsidRDefault="0033479A" w:rsidP="0033479A">
      <w:pPr>
        <w:pStyle w:val="SingleTxtG"/>
      </w:pPr>
      <w:r>
        <w:t>31.</w:t>
      </w:r>
      <w:r>
        <w:tab/>
        <w:t>Комитет отмечает, что Закон об уголовном судопроизводстве и доказательствах гласит, что признания, полученные под пытками, являются недопустимыми (статьи</w:t>
      </w:r>
      <w:r w:rsidR="002B596C">
        <w:rPr>
          <w:lang w:val="en-US"/>
        </w:rPr>
        <w:t> </w:t>
      </w:r>
      <w:r>
        <w:t xml:space="preserve">228 и 231). Однако он обеспокоен сообщениями о чрезмерном применении силы полицией в отношении подозреваемых для получения признаний. Он также отмечает, что статьи 228 и 231 не предусматривают, по крайней мере на первый взгляд, автоматического признания неприемлемыми тех заявлений, которые не представляют собой признание (статья 15). </w:t>
      </w:r>
    </w:p>
    <w:p w14:paraId="2EEBD2A1" w14:textId="21F51582" w:rsidR="0033479A" w:rsidRPr="004754D9" w:rsidRDefault="0033479A" w:rsidP="0033479A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Комитет настоятельно призывает государство-участник пересмотреть свое законодательство с целью обеспечения того, чтобы любое заявление, независимо от того, представляет ли оно собой признание, сделанное под пытками, не</w:t>
      </w:r>
      <w:r w:rsidR="00B70E4A">
        <w:rPr>
          <w:b/>
          <w:bCs/>
          <w:lang w:val="en-US"/>
        </w:rPr>
        <w:t> </w:t>
      </w:r>
      <w:r>
        <w:rPr>
          <w:b/>
          <w:bCs/>
        </w:rPr>
        <w:t>использовалось в качестве доказательства в ходе любого разбирательства, за исключением случаев, когда оно используется против лица, обвиняемого в применении пыток, в качестве доказательства того, что это заявление было сделано.</w:t>
      </w:r>
      <w:r>
        <w:t xml:space="preserve"> </w:t>
      </w:r>
      <w:r>
        <w:rPr>
          <w:b/>
          <w:bCs/>
        </w:rPr>
        <w:t xml:space="preserve">Он также призывает государство-участник внимательно изучить Принципы эффективного ведения опроса в ходе расследования и сбора информации (Принципы </w:t>
      </w:r>
      <w:proofErr w:type="spellStart"/>
      <w:r>
        <w:rPr>
          <w:b/>
          <w:bCs/>
        </w:rPr>
        <w:t>Мендеса</w:t>
      </w:r>
      <w:proofErr w:type="spellEnd"/>
      <w:r>
        <w:rPr>
          <w:b/>
          <w:bCs/>
        </w:rPr>
        <w:t>) и обеспечивать расследование и, в случае необходимости, судебное преследование любого лица, применяющего пытки в попытке получить признание или другое заявление.</w:t>
      </w:r>
    </w:p>
    <w:p w14:paraId="27FC332C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Условия содержания под стражей</w:t>
      </w:r>
    </w:p>
    <w:p w14:paraId="1143D9CE" w14:textId="19499481" w:rsidR="0033479A" w:rsidRPr="004754D9" w:rsidRDefault="0033479A" w:rsidP="0033479A">
      <w:pPr>
        <w:pStyle w:val="SingleTxtG"/>
      </w:pPr>
      <w:r>
        <w:t>33.</w:t>
      </w:r>
      <w:r>
        <w:tab/>
        <w:t>Комитет принимает к сведению меры, принятые государством-участником для сокращения числа заключенных, в том числе путем предоставления альтернатив предварительному заключению. Тем не менее переполненность тюрем остается серьезной проблемой и приводит к ухудшению условий содержания заключенных. Комитет также обеспокоен содержанием осужденных заключенных наряду с лицами, находящимися под стражей в ожидании суда. Комитет принимает к сведению представленную государством-участником информацию о том, что в тюрьмах реализуются программы профессионально-технической подготовки и содержательные мероприятия, направленные на реабилитацию, хотя имеются сообщения о том, что задержанных лиц запирают примерно с 16.30 до следующего утра. Комитет также обеспокоен отсутствием программ, направленных на борьбу с наркотической зависимостью в тюрьмах. Наконец, Комитет обеспокоен ограничением контактов лиц, лишенных свободы, с внешним миром, в результате чего каждые четыре недели допускается лишь 20 минут общения (статьи 11 и 16).</w:t>
      </w:r>
    </w:p>
    <w:p w14:paraId="73077DDD" w14:textId="77777777" w:rsidR="0033479A" w:rsidRPr="004754D9" w:rsidRDefault="0033479A" w:rsidP="0033479A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призывает государство-участник:</w:t>
      </w:r>
      <w:r>
        <w:t xml:space="preserve"> </w:t>
      </w:r>
    </w:p>
    <w:p w14:paraId="017472D0" w14:textId="77777777" w:rsidR="0033479A" w:rsidRPr="0055476E" w:rsidRDefault="0033479A" w:rsidP="0033479A">
      <w:pPr>
        <w:pStyle w:val="SingleTxtG"/>
        <w:rPr>
          <w:b/>
          <w:bCs/>
        </w:rPr>
      </w:pPr>
      <w:r w:rsidRPr="0055476E">
        <w:rPr>
          <w:b/>
          <w:bCs/>
        </w:rPr>
        <w:tab/>
        <w:t>a)</w:t>
      </w:r>
      <w:r w:rsidRPr="0055476E">
        <w:rPr>
          <w:b/>
          <w:bCs/>
        </w:rPr>
        <w:tab/>
        <w:t>активизировать усилия по приведению условий содержания под стражей в соответствие с Правилами Нельсона Манделы;</w:t>
      </w:r>
    </w:p>
    <w:p w14:paraId="6B653BD9" w14:textId="5DB1DD0E" w:rsidR="0033479A" w:rsidRPr="0055476E" w:rsidRDefault="0033479A" w:rsidP="0033479A">
      <w:pPr>
        <w:pStyle w:val="SingleTxtG"/>
        <w:rPr>
          <w:b/>
          <w:bCs/>
        </w:rPr>
      </w:pPr>
      <w:r w:rsidRPr="0055476E">
        <w:rPr>
          <w:b/>
          <w:bCs/>
        </w:rPr>
        <w:lastRenderedPageBreak/>
        <w:tab/>
        <w:t>b)</w:t>
      </w:r>
      <w:r w:rsidRPr="0055476E">
        <w:rPr>
          <w:b/>
          <w:bCs/>
        </w:rPr>
        <w:tab/>
        <w:t>предпринимать усилия по уменьшению переполненности пенитенциарных учреждений и других учреждений содержания под стражей, в</w:t>
      </w:r>
      <w:r w:rsidR="00AB3457">
        <w:rPr>
          <w:b/>
          <w:bCs/>
        </w:rPr>
        <w:t> </w:t>
      </w:r>
      <w:r w:rsidRPr="0055476E">
        <w:rPr>
          <w:b/>
          <w:bCs/>
        </w:rPr>
        <w:t>том числе путем применения мер наказания, не связанных с лишением свободы. В этой связи Комитет обращает внимание государства-участника на Минимальные стандартные правила Организации Объединенных Наций в отношении мер, не связанных с тюремным заключением (Токийские правила), и</w:t>
      </w:r>
      <w:r w:rsidR="00E733B9">
        <w:rPr>
          <w:b/>
          <w:bCs/>
        </w:rPr>
        <w:t> </w:t>
      </w:r>
      <w:r w:rsidRPr="0055476E">
        <w:rPr>
          <w:b/>
          <w:bCs/>
        </w:rPr>
        <w:t>Правила Организации Объединенных Наций, касающиеся обращения с женщинами-заключенными и мер наказания для женщин-правонарушителей, не</w:t>
      </w:r>
      <w:r w:rsidR="006770B0">
        <w:rPr>
          <w:b/>
          <w:bCs/>
        </w:rPr>
        <w:t> </w:t>
      </w:r>
      <w:r w:rsidRPr="0055476E">
        <w:rPr>
          <w:b/>
          <w:bCs/>
        </w:rPr>
        <w:t>связанных с лишением свободы (</w:t>
      </w:r>
      <w:proofErr w:type="spellStart"/>
      <w:r w:rsidRPr="0055476E">
        <w:rPr>
          <w:b/>
          <w:bCs/>
        </w:rPr>
        <w:t>Бангкокские</w:t>
      </w:r>
      <w:proofErr w:type="spellEnd"/>
      <w:r w:rsidRPr="0055476E">
        <w:rPr>
          <w:b/>
          <w:bCs/>
        </w:rPr>
        <w:t xml:space="preserve"> правила);</w:t>
      </w:r>
    </w:p>
    <w:p w14:paraId="25B5ED12" w14:textId="77777777" w:rsidR="0033479A" w:rsidRPr="0055476E" w:rsidRDefault="0033479A" w:rsidP="0033479A">
      <w:pPr>
        <w:pStyle w:val="SingleTxtG"/>
        <w:rPr>
          <w:b/>
          <w:bCs/>
        </w:rPr>
      </w:pPr>
      <w:r w:rsidRPr="0055476E">
        <w:rPr>
          <w:b/>
          <w:bCs/>
        </w:rPr>
        <w:tab/>
        <w:t>c)</w:t>
      </w:r>
      <w:r w:rsidRPr="0055476E">
        <w:rPr>
          <w:b/>
          <w:bCs/>
        </w:rPr>
        <w:tab/>
        <w:t xml:space="preserve">неукоснительно обеспечивать раздельное содержание следственно-арестованных и осужденных заключенных во всех местах содержания под стражей; </w:t>
      </w:r>
    </w:p>
    <w:p w14:paraId="4F548682" w14:textId="77777777" w:rsidR="0033479A" w:rsidRPr="0055476E" w:rsidRDefault="0033479A" w:rsidP="0033479A">
      <w:pPr>
        <w:pStyle w:val="SingleTxtG"/>
        <w:rPr>
          <w:b/>
          <w:bCs/>
        </w:rPr>
      </w:pPr>
      <w:r w:rsidRPr="0055476E">
        <w:rPr>
          <w:b/>
          <w:bCs/>
        </w:rPr>
        <w:tab/>
        <w:t>d)</w:t>
      </w:r>
      <w:r w:rsidRPr="0055476E">
        <w:rPr>
          <w:b/>
          <w:bCs/>
        </w:rPr>
        <w:tab/>
        <w:t>укреплять реабилитационные программы, включая специализированные программы для наркоманов, и выделять больше времени для проведения содержательных мероприятий;</w:t>
      </w:r>
    </w:p>
    <w:p w14:paraId="78B90130" w14:textId="77777777" w:rsidR="0033479A" w:rsidRPr="0055476E" w:rsidRDefault="0033479A" w:rsidP="0033479A">
      <w:pPr>
        <w:pStyle w:val="SingleTxtG"/>
        <w:rPr>
          <w:b/>
          <w:bCs/>
        </w:rPr>
      </w:pPr>
      <w:r w:rsidRPr="0055476E">
        <w:rPr>
          <w:b/>
          <w:bCs/>
        </w:rPr>
        <w:tab/>
        <w:t>e)</w:t>
      </w:r>
      <w:r w:rsidRPr="0055476E">
        <w:rPr>
          <w:b/>
          <w:bCs/>
        </w:rPr>
        <w:tab/>
        <w:t xml:space="preserve">обеспечить надлежащее количество обученного и квалифицированного тюремного персонала, включая медицинский персонал, для защиты от риска насилия между заключенными, включая сексуальное насилие; </w:t>
      </w:r>
    </w:p>
    <w:p w14:paraId="6C6F9814" w14:textId="77777777" w:rsidR="0033479A" w:rsidRPr="0055476E" w:rsidRDefault="0033479A" w:rsidP="0033479A">
      <w:pPr>
        <w:pStyle w:val="SingleTxtG"/>
        <w:rPr>
          <w:b/>
          <w:bCs/>
        </w:rPr>
      </w:pPr>
      <w:r w:rsidRPr="0055476E">
        <w:rPr>
          <w:b/>
          <w:bCs/>
        </w:rPr>
        <w:tab/>
        <w:t>f)</w:t>
      </w:r>
      <w:r w:rsidRPr="0055476E">
        <w:rPr>
          <w:b/>
          <w:bCs/>
        </w:rPr>
        <w:tab/>
        <w:t xml:space="preserve">увеличить время, отведенное для посещения задержанных членами семьи, принимая во внимание большие расстояния, которые преодолевают их семьи, и ту роль, которую свидания играют в процессах реабилитации. </w:t>
      </w:r>
    </w:p>
    <w:p w14:paraId="102A2B08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Недопустимость принудительного возвращения</w:t>
      </w:r>
      <w:r>
        <w:t xml:space="preserve"> </w:t>
      </w:r>
    </w:p>
    <w:p w14:paraId="3CC19DCF" w14:textId="77777777" w:rsidR="0033479A" w:rsidRPr="004754D9" w:rsidRDefault="0033479A" w:rsidP="0033479A">
      <w:pPr>
        <w:pStyle w:val="SingleTxtG"/>
      </w:pPr>
      <w:r>
        <w:t>35.</w:t>
      </w:r>
      <w:r>
        <w:tab/>
        <w:t xml:space="preserve">Комитет обеспокоен тем, что положения законодательства государства-участника, направленные на защиту от незаконной высылки лиц, как представляется, не применяются непосредственно к лицам, в отношении которых существуют серьезные основания, указывающие на то, что им может угрожать опасность подвергнуться пыткам. Он также выражает обеспокоенность по поводу отсутствия обучения сотрудников иммиграционных и пограничных служб по вопросам раннего выявления уязвимых лиц, а также по поводу того, насколько инициативно предоставляется информация об их праве на получение убежища, и далее выражает обеспокоенность по поводу того, что в процессе рассмотрения ходатайства о предоставлении статуса беженца не признается право на юридическое представительство, хотя это может быть исправлено в соответствии с законодательством, которое в настоящее время находится на рассмотрении. Кроме того, Комитет также обеспокоен неспособностью лиц принимать конструктивное участие в процессе принятия решений министром юстиции в отношении рекомендаций Консультативного комитета по делам беженцев или обжаловать решения в независимом органе (статья 3). </w:t>
      </w:r>
    </w:p>
    <w:p w14:paraId="6ACFE81C" w14:textId="77777777" w:rsidR="0033479A" w:rsidRPr="004754D9" w:rsidRDefault="0033479A" w:rsidP="0033479A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Государству-участнику следует:</w:t>
      </w:r>
    </w:p>
    <w:p w14:paraId="4508792D" w14:textId="77777777" w:rsidR="0033479A" w:rsidRPr="008A62EA" w:rsidRDefault="0033479A" w:rsidP="0033479A">
      <w:pPr>
        <w:pStyle w:val="SingleTxtG"/>
        <w:rPr>
          <w:b/>
          <w:bCs/>
        </w:rPr>
      </w:pPr>
      <w:r>
        <w:tab/>
      </w:r>
      <w:r w:rsidRPr="008A62EA">
        <w:rPr>
          <w:b/>
          <w:bCs/>
        </w:rPr>
        <w:t>a)</w:t>
      </w:r>
      <w:r w:rsidRPr="008A62EA">
        <w:rPr>
          <w:b/>
          <w:bCs/>
        </w:rPr>
        <w:tab/>
        <w:t xml:space="preserve">придавать в соответствии со статьей 3 Конвенции первостепенное значение соблюдению принципа </w:t>
      </w:r>
      <w:proofErr w:type="spellStart"/>
      <w:r w:rsidRPr="008A62EA">
        <w:rPr>
          <w:b/>
          <w:bCs/>
        </w:rPr>
        <w:t>невыдворения</w:t>
      </w:r>
      <w:proofErr w:type="spellEnd"/>
      <w:r w:rsidRPr="008A62EA">
        <w:rPr>
          <w:b/>
          <w:bCs/>
        </w:rPr>
        <w:t xml:space="preserve"> в отношении экстрадиции, предоставления убежища и высылки не имеющих документов мигрантов;</w:t>
      </w:r>
    </w:p>
    <w:p w14:paraId="711D88B0" w14:textId="77777777" w:rsidR="0033479A" w:rsidRPr="008A62EA" w:rsidRDefault="0033479A" w:rsidP="0033479A">
      <w:pPr>
        <w:pStyle w:val="SingleTxtG"/>
        <w:rPr>
          <w:b/>
          <w:bCs/>
        </w:rPr>
      </w:pPr>
      <w:r w:rsidRPr="008A62EA">
        <w:rPr>
          <w:b/>
          <w:bCs/>
        </w:rPr>
        <w:tab/>
        <w:t>b)</w:t>
      </w:r>
      <w:r w:rsidRPr="008A62EA">
        <w:rPr>
          <w:b/>
          <w:bCs/>
        </w:rPr>
        <w:tab/>
        <w:t>продолжить обучение сотрудников пограничных служб при поддержке международного сообщества, в частности УВКБ;</w:t>
      </w:r>
    </w:p>
    <w:p w14:paraId="1511C3DF" w14:textId="3063C282" w:rsidR="0033479A" w:rsidRPr="008A62EA" w:rsidRDefault="0033479A" w:rsidP="0033479A">
      <w:pPr>
        <w:pStyle w:val="SingleTxtG"/>
        <w:rPr>
          <w:b/>
          <w:bCs/>
        </w:rPr>
      </w:pPr>
      <w:r w:rsidRPr="008A62EA">
        <w:rPr>
          <w:b/>
          <w:bCs/>
        </w:rPr>
        <w:tab/>
        <w:t>c)</w:t>
      </w:r>
      <w:r w:rsidRPr="008A62EA">
        <w:rPr>
          <w:b/>
          <w:bCs/>
        </w:rPr>
        <w:tab/>
        <w:t>обеспечивать, чтобы все иностранцы, которым угрожает депортация, в том числе иностранцы из «безопасных» стран происхождения, имели доступ к справедливым процедурам, включая всестороннее и подробное собеседование с целью оценки существующего для них риска подвергнуться пыткам и неправомерному обращению в их странах происхождения с учетом их личных обстоятельств, и гарантированный доступ к надежным услугам переводчика на протяжении всего процесса;</w:t>
      </w:r>
    </w:p>
    <w:p w14:paraId="65940645" w14:textId="32DD199F" w:rsidR="0033479A" w:rsidRPr="008A62EA" w:rsidRDefault="0033479A" w:rsidP="0033479A">
      <w:pPr>
        <w:pStyle w:val="SingleTxtG"/>
        <w:rPr>
          <w:b/>
          <w:bCs/>
        </w:rPr>
      </w:pPr>
      <w:r w:rsidRPr="008A62EA">
        <w:rPr>
          <w:b/>
          <w:bCs/>
        </w:rPr>
        <w:lastRenderedPageBreak/>
        <w:tab/>
        <w:t>d)</w:t>
      </w:r>
      <w:r w:rsidRPr="008A62EA">
        <w:rPr>
          <w:b/>
          <w:bCs/>
        </w:rPr>
        <w:tab/>
        <w:t>обеспечивать, чтобы оценка достоверности во всех случаях проводилась квалифицированными специалистами надлежащим образом, а</w:t>
      </w:r>
      <w:r w:rsidR="00EC243E">
        <w:rPr>
          <w:b/>
          <w:bCs/>
          <w:lang w:val="en-US"/>
        </w:rPr>
        <w:t> </w:t>
      </w:r>
      <w:r w:rsidRPr="008A62EA">
        <w:rPr>
          <w:b/>
          <w:bCs/>
        </w:rPr>
        <w:t>также обеспечивать выявление жертв пыток;</w:t>
      </w:r>
    </w:p>
    <w:p w14:paraId="7AC1711C" w14:textId="77777777" w:rsidR="0033479A" w:rsidRPr="008A62EA" w:rsidRDefault="0033479A" w:rsidP="0033479A">
      <w:pPr>
        <w:pStyle w:val="SingleTxtG"/>
        <w:rPr>
          <w:b/>
          <w:bCs/>
        </w:rPr>
      </w:pPr>
      <w:r w:rsidRPr="008A62EA">
        <w:rPr>
          <w:b/>
          <w:bCs/>
        </w:rPr>
        <w:tab/>
        <w:t>e)</w:t>
      </w:r>
      <w:r w:rsidRPr="008A62EA">
        <w:rPr>
          <w:b/>
          <w:bCs/>
        </w:rPr>
        <w:tab/>
        <w:t>обеспечивать, чтобы все иностранные граждане, которым грозит депортация, имели возможность полноценно участвовать в рассмотрении их дел как Консультативным комитетом по делам беженцев, так и министром юстиции;</w:t>
      </w:r>
    </w:p>
    <w:p w14:paraId="6A1D3C86" w14:textId="59F4C072" w:rsidR="0033479A" w:rsidRPr="008A62EA" w:rsidRDefault="0033479A" w:rsidP="0033479A">
      <w:pPr>
        <w:pStyle w:val="SingleTxtG"/>
        <w:rPr>
          <w:b/>
          <w:bCs/>
        </w:rPr>
      </w:pPr>
      <w:r w:rsidRPr="008A62EA">
        <w:rPr>
          <w:b/>
          <w:bCs/>
        </w:rPr>
        <w:tab/>
        <w:t>f)</w:t>
      </w:r>
      <w:r w:rsidRPr="008A62EA">
        <w:rPr>
          <w:b/>
          <w:bCs/>
        </w:rPr>
        <w:tab/>
        <w:t>лишить министра юстиции предусмотренных статьей 9 Закона о беженцах (признании и контроле) полномочий отдавать распоряжение о высылке, если это считается целесообразным по соображениям охраны государственной безопасности или общественного порядка, в той мере, в какой это касается лиц, в отношении которых существуют веские основания, указывающие на то, что им угрожает опасность подвергнуться пыткам.</w:t>
      </w:r>
    </w:p>
    <w:p w14:paraId="7EA7DC88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Обращение с беженцами, просителями убежища и мигрантами</w:t>
      </w:r>
      <w:r>
        <w:t xml:space="preserve"> </w:t>
      </w:r>
    </w:p>
    <w:p w14:paraId="08C45747" w14:textId="77777777" w:rsidR="0033479A" w:rsidRPr="004754D9" w:rsidRDefault="0033479A" w:rsidP="0033479A">
      <w:pPr>
        <w:pStyle w:val="SingleTxtG"/>
      </w:pPr>
      <w:r>
        <w:t>37.</w:t>
      </w:r>
      <w:r>
        <w:tab/>
        <w:t xml:space="preserve">Комитет обеспокоен обращением и условиями содержания в лагерях для беженцев и депортированных лиц в государстве-участнике. Он особенно обеспокоен длительными сроками содержания людей в лагере беженцев в </w:t>
      </w:r>
      <w:proofErr w:type="spellStart"/>
      <w:r>
        <w:t>Дукви</w:t>
      </w:r>
      <w:proofErr w:type="spellEnd"/>
      <w:r>
        <w:t xml:space="preserve">, у которых практически нет перспектив покинуть его. Комитет также обеспокоен материальными условиями и ситуацией в плане безопасности в депортационном лагере в </w:t>
      </w:r>
      <w:proofErr w:type="spellStart"/>
      <w:r>
        <w:t>Фрэнсистауне</w:t>
      </w:r>
      <w:proofErr w:type="spellEnd"/>
      <w:r>
        <w:t>, особенно в отношении детей (статьи 11 и 16).</w:t>
      </w:r>
    </w:p>
    <w:p w14:paraId="6F54FAA8" w14:textId="77777777" w:rsidR="0033479A" w:rsidRPr="004754D9" w:rsidRDefault="0033479A" w:rsidP="0033479A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14:paraId="2A210441" w14:textId="3C6D4D36" w:rsidR="0033479A" w:rsidRPr="00EC243E" w:rsidRDefault="0033479A" w:rsidP="0033479A">
      <w:pPr>
        <w:pStyle w:val="SingleTxtG"/>
        <w:rPr>
          <w:b/>
          <w:bCs/>
        </w:rPr>
      </w:pPr>
      <w:r>
        <w:tab/>
      </w:r>
      <w:r w:rsidRPr="00EC243E">
        <w:rPr>
          <w:b/>
          <w:bCs/>
        </w:rPr>
        <w:t>a)</w:t>
      </w:r>
      <w:r w:rsidRPr="00EC243E">
        <w:rPr>
          <w:b/>
          <w:bCs/>
        </w:rPr>
        <w:tab/>
        <w:t>р</w:t>
      </w:r>
      <w:r>
        <w:rPr>
          <w:b/>
          <w:bCs/>
        </w:rPr>
        <w:t xml:space="preserve">ассмотреть возможность снятия всех своих оговорок к Конвенции </w:t>
      </w:r>
      <w:r w:rsidRPr="00EC243E">
        <w:rPr>
          <w:b/>
          <w:bCs/>
        </w:rPr>
        <w:t>о статусе беженцев;</w:t>
      </w:r>
    </w:p>
    <w:p w14:paraId="4FAD09F4" w14:textId="05196FC0" w:rsidR="0033479A" w:rsidRPr="00EC243E" w:rsidRDefault="0033479A" w:rsidP="0033479A">
      <w:pPr>
        <w:pStyle w:val="SingleTxtG"/>
        <w:rPr>
          <w:b/>
          <w:bCs/>
        </w:rPr>
      </w:pPr>
      <w:r w:rsidRPr="00EC243E">
        <w:rPr>
          <w:b/>
          <w:bCs/>
        </w:rPr>
        <w:tab/>
        <w:t>b)</w:t>
      </w:r>
      <w:r w:rsidRPr="00EC243E">
        <w:rPr>
          <w:b/>
          <w:bCs/>
        </w:rPr>
        <w:tab/>
        <w:t>воздерживаться от длительного удержания лиц, ищущих убежища, и</w:t>
      </w:r>
      <w:r w:rsidR="00D07584">
        <w:rPr>
          <w:b/>
          <w:bCs/>
        </w:rPr>
        <w:t> </w:t>
      </w:r>
      <w:r w:rsidRPr="00EC243E">
        <w:rPr>
          <w:b/>
          <w:bCs/>
        </w:rPr>
        <w:t>мигрантов с неурегулированным статусом; использовать удержание как крайнюю меру и только на максимально короткий срок, обеспечивая индивидуальную оценку; и содействовать применению мер, не связанных с лишением свободы;</w:t>
      </w:r>
    </w:p>
    <w:p w14:paraId="3C63B566" w14:textId="3D227655" w:rsidR="0033479A" w:rsidRPr="00EC243E" w:rsidRDefault="0033479A" w:rsidP="0033479A">
      <w:pPr>
        <w:pStyle w:val="SingleTxtG"/>
        <w:rPr>
          <w:b/>
          <w:bCs/>
        </w:rPr>
      </w:pPr>
      <w:r w:rsidRPr="00EC243E">
        <w:rPr>
          <w:b/>
          <w:bCs/>
        </w:rPr>
        <w:tab/>
        <w:t>c)</w:t>
      </w:r>
      <w:r w:rsidRPr="00EC243E">
        <w:rPr>
          <w:b/>
          <w:bCs/>
        </w:rPr>
        <w:tab/>
        <w:t>принять меры, необходимые для обеспечения надлежащих условий приема просителей убежища и мигрантов с неурегулированным статусом, и</w:t>
      </w:r>
      <w:r w:rsidR="00DF3FC1">
        <w:rPr>
          <w:b/>
          <w:bCs/>
          <w:lang w:val="en-US"/>
        </w:rPr>
        <w:t> </w:t>
      </w:r>
      <w:r w:rsidRPr="00EC243E">
        <w:rPr>
          <w:b/>
          <w:bCs/>
        </w:rPr>
        <w:t>активизировать усилия по обеспечению надлежащих условий содержания во всех иммиграционных центрах;</w:t>
      </w:r>
    </w:p>
    <w:p w14:paraId="5832E923" w14:textId="77777777" w:rsidR="0033479A" w:rsidRPr="00EC243E" w:rsidRDefault="0033479A" w:rsidP="0033479A">
      <w:pPr>
        <w:pStyle w:val="SingleTxtG"/>
        <w:rPr>
          <w:b/>
          <w:bCs/>
        </w:rPr>
      </w:pPr>
      <w:r w:rsidRPr="00EC243E">
        <w:rPr>
          <w:b/>
          <w:bCs/>
        </w:rPr>
        <w:tab/>
        <w:t>d)</w:t>
      </w:r>
      <w:r w:rsidRPr="00EC243E">
        <w:rPr>
          <w:b/>
          <w:bCs/>
        </w:rPr>
        <w:tab/>
        <w:t>обеспечивать, чтобы несопровождаемые и разлученные дети и семьи с детьми не удерживались исключительно по причине их иммиграционного статуса, и принимать меры безопасности для защиты помещенных в лагеря детей.</w:t>
      </w:r>
    </w:p>
    <w:p w14:paraId="3426D0D0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Обучение</w:t>
      </w:r>
    </w:p>
    <w:p w14:paraId="50258105" w14:textId="3C267A08" w:rsidR="0033479A" w:rsidRPr="004754D9" w:rsidRDefault="0033479A" w:rsidP="0033479A">
      <w:pPr>
        <w:pStyle w:val="SingleTxtG"/>
      </w:pPr>
      <w:r>
        <w:t>39.</w:t>
      </w:r>
      <w:r>
        <w:tab/>
        <w:t>Комитет приветствует представленную государством-участником информацию о том, что оно планирует разработать программу обучения и подготовки по международным стандартам в области прав человека для государственных служащих, включая платформу электронного обучения, в контексте национальной стратегии в области прав человека, а также заверения, предоставленные в ходе диалога с государством-участником, указывающие на то, что оно согласно с важностью подготовки по правам человека для сотрудников правоохранительных органов, прокуроров и судей. Вместе с тем Комитет обеспокоен отсутствием специальной подготовки в отношении обязательств государства-участника по Конвенции (статья</w:t>
      </w:r>
      <w:r w:rsidR="00DF3FC1">
        <w:rPr>
          <w:lang w:val="en-US"/>
        </w:rPr>
        <w:t> </w:t>
      </w:r>
      <w:r>
        <w:t>10).</w:t>
      </w:r>
    </w:p>
    <w:p w14:paraId="49D38544" w14:textId="77777777" w:rsidR="0033479A" w:rsidRPr="004754D9" w:rsidRDefault="0033479A" w:rsidP="0033479A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Государству-участнику следует:</w:t>
      </w:r>
    </w:p>
    <w:p w14:paraId="52AC637C" w14:textId="77777777" w:rsidR="0033479A" w:rsidRPr="00DF3FC1" w:rsidRDefault="0033479A" w:rsidP="0033479A">
      <w:pPr>
        <w:pStyle w:val="SingleTxtG"/>
        <w:rPr>
          <w:b/>
          <w:bCs/>
        </w:rPr>
      </w:pPr>
      <w:r>
        <w:tab/>
      </w:r>
      <w:r w:rsidRPr="00DF3FC1">
        <w:rPr>
          <w:b/>
          <w:bCs/>
        </w:rPr>
        <w:t>a)</w:t>
      </w:r>
      <w:r w:rsidRPr="00DF3FC1">
        <w:rPr>
          <w:b/>
          <w:bCs/>
        </w:rPr>
        <w:tab/>
        <w:t xml:space="preserve">продолжать разработку обязательных программ начальной подготовки и подготовки без отрыва от работы для обеспечения того, чтобы все государственные должностные лица были хорошо знакомы с положениями Конвенции, особенно с принципом абсолютного запрещения пыток, и чтобы они были полностью осведомлены о том, что ее нарушения недопустимы и будут </w:t>
      </w:r>
      <w:r w:rsidRPr="00DF3FC1">
        <w:rPr>
          <w:b/>
          <w:bCs/>
        </w:rPr>
        <w:lastRenderedPageBreak/>
        <w:t>расследоваться, а виновников будут преследовать в судебном порядке и в случае признания их вины подвергать надлежащему наказанию;</w:t>
      </w:r>
    </w:p>
    <w:p w14:paraId="3A716776" w14:textId="77777777" w:rsidR="0033479A" w:rsidRPr="00DF3FC1" w:rsidRDefault="0033479A" w:rsidP="0033479A">
      <w:pPr>
        <w:pStyle w:val="SingleTxtG"/>
        <w:rPr>
          <w:b/>
          <w:bCs/>
        </w:rPr>
      </w:pPr>
      <w:r w:rsidRPr="00DF3FC1">
        <w:rPr>
          <w:b/>
          <w:bCs/>
        </w:rPr>
        <w:tab/>
        <w:t>b)</w:t>
      </w:r>
      <w:r w:rsidRPr="00DF3FC1">
        <w:rPr>
          <w:b/>
          <w:bCs/>
        </w:rPr>
        <w:tab/>
        <w:t xml:space="preserve">обеспечивать, чтобы все соответствующие сотрудники, включая медицинский персонал, проходили специальную подготовку по выявлению случаев пыток и жестокого обращения в соответствии с пересмотренной версией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протокол), и учитывать Принципы эффективного ведения опроса в ходе расследования и сбора информации (Принципы </w:t>
      </w:r>
      <w:proofErr w:type="spellStart"/>
      <w:r w:rsidRPr="00DF3FC1">
        <w:rPr>
          <w:b/>
          <w:bCs/>
        </w:rPr>
        <w:t>Мендеса</w:t>
      </w:r>
      <w:proofErr w:type="spellEnd"/>
      <w:r w:rsidRPr="00DF3FC1">
        <w:rPr>
          <w:b/>
          <w:bCs/>
        </w:rPr>
        <w:t>);</w:t>
      </w:r>
    </w:p>
    <w:p w14:paraId="2B9AE46C" w14:textId="467815B9" w:rsidR="0033479A" w:rsidRPr="00DF3FC1" w:rsidRDefault="0033479A" w:rsidP="0033479A">
      <w:pPr>
        <w:pStyle w:val="SingleTxtG"/>
        <w:rPr>
          <w:b/>
          <w:bCs/>
        </w:rPr>
      </w:pPr>
      <w:r w:rsidRPr="00DF3FC1">
        <w:rPr>
          <w:b/>
          <w:bCs/>
        </w:rPr>
        <w:tab/>
        <w:t>c)</w:t>
      </w:r>
      <w:r w:rsidRPr="00DF3FC1">
        <w:rPr>
          <w:b/>
          <w:bCs/>
        </w:rPr>
        <w:tab/>
        <w:t>разработать методологию оценки эффективности программ подготовки в части уменьшения числа случаев пыток и жестокого обращения и обеспечения выявления, документирования и расследования таких действий, а</w:t>
      </w:r>
      <w:r w:rsidR="00DB6919">
        <w:rPr>
          <w:b/>
          <w:bCs/>
        </w:rPr>
        <w:t> </w:t>
      </w:r>
      <w:r w:rsidRPr="00DF3FC1">
        <w:rPr>
          <w:b/>
          <w:bCs/>
        </w:rPr>
        <w:t>также привлечения виновных к ответственности</w:t>
      </w:r>
      <w:r w:rsidR="00DF3FC1" w:rsidRPr="00DF3FC1">
        <w:rPr>
          <w:b/>
          <w:bCs/>
        </w:rPr>
        <w:t>.</w:t>
      </w:r>
    </w:p>
    <w:p w14:paraId="7039D2CE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Возмещение ущерба</w:t>
      </w:r>
    </w:p>
    <w:p w14:paraId="7559254A" w14:textId="77777777" w:rsidR="0033479A" w:rsidRPr="004754D9" w:rsidRDefault="0033479A" w:rsidP="0033479A">
      <w:pPr>
        <w:pStyle w:val="SingleTxtG"/>
      </w:pPr>
      <w:r>
        <w:t>41.</w:t>
      </w:r>
      <w:r>
        <w:tab/>
        <w:t>Комитет принимает к сведению психосоциальную поддержку и медицинские услуги, оказываемые организациями гражданского общества в соответствии с несколькими заключенными с правительством меморандумами о взаимопонимании в отношении детей. Однако Комитет обеспокоен отсутствием комплексной политики по возмещению ущерба и реабилитации жертв пыток (статья 14). Комитет отмечает, что права жертв пыток в соответствии со статьей 14 Конвенции не должны ставиться в зависимость от установления, а тем более осуждения виновного или виновных, или от возбуждения, а тем более завершения гражданского судопроизводства (статья 14).</w:t>
      </w:r>
    </w:p>
    <w:p w14:paraId="77F87CD8" w14:textId="366F619D" w:rsidR="0033479A" w:rsidRPr="004754D9" w:rsidRDefault="0033479A" w:rsidP="0033479A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Государству-участнику следует принять необходимые законодательные и административные меры для создания всеобъемлющей программы, в рамках которой все жертвы пыток получали бы возмещение ущерба и имели бы подкрепляемое правовой санкцией право на справедливую и адекватную компенсацию, включая средства для как можно более полной реабилитации.</w:t>
      </w:r>
      <w:r>
        <w:t xml:space="preserve"> </w:t>
      </w:r>
      <w:r>
        <w:rPr>
          <w:b/>
          <w:bCs/>
        </w:rPr>
        <w:t>В</w:t>
      </w:r>
      <w:r w:rsidR="00F34070">
        <w:rPr>
          <w:b/>
          <w:bCs/>
          <w:lang w:val="en-US"/>
        </w:rPr>
        <w:t> </w:t>
      </w:r>
      <w:r>
        <w:rPr>
          <w:b/>
          <w:bCs/>
        </w:rPr>
        <w:t>соответствии с замечанием общего порядка № 3 Комитета эта политика должна предусматривать принятие соответствующих мер в отношении возмещения ущерба, компенсации, реституции, реабилитации, сатисфакции и гарантий неповторения.</w:t>
      </w:r>
      <w:r>
        <w:t xml:space="preserve"> </w:t>
      </w:r>
      <w:r>
        <w:rPr>
          <w:b/>
          <w:bCs/>
        </w:rPr>
        <w:t>Кроме того, государству-участнику следует пересмотреть и, при необходимости, изменить свое законодательство для обеспечения того, чтобы права жертв пыток в соответствии со статьей 14 Конвенции не зависели от установления, а тем более осуждения виновного или виновных, или от возбуждения, а тем более завершения гражданского судопроизводства.</w:t>
      </w:r>
    </w:p>
    <w:p w14:paraId="12DA5924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Сбор данных</w:t>
      </w:r>
      <w:r>
        <w:t xml:space="preserve"> </w:t>
      </w:r>
    </w:p>
    <w:p w14:paraId="5D9A787E" w14:textId="77777777" w:rsidR="0033479A" w:rsidRPr="004754D9" w:rsidRDefault="0033479A" w:rsidP="0033479A">
      <w:pPr>
        <w:pStyle w:val="SingleTxtG"/>
      </w:pPr>
      <w:r>
        <w:t>43.</w:t>
      </w:r>
      <w:r>
        <w:tab/>
        <w:t>Отмечая представление некоторых статистических данных, Комитет выражает сожаление в связи с по-прежнему отмечаемым отсутствием всеобъемлющих и дезагрегированных статистических данных о случаях пыток и других жестоких, бесчеловечных или унижающих достоинство видов обращения и наказания, в том числе о случаях, связанных с утверждениями о жестокости полиции и чрезмерном применении силы. Комитет обеспокоен отсутствием более целенаправленной и скоординированной методологии сбора данных государством-участником и перспективами выделения достаточных ресурсов на эти усилия, которые необходимы для осуществления контроля за эффективным выполнением обязательств государства-участника по Конвенции.</w:t>
      </w:r>
    </w:p>
    <w:p w14:paraId="0A0D5F61" w14:textId="77777777" w:rsidR="0033479A" w:rsidRPr="004754D9" w:rsidRDefault="0033479A" w:rsidP="0033479A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Государству-участнику следует активизировать усилия по сбору статистических данных, необходимых для контроля за осуществлением Конвенции целенаправленным и скоординированным образом, включая данные о жалобах, расследованиях, преследованиях и приговорах по делам о пытках и жестоком обращении со стороны сотрудников правоохранительных органов и персонала тюрем, торговле людьми и гендерном насилии, включая сексуальное насилие, а также о предоставленных жертвам средствах правовой защиты, включая компенсацию и реабилитацию.</w:t>
      </w:r>
    </w:p>
    <w:p w14:paraId="3E10CB67" w14:textId="77777777" w:rsidR="0033479A" w:rsidRPr="004754D9" w:rsidRDefault="0033479A" w:rsidP="0033479A">
      <w:pPr>
        <w:pStyle w:val="H23G"/>
        <w:rPr>
          <w:rFonts w:eastAsia="Calibri"/>
        </w:rPr>
      </w:pPr>
      <w:r>
        <w:lastRenderedPageBreak/>
        <w:tab/>
      </w:r>
      <w:r>
        <w:tab/>
      </w:r>
      <w:r>
        <w:rPr>
          <w:bCs/>
        </w:rPr>
        <w:t>Процедура последующих действий</w:t>
      </w:r>
    </w:p>
    <w:p w14:paraId="25580CFB" w14:textId="77777777" w:rsidR="0033479A" w:rsidRPr="004754D9" w:rsidRDefault="0033479A" w:rsidP="0033479A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просит государство-участник представить к 29 июля 2023 года информацию о последующих мерах по выполнению рекомендаций Комитета в отношении оговорки к Конвенции;</w:t>
      </w:r>
      <w:r>
        <w:t xml:space="preserve"> </w:t>
      </w:r>
      <w:r>
        <w:rPr>
          <w:b/>
          <w:bCs/>
        </w:rPr>
        <w:t>национального правозащитного учреждения;</w:t>
      </w:r>
      <w:r>
        <w:t xml:space="preserve"> </w:t>
      </w:r>
      <w:r>
        <w:rPr>
          <w:b/>
          <w:bCs/>
        </w:rPr>
        <w:t>смертной казни;</w:t>
      </w:r>
      <w:r>
        <w:t xml:space="preserve"> </w:t>
      </w:r>
      <w:r>
        <w:rPr>
          <w:b/>
          <w:bCs/>
        </w:rPr>
        <w:t>и обращения с беженцами, просителями убежища и мигрантами (см. пункты 16, 22, 24 и 38 выше).</w:t>
      </w:r>
      <w:r>
        <w:t xml:space="preserve"> </w:t>
      </w:r>
      <w:r>
        <w:rPr>
          <w:b/>
          <w:bCs/>
        </w:rPr>
        <w:t>В связи с этим государству-участнику предлагается сообщить Комитету о своих планах по выполнению в предстоящий отчетный период некоторых или всех оставшихся рекомендаций, содержащихся в заключительных замечаниях.</w:t>
      </w:r>
    </w:p>
    <w:p w14:paraId="3DF6B580" w14:textId="77777777" w:rsidR="0033479A" w:rsidRPr="004754D9" w:rsidRDefault="0033479A" w:rsidP="0033479A">
      <w:pPr>
        <w:pStyle w:val="H23G"/>
      </w:pPr>
      <w:r>
        <w:tab/>
      </w:r>
      <w:r>
        <w:tab/>
      </w:r>
      <w:r>
        <w:rPr>
          <w:bCs/>
        </w:rPr>
        <w:t>Прочие вопросы</w:t>
      </w:r>
    </w:p>
    <w:p w14:paraId="3C9DD1CE" w14:textId="77777777" w:rsidR="0033479A" w:rsidRPr="004754D9" w:rsidRDefault="0033479A" w:rsidP="0033479A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рекомендует государству-участнику рассмотреть возможность скорейшей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 и сделать заявление в соответствии со статьей 22 Конвенции о признании компетенции Комитета получать и рассматривать сообщения от или от имени подпадающих под его юрисдикцию лиц, которые утверждают, что являются жертвами нарушения государством-участником положений Конвенции.</w:t>
      </w:r>
      <w:r>
        <w:t xml:space="preserve"> </w:t>
      </w:r>
    </w:p>
    <w:p w14:paraId="0D86B1AB" w14:textId="77777777" w:rsidR="0033479A" w:rsidRPr="004754D9" w:rsidRDefault="0033479A" w:rsidP="0033479A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Государству-участнику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веб-сайты, средства массовой информации и неправительственные организации, а также сообщить Комитету о проводимых мероприятиях по их распространению.</w:t>
      </w:r>
    </w:p>
    <w:p w14:paraId="035A9AD5" w14:textId="77777777" w:rsidR="0033479A" w:rsidRPr="004754D9" w:rsidRDefault="0033479A" w:rsidP="0033479A">
      <w:pPr>
        <w:pStyle w:val="SingleTxtG"/>
      </w:pPr>
      <w:r>
        <w:t>48.</w:t>
      </w:r>
      <w:r>
        <w:tab/>
      </w:r>
      <w:r>
        <w:rPr>
          <w:b/>
          <w:bCs/>
        </w:rPr>
        <w:t>Государству-участнику предлагается представить свой общий базовый документ в соответствии с требованиями, содержащимися в согласованных руководящих принципах представления докладов согласно международным договорам по правам человека</w:t>
      </w:r>
      <w:r w:rsidRPr="006A473D">
        <w:rPr>
          <w:rStyle w:val="aa"/>
        </w:rPr>
        <w:footnoteReference w:id="5"/>
      </w:r>
      <w:r>
        <w:rPr>
          <w:b/>
          <w:bCs/>
        </w:rPr>
        <w:t>.</w:t>
      </w:r>
    </w:p>
    <w:p w14:paraId="45F28936" w14:textId="77777777" w:rsidR="0033479A" w:rsidRPr="004754D9" w:rsidRDefault="0033479A" w:rsidP="0033479A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просит государство-участник представить его следующий периодический доклад, который станет его вторым периодическим докладом к 29 июля 2026 года.</w:t>
      </w:r>
      <w:r>
        <w:t xml:space="preserve"> </w:t>
      </w:r>
      <w:r>
        <w:rPr>
          <w:b/>
          <w:bCs/>
        </w:rPr>
        <w:t>С этой целью и с учетом того, что государство-участник согласилось представлять Комитету доклады по упрощенной процедуре представления докладов, Комитет в надлежащее время препроводит государству-участнику перечень вопросов до представления доклада.</w:t>
      </w:r>
      <w:r>
        <w:t xml:space="preserve"> </w:t>
      </w:r>
      <w:r>
        <w:rPr>
          <w:b/>
          <w:bCs/>
        </w:rPr>
        <w:t xml:space="preserve">Ответы государства-участника на этот перечень вопросов составят его второй периодический доклад по статье 19 Конвенции, который Комитет </w:t>
      </w:r>
      <w:proofErr w:type="gramStart"/>
      <w:r>
        <w:rPr>
          <w:b/>
          <w:bCs/>
        </w:rPr>
        <w:t>настоятельно призывает</w:t>
      </w:r>
      <w:proofErr w:type="gramEnd"/>
      <w:r>
        <w:rPr>
          <w:b/>
          <w:bCs/>
        </w:rPr>
        <w:t xml:space="preserve"> государство-участник представить своевременно.</w:t>
      </w:r>
    </w:p>
    <w:p w14:paraId="0486C06D" w14:textId="77777777" w:rsidR="0033479A" w:rsidRPr="004754D9" w:rsidRDefault="0033479A" w:rsidP="0033479A">
      <w:pPr>
        <w:spacing w:before="240"/>
        <w:jc w:val="center"/>
      </w:pPr>
      <w:r w:rsidRPr="004754D9">
        <w:rPr>
          <w:u w:val="single"/>
        </w:rPr>
        <w:tab/>
      </w:r>
      <w:r w:rsidRPr="004754D9">
        <w:rPr>
          <w:u w:val="single"/>
        </w:rPr>
        <w:tab/>
      </w:r>
      <w:r w:rsidRPr="004754D9">
        <w:rPr>
          <w:u w:val="single"/>
        </w:rPr>
        <w:tab/>
      </w:r>
    </w:p>
    <w:sectPr w:rsidR="0033479A" w:rsidRPr="004754D9" w:rsidSect="0033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3C1B" w14:textId="77777777" w:rsidR="003F41CC" w:rsidRPr="00A312BC" w:rsidRDefault="003F41CC" w:rsidP="00A312BC"/>
  </w:endnote>
  <w:endnote w:type="continuationSeparator" w:id="0">
    <w:p w14:paraId="18658BF8" w14:textId="77777777" w:rsidR="003F41CC" w:rsidRPr="00A312BC" w:rsidRDefault="003F41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6E7" w14:textId="4868091C" w:rsidR="0033479A" w:rsidRPr="0033479A" w:rsidRDefault="0033479A">
    <w:pPr>
      <w:pStyle w:val="a8"/>
    </w:pPr>
    <w:r w:rsidRPr="0033479A">
      <w:rPr>
        <w:b/>
        <w:sz w:val="18"/>
      </w:rPr>
      <w:fldChar w:fldCharType="begin"/>
    </w:r>
    <w:r w:rsidRPr="0033479A">
      <w:rPr>
        <w:b/>
        <w:sz w:val="18"/>
      </w:rPr>
      <w:instrText xml:space="preserve"> PAGE  \* MERGEFORMAT </w:instrText>
    </w:r>
    <w:r w:rsidRPr="0033479A">
      <w:rPr>
        <w:b/>
        <w:sz w:val="18"/>
      </w:rPr>
      <w:fldChar w:fldCharType="separate"/>
    </w:r>
    <w:r w:rsidRPr="0033479A">
      <w:rPr>
        <w:b/>
        <w:noProof/>
        <w:sz w:val="18"/>
      </w:rPr>
      <w:t>2</w:t>
    </w:r>
    <w:r w:rsidRPr="0033479A">
      <w:rPr>
        <w:b/>
        <w:sz w:val="18"/>
      </w:rPr>
      <w:fldChar w:fldCharType="end"/>
    </w:r>
    <w:r>
      <w:rPr>
        <w:b/>
        <w:sz w:val="18"/>
      </w:rPr>
      <w:tab/>
    </w:r>
    <w:r>
      <w:t>GE.22-13068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1CEE" w14:textId="4894070E" w:rsidR="0033479A" w:rsidRPr="0033479A" w:rsidRDefault="0033479A" w:rsidP="0033479A">
    <w:pPr>
      <w:pStyle w:val="a8"/>
      <w:tabs>
        <w:tab w:val="clear" w:pos="9639"/>
        <w:tab w:val="right" w:pos="9638"/>
      </w:tabs>
      <w:rPr>
        <w:b/>
        <w:sz w:val="18"/>
      </w:rPr>
    </w:pPr>
    <w:r>
      <w:t>GE.22-13068</w:t>
    </w:r>
    <w:r>
      <w:tab/>
    </w:r>
    <w:r w:rsidRPr="0033479A">
      <w:rPr>
        <w:b/>
        <w:sz w:val="18"/>
      </w:rPr>
      <w:fldChar w:fldCharType="begin"/>
    </w:r>
    <w:r w:rsidRPr="0033479A">
      <w:rPr>
        <w:b/>
        <w:sz w:val="18"/>
      </w:rPr>
      <w:instrText xml:space="preserve"> PAGE  \* MERGEFORMAT </w:instrText>
    </w:r>
    <w:r w:rsidRPr="0033479A">
      <w:rPr>
        <w:b/>
        <w:sz w:val="18"/>
      </w:rPr>
      <w:fldChar w:fldCharType="separate"/>
    </w:r>
    <w:r w:rsidRPr="0033479A">
      <w:rPr>
        <w:b/>
        <w:noProof/>
        <w:sz w:val="18"/>
      </w:rPr>
      <w:t>3</w:t>
    </w:r>
    <w:r w:rsidRPr="003347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71A6" w14:textId="22DA1D5D" w:rsidR="00042B72" w:rsidRPr="0033479A" w:rsidRDefault="0033479A" w:rsidP="0033479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FA9829" wp14:editId="60EC9BB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13068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286FA4C" wp14:editId="41DF341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031122  131222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5EAB" w14:textId="77777777" w:rsidR="003F41CC" w:rsidRPr="001075E9" w:rsidRDefault="003F41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E2276E" w14:textId="77777777" w:rsidR="003F41CC" w:rsidRDefault="003F41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90C6FA" w14:textId="6EB7A63C" w:rsidR="0033479A" w:rsidRPr="004754D9" w:rsidRDefault="0033479A" w:rsidP="0033479A">
      <w:pPr>
        <w:pStyle w:val="ad"/>
      </w:pPr>
      <w:r>
        <w:tab/>
        <w:t>*</w:t>
      </w:r>
      <w:r>
        <w:tab/>
        <w:t>Приняты Комитетом на его семьдесят четвертой сессии (12</w:t>
      </w:r>
      <w:r w:rsidRPr="0033479A">
        <w:t>–</w:t>
      </w:r>
      <w:r>
        <w:t>29 июля 2022 года).</w:t>
      </w:r>
    </w:p>
  </w:footnote>
  <w:footnote w:id="2">
    <w:p w14:paraId="0D2E3333" w14:textId="16DD9CCA" w:rsidR="0033479A" w:rsidRPr="0033479A" w:rsidRDefault="0033479A" w:rsidP="0033479A">
      <w:pPr>
        <w:pStyle w:val="ad"/>
        <w:rPr>
          <w:lang w:val="en-US"/>
        </w:rPr>
      </w:pPr>
      <w:r>
        <w:tab/>
      </w:r>
      <w:r w:rsidRPr="00105D06">
        <w:rPr>
          <w:rStyle w:val="aa"/>
        </w:rPr>
        <w:footnoteRef/>
      </w:r>
      <w:r w:rsidRPr="004754D9">
        <w:rPr>
          <w:lang w:val="en-US"/>
        </w:rPr>
        <w:t xml:space="preserve"> </w:t>
      </w:r>
      <w:r w:rsidRPr="004754D9">
        <w:rPr>
          <w:lang w:val="en-US"/>
        </w:rPr>
        <w:tab/>
      </w:r>
      <w:hyperlink r:id="rId1" w:history="1">
        <w:r w:rsidRPr="0033479A">
          <w:rPr>
            <w:rStyle w:val="af1"/>
            <w:lang w:val="en-US"/>
          </w:rPr>
          <w:t>CAT/C/BWA/1</w:t>
        </w:r>
      </w:hyperlink>
      <w:r w:rsidRPr="004754D9">
        <w:rPr>
          <w:lang w:val="en-US"/>
        </w:rPr>
        <w:t>.</w:t>
      </w:r>
    </w:p>
  </w:footnote>
  <w:footnote w:id="3">
    <w:p w14:paraId="406EDEDB" w14:textId="0FB958D3" w:rsidR="0033479A" w:rsidRPr="0033479A" w:rsidRDefault="0033479A" w:rsidP="0033479A">
      <w:pPr>
        <w:pStyle w:val="ad"/>
        <w:rPr>
          <w:rFonts w:asciiTheme="majorBidi" w:hAnsiTheme="majorBidi" w:cstheme="majorBidi"/>
          <w:sz w:val="20"/>
          <w:lang w:val="en-US"/>
        </w:rPr>
      </w:pPr>
      <w:r w:rsidRPr="004754D9">
        <w:rPr>
          <w:lang w:val="en-US"/>
        </w:rPr>
        <w:tab/>
      </w:r>
      <w:r w:rsidRPr="00105D06">
        <w:rPr>
          <w:rStyle w:val="aa"/>
        </w:rPr>
        <w:footnoteRef/>
      </w:r>
      <w:r w:rsidRPr="004754D9">
        <w:rPr>
          <w:lang w:val="en-US"/>
        </w:rPr>
        <w:t xml:space="preserve"> </w:t>
      </w:r>
      <w:r w:rsidRPr="004754D9">
        <w:rPr>
          <w:lang w:val="en-US"/>
        </w:rPr>
        <w:tab/>
      </w:r>
      <w:hyperlink r:id="rId2" w:history="1">
        <w:r w:rsidRPr="0033479A">
          <w:rPr>
            <w:rStyle w:val="af1"/>
            <w:lang w:val="en-US"/>
          </w:rPr>
          <w:t>CAT/C/SR.1923</w:t>
        </w:r>
      </w:hyperlink>
      <w:r w:rsidRPr="004754D9">
        <w:rPr>
          <w:lang w:val="en-US"/>
        </w:rPr>
        <w:t xml:space="preserve"> </w:t>
      </w:r>
      <w:r>
        <w:t>и</w:t>
      </w:r>
      <w:r w:rsidRPr="004754D9">
        <w:rPr>
          <w:lang w:val="en-US"/>
        </w:rPr>
        <w:t xml:space="preserve"> </w:t>
      </w:r>
      <w:hyperlink r:id="rId3" w:history="1">
        <w:r w:rsidRPr="0033479A">
          <w:rPr>
            <w:rStyle w:val="af1"/>
            <w:lang w:val="en-US"/>
          </w:rPr>
          <w:t>CAT/C/SR.1926</w:t>
        </w:r>
      </w:hyperlink>
      <w:r w:rsidRPr="004754D9">
        <w:rPr>
          <w:lang w:val="en-US"/>
        </w:rPr>
        <w:t>.</w:t>
      </w:r>
    </w:p>
  </w:footnote>
  <w:footnote w:id="4">
    <w:p w14:paraId="78683B4A" w14:textId="22AF8FDE" w:rsidR="0033479A" w:rsidRPr="003D0448" w:rsidRDefault="0033479A" w:rsidP="0033479A">
      <w:pPr>
        <w:pStyle w:val="ad"/>
      </w:pPr>
      <w:r w:rsidRPr="004754D9">
        <w:rPr>
          <w:lang w:val="en-US"/>
        </w:rPr>
        <w:tab/>
      </w:r>
      <w:r w:rsidRPr="00105D06">
        <w:rPr>
          <w:rStyle w:val="aa"/>
        </w:rPr>
        <w:footnoteRef/>
      </w:r>
      <w:r>
        <w:t xml:space="preserve"> </w:t>
      </w:r>
      <w:r>
        <w:tab/>
        <w:t xml:space="preserve">Информацию о процессе включения в национальное законодательство договоров по правам человека см. </w:t>
      </w:r>
      <w:hyperlink r:id="rId4" w:history="1">
        <w:r w:rsidRPr="000C55DE">
          <w:rPr>
            <w:rStyle w:val="af1"/>
          </w:rPr>
          <w:t>CAT/C/BWA/1</w:t>
        </w:r>
      </w:hyperlink>
      <w:r>
        <w:t>, п. 7.</w:t>
      </w:r>
    </w:p>
  </w:footnote>
  <w:footnote w:id="5">
    <w:p w14:paraId="51B78DE0" w14:textId="02B61742" w:rsidR="0033479A" w:rsidRPr="006130D7" w:rsidRDefault="0033479A" w:rsidP="0033479A">
      <w:pPr>
        <w:pStyle w:val="ad"/>
      </w:pPr>
      <w:r>
        <w:tab/>
      </w:r>
      <w:r w:rsidRPr="00105D06">
        <w:rPr>
          <w:rStyle w:val="aa"/>
        </w:rPr>
        <w:footnoteRef/>
      </w:r>
      <w:r>
        <w:tab/>
      </w:r>
      <w:hyperlink r:id="rId5" w:history="1">
        <w:r w:rsidRPr="00DB6919">
          <w:rPr>
            <w:rStyle w:val="af1"/>
          </w:rPr>
          <w:t>HRI/GEN.2/Rev.6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150B" w14:textId="14C76F79" w:rsidR="0033479A" w:rsidRPr="0033479A" w:rsidRDefault="00D8145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A6FE0">
      <w:t>CAT/C/BWA/CO/1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EBED" w14:textId="6749FE10" w:rsidR="0033479A" w:rsidRPr="0033479A" w:rsidRDefault="00D8145C" w:rsidP="0033479A">
    <w:pPr>
      <w:pStyle w:val="a5"/>
      <w:jc w:val="right"/>
    </w:pPr>
    <w:r>
      <w:fldChar w:fldCharType="begin"/>
    </w:r>
    <w:r>
      <w:instrText xml:space="preserve"> TITLE  \* MERGEF</w:instrText>
    </w:r>
    <w:r>
      <w:instrText xml:space="preserve">ORMAT </w:instrText>
    </w:r>
    <w:r>
      <w:fldChar w:fldCharType="separate"/>
    </w:r>
    <w:r w:rsidR="005A6FE0">
      <w:t>CAT/C/BWA/CO/1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D146" w14:textId="77777777" w:rsidR="0033479A" w:rsidRDefault="0033479A" w:rsidP="0033479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CC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C0ACF"/>
    <w:rsid w:val="000C55DE"/>
    <w:rsid w:val="000F09DF"/>
    <w:rsid w:val="000F61B2"/>
    <w:rsid w:val="001075E9"/>
    <w:rsid w:val="00180183"/>
    <w:rsid w:val="0018024D"/>
    <w:rsid w:val="0018649F"/>
    <w:rsid w:val="00196389"/>
    <w:rsid w:val="001B3EF6"/>
    <w:rsid w:val="001B6241"/>
    <w:rsid w:val="001C7A89"/>
    <w:rsid w:val="002A2EFC"/>
    <w:rsid w:val="002B596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3479A"/>
    <w:rsid w:val="003402C2"/>
    <w:rsid w:val="00374EC6"/>
    <w:rsid w:val="00381C24"/>
    <w:rsid w:val="00393C46"/>
    <w:rsid w:val="003958D0"/>
    <w:rsid w:val="003B00E5"/>
    <w:rsid w:val="003F41CC"/>
    <w:rsid w:val="00403C9E"/>
    <w:rsid w:val="00407B78"/>
    <w:rsid w:val="00424203"/>
    <w:rsid w:val="00442935"/>
    <w:rsid w:val="00452493"/>
    <w:rsid w:val="00454E07"/>
    <w:rsid w:val="00472C5C"/>
    <w:rsid w:val="0050108D"/>
    <w:rsid w:val="00513081"/>
    <w:rsid w:val="00517901"/>
    <w:rsid w:val="00526683"/>
    <w:rsid w:val="00550706"/>
    <w:rsid w:val="0055476E"/>
    <w:rsid w:val="005709E0"/>
    <w:rsid w:val="00570A37"/>
    <w:rsid w:val="00572E19"/>
    <w:rsid w:val="0058663C"/>
    <w:rsid w:val="005961C8"/>
    <w:rsid w:val="005A6FE0"/>
    <w:rsid w:val="005D7914"/>
    <w:rsid w:val="005E2B41"/>
    <w:rsid w:val="005F0B42"/>
    <w:rsid w:val="006770B0"/>
    <w:rsid w:val="00681A10"/>
    <w:rsid w:val="006A1ED8"/>
    <w:rsid w:val="006A7605"/>
    <w:rsid w:val="006B709D"/>
    <w:rsid w:val="006C2031"/>
    <w:rsid w:val="006D461A"/>
    <w:rsid w:val="006F35EE"/>
    <w:rsid w:val="007021FF"/>
    <w:rsid w:val="00712895"/>
    <w:rsid w:val="007207A0"/>
    <w:rsid w:val="00757357"/>
    <w:rsid w:val="00825F8D"/>
    <w:rsid w:val="00834B71"/>
    <w:rsid w:val="00834CC0"/>
    <w:rsid w:val="0086445C"/>
    <w:rsid w:val="008765F6"/>
    <w:rsid w:val="00894693"/>
    <w:rsid w:val="008A08D7"/>
    <w:rsid w:val="008A62EA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3457"/>
    <w:rsid w:val="00AB4B51"/>
    <w:rsid w:val="00B10CC7"/>
    <w:rsid w:val="00B20CB2"/>
    <w:rsid w:val="00B539E7"/>
    <w:rsid w:val="00B62458"/>
    <w:rsid w:val="00B70E4A"/>
    <w:rsid w:val="00BC18B2"/>
    <w:rsid w:val="00BD33EE"/>
    <w:rsid w:val="00BE3F90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07584"/>
    <w:rsid w:val="00D11F7E"/>
    <w:rsid w:val="00D33D63"/>
    <w:rsid w:val="00D7263B"/>
    <w:rsid w:val="00D90028"/>
    <w:rsid w:val="00D90138"/>
    <w:rsid w:val="00DB6919"/>
    <w:rsid w:val="00DF3FC1"/>
    <w:rsid w:val="00DF71B9"/>
    <w:rsid w:val="00E16256"/>
    <w:rsid w:val="00E21169"/>
    <w:rsid w:val="00E528D1"/>
    <w:rsid w:val="00E53AD8"/>
    <w:rsid w:val="00E733B9"/>
    <w:rsid w:val="00E73F76"/>
    <w:rsid w:val="00EA2C9F"/>
    <w:rsid w:val="00EC243E"/>
    <w:rsid w:val="00ED0BDA"/>
    <w:rsid w:val="00EF1360"/>
    <w:rsid w:val="00EF3220"/>
    <w:rsid w:val="00F21B00"/>
    <w:rsid w:val="00F3407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B0CC5"/>
  <w15:docId w15:val="{E1A46DAD-5387-4D19-93E3-7E216C6D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33479A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33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AT/C/SR.1926" TargetMode="External"/><Relationship Id="rId2" Type="http://schemas.openxmlformats.org/officeDocument/2006/relationships/hyperlink" Target="http://undocs.org/en/CAT/C/SR.1923" TargetMode="External"/><Relationship Id="rId1" Type="http://schemas.openxmlformats.org/officeDocument/2006/relationships/hyperlink" Target="http://undocs.org/en/CAT/C/BWA/1" TargetMode="External"/><Relationship Id="rId5" Type="http://schemas.openxmlformats.org/officeDocument/2006/relationships/hyperlink" Target="http://undocs.org/en/HRI/GEN.2/Rev.6" TargetMode="External"/><Relationship Id="rId4" Type="http://schemas.openxmlformats.org/officeDocument/2006/relationships/hyperlink" Target="http://undocs.org/en/CAT/C/BWA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12</Pages>
  <Words>4845</Words>
  <Characters>34138</Characters>
  <Application>Microsoft Office Word</Application>
  <DocSecurity>0</DocSecurity>
  <Lines>602</Lines>
  <Paragraphs>133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CAT/C/BWA/CO/1</vt:lpstr>
      <vt:lpstr>A/</vt:lpstr>
      <vt:lpstr>A/</vt:lpstr>
      <vt:lpstr>A/</vt:lpstr>
    </vt:vector>
  </TitlesOfParts>
  <Company>DCM</Company>
  <LinksUpToDate>false</LinksUpToDate>
  <CharactersWithSpaces>38998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CAT/C/BWA/CO/1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2022-12-13T11:26:00Z</dcterms:created>
  <dcterms:modified xsi:type="dcterms:W3CDTF">2022-12-13T11:26:00Z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