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8818843" w14:textId="77777777" w:rsidTr="00BC3629">
        <w:trPr>
          <w:trHeight w:hRule="exact" w:val="851"/>
        </w:trPr>
        <w:tc>
          <w:tcPr>
            <w:tcW w:w="142" w:type="dxa"/>
            <w:tcBorders>
              <w:bottom w:val="single" w:sz="4" w:space="0" w:color="auto"/>
            </w:tcBorders>
          </w:tcPr>
          <w:p w14:paraId="7EE92E2F" w14:textId="77777777" w:rsidR="002D5AAC" w:rsidRDefault="002D5AAC" w:rsidP="00D34DB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29DAE3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6327364" w14:textId="77777777" w:rsidR="002D5AAC" w:rsidRDefault="00D34DB8" w:rsidP="00D34DB8">
            <w:pPr>
              <w:jc w:val="right"/>
            </w:pPr>
            <w:r w:rsidRPr="00D34DB8">
              <w:rPr>
                <w:sz w:val="40"/>
              </w:rPr>
              <w:t>CCPR</w:t>
            </w:r>
            <w:r>
              <w:t>/C/DMA/COAR/1</w:t>
            </w:r>
          </w:p>
        </w:tc>
      </w:tr>
      <w:tr w:rsidR="002D5AAC" w:rsidRPr="006F0E29" w14:paraId="570AE054" w14:textId="77777777" w:rsidTr="00BC3629">
        <w:trPr>
          <w:trHeight w:hRule="exact" w:val="2835"/>
        </w:trPr>
        <w:tc>
          <w:tcPr>
            <w:tcW w:w="1280" w:type="dxa"/>
            <w:gridSpan w:val="2"/>
            <w:tcBorders>
              <w:top w:val="single" w:sz="4" w:space="0" w:color="auto"/>
              <w:bottom w:val="single" w:sz="12" w:space="0" w:color="auto"/>
            </w:tcBorders>
          </w:tcPr>
          <w:p w14:paraId="7C55505F" w14:textId="77777777" w:rsidR="002D5AAC" w:rsidRDefault="002E5067" w:rsidP="00BC3629">
            <w:pPr>
              <w:spacing w:before="120"/>
              <w:jc w:val="center"/>
            </w:pPr>
            <w:r>
              <w:rPr>
                <w:noProof/>
                <w:lang w:val="fr-CH" w:eastAsia="fr-CH"/>
              </w:rPr>
              <w:drawing>
                <wp:inline distT="0" distB="0" distL="0" distR="0" wp14:anchorId="5BE9F927" wp14:editId="3A0845B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FF94B2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9C47D05" w14:textId="77777777" w:rsidR="002D5AAC" w:rsidRPr="00D34DB8" w:rsidRDefault="00D34DB8" w:rsidP="00BC3629">
            <w:pPr>
              <w:spacing w:before="240"/>
              <w:rPr>
                <w:lang w:val="en-US"/>
              </w:rPr>
            </w:pPr>
            <w:r w:rsidRPr="00D34DB8">
              <w:rPr>
                <w:lang w:val="en-US"/>
              </w:rPr>
              <w:t>Distr.: General</w:t>
            </w:r>
          </w:p>
          <w:p w14:paraId="11FCF3AC" w14:textId="77777777" w:rsidR="00D34DB8" w:rsidRPr="00D34DB8" w:rsidRDefault="00D34DB8" w:rsidP="00D34DB8">
            <w:pPr>
              <w:spacing w:line="240" w:lineRule="exact"/>
              <w:rPr>
                <w:lang w:val="en-US"/>
              </w:rPr>
            </w:pPr>
            <w:r w:rsidRPr="00D34DB8">
              <w:rPr>
                <w:lang w:val="en-US"/>
              </w:rPr>
              <w:t>2</w:t>
            </w:r>
            <w:r w:rsidR="0004368B">
              <w:rPr>
                <w:lang w:val="en-US"/>
              </w:rPr>
              <w:t>4</w:t>
            </w:r>
            <w:r w:rsidRPr="00D34DB8">
              <w:rPr>
                <w:lang w:val="en-US"/>
              </w:rPr>
              <w:t xml:space="preserve"> April 2020</w:t>
            </w:r>
          </w:p>
          <w:p w14:paraId="301CD292" w14:textId="77777777" w:rsidR="00D34DB8" w:rsidRPr="00D34DB8" w:rsidRDefault="00D34DB8" w:rsidP="00D34DB8">
            <w:pPr>
              <w:spacing w:line="240" w:lineRule="exact"/>
              <w:rPr>
                <w:lang w:val="en-US"/>
              </w:rPr>
            </w:pPr>
            <w:r w:rsidRPr="00D34DB8">
              <w:rPr>
                <w:lang w:val="en-US"/>
              </w:rPr>
              <w:t>Russian</w:t>
            </w:r>
          </w:p>
          <w:p w14:paraId="5CC6F0A5" w14:textId="77777777" w:rsidR="00D34DB8" w:rsidRPr="00D34DB8" w:rsidRDefault="00D34DB8" w:rsidP="00D34DB8">
            <w:pPr>
              <w:spacing w:line="240" w:lineRule="exact"/>
              <w:rPr>
                <w:lang w:val="en-US"/>
              </w:rPr>
            </w:pPr>
            <w:r w:rsidRPr="00D34DB8">
              <w:rPr>
                <w:lang w:val="en-US"/>
              </w:rPr>
              <w:t>Original: English</w:t>
            </w:r>
          </w:p>
        </w:tc>
      </w:tr>
    </w:tbl>
    <w:p w14:paraId="574CD00E" w14:textId="77777777" w:rsidR="007512BE" w:rsidRPr="007512BE" w:rsidRDefault="007512BE" w:rsidP="007512BE">
      <w:pPr>
        <w:spacing w:before="120"/>
        <w:rPr>
          <w:b/>
          <w:sz w:val="24"/>
          <w:szCs w:val="24"/>
        </w:rPr>
      </w:pPr>
      <w:r w:rsidRPr="007512BE">
        <w:rPr>
          <w:b/>
          <w:bCs/>
          <w:sz w:val="24"/>
          <w:szCs w:val="24"/>
        </w:rPr>
        <w:t>Комитет по правам человека</w:t>
      </w:r>
    </w:p>
    <w:p w14:paraId="38D68540" w14:textId="77777777" w:rsidR="007512BE" w:rsidRPr="00960BE6" w:rsidRDefault="007512BE" w:rsidP="007512BE">
      <w:pPr>
        <w:pStyle w:val="HChG"/>
      </w:pPr>
      <w:r>
        <w:tab/>
      </w:r>
      <w:r>
        <w:tab/>
      </w:r>
      <w:r>
        <w:rPr>
          <w:bCs/>
        </w:rPr>
        <w:t>Заключительные замечания в отсутствие первоначального доклада Доминики</w:t>
      </w:r>
      <w:r w:rsidRPr="007D398E">
        <w:rPr>
          <w:b w:val="0"/>
          <w:bCs/>
          <w:sz w:val="20"/>
        </w:rPr>
        <w:footnoteReference w:customMarkFollows="1" w:id="1"/>
        <w:t xml:space="preserve">* </w:t>
      </w:r>
    </w:p>
    <w:p w14:paraId="18C2ABC3" w14:textId="77777777" w:rsidR="007512BE" w:rsidRPr="00960BE6" w:rsidRDefault="007512BE" w:rsidP="007512BE">
      <w:pPr>
        <w:pStyle w:val="SingleTxtG"/>
      </w:pPr>
      <w:r>
        <w:t>1.</w:t>
      </w:r>
      <w:r>
        <w:tab/>
        <w:t>В отсутствие доклада государства-участника Комитет рассмотрел положение в области гражданских и политических прав в Доминике согласно Пакту на своих 3702</w:t>
      </w:r>
      <w:r w:rsidR="008F1654">
        <w:noBreakHyphen/>
      </w:r>
      <w:r>
        <w:t>м и 3703-м заседаниях (см. CCPR/C/SR.3702 и 3703), состоявшихся в формате открытых заседаний 10 и 11 марта 2020 года. Согласно пункту 1 правила 71 правил процедуры Комитета</w:t>
      </w:r>
      <w:r w:rsidR="008F1654">
        <w:t>,</w:t>
      </w:r>
      <w:r>
        <w:t xml:space="preserve"> в случае, когда государство-участник не представило свой доклад в соответствии со статьей 40 Пакта, Комитет может рассмотреть на открытом заседании меры, принятые государством-участником для осуществления признаваемых в Пакте прав, и принять заключительные замечания.</w:t>
      </w:r>
    </w:p>
    <w:p w14:paraId="7F442490" w14:textId="77777777" w:rsidR="007512BE" w:rsidRPr="00960BE6" w:rsidRDefault="007512BE" w:rsidP="007512BE">
      <w:pPr>
        <w:pStyle w:val="SingleTxtG"/>
      </w:pPr>
      <w:r>
        <w:t>2.</w:t>
      </w:r>
      <w:r>
        <w:tab/>
        <w:t>27 марта 2020 года Комитет принял следующие заключительные замечания.</w:t>
      </w:r>
    </w:p>
    <w:p w14:paraId="743BA883" w14:textId="77777777" w:rsidR="007512BE" w:rsidRPr="00960BE6" w:rsidRDefault="007512BE" w:rsidP="007512BE">
      <w:pPr>
        <w:pStyle w:val="H1G"/>
      </w:pPr>
      <w:r>
        <w:tab/>
        <w:t>A.</w:t>
      </w:r>
      <w:r>
        <w:tab/>
      </w:r>
      <w:r w:rsidRPr="00960BE6">
        <w:tab/>
      </w:r>
      <w:r>
        <w:rPr>
          <w:bCs/>
        </w:rPr>
        <w:t>Введение</w:t>
      </w:r>
    </w:p>
    <w:p w14:paraId="2FBCA1B4" w14:textId="77777777" w:rsidR="007512BE" w:rsidRPr="00960BE6" w:rsidRDefault="007512BE" w:rsidP="007512BE">
      <w:pPr>
        <w:pStyle w:val="SingleTxtG"/>
      </w:pPr>
      <w:r>
        <w:t>3.</w:t>
      </w:r>
      <w:r>
        <w:tab/>
        <w:t>Пакт вступил в силу для Доминики 17 июня 1993 года. Государство-участник было обязано представить свой первый периодический доклад к 16 сентября 1994 года. Комитет сожалеет о том, что государство-участник не выполнило свои обязательства по представлению доклада в соответствии со статьей 40 Пакта и, несмотря на многочисленные напоминания, не представило свой первый периодический доклад.</w:t>
      </w:r>
    </w:p>
    <w:p w14:paraId="72943075" w14:textId="77777777" w:rsidR="007512BE" w:rsidRPr="00960BE6" w:rsidRDefault="007512BE" w:rsidP="007512BE">
      <w:pPr>
        <w:pStyle w:val="SingleTxtG"/>
      </w:pPr>
      <w:r>
        <w:t>4.</w:t>
      </w:r>
      <w:r>
        <w:tab/>
        <w:t>Комитет, тем не менее, высоко ценит предоставленную ему возможность провести с делегацией государства-участника конструктивный диалог по вопросу об осуществлении положений Пакта. Комитет благодарит государство-участник за его письменные ответы (CCPR/C/DMA/RQAR/1) на перечень вопросов (CCPR/C/DMA/Q/1/Add.1), которые были дополнены устными ответами делегации, а</w:t>
      </w:r>
      <w:r w:rsidR="008F1654">
        <w:t> </w:t>
      </w:r>
      <w:r>
        <w:t>также за представленную ему в письменном виде дополнительную информацию.</w:t>
      </w:r>
    </w:p>
    <w:p w14:paraId="3A13EFF1" w14:textId="77777777" w:rsidR="007512BE" w:rsidRPr="00960BE6" w:rsidRDefault="007512BE" w:rsidP="007512BE">
      <w:pPr>
        <w:pStyle w:val="SingleTxtG"/>
      </w:pPr>
      <w:r>
        <w:t>5.</w:t>
      </w:r>
      <w:r>
        <w:tab/>
        <w:t>С учетом конструктивного диалога, который Комитет провел с делегацией государства-участника, Комитет рассматривает письменные ответы на перечень вопросов Комитета в качестве первого периодического доклада государства-участника и просит государство-участник представить общий базовый документ в целях содействия будущему диалогу.</w:t>
      </w:r>
    </w:p>
    <w:p w14:paraId="29E8B8B5" w14:textId="77777777" w:rsidR="007512BE" w:rsidRPr="00960BE6" w:rsidRDefault="007512BE" w:rsidP="007512BE">
      <w:pPr>
        <w:pStyle w:val="H1G"/>
      </w:pPr>
      <w:r>
        <w:tab/>
        <w:t>B.</w:t>
      </w:r>
      <w:r>
        <w:tab/>
      </w:r>
      <w:r>
        <w:tab/>
      </w:r>
      <w:r>
        <w:rPr>
          <w:bCs/>
        </w:rPr>
        <w:t>Позитивные аспекты</w:t>
      </w:r>
    </w:p>
    <w:p w14:paraId="6002CE85" w14:textId="77777777" w:rsidR="007512BE" w:rsidRPr="00960BE6" w:rsidRDefault="007512BE" w:rsidP="007512BE">
      <w:pPr>
        <w:pStyle w:val="SingleTxtG"/>
      </w:pPr>
      <w:r>
        <w:t>6.</w:t>
      </w:r>
      <w:r>
        <w:tab/>
        <w:t>Комитет приветствует принятые государством-участником следующие законодательные, институциональные и политические меры:</w:t>
      </w:r>
    </w:p>
    <w:p w14:paraId="66B9AB31" w14:textId="77777777" w:rsidR="007512BE" w:rsidRPr="00960BE6" w:rsidRDefault="007512BE" w:rsidP="007512BE">
      <w:pPr>
        <w:pStyle w:val="SingleTxtG"/>
      </w:pPr>
      <w:r>
        <w:lastRenderedPageBreak/>
        <w:tab/>
      </w:r>
      <w:r>
        <w:tab/>
        <w:t>a)</w:t>
      </w:r>
      <w:r>
        <w:tab/>
        <w:t>программы, направленные на повышение равенства между мужчинами и женщинами и назначение женщин на должности высокого уровня в государственном и частном секторах;</w:t>
      </w:r>
    </w:p>
    <w:p w14:paraId="7BE95FB2" w14:textId="77777777" w:rsidR="007512BE" w:rsidRPr="00960BE6" w:rsidRDefault="007512BE" w:rsidP="007512BE">
      <w:pPr>
        <w:pStyle w:val="SingleTxtG"/>
      </w:pPr>
      <w:r>
        <w:tab/>
      </w:r>
      <w:r>
        <w:tab/>
        <w:t>b)</w:t>
      </w:r>
      <w:r>
        <w:tab/>
        <w:t>меры по защите женщин от насилия, включая криминализацию изнасилования в браке в Законе о сексуальных преступлениях 2016 года, разработку Закона о защите от насилия в семье 2001 года и программы по предупреждению такого насилия;</w:t>
      </w:r>
    </w:p>
    <w:p w14:paraId="43093B41" w14:textId="77777777" w:rsidR="007512BE" w:rsidRPr="00960BE6" w:rsidRDefault="007512BE" w:rsidP="007512BE">
      <w:pPr>
        <w:pStyle w:val="SingleTxtG"/>
      </w:pPr>
      <w:r>
        <w:tab/>
      </w:r>
      <w:r>
        <w:tab/>
        <w:t>c)</w:t>
      </w:r>
      <w:r>
        <w:tab/>
        <w:t>меры по защите населения от последствий изменения климата, включая принятие Закона об устойчивости к изменению климата 2018 года, а также программы, направленные на смягчение последствий изменения климата и адаптацию к ним;</w:t>
      </w:r>
    </w:p>
    <w:p w14:paraId="543315BD" w14:textId="77777777" w:rsidR="007512BE" w:rsidRPr="00960BE6" w:rsidRDefault="007512BE" w:rsidP="007512BE">
      <w:pPr>
        <w:pStyle w:val="SingleTxtG"/>
      </w:pPr>
      <w:r>
        <w:tab/>
      </w:r>
      <w:r>
        <w:tab/>
        <w:t>d)</w:t>
      </w:r>
      <w:r>
        <w:tab/>
        <w:t>инициирование процесса пересмотра и реформирования национальных правовых положений в стране.</w:t>
      </w:r>
    </w:p>
    <w:p w14:paraId="46D5C76E" w14:textId="77777777" w:rsidR="007512BE" w:rsidRPr="00960BE6" w:rsidRDefault="007512BE" w:rsidP="007512BE">
      <w:pPr>
        <w:pStyle w:val="SingleTxtG"/>
      </w:pPr>
      <w:r>
        <w:t>7.</w:t>
      </w:r>
      <w:r>
        <w:tab/>
        <w:t>Комитет приветствует также ратификацию государством-участником следующих международных договоров или его присоединение к ним:</w:t>
      </w:r>
    </w:p>
    <w:p w14:paraId="1250A3A6" w14:textId="77777777" w:rsidR="007512BE" w:rsidRPr="00960BE6" w:rsidRDefault="007512BE" w:rsidP="007512BE">
      <w:pPr>
        <w:pStyle w:val="SingleTxtG"/>
      </w:pPr>
      <w:r>
        <w:tab/>
      </w:r>
      <w:r>
        <w:tab/>
        <w:t>a)</w:t>
      </w:r>
      <w:r>
        <w:tab/>
        <w:t>Международной конвенции для защиты всех лиц от насильственных исчезновений, 13 мая 2019 года;</w:t>
      </w:r>
    </w:p>
    <w:p w14:paraId="3AA2E53B" w14:textId="77777777" w:rsidR="007512BE" w:rsidRPr="00960BE6" w:rsidRDefault="007512BE" w:rsidP="007512BE">
      <w:pPr>
        <w:pStyle w:val="SingleTxtG"/>
      </w:pPr>
      <w:r>
        <w:tab/>
      </w:r>
      <w:r>
        <w:tab/>
        <w:t>b)</w:t>
      </w:r>
      <w:r>
        <w:tab/>
        <w:t>Международной конвенции о ликвидации всех форм расовой дискриминации, 13 мая 2019 года;</w:t>
      </w:r>
    </w:p>
    <w:p w14:paraId="1640DEAE" w14:textId="77777777" w:rsidR="007512BE" w:rsidRPr="00960BE6" w:rsidRDefault="007512BE" w:rsidP="007512BE">
      <w:pPr>
        <w:pStyle w:val="SingleTxtG"/>
      </w:pPr>
      <w:r>
        <w:tab/>
      </w:r>
      <w:r>
        <w:tab/>
        <w:t>c)</w:t>
      </w:r>
      <w:r>
        <w:tab/>
        <w:t>Конвенции о правах инвалидов, 1 октября 2012 года;</w:t>
      </w:r>
    </w:p>
    <w:p w14:paraId="51AB6F4F" w14:textId="77777777" w:rsidR="007512BE" w:rsidRPr="00960BE6" w:rsidRDefault="007512BE" w:rsidP="007512BE">
      <w:pPr>
        <w:pStyle w:val="SingleTxtG"/>
      </w:pPr>
      <w:r>
        <w:tab/>
      </w:r>
      <w:r>
        <w:tab/>
        <w:t>d)</w:t>
      </w:r>
      <w:r>
        <w:tab/>
        <w:t>Факультативного протокола к Конвенции о правах ребенка, касающегося участия детей в вооруженных конфликтах, 20 сентября 2002 года;</w:t>
      </w:r>
    </w:p>
    <w:p w14:paraId="38DA0915" w14:textId="77777777" w:rsidR="007512BE" w:rsidRPr="00960BE6" w:rsidRDefault="007512BE" w:rsidP="007512BE">
      <w:pPr>
        <w:pStyle w:val="SingleTxtG"/>
      </w:pPr>
      <w:r>
        <w:tab/>
      </w:r>
      <w:r>
        <w:tab/>
        <w:t>e)</w:t>
      </w:r>
      <w:r>
        <w:tab/>
        <w:t>Факультативного протокола к Конвенции о правах ребенка, касающегося торговли детьми, детской проституции и детской порнографии, 20 сентября 2002 года.</w:t>
      </w:r>
    </w:p>
    <w:p w14:paraId="1F9B4D3D" w14:textId="77777777" w:rsidR="007512BE" w:rsidRPr="00960BE6" w:rsidRDefault="007512BE" w:rsidP="007512BE">
      <w:pPr>
        <w:pStyle w:val="H1G"/>
      </w:pPr>
      <w:r>
        <w:tab/>
        <w:t>C.</w:t>
      </w:r>
      <w:r>
        <w:tab/>
      </w:r>
      <w:r>
        <w:tab/>
      </w:r>
      <w:r>
        <w:rPr>
          <w:bCs/>
        </w:rPr>
        <w:t>Основные вопросы, вызывающие обеспокоенность, и</w:t>
      </w:r>
      <w:r>
        <w:rPr>
          <w:bCs/>
          <w:lang w:val="fr-CH"/>
        </w:rPr>
        <w:t> </w:t>
      </w:r>
      <w:r>
        <w:rPr>
          <w:bCs/>
        </w:rPr>
        <w:t>рекомендации</w:t>
      </w:r>
    </w:p>
    <w:p w14:paraId="23EED223" w14:textId="77777777" w:rsidR="007512BE" w:rsidRPr="00960BE6" w:rsidRDefault="007512BE" w:rsidP="007512BE">
      <w:pPr>
        <w:pStyle w:val="H23G"/>
      </w:pPr>
      <w:r>
        <w:tab/>
      </w:r>
      <w:r>
        <w:tab/>
      </w:r>
      <w:r>
        <w:rPr>
          <w:bCs/>
        </w:rPr>
        <w:t>Применение Пакта во внутреннем праве и распространение информации о нем</w:t>
      </w:r>
      <w:r>
        <w:t xml:space="preserve"> </w:t>
      </w:r>
    </w:p>
    <w:p w14:paraId="1C004C4D" w14:textId="77777777" w:rsidR="007512BE" w:rsidRPr="00960BE6" w:rsidRDefault="007512BE" w:rsidP="007512BE">
      <w:pPr>
        <w:pStyle w:val="SingleTxtG"/>
      </w:pPr>
      <w:r>
        <w:t>8.</w:t>
      </w:r>
      <w:r>
        <w:tab/>
        <w:t>Комитет обеспокоен тем, что Пакт еще не в полной мере применяется во внутренней правовой системе, а также отсутствием информации о делах, в которых суды ссылались на положения Пакта. Он также обеспокоен недостаточным участием гражданского общества в процессе подготовки доклада государства-участника. Комитет напоминает государству-участнику о его обязательстве по статье 2 Пакта и обращает его внимание на принятое Комитетом замечание общего порядка № 31 (2004) о характере общего юридического обязательства, налагаемого на государства – участники Пакта. Комитет приветствует информацию о том, что государство-участник рассматривает возможность ратификации первого Факультативного протокола (статья</w:t>
      </w:r>
      <w:r w:rsidR="008F1654">
        <w:t> </w:t>
      </w:r>
      <w:r>
        <w:t>2).</w:t>
      </w:r>
    </w:p>
    <w:p w14:paraId="527BF9AB" w14:textId="77777777" w:rsidR="007512BE" w:rsidRPr="00960BE6" w:rsidRDefault="007512BE" w:rsidP="007512BE">
      <w:pPr>
        <w:pStyle w:val="SingleTxtG"/>
        <w:rPr>
          <w:b/>
          <w:bCs/>
        </w:rPr>
      </w:pPr>
      <w:r>
        <w:t>9.</w:t>
      </w:r>
      <w:r>
        <w:tab/>
      </w:r>
      <w:r>
        <w:rPr>
          <w:b/>
          <w:bCs/>
        </w:rPr>
        <w:t>Государству-участнику следует:</w:t>
      </w:r>
    </w:p>
    <w:p w14:paraId="7925EAD6" w14:textId="77777777" w:rsidR="007512BE" w:rsidRPr="00960BE6" w:rsidRDefault="007512BE" w:rsidP="007512BE">
      <w:pPr>
        <w:pStyle w:val="SingleTxtG"/>
        <w:rPr>
          <w:b/>
          <w:bCs/>
        </w:rPr>
      </w:pPr>
      <w:r>
        <w:tab/>
      </w:r>
      <w:r>
        <w:tab/>
      </w:r>
      <w:r w:rsidRPr="007512BE">
        <w:rPr>
          <w:b/>
          <w:bCs/>
        </w:rPr>
        <w:t>a)</w:t>
      </w:r>
      <w:r>
        <w:tab/>
      </w:r>
      <w:r>
        <w:rPr>
          <w:b/>
          <w:bCs/>
        </w:rPr>
        <w:t>оценивать и при необходимости пересматривать положения внутреннего законодательства для обеспечения дальнейшего согласования с правами, гарантируемыми Пактом, и обеспечения толкования и применения внутренних законов в соответствии со своими обязательствами по Пакту;</w:t>
      </w:r>
    </w:p>
    <w:p w14:paraId="3EAF0C27" w14:textId="77777777" w:rsidR="007512BE" w:rsidRPr="00960BE6" w:rsidRDefault="007512BE" w:rsidP="007512BE">
      <w:pPr>
        <w:pStyle w:val="SingleTxtG"/>
        <w:rPr>
          <w:b/>
          <w:bCs/>
        </w:rPr>
      </w:pPr>
      <w:r>
        <w:tab/>
      </w:r>
      <w:r>
        <w:tab/>
      </w:r>
      <w:r w:rsidRPr="007512BE">
        <w:rPr>
          <w:b/>
          <w:bCs/>
        </w:rPr>
        <w:t>b)</w:t>
      </w:r>
      <w:r>
        <w:tab/>
      </w:r>
      <w:r>
        <w:rPr>
          <w:b/>
          <w:bCs/>
        </w:rPr>
        <w:t>активизировать свои усилия по повышению осведомленности о Пакте среди населения в целом, представителей гражданского общества, государственных служащих, адвокатов и таких представителей государства, как судьи и прокуроры;</w:t>
      </w:r>
    </w:p>
    <w:p w14:paraId="5C720A1C" w14:textId="77777777" w:rsidR="007512BE" w:rsidRPr="00960BE6" w:rsidRDefault="007512BE" w:rsidP="007512BE">
      <w:pPr>
        <w:pStyle w:val="SingleTxtG"/>
        <w:rPr>
          <w:b/>
          <w:bCs/>
        </w:rPr>
      </w:pPr>
      <w:r>
        <w:tab/>
      </w:r>
      <w:r>
        <w:tab/>
      </w:r>
      <w:r w:rsidRPr="007512BE">
        <w:rPr>
          <w:b/>
          <w:bCs/>
        </w:rPr>
        <w:t>c)</w:t>
      </w:r>
      <w:r>
        <w:tab/>
      </w:r>
      <w:r>
        <w:rPr>
          <w:b/>
          <w:bCs/>
        </w:rPr>
        <w:t>выделять достаточные бюджетные ресурсы на осуществление всех прав, закрепленных в Пакте;</w:t>
      </w:r>
      <w:r>
        <w:t xml:space="preserve"> </w:t>
      </w:r>
    </w:p>
    <w:p w14:paraId="1DFABB20" w14:textId="77777777" w:rsidR="007512BE" w:rsidRPr="00960BE6" w:rsidRDefault="007512BE" w:rsidP="007512BE">
      <w:pPr>
        <w:pStyle w:val="SingleTxtG"/>
        <w:rPr>
          <w:b/>
          <w:bCs/>
        </w:rPr>
      </w:pPr>
      <w:r>
        <w:lastRenderedPageBreak/>
        <w:tab/>
      </w:r>
      <w:r>
        <w:tab/>
      </w:r>
      <w:r w:rsidRPr="007512BE">
        <w:rPr>
          <w:b/>
          <w:bCs/>
        </w:rPr>
        <w:t>d)</w:t>
      </w:r>
      <w:r>
        <w:tab/>
      </w:r>
      <w:r>
        <w:rPr>
          <w:b/>
          <w:bCs/>
        </w:rPr>
        <w:t>продолжить рассмотрение вопроса о ратификации первого Факультативного протокола к Пакту, который устанавливает механизм рассмотрения индивидуальных жалоб.</w:t>
      </w:r>
    </w:p>
    <w:p w14:paraId="36E98421" w14:textId="77777777" w:rsidR="007512BE" w:rsidRPr="00960BE6" w:rsidRDefault="007512BE" w:rsidP="007512BE">
      <w:pPr>
        <w:pStyle w:val="H23G"/>
      </w:pPr>
      <w:r>
        <w:tab/>
      </w:r>
      <w:r>
        <w:tab/>
      </w:r>
      <w:r>
        <w:rPr>
          <w:bCs/>
        </w:rPr>
        <w:t>Национальные правозащитные учреждения</w:t>
      </w:r>
      <w:r>
        <w:t xml:space="preserve"> </w:t>
      </w:r>
    </w:p>
    <w:p w14:paraId="377EC719" w14:textId="77777777" w:rsidR="007512BE" w:rsidRPr="00960BE6" w:rsidRDefault="007512BE" w:rsidP="007512BE">
      <w:pPr>
        <w:pStyle w:val="SingleTxtG"/>
      </w:pPr>
      <w:r>
        <w:t>10.</w:t>
      </w:r>
      <w:r>
        <w:tab/>
        <w:t xml:space="preserve">Комитет обеспокоен отсутствием независимого органа, соответствующего  принципам, касающимся статуса национальных учреждений, занимающихся поощрением и защитой прав человека (Парижские принципы). Отмечая намерение государства-участника, выраженное в ходе конструктивного диалога, создать такое учреждение и признавая проблемы с потенциалом, с которыми сталкивается государство-участник, Комитет в то же время сожалеет об отсутствии подробной информации о конкретных действиях или сроках для достижения этой цели. Кроме того, Комитет обеспокоен тем, что, хотя государство-участник и учредило должность Парламентского уполномоченного, она остается незаполненной (статья 2). </w:t>
      </w:r>
    </w:p>
    <w:p w14:paraId="15A8CD25" w14:textId="77777777" w:rsidR="007512BE" w:rsidRPr="00960BE6" w:rsidRDefault="007512BE" w:rsidP="007512BE">
      <w:pPr>
        <w:pStyle w:val="SingleTxtG"/>
        <w:rPr>
          <w:b/>
          <w:bCs/>
        </w:rPr>
      </w:pPr>
      <w:r>
        <w:t>11.</w:t>
      </w:r>
      <w:r>
        <w:tab/>
      </w:r>
      <w:r>
        <w:rPr>
          <w:b/>
          <w:bCs/>
        </w:rPr>
        <w:t>Государству-участнику следует незамедлительно создать национальное учреждение для поощрения и защиты прав человека в соответствии с Парижскими принципами.</w:t>
      </w:r>
      <w:r>
        <w:t xml:space="preserve"> </w:t>
      </w:r>
      <w:r>
        <w:rPr>
          <w:b/>
          <w:bCs/>
        </w:rPr>
        <w:t>Ему следует принять меры для обеспечения безотлагательного осуществления функций Парламентского уполномоченного и эффективного выполнения его мандата.</w:t>
      </w:r>
      <w:r>
        <w:t xml:space="preserve"> </w:t>
      </w:r>
    </w:p>
    <w:p w14:paraId="07D2CDBA" w14:textId="77777777" w:rsidR="007512BE" w:rsidRPr="00960BE6" w:rsidRDefault="007512BE" w:rsidP="007512BE">
      <w:pPr>
        <w:pStyle w:val="H23G"/>
      </w:pPr>
      <w:r>
        <w:tab/>
      </w:r>
      <w:r>
        <w:tab/>
      </w:r>
      <w:r>
        <w:rPr>
          <w:bCs/>
        </w:rPr>
        <w:t>Нормативно-правовая база для борьбы с дискриминацией</w:t>
      </w:r>
      <w:r>
        <w:t xml:space="preserve"> </w:t>
      </w:r>
    </w:p>
    <w:p w14:paraId="3D2AFE69" w14:textId="77777777" w:rsidR="007512BE" w:rsidRPr="00960BE6" w:rsidRDefault="007512BE" w:rsidP="007512BE">
      <w:pPr>
        <w:pStyle w:val="SingleTxtG"/>
      </w:pPr>
      <w:r>
        <w:t>12.</w:t>
      </w:r>
      <w:r>
        <w:tab/>
        <w:t>Признавая, что Конституция запрещает дискриминацию, Комитет вместе с тем обеспокоен отсутствием всеобъемлющего антидискриминационного законодательства, охватывающего все признаки, запрещенные Пактом. Он также с озабоченностью отмечает отсутствие информации о том, планируется ли разработка таких правовых положений (статьи 2 и 26).</w:t>
      </w:r>
    </w:p>
    <w:p w14:paraId="356ED192" w14:textId="77777777" w:rsidR="007512BE" w:rsidRPr="00960BE6" w:rsidRDefault="007512BE" w:rsidP="007512BE">
      <w:pPr>
        <w:pStyle w:val="SingleTxtG"/>
        <w:rPr>
          <w:b/>
          <w:bCs/>
        </w:rPr>
      </w:pPr>
      <w:r>
        <w:t>13.</w:t>
      </w:r>
      <w:r>
        <w:tab/>
      </w:r>
      <w:r>
        <w:rPr>
          <w:b/>
          <w:bCs/>
        </w:rPr>
        <w:t>Государству-участнику следует:</w:t>
      </w:r>
    </w:p>
    <w:p w14:paraId="776A9631" w14:textId="77777777" w:rsidR="007512BE" w:rsidRPr="00960BE6" w:rsidRDefault="007512BE" w:rsidP="007512BE">
      <w:pPr>
        <w:pStyle w:val="SingleTxtG"/>
        <w:rPr>
          <w:b/>
          <w:bCs/>
        </w:rPr>
      </w:pPr>
      <w:r>
        <w:tab/>
      </w:r>
      <w:r>
        <w:tab/>
      </w:r>
      <w:r w:rsidRPr="007512BE">
        <w:rPr>
          <w:b/>
          <w:bCs/>
        </w:rPr>
        <w:t>a)</w:t>
      </w:r>
      <w:r>
        <w:tab/>
      </w:r>
      <w:r>
        <w:rPr>
          <w:b/>
          <w:bCs/>
        </w:rPr>
        <w:t>обеспечить полную и эффективную защиту от дискриминации во всех сферах общественной и частной жизни и запретить прямую и косвенную дискриминацию;</w:t>
      </w:r>
    </w:p>
    <w:p w14:paraId="4F10D2EE" w14:textId="77777777" w:rsidR="007512BE" w:rsidRPr="00960BE6" w:rsidRDefault="007512BE" w:rsidP="007512BE">
      <w:pPr>
        <w:pStyle w:val="SingleTxtG"/>
        <w:rPr>
          <w:b/>
          <w:bCs/>
        </w:rPr>
      </w:pPr>
      <w:r>
        <w:tab/>
      </w:r>
      <w:r>
        <w:tab/>
      </w:r>
      <w:r w:rsidRPr="007512BE">
        <w:rPr>
          <w:b/>
          <w:bCs/>
        </w:rPr>
        <w:t>b)</w:t>
      </w:r>
      <w:r>
        <w:tab/>
      </w:r>
      <w:r>
        <w:rPr>
          <w:b/>
          <w:bCs/>
        </w:rPr>
        <w:t>принять законодательство, содержащее полный перечень оснований для дискриминации в соответствии с Пактом;</w:t>
      </w:r>
    </w:p>
    <w:p w14:paraId="5378DB7D" w14:textId="5323DCC7" w:rsidR="007512BE" w:rsidRPr="00960BE6" w:rsidRDefault="007512BE" w:rsidP="007512BE">
      <w:pPr>
        <w:pStyle w:val="SingleTxtG"/>
        <w:rPr>
          <w:b/>
          <w:bCs/>
        </w:rPr>
      </w:pPr>
      <w:r>
        <w:tab/>
      </w:r>
      <w:r>
        <w:tab/>
      </w:r>
      <w:r w:rsidRPr="007512BE">
        <w:rPr>
          <w:b/>
          <w:bCs/>
        </w:rPr>
        <w:t>c)</w:t>
      </w:r>
      <w:r>
        <w:tab/>
      </w:r>
      <w:r>
        <w:rPr>
          <w:b/>
          <w:bCs/>
        </w:rPr>
        <w:t>обеспечить наличие механизма подачи жалоб и эффективных и доступных средств правовой защиты в отношении всех форм дискриминации и собирать дезагрегированные данные о таких жалобах и результатах их рассмотрения</w:t>
      </w:r>
      <w:r w:rsidR="00AC1DF9">
        <w:rPr>
          <w:b/>
          <w:bCs/>
        </w:rPr>
        <w:t>.</w:t>
      </w:r>
    </w:p>
    <w:p w14:paraId="5E891AE2" w14:textId="77777777" w:rsidR="007512BE" w:rsidRPr="00960BE6" w:rsidRDefault="007512BE" w:rsidP="007512BE">
      <w:pPr>
        <w:pStyle w:val="H23G"/>
      </w:pPr>
      <w:r>
        <w:tab/>
      </w:r>
      <w:r>
        <w:tab/>
      </w:r>
      <w:r>
        <w:rPr>
          <w:bCs/>
        </w:rPr>
        <w:t>Дискриминация по признаку сексуальной ориентации и гендерной идентичности</w:t>
      </w:r>
    </w:p>
    <w:p w14:paraId="4CD92D16" w14:textId="77777777" w:rsidR="007512BE" w:rsidRPr="00960BE6" w:rsidRDefault="007512BE" w:rsidP="007512BE">
      <w:pPr>
        <w:pStyle w:val="SingleTxtG"/>
      </w:pPr>
      <w:r>
        <w:t>14.</w:t>
      </w:r>
      <w:r>
        <w:tab/>
        <w:t>Комитет обеспокоен тем, что дискриминация по признаку сексуальной ориентации и гендерной идентичности не запрещена Конституцией или внутренними законами государства-участника и что однополые отношения между взрослыми лицами по обоюдному согласию по-прежнему криминализируются в соответствии с Законом 1998 года о сексуальных преступлениях, предусматривающим наказания, включающие лишение свободы на срок до 25 лет и принудительное психиатрическое лечение. Принимая к сведению позицию государства-участника, согласно которой уголовная ответственность по общему праву за однополые отношения между мужчинами (содомия) не применяется на практике, Комитет в то же время обеспокоен имеющим место намерением оставить этот закон в силе и сохраняющимися дискриминационными последствиями данного закона для лесбиянок, геев, бисексуалов и трансгендеров. В этом отношении Комитет обеспокоен тем, что в 2009</w:t>
      </w:r>
      <w:r w:rsidR="002C2A98">
        <w:t> </w:t>
      </w:r>
      <w:r>
        <w:t xml:space="preserve">году по делу </w:t>
      </w:r>
      <w:r>
        <w:rPr>
          <w:i/>
          <w:iCs/>
        </w:rPr>
        <w:t>Клем Филберт против государства</w:t>
      </w:r>
      <w:r>
        <w:t xml:space="preserve"> был отменен обвинительный приговор за совершение убийства, поскольку было сочтено, что потерпевший совершил </w:t>
      </w:r>
      <w:r w:rsidR="008F1654">
        <w:t>«</w:t>
      </w:r>
      <w:r>
        <w:t>противоестественные домогательства</w:t>
      </w:r>
      <w:r w:rsidR="008F1654">
        <w:t>»</w:t>
      </w:r>
      <w:r>
        <w:t xml:space="preserve"> по отношению к обвиняемому, </w:t>
      </w:r>
      <w:r>
        <w:lastRenderedPageBreak/>
        <w:t>в</w:t>
      </w:r>
      <w:r w:rsidR="002C2A98">
        <w:t> </w:t>
      </w:r>
      <w:r>
        <w:t xml:space="preserve">результате чего возникла ситуация </w:t>
      </w:r>
      <w:r w:rsidR="002C2A98">
        <w:t>«</w:t>
      </w:r>
      <w:r>
        <w:t>убийства при оправдывающих вину обстоятельствах</w:t>
      </w:r>
      <w:r w:rsidR="002C2A98">
        <w:t>»</w:t>
      </w:r>
      <w:r>
        <w:t xml:space="preserve"> (статьи 2, 6, 7, 17 и 26).</w:t>
      </w:r>
    </w:p>
    <w:p w14:paraId="42A38ECB" w14:textId="77777777" w:rsidR="007512BE" w:rsidRPr="00960BE6" w:rsidRDefault="007512BE" w:rsidP="007512BE">
      <w:pPr>
        <w:pStyle w:val="SingleTxtG"/>
        <w:rPr>
          <w:b/>
          <w:bCs/>
        </w:rPr>
      </w:pPr>
      <w:r>
        <w:t>15.</w:t>
      </w:r>
      <w:r>
        <w:tab/>
      </w:r>
      <w:r>
        <w:rPr>
          <w:b/>
          <w:bCs/>
        </w:rPr>
        <w:t>Государству-участнику следует принять надлежащие меры к тому, чтобы:</w:t>
      </w:r>
      <w:r>
        <w:t xml:space="preserve"> </w:t>
      </w:r>
    </w:p>
    <w:p w14:paraId="17A9C782" w14:textId="77777777" w:rsidR="007512BE" w:rsidRPr="00960BE6" w:rsidRDefault="007512BE" w:rsidP="007512BE">
      <w:pPr>
        <w:pStyle w:val="SingleTxtG"/>
        <w:rPr>
          <w:b/>
          <w:bCs/>
        </w:rPr>
      </w:pPr>
      <w:r>
        <w:tab/>
      </w:r>
      <w:r>
        <w:tab/>
      </w:r>
      <w:r w:rsidRPr="007512BE">
        <w:rPr>
          <w:b/>
          <w:bCs/>
        </w:rPr>
        <w:t>a)</w:t>
      </w:r>
      <w:r>
        <w:tab/>
      </w:r>
      <w:r>
        <w:rPr>
          <w:b/>
          <w:bCs/>
        </w:rPr>
        <w:t>устранить дискриминационное отношение и стигматизацию в отношении лесбиянок, геев, бисексуалов и трансгендеров, в том числе путем проведения всеобъемлющих информационно-просветительских и пропагандистских мероприятий;</w:t>
      </w:r>
    </w:p>
    <w:p w14:paraId="67577DD2" w14:textId="77777777" w:rsidR="007512BE" w:rsidRPr="00960BE6" w:rsidRDefault="007512BE" w:rsidP="007512BE">
      <w:pPr>
        <w:pStyle w:val="SingleTxtG"/>
        <w:rPr>
          <w:b/>
          <w:bCs/>
        </w:rPr>
      </w:pPr>
      <w:r>
        <w:tab/>
      </w:r>
      <w:r>
        <w:tab/>
      </w:r>
      <w:r w:rsidRPr="007512BE">
        <w:rPr>
          <w:b/>
          <w:bCs/>
        </w:rPr>
        <w:t>b)</w:t>
      </w:r>
      <w:r>
        <w:tab/>
      </w:r>
      <w:r>
        <w:rPr>
          <w:b/>
          <w:bCs/>
        </w:rPr>
        <w:t>принять всеобъемлющее законодательство, которое бы обеспечивало полноценную и эффективную защиту от дискриминации во всех сферах и содержало полный перечень запрещенных оснований для дискриминации, включая сексуальную ориентацию и гендерную идентичность;</w:t>
      </w:r>
      <w:r>
        <w:t xml:space="preserve"> </w:t>
      </w:r>
    </w:p>
    <w:p w14:paraId="2282D8F4" w14:textId="77777777" w:rsidR="007512BE" w:rsidRPr="00960BE6" w:rsidRDefault="007512BE" w:rsidP="007512BE">
      <w:pPr>
        <w:pStyle w:val="SingleTxtG"/>
        <w:rPr>
          <w:b/>
          <w:bCs/>
        </w:rPr>
      </w:pPr>
      <w:r>
        <w:tab/>
      </w:r>
      <w:r>
        <w:tab/>
      </w:r>
      <w:r w:rsidRPr="007512BE">
        <w:rPr>
          <w:b/>
          <w:bCs/>
        </w:rPr>
        <w:t>c)</w:t>
      </w:r>
      <w:r>
        <w:tab/>
      </w:r>
      <w:r>
        <w:rPr>
          <w:b/>
          <w:bCs/>
        </w:rPr>
        <w:t>внести поправки во все соответствующие законы, включая статьи 14 и 16 Закона 1998 года о сексуальных преступлениях, с целью декриминализировать половые отношения по обоюдному согласию между совершеннолетними лицами одного пола;</w:t>
      </w:r>
    </w:p>
    <w:p w14:paraId="10C9BF31" w14:textId="77777777" w:rsidR="007512BE" w:rsidRPr="00960BE6" w:rsidRDefault="007512BE" w:rsidP="007512BE">
      <w:pPr>
        <w:pStyle w:val="SingleTxtG"/>
        <w:rPr>
          <w:b/>
          <w:bCs/>
        </w:rPr>
      </w:pPr>
      <w:r>
        <w:tab/>
      </w:r>
      <w:r>
        <w:tab/>
      </w:r>
      <w:r w:rsidRPr="007512BE">
        <w:rPr>
          <w:b/>
          <w:bCs/>
        </w:rPr>
        <w:t>d)</w:t>
      </w:r>
      <w:r>
        <w:tab/>
      </w:r>
      <w:r>
        <w:rPr>
          <w:b/>
          <w:bCs/>
        </w:rPr>
        <w:t>рассмотреть вопрос об ограничении любого использования средств правовой защиты, которые основаны исключительно на сексуальной ориентации или гендерной идентичности жертвы.</w:t>
      </w:r>
      <w:r>
        <w:t xml:space="preserve"> </w:t>
      </w:r>
    </w:p>
    <w:p w14:paraId="26B87745" w14:textId="77777777" w:rsidR="007512BE" w:rsidRPr="00960BE6" w:rsidRDefault="007512BE" w:rsidP="007512BE">
      <w:pPr>
        <w:pStyle w:val="H23G"/>
      </w:pPr>
      <w:r>
        <w:tab/>
      </w:r>
      <w:r>
        <w:tab/>
      </w:r>
      <w:r>
        <w:rPr>
          <w:bCs/>
        </w:rPr>
        <w:t>Равенство мужчин и женщин</w:t>
      </w:r>
      <w:r>
        <w:t xml:space="preserve"> </w:t>
      </w:r>
    </w:p>
    <w:p w14:paraId="0DC45BF3" w14:textId="77777777" w:rsidR="007512BE" w:rsidRPr="00960BE6" w:rsidRDefault="007512BE" w:rsidP="007512BE">
      <w:pPr>
        <w:pStyle w:val="SingleTxtG"/>
      </w:pPr>
      <w:r>
        <w:t>16.</w:t>
      </w:r>
      <w:r>
        <w:tab/>
        <w:t xml:space="preserve">Комитет отмечает и высоко оценивает меры, принятые государством-участником для поощрения гендерного равенства, данные о женщинах, занимающих руководящие должности как в государственном, так и в частном секторах, доступ к образованию на всех уровнях и заметный прогресс в отношении включения женщин-кандидатов в ходе парламентских выборов 2019 года. Тем не менее Комитет обеспокоен отсутствием всеобъемлющего антидискриминационного законодательства, включающего гендерную проблематику в качестве основания для дискриминации, а также отсутствием информации о его намерении разработать такие положения. Он также обеспокоен сохранением определенной недопредставленности женщин и отсутствием информации о шагах, предпринятых для обеспечения равной оплаты за труд равной стоимости и искоренения стереотипов в отношении роли женщин и мужчин в семье и обществе (статьи 2, 3, 25 и 26). </w:t>
      </w:r>
    </w:p>
    <w:p w14:paraId="41083080" w14:textId="77777777" w:rsidR="007512BE" w:rsidRPr="007D398E" w:rsidRDefault="007512BE" w:rsidP="007512BE">
      <w:pPr>
        <w:pStyle w:val="SingleTxtG"/>
        <w:rPr>
          <w:b/>
          <w:bCs/>
        </w:rPr>
      </w:pPr>
      <w:r>
        <w:t>17.</w:t>
      </w:r>
      <w:r>
        <w:tab/>
      </w:r>
      <w:r>
        <w:rPr>
          <w:b/>
          <w:bCs/>
        </w:rPr>
        <w:t>Государству-участнику следует:</w:t>
      </w:r>
      <w:r>
        <w:t xml:space="preserve"> </w:t>
      </w:r>
    </w:p>
    <w:p w14:paraId="72397351" w14:textId="77777777" w:rsidR="007512BE" w:rsidRPr="00960BE6" w:rsidRDefault="007512BE" w:rsidP="007512BE">
      <w:pPr>
        <w:pStyle w:val="SingleTxtG"/>
        <w:rPr>
          <w:b/>
          <w:bCs/>
        </w:rPr>
      </w:pPr>
      <w:r>
        <w:tab/>
      </w:r>
      <w:r>
        <w:tab/>
      </w:r>
      <w:r w:rsidRPr="007512BE">
        <w:rPr>
          <w:b/>
          <w:bCs/>
        </w:rPr>
        <w:t>a)</w:t>
      </w:r>
      <w:r>
        <w:tab/>
      </w:r>
      <w:r>
        <w:rPr>
          <w:b/>
          <w:bCs/>
        </w:rPr>
        <w:t>принять всеобъемлющее законодательство, обеспечивающее эффективную защиту от дискриминации по признаку гендерной принадлежности;</w:t>
      </w:r>
    </w:p>
    <w:p w14:paraId="2109DBF2" w14:textId="77777777" w:rsidR="007512BE" w:rsidRPr="00960BE6" w:rsidRDefault="007512BE" w:rsidP="007512BE">
      <w:pPr>
        <w:pStyle w:val="SingleTxtG"/>
        <w:rPr>
          <w:b/>
          <w:bCs/>
        </w:rPr>
      </w:pPr>
      <w:r>
        <w:tab/>
      </w:r>
      <w:r>
        <w:tab/>
      </w:r>
      <w:r w:rsidRPr="007512BE">
        <w:rPr>
          <w:b/>
          <w:bCs/>
        </w:rPr>
        <w:t>b)</w:t>
      </w:r>
      <w:r>
        <w:tab/>
      </w:r>
      <w:r>
        <w:rPr>
          <w:b/>
          <w:bCs/>
        </w:rPr>
        <w:t>продолжать и активизировать усилия по обеспечению представленности женщин на должностях высокого уровня в государственном и частном секторах и в национальном парламенте;</w:t>
      </w:r>
      <w:r>
        <w:t xml:space="preserve"> </w:t>
      </w:r>
    </w:p>
    <w:p w14:paraId="12478D96" w14:textId="77777777" w:rsidR="007512BE" w:rsidRPr="00960BE6" w:rsidRDefault="007512BE" w:rsidP="007512BE">
      <w:pPr>
        <w:pStyle w:val="SingleTxtG"/>
        <w:rPr>
          <w:b/>
          <w:bCs/>
        </w:rPr>
      </w:pPr>
      <w:r>
        <w:tab/>
      </w:r>
      <w:r>
        <w:tab/>
      </w:r>
      <w:r w:rsidRPr="007512BE">
        <w:rPr>
          <w:b/>
          <w:bCs/>
        </w:rPr>
        <w:t>c)</w:t>
      </w:r>
      <w:r>
        <w:tab/>
      </w:r>
      <w:r>
        <w:rPr>
          <w:b/>
          <w:bCs/>
        </w:rPr>
        <w:t>активизировать свои усилия по ликвидации разрыва в заработной плате мужчин и женщин путем устранения различий в оплате между мужчинами и женщинами за труд равной ценности</w:t>
      </w:r>
      <w:r w:rsidR="002C2A98">
        <w:rPr>
          <w:b/>
          <w:bCs/>
        </w:rPr>
        <w:t>;</w:t>
      </w:r>
    </w:p>
    <w:p w14:paraId="5E0F6F95" w14:textId="77777777" w:rsidR="007512BE" w:rsidRPr="00960BE6" w:rsidRDefault="007512BE" w:rsidP="007512BE">
      <w:pPr>
        <w:pStyle w:val="SingleTxtG"/>
        <w:rPr>
          <w:b/>
          <w:bCs/>
        </w:rPr>
      </w:pPr>
      <w:r>
        <w:tab/>
      </w:r>
      <w:r>
        <w:tab/>
      </w:r>
      <w:r w:rsidRPr="007512BE">
        <w:rPr>
          <w:b/>
          <w:bCs/>
        </w:rPr>
        <w:t>d)</w:t>
      </w:r>
      <w:r>
        <w:tab/>
      </w:r>
      <w:r>
        <w:rPr>
          <w:b/>
          <w:bCs/>
        </w:rPr>
        <w:t>активизировать образовательные и информационно-просветительские инициативы для широкой общественности в целях ликвидации гендерных стереотипов и поощрения уважения к равным ролям и обязанностям женщин и мужчин в семье и в обществе;</w:t>
      </w:r>
      <w:r>
        <w:t xml:space="preserve"> </w:t>
      </w:r>
    </w:p>
    <w:p w14:paraId="11389AE5" w14:textId="77777777" w:rsidR="007512BE" w:rsidRPr="00960BE6" w:rsidRDefault="007512BE" w:rsidP="007512BE">
      <w:pPr>
        <w:pStyle w:val="SingleTxtG"/>
        <w:rPr>
          <w:b/>
          <w:bCs/>
        </w:rPr>
      </w:pPr>
      <w:r>
        <w:tab/>
      </w:r>
      <w:r>
        <w:tab/>
      </w:r>
      <w:r w:rsidRPr="007512BE">
        <w:rPr>
          <w:b/>
          <w:bCs/>
        </w:rPr>
        <w:t>e)</w:t>
      </w:r>
      <w:r>
        <w:tab/>
      </w:r>
      <w:r>
        <w:rPr>
          <w:b/>
          <w:bCs/>
        </w:rPr>
        <w:t>собирать всеобъемлющие данные для мониторинга эффективности инициатив по достижению гендерного равенства.</w:t>
      </w:r>
      <w:r>
        <w:t xml:space="preserve"> </w:t>
      </w:r>
    </w:p>
    <w:p w14:paraId="439B0F05" w14:textId="77777777" w:rsidR="007512BE" w:rsidRPr="00960BE6" w:rsidRDefault="007512BE" w:rsidP="007512BE">
      <w:pPr>
        <w:pStyle w:val="H23G"/>
      </w:pPr>
      <w:r>
        <w:tab/>
      </w:r>
      <w:r>
        <w:tab/>
      </w:r>
      <w:r>
        <w:rPr>
          <w:bCs/>
        </w:rPr>
        <w:t>Насилие в отношении женщин</w:t>
      </w:r>
    </w:p>
    <w:p w14:paraId="2E9C05C3" w14:textId="77777777" w:rsidR="007512BE" w:rsidRPr="00960BE6" w:rsidRDefault="007512BE" w:rsidP="007512BE">
      <w:pPr>
        <w:pStyle w:val="SingleTxtG"/>
      </w:pPr>
      <w:r>
        <w:t>18.</w:t>
      </w:r>
      <w:r>
        <w:tab/>
        <w:t xml:space="preserve">Комитет отмечает позитивные шаги, предпринятые государством-участником для решения проблемы насилия в отношении женщин, включая криминализацию изнасилования в браке в Законе о сексуальных преступлениях 2016 года, Законе о </w:t>
      </w:r>
      <w:r>
        <w:lastRenderedPageBreak/>
        <w:t>защите от насилия в семье 2001 года и ряде программ по предупреждению такого насилия. Вместе с тем Комитет обеспокоен отсутствием информации о количестве случаев насилия в отношении женщин, привлечении виновных к ответственности, вынесенных обвинительных приговорах и назначенных наказаниях, отсутствии доступа к правосудию и реабилитации для жертв, а также сохраняющемся отсутствии законодательных положений, устанавливающих уголовную ответственность за сексуальные домогательства (статьи 2, 3, 6, 7, 25 и 26).</w:t>
      </w:r>
    </w:p>
    <w:p w14:paraId="3295E69A" w14:textId="77777777" w:rsidR="007512BE" w:rsidRPr="007D398E" w:rsidRDefault="007512BE" w:rsidP="007512BE">
      <w:pPr>
        <w:pStyle w:val="SingleTxtG"/>
        <w:rPr>
          <w:b/>
          <w:bCs/>
        </w:rPr>
      </w:pPr>
      <w:r>
        <w:t>19.</w:t>
      </w:r>
      <w:r>
        <w:tab/>
      </w:r>
      <w:r>
        <w:rPr>
          <w:b/>
          <w:bCs/>
        </w:rPr>
        <w:t>Государству-участнику следует:</w:t>
      </w:r>
      <w:r>
        <w:t xml:space="preserve"> </w:t>
      </w:r>
    </w:p>
    <w:p w14:paraId="3BBC76D7" w14:textId="77777777" w:rsidR="007512BE" w:rsidRPr="00960BE6" w:rsidRDefault="007512BE" w:rsidP="007512BE">
      <w:pPr>
        <w:pStyle w:val="SingleTxtG"/>
        <w:rPr>
          <w:b/>
          <w:bCs/>
        </w:rPr>
      </w:pPr>
      <w:r>
        <w:tab/>
      </w:r>
      <w:r>
        <w:tab/>
      </w:r>
      <w:r w:rsidRPr="007512BE">
        <w:rPr>
          <w:b/>
          <w:bCs/>
        </w:rPr>
        <w:t>a)</w:t>
      </w:r>
      <w:r>
        <w:tab/>
      </w:r>
      <w:r>
        <w:rPr>
          <w:b/>
          <w:bCs/>
        </w:rPr>
        <w:t>незамедлительно внести поправки в свои законы, с тем чтобы обеспечить надлежащую защиту женщин от всех форм насилия в отношении них, включая сексуальные домогательства;</w:t>
      </w:r>
      <w:r>
        <w:t xml:space="preserve"> </w:t>
      </w:r>
    </w:p>
    <w:p w14:paraId="4827E83A" w14:textId="77777777" w:rsidR="007512BE" w:rsidRPr="00960BE6" w:rsidRDefault="007512BE" w:rsidP="007512BE">
      <w:pPr>
        <w:pStyle w:val="SingleTxtG"/>
        <w:rPr>
          <w:b/>
          <w:bCs/>
        </w:rPr>
      </w:pPr>
      <w:r>
        <w:tab/>
      </w:r>
      <w:r>
        <w:tab/>
      </w:r>
      <w:r w:rsidRPr="007512BE">
        <w:rPr>
          <w:b/>
          <w:bCs/>
        </w:rPr>
        <w:t>b)</w:t>
      </w:r>
      <w:r>
        <w:tab/>
      </w:r>
      <w:r>
        <w:rPr>
          <w:b/>
          <w:bCs/>
        </w:rPr>
        <w:t>поощрять жертв сообщать о преступлениях и обеспечивать, чтобы случаи, связанные с насилием в отношении женщин, тщательно расследовались, чтобы правонарушители подвергались судебному преследованию и были осуждены и чтобы жертвы имели доступ к эффективным средствам правовой защиты;</w:t>
      </w:r>
      <w:r>
        <w:t xml:space="preserve"> </w:t>
      </w:r>
    </w:p>
    <w:p w14:paraId="3E04D5E8" w14:textId="77777777" w:rsidR="007512BE" w:rsidRPr="00960BE6" w:rsidRDefault="007512BE" w:rsidP="007512BE">
      <w:pPr>
        <w:pStyle w:val="SingleTxtG"/>
        <w:rPr>
          <w:b/>
          <w:bCs/>
        </w:rPr>
      </w:pPr>
      <w:r>
        <w:tab/>
      </w:r>
      <w:r>
        <w:tab/>
      </w:r>
      <w:r w:rsidRPr="007512BE">
        <w:rPr>
          <w:b/>
          <w:bCs/>
        </w:rPr>
        <w:t>c)</w:t>
      </w:r>
      <w:r>
        <w:tab/>
      </w:r>
      <w:r>
        <w:rPr>
          <w:b/>
          <w:bCs/>
        </w:rPr>
        <w:t>обеспечить, чтобы жертвы насилия в семье или сексуального насилия получали надлежащую правовую, медицинскую и психологическую помощь, и совершенствовать средства и механизмы поддержки жертв;</w:t>
      </w:r>
    </w:p>
    <w:p w14:paraId="5A8F0124" w14:textId="77777777" w:rsidR="007512BE" w:rsidRPr="00960BE6" w:rsidRDefault="007512BE" w:rsidP="007512BE">
      <w:pPr>
        <w:pStyle w:val="SingleTxtG"/>
        <w:rPr>
          <w:b/>
          <w:bCs/>
        </w:rPr>
      </w:pPr>
      <w:r>
        <w:tab/>
      </w:r>
      <w:r>
        <w:tab/>
      </w:r>
      <w:r w:rsidRPr="007512BE">
        <w:rPr>
          <w:b/>
          <w:bCs/>
        </w:rPr>
        <w:t>d)</w:t>
      </w:r>
      <w:r>
        <w:tab/>
      </w:r>
      <w:r>
        <w:rPr>
          <w:b/>
          <w:bCs/>
        </w:rPr>
        <w:t>осуществлять сбор всеобъемлющих данных о масштабах насилия в отношении женщин.</w:t>
      </w:r>
      <w:r>
        <w:t xml:space="preserve"> </w:t>
      </w:r>
    </w:p>
    <w:p w14:paraId="3B2BB671" w14:textId="77777777" w:rsidR="007512BE" w:rsidRPr="00960BE6" w:rsidRDefault="007512BE" w:rsidP="007512BE">
      <w:pPr>
        <w:pStyle w:val="H23G"/>
      </w:pPr>
      <w:r>
        <w:tab/>
      </w:r>
      <w:r>
        <w:tab/>
      </w:r>
      <w:r>
        <w:rPr>
          <w:bCs/>
        </w:rPr>
        <w:t>Сексуальные и репродуктивные права</w:t>
      </w:r>
    </w:p>
    <w:p w14:paraId="1702EA44" w14:textId="77777777" w:rsidR="007512BE" w:rsidRPr="00960BE6" w:rsidRDefault="007512BE" w:rsidP="007512BE">
      <w:pPr>
        <w:pStyle w:val="SingleTxtG"/>
      </w:pPr>
      <w:r>
        <w:t>20.</w:t>
      </w:r>
      <w:r>
        <w:tab/>
        <w:t>Комитет принимает к сведению разъяснение государства-участника о том, что положения статьи 8 Закона 1992 года о преступлениях против личности, которые криминализируют добровольное прерывание беременности, не применяются на практике, однако выражает озабоченность в связи с тем, что эти положения остаются в силе и могут быть применены в будущем. Комитет отмечает, что на данный момент прерывание беременности разрешено в случаях, когда существует угроза для жизни матери, но по-прежнему обеспокоен тем, что действующие ограничения могут вынуждать женщин и девочек, желающих сделать аборт по другим веским причинам, делать это в опасных условиях, которые ставят под угрозу их жизнь и здоровье (статьи</w:t>
      </w:r>
      <w:r w:rsidR="002C2A98">
        <w:t> </w:t>
      </w:r>
      <w:r>
        <w:t>3, 7 и 26).</w:t>
      </w:r>
    </w:p>
    <w:p w14:paraId="65E1E4AE" w14:textId="77777777" w:rsidR="007512BE" w:rsidRPr="00960BE6" w:rsidRDefault="007512BE" w:rsidP="007512BE">
      <w:pPr>
        <w:pStyle w:val="SingleTxtG"/>
        <w:rPr>
          <w:b/>
          <w:bCs/>
        </w:rPr>
      </w:pPr>
      <w:r>
        <w:t>21.</w:t>
      </w:r>
      <w:r>
        <w:tab/>
      </w:r>
      <w:r>
        <w:rPr>
          <w:b/>
          <w:bCs/>
        </w:rPr>
        <w:t>Государству-участнику следует:</w:t>
      </w:r>
    </w:p>
    <w:p w14:paraId="260EC6F9" w14:textId="77777777" w:rsidR="007512BE" w:rsidRPr="00960BE6" w:rsidRDefault="007512BE" w:rsidP="007512BE">
      <w:pPr>
        <w:pStyle w:val="SingleTxtG"/>
        <w:rPr>
          <w:b/>
          <w:bCs/>
        </w:rPr>
      </w:pPr>
      <w:r>
        <w:tab/>
      </w:r>
      <w:r>
        <w:tab/>
      </w:r>
      <w:r w:rsidRPr="007512BE">
        <w:rPr>
          <w:b/>
          <w:bCs/>
        </w:rPr>
        <w:t>a)</w:t>
      </w:r>
      <w:r>
        <w:tab/>
      </w:r>
      <w:r w:rsidRPr="00E73FF1">
        <w:rPr>
          <w:b/>
          <w:bCs/>
          <w:color w:val="000000" w:themeColor="text1"/>
        </w:rPr>
        <w:t>внес</w:t>
      </w:r>
      <w:r w:rsidR="00E73FF1" w:rsidRPr="00E73FF1">
        <w:rPr>
          <w:b/>
          <w:bCs/>
          <w:color w:val="000000" w:themeColor="text1"/>
        </w:rPr>
        <w:t>ти</w:t>
      </w:r>
      <w:r w:rsidRPr="00E73FF1">
        <w:rPr>
          <w:b/>
          <w:bCs/>
          <w:color w:val="000000" w:themeColor="text1"/>
        </w:rPr>
        <w:t xml:space="preserve"> поправ</w:t>
      </w:r>
      <w:r w:rsidR="00E73FF1" w:rsidRPr="00E73FF1">
        <w:rPr>
          <w:b/>
          <w:bCs/>
          <w:color w:val="000000" w:themeColor="text1"/>
        </w:rPr>
        <w:t>ки</w:t>
      </w:r>
      <w:r w:rsidRPr="00E73FF1">
        <w:rPr>
          <w:b/>
          <w:bCs/>
          <w:color w:val="000000" w:themeColor="text1"/>
        </w:rPr>
        <w:t xml:space="preserve"> </w:t>
      </w:r>
      <w:r>
        <w:rPr>
          <w:b/>
          <w:bCs/>
        </w:rPr>
        <w:t>в свое законодательство с целью гарантировать безопасный, законный и эффективный доступ к аборту в тех случаях, когда жизнь или здоровье беременной женщины или девочки находятся под угрозой или когда донашивание плода может причинить им существенный вред или страдания, особенно в тех случаях, когда беременность является результатом изнасилования или инцеста или когда плод нежизнеспособен;</w:t>
      </w:r>
    </w:p>
    <w:p w14:paraId="1FF3F72E" w14:textId="2E572FA7" w:rsidR="007512BE" w:rsidRPr="00960BE6" w:rsidRDefault="007512BE" w:rsidP="007512BE">
      <w:pPr>
        <w:pStyle w:val="SingleTxtG"/>
        <w:rPr>
          <w:b/>
          <w:bCs/>
        </w:rPr>
      </w:pPr>
      <w:r>
        <w:tab/>
      </w:r>
      <w:r>
        <w:tab/>
      </w:r>
      <w:r w:rsidRPr="007512BE">
        <w:rPr>
          <w:b/>
          <w:bCs/>
        </w:rPr>
        <w:t>b)</w:t>
      </w:r>
      <w:r>
        <w:tab/>
      </w:r>
      <w:r>
        <w:rPr>
          <w:b/>
          <w:bCs/>
        </w:rPr>
        <w:t>обеспечивать, чтобы женщины и девочки, прибегающие к аборту, а</w:t>
      </w:r>
      <w:r w:rsidR="000C5B3F">
        <w:rPr>
          <w:b/>
          <w:bCs/>
        </w:rPr>
        <w:t> </w:t>
      </w:r>
      <w:r>
        <w:rPr>
          <w:b/>
          <w:bCs/>
        </w:rPr>
        <w:t>также врачи, которые оказывают им помощь, не привлекались к уголовной ответственности, с учетом того, что подобного рода наказания вынуждают женщин и девочек прибегать к небезопасным абортам</w:t>
      </w:r>
      <w:r w:rsidR="00AC1DF9">
        <w:rPr>
          <w:b/>
          <w:bCs/>
        </w:rPr>
        <w:t>.</w:t>
      </w:r>
    </w:p>
    <w:p w14:paraId="6D5E6671" w14:textId="77777777" w:rsidR="007512BE" w:rsidRPr="00960BE6" w:rsidRDefault="007512BE" w:rsidP="007512BE">
      <w:pPr>
        <w:pStyle w:val="H23G"/>
      </w:pPr>
      <w:r>
        <w:tab/>
      </w:r>
      <w:r>
        <w:tab/>
      </w:r>
      <w:r>
        <w:rPr>
          <w:bCs/>
        </w:rPr>
        <w:t>Детская смертность</w:t>
      </w:r>
    </w:p>
    <w:p w14:paraId="598CE8DF" w14:textId="77777777" w:rsidR="007512BE" w:rsidRPr="00960BE6" w:rsidRDefault="007512BE" w:rsidP="007512BE">
      <w:pPr>
        <w:pStyle w:val="SingleTxtG"/>
      </w:pPr>
      <w:r>
        <w:t>22.</w:t>
      </w:r>
      <w:r>
        <w:tab/>
        <w:t>Комитет обеспокоен высокими и увеличивающимися показателями младенческой смертности в государстве-участнике. Он принимает к сведению представленную государством-участником информацию о последствиях ряда стихийных бедствий для инфраструктуры здравоохранения и о планах по направлению инвестиций в систему здравоохранения. Вместе с тем он по-прежнему обеспокоен тревожными показателями младенческой смертности и отсутствием конкретной информации о мерах, принятых государством-участником для решения этой проблемы (статьи 6 и 24).</w:t>
      </w:r>
    </w:p>
    <w:p w14:paraId="0DCE9B8A" w14:textId="77777777" w:rsidR="007512BE" w:rsidRPr="00960BE6" w:rsidRDefault="007512BE" w:rsidP="007512BE">
      <w:pPr>
        <w:pStyle w:val="SingleTxtG"/>
        <w:rPr>
          <w:b/>
          <w:bCs/>
        </w:rPr>
      </w:pPr>
      <w:r>
        <w:lastRenderedPageBreak/>
        <w:t>23.</w:t>
      </w:r>
      <w:r>
        <w:tab/>
      </w:r>
      <w:r>
        <w:rPr>
          <w:b/>
          <w:bCs/>
        </w:rPr>
        <w:t>В целях защиты права детей на жизнь государству-участнику следует безотлагательно принять все необходимые меры для сокращения младенческой смертности.</w:t>
      </w:r>
      <w:r>
        <w:t xml:space="preserve"> </w:t>
      </w:r>
    </w:p>
    <w:p w14:paraId="4A31BF85" w14:textId="77777777" w:rsidR="007512BE" w:rsidRPr="00960BE6" w:rsidRDefault="007512BE" w:rsidP="007512BE">
      <w:pPr>
        <w:pStyle w:val="H23G"/>
      </w:pPr>
      <w:r>
        <w:tab/>
      </w:r>
      <w:r>
        <w:tab/>
      </w:r>
      <w:r>
        <w:rPr>
          <w:bCs/>
        </w:rPr>
        <w:t>Изменение климата</w:t>
      </w:r>
    </w:p>
    <w:p w14:paraId="718D289B" w14:textId="77777777" w:rsidR="007512BE" w:rsidRPr="00960BE6" w:rsidRDefault="007512BE" w:rsidP="007512BE">
      <w:pPr>
        <w:pStyle w:val="SingleTxtG"/>
      </w:pPr>
      <w:r>
        <w:t>24.</w:t>
      </w:r>
      <w:r>
        <w:tab/>
        <w:t>Комитет приветствует приверженность государства-участника как небольшого островного государства, особенно уязвимого к изменению климата, мерам по адаптации и смягчению последствий и отмечает серьезные проблемы, с которыми оно сталкиваются в этом в этой связи. Он высоко оценивает меры, принятые государством-участником на данный момент, однако отмечает отсутствие информации о шагах, предпринятых для обеспечения эффективного, конструктивного и осознанного участия населения в проектах, которые влияют на устойчивое развитие и устойчивость к изменению климата (статьи 6 и 25).</w:t>
      </w:r>
    </w:p>
    <w:p w14:paraId="4F5BB399" w14:textId="77777777" w:rsidR="007512BE" w:rsidRPr="00960BE6" w:rsidRDefault="007512BE" w:rsidP="007512BE">
      <w:pPr>
        <w:pStyle w:val="SingleTxtG"/>
        <w:rPr>
          <w:b/>
          <w:bCs/>
        </w:rPr>
      </w:pPr>
      <w:r>
        <w:t>25.</w:t>
      </w:r>
      <w:r>
        <w:tab/>
      </w:r>
      <w:r>
        <w:rPr>
          <w:b/>
          <w:bCs/>
        </w:rPr>
        <w:t>Государству-участнику следует продолжать и расширять свои похвальные усилия по повышению своей устойчивости к изменению климата путем принятия мер по адаптации к нему и смягчению его последствий.</w:t>
      </w:r>
      <w:r>
        <w:t xml:space="preserve"> </w:t>
      </w:r>
      <w:r>
        <w:rPr>
          <w:b/>
          <w:bCs/>
        </w:rPr>
        <w:t>Все проекты, влияющие на устойчивое развитие и устойчивость к изменению климата, должны разрабатываться при конструктивном и осознанном участии населения.</w:t>
      </w:r>
      <w:r>
        <w:t xml:space="preserve"> </w:t>
      </w:r>
      <w:r>
        <w:rPr>
          <w:b/>
          <w:bCs/>
        </w:rPr>
        <w:t>В этой связи Комитет обращает внимание государства-участника на пункт</w:t>
      </w:r>
      <w:r w:rsidR="000C5B3F">
        <w:rPr>
          <w:b/>
          <w:bCs/>
        </w:rPr>
        <w:t> </w:t>
      </w:r>
      <w:r>
        <w:rPr>
          <w:b/>
          <w:bCs/>
        </w:rPr>
        <w:t>62 своего замечания общего порядка № 36 (2018) о праве на жизнь.</w:t>
      </w:r>
      <w:r>
        <w:t xml:space="preserve"> </w:t>
      </w:r>
    </w:p>
    <w:p w14:paraId="0C05E700" w14:textId="77777777" w:rsidR="007512BE" w:rsidRPr="00960BE6" w:rsidRDefault="007512BE" w:rsidP="007512BE">
      <w:pPr>
        <w:pStyle w:val="H23G"/>
      </w:pPr>
      <w:r>
        <w:tab/>
      </w:r>
      <w:r>
        <w:tab/>
      </w:r>
      <w:r>
        <w:rPr>
          <w:bCs/>
        </w:rPr>
        <w:t>Смертная казнь</w:t>
      </w:r>
    </w:p>
    <w:p w14:paraId="597BAC7C" w14:textId="77777777" w:rsidR="007512BE" w:rsidRPr="00960BE6" w:rsidRDefault="007512BE" w:rsidP="007512BE">
      <w:pPr>
        <w:pStyle w:val="SingleTxtG"/>
      </w:pPr>
      <w:r>
        <w:t>26.</w:t>
      </w:r>
      <w:r>
        <w:tab/>
        <w:t>Комитет приветствует тот факт, что государство-участник фактически ввело мораторий на применение смертной казни, не приведя в исполнение ни одного смертного приговора со времени ратификации Пакта в 1993 году. Он также выражает признательность государству-участнику за предпринятые им в последнее время шаги, продемонстрировавшие его приверженность введению полного моратория, включая голосование за принятие резолюции по этому вопросу на семьдесят третьей сессии Генеральной Ассамблеи. Однако он обеспокоен тем, что статья 5 Закона об уголовном праве и судопроизводстве, допускающая повешение в случаях совершения убийства, остается в силе и что, согласно имеющейся информации, многие лица в государстве-участнике продолжают поддерживать эту форму наказания. В этой связи Комитет отмечает, что государство-участник еще не ратифицировало второй Факультативный протокол к Пакту, направленный на отмену смертной казни (статья 6).</w:t>
      </w:r>
    </w:p>
    <w:p w14:paraId="789507CE" w14:textId="77777777" w:rsidR="007512BE" w:rsidRPr="00960BE6" w:rsidRDefault="007512BE" w:rsidP="007512BE">
      <w:pPr>
        <w:pStyle w:val="SingleTxtG"/>
        <w:rPr>
          <w:b/>
          <w:bCs/>
        </w:rPr>
      </w:pPr>
      <w:r>
        <w:t>27.</w:t>
      </w:r>
      <w:r>
        <w:tab/>
      </w:r>
      <w:r>
        <w:rPr>
          <w:b/>
          <w:bCs/>
        </w:rPr>
        <w:t>В соответствии с принятым Комитетом замечанием общего порядка № 36 (2018) о праве на жизнь, в котором Комитет подтвердил, что государства-участники, которые еще не полностью отменили смертную казнь, должны вступить на необратимый путь к ее полному искоренению де-факто и де-юре, государству-участнику следует рассмотреть возможность:</w:t>
      </w:r>
    </w:p>
    <w:p w14:paraId="08596638" w14:textId="77777777" w:rsidR="007512BE" w:rsidRPr="00960BE6" w:rsidRDefault="007512BE" w:rsidP="007512BE">
      <w:pPr>
        <w:pStyle w:val="SingleTxtG"/>
        <w:rPr>
          <w:b/>
          <w:bCs/>
        </w:rPr>
      </w:pPr>
      <w:r>
        <w:tab/>
      </w:r>
      <w:r>
        <w:tab/>
      </w:r>
      <w:r w:rsidRPr="007512BE">
        <w:rPr>
          <w:b/>
          <w:bCs/>
        </w:rPr>
        <w:t>a)</w:t>
      </w:r>
      <w:r>
        <w:tab/>
      </w:r>
      <w:r>
        <w:rPr>
          <w:b/>
          <w:bCs/>
        </w:rPr>
        <w:t>пересмотра статьи 5 Закона об уголовном праве и судопроизводстве в рамках текущих усилий по пересмотру и реформированию национального законодательства;</w:t>
      </w:r>
    </w:p>
    <w:p w14:paraId="68B339E6" w14:textId="77777777" w:rsidR="007512BE" w:rsidRPr="00960BE6" w:rsidRDefault="007512BE" w:rsidP="007512BE">
      <w:pPr>
        <w:pStyle w:val="SingleTxtG"/>
        <w:rPr>
          <w:b/>
          <w:bCs/>
        </w:rPr>
      </w:pPr>
      <w:r>
        <w:tab/>
      </w:r>
      <w:r>
        <w:tab/>
      </w:r>
      <w:r w:rsidRPr="007512BE">
        <w:rPr>
          <w:b/>
          <w:bCs/>
        </w:rPr>
        <w:t>b)</w:t>
      </w:r>
      <w:r>
        <w:tab/>
      </w:r>
      <w:r>
        <w:rPr>
          <w:b/>
          <w:bCs/>
        </w:rPr>
        <w:t>продолжения усилий по содействию социальному диалогу о правах, закрепленных в Пакте, включая право на жизнь в соответствии со статьей 6;</w:t>
      </w:r>
    </w:p>
    <w:p w14:paraId="3EC1184D" w14:textId="77777777" w:rsidR="007512BE" w:rsidRPr="00960BE6" w:rsidRDefault="007512BE" w:rsidP="007512BE">
      <w:pPr>
        <w:pStyle w:val="SingleTxtG"/>
        <w:rPr>
          <w:b/>
          <w:bCs/>
        </w:rPr>
      </w:pPr>
      <w:r>
        <w:tab/>
      </w:r>
      <w:r>
        <w:tab/>
      </w:r>
      <w:r w:rsidRPr="007512BE">
        <w:rPr>
          <w:b/>
          <w:bCs/>
        </w:rPr>
        <w:t>c)</w:t>
      </w:r>
      <w:r>
        <w:tab/>
      </w:r>
      <w:r>
        <w:rPr>
          <w:b/>
          <w:bCs/>
        </w:rPr>
        <w:t>ратификации второго Факультативного протокола к Пакту.</w:t>
      </w:r>
    </w:p>
    <w:p w14:paraId="10CE2375" w14:textId="77777777" w:rsidR="007512BE" w:rsidRPr="00960BE6" w:rsidRDefault="007512BE" w:rsidP="007512BE">
      <w:pPr>
        <w:pStyle w:val="H23G"/>
      </w:pPr>
      <w:r>
        <w:tab/>
      </w:r>
      <w:r>
        <w:tab/>
      </w:r>
      <w:r>
        <w:rPr>
          <w:bCs/>
        </w:rPr>
        <w:t>Чрезмерное применение силы</w:t>
      </w:r>
      <w:r>
        <w:t xml:space="preserve"> </w:t>
      </w:r>
    </w:p>
    <w:p w14:paraId="4F32FF0B" w14:textId="77777777" w:rsidR="007512BE" w:rsidRPr="00960BE6" w:rsidRDefault="007512BE" w:rsidP="007512BE">
      <w:pPr>
        <w:pStyle w:val="SingleTxtG"/>
      </w:pPr>
      <w:r>
        <w:t>28.</w:t>
      </w:r>
      <w:r>
        <w:tab/>
        <w:t>Комитет обеспокоен тем, что пункт 2 статьи 2 Конституции допускает применение смертоносной силы для защиты имущества. Он также обеспокоен утверждениями о чрезмерном применении силы против демонстрантов, в том числе во время протестов в Розо в феврале и мае 2017 года, когда сотрудники правоохранительных органов были обвинены в применении слезоточивого газа и производстве предупредительных выстрелов. Комитет сожалеет об отсутствии информации о каких-либо формах расследования, судебного преследования и наказания виновных и о возмещении, предоставленном жертвам (статьи 6, 7, 9 и 14).</w:t>
      </w:r>
    </w:p>
    <w:p w14:paraId="726F2408" w14:textId="77777777" w:rsidR="007512BE" w:rsidRPr="00960BE6" w:rsidRDefault="007512BE" w:rsidP="007512BE">
      <w:pPr>
        <w:pStyle w:val="SingleTxtG"/>
        <w:rPr>
          <w:b/>
          <w:bCs/>
        </w:rPr>
      </w:pPr>
      <w:r>
        <w:lastRenderedPageBreak/>
        <w:t>29.</w:t>
      </w:r>
      <w:r>
        <w:tab/>
      </w:r>
      <w:r>
        <w:rPr>
          <w:b/>
          <w:bCs/>
        </w:rPr>
        <w:t>Государству-участнику следует:</w:t>
      </w:r>
    </w:p>
    <w:p w14:paraId="2CC63B59" w14:textId="77777777" w:rsidR="007512BE" w:rsidRPr="00960BE6" w:rsidRDefault="007512BE" w:rsidP="007512BE">
      <w:pPr>
        <w:pStyle w:val="SingleTxtG"/>
        <w:rPr>
          <w:b/>
          <w:bCs/>
        </w:rPr>
      </w:pPr>
      <w:r>
        <w:tab/>
      </w:r>
      <w:r>
        <w:tab/>
      </w:r>
      <w:r w:rsidRPr="007512BE">
        <w:rPr>
          <w:b/>
          <w:bCs/>
        </w:rPr>
        <w:t>a)</w:t>
      </w:r>
      <w:r>
        <w:tab/>
      </w:r>
      <w:r>
        <w:rPr>
          <w:b/>
          <w:bCs/>
        </w:rPr>
        <w:t>пересмотреть законодательство и политику, касающиеся применения силы сотрудниками правоохранительных органов, в частности положения, разрешающие применение смертоносной силы для защиты имущества, с должным учетом принятого Комитетом замечания общего порядка № 36 (2018 год) о праве на жизнь и Основных принципов применения силы и огнестрельного оружия должностными лицами по поддержанию правопорядка;</w:t>
      </w:r>
    </w:p>
    <w:p w14:paraId="4BDF834C" w14:textId="77777777" w:rsidR="007512BE" w:rsidRPr="00960BE6" w:rsidRDefault="007512BE" w:rsidP="007512BE">
      <w:pPr>
        <w:pStyle w:val="SingleTxtG"/>
        <w:rPr>
          <w:b/>
          <w:bCs/>
        </w:rPr>
      </w:pPr>
      <w:r>
        <w:tab/>
      </w:r>
      <w:r>
        <w:tab/>
      </w:r>
      <w:r w:rsidRPr="007512BE">
        <w:rPr>
          <w:b/>
          <w:bCs/>
        </w:rPr>
        <w:t>b)</w:t>
      </w:r>
      <w:r>
        <w:tab/>
      </w:r>
      <w:r>
        <w:rPr>
          <w:b/>
          <w:bCs/>
        </w:rPr>
        <w:t>обеспечить подготовку сотрудников правоохранительных органов по изучению их обязанностей в области прав человека и создать механизмы для мониторинга и оценки эффективности такой подготовки и ее соответствующего обновления;</w:t>
      </w:r>
    </w:p>
    <w:p w14:paraId="58BCDCC4" w14:textId="77777777" w:rsidR="007512BE" w:rsidRPr="00960BE6" w:rsidRDefault="007512BE" w:rsidP="007512BE">
      <w:pPr>
        <w:pStyle w:val="SingleTxtG"/>
        <w:rPr>
          <w:b/>
          <w:bCs/>
        </w:rPr>
      </w:pPr>
      <w:r>
        <w:tab/>
      </w:r>
      <w:r>
        <w:tab/>
      </w:r>
      <w:r w:rsidRPr="007512BE">
        <w:rPr>
          <w:b/>
          <w:bCs/>
        </w:rPr>
        <w:t>c)</w:t>
      </w:r>
      <w:r>
        <w:tab/>
      </w:r>
      <w:r>
        <w:rPr>
          <w:b/>
          <w:bCs/>
        </w:rPr>
        <w:t>обеспечить наличие доступных механизмов подачи жалоб и независимого надзора, тщательное расследование всех сообщений о насилии и применение соразмерных мер наказания по результатам таких расследований, когда это оправдан</w:t>
      </w:r>
      <w:r w:rsidR="0078021C">
        <w:rPr>
          <w:b/>
          <w:bCs/>
        </w:rPr>
        <w:t>н</w:t>
      </w:r>
      <w:r>
        <w:rPr>
          <w:b/>
          <w:bCs/>
        </w:rPr>
        <w:t>о;</w:t>
      </w:r>
    </w:p>
    <w:p w14:paraId="606E2318" w14:textId="319FF9C6" w:rsidR="007512BE" w:rsidRPr="00960BE6" w:rsidRDefault="007512BE" w:rsidP="007512BE">
      <w:pPr>
        <w:pStyle w:val="SingleTxtG"/>
        <w:rPr>
          <w:b/>
          <w:bCs/>
        </w:rPr>
      </w:pPr>
      <w:r>
        <w:tab/>
      </w:r>
      <w:r>
        <w:tab/>
      </w:r>
      <w:r w:rsidRPr="007512BE">
        <w:rPr>
          <w:b/>
          <w:bCs/>
        </w:rPr>
        <w:t>d)</w:t>
      </w:r>
      <w:r>
        <w:tab/>
      </w:r>
      <w:r>
        <w:rPr>
          <w:b/>
          <w:bCs/>
        </w:rPr>
        <w:t>предоставить надлежащие средства правовой защиты жертвам насилия со стороны полиции, включая компенсацию и гарантии неповторения</w:t>
      </w:r>
      <w:r w:rsidR="002C4F2D">
        <w:rPr>
          <w:b/>
          <w:bCs/>
        </w:rPr>
        <w:t>.</w:t>
      </w:r>
    </w:p>
    <w:p w14:paraId="7C452C07" w14:textId="77777777" w:rsidR="007512BE" w:rsidRPr="00960BE6" w:rsidRDefault="007512BE" w:rsidP="007512BE">
      <w:pPr>
        <w:pStyle w:val="H23G"/>
      </w:pPr>
      <w:r>
        <w:tab/>
      </w:r>
      <w:r>
        <w:tab/>
      </w:r>
      <w:r>
        <w:rPr>
          <w:bCs/>
        </w:rPr>
        <w:t>Досудебное содержание под стражей</w:t>
      </w:r>
      <w:r>
        <w:t xml:space="preserve"> </w:t>
      </w:r>
    </w:p>
    <w:p w14:paraId="04B7005B" w14:textId="77777777" w:rsidR="007512BE" w:rsidRPr="00960BE6" w:rsidRDefault="007512BE" w:rsidP="007512BE">
      <w:pPr>
        <w:pStyle w:val="SingleTxtG"/>
      </w:pPr>
      <w:r>
        <w:t>30.</w:t>
      </w:r>
      <w:r>
        <w:tab/>
        <w:t>Учитывая последствия стихийных бедствий для потенциала государства-участника, включая судебные органы, и отмечая законодательные усилия по ликвидации отставания в рассмотрении дел на основе законопроекта об освобождении под залог, Комитет в то же время обеспокоен высокой долей лиц, содержащихся под стражей до суда, и чрезмерной продолжительностью такого содержания под стражей в некоторых случаях. В этой связи он также обеспокоен отсутствием информации о применении альтернативных мер, не связанных с лишением свободы (статья 9).</w:t>
      </w:r>
    </w:p>
    <w:p w14:paraId="7B95679D" w14:textId="77777777" w:rsidR="007512BE" w:rsidRPr="00960BE6" w:rsidRDefault="007512BE" w:rsidP="007512BE">
      <w:pPr>
        <w:pStyle w:val="SingleTxtG"/>
        <w:rPr>
          <w:b/>
          <w:bCs/>
        </w:rPr>
      </w:pPr>
      <w:r>
        <w:t>31.</w:t>
      </w:r>
      <w:r>
        <w:tab/>
      </w:r>
      <w:r>
        <w:rPr>
          <w:b/>
          <w:bCs/>
        </w:rPr>
        <w:t>Комитет рекомендует государству-участнику принять все необходимые меры для решения проблемы чрезмерного использования досудебного содержания под стражей.</w:t>
      </w:r>
      <w:r>
        <w:t xml:space="preserve"> </w:t>
      </w:r>
      <w:r>
        <w:rPr>
          <w:b/>
          <w:bCs/>
        </w:rPr>
        <w:t>Ему следует сократить продолжительность досудебного содержания под стражей, ускорить принятие в виде закона законопроекта об освобождении под залог, в котором устанавливаются процедурные стандарты рассмотрения дел, и развивать использование альтернативных мер, не связанных с лишением свободы, с учетом его обязательств по статье 9 Пакта в том толковании, которое Комитет дал в своем замечании общего порядка № 35 (2014) о свободе и личной неприкосновенности, и Минимальных стандартных правил Организации Объединенных Наций в отношении мер, не связанных с лишением свободы (Токийские правила).</w:t>
      </w:r>
      <w:r>
        <w:t xml:space="preserve"> </w:t>
      </w:r>
    </w:p>
    <w:p w14:paraId="2DB4F9F5" w14:textId="77777777" w:rsidR="007512BE" w:rsidRPr="00960BE6" w:rsidRDefault="007512BE" w:rsidP="007512BE">
      <w:pPr>
        <w:pStyle w:val="H23G"/>
      </w:pPr>
      <w:r>
        <w:tab/>
      </w:r>
      <w:r>
        <w:tab/>
      </w:r>
      <w:r>
        <w:rPr>
          <w:bCs/>
        </w:rPr>
        <w:t>Торговля людьми и детский труд</w:t>
      </w:r>
      <w:r>
        <w:t xml:space="preserve"> </w:t>
      </w:r>
    </w:p>
    <w:p w14:paraId="12E5F2AA" w14:textId="77777777" w:rsidR="007512BE" w:rsidRPr="00960BE6" w:rsidRDefault="007512BE" w:rsidP="007512BE">
      <w:pPr>
        <w:pStyle w:val="SingleTxtG"/>
      </w:pPr>
      <w:r>
        <w:t>32.</w:t>
      </w:r>
      <w:r>
        <w:tab/>
        <w:t>Комитет приветствует усилия государства-участника по борьбе с торговлей людьми, в том числе посредством криминализации такой практики в Законе о транснациональной организованной преступности (предупреждение и пресечение) 2013 года и других законодательных актах, а также назначения наказаний, соразмерных тяжести преступления. Вместе с тем он обеспокоен отсутствием информации о расследованиях, судебных преследованиях и приговорах в отношении лиц, занимающихся торговлей людьми, а также о поддержке, которая может быть оказана жертвам.</w:t>
      </w:r>
    </w:p>
    <w:p w14:paraId="1A9B2240" w14:textId="77777777" w:rsidR="007512BE" w:rsidRPr="00960BE6" w:rsidRDefault="007512BE" w:rsidP="007512BE">
      <w:pPr>
        <w:pStyle w:val="SingleTxtG"/>
      </w:pPr>
      <w:r>
        <w:t>33.</w:t>
      </w:r>
      <w:r>
        <w:tab/>
        <w:t xml:space="preserve">Кроме того, Комитет обеспокоен сообщениями о детях, вовлеченных в трудовую деятельность, и информацией о том, что законодательные положения не запрещают все формы эксплуатации детей, включая использование детей в проституции, порнографии или незаконной деятельности, в том числе торговле наркотиками, и не в полной мере соответствуют стандартам Международной организации труда (МОТ), включая Конвенцию 1973 года о минимальном возрасте для приема на работу (№ 138) и Конвенцию 1999 года о запрещении и немедленных мерах по искоренению наихудших форм детского труда (№ 182). Комитет принимает к </w:t>
      </w:r>
      <w:r>
        <w:lastRenderedPageBreak/>
        <w:t xml:space="preserve">сведению представленную государством-участником информацию о позитивных мерах, принятых с целью укрепления общей системы защиты детей, включая разработку законопроекта о статусе детей, законопроекта о детях (уход и усыновление/удочерение), законопроекта об отправлении правосудия в отношении несовершеннолетних, законопроекта о суде по семейным делам и законопроекта о содержании детей, а также о реформе главного учреждения по защите детей и разработке национального плана действий по борьбе с сексуальными надругательствами над детьми. Однако он обеспокоен тем, что необходимые законопроекты еще не </w:t>
      </w:r>
      <w:r w:rsidRPr="00E73FF1">
        <w:rPr>
          <w:color w:val="000000" w:themeColor="text1"/>
        </w:rPr>
        <w:t>обр</w:t>
      </w:r>
      <w:r w:rsidR="00E73FF1" w:rsidRPr="00E73FF1">
        <w:rPr>
          <w:color w:val="000000" w:themeColor="text1"/>
        </w:rPr>
        <w:t>е</w:t>
      </w:r>
      <w:r w:rsidRPr="00E73FF1">
        <w:rPr>
          <w:color w:val="000000" w:themeColor="text1"/>
        </w:rPr>
        <w:t>ли</w:t>
      </w:r>
      <w:r>
        <w:t xml:space="preserve"> силу законов, а другие меры еще не приняты (статьи 6, 7, 8 и 24).</w:t>
      </w:r>
    </w:p>
    <w:p w14:paraId="4C7DB775" w14:textId="77777777" w:rsidR="007512BE" w:rsidRPr="00960BE6" w:rsidRDefault="007512BE" w:rsidP="007512BE">
      <w:pPr>
        <w:pStyle w:val="SingleTxtG"/>
        <w:rPr>
          <w:b/>
          <w:bCs/>
        </w:rPr>
      </w:pPr>
      <w:r>
        <w:t>34.</w:t>
      </w:r>
      <w:r>
        <w:tab/>
      </w:r>
      <w:r>
        <w:rPr>
          <w:b/>
          <w:bCs/>
        </w:rPr>
        <w:t>Государству-участнику следует рассмотреть возможность:</w:t>
      </w:r>
    </w:p>
    <w:p w14:paraId="0DF3E4EA" w14:textId="77777777" w:rsidR="007512BE" w:rsidRPr="00960BE6" w:rsidRDefault="007512BE" w:rsidP="007512BE">
      <w:pPr>
        <w:pStyle w:val="SingleTxtG"/>
        <w:rPr>
          <w:b/>
          <w:bCs/>
        </w:rPr>
      </w:pPr>
      <w:r>
        <w:tab/>
      </w:r>
      <w:r>
        <w:tab/>
      </w:r>
      <w:r w:rsidRPr="007512BE">
        <w:rPr>
          <w:b/>
          <w:bCs/>
        </w:rPr>
        <w:t>a)</w:t>
      </w:r>
      <w:r>
        <w:tab/>
      </w:r>
      <w:r>
        <w:rPr>
          <w:b/>
          <w:bCs/>
        </w:rPr>
        <w:t>активизации усилий по предотвращению торговли людьми и детского труда;</w:t>
      </w:r>
      <w:r>
        <w:t xml:space="preserve"> </w:t>
      </w:r>
    </w:p>
    <w:p w14:paraId="60A19D94" w14:textId="77777777" w:rsidR="007512BE" w:rsidRPr="00960BE6" w:rsidRDefault="007512BE" w:rsidP="007512BE">
      <w:pPr>
        <w:pStyle w:val="SingleTxtG"/>
        <w:rPr>
          <w:b/>
          <w:bCs/>
        </w:rPr>
      </w:pPr>
      <w:r>
        <w:tab/>
      </w:r>
      <w:r>
        <w:tab/>
      </w:r>
      <w:r w:rsidRPr="007512BE">
        <w:rPr>
          <w:b/>
          <w:bCs/>
        </w:rPr>
        <w:t>b)</w:t>
      </w:r>
      <w:r>
        <w:tab/>
      </w:r>
      <w:r>
        <w:rPr>
          <w:b/>
          <w:bCs/>
        </w:rPr>
        <w:t>укрепления правовой базы, обеспечивающей защиту от всех форм эксплуатации, включая принятие в виде законов законопроектов, направленных на укрепление системы защиты детей, приведение законодательства в полное соответствие с соответствующими конвенциями МОТ и прямое запрещение использования детей в проституции, порнографии или незаконной деятельности, включая торговлю наркотиками;</w:t>
      </w:r>
    </w:p>
    <w:p w14:paraId="332715ED" w14:textId="77777777" w:rsidR="007512BE" w:rsidRPr="00960BE6" w:rsidRDefault="007512BE" w:rsidP="007512BE">
      <w:pPr>
        <w:pStyle w:val="SingleTxtG"/>
        <w:rPr>
          <w:b/>
          <w:bCs/>
        </w:rPr>
      </w:pPr>
      <w:r>
        <w:tab/>
      </w:r>
      <w:r>
        <w:tab/>
      </w:r>
      <w:r w:rsidRPr="007512BE">
        <w:rPr>
          <w:b/>
          <w:bCs/>
        </w:rPr>
        <w:t>c)</w:t>
      </w:r>
      <w:r>
        <w:tab/>
      </w:r>
      <w:r>
        <w:rPr>
          <w:b/>
          <w:bCs/>
        </w:rPr>
        <w:t>оперативного и тщательного расследования всех случаев торговли людьми, судебного преследования подозреваемых в ней лиц и, в случае осуждения, применения адекватных и сдерживающих мер наказания;</w:t>
      </w:r>
    </w:p>
    <w:p w14:paraId="7D80F2CB" w14:textId="77777777" w:rsidR="007512BE" w:rsidRPr="00960BE6" w:rsidRDefault="007512BE" w:rsidP="007512BE">
      <w:pPr>
        <w:pStyle w:val="SingleTxtG"/>
        <w:rPr>
          <w:b/>
          <w:bCs/>
        </w:rPr>
      </w:pPr>
      <w:r>
        <w:tab/>
      </w:r>
      <w:r>
        <w:tab/>
      </w:r>
      <w:r w:rsidRPr="007512BE">
        <w:rPr>
          <w:b/>
          <w:bCs/>
        </w:rPr>
        <w:t>d)</w:t>
      </w:r>
      <w:r>
        <w:tab/>
      </w:r>
      <w:r>
        <w:rPr>
          <w:b/>
          <w:bCs/>
        </w:rPr>
        <w:t>обеспечения того, чтобы жертвы всех форм эксплуатации имели доступ к эффективным и соответствующим их возрасту средствам защиты и помощи, а также к полному возмещению ущерба, включая реабилитацию и адекватную компенсацию.</w:t>
      </w:r>
    </w:p>
    <w:p w14:paraId="56EF63CF" w14:textId="77777777" w:rsidR="007512BE" w:rsidRPr="00960BE6" w:rsidRDefault="007512BE" w:rsidP="007512BE">
      <w:pPr>
        <w:pStyle w:val="H23G"/>
      </w:pPr>
      <w:r>
        <w:tab/>
      </w:r>
      <w:r>
        <w:tab/>
      </w:r>
      <w:r>
        <w:rPr>
          <w:bCs/>
        </w:rPr>
        <w:t>Правосудие в отношении несовершеннолетних</w:t>
      </w:r>
    </w:p>
    <w:p w14:paraId="38D4E506" w14:textId="77777777" w:rsidR="007512BE" w:rsidRPr="00960BE6" w:rsidRDefault="007512BE" w:rsidP="007512BE">
      <w:pPr>
        <w:pStyle w:val="SingleTxtG"/>
      </w:pPr>
      <w:r>
        <w:t>35.</w:t>
      </w:r>
      <w:r>
        <w:tab/>
        <w:t>Комитет обеспокоен низким возрастом наступления уголовной ответственности для детей, содержанием под стражей взрослых и детей вместе в одних и тех же помещениях, а также тем, что дети могут быть приговорены к пожизненному лишению свободы. Комитет отмечает, что государство-участник сообщило о своем намерении реформировать систему отправления правосудия в отношении несовершеннолетних, в</w:t>
      </w:r>
      <w:r w:rsidR="00D02942">
        <w:t> </w:t>
      </w:r>
      <w:r>
        <w:t xml:space="preserve">том числе запретить вынесение детям приговоров к пожизненному лишению свободы в предлагаемом законопроекте об отправлении правосудия в отношении детей, однако по-прежнему обеспокоен существующими пробелами в защите несовершеннолетних, находящихся в конфликте с законом (статьи 9, 10, 14 и 24). </w:t>
      </w:r>
    </w:p>
    <w:p w14:paraId="5A62F570" w14:textId="77777777" w:rsidR="007512BE" w:rsidRPr="00960BE6" w:rsidRDefault="007512BE" w:rsidP="007512BE">
      <w:pPr>
        <w:pStyle w:val="SingleTxtG"/>
        <w:rPr>
          <w:b/>
          <w:bCs/>
        </w:rPr>
      </w:pPr>
      <w:r>
        <w:t>36.</w:t>
      </w:r>
      <w:r>
        <w:tab/>
      </w:r>
      <w:r>
        <w:rPr>
          <w:b/>
          <w:bCs/>
        </w:rPr>
        <w:t>Государству-участнику следует обеспечить, чтобы его система отправления правосудия в отношении несовершеннолетних была направлена на защиту прав, закрепленных в Пакте и других международных договорах.</w:t>
      </w:r>
      <w:r>
        <w:t xml:space="preserve"> </w:t>
      </w:r>
      <w:r>
        <w:rPr>
          <w:b/>
          <w:bCs/>
        </w:rPr>
        <w:t>Ему следует провести правовые реформы, включая пересмотр положений, допускающих вынесение приговоров несовершеннолетним к пожизненному лишению свободы, установление ограничений на срок лишения свободы, к</w:t>
      </w:r>
      <w:r w:rsidR="00D02942">
        <w:rPr>
          <w:b/>
          <w:bCs/>
        </w:rPr>
        <w:t> </w:t>
      </w:r>
      <w:r>
        <w:rPr>
          <w:b/>
          <w:bCs/>
        </w:rPr>
        <w:t>которому могут быть приговорены дети, и повышение возраста наступления уголовной ответственности.</w:t>
      </w:r>
      <w:r>
        <w:t xml:space="preserve"> </w:t>
      </w:r>
      <w:r>
        <w:rPr>
          <w:b/>
          <w:bCs/>
        </w:rPr>
        <w:t>Государству-участнику следует обеспечить, чтобы с детьми, находящимися в конфликте с законом, обращались таким образом, чтобы способствовать их интеграции в общество, и соблюдать принцип, согласно которому задержание детей должно использоваться лишь в качестве крайней меры и чтобы задержанные дети содержались отдельно от взрослых заключенных.</w:t>
      </w:r>
    </w:p>
    <w:p w14:paraId="216EB6DC" w14:textId="77777777" w:rsidR="007512BE" w:rsidRPr="00960BE6" w:rsidRDefault="007512BE" w:rsidP="007512BE">
      <w:pPr>
        <w:pStyle w:val="H23G"/>
      </w:pPr>
      <w:r>
        <w:tab/>
      </w:r>
      <w:r>
        <w:tab/>
      </w:r>
      <w:r>
        <w:rPr>
          <w:bCs/>
        </w:rPr>
        <w:t>Беженцы, просители убежища и лица без гражданства</w:t>
      </w:r>
    </w:p>
    <w:p w14:paraId="2F69E25A" w14:textId="77777777" w:rsidR="007512BE" w:rsidRPr="00960BE6" w:rsidRDefault="007512BE" w:rsidP="007512BE">
      <w:pPr>
        <w:pStyle w:val="SingleTxtG"/>
      </w:pPr>
      <w:r>
        <w:t>37.</w:t>
      </w:r>
      <w:r>
        <w:tab/>
        <w:t xml:space="preserve">Комитет обеспокоен тем, что в государстве-участнике отсутствует законодательство, гарантирующее права неграждан, включая беженцев и просителей убежища. Он также отмечает отсутствие информации о числе беженцев, просителей </w:t>
      </w:r>
      <w:r>
        <w:lastRenderedPageBreak/>
        <w:t xml:space="preserve">убежища и лиц без гражданства в государстве-участнике. Отмечая усилия государства-участника по решению проблемы безгражданства, Комитет в то же время обращает внимание на то, что оно не ратифицировало Конвенцию 1954 года о статусе апатридов и Конвенцию 1961 года о сокращении безгражданства (статьи 6, 7, 12 и 13). </w:t>
      </w:r>
    </w:p>
    <w:p w14:paraId="0C1D54AA" w14:textId="77777777" w:rsidR="007512BE" w:rsidRPr="00960BE6" w:rsidRDefault="007512BE" w:rsidP="007512BE">
      <w:pPr>
        <w:pStyle w:val="SingleTxtG"/>
        <w:rPr>
          <w:b/>
          <w:bCs/>
        </w:rPr>
      </w:pPr>
      <w:r>
        <w:t>38.</w:t>
      </w:r>
      <w:r>
        <w:tab/>
      </w:r>
      <w:r>
        <w:rPr>
          <w:b/>
          <w:bCs/>
        </w:rPr>
        <w:t>Государству-участнику следует:</w:t>
      </w:r>
    </w:p>
    <w:p w14:paraId="5C45B98D" w14:textId="77777777" w:rsidR="007512BE" w:rsidRPr="00960BE6" w:rsidRDefault="007512BE" w:rsidP="007512BE">
      <w:pPr>
        <w:pStyle w:val="SingleTxtG"/>
        <w:rPr>
          <w:b/>
          <w:bCs/>
        </w:rPr>
      </w:pPr>
      <w:r>
        <w:tab/>
      </w:r>
      <w:r>
        <w:tab/>
      </w:r>
      <w:r w:rsidRPr="007512BE">
        <w:rPr>
          <w:b/>
          <w:bCs/>
        </w:rPr>
        <w:t>a)</w:t>
      </w:r>
      <w:r>
        <w:tab/>
      </w:r>
      <w:r>
        <w:rPr>
          <w:b/>
          <w:bCs/>
        </w:rPr>
        <w:t>обеспечить, чтобы все лица, обращающиеся за международной защитой, имели доступ к справедливой и эффективной процедуре определения статуса беженца, независимо от страны их происхождения, и чтобы им предоставлялось надлежащее и справедливое обращение на всех этапах в соответствии с Пактом;</w:t>
      </w:r>
    </w:p>
    <w:p w14:paraId="79EC2E1C" w14:textId="77777777" w:rsidR="007512BE" w:rsidRPr="00960BE6" w:rsidRDefault="007512BE" w:rsidP="007512BE">
      <w:pPr>
        <w:pStyle w:val="SingleTxtG"/>
        <w:rPr>
          <w:b/>
          <w:bCs/>
        </w:rPr>
      </w:pPr>
      <w:r>
        <w:tab/>
      </w:r>
      <w:r>
        <w:tab/>
      </w:r>
      <w:r w:rsidRPr="007512BE">
        <w:rPr>
          <w:b/>
          <w:bCs/>
        </w:rPr>
        <w:t>b)</w:t>
      </w:r>
      <w:r>
        <w:tab/>
      </w:r>
      <w:r>
        <w:rPr>
          <w:b/>
          <w:bCs/>
        </w:rPr>
        <w:t>собирать и публиковать данные о положении беженцев, просителей убежища и лиц без гражданства на территории государства-участника;</w:t>
      </w:r>
    </w:p>
    <w:p w14:paraId="74B1EAD8" w14:textId="77777777" w:rsidR="007512BE" w:rsidRPr="00960BE6" w:rsidRDefault="007512BE" w:rsidP="007512BE">
      <w:pPr>
        <w:pStyle w:val="SingleTxtG"/>
        <w:rPr>
          <w:b/>
          <w:bCs/>
        </w:rPr>
      </w:pPr>
      <w:r>
        <w:tab/>
      </w:r>
      <w:r>
        <w:tab/>
      </w:r>
      <w:r w:rsidRPr="007512BE">
        <w:rPr>
          <w:b/>
          <w:bCs/>
        </w:rPr>
        <w:t>c)</w:t>
      </w:r>
      <w:r>
        <w:tab/>
      </w:r>
      <w:r>
        <w:rPr>
          <w:b/>
          <w:bCs/>
        </w:rPr>
        <w:t>незамедлительно принять законодательство, гарантирующее права иностранцев, включая беженцев и просителей убежища, в соответствии со своими обязательствами по Пакту и по Конвенции 1951 года о статусе беженцев;</w:t>
      </w:r>
    </w:p>
    <w:p w14:paraId="688B5847" w14:textId="77777777" w:rsidR="007512BE" w:rsidRPr="00960BE6" w:rsidRDefault="007512BE" w:rsidP="007512BE">
      <w:pPr>
        <w:pStyle w:val="SingleTxtG"/>
        <w:rPr>
          <w:b/>
          <w:bCs/>
        </w:rPr>
      </w:pPr>
      <w:r>
        <w:tab/>
      </w:r>
      <w:r>
        <w:tab/>
      </w:r>
      <w:r w:rsidRPr="007512BE">
        <w:rPr>
          <w:b/>
          <w:bCs/>
        </w:rPr>
        <w:t>d)</w:t>
      </w:r>
      <w:r>
        <w:tab/>
      </w:r>
      <w:r>
        <w:rPr>
          <w:b/>
          <w:bCs/>
        </w:rPr>
        <w:t>рассмотреть вопрос о присоединении к Конвенции 1954 года о статусе апатридов и Конвенции 1961 года о сокращении безгражданства.</w:t>
      </w:r>
    </w:p>
    <w:p w14:paraId="44C686B7" w14:textId="77777777" w:rsidR="007512BE" w:rsidRPr="00960BE6" w:rsidRDefault="007512BE" w:rsidP="007512BE">
      <w:pPr>
        <w:pStyle w:val="H23G"/>
      </w:pPr>
      <w:r>
        <w:tab/>
      </w:r>
      <w:r>
        <w:tab/>
      </w:r>
      <w:r>
        <w:rPr>
          <w:bCs/>
        </w:rPr>
        <w:t>Отправление правосудия и право на справедливое судебное разбирательство</w:t>
      </w:r>
      <w:r>
        <w:t xml:space="preserve"> </w:t>
      </w:r>
    </w:p>
    <w:p w14:paraId="0F2AFC0A" w14:textId="77777777" w:rsidR="007512BE" w:rsidRPr="00960BE6" w:rsidRDefault="007512BE" w:rsidP="007512BE">
      <w:pPr>
        <w:pStyle w:val="SingleTxtG"/>
      </w:pPr>
      <w:r>
        <w:t>39.</w:t>
      </w:r>
      <w:r>
        <w:tab/>
        <w:t xml:space="preserve">Комитет отмечает значительные трудности, с которыми сталкивается государство-участник в связи с последствиями стихийных бедствий для его судебной системы. Однако он обеспокоен тем, что по-прежнему имеют место большое число нерассмотренных дел и длительные задержки с проведением судебных разбирательств. Комитет приветствует усилия государства-участника по предоставлению юридической помощи, однако выражает озабоченность в связи с тем, что возможности для предоставления всем обвиняемым услуг адвоката могут оказаться недостаточными, и сожалеет об отсутствии информации от государства-участника по этому вопросу. Комитет далее сожалеет об отсутствии необходимой информации о мерах, принятых с целью дальнейшего обеспечения независимости и беспристрастности судебных органов (статьи 2 и 14). </w:t>
      </w:r>
    </w:p>
    <w:p w14:paraId="7F13D223" w14:textId="77777777" w:rsidR="007512BE" w:rsidRPr="00960BE6" w:rsidRDefault="007512BE" w:rsidP="007512BE">
      <w:pPr>
        <w:pStyle w:val="SingleTxtG"/>
        <w:rPr>
          <w:b/>
          <w:bCs/>
        </w:rPr>
      </w:pPr>
      <w:r>
        <w:t>40.</w:t>
      </w:r>
      <w:r>
        <w:tab/>
      </w:r>
      <w:r>
        <w:rPr>
          <w:b/>
          <w:bCs/>
        </w:rPr>
        <w:t>Комитет рекомендует государству-участнику эффективно осуществлять свои планы по наращиванию потенциала судебной системы и активизировать меры, направленные на уменьшение числа дел, находящихся на рассмотрении судов и органов прокуратуры, а также сроков ожидания в каждом случае.</w:t>
      </w:r>
      <w:r>
        <w:t xml:space="preserve"> </w:t>
      </w:r>
      <w:r>
        <w:rPr>
          <w:b/>
          <w:bCs/>
        </w:rPr>
        <w:t>Государству-участнику следует также укрепить потенциал службы правовой помощи и принять все необходимые меры для обеспечения независимости и беспристрастности судебных органов.</w:t>
      </w:r>
    </w:p>
    <w:p w14:paraId="367185FF" w14:textId="77777777" w:rsidR="007512BE" w:rsidRPr="00960BE6" w:rsidRDefault="007512BE" w:rsidP="007512BE">
      <w:pPr>
        <w:pStyle w:val="H23G"/>
      </w:pPr>
      <w:r>
        <w:tab/>
      </w:r>
      <w:r>
        <w:tab/>
      </w:r>
      <w:r>
        <w:rPr>
          <w:bCs/>
        </w:rPr>
        <w:t>Свобода выражения мнений и собраний</w:t>
      </w:r>
      <w:r>
        <w:t xml:space="preserve"> </w:t>
      </w:r>
    </w:p>
    <w:p w14:paraId="3C2E5616" w14:textId="77777777" w:rsidR="007512BE" w:rsidRPr="007D398E" w:rsidRDefault="007512BE" w:rsidP="007512BE">
      <w:pPr>
        <w:pStyle w:val="SingleTxtG"/>
      </w:pPr>
      <w:r>
        <w:t>41.</w:t>
      </w:r>
      <w:r>
        <w:tab/>
        <w:t xml:space="preserve">Комитет принимает к сведению информацию государства-участника о том, что в последнее время уголовная ответственность за диффамацию на практике не применялась и что соответствующие положения должны быть пересмотрены в ходе национальных усилий по реформированию законодательства. Однако он обеспокоен тем, что диффамация по-прежнему квалифицируется в качестве уголовного преступления в Законе 1979 года о клевете и оскорблении, который предусматривает за нее наказание в виде лишения свободы сроком до двух лет или штрафа. Он также обеспокоен тем, что такие несоразмерно карательные положения и угроза судебных исков могут оказывать негативное воздействие на осуществление свободы выражения мнений широкой общественностью, политическими партиями и средствами массовой информации. Комитет обеспокоен тем, что в отношении мирных собраний в государстве-участнике действует система, требующая предварительного разрешения на их проведение, и что, согласно </w:t>
      </w:r>
      <w:r w:rsidR="00B372E3">
        <w:t>имеющимся</w:t>
      </w:r>
      <w:r>
        <w:t xml:space="preserve"> сообщениям, оппозиционным партиям было отказано в разрешении на проведение мирных собраний, связанных с их деятельностью (статьи 2, 9, 19 и 21). </w:t>
      </w:r>
    </w:p>
    <w:p w14:paraId="58A96AA6" w14:textId="77777777" w:rsidR="007512BE" w:rsidRPr="00960BE6" w:rsidRDefault="007512BE" w:rsidP="007512BE">
      <w:pPr>
        <w:pStyle w:val="SingleTxtG"/>
        <w:rPr>
          <w:b/>
          <w:bCs/>
        </w:rPr>
      </w:pPr>
      <w:r>
        <w:lastRenderedPageBreak/>
        <w:t>42.</w:t>
      </w:r>
      <w:r>
        <w:tab/>
      </w:r>
      <w:r>
        <w:rPr>
          <w:b/>
          <w:bCs/>
        </w:rPr>
        <w:t>С учетом принятого Комитетом замечания общего порядка № 34 (2011) о свободе мнений и их свободном выражении государству-участнику следует обеспечить приведение законодательства в полное соответствие со статьей 19 Пакта и в то же время продолжать обеспечивать, чтобы никто не подвергался тюремному заключению за диффамацию.</w:t>
      </w:r>
      <w:r>
        <w:t xml:space="preserve"> </w:t>
      </w:r>
      <w:r>
        <w:rPr>
          <w:b/>
          <w:bCs/>
        </w:rPr>
        <w:t>Комитет далее рекомендует государству-участнику рассмотреть возможность внесения поправок в Закон 1954 года об общественном порядке, с тем чтобы для проведения мирных собраний требовалось не более чем предварительное уведомление.</w:t>
      </w:r>
      <w:r>
        <w:t xml:space="preserve"> </w:t>
      </w:r>
    </w:p>
    <w:p w14:paraId="766D4847" w14:textId="77777777" w:rsidR="007512BE" w:rsidRPr="00960BE6" w:rsidRDefault="007512BE" w:rsidP="007512BE">
      <w:pPr>
        <w:pStyle w:val="H23G"/>
      </w:pPr>
      <w:r>
        <w:tab/>
      </w:r>
      <w:r>
        <w:tab/>
      </w:r>
      <w:r>
        <w:rPr>
          <w:bCs/>
        </w:rPr>
        <w:t>Права ребенка</w:t>
      </w:r>
      <w:r>
        <w:t xml:space="preserve"> </w:t>
      </w:r>
    </w:p>
    <w:p w14:paraId="597AD429" w14:textId="77777777" w:rsidR="007512BE" w:rsidRPr="00960BE6" w:rsidRDefault="007512BE" w:rsidP="007512BE">
      <w:pPr>
        <w:pStyle w:val="SingleTxtG"/>
      </w:pPr>
      <w:r>
        <w:t>43.</w:t>
      </w:r>
      <w:r>
        <w:tab/>
        <w:t>Комитет обеспокоен тем, что телесные наказания до сих пор прямо не запрещены в семье, в детских садах и учреждениях альтернативного ухода, а также в пенитенциарных учреждениях (статьи 7 и 24).</w:t>
      </w:r>
    </w:p>
    <w:p w14:paraId="582A1936" w14:textId="77777777" w:rsidR="007512BE" w:rsidRPr="00960BE6" w:rsidRDefault="007512BE" w:rsidP="007512BE">
      <w:pPr>
        <w:pStyle w:val="SingleTxtG"/>
        <w:rPr>
          <w:b/>
          <w:bCs/>
        </w:rPr>
      </w:pPr>
      <w:r>
        <w:t>44.</w:t>
      </w:r>
      <w:r>
        <w:tab/>
      </w:r>
      <w:r>
        <w:rPr>
          <w:b/>
          <w:bCs/>
        </w:rPr>
        <w:t>Государству-участнику следует запретить телесные наказания в любых обстоятельствах.</w:t>
      </w:r>
    </w:p>
    <w:p w14:paraId="6216112B" w14:textId="77777777" w:rsidR="007512BE" w:rsidRPr="00960BE6" w:rsidRDefault="007512BE" w:rsidP="007512BE">
      <w:pPr>
        <w:pStyle w:val="H23G"/>
      </w:pPr>
      <w:r>
        <w:tab/>
      </w:r>
      <w:r>
        <w:tab/>
      </w:r>
      <w:r>
        <w:rPr>
          <w:bCs/>
        </w:rPr>
        <w:t>Участие в ведении государственных дел</w:t>
      </w:r>
    </w:p>
    <w:p w14:paraId="039D95B0" w14:textId="77777777" w:rsidR="007512BE" w:rsidRPr="00960BE6" w:rsidRDefault="007512BE" w:rsidP="007512BE">
      <w:pPr>
        <w:pStyle w:val="SingleTxtG"/>
      </w:pPr>
      <w:r>
        <w:t>45.</w:t>
      </w:r>
      <w:r>
        <w:tab/>
        <w:t xml:space="preserve">Принимая к сведению представленную государством-участником информацию о том, что наблюдатели за выборами пришли к тому выводу, что всеобщие выборы 2019 года отразили волю народа, Комитет вместе с тем обеспокоен существенными различиями в размерах избирательных округов. Он принимает к сведению представленную государством-участником информацию о предлагаемых реформах в области идентификации избирателей и рационализации списков избирателей, а также тот факт, что Комиссия по избирательным округам в настоящее время рассматривает доклад, в котором рекомендуется сократить число избирательных округов. Он также обеспокоен сообщениями о частых случаях предъявления уголовных обвинений членам оппозиционных партий за то, что, по-видимому, является деятельностью, связанной с их участием в государственных делах (статьи 19 и 25). </w:t>
      </w:r>
    </w:p>
    <w:p w14:paraId="4F84261A" w14:textId="77777777" w:rsidR="007512BE" w:rsidRPr="00960BE6" w:rsidRDefault="007512BE" w:rsidP="007512BE">
      <w:pPr>
        <w:pStyle w:val="SingleTxtG"/>
      </w:pPr>
      <w:r>
        <w:t>46.</w:t>
      </w:r>
      <w:r>
        <w:tab/>
      </w:r>
      <w:r>
        <w:rPr>
          <w:b/>
          <w:bCs/>
        </w:rPr>
        <w:t>Государству-участнику следует принять избирательную систему, гарантирующую равное осуществление прав всех граждан в соответствии с Пактом, включая статью 25, посредством, в частности, обеспечения полностью транспарентных выборов и плюралистического политического порядка, отказа от использования положений уголовного законодательства для ограничения права оппозиционных партий на участие в ведении государственных дел и расследования любых утверждений о правонарушениях.</w:t>
      </w:r>
      <w:r>
        <w:t xml:space="preserve"> </w:t>
      </w:r>
    </w:p>
    <w:p w14:paraId="1BB690E2" w14:textId="77777777" w:rsidR="007512BE" w:rsidRPr="00960BE6" w:rsidRDefault="007512BE" w:rsidP="007512BE">
      <w:pPr>
        <w:pStyle w:val="H23G"/>
      </w:pPr>
      <w:r>
        <w:tab/>
      </w:r>
      <w:r>
        <w:tab/>
      </w:r>
      <w:r>
        <w:rPr>
          <w:bCs/>
        </w:rPr>
        <w:t>Коренные народы</w:t>
      </w:r>
      <w:r>
        <w:t xml:space="preserve"> </w:t>
      </w:r>
    </w:p>
    <w:p w14:paraId="45E0F4FC" w14:textId="77777777" w:rsidR="007512BE" w:rsidRPr="00960BE6" w:rsidRDefault="007512BE" w:rsidP="007512BE">
      <w:pPr>
        <w:pStyle w:val="SingleTxtG"/>
      </w:pPr>
      <w:r>
        <w:t>47.</w:t>
      </w:r>
      <w:r>
        <w:tab/>
        <w:t>Комитет приветствует усилия, направленные на поощрение прав коренных народов, включая создание специального министерства, осуществление программ в области образования и жилья и оказание поддержки предприятиям коренных народов. Вместе с тем он отмечает отсутствие подробной информации о политике и правовых рамках, регулирующих владение землей коренных народов и ее использование, а</w:t>
      </w:r>
      <w:r w:rsidR="003D211E">
        <w:t> </w:t>
      </w:r>
      <w:r>
        <w:t>также о мерах, принимаемых для последовательного обеспечения права коренных народов на свободные, осознанные и предварительные консультации в отношении программ, оказывающих на них воздействие (статьи 2 и 27).</w:t>
      </w:r>
    </w:p>
    <w:p w14:paraId="62233AF1" w14:textId="77777777" w:rsidR="007512BE" w:rsidRPr="00960BE6" w:rsidRDefault="007512BE" w:rsidP="007512BE">
      <w:pPr>
        <w:pStyle w:val="SingleTxtG"/>
        <w:rPr>
          <w:b/>
          <w:bCs/>
        </w:rPr>
      </w:pPr>
      <w:r>
        <w:t>48.</w:t>
      </w:r>
      <w:r>
        <w:tab/>
      </w:r>
      <w:r>
        <w:rPr>
          <w:b/>
          <w:bCs/>
        </w:rPr>
        <w:t>Государству-участнику следует рассмотреть возможность:</w:t>
      </w:r>
    </w:p>
    <w:p w14:paraId="7C990FC1" w14:textId="77777777" w:rsidR="007512BE" w:rsidRPr="00960BE6" w:rsidRDefault="007512BE" w:rsidP="007512BE">
      <w:pPr>
        <w:pStyle w:val="SingleTxtG"/>
        <w:rPr>
          <w:b/>
          <w:bCs/>
        </w:rPr>
      </w:pPr>
      <w:r>
        <w:tab/>
      </w:r>
      <w:r>
        <w:tab/>
      </w:r>
      <w:r w:rsidRPr="007512BE">
        <w:rPr>
          <w:b/>
          <w:bCs/>
        </w:rPr>
        <w:t>a)</w:t>
      </w:r>
      <w:r>
        <w:tab/>
      </w:r>
      <w:r>
        <w:rPr>
          <w:b/>
          <w:bCs/>
        </w:rPr>
        <w:t>продолжения и расширения мер по поощрению прав коренных народов;</w:t>
      </w:r>
      <w:r>
        <w:t xml:space="preserve"> </w:t>
      </w:r>
    </w:p>
    <w:p w14:paraId="16FE6803" w14:textId="77777777" w:rsidR="007512BE" w:rsidRPr="00960BE6" w:rsidRDefault="007512BE" w:rsidP="007512BE">
      <w:pPr>
        <w:pStyle w:val="SingleTxtG"/>
        <w:rPr>
          <w:b/>
          <w:bCs/>
        </w:rPr>
      </w:pPr>
      <w:r>
        <w:tab/>
      </w:r>
      <w:r>
        <w:tab/>
      </w:r>
      <w:r w:rsidRPr="007512BE">
        <w:rPr>
          <w:b/>
          <w:bCs/>
        </w:rPr>
        <w:t>b)</w:t>
      </w:r>
      <w:r>
        <w:tab/>
      </w:r>
      <w:r>
        <w:rPr>
          <w:b/>
          <w:bCs/>
        </w:rPr>
        <w:t>принятия всеобъемлющего антидискриминационного законодательства, обеспечивающего защиту от дискриминации по признаку принадлежности к коренным народам;</w:t>
      </w:r>
    </w:p>
    <w:p w14:paraId="38E8E92C" w14:textId="77777777" w:rsidR="007512BE" w:rsidRPr="00960BE6" w:rsidRDefault="007512BE" w:rsidP="007512BE">
      <w:pPr>
        <w:pStyle w:val="SingleTxtG"/>
        <w:rPr>
          <w:b/>
          <w:bCs/>
        </w:rPr>
      </w:pPr>
      <w:r>
        <w:tab/>
      </w:r>
      <w:r>
        <w:tab/>
      </w:r>
      <w:r w:rsidRPr="007512BE">
        <w:rPr>
          <w:b/>
          <w:bCs/>
        </w:rPr>
        <w:t>c)</w:t>
      </w:r>
      <w:r>
        <w:tab/>
      </w:r>
      <w:r>
        <w:rPr>
          <w:b/>
          <w:bCs/>
        </w:rPr>
        <w:t xml:space="preserve">обеспечения проведения конструктивных консультаций с соответствующими коренными народами с целью получения их свободного, предварительного и осознанного согласия в отношении принятия или </w:t>
      </w:r>
      <w:r>
        <w:rPr>
          <w:b/>
          <w:bCs/>
        </w:rPr>
        <w:lastRenderedPageBreak/>
        <w:t>применения любых мер, которые могут оказать существенное влияние на их образ жизни и культуру.</w:t>
      </w:r>
    </w:p>
    <w:p w14:paraId="5A460BA8" w14:textId="77777777" w:rsidR="007512BE" w:rsidRPr="00960BE6" w:rsidRDefault="007512BE" w:rsidP="007512BE">
      <w:pPr>
        <w:pStyle w:val="H1G"/>
      </w:pPr>
      <w:r w:rsidRPr="00E73FF1">
        <w:tab/>
      </w:r>
      <w:r>
        <w:t>D.</w:t>
      </w:r>
      <w:r>
        <w:tab/>
      </w:r>
      <w:r>
        <w:tab/>
      </w:r>
      <w:r>
        <w:rPr>
          <w:bCs/>
        </w:rPr>
        <w:t>Распространение информации и последующая деятельность</w:t>
      </w:r>
    </w:p>
    <w:p w14:paraId="4C3A2198" w14:textId="77777777" w:rsidR="007512BE" w:rsidRPr="00960BE6" w:rsidRDefault="007512BE" w:rsidP="007512BE">
      <w:pPr>
        <w:pStyle w:val="SingleTxtG"/>
        <w:rPr>
          <w:b/>
          <w:bCs/>
        </w:rPr>
      </w:pPr>
      <w:r>
        <w:t>49.</w:t>
      </w:r>
      <w:r>
        <w:tab/>
      </w:r>
      <w:r>
        <w:rPr>
          <w:b/>
          <w:bCs/>
        </w:rPr>
        <w:t>Государству-участнику следует обеспечить широкое распространение Пакта, Факультативных протоколов к нему, своего первоначального доклада и настоящих заключительных замечаний, с тем чтобы повысить осведомленность о закрепленных в Пакте правах среди представителей судебных, законодательных и административных органов, гражданского общества и действующих в стране неправительственных организаций, а также широкой общественности.</w:t>
      </w:r>
      <w:r>
        <w:t xml:space="preserve"> </w:t>
      </w:r>
      <w:r>
        <w:rPr>
          <w:b/>
          <w:bCs/>
        </w:rPr>
        <w:t>Государству-участнику следует обеспечить, чтобы доклад и настоящие заключительные замечания были переведены на его официальный язык.</w:t>
      </w:r>
    </w:p>
    <w:p w14:paraId="6D279DD5" w14:textId="77777777" w:rsidR="007512BE" w:rsidRPr="00960BE6" w:rsidRDefault="007512BE" w:rsidP="007512BE">
      <w:pPr>
        <w:pStyle w:val="SingleTxtG"/>
        <w:rPr>
          <w:b/>
          <w:bCs/>
        </w:rPr>
      </w:pPr>
      <w:r>
        <w:t>50.</w:t>
      </w:r>
      <w:r>
        <w:tab/>
      </w:r>
      <w:r>
        <w:rPr>
          <w:b/>
          <w:bCs/>
        </w:rPr>
        <w:t>В соответствии с пунктом 1 правила 75 правил процедуры Комитета государству-участнику предлагается представить к 27 марта 2022 года информацию о выполнении рекомендаций, вынесенных Комитетом в пунктах 23 (младенческая смертность), 31 (досудебное содержание под стражей) и 46 (участие в ведении государственных дел) выше.</w:t>
      </w:r>
    </w:p>
    <w:p w14:paraId="23DED783" w14:textId="77777777" w:rsidR="007512BE" w:rsidRDefault="007512BE" w:rsidP="007512BE">
      <w:pPr>
        <w:pStyle w:val="SingleTxtG"/>
        <w:rPr>
          <w:b/>
          <w:bCs/>
        </w:rPr>
      </w:pPr>
      <w:r>
        <w:t>51.</w:t>
      </w:r>
      <w:r>
        <w:tab/>
      </w:r>
      <w:r>
        <w:rPr>
          <w:b/>
          <w:bCs/>
        </w:rPr>
        <w:t>В соответствии с пр</w:t>
      </w:r>
      <w:bookmarkStart w:id="0" w:name="_GoBack"/>
      <w:bookmarkEnd w:id="0"/>
      <w:r>
        <w:rPr>
          <w:b/>
          <w:bCs/>
        </w:rPr>
        <w:t>огнозируемым циклом обзора Комитета государство-участник получит в 2026 году перечень вопросов Комитета до представления доклада и должно будет представить в течение одного года свои ответы на перечень вопросов, которые и будут представлять собой его второй периодический доклад.</w:t>
      </w:r>
      <w:r>
        <w:t xml:space="preserve"> </w:t>
      </w:r>
      <w:r>
        <w:rPr>
          <w:b/>
          <w:bCs/>
        </w:rPr>
        <w:t>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 объем доклада не должен превышать 21 200 слов.</w:t>
      </w:r>
      <w:r>
        <w:t xml:space="preserve"> </w:t>
      </w:r>
      <w:r>
        <w:rPr>
          <w:b/>
          <w:bCs/>
        </w:rPr>
        <w:t>Следующий конструктивный диалог с государством-участником состоится в 2028 году в Женеве.</w:t>
      </w:r>
    </w:p>
    <w:p w14:paraId="36FE7C0E" w14:textId="77777777" w:rsidR="00381C24" w:rsidRPr="007512BE" w:rsidRDefault="007512BE" w:rsidP="007512BE">
      <w:pPr>
        <w:pStyle w:val="SingleTxtG"/>
        <w:spacing w:before="240" w:after="0"/>
        <w:jc w:val="center"/>
      </w:pPr>
      <w:r w:rsidRPr="007512BE">
        <w:rPr>
          <w:u w:val="single"/>
        </w:rPr>
        <w:tab/>
      </w:r>
      <w:r w:rsidRPr="007512BE">
        <w:rPr>
          <w:u w:val="single"/>
        </w:rPr>
        <w:tab/>
      </w:r>
      <w:r w:rsidRPr="007512BE">
        <w:rPr>
          <w:u w:val="single"/>
        </w:rPr>
        <w:tab/>
      </w:r>
      <w:r w:rsidRPr="007512BE">
        <w:rPr>
          <w:u w:val="single"/>
        </w:rPr>
        <w:tab/>
      </w:r>
    </w:p>
    <w:sectPr w:rsidR="00381C24" w:rsidRPr="007512BE" w:rsidSect="00D34DB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36C4" w14:textId="77777777" w:rsidR="00A355D3" w:rsidRPr="00A312BC" w:rsidRDefault="00A355D3" w:rsidP="00A312BC"/>
  </w:endnote>
  <w:endnote w:type="continuationSeparator" w:id="0">
    <w:p w14:paraId="208F05F2" w14:textId="77777777" w:rsidR="00A355D3" w:rsidRPr="00A312BC" w:rsidRDefault="00A355D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1B16" w14:textId="77777777" w:rsidR="00D34DB8" w:rsidRPr="00D34DB8" w:rsidRDefault="00D34DB8">
    <w:pPr>
      <w:pStyle w:val="a8"/>
    </w:pPr>
    <w:r w:rsidRPr="00D34DB8">
      <w:rPr>
        <w:b/>
        <w:sz w:val="18"/>
      </w:rPr>
      <w:fldChar w:fldCharType="begin"/>
    </w:r>
    <w:r w:rsidRPr="00D34DB8">
      <w:rPr>
        <w:b/>
        <w:sz w:val="18"/>
      </w:rPr>
      <w:instrText xml:space="preserve"> PAGE  \* MERGEFORMAT </w:instrText>
    </w:r>
    <w:r w:rsidRPr="00D34DB8">
      <w:rPr>
        <w:b/>
        <w:sz w:val="18"/>
      </w:rPr>
      <w:fldChar w:fldCharType="separate"/>
    </w:r>
    <w:r w:rsidRPr="00D34DB8">
      <w:rPr>
        <w:b/>
        <w:noProof/>
        <w:sz w:val="18"/>
      </w:rPr>
      <w:t>2</w:t>
    </w:r>
    <w:r w:rsidRPr="00D34DB8">
      <w:rPr>
        <w:b/>
        <w:sz w:val="18"/>
      </w:rPr>
      <w:fldChar w:fldCharType="end"/>
    </w:r>
    <w:r>
      <w:rPr>
        <w:b/>
        <w:sz w:val="18"/>
      </w:rPr>
      <w:tab/>
    </w:r>
    <w:r>
      <w:t>GE.20-06017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A565" w14:textId="77777777" w:rsidR="00D34DB8" w:rsidRPr="00D34DB8" w:rsidRDefault="00D34DB8" w:rsidP="00D34DB8">
    <w:pPr>
      <w:pStyle w:val="a8"/>
      <w:tabs>
        <w:tab w:val="clear" w:pos="9639"/>
        <w:tab w:val="right" w:pos="9638"/>
      </w:tabs>
      <w:rPr>
        <w:b/>
        <w:sz w:val="18"/>
      </w:rPr>
    </w:pPr>
    <w:r>
      <w:t>GE.20-06017</w:t>
    </w:r>
    <w:r>
      <w:tab/>
    </w:r>
    <w:r w:rsidRPr="00D34DB8">
      <w:rPr>
        <w:b/>
        <w:sz w:val="18"/>
      </w:rPr>
      <w:fldChar w:fldCharType="begin"/>
    </w:r>
    <w:r w:rsidRPr="00D34DB8">
      <w:rPr>
        <w:b/>
        <w:sz w:val="18"/>
      </w:rPr>
      <w:instrText xml:space="preserve"> PAGE  \* MERGEFORMAT </w:instrText>
    </w:r>
    <w:r w:rsidRPr="00D34DB8">
      <w:rPr>
        <w:b/>
        <w:sz w:val="18"/>
      </w:rPr>
      <w:fldChar w:fldCharType="separate"/>
    </w:r>
    <w:r w:rsidRPr="00D34DB8">
      <w:rPr>
        <w:b/>
        <w:noProof/>
        <w:sz w:val="18"/>
      </w:rPr>
      <w:t>3</w:t>
    </w:r>
    <w:r w:rsidRPr="00D34D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795C" w14:textId="77777777" w:rsidR="00042B72" w:rsidRPr="00D34DB8" w:rsidRDefault="00D34DB8" w:rsidP="00D34DB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C132790" wp14:editId="15E1A2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20-06017  (R)</w:t>
    </w:r>
    <w:r>
      <w:rPr>
        <w:lang w:val="fr-CH"/>
      </w:rPr>
      <w:t xml:space="preserve">  110520  1</w:t>
    </w:r>
    <w:r w:rsidR="004F0850">
      <w:t>3</w:t>
    </w:r>
    <w:r>
      <w:rPr>
        <w:lang w:val="fr-CH"/>
      </w:rPr>
      <w:t>0520</w:t>
    </w:r>
    <w:r>
      <w:br/>
    </w:r>
    <w:r w:rsidRPr="00D34DB8">
      <w:rPr>
        <w:rFonts w:ascii="C39T30Lfz" w:hAnsi="C39T30Lfz"/>
        <w:kern w:val="14"/>
        <w:sz w:val="56"/>
      </w:rPr>
      <w:t></w:t>
    </w:r>
    <w:r w:rsidRPr="00D34DB8">
      <w:rPr>
        <w:rFonts w:ascii="C39T30Lfz" w:hAnsi="C39T30Lfz"/>
        <w:kern w:val="14"/>
        <w:sz w:val="56"/>
      </w:rPr>
      <w:t></w:t>
    </w:r>
    <w:r w:rsidRPr="00D34DB8">
      <w:rPr>
        <w:rFonts w:ascii="C39T30Lfz" w:hAnsi="C39T30Lfz"/>
        <w:kern w:val="14"/>
        <w:sz w:val="56"/>
      </w:rPr>
      <w:t></w:t>
    </w:r>
    <w:r w:rsidRPr="00D34DB8">
      <w:rPr>
        <w:rFonts w:ascii="C39T30Lfz" w:hAnsi="C39T30Lfz"/>
        <w:kern w:val="14"/>
        <w:sz w:val="56"/>
      </w:rPr>
      <w:t></w:t>
    </w:r>
    <w:r w:rsidRPr="00D34DB8">
      <w:rPr>
        <w:rFonts w:ascii="C39T30Lfz" w:hAnsi="C39T30Lfz"/>
        <w:kern w:val="14"/>
        <w:sz w:val="56"/>
      </w:rPr>
      <w:t></w:t>
    </w:r>
    <w:r w:rsidRPr="00D34DB8">
      <w:rPr>
        <w:rFonts w:ascii="C39T30Lfz" w:hAnsi="C39T30Lfz"/>
        <w:kern w:val="14"/>
        <w:sz w:val="56"/>
      </w:rPr>
      <w:t></w:t>
    </w:r>
    <w:r w:rsidRPr="00D34DB8">
      <w:rPr>
        <w:rFonts w:ascii="C39T30Lfz" w:hAnsi="C39T30Lfz"/>
        <w:kern w:val="14"/>
        <w:sz w:val="56"/>
      </w:rPr>
      <w:t></w:t>
    </w:r>
    <w:r w:rsidRPr="00D34DB8">
      <w:rPr>
        <w:rFonts w:ascii="C39T30Lfz" w:hAnsi="C39T30Lfz"/>
        <w:kern w:val="14"/>
        <w:sz w:val="56"/>
      </w:rPr>
      <w:t></w:t>
    </w:r>
    <w:r w:rsidRPr="00D34DB8">
      <w:rPr>
        <w:rFonts w:ascii="C39T30Lfz" w:hAnsi="C39T30Lfz"/>
        <w:kern w:val="14"/>
        <w:sz w:val="56"/>
      </w:rPr>
      <w:t></w:t>
    </w:r>
    <w:r>
      <w:rPr>
        <w:noProof/>
      </w:rPr>
      <w:drawing>
        <wp:anchor distT="0" distB="0" distL="114300" distR="114300" simplePos="0" relativeHeight="251659264" behindDoc="0" locked="0" layoutInCell="1" allowOverlap="1" wp14:anchorId="0C1BEF11" wp14:editId="26AF0E2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3E9E" w14:textId="77777777" w:rsidR="00A355D3" w:rsidRPr="001075E9" w:rsidRDefault="00A355D3" w:rsidP="001075E9">
      <w:pPr>
        <w:tabs>
          <w:tab w:val="right" w:pos="2155"/>
        </w:tabs>
        <w:spacing w:after="80" w:line="240" w:lineRule="auto"/>
        <w:ind w:left="680"/>
        <w:rPr>
          <w:u w:val="single"/>
        </w:rPr>
      </w:pPr>
      <w:r>
        <w:rPr>
          <w:u w:val="single"/>
        </w:rPr>
        <w:tab/>
      </w:r>
    </w:p>
  </w:footnote>
  <w:footnote w:type="continuationSeparator" w:id="0">
    <w:p w14:paraId="7786E29E" w14:textId="77777777" w:rsidR="00A355D3" w:rsidRDefault="00A355D3" w:rsidP="00407B78">
      <w:pPr>
        <w:tabs>
          <w:tab w:val="right" w:pos="2155"/>
        </w:tabs>
        <w:spacing w:after="80"/>
        <w:ind w:left="680"/>
        <w:rPr>
          <w:u w:val="single"/>
        </w:rPr>
      </w:pPr>
      <w:r>
        <w:rPr>
          <w:u w:val="single"/>
        </w:rPr>
        <w:tab/>
      </w:r>
    </w:p>
  </w:footnote>
  <w:footnote w:id="1">
    <w:p w14:paraId="24BEEA1A" w14:textId="77777777" w:rsidR="007512BE" w:rsidRPr="00960BE6" w:rsidRDefault="007512BE" w:rsidP="008F1654">
      <w:pPr>
        <w:pStyle w:val="ad"/>
      </w:pPr>
      <w:r>
        <w:tab/>
      </w:r>
      <w:r w:rsidRPr="007512BE">
        <w:rPr>
          <w:sz w:val="20"/>
        </w:rPr>
        <w:t>*</w:t>
      </w:r>
      <w:r>
        <w:tab/>
        <w:t xml:space="preserve">Приняты Комитетом на его 128-й сессии (2–27 марта 2020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90F5" w14:textId="609C4A82" w:rsidR="00D34DB8" w:rsidRPr="00D34DB8" w:rsidRDefault="00B07A9F">
    <w:pPr>
      <w:pStyle w:val="a5"/>
    </w:pPr>
    <w:fldSimple w:instr=" TITLE  \* MERGEFORMAT ">
      <w:r>
        <w:t>CCPR/C/DMA/COAR/1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7D75" w14:textId="35EF76E9" w:rsidR="00D34DB8" w:rsidRPr="00D34DB8" w:rsidRDefault="00B07A9F" w:rsidP="00D34DB8">
    <w:pPr>
      <w:pStyle w:val="a5"/>
      <w:jc w:val="right"/>
    </w:pPr>
    <w:fldSimple w:instr=" TITLE  \* MERGEFORMAT ">
      <w:r>
        <w:t>CCPR/C/DMA/COAR/1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62C9" w14:textId="77777777" w:rsidR="00D34DB8" w:rsidRDefault="00D34DB8" w:rsidP="00D34DB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D3"/>
    <w:rsid w:val="00033EE1"/>
    <w:rsid w:val="00042B72"/>
    <w:rsid w:val="0004368B"/>
    <w:rsid w:val="000558BD"/>
    <w:rsid w:val="000B57E7"/>
    <w:rsid w:val="000B6373"/>
    <w:rsid w:val="000C5B3F"/>
    <w:rsid w:val="000D3368"/>
    <w:rsid w:val="000F09DF"/>
    <w:rsid w:val="000F61B2"/>
    <w:rsid w:val="001075E9"/>
    <w:rsid w:val="0012156E"/>
    <w:rsid w:val="00165924"/>
    <w:rsid w:val="00180183"/>
    <w:rsid w:val="0018024D"/>
    <w:rsid w:val="0018649F"/>
    <w:rsid w:val="00196389"/>
    <w:rsid w:val="001B3EF6"/>
    <w:rsid w:val="001C7A89"/>
    <w:rsid w:val="001F0301"/>
    <w:rsid w:val="00254812"/>
    <w:rsid w:val="0029197F"/>
    <w:rsid w:val="002A2EFC"/>
    <w:rsid w:val="002C0E18"/>
    <w:rsid w:val="002C2A98"/>
    <w:rsid w:val="002C4F2D"/>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211E"/>
    <w:rsid w:val="00407B78"/>
    <w:rsid w:val="00424203"/>
    <w:rsid w:val="00452493"/>
    <w:rsid w:val="00454E07"/>
    <w:rsid w:val="00472C5C"/>
    <w:rsid w:val="004969B2"/>
    <w:rsid w:val="004F0850"/>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0E29"/>
    <w:rsid w:val="006F35EE"/>
    <w:rsid w:val="007021FF"/>
    <w:rsid w:val="00712895"/>
    <w:rsid w:val="00746DA3"/>
    <w:rsid w:val="007512BE"/>
    <w:rsid w:val="0075523D"/>
    <w:rsid w:val="00757357"/>
    <w:rsid w:val="0078021C"/>
    <w:rsid w:val="00787D3A"/>
    <w:rsid w:val="00791B9D"/>
    <w:rsid w:val="00825F8D"/>
    <w:rsid w:val="00834B71"/>
    <w:rsid w:val="0086445C"/>
    <w:rsid w:val="00894693"/>
    <w:rsid w:val="008A08D7"/>
    <w:rsid w:val="008B6909"/>
    <w:rsid w:val="008F1654"/>
    <w:rsid w:val="00906890"/>
    <w:rsid w:val="00911BE4"/>
    <w:rsid w:val="00931A71"/>
    <w:rsid w:val="00951972"/>
    <w:rsid w:val="009608F3"/>
    <w:rsid w:val="009918E2"/>
    <w:rsid w:val="009A24AC"/>
    <w:rsid w:val="009D21FD"/>
    <w:rsid w:val="00A14DA8"/>
    <w:rsid w:val="00A312BC"/>
    <w:rsid w:val="00A34D07"/>
    <w:rsid w:val="00A355D3"/>
    <w:rsid w:val="00A84021"/>
    <w:rsid w:val="00A84D35"/>
    <w:rsid w:val="00A917B3"/>
    <w:rsid w:val="00AB4B51"/>
    <w:rsid w:val="00AC1DF9"/>
    <w:rsid w:val="00AD6F87"/>
    <w:rsid w:val="00B07A9F"/>
    <w:rsid w:val="00B10CC7"/>
    <w:rsid w:val="00B136DB"/>
    <w:rsid w:val="00B372E3"/>
    <w:rsid w:val="00B539E7"/>
    <w:rsid w:val="00B62458"/>
    <w:rsid w:val="00BC18B2"/>
    <w:rsid w:val="00BC3629"/>
    <w:rsid w:val="00BD33EE"/>
    <w:rsid w:val="00BF1A04"/>
    <w:rsid w:val="00C0177C"/>
    <w:rsid w:val="00C106D6"/>
    <w:rsid w:val="00C46D5A"/>
    <w:rsid w:val="00C60F0C"/>
    <w:rsid w:val="00C805C9"/>
    <w:rsid w:val="00C879B1"/>
    <w:rsid w:val="00C92939"/>
    <w:rsid w:val="00CA1679"/>
    <w:rsid w:val="00CB151C"/>
    <w:rsid w:val="00CE5A1A"/>
    <w:rsid w:val="00CF55F6"/>
    <w:rsid w:val="00D02942"/>
    <w:rsid w:val="00D33D63"/>
    <w:rsid w:val="00D34DB8"/>
    <w:rsid w:val="00D35091"/>
    <w:rsid w:val="00D90028"/>
    <w:rsid w:val="00D90138"/>
    <w:rsid w:val="00D9090B"/>
    <w:rsid w:val="00DD78D1"/>
    <w:rsid w:val="00DE32CD"/>
    <w:rsid w:val="00DF71B9"/>
    <w:rsid w:val="00E005F7"/>
    <w:rsid w:val="00E06BEE"/>
    <w:rsid w:val="00E46656"/>
    <w:rsid w:val="00E73F76"/>
    <w:rsid w:val="00E73FF1"/>
    <w:rsid w:val="00EA2C9F"/>
    <w:rsid w:val="00EA3941"/>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13FE5"/>
  <w15:docId w15:val="{BC406E17-807E-448D-98FD-BA8A0C9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t,Text,fn"/>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fn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7512B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8</TotalTime>
  <Pages>11</Pages>
  <Words>4296</Words>
  <Characters>29736</Characters>
  <Application>Microsoft Office Word</Application>
  <DocSecurity>0</DocSecurity>
  <Lines>540</Lines>
  <Paragraphs>152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CCPR/C/DMA/COAR/1</vt:lpstr>
      <vt:lpstr>A/</vt:lpstr>
      <vt:lpstr>A/</vt:lpstr>
    </vt:vector>
  </TitlesOfParts>
  <Company>DCM</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CCPR/C/DMA/COAR/1</dc:title>
  <dc:subject/>
  <dc:creator>Olga OVTCHINNIKOVA</dc:creator>
  <cp:keywords/>
  <cp:lastModifiedBy>Anna BLAGODATSKIKH</cp:lastModifiedBy>
  <cp:revision>4</cp:revision>
  <cp:lastPrinted>2020-05-13T08:41:00Z</cp:lastPrinted>
  <dcterms:created xsi:type="dcterms:W3CDTF">2020-05-13T08:41:00Z</dcterms:created>
  <dcterms:modified xsi:type="dcterms:W3CDTF">2020-05-13T08:52:00Z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