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3511C" w14:textId="77777777" w:rsidR="00BD67EB" w:rsidRPr="002E4298" w:rsidRDefault="00BD67EB" w:rsidP="00BD67EB">
      <w:pPr>
        <w:spacing w:line="240" w:lineRule="auto"/>
        <w:rPr>
          <w:sz w:val="2"/>
          <w:lang w:val="fr-FR"/>
        </w:rPr>
        <w:sectPr w:rsidR="00BD67EB" w:rsidRPr="002E4298" w:rsidSect="0001022E">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2E4298">
        <w:rPr>
          <w:rStyle w:val="CommentReference"/>
          <w:lang w:val="fr-FR"/>
        </w:rPr>
        <w:commentReference w:id="0"/>
      </w:r>
      <w:bookmarkStart w:id="1" w:name="_GoBack"/>
      <w:bookmarkEnd w:id="1"/>
    </w:p>
    <w:p w14:paraId="0523E9F8" w14:textId="5E9381E5" w:rsidR="002B314F" w:rsidRPr="002E4298" w:rsidRDefault="002B314F" w:rsidP="001B558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FR"/>
        </w:rPr>
      </w:pPr>
      <w:r w:rsidRPr="002E4298">
        <w:rPr>
          <w:lang w:val="fr-FR" w:bidi="fr-FR"/>
        </w:rPr>
        <w:t>Comité pour l</w:t>
      </w:r>
      <w:r w:rsidR="00DB0699" w:rsidRPr="002E4298">
        <w:rPr>
          <w:lang w:val="fr-FR" w:bidi="fr-FR"/>
        </w:rPr>
        <w:t>’</w:t>
      </w:r>
      <w:r w:rsidRPr="002E4298">
        <w:rPr>
          <w:lang w:val="fr-FR" w:bidi="fr-FR"/>
        </w:rPr>
        <w:t>élimination de la discrimination</w:t>
      </w:r>
      <w:r w:rsidR="001B5585" w:rsidRPr="002E4298">
        <w:rPr>
          <w:lang w:val="fr-FR" w:bidi="fr-FR"/>
        </w:rPr>
        <w:br/>
      </w:r>
      <w:r w:rsidRPr="002E4298">
        <w:rPr>
          <w:lang w:val="fr-FR" w:bidi="fr-FR"/>
        </w:rPr>
        <w:t>à l</w:t>
      </w:r>
      <w:r w:rsidR="00DB0699" w:rsidRPr="002E4298">
        <w:rPr>
          <w:lang w:val="fr-FR" w:bidi="fr-FR"/>
        </w:rPr>
        <w:t>’</w:t>
      </w:r>
      <w:r w:rsidRPr="002E4298">
        <w:rPr>
          <w:lang w:val="fr-FR" w:bidi="fr-FR"/>
        </w:rPr>
        <w:t>égard des femmes</w:t>
      </w:r>
    </w:p>
    <w:p w14:paraId="6671409B" w14:textId="77777777" w:rsidR="001B5585" w:rsidRPr="002E4298" w:rsidRDefault="001B5585" w:rsidP="001B5585">
      <w:pPr>
        <w:pStyle w:val="SingleTxt"/>
        <w:spacing w:after="0" w:line="120" w:lineRule="exact"/>
        <w:rPr>
          <w:sz w:val="10"/>
          <w:lang w:val="fr-FR" w:bidi="fr-FR"/>
        </w:rPr>
      </w:pPr>
    </w:p>
    <w:p w14:paraId="1FFD28B3" w14:textId="77777777" w:rsidR="001B5585" w:rsidRPr="002E4298" w:rsidRDefault="001B5585" w:rsidP="001B5585">
      <w:pPr>
        <w:pStyle w:val="SingleTxt"/>
        <w:spacing w:after="0" w:line="120" w:lineRule="exact"/>
        <w:rPr>
          <w:sz w:val="10"/>
          <w:lang w:val="fr-FR" w:bidi="fr-FR"/>
        </w:rPr>
      </w:pPr>
    </w:p>
    <w:p w14:paraId="3519209A" w14:textId="77777777" w:rsidR="001B5585" w:rsidRPr="002E4298" w:rsidRDefault="001B5585" w:rsidP="001B5585">
      <w:pPr>
        <w:pStyle w:val="SingleTxt"/>
        <w:spacing w:after="0" w:line="120" w:lineRule="exact"/>
        <w:rPr>
          <w:sz w:val="10"/>
          <w:lang w:val="fr-FR" w:bidi="fr-FR"/>
        </w:rPr>
      </w:pPr>
    </w:p>
    <w:p w14:paraId="4DD394A0" w14:textId="33EBD262" w:rsidR="002B314F" w:rsidRPr="002E4298" w:rsidRDefault="002B314F" w:rsidP="001B5585">
      <w:pPr>
        <w:pStyle w:val="TitleHCH"/>
        <w:ind w:right="1260"/>
        <w:rPr>
          <w:lang w:val="fr-FR"/>
        </w:rPr>
      </w:pPr>
      <w:r w:rsidRPr="002E4298">
        <w:rPr>
          <w:lang w:val="fr-FR" w:bidi="fr-FR"/>
        </w:rPr>
        <w:tab/>
      </w:r>
      <w:r w:rsidRPr="002E4298">
        <w:rPr>
          <w:lang w:val="fr-FR" w:bidi="fr-FR"/>
        </w:rPr>
        <w:tab/>
        <w:t>Dixième</w:t>
      </w:r>
      <w:r w:rsidR="00DB0699" w:rsidRPr="002E4298">
        <w:rPr>
          <w:lang w:val="fr-FR" w:bidi="fr-FR"/>
        </w:rPr>
        <w:t xml:space="preserve"> </w:t>
      </w:r>
      <w:r w:rsidRPr="002E4298">
        <w:rPr>
          <w:lang w:val="fr-FR" w:bidi="fr-FR"/>
        </w:rPr>
        <w:t>rapport périodique soumis par le Portugal en</w:t>
      </w:r>
      <w:r w:rsidR="001B5585" w:rsidRPr="002E4298">
        <w:rPr>
          <w:lang w:val="fr-FR" w:bidi="fr-FR"/>
        </w:rPr>
        <w:t> </w:t>
      </w:r>
      <w:r w:rsidRPr="002E4298">
        <w:rPr>
          <w:lang w:val="fr-FR" w:bidi="fr-FR"/>
        </w:rPr>
        <w:t>application de l</w:t>
      </w:r>
      <w:r w:rsidR="00DB0699" w:rsidRPr="002E4298">
        <w:rPr>
          <w:lang w:val="fr-FR" w:bidi="fr-FR"/>
        </w:rPr>
        <w:t>’</w:t>
      </w:r>
      <w:r w:rsidRPr="002E4298">
        <w:rPr>
          <w:lang w:val="fr-FR" w:bidi="fr-FR"/>
        </w:rPr>
        <w:t>artic</w:t>
      </w:r>
      <w:r w:rsidR="00DC43BF" w:rsidRPr="002E4298">
        <w:rPr>
          <w:lang w:val="fr-FR" w:bidi="fr-FR"/>
        </w:rPr>
        <w:t xml:space="preserve">le </w:t>
      </w:r>
      <w:r w:rsidRPr="002E4298">
        <w:rPr>
          <w:lang w:val="fr-FR" w:bidi="fr-FR"/>
        </w:rPr>
        <w:t>18 de la Convention, attendu en</w:t>
      </w:r>
      <w:r w:rsidR="001B5585" w:rsidRPr="002E4298">
        <w:rPr>
          <w:lang w:val="fr-FR" w:bidi="fr-FR"/>
        </w:rPr>
        <w:t> </w:t>
      </w:r>
      <w:r w:rsidR="00B23B6D" w:rsidRPr="002E4298">
        <w:rPr>
          <w:lang w:val="fr-FR" w:bidi="fr-FR"/>
        </w:rPr>
        <w:t>20</w:t>
      </w:r>
      <w:r w:rsidRPr="002E4298">
        <w:rPr>
          <w:lang w:val="fr-FR" w:bidi="fr-FR"/>
        </w:rPr>
        <w:t>19</w:t>
      </w:r>
      <w:r w:rsidRPr="002E4298">
        <w:rPr>
          <w:b w:val="0"/>
          <w:bCs/>
          <w:sz w:val="20"/>
          <w:szCs w:val="20"/>
          <w:lang w:val="fr-FR" w:bidi="fr-FR"/>
        </w:rPr>
        <w:footnoteReference w:customMarkFollows="1" w:id="1"/>
        <w:t xml:space="preserve">*, </w:t>
      </w:r>
      <w:r w:rsidRPr="002E4298">
        <w:rPr>
          <w:b w:val="0"/>
          <w:bCs/>
          <w:sz w:val="20"/>
          <w:szCs w:val="20"/>
          <w:lang w:val="fr-FR" w:bidi="fr-FR"/>
        </w:rPr>
        <w:footnoteReference w:customMarkFollows="1" w:id="2"/>
        <w:t>**</w:t>
      </w:r>
    </w:p>
    <w:p w14:paraId="17EB391D" w14:textId="77777777" w:rsidR="001B5585" w:rsidRPr="002E4298" w:rsidRDefault="001B5585" w:rsidP="001B5585">
      <w:pPr>
        <w:pStyle w:val="SingleTxt"/>
        <w:spacing w:after="0" w:line="120" w:lineRule="exact"/>
        <w:rPr>
          <w:sz w:val="10"/>
          <w:lang w:val="fr-FR" w:bidi="fr-FR"/>
        </w:rPr>
      </w:pPr>
    </w:p>
    <w:p w14:paraId="6EF0EB97" w14:textId="77777777" w:rsidR="001B5585" w:rsidRPr="002E4298" w:rsidRDefault="001B5585" w:rsidP="001B5585">
      <w:pPr>
        <w:pStyle w:val="SingleTxt"/>
        <w:spacing w:after="0" w:line="120" w:lineRule="exact"/>
        <w:rPr>
          <w:sz w:val="10"/>
          <w:lang w:val="fr-FR" w:bidi="fr-FR"/>
        </w:rPr>
      </w:pPr>
    </w:p>
    <w:p w14:paraId="48F9AD8B" w14:textId="35FABB51" w:rsidR="002B314F" w:rsidRPr="002E4298" w:rsidRDefault="002B314F" w:rsidP="001B5585">
      <w:pPr>
        <w:pStyle w:val="SingleTxt"/>
        <w:jc w:val="right"/>
        <w:rPr>
          <w:lang w:val="fr-FR"/>
        </w:rPr>
      </w:pPr>
      <w:r w:rsidRPr="002E4298">
        <w:rPr>
          <w:lang w:val="fr-FR" w:bidi="fr-FR"/>
        </w:rPr>
        <w:t>[Date de réception</w:t>
      </w:r>
      <w:r w:rsidR="00DB0699" w:rsidRPr="002E4298">
        <w:rPr>
          <w:lang w:val="fr-FR" w:bidi="fr-FR"/>
        </w:rPr>
        <w:t> :</w:t>
      </w:r>
      <w:r w:rsidRPr="002E4298">
        <w:rPr>
          <w:lang w:val="fr-FR" w:bidi="fr-FR"/>
        </w:rPr>
        <w:t xml:space="preserve"> 2 décembre</w:t>
      </w:r>
      <w:r w:rsidR="00B23B6D" w:rsidRPr="002E4298">
        <w:rPr>
          <w:lang w:val="fr-FR" w:bidi="fr-FR"/>
        </w:rPr>
        <w:t xml:space="preserve"> 20</w:t>
      </w:r>
      <w:r w:rsidRPr="002E4298">
        <w:rPr>
          <w:lang w:val="fr-FR" w:bidi="fr-FR"/>
        </w:rPr>
        <w:t>19]</w:t>
      </w:r>
    </w:p>
    <w:p w14:paraId="75D3FF9A" w14:textId="020D3859" w:rsidR="002B314F" w:rsidRPr="002E4298" w:rsidRDefault="002B314F">
      <w:pPr>
        <w:spacing w:after="200" w:line="276" w:lineRule="auto"/>
        <w:rPr>
          <w:lang w:val="fr-FR"/>
        </w:rPr>
      </w:pPr>
      <w:r w:rsidRPr="002E4298">
        <w:rPr>
          <w:lang w:val="fr-FR"/>
        </w:rPr>
        <w:br w:type="page"/>
      </w:r>
    </w:p>
    <w:p w14:paraId="1FC3A672" w14:textId="10E4FE9D" w:rsidR="002B314F" w:rsidRPr="002E4298" w:rsidRDefault="007A7E54" w:rsidP="007A7E5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2E4298">
        <w:rPr>
          <w:lang w:val="fr-FR"/>
        </w:rPr>
        <w:lastRenderedPageBreak/>
        <w:tab/>
      </w:r>
      <w:r w:rsidR="002B314F" w:rsidRPr="002E4298">
        <w:rPr>
          <w:lang w:val="fr-FR" w:bidi="fr-FR"/>
        </w:rPr>
        <w:t>A.</w:t>
      </w:r>
      <w:r w:rsidR="002B314F" w:rsidRPr="002E4298">
        <w:rPr>
          <w:lang w:val="fr-FR" w:bidi="fr-FR"/>
        </w:rPr>
        <w:tab/>
        <w:t>Introduction</w:t>
      </w:r>
    </w:p>
    <w:p w14:paraId="3C088DEC" w14:textId="2F397C1D" w:rsidR="007A7E54" w:rsidRPr="002E4298" w:rsidRDefault="007A7E54" w:rsidP="007A7E54">
      <w:pPr>
        <w:pStyle w:val="SingleTxt"/>
        <w:spacing w:after="0" w:line="120" w:lineRule="exact"/>
        <w:rPr>
          <w:sz w:val="10"/>
          <w:lang w:val="fr-FR" w:bidi="fr-FR"/>
        </w:rPr>
      </w:pPr>
    </w:p>
    <w:p w14:paraId="4B5B3528" w14:textId="05132A75" w:rsidR="007A7E54" w:rsidRPr="002E4298" w:rsidRDefault="007A7E54" w:rsidP="007A7E54">
      <w:pPr>
        <w:pStyle w:val="SingleTxt"/>
        <w:spacing w:after="0" w:line="120" w:lineRule="exact"/>
        <w:rPr>
          <w:sz w:val="10"/>
          <w:lang w:val="fr-FR" w:bidi="fr-FR"/>
        </w:rPr>
      </w:pPr>
    </w:p>
    <w:p w14:paraId="2FD52A13" w14:textId="1EC10E64" w:rsidR="002B314F" w:rsidRPr="002E4298" w:rsidRDefault="002B314F" w:rsidP="00A11C35">
      <w:pPr>
        <w:pStyle w:val="SingleTxt"/>
        <w:numPr>
          <w:ilvl w:val="0"/>
          <w:numId w:val="5"/>
        </w:numPr>
        <w:spacing w:line="240" w:lineRule="exact"/>
        <w:ind w:left="1267"/>
        <w:rPr>
          <w:lang w:val="fr-FR"/>
        </w:rPr>
      </w:pPr>
      <w:r w:rsidRPr="002E4298">
        <w:rPr>
          <w:lang w:val="fr-FR" w:bidi="fr-FR"/>
        </w:rPr>
        <w:t>Le Portugal considère l</w:t>
      </w:r>
      <w:r w:rsidR="00DB0699" w:rsidRPr="002E4298">
        <w:rPr>
          <w:lang w:val="fr-FR" w:bidi="fr-FR"/>
        </w:rPr>
        <w:t>’</w:t>
      </w:r>
      <w:r w:rsidRPr="002E4298">
        <w:rPr>
          <w:lang w:val="fr-FR" w:bidi="fr-FR"/>
        </w:rPr>
        <w:t>égalité entre les femmes et les hommes comme une priorité évidente de politique publique. Il comprend bien que les désavantages dont les femmes et les filles continuent de souffrir et les stéréotypes de genre sous-jacents sont structurels et qu</w:t>
      </w:r>
      <w:r w:rsidR="00DB0699" w:rsidRPr="002E4298">
        <w:rPr>
          <w:lang w:val="fr-FR" w:bidi="fr-FR"/>
        </w:rPr>
        <w:t>’</w:t>
      </w:r>
      <w:r w:rsidRPr="002E4298">
        <w:rPr>
          <w:lang w:val="fr-FR" w:bidi="fr-FR"/>
        </w:rPr>
        <w:t>une approche multidimensionnelle est nécessaire. La Constitution impose à l</w:t>
      </w:r>
      <w:r w:rsidR="00DB0699" w:rsidRPr="002E4298">
        <w:rPr>
          <w:lang w:val="fr-FR" w:bidi="fr-FR"/>
        </w:rPr>
        <w:t>’</w:t>
      </w:r>
      <w:r w:rsidRPr="002E4298">
        <w:rPr>
          <w:lang w:val="fr-FR" w:bidi="fr-FR"/>
        </w:rPr>
        <w:t>État de promouvoir l</w:t>
      </w:r>
      <w:r w:rsidR="00DB0699" w:rsidRPr="002E4298">
        <w:rPr>
          <w:lang w:val="fr-FR" w:bidi="fr-FR"/>
        </w:rPr>
        <w:t>’</w:t>
      </w:r>
      <w:r w:rsidRPr="002E4298">
        <w:rPr>
          <w:lang w:val="fr-FR" w:bidi="fr-FR"/>
        </w:rPr>
        <w:t>égalité entre les femmes et les hommes en tant que partie intégrante de la promotion des droits humains, notamment les obligations et les droits civils, culturels, économiques, politiques et sociaux des femmes et des hommes, êtres humains égaux en valeur et en dignité. L</w:t>
      </w:r>
      <w:r w:rsidR="00DB0699" w:rsidRPr="002E4298">
        <w:rPr>
          <w:lang w:val="fr-FR" w:bidi="fr-FR"/>
        </w:rPr>
        <w:t>’</w:t>
      </w:r>
      <w:r w:rsidRPr="002E4298">
        <w:rPr>
          <w:lang w:val="fr-FR" w:bidi="fr-FR"/>
        </w:rPr>
        <w:t>obligation de garantir le respect de cette égalité dans la conduite des affaires publiques découle de la reconnaissance du droit à l</w:t>
      </w:r>
      <w:r w:rsidR="00DB0699" w:rsidRPr="002E4298">
        <w:rPr>
          <w:lang w:val="fr-FR" w:bidi="fr-FR"/>
        </w:rPr>
        <w:t>’</w:t>
      </w:r>
      <w:r w:rsidRPr="002E4298">
        <w:rPr>
          <w:lang w:val="fr-FR" w:bidi="fr-FR"/>
        </w:rPr>
        <w:t>égalité.</w:t>
      </w:r>
    </w:p>
    <w:p w14:paraId="146E42DC" w14:textId="4A194A9B" w:rsidR="00DB0699" w:rsidRPr="002E4298" w:rsidRDefault="002B314F" w:rsidP="00A11C35">
      <w:pPr>
        <w:pStyle w:val="SingleTxt"/>
        <w:numPr>
          <w:ilvl w:val="0"/>
          <w:numId w:val="5"/>
        </w:numPr>
        <w:spacing w:line="240" w:lineRule="exact"/>
        <w:ind w:left="1267"/>
        <w:rPr>
          <w:lang w:val="fr-FR" w:bidi="fr-FR"/>
        </w:rPr>
      </w:pPr>
      <w:r w:rsidRPr="002E4298">
        <w:rPr>
          <w:lang w:val="fr-FR" w:bidi="fr-FR"/>
        </w:rPr>
        <w:t>Dans ce contexte, l</w:t>
      </w:r>
      <w:r w:rsidR="00DB0699" w:rsidRPr="002E4298">
        <w:rPr>
          <w:lang w:val="fr-FR" w:bidi="fr-FR"/>
        </w:rPr>
        <w:t>’</w:t>
      </w:r>
      <w:r w:rsidRPr="002E4298">
        <w:rPr>
          <w:lang w:val="fr-FR" w:bidi="fr-FR"/>
        </w:rPr>
        <w:t>intégration de la question de l</w:t>
      </w:r>
      <w:r w:rsidR="00DB0699" w:rsidRPr="002E4298">
        <w:rPr>
          <w:lang w:val="fr-FR" w:bidi="fr-FR"/>
        </w:rPr>
        <w:t>’</w:t>
      </w:r>
      <w:r w:rsidRPr="002E4298">
        <w:rPr>
          <w:lang w:val="fr-FR" w:bidi="fr-FR"/>
        </w:rPr>
        <w:t>égalité des genres à tous les niveaux de gouvernance constitue un engagement politique et une stratégie visant à atteindre l</w:t>
      </w:r>
      <w:r w:rsidR="00DB0699" w:rsidRPr="002E4298">
        <w:rPr>
          <w:lang w:val="fr-FR" w:bidi="fr-FR"/>
        </w:rPr>
        <w:t>’</w:t>
      </w:r>
      <w:r w:rsidRPr="002E4298">
        <w:rPr>
          <w:lang w:val="fr-FR" w:bidi="fr-FR"/>
        </w:rPr>
        <w:t>égalité entre les femmes et les hommes, entre les filles et les garçons, dans toutes les activités gouvernementales ainsi que dans toutes les politiques mises en œuvre aux niveaux central et local de l</w:t>
      </w:r>
      <w:r w:rsidR="00DB0699" w:rsidRPr="002E4298">
        <w:rPr>
          <w:lang w:val="fr-FR" w:bidi="fr-FR"/>
        </w:rPr>
        <w:t>’</w:t>
      </w:r>
      <w:r w:rsidRPr="002E4298">
        <w:rPr>
          <w:lang w:val="fr-FR" w:bidi="fr-FR"/>
        </w:rPr>
        <w:t>administration publique. En outre, la coopération entre le Gouvernement et l</w:t>
      </w:r>
      <w:r w:rsidR="00DB0699" w:rsidRPr="002E4298">
        <w:rPr>
          <w:lang w:val="fr-FR" w:bidi="fr-FR"/>
        </w:rPr>
        <w:t>’</w:t>
      </w:r>
      <w:r w:rsidRPr="002E4298">
        <w:rPr>
          <w:lang w:val="fr-FR" w:bidi="fr-FR"/>
        </w:rPr>
        <w:t>administration publique, d</w:t>
      </w:r>
      <w:r w:rsidR="00DB0699" w:rsidRPr="002E4298">
        <w:rPr>
          <w:lang w:val="fr-FR" w:bidi="fr-FR"/>
        </w:rPr>
        <w:t>’</w:t>
      </w:r>
      <w:r w:rsidRPr="002E4298">
        <w:rPr>
          <w:lang w:val="fr-FR" w:bidi="fr-FR"/>
        </w:rPr>
        <w:t>une part, et d</w:t>
      </w:r>
      <w:r w:rsidR="00DB0699" w:rsidRPr="002E4298">
        <w:rPr>
          <w:lang w:val="fr-FR" w:bidi="fr-FR"/>
        </w:rPr>
        <w:t>’</w:t>
      </w:r>
      <w:r w:rsidRPr="002E4298">
        <w:rPr>
          <w:lang w:val="fr-FR" w:bidi="fr-FR"/>
        </w:rPr>
        <w:t>autres parties prenantes, telles que le secteur privé, les partenaires sociaux, les organisations de la société civile, notamment les organisations non gouvernementales (ONG) de défense des droits des femmes, les universités, et d</w:t>
      </w:r>
      <w:r w:rsidR="00DB0699" w:rsidRPr="002E4298">
        <w:rPr>
          <w:lang w:val="fr-FR" w:bidi="fr-FR"/>
        </w:rPr>
        <w:t>’</w:t>
      </w:r>
      <w:r w:rsidRPr="002E4298">
        <w:rPr>
          <w:lang w:val="fr-FR" w:bidi="fr-FR"/>
        </w:rPr>
        <w:t>autres acteurs, d</w:t>
      </w:r>
      <w:r w:rsidR="00DB0699" w:rsidRPr="002E4298">
        <w:rPr>
          <w:lang w:val="fr-FR" w:bidi="fr-FR"/>
        </w:rPr>
        <w:t>’</w:t>
      </w:r>
      <w:r w:rsidRPr="002E4298">
        <w:rPr>
          <w:lang w:val="fr-FR" w:bidi="fr-FR"/>
        </w:rPr>
        <w:t>autre part, a également été renforcée par des partenariats stratégiques et un soutien dans de nombreux domaines d</w:t>
      </w:r>
      <w:r w:rsidR="00DB0699" w:rsidRPr="002E4298">
        <w:rPr>
          <w:lang w:val="fr-FR" w:bidi="fr-FR"/>
        </w:rPr>
        <w:t>’</w:t>
      </w:r>
      <w:r w:rsidRPr="002E4298">
        <w:rPr>
          <w:lang w:val="fr-FR" w:bidi="fr-FR"/>
        </w:rPr>
        <w:t>intervention afin de parvenir à l</w:t>
      </w:r>
      <w:r w:rsidR="00DB0699" w:rsidRPr="002E4298">
        <w:rPr>
          <w:lang w:val="fr-FR" w:bidi="fr-FR"/>
        </w:rPr>
        <w:t>’</w:t>
      </w:r>
      <w:r w:rsidRPr="002E4298">
        <w:rPr>
          <w:lang w:val="fr-FR" w:bidi="fr-FR"/>
        </w:rPr>
        <w:t>égalité entre les femmes et les hommes.</w:t>
      </w:r>
    </w:p>
    <w:p w14:paraId="700DDAFC" w14:textId="47500056" w:rsidR="00DB0699" w:rsidRPr="002E4298" w:rsidRDefault="002B314F" w:rsidP="00A11C35">
      <w:pPr>
        <w:pStyle w:val="SingleTxt"/>
        <w:numPr>
          <w:ilvl w:val="0"/>
          <w:numId w:val="5"/>
        </w:numPr>
        <w:spacing w:line="240" w:lineRule="exact"/>
        <w:ind w:left="1267"/>
        <w:rPr>
          <w:lang w:val="fr-FR" w:bidi="fr-FR"/>
        </w:rPr>
      </w:pPr>
      <w:r w:rsidRPr="002E4298">
        <w:rPr>
          <w:lang w:val="fr-FR" w:bidi="fr-FR"/>
        </w:rPr>
        <w:t>Le Portugal a mis en œuvre de nombreuses mesures visant à éliminer la discrimination directe et indirecte à l</w:t>
      </w:r>
      <w:r w:rsidR="00DB0699" w:rsidRPr="002E4298">
        <w:rPr>
          <w:lang w:val="fr-FR" w:bidi="fr-FR"/>
        </w:rPr>
        <w:t>’</w:t>
      </w:r>
      <w:r w:rsidRPr="002E4298">
        <w:rPr>
          <w:lang w:val="fr-FR" w:bidi="fr-FR"/>
        </w:rPr>
        <w:t>égard des femmes et à garantir que les hommes et les femmes jouissent des mêmes droits, en droit et en fait, dans tous les secteurs et à tous les niveaux.</w:t>
      </w:r>
    </w:p>
    <w:p w14:paraId="197501F7" w14:textId="6329CFE3" w:rsidR="002B314F" w:rsidRPr="002E4298" w:rsidRDefault="002B314F" w:rsidP="00A11C35">
      <w:pPr>
        <w:pStyle w:val="SingleTxt"/>
        <w:numPr>
          <w:ilvl w:val="0"/>
          <w:numId w:val="5"/>
        </w:numPr>
        <w:spacing w:line="240" w:lineRule="exact"/>
        <w:ind w:left="1267"/>
        <w:rPr>
          <w:lang w:val="fr-FR"/>
        </w:rPr>
      </w:pPr>
      <w:r w:rsidRPr="002E4298">
        <w:rPr>
          <w:lang w:val="fr-FR" w:bidi="fr-FR"/>
        </w:rPr>
        <w:t>L</w:t>
      </w:r>
      <w:r w:rsidR="00DB0699" w:rsidRPr="002E4298">
        <w:rPr>
          <w:lang w:val="fr-FR" w:bidi="fr-FR"/>
        </w:rPr>
        <w:t>’</w:t>
      </w:r>
      <w:r w:rsidRPr="002E4298">
        <w:rPr>
          <w:lang w:val="fr-FR" w:bidi="fr-FR"/>
        </w:rPr>
        <w:t>une des principales réalisations du Portugal à cet égard est l</w:t>
      </w:r>
      <w:r w:rsidR="00DB0699" w:rsidRPr="002E4298">
        <w:rPr>
          <w:lang w:val="fr-FR" w:bidi="fr-FR"/>
        </w:rPr>
        <w:t>’</w:t>
      </w:r>
      <w:r w:rsidRPr="002E4298">
        <w:rPr>
          <w:lang w:val="fr-FR" w:bidi="fr-FR"/>
        </w:rPr>
        <w:t>adoption de la Stratégie nationale en faveur de l</w:t>
      </w:r>
      <w:r w:rsidR="00DB0699" w:rsidRPr="002E4298">
        <w:rPr>
          <w:lang w:val="fr-FR" w:bidi="fr-FR"/>
        </w:rPr>
        <w:t>’</w:t>
      </w:r>
      <w:r w:rsidRPr="002E4298">
        <w:rPr>
          <w:lang w:val="fr-FR" w:bidi="fr-FR"/>
        </w:rPr>
        <w:t>égalité et de la non-discrimination pour la période</w:t>
      </w:r>
      <w:r w:rsidR="00B23B6D" w:rsidRPr="002E4298">
        <w:rPr>
          <w:lang w:val="fr-FR" w:bidi="fr-FR"/>
        </w:rPr>
        <w:t xml:space="preserve"> 20</w:t>
      </w:r>
      <w:r w:rsidRPr="002E4298">
        <w:rPr>
          <w:lang w:val="fr-FR" w:bidi="fr-FR"/>
        </w:rPr>
        <w:t xml:space="preserve">18-2030 </w:t>
      </w:r>
      <w:r w:rsidRPr="002E4298">
        <w:rPr>
          <w:i/>
          <w:lang w:val="fr-FR" w:bidi="fr-FR"/>
        </w:rPr>
        <w:t xml:space="preserve">« Portugal + Igual » </w:t>
      </w:r>
      <w:r w:rsidRPr="002E4298">
        <w:rPr>
          <w:lang w:val="fr-FR" w:bidi="fr-FR"/>
        </w:rPr>
        <w:t>(ENIND), approuvée en</w:t>
      </w:r>
      <w:r w:rsidR="00B23B6D" w:rsidRPr="002E4298">
        <w:rPr>
          <w:lang w:val="fr-FR" w:bidi="fr-FR"/>
        </w:rPr>
        <w:t xml:space="preserve"> 20</w:t>
      </w:r>
      <w:r w:rsidRPr="002E4298">
        <w:rPr>
          <w:lang w:val="fr-FR" w:bidi="fr-FR"/>
        </w:rPr>
        <w:t>18 par une résolution du Conseil des ministres. Alignée sur le Programme</w:t>
      </w:r>
      <w:r w:rsidR="00B23B6D" w:rsidRPr="002E4298">
        <w:rPr>
          <w:lang w:val="fr-FR" w:bidi="fr-FR"/>
        </w:rPr>
        <w:t xml:space="preserve"> 20</w:t>
      </w:r>
      <w:r w:rsidRPr="002E4298">
        <w:rPr>
          <w:lang w:val="fr-FR" w:bidi="fr-FR"/>
        </w:rPr>
        <w:t>30, la Stratégie a entraîné un nouveau cycle de promotion des droits des femmes et d</w:t>
      </w:r>
      <w:r w:rsidR="00DB0699" w:rsidRPr="002E4298">
        <w:rPr>
          <w:lang w:val="fr-FR" w:bidi="fr-FR"/>
        </w:rPr>
        <w:t>’</w:t>
      </w:r>
      <w:r w:rsidRPr="002E4298">
        <w:rPr>
          <w:lang w:val="fr-FR" w:bidi="fr-FR"/>
        </w:rPr>
        <w:t xml:space="preserve">élimination de la discrimination, fondé sur une approche systémique et globale des politiques publiques dans </w:t>
      </w:r>
      <w:r w:rsidR="003E7581" w:rsidRPr="002E4298">
        <w:rPr>
          <w:lang w:val="fr-FR" w:bidi="fr-FR"/>
        </w:rPr>
        <w:t xml:space="preserve">trois </w:t>
      </w:r>
      <w:r w:rsidRPr="002E4298">
        <w:rPr>
          <w:lang w:val="fr-FR" w:bidi="fr-FR"/>
        </w:rPr>
        <w:t>grands domaines</w:t>
      </w:r>
      <w:r w:rsidR="00DB0699" w:rsidRPr="002E4298">
        <w:rPr>
          <w:lang w:val="fr-FR" w:bidi="fr-FR"/>
        </w:rPr>
        <w:t> :</w:t>
      </w:r>
      <w:r w:rsidRPr="002E4298">
        <w:rPr>
          <w:lang w:val="fr-FR" w:bidi="fr-FR"/>
        </w:rPr>
        <w:t xml:space="preserve"> a) la promotion de l</w:t>
      </w:r>
      <w:r w:rsidR="00DB0699" w:rsidRPr="002E4298">
        <w:rPr>
          <w:lang w:val="fr-FR" w:bidi="fr-FR"/>
        </w:rPr>
        <w:t>’</w:t>
      </w:r>
      <w:r w:rsidRPr="002E4298">
        <w:rPr>
          <w:lang w:val="fr-FR" w:bidi="fr-FR"/>
        </w:rPr>
        <w:t>égalité entre les femmes et les hommes</w:t>
      </w:r>
      <w:r w:rsidR="00DB0699" w:rsidRPr="002E4298">
        <w:rPr>
          <w:lang w:val="fr-FR" w:bidi="fr-FR"/>
        </w:rPr>
        <w:t> ;</w:t>
      </w:r>
      <w:r w:rsidRPr="002E4298">
        <w:rPr>
          <w:lang w:val="fr-FR" w:bidi="fr-FR"/>
        </w:rPr>
        <w:t xml:space="preserve"> b) la prévention et la lutte contre la violence à l</w:t>
      </w:r>
      <w:r w:rsidR="00DB0699" w:rsidRPr="002E4298">
        <w:rPr>
          <w:lang w:val="fr-FR" w:bidi="fr-FR"/>
        </w:rPr>
        <w:t>’</w:t>
      </w:r>
      <w:r w:rsidRPr="002E4298">
        <w:rPr>
          <w:lang w:val="fr-FR" w:bidi="fr-FR"/>
        </w:rPr>
        <w:t>égard des femmes et la violence domestique, y compris les pratiques préjudiciables telles que la mutilation génitale féminine et les mariages forcés et précoces</w:t>
      </w:r>
      <w:r w:rsidR="00DB0699" w:rsidRPr="002E4298">
        <w:rPr>
          <w:lang w:val="fr-FR" w:bidi="fr-FR"/>
        </w:rPr>
        <w:t> ;</w:t>
      </w:r>
      <w:r w:rsidRPr="002E4298">
        <w:rPr>
          <w:lang w:val="fr-FR" w:bidi="fr-FR"/>
        </w:rPr>
        <w:t xml:space="preserve"> c) la lutte contre la discrimination fondée sur l</w:t>
      </w:r>
      <w:r w:rsidR="00DB0699" w:rsidRPr="002E4298">
        <w:rPr>
          <w:lang w:val="fr-FR" w:bidi="fr-FR"/>
        </w:rPr>
        <w:t>’</w:t>
      </w:r>
      <w:r w:rsidRPr="002E4298">
        <w:rPr>
          <w:lang w:val="fr-FR" w:bidi="fr-FR"/>
        </w:rPr>
        <w:t>orientation sexuelle, l</w:t>
      </w:r>
      <w:r w:rsidR="00DB0699" w:rsidRPr="002E4298">
        <w:rPr>
          <w:lang w:val="fr-FR" w:bidi="fr-FR"/>
        </w:rPr>
        <w:t>’</w:t>
      </w:r>
      <w:r w:rsidRPr="002E4298">
        <w:rPr>
          <w:lang w:val="fr-FR" w:bidi="fr-FR"/>
        </w:rPr>
        <w:t>identité de genre et l</w:t>
      </w:r>
      <w:r w:rsidR="00DB0699" w:rsidRPr="002E4298">
        <w:rPr>
          <w:lang w:val="fr-FR" w:bidi="fr-FR"/>
        </w:rPr>
        <w:t>’</w:t>
      </w:r>
      <w:r w:rsidRPr="002E4298">
        <w:rPr>
          <w:lang w:val="fr-FR" w:bidi="fr-FR"/>
        </w:rPr>
        <w:t xml:space="preserve">expression du genre, et les caractéristiques sexuelles. Ces </w:t>
      </w:r>
      <w:r w:rsidR="003E7581" w:rsidRPr="002E4298">
        <w:rPr>
          <w:lang w:val="fr-FR" w:bidi="fr-FR"/>
        </w:rPr>
        <w:t xml:space="preserve">trois </w:t>
      </w:r>
      <w:r w:rsidRPr="002E4298">
        <w:rPr>
          <w:lang w:val="fr-FR" w:bidi="fr-FR"/>
        </w:rPr>
        <w:t xml:space="preserve">domaines correspondent aux </w:t>
      </w:r>
      <w:r w:rsidR="003E7581" w:rsidRPr="002E4298">
        <w:rPr>
          <w:lang w:val="fr-FR" w:bidi="fr-FR"/>
        </w:rPr>
        <w:t xml:space="preserve">trois </w:t>
      </w:r>
      <w:r w:rsidRPr="002E4298">
        <w:rPr>
          <w:lang w:val="fr-FR" w:bidi="fr-FR"/>
        </w:rPr>
        <w:t>plans d</w:t>
      </w:r>
      <w:r w:rsidR="00DB0699" w:rsidRPr="002E4298">
        <w:rPr>
          <w:lang w:val="fr-FR" w:bidi="fr-FR"/>
        </w:rPr>
        <w:t>’</w:t>
      </w:r>
      <w:r w:rsidRPr="002E4298">
        <w:rPr>
          <w:lang w:val="fr-FR" w:bidi="fr-FR"/>
        </w:rPr>
        <w:t>action pour la période</w:t>
      </w:r>
      <w:r w:rsidR="00B23B6D" w:rsidRPr="002E4298">
        <w:rPr>
          <w:lang w:val="fr-FR" w:bidi="fr-FR"/>
        </w:rPr>
        <w:t xml:space="preserve"> 20</w:t>
      </w:r>
      <w:r w:rsidRPr="002E4298">
        <w:rPr>
          <w:lang w:val="fr-FR" w:bidi="fr-FR"/>
        </w:rPr>
        <w:t>18-2021 de la Stratégie. Pour la première fois, le Portugal dispose d</w:t>
      </w:r>
      <w:r w:rsidR="00DB0699" w:rsidRPr="002E4298">
        <w:rPr>
          <w:lang w:val="fr-FR" w:bidi="fr-FR"/>
        </w:rPr>
        <w:t>’</w:t>
      </w:r>
      <w:r w:rsidRPr="002E4298">
        <w:rPr>
          <w:lang w:val="fr-FR" w:bidi="fr-FR"/>
        </w:rPr>
        <w:t>un cadre stratégique national à long terme pour l</w:t>
      </w:r>
      <w:r w:rsidR="00DB0699" w:rsidRPr="002E4298">
        <w:rPr>
          <w:lang w:val="fr-FR" w:bidi="fr-FR"/>
        </w:rPr>
        <w:t>’</w:t>
      </w:r>
      <w:r w:rsidRPr="002E4298">
        <w:rPr>
          <w:lang w:val="fr-FR" w:bidi="fr-FR"/>
        </w:rPr>
        <w:t xml:space="preserve">égalité et la non-discrimination, qui réunit et articule ces </w:t>
      </w:r>
      <w:r w:rsidR="003E7581" w:rsidRPr="002E4298">
        <w:rPr>
          <w:lang w:val="fr-FR" w:bidi="fr-FR"/>
        </w:rPr>
        <w:t xml:space="preserve">trois </w:t>
      </w:r>
      <w:r w:rsidRPr="002E4298">
        <w:rPr>
          <w:lang w:val="fr-FR" w:bidi="fr-FR"/>
        </w:rPr>
        <w:t>domaines.</w:t>
      </w:r>
    </w:p>
    <w:p w14:paraId="38D9194D" w14:textId="56191FD7" w:rsidR="002B314F" w:rsidRPr="002E4298" w:rsidRDefault="002B314F" w:rsidP="00A11C35">
      <w:pPr>
        <w:pStyle w:val="SingleTxt"/>
        <w:numPr>
          <w:ilvl w:val="0"/>
          <w:numId w:val="5"/>
        </w:numPr>
        <w:spacing w:line="240" w:lineRule="exact"/>
        <w:ind w:left="1267"/>
        <w:rPr>
          <w:lang w:val="fr-FR"/>
        </w:rPr>
      </w:pPr>
      <w:r w:rsidRPr="002E4298">
        <w:rPr>
          <w:lang w:val="fr-FR" w:bidi="fr-FR"/>
        </w:rPr>
        <w:t xml:space="preserve">Les </w:t>
      </w:r>
      <w:r w:rsidR="003E7581" w:rsidRPr="002E4298">
        <w:rPr>
          <w:lang w:val="fr-FR" w:bidi="fr-FR"/>
        </w:rPr>
        <w:t xml:space="preserve">trois </w:t>
      </w:r>
      <w:r w:rsidRPr="002E4298">
        <w:rPr>
          <w:lang w:val="fr-FR" w:bidi="fr-FR"/>
        </w:rPr>
        <w:t>plans d</w:t>
      </w:r>
      <w:r w:rsidR="00DB0699" w:rsidRPr="002E4298">
        <w:rPr>
          <w:lang w:val="fr-FR" w:bidi="fr-FR"/>
        </w:rPr>
        <w:t>’</w:t>
      </w:r>
      <w:r w:rsidRPr="002E4298">
        <w:rPr>
          <w:lang w:val="fr-FR" w:bidi="fr-FR"/>
        </w:rPr>
        <w:t>action reposent sur la définition d</w:t>
      </w:r>
      <w:r w:rsidR="00DB0699" w:rsidRPr="002E4298">
        <w:rPr>
          <w:lang w:val="fr-FR" w:bidi="fr-FR"/>
        </w:rPr>
        <w:t>’</w:t>
      </w:r>
      <w:r w:rsidRPr="002E4298">
        <w:rPr>
          <w:lang w:val="fr-FR" w:bidi="fr-FR"/>
        </w:rPr>
        <w:t xml:space="preserve">objectifs stratégiques traduits en 131 mesures concrètes pour les </w:t>
      </w:r>
      <w:r w:rsidR="003C7963" w:rsidRPr="002E4298">
        <w:rPr>
          <w:lang w:val="fr-FR" w:bidi="fr-FR"/>
        </w:rPr>
        <w:t xml:space="preserve">quatre </w:t>
      </w:r>
      <w:r w:rsidRPr="002E4298">
        <w:rPr>
          <w:lang w:val="fr-FR" w:bidi="fr-FR"/>
        </w:rPr>
        <w:t>premières années de mise en œuvre de la Stratégie (2018-2021), qui seront suivies d</w:t>
      </w:r>
      <w:r w:rsidR="00DB0699" w:rsidRPr="002E4298">
        <w:rPr>
          <w:lang w:val="fr-FR" w:bidi="fr-FR"/>
        </w:rPr>
        <w:t>’</w:t>
      </w:r>
      <w:r w:rsidRPr="002E4298">
        <w:rPr>
          <w:lang w:val="fr-FR" w:bidi="fr-FR"/>
        </w:rPr>
        <w:t xml:space="preserve">un exercice de révision pour envisager les mesures à prendre au cours des </w:t>
      </w:r>
      <w:r w:rsidR="003C7963" w:rsidRPr="002E4298">
        <w:rPr>
          <w:lang w:val="fr-FR" w:bidi="fr-FR"/>
        </w:rPr>
        <w:t xml:space="preserve">quatre </w:t>
      </w:r>
      <w:r w:rsidRPr="002E4298">
        <w:rPr>
          <w:lang w:val="fr-FR" w:bidi="fr-FR"/>
        </w:rPr>
        <w:t>années suivantes. Les mesures prévues se déclinent à leur tour en indicateurs assortis de cibles annuelles mesurables, selon une approche plus concrète et opérationnelle.</w:t>
      </w:r>
    </w:p>
    <w:p w14:paraId="5E702EBD" w14:textId="2765071D" w:rsidR="00DB0699" w:rsidRPr="002E4298" w:rsidRDefault="002B314F" w:rsidP="00A11C35">
      <w:pPr>
        <w:pStyle w:val="SingleTxt"/>
        <w:numPr>
          <w:ilvl w:val="0"/>
          <w:numId w:val="5"/>
        </w:numPr>
        <w:spacing w:line="240" w:lineRule="exact"/>
        <w:ind w:left="1267"/>
        <w:rPr>
          <w:lang w:val="fr-FR" w:bidi="fr-FR"/>
        </w:rPr>
      </w:pPr>
      <w:r w:rsidRPr="002E4298">
        <w:rPr>
          <w:lang w:val="fr-FR" w:bidi="fr-FR"/>
        </w:rPr>
        <w:t>En outre, pour la première</w:t>
      </w:r>
      <w:r w:rsidR="007A7E54" w:rsidRPr="002E4298">
        <w:rPr>
          <w:lang w:val="fr-FR" w:bidi="fr-FR"/>
        </w:rPr>
        <w:t xml:space="preserve"> </w:t>
      </w:r>
      <w:r w:rsidRPr="002E4298">
        <w:rPr>
          <w:lang w:val="fr-FR" w:bidi="fr-FR"/>
        </w:rPr>
        <w:t>fois au Portugal, une stratégie souligne la nature multidimensionnelle des désavantages découlant de l</w:t>
      </w:r>
      <w:r w:rsidR="00DB0699" w:rsidRPr="002E4298">
        <w:rPr>
          <w:lang w:val="fr-FR" w:bidi="fr-FR"/>
        </w:rPr>
        <w:t>’</w:t>
      </w:r>
      <w:r w:rsidRPr="002E4298">
        <w:rPr>
          <w:lang w:val="fr-FR" w:bidi="fr-FR"/>
        </w:rPr>
        <w:t>association de divers facteurs de discrimination, tels que le genre, l</w:t>
      </w:r>
      <w:r w:rsidR="00DB0699" w:rsidRPr="002E4298">
        <w:rPr>
          <w:lang w:val="fr-FR" w:bidi="fr-FR"/>
        </w:rPr>
        <w:t>’</w:t>
      </w:r>
      <w:r w:rsidRPr="002E4298">
        <w:rPr>
          <w:lang w:val="fr-FR" w:bidi="fr-FR"/>
        </w:rPr>
        <w:t>âge, le handicap, l</w:t>
      </w:r>
      <w:r w:rsidR="00DB0699" w:rsidRPr="002E4298">
        <w:rPr>
          <w:lang w:val="fr-FR" w:bidi="fr-FR"/>
        </w:rPr>
        <w:t>’</w:t>
      </w:r>
      <w:r w:rsidRPr="002E4298">
        <w:rPr>
          <w:lang w:val="fr-FR" w:bidi="fr-FR"/>
        </w:rPr>
        <w:t>origine ethnique et l</w:t>
      </w:r>
      <w:r w:rsidR="00DB0699" w:rsidRPr="002E4298">
        <w:rPr>
          <w:lang w:val="fr-FR" w:bidi="fr-FR"/>
        </w:rPr>
        <w:t>’</w:t>
      </w:r>
      <w:r w:rsidRPr="002E4298">
        <w:rPr>
          <w:lang w:val="fr-FR" w:bidi="fr-FR"/>
        </w:rPr>
        <w:t xml:space="preserve">origine </w:t>
      </w:r>
      <w:r w:rsidRPr="002E4298">
        <w:rPr>
          <w:lang w:val="fr-FR" w:bidi="fr-FR"/>
        </w:rPr>
        <w:lastRenderedPageBreak/>
        <w:t>nationale. À ce titre, la Stratégie intègre expressément l</w:t>
      </w:r>
      <w:r w:rsidR="00DB0699" w:rsidRPr="002E4298">
        <w:rPr>
          <w:lang w:val="fr-FR" w:bidi="fr-FR"/>
        </w:rPr>
        <w:t>’</w:t>
      </w:r>
      <w:r w:rsidRPr="002E4298">
        <w:rPr>
          <w:lang w:val="fr-FR" w:bidi="fr-FR"/>
        </w:rPr>
        <w:t xml:space="preserve">intersectionnalité de façon transversale dans les </w:t>
      </w:r>
      <w:r w:rsidR="003E7581" w:rsidRPr="002E4298">
        <w:rPr>
          <w:lang w:val="fr-FR" w:bidi="fr-FR"/>
        </w:rPr>
        <w:t xml:space="preserve">trois </w:t>
      </w:r>
      <w:r w:rsidRPr="002E4298">
        <w:rPr>
          <w:lang w:val="fr-FR" w:bidi="fr-FR"/>
        </w:rPr>
        <w:t>plans, ce qui donne lieu à des mesures précises qui reconnaissent les besoins multidimensionnels particuliers des femmes et des filles.</w:t>
      </w:r>
    </w:p>
    <w:p w14:paraId="236FAC0E" w14:textId="71D7F7E7" w:rsidR="002B314F" w:rsidRPr="002E4298" w:rsidRDefault="002B314F" w:rsidP="00A11C35">
      <w:pPr>
        <w:pStyle w:val="SingleTxt"/>
        <w:numPr>
          <w:ilvl w:val="0"/>
          <w:numId w:val="5"/>
        </w:numPr>
        <w:spacing w:line="240" w:lineRule="exact"/>
        <w:ind w:left="1267"/>
        <w:rPr>
          <w:lang w:val="fr-FR"/>
        </w:rPr>
      </w:pPr>
      <w:r w:rsidRPr="002E4298">
        <w:rPr>
          <w:lang w:val="fr-FR" w:bidi="fr-FR"/>
        </w:rPr>
        <w:t>La Stratégie aborde plusieurs domaines d</w:t>
      </w:r>
      <w:r w:rsidR="00DB0699" w:rsidRPr="002E4298">
        <w:rPr>
          <w:lang w:val="fr-FR" w:bidi="fr-FR"/>
        </w:rPr>
        <w:t>’</w:t>
      </w:r>
      <w:r w:rsidRPr="002E4298">
        <w:rPr>
          <w:lang w:val="fr-FR" w:bidi="fr-FR"/>
        </w:rPr>
        <w:t>action dans lesquels elle prévoit l</w:t>
      </w:r>
      <w:r w:rsidR="00DB0699" w:rsidRPr="002E4298">
        <w:rPr>
          <w:lang w:val="fr-FR" w:bidi="fr-FR"/>
        </w:rPr>
        <w:t>’</w:t>
      </w:r>
      <w:r w:rsidRPr="002E4298">
        <w:rPr>
          <w:lang w:val="fr-FR" w:bidi="fr-FR"/>
        </w:rPr>
        <w:t>obtention de résultats tangibles, à savoir</w:t>
      </w:r>
      <w:r w:rsidR="00DB0699" w:rsidRPr="002E4298">
        <w:rPr>
          <w:lang w:val="fr-FR" w:bidi="fr-FR"/>
        </w:rPr>
        <w:t> :</w:t>
      </w:r>
    </w:p>
    <w:p w14:paraId="635E8F5D" w14:textId="6ED991CD" w:rsidR="00DB0699" w:rsidRPr="002E4298" w:rsidRDefault="007A7E54" w:rsidP="007A7E54">
      <w:pPr>
        <w:pStyle w:val="SingleTxt"/>
        <w:rPr>
          <w:lang w:val="fr-FR" w:bidi="fr-FR"/>
        </w:rPr>
      </w:pPr>
      <w:r w:rsidRPr="002E4298">
        <w:rPr>
          <w:lang w:val="fr-FR"/>
        </w:rPr>
        <w:tab/>
      </w:r>
      <w:r w:rsidR="00130BB3" w:rsidRPr="002E4298">
        <w:rPr>
          <w:lang w:val="fr-FR"/>
        </w:rPr>
        <w:t>a)</w:t>
      </w:r>
      <w:r w:rsidR="00130BB3" w:rsidRPr="002E4298">
        <w:rPr>
          <w:lang w:val="fr-FR"/>
        </w:rPr>
        <w:tab/>
      </w:r>
      <w:r w:rsidR="002B314F" w:rsidRPr="002E4298">
        <w:rPr>
          <w:lang w:val="fr-FR" w:bidi="fr-FR"/>
        </w:rPr>
        <w:t>pour éliminer l</w:t>
      </w:r>
      <w:r w:rsidR="00DB0699" w:rsidRPr="002E4298">
        <w:rPr>
          <w:lang w:val="fr-FR" w:bidi="fr-FR"/>
        </w:rPr>
        <w:t>’</w:t>
      </w:r>
      <w:r w:rsidR="002B314F" w:rsidRPr="002E4298">
        <w:rPr>
          <w:lang w:val="fr-FR" w:bidi="fr-FR"/>
        </w:rPr>
        <w:t>écart de rémunération entre les femmes et les hommes, la loi nº 60/2018, adoptée le 21 août</w:t>
      </w:r>
      <w:r w:rsidR="00B23B6D" w:rsidRPr="002E4298">
        <w:rPr>
          <w:lang w:val="fr-FR" w:bidi="fr-FR"/>
        </w:rPr>
        <w:t xml:space="preserve"> 20</w:t>
      </w:r>
      <w:r w:rsidR="002B314F" w:rsidRPr="002E4298">
        <w:rPr>
          <w:lang w:val="fr-FR" w:bidi="fr-FR"/>
        </w:rPr>
        <w:t>18, instaure des mécanismes de promotion de l</w:t>
      </w:r>
      <w:r w:rsidR="00DB0699" w:rsidRPr="002E4298">
        <w:rPr>
          <w:lang w:val="fr-FR" w:bidi="fr-FR"/>
        </w:rPr>
        <w:t>’</w:t>
      </w:r>
      <w:r w:rsidR="002B314F" w:rsidRPr="002E4298">
        <w:rPr>
          <w:lang w:val="fr-FR" w:bidi="fr-FR"/>
        </w:rPr>
        <w:t>égalité salariale entre les femmes et les hommes pour un travail égal ou de valeur égale. Ladite loi consacre l</w:t>
      </w:r>
      <w:r w:rsidR="00DB0699" w:rsidRPr="002E4298">
        <w:rPr>
          <w:lang w:val="fr-FR" w:bidi="fr-FR"/>
        </w:rPr>
        <w:t>’</w:t>
      </w:r>
      <w:r w:rsidR="002B314F" w:rsidRPr="002E4298">
        <w:rPr>
          <w:lang w:val="fr-FR" w:bidi="fr-FR"/>
        </w:rPr>
        <w:t>obligation pour les entreprises de disposer de politiques salariales transparentes fondées sur la réalisation d</w:t>
      </w:r>
      <w:r w:rsidR="00DB0699" w:rsidRPr="002E4298">
        <w:rPr>
          <w:lang w:val="fr-FR" w:bidi="fr-FR"/>
        </w:rPr>
        <w:t>’</w:t>
      </w:r>
      <w:r w:rsidR="002B314F" w:rsidRPr="002E4298">
        <w:rPr>
          <w:lang w:val="fr-FR" w:bidi="fr-FR"/>
        </w:rPr>
        <w:t>évaluations des emplois indépendantes des questions de genre, améliore les données nationales sur l</w:t>
      </w:r>
      <w:r w:rsidR="00DB0699" w:rsidRPr="002E4298">
        <w:rPr>
          <w:lang w:val="fr-FR" w:bidi="fr-FR"/>
        </w:rPr>
        <w:t>’</w:t>
      </w:r>
      <w:r w:rsidR="002B314F" w:rsidRPr="002E4298">
        <w:rPr>
          <w:lang w:val="fr-FR" w:bidi="fr-FR"/>
        </w:rPr>
        <w:t>écart de rémunération entre les femmes et les hommes, renforce le rôle des services de l</w:t>
      </w:r>
      <w:r w:rsidR="00DB0699" w:rsidRPr="002E4298">
        <w:rPr>
          <w:lang w:val="fr-FR" w:bidi="fr-FR"/>
        </w:rPr>
        <w:t>’</w:t>
      </w:r>
      <w:r w:rsidR="002B314F" w:rsidRPr="002E4298">
        <w:rPr>
          <w:lang w:val="fr-FR" w:bidi="fr-FR"/>
        </w:rPr>
        <w:t>inspection du travail (grâce à un mécanisme spécifique permettant d</w:t>
      </w:r>
      <w:r w:rsidR="00DB0699" w:rsidRPr="002E4298">
        <w:rPr>
          <w:lang w:val="fr-FR" w:bidi="fr-FR"/>
        </w:rPr>
        <w:t>’</w:t>
      </w:r>
      <w:r w:rsidR="002B314F" w:rsidRPr="002E4298">
        <w:rPr>
          <w:lang w:val="fr-FR" w:bidi="fr-FR"/>
        </w:rPr>
        <w:t>exiger des entreprises qu</w:t>
      </w:r>
      <w:r w:rsidR="00DB0699" w:rsidRPr="002E4298">
        <w:rPr>
          <w:lang w:val="fr-FR" w:bidi="fr-FR"/>
        </w:rPr>
        <w:t>’</w:t>
      </w:r>
      <w:r w:rsidR="002B314F" w:rsidRPr="002E4298">
        <w:rPr>
          <w:lang w:val="fr-FR" w:bidi="fr-FR"/>
        </w:rPr>
        <w:t>elles élaborent un plan pour évaluer les disparités salariales et corriger celles qui constituent une discrimination) et de la Commission pour l</w:t>
      </w:r>
      <w:r w:rsidR="00DB0699" w:rsidRPr="002E4298">
        <w:rPr>
          <w:lang w:val="fr-FR" w:bidi="fr-FR"/>
        </w:rPr>
        <w:t>’</w:t>
      </w:r>
      <w:r w:rsidR="002B314F" w:rsidRPr="002E4298">
        <w:rPr>
          <w:lang w:val="fr-FR" w:bidi="fr-FR"/>
        </w:rPr>
        <w:t>égalité dans le travail et l</w:t>
      </w:r>
      <w:r w:rsidR="00DB0699" w:rsidRPr="002E4298">
        <w:rPr>
          <w:lang w:val="fr-FR" w:bidi="fr-FR"/>
        </w:rPr>
        <w:t>’</w:t>
      </w:r>
      <w:r w:rsidR="002B314F" w:rsidRPr="002E4298">
        <w:rPr>
          <w:lang w:val="fr-FR" w:bidi="fr-FR"/>
        </w:rPr>
        <w:t>emploi (qui émet des avis contraignants sur les situations susceptibles de constituer une discrimination salariale, à la demande de la personne concernée). En ce qui concerne l</w:t>
      </w:r>
      <w:r w:rsidR="00DB0699" w:rsidRPr="002E4298">
        <w:rPr>
          <w:lang w:val="fr-FR" w:bidi="fr-FR"/>
        </w:rPr>
        <w:t>’</w:t>
      </w:r>
      <w:r w:rsidR="002B314F" w:rsidRPr="002E4298">
        <w:rPr>
          <w:lang w:val="fr-FR" w:bidi="fr-FR"/>
        </w:rPr>
        <w:t>écart de rémunération entre les femmes et les hommes, selon les données nationales recueillies par le Ministère du travail, entre</w:t>
      </w:r>
      <w:r w:rsidR="00B23B6D" w:rsidRPr="002E4298">
        <w:rPr>
          <w:lang w:val="fr-FR" w:bidi="fr-FR"/>
        </w:rPr>
        <w:t xml:space="preserve"> 20</w:t>
      </w:r>
      <w:r w:rsidR="002B314F" w:rsidRPr="002E4298">
        <w:rPr>
          <w:lang w:val="fr-FR" w:bidi="fr-FR"/>
        </w:rPr>
        <w:t>12 et</w:t>
      </w:r>
      <w:r w:rsidR="00B23B6D" w:rsidRPr="002E4298">
        <w:rPr>
          <w:lang w:val="fr-FR" w:bidi="fr-FR"/>
        </w:rPr>
        <w:t xml:space="preserve"> 20</w:t>
      </w:r>
      <w:r w:rsidR="002B314F" w:rsidRPr="002E4298">
        <w:rPr>
          <w:lang w:val="fr-FR" w:bidi="fr-FR"/>
        </w:rPr>
        <w:t>17, l</w:t>
      </w:r>
      <w:r w:rsidR="00DB0699" w:rsidRPr="002E4298">
        <w:rPr>
          <w:lang w:val="fr-FR" w:bidi="fr-FR"/>
        </w:rPr>
        <w:t>’</w:t>
      </w:r>
      <w:r w:rsidR="002B314F" w:rsidRPr="002E4298">
        <w:rPr>
          <w:lang w:val="fr-FR" w:bidi="fr-FR"/>
        </w:rPr>
        <w:t>écart salarial moyen entre les femmes et les hommes a diminué de 3,6 pp</w:t>
      </w:r>
      <w:r w:rsidR="002B314F" w:rsidRPr="002E4298">
        <w:rPr>
          <w:vertAlign w:val="superscript"/>
          <w:lang w:val="fr-FR" w:bidi="fr-FR"/>
        </w:rPr>
        <w:footnoteReference w:id="3"/>
      </w:r>
      <w:r w:rsidR="002B314F" w:rsidRPr="002E4298">
        <w:rPr>
          <w:lang w:val="fr-FR" w:bidi="fr-FR"/>
        </w:rPr>
        <w:t xml:space="preserve"> pour le traitement de base (pour s</w:t>
      </w:r>
      <w:r w:rsidR="00DB0699" w:rsidRPr="002E4298">
        <w:rPr>
          <w:lang w:val="fr-FR" w:bidi="fr-FR"/>
        </w:rPr>
        <w:t>’</w:t>
      </w:r>
      <w:r w:rsidR="002B314F" w:rsidRPr="002E4298">
        <w:rPr>
          <w:lang w:val="fr-FR" w:bidi="fr-FR"/>
        </w:rPr>
        <w:t xml:space="preserve">établir </w:t>
      </w:r>
      <w:r w:rsidRPr="002E4298">
        <w:rPr>
          <w:lang w:val="fr-FR" w:bidi="fr-FR"/>
        </w:rPr>
        <w:t xml:space="preserve">à </w:t>
      </w:r>
      <w:r w:rsidR="002B314F" w:rsidRPr="002E4298">
        <w:rPr>
          <w:lang w:val="fr-FR" w:bidi="fr-FR"/>
        </w:rPr>
        <w:t>14,8</w:t>
      </w:r>
      <w:r w:rsidR="00DB0699" w:rsidRPr="002E4298">
        <w:rPr>
          <w:lang w:val="fr-FR" w:bidi="fr-FR"/>
        </w:rPr>
        <w:t> %</w:t>
      </w:r>
      <w:r w:rsidR="002B314F" w:rsidRPr="002E4298">
        <w:rPr>
          <w:lang w:val="fr-FR" w:bidi="fr-FR"/>
        </w:rPr>
        <w:t xml:space="preserve">) et </w:t>
      </w:r>
      <w:r w:rsidR="00DC43BF" w:rsidRPr="002E4298">
        <w:rPr>
          <w:lang w:val="fr-FR" w:bidi="fr-FR"/>
        </w:rPr>
        <w:t xml:space="preserve">de </w:t>
      </w:r>
      <w:r w:rsidR="002B314F" w:rsidRPr="002E4298">
        <w:rPr>
          <w:lang w:val="fr-FR" w:bidi="fr-FR"/>
        </w:rPr>
        <w:t>2,9 pp pour le salaire brut (pour s</w:t>
      </w:r>
      <w:r w:rsidR="00DB0699" w:rsidRPr="002E4298">
        <w:rPr>
          <w:lang w:val="fr-FR" w:bidi="fr-FR"/>
        </w:rPr>
        <w:t>’</w:t>
      </w:r>
      <w:r w:rsidR="002B314F" w:rsidRPr="002E4298">
        <w:rPr>
          <w:lang w:val="fr-FR" w:bidi="fr-FR"/>
        </w:rPr>
        <w:t xml:space="preserve">établir </w:t>
      </w:r>
      <w:r w:rsidRPr="002E4298">
        <w:rPr>
          <w:lang w:val="fr-FR" w:bidi="fr-FR"/>
        </w:rPr>
        <w:t xml:space="preserve">à </w:t>
      </w:r>
      <w:r w:rsidR="002B314F" w:rsidRPr="002E4298">
        <w:rPr>
          <w:lang w:val="fr-FR" w:bidi="fr-FR"/>
        </w:rPr>
        <w:t>18,2</w:t>
      </w:r>
      <w:r w:rsidR="00DB0699" w:rsidRPr="002E4298">
        <w:rPr>
          <w:lang w:val="fr-FR" w:bidi="fr-FR"/>
        </w:rPr>
        <w:t> %</w:t>
      </w:r>
      <w:r w:rsidR="002B314F" w:rsidRPr="002E4298">
        <w:rPr>
          <w:lang w:val="fr-FR" w:bidi="fr-FR"/>
        </w:rPr>
        <w:t xml:space="preserve">). La baisse </w:t>
      </w:r>
      <w:r w:rsidR="00DC43BF" w:rsidRPr="002E4298">
        <w:rPr>
          <w:lang w:val="fr-FR" w:bidi="fr-FR"/>
        </w:rPr>
        <w:t xml:space="preserve">de </w:t>
      </w:r>
      <w:r w:rsidR="002B314F" w:rsidRPr="002E4298">
        <w:rPr>
          <w:lang w:val="fr-FR" w:bidi="fr-FR"/>
        </w:rPr>
        <w:t>1,8 pp entre</w:t>
      </w:r>
      <w:r w:rsidR="00B23B6D" w:rsidRPr="002E4298">
        <w:rPr>
          <w:lang w:val="fr-FR" w:bidi="fr-FR"/>
        </w:rPr>
        <w:t xml:space="preserve"> 20</w:t>
      </w:r>
      <w:r w:rsidR="002B314F" w:rsidRPr="002E4298">
        <w:rPr>
          <w:lang w:val="fr-FR" w:bidi="fr-FR"/>
        </w:rPr>
        <w:t>15 et</w:t>
      </w:r>
      <w:r w:rsidR="00B23B6D" w:rsidRPr="002E4298">
        <w:rPr>
          <w:lang w:val="fr-FR" w:bidi="fr-FR"/>
        </w:rPr>
        <w:t xml:space="preserve"> 20</w:t>
      </w:r>
      <w:r w:rsidR="002B314F" w:rsidRPr="002E4298">
        <w:rPr>
          <w:lang w:val="fr-FR" w:bidi="fr-FR"/>
        </w:rPr>
        <w:t>17 est principalement due à l</w:t>
      </w:r>
      <w:r w:rsidR="00DB0699" w:rsidRPr="002E4298">
        <w:rPr>
          <w:lang w:val="fr-FR" w:bidi="fr-FR"/>
        </w:rPr>
        <w:t>’</w:t>
      </w:r>
      <w:r w:rsidR="002B314F" w:rsidRPr="002E4298">
        <w:rPr>
          <w:lang w:val="fr-FR" w:bidi="fr-FR"/>
        </w:rPr>
        <w:t>augmentation de la rémunération des femmes, laquelle a davantage augmenté que celle des hommes. Dans ce contexte, le revenu minimum est passé de 505 euros en</w:t>
      </w:r>
      <w:r w:rsidR="00B23B6D" w:rsidRPr="002E4298">
        <w:rPr>
          <w:lang w:val="fr-FR" w:bidi="fr-FR"/>
        </w:rPr>
        <w:t xml:space="preserve"> 20</w:t>
      </w:r>
      <w:r w:rsidR="002B314F" w:rsidRPr="002E4298">
        <w:rPr>
          <w:lang w:val="fr-FR" w:bidi="fr-FR"/>
        </w:rPr>
        <w:t>15 à 600 euros en</w:t>
      </w:r>
      <w:r w:rsidR="00B23B6D" w:rsidRPr="002E4298">
        <w:rPr>
          <w:lang w:val="fr-FR" w:bidi="fr-FR"/>
        </w:rPr>
        <w:t xml:space="preserve"> 20</w:t>
      </w:r>
      <w:r w:rsidR="002B314F" w:rsidRPr="002E4298">
        <w:rPr>
          <w:lang w:val="fr-FR" w:bidi="fr-FR"/>
        </w:rPr>
        <w:t>19</w:t>
      </w:r>
      <w:r w:rsidR="00DB0699" w:rsidRPr="002E4298">
        <w:rPr>
          <w:lang w:val="fr-FR" w:bidi="fr-FR"/>
        </w:rPr>
        <w:t> ;</w:t>
      </w:r>
    </w:p>
    <w:p w14:paraId="3C8B35EE" w14:textId="5787A4E3" w:rsidR="002B314F" w:rsidRPr="002E4298" w:rsidRDefault="007A7E54" w:rsidP="007A7E54">
      <w:pPr>
        <w:pStyle w:val="SingleTxt"/>
        <w:rPr>
          <w:lang w:val="fr-FR"/>
        </w:rPr>
      </w:pPr>
      <w:r w:rsidRPr="002E4298">
        <w:rPr>
          <w:lang w:val="fr-FR"/>
        </w:rPr>
        <w:tab/>
      </w:r>
      <w:r w:rsidR="00130BB3" w:rsidRPr="002E4298">
        <w:rPr>
          <w:lang w:val="fr-FR"/>
        </w:rPr>
        <w:t>b)</w:t>
      </w:r>
      <w:r w:rsidR="00130BB3" w:rsidRPr="002E4298">
        <w:rPr>
          <w:lang w:val="fr-FR"/>
        </w:rPr>
        <w:tab/>
      </w:r>
      <w:r w:rsidR="002B314F" w:rsidRPr="002E4298">
        <w:rPr>
          <w:lang w:val="fr-FR" w:bidi="fr-FR"/>
        </w:rPr>
        <w:t>pour promouvoir l</w:t>
      </w:r>
      <w:r w:rsidR="00DB0699" w:rsidRPr="002E4298">
        <w:rPr>
          <w:lang w:val="fr-FR" w:bidi="fr-FR"/>
        </w:rPr>
        <w:t>’</w:t>
      </w:r>
      <w:r w:rsidR="002B314F" w:rsidRPr="002E4298">
        <w:rPr>
          <w:lang w:val="fr-FR" w:bidi="fr-FR"/>
        </w:rPr>
        <w:t>équilibre entre vie professionnelle et vie privée, le Gouvernement a lancé en décembre</w:t>
      </w:r>
      <w:r w:rsidR="00B23B6D" w:rsidRPr="002E4298">
        <w:rPr>
          <w:lang w:val="fr-FR" w:bidi="fr-FR"/>
        </w:rPr>
        <w:t xml:space="preserve"> 20</w:t>
      </w:r>
      <w:r w:rsidR="002B314F" w:rsidRPr="002E4298">
        <w:rPr>
          <w:lang w:val="fr-FR" w:bidi="fr-FR"/>
        </w:rPr>
        <w:t xml:space="preserve">18 un programme novateur </w:t>
      </w:r>
      <w:r w:rsidR="002B314F" w:rsidRPr="002E4298">
        <w:rPr>
          <w:i/>
          <w:lang w:val="fr-FR" w:bidi="fr-FR"/>
        </w:rPr>
        <w:t>(3 em Linha – Programa para a Conciliação da Vida Profissional, Pessoal e Familiar</w:t>
      </w:r>
      <w:r w:rsidR="00B23B6D" w:rsidRPr="002E4298">
        <w:rPr>
          <w:i/>
          <w:lang w:val="fr-FR" w:bidi="fr-FR"/>
        </w:rPr>
        <w:t xml:space="preserve"> 20</w:t>
      </w:r>
      <w:r w:rsidR="002B314F" w:rsidRPr="002E4298">
        <w:rPr>
          <w:i/>
          <w:lang w:val="fr-FR" w:bidi="fr-FR"/>
        </w:rPr>
        <w:t>18-2019)</w:t>
      </w:r>
      <w:r w:rsidR="002B314F" w:rsidRPr="002E4298">
        <w:rPr>
          <w:lang w:val="fr-FR" w:bidi="fr-FR"/>
        </w:rPr>
        <w:t xml:space="preserve"> visant à réunir les conditions permettant aux femmes et aux hommes de concilier vie professionnelle, vie privée et vie familiale. Le programme compte </w:t>
      </w:r>
      <w:r w:rsidR="003C7963" w:rsidRPr="002E4298">
        <w:rPr>
          <w:lang w:val="fr-FR" w:bidi="fr-FR"/>
        </w:rPr>
        <w:t xml:space="preserve">quatre </w:t>
      </w:r>
      <w:r w:rsidR="002B314F" w:rsidRPr="002E4298">
        <w:rPr>
          <w:lang w:val="fr-FR" w:bidi="fr-FR"/>
        </w:rPr>
        <w:t>volets intersectoriels qui regroupent un total de 33 mesures et qui s</w:t>
      </w:r>
      <w:r w:rsidR="00DB0699" w:rsidRPr="002E4298">
        <w:rPr>
          <w:lang w:val="fr-FR" w:bidi="fr-FR"/>
        </w:rPr>
        <w:t>’</w:t>
      </w:r>
      <w:r w:rsidR="002B314F" w:rsidRPr="002E4298">
        <w:rPr>
          <w:lang w:val="fr-FR" w:bidi="fr-FR"/>
        </w:rPr>
        <w:t>articulent autour de la promotion de pratiques favorables à l</w:t>
      </w:r>
      <w:r w:rsidR="00DB0699" w:rsidRPr="002E4298">
        <w:rPr>
          <w:lang w:val="fr-FR" w:bidi="fr-FR"/>
        </w:rPr>
        <w:t>’</w:t>
      </w:r>
      <w:r w:rsidR="002B314F" w:rsidRPr="002E4298">
        <w:rPr>
          <w:lang w:val="fr-FR" w:bidi="fr-FR"/>
        </w:rPr>
        <w:t>équilibre entre vie professionnelle et vie privée dans les organisations privées et publiques, notamment grâce au dialogue avec les partenaires sociaux, de l</w:t>
      </w:r>
      <w:r w:rsidR="00DB0699" w:rsidRPr="002E4298">
        <w:rPr>
          <w:lang w:val="fr-FR" w:bidi="fr-FR"/>
        </w:rPr>
        <w:t>’</w:t>
      </w:r>
      <w:r w:rsidR="002B314F" w:rsidRPr="002E4298">
        <w:rPr>
          <w:lang w:val="fr-FR" w:bidi="fr-FR"/>
        </w:rPr>
        <w:t>adoption de mesures spécifiques au sein de l</w:t>
      </w:r>
      <w:r w:rsidR="00DB0699" w:rsidRPr="002E4298">
        <w:rPr>
          <w:lang w:val="fr-FR" w:bidi="fr-FR"/>
        </w:rPr>
        <w:t>’</w:t>
      </w:r>
      <w:r w:rsidR="002B314F" w:rsidRPr="002E4298">
        <w:rPr>
          <w:lang w:val="fr-FR" w:bidi="fr-FR"/>
        </w:rPr>
        <w:t>administration publique, de l</w:t>
      </w:r>
      <w:r w:rsidR="00DB0699" w:rsidRPr="002E4298">
        <w:rPr>
          <w:lang w:val="fr-FR" w:bidi="fr-FR"/>
        </w:rPr>
        <w:t>’</w:t>
      </w:r>
      <w:r w:rsidR="002B314F" w:rsidRPr="002E4298">
        <w:rPr>
          <w:lang w:val="fr-FR" w:bidi="fr-FR"/>
        </w:rPr>
        <w:t>amélioration des infrastructures, des services et des incitations dans les secteurs des soins, de l</w:t>
      </w:r>
      <w:r w:rsidR="00DB0699" w:rsidRPr="002E4298">
        <w:rPr>
          <w:lang w:val="fr-FR" w:bidi="fr-FR"/>
        </w:rPr>
        <w:t>’</w:t>
      </w:r>
      <w:r w:rsidR="002B314F" w:rsidRPr="002E4298">
        <w:rPr>
          <w:lang w:val="fr-FR" w:bidi="fr-FR"/>
        </w:rPr>
        <w:t>éducation, du transport et de la santé, et de la production de connaissances (voir section 13 ci-dessous)</w:t>
      </w:r>
      <w:r w:rsidRPr="002E4298">
        <w:rPr>
          <w:lang w:val="fr-FR" w:bidi="fr-FR"/>
        </w:rPr>
        <w:t> </w:t>
      </w:r>
      <w:r w:rsidR="00DB0699" w:rsidRPr="002E4298">
        <w:rPr>
          <w:lang w:val="fr-FR" w:bidi="fr-FR"/>
        </w:rPr>
        <w:t>;</w:t>
      </w:r>
    </w:p>
    <w:p w14:paraId="43A0C59A" w14:textId="09CD6A97" w:rsidR="002B314F" w:rsidRPr="002E4298" w:rsidRDefault="007A7E54" w:rsidP="007A7E54">
      <w:pPr>
        <w:pStyle w:val="SingleTxt"/>
        <w:rPr>
          <w:lang w:val="fr-FR"/>
        </w:rPr>
      </w:pPr>
      <w:r w:rsidRPr="002E4298">
        <w:rPr>
          <w:lang w:val="fr-FR" w:bidi="fr-FR"/>
        </w:rPr>
        <w:tab/>
      </w:r>
      <w:r w:rsidR="002B314F" w:rsidRPr="002E4298">
        <w:rPr>
          <w:lang w:val="fr-FR" w:bidi="fr-FR"/>
        </w:rPr>
        <w:t>c)</w:t>
      </w:r>
      <w:r w:rsidR="002B314F" w:rsidRPr="002E4298">
        <w:rPr>
          <w:lang w:val="fr-FR" w:bidi="fr-FR"/>
        </w:rPr>
        <w:tab/>
        <w:t>par ailleurs, suite à l</w:t>
      </w:r>
      <w:r w:rsidR="00DB0699" w:rsidRPr="002E4298">
        <w:rPr>
          <w:lang w:val="fr-FR" w:bidi="fr-FR"/>
        </w:rPr>
        <w:t>’</w:t>
      </w:r>
      <w:r w:rsidR="002B314F" w:rsidRPr="002E4298">
        <w:rPr>
          <w:lang w:val="fr-FR" w:bidi="fr-FR"/>
        </w:rPr>
        <w:t>adoption du budget de l</w:t>
      </w:r>
      <w:r w:rsidR="00DB0699" w:rsidRPr="002E4298">
        <w:rPr>
          <w:lang w:val="fr-FR" w:bidi="fr-FR"/>
        </w:rPr>
        <w:t>’</w:t>
      </w:r>
      <w:r w:rsidR="002B314F" w:rsidRPr="002E4298">
        <w:rPr>
          <w:lang w:val="fr-FR" w:bidi="fr-FR"/>
        </w:rPr>
        <w:t>État pour</w:t>
      </w:r>
      <w:r w:rsidR="00B23B6D" w:rsidRPr="002E4298">
        <w:rPr>
          <w:lang w:val="fr-FR" w:bidi="fr-FR"/>
        </w:rPr>
        <w:t xml:space="preserve"> 20</w:t>
      </w:r>
      <w:r w:rsidR="002B314F" w:rsidRPr="002E4298">
        <w:rPr>
          <w:lang w:val="fr-FR" w:bidi="fr-FR"/>
        </w:rPr>
        <w:t>19, lequel exige que le Gouvernement mette au point des mesures de soutien pour les aidants informels et les personnes requérant des soins, un projet pilote est en cours d</w:t>
      </w:r>
      <w:r w:rsidR="00DB0699" w:rsidRPr="002E4298">
        <w:rPr>
          <w:lang w:val="fr-FR" w:bidi="fr-FR"/>
        </w:rPr>
        <w:t>’</w:t>
      </w:r>
      <w:r w:rsidR="002B314F" w:rsidRPr="002E4298">
        <w:rPr>
          <w:lang w:val="fr-FR" w:bidi="fr-FR"/>
        </w:rPr>
        <w:t>élaboration pour étudier et mettre en œuvre un réseau public de soutien pour les aidants informels et les personnes requérant des soins, notamment en matière de soutien à domicile, de conseil, d</w:t>
      </w:r>
      <w:r w:rsidR="00DB0699" w:rsidRPr="002E4298">
        <w:rPr>
          <w:lang w:val="fr-FR" w:bidi="fr-FR"/>
        </w:rPr>
        <w:t>’</w:t>
      </w:r>
      <w:r w:rsidR="002B314F" w:rsidRPr="002E4298">
        <w:rPr>
          <w:lang w:val="fr-FR" w:bidi="fr-FR"/>
        </w:rPr>
        <w:t>assistance et de formation, de soutien psychosocial, de réseaux de soutien et de droit au repos pour les aidants. Récemment, la loi nº 100/2019, adoptée le 6 septembre</w:t>
      </w:r>
      <w:r w:rsidR="00B23B6D" w:rsidRPr="002E4298">
        <w:rPr>
          <w:lang w:val="fr-FR" w:bidi="fr-FR"/>
        </w:rPr>
        <w:t xml:space="preserve"> 20</w:t>
      </w:r>
      <w:r w:rsidR="002B314F" w:rsidRPr="002E4298">
        <w:rPr>
          <w:lang w:val="fr-FR" w:bidi="fr-FR"/>
        </w:rPr>
        <w:t>19, qui a reconnu le statut d</w:t>
      </w:r>
      <w:r w:rsidR="00DB0699" w:rsidRPr="002E4298">
        <w:rPr>
          <w:lang w:val="fr-FR" w:bidi="fr-FR"/>
        </w:rPr>
        <w:t>’</w:t>
      </w:r>
      <w:r w:rsidR="002B314F" w:rsidRPr="002E4298">
        <w:rPr>
          <w:lang w:val="fr-FR" w:bidi="fr-FR"/>
        </w:rPr>
        <w:t>aidant informel, réglemente les droits et les devoirs de l</w:t>
      </w:r>
      <w:r w:rsidR="00DB0699" w:rsidRPr="002E4298">
        <w:rPr>
          <w:lang w:val="fr-FR" w:bidi="fr-FR"/>
        </w:rPr>
        <w:t>’</w:t>
      </w:r>
      <w:r w:rsidR="002B314F" w:rsidRPr="002E4298">
        <w:rPr>
          <w:lang w:val="fr-FR" w:bidi="fr-FR"/>
        </w:rPr>
        <w:t>aidant et de la personne requérant des soins et définit les mesures de soutien que doit mettre en place le Gouvernement</w:t>
      </w:r>
      <w:r w:rsidR="00DB0699" w:rsidRPr="002E4298">
        <w:rPr>
          <w:lang w:val="fr-FR" w:bidi="fr-FR"/>
        </w:rPr>
        <w:t> ;</w:t>
      </w:r>
    </w:p>
    <w:p w14:paraId="09C96C21" w14:textId="287ED955" w:rsidR="002B314F" w:rsidRPr="002E4298" w:rsidRDefault="002B314F" w:rsidP="007A7E54">
      <w:pPr>
        <w:pStyle w:val="SingleTxt"/>
        <w:rPr>
          <w:lang w:val="fr-FR"/>
        </w:rPr>
      </w:pPr>
      <w:r w:rsidRPr="002E4298">
        <w:rPr>
          <w:lang w:val="fr-FR" w:bidi="fr-FR"/>
        </w:rPr>
        <w:tab/>
        <w:t>d)</w:t>
      </w:r>
      <w:r w:rsidRPr="002E4298">
        <w:rPr>
          <w:lang w:val="fr-FR" w:bidi="fr-FR"/>
        </w:rPr>
        <w:tab/>
        <w:t xml:space="preserve">pour promouvoir une représentation équilibrée aux postes de prise de décision, </w:t>
      </w:r>
      <w:r w:rsidR="003E7581" w:rsidRPr="002E4298">
        <w:rPr>
          <w:lang w:val="fr-FR" w:bidi="fr-FR"/>
        </w:rPr>
        <w:t xml:space="preserve">trois </w:t>
      </w:r>
      <w:r w:rsidRPr="002E4298">
        <w:rPr>
          <w:lang w:val="fr-FR" w:bidi="fr-FR"/>
        </w:rPr>
        <w:t>lois ont été adoptées</w:t>
      </w:r>
      <w:r w:rsidR="00DB0699" w:rsidRPr="002E4298">
        <w:rPr>
          <w:lang w:val="fr-FR" w:bidi="fr-FR"/>
        </w:rPr>
        <w:t> :</w:t>
      </w:r>
      <w:r w:rsidRPr="002E4298">
        <w:rPr>
          <w:lang w:val="fr-FR" w:bidi="fr-FR"/>
        </w:rPr>
        <w:t xml:space="preserve"> la loi nº 62/2017 du 1</w:t>
      </w:r>
      <w:r w:rsidRPr="002E4298">
        <w:rPr>
          <w:vertAlign w:val="superscript"/>
          <w:lang w:val="fr-FR" w:bidi="fr-FR"/>
        </w:rPr>
        <w:t>er </w:t>
      </w:r>
      <w:r w:rsidRPr="002E4298">
        <w:rPr>
          <w:lang w:val="fr-FR" w:bidi="fr-FR"/>
        </w:rPr>
        <w:t>août</w:t>
      </w:r>
      <w:r w:rsidR="00B23B6D" w:rsidRPr="002E4298">
        <w:rPr>
          <w:lang w:val="fr-FR" w:bidi="fr-FR"/>
        </w:rPr>
        <w:t xml:space="preserve"> 20</w:t>
      </w:r>
      <w:r w:rsidRPr="002E4298">
        <w:rPr>
          <w:lang w:val="fr-FR" w:bidi="fr-FR"/>
        </w:rPr>
        <w:t>17, qui fixe des quotas pour les femmes dans les conseils d</w:t>
      </w:r>
      <w:r w:rsidR="00DB0699" w:rsidRPr="002E4298">
        <w:rPr>
          <w:lang w:val="fr-FR" w:bidi="fr-FR"/>
        </w:rPr>
        <w:t>’</w:t>
      </w:r>
      <w:r w:rsidRPr="002E4298">
        <w:rPr>
          <w:lang w:val="fr-FR" w:bidi="fr-FR"/>
        </w:rPr>
        <w:t>administration et les organes d</w:t>
      </w:r>
      <w:r w:rsidR="00DB0699" w:rsidRPr="002E4298">
        <w:rPr>
          <w:lang w:val="fr-FR" w:bidi="fr-FR"/>
        </w:rPr>
        <w:t>’</w:t>
      </w:r>
      <w:r w:rsidRPr="002E4298">
        <w:rPr>
          <w:lang w:val="fr-FR" w:bidi="fr-FR"/>
        </w:rPr>
        <w:t xml:space="preserve">audit des </w:t>
      </w:r>
      <w:r w:rsidRPr="002E4298">
        <w:rPr>
          <w:lang w:val="fr-FR" w:bidi="fr-FR"/>
        </w:rPr>
        <w:lastRenderedPageBreak/>
        <w:t>entreprises publiques et des sociétés cotées en bourse</w:t>
      </w:r>
      <w:r w:rsidR="00DB0699" w:rsidRPr="002E4298">
        <w:rPr>
          <w:lang w:val="fr-FR" w:bidi="fr-FR"/>
        </w:rPr>
        <w:t> ;</w:t>
      </w:r>
      <w:r w:rsidRPr="002E4298">
        <w:rPr>
          <w:lang w:val="fr-FR" w:bidi="fr-FR"/>
        </w:rPr>
        <w:t xml:space="preserve"> la loi nº 1/2019 du 29 mars</w:t>
      </w:r>
      <w:r w:rsidR="00B23B6D" w:rsidRPr="002E4298">
        <w:rPr>
          <w:lang w:val="fr-FR" w:bidi="fr-FR"/>
        </w:rPr>
        <w:t xml:space="preserve"> 20</w:t>
      </w:r>
      <w:r w:rsidRPr="002E4298">
        <w:rPr>
          <w:lang w:val="fr-FR" w:bidi="fr-FR"/>
        </w:rPr>
        <w:t>19, qui porte à 40</w:t>
      </w:r>
      <w:r w:rsidR="00DB0699" w:rsidRPr="002E4298">
        <w:rPr>
          <w:lang w:val="fr-FR" w:bidi="fr-FR"/>
        </w:rPr>
        <w:t> %</w:t>
      </w:r>
      <w:r w:rsidRPr="002E4298">
        <w:rPr>
          <w:lang w:val="fr-FR" w:bidi="fr-FR"/>
        </w:rPr>
        <w:t> le quota de candidates féminines pour les listes électorales aux élections du Parlement national, du Parlement européen et des instances élues des municipalités, et pour les membres des conseils paroissiaux</w:t>
      </w:r>
      <w:r w:rsidR="00DB0699" w:rsidRPr="002E4298">
        <w:rPr>
          <w:lang w:val="fr-FR" w:bidi="fr-FR"/>
        </w:rPr>
        <w:t> ;</w:t>
      </w:r>
      <w:r w:rsidRPr="002E4298">
        <w:rPr>
          <w:lang w:val="fr-FR" w:bidi="fr-FR"/>
        </w:rPr>
        <w:t xml:space="preserve"> et la loi nº 26/2019 du 28 mars</w:t>
      </w:r>
      <w:r w:rsidR="00B23B6D" w:rsidRPr="002E4298">
        <w:rPr>
          <w:lang w:val="fr-FR" w:bidi="fr-FR"/>
        </w:rPr>
        <w:t xml:space="preserve"> 20</w:t>
      </w:r>
      <w:r w:rsidRPr="002E4298">
        <w:rPr>
          <w:lang w:val="fr-FR" w:bidi="fr-FR"/>
        </w:rPr>
        <w:t xml:space="preserve">19, qui établit un quota </w:t>
      </w:r>
      <w:r w:rsidR="00DC43BF" w:rsidRPr="002E4298">
        <w:rPr>
          <w:lang w:val="fr-FR" w:bidi="fr-FR"/>
        </w:rPr>
        <w:t xml:space="preserve">de </w:t>
      </w:r>
      <w:r w:rsidRPr="002E4298">
        <w:rPr>
          <w:lang w:val="fr-FR" w:bidi="fr-FR"/>
        </w:rPr>
        <w:t>40</w:t>
      </w:r>
      <w:r w:rsidR="00DB0699" w:rsidRPr="002E4298">
        <w:rPr>
          <w:lang w:val="fr-FR" w:bidi="fr-FR"/>
        </w:rPr>
        <w:t> %</w:t>
      </w:r>
      <w:r w:rsidRPr="002E4298">
        <w:rPr>
          <w:lang w:val="fr-FR" w:bidi="fr-FR"/>
        </w:rPr>
        <w:t xml:space="preserve"> de femmes aux hautes fonctions de l</w:t>
      </w:r>
      <w:r w:rsidR="00DB0699" w:rsidRPr="002E4298">
        <w:rPr>
          <w:lang w:val="fr-FR" w:bidi="fr-FR"/>
        </w:rPr>
        <w:t>’</w:t>
      </w:r>
      <w:r w:rsidRPr="002E4298">
        <w:rPr>
          <w:lang w:val="fr-FR" w:bidi="fr-FR"/>
        </w:rPr>
        <w:t>administration publique, des établissements publics d</w:t>
      </w:r>
      <w:r w:rsidR="00DB0699" w:rsidRPr="002E4298">
        <w:rPr>
          <w:lang w:val="fr-FR" w:bidi="fr-FR"/>
        </w:rPr>
        <w:t>’</w:t>
      </w:r>
      <w:r w:rsidRPr="002E4298">
        <w:rPr>
          <w:lang w:val="fr-FR" w:bidi="fr-FR"/>
        </w:rPr>
        <w:t>enseignement supérieur et des associations</w:t>
      </w:r>
      <w:r w:rsidR="00DB0699" w:rsidRPr="002E4298">
        <w:rPr>
          <w:lang w:val="fr-FR" w:bidi="fr-FR"/>
        </w:rPr>
        <w:t> ;</w:t>
      </w:r>
    </w:p>
    <w:p w14:paraId="0F45F6E6" w14:textId="25644761" w:rsidR="002B314F" w:rsidRPr="002E4298" w:rsidRDefault="002B314F" w:rsidP="007A7E54">
      <w:pPr>
        <w:pStyle w:val="SingleTxt"/>
        <w:rPr>
          <w:lang w:val="fr-FR"/>
        </w:rPr>
      </w:pPr>
      <w:r w:rsidRPr="002E4298">
        <w:rPr>
          <w:lang w:val="fr-FR" w:bidi="fr-FR"/>
        </w:rPr>
        <w:tab/>
        <w:t>e)</w:t>
      </w:r>
      <w:r w:rsidRPr="002E4298">
        <w:rPr>
          <w:lang w:val="fr-FR" w:bidi="fr-FR"/>
        </w:rPr>
        <w:tab/>
        <w:t>pour lutter contre la ségrégation sexuelle dans les possibilités éducatives et professionnelles, le Gouvernement met en œuvre, depuis l</w:t>
      </w:r>
      <w:r w:rsidR="00DB0699" w:rsidRPr="002E4298">
        <w:rPr>
          <w:lang w:val="fr-FR" w:bidi="fr-FR"/>
        </w:rPr>
        <w:t>’</w:t>
      </w:r>
      <w:r w:rsidRPr="002E4298">
        <w:rPr>
          <w:lang w:val="fr-FR" w:bidi="fr-FR"/>
        </w:rPr>
        <w:t>année scolaire</w:t>
      </w:r>
      <w:r w:rsidR="00B23B6D" w:rsidRPr="002E4298">
        <w:rPr>
          <w:lang w:val="fr-FR" w:bidi="fr-FR"/>
        </w:rPr>
        <w:t xml:space="preserve"> 20</w:t>
      </w:r>
      <w:r w:rsidRPr="002E4298">
        <w:rPr>
          <w:lang w:val="fr-FR" w:bidi="fr-FR"/>
        </w:rPr>
        <w:t>17-2018, le projet (lancé en tant que projet pilote) « Ingénieurs d</w:t>
      </w:r>
      <w:r w:rsidR="00DB0699" w:rsidRPr="002E4298">
        <w:rPr>
          <w:lang w:val="fr-FR" w:bidi="fr-FR"/>
        </w:rPr>
        <w:t>’</w:t>
      </w:r>
      <w:r w:rsidRPr="002E4298">
        <w:rPr>
          <w:lang w:val="fr-FR" w:bidi="fr-FR"/>
        </w:rPr>
        <w:t>un jour », qui cible directement les</w:t>
      </w:r>
      <w:r w:rsidR="00DB0699" w:rsidRPr="002E4298">
        <w:rPr>
          <w:lang w:val="fr-FR" w:bidi="fr-FR"/>
        </w:rPr>
        <w:t xml:space="preserve"> </w:t>
      </w:r>
      <w:r w:rsidRPr="002E4298">
        <w:rPr>
          <w:lang w:val="fr-FR" w:bidi="fr-FR"/>
        </w:rPr>
        <w:t>élèves des collèges (neuvième</w:t>
      </w:r>
      <w:r w:rsidR="00130BB3" w:rsidRPr="002E4298">
        <w:rPr>
          <w:lang w:val="fr-FR" w:bidi="fr-FR"/>
        </w:rPr>
        <w:t xml:space="preserve"> </w:t>
      </w:r>
      <w:r w:rsidRPr="002E4298">
        <w:rPr>
          <w:lang w:val="fr-FR" w:bidi="fr-FR"/>
        </w:rPr>
        <w:t>année de scolarité) et des lycées (dixième</w:t>
      </w:r>
      <w:r w:rsidR="00130BB3" w:rsidRPr="002E4298">
        <w:rPr>
          <w:lang w:val="fr-FR" w:bidi="fr-FR"/>
        </w:rPr>
        <w:t xml:space="preserve"> </w:t>
      </w:r>
      <w:r w:rsidRPr="002E4298">
        <w:rPr>
          <w:lang w:val="fr-FR" w:bidi="fr-FR"/>
        </w:rPr>
        <w:t>à douzième</w:t>
      </w:r>
      <w:r w:rsidR="00130BB3" w:rsidRPr="002E4298">
        <w:rPr>
          <w:lang w:val="fr-FR" w:bidi="fr-FR"/>
        </w:rPr>
        <w:t xml:space="preserve"> </w:t>
      </w:r>
      <w:r w:rsidRPr="002E4298">
        <w:rPr>
          <w:lang w:val="fr-FR" w:bidi="fr-FR"/>
        </w:rPr>
        <w:t>année de scolarité) , et vise à remettre en question les stéréotypes et à inciter davantage de filles à choisir les filières de l</w:t>
      </w:r>
      <w:r w:rsidR="00DB0699" w:rsidRPr="002E4298">
        <w:rPr>
          <w:lang w:val="fr-FR" w:bidi="fr-FR"/>
        </w:rPr>
        <w:t>’</w:t>
      </w:r>
      <w:r w:rsidRPr="002E4298">
        <w:rPr>
          <w:lang w:val="fr-FR" w:bidi="fr-FR"/>
        </w:rPr>
        <w:t>ingénierie et des technologies de l</w:t>
      </w:r>
      <w:r w:rsidR="00DB0699" w:rsidRPr="002E4298">
        <w:rPr>
          <w:lang w:val="fr-FR" w:bidi="fr-FR"/>
        </w:rPr>
        <w:t>’</w:t>
      </w:r>
      <w:r w:rsidRPr="002E4298">
        <w:rPr>
          <w:lang w:val="fr-FR" w:bidi="fr-FR"/>
        </w:rPr>
        <w:t>information et des communications, au moyen d</w:t>
      </w:r>
      <w:r w:rsidR="00DB0699" w:rsidRPr="002E4298">
        <w:rPr>
          <w:lang w:val="fr-FR" w:bidi="fr-FR"/>
        </w:rPr>
        <w:t>’</w:t>
      </w:r>
      <w:r w:rsidRPr="002E4298">
        <w:rPr>
          <w:lang w:val="fr-FR" w:bidi="fr-FR"/>
        </w:rPr>
        <w:t>exercices pratiques, de mentorat et d</w:t>
      </w:r>
      <w:r w:rsidR="00DB0699" w:rsidRPr="002E4298">
        <w:rPr>
          <w:lang w:val="fr-FR" w:bidi="fr-FR"/>
        </w:rPr>
        <w:t>’</w:t>
      </w:r>
      <w:r w:rsidRPr="002E4298">
        <w:rPr>
          <w:lang w:val="fr-FR" w:bidi="fr-FR"/>
        </w:rPr>
        <w:t xml:space="preserve">expériences professionnelles. Ont déjà participé au projet plus </w:t>
      </w:r>
      <w:r w:rsidR="00DC43BF" w:rsidRPr="002E4298">
        <w:rPr>
          <w:lang w:val="fr-FR" w:bidi="fr-FR"/>
        </w:rPr>
        <w:t xml:space="preserve">de </w:t>
      </w:r>
      <w:r w:rsidRPr="002E4298">
        <w:rPr>
          <w:lang w:val="fr-FR" w:bidi="fr-FR"/>
        </w:rPr>
        <w:t>3</w:t>
      </w:r>
      <w:r w:rsidR="00DB0699" w:rsidRPr="002E4298">
        <w:rPr>
          <w:lang w:val="fr-FR" w:bidi="fr-FR"/>
        </w:rPr>
        <w:t> 000</w:t>
      </w:r>
      <w:r w:rsidRPr="002E4298">
        <w:rPr>
          <w:lang w:val="fr-FR" w:bidi="fr-FR"/>
        </w:rPr>
        <w:t> étudiants, 37 écoles de l</w:t>
      </w:r>
      <w:r w:rsidR="00DB0699" w:rsidRPr="002E4298">
        <w:rPr>
          <w:lang w:val="fr-FR" w:bidi="fr-FR"/>
        </w:rPr>
        <w:t>’</w:t>
      </w:r>
      <w:r w:rsidRPr="002E4298">
        <w:rPr>
          <w:lang w:val="fr-FR" w:bidi="fr-FR"/>
        </w:rPr>
        <w:t>ensemble du pays, 28 entreprises, 11 établissements d</w:t>
      </w:r>
      <w:r w:rsidR="00DB0699" w:rsidRPr="002E4298">
        <w:rPr>
          <w:lang w:val="fr-FR" w:bidi="fr-FR"/>
        </w:rPr>
        <w:t>’</w:t>
      </w:r>
      <w:r w:rsidRPr="002E4298">
        <w:rPr>
          <w:lang w:val="fr-FR" w:bidi="fr-FR"/>
        </w:rPr>
        <w:t>enseignement supérieur ainsi que d</w:t>
      </w:r>
      <w:r w:rsidR="00DB0699" w:rsidRPr="002E4298">
        <w:rPr>
          <w:lang w:val="fr-FR" w:bidi="fr-FR"/>
        </w:rPr>
        <w:t>’</w:t>
      </w:r>
      <w:r w:rsidRPr="002E4298">
        <w:rPr>
          <w:lang w:val="fr-FR" w:bidi="fr-FR"/>
        </w:rPr>
        <w:t>autres parties prenantes telles que des municipalités, des fondations et des associations. La troisième édition du projet a été lancée le 15 octobre</w:t>
      </w:r>
      <w:r w:rsidR="00B23B6D" w:rsidRPr="002E4298">
        <w:rPr>
          <w:lang w:val="fr-FR" w:bidi="fr-FR"/>
        </w:rPr>
        <w:t xml:space="preserve"> 20</w:t>
      </w:r>
      <w:r w:rsidRPr="002E4298">
        <w:rPr>
          <w:lang w:val="fr-FR" w:bidi="fr-FR"/>
        </w:rPr>
        <w:t>19</w:t>
      </w:r>
      <w:r w:rsidR="00DB0699" w:rsidRPr="002E4298">
        <w:rPr>
          <w:lang w:val="fr-FR" w:bidi="fr-FR"/>
        </w:rPr>
        <w:t> ;</w:t>
      </w:r>
    </w:p>
    <w:p w14:paraId="0A1D7EEB" w14:textId="1313223E" w:rsidR="002B314F" w:rsidRPr="002E4298" w:rsidRDefault="002B314F" w:rsidP="007A7E54">
      <w:pPr>
        <w:pStyle w:val="SingleTxt"/>
        <w:rPr>
          <w:lang w:val="fr-FR"/>
        </w:rPr>
      </w:pPr>
      <w:r w:rsidRPr="002E4298">
        <w:rPr>
          <w:lang w:val="fr-FR" w:bidi="fr-FR"/>
        </w:rPr>
        <w:tab/>
        <w:t>f)</w:t>
      </w:r>
      <w:r w:rsidRPr="002E4298">
        <w:rPr>
          <w:lang w:val="fr-FR" w:bidi="fr-FR"/>
        </w:rPr>
        <w:tab/>
        <w:t>plus largement, en</w:t>
      </w:r>
      <w:r w:rsidR="00B23B6D" w:rsidRPr="002E4298">
        <w:rPr>
          <w:lang w:val="fr-FR" w:bidi="fr-FR"/>
        </w:rPr>
        <w:t xml:space="preserve"> 20</w:t>
      </w:r>
      <w:r w:rsidRPr="002E4298">
        <w:rPr>
          <w:lang w:val="fr-FR" w:bidi="fr-FR"/>
        </w:rPr>
        <w:t>17, le Gouvernement a approuvé une Stratégie nationale pour l</w:t>
      </w:r>
      <w:r w:rsidR="00DB0699" w:rsidRPr="002E4298">
        <w:rPr>
          <w:lang w:val="fr-FR" w:bidi="fr-FR"/>
        </w:rPr>
        <w:t>’</w:t>
      </w:r>
      <w:r w:rsidRPr="002E4298">
        <w:rPr>
          <w:lang w:val="fr-FR" w:bidi="fr-FR"/>
        </w:rPr>
        <w:t>éducation à la citoyenneté (ENEC), qui vise à donner au corps étudiant les outils nécessaires pour comprendre et respecter l</w:t>
      </w:r>
      <w:r w:rsidR="00DB0699" w:rsidRPr="002E4298">
        <w:rPr>
          <w:lang w:val="fr-FR" w:bidi="fr-FR"/>
        </w:rPr>
        <w:t>’</w:t>
      </w:r>
      <w:r w:rsidRPr="002E4298">
        <w:rPr>
          <w:lang w:val="fr-FR" w:bidi="fr-FR"/>
        </w:rPr>
        <w:t>égalité dans les relations interpersonnelles, les droits humains et la citoyenneté démocratique. Ladite stratégie renforce les connaissances et les compétences des étudiants sur des thèmes tels que les droits humains, l</w:t>
      </w:r>
      <w:r w:rsidR="00DB0699" w:rsidRPr="002E4298">
        <w:rPr>
          <w:lang w:val="fr-FR" w:bidi="fr-FR"/>
        </w:rPr>
        <w:t>’</w:t>
      </w:r>
      <w:r w:rsidRPr="002E4298">
        <w:rPr>
          <w:lang w:val="fr-FR" w:bidi="fr-FR"/>
        </w:rPr>
        <w:t>égalité des genres (y compris les questions de la violence à l</w:t>
      </w:r>
      <w:r w:rsidR="00DB0699" w:rsidRPr="002E4298">
        <w:rPr>
          <w:lang w:val="fr-FR" w:bidi="fr-FR"/>
        </w:rPr>
        <w:t>’</w:t>
      </w:r>
      <w:r w:rsidRPr="002E4298">
        <w:rPr>
          <w:lang w:val="fr-FR" w:bidi="fr-FR"/>
        </w:rPr>
        <w:t>égard les femmes et de la violence domestique), l</w:t>
      </w:r>
      <w:r w:rsidR="00DB0699" w:rsidRPr="002E4298">
        <w:rPr>
          <w:lang w:val="fr-FR" w:bidi="fr-FR"/>
        </w:rPr>
        <w:t>’</w:t>
      </w:r>
      <w:r w:rsidRPr="002E4298">
        <w:rPr>
          <w:lang w:val="fr-FR" w:bidi="fr-FR"/>
        </w:rPr>
        <w:t>interculturalisme, le développement durable, l</w:t>
      </w:r>
      <w:r w:rsidR="00DB0699" w:rsidRPr="002E4298">
        <w:rPr>
          <w:lang w:val="fr-FR" w:bidi="fr-FR"/>
        </w:rPr>
        <w:t>’</w:t>
      </w:r>
      <w:r w:rsidRPr="002E4298">
        <w:rPr>
          <w:lang w:val="fr-FR" w:bidi="fr-FR"/>
        </w:rPr>
        <w:t>éducation environnementale, l</w:t>
      </w:r>
      <w:r w:rsidR="00DB0699" w:rsidRPr="002E4298">
        <w:rPr>
          <w:lang w:val="fr-FR" w:bidi="fr-FR"/>
        </w:rPr>
        <w:t>’</w:t>
      </w:r>
      <w:r w:rsidRPr="002E4298">
        <w:rPr>
          <w:lang w:val="fr-FR" w:bidi="fr-FR"/>
        </w:rPr>
        <w:t>éducation sanitaire, l</w:t>
      </w:r>
      <w:r w:rsidR="00DB0699" w:rsidRPr="002E4298">
        <w:rPr>
          <w:lang w:val="fr-FR" w:bidi="fr-FR"/>
        </w:rPr>
        <w:t>’</w:t>
      </w:r>
      <w:r w:rsidRPr="002E4298">
        <w:rPr>
          <w:lang w:val="fr-FR" w:bidi="fr-FR"/>
        </w:rPr>
        <w:t>éducation sexuelle, l</w:t>
      </w:r>
      <w:r w:rsidR="00DB0699" w:rsidRPr="002E4298">
        <w:rPr>
          <w:lang w:val="fr-FR" w:bidi="fr-FR"/>
        </w:rPr>
        <w:t>’</w:t>
      </w:r>
      <w:r w:rsidRPr="002E4298">
        <w:rPr>
          <w:lang w:val="fr-FR" w:bidi="fr-FR"/>
        </w:rPr>
        <w:t>éducation aux médias, les institutions et la participation démocratique, l</w:t>
      </w:r>
      <w:r w:rsidR="00DB0699" w:rsidRPr="002E4298">
        <w:rPr>
          <w:lang w:val="fr-FR" w:bidi="fr-FR"/>
        </w:rPr>
        <w:t>’</w:t>
      </w:r>
      <w:r w:rsidRPr="002E4298">
        <w:rPr>
          <w:lang w:val="fr-FR" w:bidi="fr-FR"/>
        </w:rPr>
        <w:t>éducation financière et l</w:t>
      </w:r>
      <w:r w:rsidR="00DB0699" w:rsidRPr="002E4298">
        <w:rPr>
          <w:lang w:val="fr-FR" w:bidi="fr-FR"/>
        </w:rPr>
        <w:t>’</w:t>
      </w:r>
      <w:r w:rsidRPr="002E4298">
        <w:rPr>
          <w:lang w:val="fr-FR" w:bidi="fr-FR"/>
        </w:rPr>
        <w:t>éducation des consommateurs, la sécurité routière et les risques sur la route, l</w:t>
      </w:r>
      <w:r w:rsidR="00DB0699" w:rsidRPr="002E4298">
        <w:rPr>
          <w:lang w:val="fr-FR" w:bidi="fr-FR"/>
        </w:rPr>
        <w:t>’</w:t>
      </w:r>
      <w:r w:rsidRPr="002E4298">
        <w:rPr>
          <w:lang w:val="fr-FR" w:bidi="fr-FR"/>
        </w:rPr>
        <w:t>esprit d</w:t>
      </w:r>
      <w:r w:rsidR="00DB0699" w:rsidRPr="002E4298">
        <w:rPr>
          <w:lang w:val="fr-FR" w:bidi="fr-FR"/>
        </w:rPr>
        <w:t>’</w:t>
      </w:r>
      <w:r w:rsidRPr="002E4298">
        <w:rPr>
          <w:lang w:val="fr-FR" w:bidi="fr-FR"/>
        </w:rPr>
        <w:t>entreprise, la sécurité, la défense et la paix, le bien-être des animaux et le bénévolat. Le décret-loi nº 55/2018, adopté le 6 juillet</w:t>
      </w:r>
      <w:r w:rsidR="00B23B6D" w:rsidRPr="002E4298">
        <w:rPr>
          <w:lang w:val="fr-FR" w:bidi="fr-FR"/>
        </w:rPr>
        <w:t xml:space="preserve"> 20</w:t>
      </w:r>
      <w:r w:rsidRPr="002E4298">
        <w:rPr>
          <w:lang w:val="fr-FR" w:bidi="fr-FR"/>
        </w:rPr>
        <w:t>18, a ensuite rendu l</w:t>
      </w:r>
      <w:r w:rsidR="00DB0699" w:rsidRPr="002E4298">
        <w:rPr>
          <w:lang w:val="fr-FR" w:bidi="fr-FR"/>
        </w:rPr>
        <w:t>’</w:t>
      </w:r>
      <w:r w:rsidRPr="002E4298">
        <w:rPr>
          <w:lang w:val="fr-FR" w:bidi="fr-FR"/>
        </w:rPr>
        <w:t>éducation à la citoyenneté obligatoire à tous les niveaux d</w:t>
      </w:r>
      <w:r w:rsidR="00DB0699" w:rsidRPr="002E4298">
        <w:rPr>
          <w:lang w:val="fr-FR" w:bidi="fr-FR"/>
        </w:rPr>
        <w:t>’</w:t>
      </w:r>
      <w:r w:rsidRPr="002E4298">
        <w:rPr>
          <w:lang w:val="fr-FR" w:bidi="fr-FR"/>
        </w:rPr>
        <w:t>enseignement et dans tous les cours de formation professionnelle. Chaque école établit une stratégie scolaire pour l</w:t>
      </w:r>
      <w:r w:rsidR="00DB0699" w:rsidRPr="002E4298">
        <w:rPr>
          <w:lang w:val="fr-FR" w:bidi="fr-FR"/>
        </w:rPr>
        <w:t>’</w:t>
      </w:r>
      <w:r w:rsidRPr="002E4298">
        <w:rPr>
          <w:lang w:val="fr-FR" w:bidi="fr-FR"/>
        </w:rPr>
        <w:t>éducation à la citoyenneté, qui définit les thèmes et les projets qui seront abordés. En</w:t>
      </w:r>
      <w:r w:rsidR="00B23B6D" w:rsidRPr="002E4298">
        <w:rPr>
          <w:lang w:val="fr-FR" w:bidi="fr-FR"/>
        </w:rPr>
        <w:t xml:space="preserve"> 20</w:t>
      </w:r>
      <w:r w:rsidRPr="002E4298">
        <w:rPr>
          <w:lang w:val="fr-FR" w:bidi="fr-FR"/>
        </w:rPr>
        <w:t>18, plusieurs outils ont été conçus pour soutenir les écoles, y compris le personnel enseignant et non enseignant, à savoir</w:t>
      </w:r>
      <w:r w:rsidR="00DB0699" w:rsidRPr="002E4298">
        <w:rPr>
          <w:lang w:val="fr-FR" w:bidi="fr-FR"/>
        </w:rPr>
        <w:t> :</w:t>
      </w:r>
      <w:r w:rsidRPr="002E4298">
        <w:rPr>
          <w:lang w:val="fr-FR" w:bidi="fr-FR"/>
        </w:rPr>
        <w:t xml:space="preserve"> des activités de formation en ligne, un jeu de cartes « Agora Falo Eu » (« Maintenant, c</w:t>
      </w:r>
      <w:r w:rsidR="00DB0699" w:rsidRPr="002E4298">
        <w:rPr>
          <w:lang w:val="fr-FR" w:bidi="fr-FR"/>
        </w:rPr>
        <w:t>’</w:t>
      </w:r>
      <w:r w:rsidRPr="002E4298">
        <w:rPr>
          <w:lang w:val="fr-FR" w:bidi="fr-FR"/>
        </w:rPr>
        <w:t>est mon tour ») visant à déterminer les thèmes d</w:t>
      </w:r>
      <w:r w:rsidR="00DB0699" w:rsidRPr="002E4298">
        <w:rPr>
          <w:lang w:val="fr-FR" w:bidi="fr-FR"/>
        </w:rPr>
        <w:t>’</w:t>
      </w:r>
      <w:r w:rsidRPr="002E4298">
        <w:rPr>
          <w:lang w:val="fr-FR" w:bidi="fr-FR"/>
        </w:rPr>
        <w:t xml:space="preserve">éducation à la citoyenneté qui intéressent les enfants âgés </w:t>
      </w:r>
      <w:r w:rsidR="00DC43BF" w:rsidRPr="002E4298">
        <w:rPr>
          <w:lang w:val="fr-FR" w:bidi="fr-FR"/>
        </w:rPr>
        <w:t xml:space="preserve">de </w:t>
      </w:r>
      <w:r w:rsidRPr="002E4298">
        <w:rPr>
          <w:lang w:val="fr-FR" w:bidi="fr-FR"/>
        </w:rPr>
        <w:t xml:space="preserve">6 </w:t>
      </w:r>
      <w:r w:rsidR="007A7E54" w:rsidRPr="002E4298">
        <w:rPr>
          <w:lang w:val="fr-FR" w:bidi="fr-FR"/>
        </w:rPr>
        <w:t xml:space="preserve">à </w:t>
      </w:r>
      <w:r w:rsidRPr="002E4298">
        <w:rPr>
          <w:lang w:val="fr-FR" w:bidi="fr-FR"/>
        </w:rPr>
        <w:t>11 ans, des cours de formation et des guides pédagogiques sur problématique femmes-hommes et la citoyenneté pour les 936 membres du corps enseignant chargés de l</w:t>
      </w:r>
      <w:r w:rsidR="00DB0699" w:rsidRPr="002E4298">
        <w:rPr>
          <w:lang w:val="fr-FR" w:bidi="fr-FR"/>
        </w:rPr>
        <w:t>’</w:t>
      </w:r>
      <w:r w:rsidRPr="002E4298">
        <w:rPr>
          <w:lang w:val="fr-FR" w:bidi="fr-FR"/>
        </w:rPr>
        <w:t xml:space="preserve">éducation à la citoyenneté dans toutes les écoles publiques (un investissement </w:t>
      </w:r>
      <w:r w:rsidR="00DC43BF" w:rsidRPr="002E4298">
        <w:rPr>
          <w:lang w:val="fr-FR" w:bidi="fr-FR"/>
        </w:rPr>
        <w:t xml:space="preserve">de </w:t>
      </w:r>
      <w:r w:rsidRPr="002E4298">
        <w:rPr>
          <w:lang w:val="fr-FR" w:bidi="fr-FR"/>
        </w:rPr>
        <w:t>80</w:t>
      </w:r>
      <w:r w:rsidR="00DB0699" w:rsidRPr="002E4298">
        <w:rPr>
          <w:lang w:val="fr-FR" w:bidi="fr-FR"/>
        </w:rPr>
        <w:t> 000</w:t>
      </w:r>
      <w:r w:rsidRPr="002E4298">
        <w:rPr>
          <w:lang w:val="fr-FR" w:bidi="fr-FR"/>
        </w:rPr>
        <w:t> euros), et une nouvelle application pour smartphone à utiliser en classe ou à l</w:t>
      </w:r>
      <w:r w:rsidR="00DB0699" w:rsidRPr="002E4298">
        <w:rPr>
          <w:lang w:val="fr-FR" w:bidi="fr-FR"/>
        </w:rPr>
        <w:t>’</w:t>
      </w:r>
      <w:r w:rsidRPr="002E4298">
        <w:rPr>
          <w:lang w:val="fr-FR" w:bidi="fr-FR"/>
        </w:rPr>
        <w:t>extérieur pour aider les élèves à s</w:t>
      </w:r>
      <w:r w:rsidR="00DB0699" w:rsidRPr="002E4298">
        <w:rPr>
          <w:lang w:val="fr-FR" w:bidi="fr-FR"/>
        </w:rPr>
        <w:t>’</w:t>
      </w:r>
      <w:r w:rsidRPr="002E4298">
        <w:rPr>
          <w:lang w:val="fr-FR" w:bidi="fr-FR"/>
        </w:rPr>
        <w:t>informer sur le contenu de la stratégie et stimuler la mise en œuvre de projets en collaboration avec la communauté. En outre, depuis décembre</w:t>
      </w:r>
      <w:r w:rsidR="00B23B6D" w:rsidRPr="002E4298">
        <w:rPr>
          <w:lang w:val="fr-FR" w:bidi="fr-FR"/>
        </w:rPr>
        <w:t xml:space="preserve"> 20</w:t>
      </w:r>
      <w:r w:rsidRPr="002E4298">
        <w:rPr>
          <w:lang w:val="fr-FR" w:bidi="fr-FR"/>
        </w:rPr>
        <w:t>18, un ensemble de projets et de ressources pour chacun des thèmes de la Stratégie nationale pour l</w:t>
      </w:r>
      <w:r w:rsidR="00DB0699" w:rsidRPr="002E4298">
        <w:rPr>
          <w:lang w:val="fr-FR" w:bidi="fr-FR"/>
        </w:rPr>
        <w:t>’</w:t>
      </w:r>
      <w:r w:rsidRPr="002E4298">
        <w:rPr>
          <w:lang w:val="fr-FR" w:bidi="fr-FR"/>
        </w:rPr>
        <w:t>éducation à la citoyenneté, ainsi que diverses méthodes d</w:t>
      </w:r>
      <w:r w:rsidR="00DB0699" w:rsidRPr="002E4298">
        <w:rPr>
          <w:lang w:val="fr-FR" w:bidi="fr-FR"/>
        </w:rPr>
        <w:t>’</w:t>
      </w:r>
      <w:r w:rsidRPr="002E4298">
        <w:rPr>
          <w:lang w:val="fr-FR" w:bidi="fr-FR"/>
        </w:rPr>
        <w:t>apprentissage à l</w:t>
      </w:r>
      <w:r w:rsidR="00DB0699" w:rsidRPr="002E4298">
        <w:rPr>
          <w:lang w:val="fr-FR" w:bidi="fr-FR"/>
        </w:rPr>
        <w:t>’</w:t>
      </w:r>
      <w:r w:rsidRPr="002E4298">
        <w:rPr>
          <w:lang w:val="fr-FR" w:bidi="fr-FR"/>
        </w:rPr>
        <w:t>intention des écoles sont en cours d</w:t>
      </w:r>
      <w:r w:rsidR="00DB0699" w:rsidRPr="002E4298">
        <w:rPr>
          <w:lang w:val="fr-FR" w:bidi="fr-FR"/>
        </w:rPr>
        <w:t>’</w:t>
      </w:r>
      <w:r w:rsidRPr="002E4298">
        <w:rPr>
          <w:lang w:val="fr-FR" w:bidi="fr-FR"/>
        </w:rPr>
        <w:t>élaboration et seront prochainement disponibles en ligne.</w:t>
      </w:r>
    </w:p>
    <w:p w14:paraId="289ABB0A" w14:textId="13B64056" w:rsidR="002B314F" w:rsidRPr="002E4298" w:rsidRDefault="002B314F" w:rsidP="00A11C35">
      <w:pPr>
        <w:pStyle w:val="SingleTxt"/>
        <w:numPr>
          <w:ilvl w:val="0"/>
          <w:numId w:val="5"/>
        </w:numPr>
        <w:spacing w:line="240" w:lineRule="exact"/>
        <w:ind w:left="1267"/>
        <w:rPr>
          <w:lang w:val="fr-FR"/>
        </w:rPr>
      </w:pPr>
      <w:r w:rsidRPr="002E4298">
        <w:rPr>
          <w:lang w:val="fr-FR" w:bidi="fr-FR"/>
        </w:rPr>
        <w:t>Pour la première fois, le Ministère de la défense nationale a adopté un Plan d</w:t>
      </w:r>
      <w:r w:rsidR="00DB0699" w:rsidRPr="002E4298">
        <w:rPr>
          <w:lang w:val="fr-FR" w:bidi="fr-FR"/>
        </w:rPr>
        <w:t>’</w:t>
      </w:r>
      <w:r w:rsidRPr="002E4298">
        <w:rPr>
          <w:lang w:val="fr-FR" w:bidi="fr-FR"/>
        </w:rPr>
        <w:t>égalité pour la défense nationale pour la période</w:t>
      </w:r>
      <w:r w:rsidR="00B23B6D" w:rsidRPr="002E4298">
        <w:rPr>
          <w:lang w:val="fr-FR" w:bidi="fr-FR"/>
        </w:rPr>
        <w:t xml:space="preserve"> 20</w:t>
      </w:r>
      <w:r w:rsidRPr="002E4298">
        <w:rPr>
          <w:lang w:val="fr-FR" w:bidi="fr-FR"/>
        </w:rPr>
        <w:t xml:space="preserve">19-2021, qui repose sur </w:t>
      </w:r>
      <w:r w:rsidR="003E7581" w:rsidRPr="002E4298">
        <w:rPr>
          <w:lang w:val="fr-FR" w:bidi="fr-FR"/>
        </w:rPr>
        <w:t xml:space="preserve">trois </w:t>
      </w:r>
      <w:r w:rsidRPr="002E4298">
        <w:rPr>
          <w:lang w:val="fr-FR" w:bidi="fr-FR"/>
        </w:rPr>
        <w:t>piliers</w:t>
      </w:r>
      <w:r w:rsidR="00DB0699" w:rsidRPr="002E4298">
        <w:rPr>
          <w:lang w:val="fr-FR" w:bidi="fr-FR"/>
        </w:rPr>
        <w:t> :</w:t>
      </w:r>
      <w:r w:rsidRPr="002E4298">
        <w:rPr>
          <w:lang w:val="fr-FR" w:bidi="fr-FR"/>
        </w:rPr>
        <w:t xml:space="preserve"> l</w:t>
      </w:r>
      <w:r w:rsidR="00DB0699" w:rsidRPr="002E4298">
        <w:rPr>
          <w:lang w:val="fr-FR" w:bidi="fr-FR"/>
        </w:rPr>
        <w:t>’</w:t>
      </w:r>
      <w:r w:rsidRPr="002E4298">
        <w:rPr>
          <w:lang w:val="fr-FR" w:bidi="fr-FR"/>
        </w:rPr>
        <w:t>égalité, l</w:t>
      </w:r>
      <w:r w:rsidR="00DB0699" w:rsidRPr="002E4298">
        <w:rPr>
          <w:lang w:val="fr-FR" w:bidi="fr-FR"/>
        </w:rPr>
        <w:t>’</w:t>
      </w:r>
      <w:r w:rsidRPr="002E4298">
        <w:rPr>
          <w:lang w:val="fr-FR" w:bidi="fr-FR"/>
        </w:rPr>
        <w:t>équilibre entre vie professionnelle et vie privée, et la formation.</w:t>
      </w:r>
    </w:p>
    <w:p w14:paraId="76025B36" w14:textId="51CED212" w:rsidR="00DB0699" w:rsidRPr="002E4298" w:rsidRDefault="002B314F" w:rsidP="00A11C35">
      <w:pPr>
        <w:pStyle w:val="SingleTxt"/>
        <w:numPr>
          <w:ilvl w:val="0"/>
          <w:numId w:val="5"/>
        </w:numPr>
        <w:spacing w:line="240" w:lineRule="exact"/>
        <w:ind w:left="1267"/>
        <w:rPr>
          <w:lang w:val="fr-FR" w:bidi="fr-FR"/>
        </w:rPr>
      </w:pPr>
      <w:r w:rsidRPr="002E4298">
        <w:rPr>
          <w:lang w:val="fr-FR" w:bidi="fr-FR"/>
        </w:rPr>
        <w:lastRenderedPageBreak/>
        <w:t>Dans le domaine de la culture, la Stratégie nationale en faveur de l</w:t>
      </w:r>
      <w:r w:rsidR="00DB0699" w:rsidRPr="002E4298">
        <w:rPr>
          <w:lang w:val="fr-FR" w:bidi="fr-FR"/>
        </w:rPr>
        <w:t>’</w:t>
      </w:r>
      <w:r w:rsidRPr="002E4298">
        <w:rPr>
          <w:lang w:val="fr-FR" w:bidi="fr-FR"/>
        </w:rPr>
        <w:t>égalité et de la non-discrimination a été l</w:t>
      </w:r>
      <w:r w:rsidR="00DB0699" w:rsidRPr="002E4298">
        <w:rPr>
          <w:lang w:val="fr-FR" w:bidi="fr-FR"/>
        </w:rPr>
        <w:t>’</w:t>
      </w:r>
      <w:r w:rsidRPr="002E4298">
        <w:rPr>
          <w:lang w:val="fr-FR" w:bidi="fr-FR"/>
        </w:rPr>
        <w:t>occasion de repenser le rôle de la culture dans les stratégies intersectorielles visant à promouvoir l</w:t>
      </w:r>
      <w:r w:rsidR="00DB0699" w:rsidRPr="002E4298">
        <w:rPr>
          <w:lang w:val="fr-FR" w:bidi="fr-FR"/>
        </w:rPr>
        <w:t>’</w:t>
      </w:r>
      <w:r w:rsidRPr="002E4298">
        <w:rPr>
          <w:lang w:val="fr-FR" w:bidi="fr-FR"/>
        </w:rPr>
        <w:t>égalité et la non-discrimination, et a conduit à l</w:t>
      </w:r>
      <w:r w:rsidR="00DB0699" w:rsidRPr="002E4298">
        <w:rPr>
          <w:lang w:val="fr-FR" w:bidi="fr-FR"/>
        </w:rPr>
        <w:t>’</w:t>
      </w:r>
      <w:r w:rsidRPr="002E4298">
        <w:rPr>
          <w:lang w:val="fr-FR" w:bidi="fr-FR"/>
        </w:rPr>
        <w:t>élaboration d</w:t>
      </w:r>
      <w:r w:rsidR="00DB0699" w:rsidRPr="002E4298">
        <w:rPr>
          <w:lang w:val="fr-FR" w:bidi="fr-FR"/>
        </w:rPr>
        <w:t>’</w:t>
      </w:r>
      <w:r w:rsidRPr="002E4298">
        <w:rPr>
          <w:lang w:val="fr-FR" w:bidi="fr-FR"/>
        </w:rPr>
        <w:t>un Plan sectoriel intégré pour la culture, qui renforce les interventions et activités déjà mises en œuvre par diverses parties prenantes et détermine les questions et sujets qui doivent être améliorés. Dans ce cadre, plusieurs mesures sont en place pour promouvoir l</w:t>
      </w:r>
      <w:r w:rsidR="00DB0699" w:rsidRPr="002E4298">
        <w:rPr>
          <w:lang w:val="fr-FR" w:bidi="fr-FR"/>
        </w:rPr>
        <w:t>’</w:t>
      </w:r>
      <w:r w:rsidRPr="002E4298">
        <w:rPr>
          <w:lang w:val="fr-FR" w:bidi="fr-FR"/>
        </w:rPr>
        <w:t>égalité, à savoir</w:t>
      </w:r>
      <w:r w:rsidR="00DB0699" w:rsidRPr="002E4298">
        <w:rPr>
          <w:lang w:val="fr-FR" w:bidi="fr-FR"/>
        </w:rPr>
        <w:t> :</w:t>
      </w:r>
    </w:p>
    <w:p w14:paraId="3028DD62" w14:textId="471A75ED" w:rsidR="002B314F" w:rsidRPr="002E4298" w:rsidRDefault="00291B0A" w:rsidP="00291B0A">
      <w:pPr>
        <w:pStyle w:val="SingleTxt"/>
        <w:tabs>
          <w:tab w:val="right" w:pos="1685"/>
        </w:tabs>
        <w:ind w:left="1742" w:hanging="475"/>
        <w:rPr>
          <w:lang w:val="fr-FR"/>
        </w:rPr>
      </w:pPr>
      <w:r w:rsidRPr="002E4298">
        <w:rPr>
          <w:lang w:val="fr-FR" w:bidi="fr-FR"/>
        </w:rPr>
        <w:tab/>
        <w:t>•</w:t>
      </w:r>
      <w:r w:rsidRPr="002E4298">
        <w:rPr>
          <w:lang w:val="fr-FR" w:bidi="fr-FR"/>
        </w:rPr>
        <w:tab/>
      </w:r>
      <w:r w:rsidR="002B314F" w:rsidRPr="002E4298">
        <w:rPr>
          <w:lang w:val="fr-FR" w:bidi="fr-FR"/>
        </w:rPr>
        <w:t>des prix</w:t>
      </w:r>
      <w:r w:rsidR="00DB0699" w:rsidRPr="002E4298">
        <w:rPr>
          <w:lang w:val="fr-FR" w:bidi="fr-FR"/>
        </w:rPr>
        <w:t> :</w:t>
      </w:r>
      <w:r w:rsidR="002B314F" w:rsidRPr="002E4298">
        <w:rPr>
          <w:lang w:val="fr-FR" w:bidi="fr-FR"/>
        </w:rPr>
        <w:t xml:space="preserve"> le prix « Femmes Créatrices de Culture » (créé en</w:t>
      </w:r>
      <w:r w:rsidR="00B23B6D" w:rsidRPr="002E4298">
        <w:rPr>
          <w:lang w:val="fr-FR" w:bidi="fr-FR"/>
        </w:rPr>
        <w:t xml:space="preserve"> 20</w:t>
      </w:r>
      <w:r w:rsidR="002B314F" w:rsidRPr="002E4298">
        <w:rPr>
          <w:lang w:val="fr-FR" w:bidi="fr-FR"/>
        </w:rPr>
        <w:t xml:space="preserve">13), décerné tous les </w:t>
      </w:r>
      <w:r w:rsidR="00135318" w:rsidRPr="002E4298">
        <w:rPr>
          <w:lang w:val="fr-FR" w:bidi="fr-FR"/>
        </w:rPr>
        <w:t xml:space="preserve">deux </w:t>
      </w:r>
      <w:r w:rsidR="002B314F" w:rsidRPr="002E4298">
        <w:rPr>
          <w:lang w:val="fr-FR" w:bidi="fr-FR"/>
        </w:rPr>
        <w:t xml:space="preserve">ans, qui a déjà récompensé vingt femmes dans différents domaines culturels, le prix VIDArte, qui récompense des œuvres artistiques (cinéma, théâtre et littérature) traitant de violence domestique et qui est décerné tous les </w:t>
      </w:r>
      <w:r w:rsidR="00135318" w:rsidRPr="002E4298">
        <w:rPr>
          <w:lang w:val="fr-FR" w:bidi="fr-FR"/>
        </w:rPr>
        <w:t xml:space="preserve">deux </w:t>
      </w:r>
      <w:r w:rsidR="002B314F" w:rsidRPr="002E4298">
        <w:rPr>
          <w:lang w:val="fr-FR" w:bidi="fr-FR"/>
        </w:rPr>
        <w:t>ans, le prix régional Maria Veleda, attribué par la Direction régionale de la culture de l</w:t>
      </w:r>
      <w:r w:rsidR="00DB0699" w:rsidRPr="002E4298">
        <w:rPr>
          <w:lang w:val="fr-FR" w:bidi="fr-FR"/>
        </w:rPr>
        <w:t>’</w:t>
      </w:r>
      <w:r w:rsidR="002B314F" w:rsidRPr="002E4298">
        <w:rPr>
          <w:lang w:val="fr-FR" w:bidi="fr-FR"/>
        </w:rPr>
        <w:t>Algarve, qui récompense, entre autres, des projets et des activités qui se démarquent dans les domaines de la citoyenneté et de l</w:t>
      </w:r>
      <w:r w:rsidR="00DB0699" w:rsidRPr="002E4298">
        <w:rPr>
          <w:lang w:val="fr-FR" w:bidi="fr-FR"/>
        </w:rPr>
        <w:t>’</w:t>
      </w:r>
      <w:r w:rsidR="002B314F" w:rsidRPr="002E4298">
        <w:rPr>
          <w:lang w:val="fr-FR" w:bidi="fr-FR"/>
        </w:rPr>
        <w:t>égalité des genres, ou dans la contre l</w:t>
      </w:r>
      <w:r w:rsidR="00DB0699" w:rsidRPr="002E4298">
        <w:rPr>
          <w:lang w:val="fr-FR" w:bidi="fr-FR"/>
        </w:rPr>
        <w:t>’</w:t>
      </w:r>
      <w:r w:rsidR="002B314F" w:rsidRPr="002E4298">
        <w:rPr>
          <w:lang w:val="fr-FR" w:bidi="fr-FR"/>
        </w:rPr>
        <w:t>exclusion socia</w:t>
      </w:r>
      <w:r w:rsidR="00DC43BF" w:rsidRPr="002E4298">
        <w:rPr>
          <w:lang w:val="fr-FR" w:bidi="fr-FR"/>
        </w:rPr>
        <w:t>le</w:t>
      </w:r>
      <w:r w:rsidR="00DB0699" w:rsidRPr="002E4298">
        <w:rPr>
          <w:lang w:val="fr-FR" w:bidi="fr-FR"/>
        </w:rPr>
        <w:t> ;</w:t>
      </w:r>
    </w:p>
    <w:p w14:paraId="2AC1D36B" w14:textId="49EF49AE" w:rsidR="002B314F" w:rsidRPr="002E4298" w:rsidRDefault="00291B0A" w:rsidP="00291B0A">
      <w:pPr>
        <w:pStyle w:val="SingleTxt"/>
        <w:tabs>
          <w:tab w:val="right" w:pos="1685"/>
        </w:tabs>
        <w:ind w:left="1742" w:hanging="475"/>
        <w:rPr>
          <w:lang w:val="fr-FR"/>
        </w:rPr>
      </w:pPr>
      <w:r w:rsidRPr="002E4298">
        <w:rPr>
          <w:lang w:val="fr-FR" w:bidi="fr-FR"/>
        </w:rPr>
        <w:tab/>
        <w:t>•</w:t>
      </w:r>
      <w:r w:rsidRPr="002E4298">
        <w:rPr>
          <w:lang w:val="fr-FR" w:bidi="fr-FR"/>
        </w:rPr>
        <w:tab/>
      </w:r>
      <w:r w:rsidR="002B314F" w:rsidRPr="002E4298">
        <w:rPr>
          <w:lang w:val="fr-FR" w:bidi="fr-FR"/>
        </w:rPr>
        <w:t>dans le domaine du cinéma et de l</w:t>
      </w:r>
      <w:r w:rsidR="00DB0699" w:rsidRPr="002E4298">
        <w:rPr>
          <w:lang w:val="fr-FR" w:bidi="fr-FR"/>
        </w:rPr>
        <w:t>’</w:t>
      </w:r>
      <w:r w:rsidR="002B314F" w:rsidRPr="002E4298">
        <w:rPr>
          <w:lang w:val="fr-FR" w:bidi="fr-FR"/>
        </w:rPr>
        <w:t>audiovisuel, plusieurs mesures d</w:t>
      </w:r>
      <w:r w:rsidR="00DB0699" w:rsidRPr="002E4298">
        <w:rPr>
          <w:lang w:val="fr-FR" w:bidi="fr-FR"/>
        </w:rPr>
        <w:t>’</w:t>
      </w:r>
      <w:r w:rsidR="002B314F" w:rsidRPr="002E4298">
        <w:rPr>
          <w:lang w:val="fr-FR" w:bidi="fr-FR"/>
        </w:rPr>
        <w:t>action positives visent à promouvoir les œuvres des femmes et à accroître le nombre de femmes dans les jurys de sélection des concours ainsi que le nombre de femmes nommées dans la section spécialisée du cinéma et de l</w:t>
      </w:r>
      <w:r w:rsidR="00DB0699" w:rsidRPr="002E4298">
        <w:rPr>
          <w:lang w:val="fr-FR" w:bidi="fr-FR"/>
        </w:rPr>
        <w:t>’</w:t>
      </w:r>
      <w:r w:rsidR="002B314F" w:rsidRPr="002E4298">
        <w:rPr>
          <w:lang w:val="fr-FR" w:bidi="fr-FR"/>
        </w:rPr>
        <w:t>audiovisuel de l</w:t>
      </w:r>
      <w:r w:rsidR="00DB0699" w:rsidRPr="002E4298">
        <w:rPr>
          <w:lang w:val="fr-FR" w:bidi="fr-FR"/>
        </w:rPr>
        <w:t>’</w:t>
      </w:r>
      <w:r w:rsidR="002B314F" w:rsidRPr="002E4298">
        <w:rPr>
          <w:lang w:val="fr-FR" w:bidi="fr-FR"/>
        </w:rPr>
        <w:t>Institut du cinéma et de l</w:t>
      </w:r>
      <w:r w:rsidR="00DB0699" w:rsidRPr="002E4298">
        <w:rPr>
          <w:lang w:val="fr-FR" w:bidi="fr-FR"/>
        </w:rPr>
        <w:t>’</w:t>
      </w:r>
      <w:r w:rsidR="002B314F" w:rsidRPr="002E4298">
        <w:rPr>
          <w:lang w:val="fr-FR" w:bidi="fr-FR"/>
        </w:rPr>
        <w:t>audiovisuel</w:t>
      </w:r>
      <w:r w:rsidR="00DB0699" w:rsidRPr="002E4298">
        <w:rPr>
          <w:lang w:val="fr-FR" w:bidi="fr-FR"/>
        </w:rPr>
        <w:t> ;</w:t>
      </w:r>
    </w:p>
    <w:p w14:paraId="5EB527AF" w14:textId="7BEA7438" w:rsidR="00DB0699" w:rsidRPr="002E4298" w:rsidRDefault="00291B0A" w:rsidP="00291B0A">
      <w:pPr>
        <w:pStyle w:val="SingleTxt"/>
        <w:tabs>
          <w:tab w:val="right" w:pos="1685"/>
        </w:tabs>
        <w:ind w:left="1742" w:hanging="475"/>
        <w:rPr>
          <w:lang w:val="fr-FR" w:bidi="fr-FR"/>
        </w:rPr>
      </w:pPr>
      <w:r w:rsidRPr="002E4298">
        <w:rPr>
          <w:lang w:val="fr-FR" w:bidi="fr-FR"/>
        </w:rPr>
        <w:tab/>
        <w:t>•</w:t>
      </w:r>
      <w:r w:rsidRPr="002E4298">
        <w:rPr>
          <w:lang w:val="fr-FR" w:bidi="fr-FR"/>
        </w:rPr>
        <w:tab/>
      </w:r>
      <w:r w:rsidR="002B314F" w:rsidRPr="002E4298">
        <w:rPr>
          <w:lang w:val="fr-FR" w:bidi="fr-FR"/>
        </w:rPr>
        <w:t>plusieurs activités et plateformes en place visent à promouvoir l</w:t>
      </w:r>
      <w:r w:rsidR="00DB0699" w:rsidRPr="002E4298">
        <w:rPr>
          <w:lang w:val="fr-FR" w:bidi="fr-FR"/>
        </w:rPr>
        <w:t>’</w:t>
      </w:r>
      <w:r w:rsidR="002B314F" w:rsidRPr="002E4298">
        <w:rPr>
          <w:lang w:val="fr-FR" w:bidi="fr-FR"/>
        </w:rPr>
        <w:t>égalité des genres, notamment</w:t>
      </w:r>
      <w:r w:rsidR="00DB0699" w:rsidRPr="002E4298">
        <w:rPr>
          <w:lang w:val="fr-FR" w:bidi="fr-FR"/>
        </w:rPr>
        <w:t> :</w:t>
      </w:r>
      <w:r w:rsidR="002B314F" w:rsidRPr="002E4298">
        <w:rPr>
          <w:lang w:val="fr-FR" w:bidi="fr-FR"/>
        </w:rPr>
        <w:t xml:space="preserve"> un blog intitulé « L</w:t>
      </w:r>
      <w:r w:rsidR="00DB0699" w:rsidRPr="002E4298">
        <w:rPr>
          <w:lang w:val="fr-FR" w:bidi="fr-FR"/>
        </w:rPr>
        <w:t>’</w:t>
      </w:r>
      <w:r w:rsidR="002B314F" w:rsidRPr="002E4298">
        <w:rPr>
          <w:lang w:val="fr-FR" w:bidi="fr-FR"/>
        </w:rPr>
        <w:t>égalité sur tous les visages », géré par la Direction générale des arts comme une plateforme de diffusion en vue de renforcer la promotion de l</w:t>
      </w:r>
      <w:r w:rsidR="00DB0699" w:rsidRPr="002E4298">
        <w:rPr>
          <w:lang w:val="fr-FR" w:bidi="fr-FR"/>
        </w:rPr>
        <w:t>’</w:t>
      </w:r>
      <w:r w:rsidR="002B314F" w:rsidRPr="002E4298">
        <w:rPr>
          <w:lang w:val="fr-FR" w:bidi="fr-FR"/>
        </w:rPr>
        <w:t>égalité femmes-hommes et de faire connaître les actions qui favorisent la pleine citoyenneté, plusieurs expositions, séminaires et conférences organisés par la Bibliothèque nationale du Portugal et la Direction régionale de la culture de l</w:t>
      </w:r>
      <w:r w:rsidR="00DB0699" w:rsidRPr="002E4298">
        <w:rPr>
          <w:lang w:val="fr-FR" w:bidi="fr-FR"/>
        </w:rPr>
        <w:t>’</w:t>
      </w:r>
      <w:r w:rsidR="002B314F" w:rsidRPr="002E4298">
        <w:rPr>
          <w:lang w:val="fr-FR" w:bidi="fr-FR"/>
        </w:rPr>
        <w:t>Alentejo en vue de promouvoir la visibilité de l</w:t>
      </w:r>
      <w:r w:rsidR="00DB0699" w:rsidRPr="002E4298">
        <w:rPr>
          <w:lang w:val="fr-FR" w:bidi="fr-FR"/>
        </w:rPr>
        <w:t>’</w:t>
      </w:r>
      <w:r w:rsidR="002B314F" w:rsidRPr="002E4298">
        <w:rPr>
          <w:lang w:val="fr-FR" w:bidi="fr-FR"/>
        </w:rPr>
        <w:t>égalité entre les femmes et les hommes, et la participation au Plan de travail en faveur de la culture (2019-2022) de l</w:t>
      </w:r>
      <w:r w:rsidR="00DB0699" w:rsidRPr="002E4298">
        <w:rPr>
          <w:lang w:val="fr-FR" w:bidi="fr-FR"/>
        </w:rPr>
        <w:t>’</w:t>
      </w:r>
      <w:r w:rsidR="002B314F" w:rsidRPr="002E4298">
        <w:rPr>
          <w:lang w:val="fr-FR" w:bidi="fr-FR"/>
        </w:rPr>
        <w:t>Union européenne, qui fait de l</w:t>
      </w:r>
      <w:r w:rsidR="00DB0699" w:rsidRPr="002E4298">
        <w:rPr>
          <w:lang w:val="fr-FR" w:bidi="fr-FR"/>
        </w:rPr>
        <w:t>’</w:t>
      </w:r>
      <w:r w:rsidR="002B314F" w:rsidRPr="002E4298">
        <w:rPr>
          <w:lang w:val="fr-FR" w:bidi="fr-FR"/>
        </w:rPr>
        <w:t>égalité des genres l</w:t>
      </w:r>
      <w:r w:rsidR="00DB0699" w:rsidRPr="002E4298">
        <w:rPr>
          <w:lang w:val="fr-FR" w:bidi="fr-FR"/>
        </w:rPr>
        <w:t>’</w:t>
      </w:r>
      <w:r w:rsidR="002B314F" w:rsidRPr="002E4298">
        <w:rPr>
          <w:lang w:val="fr-FR" w:bidi="fr-FR"/>
        </w:rPr>
        <w:t>une des cinq</w:t>
      </w:r>
      <w:r w:rsidR="00130BB3" w:rsidRPr="002E4298">
        <w:rPr>
          <w:lang w:val="fr-FR" w:bidi="fr-FR"/>
        </w:rPr>
        <w:t xml:space="preserve"> </w:t>
      </w:r>
      <w:r w:rsidR="002B314F" w:rsidRPr="002E4298">
        <w:rPr>
          <w:lang w:val="fr-FR" w:bidi="fr-FR"/>
        </w:rPr>
        <w:t>priorités de la coopération européenne en matière d</w:t>
      </w:r>
      <w:r w:rsidR="00DB0699" w:rsidRPr="002E4298">
        <w:rPr>
          <w:lang w:val="fr-FR" w:bidi="fr-FR"/>
        </w:rPr>
        <w:t>’</w:t>
      </w:r>
      <w:r w:rsidR="002B314F" w:rsidRPr="002E4298">
        <w:rPr>
          <w:lang w:val="fr-FR" w:bidi="fr-FR"/>
        </w:rPr>
        <w:t>élaboration des politiques culturelles.</w:t>
      </w:r>
    </w:p>
    <w:p w14:paraId="7C3AAB3B" w14:textId="6C798AA4" w:rsidR="00DB0699" w:rsidRPr="002E4298" w:rsidRDefault="002B314F" w:rsidP="00A11C35">
      <w:pPr>
        <w:pStyle w:val="SingleTxt"/>
        <w:numPr>
          <w:ilvl w:val="0"/>
          <w:numId w:val="5"/>
        </w:numPr>
        <w:spacing w:line="240" w:lineRule="exact"/>
        <w:ind w:left="1267"/>
        <w:rPr>
          <w:lang w:val="fr-FR" w:bidi="fr-FR"/>
        </w:rPr>
      </w:pPr>
      <w:r w:rsidRPr="002E4298">
        <w:rPr>
          <w:lang w:val="fr-FR" w:bidi="fr-FR"/>
        </w:rPr>
        <w:t>Le Portugal s</w:t>
      </w:r>
      <w:r w:rsidR="00DB0699" w:rsidRPr="002E4298">
        <w:rPr>
          <w:lang w:val="fr-FR" w:bidi="fr-FR"/>
        </w:rPr>
        <w:t>’</w:t>
      </w:r>
      <w:r w:rsidRPr="002E4298">
        <w:rPr>
          <w:lang w:val="fr-FR" w:bidi="fr-FR"/>
        </w:rPr>
        <w:t>est engagé à canaliser des fonds publics pour mettre en œuvre des mesures spécifiques au titre des objectifs de la Stratégie nationale en faveur de l</w:t>
      </w:r>
      <w:r w:rsidR="00DB0699" w:rsidRPr="002E4298">
        <w:rPr>
          <w:lang w:val="fr-FR" w:bidi="fr-FR"/>
        </w:rPr>
        <w:t>’</w:t>
      </w:r>
      <w:r w:rsidRPr="002E4298">
        <w:rPr>
          <w:lang w:val="fr-FR" w:bidi="fr-FR"/>
        </w:rPr>
        <w:t>égalité et de la non-discrimination. Par exemple, au cours du premier semestre</w:t>
      </w:r>
      <w:r w:rsidR="00B23B6D" w:rsidRPr="002E4298">
        <w:rPr>
          <w:lang w:val="fr-FR" w:bidi="fr-FR"/>
        </w:rPr>
        <w:t xml:space="preserve"> 20</w:t>
      </w:r>
      <w:r w:rsidRPr="002E4298">
        <w:rPr>
          <w:lang w:val="fr-FR" w:bidi="fr-FR"/>
        </w:rPr>
        <w:t>19 seulement, des lignes de financement pour un total de 51,9</w:t>
      </w:r>
      <w:r w:rsidR="00DB0699" w:rsidRPr="002E4298">
        <w:rPr>
          <w:lang w:val="fr-FR" w:bidi="fr-FR"/>
        </w:rPr>
        <w:t> million</w:t>
      </w:r>
      <w:r w:rsidRPr="002E4298">
        <w:rPr>
          <w:lang w:val="fr-FR" w:bidi="fr-FR"/>
        </w:rPr>
        <w:t>s d</w:t>
      </w:r>
      <w:r w:rsidR="00DB0699" w:rsidRPr="002E4298">
        <w:rPr>
          <w:lang w:val="fr-FR" w:bidi="fr-FR"/>
        </w:rPr>
        <w:t>’</w:t>
      </w:r>
      <w:r w:rsidRPr="002E4298">
        <w:rPr>
          <w:lang w:val="fr-FR" w:bidi="fr-FR"/>
        </w:rPr>
        <w:t>euros ont été ouvertes notamment pour former des spécialistes, pour soutenir des organisations de la société civile, pour soutenir des projets qui luttent contre la discrimination sur le lieu de travail grâce à des outils permettant d</w:t>
      </w:r>
      <w:r w:rsidR="00DB0699" w:rsidRPr="002E4298">
        <w:rPr>
          <w:lang w:val="fr-FR" w:bidi="fr-FR"/>
        </w:rPr>
        <w:t>’</w:t>
      </w:r>
      <w:r w:rsidRPr="002E4298">
        <w:rPr>
          <w:lang w:val="fr-FR" w:bidi="fr-FR"/>
        </w:rPr>
        <w:t>éliminer la discrimination salariale et d</w:t>
      </w:r>
      <w:r w:rsidR="00DB0699" w:rsidRPr="002E4298">
        <w:rPr>
          <w:lang w:val="fr-FR" w:bidi="fr-FR"/>
        </w:rPr>
        <w:t>’</w:t>
      </w:r>
      <w:r w:rsidRPr="002E4298">
        <w:rPr>
          <w:lang w:val="fr-FR" w:bidi="fr-FR"/>
        </w:rPr>
        <w:t>autoévaluer les inégalités, ainsi que des projets menés au niveau local visant à élaborer des politiques sectorielles qui favorisent l</w:t>
      </w:r>
      <w:r w:rsidR="00DB0699" w:rsidRPr="002E4298">
        <w:rPr>
          <w:lang w:val="fr-FR" w:bidi="fr-FR"/>
        </w:rPr>
        <w:t>’</w:t>
      </w:r>
      <w:r w:rsidRPr="002E4298">
        <w:rPr>
          <w:lang w:val="fr-FR" w:bidi="fr-FR"/>
        </w:rPr>
        <w:t>égalité des genres et à renforcer la participation politique et civile des femmes et des filles, pour évaluer l</w:t>
      </w:r>
      <w:r w:rsidR="00DB0699" w:rsidRPr="002E4298">
        <w:rPr>
          <w:lang w:val="fr-FR" w:bidi="fr-FR"/>
        </w:rPr>
        <w:t>’</w:t>
      </w:r>
      <w:r w:rsidRPr="002E4298">
        <w:rPr>
          <w:lang w:val="fr-FR" w:bidi="fr-FR"/>
        </w:rPr>
        <w:t>incidence économique des inégalités en matière de ségrégation des professions, de rémunérations et de travail non rémunéré, pour soutenir des organisations publiques et privées dans la mise en œuvre et la certification de systèmes de gestion de l</w:t>
      </w:r>
      <w:r w:rsidR="00DB0699" w:rsidRPr="002E4298">
        <w:rPr>
          <w:lang w:val="fr-FR" w:bidi="fr-FR"/>
        </w:rPr>
        <w:t>’</w:t>
      </w:r>
      <w:r w:rsidRPr="002E4298">
        <w:rPr>
          <w:lang w:val="fr-FR" w:bidi="fr-FR"/>
        </w:rPr>
        <w:t>équilibre entre vie professionnelle et vie privée conformément à une norme nationale, pour soutenir des projets visant à prévenir et à éliminer la violence à l</w:t>
      </w:r>
      <w:r w:rsidR="00DB0699" w:rsidRPr="002E4298">
        <w:rPr>
          <w:lang w:val="fr-FR" w:bidi="fr-FR"/>
        </w:rPr>
        <w:t>’</w:t>
      </w:r>
      <w:r w:rsidRPr="002E4298">
        <w:rPr>
          <w:lang w:val="fr-FR" w:bidi="fr-FR"/>
        </w:rPr>
        <w:t>égard des femmes et la violence domestique, et pour soutenir les structures du réseau national d</w:t>
      </w:r>
      <w:r w:rsidR="00DB0699" w:rsidRPr="002E4298">
        <w:rPr>
          <w:lang w:val="fr-FR" w:bidi="fr-FR"/>
        </w:rPr>
        <w:t>’</w:t>
      </w:r>
      <w:r w:rsidRPr="002E4298">
        <w:rPr>
          <w:lang w:val="fr-FR" w:bidi="fr-FR"/>
        </w:rPr>
        <w:t>aide aux victimes de la violence domestique, notamment en matière d</w:t>
      </w:r>
      <w:r w:rsidR="00DB0699" w:rsidRPr="002E4298">
        <w:rPr>
          <w:lang w:val="fr-FR" w:bidi="fr-FR"/>
        </w:rPr>
        <w:t>’</w:t>
      </w:r>
      <w:r w:rsidRPr="002E4298">
        <w:rPr>
          <w:lang w:val="fr-FR" w:bidi="fr-FR"/>
        </w:rPr>
        <w:t>appui et d</w:t>
      </w:r>
      <w:r w:rsidR="00DB0699" w:rsidRPr="002E4298">
        <w:rPr>
          <w:lang w:val="fr-FR" w:bidi="fr-FR"/>
        </w:rPr>
        <w:t>’</w:t>
      </w:r>
      <w:r w:rsidRPr="002E4298">
        <w:rPr>
          <w:lang w:val="fr-FR" w:bidi="fr-FR"/>
        </w:rPr>
        <w:t>hébergement. De plus, le Gouvernement met progressivement en place une budgétisation tenant compte de la problématique femmes-hommes. Le budget de l</w:t>
      </w:r>
      <w:r w:rsidR="00DB0699" w:rsidRPr="002E4298">
        <w:rPr>
          <w:lang w:val="fr-FR" w:bidi="fr-FR"/>
        </w:rPr>
        <w:t>’</w:t>
      </w:r>
      <w:r w:rsidRPr="002E4298">
        <w:rPr>
          <w:lang w:val="fr-FR" w:bidi="fr-FR"/>
        </w:rPr>
        <w:t>État pour</w:t>
      </w:r>
      <w:r w:rsidR="00B23B6D" w:rsidRPr="002E4298">
        <w:rPr>
          <w:lang w:val="fr-FR" w:bidi="fr-FR"/>
        </w:rPr>
        <w:t xml:space="preserve"> 20</w:t>
      </w:r>
      <w:r w:rsidRPr="002E4298">
        <w:rPr>
          <w:lang w:val="fr-FR" w:bidi="fr-FR"/>
        </w:rPr>
        <w:t>19 établit que tous les budgets des services et organismes de l</w:t>
      </w:r>
      <w:r w:rsidR="00DB0699" w:rsidRPr="002E4298">
        <w:rPr>
          <w:lang w:val="fr-FR" w:bidi="fr-FR"/>
        </w:rPr>
        <w:t>’</w:t>
      </w:r>
      <w:r w:rsidRPr="002E4298">
        <w:rPr>
          <w:lang w:val="fr-FR" w:bidi="fr-FR"/>
        </w:rPr>
        <w:t xml:space="preserve">administration publique doivent prendre en compte les questions de genre et </w:t>
      </w:r>
      <w:r w:rsidRPr="002E4298">
        <w:rPr>
          <w:lang w:val="fr-FR" w:bidi="fr-FR"/>
        </w:rPr>
        <w:lastRenderedPageBreak/>
        <w:t>indiquer les programmes, activités ou mesures qui feront l</w:t>
      </w:r>
      <w:r w:rsidR="00DB0699" w:rsidRPr="002E4298">
        <w:rPr>
          <w:lang w:val="fr-FR" w:bidi="fr-FR"/>
        </w:rPr>
        <w:t>’</w:t>
      </w:r>
      <w:r w:rsidRPr="002E4298">
        <w:rPr>
          <w:lang w:val="fr-FR" w:bidi="fr-FR"/>
        </w:rPr>
        <w:t>objet d</w:t>
      </w:r>
      <w:r w:rsidR="00DB0699" w:rsidRPr="002E4298">
        <w:rPr>
          <w:lang w:val="fr-FR" w:bidi="fr-FR"/>
        </w:rPr>
        <w:t>’</w:t>
      </w:r>
      <w:r w:rsidRPr="002E4298">
        <w:rPr>
          <w:lang w:val="fr-FR" w:bidi="fr-FR"/>
        </w:rPr>
        <w:t>une analyse des incidences pour les hommes et les femmes en</w:t>
      </w:r>
      <w:r w:rsidR="00B23B6D" w:rsidRPr="002E4298">
        <w:rPr>
          <w:lang w:val="fr-FR" w:bidi="fr-FR"/>
        </w:rPr>
        <w:t xml:space="preserve"> 20</w:t>
      </w:r>
      <w:r w:rsidRPr="002E4298">
        <w:rPr>
          <w:lang w:val="fr-FR" w:bidi="fr-FR"/>
        </w:rPr>
        <w:t>19. En</w:t>
      </w:r>
      <w:r w:rsidR="00B23B6D" w:rsidRPr="002E4298">
        <w:rPr>
          <w:lang w:val="fr-FR" w:bidi="fr-FR"/>
        </w:rPr>
        <w:t xml:space="preserve"> 20</w:t>
      </w:r>
      <w:r w:rsidRPr="002E4298">
        <w:rPr>
          <w:lang w:val="fr-FR" w:bidi="fr-FR"/>
        </w:rPr>
        <w:t>18, ce processus s</w:t>
      </w:r>
      <w:r w:rsidR="00DB0699" w:rsidRPr="002E4298">
        <w:rPr>
          <w:lang w:val="fr-FR" w:bidi="fr-FR"/>
        </w:rPr>
        <w:t>’</w:t>
      </w:r>
      <w:r w:rsidRPr="002E4298">
        <w:rPr>
          <w:lang w:val="fr-FR" w:bidi="fr-FR"/>
        </w:rPr>
        <w:t>est traduit par la formation du personnel de l</w:t>
      </w:r>
      <w:r w:rsidR="00DB0699" w:rsidRPr="002E4298">
        <w:rPr>
          <w:lang w:val="fr-FR" w:bidi="fr-FR"/>
        </w:rPr>
        <w:t>’</w:t>
      </w:r>
      <w:r w:rsidRPr="002E4298">
        <w:rPr>
          <w:lang w:val="fr-FR" w:bidi="fr-FR"/>
        </w:rPr>
        <w:t>administration publique et des ministères concernés (y compris une formation en cours d</w:t>
      </w:r>
      <w:r w:rsidR="00DB0699" w:rsidRPr="002E4298">
        <w:rPr>
          <w:lang w:val="fr-FR" w:bidi="fr-FR"/>
        </w:rPr>
        <w:t>’</w:t>
      </w:r>
      <w:r w:rsidRPr="002E4298">
        <w:rPr>
          <w:lang w:val="fr-FR" w:bidi="fr-FR"/>
        </w:rPr>
        <w:t>emploi) dans un certain nombre de secteurs, et par la production des rapports sectoriels correspondants et de rapports généraux sur la budgétisation tenant compte de la problématique femmes-hommes</w:t>
      </w:r>
      <w:r w:rsidRPr="002E4298">
        <w:rPr>
          <w:vertAlign w:val="superscript"/>
          <w:lang w:val="fr-FR" w:bidi="fr-FR"/>
        </w:rPr>
        <w:footnoteReference w:id="4"/>
      </w:r>
      <w:r w:rsidRPr="002E4298">
        <w:rPr>
          <w:lang w:val="fr-FR" w:bidi="fr-FR"/>
        </w:rPr>
        <w:t>.</w:t>
      </w:r>
    </w:p>
    <w:p w14:paraId="1F44FD47" w14:textId="0DC8B0FD" w:rsidR="00DB0699" w:rsidRPr="002E4298" w:rsidRDefault="002B314F" w:rsidP="00A11C35">
      <w:pPr>
        <w:pStyle w:val="SingleTxt"/>
        <w:numPr>
          <w:ilvl w:val="0"/>
          <w:numId w:val="5"/>
        </w:numPr>
        <w:spacing w:line="240" w:lineRule="exact"/>
        <w:ind w:left="1267"/>
        <w:rPr>
          <w:lang w:val="fr-FR" w:bidi="fr-FR"/>
        </w:rPr>
      </w:pPr>
      <w:r w:rsidRPr="002E4298">
        <w:rPr>
          <w:lang w:val="fr-FR" w:bidi="fr-FR"/>
        </w:rPr>
        <w:t>En ce qui concerne la prévention et la lutte contre toutes les formes de violence à l</w:t>
      </w:r>
      <w:r w:rsidR="00DB0699" w:rsidRPr="002E4298">
        <w:rPr>
          <w:lang w:val="fr-FR" w:bidi="fr-FR"/>
        </w:rPr>
        <w:t>’</w:t>
      </w:r>
      <w:r w:rsidRPr="002E4298">
        <w:rPr>
          <w:lang w:val="fr-FR" w:bidi="fr-FR"/>
        </w:rPr>
        <w:t>égard des femmes, la violence domestique, et la traite des êtres humains, des informations plus détaillées sont fournies dans la section 9, parmi lesquelles les éléments suivants peuvent toutefois être soulignés</w:t>
      </w:r>
      <w:r w:rsidR="00DB0699" w:rsidRPr="002E4298">
        <w:rPr>
          <w:lang w:val="fr-FR" w:bidi="fr-FR"/>
        </w:rPr>
        <w:t> :</w:t>
      </w:r>
    </w:p>
    <w:p w14:paraId="790783BF" w14:textId="0AFA3C0D" w:rsidR="002B314F" w:rsidRPr="002E4298" w:rsidRDefault="00C31EE2" w:rsidP="00C31EE2">
      <w:pPr>
        <w:pStyle w:val="SingleTxt"/>
        <w:tabs>
          <w:tab w:val="right" w:pos="1685"/>
        </w:tabs>
        <w:ind w:left="1742" w:hanging="475"/>
        <w:rPr>
          <w:lang w:val="fr-FR"/>
        </w:rPr>
      </w:pPr>
      <w:r w:rsidRPr="002E4298">
        <w:rPr>
          <w:lang w:val="fr-FR" w:bidi="fr-FR"/>
        </w:rPr>
        <w:tab/>
        <w:t>•</w:t>
      </w:r>
      <w:r w:rsidRPr="002E4298">
        <w:rPr>
          <w:lang w:val="fr-FR" w:bidi="fr-FR"/>
        </w:rPr>
        <w:tab/>
      </w:r>
      <w:r w:rsidR="002B314F" w:rsidRPr="002E4298">
        <w:rPr>
          <w:lang w:val="fr-FR" w:bidi="fr-FR"/>
        </w:rPr>
        <w:t>le renforcement de la formation et des qualifications des praticiens et praticiennes dans des domaines d</w:t>
      </w:r>
      <w:r w:rsidR="00DB0699" w:rsidRPr="002E4298">
        <w:rPr>
          <w:lang w:val="fr-FR" w:bidi="fr-FR"/>
        </w:rPr>
        <w:t>’</w:t>
      </w:r>
      <w:r w:rsidR="002B314F" w:rsidRPr="002E4298">
        <w:rPr>
          <w:lang w:val="fr-FR" w:bidi="fr-FR"/>
        </w:rPr>
        <w:t>intervention critiques au moyen d</w:t>
      </w:r>
      <w:r w:rsidR="00DB0699" w:rsidRPr="002E4298">
        <w:rPr>
          <w:lang w:val="fr-FR" w:bidi="fr-FR"/>
        </w:rPr>
        <w:t>’</w:t>
      </w:r>
      <w:r w:rsidR="002B314F" w:rsidRPr="002E4298">
        <w:rPr>
          <w:lang w:val="fr-FR" w:bidi="fr-FR"/>
        </w:rPr>
        <w:t>une formation obligatoire sur les droits humains et la violence domestique pour les juges et les procureurs, et l</w:t>
      </w:r>
      <w:r w:rsidR="00DB0699" w:rsidRPr="002E4298">
        <w:rPr>
          <w:lang w:val="fr-FR" w:bidi="fr-FR"/>
        </w:rPr>
        <w:t>’</w:t>
      </w:r>
      <w:r w:rsidR="002B314F" w:rsidRPr="002E4298">
        <w:rPr>
          <w:lang w:val="fr-FR" w:bidi="fr-FR"/>
        </w:rPr>
        <w:t>établissement de plusieurs protocoles de coopération entre la Commission pour la citoyenneté et l</w:t>
      </w:r>
      <w:r w:rsidR="00DB0699" w:rsidRPr="002E4298">
        <w:rPr>
          <w:lang w:val="fr-FR" w:bidi="fr-FR"/>
        </w:rPr>
        <w:t>’</w:t>
      </w:r>
      <w:r w:rsidR="002B314F" w:rsidRPr="002E4298">
        <w:rPr>
          <w:lang w:val="fr-FR" w:bidi="fr-FR"/>
        </w:rPr>
        <w:t>égalité des genres (chargée de coordonner la mise en œuvre des politiques de lutte contre la violence à l</w:t>
      </w:r>
      <w:r w:rsidR="00DB0699" w:rsidRPr="002E4298">
        <w:rPr>
          <w:lang w:val="fr-FR" w:bidi="fr-FR"/>
        </w:rPr>
        <w:t>’</w:t>
      </w:r>
      <w:r w:rsidR="002B314F" w:rsidRPr="002E4298">
        <w:rPr>
          <w:lang w:val="fr-FR" w:bidi="fr-FR"/>
        </w:rPr>
        <w:t>égard des femmes et la violence domestique) et d</w:t>
      </w:r>
      <w:r w:rsidR="00DB0699" w:rsidRPr="002E4298">
        <w:rPr>
          <w:lang w:val="fr-FR" w:bidi="fr-FR"/>
        </w:rPr>
        <w:t>’</w:t>
      </w:r>
      <w:r w:rsidR="002B314F" w:rsidRPr="002E4298">
        <w:rPr>
          <w:lang w:val="fr-FR" w:bidi="fr-FR"/>
        </w:rPr>
        <w:t>autres entités, telles que le Ministère public, les forces de police, la Direction générale de l</w:t>
      </w:r>
      <w:r w:rsidR="00DB0699" w:rsidRPr="002E4298">
        <w:rPr>
          <w:lang w:val="fr-FR" w:bidi="fr-FR"/>
        </w:rPr>
        <w:t>’</w:t>
      </w:r>
      <w:r w:rsidR="002B314F" w:rsidRPr="002E4298">
        <w:rPr>
          <w:lang w:val="fr-FR" w:bidi="fr-FR"/>
        </w:rPr>
        <w:t>administration de la justice, le Barreau portugais, et le Centre d</w:t>
      </w:r>
      <w:r w:rsidR="00DB0699" w:rsidRPr="002E4298">
        <w:rPr>
          <w:lang w:val="fr-FR" w:bidi="fr-FR"/>
        </w:rPr>
        <w:t>’</w:t>
      </w:r>
      <w:r w:rsidR="002B314F" w:rsidRPr="002E4298">
        <w:rPr>
          <w:lang w:val="fr-FR" w:bidi="fr-FR"/>
        </w:rPr>
        <w:t>études judiciaires, qui est chargé de la formation des juges et des procureurs</w:t>
      </w:r>
      <w:r w:rsidR="00DB0699" w:rsidRPr="002E4298">
        <w:rPr>
          <w:lang w:val="fr-FR" w:bidi="fr-FR"/>
        </w:rPr>
        <w:t> ;</w:t>
      </w:r>
    </w:p>
    <w:p w14:paraId="2A3B540C" w14:textId="5E228D91" w:rsidR="00DB0699" w:rsidRPr="002E4298" w:rsidRDefault="00C31EE2" w:rsidP="00C31EE2">
      <w:pPr>
        <w:pStyle w:val="SingleTxt"/>
        <w:tabs>
          <w:tab w:val="right" w:pos="1685"/>
        </w:tabs>
        <w:ind w:left="1742" w:hanging="475"/>
        <w:rPr>
          <w:lang w:val="fr-FR" w:bidi="fr-FR"/>
        </w:rPr>
      </w:pPr>
      <w:r w:rsidRPr="002E4298">
        <w:rPr>
          <w:lang w:val="fr-FR" w:bidi="fr-FR"/>
        </w:rPr>
        <w:tab/>
        <w:t>•</w:t>
      </w:r>
      <w:r w:rsidRPr="002E4298">
        <w:rPr>
          <w:lang w:val="fr-FR" w:bidi="fr-FR"/>
        </w:rPr>
        <w:tab/>
      </w:r>
      <w:r w:rsidR="002B314F" w:rsidRPr="002E4298">
        <w:rPr>
          <w:lang w:val="fr-FR" w:bidi="fr-FR"/>
        </w:rPr>
        <w:t>l</w:t>
      </w:r>
      <w:r w:rsidR="00DB0699" w:rsidRPr="002E4298">
        <w:rPr>
          <w:lang w:val="fr-FR" w:bidi="fr-FR"/>
        </w:rPr>
        <w:t>’</w:t>
      </w:r>
      <w:r w:rsidR="002B314F" w:rsidRPr="002E4298">
        <w:rPr>
          <w:lang w:val="fr-FR" w:bidi="fr-FR"/>
        </w:rPr>
        <w:t>appui à la mise en œuvre, au niveau local, de politiques de lutte contre la violence à l</w:t>
      </w:r>
      <w:r w:rsidR="00DB0699" w:rsidRPr="002E4298">
        <w:rPr>
          <w:lang w:val="fr-FR" w:bidi="fr-FR"/>
        </w:rPr>
        <w:t>’</w:t>
      </w:r>
      <w:r w:rsidR="002B314F" w:rsidRPr="002E4298">
        <w:rPr>
          <w:lang w:val="fr-FR" w:bidi="fr-FR"/>
        </w:rPr>
        <w:t>égard des femmes et la violence domestique plus attentives aux besoins locaux, par l</w:t>
      </w:r>
      <w:r w:rsidR="00DB0699" w:rsidRPr="002E4298">
        <w:rPr>
          <w:lang w:val="fr-FR" w:bidi="fr-FR"/>
        </w:rPr>
        <w:t>’</w:t>
      </w:r>
      <w:r w:rsidR="002B314F" w:rsidRPr="002E4298">
        <w:rPr>
          <w:lang w:val="fr-FR" w:bidi="fr-FR"/>
        </w:rPr>
        <w:t>établissement de protocoles entre la Commission pour la citoyenneté et l</w:t>
      </w:r>
      <w:r w:rsidR="00DB0699" w:rsidRPr="002E4298">
        <w:rPr>
          <w:lang w:val="fr-FR" w:bidi="fr-FR"/>
        </w:rPr>
        <w:t>’</w:t>
      </w:r>
      <w:r w:rsidR="002B314F" w:rsidRPr="002E4298">
        <w:rPr>
          <w:lang w:val="fr-FR" w:bidi="fr-FR"/>
        </w:rPr>
        <w:t>égalité des genres et les municipalités de l</w:t>
      </w:r>
      <w:r w:rsidR="00DB0699" w:rsidRPr="002E4298">
        <w:rPr>
          <w:lang w:val="fr-FR" w:bidi="fr-FR"/>
        </w:rPr>
        <w:t>’</w:t>
      </w:r>
      <w:r w:rsidR="002B314F" w:rsidRPr="002E4298">
        <w:rPr>
          <w:lang w:val="fr-FR" w:bidi="fr-FR"/>
        </w:rPr>
        <w:t>ensemble du pays, qui prévoient la participation systématique des organisations de la société civile et d</w:t>
      </w:r>
      <w:r w:rsidR="00DB0699" w:rsidRPr="002E4298">
        <w:rPr>
          <w:lang w:val="fr-FR" w:bidi="fr-FR"/>
        </w:rPr>
        <w:t>’</w:t>
      </w:r>
      <w:r w:rsidR="002B314F" w:rsidRPr="002E4298">
        <w:rPr>
          <w:lang w:val="fr-FR" w:bidi="fr-FR"/>
        </w:rPr>
        <w:t>autres autorités locales. Depuis</w:t>
      </w:r>
      <w:r w:rsidR="00B23B6D" w:rsidRPr="002E4298">
        <w:rPr>
          <w:lang w:val="fr-FR" w:bidi="fr-FR"/>
        </w:rPr>
        <w:t xml:space="preserve"> 20</w:t>
      </w:r>
      <w:r w:rsidR="002B314F" w:rsidRPr="002E4298">
        <w:rPr>
          <w:lang w:val="fr-FR" w:bidi="fr-FR"/>
        </w:rPr>
        <w:t xml:space="preserve">19, ces protocoles ont permis que plus </w:t>
      </w:r>
      <w:r w:rsidR="00DC43BF" w:rsidRPr="002E4298">
        <w:rPr>
          <w:lang w:val="fr-FR" w:bidi="fr-FR"/>
        </w:rPr>
        <w:t xml:space="preserve">de </w:t>
      </w:r>
      <w:r w:rsidR="002B314F" w:rsidRPr="002E4298">
        <w:rPr>
          <w:lang w:val="fr-FR" w:bidi="fr-FR"/>
        </w:rPr>
        <w:t>70</w:t>
      </w:r>
      <w:r w:rsidR="00DB0699" w:rsidRPr="002E4298">
        <w:rPr>
          <w:lang w:val="fr-FR" w:bidi="fr-FR"/>
        </w:rPr>
        <w:t> %</w:t>
      </w:r>
      <w:r w:rsidR="002B314F" w:rsidRPr="002E4298">
        <w:rPr>
          <w:lang w:val="fr-FR" w:bidi="fr-FR"/>
        </w:rPr>
        <w:t xml:space="preserve"> des municipalités portugaises se dotent de structures d</w:t>
      </w:r>
      <w:r w:rsidR="00DB0699" w:rsidRPr="002E4298">
        <w:rPr>
          <w:lang w:val="fr-FR" w:bidi="fr-FR"/>
        </w:rPr>
        <w:t>’</w:t>
      </w:r>
      <w:r w:rsidR="002B314F" w:rsidRPr="002E4298">
        <w:rPr>
          <w:lang w:val="fr-FR" w:bidi="fr-FR"/>
        </w:rPr>
        <w:t>aide aux victimes de violence domestique, qui sont incluses dans le réseau national d</w:t>
      </w:r>
      <w:r w:rsidR="00DB0699" w:rsidRPr="002E4298">
        <w:rPr>
          <w:lang w:val="fr-FR" w:bidi="fr-FR"/>
        </w:rPr>
        <w:t>’</w:t>
      </w:r>
      <w:r w:rsidR="002B314F" w:rsidRPr="002E4298">
        <w:rPr>
          <w:lang w:val="fr-FR" w:bidi="fr-FR"/>
        </w:rPr>
        <w:t>aide aux victimes</w:t>
      </w:r>
      <w:r w:rsidR="00DB0699" w:rsidRPr="002E4298">
        <w:rPr>
          <w:lang w:val="fr-FR" w:bidi="fr-FR"/>
        </w:rPr>
        <w:t> ;</w:t>
      </w:r>
    </w:p>
    <w:p w14:paraId="747F3E4A" w14:textId="4D181EAC" w:rsidR="002B314F" w:rsidRPr="002E4298" w:rsidRDefault="00C31EE2" w:rsidP="00C31EE2">
      <w:pPr>
        <w:pStyle w:val="SingleTxt"/>
        <w:tabs>
          <w:tab w:val="right" w:pos="1685"/>
        </w:tabs>
        <w:ind w:left="1742" w:hanging="475"/>
        <w:rPr>
          <w:lang w:val="fr-FR"/>
        </w:rPr>
      </w:pPr>
      <w:r w:rsidRPr="002E4298">
        <w:rPr>
          <w:lang w:val="fr-FR" w:bidi="fr-FR"/>
        </w:rPr>
        <w:tab/>
        <w:t>•</w:t>
      </w:r>
      <w:r w:rsidRPr="002E4298">
        <w:rPr>
          <w:lang w:val="fr-FR" w:bidi="fr-FR"/>
        </w:rPr>
        <w:tab/>
      </w:r>
      <w:r w:rsidR="002B314F" w:rsidRPr="002E4298">
        <w:rPr>
          <w:lang w:val="fr-FR" w:bidi="fr-FR"/>
        </w:rPr>
        <w:t>l</w:t>
      </w:r>
      <w:r w:rsidR="00DB0699" w:rsidRPr="002E4298">
        <w:rPr>
          <w:lang w:val="fr-FR" w:bidi="fr-FR"/>
        </w:rPr>
        <w:t>’</w:t>
      </w:r>
      <w:r w:rsidR="002B314F" w:rsidRPr="002E4298">
        <w:rPr>
          <w:lang w:val="fr-FR" w:bidi="fr-FR"/>
        </w:rPr>
        <w:t>ouverture de structures de soutien spécialisées qui répondent à d</w:t>
      </w:r>
      <w:r w:rsidR="00DB0699" w:rsidRPr="002E4298">
        <w:rPr>
          <w:lang w:val="fr-FR" w:bidi="fr-FR"/>
        </w:rPr>
        <w:t>’</w:t>
      </w:r>
      <w:r w:rsidR="002B314F" w:rsidRPr="002E4298">
        <w:rPr>
          <w:lang w:val="fr-FR" w:bidi="fr-FR"/>
        </w:rPr>
        <w:t>autres types de violence et aux besoins de groupes particulièrement vulnérables, tels que les personnes lesbiennes, gays, bisexuelles, transgenres et intersexes (LGBTI), les victimes de violences sexuelles et les femmes victimes qui présentent des handicaps et des troubles mentaux</w:t>
      </w:r>
      <w:r w:rsidR="00DB0699" w:rsidRPr="002E4298">
        <w:rPr>
          <w:lang w:val="fr-FR" w:bidi="fr-FR"/>
        </w:rPr>
        <w:t> ;</w:t>
      </w:r>
    </w:p>
    <w:p w14:paraId="50858FF9" w14:textId="367AF3C7" w:rsidR="002B314F" w:rsidRPr="002E4298" w:rsidRDefault="00C31EE2" w:rsidP="00C31EE2">
      <w:pPr>
        <w:pStyle w:val="SingleTxt"/>
        <w:tabs>
          <w:tab w:val="right" w:pos="1685"/>
        </w:tabs>
        <w:ind w:left="1742" w:hanging="475"/>
        <w:rPr>
          <w:lang w:val="fr-FR"/>
        </w:rPr>
      </w:pPr>
      <w:r w:rsidRPr="002E4298">
        <w:rPr>
          <w:lang w:val="fr-FR" w:bidi="fr-FR"/>
        </w:rPr>
        <w:tab/>
        <w:t>•</w:t>
      </w:r>
      <w:r w:rsidRPr="002E4298">
        <w:rPr>
          <w:lang w:val="fr-FR" w:bidi="fr-FR"/>
        </w:rPr>
        <w:tab/>
      </w:r>
      <w:r w:rsidR="002B314F" w:rsidRPr="002E4298">
        <w:rPr>
          <w:lang w:val="fr-FR" w:bidi="fr-FR"/>
        </w:rPr>
        <w:t>la révision de la définition juridique des délits de viol et de relations sexuelles sous contrainte, qui se fonde dorénavant sur l</w:t>
      </w:r>
      <w:r w:rsidR="00DB0699" w:rsidRPr="002E4298">
        <w:rPr>
          <w:lang w:val="fr-FR" w:bidi="fr-FR"/>
        </w:rPr>
        <w:t>’</w:t>
      </w:r>
      <w:r w:rsidR="002B314F" w:rsidRPr="002E4298">
        <w:rPr>
          <w:lang w:val="fr-FR" w:bidi="fr-FR"/>
        </w:rPr>
        <w:t>absence de consentement de la victime</w:t>
      </w:r>
      <w:r w:rsidR="00DB0699" w:rsidRPr="002E4298">
        <w:rPr>
          <w:lang w:val="fr-FR" w:bidi="fr-FR"/>
        </w:rPr>
        <w:t> ;</w:t>
      </w:r>
    </w:p>
    <w:p w14:paraId="2EF11D4C" w14:textId="0D03BB30" w:rsidR="002B314F" w:rsidRPr="002E4298" w:rsidRDefault="00C31EE2" w:rsidP="00C31EE2">
      <w:pPr>
        <w:pStyle w:val="SingleTxt"/>
        <w:tabs>
          <w:tab w:val="right" w:pos="1685"/>
        </w:tabs>
        <w:ind w:left="1742" w:hanging="475"/>
        <w:rPr>
          <w:lang w:val="fr-FR"/>
        </w:rPr>
      </w:pPr>
      <w:r w:rsidRPr="002E4298">
        <w:rPr>
          <w:lang w:val="fr-FR" w:bidi="fr-FR"/>
        </w:rPr>
        <w:tab/>
        <w:t>•</w:t>
      </w:r>
      <w:r w:rsidRPr="002E4298">
        <w:rPr>
          <w:lang w:val="fr-FR" w:bidi="fr-FR"/>
        </w:rPr>
        <w:tab/>
      </w:r>
      <w:r w:rsidR="002B314F" w:rsidRPr="002E4298">
        <w:rPr>
          <w:lang w:val="fr-FR" w:bidi="fr-FR"/>
        </w:rPr>
        <w:t>la mise en place de groupes de travail chargés de mettre au point des instruments opérationnels visant à améliorer les données relatives à la violence à l</w:t>
      </w:r>
      <w:r w:rsidR="00DB0699" w:rsidRPr="002E4298">
        <w:rPr>
          <w:lang w:val="fr-FR" w:bidi="fr-FR"/>
        </w:rPr>
        <w:t>’</w:t>
      </w:r>
      <w:r w:rsidR="002B314F" w:rsidRPr="002E4298">
        <w:rPr>
          <w:lang w:val="fr-FR" w:bidi="fr-FR"/>
        </w:rPr>
        <w:t>égard des femmes et la violence domestique, à renforcer les mécanismes de protection des victimes pour qu</w:t>
      </w:r>
      <w:r w:rsidR="00DB0699" w:rsidRPr="002E4298">
        <w:rPr>
          <w:lang w:val="fr-FR" w:bidi="fr-FR"/>
        </w:rPr>
        <w:t>’</w:t>
      </w:r>
      <w:r w:rsidR="002B314F" w:rsidRPr="002E4298">
        <w:rPr>
          <w:lang w:val="fr-FR" w:bidi="fr-FR"/>
        </w:rPr>
        <w:t>ils interviennent dans les 72 heures suivant le dépôt d</w:t>
      </w:r>
      <w:r w:rsidR="00DB0699" w:rsidRPr="002E4298">
        <w:rPr>
          <w:lang w:val="fr-FR" w:bidi="fr-FR"/>
        </w:rPr>
        <w:t>’</w:t>
      </w:r>
      <w:r w:rsidR="002B314F" w:rsidRPr="002E4298">
        <w:rPr>
          <w:lang w:val="fr-FR" w:bidi="fr-FR"/>
        </w:rPr>
        <w:t xml:space="preserve">une plainte pour violence domestique, à diversifier les modèles de formation, et à améliorer la prévention primaire et secondaire conformément à la résolution nº 139/2019 adoptée par le Conseil des ministres </w:t>
      </w:r>
      <w:r w:rsidR="00DC43BF" w:rsidRPr="002E4298">
        <w:rPr>
          <w:lang w:val="fr-FR" w:bidi="fr-FR"/>
        </w:rPr>
        <w:t xml:space="preserve">le </w:t>
      </w:r>
      <w:r w:rsidR="002B314F" w:rsidRPr="002E4298">
        <w:rPr>
          <w:lang w:val="fr-FR" w:bidi="fr-FR"/>
        </w:rPr>
        <w:t>19 août</w:t>
      </w:r>
      <w:r w:rsidR="00B23B6D" w:rsidRPr="002E4298">
        <w:rPr>
          <w:lang w:val="fr-FR" w:bidi="fr-FR"/>
        </w:rPr>
        <w:t xml:space="preserve"> 20</w:t>
      </w:r>
      <w:r w:rsidR="002B314F" w:rsidRPr="002E4298">
        <w:rPr>
          <w:lang w:val="fr-FR" w:bidi="fr-FR"/>
        </w:rPr>
        <w:t>19.</w:t>
      </w:r>
    </w:p>
    <w:p w14:paraId="3C7E8564" w14:textId="41FAD5AE" w:rsidR="00DB0699" w:rsidRPr="002E4298" w:rsidRDefault="002B314F" w:rsidP="00A11C35">
      <w:pPr>
        <w:pStyle w:val="SingleTxt"/>
        <w:numPr>
          <w:ilvl w:val="0"/>
          <w:numId w:val="5"/>
        </w:numPr>
        <w:spacing w:line="240" w:lineRule="exact"/>
        <w:ind w:left="1267"/>
        <w:rPr>
          <w:lang w:val="fr-FR" w:bidi="fr-FR"/>
        </w:rPr>
      </w:pPr>
      <w:r w:rsidRPr="002E4298">
        <w:rPr>
          <w:lang w:val="fr-FR" w:bidi="fr-FR"/>
        </w:rPr>
        <w:t>Concernant la protection des droits des lesbiennes, bisexuelles, femmes transgenres, et intersexes, notamment des lesbiennes, bisexuelles et femmes transgenres, il convient de mettre en avant</w:t>
      </w:r>
      <w:r w:rsidR="00DB0699" w:rsidRPr="002E4298">
        <w:rPr>
          <w:lang w:val="fr-FR" w:bidi="fr-FR"/>
        </w:rPr>
        <w:t> :</w:t>
      </w:r>
    </w:p>
    <w:p w14:paraId="0B79A98D" w14:textId="033B0276" w:rsidR="002B314F" w:rsidRPr="002E4298" w:rsidRDefault="00C31EE2" w:rsidP="00C31EE2">
      <w:pPr>
        <w:pStyle w:val="SingleTxt"/>
        <w:tabs>
          <w:tab w:val="right" w:pos="1685"/>
        </w:tabs>
        <w:ind w:left="1742" w:hanging="475"/>
        <w:rPr>
          <w:lang w:val="fr-FR"/>
        </w:rPr>
      </w:pPr>
      <w:r w:rsidRPr="002E4298">
        <w:rPr>
          <w:lang w:val="fr-FR" w:bidi="fr-FR"/>
        </w:rPr>
        <w:lastRenderedPageBreak/>
        <w:tab/>
        <w:t>•</w:t>
      </w:r>
      <w:r w:rsidRPr="002E4298">
        <w:rPr>
          <w:lang w:val="fr-FR" w:bidi="fr-FR"/>
        </w:rPr>
        <w:tab/>
      </w:r>
      <w:r w:rsidR="002B314F" w:rsidRPr="002E4298">
        <w:rPr>
          <w:lang w:val="fr-FR" w:bidi="fr-FR"/>
        </w:rPr>
        <w:t>l</w:t>
      </w:r>
      <w:r w:rsidR="00DB0699" w:rsidRPr="002E4298">
        <w:rPr>
          <w:lang w:val="fr-FR" w:bidi="fr-FR"/>
        </w:rPr>
        <w:t>’</w:t>
      </w:r>
      <w:r w:rsidR="002B314F" w:rsidRPr="002E4298">
        <w:rPr>
          <w:lang w:val="fr-FR" w:bidi="fr-FR"/>
        </w:rPr>
        <w:t>élimination des obstacles juridiques à l</w:t>
      </w:r>
      <w:r w:rsidR="00DB0699" w:rsidRPr="002E4298">
        <w:rPr>
          <w:lang w:val="fr-FR" w:bidi="fr-FR"/>
        </w:rPr>
        <w:t>’</w:t>
      </w:r>
      <w:r w:rsidR="002B314F" w:rsidRPr="002E4298">
        <w:rPr>
          <w:lang w:val="fr-FR" w:bidi="fr-FR"/>
        </w:rPr>
        <w:t xml:space="preserve">adoption, au parrainage civil et à toute autre forme de relation familiale légale par des couples de même sexe (loi nº 2/2016 </w:t>
      </w:r>
      <w:r w:rsidR="003E7581" w:rsidRPr="002E4298">
        <w:rPr>
          <w:lang w:val="fr-FR" w:bidi="fr-FR"/>
        </w:rPr>
        <w:t xml:space="preserve">du </w:t>
      </w:r>
      <w:r w:rsidR="002B314F" w:rsidRPr="002E4298">
        <w:rPr>
          <w:lang w:val="fr-FR" w:bidi="fr-FR"/>
        </w:rPr>
        <w:t>29 février</w:t>
      </w:r>
      <w:r w:rsidR="00B23B6D" w:rsidRPr="002E4298">
        <w:rPr>
          <w:lang w:val="fr-FR" w:bidi="fr-FR"/>
        </w:rPr>
        <w:t xml:space="preserve"> 20</w:t>
      </w:r>
      <w:r w:rsidR="002B314F" w:rsidRPr="002E4298">
        <w:rPr>
          <w:lang w:val="fr-FR" w:bidi="fr-FR"/>
        </w:rPr>
        <w:t>16)</w:t>
      </w:r>
      <w:r w:rsidR="00DB0699" w:rsidRPr="002E4298">
        <w:rPr>
          <w:lang w:val="fr-FR" w:bidi="fr-FR"/>
        </w:rPr>
        <w:t> ;</w:t>
      </w:r>
    </w:p>
    <w:p w14:paraId="556A2E29" w14:textId="17F7EAE8" w:rsidR="002B314F" w:rsidRPr="002E4298" w:rsidRDefault="00C31EE2" w:rsidP="00C31EE2">
      <w:pPr>
        <w:pStyle w:val="SingleTxt"/>
        <w:tabs>
          <w:tab w:val="right" w:pos="1685"/>
        </w:tabs>
        <w:ind w:left="1742" w:hanging="475"/>
        <w:rPr>
          <w:lang w:val="fr-FR"/>
        </w:rPr>
      </w:pPr>
      <w:r w:rsidRPr="002E4298">
        <w:rPr>
          <w:lang w:val="fr-FR" w:bidi="fr-FR"/>
        </w:rPr>
        <w:tab/>
        <w:t>•</w:t>
      </w:r>
      <w:r w:rsidRPr="002E4298">
        <w:rPr>
          <w:lang w:val="fr-FR" w:bidi="fr-FR"/>
        </w:rPr>
        <w:tab/>
      </w:r>
      <w:r w:rsidR="002B314F" w:rsidRPr="002E4298">
        <w:rPr>
          <w:lang w:val="fr-FR" w:bidi="fr-FR"/>
        </w:rPr>
        <w:t>l</w:t>
      </w:r>
      <w:r w:rsidR="00DB0699" w:rsidRPr="002E4298">
        <w:rPr>
          <w:lang w:val="fr-FR" w:bidi="fr-FR"/>
        </w:rPr>
        <w:t>’</w:t>
      </w:r>
      <w:r w:rsidR="002B314F" w:rsidRPr="002E4298">
        <w:rPr>
          <w:lang w:val="fr-FR" w:bidi="fr-FR"/>
        </w:rPr>
        <w:t>élargissement de l</w:t>
      </w:r>
      <w:r w:rsidR="00DB0699" w:rsidRPr="002E4298">
        <w:rPr>
          <w:lang w:val="fr-FR" w:bidi="fr-FR"/>
        </w:rPr>
        <w:t>’</w:t>
      </w:r>
      <w:r w:rsidR="002B314F" w:rsidRPr="002E4298">
        <w:rPr>
          <w:lang w:val="fr-FR" w:bidi="fr-FR"/>
        </w:rPr>
        <w:t>accès à la procréation médicalement assistée à toutes les femmes, indépendamment du diagnostic de stérilité, de l</w:t>
      </w:r>
      <w:r w:rsidR="00DB0699" w:rsidRPr="002E4298">
        <w:rPr>
          <w:lang w:val="fr-FR" w:bidi="fr-FR"/>
        </w:rPr>
        <w:t>’</w:t>
      </w:r>
      <w:r w:rsidR="002B314F" w:rsidRPr="002E4298">
        <w:rPr>
          <w:lang w:val="fr-FR" w:bidi="fr-FR"/>
        </w:rPr>
        <w:t>état civil ou de l</w:t>
      </w:r>
      <w:r w:rsidR="00DB0699" w:rsidRPr="002E4298">
        <w:rPr>
          <w:lang w:val="fr-FR" w:bidi="fr-FR"/>
        </w:rPr>
        <w:t>’</w:t>
      </w:r>
      <w:r w:rsidR="002B314F" w:rsidRPr="002E4298">
        <w:rPr>
          <w:lang w:val="fr-FR" w:bidi="fr-FR"/>
        </w:rPr>
        <w:t>orientation sexuelle, y compris aux couples de femmes (loi nº 17/2016 du 20 juin</w:t>
      </w:r>
      <w:r w:rsidR="00B23B6D" w:rsidRPr="002E4298">
        <w:rPr>
          <w:lang w:val="fr-FR" w:bidi="fr-FR"/>
        </w:rPr>
        <w:t xml:space="preserve"> 20</w:t>
      </w:r>
      <w:r w:rsidR="002B314F" w:rsidRPr="002E4298">
        <w:rPr>
          <w:lang w:val="fr-FR" w:bidi="fr-FR"/>
        </w:rPr>
        <w:t>16)</w:t>
      </w:r>
      <w:r w:rsidR="00DB0699" w:rsidRPr="002E4298">
        <w:rPr>
          <w:lang w:val="fr-FR" w:bidi="fr-FR"/>
        </w:rPr>
        <w:t> ;</w:t>
      </w:r>
    </w:p>
    <w:p w14:paraId="6579AD9D" w14:textId="7B8C4F53" w:rsidR="002B314F" w:rsidRPr="002E4298" w:rsidRDefault="00C31EE2" w:rsidP="00C31EE2">
      <w:pPr>
        <w:pStyle w:val="SingleTxt"/>
        <w:tabs>
          <w:tab w:val="right" w:pos="1685"/>
        </w:tabs>
        <w:ind w:left="1742" w:hanging="475"/>
        <w:rPr>
          <w:lang w:val="fr-FR"/>
        </w:rPr>
      </w:pPr>
      <w:r w:rsidRPr="002E4298">
        <w:rPr>
          <w:lang w:val="fr-FR" w:bidi="fr-FR"/>
        </w:rPr>
        <w:tab/>
        <w:t>•</w:t>
      </w:r>
      <w:r w:rsidRPr="002E4298">
        <w:rPr>
          <w:lang w:val="fr-FR" w:bidi="fr-FR"/>
        </w:rPr>
        <w:tab/>
      </w:r>
      <w:r w:rsidR="002B314F" w:rsidRPr="002E4298">
        <w:rPr>
          <w:lang w:val="fr-FR" w:bidi="fr-FR"/>
        </w:rPr>
        <w:t>l</w:t>
      </w:r>
      <w:r w:rsidR="00DB0699" w:rsidRPr="002E4298">
        <w:rPr>
          <w:lang w:val="fr-FR" w:bidi="fr-FR"/>
        </w:rPr>
        <w:t>’</w:t>
      </w:r>
      <w:r w:rsidR="002B314F" w:rsidRPr="002E4298">
        <w:rPr>
          <w:lang w:val="fr-FR" w:bidi="fr-FR"/>
        </w:rPr>
        <w:t>adoption d</w:t>
      </w:r>
      <w:r w:rsidR="00DB0699" w:rsidRPr="002E4298">
        <w:rPr>
          <w:lang w:val="fr-FR" w:bidi="fr-FR"/>
        </w:rPr>
        <w:t>’</w:t>
      </w:r>
      <w:r w:rsidR="002B314F" w:rsidRPr="002E4298">
        <w:rPr>
          <w:lang w:val="fr-FR" w:bidi="fr-FR"/>
        </w:rPr>
        <w:t>un cadre juridique établissant les droits à la libre détermination de l</w:t>
      </w:r>
      <w:r w:rsidR="00DB0699" w:rsidRPr="002E4298">
        <w:rPr>
          <w:lang w:val="fr-FR" w:bidi="fr-FR"/>
        </w:rPr>
        <w:t>’</w:t>
      </w:r>
      <w:r w:rsidR="002B314F" w:rsidRPr="002E4298">
        <w:rPr>
          <w:lang w:val="fr-FR" w:bidi="fr-FR"/>
        </w:rPr>
        <w:t>identité de genre et de l</w:t>
      </w:r>
      <w:r w:rsidR="00DB0699" w:rsidRPr="002E4298">
        <w:rPr>
          <w:lang w:val="fr-FR" w:bidi="fr-FR"/>
        </w:rPr>
        <w:t>’</w:t>
      </w:r>
      <w:r w:rsidR="002B314F" w:rsidRPr="002E4298">
        <w:rPr>
          <w:lang w:val="fr-FR" w:bidi="fr-FR"/>
        </w:rPr>
        <w:t>expression du genre ainsi qu</w:t>
      </w:r>
      <w:r w:rsidR="00DB0699" w:rsidRPr="002E4298">
        <w:rPr>
          <w:lang w:val="fr-FR" w:bidi="fr-FR"/>
        </w:rPr>
        <w:t>’</w:t>
      </w:r>
      <w:r w:rsidR="002B314F" w:rsidRPr="002E4298">
        <w:rPr>
          <w:lang w:val="fr-FR" w:bidi="fr-FR"/>
        </w:rPr>
        <w:t>à la protection des caractéristiques sexuelles, qui prévoit des garanties et des mesures dans divers domaines tels que les documents juridiques, les soins de santé et l</w:t>
      </w:r>
      <w:r w:rsidR="00DB0699" w:rsidRPr="002E4298">
        <w:rPr>
          <w:lang w:val="fr-FR" w:bidi="fr-FR"/>
        </w:rPr>
        <w:t>’</w:t>
      </w:r>
      <w:r w:rsidR="002B314F" w:rsidRPr="002E4298">
        <w:rPr>
          <w:lang w:val="fr-FR" w:bidi="fr-FR"/>
        </w:rPr>
        <w:t xml:space="preserve">éducation, et qui interdit de pratiquer des interventions chirurgicales sur les enfants intersexes (loi nº 38/2018 </w:t>
      </w:r>
      <w:r w:rsidR="003E7581" w:rsidRPr="002E4298">
        <w:rPr>
          <w:lang w:val="fr-FR" w:bidi="fr-FR"/>
        </w:rPr>
        <w:t xml:space="preserve">du </w:t>
      </w:r>
      <w:r w:rsidR="002B314F" w:rsidRPr="002E4298">
        <w:rPr>
          <w:lang w:val="fr-FR" w:bidi="fr-FR"/>
        </w:rPr>
        <w:t>7 août</w:t>
      </w:r>
      <w:r w:rsidR="00B23B6D" w:rsidRPr="002E4298">
        <w:rPr>
          <w:lang w:val="fr-FR" w:bidi="fr-FR"/>
        </w:rPr>
        <w:t xml:space="preserve"> 20</w:t>
      </w:r>
      <w:r w:rsidR="002B314F" w:rsidRPr="002E4298">
        <w:rPr>
          <w:lang w:val="fr-FR" w:bidi="fr-FR"/>
        </w:rPr>
        <w:t>18)</w:t>
      </w:r>
      <w:r w:rsidR="00DB0699" w:rsidRPr="002E4298">
        <w:rPr>
          <w:lang w:val="fr-FR" w:bidi="fr-FR"/>
        </w:rPr>
        <w:t> ;</w:t>
      </w:r>
    </w:p>
    <w:p w14:paraId="08064E42" w14:textId="16CE21C0" w:rsidR="002B314F" w:rsidRPr="002E4298" w:rsidRDefault="00C31EE2" w:rsidP="00C31EE2">
      <w:pPr>
        <w:pStyle w:val="SingleTxt"/>
        <w:tabs>
          <w:tab w:val="right" w:pos="1685"/>
        </w:tabs>
        <w:ind w:left="1742" w:hanging="475"/>
        <w:rPr>
          <w:lang w:val="fr-FR"/>
        </w:rPr>
      </w:pPr>
      <w:r w:rsidRPr="002E4298">
        <w:rPr>
          <w:lang w:val="fr-FR" w:bidi="fr-FR"/>
        </w:rPr>
        <w:tab/>
        <w:t>•</w:t>
      </w:r>
      <w:r w:rsidRPr="002E4298">
        <w:rPr>
          <w:lang w:val="fr-FR" w:bidi="fr-FR"/>
        </w:rPr>
        <w:tab/>
      </w:r>
      <w:r w:rsidR="002B314F" w:rsidRPr="002E4298">
        <w:rPr>
          <w:lang w:val="fr-FR" w:bidi="fr-FR"/>
        </w:rPr>
        <w:t>l</w:t>
      </w:r>
      <w:r w:rsidR="00DB0699" w:rsidRPr="002E4298">
        <w:rPr>
          <w:lang w:val="fr-FR" w:bidi="fr-FR"/>
        </w:rPr>
        <w:t>’</w:t>
      </w:r>
      <w:r w:rsidR="002B314F" w:rsidRPr="002E4298">
        <w:rPr>
          <w:lang w:val="fr-FR" w:bidi="fr-FR"/>
        </w:rPr>
        <w:t>adoption du premier plan d</w:t>
      </w:r>
      <w:r w:rsidR="00DB0699" w:rsidRPr="002E4298">
        <w:rPr>
          <w:lang w:val="fr-FR" w:bidi="fr-FR"/>
        </w:rPr>
        <w:t>’</w:t>
      </w:r>
      <w:r w:rsidR="002B314F" w:rsidRPr="002E4298">
        <w:rPr>
          <w:lang w:val="fr-FR" w:bidi="fr-FR"/>
        </w:rPr>
        <w:t>action spécifique et autonome de lutte contre la discrimination fondée sur l</w:t>
      </w:r>
      <w:r w:rsidR="00DB0699" w:rsidRPr="002E4298">
        <w:rPr>
          <w:lang w:val="fr-FR" w:bidi="fr-FR"/>
        </w:rPr>
        <w:t>’</w:t>
      </w:r>
      <w:r w:rsidR="002B314F" w:rsidRPr="002E4298">
        <w:rPr>
          <w:lang w:val="fr-FR" w:bidi="fr-FR"/>
        </w:rPr>
        <w:t>orientation sexuelle, l</w:t>
      </w:r>
      <w:r w:rsidR="00DB0699" w:rsidRPr="002E4298">
        <w:rPr>
          <w:lang w:val="fr-FR" w:bidi="fr-FR"/>
        </w:rPr>
        <w:t>’</w:t>
      </w:r>
      <w:r w:rsidR="002B314F" w:rsidRPr="002E4298">
        <w:rPr>
          <w:lang w:val="fr-FR" w:bidi="fr-FR"/>
        </w:rPr>
        <w:t>identité de genre, l</w:t>
      </w:r>
      <w:r w:rsidR="00DB0699" w:rsidRPr="002E4298">
        <w:rPr>
          <w:lang w:val="fr-FR" w:bidi="fr-FR"/>
        </w:rPr>
        <w:t>’</w:t>
      </w:r>
      <w:r w:rsidR="002B314F" w:rsidRPr="002E4298">
        <w:rPr>
          <w:lang w:val="fr-FR" w:bidi="fr-FR"/>
        </w:rPr>
        <w:t>expression du genre et les caractéristiques sexuelles, dans le cadre de la Stratégie nationale en faveur de l</w:t>
      </w:r>
      <w:r w:rsidR="00DB0699" w:rsidRPr="002E4298">
        <w:rPr>
          <w:lang w:val="fr-FR" w:bidi="fr-FR"/>
        </w:rPr>
        <w:t>’</w:t>
      </w:r>
      <w:r w:rsidR="002B314F" w:rsidRPr="002E4298">
        <w:rPr>
          <w:lang w:val="fr-FR" w:bidi="fr-FR"/>
        </w:rPr>
        <w:t>égalité et de la non-discrimination</w:t>
      </w:r>
      <w:r w:rsidR="00DB0699" w:rsidRPr="002E4298">
        <w:rPr>
          <w:lang w:val="fr-FR" w:bidi="fr-FR"/>
        </w:rPr>
        <w:t> ;</w:t>
      </w:r>
    </w:p>
    <w:p w14:paraId="74F4F4DE" w14:textId="79207F32" w:rsidR="002B314F" w:rsidRPr="002E4298" w:rsidRDefault="00C31EE2" w:rsidP="00C31EE2">
      <w:pPr>
        <w:pStyle w:val="SingleTxt"/>
        <w:tabs>
          <w:tab w:val="right" w:pos="1685"/>
        </w:tabs>
        <w:ind w:left="1742" w:hanging="475"/>
        <w:rPr>
          <w:lang w:val="fr-FR"/>
        </w:rPr>
      </w:pPr>
      <w:r w:rsidRPr="002E4298">
        <w:rPr>
          <w:lang w:val="fr-FR" w:bidi="fr-FR"/>
        </w:rPr>
        <w:tab/>
        <w:t>•</w:t>
      </w:r>
      <w:r w:rsidRPr="002E4298">
        <w:rPr>
          <w:lang w:val="fr-FR" w:bidi="fr-FR"/>
        </w:rPr>
        <w:tab/>
      </w:r>
      <w:r w:rsidR="002B314F" w:rsidRPr="002E4298">
        <w:rPr>
          <w:lang w:val="fr-FR" w:bidi="fr-FR"/>
        </w:rPr>
        <w:t>l</w:t>
      </w:r>
      <w:r w:rsidR="00DB0699" w:rsidRPr="002E4298">
        <w:rPr>
          <w:lang w:val="fr-FR" w:bidi="fr-FR"/>
        </w:rPr>
        <w:t>’</w:t>
      </w:r>
      <w:r w:rsidR="002B314F" w:rsidRPr="002E4298">
        <w:rPr>
          <w:lang w:val="fr-FR" w:bidi="fr-FR"/>
        </w:rPr>
        <w:t>adoption de l</w:t>
      </w:r>
      <w:r w:rsidR="00DB0699" w:rsidRPr="002E4298">
        <w:rPr>
          <w:lang w:val="fr-FR" w:bidi="fr-FR"/>
        </w:rPr>
        <w:t>’</w:t>
      </w:r>
      <w:r w:rsidR="002B314F" w:rsidRPr="002E4298">
        <w:rPr>
          <w:lang w:val="fr-FR" w:bidi="fr-FR"/>
        </w:rPr>
        <w:t xml:space="preserve">ordonnance nº 7247/2019 </w:t>
      </w:r>
      <w:r w:rsidR="003E7581" w:rsidRPr="002E4298">
        <w:rPr>
          <w:lang w:val="fr-FR" w:bidi="fr-FR"/>
        </w:rPr>
        <w:t xml:space="preserve">du </w:t>
      </w:r>
      <w:r w:rsidR="002B314F" w:rsidRPr="002E4298">
        <w:rPr>
          <w:lang w:val="fr-FR" w:bidi="fr-FR"/>
        </w:rPr>
        <w:t>16 août</w:t>
      </w:r>
      <w:r w:rsidR="00B23B6D" w:rsidRPr="002E4298">
        <w:rPr>
          <w:lang w:val="fr-FR" w:bidi="fr-FR"/>
        </w:rPr>
        <w:t xml:space="preserve"> 20</w:t>
      </w:r>
      <w:r w:rsidR="002B314F" w:rsidRPr="002E4298">
        <w:rPr>
          <w:lang w:val="fr-FR" w:bidi="fr-FR"/>
        </w:rPr>
        <w:t>19, qui définit les mesures administratives d</w:t>
      </w:r>
      <w:r w:rsidR="00DB0699" w:rsidRPr="002E4298">
        <w:rPr>
          <w:lang w:val="fr-FR" w:bidi="fr-FR"/>
        </w:rPr>
        <w:t>’</w:t>
      </w:r>
      <w:r w:rsidR="002B314F" w:rsidRPr="002E4298">
        <w:rPr>
          <w:lang w:val="fr-FR" w:bidi="fr-FR"/>
        </w:rPr>
        <w:t xml:space="preserve">application de </w:t>
      </w:r>
      <w:r w:rsidR="00DC43BF" w:rsidRPr="002E4298">
        <w:rPr>
          <w:lang w:val="fr-FR" w:bidi="fr-FR"/>
        </w:rPr>
        <w:t xml:space="preserve">la </w:t>
      </w:r>
      <w:r w:rsidR="002B314F" w:rsidRPr="002E4298">
        <w:rPr>
          <w:lang w:val="fr-FR" w:bidi="fr-FR"/>
        </w:rPr>
        <w:t xml:space="preserve">loi nº 38/2018 </w:t>
      </w:r>
      <w:r w:rsidR="003E7581" w:rsidRPr="002E4298">
        <w:rPr>
          <w:lang w:val="fr-FR" w:bidi="fr-FR"/>
        </w:rPr>
        <w:t xml:space="preserve">du </w:t>
      </w:r>
      <w:r w:rsidR="002B314F" w:rsidRPr="002E4298">
        <w:rPr>
          <w:lang w:val="fr-FR" w:bidi="fr-FR"/>
        </w:rPr>
        <w:t>7 août</w:t>
      </w:r>
      <w:r w:rsidR="00B23B6D" w:rsidRPr="002E4298">
        <w:rPr>
          <w:lang w:val="fr-FR" w:bidi="fr-FR"/>
        </w:rPr>
        <w:t xml:space="preserve"> 20</w:t>
      </w:r>
      <w:r w:rsidR="002B314F" w:rsidRPr="002E4298">
        <w:rPr>
          <w:lang w:val="fr-FR" w:bidi="fr-FR"/>
        </w:rPr>
        <w:t>18 à l</w:t>
      </w:r>
      <w:r w:rsidR="00DB0699" w:rsidRPr="002E4298">
        <w:rPr>
          <w:lang w:val="fr-FR" w:bidi="fr-FR"/>
        </w:rPr>
        <w:t>’</w:t>
      </w:r>
      <w:r w:rsidR="002B314F" w:rsidRPr="002E4298">
        <w:rPr>
          <w:lang w:val="fr-FR" w:bidi="fr-FR"/>
        </w:rPr>
        <w:t>intention des écoles</w:t>
      </w:r>
      <w:r w:rsidR="00DB0699" w:rsidRPr="002E4298">
        <w:rPr>
          <w:lang w:val="fr-FR" w:bidi="fr-FR"/>
        </w:rPr>
        <w:t> ;</w:t>
      </w:r>
    </w:p>
    <w:p w14:paraId="7462E002" w14:textId="1B880058" w:rsidR="002B314F" w:rsidRPr="002E4298" w:rsidRDefault="00C31EE2" w:rsidP="00C31EE2">
      <w:pPr>
        <w:pStyle w:val="SingleTxt"/>
        <w:tabs>
          <w:tab w:val="right" w:pos="1685"/>
        </w:tabs>
        <w:ind w:left="1742" w:hanging="475"/>
        <w:rPr>
          <w:lang w:val="fr-FR"/>
        </w:rPr>
      </w:pPr>
      <w:r w:rsidRPr="002E4298">
        <w:rPr>
          <w:lang w:val="fr-FR" w:bidi="fr-FR"/>
        </w:rPr>
        <w:tab/>
        <w:t>•</w:t>
      </w:r>
      <w:r w:rsidRPr="002E4298">
        <w:rPr>
          <w:lang w:val="fr-FR" w:bidi="fr-FR"/>
        </w:rPr>
        <w:tab/>
      </w:r>
      <w:r w:rsidR="002B314F" w:rsidRPr="002E4298">
        <w:rPr>
          <w:lang w:val="fr-FR" w:bidi="fr-FR"/>
        </w:rPr>
        <w:t>le lancement, en</w:t>
      </w:r>
      <w:r w:rsidR="00B23B6D" w:rsidRPr="002E4298">
        <w:rPr>
          <w:lang w:val="fr-FR" w:bidi="fr-FR"/>
        </w:rPr>
        <w:t xml:space="preserve"> 20</w:t>
      </w:r>
      <w:r w:rsidR="002B314F" w:rsidRPr="002E4298">
        <w:rPr>
          <w:lang w:val="fr-FR" w:bidi="fr-FR"/>
        </w:rPr>
        <w:t>19, de la première stratégie pour la santé des personnes LGBTI (premier volet consacré aux personnes transgenres et intersexes).</w:t>
      </w:r>
    </w:p>
    <w:p w14:paraId="0E4D938F" w14:textId="77777777" w:rsidR="00C31EE2" w:rsidRPr="002E4298" w:rsidRDefault="00C31EE2" w:rsidP="00C31EE2">
      <w:pPr>
        <w:pStyle w:val="SingleTxt"/>
        <w:spacing w:after="0" w:line="120" w:lineRule="exact"/>
        <w:rPr>
          <w:sz w:val="10"/>
          <w:lang w:val="fr-FR" w:bidi="fr-FR"/>
        </w:rPr>
      </w:pPr>
    </w:p>
    <w:p w14:paraId="356B28AD" w14:textId="77777777" w:rsidR="00C31EE2" w:rsidRPr="002E4298" w:rsidRDefault="00C31EE2" w:rsidP="00C31EE2">
      <w:pPr>
        <w:pStyle w:val="SingleTxt"/>
        <w:spacing w:after="0" w:line="120" w:lineRule="exact"/>
        <w:rPr>
          <w:sz w:val="10"/>
          <w:lang w:val="fr-FR" w:bidi="fr-FR"/>
        </w:rPr>
      </w:pPr>
    </w:p>
    <w:p w14:paraId="10389435" w14:textId="61C3917D" w:rsidR="002B314F" w:rsidRPr="002E4298" w:rsidRDefault="002B314F" w:rsidP="00C31EE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E4298">
        <w:rPr>
          <w:lang w:val="fr-FR" w:bidi="fr-FR"/>
        </w:rPr>
        <w:tab/>
        <w:t>B.</w:t>
      </w:r>
      <w:r w:rsidRPr="002E4298">
        <w:rPr>
          <w:lang w:val="fr-FR" w:bidi="fr-FR"/>
        </w:rPr>
        <w:tab/>
        <w:t>Principaux sujets de préoccupation et recommandations (paragraphes des observations finales</w:t>
      </w:r>
      <w:r w:rsidR="009A5D53" w:rsidRPr="002E4298">
        <w:rPr>
          <w:lang w:val="fr-FR" w:bidi="fr-FR"/>
        </w:rPr>
        <w:t xml:space="preserve"> </w:t>
      </w:r>
      <w:hyperlink r:id="rId16" w:history="1">
        <w:r w:rsidR="009A5D53" w:rsidRPr="002E4298">
          <w:rPr>
            <w:rStyle w:val="Hyperlink"/>
            <w:lang w:val="fr-FR" w:bidi="fr-FR"/>
          </w:rPr>
          <w:t>CEDAW/C/PRT/10</w:t>
        </w:r>
      </w:hyperlink>
      <w:r w:rsidRPr="002E4298">
        <w:rPr>
          <w:lang w:val="fr-FR" w:bidi="fr-FR"/>
        </w:rPr>
        <w:t>)</w:t>
      </w:r>
    </w:p>
    <w:p w14:paraId="21543203" w14:textId="77777777" w:rsidR="00C31EE2" w:rsidRPr="002E4298" w:rsidRDefault="00C31EE2" w:rsidP="00C31EE2">
      <w:pPr>
        <w:pStyle w:val="SingleTxt"/>
        <w:spacing w:after="0" w:line="120" w:lineRule="exact"/>
        <w:rPr>
          <w:sz w:val="10"/>
          <w:lang w:val="fr-FR" w:bidi="fr-FR"/>
        </w:rPr>
      </w:pPr>
    </w:p>
    <w:p w14:paraId="099D4249" w14:textId="77777777" w:rsidR="00C31EE2" w:rsidRPr="002E4298" w:rsidRDefault="00C31EE2" w:rsidP="00C31EE2">
      <w:pPr>
        <w:pStyle w:val="SingleTxt"/>
        <w:spacing w:after="0" w:line="120" w:lineRule="exact"/>
        <w:rPr>
          <w:sz w:val="10"/>
          <w:lang w:val="fr-FR" w:bidi="fr-FR"/>
        </w:rPr>
      </w:pPr>
    </w:p>
    <w:p w14:paraId="659A62E2" w14:textId="054DEA81" w:rsidR="002B314F" w:rsidRPr="002E4298" w:rsidRDefault="002B314F" w:rsidP="00C31E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2E4298">
        <w:rPr>
          <w:lang w:val="fr-FR" w:bidi="fr-FR"/>
        </w:rPr>
        <w:tab/>
        <w:t>1.</w:t>
      </w:r>
      <w:r w:rsidRPr="002E4298">
        <w:rPr>
          <w:lang w:val="fr-FR" w:bidi="fr-FR"/>
        </w:rPr>
        <w:tab/>
        <w:t>Parlement (paragraphe 7)</w:t>
      </w:r>
    </w:p>
    <w:p w14:paraId="4BA0D539" w14:textId="7420B7AE" w:rsidR="00C31EE2" w:rsidRPr="002E4298" w:rsidRDefault="00C31EE2" w:rsidP="00C31EE2">
      <w:pPr>
        <w:pStyle w:val="SingleTxt"/>
        <w:spacing w:after="0" w:line="120" w:lineRule="exact"/>
        <w:rPr>
          <w:sz w:val="10"/>
          <w:lang w:val="fr-FR" w:bidi="fr-FR"/>
        </w:rPr>
      </w:pPr>
    </w:p>
    <w:p w14:paraId="382AF1EA" w14:textId="23F97E1A" w:rsidR="00DB0699" w:rsidRPr="002E4298" w:rsidRDefault="002B314F" w:rsidP="00A11C35">
      <w:pPr>
        <w:pStyle w:val="SingleTxt"/>
        <w:numPr>
          <w:ilvl w:val="0"/>
          <w:numId w:val="5"/>
        </w:numPr>
        <w:spacing w:line="240" w:lineRule="exact"/>
        <w:ind w:left="1267"/>
        <w:rPr>
          <w:lang w:val="fr-FR" w:bidi="fr-FR"/>
        </w:rPr>
      </w:pPr>
      <w:r w:rsidRPr="002E4298">
        <w:rPr>
          <w:lang w:val="fr-FR" w:bidi="fr-FR"/>
        </w:rPr>
        <w:t>Une sous-commission pour l</w:t>
      </w:r>
      <w:r w:rsidR="00DB0699" w:rsidRPr="002E4298">
        <w:rPr>
          <w:lang w:val="fr-FR" w:bidi="fr-FR"/>
        </w:rPr>
        <w:t>’</w:t>
      </w:r>
      <w:r w:rsidRPr="002E4298">
        <w:rPr>
          <w:lang w:val="fr-FR" w:bidi="fr-FR"/>
        </w:rPr>
        <w:t>égalité et la non-discrimination chargée de promouvoir d</w:t>
      </w:r>
      <w:r w:rsidR="00DB0699" w:rsidRPr="002E4298">
        <w:rPr>
          <w:lang w:val="fr-FR" w:bidi="fr-FR"/>
        </w:rPr>
        <w:t>’</w:t>
      </w:r>
      <w:r w:rsidRPr="002E4298">
        <w:rPr>
          <w:lang w:val="fr-FR" w:bidi="fr-FR"/>
        </w:rPr>
        <w:t>innombrables activités visant à parvenir à l</w:t>
      </w:r>
      <w:r w:rsidR="00DB0699" w:rsidRPr="002E4298">
        <w:rPr>
          <w:lang w:val="fr-FR" w:bidi="fr-FR"/>
        </w:rPr>
        <w:t>’</w:t>
      </w:r>
      <w:r w:rsidRPr="002E4298">
        <w:rPr>
          <w:lang w:val="fr-FR" w:bidi="fr-FR"/>
        </w:rPr>
        <w:t>égalité entre femmes et hommes a été créée au sein de la Commission parlementaire des affaires constitutionnelles, des droits, des libertés et des garanties</w:t>
      </w:r>
      <w:r w:rsidRPr="002E4298">
        <w:rPr>
          <w:vertAlign w:val="superscript"/>
          <w:lang w:val="fr-FR" w:bidi="fr-FR"/>
        </w:rPr>
        <w:footnoteReference w:id="5"/>
      </w:r>
      <w:r w:rsidRPr="002E4298">
        <w:rPr>
          <w:lang w:val="fr-FR" w:bidi="fr-FR"/>
        </w:rPr>
        <w:t>.</w:t>
      </w:r>
    </w:p>
    <w:p w14:paraId="5C3EA4E2" w14:textId="77777777" w:rsidR="00C31EE2" w:rsidRPr="002E4298" w:rsidRDefault="00C31EE2" w:rsidP="00C31EE2">
      <w:pPr>
        <w:pStyle w:val="SingleTxt"/>
        <w:spacing w:after="0" w:line="120" w:lineRule="exact"/>
        <w:rPr>
          <w:sz w:val="10"/>
          <w:lang w:val="fr-FR" w:bidi="fr-FR"/>
        </w:rPr>
      </w:pPr>
    </w:p>
    <w:p w14:paraId="4C73933A" w14:textId="32AEEB7E" w:rsidR="002B314F" w:rsidRPr="002E4298" w:rsidRDefault="002B314F" w:rsidP="00C31E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2E4298">
        <w:rPr>
          <w:lang w:val="fr-FR" w:bidi="fr-FR"/>
        </w:rPr>
        <w:tab/>
        <w:t>2.</w:t>
      </w:r>
      <w:r w:rsidRPr="002E4298">
        <w:rPr>
          <w:lang w:val="fr-FR" w:bidi="fr-FR"/>
        </w:rPr>
        <w:tab/>
        <w:t>Contexte général (paragraphes 8 et 9)</w:t>
      </w:r>
    </w:p>
    <w:p w14:paraId="7B8CFFDC" w14:textId="6B4098E0" w:rsidR="00C31EE2" w:rsidRPr="002E4298" w:rsidRDefault="00C31EE2" w:rsidP="00C31EE2">
      <w:pPr>
        <w:pStyle w:val="SingleTxt"/>
        <w:spacing w:after="0" w:line="120" w:lineRule="exact"/>
        <w:rPr>
          <w:sz w:val="10"/>
          <w:lang w:val="fr-FR" w:bidi="fr-FR"/>
        </w:rPr>
      </w:pPr>
    </w:p>
    <w:p w14:paraId="34EFD1C3" w14:textId="2EB7703A" w:rsidR="00DB0699" w:rsidRPr="002E4298" w:rsidRDefault="002B314F" w:rsidP="00A11C35">
      <w:pPr>
        <w:pStyle w:val="SingleTxt"/>
        <w:numPr>
          <w:ilvl w:val="0"/>
          <w:numId w:val="5"/>
        </w:numPr>
        <w:spacing w:line="240" w:lineRule="exact"/>
        <w:ind w:left="1267"/>
        <w:rPr>
          <w:lang w:val="fr-FR" w:bidi="fr-FR"/>
        </w:rPr>
      </w:pPr>
      <w:r w:rsidRPr="002E4298">
        <w:rPr>
          <w:lang w:val="fr-FR" w:bidi="fr-FR"/>
        </w:rPr>
        <w:t>Les mesures d</w:t>
      </w:r>
      <w:r w:rsidR="00DB0699" w:rsidRPr="002E4298">
        <w:rPr>
          <w:lang w:val="fr-FR" w:bidi="fr-FR"/>
        </w:rPr>
        <w:t>’</w:t>
      </w:r>
      <w:r w:rsidRPr="002E4298">
        <w:rPr>
          <w:lang w:val="fr-FR" w:bidi="fr-FR"/>
        </w:rPr>
        <w:t>austérité adoptées dans le cadre du Programme d</w:t>
      </w:r>
      <w:r w:rsidR="00DB0699" w:rsidRPr="002E4298">
        <w:rPr>
          <w:lang w:val="fr-FR" w:bidi="fr-FR"/>
        </w:rPr>
        <w:t>’</w:t>
      </w:r>
      <w:r w:rsidRPr="002E4298">
        <w:rPr>
          <w:lang w:val="fr-FR" w:bidi="fr-FR"/>
        </w:rPr>
        <w:t>ajustement économique pour le Portugal ont eu une incidence considérable sur la vie de la plupart des personnes vivant au Portugal.</w:t>
      </w:r>
    </w:p>
    <w:p w14:paraId="2B684D75" w14:textId="4E5926E7" w:rsidR="002B314F" w:rsidRPr="002E4298" w:rsidRDefault="002B314F" w:rsidP="00A11C35">
      <w:pPr>
        <w:pStyle w:val="SingleTxt"/>
        <w:numPr>
          <w:ilvl w:val="0"/>
          <w:numId w:val="5"/>
        </w:numPr>
        <w:spacing w:line="240" w:lineRule="exact"/>
        <w:ind w:left="1267"/>
        <w:rPr>
          <w:lang w:val="fr-FR"/>
        </w:rPr>
      </w:pPr>
      <w:r w:rsidRPr="002E4298">
        <w:rPr>
          <w:lang w:val="fr-FR" w:bidi="fr-FR"/>
        </w:rPr>
        <w:t>En</w:t>
      </w:r>
      <w:r w:rsidR="00B23B6D" w:rsidRPr="002E4298">
        <w:rPr>
          <w:lang w:val="fr-FR" w:bidi="fr-FR"/>
        </w:rPr>
        <w:t xml:space="preserve"> 20</w:t>
      </w:r>
      <w:r w:rsidRPr="002E4298">
        <w:rPr>
          <w:lang w:val="fr-FR" w:bidi="fr-FR"/>
        </w:rPr>
        <w:t>16, le Portugal a mis en œuvre plusieurs mesures visant à accroître le revenu disponible des ménages, en particulier pour les personnes les plus vulnérables et les plus exposées aux risques de pauvreté et d</w:t>
      </w:r>
      <w:r w:rsidR="00DB0699" w:rsidRPr="002E4298">
        <w:rPr>
          <w:lang w:val="fr-FR" w:bidi="fr-FR"/>
        </w:rPr>
        <w:t>’</w:t>
      </w:r>
      <w:r w:rsidRPr="002E4298">
        <w:rPr>
          <w:lang w:val="fr-FR" w:bidi="fr-FR"/>
        </w:rPr>
        <w:t>exclusion, telles que celles qui perçoivent faible salaire, les personnes âgées vivant avec des pensions modestes et les enfants. Les principales mesures mises en œuvre, qui sont exposées ci-dessous, ont eu une incidence positive sur les femmes.</w:t>
      </w:r>
    </w:p>
    <w:p w14:paraId="5B704550" w14:textId="46FABCF0" w:rsidR="002B314F" w:rsidRPr="002E4298" w:rsidRDefault="00C31EE2" w:rsidP="00C31EE2">
      <w:pPr>
        <w:pStyle w:val="SingleTxt"/>
        <w:tabs>
          <w:tab w:val="right" w:pos="1685"/>
        </w:tabs>
        <w:ind w:left="1742" w:hanging="475"/>
        <w:rPr>
          <w:lang w:val="fr-FR"/>
        </w:rPr>
      </w:pPr>
      <w:r w:rsidRPr="002E4298">
        <w:rPr>
          <w:lang w:val="fr-FR" w:bidi="fr-FR"/>
        </w:rPr>
        <w:tab/>
        <w:t>•</w:t>
      </w:r>
      <w:r w:rsidRPr="002E4298">
        <w:rPr>
          <w:lang w:val="fr-FR" w:bidi="fr-FR"/>
        </w:rPr>
        <w:tab/>
      </w:r>
      <w:r w:rsidR="002B314F" w:rsidRPr="002E4298">
        <w:rPr>
          <w:lang w:val="fr-FR" w:bidi="fr-FR"/>
        </w:rPr>
        <w:t>augmentation du salaire minimum de 505 euros en octobre</w:t>
      </w:r>
      <w:r w:rsidR="00B23B6D" w:rsidRPr="002E4298">
        <w:rPr>
          <w:lang w:val="fr-FR" w:bidi="fr-FR"/>
        </w:rPr>
        <w:t xml:space="preserve"> 20</w:t>
      </w:r>
      <w:r w:rsidR="002B314F" w:rsidRPr="002E4298">
        <w:rPr>
          <w:lang w:val="fr-FR" w:bidi="fr-FR"/>
        </w:rPr>
        <w:t>14 à 530 euros en janvier</w:t>
      </w:r>
      <w:r w:rsidR="00B23B6D" w:rsidRPr="002E4298">
        <w:rPr>
          <w:lang w:val="fr-FR" w:bidi="fr-FR"/>
        </w:rPr>
        <w:t xml:space="preserve"> 20</w:t>
      </w:r>
      <w:r w:rsidR="002B314F" w:rsidRPr="002E4298">
        <w:rPr>
          <w:lang w:val="fr-FR" w:bidi="fr-FR"/>
        </w:rPr>
        <w:t>16, et à 580 euros en</w:t>
      </w:r>
      <w:r w:rsidR="00B23B6D" w:rsidRPr="002E4298">
        <w:rPr>
          <w:lang w:val="fr-FR" w:bidi="fr-FR"/>
        </w:rPr>
        <w:t xml:space="preserve"> 20</w:t>
      </w:r>
      <w:r w:rsidR="002B314F" w:rsidRPr="002E4298">
        <w:rPr>
          <w:lang w:val="fr-FR" w:bidi="fr-FR"/>
        </w:rPr>
        <w:t>18 et 600 euros en</w:t>
      </w:r>
      <w:r w:rsidR="00B23B6D" w:rsidRPr="002E4298">
        <w:rPr>
          <w:lang w:val="fr-FR" w:bidi="fr-FR"/>
        </w:rPr>
        <w:t xml:space="preserve"> 20</w:t>
      </w:r>
      <w:r w:rsidR="002B314F" w:rsidRPr="002E4298">
        <w:rPr>
          <w:lang w:val="fr-FR" w:bidi="fr-FR"/>
        </w:rPr>
        <w:t>19</w:t>
      </w:r>
      <w:r w:rsidR="00DB0699" w:rsidRPr="002E4298">
        <w:rPr>
          <w:lang w:val="fr-FR" w:bidi="fr-FR"/>
        </w:rPr>
        <w:t> ;</w:t>
      </w:r>
    </w:p>
    <w:p w14:paraId="7D1FF6A9" w14:textId="4EFC8251" w:rsidR="002B314F" w:rsidRPr="002E4298" w:rsidRDefault="00C31EE2" w:rsidP="00C31EE2">
      <w:pPr>
        <w:pStyle w:val="SingleTxt"/>
        <w:tabs>
          <w:tab w:val="right" w:pos="1685"/>
        </w:tabs>
        <w:ind w:left="1742" w:hanging="475"/>
        <w:rPr>
          <w:lang w:val="fr-FR"/>
        </w:rPr>
      </w:pPr>
      <w:r w:rsidRPr="002E4298">
        <w:rPr>
          <w:lang w:val="fr-FR" w:bidi="fr-FR"/>
        </w:rPr>
        <w:lastRenderedPageBreak/>
        <w:tab/>
        <w:t>•</w:t>
      </w:r>
      <w:r w:rsidRPr="002E4298">
        <w:rPr>
          <w:lang w:val="fr-FR" w:bidi="fr-FR"/>
        </w:rPr>
        <w:tab/>
      </w:r>
      <w:r w:rsidR="002B314F" w:rsidRPr="002E4298">
        <w:rPr>
          <w:lang w:val="fr-FR" w:bidi="fr-FR"/>
        </w:rPr>
        <w:t>fin de la suspension de la mise à jour annuelle du mécanisme d</w:t>
      </w:r>
      <w:r w:rsidR="00DB0699" w:rsidRPr="002E4298">
        <w:rPr>
          <w:lang w:val="fr-FR" w:bidi="fr-FR"/>
        </w:rPr>
        <w:t>’</w:t>
      </w:r>
      <w:r w:rsidR="002B314F" w:rsidRPr="002E4298">
        <w:rPr>
          <w:lang w:val="fr-FR" w:bidi="fr-FR"/>
        </w:rPr>
        <w:t>indexation automatique de l</w:t>
      </w:r>
      <w:r w:rsidR="00DB0699" w:rsidRPr="002E4298">
        <w:rPr>
          <w:lang w:val="fr-FR" w:bidi="fr-FR"/>
        </w:rPr>
        <w:t>’</w:t>
      </w:r>
      <w:r w:rsidR="002B314F" w:rsidRPr="002E4298">
        <w:rPr>
          <w:lang w:val="fr-FR" w:bidi="fr-FR"/>
        </w:rPr>
        <w:t>indice des aides sociales à partir du début de l</w:t>
      </w:r>
      <w:r w:rsidR="00DB0699" w:rsidRPr="002E4298">
        <w:rPr>
          <w:lang w:val="fr-FR" w:bidi="fr-FR"/>
        </w:rPr>
        <w:t>’</w:t>
      </w:r>
      <w:r w:rsidR="002B314F" w:rsidRPr="002E4298">
        <w:rPr>
          <w:lang w:val="fr-FR" w:bidi="fr-FR"/>
        </w:rPr>
        <w:t>année</w:t>
      </w:r>
      <w:r w:rsidR="00B23B6D" w:rsidRPr="002E4298">
        <w:rPr>
          <w:lang w:val="fr-FR" w:bidi="fr-FR"/>
        </w:rPr>
        <w:t xml:space="preserve"> 20</w:t>
      </w:r>
      <w:r w:rsidR="002B314F" w:rsidRPr="002E4298">
        <w:rPr>
          <w:lang w:val="fr-FR" w:bidi="fr-FR"/>
        </w:rPr>
        <w:t>16, lequel prend en compte l</w:t>
      </w:r>
      <w:r w:rsidR="00DB0699" w:rsidRPr="002E4298">
        <w:rPr>
          <w:lang w:val="fr-FR" w:bidi="fr-FR"/>
        </w:rPr>
        <w:t>’</w:t>
      </w:r>
      <w:r w:rsidR="002B314F" w:rsidRPr="002E4298">
        <w:rPr>
          <w:lang w:val="fr-FR" w:bidi="fr-FR"/>
        </w:rPr>
        <w:t>indice des prix à la consommation et le produit intérieur brut (PIB) et sert de référence pour la révision des pensions et autres prestations sociales</w:t>
      </w:r>
      <w:r w:rsidR="00DB0699" w:rsidRPr="002E4298">
        <w:rPr>
          <w:lang w:val="fr-FR" w:bidi="fr-FR"/>
        </w:rPr>
        <w:t> ;</w:t>
      </w:r>
    </w:p>
    <w:p w14:paraId="4E46A11D" w14:textId="47EE77E7" w:rsidR="002B314F" w:rsidRPr="002E4298" w:rsidRDefault="00C31EE2" w:rsidP="00C31EE2">
      <w:pPr>
        <w:pStyle w:val="SingleTxt"/>
        <w:tabs>
          <w:tab w:val="right" w:pos="1685"/>
        </w:tabs>
        <w:ind w:left="1742" w:hanging="475"/>
        <w:rPr>
          <w:lang w:val="fr-FR"/>
        </w:rPr>
      </w:pPr>
      <w:r w:rsidRPr="002E4298">
        <w:rPr>
          <w:lang w:val="fr-FR" w:bidi="fr-FR"/>
        </w:rPr>
        <w:tab/>
        <w:t>•</w:t>
      </w:r>
      <w:r w:rsidRPr="002E4298">
        <w:rPr>
          <w:lang w:val="fr-FR" w:bidi="fr-FR"/>
        </w:rPr>
        <w:tab/>
      </w:r>
      <w:r w:rsidR="002B314F" w:rsidRPr="002E4298">
        <w:rPr>
          <w:lang w:val="fr-FR" w:bidi="fr-FR"/>
        </w:rPr>
        <w:t>rétablissement de la règle de l</w:t>
      </w:r>
      <w:r w:rsidR="00DB0699" w:rsidRPr="002E4298">
        <w:rPr>
          <w:lang w:val="fr-FR" w:bidi="fr-FR"/>
        </w:rPr>
        <w:t>’</w:t>
      </w:r>
      <w:r w:rsidR="002B314F" w:rsidRPr="002E4298">
        <w:rPr>
          <w:lang w:val="fr-FR" w:bidi="fr-FR"/>
        </w:rPr>
        <w:t>ajustement annuel des pensions (en</w:t>
      </w:r>
      <w:r w:rsidR="00B23B6D" w:rsidRPr="002E4298">
        <w:rPr>
          <w:lang w:val="fr-FR" w:bidi="fr-FR"/>
        </w:rPr>
        <w:t xml:space="preserve"> 20</w:t>
      </w:r>
      <w:r w:rsidR="002B314F" w:rsidRPr="002E4298">
        <w:rPr>
          <w:lang w:val="fr-FR" w:bidi="fr-FR"/>
        </w:rPr>
        <w:t>16) concernant les pensions moyennes à faibles, ayant résulté en une augmentation extraordinaire des pensions depuis</w:t>
      </w:r>
      <w:r w:rsidR="00B23B6D" w:rsidRPr="002E4298">
        <w:rPr>
          <w:lang w:val="fr-FR" w:bidi="fr-FR"/>
        </w:rPr>
        <w:t xml:space="preserve"> 20</w:t>
      </w:r>
      <w:r w:rsidR="002B314F" w:rsidRPr="002E4298">
        <w:rPr>
          <w:lang w:val="fr-FR" w:bidi="fr-FR"/>
        </w:rPr>
        <w:t>17, afin de compenser la suspension des règles de révision des pensions entre</w:t>
      </w:r>
      <w:r w:rsidR="00B23B6D" w:rsidRPr="002E4298">
        <w:rPr>
          <w:lang w:val="fr-FR" w:bidi="fr-FR"/>
        </w:rPr>
        <w:t xml:space="preserve"> 20</w:t>
      </w:r>
      <w:r w:rsidR="002B314F" w:rsidRPr="002E4298">
        <w:rPr>
          <w:lang w:val="fr-FR" w:bidi="fr-FR"/>
        </w:rPr>
        <w:t>11 et</w:t>
      </w:r>
      <w:r w:rsidR="00B23B6D" w:rsidRPr="002E4298">
        <w:rPr>
          <w:lang w:val="fr-FR" w:bidi="fr-FR"/>
        </w:rPr>
        <w:t xml:space="preserve"> 20</w:t>
      </w:r>
      <w:r w:rsidR="002B314F" w:rsidRPr="002E4298">
        <w:rPr>
          <w:lang w:val="fr-FR" w:bidi="fr-FR"/>
        </w:rPr>
        <w:t>15, période durant laquelle seules les pensions sociales et les pensions de retraite minimales (jusqu</w:t>
      </w:r>
      <w:r w:rsidR="00DB0699" w:rsidRPr="002E4298">
        <w:rPr>
          <w:lang w:val="fr-FR" w:bidi="fr-FR"/>
        </w:rPr>
        <w:t>’</w:t>
      </w:r>
      <w:r w:rsidR="002B314F" w:rsidRPr="002E4298">
        <w:rPr>
          <w:lang w:val="fr-FR" w:bidi="fr-FR"/>
        </w:rPr>
        <w:t>à quinze ans de contribution) ont été révisées</w:t>
      </w:r>
      <w:r w:rsidR="00DB0699" w:rsidRPr="002E4298">
        <w:rPr>
          <w:lang w:val="fr-FR" w:bidi="fr-FR"/>
        </w:rPr>
        <w:t> ;</w:t>
      </w:r>
    </w:p>
    <w:p w14:paraId="069FA8C9" w14:textId="486E6959" w:rsidR="002B314F" w:rsidRPr="002E4298" w:rsidRDefault="00C31EE2" w:rsidP="00C31EE2">
      <w:pPr>
        <w:pStyle w:val="SingleTxt"/>
        <w:tabs>
          <w:tab w:val="right" w:pos="1685"/>
        </w:tabs>
        <w:ind w:left="1742" w:hanging="475"/>
        <w:rPr>
          <w:lang w:val="fr-FR"/>
        </w:rPr>
      </w:pPr>
      <w:r w:rsidRPr="002E4298">
        <w:rPr>
          <w:lang w:val="fr-FR" w:bidi="fr-FR"/>
        </w:rPr>
        <w:tab/>
        <w:t>•</w:t>
      </w:r>
      <w:r w:rsidRPr="002E4298">
        <w:rPr>
          <w:lang w:val="fr-FR" w:bidi="fr-FR"/>
        </w:rPr>
        <w:tab/>
      </w:r>
      <w:r w:rsidR="002B314F" w:rsidRPr="002E4298">
        <w:rPr>
          <w:lang w:val="fr-FR" w:bidi="fr-FR"/>
        </w:rPr>
        <w:t>rétablissement du montant de référence du supplément social alloué aux personnes âgées (réduit en</w:t>
      </w:r>
      <w:r w:rsidR="00B23B6D" w:rsidRPr="002E4298">
        <w:rPr>
          <w:lang w:val="fr-FR" w:bidi="fr-FR"/>
        </w:rPr>
        <w:t xml:space="preserve"> 20</w:t>
      </w:r>
      <w:r w:rsidR="002B314F" w:rsidRPr="002E4298">
        <w:rPr>
          <w:lang w:val="fr-FR" w:bidi="fr-FR"/>
        </w:rPr>
        <w:t>13 de 5 022 euros à 4 909 euros par an), et augmentation consécutive dudit supplément social à 5 059 euros en</w:t>
      </w:r>
      <w:r w:rsidR="00B23B6D" w:rsidRPr="002E4298">
        <w:rPr>
          <w:lang w:val="fr-FR" w:bidi="fr-FR"/>
        </w:rPr>
        <w:t xml:space="preserve"> 20</w:t>
      </w:r>
      <w:r w:rsidR="002B314F" w:rsidRPr="002E4298">
        <w:rPr>
          <w:lang w:val="fr-FR" w:bidi="fr-FR"/>
        </w:rPr>
        <w:t>16, puis augmentation progressive jusqu</w:t>
      </w:r>
      <w:r w:rsidR="00DB0699" w:rsidRPr="002E4298">
        <w:rPr>
          <w:lang w:val="fr-FR" w:bidi="fr-FR"/>
        </w:rPr>
        <w:t>’</w:t>
      </w:r>
      <w:r w:rsidR="007A7E54" w:rsidRPr="002E4298">
        <w:rPr>
          <w:lang w:val="fr-FR" w:bidi="fr-FR"/>
        </w:rPr>
        <w:t xml:space="preserve">à </w:t>
      </w:r>
      <w:r w:rsidR="002B314F" w:rsidRPr="002E4298">
        <w:rPr>
          <w:lang w:val="fr-FR" w:bidi="fr-FR"/>
        </w:rPr>
        <w:t>5 175,82 euros en</w:t>
      </w:r>
      <w:r w:rsidR="00B23B6D" w:rsidRPr="002E4298">
        <w:rPr>
          <w:lang w:val="fr-FR" w:bidi="fr-FR"/>
        </w:rPr>
        <w:t xml:space="preserve"> 20</w:t>
      </w:r>
      <w:r w:rsidR="002B314F" w:rsidRPr="002E4298">
        <w:rPr>
          <w:lang w:val="fr-FR" w:bidi="fr-FR"/>
        </w:rPr>
        <w:t>18 et 5 258,63 euros en</w:t>
      </w:r>
      <w:r w:rsidR="00B23B6D" w:rsidRPr="002E4298">
        <w:rPr>
          <w:lang w:val="fr-FR" w:bidi="fr-FR"/>
        </w:rPr>
        <w:t xml:space="preserve"> 20</w:t>
      </w:r>
      <w:r w:rsidR="002B314F" w:rsidRPr="002E4298">
        <w:rPr>
          <w:lang w:val="fr-FR" w:bidi="fr-FR"/>
        </w:rPr>
        <w:t>19</w:t>
      </w:r>
      <w:r w:rsidR="00DB0699" w:rsidRPr="002E4298">
        <w:rPr>
          <w:lang w:val="fr-FR" w:bidi="fr-FR"/>
        </w:rPr>
        <w:t> ;</w:t>
      </w:r>
    </w:p>
    <w:p w14:paraId="361AD2EE" w14:textId="66E7FC29" w:rsidR="002B314F" w:rsidRPr="002E4298" w:rsidRDefault="00C31EE2" w:rsidP="00C31EE2">
      <w:pPr>
        <w:pStyle w:val="SingleTxt"/>
        <w:tabs>
          <w:tab w:val="right" w:pos="1685"/>
        </w:tabs>
        <w:ind w:left="1742" w:hanging="475"/>
        <w:rPr>
          <w:lang w:val="fr-FR"/>
        </w:rPr>
      </w:pPr>
      <w:r w:rsidRPr="002E4298">
        <w:rPr>
          <w:lang w:val="fr-FR" w:bidi="fr-FR"/>
        </w:rPr>
        <w:tab/>
        <w:t>•</w:t>
      </w:r>
      <w:r w:rsidRPr="002E4298">
        <w:rPr>
          <w:lang w:val="fr-FR" w:bidi="fr-FR"/>
        </w:rPr>
        <w:tab/>
      </w:r>
      <w:r w:rsidR="002B314F" w:rsidRPr="002E4298">
        <w:rPr>
          <w:lang w:val="fr-FR" w:bidi="fr-FR"/>
        </w:rPr>
        <w:t>mise à jour des montants des allocations prénatales et familiales et du supplément d</w:t>
      </w:r>
      <w:r w:rsidR="00DB0699" w:rsidRPr="002E4298">
        <w:rPr>
          <w:lang w:val="fr-FR" w:bidi="fr-FR"/>
        </w:rPr>
        <w:t>’</w:t>
      </w:r>
      <w:r w:rsidR="002B314F" w:rsidRPr="002E4298">
        <w:rPr>
          <w:lang w:val="fr-FR" w:bidi="fr-FR"/>
        </w:rPr>
        <w:t>allocations familiales pour les enfants handicapés, et autres mesures telles que la convergence progressive (de</w:t>
      </w:r>
      <w:r w:rsidR="00B23B6D" w:rsidRPr="002E4298">
        <w:rPr>
          <w:lang w:val="fr-FR" w:bidi="fr-FR"/>
        </w:rPr>
        <w:t xml:space="preserve"> 20</w:t>
      </w:r>
      <w:r w:rsidR="002B314F" w:rsidRPr="002E4298">
        <w:rPr>
          <w:lang w:val="fr-FR" w:bidi="fr-FR"/>
        </w:rPr>
        <w:t>17 à</w:t>
      </w:r>
      <w:r w:rsidR="00B23B6D" w:rsidRPr="002E4298">
        <w:rPr>
          <w:lang w:val="fr-FR" w:bidi="fr-FR"/>
        </w:rPr>
        <w:t xml:space="preserve"> 20</w:t>
      </w:r>
      <w:r w:rsidR="002B314F" w:rsidRPr="002E4298">
        <w:rPr>
          <w:lang w:val="fr-FR" w:bidi="fr-FR"/>
        </w:rPr>
        <w:t xml:space="preserve">19) des prestations versées pour les enfants âgés </w:t>
      </w:r>
      <w:r w:rsidR="00DC43BF" w:rsidRPr="002E4298">
        <w:rPr>
          <w:lang w:val="fr-FR" w:bidi="fr-FR"/>
        </w:rPr>
        <w:t xml:space="preserve">de </w:t>
      </w:r>
      <w:r w:rsidR="002B314F" w:rsidRPr="002E4298">
        <w:rPr>
          <w:lang w:val="fr-FR" w:bidi="fr-FR"/>
        </w:rPr>
        <w:t xml:space="preserve">12 </w:t>
      </w:r>
      <w:r w:rsidR="007A7E54" w:rsidRPr="002E4298">
        <w:rPr>
          <w:lang w:val="fr-FR" w:bidi="fr-FR"/>
        </w:rPr>
        <w:t xml:space="preserve">à </w:t>
      </w:r>
      <w:r w:rsidR="002B314F" w:rsidRPr="002E4298">
        <w:rPr>
          <w:lang w:val="fr-FR" w:bidi="fr-FR"/>
        </w:rPr>
        <w:t xml:space="preserve">36 mois et de celles accordées pour les enfants âgés de moins </w:t>
      </w:r>
      <w:r w:rsidR="00DC43BF" w:rsidRPr="002E4298">
        <w:rPr>
          <w:lang w:val="fr-FR" w:bidi="fr-FR"/>
        </w:rPr>
        <w:t xml:space="preserve">de </w:t>
      </w:r>
      <w:r w:rsidR="002B314F" w:rsidRPr="002E4298">
        <w:rPr>
          <w:lang w:val="fr-FR" w:bidi="fr-FR"/>
        </w:rPr>
        <w:t>12 mois</w:t>
      </w:r>
      <w:r w:rsidR="00DB0699" w:rsidRPr="002E4298">
        <w:rPr>
          <w:lang w:val="fr-FR" w:bidi="fr-FR"/>
        </w:rPr>
        <w:t> ;</w:t>
      </w:r>
    </w:p>
    <w:p w14:paraId="3E1AB8DF" w14:textId="29B0C444" w:rsidR="002B314F" w:rsidRPr="002E4298" w:rsidRDefault="00C31EE2" w:rsidP="00C31EE2">
      <w:pPr>
        <w:pStyle w:val="SingleTxt"/>
        <w:tabs>
          <w:tab w:val="right" w:pos="1685"/>
        </w:tabs>
        <w:ind w:left="1742" w:hanging="475"/>
        <w:rPr>
          <w:lang w:val="fr-FR"/>
        </w:rPr>
      </w:pPr>
      <w:r w:rsidRPr="002E4298">
        <w:rPr>
          <w:lang w:val="fr-FR" w:bidi="fr-FR"/>
        </w:rPr>
        <w:tab/>
        <w:t>•</w:t>
      </w:r>
      <w:r w:rsidRPr="002E4298">
        <w:rPr>
          <w:lang w:val="fr-FR" w:bidi="fr-FR"/>
        </w:rPr>
        <w:tab/>
      </w:r>
      <w:r w:rsidR="002B314F" w:rsidRPr="002E4298">
        <w:rPr>
          <w:lang w:val="fr-FR" w:bidi="fr-FR"/>
        </w:rPr>
        <w:t xml:space="preserve">supplément pour les parents isolés à hauteur </w:t>
      </w:r>
      <w:r w:rsidR="00DC43BF" w:rsidRPr="002E4298">
        <w:rPr>
          <w:lang w:val="fr-FR" w:bidi="fr-FR"/>
        </w:rPr>
        <w:t xml:space="preserve">de </w:t>
      </w:r>
      <w:r w:rsidR="002B314F" w:rsidRPr="002E4298">
        <w:rPr>
          <w:lang w:val="fr-FR" w:bidi="fr-FR"/>
        </w:rPr>
        <w:t>35</w:t>
      </w:r>
      <w:r w:rsidR="00DB0699" w:rsidRPr="002E4298">
        <w:rPr>
          <w:lang w:val="fr-FR" w:bidi="fr-FR"/>
        </w:rPr>
        <w:t> %</w:t>
      </w:r>
      <w:r w:rsidR="002B314F" w:rsidRPr="002E4298">
        <w:rPr>
          <w:lang w:val="fr-FR" w:bidi="fr-FR"/>
        </w:rPr>
        <w:t xml:space="preserve"> des prestations familiales, contre</w:t>
      </w:r>
      <w:r w:rsidR="00B23B6D" w:rsidRPr="002E4298">
        <w:rPr>
          <w:lang w:val="fr-FR" w:bidi="fr-FR"/>
        </w:rPr>
        <w:t xml:space="preserve"> 20</w:t>
      </w:r>
      <w:r w:rsidR="00DB0699" w:rsidRPr="002E4298">
        <w:rPr>
          <w:lang w:val="fr-FR" w:bidi="fr-FR"/>
        </w:rPr>
        <w:t> %</w:t>
      </w:r>
      <w:r w:rsidR="002B314F" w:rsidRPr="002E4298">
        <w:rPr>
          <w:lang w:val="fr-FR" w:bidi="fr-FR"/>
        </w:rPr>
        <w:t xml:space="preserve"> auparavant</w:t>
      </w:r>
      <w:r w:rsidR="00DB0699" w:rsidRPr="002E4298">
        <w:rPr>
          <w:lang w:val="fr-FR" w:bidi="fr-FR"/>
        </w:rPr>
        <w:t> ;</w:t>
      </w:r>
    </w:p>
    <w:p w14:paraId="223316A2" w14:textId="3FE7FDD0" w:rsidR="002B314F" w:rsidRPr="002E4298" w:rsidRDefault="00C31EE2" w:rsidP="00C31EE2">
      <w:pPr>
        <w:pStyle w:val="SingleTxt"/>
        <w:tabs>
          <w:tab w:val="right" w:pos="1685"/>
        </w:tabs>
        <w:ind w:left="1742" w:hanging="475"/>
        <w:rPr>
          <w:lang w:val="fr-FR"/>
        </w:rPr>
      </w:pPr>
      <w:r w:rsidRPr="002E4298">
        <w:rPr>
          <w:lang w:val="fr-FR" w:bidi="fr-FR"/>
        </w:rPr>
        <w:tab/>
        <w:t>•</w:t>
      </w:r>
      <w:r w:rsidRPr="002E4298">
        <w:rPr>
          <w:lang w:val="fr-FR" w:bidi="fr-FR"/>
        </w:rPr>
        <w:tab/>
      </w:r>
      <w:r w:rsidR="002B314F" w:rsidRPr="002E4298">
        <w:rPr>
          <w:lang w:val="fr-FR" w:bidi="fr-FR"/>
        </w:rPr>
        <w:t xml:space="preserve">reconduction du supplément </w:t>
      </w:r>
      <w:r w:rsidR="00DC43BF" w:rsidRPr="002E4298">
        <w:rPr>
          <w:lang w:val="fr-FR" w:bidi="fr-FR"/>
        </w:rPr>
        <w:t xml:space="preserve">de </w:t>
      </w:r>
      <w:r w:rsidR="002B314F" w:rsidRPr="002E4298">
        <w:rPr>
          <w:lang w:val="fr-FR" w:bidi="fr-FR"/>
        </w:rPr>
        <w:t>10</w:t>
      </w:r>
      <w:r w:rsidR="00DB0699" w:rsidRPr="002E4298">
        <w:rPr>
          <w:lang w:val="fr-FR" w:bidi="fr-FR"/>
        </w:rPr>
        <w:t> %</w:t>
      </w:r>
      <w:r w:rsidR="002B314F" w:rsidRPr="002E4298">
        <w:rPr>
          <w:lang w:val="fr-FR" w:bidi="fr-FR"/>
        </w:rPr>
        <w:t xml:space="preserve"> de l</w:t>
      </w:r>
      <w:r w:rsidR="00DB0699" w:rsidRPr="002E4298">
        <w:rPr>
          <w:lang w:val="fr-FR" w:bidi="fr-FR"/>
        </w:rPr>
        <w:t>’</w:t>
      </w:r>
      <w:r w:rsidR="002B314F" w:rsidRPr="002E4298">
        <w:rPr>
          <w:lang w:val="fr-FR" w:bidi="fr-FR"/>
        </w:rPr>
        <w:t>allocation chômage ou de l</w:t>
      </w:r>
      <w:r w:rsidR="00DB0699" w:rsidRPr="002E4298">
        <w:rPr>
          <w:lang w:val="fr-FR" w:bidi="fr-FR"/>
        </w:rPr>
        <w:t>’</w:t>
      </w:r>
      <w:r w:rsidR="002B314F" w:rsidRPr="002E4298">
        <w:rPr>
          <w:lang w:val="fr-FR" w:bidi="fr-FR"/>
        </w:rPr>
        <w:t>allocation de cessation d</w:t>
      </w:r>
      <w:r w:rsidR="00DB0699" w:rsidRPr="002E4298">
        <w:rPr>
          <w:lang w:val="fr-FR" w:bidi="fr-FR"/>
        </w:rPr>
        <w:t>’</w:t>
      </w:r>
      <w:r w:rsidR="002B314F" w:rsidRPr="002E4298">
        <w:rPr>
          <w:lang w:val="fr-FR" w:bidi="fr-FR"/>
        </w:rPr>
        <w:t>activité pour les parents sans emploi, y compris les familles monoparentales</w:t>
      </w:r>
      <w:r w:rsidR="00DB0699" w:rsidRPr="002E4298">
        <w:rPr>
          <w:lang w:val="fr-FR" w:bidi="fr-FR"/>
        </w:rPr>
        <w:t> ;</w:t>
      </w:r>
    </w:p>
    <w:p w14:paraId="1CF8139B" w14:textId="169A4335" w:rsidR="002B314F" w:rsidRPr="002E4298" w:rsidRDefault="00C31EE2" w:rsidP="00C31EE2">
      <w:pPr>
        <w:pStyle w:val="SingleTxt"/>
        <w:tabs>
          <w:tab w:val="right" w:pos="1685"/>
        </w:tabs>
        <w:ind w:left="1742" w:hanging="475"/>
        <w:rPr>
          <w:lang w:val="fr-FR"/>
        </w:rPr>
      </w:pPr>
      <w:r w:rsidRPr="002E4298">
        <w:rPr>
          <w:lang w:val="fr-FR" w:bidi="fr-FR"/>
        </w:rPr>
        <w:tab/>
        <w:t>•</w:t>
      </w:r>
      <w:r w:rsidRPr="002E4298">
        <w:rPr>
          <w:lang w:val="fr-FR" w:bidi="fr-FR"/>
        </w:rPr>
        <w:tab/>
      </w:r>
      <w:r w:rsidR="002B314F" w:rsidRPr="002E4298">
        <w:rPr>
          <w:lang w:val="fr-FR" w:bidi="fr-FR"/>
        </w:rPr>
        <w:t>création d</w:t>
      </w:r>
      <w:r w:rsidR="00DB0699" w:rsidRPr="002E4298">
        <w:rPr>
          <w:lang w:val="fr-FR" w:bidi="fr-FR"/>
        </w:rPr>
        <w:t>’</w:t>
      </w:r>
      <w:r w:rsidR="002B314F" w:rsidRPr="002E4298">
        <w:rPr>
          <w:lang w:val="fr-FR" w:bidi="fr-FR"/>
        </w:rPr>
        <w:t>une prestation temporaire, soumise à certaines conditions, pour renforcer la protection des chômeurs et chômeuses de longue durée qui ne perçoivent plus l</w:t>
      </w:r>
      <w:r w:rsidR="00DB0699" w:rsidRPr="002E4298">
        <w:rPr>
          <w:lang w:val="fr-FR" w:bidi="fr-FR"/>
        </w:rPr>
        <w:t>’</w:t>
      </w:r>
      <w:r w:rsidR="002B314F" w:rsidRPr="002E4298">
        <w:rPr>
          <w:lang w:val="fr-FR" w:bidi="fr-FR"/>
        </w:rPr>
        <w:t>allocation sociale de chômage</w:t>
      </w:r>
      <w:r w:rsidR="00DB0699" w:rsidRPr="002E4298">
        <w:rPr>
          <w:lang w:val="fr-FR" w:bidi="fr-FR"/>
        </w:rPr>
        <w:t> ;</w:t>
      </w:r>
    </w:p>
    <w:p w14:paraId="7414D11C" w14:textId="0EFFCAEF" w:rsidR="002B314F" w:rsidRPr="002E4298" w:rsidRDefault="00C31EE2" w:rsidP="00C31EE2">
      <w:pPr>
        <w:pStyle w:val="SingleTxt"/>
        <w:tabs>
          <w:tab w:val="right" w:pos="1685"/>
        </w:tabs>
        <w:ind w:left="1742" w:hanging="475"/>
        <w:rPr>
          <w:lang w:val="fr-FR"/>
        </w:rPr>
      </w:pPr>
      <w:r w:rsidRPr="002E4298">
        <w:rPr>
          <w:lang w:val="fr-FR" w:bidi="fr-FR"/>
        </w:rPr>
        <w:tab/>
        <w:t>•</w:t>
      </w:r>
      <w:r w:rsidRPr="002E4298">
        <w:rPr>
          <w:lang w:val="fr-FR" w:bidi="fr-FR"/>
        </w:rPr>
        <w:tab/>
      </w:r>
      <w:r w:rsidR="002B314F" w:rsidRPr="002E4298">
        <w:rPr>
          <w:lang w:val="fr-FR" w:bidi="fr-FR"/>
        </w:rPr>
        <w:t>révision du cadre juridique des services sociaux tels que les services de garderie et le service de soutien à domicile en vue de mieux soutenir les familles</w:t>
      </w:r>
      <w:r w:rsidR="00DB0699" w:rsidRPr="002E4298">
        <w:rPr>
          <w:lang w:val="fr-FR" w:bidi="fr-FR"/>
        </w:rPr>
        <w:t> ;</w:t>
      </w:r>
    </w:p>
    <w:p w14:paraId="45DE7A6F" w14:textId="5413715F" w:rsidR="00DB0699" w:rsidRPr="002E4298" w:rsidRDefault="00C31EE2" w:rsidP="00C31EE2">
      <w:pPr>
        <w:pStyle w:val="SingleTxt"/>
        <w:tabs>
          <w:tab w:val="right" w:pos="1685"/>
        </w:tabs>
        <w:ind w:left="1742" w:hanging="475"/>
        <w:rPr>
          <w:lang w:val="fr-FR" w:bidi="fr-FR"/>
        </w:rPr>
      </w:pPr>
      <w:r w:rsidRPr="002E4298">
        <w:rPr>
          <w:lang w:val="fr-FR" w:bidi="fr-FR"/>
        </w:rPr>
        <w:tab/>
        <w:t>•</w:t>
      </w:r>
      <w:r w:rsidRPr="002E4298">
        <w:rPr>
          <w:lang w:val="fr-FR" w:bidi="fr-FR"/>
        </w:rPr>
        <w:tab/>
      </w:r>
      <w:r w:rsidR="002B314F" w:rsidRPr="002E4298">
        <w:rPr>
          <w:lang w:val="fr-FR" w:bidi="fr-FR"/>
        </w:rPr>
        <w:t>rétablissement progressif des anciens niveaux, plus élevés, du revenu social d</w:t>
      </w:r>
      <w:r w:rsidR="00DB0699" w:rsidRPr="002E4298">
        <w:rPr>
          <w:lang w:val="fr-FR" w:bidi="fr-FR"/>
        </w:rPr>
        <w:t>’</w:t>
      </w:r>
      <w:r w:rsidR="002B314F" w:rsidRPr="002E4298">
        <w:rPr>
          <w:lang w:val="fr-FR" w:bidi="fr-FR"/>
        </w:rPr>
        <w:t>insertion à partir du premier trimestre</w:t>
      </w:r>
      <w:r w:rsidR="00B23B6D" w:rsidRPr="002E4298">
        <w:rPr>
          <w:lang w:val="fr-FR" w:bidi="fr-FR"/>
        </w:rPr>
        <w:t xml:space="preserve"> 20</w:t>
      </w:r>
      <w:r w:rsidR="002B314F" w:rsidRPr="002E4298">
        <w:rPr>
          <w:lang w:val="fr-FR" w:bidi="fr-FR"/>
        </w:rPr>
        <w:t>16, en vue de rétablir les niveaux de protection des familles vivant dans la pauvreté</w:t>
      </w:r>
      <w:r w:rsidR="00DB0699" w:rsidRPr="002E4298">
        <w:rPr>
          <w:lang w:val="fr-FR" w:bidi="fr-FR"/>
        </w:rPr>
        <w:t> ;</w:t>
      </w:r>
    </w:p>
    <w:p w14:paraId="6EC4BF1F" w14:textId="53F9C909" w:rsidR="002B314F" w:rsidRPr="002E4298" w:rsidRDefault="00C31EE2" w:rsidP="00C31EE2">
      <w:pPr>
        <w:pStyle w:val="SingleTxt"/>
        <w:tabs>
          <w:tab w:val="right" w:pos="1685"/>
        </w:tabs>
        <w:ind w:left="1742" w:hanging="475"/>
        <w:rPr>
          <w:lang w:val="fr-FR"/>
        </w:rPr>
      </w:pPr>
      <w:r w:rsidRPr="002E4298">
        <w:rPr>
          <w:lang w:val="fr-FR" w:bidi="fr-FR"/>
        </w:rPr>
        <w:tab/>
        <w:t>•</w:t>
      </w:r>
      <w:r w:rsidRPr="002E4298">
        <w:rPr>
          <w:lang w:val="fr-FR" w:bidi="fr-FR"/>
        </w:rPr>
        <w:tab/>
      </w:r>
      <w:r w:rsidR="002B314F" w:rsidRPr="002E4298">
        <w:rPr>
          <w:lang w:val="fr-FR" w:bidi="fr-FR"/>
        </w:rPr>
        <w:t>révision de l</w:t>
      </w:r>
      <w:r w:rsidR="00DB0699" w:rsidRPr="002E4298">
        <w:rPr>
          <w:lang w:val="fr-FR" w:bidi="fr-FR"/>
        </w:rPr>
        <w:t>’</w:t>
      </w:r>
      <w:r w:rsidR="002B314F" w:rsidRPr="002E4298">
        <w:rPr>
          <w:lang w:val="fr-FR" w:bidi="fr-FR"/>
        </w:rPr>
        <w:t>échelle d</w:t>
      </w:r>
      <w:r w:rsidR="00DB0699" w:rsidRPr="002E4298">
        <w:rPr>
          <w:lang w:val="fr-FR" w:bidi="fr-FR"/>
        </w:rPr>
        <w:t>’</w:t>
      </w:r>
      <w:r w:rsidR="002B314F" w:rsidRPr="002E4298">
        <w:rPr>
          <w:lang w:val="fr-FR" w:bidi="fr-FR"/>
        </w:rPr>
        <w:t>équivalence appliquée aux niveaux du revenu social d</w:t>
      </w:r>
      <w:r w:rsidR="00DB0699" w:rsidRPr="002E4298">
        <w:rPr>
          <w:lang w:val="fr-FR" w:bidi="fr-FR"/>
        </w:rPr>
        <w:t>’</w:t>
      </w:r>
      <w:r w:rsidR="002B314F" w:rsidRPr="002E4298">
        <w:rPr>
          <w:lang w:val="fr-FR" w:bidi="fr-FR"/>
        </w:rPr>
        <w:t xml:space="preserve">insertion (décret-loi nº 1/2016 </w:t>
      </w:r>
      <w:r w:rsidR="003E7581" w:rsidRPr="002E4298">
        <w:rPr>
          <w:lang w:val="fr-FR" w:bidi="fr-FR"/>
        </w:rPr>
        <w:t xml:space="preserve">du </w:t>
      </w:r>
      <w:r w:rsidR="002B314F" w:rsidRPr="002E4298">
        <w:rPr>
          <w:lang w:val="fr-FR" w:bidi="fr-FR"/>
        </w:rPr>
        <w:t>6 janvier</w:t>
      </w:r>
      <w:r w:rsidR="00B23B6D" w:rsidRPr="002E4298">
        <w:rPr>
          <w:lang w:val="fr-FR" w:bidi="fr-FR"/>
        </w:rPr>
        <w:t xml:space="preserve"> 20</w:t>
      </w:r>
      <w:r w:rsidR="002B314F" w:rsidRPr="002E4298">
        <w:rPr>
          <w:lang w:val="fr-FR" w:bidi="fr-FR"/>
        </w:rPr>
        <w:t xml:space="preserve">16) relevant le pourcentage du montant accordé à chaque adulte </w:t>
      </w:r>
      <w:r w:rsidR="00DC43BF" w:rsidRPr="002E4298">
        <w:rPr>
          <w:lang w:val="fr-FR" w:bidi="fr-FR"/>
        </w:rPr>
        <w:t xml:space="preserve">de </w:t>
      </w:r>
      <w:r w:rsidR="002B314F" w:rsidRPr="002E4298">
        <w:rPr>
          <w:lang w:val="fr-FR" w:bidi="fr-FR"/>
        </w:rPr>
        <w:t>50</w:t>
      </w:r>
      <w:r w:rsidR="00DB0699" w:rsidRPr="002E4298">
        <w:rPr>
          <w:lang w:val="fr-FR" w:bidi="fr-FR"/>
        </w:rPr>
        <w:t> %</w:t>
      </w:r>
      <w:r w:rsidR="002B314F" w:rsidRPr="002E4298">
        <w:rPr>
          <w:lang w:val="fr-FR" w:bidi="fr-FR"/>
        </w:rPr>
        <w:t xml:space="preserve"> </w:t>
      </w:r>
      <w:r w:rsidR="007A7E54" w:rsidRPr="002E4298">
        <w:rPr>
          <w:lang w:val="fr-FR" w:bidi="fr-FR"/>
        </w:rPr>
        <w:t xml:space="preserve">à </w:t>
      </w:r>
      <w:r w:rsidR="002B314F" w:rsidRPr="002E4298">
        <w:rPr>
          <w:lang w:val="fr-FR" w:bidi="fr-FR"/>
        </w:rPr>
        <w:t>70</w:t>
      </w:r>
      <w:r w:rsidR="00DB0699" w:rsidRPr="002E4298">
        <w:rPr>
          <w:lang w:val="fr-FR" w:bidi="fr-FR"/>
        </w:rPr>
        <w:t> %</w:t>
      </w:r>
      <w:r w:rsidR="002B314F" w:rsidRPr="002E4298">
        <w:rPr>
          <w:lang w:val="fr-FR" w:bidi="fr-FR"/>
        </w:rPr>
        <w:t xml:space="preserve"> de la valeur de référence de la prestation, et </w:t>
      </w:r>
      <w:r w:rsidR="00DC43BF" w:rsidRPr="002E4298">
        <w:rPr>
          <w:lang w:val="fr-FR" w:bidi="fr-FR"/>
        </w:rPr>
        <w:t xml:space="preserve">de </w:t>
      </w:r>
      <w:r w:rsidR="002B314F" w:rsidRPr="002E4298">
        <w:rPr>
          <w:lang w:val="fr-FR" w:bidi="fr-FR"/>
        </w:rPr>
        <w:t>30 </w:t>
      </w:r>
      <w:r w:rsidR="007A7E54" w:rsidRPr="002E4298">
        <w:rPr>
          <w:lang w:val="fr-FR" w:bidi="fr-FR"/>
        </w:rPr>
        <w:t xml:space="preserve">à </w:t>
      </w:r>
      <w:r w:rsidR="002B314F" w:rsidRPr="002E4298">
        <w:rPr>
          <w:lang w:val="fr-FR" w:bidi="fr-FR"/>
        </w:rPr>
        <w:t>50</w:t>
      </w:r>
      <w:r w:rsidR="00DB0699" w:rsidRPr="002E4298">
        <w:rPr>
          <w:lang w:val="fr-FR" w:bidi="fr-FR"/>
        </w:rPr>
        <w:t> %</w:t>
      </w:r>
      <w:r w:rsidR="002B314F" w:rsidRPr="002E4298">
        <w:rPr>
          <w:lang w:val="fr-FR" w:bidi="fr-FR"/>
        </w:rPr>
        <w:t xml:space="preserve"> pour les parents</w:t>
      </w:r>
      <w:r w:rsidR="00DB0699" w:rsidRPr="002E4298">
        <w:rPr>
          <w:lang w:val="fr-FR" w:bidi="fr-FR"/>
        </w:rPr>
        <w:t> ;</w:t>
      </w:r>
    </w:p>
    <w:p w14:paraId="0CE4F177" w14:textId="00052F8E" w:rsidR="002B314F" w:rsidRPr="002E4298" w:rsidRDefault="00C31EE2" w:rsidP="00C31EE2">
      <w:pPr>
        <w:pStyle w:val="SingleTxt"/>
        <w:tabs>
          <w:tab w:val="right" w:pos="1685"/>
        </w:tabs>
        <w:ind w:left="1742" w:hanging="475"/>
        <w:rPr>
          <w:lang w:val="fr-FR"/>
        </w:rPr>
      </w:pPr>
      <w:r w:rsidRPr="002E4298">
        <w:rPr>
          <w:lang w:val="fr-FR" w:bidi="fr-FR"/>
        </w:rPr>
        <w:tab/>
        <w:t>•</w:t>
      </w:r>
      <w:r w:rsidRPr="002E4298">
        <w:rPr>
          <w:lang w:val="fr-FR" w:bidi="fr-FR"/>
        </w:rPr>
        <w:tab/>
      </w:r>
      <w:r w:rsidR="002B314F" w:rsidRPr="002E4298">
        <w:rPr>
          <w:lang w:val="fr-FR" w:bidi="fr-FR"/>
        </w:rPr>
        <w:t>introduction d</w:t>
      </w:r>
      <w:r w:rsidR="00DB0699" w:rsidRPr="002E4298">
        <w:rPr>
          <w:lang w:val="fr-FR" w:bidi="fr-FR"/>
        </w:rPr>
        <w:t>’</w:t>
      </w:r>
      <w:r w:rsidR="002B314F" w:rsidRPr="002E4298">
        <w:rPr>
          <w:lang w:val="fr-FR" w:bidi="fr-FR"/>
        </w:rPr>
        <w:t>une nouvelle conception du tarif social pour l</w:t>
      </w:r>
      <w:r w:rsidR="00DB0699" w:rsidRPr="002E4298">
        <w:rPr>
          <w:lang w:val="fr-FR" w:bidi="fr-FR"/>
        </w:rPr>
        <w:t>’</w:t>
      </w:r>
      <w:r w:rsidR="002B314F" w:rsidRPr="002E4298">
        <w:rPr>
          <w:lang w:val="fr-FR" w:bidi="fr-FR"/>
        </w:rPr>
        <w:t>approvisionnement en énergie dans le cadre du budget de l</w:t>
      </w:r>
      <w:r w:rsidR="00DB0699" w:rsidRPr="002E4298">
        <w:rPr>
          <w:lang w:val="fr-FR" w:bidi="fr-FR"/>
        </w:rPr>
        <w:t>’</w:t>
      </w:r>
      <w:r w:rsidR="002B314F" w:rsidRPr="002E4298">
        <w:rPr>
          <w:lang w:val="fr-FR" w:bidi="fr-FR"/>
        </w:rPr>
        <w:t>État pour</w:t>
      </w:r>
      <w:r w:rsidR="00B23B6D" w:rsidRPr="002E4298">
        <w:rPr>
          <w:lang w:val="fr-FR" w:bidi="fr-FR"/>
        </w:rPr>
        <w:t xml:space="preserve"> 20</w:t>
      </w:r>
      <w:r w:rsidR="002B314F" w:rsidRPr="002E4298">
        <w:rPr>
          <w:lang w:val="fr-FR" w:bidi="fr-FR"/>
        </w:rPr>
        <w:t>16, dans le but de créer un modèle unique et automatique et d</w:t>
      </w:r>
      <w:r w:rsidR="00DB0699" w:rsidRPr="002E4298">
        <w:rPr>
          <w:lang w:val="fr-FR" w:bidi="fr-FR"/>
        </w:rPr>
        <w:t>’</w:t>
      </w:r>
      <w:r w:rsidR="002B314F" w:rsidRPr="002E4298">
        <w:rPr>
          <w:lang w:val="fr-FR" w:bidi="fr-FR"/>
        </w:rPr>
        <w:t>élargir le nombre de bénéficiaires effectifs</w:t>
      </w:r>
      <w:r w:rsidR="00DB0699" w:rsidRPr="002E4298">
        <w:rPr>
          <w:lang w:val="fr-FR" w:bidi="fr-FR"/>
        </w:rPr>
        <w:t> ;</w:t>
      </w:r>
    </w:p>
    <w:p w14:paraId="4610169B" w14:textId="5BB31BB0" w:rsidR="002B314F" w:rsidRPr="002E4298" w:rsidRDefault="00C31EE2" w:rsidP="00C31EE2">
      <w:pPr>
        <w:pStyle w:val="SingleTxt"/>
        <w:tabs>
          <w:tab w:val="right" w:pos="1685"/>
        </w:tabs>
        <w:ind w:left="1742" w:hanging="475"/>
        <w:rPr>
          <w:lang w:val="fr-FR"/>
        </w:rPr>
      </w:pPr>
      <w:r w:rsidRPr="002E4298">
        <w:rPr>
          <w:lang w:val="fr-FR" w:bidi="fr-FR"/>
        </w:rPr>
        <w:tab/>
        <w:t>•</w:t>
      </w:r>
      <w:r w:rsidRPr="002E4298">
        <w:rPr>
          <w:lang w:val="fr-FR" w:bidi="fr-FR"/>
        </w:rPr>
        <w:tab/>
      </w:r>
      <w:r w:rsidR="002B314F" w:rsidRPr="002E4298">
        <w:rPr>
          <w:lang w:val="fr-FR" w:bidi="fr-FR"/>
        </w:rPr>
        <w:t>mise en place, depuis le 1</w:t>
      </w:r>
      <w:r w:rsidR="002B314F" w:rsidRPr="002E4298">
        <w:rPr>
          <w:vertAlign w:val="superscript"/>
          <w:lang w:val="fr-FR" w:bidi="fr-FR"/>
        </w:rPr>
        <w:t>er </w:t>
      </w:r>
      <w:r w:rsidR="002B314F" w:rsidRPr="002E4298">
        <w:rPr>
          <w:lang w:val="fr-FR" w:bidi="fr-FR"/>
        </w:rPr>
        <w:t>juillet</w:t>
      </w:r>
      <w:r w:rsidR="00B23B6D" w:rsidRPr="002E4298">
        <w:rPr>
          <w:lang w:val="fr-FR" w:bidi="fr-FR"/>
        </w:rPr>
        <w:t xml:space="preserve"> 20</w:t>
      </w:r>
      <w:r w:rsidR="002B314F" w:rsidRPr="002E4298">
        <w:rPr>
          <w:lang w:val="fr-FR" w:bidi="fr-FR"/>
        </w:rPr>
        <w:t>16, d</w:t>
      </w:r>
      <w:r w:rsidR="00DB0699" w:rsidRPr="002E4298">
        <w:rPr>
          <w:lang w:val="fr-FR" w:bidi="fr-FR"/>
        </w:rPr>
        <w:t>’</w:t>
      </w:r>
      <w:r w:rsidR="002B314F" w:rsidRPr="002E4298">
        <w:rPr>
          <w:lang w:val="fr-FR" w:bidi="fr-FR"/>
        </w:rPr>
        <w:t xml:space="preserve">un nouveau tarif social pour le gaz naturel, correspondant à une réduction </w:t>
      </w:r>
      <w:r w:rsidR="00DC43BF" w:rsidRPr="002E4298">
        <w:rPr>
          <w:lang w:val="fr-FR" w:bidi="fr-FR"/>
        </w:rPr>
        <w:t xml:space="preserve">de </w:t>
      </w:r>
      <w:r w:rsidR="002B314F" w:rsidRPr="002E4298">
        <w:rPr>
          <w:lang w:val="fr-FR" w:bidi="fr-FR"/>
        </w:rPr>
        <w:t>31,2</w:t>
      </w:r>
      <w:r w:rsidR="00DB0699" w:rsidRPr="002E4298">
        <w:rPr>
          <w:lang w:val="fr-FR" w:bidi="fr-FR"/>
        </w:rPr>
        <w:t> %</w:t>
      </w:r>
      <w:r w:rsidR="002B314F" w:rsidRPr="002E4298">
        <w:rPr>
          <w:lang w:val="fr-FR" w:bidi="fr-FR"/>
        </w:rPr>
        <w:t xml:space="preserve"> du montant de la facture, en vertu de l</w:t>
      </w:r>
      <w:r w:rsidR="00DB0699" w:rsidRPr="002E4298">
        <w:rPr>
          <w:lang w:val="fr-FR" w:bidi="fr-FR"/>
        </w:rPr>
        <w:t>’</w:t>
      </w:r>
      <w:r w:rsidR="002B314F" w:rsidRPr="002E4298">
        <w:rPr>
          <w:lang w:val="fr-FR" w:bidi="fr-FR"/>
        </w:rPr>
        <w:t>arrêté ministériel nº 5138-B/2016</w:t>
      </w:r>
      <w:r w:rsidR="00DB0699" w:rsidRPr="002E4298">
        <w:rPr>
          <w:lang w:val="fr-FR" w:bidi="fr-FR"/>
        </w:rPr>
        <w:t> ;</w:t>
      </w:r>
    </w:p>
    <w:p w14:paraId="724010DF" w14:textId="455BB723" w:rsidR="002B314F" w:rsidRPr="002E4298" w:rsidRDefault="00C31EE2" w:rsidP="00C31EE2">
      <w:pPr>
        <w:pStyle w:val="SingleTxt"/>
        <w:tabs>
          <w:tab w:val="right" w:pos="1685"/>
        </w:tabs>
        <w:ind w:left="1742" w:hanging="475"/>
        <w:rPr>
          <w:lang w:val="fr-FR"/>
        </w:rPr>
      </w:pPr>
      <w:r w:rsidRPr="002E4298">
        <w:rPr>
          <w:lang w:val="fr-FR" w:bidi="fr-FR"/>
        </w:rPr>
        <w:tab/>
        <w:t>•</w:t>
      </w:r>
      <w:r w:rsidRPr="002E4298">
        <w:rPr>
          <w:lang w:val="fr-FR" w:bidi="fr-FR"/>
        </w:rPr>
        <w:tab/>
      </w:r>
      <w:r w:rsidR="002B314F" w:rsidRPr="002E4298">
        <w:rPr>
          <w:lang w:val="fr-FR" w:bidi="fr-FR"/>
        </w:rPr>
        <w:t>établissement d</w:t>
      </w:r>
      <w:r w:rsidR="00DB0699" w:rsidRPr="002E4298">
        <w:rPr>
          <w:lang w:val="fr-FR" w:bidi="fr-FR"/>
        </w:rPr>
        <w:t>’</w:t>
      </w:r>
      <w:r w:rsidR="002B314F" w:rsidRPr="002E4298">
        <w:rPr>
          <w:lang w:val="fr-FR" w:bidi="fr-FR"/>
        </w:rPr>
        <w:t>un nouveau tarif social en matière d</w:t>
      </w:r>
      <w:r w:rsidR="00DB0699" w:rsidRPr="002E4298">
        <w:rPr>
          <w:lang w:val="fr-FR" w:bidi="fr-FR"/>
        </w:rPr>
        <w:t>’</w:t>
      </w:r>
      <w:r w:rsidR="002B314F" w:rsidRPr="002E4298">
        <w:rPr>
          <w:lang w:val="fr-FR" w:bidi="fr-FR"/>
        </w:rPr>
        <w:t>approvisionnement en électricité pour les usagers finaux économiquement vulnérables, applicable depuis le 1</w:t>
      </w:r>
      <w:r w:rsidR="002B314F" w:rsidRPr="002E4298">
        <w:rPr>
          <w:vertAlign w:val="superscript"/>
          <w:lang w:val="fr-FR" w:bidi="fr-FR"/>
        </w:rPr>
        <w:t>er </w:t>
      </w:r>
      <w:r w:rsidR="002B314F" w:rsidRPr="002E4298">
        <w:rPr>
          <w:lang w:val="fr-FR" w:bidi="fr-FR"/>
        </w:rPr>
        <w:t>juillet</w:t>
      </w:r>
      <w:r w:rsidR="00B23B6D" w:rsidRPr="002E4298">
        <w:rPr>
          <w:lang w:val="fr-FR" w:bidi="fr-FR"/>
        </w:rPr>
        <w:t xml:space="preserve"> 20</w:t>
      </w:r>
      <w:r w:rsidR="002B314F" w:rsidRPr="002E4298">
        <w:rPr>
          <w:lang w:val="fr-FR" w:bidi="fr-FR"/>
        </w:rPr>
        <w:t xml:space="preserve">16 et correspondant </w:t>
      </w:r>
      <w:r w:rsidR="007A7E54" w:rsidRPr="002E4298">
        <w:rPr>
          <w:lang w:val="fr-FR" w:bidi="fr-FR"/>
        </w:rPr>
        <w:t xml:space="preserve">à </w:t>
      </w:r>
      <w:r w:rsidR="002B314F" w:rsidRPr="002E4298">
        <w:rPr>
          <w:lang w:val="fr-FR" w:bidi="fr-FR"/>
        </w:rPr>
        <w:t>33,8</w:t>
      </w:r>
      <w:r w:rsidR="00DB0699" w:rsidRPr="002E4298">
        <w:rPr>
          <w:lang w:val="fr-FR" w:bidi="fr-FR"/>
        </w:rPr>
        <w:t> %</w:t>
      </w:r>
      <w:r w:rsidR="002B314F" w:rsidRPr="002E4298">
        <w:rPr>
          <w:lang w:val="fr-FR" w:bidi="fr-FR"/>
        </w:rPr>
        <w:t xml:space="preserve"> du montant de la facture (arrêté ministériel nº 5138-A/2016)</w:t>
      </w:r>
      <w:r w:rsidR="00DB0699" w:rsidRPr="002E4298">
        <w:rPr>
          <w:lang w:val="fr-FR" w:bidi="fr-FR"/>
        </w:rPr>
        <w:t> ;</w:t>
      </w:r>
    </w:p>
    <w:p w14:paraId="1ED42FAD" w14:textId="5587B311" w:rsidR="002B314F" w:rsidRPr="002E4298" w:rsidRDefault="00C31EE2" w:rsidP="00C31EE2">
      <w:pPr>
        <w:pStyle w:val="SingleTxt"/>
        <w:tabs>
          <w:tab w:val="right" w:pos="1685"/>
        </w:tabs>
        <w:ind w:left="1742" w:hanging="475"/>
        <w:rPr>
          <w:lang w:val="fr-FR"/>
        </w:rPr>
      </w:pPr>
      <w:r w:rsidRPr="002E4298">
        <w:rPr>
          <w:lang w:val="fr-FR" w:bidi="fr-FR"/>
        </w:rPr>
        <w:lastRenderedPageBreak/>
        <w:tab/>
        <w:t>•</w:t>
      </w:r>
      <w:r w:rsidRPr="002E4298">
        <w:rPr>
          <w:lang w:val="fr-FR" w:bidi="fr-FR"/>
        </w:rPr>
        <w:tab/>
      </w:r>
      <w:r w:rsidR="002B314F" w:rsidRPr="002E4298">
        <w:rPr>
          <w:lang w:val="fr-FR" w:bidi="fr-FR"/>
        </w:rPr>
        <w:t>approbation de la nouvelle prestation sociale en faveur de l</w:t>
      </w:r>
      <w:r w:rsidR="00DB0699" w:rsidRPr="002E4298">
        <w:rPr>
          <w:lang w:val="fr-FR" w:bidi="fr-FR"/>
        </w:rPr>
        <w:t>’</w:t>
      </w:r>
      <w:r w:rsidR="002B314F" w:rsidRPr="002E4298">
        <w:rPr>
          <w:lang w:val="fr-FR" w:bidi="fr-FR"/>
        </w:rPr>
        <w:t>inclusion (décret-loi nº 126-A/2017) visant à promouvoir l</w:t>
      </w:r>
      <w:r w:rsidR="00DB0699" w:rsidRPr="002E4298">
        <w:rPr>
          <w:lang w:val="fr-FR" w:bidi="fr-FR"/>
        </w:rPr>
        <w:t>’</w:t>
      </w:r>
      <w:r w:rsidR="002B314F" w:rsidRPr="002E4298">
        <w:rPr>
          <w:lang w:val="fr-FR" w:bidi="fr-FR"/>
        </w:rPr>
        <w:t>autonomie et l</w:t>
      </w:r>
      <w:r w:rsidR="00DB0699" w:rsidRPr="002E4298">
        <w:rPr>
          <w:lang w:val="fr-FR" w:bidi="fr-FR"/>
        </w:rPr>
        <w:t>’</w:t>
      </w:r>
      <w:r w:rsidR="002B314F" w:rsidRPr="002E4298">
        <w:rPr>
          <w:lang w:val="fr-FR" w:bidi="fr-FR"/>
        </w:rPr>
        <w:t>inclusion sociale des personnes handicapées, ainsi qu</w:t>
      </w:r>
      <w:r w:rsidR="00DB0699" w:rsidRPr="002E4298">
        <w:rPr>
          <w:lang w:val="fr-FR" w:bidi="fr-FR"/>
        </w:rPr>
        <w:t>’</w:t>
      </w:r>
      <w:r w:rsidR="002B314F" w:rsidRPr="002E4298">
        <w:rPr>
          <w:lang w:val="fr-FR" w:bidi="fr-FR"/>
        </w:rPr>
        <w:t>à contribuer à la lutte contre la pauvreté.</w:t>
      </w:r>
    </w:p>
    <w:p w14:paraId="4D35D2A5" w14:textId="51ED6E36" w:rsidR="002B314F" w:rsidRPr="002E4298" w:rsidRDefault="002B314F" w:rsidP="00A11C35">
      <w:pPr>
        <w:pStyle w:val="SingleTxt"/>
        <w:numPr>
          <w:ilvl w:val="0"/>
          <w:numId w:val="5"/>
        </w:numPr>
        <w:spacing w:line="240" w:lineRule="exact"/>
        <w:ind w:left="1267"/>
        <w:rPr>
          <w:lang w:val="fr-FR"/>
        </w:rPr>
      </w:pPr>
      <w:r w:rsidRPr="002E4298">
        <w:rPr>
          <w:lang w:val="fr-FR" w:bidi="fr-FR"/>
        </w:rPr>
        <w:t>D</w:t>
      </w:r>
      <w:r w:rsidR="00DB0699" w:rsidRPr="002E4298">
        <w:rPr>
          <w:lang w:val="fr-FR" w:bidi="fr-FR"/>
        </w:rPr>
        <w:t>’</w:t>
      </w:r>
      <w:r w:rsidRPr="002E4298">
        <w:rPr>
          <w:lang w:val="fr-FR" w:bidi="fr-FR"/>
        </w:rPr>
        <w:t xml:space="preserve">autres mesures ont également été mises en œuvre, parmi lesquelles la modification de la législation relative au supplément pour soins de longue durée (accordé pour </w:t>
      </w:r>
      <w:r w:rsidR="00135318" w:rsidRPr="002E4298">
        <w:rPr>
          <w:lang w:val="fr-FR" w:bidi="fr-FR"/>
        </w:rPr>
        <w:t xml:space="preserve">deux </w:t>
      </w:r>
      <w:r w:rsidRPr="002E4298">
        <w:rPr>
          <w:lang w:val="fr-FR" w:bidi="fr-FR"/>
        </w:rPr>
        <w:t>degrés de dépendance), ce qui a permis d</w:t>
      </w:r>
      <w:r w:rsidR="00DB0699" w:rsidRPr="002E4298">
        <w:rPr>
          <w:lang w:val="fr-FR" w:bidi="fr-FR"/>
        </w:rPr>
        <w:t>’</w:t>
      </w:r>
      <w:r w:rsidRPr="002E4298">
        <w:rPr>
          <w:lang w:val="fr-FR" w:bidi="fr-FR"/>
        </w:rPr>
        <w:t>étendre ce supplément aux bénéficiaires de la prestation sociale en faveur de l</w:t>
      </w:r>
      <w:r w:rsidR="00DB0699" w:rsidRPr="002E4298">
        <w:rPr>
          <w:lang w:val="fr-FR" w:bidi="fr-FR"/>
        </w:rPr>
        <w:t>’</w:t>
      </w:r>
      <w:r w:rsidRPr="002E4298">
        <w:rPr>
          <w:lang w:val="fr-FR" w:bidi="fr-FR"/>
        </w:rPr>
        <w:t>inclusion, ainsi que le supplément de solidarité pour les personnes âgées aux bénéficiaires de pensions anticipées accordées dans le cadre des différents régimes permettant la retraite anticipée, ainsi qu</w:t>
      </w:r>
      <w:r w:rsidR="00DB0699" w:rsidRPr="002E4298">
        <w:rPr>
          <w:lang w:val="fr-FR" w:bidi="fr-FR"/>
        </w:rPr>
        <w:t>’</w:t>
      </w:r>
      <w:r w:rsidRPr="002E4298">
        <w:rPr>
          <w:lang w:val="fr-FR" w:bidi="fr-FR"/>
        </w:rPr>
        <w:t>aux bénéficiaires de la prestation sociale en faveur de l</w:t>
      </w:r>
      <w:r w:rsidR="00DB0699" w:rsidRPr="002E4298">
        <w:rPr>
          <w:lang w:val="fr-FR" w:bidi="fr-FR"/>
        </w:rPr>
        <w:t>’</w:t>
      </w:r>
      <w:r w:rsidRPr="002E4298">
        <w:rPr>
          <w:lang w:val="fr-FR" w:bidi="fr-FR"/>
        </w:rPr>
        <w:t>inclusion.</w:t>
      </w:r>
    </w:p>
    <w:p w14:paraId="24DED2C5" w14:textId="1CAA020F" w:rsidR="002B314F" w:rsidRPr="002E4298" w:rsidRDefault="002B314F" w:rsidP="00A11C35">
      <w:pPr>
        <w:pStyle w:val="SingleTxt"/>
        <w:numPr>
          <w:ilvl w:val="0"/>
          <w:numId w:val="5"/>
        </w:numPr>
        <w:spacing w:line="240" w:lineRule="exact"/>
        <w:ind w:left="1267"/>
        <w:rPr>
          <w:lang w:val="fr-FR"/>
        </w:rPr>
      </w:pPr>
      <w:r w:rsidRPr="002E4298">
        <w:rPr>
          <w:lang w:val="fr-FR" w:bidi="fr-FR"/>
        </w:rPr>
        <w:t>Pour mettre en œuvre les mesures susmentionnées pendant la période d</w:t>
      </w:r>
      <w:r w:rsidR="00DB0699" w:rsidRPr="002E4298">
        <w:rPr>
          <w:lang w:val="fr-FR" w:bidi="fr-FR"/>
        </w:rPr>
        <w:t>’</w:t>
      </w:r>
      <w:r w:rsidRPr="002E4298">
        <w:rPr>
          <w:lang w:val="fr-FR" w:bidi="fr-FR"/>
        </w:rPr>
        <w:t>austérité, le Portugal disposait, malgré les mesures d</w:t>
      </w:r>
      <w:r w:rsidR="00DB0699" w:rsidRPr="002E4298">
        <w:rPr>
          <w:lang w:val="fr-FR" w:bidi="fr-FR"/>
        </w:rPr>
        <w:t>’</w:t>
      </w:r>
      <w:r w:rsidRPr="002E4298">
        <w:rPr>
          <w:lang w:val="fr-FR" w:bidi="fr-FR"/>
        </w:rPr>
        <w:t>austérité et d</w:t>
      </w:r>
      <w:r w:rsidR="00DB0699" w:rsidRPr="002E4298">
        <w:rPr>
          <w:lang w:val="fr-FR" w:bidi="fr-FR"/>
        </w:rPr>
        <w:t>’</w:t>
      </w:r>
      <w:r w:rsidRPr="002E4298">
        <w:rPr>
          <w:lang w:val="fr-FR" w:bidi="fr-FR"/>
        </w:rPr>
        <w:t>assainissement des finances publiques, du budget de la Commission pour la citoyenneté et l</w:t>
      </w:r>
      <w:r w:rsidR="00DB0699" w:rsidRPr="002E4298">
        <w:rPr>
          <w:lang w:val="fr-FR" w:bidi="fr-FR"/>
        </w:rPr>
        <w:t>’</w:t>
      </w:r>
      <w:r w:rsidRPr="002E4298">
        <w:rPr>
          <w:lang w:val="fr-FR" w:bidi="fr-FR"/>
        </w:rPr>
        <w:t>égalité des genres et d</w:t>
      </w:r>
      <w:r w:rsidR="00DB0699" w:rsidRPr="002E4298">
        <w:rPr>
          <w:lang w:val="fr-FR" w:bidi="fr-FR"/>
        </w:rPr>
        <w:t>’</w:t>
      </w:r>
      <w:r w:rsidRPr="002E4298">
        <w:rPr>
          <w:lang w:val="fr-FR" w:bidi="fr-FR"/>
        </w:rPr>
        <w:t>autres ministères, ainsi que d</w:t>
      </w:r>
      <w:r w:rsidR="00DB0699" w:rsidRPr="002E4298">
        <w:rPr>
          <w:lang w:val="fr-FR" w:bidi="fr-FR"/>
        </w:rPr>
        <w:t>’</w:t>
      </w:r>
      <w:r w:rsidRPr="002E4298">
        <w:rPr>
          <w:lang w:val="fr-FR" w:bidi="fr-FR"/>
        </w:rPr>
        <w:t>autres sources de financement, à savoir les fonds européens et les subventions de l</w:t>
      </w:r>
      <w:r w:rsidR="00DB0699" w:rsidRPr="002E4298">
        <w:rPr>
          <w:lang w:val="fr-FR" w:bidi="fr-FR"/>
        </w:rPr>
        <w:t>’</w:t>
      </w:r>
      <w:r w:rsidRPr="002E4298">
        <w:rPr>
          <w:lang w:val="fr-FR" w:bidi="fr-FR"/>
        </w:rPr>
        <w:t>Espace économique européen. En outre, 15,46</w:t>
      </w:r>
      <w:r w:rsidR="00DB0699" w:rsidRPr="002E4298">
        <w:rPr>
          <w:lang w:val="fr-FR" w:bidi="fr-FR"/>
        </w:rPr>
        <w:t> %</w:t>
      </w:r>
      <w:r w:rsidRPr="002E4298">
        <w:rPr>
          <w:lang w:val="fr-FR" w:bidi="fr-FR"/>
        </w:rPr>
        <w:t> des recettes des jeux sociaux (par exemple les loteries) allouées à la présidence du Conseil des ministres sont utilisées pour la prévention et la lutte contre la violence domestique, de traite des êtres humains et de mutilations génitales féminines, ainsi que pour la promotion de l</w:t>
      </w:r>
      <w:r w:rsidR="00DB0699" w:rsidRPr="002E4298">
        <w:rPr>
          <w:lang w:val="fr-FR" w:bidi="fr-FR"/>
        </w:rPr>
        <w:t>’</w:t>
      </w:r>
      <w:r w:rsidRPr="002E4298">
        <w:rPr>
          <w:lang w:val="fr-FR" w:bidi="fr-FR"/>
        </w:rPr>
        <w:t>égalité des genres, ce qui a permis d</w:t>
      </w:r>
      <w:r w:rsidR="00DB0699" w:rsidRPr="002E4298">
        <w:rPr>
          <w:lang w:val="fr-FR" w:bidi="fr-FR"/>
        </w:rPr>
        <w:t>’</w:t>
      </w:r>
      <w:r w:rsidRPr="002E4298">
        <w:rPr>
          <w:lang w:val="fr-FR" w:bidi="fr-FR"/>
        </w:rPr>
        <w:t>accroître le financement d</w:t>
      </w:r>
      <w:r w:rsidR="00DB0699" w:rsidRPr="002E4298">
        <w:rPr>
          <w:lang w:val="fr-FR" w:bidi="fr-FR"/>
        </w:rPr>
        <w:t>’</w:t>
      </w:r>
      <w:r w:rsidRPr="002E4298">
        <w:rPr>
          <w:lang w:val="fr-FR" w:bidi="fr-FR"/>
        </w:rPr>
        <w:t>activités tels que le transport des victimes, l</w:t>
      </w:r>
      <w:r w:rsidR="00DB0699" w:rsidRPr="002E4298">
        <w:rPr>
          <w:lang w:val="fr-FR" w:bidi="fr-FR"/>
        </w:rPr>
        <w:t>’</w:t>
      </w:r>
      <w:r w:rsidRPr="002E4298">
        <w:rPr>
          <w:lang w:val="fr-FR" w:bidi="fr-FR"/>
        </w:rPr>
        <w:t>hébergement et les abris d</w:t>
      </w:r>
      <w:r w:rsidR="00DB0699" w:rsidRPr="002E4298">
        <w:rPr>
          <w:lang w:val="fr-FR" w:bidi="fr-FR"/>
        </w:rPr>
        <w:t>’</w:t>
      </w:r>
      <w:r w:rsidRPr="002E4298">
        <w:rPr>
          <w:lang w:val="fr-FR" w:bidi="fr-FR"/>
        </w:rPr>
        <w:t>urgence, les soins de santé, les centres d</w:t>
      </w:r>
      <w:r w:rsidR="00DB0699" w:rsidRPr="002E4298">
        <w:rPr>
          <w:lang w:val="fr-FR" w:bidi="fr-FR"/>
        </w:rPr>
        <w:t>’</w:t>
      </w:r>
      <w:r w:rsidRPr="002E4298">
        <w:rPr>
          <w:lang w:val="fr-FR" w:bidi="fr-FR"/>
        </w:rPr>
        <w:t>aide aux victimes, l</w:t>
      </w:r>
      <w:r w:rsidR="00DB0699" w:rsidRPr="002E4298">
        <w:rPr>
          <w:lang w:val="fr-FR" w:bidi="fr-FR"/>
        </w:rPr>
        <w:t>’</w:t>
      </w:r>
      <w:r w:rsidRPr="002E4298">
        <w:rPr>
          <w:lang w:val="fr-FR" w:bidi="fr-FR"/>
        </w:rPr>
        <w:t>utilisation de dispositifs électroniques dans les activités de surveillance et d</w:t>
      </w:r>
      <w:r w:rsidR="00DB0699" w:rsidRPr="002E4298">
        <w:rPr>
          <w:lang w:val="fr-FR" w:bidi="fr-FR"/>
        </w:rPr>
        <w:t>’</w:t>
      </w:r>
      <w:r w:rsidRPr="002E4298">
        <w:rPr>
          <w:lang w:val="fr-FR" w:bidi="fr-FR"/>
        </w:rPr>
        <w:t>assistance, l</w:t>
      </w:r>
      <w:r w:rsidR="00DB0699" w:rsidRPr="002E4298">
        <w:rPr>
          <w:lang w:val="fr-FR" w:bidi="fr-FR"/>
        </w:rPr>
        <w:t>’</w:t>
      </w:r>
      <w:r w:rsidRPr="002E4298">
        <w:rPr>
          <w:lang w:val="fr-FR" w:bidi="fr-FR"/>
        </w:rPr>
        <w:t>autonomisation des victimes, la formation, l</w:t>
      </w:r>
      <w:r w:rsidR="00DB0699" w:rsidRPr="002E4298">
        <w:rPr>
          <w:lang w:val="fr-FR" w:bidi="fr-FR"/>
        </w:rPr>
        <w:t>’</w:t>
      </w:r>
      <w:r w:rsidRPr="002E4298">
        <w:rPr>
          <w:lang w:val="fr-FR" w:bidi="fr-FR"/>
        </w:rPr>
        <w:t>information et le soutien des ONG.</w:t>
      </w:r>
    </w:p>
    <w:p w14:paraId="6C570C50" w14:textId="77777777" w:rsidR="00C31EE2" w:rsidRPr="002E4298" w:rsidRDefault="00C31EE2" w:rsidP="00C31EE2">
      <w:pPr>
        <w:pStyle w:val="SingleTxt"/>
        <w:spacing w:after="0" w:line="120" w:lineRule="exact"/>
        <w:rPr>
          <w:sz w:val="10"/>
          <w:lang w:val="fr-FR" w:bidi="fr-FR"/>
        </w:rPr>
      </w:pPr>
    </w:p>
    <w:p w14:paraId="13488658" w14:textId="032CAFF4" w:rsidR="002B314F" w:rsidRPr="002E4298" w:rsidRDefault="002B314F" w:rsidP="00C31E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2E4298">
        <w:rPr>
          <w:lang w:val="fr-FR" w:bidi="fr-FR"/>
        </w:rPr>
        <w:tab/>
        <w:t>3.</w:t>
      </w:r>
      <w:r w:rsidRPr="002E4298">
        <w:rPr>
          <w:lang w:val="fr-FR" w:bidi="fr-FR"/>
        </w:rPr>
        <w:tab/>
        <w:t>Application de la Convention dans les régions autonomes des Açores</w:t>
      </w:r>
      <w:r w:rsidR="00C31EE2" w:rsidRPr="002E4298">
        <w:rPr>
          <w:lang w:val="fr-FR" w:bidi="fr-FR"/>
        </w:rPr>
        <w:br/>
      </w:r>
      <w:r w:rsidRPr="002E4298">
        <w:rPr>
          <w:lang w:val="fr-FR" w:bidi="fr-FR"/>
        </w:rPr>
        <w:t>et de Madère (paragraphes 10 et 11)</w:t>
      </w:r>
    </w:p>
    <w:p w14:paraId="6466C31C" w14:textId="5557EE1A" w:rsidR="00C31EE2" w:rsidRPr="002E4298" w:rsidRDefault="00C31EE2" w:rsidP="00C31EE2">
      <w:pPr>
        <w:pStyle w:val="SingleTxt"/>
        <w:spacing w:after="0" w:line="120" w:lineRule="exact"/>
        <w:rPr>
          <w:sz w:val="10"/>
          <w:lang w:val="fr-FR" w:bidi="fr-FR"/>
        </w:rPr>
      </w:pPr>
    </w:p>
    <w:p w14:paraId="605688FA" w14:textId="6CD3B158" w:rsidR="002B314F" w:rsidRPr="002E4298" w:rsidRDefault="002B314F" w:rsidP="00A11C35">
      <w:pPr>
        <w:pStyle w:val="SingleTxt"/>
        <w:numPr>
          <w:ilvl w:val="0"/>
          <w:numId w:val="5"/>
        </w:numPr>
        <w:spacing w:line="240" w:lineRule="exact"/>
        <w:ind w:left="1267"/>
        <w:rPr>
          <w:lang w:val="fr-FR"/>
        </w:rPr>
      </w:pPr>
      <w:r w:rsidRPr="002E4298">
        <w:rPr>
          <w:lang w:val="fr-FR" w:bidi="fr-FR"/>
        </w:rPr>
        <w:t>Le Comité régional pour l</w:t>
      </w:r>
      <w:r w:rsidR="00DB0699" w:rsidRPr="002E4298">
        <w:rPr>
          <w:lang w:val="fr-FR" w:bidi="fr-FR"/>
        </w:rPr>
        <w:t>’</w:t>
      </w:r>
      <w:r w:rsidRPr="002E4298">
        <w:rPr>
          <w:lang w:val="fr-FR" w:bidi="fr-FR"/>
        </w:rPr>
        <w:t>égalité dans le travail et l</w:t>
      </w:r>
      <w:r w:rsidR="00DB0699" w:rsidRPr="002E4298">
        <w:rPr>
          <w:lang w:val="fr-FR" w:bidi="fr-FR"/>
        </w:rPr>
        <w:t>’</w:t>
      </w:r>
      <w:r w:rsidRPr="002E4298">
        <w:rPr>
          <w:lang w:val="fr-FR" w:bidi="fr-FR"/>
        </w:rPr>
        <w:t>emploi des Açores</w:t>
      </w:r>
      <w:r w:rsidRPr="002E4298">
        <w:rPr>
          <w:vertAlign w:val="superscript"/>
          <w:lang w:val="fr-FR" w:bidi="fr-FR"/>
        </w:rPr>
        <w:footnoteReference w:id="6"/>
      </w:r>
      <w:r w:rsidRPr="002E4298">
        <w:rPr>
          <w:lang w:val="fr-FR" w:bidi="fr-FR"/>
        </w:rPr>
        <w:t>, entité compétente dans le domaine de l</w:t>
      </w:r>
      <w:r w:rsidR="00DB0699" w:rsidRPr="002E4298">
        <w:rPr>
          <w:lang w:val="fr-FR" w:bidi="fr-FR"/>
        </w:rPr>
        <w:t>’</w:t>
      </w:r>
      <w:r w:rsidRPr="002E4298">
        <w:rPr>
          <w:lang w:val="fr-FR" w:bidi="fr-FR"/>
        </w:rPr>
        <w:t>égalité des chances, cherche à promouvoir l</w:t>
      </w:r>
      <w:r w:rsidR="00DB0699" w:rsidRPr="002E4298">
        <w:rPr>
          <w:lang w:val="fr-FR" w:bidi="fr-FR"/>
        </w:rPr>
        <w:t>’</w:t>
      </w:r>
      <w:r w:rsidRPr="002E4298">
        <w:rPr>
          <w:lang w:val="fr-FR" w:bidi="fr-FR"/>
        </w:rPr>
        <w:t>égalité et la non-discrimination entre les femmes et les hommes dans le travail, l</w:t>
      </w:r>
      <w:r w:rsidR="00DB0699" w:rsidRPr="002E4298">
        <w:rPr>
          <w:lang w:val="fr-FR" w:bidi="fr-FR"/>
        </w:rPr>
        <w:t>’</w:t>
      </w:r>
      <w:r w:rsidRPr="002E4298">
        <w:rPr>
          <w:lang w:val="fr-FR" w:bidi="fr-FR"/>
        </w:rPr>
        <w:t>emploi et la formation professionnelle, ainsi que la protection de la maternité et de la paternité et la conciliation entre vie professionnelle et vie privée, et répond aux consultations et communications que lui adressent des entités publiques et privées.</w:t>
      </w:r>
    </w:p>
    <w:p w14:paraId="52EF8297" w14:textId="77777777" w:rsidR="00C31EE2" w:rsidRPr="002E4298" w:rsidRDefault="00C31EE2" w:rsidP="00C31EE2">
      <w:pPr>
        <w:pStyle w:val="SingleTxt"/>
        <w:spacing w:after="0" w:line="120" w:lineRule="exact"/>
        <w:rPr>
          <w:sz w:val="10"/>
          <w:lang w:val="fr-FR" w:bidi="fr-FR"/>
        </w:rPr>
      </w:pPr>
    </w:p>
    <w:p w14:paraId="72D1C2B2" w14:textId="6468787C" w:rsidR="002B314F" w:rsidRPr="002E4298" w:rsidRDefault="002B314F" w:rsidP="00C31E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2E4298">
        <w:rPr>
          <w:lang w:val="fr-FR" w:bidi="fr-FR"/>
        </w:rPr>
        <w:tab/>
        <w:t>4.</w:t>
      </w:r>
      <w:r w:rsidRPr="002E4298">
        <w:rPr>
          <w:lang w:val="fr-FR" w:bidi="fr-FR"/>
        </w:rPr>
        <w:tab/>
        <w:t>Visibilité de la Convention, de son Protocole facultatif et des recommandations générales du Comité (paragraphe 12 et 13)</w:t>
      </w:r>
    </w:p>
    <w:p w14:paraId="16E31101" w14:textId="201012AE" w:rsidR="00C31EE2" w:rsidRPr="002E4298" w:rsidRDefault="00C31EE2" w:rsidP="00C31EE2">
      <w:pPr>
        <w:pStyle w:val="SingleTxt"/>
        <w:spacing w:after="0" w:line="120" w:lineRule="exact"/>
        <w:rPr>
          <w:sz w:val="10"/>
          <w:lang w:val="fr-FR" w:bidi="fr-FR"/>
        </w:rPr>
      </w:pPr>
    </w:p>
    <w:p w14:paraId="75E87ED3" w14:textId="34550169" w:rsidR="00DB0699" w:rsidRPr="002E4298" w:rsidRDefault="002B314F" w:rsidP="00A11C35">
      <w:pPr>
        <w:pStyle w:val="SingleTxt"/>
        <w:numPr>
          <w:ilvl w:val="0"/>
          <w:numId w:val="5"/>
        </w:numPr>
        <w:spacing w:line="240" w:lineRule="exact"/>
        <w:ind w:left="1267"/>
        <w:rPr>
          <w:lang w:val="fr-FR" w:bidi="fr-FR"/>
        </w:rPr>
      </w:pPr>
      <w:r w:rsidRPr="002E4298">
        <w:rPr>
          <w:lang w:val="fr-FR" w:bidi="fr-FR"/>
        </w:rPr>
        <w:t>En ce qui concerne les juges et les procureurs, le Centre d</w:t>
      </w:r>
      <w:r w:rsidR="00DB0699" w:rsidRPr="002E4298">
        <w:rPr>
          <w:lang w:val="fr-FR" w:bidi="fr-FR"/>
        </w:rPr>
        <w:t>’</w:t>
      </w:r>
      <w:r w:rsidRPr="002E4298">
        <w:rPr>
          <w:lang w:val="fr-FR" w:bidi="fr-FR"/>
        </w:rPr>
        <w:t>études judiciaires dispense des formations sur divers sujets relatifs aux droits fondamentaux et au droit constitutionnel, sous forme de cours, d</w:t>
      </w:r>
      <w:r w:rsidR="00DB0699" w:rsidRPr="002E4298">
        <w:rPr>
          <w:lang w:val="fr-FR" w:bidi="fr-FR"/>
        </w:rPr>
        <w:t>’</w:t>
      </w:r>
      <w:r w:rsidRPr="002E4298">
        <w:rPr>
          <w:lang w:val="fr-FR" w:bidi="fr-FR"/>
        </w:rPr>
        <w:t>ateliers ou de séminaires, qui portent notamment sur la violence domestique, la violence fondée sur le genre et les mutilations génitales féminines. Une formation sur les droits humains et la violence domestique est désormais obligatoire pour les juges et les procureurs (voir section 9 ci-dessous).</w:t>
      </w:r>
    </w:p>
    <w:p w14:paraId="53AA56C5" w14:textId="3C23D5D6" w:rsidR="00DB0699" w:rsidRPr="002E4298" w:rsidRDefault="002B314F" w:rsidP="00A11C35">
      <w:pPr>
        <w:pStyle w:val="SingleTxt"/>
        <w:numPr>
          <w:ilvl w:val="0"/>
          <w:numId w:val="5"/>
        </w:numPr>
        <w:tabs>
          <w:tab w:val="num" w:pos="2804"/>
        </w:tabs>
        <w:spacing w:line="240" w:lineRule="exact"/>
        <w:ind w:left="1267"/>
        <w:rPr>
          <w:lang w:val="fr-FR" w:bidi="fr-FR"/>
        </w:rPr>
      </w:pPr>
      <w:r w:rsidRPr="002E4298">
        <w:rPr>
          <w:lang w:val="fr-FR" w:bidi="fr-FR"/>
        </w:rPr>
        <w:t>Depuis</w:t>
      </w:r>
      <w:r w:rsidR="00B23B6D" w:rsidRPr="002E4298">
        <w:rPr>
          <w:lang w:val="fr-FR" w:bidi="fr-FR"/>
        </w:rPr>
        <w:t xml:space="preserve"> 20</w:t>
      </w:r>
      <w:r w:rsidRPr="002E4298">
        <w:rPr>
          <w:lang w:val="fr-FR" w:bidi="fr-FR"/>
        </w:rPr>
        <w:t>18, les plans de formation annuels comprennent en outre une formation sur l</w:t>
      </w:r>
      <w:r w:rsidR="00DB0699" w:rsidRPr="002E4298">
        <w:rPr>
          <w:lang w:val="fr-FR" w:bidi="fr-FR"/>
        </w:rPr>
        <w:t>’</w:t>
      </w:r>
      <w:r w:rsidRPr="002E4298">
        <w:rPr>
          <w:lang w:val="fr-FR" w:bidi="fr-FR"/>
        </w:rPr>
        <w:t>importance de tenir compte de la problématique femmes-hommes dans le cadre des procédures judiciaires. Le Centre d</w:t>
      </w:r>
      <w:r w:rsidR="00DB0699" w:rsidRPr="002E4298">
        <w:rPr>
          <w:lang w:val="fr-FR" w:bidi="fr-FR"/>
        </w:rPr>
        <w:t>’</w:t>
      </w:r>
      <w:r w:rsidRPr="002E4298">
        <w:rPr>
          <w:lang w:val="fr-FR" w:bidi="fr-FR"/>
        </w:rPr>
        <w:t>études judiciaires a également publié un livre électronique sur le sujet</w:t>
      </w:r>
      <w:r w:rsidRPr="002E4298">
        <w:rPr>
          <w:vertAlign w:val="superscript"/>
          <w:lang w:val="fr-FR" w:bidi="fr-FR"/>
        </w:rPr>
        <w:footnoteReference w:id="7"/>
      </w:r>
      <w:r w:rsidRPr="002E4298">
        <w:rPr>
          <w:lang w:val="fr-FR" w:bidi="fr-FR"/>
        </w:rPr>
        <w:t>.</w:t>
      </w:r>
    </w:p>
    <w:p w14:paraId="5EF07ACC" w14:textId="45CF5187" w:rsidR="00DB0699" w:rsidRPr="002E4298" w:rsidRDefault="002B314F" w:rsidP="00A11C35">
      <w:pPr>
        <w:pStyle w:val="SingleTxt"/>
        <w:numPr>
          <w:ilvl w:val="0"/>
          <w:numId w:val="5"/>
        </w:numPr>
        <w:tabs>
          <w:tab w:val="num" w:pos="2804"/>
        </w:tabs>
        <w:spacing w:line="240" w:lineRule="exact"/>
        <w:ind w:left="1267"/>
        <w:rPr>
          <w:lang w:val="fr-FR" w:bidi="fr-FR"/>
        </w:rPr>
      </w:pPr>
      <w:r w:rsidRPr="002E4298">
        <w:rPr>
          <w:lang w:val="fr-FR" w:bidi="fr-FR"/>
        </w:rPr>
        <w:lastRenderedPageBreak/>
        <w:t>Le Barreau portugais propose de plus en plus de formations sur des sujets liés aux droits des femmes (voir section 9 ci-dessous).</w:t>
      </w:r>
    </w:p>
    <w:p w14:paraId="78ABAAFC" w14:textId="3D777944" w:rsidR="002B314F" w:rsidRPr="002E4298" w:rsidRDefault="002B314F" w:rsidP="00A11C35">
      <w:pPr>
        <w:pStyle w:val="SingleTxt"/>
        <w:numPr>
          <w:ilvl w:val="0"/>
          <w:numId w:val="5"/>
        </w:numPr>
        <w:tabs>
          <w:tab w:val="num" w:pos="2804"/>
        </w:tabs>
        <w:spacing w:line="240" w:lineRule="exact"/>
        <w:ind w:left="1267"/>
        <w:rPr>
          <w:lang w:val="fr-FR"/>
        </w:rPr>
      </w:pPr>
      <w:r w:rsidRPr="002E4298">
        <w:rPr>
          <w:lang w:val="fr-FR" w:bidi="fr-FR"/>
        </w:rPr>
        <w:t>Concernant l</w:t>
      </w:r>
      <w:r w:rsidR="00DB0699" w:rsidRPr="002E4298">
        <w:rPr>
          <w:lang w:val="fr-FR" w:bidi="fr-FR"/>
        </w:rPr>
        <w:t>’</w:t>
      </w:r>
      <w:r w:rsidRPr="002E4298">
        <w:rPr>
          <w:lang w:val="fr-FR" w:bidi="fr-FR"/>
        </w:rPr>
        <w:t xml:space="preserve">utilisation de la Convention dans les tribunaux nationaux, il convient de souligner que la Cour suprême administrative a rendu un jugement </w:t>
      </w:r>
      <w:r w:rsidR="00DC43BF" w:rsidRPr="002E4298">
        <w:rPr>
          <w:lang w:val="fr-FR" w:bidi="fr-FR"/>
        </w:rPr>
        <w:t xml:space="preserve">le </w:t>
      </w:r>
      <w:r w:rsidRPr="002E4298">
        <w:rPr>
          <w:lang w:val="fr-FR" w:bidi="fr-FR"/>
        </w:rPr>
        <w:t>4 avril</w:t>
      </w:r>
      <w:r w:rsidR="00B23B6D" w:rsidRPr="002E4298">
        <w:rPr>
          <w:lang w:val="fr-FR" w:bidi="fr-FR"/>
        </w:rPr>
        <w:t xml:space="preserve"> 20</w:t>
      </w:r>
      <w:r w:rsidRPr="002E4298">
        <w:rPr>
          <w:lang w:val="fr-FR" w:bidi="fr-FR"/>
        </w:rPr>
        <w:t>19 (procédure 0279/14.0BALSB-S1) qui a renversé la jurisprudence antérieure en reconnaissant le droit des femmes à recevoir une indemnisation pour les dommages causés par une intervention médicale dans les mêmes conditions que les hommes. Cette décision historique a été rendue à la suite d</w:t>
      </w:r>
      <w:r w:rsidR="00DB0699" w:rsidRPr="002E4298">
        <w:rPr>
          <w:lang w:val="fr-FR" w:bidi="fr-FR"/>
        </w:rPr>
        <w:t>’</w:t>
      </w:r>
      <w:r w:rsidRPr="002E4298">
        <w:rPr>
          <w:lang w:val="fr-FR" w:bidi="fr-FR"/>
        </w:rPr>
        <w:t>un arrêt de la Cour européenne des droits de l</w:t>
      </w:r>
      <w:r w:rsidR="00DB0699" w:rsidRPr="002E4298">
        <w:rPr>
          <w:lang w:val="fr-FR" w:bidi="fr-FR"/>
        </w:rPr>
        <w:t>’</w:t>
      </w:r>
      <w:r w:rsidRPr="002E4298">
        <w:rPr>
          <w:lang w:val="fr-FR" w:bidi="fr-FR"/>
        </w:rPr>
        <w:t xml:space="preserve">homme (affaire Carvalho Pinto de Sousa Morais c. Portugal, </w:t>
      </w:r>
      <w:r w:rsidR="003E7581" w:rsidRPr="002E4298">
        <w:rPr>
          <w:lang w:val="fr-FR" w:bidi="fr-FR"/>
        </w:rPr>
        <w:t xml:space="preserve">du </w:t>
      </w:r>
      <w:r w:rsidRPr="002E4298">
        <w:rPr>
          <w:lang w:val="fr-FR" w:bidi="fr-FR"/>
        </w:rPr>
        <w:t>25 juillet</w:t>
      </w:r>
      <w:r w:rsidR="00B23B6D" w:rsidRPr="002E4298">
        <w:rPr>
          <w:lang w:val="fr-FR" w:bidi="fr-FR"/>
        </w:rPr>
        <w:t xml:space="preserve"> 20</w:t>
      </w:r>
      <w:r w:rsidRPr="002E4298">
        <w:rPr>
          <w:lang w:val="fr-FR" w:bidi="fr-FR"/>
        </w:rPr>
        <w:t>17, requête nº 17484/15</w:t>
      </w:r>
      <w:r w:rsidRPr="002E4298">
        <w:rPr>
          <w:vertAlign w:val="superscript"/>
          <w:lang w:val="fr-FR" w:bidi="fr-FR"/>
        </w:rPr>
        <w:footnoteReference w:id="8"/>
      </w:r>
      <w:r w:rsidRPr="002E4298">
        <w:rPr>
          <w:lang w:val="fr-FR" w:bidi="fr-FR"/>
        </w:rPr>
        <w:t>) qui se fondait dans une large mesure sur la Convention et les recommandations et conclusions générales du Comité concernant le Portugal.</w:t>
      </w:r>
    </w:p>
    <w:p w14:paraId="3135C4BC" w14:textId="77777777" w:rsidR="00C31EE2" w:rsidRPr="002E4298" w:rsidRDefault="00C31EE2" w:rsidP="00C31EE2">
      <w:pPr>
        <w:pStyle w:val="SingleTxt"/>
        <w:spacing w:after="0" w:line="120" w:lineRule="exact"/>
        <w:rPr>
          <w:sz w:val="10"/>
          <w:lang w:val="fr-FR" w:bidi="fr-FR"/>
        </w:rPr>
      </w:pPr>
      <w:bookmarkStart w:id="2" w:name="_Hlk23144822"/>
    </w:p>
    <w:p w14:paraId="6CCB74D0" w14:textId="3C3BDB3D" w:rsidR="002B314F" w:rsidRPr="002E4298" w:rsidRDefault="002B314F" w:rsidP="00C31E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2E4298">
        <w:rPr>
          <w:lang w:val="fr-FR" w:bidi="fr-FR"/>
        </w:rPr>
        <w:tab/>
        <w:t>5.</w:t>
      </w:r>
      <w:r w:rsidRPr="002E4298">
        <w:rPr>
          <w:lang w:val="fr-FR" w:bidi="fr-FR"/>
        </w:rPr>
        <w:tab/>
        <w:t>Mécanismes nationaux de promotion de la femme (paragraphes 14 et 15)</w:t>
      </w:r>
    </w:p>
    <w:p w14:paraId="5F56849B" w14:textId="152A1929" w:rsidR="00C31EE2" w:rsidRPr="002E4298" w:rsidRDefault="00C31EE2" w:rsidP="00C31EE2">
      <w:pPr>
        <w:pStyle w:val="SingleTxt"/>
        <w:spacing w:after="0" w:line="120" w:lineRule="exact"/>
        <w:rPr>
          <w:sz w:val="10"/>
          <w:lang w:val="fr-FR" w:bidi="fr-FR"/>
        </w:rPr>
      </w:pPr>
    </w:p>
    <w:p w14:paraId="544D45B9" w14:textId="16A2E5E5" w:rsidR="002B314F" w:rsidRPr="002E4298" w:rsidRDefault="002B314F" w:rsidP="00A11C35">
      <w:pPr>
        <w:pStyle w:val="SingleTxt"/>
        <w:numPr>
          <w:ilvl w:val="0"/>
          <w:numId w:val="5"/>
        </w:numPr>
        <w:spacing w:line="240" w:lineRule="exact"/>
        <w:ind w:left="1267"/>
        <w:rPr>
          <w:lang w:val="fr-FR"/>
        </w:rPr>
      </w:pPr>
      <w:r w:rsidRPr="002E4298">
        <w:rPr>
          <w:lang w:val="fr-FR" w:bidi="fr-FR"/>
        </w:rPr>
        <w:t>En</w:t>
      </w:r>
      <w:r w:rsidR="00B23B6D" w:rsidRPr="002E4298">
        <w:rPr>
          <w:lang w:val="fr-FR" w:bidi="fr-FR"/>
        </w:rPr>
        <w:t xml:space="preserve"> 20</w:t>
      </w:r>
      <w:r w:rsidRPr="002E4298">
        <w:rPr>
          <w:lang w:val="fr-FR" w:bidi="fr-FR"/>
        </w:rPr>
        <w:t>15, la Commission pour la citoyenneté et l</w:t>
      </w:r>
      <w:r w:rsidR="00DB0699" w:rsidRPr="002E4298">
        <w:rPr>
          <w:lang w:val="fr-FR" w:bidi="fr-FR"/>
        </w:rPr>
        <w:t>’</w:t>
      </w:r>
      <w:r w:rsidRPr="002E4298">
        <w:rPr>
          <w:lang w:val="fr-FR" w:bidi="fr-FR"/>
        </w:rPr>
        <w:t>égalité des genres</w:t>
      </w:r>
      <w:r w:rsidRPr="002E4298" w:rsidDel="00535E0B">
        <w:rPr>
          <w:lang w:val="fr-FR" w:bidi="fr-FR"/>
        </w:rPr>
        <w:t xml:space="preserve"> </w:t>
      </w:r>
      <w:r w:rsidRPr="002E4298">
        <w:rPr>
          <w:lang w:val="fr-FR" w:bidi="fr-FR"/>
        </w:rPr>
        <w:t>disposait d</w:t>
      </w:r>
      <w:r w:rsidR="00DB0699" w:rsidRPr="002E4298">
        <w:rPr>
          <w:lang w:val="fr-FR" w:bidi="fr-FR"/>
        </w:rPr>
        <w:t>’</w:t>
      </w:r>
      <w:r w:rsidRPr="002E4298">
        <w:rPr>
          <w:lang w:val="fr-FR" w:bidi="fr-FR"/>
        </w:rPr>
        <w:t xml:space="preserve">un budget total </w:t>
      </w:r>
      <w:r w:rsidR="00DC43BF" w:rsidRPr="002E4298">
        <w:rPr>
          <w:lang w:val="fr-FR" w:bidi="fr-FR"/>
        </w:rPr>
        <w:t xml:space="preserve">de </w:t>
      </w:r>
      <w:r w:rsidRPr="002E4298">
        <w:rPr>
          <w:lang w:val="fr-FR" w:bidi="fr-FR"/>
        </w:rPr>
        <w:t>3 499 068 euros. En</w:t>
      </w:r>
      <w:r w:rsidR="00B23B6D" w:rsidRPr="002E4298">
        <w:rPr>
          <w:lang w:val="fr-FR" w:bidi="fr-FR"/>
        </w:rPr>
        <w:t xml:space="preserve"> 20</w:t>
      </w:r>
      <w:r w:rsidRPr="002E4298">
        <w:rPr>
          <w:lang w:val="fr-FR" w:bidi="fr-FR"/>
        </w:rPr>
        <w:t xml:space="preserve">16, elle disposait </w:t>
      </w:r>
      <w:r w:rsidR="00DC43BF" w:rsidRPr="002E4298">
        <w:rPr>
          <w:lang w:val="fr-FR" w:bidi="fr-FR"/>
        </w:rPr>
        <w:t xml:space="preserve">de </w:t>
      </w:r>
      <w:r w:rsidRPr="002E4298">
        <w:rPr>
          <w:lang w:val="fr-FR" w:bidi="fr-FR"/>
        </w:rPr>
        <w:t>4 112 430 euros, et, en</w:t>
      </w:r>
      <w:r w:rsidR="00B23B6D" w:rsidRPr="002E4298">
        <w:rPr>
          <w:lang w:val="fr-FR" w:bidi="fr-FR"/>
        </w:rPr>
        <w:t xml:space="preserve"> 20</w:t>
      </w:r>
      <w:r w:rsidRPr="002E4298">
        <w:rPr>
          <w:lang w:val="fr-FR" w:bidi="fr-FR"/>
        </w:rPr>
        <w:t xml:space="preserve">17, une dotation initiale </w:t>
      </w:r>
      <w:r w:rsidR="00DC43BF" w:rsidRPr="002E4298">
        <w:rPr>
          <w:lang w:val="fr-FR" w:bidi="fr-FR"/>
        </w:rPr>
        <w:t xml:space="preserve">de </w:t>
      </w:r>
      <w:r w:rsidRPr="002E4298">
        <w:rPr>
          <w:lang w:val="fr-FR" w:bidi="fr-FR"/>
        </w:rPr>
        <w:t>3 899 360 euros sur le budget de l</w:t>
      </w:r>
      <w:r w:rsidR="00DB0699" w:rsidRPr="002E4298">
        <w:rPr>
          <w:lang w:val="fr-FR" w:bidi="fr-FR"/>
        </w:rPr>
        <w:t>’</w:t>
      </w:r>
      <w:r w:rsidRPr="002E4298">
        <w:rPr>
          <w:lang w:val="fr-FR" w:bidi="fr-FR"/>
        </w:rPr>
        <w:t xml:space="preserve">État lui a été allouée, soit une diminution </w:t>
      </w:r>
      <w:r w:rsidR="00DC43BF" w:rsidRPr="002E4298">
        <w:rPr>
          <w:lang w:val="fr-FR" w:bidi="fr-FR"/>
        </w:rPr>
        <w:t xml:space="preserve">de </w:t>
      </w:r>
      <w:r w:rsidRPr="002E4298">
        <w:rPr>
          <w:lang w:val="fr-FR" w:bidi="fr-FR"/>
        </w:rPr>
        <w:t>5,2</w:t>
      </w:r>
      <w:r w:rsidR="00DB0699" w:rsidRPr="002E4298">
        <w:rPr>
          <w:lang w:val="fr-FR" w:bidi="fr-FR"/>
        </w:rPr>
        <w:t> %</w:t>
      </w:r>
      <w:r w:rsidRPr="002E4298">
        <w:rPr>
          <w:lang w:val="fr-FR" w:bidi="fr-FR"/>
        </w:rPr>
        <w:t>.</w:t>
      </w:r>
    </w:p>
    <w:p w14:paraId="3378B548" w14:textId="025A3260" w:rsidR="002B314F" w:rsidRPr="002E4298" w:rsidRDefault="002B314F" w:rsidP="00A11C35">
      <w:pPr>
        <w:pStyle w:val="SingleTxt"/>
        <w:numPr>
          <w:ilvl w:val="0"/>
          <w:numId w:val="5"/>
        </w:numPr>
        <w:spacing w:line="240" w:lineRule="exact"/>
        <w:ind w:left="1267"/>
        <w:rPr>
          <w:lang w:val="fr-FR"/>
        </w:rPr>
      </w:pPr>
      <w:r w:rsidRPr="002E4298">
        <w:rPr>
          <w:lang w:val="fr-FR" w:bidi="fr-FR"/>
        </w:rPr>
        <w:t>Cependant, en</w:t>
      </w:r>
      <w:r w:rsidR="00B23B6D" w:rsidRPr="002E4298">
        <w:rPr>
          <w:lang w:val="fr-FR" w:bidi="fr-FR"/>
        </w:rPr>
        <w:t xml:space="preserve"> 20</w:t>
      </w:r>
      <w:r w:rsidRPr="002E4298">
        <w:rPr>
          <w:lang w:val="fr-FR" w:bidi="fr-FR"/>
        </w:rPr>
        <w:t>18, la Commission pour la citoyenneté et l</w:t>
      </w:r>
      <w:r w:rsidR="00DB0699" w:rsidRPr="002E4298">
        <w:rPr>
          <w:lang w:val="fr-FR" w:bidi="fr-FR"/>
        </w:rPr>
        <w:t>’</w:t>
      </w:r>
      <w:r w:rsidRPr="002E4298">
        <w:rPr>
          <w:lang w:val="fr-FR" w:bidi="fr-FR"/>
        </w:rPr>
        <w:t>égalité des genres</w:t>
      </w:r>
      <w:r w:rsidRPr="002E4298" w:rsidDel="00535E0B">
        <w:rPr>
          <w:lang w:val="fr-FR" w:bidi="fr-FR"/>
        </w:rPr>
        <w:t xml:space="preserve"> </w:t>
      </w:r>
      <w:r w:rsidRPr="002E4298">
        <w:rPr>
          <w:lang w:val="fr-FR" w:bidi="fr-FR"/>
        </w:rPr>
        <w:t>a bénéficié d</w:t>
      </w:r>
      <w:r w:rsidR="00DB0699" w:rsidRPr="002E4298">
        <w:rPr>
          <w:lang w:val="fr-FR" w:bidi="fr-FR"/>
        </w:rPr>
        <w:t>’</w:t>
      </w:r>
      <w:r w:rsidRPr="002E4298">
        <w:rPr>
          <w:lang w:val="fr-FR" w:bidi="fr-FR"/>
        </w:rPr>
        <w:t xml:space="preserve">une enveloppe approuvée </w:t>
      </w:r>
      <w:r w:rsidR="00DC43BF" w:rsidRPr="002E4298">
        <w:rPr>
          <w:lang w:val="fr-FR" w:bidi="fr-FR"/>
        </w:rPr>
        <w:t xml:space="preserve">de </w:t>
      </w:r>
      <w:r w:rsidRPr="002E4298">
        <w:rPr>
          <w:lang w:val="fr-FR" w:bidi="fr-FR"/>
        </w:rPr>
        <w:t xml:space="preserve">4 278 527 euros, soit une augmentation </w:t>
      </w:r>
      <w:r w:rsidR="00DC43BF" w:rsidRPr="002E4298">
        <w:rPr>
          <w:lang w:val="fr-FR" w:bidi="fr-FR"/>
        </w:rPr>
        <w:t xml:space="preserve">de </w:t>
      </w:r>
      <w:r w:rsidRPr="002E4298">
        <w:rPr>
          <w:lang w:val="fr-FR" w:bidi="fr-FR"/>
        </w:rPr>
        <w:t>9,7</w:t>
      </w:r>
      <w:r w:rsidR="00DB0699" w:rsidRPr="002E4298">
        <w:rPr>
          <w:lang w:val="fr-FR" w:bidi="fr-FR"/>
        </w:rPr>
        <w:t> %</w:t>
      </w:r>
      <w:r w:rsidRPr="002E4298">
        <w:rPr>
          <w:lang w:val="fr-FR" w:bidi="fr-FR"/>
        </w:rPr>
        <w:t xml:space="preserve"> par rapport à l</w:t>
      </w:r>
      <w:r w:rsidR="00DB0699" w:rsidRPr="002E4298">
        <w:rPr>
          <w:lang w:val="fr-FR" w:bidi="fr-FR"/>
        </w:rPr>
        <w:t>’</w:t>
      </w:r>
      <w:r w:rsidRPr="002E4298">
        <w:rPr>
          <w:lang w:val="fr-FR" w:bidi="fr-FR"/>
        </w:rPr>
        <w:t>année précédente (3 899 360 euros).</w:t>
      </w:r>
    </w:p>
    <w:bookmarkEnd w:id="2"/>
    <w:p w14:paraId="4D65C9FF" w14:textId="77777777" w:rsidR="00C31EE2" w:rsidRPr="002E4298" w:rsidRDefault="00C31EE2" w:rsidP="00C31EE2">
      <w:pPr>
        <w:pStyle w:val="SingleTxt"/>
        <w:spacing w:after="0" w:line="120" w:lineRule="exact"/>
        <w:rPr>
          <w:sz w:val="10"/>
          <w:lang w:val="fr-FR" w:bidi="fr-FR"/>
        </w:rPr>
      </w:pPr>
    </w:p>
    <w:p w14:paraId="0A137E6A" w14:textId="6048B179" w:rsidR="00DB0699" w:rsidRPr="002E4298" w:rsidRDefault="002B314F" w:rsidP="00C31E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2E4298">
        <w:rPr>
          <w:lang w:val="fr-FR" w:bidi="fr-FR"/>
        </w:rPr>
        <w:tab/>
        <w:t>6.</w:t>
      </w:r>
      <w:r w:rsidRPr="002E4298">
        <w:rPr>
          <w:lang w:val="fr-FR" w:bidi="fr-FR"/>
        </w:rPr>
        <w:tab/>
        <w:t>Organisations non gouvernementales (paragraphes 16 et 17)</w:t>
      </w:r>
    </w:p>
    <w:p w14:paraId="5FCD66FE" w14:textId="65F4F7A9" w:rsidR="00C31EE2" w:rsidRPr="002E4298" w:rsidRDefault="00C31EE2" w:rsidP="00C31EE2">
      <w:pPr>
        <w:pStyle w:val="SingleTxt"/>
        <w:spacing w:after="0" w:line="120" w:lineRule="exact"/>
        <w:rPr>
          <w:sz w:val="10"/>
          <w:lang w:val="fr-FR" w:bidi="fr-FR"/>
        </w:rPr>
      </w:pPr>
    </w:p>
    <w:p w14:paraId="04E15927" w14:textId="5755494C" w:rsidR="002B314F" w:rsidRPr="002E4298" w:rsidRDefault="002B314F" w:rsidP="00A11C35">
      <w:pPr>
        <w:pStyle w:val="SingleTxt"/>
        <w:numPr>
          <w:ilvl w:val="0"/>
          <w:numId w:val="5"/>
        </w:numPr>
        <w:spacing w:line="240" w:lineRule="exact"/>
        <w:ind w:left="1267"/>
        <w:rPr>
          <w:lang w:val="fr-FR"/>
        </w:rPr>
      </w:pPr>
      <w:r w:rsidRPr="002E4298">
        <w:rPr>
          <w:lang w:val="fr-FR" w:bidi="fr-FR"/>
        </w:rPr>
        <w:t>Tout d</w:t>
      </w:r>
      <w:r w:rsidR="00DB0699" w:rsidRPr="002E4298">
        <w:rPr>
          <w:lang w:val="fr-FR" w:bidi="fr-FR"/>
        </w:rPr>
        <w:t>’</w:t>
      </w:r>
      <w:r w:rsidRPr="002E4298">
        <w:rPr>
          <w:lang w:val="fr-FR" w:bidi="fr-FR"/>
        </w:rPr>
        <w:t>abord, il est important de souligner que la Commission pour la citoyenneté et l</w:t>
      </w:r>
      <w:r w:rsidR="00DB0699" w:rsidRPr="002E4298">
        <w:rPr>
          <w:lang w:val="fr-FR" w:bidi="fr-FR"/>
        </w:rPr>
        <w:t>’</w:t>
      </w:r>
      <w:r w:rsidRPr="002E4298">
        <w:rPr>
          <w:lang w:val="fr-FR" w:bidi="fr-FR"/>
        </w:rPr>
        <w:t>égalité des genres</w:t>
      </w:r>
      <w:r w:rsidRPr="002E4298" w:rsidDel="00535E0B">
        <w:rPr>
          <w:lang w:val="fr-FR" w:bidi="fr-FR"/>
        </w:rPr>
        <w:t xml:space="preserve"> </w:t>
      </w:r>
      <w:r w:rsidRPr="002E4298">
        <w:rPr>
          <w:lang w:val="fr-FR" w:bidi="fr-FR"/>
        </w:rPr>
        <w:t>dispose, depuis sa fondation (en 1977), d</w:t>
      </w:r>
      <w:r w:rsidR="00DB0699" w:rsidRPr="002E4298">
        <w:rPr>
          <w:lang w:val="fr-FR" w:bidi="fr-FR"/>
        </w:rPr>
        <w:t>’</w:t>
      </w:r>
      <w:r w:rsidRPr="002E4298">
        <w:rPr>
          <w:lang w:val="fr-FR" w:bidi="fr-FR"/>
        </w:rPr>
        <w:t>un Conseil consultatif pour la conception, la mise en œuvre et l</w:t>
      </w:r>
      <w:r w:rsidR="00DB0699" w:rsidRPr="002E4298">
        <w:rPr>
          <w:lang w:val="fr-FR" w:bidi="fr-FR"/>
        </w:rPr>
        <w:t>’</w:t>
      </w:r>
      <w:r w:rsidRPr="002E4298">
        <w:rPr>
          <w:lang w:val="fr-FR" w:bidi="fr-FR"/>
        </w:rPr>
        <w:t>évaluation des politiques publiques en matière d</w:t>
      </w:r>
      <w:r w:rsidR="00DB0699" w:rsidRPr="002E4298">
        <w:rPr>
          <w:lang w:val="fr-FR" w:bidi="fr-FR"/>
        </w:rPr>
        <w:t>’</w:t>
      </w:r>
      <w:r w:rsidRPr="002E4298">
        <w:rPr>
          <w:lang w:val="fr-FR" w:bidi="fr-FR"/>
        </w:rPr>
        <w:t>éducation à la citoyenneté et de promotion et de protection de l</w:t>
      </w:r>
      <w:r w:rsidR="00DB0699" w:rsidRPr="002E4298">
        <w:rPr>
          <w:lang w:val="fr-FR" w:bidi="fr-FR"/>
        </w:rPr>
        <w:t>’</w:t>
      </w:r>
      <w:r w:rsidRPr="002E4298">
        <w:rPr>
          <w:lang w:val="fr-FR" w:bidi="fr-FR"/>
        </w:rPr>
        <w:t>égalité des genres, qui assure la représentation des services gouvernementaux et des organisations de la société civile (OSC).</w:t>
      </w:r>
    </w:p>
    <w:p w14:paraId="01E425C6" w14:textId="7DE9DAF3" w:rsidR="00DB0699" w:rsidRPr="002E4298" w:rsidRDefault="002B314F" w:rsidP="00A11C35">
      <w:pPr>
        <w:pStyle w:val="SingleTxt"/>
        <w:numPr>
          <w:ilvl w:val="0"/>
          <w:numId w:val="5"/>
        </w:numPr>
        <w:spacing w:line="240" w:lineRule="exact"/>
        <w:ind w:left="1267"/>
        <w:rPr>
          <w:lang w:val="fr-FR" w:bidi="fr-FR"/>
        </w:rPr>
      </w:pPr>
      <w:r w:rsidRPr="002E4298">
        <w:rPr>
          <w:lang w:val="fr-FR" w:bidi="fr-FR"/>
        </w:rPr>
        <w:t>La Commission met en œuvre la majorité de ses activités principalement en partenariat avec des OSC et des ONG qui travaillent dans le domaine de la promotion des droits des femmes, de la prévention et de la lutte contre la violence fondée sur le genre à l</w:t>
      </w:r>
      <w:r w:rsidR="00DB0699" w:rsidRPr="002E4298">
        <w:rPr>
          <w:lang w:val="fr-FR" w:bidi="fr-FR"/>
        </w:rPr>
        <w:t>’</w:t>
      </w:r>
      <w:r w:rsidRPr="002E4298">
        <w:rPr>
          <w:lang w:val="fr-FR" w:bidi="fr-FR"/>
        </w:rPr>
        <w:t>égard des femmes et des droits des personnes LGBTI.</w:t>
      </w:r>
    </w:p>
    <w:p w14:paraId="4BD48F5D" w14:textId="0185FBB7" w:rsidR="002B314F" w:rsidRPr="002E4298" w:rsidRDefault="002B314F" w:rsidP="00A11C35">
      <w:pPr>
        <w:pStyle w:val="SingleTxt"/>
        <w:numPr>
          <w:ilvl w:val="0"/>
          <w:numId w:val="5"/>
        </w:numPr>
        <w:spacing w:line="240" w:lineRule="exact"/>
        <w:ind w:left="1267"/>
        <w:rPr>
          <w:lang w:val="fr-FR"/>
        </w:rPr>
      </w:pPr>
      <w:r w:rsidRPr="002E4298">
        <w:rPr>
          <w:lang w:val="fr-FR" w:bidi="fr-FR"/>
        </w:rPr>
        <w:t>La Commission continue à octroyer chaque année des contrats d</w:t>
      </w:r>
      <w:r w:rsidR="00DB0699" w:rsidRPr="002E4298">
        <w:rPr>
          <w:lang w:val="fr-FR" w:bidi="fr-FR"/>
        </w:rPr>
        <w:t>’</w:t>
      </w:r>
      <w:r w:rsidRPr="002E4298">
        <w:rPr>
          <w:lang w:val="fr-FR" w:bidi="fr-FR"/>
        </w:rPr>
        <w:t xml:space="preserve">assistance financière et technique (de petites subventions) aux ONG féminines. Conformément aux dispositions du décret-loi nº 246/98 </w:t>
      </w:r>
      <w:r w:rsidR="003E7581" w:rsidRPr="002E4298">
        <w:rPr>
          <w:lang w:val="fr-FR" w:bidi="fr-FR"/>
        </w:rPr>
        <w:t xml:space="preserve">du </w:t>
      </w:r>
      <w:r w:rsidRPr="002E4298">
        <w:rPr>
          <w:lang w:val="fr-FR" w:bidi="fr-FR"/>
        </w:rPr>
        <w:t xml:space="preserve">11 août 1998, tel que modifié par la loi nº 37/99 </w:t>
      </w:r>
      <w:r w:rsidR="003E7581" w:rsidRPr="002E4298">
        <w:rPr>
          <w:lang w:val="fr-FR" w:bidi="fr-FR"/>
        </w:rPr>
        <w:t xml:space="preserve">du </w:t>
      </w:r>
      <w:r w:rsidRPr="002E4298">
        <w:rPr>
          <w:lang w:val="fr-FR" w:bidi="fr-FR"/>
        </w:rPr>
        <w:t>26 mai 1999, l</w:t>
      </w:r>
      <w:r w:rsidR="00DB0699" w:rsidRPr="002E4298">
        <w:rPr>
          <w:lang w:val="fr-FR" w:bidi="fr-FR"/>
        </w:rPr>
        <w:t>’</w:t>
      </w:r>
      <w:r w:rsidRPr="002E4298">
        <w:rPr>
          <w:lang w:val="fr-FR" w:bidi="fr-FR"/>
        </w:rPr>
        <w:t>État soutient et récompense la contribution des ONG féminines à la mise en œuvre des politiques nationales visant à promouvoir l</w:t>
      </w:r>
      <w:r w:rsidR="00DB0699" w:rsidRPr="002E4298">
        <w:rPr>
          <w:lang w:val="fr-FR" w:bidi="fr-FR"/>
        </w:rPr>
        <w:t>’</w:t>
      </w:r>
      <w:r w:rsidRPr="002E4298">
        <w:rPr>
          <w:lang w:val="fr-FR" w:bidi="fr-FR"/>
        </w:rPr>
        <w:t>égalité entre les femmes et les hommes, en leur fournissant une assistance technique et financière pour mettre en place des activités, des programmes, des projets ou des actions. En</w:t>
      </w:r>
      <w:r w:rsidR="00B23B6D" w:rsidRPr="002E4298">
        <w:rPr>
          <w:lang w:val="fr-FR" w:bidi="fr-FR"/>
        </w:rPr>
        <w:t xml:space="preserve"> 20</w:t>
      </w:r>
      <w:r w:rsidRPr="002E4298">
        <w:rPr>
          <w:lang w:val="fr-FR" w:bidi="fr-FR"/>
        </w:rPr>
        <w:t>19, le montant de cette aide s</w:t>
      </w:r>
      <w:r w:rsidR="00DB0699" w:rsidRPr="002E4298">
        <w:rPr>
          <w:lang w:val="fr-FR" w:bidi="fr-FR"/>
        </w:rPr>
        <w:t>’</w:t>
      </w:r>
      <w:r w:rsidRPr="002E4298">
        <w:rPr>
          <w:lang w:val="fr-FR" w:bidi="fr-FR"/>
        </w:rPr>
        <w:t xml:space="preserve">élevait </w:t>
      </w:r>
      <w:r w:rsidR="007A7E54" w:rsidRPr="002E4298">
        <w:rPr>
          <w:lang w:val="fr-FR" w:bidi="fr-FR"/>
        </w:rPr>
        <w:t xml:space="preserve">à </w:t>
      </w:r>
      <w:r w:rsidRPr="002E4298">
        <w:rPr>
          <w:lang w:val="fr-FR" w:bidi="fr-FR"/>
        </w:rPr>
        <w:t>120</w:t>
      </w:r>
      <w:r w:rsidR="00DB0699" w:rsidRPr="002E4298">
        <w:rPr>
          <w:lang w:val="fr-FR" w:bidi="fr-FR"/>
        </w:rPr>
        <w:t> 000</w:t>
      </w:r>
      <w:r w:rsidRPr="002E4298">
        <w:rPr>
          <w:lang w:val="fr-FR" w:bidi="fr-FR"/>
        </w:rPr>
        <w:t> euros (120</w:t>
      </w:r>
      <w:r w:rsidR="00DB0699" w:rsidRPr="002E4298">
        <w:rPr>
          <w:lang w:val="fr-FR" w:bidi="fr-FR"/>
        </w:rPr>
        <w:t> 000</w:t>
      </w:r>
      <w:r w:rsidRPr="002E4298">
        <w:rPr>
          <w:lang w:val="fr-FR" w:bidi="fr-FR"/>
        </w:rPr>
        <w:t> euros en</w:t>
      </w:r>
      <w:r w:rsidR="00B23B6D" w:rsidRPr="002E4298">
        <w:rPr>
          <w:lang w:val="fr-FR" w:bidi="fr-FR"/>
        </w:rPr>
        <w:t xml:space="preserve"> 20</w:t>
      </w:r>
      <w:r w:rsidRPr="002E4298">
        <w:rPr>
          <w:lang w:val="fr-FR" w:bidi="fr-FR"/>
        </w:rPr>
        <w:t>18</w:t>
      </w:r>
      <w:r w:rsidR="00DB0699" w:rsidRPr="002E4298">
        <w:rPr>
          <w:lang w:val="fr-FR" w:bidi="fr-FR"/>
        </w:rPr>
        <w:t> ;</w:t>
      </w:r>
      <w:r w:rsidRPr="002E4298">
        <w:rPr>
          <w:lang w:val="fr-FR" w:bidi="fr-FR"/>
        </w:rPr>
        <w:t xml:space="preserve"> 90</w:t>
      </w:r>
      <w:r w:rsidR="00DB0699" w:rsidRPr="002E4298">
        <w:rPr>
          <w:lang w:val="fr-FR" w:bidi="fr-FR"/>
        </w:rPr>
        <w:t> 000</w:t>
      </w:r>
      <w:r w:rsidRPr="002E4298">
        <w:rPr>
          <w:lang w:val="fr-FR" w:bidi="fr-FR"/>
        </w:rPr>
        <w:t> euros en</w:t>
      </w:r>
      <w:r w:rsidR="00B23B6D" w:rsidRPr="002E4298">
        <w:rPr>
          <w:lang w:val="fr-FR" w:bidi="fr-FR"/>
        </w:rPr>
        <w:t xml:space="preserve"> 20</w:t>
      </w:r>
      <w:r w:rsidRPr="002E4298">
        <w:rPr>
          <w:lang w:val="fr-FR" w:bidi="fr-FR"/>
        </w:rPr>
        <w:t>17,</w:t>
      </w:r>
      <w:r w:rsidR="00B23B6D" w:rsidRPr="002E4298">
        <w:rPr>
          <w:lang w:val="fr-FR" w:bidi="fr-FR"/>
        </w:rPr>
        <w:t xml:space="preserve"> 20</w:t>
      </w:r>
      <w:r w:rsidRPr="002E4298">
        <w:rPr>
          <w:lang w:val="fr-FR" w:bidi="fr-FR"/>
        </w:rPr>
        <w:t>16 et</w:t>
      </w:r>
      <w:r w:rsidR="00B23B6D" w:rsidRPr="002E4298">
        <w:rPr>
          <w:lang w:val="fr-FR" w:bidi="fr-FR"/>
        </w:rPr>
        <w:t xml:space="preserve"> 20</w:t>
      </w:r>
      <w:r w:rsidRPr="002E4298">
        <w:rPr>
          <w:lang w:val="fr-FR" w:bidi="fr-FR"/>
        </w:rPr>
        <w:t>15). En</w:t>
      </w:r>
      <w:r w:rsidR="00B23B6D" w:rsidRPr="002E4298">
        <w:rPr>
          <w:lang w:val="fr-FR" w:bidi="fr-FR"/>
        </w:rPr>
        <w:t xml:space="preserve"> 20</w:t>
      </w:r>
      <w:r w:rsidRPr="002E4298">
        <w:rPr>
          <w:lang w:val="fr-FR" w:bidi="fr-FR"/>
        </w:rPr>
        <w:t>19, la Commission pour la citoyenneté et l</w:t>
      </w:r>
      <w:r w:rsidR="00DB0699" w:rsidRPr="002E4298">
        <w:rPr>
          <w:lang w:val="fr-FR" w:bidi="fr-FR"/>
        </w:rPr>
        <w:t>’</w:t>
      </w:r>
      <w:r w:rsidRPr="002E4298">
        <w:rPr>
          <w:lang w:val="fr-FR" w:bidi="fr-FR"/>
        </w:rPr>
        <w:t>égalité des genres</w:t>
      </w:r>
      <w:r w:rsidRPr="002E4298" w:rsidDel="00535E0B">
        <w:rPr>
          <w:lang w:val="fr-FR" w:bidi="fr-FR"/>
        </w:rPr>
        <w:t xml:space="preserve"> </w:t>
      </w:r>
      <w:r w:rsidRPr="002E4298">
        <w:rPr>
          <w:lang w:val="fr-FR" w:bidi="fr-FR"/>
        </w:rPr>
        <w:t>a également accordé 50</w:t>
      </w:r>
      <w:r w:rsidR="00DB0699" w:rsidRPr="002E4298">
        <w:rPr>
          <w:lang w:val="fr-FR" w:bidi="fr-FR"/>
        </w:rPr>
        <w:t> 000</w:t>
      </w:r>
      <w:r w:rsidRPr="002E4298">
        <w:rPr>
          <w:lang w:val="fr-FR" w:bidi="fr-FR"/>
        </w:rPr>
        <w:t> euros à des ONG travaillant sur des questions liées aux personnes LGBTI et 50</w:t>
      </w:r>
      <w:r w:rsidR="00DB0699" w:rsidRPr="002E4298">
        <w:rPr>
          <w:lang w:val="fr-FR" w:bidi="fr-FR"/>
        </w:rPr>
        <w:t> 000</w:t>
      </w:r>
      <w:r w:rsidRPr="002E4298">
        <w:rPr>
          <w:lang w:val="fr-FR" w:bidi="fr-FR"/>
        </w:rPr>
        <w:t> euros à des ONG travaillant sur des questions relatives aux mutilations génitales féminines.</w:t>
      </w:r>
    </w:p>
    <w:p w14:paraId="348CC099" w14:textId="791DDAB5" w:rsidR="002B314F" w:rsidRPr="002E4298" w:rsidRDefault="002B314F" w:rsidP="00A11C35">
      <w:pPr>
        <w:pStyle w:val="SingleTxt"/>
        <w:numPr>
          <w:ilvl w:val="0"/>
          <w:numId w:val="5"/>
        </w:numPr>
        <w:spacing w:line="240" w:lineRule="exact"/>
        <w:ind w:left="1267"/>
        <w:rPr>
          <w:lang w:val="fr-FR"/>
        </w:rPr>
      </w:pPr>
      <w:r w:rsidRPr="002E4298">
        <w:rPr>
          <w:lang w:val="fr-FR" w:bidi="fr-FR"/>
        </w:rPr>
        <w:t>En outre, la Commission pour la citoyenneté et l</w:t>
      </w:r>
      <w:r w:rsidR="00DB0699" w:rsidRPr="002E4298">
        <w:rPr>
          <w:lang w:val="fr-FR" w:bidi="fr-FR"/>
        </w:rPr>
        <w:t>’</w:t>
      </w:r>
      <w:r w:rsidRPr="002E4298">
        <w:rPr>
          <w:lang w:val="fr-FR" w:bidi="fr-FR"/>
        </w:rPr>
        <w:t>égalité des genres</w:t>
      </w:r>
      <w:r w:rsidRPr="002E4298" w:rsidDel="00535E0B">
        <w:rPr>
          <w:lang w:val="fr-FR" w:bidi="fr-FR"/>
        </w:rPr>
        <w:t xml:space="preserve"> </w:t>
      </w:r>
      <w:r w:rsidRPr="002E4298">
        <w:rPr>
          <w:lang w:val="fr-FR" w:bidi="fr-FR"/>
        </w:rPr>
        <w:t>est, depuis</w:t>
      </w:r>
      <w:r w:rsidR="00B23B6D" w:rsidRPr="002E4298">
        <w:rPr>
          <w:lang w:val="fr-FR" w:bidi="fr-FR"/>
        </w:rPr>
        <w:t xml:space="preserve"> 20</w:t>
      </w:r>
      <w:r w:rsidRPr="002E4298">
        <w:rPr>
          <w:lang w:val="fr-FR" w:bidi="fr-FR"/>
        </w:rPr>
        <w:t>15, l</w:t>
      </w:r>
      <w:r w:rsidR="00DB0699" w:rsidRPr="002E4298">
        <w:rPr>
          <w:lang w:val="fr-FR" w:bidi="fr-FR"/>
        </w:rPr>
        <w:t>’</w:t>
      </w:r>
      <w:r w:rsidRPr="002E4298">
        <w:rPr>
          <w:lang w:val="fr-FR" w:bidi="fr-FR"/>
        </w:rPr>
        <w:t>organisme intermédiaire chargé de gérer environ 50</w:t>
      </w:r>
      <w:r w:rsidR="00DB0699" w:rsidRPr="002E4298">
        <w:rPr>
          <w:lang w:val="fr-FR" w:bidi="fr-FR"/>
        </w:rPr>
        <w:t> million</w:t>
      </w:r>
      <w:r w:rsidRPr="002E4298">
        <w:rPr>
          <w:lang w:val="fr-FR" w:bidi="fr-FR"/>
        </w:rPr>
        <w:t>s d</w:t>
      </w:r>
      <w:r w:rsidR="00DB0699" w:rsidRPr="002E4298">
        <w:rPr>
          <w:lang w:val="fr-FR" w:bidi="fr-FR"/>
        </w:rPr>
        <w:t>’</w:t>
      </w:r>
      <w:r w:rsidRPr="002E4298">
        <w:rPr>
          <w:lang w:val="fr-FR" w:bidi="fr-FR"/>
        </w:rPr>
        <w:t>euros alloués au programme opérationnel « Inclusion sociale et emploi » au titre des Fonds structurels européens. Dans le cadre de la priorité d</w:t>
      </w:r>
      <w:r w:rsidR="00DB0699" w:rsidRPr="002E4298">
        <w:rPr>
          <w:lang w:val="fr-FR" w:bidi="fr-FR"/>
        </w:rPr>
        <w:t>’</w:t>
      </w:r>
      <w:r w:rsidRPr="002E4298">
        <w:rPr>
          <w:lang w:val="fr-FR" w:bidi="fr-FR"/>
        </w:rPr>
        <w:t xml:space="preserve">investissement </w:t>
      </w:r>
      <w:r w:rsidRPr="002E4298">
        <w:rPr>
          <w:i/>
          <w:lang w:val="fr-FR" w:bidi="fr-FR"/>
        </w:rPr>
        <w:t xml:space="preserve">« égalité entre les </w:t>
      </w:r>
      <w:r w:rsidRPr="002E4298">
        <w:rPr>
          <w:i/>
          <w:lang w:val="fr-FR" w:bidi="fr-FR"/>
        </w:rPr>
        <w:lastRenderedPageBreak/>
        <w:t>femmes et les hommes dans tous les domaines, de l</w:t>
      </w:r>
      <w:r w:rsidR="00DB0699" w:rsidRPr="002E4298">
        <w:rPr>
          <w:i/>
          <w:lang w:val="fr-FR" w:bidi="fr-FR"/>
        </w:rPr>
        <w:t>’</w:t>
      </w:r>
      <w:r w:rsidRPr="002E4298">
        <w:rPr>
          <w:i/>
          <w:lang w:val="fr-FR" w:bidi="fr-FR"/>
        </w:rPr>
        <w:t>accès à l</w:t>
      </w:r>
      <w:r w:rsidR="00DB0699" w:rsidRPr="002E4298">
        <w:rPr>
          <w:i/>
          <w:lang w:val="fr-FR" w:bidi="fr-FR"/>
        </w:rPr>
        <w:t>’</w:t>
      </w:r>
      <w:r w:rsidRPr="002E4298">
        <w:rPr>
          <w:i/>
          <w:lang w:val="fr-FR" w:bidi="fr-FR"/>
        </w:rPr>
        <w:t>emploi aux perspectives de carrière et à la conciliation entre vie professionnelle et vie privée, et promotion d</w:t>
      </w:r>
      <w:r w:rsidR="00DB0699" w:rsidRPr="002E4298">
        <w:rPr>
          <w:i/>
          <w:lang w:val="fr-FR" w:bidi="fr-FR"/>
        </w:rPr>
        <w:t>’</w:t>
      </w:r>
      <w:r w:rsidRPr="002E4298">
        <w:rPr>
          <w:i/>
          <w:lang w:val="fr-FR" w:bidi="fr-FR"/>
        </w:rPr>
        <w:t>un salaire égal pour un travail de valeur éga</w:t>
      </w:r>
      <w:r w:rsidR="00DC43BF" w:rsidRPr="002E4298">
        <w:rPr>
          <w:i/>
          <w:lang w:val="fr-FR" w:bidi="fr-FR"/>
        </w:rPr>
        <w:t xml:space="preserve">le </w:t>
      </w:r>
      <w:r w:rsidRPr="002E4298">
        <w:rPr>
          <w:i/>
          <w:lang w:val="fr-FR" w:bidi="fr-FR"/>
        </w:rPr>
        <w:t>»</w:t>
      </w:r>
      <w:r w:rsidRPr="002E4298">
        <w:rPr>
          <w:lang w:val="fr-FR" w:bidi="fr-FR"/>
        </w:rPr>
        <w:t>, le Portugal a alloué des fonds pour « le soutien financier et technique des ONG œuvrant pour la promotion de l</w:t>
      </w:r>
      <w:r w:rsidR="00DB0699" w:rsidRPr="002E4298">
        <w:rPr>
          <w:lang w:val="fr-FR" w:bidi="fr-FR"/>
        </w:rPr>
        <w:t>’</w:t>
      </w:r>
      <w:r w:rsidRPr="002E4298">
        <w:rPr>
          <w:lang w:val="fr-FR" w:bidi="fr-FR"/>
        </w:rPr>
        <w:t>égalité des genres ainsi que pour la prévention et la lutte contre la violence domestique et fondée sur le genre</w:t>
      </w:r>
      <w:r w:rsidRPr="002E4298" w:rsidDel="0045507A">
        <w:rPr>
          <w:lang w:val="fr-FR" w:bidi="fr-FR"/>
        </w:rPr>
        <w:t xml:space="preserve"> </w:t>
      </w:r>
      <w:r w:rsidRPr="002E4298">
        <w:rPr>
          <w:lang w:val="fr-FR" w:bidi="fr-FR"/>
        </w:rPr>
        <w:t>et la traite des êtres humains », pour un montant total d</w:t>
      </w:r>
      <w:r w:rsidR="00DB0699" w:rsidRPr="002E4298">
        <w:rPr>
          <w:lang w:val="fr-FR" w:bidi="fr-FR"/>
        </w:rPr>
        <w:t>’</w:t>
      </w:r>
      <w:r w:rsidRPr="002E4298">
        <w:rPr>
          <w:lang w:val="fr-FR" w:bidi="fr-FR"/>
        </w:rPr>
        <w:t>environ dix</w:t>
      </w:r>
      <w:r w:rsidR="00DB0699" w:rsidRPr="002E4298">
        <w:rPr>
          <w:lang w:val="fr-FR" w:bidi="fr-FR"/>
        </w:rPr>
        <w:t> million</w:t>
      </w:r>
      <w:r w:rsidRPr="002E4298">
        <w:rPr>
          <w:lang w:val="fr-FR" w:bidi="fr-FR"/>
        </w:rPr>
        <w:t>s d</w:t>
      </w:r>
      <w:r w:rsidR="00DB0699" w:rsidRPr="002E4298">
        <w:rPr>
          <w:lang w:val="fr-FR" w:bidi="fr-FR"/>
        </w:rPr>
        <w:t>’</w:t>
      </w:r>
      <w:r w:rsidRPr="002E4298">
        <w:rPr>
          <w:lang w:val="fr-FR" w:bidi="fr-FR"/>
        </w:rPr>
        <w:t>euros (appels d</w:t>
      </w:r>
      <w:r w:rsidR="00DB0699" w:rsidRPr="002E4298">
        <w:rPr>
          <w:lang w:val="fr-FR" w:bidi="fr-FR"/>
        </w:rPr>
        <w:t>’</w:t>
      </w:r>
      <w:r w:rsidRPr="002E4298">
        <w:rPr>
          <w:lang w:val="fr-FR" w:bidi="fr-FR"/>
        </w:rPr>
        <w:t>offres de</w:t>
      </w:r>
      <w:r w:rsidR="00DC43BF" w:rsidRPr="002E4298">
        <w:rPr>
          <w:lang w:val="fr-FR" w:bidi="fr-FR"/>
        </w:rPr>
        <w:t xml:space="preserve"> </w:t>
      </w:r>
      <w:r w:rsidRPr="002E4298">
        <w:rPr>
          <w:lang w:val="fr-FR" w:bidi="fr-FR"/>
        </w:rPr>
        <w:t>2015 et</w:t>
      </w:r>
      <w:r w:rsidR="00DC43BF" w:rsidRPr="002E4298">
        <w:rPr>
          <w:lang w:val="fr-FR" w:bidi="fr-FR"/>
        </w:rPr>
        <w:t xml:space="preserve"> </w:t>
      </w:r>
      <w:r w:rsidRPr="002E4298">
        <w:rPr>
          <w:lang w:val="fr-FR" w:bidi="fr-FR"/>
        </w:rPr>
        <w:t>2019).</w:t>
      </w:r>
    </w:p>
    <w:p w14:paraId="4BA52517" w14:textId="095C4E97" w:rsidR="00DB0699" w:rsidRPr="002E4298" w:rsidRDefault="002B314F" w:rsidP="00A11C35">
      <w:pPr>
        <w:pStyle w:val="SingleTxt"/>
        <w:numPr>
          <w:ilvl w:val="0"/>
          <w:numId w:val="5"/>
        </w:numPr>
        <w:spacing w:line="240" w:lineRule="exact"/>
        <w:ind w:left="1267"/>
        <w:rPr>
          <w:lang w:val="fr-FR" w:bidi="fr-FR"/>
        </w:rPr>
      </w:pPr>
      <w:r w:rsidRPr="002E4298">
        <w:rPr>
          <w:lang w:val="fr-FR" w:bidi="fr-FR"/>
        </w:rPr>
        <w:t>En ce qui concerne la prévention et la lutte contre la violence à l</w:t>
      </w:r>
      <w:r w:rsidR="00DB0699" w:rsidRPr="002E4298">
        <w:rPr>
          <w:lang w:val="fr-FR" w:bidi="fr-FR"/>
        </w:rPr>
        <w:t>’</w:t>
      </w:r>
      <w:r w:rsidRPr="002E4298">
        <w:rPr>
          <w:lang w:val="fr-FR" w:bidi="fr-FR"/>
        </w:rPr>
        <w:t>égard des femmes et de violence domestique, entre</w:t>
      </w:r>
      <w:r w:rsidR="00B23B6D" w:rsidRPr="002E4298">
        <w:rPr>
          <w:lang w:val="fr-FR" w:bidi="fr-FR"/>
        </w:rPr>
        <w:t xml:space="preserve"> 20</w:t>
      </w:r>
      <w:r w:rsidRPr="002E4298">
        <w:rPr>
          <w:lang w:val="fr-FR" w:bidi="fr-FR"/>
        </w:rPr>
        <w:t>15 et</w:t>
      </w:r>
      <w:r w:rsidR="00B23B6D" w:rsidRPr="002E4298">
        <w:rPr>
          <w:lang w:val="fr-FR" w:bidi="fr-FR"/>
        </w:rPr>
        <w:t xml:space="preserve"> 20</w:t>
      </w:r>
      <w:r w:rsidRPr="002E4298">
        <w:rPr>
          <w:lang w:val="fr-FR" w:bidi="fr-FR"/>
        </w:rPr>
        <w:t>18, le soutien de l</w:t>
      </w:r>
      <w:r w:rsidR="00DB0699" w:rsidRPr="002E4298">
        <w:rPr>
          <w:lang w:val="fr-FR" w:bidi="fr-FR"/>
        </w:rPr>
        <w:t>’</w:t>
      </w:r>
      <w:r w:rsidRPr="002E4298">
        <w:rPr>
          <w:lang w:val="fr-FR" w:bidi="fr-FR"/>
        </w:rPr>
        <w:t>État aux ONG s</w:t>
      </w:r>
      <w:r w:rsidR="00DB0699" w:rsidRPr="002E4298">
        <w:rPr>
          <w:lang w:val="fr-FR" w:bidi="fr-FR"/>
        </w:rPr>
        <w:t>’</w:t>
      </w:r>
      <w:r w:rsidRPr="002E4298">
        <w:rPr>
          <w:lang w:val="fr-FR" w:bidi="fr-FR"/>
        </w:rPr>
        <w:t>est élevé à environ 41</w:t>
      </w:r>
      <w:r w:rsidR="00DB0699" w:rsidRPr="002E4298">
        <w:rPr>
          <w:lang w:val="fr-FR" w:bidi="fr-FR"/>
        </w:rPr>
        <w:t> million</w:t>
      </w:r>
      <w:r w:rsidRPr="002E4298">
        <w:rPr>
          <w:lang w:val="fr-FR" w:bidi="fr-FR"/>
        </w:rPr>
        <w:t>s d</w:t>
      </w:r>
      <w:r w:rsidR="00DB0699" w:rsidRPr="002E4298">
        <w:rPr>
          <w:lang w:val="fr-FR" w:bidi="fr-FR"/>
        </w:rPr>
        <w:t>’</w:t>
      </w:r>
      <w:r w:rsidRPr="002E4298">
        <w:rPr>
          <w:lang w:val="fr-FR" w:bidi="fr-FR"/>
        </w:rPr>
        <w:t>euros.</w:t>
      </w:r>
    </w:p>
    <w:p w14:paraId="4CFCF467" w14:textId="77777777" w:rsidR="00C31EE2" w:rsidRPr="002E4298" w:rsidRDefault="00C31EE2" w:rsidP="00C31EE2">
      <w:pPr>
        <w:pStyle w:val="SingleTxt"/>
        <w:spacing w:after="0" w:line="120" w:lineRule="exact"/>
        <w:rPr>
          <w:sz w:val="10"/>
          <w:lang w:val="fr-FR" w:bidi="fr-FR"/>
        </w:rPr>
      </w:pPr>
    </w:p>
    <w:p w14:paraId="2F8AB2B5" w14:textId="745DBA35" w:rsidR="002B314F" w:rsidRPr="002E4298" w:rsidRDefault="002B314F" w:rsidP="00C31E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2E4298">
        <w:rPr>
          <w:lang w:val="fr-FR" w:bidi="fr-FR"/>
        </w:rPr>
        <w:tab/>
        <w:t>7.</w:t>
      </w:r>
      <w:r w:rsidRPr="002E4298">
        <w:rPr>
          <w:lang w:val="fr-FR" w:bidi="fr-FR"/>
        </w:rPr>
        <w:tab/>
        <w:t>Mesures temporaires spéciales (paragraphes 18 et 19)</w:t>
      </w:r>
    </w:p>
    <w:p w14:paraId="4ABD73DF" w14:textId="61130C26" w:rsidR="00C31EE2" w:rsidRPr="002E4298" w:rsidRDefault="00C31EE2" w:rsidP="00C31EE2">
      <w:pPr>
        <w:pStyle w:val="SingleTxt"/>
        <w:spacing w:after="0" w:line="120" w:lineRule="exact"/>
        <w:rPr>
          <w:sz w:val="10"/>
          <w:lang w:val="fr-FR" w:bidi="fr-FR"/>
        </w:rPr>
      </w:pPr>
    </w:p>
    <w:p w14:paraId="492E82B9" w14:textId="7D690F26" w:rsidR="00DB0699" w:rsidRPr="002E4298" w:rsidRDefault="002B314F" w:rsidP="00A11C35">
      <w:pPr>
        <w:pStyle w:val="SingleTxt"/>
        <w:numPr>
          <w:ilvl w:val="0"/>
          <w:numId w:val="5"/>
        </w:numPr>
        <w:spacing w:line="240" w:lineRule="exact"/>
        <w:ind w:left="1267"/>
        <w:rPr>
          <w:lang w:val="fr-FR" w:bidi="fr-FR"/>
        </w:rPr>
      </w:pPr>
      <w:r w:rsidRPr="002E4298">
        <w:rPr>
          <w:lang w:val="fr-FR" w:bidi="fr-FR"/>
        </w:rPr>
        <w:t>Le Portugal a adopté une législation visant à accélérer la mise en place d</w:t>
      </w:r>
      <w:r w:rsidR="00DB0699" w:rsidRPr="002E4298">
        <w:rPr>
          <w:lang w:val="fr-FR" w:bidi="fr-FR"/>
        </w:rPr>
        <w:t>’</w:t>
      </w:r>
      <w:r w:rsidRPr="002E4298">
        <w:rPr>
          <w:lang w:val="fr-FR" w:bidi="fr-FR"/>
        </w:rPr>
        <w:t>une représentation équilibrée des femmes et des hommes aux postes de prise de décision</w:t>
      </w:r>
      <w:r w:rsidR="00DB0699" w:rsidRPr="002E4298">
        <w:rPr>
          <w:lang w:val="fr-FR" w:bidi="fr-FR"/>
        </w:rPr>
        <w:t> :</w:t>
      </w:r>
    </w:p>
    <w:p w14:paraId="6A6B43E1" w14:textId="6191B6AF" w:rsidR="002B314F" w:rsidRPr="002E4298" w:rsidRDefault="00C31EE2" w:rsidP="00C31EE2">
      <w:pPr>
        <w:pStyle w:val="SingleTxt"/>
        <w:tabs>
          <w:tab w:val="right" w:pos="1685"/>
        </w:tabs>
        <w:ind w:left="1742" w:hanging="475"/>
        <w:rPr>
          <w:lang w:val="fr-FR"/>
        </w:rPr>
      </w:pPr>
      <w:r w:rsidRPr="002E4298">
        <w:rPr>
          <w:lang w:val="fr-FR" w:bidi="fr-FR"/>
        </w:rPr>
        <w:tab/>
        <w:t>•</w:t>
      </w:r>
      <w:r w:rsidRPr="002E4298">
        <w:rPr>
          <w:lang w:val="fr-FR" w:bidi="fr-FR"/>
        </w:rPr>
        <w:tab/>
      </w:r>
      <w:r w:rsidR="00DC43BF" w:rsidRPr="002E4298">
        <w:rPr>
          <w:lang w:val="fr-FR" w:bidi="fr-FR"/>
        </w:rPr>
        <w:t>l</w:t>
      </w:r>
      <w:r w:rsidR="002B314F" w:rsidRPr="002E4298">
        <w:rPr>
          <w:lang w:val="fr-FR" w:bidi="fr-FR"/>
        </w:rPr>
        <w:t>a</w:t>
      </w:r>
      <w:r w:rsidR="00DC43BF" w:rsidRPr="002E4298">
        <w:rPr>
          <w:lang w:val="fr-FR" w:bidi="fr-FR"/>
        </w:rPr>
        <w:t xml:space="preserve"> </w:t>
      </w:r>
      <w:r w:rsidR="002B314F" w:rsidRPr="002E4298">
        <w:rPr>
          <w:lang w:val="fr-FR" w:bidi="fr-FR"/>
        </w:rPr>
        <w:t xml:space="preserve">loi nº 62/2017 </w:t>
      </w:r>
      <w:r w:rsidR="003E7581" w:rsidRPr="002E4298">
        <w:rPr>
          <w:lang w:val="fr-FR" w:bidi="fr-FR"/>
        </w:rPr>
        <w:t xml:space="preserve">du </w:t>
      </w:r>
      <w:r w:rsidR="002B314F" w:rsidRPr="002E4298">
        <w:rPr>
          <w:lang w:val="fr-FR" w:bidi="fr-FR"/>
        </w:rPr>
        <w:t>1</w:t>
      </w:r>
      <w:r w:rsidR="002B314F" w:rsidRPr="002E4298">
        <w:rPr>
          <w:vertAlign w:val="superscript"/>
          <w:lang w:val="fr-FR" w:bidi="fr-FR"/>
        </w:rPr>
        <w:t>er </w:t>
      </w:r>
      <w:r w:rsidR="002B314F" w:rsidRPr="002E4298">
        <w:rPr>
          <w:lang w:val="fr-FR" w:bidi="fr-FR"/>
        </w:rPr>
        <w:t>août</w:t>
      </w:r>
      <w:r w:rsidR="00B23B6D" w:rsidRPr="002E4298">
        <w:rPr>
          <w:lang w:val="fr-FR" w:bidi="fr-FR"/>
        </w:rPr>
        <w:t xml:space="preserve"> 20</w:t>
      </w:r>
      <w:r w:rsidR="002B314F" w:rsidRPr="002E4298">
        <w:rPr>
          <w:lang w:val="fr-FR" w:bidi="fr-FR"/>
        </w:rPr>
        <w:t>17 définit des quotas minimaux concernant la représentation des femmes aux conseils d</w:t>
      </w:r>
      <w:r w:rsidR="00DB0699" w:rsidRPr="002E4298">
        <w:rPr>
          <w:lang w:val="fr-FR" w:bidi="fr-FR"/>
        </w:rPr>
        <w:t>’</w:t>
      </w:r>
      <w:r w:rsidR="002B314F" w:rsidRPr="002E4298">
        <w:rPr>
          <w:lang w:val="fr-FR" w:bidi="fr-FR"/>
        </w:rPr>
        <w:t>administration des entreprises publiques (33</w:t>
      </w:r>
      <w:r w:rsidR="00DB0699" w:rsidRPr="002E4298">
        <w:rPr>
          <w:lang w:val="fr-FR" w:bidi="fr-FR"/>
        </w:rPr>
        <w:t> %</w:t>
      </w:r>
      <w:r w:rsidR="002B314F" w:rsidRPr="002E4298">
        <w:rPr>
          <w:lang w:val="fr-FR" w:bidi="fr-FR"/>
        </w:rPr>
        <w:t xml:space="preserve"> à compter </w:t>
      </w:r>
      <w:r w:rsidR="003E7581" w:rsidRPr="002E4298">
        <w:rPr>
          <w:lang w:val="fr-FR" w:bidi="fr-FR"/>
        </w:rPr>
        <w:t xml:space="preserve">du </w:t>
      </w:r>
      <w:r w:rsidR="002B314F" w:rsidRPr="002E4298">
        <w:rPr>
          <w:lang w:val="fr-FR" w:bidi="fr-FR"/>
        </w:rPr>
        <w:t>1</w:t>
      </w:r>
      <w:r w:rsidR="002B314F" w:rsidRPr="002E4298">
        <w:rPr>
          <w:vertAlign w:val="superscript"/>
          <w:lang w:val="fr-FR" w:bidi="fr-FR"/>
        </w:rPr>
        <w:t>er </w:t>
      </w:r>
      <w:r w:rsidR="002B314F" w:rsidRPr="002E4298">
        <w:rPr>
          <w:lang w:val="fr-FR" w:bidi="fr-FR"/>
        </w:rPr>
        <w:t>janvier</w:t>
      </w:r>
      <w:r w:rsidR="00B23B6D" w:rsidRPr="002E4298">
        <w:rPr>
          <w:lang w:val="fr-FR" w:bidi="fr-FR"/>
        </w:rPr>
        <w:t xml:space="preserve"> 20</w:t>
      </w:r>
      <w:r w:rsidR="002B314F" w:rsidRPr="002E4298">
        <w:rPr>
          <w:lang w:val="fr-FR" w:bidi="fr-FR"/>
        </w:rPr>
        <w:t>18) et des sociétés cotées en bourse (20</w:t>
      </w:r>
      <w:r w:rsidR="00DB0699" w:rsidRPr="002E4298">
        <w:rPr>
          <w:lang w:val="fr-FR" w:bidi="fr-FR"/>
        </w:rPr>
        <w:t> %</w:t>
      </w:r>
      <w:r w:rsidR="002B314F" w:rsidRPr="002E4298">
        <w:rPr>
          <w:lang w:val="fr-FR" w:bidi="fr-FR"/>
        </w:rPr>
        <w:t> à compter du 1</w:t>
      </w:r>
      <w:r w:rsidR="002B314F" w:rsidRPr="002E4298">
        <w:rPr>
          <w:vertAlign w:val="superscript"/>
          <w:lang w:val="fr-FR" w:bidi="fr-FR"/>
        </w:rPr>
        <w:t>er </w:t>
      </w:r>
      <w:r w:rsidR="002B314F" w:rsidRPr="002E4298">
        <w:rPr>
          <w:lang w:val="fr-FR" w:bidi="fr-FR"/>
        </w:rPr>
        <w:t>janvier</w:t>
      </w:r>
      <w:r w:rsidR="00B23B6D" w:rsidRPr="002E4298">
        <w:rPr>
          <w:lang w:val="fr-FR" w:bidi="fr-FR"/>
        </w:rPr>
        <w:t xml:space="preserve"> 20</w:t>
      </w:r>
      <w:r w:rsidR="002B314F" w:rsidRPr="002E4298">
        <w:rPr>
          <w:lang w:val="fr-FR" w:bidi="fr-FR"/>
        </w:rPr>
        <w:t>18 et 33</w:t>
      </w:r>
      <w:r w:rsidR="00DB0699" w:rsidRPr="002E4298">
        <w:rPr>
          <w:lang w:val="fr-FR" w:bidi="fr-FR"/>
        </w:rPr>
        <w:t> %</w:t>
      </w:r>
      <w:r w:rsidR="002B314F" w:rsidRPr="002E4298">
        <w:rPr>
          <w:lang w:val="fr-FR" w:bidi="fr-FR"/>
        </w:rPr>
        <w:t xml:space="preserve"> à compter </w:t>
      </w:r>
      <w:r w:rsidR="003E7581" w:rsidRPr="002E4298">
        <w:rPr>
          <w:lang w:val="fr-FR" w:bidi="fr-FR"/>
        </w:rPr>
        <w:t xml:space="preserve">du </w:t>
      </w:r>
      <w:r w:rsidR="002B314F" w:rsidRPr="002E4298">
        <w:rPr>
          <w:lang w:val="fr-FR" w:bidi="fr-FR"/>
        </w:rPr>
        <w:t>1</w:t>
      </w:r>
      <w:r w:rsidR="002B314F" w:rsidRPr="002E4298">
        <w:rPr>
          <w:vertAlign w:val="superscript"/>
          <w:lang w:val="fr-FR" w:bidi="fr-FR"/>
        </w:rPr>
        <w:t>er </w:t>
      </w:r>
      <w:r w:rsidR="002B314F" w:rsidRPr="002E4298">
        <w:rPr>
          <w:lang w:val="fr-FR" w:bidi="fr-FR"/>
        </w:rPr>
        <w:t>janvier</w:t>
      </w:r>
      <w:r w:rsidR="00B23B6D" w:rsidRPr="002E4298">
        <w:rPr>
          <w:lang w:val="fr-FR" w:bidi="fr-FR"/>
        </w:rPr>
        <w:t xml:space="preserve"> 20</w:t>
      </w:r>
      <w:r w:rsidR="002B314F" w:rsidRPr="002E4298">
        <w:rPr>
          <w:lang w:val="fr-FR" w:bidi="fr-FR"/>
        </w:rPr>
        <w:t>20). Depuis la publication de ladite loi jusqu</w:t>
      </w:r>
      <w:r w:rsidR="00DB0699" w:rsidRPr="002E4298">
        <w:rPr>
          <w:lang w:val="fr-FR" w:bidi="fr-FR"/>
        </w:rPr>
        <w:t>’</w:t>
      </w:r>
      <w:r w:rsidR="002B314F" w:rsidRPr="002E4298">
        <w:rPr>
          <w:lang w:val="fr-FR" w:bidi="fr-FR"/>
        </w:rPr>
        <w:t>au premier semestre</w:t>
      </w:r>
      <w:r w:rsidR="00B23B6D" w:rsidRPr="002E4298">
        <w:rPr>
          <w:lang w:val="fr-FR" w:bidi="fr-FR"/>
        </w:rPr>
        <w:t xml:space="preserve"> 20</w:t>
      </w:r>
      <w:r w:rsidR="002B314F" w:rsidRPr="002E4298">
        <w:rPr>
          <w:lang w:val="fr-FR" w:bidi="fr-FR"/>
        </w:rPr>
        <w:t>19, des effets positifs ont été constatés</w:t>
      </w:r>
      <w:r w:rsidR="00DB0699" w:rsidRPr="002E4298">
        <w:rPr>
          <w:lang w:val="fr-FR" w:bidi="fr-FR"/>
        </w:rPr>
        <w:t> :</w:t>
      </w:r>
      <w:r w:rsidR="002B314F" w:rsidRPr="002E4298">
        <w:rPr>
          <w:lang w:val="fr-FR" w:bidi="fr-FR"/>
        </w:rPr>
        <w:t xml:space="preserve"> le nombre de femmes siégeant dans les conseils d</w:t>
      </w:r>
      <w:r w:rsidR="00DB0699" w:rsidRPr="002E4298">
        <w:rPr>
          <w:lang w:val="fr-FR" w:bidi="fr-FR"/>
        </w:rPr>
        <w:t>’</w:t>
      </w:r>
      <w:r w:rsidR="002B314F" w:rsidRPr="002E4298">
        <w:rPr>
          <w:lang w:val="fr-FR" w:bidi="fr-FR"/>
        </w:rPr>
        <w:t xml:space="preserve">administration est passé </w:t>
      </w:r>
      <w:r w:rsidR="00DC43BF" w:rsidRPr="002E4298">
        <w:rPr>
          <w:lang w:val="fr-FR" w:bidi="fr-FR"/>
        </w:rPr>
        <w:t xml:space="preserve">de </w:t>
      </w:r>
      <w:r w:rsidR="002B314F" w:rsidRPr="002E4298">
        <w:rPr>
          <w:lang w:val="fr-FR" w:bidi="fr-FR"/>
        </w:rPr>
        <w:t>12</w:t>
      </w:r>
      <w:r w:rsidR="00DB0699" w:rsidRPr="002E4298">
        <w:rPr>
          <w:lang w:val="fr-FR" w:bidi="fr-FR"/>
        </w:rPr>
        <w:t> %</w:t>
      </w:r>
      <w:r w:rsidR="002B314F" w:rsidRPr="002E4298">
        <w:rPr>
          <w:lang w:val="fr-FR" w:bidi="fr-FR"/>
        </w:rPr>
        <w:t xml:space="preserve"> </w:t>
      </w:r>
      <w:r w:rsidR="007A7E54" w:rsidRPr="002E4298">
        <w:rPr>
          <w:lang w:val="fr-FR" w:bidi="fr-FR"/>
        </w:rPr>
        <w:t xml:space="preserve">à </w:t>
      </w:r>
      <w:r w:rsidR="002B314F" w:rsidRPr="002E4298">
        <w:rPr>
          <w:lang w:val="fr-FR" w:bidi="fr-FR"/>
        </w:rPr>
        <w:t>19</w:t>
      </w:r>
      <w:r w:rsidR="00DB0699" w:rsidRPr="002E4298">
        <w:rPr>
          <w:lang w:val="fr-FR" w:bidi="fr-FR"/>
        </w:rPr>
        <w:t> %</w:t>
      </w:r>
      <w:r w:rsidR="002B314F" w:rsidRPr="002E4298">
        <w:rPr>
          <w:lang w:val="fr-FR" w:bidi="fr-FR"/>
        </w:rPr>
        <w:t xml:space="preserve"> dans les sociétés cotées en bourse, </w:t>
      </w:r>
      <w:r w:rsidR="00DC43BF" w:rsidRPr="002E4298">
        <w:rPr>
          <w:lang w:val="fr-FR" w:bidi="fr-FR"/>
        </w:rPr>
        <w:t xml:space="preserve">de </w:t>
      </w:r>
      <w:r w:rsidR="002B314F" w:rsidRPr="002E4298">
        <w:rPr>
          <w:lang w:val="fr-FR" w:bidi="fr-FR"/>
        </w:rPr>
        <w:t>28</w:t>
      </w:r>
      <w:r w:rsidR="00DB0699" w:rsidRPr="002E4298">
        <w:rPr>
          <w:lang w:val="fr-FR" w:bidi="fr-FR"/>
        </w:rPr>
        <w:t> %</w:t>
      </w:r>
      <w:r w:rsidR="002B314F" w:rsidRPr="002E4298">
        <w:rPr>
          <w:lang w:val="fr-FR" w:bidi="fr-FR"/>
        </w:rPr>
        <w:t xml:space="preserve"> </w:t>
      </w:r>
      <w:r w:rsidR="007A7E54" w:rsidRPr="002E4298">
        <w:rPr>
          <w:lang w:val="fr-FR" w:bidi="fr-FR"/>
        </w:rPr>
        <w:t xml:space="preserve">à </w:t>
      </w:r>
      <w:r w:rsidR="002B314F" w:rsidRPr="002E4298">
        <w:rPr>
          <w:lang w:val="fr-FR" w:bidi="fr-FR"/>
        </w:rPr>
        <w:t>35</w:t>
      </w:r>
      <w:r w:rsidR="00DB0699" w:rsidRPr="002E4298">
        <w:rPr>
          <w:lang w:val="fr-FR" w:bidi="fr-FR"/>
        </w:rPr>
        <w:t> %</w:t>
      </w:r>
      <w:r w:rsidR="002B314F" w:rsidRPr="002E4298">
        <w:rPr>
          <w:lang w:val="fr-FR" w:bidi="fr-FR"/>
        </w:rPr>
        <w:t>dans entreprises publiques nationales et de</w:t>
      </w:r>
      <w:r w:rsidR="00B23B6D" w:rsidRPr="002E4298">
        <w:rPr>
          <w:lang w:val="fr-FR" w:bidi="fr-FR"/>
        </w:rPr>
        <w:t xml:space="preserve"> 20</w:t>
      </w:r>
      <w:r w:rsidR="00DB0699" w:rsidRPr="002E4298">
        <w:rPr>
          <w:lang w:val="fr-FR" w:bidi="fr-FR"/>
        </w:rPr>
        <w:t> %</w:t>
      </w:r>
      <w:r w:rsidR="002B314F" w:rsidRPr="002E4298">
        <w:rPr>
          <w:lang w:val="fr-FR" w:bidi="fr-FR"/>
        </w:rPr>
        <w:t xml:space="preserve"> </w:t>
      </w:r>
      <w:r w:rsidR="007A7E54" w:rsidRPr="002E4298">
        <w:rPr>
          <w:lang w:val="fr-FR" w:bidi="fr-FR"/>
        </w:rPr>
        <w:t xml:space="preserve">à </w:t>
      </w:r>
      <w:r w:rsidR="002B314F" w:rsidRPr="002E4298">
        <w:rPr>
          <w:lang w:val="fr-FR" w:bidi="fr-FR"/>
        </w:rPr>
        <w:t>31</w:t>
      </w:r>
      <w:r w:rsidR="00DB0699" w:rsidRPr="002E4298">
        <w:rPr>
          <w:lang w:val="fr-FR" w:bidi="fr-FR"/>
        </w:rPr>
        <w:t> %</w:t>
      </w:r>
      <w:r w:rsidR="002B314F" w:rsidRPr="002E4298">
        <w:rPr>
          <w:lang w:val="fr-FR" w:bidi="fr-FR"/>
        </w:rPr>
        <w:t xml:space="preserve"> dans les entreprises publiques locales</w:t>
      </w:r>
      <w:r w:rsidR="00DB0699" w:rsidRPr="002E4298">
        <w:rPr>
          <w:lang w:val="fr-FR" w:bidi="fr-FR"/>
        </w:rPr>
        <w:t> ;</w:t>
      </w:r>
    </w:p>
    <w:p w14:paraId="3017EF2C" w14:textId="054F92DB" w:rsidR="002B314F" w:rsidRPr="002E4298" w:rsidRDefault="00C31EE2" w:rsidP="00C31EE2">
      <w:pPr>
        <w:pStyle w:val="SingleTxt"/>
        <w:tabs>
          <w:tab w:val="right" w:pos="1685"/>
        </w:tabs>
        <w:ind w:left="1742" w:hanging="475"/>
        <w:rPr>
          <w:lang w:val="fr-FR"/>
        </w:rPr>
      </w:pPr>
      <w:r w:rsidRPr="002E4298">
        <w:rPr>
          <w:lang w:val="fr-FR" w:bidi="fr-FR"/>
        </w:rPr>
        <w:tab/>
        <w:t>•</w:t>
      </w:r>
      <w:r w:rsidRPr="002E4298">
        <w:rPr>
          <w:lang w:val="fr-FR" w:bidi="fr-FR"/>
        </w:rPr>
        <w:tab/>
      </w:r>
      <w:r w:rsidR="002B314F" w:rsidRPr="002E4298">
        <w:rPr>
          <w:lang w:val="fr-FR" w:bidi="fr-FR"/>
        </w:rPr>
        <w:t>la</w:t>
      </w:r>
      <w:r w:rsidR="00DC43BF" w:rsidRPr="002E4298">
        <w:rPr>
          <w:lang w:val="fr-FR" w:bidi="fr-FR"/>
        </w:rPr>
        <w:t xml:space="preserve"> </w:t>
      </w:r>
      <w:r w:rsidR="002B314F" w:rsidRPr="002E4298">
        <w:rPr>
          <w:lang w:val="fr-FR" w:bidi="fr-FR"/>
        </w:rPr>
        <w:t xml:space="preserve">loi nº 1/2019 </w:t>
      </w:r>
      <w:r w:rsidR="003E7581" w:rsidRPr="002E4298">
        <w:rPr>
          <w:lang w:val="fr-FR" w:bidi="fr-FR"/>
        </w:rPr>
        <w:t xml:space="preserve">du </w:t>
      </w:r>
      <w:r w:rsidR="002B314F" w:rsidRPr="002E4298">
        <w:rPr>
          <w:lang w:val="fr-FR" w:bidi="fr-FR"/>
        </w:rPr>
        <w:t>29 mars</w:t>
      </w:r>
      <w:r w:rsidR="00B23B6D" w:rsidRPr="002E4298">
        <w:rPr>
          <w:lang w:val="fr-FR" w:bidi="fr-FR"/>
        </w:rPr>
        <w:t xml:space="preserve"> 20</w:t>
      </w:r>
      <w:r w:rsidR="002B314F" w:rsidRPr="002E4298">
        <w:rPr>
          <w:lang w:val="fr-FR" w:bidi="fr-FR"/>
        </w:rPr>
        <w:t>19 a porté de 33</w:t>
      </w:r>
      <w:r w:rsidR="00DB0699" w:rsidRPr="002E4298">
        <w:rPr>
          <w:lang w:val="fr-FR" w:bidi="fr-FR"/>
        </w:rPr>
        <w:t> %</w:t>
      </w:r>
      <w:r w:rsidR="002B314F" w:rsidRPr="002E4298">
        <w:rPr>
          <w:lang w:val="fr-FR" w:bidi="fr-FR"/>
        </w:rPr>
        <w:t xml:space="preserve"> </w:t>
      </w:r>
      <w:r w:rsidR="007A7E54" w:rsidRPr="002E4298">
        <w:rPr>
          <w:lang w:val="fr-FR" w:bidi="fr-FR"/>
        </w:rPr>
        <w:t xml:space="preserve">à </w:t>
      </w:r>
      <w:r w:rsidR="002B314F" w:rsidRPr="002E4298">
        <w:rPr>
          <w:lang w:val="fr-FR" w:bidi="fr-FR"/>
        </w:rPr>
        <w:t>40</w:t>
      </w:r>
      <w:r w:rsidR="00DB0699" w:rsidRPr="002E4298">
        <w:rPr>
          <w:lang w:val="fr-FR" w:bidi="fr-FR"/>
        </w:rPr>
        <w:t> %</w:t>
      </w:r>
      <w:r w:rsidR="002B314F" w:rsidRPr="002E4298">
        <w:rPr>
          <w:lang w:val="fr-FR" w:bidi="fr-FR"/>
        </w:rPr>
        <w:t xml:space="preserve"> la part minimale de candidates féminines pour les listes électorales aux élections du Parlement national, du Parlement européen et des instances élues des municipalités, ainsi que pour les membres des conseils paroissiaux. Lors des élections générales d</w:t>
      </w:r>
      <w:r w:rsidR="00DB0699" w:rsidRPr="002E4298">
        <w:rPr>
          <w:lang w:val="fr-FR" w:bidi="fr-FR"/>
        </w:rPr>
        <w:t>’</w:t>
      </w:r>
      <w:r w:rsidR="002B314F" w:rsidRPr="002E4298">
        <w:rPr>
          <w:lang w:val="fr-FR" w:bidi="fr-FR"/>
        </w:rPr>
        <w:t>octobre</w:t>
      </w:r>
      <w:r w:rsidR="00B23B6D" w:rsidRPr="002E4298">
        <w:rPr>
          <w:lang w:val="fr-FR" w:bidi="fr-FR"/>
        </w:rPr>
        <w:t xml:space="preserve"> 20</w:t>
      </w:r>
      <w:r w:rsidR="002B314F" w:rsidRPr="002E4298">
        <w:rPr>
          <w:lang w:val="fr-FR" w:bidi="fr-FR"/>
        </w:rPr>
        <w:t>19, un nombre record de 89 femmes ont été élues au Parlement national (38,7</w:t>
      </w:r>
      <w:r w:rsidR="00DB0699" w:rsidRPr="002E4298">
        <w:rPr>
          <w:lang w:val="fr-FR" w:bidi="fr-FR"/>
        </w:rPr>
        <w:t> %</w:t>
      </w:r>
      <w:r w:rsidR="002B314F" w:rsidRPr="002E4298">
        <w:rPr>
          <w:lang w:val="fr-FR" w:bidi="fr-FR"/>
        </w:rPr>
        <w:t xml:space="preserve">). Le Gouvernement nouvellement établi compte une proportion record </w:t>
      </w:r>
      <w:r w:rsidR="00DC43BF" w:rsidRPr="002E4298">
        <w:rPr>
          <w:lang w:val="fr-FR" w:bidi="fr-FR"/>
        </w:rPr>
        <w:t xml:space="preserve">de </w:t>
      </w:r>
      <w:r w:rsidR="002B314F" w:rsidRPr="002E4298">
        <w:rPr>
          <w:lang w:val="fr-FR" w:bidi="fr-FR"/>
        </w:rPr>
        <w:t>40</w:t>
      </w:r>
      <w:r w:rsidR="00DB0699" w:rsidRPr="002E4298">
        <w:rPr>
          <w:lang w:val="fr-FR" w:bidi="fr-FR"/>
        </w:rPr>
        <w:t> %</w:t>
      </w:r>
      <w:r w:rsidR="002B314F" w:rsidRPr="002E4298">
        <w:rPr>
          <w:lang w:val="fr-FR" w:bidi="fr-FR"/>
        </w:rPr>
        <w:t xml:space="preserve"> de femmes ministres et 36</w:t>
      </w:r>
      <w:r w:rsidR="00DB0699" w:rsidRPr="002E4298">
        <w:rPr>
          <w:lang w:val="fr-FR" w:bidi="fr-FR"/>
        </w:rPr>
        <w:t> %</w:t>
      </w:r>
      <w:r w:rsidR="002B314F" w:rsidRPr="002E4298">
        <w:rPr>
          <w:lang w:val="fr-FR" w:bidi="fr-FR"/>
        </w:rPr>
        <w:t xml:space="preserve"> de femmes secrétaires d</w:t>
      </w:r>
      <w:r w:rsidR="00DB0699" w:rsidRPr="002E4298">
        <w:rPr>
          <w:lang w:val="fr-FR" w:bidi="fr-FR"/>
        </w:rPr>
        <w:t>’</w:t>
      </w:r>
      <w:r w:rsidR="002B314F" w:rsidRPr="002E4298">
        <w:rPr>
          <w:lang w:val="fr-FR" w:bidi="fr-FR"/>
        </w:rPr>
        <w:t>État</w:t>
      </w:r>
      <w:r w:rsidR="00DB0699" w:rsidRPr="002E4298">
        <w:rPr>
          <w:lang w:val="fr-FR" w:bidi="fr-FR"/>
        </w:rPr>
        <w:t> ;</w:t>
      </w:r>
    </w:p>
    <w:p w14:paraId="213F3C0F" w14:textId="68EA198F" w:rsidR="002B314F" w:rsidRPr="002E4298" w:rsidRDefault="00C31EE2" w:rsidP="00C31EE2">
      <w:pPr>
        <w:pStyle w:val="SingleTxt"/>
        <w:tabs>
          <w:tab w:val="right" w:pos="1685"/>
        </w:tabs>
        <w:ind w:left="1742" w:hanging="475"/>
        <w:rPr>
          <w:lang w:val="fr-FR"/>
        </w:rPr>
      </w:pPr>
      <w:r w:rsidRPr="002E4298">
        <w:rPr>
          <w:lang w:val="fr-FR" w:bidi="fr-FR"/>
        </w:rPr>
        <w:tab/>
        <w:t>•</w:t>
      </w:r>
      <w:r w:rsidRPr="002E4298">
        <w:rPr>
          <w:lang w:val="fr-FR" w:bidi="fr-FR"/>
        </w:rPr>
        <w:tab/>
      </w:r>
      <w:r w:rsidR="002B314F" w:rsidRPr="002E4298">
        <w:rPr>
          <w:lang w:val="fr-FR" w:bidi="fr-FR"/>
        </w:rPr>
        <w:t>la</w:t>
      </w:r>
      <w:r w:rsidR="00DC43BF" w:rsidRPr="002E4298">
        <w:rPr>
          <w:lang w:val="fr-FR" w:bidi="fr-FR"/>
        </w:rPr>
        <w:t xml:space="preserve"> </w:t>
      </w:r>
      <w:r w:rsidR="002B314F" w:rsidRPr="002E4298">
        <w:rPr>
          <w:lang w:val="fr-FR" w:bidi="fr-FR"/>
        </w:rPr>
        <w:t xml:space="preserve">loi nº 26/2019 </w:t>
      </w:r>
      <w:r w:rsidR="003E7581" w:rsidRPr="002E4298">
        <w:rPr>
          <w:lang w:val="fr-FR" w:bidi="fr-FR"/>
        </w:rPr>
        <w:t xml:space="preserve">du </w:t>
      </w:r>
      <w:r w:rsidR="002B314F" w:rsidRPr="002E4298">
        <w:rPr>
          <w:lang w:val="fr-FR" w:bidi="fr-FR"/>
        </w:rPr>
        <w:t>28 mars</w:t>
      </w:r>
      <w:r w:rsidR="00B23B6D" w:rsidRPr="002E4298">
        <w:rPr>
          <w:lang w:val="fr-FR" w:bidi="fr-FR"/>
        </w:rPr>
        <w:t xml:space="preserve"> 20</w:t>
      </w:r>
      <w:r w:rsidR="002B314F" w:rsidRPr="002E4298">
        <w:rPr>
          <w:lang w:val="fr-FR" w:bidi="fr-FR"/>
        </w:rPr>
        <w:t>19 fixe un quota minimal de 40</w:t>
      </w:r>
      <w:r w:rsidR="00DB0699" w:rsidRPr="002E4298">
        <w:rPr>
          <w:lang w:val="fr-FR" w:bidi="fr-FR"/>
        </w:rPr>
        <w:t> %</w:t>
      </w:r>
      <w:r w:rsidR="002B314F" w:rsidRPr="002E4298">
        <w:rPr>
          <w:lang w:val="fr-FR" w:bidi="fr-FR"/>
        </w:rPr>
        <w:t> de femmes dans les hautes fonctions de l</w:t>
      </w:r>
      <w:r w:rsidR="00DB0699" w:rsidRPr="002E4298">
        <w:rPr>
          <w:lang w:val="fr-FR" w:bidi="fr-FR"/>
        </w:rPr>
        <w:t>’</w:t>
      </w:r>
      <w:r w:rsidR="002B314F" w:rsidRPr="002E4298">
        <w:rPr>
          <w:lang w:val="fr-FR" w:bidi="fr-FR"/>
        </w:rPr>
        <w:t>administration publique, des établissements publics d</w:t>
      </w:r>
      <w:r w:rsidR="00DB0699" w:rsidRPr="002E4298">
        <w:rPr>
          <w:lang w:val="fr-FR" w:bidi="fr-FR"/>
        </w:rPr>
        <w:t>’</w:t>
      </w:r>
      <w:r w:rsidR="002B314F" w:rsidRPr="002E4298">
        <w:rPr>
          <w:lang w:val="fr-FR" w:bidi="fr-FR"/>
        </w:rPr>
        <w:t>enseignement supérieur et des associations.</w:t>
      </w:r>
    </w:p>
    <w:p w14:paraId="11EFD375" w14:textId="4B8EFCA5" w:rsidR="002B314F" w:rsidRPr="002E4298" w:rsidRDefault="002B314F" w:rsidP="00A11C35">
      <w:pPr>
        <w:pStyle w:val="SingleTxt"/>
        <w:numPr>
          <w:ilvl w:val="0"/>
          <w:numId w:val="5"/>
        </w:numPr>
        <w:spacing w:line="240" w:lineRule="exact"/>
        <w:ind w:left="1267"/>
        <w:rPr>
          <w:lang w:val="fr-FR"/>
        </w:rPr>
      </w:pPr>
      <w:r w:rsidRPr="002E4298">
        <w:rPr>
          <w:lang w:val="fr-FR" w:bidi="fr-FR"/>
        </w:rPr>
        <w:t>Dans le secteur du cinéma et de l</w:t>
      </w:r>
      <w:r w:rsidR="00DB0699" w:rsidRPr="002E4298">
        <w:rPr>
          <w:lang w:val="fr-FR" w:bidi="fr-FR"/>
        </w:rPr>
        <w:t>’</w:t>
      </w:r>
      <w:r w:rsidRPr="002E4298">
        <w:rPr>
          <w:lang w:val="fr-FR" w:bidi="fr-FR"/>
        </w:rPr>
        <w:t>audiovisuel (Institut du cinéma et de l</w:t>
      </w:r>
      <w:r w:rsidR="00DB0699" w:rsidRPr="002E4298">
        <w:rPr>
          <w:lang w:val="fr-FR" w:bidi="fr-FR"/>
        </w:rPr>
        <w:t>’</w:t>
      </w:r>
      <w:r w:rsidRPr="002E4298">
        <w:rPr>
          <w:lang w:val="fr-FR" w:bidi="fr-FR"/>
        </w:rPr>
        <w:t>audiovisuel)</w:t>
      </w:r>
      <w:r w:rsidR="00DB0699" w:rsidRPr="002E4298">
        <w:rPr>
          <w:lang w:val="fr-FR" w:bidi="fr-FR"/>
        </w:rPr>
        <w:t> :</w:t>
      </w:r>
    </w:p>
    <w:p w14:paraId="388FF856" w14:textId="764DF99D" w:rsidR="002B314F" w:rsidRPr="002E4298" w:rsidRDefault="00C31EE2" w:rsidP="00C31EE2">
      <w:pPr>
        <w:pStyle w:val="SingleTxt"/>
        <w:tabs>
          <w:tab w:val="right" w:pos="1685"/>
        </w:tabs>
        <w:ind w:left="1742" w:hanging="475"/>
        <w:rPr>
          <w:lang w:val="fr-FR"/>
        </w:rPr>
      </w:pPr>
      <w:r w:rsidRPr="002E4298">
        <w:rPr>
          <w:lang w:val="fr-FR" w:bidi="fr-FR"/>
        </w:rPr>
        <w:tab/>
        <w:t>•</w:t>
      </w:r>
      <w:r w:rsidRPr="002E4298">
        <w:rPr>
          <w:lang w:val="fr-FR" w:bidi="fr-FR"/>
        </w:rPr>
        <w:tab/>
      </w:r>
      <w:r w:rsidR="002B314F" w:rsidRPr="002E4298">
        <w:rPr>
          <w:lang w:val="fr-FR" w:bidi="fr-FR"/>
        </w:rPr>
        <w:t>modification des règlements relatifs au soutien financier dans les domaines de l</w:t>
      </w:r>
      <w:r w:rsidR="00DB0699" w:rsidRPr="002E4298">
        <w:rPr>
          <w:lang w:val="fr-FR" w:bidi="fr-FR"/>
        </w:rPr>
        <w:t>’</w:t>
      </w:r>
      <w:r w:rsidR="002B314F" w:rsidRPr="002E4298">
        <w:rPr>
          <w:lang w:val="fr-FR" w:bidi="fr-FR"/>
        </w:rPr>
        <w:t>écriture et de la réalisation d</w:t>
      </w:r>
      <w:r w:rsidR="00DB0699" w:rsidRPr="002E4298">
        <w:rPr>
          <w:lang w:val="fr-FR" w:bidi="fr-FR"/>
        </w:rPr>
        <w:t>’</w:t>
      </w:r>
      <w:r w:rsidR="002B314F" w:rsidRPr="002E4298">
        <w:rPr>
          <w:lang w:val="fr-FR" w:bidi="fr-FR"/>
        </w:rPr>
        <w:t>œuvres cinématographiques ainsi que de l</w:t>
      </w:r>
      <w:r w:rsidR="00DB0699" w:rsidRPr="002E4298">
        <w:rPr>
          <w:lang w:val="fr-FR" w:bidi="fr-FR"/>
        </w:rPr>
        <w:t>’</w:t>
      </w:r>
      <w:r w:rsidR="002B314F" w:rsidRPr="002E4298">
        <w:rPr>
          <w:lang w:val="fr-FR" w:bidi="fr-FR"/>
        </w:rPr>
        <w:t>écriture et de la réalisation d</w:t>
      </w:r>
      <w:r w:rsidR="00DB0699" w:rsidRPr="002E4298">
        <w:rPr>
          <w:lang w:val="fr-FR" w:bidi="fr-FR"/>
        </w:rPr>
        <w:t>’</w:t>
      </w:r>
      <w:r w:rsidR="002B314F" w:rsidRPr="002E4298">
        <w:rPr>
          <w:lang w:val="fr-FR" w:bidi="fr-FR"/>
        </w:rPr>
        <w:t>œuvres audiovisuelles, avec l</w:t>
      </w:r>
      <w:r w:rsidR="00DB0699" w:rsidRPr="002E4298">
        <w:rPr>
          <w:lang w:val="fr-FR" w:bidi="fr-FR"/>
        </w:rPr>
        <w:t>’</w:t>
      </w:r>
      <w:r w:rsidR="002B314F" w:rsidRPr="002E4298">
        <w:rPr>
          <w:lang w:val="fr-FR" w:bidi="fr-FR"/>
        </w:rPr>
        <w:t>introduction d</w:t>
      </w:r>
      <w:r w:rsidR="00DB0699" w:rsidRPr="002E4298">
        <w:rPr>
          <w:lang w:val="fr-FR" w:bidi="fr-FR"/>
        </w:rPr>
        <w:t>’</w:t>
      </w:r>
      <w:r w:rsidR="002B314F" w:rsidRPr="002E4298">
        <w:rPr>
          <w:lang w:val="fr-FR" w:bidi="fr-FR"/>
        </w:rPr>
        <w:t>un facteur d</w:t>
      </w:r>
      <w:r w:rsidR="00DB0699" w:rsidRPr="002E4298">
        <w:rPr>
          <w:lang w:val="fr-FR" w:bidi="fr-FR"/>
        </w:rPr>
        <w:t>’</w:t>
      </w:r>
      <w:r w:rsidR="002B314F" w:rsidRPr="002E4298">
        <w:rPr>
          <w:lang w:val="fr-FR" w:bidi="fr-FR"/>
        </w:rPr>
        <w:t xml:space="preserve">augmentation </w:t>
      </w:r>
      <w:r w:rsidR="00DC43BF" w:rsidRPr="002E4298">
        <w:rPr>
          <w:lang w:val="fr-FR" w:bidi="fr-FR"/>
        </w:rPr>
        <w:t xml:space="preserve">de </w:t>
      </w:r>
      <w:r w:rsidR="002B314F" w:rsidRPr="002E4298">
        <w:rPr>
          <w:lang w:val="fr-FR" w:bidi="fr-FR"/>
        </w:rPr>
        <w:t>10</w:t>
      </w:r>
      <w:r w:rsidR="00DB0699" w:rsidRPr="002E4298">
        <w:rPr>
          <w:lang w:val="fr-FR" w:bidi="fr-FR"/>
        </w:rPr>
        <w:t> %</w:t>
      </w:r>
      <w:r w:rsidR="002B314F" w:rsidRPr="002E4298">
        <w:rPr>
          <w:lang w:val="fr-FR" w:bidi="fr-FR"/>
        </w:rPr>
        <w:t xml:space="preserve"> par plan d</w:t>
      </w:r>
      <w:r w:rsidR="00DB0699" w:rsidRPr="002E4298">
        <w:rPr>
          <w:lang w:val="fr-FR" w:bidi="fr-FR"/>
        </w:rPr>
        <w:t>’</w:t>
      </w:r>
      <w:r w:rsidR="002B314F" w:rsidRPr="002E4298">
        <w:rPr>
          <w:lang w:val="fr-FR" w:bidi="fr-FR"/>
        </w:rPr>
        <w:t>écriture et de réalisation lorsque plus de 50</w:t>
      </w:r>
      <w:r w:rsidR="00DB0699" w:rsidRPr="002E4298">
        <w:rPr>
          <w:lang w:val="fr-FR" w:bidi="fr-FR"/>
        </w:rPr>
        <w:t> %</w:t>
      </w:r>
      <w:r w:rsidR="002B314F" w:rsidRPr="002E4298">
        <w:rPr>
          <w:lang w:val="fr-FR" w:bidi="fr-FR"/>
        </w:rPr>
        <w:t xml:space="preserve"> des œuvres sont le produit de femmes</w:t>
      </w:r>
      <w:r w:rsidR="00DB0699" w:rsidRPr="002E4298">
        <w:rPr>
          <w:lang w:val="fr-FR" w:bidi="fr-FR"/>
        </w:rPr>
        <w:t> ;</w:t>
      </w:r>
    </w:p>
    <w:p w14:paraId="0636C400" w14:textId="7B11FD09" w:rsidR="002B314F" w:rsidRPr="002E4298" w:rsidRDefault="00C31EE2" w:rsidP="00C31EE2">
      <w:pPr>
        <w:pStyle w:val="SingleTxt"/>
        <w:tabs>
          <w:tab w:val="right" w:pos="1685"/>
        </w:tabs>
        <w:ind w:left="1742" w:hanging="475"/>
        <w:rPr>
          <w:lang w:val="fr-FR"/>
        </w:rPr>
      </w:pPr>
      <w:r w:rsidRPr="002E4298">
        <w:rPr>
          <w:lang w:val="fr-FR" w:bidi="fr-FR"/>
        </w:rPr>
        <w:tab/>
        <w:t>•</w:t>
      </w:r>
      <w:r w:rsidRPr="002E4298">
        <w:rPr>
          <w:lang w:val="fr-FR" w:bidi="fr-FR"/>
        </w:rPr>
        <w:tab/>
      </w:r>
      <w:r w:rsidR="002B314F" w:rsidRPr="002E4298">
        <w:rPr>
          <w:lang w:val="fr-FR" w:bidi="fr-FR"/>
        </w:rPr>
        <w:t>la réglementation relative aux incitations à la production cinématographique et audiovisuelle accordées au titre du Fonds de soutien pour le tourisme et le cinéma, prévoit dorénavant un (1) point dans la grille d</w:t>
      </w:r>
      <w:r w:rsidR="00DB0699" w:rsidRPr="002E4298">
        <w:rPr>
          <w:lang w:val="fr-FR" w:bidi="fr-FR"/>
        </w:rPr>
        <w:t>’</w:t>
      </w:r>
      <w:r w:rsidR="002B314F" w:rsidRPr="002E4298">
        <w:rPr>
          <w:lang w:val="fr-FR" w:bidi="fr-FR"/>
        </w:rPr>
        <w:t>évaluation de la valeur culturelle et cinématographique des projets lorsque « l</w:t>
      </w:r>
      <w:r w:rsidR="00DB0699" w:rsidRPr="002E4298">
        <w:rPr>
          <w:lang w:val="fr-FR" w:bidi="fr-FR"/>
        </w:rPr>
        <w:t>’</w:t>
      </w:r>
      <w:r w:rsidR="002B314F" w:rsidRPr="002E4298">
        <w:rPr>
          <w:lang w:val="fr-FR" w:bidi="fr-FR"/>
        </w:rPr>
        <w:t>œuvre est le produit d</w:t>
      </w:r>
      <w:r w:rsidR="00DB0699" w:rsidRPr="002E4298">
        <w:rPr>
          <w:lang w:val="fr-FR" w:bidi="fr-FR"/>
        </w:rPr>
        <w:t>’</w:t>
      </w:r>
      <w:r w:rsidR="002B314F" w:rsidRPr="002E4298">
        <w:rPr>
          <w:lang w:val="fr-FR" w:bidi="fr-FR"/>
        </w:rPr>
        <w:t>une femme ».</w:t>
      </w:r>
    </w:p>
    <w:p w14:paraId="768A25D0" w14:textId="77777777" w:rsidR="00C31EE2" w:rsidRPr="002E4298" w:rsidRDefault="00C31EE2" w:rsidP="00C31EE2">
      <w:pPr>
        <w:pStyle w:val="SingleTxt"/>
        <w:spacing w:after="0" w:line="120" w:lineRule="exact"/>
        <w:rPr>
          <w:sz w:val="10"/>
          <w:lang w:val="fr-FR" w:bidi="fr-FR"/>
        </w:rPr>
      </w:pPr>
    </w:p>
    <w:p w14:paraId="7E09F5C9" w14:textId="381CEA3D" w:rsidR="002B314F" w:rsidRPr="002E4298" w:rsidRDefault="002B314F" w:rsidP="00C31E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2E4298">
        <w:rPr>
          <w:lang w:val="fr-FR" w:bidi="fr-FR"/>
        </w:rPr>
        <w:tab/>
        <w:t>8.</w:t>
      </w:r>
      <w:r w:rsidRPr="002E4298">
        <w:rPr>
          <w:lang w:val="fr-FR" w:bidi="fr-FR"/>
        </w:rPr>
        <w:tab/>
        <w:t>Stéréotypes (paragraphes</w:t>
      </w:r>
      <w:r w:rsidR="00B23B6D" w:rsidRPr="002E4298">
        <w:rPr>
          <w:lang w:val="fr-FR" w:bidi="fr-FR"/>
        </w:rPr>
        <w:t xml:space="preserve"> 20</w:t>
      </w:r>
      <w:r w:rsidRPr="002E4298">
        <w:rPr>
          <w:lang w:val="fr-FR" w:bidi="fr-FR"/>
        </w:rPr>
        <w:t xml:space="preserve"> et 21)</w:t>
      </w:r>
    </w:p>
    <w:p w14:paraId="4852EADF" w14:textId="30093625" w:rsidR="00C31EE2" w:rsidRPr="002E4298" w:rsidRDefault="00C31EE2" w:rsidP="00C31EE2">
      <w:pPr>
        <w:pStyle w:val="SingleTxt"/>
        <w:spacing w:after="0" w:line="120" w:lineRule="exact"/>
        <w:rPr>
          <w:sz w:val="10"/>
          <w:lang w:val="fr-FR" w:bidi="fr-FR"/>
        </w:rPr>
      </w:pPr>
    </w:p>
    <w:p w14:paraId="5F270C4A" w14:textId="75BBE26B" w:rsidR="002B314F" w:rsidRPr="002E4298" w:rsidRDefault="002B314F" w:rsidP="00A11C35">
      <w:pPr>
        <w:pStyle w:val="SingleTxt"/>
        <w:numPr>
          <w:ilvl w:val="0"/>
          <w:numId w:val="5"/>
        </w:numPr>
        <w:spacing w:line="240" w:lineRule="exact"/>
        <w:ind w:left="1267"/>
        <w:rPr>
          <w:lang w:val="fr-FR"/>
        </w:rPr>
      </w:pPr>
      <w:r w:rsidRPr="002E4298">
        <w:rPr>
          <w:lang w:val="fr-FR" w:bidi="fr-FR"/>
        </w:rPr>
        <w:t>la Stratégie nationale en faveur de l</w:t>
      </w:r>
      <w:r w:rsidR="00DB0699" w:rsidRPr="002E4298">
        <w:rPr>
          <w:lang w:val="fr-FR" w:bidi="fr-FR"/>
        </w:rPr>
        <w:t>’</w:t>
      </w:r>
      <w:r w:rsidRPr="002E4298">
        <w:rPr>
          <w:lang w:val="fr-FR" w:bidi="fr-FR"/>
        </w:rPr>
        <w:t>égalité et de la non-discrimination repose expressément sur l</w:t>
      </w:r>
      <w:r w:rsidR="00DB0699" w:rsidRPr="002E4298">
        <w:rPr>
          <w:lang w:val="fr-FR" w:bidi="fr-FR"/>
        </w:rPr>
        <w:t>’</w:t>
      </w:r>
      <w:r w:rsidRPr="002E4298">
        <w:rPr>
          <w:lang w:val="fr-FR" w:bidi="fr-FR"/>
        </w:rPr>
        <w:t>élimination des stéréotypes fondés sur le genre, c</w:t>
      </w:r>
      <w:r w:rsidR="00DB0699" w:rsidRPr="002E4298">
        <w:rPr>
          <w:lang w:val="fr-FR" w:bidi="fr-FR"/>
        </w:rPr>
        <w:t>’</w:t>
      </w:r>
      <w:r w:rsidRPr="002E4298">
        <w:rPr>
          <w:lang w:val="fr-FR" w:bidi="fr-FR"/>
        </w:rPr>
        <w:t>est-à-dire qu</w:t>
      </w:r>
      <w:r w:rsidR="00DB0699" w:rsidRPr="002E4298">
        <w:rPr>
          <w:lang w:val="fr-FR" w:bidi="fr-FR"/>
        </w:rPr>
        <w:t>’</w:t>
      </w:r>
      <w:r w:rsidRPr="002E4298">
        <w:rPr>
          <w:lang w:val="fr-FR" w:bidi="fr-FR"/>
        </w:rPr>
        <w:t>elle met l</w:t>
      </w:r>
      <w:r w:rsidR="00DB0699" w:rsidRPr="002E4298">
        <w:rPr>
          <w:lang w:val="fr-FR" w:bidi="fr-FR"/>
        </w:rPr>
        <w:t>’</w:t>
      </w:r>
      <w:r w:rsidRPr="002E4298">
        <w:rPr>
          <w:lang w:val="fr-FR" w:bidi="fr-FR"/>
        </w:rPr>
        <w:t xml:space="preserve">accent sur les manifestations réelles des stéréotypes persistants afin de </w:t>
      </w:r>
      <w:r w:rsidRPr="002E4298">
        <w:rPr>
          <w:lang w:val="fr-FR" w:bidi="fr-FR"/>
        </w:rPr>
        <w:lastRenderedPageBreak/>
        <w:t>les rendre visibles et de les déconstruire au moyen d</w:t>
      </w:r>
      <w:r w:rsidR="00DB0699" w:rsidRPr="002E4298">
        <w:rPr>
          <w:lang w:val="fr-FR" w:bidi="fr-FR"/>
        </w:rPr>
        <w:t>’</w:t>
      </w:r>
      <w:r w:rsidRPr="002E4298">
        <w:rPr>
          <w:lang w:val="fr-FR" w:bidi="fr-FR"/>
        </w:rPr>
        <w:t>actions concrètes. Le traitement de cette question passe par la promotion de l</w:t>
      </w:r>
      <w:r w:rsidR="00DB0699" w:rsidRPr="002E4298">
        <w:rPr>
          <w:lang w:val="fr-FR" w:bidi="fr-FR"/>
        </w:rPr>
        <w:t>’</w:t>
      </w:r>
      <w:r w:rsidRPr="002E4298">
        <w:rPr>
          <w:lang w:val="fr-FR" w:bidi="fr-FR"/>
        </w:rPr>
        <w:t>égalité réelle entre les hommes et les femmes et, à ce titre, consiste à empêcher la perpétuation des modèles structurels et historiques discriminatoires.</w:t>
      </w:r>
    </w:p>
    <w:p w14:paraId="780F5EDA" w14:textId="361630EB" w:rsidR="002B314F" w:rsidRPr="002E4298" w:rsidRDefault="002B314F" w:rsidP="00A11C35">
      <w:pPr>
        <w:pStyle w:val="SingleTxt"/>
        <w:numPr>
          <w:ilvl w:val="0"/>
          <w:numId w:val="5"/>
        </w:numPr>
        <w:spacing w:line="240" w:lineRule="exact"/>
        <w:ind w:left="1267"/>
        <w:rPr>
          <w:lang w:val="fr-FR"/>
        </w:rPr>
      </w:pPr>
      <w:r w:rsidRPr="002E4298">
        <w:rPr>
          <w:lang w:val="fr-FR" w:bidi="fr-FR"/>
        </w:rPr>
        <w:t xml:space="preserve">Depuis les </w:t>
      </w:r>
      <w:r w:rsidR="00C31EE2" w:rsidRPr="002E4298">
        <w:rPr>
          <w:lang w:val="fr-FR" w:bidi="fr-FR"/>
        </w:rPr>
        <w:t xml:space="preserve">années </w:t>
      </w:r>
      <w:r w:rsidRPr="002E4298">
        <w:rPr>
          <w:lang w:val="fr-FR" w:bidi="fr-FR"/>
        </w:rPr>
        <w:t>1980, l</w:t>
      </w:r>
      <w:r w:rsidR="00DB0699" w:rsidRPr="002E4298">
        <w:rPr>
          <w:lang w:val="fr-FR" w:bidi="fr-FR"/>
        </w:rPr>
        <w:t>’</w:t>
      </w:r>
      <w:r w:rsidRPr="002E4298">
        <w:rPr>
          <w:lang w:val="fr-FR" w:bidi="fr-FR"/>
        </w:rPr>
        <w:t>éducation constitue un domaine d</w:t>
      </w:r>
      <w:r w:rsidR="00DB0699" w:rsidRPr="002E4298">
        <w:rPr>
          <w:lang w:val="fr-FR" w:bidi="fr-FR"/>
        </w:rPr>
        <w:t>’</w:t>
      </w:r>
      <w:r w:rsidRPr="002E4298">
        <w:rPr>
          <w:lang w:val="fr-FR" w:bidi="fr-FR"/>
        </w:rPr>
        <w:t>intervention stratégique à cet égard, à travers des projets visant à changer les comportements concernant les rôles attribués aux femmes et aux hommes depuis l</w:t>
      </w:r>
      <w:r w:rsidR="00DB0699" w:rsidRPr="002E4298">
        <w:rPr>
          <w:lang w:val="fr-FR" w:bidi="fr-FR"/>
        </w:rPr>
        <w:t>’</w:t>
      </w:r>
      <w:r w:rsidRPr="002E4298">
        <w:rPr>
          <w:lang w:val="fr-FR" w:bidi="fr-FR"/>
        </w:rPr>
        <w:t>enfance, ce qui implique de travailler avec le corps enseignant pour promouvoir l</w:t>
      </w:r>
      <w:r w:rsidR="00DB0699" w:rsidRPr="002E4298">
        <w:rPr>
          <w:lang w:val="fr-FR" w:bidi="fr-FR"/>
        </w:rPr>
        <w:t>’</w:t>
      </w:r>
      <w:r w:rsidRPr="002E4298">
        <w:rPr>
          <w:lang w:val="fr-FR" w:bidi="fr-FR"/>
        </w:rPr>
        <w:t>intégration de la problématique femmes-hommes dans l</w:t>
      </w:r>
      <w:r w:rsidR="00DB0699" w:rsidRPr="002E4298">
        <w:rPr>
          <w:lang w:val="fr-FR" w:bidi="fr-FR"/>
        </w:rPr>
        <w:t>’</w:t>
      </w:r>
      <w:r w:rsidRPr="002E4298">
        <w:rPr>
          <w:lang w:val="fr-FR" w:bidi="fr-FR"/>
        </w:rPr>
        <w:t>éducation formelle et dans la dynamique organisationnelle. Un projet national à long terme sur l</w:t>
      </w:r>
      <w:r w:rsidR="00DB0699" w:rsidRPr="002E4298">
        <w:rPr>
          <w:lang w:val="fr-FR" w:bidi="fr-FR"/>
        </w:rPr>
        <w:t>’</w:t>
      </w:r>
      <w:r w:rsidRPr="002E4298">
        <w:rPr>
          <w:lang w:val="fr-FR" w:bidi="fr-FR"/>
        </w:rPr>
        <w:t>égalité des sexes, l</w:t>
      </w:r>
      <w:r w:rsidR="00DB0699" w:rsidRPr="002E4298">
        <w:rPr>
          <w:lang w:val="fr-FR" w:bidi="fr-FR"/>
        </w:rPr>
        <w:t>’</w:t>
      </w:r>
      <w:r w:rsidRPr="002E4298">
        <w:rPr>
          <w:lang w:val="fr-FR" w:bidi="fr-FR"/>
        </w:rPr>
        <w:t>éducation et la citoyenneté est donc mis en œuvre et vise à sensibiliser les professionnels de l</w:t>
      </w:r>
      <w:r w:rsidR="00DB0699" w:rsidRPr="002E4298">
        <w:rPr>
          <w:lang w:val="fr-FR" w:bidi="fr-FR"/>
        </w:rPr>
        <w:t>’</w:t>
      </w:r>
      <w:r w:rsidRPr="002E4298">
        <w:rPr>
          <w:lang w:val="fr-FR" w:bidi="fr-FR"/>
        </w:rPr>
        <w:t>éducation à la présence importante et silencieuse de stéréotypes fondés sur le genre</w:t>
      </w:r>
      <w:r w:rsidRPr="002E4298" w:rsidDel="0045507A">
        <w:rPr>
          <w:lang w:val="fr-FR" w:bidi="fr-FR"/>
        </w:rPr>
        <w:t xml:space="preserve"> </w:t>
      </w:r>
      <w:r w:rsidRPr="002E4298">
        <w:rPr>
          <w:lang w:val="fr-FR" w:bidi="fr-FR"/>
        </w:rPr>
        <w:t>et du sexisme dans tous les contextes éducatifs et à aux mécanismes de reproduction et de renforcement de tel stéréotypes. Il convient de souligner dans ce cadre la Stratégie nationale pour l</w:t>
      </w:r>
      <w:r w:rsidR="00DB0699" w:rsidRPr="002E4298">
        <w:rPr>
          <w:lang w:val="fr-FR" w:bidi="fr-FR"/>
        </w:rPr>
        <w:t>’</w:t>
      </w:r>
      <w:r w:rsidRPr="002E4298">
        <w:rPr>
          <w:lang w:val="fr-FR" w:bidi="fr-FR"/>
        </w:rPr>
        <w:t>éducation à la citoyenneté (mentionnée ci-dessus), ainsi que plusieurs projets ciblant les enfants et les jeunes en vue de déconstruire les stéréotypes fondés sur le genre, tels que le projet « Ingénieurs d</w:t>
      </w:r>
      <w:r w:rsidR="00DB0699" w:rsidRPr="002E4298">
        <w:rPr>
          <w:lang w:val="fr-FR" w:bidi="fr-FR"/>
        </w:rPr>
        <w:t>’</w:t>
      </w:r>
      <w:r w:rsidRPr="002E4298">
        <w:rPr>
          <w:lang w:val="fr-FR" w:bidi="fr-FR"/>
        </w:rPr>
        <w:t>un jour » (qui remet en question l</w:t>
      </w:r>
      <w:r w:rsidR="00DB0699" w:rsidRPr="002E4298">
        <w:rPr>
          <w:lang w:val="fr-FR" w:bidi="fr-FR"/>
        </w:rPr>
        <w:t>’</w:t>
      </w:r>
      <w:r w:rsidRPr="002E4298">
        <w:rPr>
          <w:lang w:val="fr-FR" w:bidi="fr-FR"/>
        </w:rPr>
        <w:t>idée que les technologies de l</w:t>
      </w:r>
      <w:r w:rsidR="00DB0699" w:rsidRPr="002E4298">
        <w:rPr>
          <w:lang w:val="fr-FR" w:bidi="fr-FR"/>
        </w:rPr>
        <w:t>’</w:t>
      </w:r>
      <w:r w:rsidRPr="002E4298">
        <w:rPr>
          <w:lang w:val="fr-FR" w:bidi="fr-FR"/>
        </w:rPr>
        <w:t>information et des communications</w:t>
      </w:r>
      <w:r w:rsidRPr="002E4298" w:rsidDel="00565335">
        <w:rPr>
          <w:lang w:val="fr-FR" w:bidi="fr-FR"/>
        </w:rPr>
        <w:t xml:space="preserve"> </w:t>
      </w:r>
      <w:r w:rsidRPr="002E4298">
        <w:rPr>
          <w:lang w:val="fr-FR" w:bidi="fr-FR"/>
        </w:rPr>
        <w:t>et l</w:t>
      </w:r>
      <w:r w:rsidR="00DB0699" w:rsidRPr="002E4298">
        <w:rPr>
          <w:lang w:val="fr-FR" w:bidi="fr-FR"/>
        </w:rPr>
        <w:t>’</w:t>
      </w:r>
      <w:r w:rsidRPr="002E4298">
        <w:rPr>
          <w:lang w:val="fr-FR" w:bidi="fr-FR"/>
        </w:rPr>
        <w:t>ingénierie constituent des domaines réservés aux garçons), des projets visant à promouvoir la fourniture de soins par des hommes, notamment dans les services de santé et les centres de détention pour jeunes, et le soutien apporté à plusieurs projets d</w:t>
      </w:r>
      <w:r w:rsidR="00DB0699" w:rsidRPr="002E4298">
        <w:rPr>
          <w:lang w:val="fr-FR" w:bidi="fr-FR"/>
        </w:rPr>
        <w:t>’</w:t>
      </w:r>
      <w:r w:rsidRPr="002E4298">
        <w:rPr>
          <w:lang w:val="fr-FR" w:bidi="fr-FR"/>
        </w:rPr>
        <w:t>OSC sur les masculinités non violentes et la prévention de la violence dans les relations amoureuses. Un guide sur les bonnes pratiques dans les médias a également été publié pour prévenir et combattre la violence à l</w:t>
      </w:r>
      <w:r w:rsidR="00DB0699" w:rsidRPr="002E4298">
        <w:rPr>
          <w:lang w:val="fr-FR" w:bidi="fr-FR"/>
        </w:rPr>
        <w:t>’</w:t>
      </w:r>
      <w:r w:rsidRPr="002E4298">
        <w:rPr>
          <w:lang w:val="fr-FR" w:bidi="fr-FR"/>
        </w:rPr>
        <w:t>égard des femmes et la violence domestique. Pour plus d</w:t>
      </w:r>
      <w:r w:rsidR="00DB0699" w:rsidRPr="002E4298">
        <w:rPr>
          <w:lang w:val="fr-FR" w:bidi="fr-FR"/>
        </w:rPr>
        <w:t>’</w:t>
      </w:r>
      <w:r w:rsidRPr="002E4298">
        <w:rPr>
          <w:lang w:val="fr-FR" w:bidi="fr-FR"/>
        </w:rPr>
        <w:t>informations sur les projets, voir la section 12 « Éducation ».</w:t>
      </w:r>
    </w:p>
    <w:p w14:paraId="00B6C796" w14:textId="49A358FF" w:rsidR="002B314F" w:rsidRPr="002E4298" w:rsidRDefault="002B314F" w:rsidP="00A11C35">
      <w:pPr>
        <w:pStyle w:val="SingleTxt"/>
        <w:numPr>
          <w:ilvl w:val="0"/>
          <w:numId w:val="5"/>
        </w:numPr>
        <w:spacing w:line="240" w:lineRule="exact"/>
        <w:ind w:left="1267"/>
        <w:rPr>
          <w:lang w:val="fr-FR"/>
        </w:rPr>
      </w:pPr>
      <w:r w:rsidRPr="002E4298">
        <w:rPr>
          <w:lang w:val="fr-FR" w:bidi="fr-FR"/>
        </w:rPr>
        <w:t>En</w:t>
      </w:r>
      <w:r w:rsidR="00B23B6D" w:rsidRPr="002E4298">
        <w:rPr>
          <w:lang w:val="fr-FR" w:bidi="fr-FR"/>
        </w:rPr>
        <w:t xml:space="preserve"> 20</w:t>
      </w:r>
      <w:r w:rsidRPr="002E4298">
        <w:rPr>
          <w:lang w:val="fr-FR" w:bidi="fr-FR"/>
        </w:rPr>
        <w:t>16, la Commission pour la citoyenneté et l</w:t>
      </w:r>
      <w:r w:rsidR="00DB0699" w:rsidRPr="002E4298">
        <w:rPr>
          <w:lang w:val="fr-FR" w:bidi="fr-FR"/>
        </w:rPr>
        <w:t>’</w:t>
      </w:r>
      <w:r w:rsidRPr="002E4298">
        <w:rPr>
          <w:lang w:val="fr-FR" w:bidi="fr-FR"/>
        </w:rPr>
        <w:t>égalité des genres</w:t>
      </w:r>
      <w:r w:rsidRPr="002E4298" w:rsidDel="00535E0B">
        <w:rPr>
          <w:lang w:val="fr-FR" w:bidi="fr-FR"/>
        </w:rPr>
        <w:t xml:space="preserve"> </w:t>
      </w:r>
      <w:r w:rsidRPr="002E4298">
        <w:rPr>
          <w:lang w:val="fr-FR" w:bidi="fr-FR"/>
        </w:rPr>
        <w:t>a commencé à promouvoir des séminaires de formation destinés aux étudiants et aux professionnels des médias, en partenariat avec le Centre protocolaire de formation professionnelle des journalistes (CENJOR)</w:t>
      </w:r>
      <w:r w:rsidRPr="002E4298">
        <w:rPr>
          <w:vertAlign w:val="superscript"/>
          <w:lang w:val="fr-FR" w:bidi="fr-FR"/>
        </w:rPr>
        <w:footnoteReference w:id="9"/>
      </w:r>
      <w:r w:rsidRPr="002E4298">
        <w:rPr>
          <w:lang w:val="fr-FR" w:bidi="fr-FR"/>
        </w:rPr>
        <w:t xml:space="preserve"> et divers établissements d</w:t>
      </w:r>
      <w:r w:rsidR="00DB0699" w:rsidRPr="002E4298">
        <w:rPr>
          <w:lang w:val="fr-FR" w:bidi="fr-FR"/>
        </w:rPr>
        <w:t>’</w:t>
      </w:r>
      <w:r w:rsidRPr="002E4298">
        <w:rPr>
          <w:lang w:val="fr-FR" w:bidi="fr-FR"/>
        </w:rPr>
        <w:t>enseignement supérieur qui dispensent des cours dans les domaines de la communication et avec lesquels la Commission a établi des protocoles de coopération en vue d</w:t>
      </w:r>
      <w:r w:rsidR="00DB0699" w:rsidRPr="002E4298">
        <w:rPr>
          <w:lang w:val="fr-FR" w:bidi="fr-FR"/>
        </w:rPr>
        <w:t>’</w:t>
      </w:r>
      <w:r w:rsidRPr="002E4298">
        <w:rPr>
          <w:lang w:val="fr-FR" w:bidi="fr-FR"/>
        </w:rPr>
        <w:t>intégrer la problématique femmes-hommes dans les pratiques et les programmes.</w:t>
      </w:r>
    </w:p>
    <w:p w14:paraId="05C3B343" w14:textId="77777777" w:rsidR="00C31EE2" w:rsidRPr="002E4298" w:rsidRDefault="00C31EE2" w:rsidP="00C31EE2">
      <w:pPr>
        <w:pStyle w:val="SingleTxt"/>
        <w:spacing w:after="0" w:line="120" w:lineRule="exact"/>
        <w:rPr>
          <w:sz w:val="10"/>
          <w:lang w:val="fr-FR" w:bidi="fr-FR"/>
        </w:rPr>
      </w:pPr>
    </w:p>
    <w:p w14:paraId="7F1378AA" w14:textId="135AF853" w:rsidR="002B314F" w:rsidRPr="002E4298" w:rsidRDefault="002B314F" w:rsidP="00C31E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2E4298">
        <w:rPr>
          <w:lang w:val="fr-FR" w:bidi="fr-FR"/>
        </w:rPr>
        <w:tab/>
        <w:t>9.</w:t>
      </w:r>
      <w:r w:rsidRPr="002E4298">
        <w:rPr>
          <w:lang w:val="fr-FR" w:bidi="fr-FR"/>
        </w:rPr>
        <w:tab/>
        <w:t>Violence à l</w:t>
      </w:r>
      <w:r w:rsidR="00DB0699" w:rsidRPr="002E4298">
        <w:rPr>
          <w:lang w:val="fr-FR" w:bidi="fr-FR"/>
        </w:rPr>
        <w:t>’</w:t>
      </w:r>
      <w:r w:rsidRPr="002E4298">
        <w:rPr>
          <w:lang w:val="fr-FR" w:bidi="fr-FR"/>
        </w:rPr>
        <w:t xml:space="preserve">égard des femmes (paragraphes 22 </w:t>
      </w:r>
      <w:r w:rsidR="007A7E54" w:rsidRPr="002E4298">
        <w:rPr>
          <w:lang w:val="fr-FR" w:bidi="fr-FR"/>
        </w:rPr>
        <w:t xml:space="preserve">à </w:t>
      </w:r>
      <w:r w:rsidRPr="002E4298">
        <w:rPr>
          <w:lang w:val="fr-FR" w:bidi="fr-FR"/>
        </w:rPr>
        <w:t>27)</w:t>
      </w:r>
    </w:p>
    <w:p w14:paraId="23F542C0" w14:textId="130E74E1" w:rsidR="00C31EE2" w:rsidRPr="002E4298" w:rsidRDefault="00C31EE2" w:rsidP="00C31EE2">
      <w:pPr>
        <w:pStyle w:val="SingleTxt"/>
        <w:spacing w:after="0" w:line="120" w:lineRule="exact"/>
        <w:rPr>
          <w:sz w:val="10"/>
          <w:lang w:val="fr-FR" w:bidi="fr-FR"/>
        </w:rPr>
      </w:pPr>
    </w:p>
    <w:p w14:paraId="45EB9040" w14:textId="0B91F103" w:rsidR="00DB0699" w:rsidRPr="002E4298" w:rsidRDefault="002B314F" w:rsidP="00A11C35">
      <w:pPr>
        <w:pStyle w:val="SingleTxt"/>
        <w:numPr>
          <w:ilvl w:val="0"/>
          <w:numId w:val="5"/>
        </w:numPr>
        <w:spacing w:line="240" w:lineRule="exact"/>
        <w:ind w:left="1267"/>
        <w:rPr>
          <w:lang w:val="fr-FR" w:bidi="fr-FR"/>
        </w:rPr>
      </w:pPr>
      <w:r w:rsidRPr="002E4298">
        <w:rPr>
          <w:lang w:val="fr-FR" w:bidi="fr-FR"/>
        </w:rPr>
        <w:t>Le Portugal est déterminé à lutter contre toutes les formes de violence à l</w:t>
      </w:r>
      <w:r w:rsidR="00DB0699" w:rsidRPr="002E4298">
        <w:rPr>
          <w:lang w:val="fr-FR" w:bidi="fr-FR"/>
        </w:rPr>
        <w:t>’</w:t>
      </w:r>
      <w:r w:rsidRPr="002E4298">
        <w:rPr>
          <w:lang w:val="fr-FR" w:bidi="fr-FR"/>
        </w:rPr>
        <w:t>égard des femmes. Ces quatre</w:t>
      </w:r>
      <w:r w:rsidR="00DC43BF" w:rsidRPr="002E4298">
        <w:rPr>
          <w:lang w:val="fr-FR" w:bidi="fr-FR"/>
        </w:rPr>
        <w:t xml:space="preserve"> </w:t>
      </w:r>
      <w:r w:rsidRPr="002E4298">
        <w:rPr>
          <w:lang w:val="fr-FR" w:bidi="fr-FR"/>
        </w:rPr>
        <w:t>dernières années, des lois, des politiques et des programmes ont été révisés pour couvrir toutes les formes de violence définies par la Convention du Conseil de l</w:t>
      </w:r>
      <w:r w:rsidR="00DB0699" w:rsidRPr="002E4298">
        <w:rPr>
          <w:lang w:val="fr-FR" w:bidi="fr-FR"/>
        </w:rPr>
        <w:t>’</w:t>
      </w:r>
      <w:r w:rsidRPr="002E4298">
        <w:rPr>
          <w:lang w:val="fr-FR" w:bidi="fr-FR"/>
        </w:rPr>
        <w:t>Europe sur la prévention et la lutte contre la violence à l</w:t>
      </w:r>
      <w:r w:rsidR="00DB0699" w:rsidRPr="002E4298">
        <w:rPr>
          <w:lang w:val="fr-FR" w:bidi="fr-FR"/>
        </w:rPr>
        <w:t>’</w:t>
      </w:r>
      <w:r w:rsidRPr="002E4298">
        <w:rPr>
          <w:lang w:val="fr-FR" w:bidi="fr-FR"/>
        </w:rPr>
        <w:t>égard des femmes et la violence domestique (Convention d</w:t>
      </w:r>
      <w:r w:rsidR="00DB0699" w:rsidRPr="002E4298">
        <w:rPr>
          <w:lang w:val="fr-FR" w:bidi="fr-FR"/>
        </w:rPr>
        <w:t>’</w:t>
      </w:r>
      <w:r w:rsidRPr="002E4298">
        <w:rPr>
          <w:lang w:val="fr-FR" w:bidi="fr-FR"/>
        </w:rPr>
        <w:t>Istanbul).</w:t>
      </w:r>
    </w:p>
    <w:p w14:paraId="5C5C0391" w14:textId="78D7B031" w:rsidR="002B314F" w:rsidRPr="002E4298" w:rsidRDefault="002B314F" w:rsidP="00A11C35">
      <w:pPr>
        <w:pStyle w:val="SingleTxt"/>
        <w:numPr>
          <w:ilvl w:val="0"/>
          <w:numId w:val="5"/>
        </w:numPr>
        <w:spacing w:line="240" w:lineRule="exact"/>
        <w:ind w:left="1267"/>
        <w:rPr>
          <w:lang w:val="fr-FR"/>
        </w:rPr>
      </w:pPr>
      <w:r w:rsidRPr="002E4298">
        <w:rPr>
          <w:lang w:val="fr-FR" w:bidi="fr-FR"/>
        </w:rPr>
        <w:t>Il convient de souligner certaines étapes importantes</w:t>
      </w:r>
      <w:r w:rsidR="00DB0699" w:rsidRPr="002E4298">
        <w:rPr>
          <w:lang w:val="fr-FR" w:bidi="fr-FR"/>
        </w:rPr>
        <w:t> :</w:t>
      </w:r>
    </w:p>
    <w:p w14:paraId="5101C3B7" w14:textId="1FAAB626" w:rsidR="002B314F" w:rsidRPr="002E4298" w:rsidRDefault="00C31EE2" w:rsidP="00C31EE2">
      <w:pPr>
        <w:pStyle w:val="SingleTxt"/>
        <w:tabs>
          <w:tab w:val="right" w:pos="1685"/>
        </w:tabs>
        <w:ind w:left="1742" w:hanging="475"/>
        <w:rPr>
          <w:lang w:val="fr-FR"/>
        </w:rPr>
      </w:pPr>
      <w:r w:rsidRPr="002E4298">
        <w:rPr>
          <w:lang w:val="fr-FR" w:bidi="fr-FR"/>
        </w:rPr>
        <w:tab/>
        <w:t>•</w:t>
      </w:r>
      <w:r w:rsidRPr="002E4298">
        <w:rPr>
          <w:lang w:val="fr-FR" w:bidi="fr-FR"/>
        </w:rPr>
        <w:tab/>
      </w:r>
      <w:r w:rsidR="002B314F" w:rsidRPr="002E4298">
        <w:rPr>
          <w:lang w:val="fr-FR" w:bidi="fr-FR"/>
        </w:rPr>
        <w:t>l</w:t>
      </w:r>
      <w:r w:rsidR="00DB0699" w:rsidRPr="002E4298">
        <w:rPr>
          <w:lang w:val="fr-FR" w:bidi="fr-FR"/>
        </w:rPr>
        <w:t>’</w:t>
      </w:r>
      <w:r w:rsidR="002B314F" w:rsidRPr="002E4298">
        <w:rPr>
          <w:lang w:val="fr-FR" w:bidi="fr-FR"/>
        </w:rPr>
        <w:t>adoption d</w:t>
      </w:r>
      <w:r w:rsidR="00DB0699" w:rsidRPr="002E4298">
        <w:rPr>
          <w:lang w:val="fr-FR" w:bidi="fr-FR"/>
        </w:rPr>
        <w:t>’</w:t>
      </w:r>
      <w:r w:rsidR="002B314F" w:rsidRPr="002E4298">
        <w:rPr>
          <w:lang w:val="fr-FR" w:bidi="fr-FR"/>
        </w:rPr>
        <w:t>un nouveau plan d</w:t>
      </w:r>
      <w:r w:rsidR="00DB0699" w:rsidRPr="002E4298">
        <w:rPr>
          <w:lang w:val="fr-FR" w:bidi="fr-FR"/>
        </w:rPr>
        <w:t>’</w:t>
      </w:r>
      <w:r w:rsidR="002B314F" w:rsidRPr="002E4298">
        <w:rPr>
          <w:lang w:val="fr-FR" w:bidi="fr-FR"/>
        </w:rPr>
        <w:t>action sur la violence à l</w:t>
      </w:r>
      <w:r w:rsidR="00DB0699" w:rsidRPr="002E4298">
        <w:rPr>
          <w:lang w:val="fr-FR" w:bidi="fr-FR"/>
        </w:rPr>
        <w:t>’</w:t>
      </w:r>
      <w:r w:rsidR="002B314F" w:rsidRPr="002E4298">
        <w:rPr>
          <w:lang w:val="fr-FR" w:bidi="fr-FR"/>
        </w:rPr>
        <w:t>égard des femmes et la violence domestique dans le cadre de la Stratégie nationale en faveur de l</w:t>
      </w:r>
      <w:r w:rsidR="00DB0699" w:rsidRPr="002E4298">
        <w:rPr>
          <w:lang w:val="fr-FR" w:bidi="fr-FR"/>
        </w:rPr>
        <w:t>’</w:t>
      </w:r>
      <w:r w:rsidR="002B314F" w:rsidRPr="002E4298">
        <w:rPr>
          <w:lang w:val="fr-FR" w:bidi="fr-FR"/>
        </w:rPr>
        <w:t>égalité et de la non-discrimination, qui est aligné sur la Convention d</w:t>
      </w:r>
      <w:r w:rsidR="00DB0699" w:rsidRPr="002E4298">
        <w:rPr>
          <w:lang w:val="fr-FR" w:bidi="fr-FR"/>
        </w:rPr>
        <w:t>’</w:t>
      </w:r>
      <w:r w:rsidR="002B314F" w:rsidRPr="002E4298">
        <w:rPr>
          <w:lang w:val="fr-FR" w:bidi="fr-FR"/>
        </w:rPr>
        <w:t>Istanbul</w:t>
      </w:r>
      <w:r w:rsidR="00DB0699" w:rsidRPr="002E4298">
        <w:rPr>
          <w:lang w:val="fr-FR" w:bidi="fr-FR"/>
        </w:rPr>
        <w:t> ;</w:t>
      </w:r>
    </w:p>
    <w:p w14:paraId="4BBE2EDA" w14:textId="6DDECBF0" w:rsidR="002B314F" w:rsidRPr="002E4298" w:rsidRDefault="00C31EE2" w:rsidP="00C31EE2">
      <w:pPr>
        <w:pStyle w:val="SingleTxt"/>
        <w:tabs>
          <w:tab w:val="right" w:pos="1685"/>
        </w:tabs>
        <w:ind w:left="1742" w:hanging="475"/>
        <w:rPr>
          <w:lang w:val="fr-FR"/>
        </w:rPr>
      </w:pPr>
      <w:r w:rsidRPr="002E4298">
        <w:rPr>
          <w:lang w:val="fr-FR" w:bidi="fr-FR"/>
        </w:rPr>
        <w:tab/>
        <w:t>•</w:t>
      </w:r>
      <w:r w:rsidRPr="002E4298">
        <w:rPr>
          <w:lang w:val="fr-FR" w:bidi="fr-FR"/>
        </w:rPr>
        <w:tab/>
      </w:r>
      <w:r w:rsidR="002B314F" w:rsidRPr="002E4298">
        <w:rPr>
          <w:lang w:val="fr-FR" w:bidi="fr-FR"/>
        </w:rPr>
        <w:t>l</w:t>
      </w:r>
      <w:r w:rsidR="00DB0699" w:rsidRPr="002E4298">
        <w:rPr>
          <w:lang w:val="fr-FR" w:bidi="fr-FR"/>
        </w:rPr>
        <w:t>’</w:t>
      </w:r>
      <w:r w:rsidR="002B314F" w:rsidRPr="002E4298">
        <w:rPr>
          <w:lang w:val="fr-FR" w:bidi="fr-FR"/>
        </w:rPr>
        <w:t>expansion et la spécialisation du réseau national d</w:t>
      </w:r>
      <w:r w:rsidR="00DB0699" w:rsidRPr="002E4298">
        <w:rPr>
          <w:lang w:val="fr-FR" w:bidi="fr-FR"/>
        </w:rPr>
        <w:t>’</w:t>
      </w:r>
      <w:r w:rsidR="002B314F" w:rsidRPr="002E4298">
        <w:rPr>
          <w:lang w:val="fr-FR" w:bidi="fr-FR"/>
        </w:rPr>
        <w:t>aide aux victimes de la violence domestique et la stratégie de territorialisation des politiques nationales de prévention et de lutte contre la violence à l</w:t>
      </w:r>
      <w:r w:rsidR="00DB0699" w:rsidRPr="002E4298">
        <w:rPr>
          <w:lang w:val="fr-FR" w:bidi="fr-FR"/>
        </w:rPr>
        <w:t>’</w:t>
      </w:r>
      <w:r w:rsidR="002B314F" w:rsidRPr="002E4298">
        <w:rPr>
          <w:lang w:val="fr-FR" w:bidi="fr-FR"/>
        </w:rPr>
        <w:t>égard des femmes et la violence domestique</w:t>
      </w:r>
      <w:r w:rsidR="00DB0699" w:rsidRPr="002E4298">
        <w:rPr>
          <w:lang w:val="fr-FR" w:bidi="fr-FR"/>
        </w:rPr>
        <w:t> ;</w:t>
      </w:r>
    </w:p>
    <w:p w14:paraId="5A184633" w14:textId="08B3312A" w:rsidR="002B314F" w:rsidRPr="002E4298" w:rsidRDefault="00C31EE2" w:rsidP="00C31EE2">
      <w:pPr>
        <w:pStyle w:val="SingleTxt"/>
        <w:tabs>
          <w:tab w:val="right" w:pos="1685"/>
        </w:tabs>
        <w:ind w:left="1742" w:hanging="475"/>
        <w:rPr>
          <w:lang w:val="fr-FR"/>
        </w:rPr>
      </w:pPr>
      <w:r w:rsidRPr="002E4298">
        <w:rPr>
          <w:lang w:val="fr-FR" w:bidi="fr-FR"/>
        </w:rPr>
        <w:lastRenderedPageBreak/>
        <w:tab/>
        <w:t>•</w:t>
      </w:r>
      <w:r w:rsidRPr="002E4298">
        <w:rPr>
          <w:lang w:val="fr-FR" w:bidi="fr-FR"/>
        </w:rPr>
        <w:tab/>
      </w:r>
      <w:r w:rsidR="002B314F" w:rsidRPr="002E4298">
        <w:rPr>
          <w:lang w:val="fr-FR" w:bidi="fr-FR"/>
        </w:rPr>
        <w:t>le renforcement de la formation des professionnels pour une intervention plus efficace et plus adéquate</w:t>
      </w:r>
      <w:r w:rsidR="00DB0699" w:rsidRPr="002E4298">
        <w:rPr>
          <w:lang w:val="fr-FR" w:bidi="fr-FR"/>
        </w:rPr>
        <w:t> ;</w:t>
      </w:r>
    </w:p>
    <w:p w14:paraId="05E2854D" w14:textId="19AABA7E" w:rsidR="00DB0699" w:rsidRPr="002E4298" w:rsidRDefault="00C31EE2" w:rsidP="00C31EE2">
      <w:pPr>
        <w:pStyle w:val="SingleTxt"/>
        <w:tabs>
          <w:tab w:val="right" w:pos="1685"/>
        </w:tabs>
        <w:ind w:left="1742" w:hanging="475"/>
        <w:rPr>
          <w:lang w:val="fr-FR" w:bidi="fr-FR"/>
        </w:rPr>
      </w:pPr>
      <w:r w:rsidRPr="002E4298">
        <w:rPr>
          <w:lang w:val="fr-FR" w:bidi="fr-FR"/>
        </w:rPr>
        <w:tab/>
        <w:t>•</w:t>
      </w:r>
      <w:r w:rsidRPr="002E4298">
        <w:rPr>
          <w:lang w:val="fr-FR" w:bidi="fr-FR"/>
        </w:rPr>
        <w:tab/>
      </w:r>
      <w:r w:rsidR="002B314F" w:rsidRPr="002E4298">
        <w:rPr>
          <w:lang w:val="fr-FR" w:bidi="fr-FR"/>
        </w:rPr>
        <w:t>la création de l</w:t>
      </w:r>
      <w:r w:rsidR="00DB0699" w:rsidRPr="002E4298">
        <w:rPr>
          <w:lang w:val="fr-FR" w:bidi="fr-FR"/>
        </w:rPr>
        <w:t>’</w:t>
      </w:r>
      <w:r w:rsidR="002B314F" w:rsidRPr="002E4298">
        <w:rPr>
          <w:lang w:val="fr-FR" w:bidi="fr-FR"/>
        </w:rPr>
        <w:t>Équipe d</w:t>
      </w:r>
      <w:r w:rsidR="00DB0699" w:rsidRPr="002E4298">
        <w:rPr>
          <w:lang w:val="fr-FR" w:bidi="fr-FR"/>
        </w:rPr>
        <w:t>’</w:t>
      </w:r>
      <w:r w:rsidR="002B314F" w:rsidRPr="002E4298">
        <w:rPr>
          <w:lang w:val="fr-FR" w:bidi="fr-FR"/>
        </w:rPr>
        <w:t>analyse rétrospective des homicides liés à la violence domestique</w:t>
      </w:r>
      <w:r w:rsidR="00DB0699" w:rsidRPr="002E4298">
        <w:rPr>
          <w:lang w:val="fr-FR" w:bidi="fr-FR"/>
        </w:rPr>
        <w:t> ;</w:t>
      </w:r>
    </w:p>
    <w:p w14:paraId="1F59823B" w14:textId="621439FA" w:rsidR="00DB0699" w:rsidRPr="002E4298" w:rsidRDefault="00C31EE2" w:rsidP="00C31EE2">
      <w:pPr>
        <w:pStyle w:val="SingleTxt"/>
        <w:tabs>
          <w:tab w:val="right" w:pos="1685"/>
        </w:tabs>
        <w:ind w:left="1742" w:hanging="475"/>
        <w:rPr>
          <w:lang w:val="fr-FR" w:bidi="fr-FR"/>
        </w:rPr>
      </w:pPr>
      <w:r w:rsidRPr="002E4298">
        <w:rPr>
          <w:lang w:val="fr-FR" w:bidi="fr-FR"/>
        </w:rPr>
        <w:tab/>
        <w:t>•</w:t>
      </w:r>
      <w:r w:rsidRPr="002E4298">
        <w:rPr>
          <w:lang w:val="fr-FR" w:bidi="fr-FR"/>
        </w:rPr>
        <w:tab/>
      </w:r>
      <w:r w:rsidR="002B314F" w:rsidRPr="002E4298">
        <w:rPr>
          <w:lang w:val="fr-FR" w:bidi="fr-FR"/>
        </w:rPr>
        <w:t>des modifications législatives, y compris</w:t>
      </w:r>
      <w:r w:rsidR="00DB0699" w:rsidRPr="002E4298">
        <w:rPr>
          <w:lang w:val="fr-FR" w:bidi="fr-FR"/>
        </w:rPr>
        <w:t> :</w:t>
      </w:r>
    </w:p>
    <w:p w14:paraId="069B1924" w14:textId="5CF121BF" w:rsidR="002B314F" w:rsidRPr="002E4298" w:rsidRDefault="00C31EE2" w:rsidP="00C31EE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2E4298">
        <w:rPr>
          <w:rFonts w:ascii="Symbol" w:hAnsi="Symbol"/>
          <w:sz w:val="14"/>
          <w:lang w:val="fr-FR"/>
        </w:rPr>
        <w:tab/>
      </w:r>
      <w:r w:rsidR="00130BB3" w:rsidRPr="002E4298">
        <w:rPr>
          <w:rFonts w:ascii="Symbol" w:hAnsi="Symbol"/>
          <w:sz w:val="14"/>
          <w:lang w:val="fr-FR"/>
        </w:rPr>
        <w:t></w:t>
      </w:r>
      <w:r w:rsidR="00130BB3" w:rsidRPr="002E4298">
        <w:rPr>
          <w:rFonts w:ascii="Symbol" w:hAnsi="Symbol"/>
          <w:sz w:val="14"/>
          <w:lang w:val="fr-FR"/>
        </w:rPr>
        <w:tab/>
      </w:r>
      <w:r w:rsidR="002B314F" w:rsidRPr="002E4298">
        <w:rPr>
          <w:lang w:val="fr-FR" w:bidi="fr-FR"/>
        </w:rPr>
        <w:t>criminalisation des mutilations génitales féminines et des actes préparatoires y associés</w:t>
      </w:r>
      <w:r w:rsidR="00DB0699" w:rsidRPr="002E4298">
        <w:rPr>
          <w:lang w:val="fr-FR" w:bidi="fr-FR"/>
        </w:rPr>
        <w:t> ;</w:t>
      </w:r>
    </w:p>
    <w:p w14:paraId="57F04B96" w14:textId="29A88AE8" w:rsidR="00DB0699" w:rsidRPr="002E4298" w:rsidRDefault="00C31EE2" w:rsidP="00C31EE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bidi="fr-FR"/>
        </w:rPr>
      </w:pPr>
      <w:r w:rsidRPr="002E4298">
        <w:rPr>
          <w:rFonts w:ascii="Symbol" w:hAnsi="Symbol"/>
          <w:sz w:val="14"/>
          <w:lang w:val="fr-FR"/>
        </w:rPr>
        <w:tab/>
      </w:r>
      <w:r w:rsidR="00130BB3" w:rsidRPr="002E4298">
        <w:rPr>
          <w:rFonts w:ascii="Symbol" w:hAnsi="Symbol"/>
          <w:sz w:val="14"/>
          <w:lang w:val="fr-FR"/>
        </w:rPr>
        <w:t></w:t>
      </w:r>
      <w:r w:rsidR="00130BB3" w:rsidRPr="002E4298">
        <w:rPr>
          <w:rFonts w:ascii="Symbol" w:hAnsi="Symbol"/>
          <w:sz w:val="14"/>
          <w:lang w:val="fr-FR"/>
        </w:rPr>
        <w:tab/>
      </w:r>
      <w:r w:rsidR="002B314F" w:rsidRPr="002E4298">
        <w:rPr>
          <w:lang w:val="fr-FR" w:bidi="fr-FR"/>
        </w:rPr>
        <w:t>criminalisation du mariage forcé et des actes préparatoires y associés</w:t>
      </w:r>
      <w:r w:rsidR="00DB0699" w:rsidRPr="002E4298">
        <w:rPr>
          <w:lang w:val="fr-FR" w:bidi="fr-FR"/>
        </w:rPr>
        <w:t> ;</w:t>
      </w:r>
    </w:p>
    <w:p w14:paraId="203415BD" w14:textId="41E5BD0C" w:rsidR="00DB0699" w:rsidRPr="002E4298" w:rsidRDefault="00C31EE2" w:rsidP="00C31EE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bidi="fr-FR"/>
        </w:rPr>
      </w:pPr>
      <w:r w:rsidRPr="002E4298">
        <w:rPr>
          <w:rFonts w:ascii="Symbol" w:hAnsi="Symbol"/>
          <w:sz w:val="14"/>
          <w:lang w:val="fr-FR"/>
        </w:rPr>
        <w:tab/>
      </w:r>
      <w:r w:rsidR="00130BB3" w:rsidRPr="002E4298">
        <w:rPr>
          <w:rFonts w:ascii="Symbol" w:hAnsi="Symbol"/>
          <w:sz w:val="14"/>
          <w:lang w:val="fr-FR"/>
        </w:rPr>
        <w:t></w:t>
      </w:r>
      <w:r w:rsidR="00130BB3" w:rsidRPr="002E4298">
        <w:rPr>
          <w:rFonts w:ascii="Symbol" w:hAnsi="Symbol"/>
          <w:sz w:val="14"/>
          <w:lang w:val="fr-FR"/>
        </w:rPr>
        <w:tab/>
      </w:r>
      <w:r w:rsidR="002B314F" w:rsidRPr="002E4298">
        <w:rPr>
          <w:lang w:val="fr-FR" w:bidi="fr-FR"/>
        </w:rPr>
        <w:t>criminalisation du harcèlement</w:t>
      </w:r>
      <w:r w:rsidR="00DB0699" w:rsidRPr="002E4298">
        <w:rPr>
          <w:lang w:val="fr-FR" w:bidi="fr-FR"/>
        </w:rPr>
        <w:t> ;</w:t>
      </w:r>
    </w:p>
    <w:p w14:paraId="7A7E9623" w14:textId="25925C3D" w:rsidR="00DB0699" w:rsidRPr="002E4298" w:rsidRDefault="00C31EE2" w:rsidP="00C31EE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bidi="fr-FR"/>
        </w:rPr>
      </w:pPr>
      <w:r w:rsidRPr="002E4298">
        <w:rPr>
          <w:rFonts w:ascii="Symbol" w:hAnsi="Symbol"/>
          <w:sz w:val="14"/>
          <w:lang w:val="fr-FR"/>
        </w:rPr>
        <w:tab/>
      </w:r>
      <w:r w:rsidR="00130BB3" w:rsidRPr="002E4298">
        <w:rPr>
          <w:rFonts w:ascii="Symbol" w:hAnsi="Symbol"/>
          <w:sz w:val="14"/>
          <w:lang w:val="fr-FR"/>
        </w:rPr>
        <w:t></w:t>
      </w:r>
      <w:r w:rsidR="00130BB3" w:rsidRPr="002E4298">
        <w:rPr>
          <w:rFonts w:ascii="Symbol" w:hAnsi="Symbol"/>
          <w:sz w:val="14"/>
          <w:lang w:val="fr-FR"/>
        </w:rPr>
        <w:tab/>
      </w:r>
      <w:r w:rsidR="002B314F" w:rsidRPr="002E4298">
        <w:rPr>
          <w:lang w:val="fr-FR" w:bidi="fr-FR"/>
        </w:rPr>
        <w:t>révision de la définition des délits de viol, de relations sexuelles sous contrainte et de harcèlement sexuel conformément aux dispositions de la Convention d</w:t>
      </w:r>
      <w:r w:rsidR="00DB0699" w:rsidRPr="002E4298">
        <w:rPr>
          <w:lang w:val="fr-FR" w:bidi="fr-FR"/>
        </w:rPr>
        <w:t>’</w:t>
      </w:r>
      <w:r w:rsidR="002B314F" w:rsidRPr="002E4298">
        <w:rPr>
          <w:lang w:val="fr-FR" w:bidi="fr-FR"/>
        </w:rPr>
        <w:t>Istanbul</w:t>
      </w:r>
      <w:r w:rsidR="00DB0699" w:rsidRPr="002E4298">
        <w:rPr>
          <w:lang w:val="fr-FR" w:bidi="fr-FR"/>
        </w:rPr>
        <w:t> ;</w:t>
      </w:r>
    </w:p>
    <w:p w14:paraId="6B06206C" w14:textId="7AE952B1" w:rsidR="002B314F" w:rsidRPr="002E4298" w:rsidRDefault="00C31EE2" w:rsidP="00C31EE2">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2E4298">
        <w:rPr>
          <w:rFonts w:ascii="Symbol" w:hAnsi="Symbol"/>
          <w:sz w:val="14"/>
          <w:lang w:val="fr-FR"/>
        </w:rPr>
        <w:tab/>
      </w:r>
      <w:r w:rsidR="00130BB3" w:rsidRPr="002E4298">
        <w:rPr>
          <w:rFonts w:ascii="Symbol" w:hAnsi="Symbol"/>
          <w:sz w:val="14"/>
          <w:lang w:val="fr-FR"/>
        </w:rPr>
        <w:t></w:t>
      </w:r>
      <w:r w:rsidR="00130BB3" w:rsidRPr="002E4298">
        <w:rPr>
          <w:rFonts w:ascii="Symbol" w:hAnsi="Symbol"/>
          <w:sz w:val="14"/>
          <w:lang w:val="fr-FR"/>
        </w:rPr>
        <w:tab/>
      </w:r>
      <w:r w:rsidR="002B314F" w:rsidRPr="002E4298">
        <w:rPr>
          <w:lang w:val="fr-FR" w:bidi="fr-FR"/>
        </w:rPr>
        <w:t>reconnaissance légale du statut de victime</w:t>
      </w:r>
      <w:r w:rsidR="002B314F" w:rsidRPr="002E4298">
        <w:rPr>
          <w:vertAlign w:val="superscript"/>
          <w:lang w:val="fr-FR" w:bidi="fr-FR"/>
        </w:rPr>
        <w:footnoteReference w:id="10"/>
      </w:r>
      <w:r w:rsidR="002B314F" w:rsidRPr="002E4298">
        <w:rPr>
          <w:lang w:val="fr-FR" w:bidi="fr-FR"/>
        </w:rPr>
        <w:t>.</w:t>
      </w:r>
    </w:p>
    <w:p w14:paraId="48D022F4" w14:textId="77777777" w:rsidR="00C31EE2" w:rsidRPr="002E4298" w:rsidRDefault="00C31EE2" w:rsidP="00C31EE2">
      <w:pPr>
        <w:pStyle w:val="SingleTxt"/>
        <w:spacing w:after="0" w:line="120" w:lineRule="exact"/>
        <w:rPr>
          <w:sz w:val="10"/>
          <w:lang w:val="fr-FR" w:bidi="fr-FR"/>
        </w:rPr>
      </w:pPr>
    </w:p>
    <w:p w14:paraId="327111C2" w14:textId="07658C73" w:rsidR="00DB0699" w:rsidRPr="002E4298" w:rsidRDefault="002B314F" w:rsidP="00C31E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2E4298">
        <w:rPr>
          <w:lang w:val="fr-FR" w:bidi="fr-FR"/>
        </w:rPr>
        <w:tab/>
      </w:r>
      <w:r w:rsidRPr="002E4298">
        <w:rPr>
          <w:lang w:val="fr-FR" w:bidi="fr-FR"/>
        </w:rPr>
        <w:tab/>
        <w:t>Violence domestique</w:t>
      </w:r>
    </w:p>
    <w:p w14:paraId="5DC9DBF6" w14:textId="24085173" w:rsidR="00C31EE2" w:rsidRPr="002E4298" w:rsidRDefault="00C31EE2" w:rsidP="00C31EE2">
      <w:pPr>
        <w:pStyle w:val="SingleTxt"/>
        <w:spacing w:after="0" w:line="120" w:lineRule="exact"/>
        <w:rPr>
          <w:sz w:val="10"/>
          <w:lang w:val="fr-FR" w:bidi="fr-FR"/>
        </w:rPr>
      </w:pPr>
    </w:p>
    <w:p w14:paraId="721A135A" w14:textId="43F5D916" w:rsidR="00DB0699" w:rsidRPr="002E4298" w:rsidRDefault="002B314F" w:rsidP="00A11C35">
      <w:pPr>
        <w:pStyle w:val="SingleTxt"/>
        <w:numPr>
          <w:ilvl w:val="0"/>
          <w:numId w:val="5"/>
        </w:numPr>
        <w:spacing w:line="240" w:lineRule="exact"/>
        <w:ind w:left="1267"/>
        <w:rPr>
          <w:lang w:val="fr-FR" w:bidi="fr-FR"/>
        </w:rPr>
      </w:pPr>
      <w:r w:rsidRPr="002E4298">
        <w:rPr>
          <w:lang w:val="fr-FR" w:bidi="fr-FR"/>
        </w:rPr>
        <w:t>La violence domestique demeure un phénomène dont l</w:t>
      </w:r>
      <w:r w:rsidR="00DB0699" w:rsidRPr="002E4298">
        <w:rPr>
          <w:lang w:val="fr-FR" w:bidi="fr-FR"/>
        </w:rPr>
        <w:t>’</w:t>
      </w:r>
      <w:r w:rsidRPr="002E4298">
        <w:rPr>
          <w:lang w:val="fr-FR" w:bidi="fr-FR"/>
        </w:rPr>
        <w:t>incidence dans la société portugaise est préoccupante, malgré les efforts permanents déployés pour sa prévention et sa répression.</w:t>
      </w:r>
    </w:p>
    <w:p w14:paraId="616F11A6" w14:textId="49960120" w:rsidR="00DB0699" w:rsidRPr="002E4298" w:rsidRDefault="002B314F" w:rsidP="00A11C35">
      <w:pPr>
        <w:pStyle w:val="SingleTxt"/>
        <w:numPr>
          <w:ilvl w:val="0"/>
          <w:numId w:val="5"/>
        </w:numPr>
        <w:spacing w:line="240" w:lineRule="exact"/>
        <w:ind w:left="1267"/>
        <w:rPr>
          <w:lang w:val="fr-FR" w:bidi="fr-FR"/>
        </w:rPr>
      </w:pPr>
      <w:r w:rsidRPr="002E4298">
        <w:rPr>
          <w:lang w:val="fr-FR" w:bidi="fr-FR"/>
        </w:rPr>
        <w:t>En mars</w:t>
      </w:r>
      <w:r w:rsidR="00B23B6D" w:rsidRPr="002E4298">
        <w:rPr>
          <w:lang w:val="fr-FR" w:bidi="fr-FR"/>
        </w:rPr>
        <w:t xml:space="preserve"> 20</w:t>
      </w:r>
      <w:r w:rsidRPr="002E4298">
        <w:rPr>
          <w:lang w:val="fr-FR" w:bidi="fr-FR"/>
        </w:rPr>
        <w:t>19, en réaction au grand nombre d</w:t>
      </w:r>
      <w:r w:rsidR="00DB0699" w:rsidRPr="002E4298">
        <w:rPr>
          <w:lang w:val="fr-FR" w:bidi="fr-FR"/>
        </w:rPr>
        <w:t>’</w:t>
      </w:r>
      <w:r w:rsidRPr="002E4298">
        <w:rPr>
          <w:lang w:val="fr-FR" w:bidi="fr-FR"/>
        </w:rPr>
        <w:t>homicides liés à des cas de violence domestique enregistrés depuis le début de l</w:t>
      </w:r>
      <w:r w:rsidR="00DB0699" w:rsidRPr="002E4298">
        <w:rPr>
          <w:lang w:val="fr-FR" w:bidi="fr-FR"/>
        </w:rPr>
        <w:t>’</w:t>
      </w:r>
      <w:r w:rsidRPr="002E4298">
        <w:rPr>
          <w:lang w:val="fr-FR" w:bidi="fr-FR"/>
        </w:rPr>
        <w:t>année, une commission technique a été mise en place pour définir des mesures concrètes concernant les axes d</w:t>
      </w:r>
      <w:r w:rsidR="00DB0699" w:rsidRPr="002E4298">
        <w:rPr>
          <w:lang w:val="fr-FR" w:bidi="fr-FR"/>
        </w:rPr>
        <w:t>’</w:t>
      </w:r>
      <w:r w:rsidRPr="002E4298">
        <w:rPr>
          <w:lang w:val="fr-FR" w:bidi="fr-FR"/>
        </w:rPr>
        <w:t>intervention, notamment la collecte de données, les procédures d</w:t>
      </w:r>
      <w:r w:rsidR="00DB0699" w:rsidRPr="002E4298">
        <w:rPr>
          <w:lang w:val="fr-FR" w:bidi="fr-FR"/>
        </w:rPr>
        <w:t>’</w:t>
      </w:r>
      <w:r w:rsidRPr="002E4298">
        <w:rPr>
          <w:lang w:val="fr-FR" w:bidi="fr-FR"/>
        </w:rPr>
        <w:t>intervention (pour les forces de police et les procureurs) au cours des 72 heures suivant le dépôt d</w:t>
      </w:r>
      <w:r w:rsidR="00DB0699" w:rsidRPr="002E4298">
        <w:rPr>
          <w:lang w:val="fr-FR" w:bidi="fr-FR"/>
        </w:rPr>
        <w:t>’</w:t>
      </w:r>
      <w:r w:rsidRPr="002E4298">
        <w:rPr>
          <w:lang w:val="fr-FR" w:bidi="fr-FR"/>
        </w:rPr>
        <w:t>une plainte et la formation de tous les fonctionnaires sur la question de la violence domestique et fondée sur le genre</w:t>
      </w:r>
      <w:r w:rsidRPr="002E4298" w:rsidDel="0045507A">
        <w:rPr>
          <w:lang w:val="fr-FR" w:bidi="fr-FR"/>
        </w:rPr>
        <w:t xml:space="preserve"> </w:t>
      </w:r>
      <w:r w:rsidRPr="002E4298">
        <w:rPr>
          <w:lang w:val="fr-FR" w:bidi="fr-FR"/>
        </w:rPr>
        <w:t>à l</w:t>
      </w:r>
      <w:r w:rsidR="00DB0699" w:rsidRPr="002E4298">
        <w:rPr>
          <w:lang w:val="fr-FR" w:bidi="fr-FR"/>
        </w:rPr>
        <w:t>’</w:t>
      </w:r>
      <w:r w:rsidRPr="002E4298">
        <w:rPr>
          <w:lang w:val="fr-FR" w:bidi="fr-FR"/>
        </w:rPr>
        <w:t>égard des femmes. La commission technique a présenté un rapport assorti de conclusions en juin</w:t>
      </w:r>
      <w:r w:rsidR="00B23B6D" w:rsidRPr="002E4298">
        <w:rPr>
          <w:lang w:val="fr-FR" w:bidi="fr-FR"/>
        </w:rPr>
        <w:t xml:space="preserve"> 20</w:t>
      </w:r>
      <w:r w:rsidRPr="002E4298">
        <w:rPr>
          <w:lang w:val="fr-FR" w:bidi="fr-FR"/>
        </w:rPr>
        <w:t>19.</w:t>
      </w:r>
    </w:p>
    <w:p w14:paraId="0A2AAA4E" w14:textId="1AB60431" w:rsidR="002B314F" w:rsidRPr="002E4298" w:rsidRDefault="002B314F" w:rsidP="00A11C35">
      <w:pPr>
        <w:pStyle w:val="SingleTxt"/>
        <w:numPr>
          <w:ilvl w:val="0"/>
          <w:numId w:val="5"/>
        </w:numPr>
        <w:spacing w:line="240" w:lineRule="exact"/>
        <w:ind w:left="1267"/>
        <w:rPr>
          <w:lang w:val="fr-FR"/>
        </w:rPr>
      </w:pPr>
      <w:r w:rsidRPr="002E4298">
        <w:rPr>
          <w:lang w:val="fr-FR" w:bidi="fr-FR"/>
        </w:rPr>
        <w:t xml:space="preserve">Sur la base de ces conclusions, le Conseil des ministres a adopté la résolution nº 139/2019 </w:t>
      </w:r>
      <w:r w:rsidR="003E7581" w:rsidRPr="002E4298">
        <w:rPr>
          <w:lang w:val="fr-FR" w:bidi="fr-FR"/>
        </w:rPr>
        <w:t xml:space="preserve">du </w:t>
      </w:r>
      <w:r w:rsidRPr="002E4298">
        <w:rPr>
          <w:lang w:val="fr-FR" w:bidi="fr-FR"/>
        </w:rPr>
        <w:t>19 août</w:t>
      </w:r>
      <w:r w:rsidR="00B23B6D" w:rsidRPr="002E4298">
        <w:rPr>
          <w:lang w:val="fr-FR" w:bidi="fr-FR"/>
        </w:rPr>
        <w:t xml:space="preserve"> 20</w:t>
      </w:r>
      <w:r w:rsidRPr="002E4298">
        <w:rPr>
          <w:lang w:val="fr-FR" w:bidi="fr-FR"/>
        </w:rPr>
        <w:t>19, qui recense un ensemble d</w:t>
      </w:r>
      <w:r w:rsidR="00DB0699" w:rsidRPr="002E4298">
        <w:rPr>
          <w:lang w:val="fr-FR" w:bidi="fr-FR"/>
        </w:rPr>
        <w:t>’</w:t>
      </w:r>
      <w:r w:rsidRPr="002E4298">
        <w:rPr>
          <w:lang w:val="fr-FR" w:bidi="fr-FR"/>
        </w:rPr>
        <w:t>actions prioritaires à mettre en place et établit les moyens pour ce faire (détaillés plus loin). Ladite résolution constitue un engagement ambitieux du Gouvernement portugais en en faveur de l</w:t>
      </w:r>
      <w:r w:rsidR="00DB0699" w:rsidRPr="002E4298">
        <w:rPr>
          <w:lang w:val="fr-FR" w:bidi="fr-FR"/>
        </w:rPr>
        <w:t>’</w:t>
      </w:r>
      <w:r w:rsidRPr="002E4298">
        <w:rPr>
          <w:lang w:val="fr-FR" w:bidi="fr-FR"/>
        </w:rPr>
        <w:t>éradication du phénomène de la violence domestique dans la société portugaise, en accordant la même attention à la prévention, à la réponse et à la répression.</w:t>
      </w:r>
    </w:p>
    <w:p w14:paraId="41C2357E" w14:textId="53CB7DED" w:rsidR="00DB0699" w:rsidRPr="002E4298" w:rsidRDefault="002B314F" w:rsidP="00A11C35">
      <w:pPr>
        <w:pStyle w:val="SingleTxt"/>
        <w:numPr>
          <w:ilvl w:val="0"/>
          <w:numId w:val="5"/>
        </w:numPr>
        <w:spacing w:line="240" w:lineRule="exact"/>
        <w:ind w:left="1267"/>
        <w:rPr>
          <w:lang w:val="fr-FR" w:bidi="fr-FR"/>
        </w:rPr>
      </w:pPr>
      <w:r w:rsidRPr="002E4298">
        <w:rPr>
          <w:lang w:val="fr-FR" w:bidi="fr-FR"/>
        </w:rPr>
        <w:t>En mémoire des victimes de la violence domestique, en signe de respect pour celles-ci et afin de manifester la consternation de l</w:t>
      </w:r>
      <w:r w:rsidR="00DB0699" w:rsidRPr="002E4298">
        <w:rPr>
          <w:lang w:val="fr-FR" w:bidi="fr-FR"/>
        </w:rPr>
        <w:t>’</w:t>
      </w:r>
      <w:r w:rsidRPr="002E4298">
        <w:rPr>
          <w:lang w:val="fr-FR" w:bidi="fr-FR"/>
        </w:rPr>
        <w:t>État portugais à l</w:t>
      </w:r>
      <w:r w:rsidR="00DB0699" w:rsidRPr="002E4298">
        <w:rPr>
          <w:lang w:val="fr-FR" w:bidi="fr-FR"/>
        </w:rPr>
        <w:t>’</w:t>
      </w:r>
      <w:r w:rsidRPr="002E4298">
        <w:rPr>
          <w:lang w:val="fr-FR" w:bidi="fr-FR"/>
        </w:rPr>
        <w:t xml:space="preserve">égard de ces violences, </w:t>
      </w:r>
      <w:r w:rsidR="00DC43BF" w:rsidRPr="002E4298">
        <w:rPr>
          <w:lang w:val="fr-FR" w:bidi="fr-FR"/>
        </w:rPr>
        <w:t xml:space="preserve">le </w:t>
      </w:r>
      <w:r w:rsidRPr="002E4298">
        <w:rPr>
          <w:lang w:val="fr-FR" w:bidi="fr-FR"/>
        </w:rPr>
        <w:t>7 mars, la veille de la Journée internationale de la femme, a été déclaré Journée de deuil national en hommage aux femmes victimes de la violence domestique</w:t>
      </w:r>
      <w:r w:rsidRPr="002E4298">
        <w:rPr>
          <w:vertAlign w:val="superscript"/>
          <w:lang w:val="fr-FR" w:bidi="fr-FR"/>
        </w:rPr>
        <w:footnoteReference w:id="11"/>
      </w:r>
      <w:r w:rsidRPr="002E4298">
        <w:rPr>
          <w:lang w:val="fr-FR" w:bidi="fr-FR"/>
        </w:rPr>
        <w:t>. Les bâtiments gouvernementaux ont mis les drapeaux en berne le</w:t>
      </w:r>
      <w:r w:rsidR="00DC43BF" w:rsidRPr="002E4298">
        <w:rPr>
          <w:lang w:val="fr-FR" w:bidi="fr-FR"/>
        </w:rPr>
        <w:t xml:space="preserve"> </w:t>
      </w:r>
      <w:r w:rsidRPr="002E4298">
        <w:rPr>
          <w:lang w:val="fr-FR" w:bidi="fr-FR"/>
        </w:rPr>
        <w:t>7 mars</w:t>
      </w:r>
      <w:r w:rsidR="00B23B6D" w:rsidRPr="002E4298">
        <w:rPr>
          <w:lang w:val="fr-FR" w:bidi="fr-FR"/>
        </w:rPr>
        <w:t xml:space="preserve"> 20</w:t>
      </w:r>
      <w:r w:rsidRPr="002E4298">
        <w:rPr>
          <w:lang w:val="fr-FR" w:bidi="fr-FR"/>
        </w:rPr>
        <w:t>19 pour marquer la date de la première Journée annuelle de deuil national en hommage aux femmes victimes de la violence domestique.</w:t>
      </w:r>
    </w:p>
    <w:p w14:paraId="3A539EF8" w14:textId="77777777" w:rsidR="00C31EE2" w:rsidRPr="002E4298" w:rsidRDefault="00C31EE2" w:rsidP="00C31EE2">
      <w:pPr>
        <w:pStyle w:val="SingleTxt"/>
        <w:spacing w:after="0" w:line="120" w:lineRule="exact"/>
        <w:rPr>
          <w:sz w:val="10"/>
          <w:lang w:val="fr-FR" w:bidi="fr-FR"/>
        </w:rPr>
      </w:pPr>
    </w:p>
    <w:p w14:paraId="63AFC33D" w14:textId="5DAF96F4" w:rsidR="002B314F" w:rsidRPr="002E4298" w:rsidRDefault="002B314F" w:rsidP="00C31EE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2E4298">
        <w:rPr>
          <w:lang w:val="fr-FR" w:bidi="fr-FR"/>
        </w:rPr>
        <w:tab/>
      </w:r>
      <w:r w:rsidRPr="002E4298">
        <w:rPr>
          <w:lang w:val="fr-FR" w:bidi="fr-FR"/>
        </w:rPr>
        <w:tab/>
        <w:t>Prévention</w:t>
      </w:r>
    </w:p>
    <w:p w14:paraId="343EFCA3" w14:textId="6F6EC590" w:rsidR="00C31EE2" w:rsidRPr="002E4298" w:rsidRDefault="00C31EE2" w:rsidP="00C31EE2">
      <w:pPr>
        <w:pStyle w:val="SingleTxt"/>
        <w:spacing w:after="0" w:line="120" w:lineRule="exact"/>
        <w:rPr>
          <w:sz w:val="10"/>
          <w:lang w:val="fr-FR" w:bidi="fr-FR"/>
        </w:rPr>
      </w:pPr>
    </w:p>
    <w:p w14:paraId="68E1F5E4" w14:textId="599924B2" w:rsidR="002B314F" w:rsidRPr="002E4298" w:rsidRDefault="002B314F" w:rsidP="00A11C35">
      <w:pPr>
        <w:pStyle w:val="SingleTxt"/>
        <w:numPr>
          <w:ilvl w:val="0"/>
          <w:numId w:val="5"/>
        </w:numPr>
        <w:spacing w:line="240" w:lineRule="exact"/>
        <w:ind w:left="1267"/>
        <w:rPr>
          <w:lang w:val="fr-FR"/>
        </w:rPr>
      </w:pPr>
      <w:r w:rsidRPr="002E4298">
        <w:rPr>
          <w:lang w:val="fr-FR" w:bidi="fr-FR"/>
        </w:rPr>
        <w:t>Le niveau de sensibilisation à la violence domestique est assez élevé au Portugal, comme le montre une enquête effectuée par l</w:t>
      </w:r>
      <w:r w:rsidR="00DB0699" w:rsidRPr="002E4298">
        <w:rPr>
          <w:lang w:val="fr-FR" w:bidi="fr-FR"/>
        </w:rPr>
        <w:t>’</w:t>
      </w:r>
      <w:r w:rsidRPr="002E4298">
        <w:rPr>
          <w:lang w:val="fr-FR" w:bidi="fr-FR"/>
        </w:rPr>
        <w:t xml:space="preserve">Agence des droits </w:t>
      </w:r>
      <w:r w:rsidRPr="002E4298">
        <w:rPr>
          <w:lang w:val="fr-FR" w:bidi="fr-FR"/>
        </w:rPr>
        <w:lastRenderedPageBreak/>
        <w:t>fondamentaux de l</w:t>
      </w:r>
      <w:r w:rsidR="00DB0699" w:rsidRPr="002E4298">
        <w:rPr>
          <w:lang w:val="fr-FR" w:bidi="fr-FR"/>
        </w:rPr>
        <w:t>’</w:t>
      </w:r>
      <w:r w:rsidRPr="002E4298">
        <w:rPr>
          <w:lang w:val="fr-FR" w:bidi="fr-FR"/>
        </w:rPr>
        <w:t>Union européenne en</w:t>
      </w:r>
      <w:r w:rsidR="00B23B6D" w:rsidRPr="002E4298">
        <w:rPr>
          <w:lang w:val="fr-FR" w:bidi="fr-FR"/>
        </w:rPr>
        <w:t xml:space="preserve"> 20</w:t>
      </w:r>
      <w:r w:rsidRPr="002E4298">
        <w:rPr>
          <w:lang w:val="fr-FR" w:bidi="fr-FR"/>
        </w:rPr>
        <w:t>14 (« Violence à l</w:t>
      </w:r>
      <w:r w:rsidR="00DB0699" w:rsidRPr="002E4298">
        <w:rPr>
          <w:lang w:val="fr-FR" w:bidi="fr-FR"/>
        </w:rPr>
        <w:t>’</w:t>
      </w:r>
      <w:r w:rsidRPr="002E4298">
        <w:rPr>
          <w:lang w:val="fr-FR" w:bidi="fr-FR"/>
        </w:rPr>
        <w:t>égard des femmes</w:t>
      </w:r>
      <w:r w:rsidR="00DB0699" w:rsidRPr="002E4298">
        <w:rPr>
          <w:lang w:val="fr-FR" w:bidi="fr-FR"/>
        </w:rPr>
        <w:t> :</w:t>
      </w:r>
      <w:r w:rsidRPr="002E4298">
        <w:rPr>
          <w:lang w:val="fr-FR" w:bidi="fr-FR"/>
        </w:rPr>
        <w:t xml:space="preserve"> une enquête à l</w:t>
      </w:r>
      <w:r w:rsidR="00DB0699" w:rsidRPr="002E4298">
        <w:rPr>
          <w:lang w:val="fr-FR" w:bidi="fr-FR"/>
        </w:rPr>
        <w:t>’</w:t>
      </w:r>
      <w:r w:rsidRPr="002E4298">
        <w:rPr>
          <w:lang w:val="fr-FR" w:bidi="fr-FR"/>
        </w:rPr>
        <w:t>échelle de l</w:t>
      </w:r>
      <w:r w:rsidR="00DB0699" w:rsidRPr="002E4298">
        <w:rPr>
          <w:lang w:val="fr-FR" w:bidi="fr-FR"/>
        </w:rPr>
        <w:t>’</w:t>
      </w:r>
      <w:r w:rsidRPr="002E4298">
        <w:rPr>
          <w:lang w:val="fr-FR" w:bidi="fr-FR"/>
        </w:rPr>
        <w:t>UE »)</w:t>
      </w:r>
      <w:r w:rsidRPr="002E4298">
        <w:rPr>
          <w:vertAlign w:val="superscript"/>
          <w:lang w:val="fr-FR" w:bidi="fr-FR"/>
        </w:rPr>
        <w:footnoteReference w:id="12"/>
      </w:r>
      <w:r w:rsidRPr="002E4298">
        <w:rPr>
          <w:lang w:val="fr-FR" w:bidi="fr-FR"/>
        </w:rPr>
        <w:t>. Afin d</w:t>
      </w:r>
      <w:r w:rsidR="00DB0699" w:rsidRPr="002E4298">
        <w:rPr>
          <w:lang w:val="fr-FR" w:bidi="fr-FR"/>
        </w:rPr>
        <w:t>’</w:t>
      </w:r>
      <w:r w:rsidRPr="002E4298">
        <w:rPr>
          <w:lang w:val="fr-FR" w:bidi="fr-FR"/>
        </w:rPr>
        <w:t>évaluer l</w:t>
      </w:r>
      <w:r w:rsidR="00DB0699" w:rsidRPr="002E4298">
        <w:rPr>
          <w:lang w:val="fr-FR" w:bidi="fr-FR"/>
        </w:rPr>
        <w:t>’</w:t>
      </w:r>
      <w:r w:rsidRPr="002E4298">
        <w:rPr>
          <w:lang w:val="fr-FR" w:bidi="fr-FR"/>
        </w:rPr>
        <w:t>effet des efforts déployés par l</w:t>
      </w:r>
      <w:r w:rsidR="00DB0699" w:rsidRPr="002E4298">
        <w:rPr>
          <w:lang w:val="fr-FR" w:bidi="fr-FR"/>
        </w:rPr>
        <w:t>’</w:t>
      </w:r>
      <w:r w:rsidRPr="002E4298">
        <w:rPr>
          <w:lang w:val="fr-FR" w:bidi="fr-FR"/>
        </w:rPr>
        <w:t>État ou d</w:t>
      </w:r>
      <w:r w:rsidR="00DB0699" w:rsidRPr="002E4298">
        <w:rPr>
          <w:lang w:val="fr-FR" w:bidi="fr-FR"/>
        </w:rPr>
        <w:t>’</w:t>
      </w:r>
      <w:r w:rsidRPr="002E4298">
        <w:rPr>
          <w:lang w:val="fr-FR" w:bidi="fr-FR"/>
        </w:rPr>
        <w:t>autres acteurs en matière de sensibilisation à la violence à l</w:t>
      </w:r>
      <w:r w:rsidR="00DB0699" w:rsidRPr="002E4298">
        <w:rPr>
          <w:lang w:val="fr-FR" w:bidi="fr-FR"/>
        </w:rPr>
        <w:t>’</w:t>
      </w:r>
      <w:r w:rsidRPr="002E4298">
        <w:rPr>
          <w:lang w:val="fr-FR" w:bidi="fr-FR"/>
        </w:rPr>
        <w:t>égard des femmes, il a été demandé aux personnes interrogées si elles avaient récemment vu ou entendu des campagnes de lutte contre la violence à l</w:t>
      </w:r>
      <w:r w:rsidR="00DB0699" w:rsidRPr="002E4298">
        <w:rPr>
          <w:lang w:val="fr-FR" w:bidi="fr-FR"/>
        </w:rPr>
        <w:t>’</w:t>
      </w:r>
      <w:r w:rsidRPr="002E4298">
        <w:rPr>
          <w:lang w:val="fr-FR" w:bidi="fr-FR"/>
        </w:rPr>
        <w:t>égard des femmes. Selon l</w:t>
      </w:r>
      <w:r w:rsidR="00DB0699" w:rsidRPr="002E4298">
        <w:rPr>
          <w:lang w:val="fr-FR" w:bidi="fr-FR"/>
        </w:rPr>
        <w:t>’</w:t>
      </w:r>
      <w:r w:rsidRPr="002E4298">
        <w:rPr>
          <w:lang w:val="fr-FR" w:bidi="fr-FR"/>
        </w:rPr>
        <w:t>enquête de l</w:t>
      </w:r>
      <w:r w:rsidR="00DB0699" w:rsidRPr="002E4298">
        <w:rPr>
          <w:lang w:val="fr-FR" w:bidi="fr-FR"/>
        </w:rPr>
        <w:t>’</w:t>
      </w:r>
      <w:r w:rsidRPr="002E4298">
        <w:rPr>
          <w:lang w:val="fr-FR" w:bidi="fr-FR"/>
        </w:rPr>
        <w:t>Agence des droits fondamentaux, la majorité des femmes portugaises (70</w:t>
      </w:r>
      <w:r w:rsidR="00DB0699" w:rsidRPr="002E4298">
        <w:rPr>
          <w:lang w:val="fr-FR" w:bidi="fr-FR"/>
        </w:rPr>
        <w:t> %</w:t>
      </w:r>
      <w:r w:rsidRPr="002E4298">
        <w:rPr>
          <w:lang w:val="fr-FR" w:bidi="fr-FR"/>
        </w:rPr>
        <w:t>) ont répondu affirmativement, contre une moyenne de seulement 50</w:t>
      </w:r>
      <w:r w:rsidR="00DB0699" w:rsidRPr="002E4298">
        <w:rPr>
          <w:lang w:val="fr-FR" w:bidi="fr-FR"/>
        </w:rPr>
        <w:t> %</w:t>
      </w:r>
      <w:r w:rsidRPr="002E4298">
        <w:rPr>
          <w:lang w:val="fr-FR" w:bidi="fr-FR"/>
        </w:rPr>
        <w:t xml:space="preserve"> dans l</w:t>
      </w:r>
      <w:r w:rsidR="00DB0699" w:rsidRPr="002E4298">
        <w:rPr>
          <w:lang w:val="fr-FR" w:bidi="fr-FR"/>
        </w:rPr>
        <w:t>’</w:t>
      </w:r>
      <w:r w:rsidRPr="002E4298">
        <w:rPr>
          <w:lang w:val="fr-FR" w:bidi="fr-FR"/>
        </w:rPr>
        <w:t>ensemble de l</w:t>
      </w:r>
      <w:r w:rsidR="00DB0699" w:rsidRPr="002E4298">
        <w:rPr>
          <w:lang w:val="fr-FR" w:bidi="fr-FR"/>
        </w:rPr>
        <w:t>’</w:t>
      </w:r>
      <w:r w:rsidRPr="002E4298">
        <w:rPr>
          <w:lang w:val="fr-FR" w:bidi="fr-FR"/>
        </w:rPr>
        <w:t>Union européenne, ce qui place le Portugal en troisième position à l</w:t>
      </w:r>
      <w:r w:rsidR="00DB0699" w:rsidRPr="002E4298">
        <w:rPr>
          <w:lang w:val="fr-FR" w:bidi="fr-FR"/>
        </w:rPr>
        <w:t>’</w:t>
      </w:r>
      <w:r w:rsidRPr="002E4298">
        <w:rPr>
          <w:lang w:val="fr-FR" w:bidi="fr-FR"/>
        </w:rPr>
        <w:t>échelle européenne.</w:t>
      </w:r>
    </w:p>
    <w:p w14:paraId="3FA319E6" w14:textId="6321A61D" w:rsidR="002B314F" w:rsidRPr="002E4298" w:rsidRDefault="002B314F" w:rsidP="00A11C35">
      <w:pPr>
        <w:pStyle w:val="SingleTxt"/>
        <w:numPr>
          <w:ilvl w:val="0"/>
          <w:numId w:val="5"/>
        </w:numPr>
        <w:spacing w:line="240" w:lineRule="exact"/>
        <w:ind w:left="1267"/>
        <w:rPr>
          <w:lang w:val="fr-FR"/>
        </w:rPr>
      </w:pPr>
      <w:r w:rsidRPr="002E4298">
        <w:rPr>
          <w:lang w:val="fr-FR" w:bidi="fr-FR"/>
        </w:rPr>
        <w:t xml:space="preserve">La loi nº 112/2009 </w:t>
      </w:r>
      <w:r w:rsidR="003E7581" w:rsidRPr="002E4298">
        <w:rPr>
          <w:lang w:val="fr-FR" w:bidi="fr-FR"/>
        </w:rPr>
        <w:t xml:space="preserve">du </w:t>
      </w:r>
      <w:r w:rsidRPr="002E4298">
        <w:rPr>
          <w:lang w:val="fr-FR" w:bidi="fr-FR"/>
        </w:rPr>
        <w:t>16 septembre</w:t>
      </w:r>
      <w:r w:rsidR="00B23B6D" w:rsidRPr="002E4298">
        <w:rPr>
          <w:lang w:val="fr-FR" w:bidi="fr-FR"/>
        </w:rPr>
        <w:t xml:space="preserve"> 20</w:t>
      </w:r>
      <w:r w:rsidRPr="002E4298">
        <w:rPr>
          <w:lang w:val="fr-FR" w:bidi="fr-FR"/>
        </w:rPr>
        <w:t>09</w:t>
      </w:r>
      <w:r w:rsidRPr="002E4298">
        <w:rPr>
          <w:vertAlign w:val="superscript"/>
          <w:lang w:val="fr-FR" w:bidi="fr-FR"/>
        </w:rPr>
        <w:footnoteReference w:id="13"/>
      </w:r>
      <w:r w:rsidRPr="002E4298">
        <w:rPr>
          <w:lang w:val="fr-FR" w:bidi="fr-FR"/>
        </w:rPr>
        <w:t xml:space="preserve">, republiée telle que modifiée par la loi nº 129/2015 </w:t>
      </w:r>
      <w:r w:rsidR="003E7581" w:rsidRPr="002E4298">
        <w:rPr>
          <w:lang w:val="fr-FR" w:bidi="fr-FR"/>
        </w:rPr>
        <w:t xml:space="preserve">du </w:t>
      </w:r>
      <w:r w:rsidRPr="002E4298">
        <w:rPr>
          <w:lang w:val="fr-FR" w:bidi="fr-FR"/>
        </w:rPr>
        <w:t>3 septembre</w:t>
      </w:r>
      <w:r w:rsidR="00B23B6D" w:rsidRPr="002E4298">
        <w:rPr>
          <w:lang w:val="fr-FR" w:bidi="fr-FR"/>
        </w:rPr>
        <w:t xml:space="preserve"> 20</w:t>
      </w:r>
      <w:r w:rsidRPr="002E4298">
        <w:rPr>
          <w:lang w:val="fr-FR" w:bidi="fr-FR"/>
        </w:rPr>
        <w:t>15, a instauré une Équipe chargée de l</w:t>
      </w:r>
      <w:r w:rsidR="00DB0699" w:rsidRPr="002E4298">
        <w:rPr>
          <w:lang w:val="fr-FR" w:bidi="fr-FR"/>
        </w:rPr>
        <w:t>’</w:t>
      </w:r>
      <w:r w:rsidRPr="002E4298">
        <w:rPr>
          <w:lang w:val="fr-FR" w:bidi="fr-FR"/>
        </w:rPr>
        <w:t>analyse rétrospective des homicides liés à la violence domestique. L</w:t>
      </w:r>
      <w:r w:rsidR="00DB0699" w:rsidRPr="002E4298">
        <w:rPr>
          <w:lang w:val="fr-FR" w:bidi="fr-FR"/>
        </w:rPr>
        <w:t>’</w:t>
      </w:r>
      <w:r w:rsidRPr="002E4298">
        <w:rPr>
          <w:lang w:val="fr-FR" w:bidi="fr-FR"/>
        </w:rPr>
        <w:t>analyse vise à tirer des conclusions en vue de la révision des procédures et de la mise en œuvre de nouvelles méthodologies préventives. L</w:t>
      </w:r>
      <w:r w:rsidR="00DB0699" w:rsidRPr="002E4298">
        <w:rPr>
          <w:lang w:val="fr-FR" w:bidi="fr-FR"/>
        </w:rPr>
        <w:t>’</w:t>
      </w:r>
      <w:r w:rsidRPr="002E4298">
        <w:rPr>
          <w:lang w:val="fr-FR" w:bidi="fr-FR"/>
        </w:rPr>
        <w:t>Équipe a commencé à travailler en</w:t>
      </w:r>
      <w:r w:rsidR="00B23B6D" w:rsidRPr="002E4298">
        <w:rPr>
          <w:lang w:val="fr-FR" w:bidi="fr-FR"/>
        </w:rPr>
        <w:t xml:space="preserve"> 20</w:t>
      </w:r>
      <w:r w:rsidRPr="002E4298">
        <w:rPr>
          <w:lang w:val="fr-FR" w:bidi="fr-FR"/>
        </w:rPr>
        <w:t xml:space="preserve">17 et a produit </w:t>
      </w:r>
      <w:r w:rsidR="003C7963" w:rsidRPr="002E4298">
        <w:rPr>
          <w:lang w:val="fr-FR" w:bidi="fr-FR"/>
        </w:rPr>
        <w:t xml:space="preserve">sept </w:t>
      </w:r>
      <w:r w:rsidRPr="002E4298">
        <w:rPr>
          <w:lang w:val="fr-FR" w:bidi="fr-FR"/>
        </w:rPr>
        <w:t>rapports essentiels à l</w:t>
      </w:r>
      <w:r w:rsidR="00DB0699" w:rsidRPr="002E4298">
        <w:rPr>
          <w:lang w:val="fr-FR" w:bidi="fr-FR"/>
        </w:rPr>
        <w:t>’</w:t>
      </w:r>
      <w:r w:rsidRPr="002E4298">
        <w:rPr>
          <w:lang w:val="fr-FR" w:bidi="fr-FR"/>
        </w:rPr>
        <w:t>élaboration des politiques, ce qui a conduit à la rédaction de protocoles visant à renforcer la coopération et la formation.</w:t>
      </w:r>
    </w:p>
    <w:p w14:paraId="6F255FDF" w14:textId="1CEEA47E" w:rsidR="002B314F" w:rsidRPr="002E4298" w:rsidRDefault="002B314F" w:rsidP="00A11C35">
      <w:pPr>
        <w:pStyle w:val="SingleTxt"/>
        <w:numPr>
          <w:ilvl w:val="0"/>
          <w:numId w:val="5"/>
        </w:numPr>
        <w:spacing w:line="240" w:lineRule="exact"/>
        <w:ind w:left="1267"/>
        <w:rPr>
          <w:lang w:val="fr-FR"/>
        </w:rPr>
      </w:pPr>
      <w:r w:rsidRPr="002E4298">
        <w:rPr>
          <w:lang w:val="fr-FR" w:bidi="fr-FR"/>
        </w:rPr>
        <w:t>Chaque année, toutes les services gouvernementaux doivent allouer une part spécifique de leur budget à la prévention et à la lutte contre la violence à l</w:t>
      </w:r>
      <w:r w:rsidR="00DB0699" w:rsidRPr="002E4298">
        <w:rPr>
          <w:lang w:val="fr-FR" w:bidi="fr-FR"/>
        </w:rPr>
        <w:t>’</w:t>
      </w:r>
      <w:r w:rsidRPr="002E4298">
        <w:rPr>
          <w:lang w:val="fr-FR" w:bidi="fr-FR"/>
        </w:rPr>
        <w:t xml:space="preserve">égard des femmes et de violence domestique. Le budget alloué à ces fins a augmenté </w:t>
      </w:r>
      <w:r w:rsidR="00DC43BF" w:rsidRPr="002E4298">
        <w:rPr>
          <w:lang w:val="fr-FR" w:bidi="fr-FR"/>
        </w:rPr>
        <w:t xml:space="preserve">de </w:t>
      </w:r>
      <w:r w:rsidRPr="002E4298">
        <w:rPr>
          <w:lang w:val="fr-FR" w:bidi="fr-FR"/>
        </w:rPr>
        <w:t>67</w:t>
      </w:r>
      <w:r w:rsidR="00DB0699" w:rsidRPr="002E4298">
        <w:rPr>
          <w:lang w:val="fr-FR" w:bidi="fr-FR"/>
        </w:rPr>
        <w:t> %</w:t>
      </w:r>
      <w:r w:rsidRPr="002E4298">
        <w:rPr>
          <w:lang w:val="fr-FR" w:bidi="fr-FR"/>
        </w:rPr>
        <w:t xml:space="preserve"> entre</w:t>
      </w:r>
      <w:r w:rsidR="00B23B6D" w:rsidRPr="002E4298">
        <w:rPr>
          <w:lang w:val="fr-FR" w:bidi="fr-FR"/>
        </w:rPr>
        <w:t xml:space="preserve"> 20</w:t>
      </w:r>
      <w:r w:rsidRPr="002E4298">
        <w:rPr>
          <w:lang w:val="fr-FR" w:bidi="fr-FR"/>
        </w:rPr>
        <w:t>17 et</w:t>
      </w:r>
      <w:r w:rsidR="00B23B6D" w:rsidRPr="002E4298">
        <w:rPr>
          <w:lang w:val="fr-FR" w:bidi="fr-FR"/>
        </w:rPr>
        <w:t xml:space="preserve"> 20</w:t>
      </w:r>
      <w:r w:rsidRPr="002E4298">
        <w:rPr>
          <w:lang w:val="fr-FR" w:bidi="fr-FR"/>
        </w:rPr>
        <w:t>19.</w:t>
      </w:r>
    </w:p>
    <w:p w14:paraId="07DBED9E" w14:textId="0A293637" w:rsidR="002B314F" w:rsidRPr="002E4298" w:rsidRDefault="002B314F" w:rsidP="00A11C35">
      <w:pPr>
        <w:pStyle w:val="SingleTxt"/>
        <w:numPr>
          <w:ilvl w:val="0"/>
          <w:numId w:val="5"/>
        </w:numPr>
        <w:spacing w:line="240" w:lineRule="exact"/>
        <w:ind w:left="1267"/>
        <w:rPr>
          <w:lang w:val="fr-FR"/>
        </w:rPr>
      </w:pPr>
      <w:r w:rsidRPr="002E4298">
        <w:rPr>
          <w:lang w:val="fr-FR" w:bidi="fr-FR"/>
        </w:rPr>
        <w:t>La résolution nº 139/2019 du Conseil des ministres mentionnée ci-dessus souligne l</w:t>
      </w:r>
      <w:r w:rsidR="00DB0699" w:rsidRPr="002E4298">
        <w:rPr>
          <w:lang w:val="fr-FR" w:bidi="fr-FR"/>
        </w:rPr>
        <w:t>’</w:t>
      </w:r>
      <w:r w:rsidRPr="002E4298">
        <w:rPr>
          <w:lang w:val="fr-FR" w:bidi="fr-FR"/>
        </w:rPr>
        <w:t>importance d</w:t>
      </w:r>
      <w:r w:rsidR="00DB0699" w:rsidRPr="002E4298">
        <w:rPr>
          <w:lang w:val="fr-FR" w:bidi="fr-FR"/>
        </w:rPr>
        <w:t>’</w:t>
      </w:r>
      <w:r w:rsidRPr="002E4298">
        <w:rPr>
          <w:lang w:val="fr-FR" w:bidi="fr-FR"/>
        </w:rPr>
        <w:t>une approche et d</w:t>
      </w:r>
      <w:r w:rsidR="00DB0699" w:rsidRPr="002E4298">
        <w:rPr>
          <w:lang w:val="fr-FR" w:bidi="fr-FR"/>
        </w:rPr>
        <w:t>’</w:t>
      </w:r>
      <w:r w:rsidRPr="002E4298">
        <w:rPr>
          <w:lang w:val="fr-FR" w:bidi="fr-FR"/>
        </w:rPr>
        <w:t>une formation multidisciplinaires, ainsi que de l</w:t>
      </w:r>
      <w:r w:rsidR="00DB0699" w:rsidRPr="002E4298">
        <w:rPr>
          <w:lang w:val="fr-FR" w:bidi="fr-FR"/>
        </w:rPr>
        <w:t>’</w:t>
      </w:r>
      <w:r w:rsidRPr="002E4298">
        <w:rPr>
          <w:lang w:val="fr-FR" w:bidi="fr-FR"/>
        </w:rPr>
        <w:t>élaboration d</w:t>
      </w:r>
      <w:r w:rsidR="00DB0699" w:rsidRPr="002E4298">
        <w:rPr>
          <w:lang w:val="fr-FR" w:bidi="fr-FR"/>
        </w:rPr>
        <w:t>’</w:t>
      </w:r>
      <w:r w:rsidRPr="002E4298">
        <w:rPr>
          <w:lang w:val="fr-FR" w:bidi="fr-FR"/>
        </w:rPr>
        <w:t>un guide à l</w:t>
      </w:r>
      <w:r w:rsidR="00DB0699" w:rsidRPr="002E4298">
        <w:rPr>
          <w:lang w:val="fr-FR" w:bidi="fr-FR"/>
        </w:rPr>
        <w:t>’</w:t>
      </w:r>
      <w:r w:rsidRPr="002E4298">
        <w:rPr>
          <w:lang w:val="fr-FR" w:bidi="fr-FR"/>
        </w:rPr>
        <w:t>intention des professionnels travaillant avec des enfants, qui vise à renforcer les compétences interpersonnelles et à promouvoir une culture de la non-violence et couvre des questions relatives aux enfants dans le cadre du système de justice pénale pour mineurs.</w:t>
      </w:r>
    </w:p>
    <w:p w14:paraId="1B3786C4" w14:textId="6A11978C" w:rsidR="002B314F" w:rsidRPr="002E4298" w:rsidRDefault="002B314F" w:rsidP="00A11C35">
      <w:pPr>
        <w:pStyle w:val="SingleTxt"/>
        <w:numPr>
          <w:ilvl w:val="0"/>
          <w:numId w:val="5"/>
        </w:numPr>
        <w:spacing w:line="240" w:lineRule="exact"/>
        <w:ind w:left="1267"/>
        <w:rPr>
          <w:lang w:val="fr-FR"/>
        </w:rPr>
      </w:pPr>
      <w:r w:rsidRPr="002E4298">
        <w:rPr>
          <w:lang w:val="fr-FR" w:bidi="fr-FR"/>
        </w:rPr>
        <w:t>En outre, de nouveaux protocoles ont été signés concernant le Service national de santé au titre de l</w:t>
      </w:r>
      <w:r w:rsidR="00DB0699" w:rsidRPr="002E4298">
        <w:rPr>
          <w:lang w:val="fr-FR" w:bidi="fr-FR"/>
        </w:rPr>
        <w:t>’</w:t>
      </w:r>
      <w:r w:rsidRPr="002E4298">
        <w:rPr>
          <w:lang w:val="fr-FR" w:bidi="fr-FR"/>
        </w:rPr>
        <w:t>ordonnance nº 5655/2017, laquelle a renforcé le modèle d</w:t>
      </w:r>
      <w:r w:rsidR="00DB0699" w:rsidRPr="002E4298">
        <w:rPr>
          <w:lang w:val="fr-FR" w:bidi="fr-FR"/>
        </w:rPr>
        <w:t>’</w:t>
      </w:r>
      <w:r w:rsidRPr="002E4298">
        <w:rPr>
          <w:lang w:val="fr-FR" w:bidi="fr-FR"/>
        </w:rPr>
        <w:t>intervention coordonné qui prend en charge les victimes ayant subi des actes de violence interpersonnelle tout au long de leur vie, consolidé les équipes chargées des mécanismes de prévention de la violence entre adultes et clarifié certains de leurs problèmes de fonctionnement.</w:t>
      </w:r>
    </w:p>
    <w:p w14:paraId="3C39C1CE" w14:textId="3FEFBF35" w:rsidR="002B314F" w:rsidRPr="002E4298" w:rsidRDefault="002B314F" w:rsidP="00A11C35">
      <w:pPr>
        <w:pStyle w:val="SingleTxt"/>
        <w:numPr>
          <w:ilvl w:val="0"/>
          <w:numId w:val="5"/>
        </w:numPr>
        <w:spacing w:line="240" w:lineRule="exact"/>
        <w:ind w:left="1267"/>
        <w:rPr>
          <w:lang w:val="fr-FR"/>
        </w:rPr>
      </w:pPr>
      <w:r w:rsidRPr="002E4298">
        <w:rPr>
          <w:lang w:val="fr-FR" w:bidi="fr-FR"/>
        </w:rPr>
        <w:t>Un financement a été obtenu pour les programmes de prévention primaire et secondaire, et la Commission pour la citoyenneté et l</w:t>
      </w:r>
      <w:r w:rsidR="00DB0699" w:rsidRPr="002E4298">
        <w:rPr>
          <w:lang w:val="fr-FR" w:bidi="fr-FR"/>
        </w:rPr>
        <w:t>’</w:t>
      </w:r>
      <w:r w:rsidRPr="002E4298">
        <w:rPr>
          <w:lang w:val="fr-FR" w:bidi="fr-FR"/>
        </w:rPr>
        <w:t>égalité des genres</w:t>
      </w:r>
      <w:r w:rsidRPr="002E4298" w:rsidDel="00535E0B">
        <w:rPr>
          <w:lang w:val="fr-FR" w:bidi="fr-FR"/>
        </w:rPr>
        <w:t xml:space="preserve"> </w:t>
      </w:r>
      <w:r w:rsidRPr="002E4298">
        <w:rPr>
          <w:lang w:val="fr-FR" w:bidi="fr-FR"/>
        </w:rPr>
        <w:t>élabore actuellement des ressources d</w:t>
      </w:r>
      <w:r w:rsidR="00DB0699" w:rsidRPr="002E4298">
        <w:rPr>
          <w:lang w:val="fr-FR" w:bidi="fr-FR"/>
        </w:rPr>
        <w:t>’</w:t>
      </w:r>
      <w:r w:rsidRPr="002E4298">
        <w:rPr>
          <w:lang w:val="fr-FR" w:bidi="fr-FR"/>
        </w:rPr>
        <w:t>intervention (pour les professionnels) concernant les enfants et les jeunes.</w:t>
      </w:r>
    </w:p>
    <w:p w14:paraId="6324BD7C" w14:textId="77777777" w:rsidR="00C31EE2" w:rsidRPr="002E4298" w:rsidRDefault="00C31EE2" w:rsidP="00C31EE2">
      <w:pPr>
        <w:pStyle w:val="SingleTxt"/>
        <w:spacing w:after="0" w:line="120" w:lineRule="exact"/>
        <w:rPr>
          <w:sz w:val="10"/>
          <w:lang w:val="fr-FR" w:bidi="fr-FR"/>
        </w:rPr>
      </w:pPr>
    </w:p>
    <w:p w14:paraId="0ECCC2F2" w14:textId="02C07F6E" w:rsidR="002B314F" w:rsidRPr="002E4298" w:rsidRDefault="002B314F" w:rsidP="00C31EE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2E4298">
        <w:rPr>
          <w:lang w:val="fr-FR" w:bidi="fr-FR"/>
        </w:rPr>
        <w:tab/>
      </w:r>
      <w:r w:rsidRPr="002E4298">
        <w:rPr>
          <w:lang w:val="fr-FR" w:bidi="fr-FR"/>
        </w:rPr>
        <w:tab/>
        <w:t>Collecte de données</w:t>
      </w:r>
    </w:p>
    <w:p w14:paraId="2DE54567" w14:textId="4FA43ADD" w:rsidR="00C31EE2" w:rsidRPr="002E4298" w:rsidRDefault="00C31EE2" w:rsidP="00C31EE2">
      <w:pPr>
        <w:pStyle w:val="SingleTxt"/>
        <w:spacing w:after="0" w:line="120" w:lineRule="exact"/>
        <w:rPr>
          <w:sz w:val="10"/>
          <w:lang w:val="fr-FR" w:bidi="fr-FR"/>
        </w:rPr>
      </w:pPr>
    </w:p>
    <w:p w14:paraId="605F7FD9" w14:textId="5BF34CCD" w:rsidR="002B314F" w:rsidRPr="002E4298" w:rsidRDefault="002B314F" w:rsidP="00A11C35">
      <w:pPr>
        <w:pStyle w:val="SingleTxt"/>
        <w:numPr>
          <w:ilvl w:val="0"/>
          <w:numId w:val="5"/>
        </w:numPr>
        <w:spacing w:line="240" w:lineRule="exact"/>
        <w:ind w:left="1267"/>
        <w:rPr>
          <w:lang w:val="fr-FR"/>
        </w:rPr>
      </w:pPr>
      <w:r w:rsidRPr="002E4298">
        <w:rPr>
          <w:lang w:val="fr-FR" w:bidi="fr-FR"/>
        </w:rPr>
        <w:t xml:space="preserve">La collecte de données sur la violence domestique est régie par </w:t>
      </w:r>
      <w:r w:rsidR="00DC43BF" w:rsidRPr="002E4298">
        <w:rPr>
          <w:lang w:val="fr-FR" w:bidi="fr-FR"/>
        </w:rPr>
        <w:t xml:space="preserve">la </w:t>
      </w:r>
      <w:r w:rsidRPr="002E4298">
        <w:rPr>
          <w:lang w:val="fr-FR" w:bidi="fr-FR"/>
        </w:rPr>
        <w:t>loi nº 129/2015, qui a instauré une base de données sur la violence domestique sous la responsabilité du Secrétariat général du Ministère de l</w:t>
      </w:r>
      <w:r w:rsidR="00DB0699" w:rsidRPr="002E4298">
        <w:rPr>
          <w:lang w:val="fr-FR" w:bidi="fr-FR"/>
        </w:rPr>
        <w:t>’</w:t>
      </w:r>
      <w:r w:rsidRPr="002E4298">
        <w:rPr>
          <w:lang w:val="fr-FR" w:bidi="fr-FR"/>
        </w:rPr>
        <w:t>intérieur.</w:t>
      </w:r>
    </w:p>
    <w:p w14:paraId="364C8443" w14:textId="1FD6465E" w:rsidR="00DB0699" w:rsidRPr="002E4298" w:rsidRDefault="002B314F" w:rsidP="00A11C35">
      <w:pPr>
        <w:pStyle w:val="SingleTxt"/>
        <w:numPr>
          <w:ilvl w:val="0"/>
          <w:numId w:val="5"/>
        </w:numPr>
        <w:spacing w:line="240" w:lineRule="exact"/>
        <w:ind w:left="1267"/>
        <w:rPr>
          <w:lang w:val="fr-FR" w:bidi="fr-FR"/>
        </w:rPr>
      </w:pPr>
      <w:r w:rsidRPr="002E4298">
        <w:rPr>
          <w:lang w:val="fr-FR" w:bidi="fr-FR"/>
        </w:rPr>
        <w:t>Chaque année, le Ministère de l</w:t>
      </w:r>
      <w:r w:rsidR="00DB0699" w:rsidRPr="002E4298">
        <w:rPr>
          <w:lang w:val="fr-FR" w:bidi="fr-FR"/>
        </w:rPr>
        <w:t>’</w:t>
      </w:r>
      <w:r w:rsidRPr="002E4298">
        <w:rPr>
          <w:lang w:val="fr-FR" w:bidi="fr-FR"/>
        </w:rPr>
        <w:t>intérieur publie un rapport sur les cas de violence domestique signalés à la police, comprenant des données ventilées par sexe. Une modèle de signalement et un outil d</w:t>
      </w:r>
      <w:r w:rsidR="00DB0699" w:rsidRPr="002E4298">
        <w:rPr>
          <w:lang w:val="fr-FR" w:bidi="fr-FR"/>
        </w:rPr>
        <w:t>’</w:t>
      </w:r>
      <w:r w:rsidRPr="002E4298">
        <w:rPr>
          <w:lang w:val="fr-FR" w:bidi="fr-FR"/>
        </w:rPr>
        <w:t xml:space="preserve">évaluation des risques sont utilisés dans </w:t>
      </w:r>
      <w:r w:rsidRPr="002E4298">
        <w:rPr>
          <w:lang w:val="fr-FR" w:bidi="fr-FR"/>
        </w:rPr>
        <w:lastRenderedPageBreak/>
        <w:t>l</w:t>
      </w:r>
      <w:r w:rsidR="00DB0699" w:rsidRPr="002E4298">
        <w:rPr>
          <w:lang w:val="fr-FR" w:bidi="fr-FR"/>
        </w:rPr>
        <w:t>’</w:t>
      </w:r>
      <w:r w:rsidRPr="002E4298">
        <w:rPr>
          <w:lang w:val="fr-FR" w:bidi="fr-FR"/>
        </w:rPr>
        <w:t>ensemble du pays depuis novembre</w:t>
      </w:r>
      <w:r w:rsidR="00B23B6D" w:rsidRPr="002E4298">
        <w:rPr>
          <w:lang w:val="fr-FR" w:bidi="fr-FR"/>
        </w:rPr>
        <w:t xml:space="preserve"> 20</w:t>
      </w:r>
      <w:r w:rsidRPr="002E4298">
        <w:rPr>
          <w:lang w:val="fr-FR" w:bidi="fr-FR"/>
        </w:rPr>
        <w:t>14, ce qui permet de recueillir des statistiques plus précises et plus détaillées sur les cas de violence domestique enregistrés par la police. Les données sont disponibles en ligne sur le site du Ministère de l</w:t>
      </w:r>
      <w:r w:rsidR="00DB0699" w:rsidRPr="002E4298">
        <w:rPr>
          <w:lang w:val="fr-FR" w:bidi="fr-FR"/>
        </w:rPr>
        <w:t>’</w:t>
      </w:r>
      <w:r w:rsidRPr="002E4298">
        <w:rPr>
          <w:lang w:val="fr-FR" w:bidi="fr-FR"/>
        </w:rPr>
        <w:t>intérieur.</w:t>
      </w:r>
    </w:p>
    <w:p w14:paraId="74E96130" w14:textId="11EA0FBB" w:rsidR="00DB0699" w:rsidRPr="002E4298" w:rsidRDefault="002B314F" w:rsidP="00A11C35">
      <w:pPr>
        <w:pStyle w:val="SingleTxt"/>
        <w:numPr>
          <w:ilvl w:val="0"/>
          <w:numId w:val="5"/>
        </w:numPr>
        <w:spacing w:line="240" w:lineRule="exact"/>
        <w:ind w:left="1267"/>
        <w:rPr>
          <w:lang w:val="fr-FR" w:bidi="fr-FR"/>
        </w:rPr>
      </w:pPr>
      <w:r w:rsidRPr="002E4298">
        <w:rPr>
          <w:lang w:val="fr-FR" w:bidi="fr-FR"/>
        </w:rPr>
        <w:t>Les statistiques nationales relatives à la justice pénale en matière de violence domestique sont collectées par le Ministère de la justice et sont disponibles en ligne. Le Ministère de la justice a récemment lancé un nouveau site Web qui rassemble toutes les informations statistiques relatives au secteur de la justice collectées par les tribunaux, les greffiers et les autorités de police. Les informations mises à la disposition du grand public sont désormais plus détaillées et plus actuelles.</w:t>
      </w:r>
    </w:p>
    <w:p w14:paraId="6A9509AF" w14:textId="5B6A3686" w:rsidR="002B314F" w:rsidRPr="002E4298" w:rsidRDefault="002B314F" w:rsidP="00A11C35">
      <w:pPr>
        <w:pStyle w:val="SingleTxt"/>
        <w:numPr>
          <w:ilvl w:val="0"/>
          <w:numId w:val="5"/>
        </w:numPr>
        <w:spacing w:line="240" w:lineRule="exact"/>
        <w:ind w:left="1267"/>
        <w:rPr>
          <w:lang w:val="fr-FR"/>
        </w:rPr>
      </w:pPr>
      <w:r w:rsidRPr="002E4298">
        <w:rPr>
          <w:lang w:val="fr-FR" w:bidi="fr-FR"/>
        </w:rPr>
        <w:t>Dans le cadre du système statistique de la justice, les données recueillies sur la violence domestique comprennent</w:t>
      </w:r>
      <w:r w:rsidR="00DB0699" w:rsidRPr="002E4298">
        <w:rPr>
          <w:lang w:val="fr-FR" w:bidi="fr-FR"/>
        </w:rPr>
        <w:t> :</w:t>
      </w:r>
      <w:r w:rsidRPr="002E4298">
        <w:rPr>
          <w:lang w:val="fr-FR" w:bidi="fr-FR"/>
        </w:rPr>
        <w:t xml:space="preserve"> le nombre d</w:t>
      </w:r>
      <w:r w:rsidR="00DB0699" w:rsidRPr="002E4298">
        <w:rPr>
          <w:lang w:val="fr-FR" w:bidi="fr-FR"/>
        </w:rPr>
        <w:t>’</w:t>
      </w:r>
      <w:r w:rsidRPr="002E4298">
        <w:rPr>
          <w:lang w:val="fr-FR" w:bidi="fr-FR"/>
        </w:rPr>
        <w:t xml:space="preserve">infractions (données ventilées en </w:t>
      </w:r>
      <w:r w:rsidR="003E7581" w:rsidRPr="002E4298">
        <w:rPr>
          <w:lang w:val="fr-FR" w:bidi="fr-FR"/>
        </w:rPr>
        <w:t xml:space="preserve">trois </w:t>
      </w:r>
      <w:r w:rsidRPr="002E4298">
        <w:rPr>
          <w:lang w:val="fr-FR" w:bidi="fr-FR"/>
        </w:rPr>
        <w:t>catégories), de suspects (données ventilées par sexe) et de blessés/victimes recensés dans les cas enregistrés par la police (données ventilées par sexe), et le nombre de personnes condamnées et de procédures pénales (au stade du procès) closes devant les tribunaux de première instance. Le système permet également de collecter des données concernant le nombre de personnes condamnées et l</w:t>
      </w:r>
      <w:r w:rsidR="00DB0699" w:rsidRPr="002E4298">
        <w:rPr>
          <w:lang w:val="fr-FR" w:bidi="fr-FR"/>
        </w:rPr>
        <w:t>’</w:t>
      </w:r>
      <w:r w:rsidRPr="002E4298">
        <w:rPr>
          <w:lang w:val="fr-FR" w:bidi="fr-FR"/>
        </w:rPr>
        <w:t>identité de celles-ci (tribunaux de première</w:t>
      </w:r>
      <w:r w:rsidRPr="002E4298">
        <w:rPr>
          <w:vertAlign w:val="superscript"/>
          <w:lang w:val="fr-FR" w:bidi="fr-FR"/>
        </w:rPr>
        <w:t> </w:t>
      </w:r>
      <w:r w:rsidRPr="002E4298">
        <w:rPr>
          <w:lang w:val="fr-FR" w:bidi="fr-FR"/>
        </w:rPr>
        <w:t>instance), par type d</w:t>
      </w:r>
      <w:r w:rsidR="00DB0699" w:rsidRPr="002E4298">
        <w:rPr>
          <w:lang w:val="fr-FR" w:bidi="fr-FR"/>
        </w:rPr>
        <w:t>’</w:t>
      </w:r>
      <w:r w:rsidRPr="002E4298">
        <w:rPr>
          <w:lang w:val="fr-FR" w:bidi="fr-FR"/>
        </w:rPr>
        <w:t>homicide (données ventilés selon le contexte</w:t>
      </w:r>
      <w:r w:rsidR="00DB0699" w:rsidRPr="002E4298">
        <w:rPr>
          <w:lang w:val="fr-FR" w:bidi="fr-FR"/>
        </w:rPr>
        <w:t> :</w:t>
      </w:r>
      <w:r w:rsidRPr="002E4298">
        <w:rPr>
          <w:lang w:val="fr-FR" w:bidi="fr-FR"/>
        </w:rPr>
        <w:t xml:space="preserve"> violence exercée par un partenaire intime/autres situations).</w:t>
      </w:r>
    </w:p>
    <w:p w14:paraId="72A17B8D" w14:textId="14BA985C" w:rsidR="002B314F" w:rsidRPr="002E4298" w:rsidRDefault="002B314F" w:rsidP="00A11C35">
      <w:pPr>
        <w:pStyle w:val="SingleTxt"/>
        <w:numPr>
          <w:ilvl w:val="0"/>
          <w:numId w:val="5"/>
        </w:numPr>
        <w:spacing w:line="240" w:lineRule="exact"/>
        <w:ind w:left="1267"/>
        <w:rPr>
          <w:lang w:val="fr-FR"/>
        </w:rPr>
      </w:pPr>
      <w:r w:rsidRPr="002E4298">
        <w:rPr>
          <w:lang w:val="fr-FR" w:bidi="fr-FR"/>
        </w:rPr>
        <w:t>Le nouveau plan d</w:t>
      </w:r>
      <w:r w:rsidR="00DB0699" w:rsidRPr="002E4298">
        <w:rPr>
          <w:lang w:val="fr-FR" w:bidi="fr-FR"/>
        </w:rPr>
        <w:t>’</w:t>
      </w:r>
      <w:r w:rsidRPr="002E4298">
        <w:rPr>
          <w:lang w:val="fr-FR" w:bidi="fr-FR"/>
        </w:rPr>
        <w:t>action vise à améliorer les statistiques et les connaissances sur la violence à l</w:t>
      </w:r>
      <w:r w:rsidR="00DB0699" w:rsidRPr="002E4298">
        <w:rPr>
          <w:lang w:val="fr-FR" w:bidi="fr-FR"/>
        </w:rPr>
        <w:t>’</w:t>
      </w:r>
      <w:r w:rsidRPr="002E4298">
        <w:rPr>
          <w:lang w:val="fr-FR" w:bidi="fr-FR"/>
        </w:rPr>
        <w:t>égard des femmes et la violence domestique au moyen d</w:t>
      </w:r>
      <w:r w:rsidR="00DB0699" w:rsidRPr="002E4298">
        <w:rPr>
          <w:lang w:val="fr-FR" w:bidi="fr-FR"/>
        </w:rPr>
        <w:t>’</w:t>
      </w:r>
      <w:r w:rsidRPr="002E4298">
        <w:rPr>
          <w:lang w:val="fr-FR" w:bidi="fr-FR"/>
        </w:rPr>
        <w:t>indicateurs statistiques sectoriels créés à cet effet suivant une perspective intersectionnelle, d</w:t>
      </w:r>
      <w:r w:rsidR="00DB0699" w:rsidRPr="002E4298">
        <w:rPr>
          <w:lang w:val="fr-FR" w:bidi="fr-FR"/>
        </w:rPr>
        <w:t>’</w:t>
      </w:r>
      <w:r w:rsidRPr="002E4298">
        <w:rPr>
          <w:lang w:val="fr-FR" w:bidi="fr-FR"/>
        </w:rPr>
        <w:t>une enquête sur la violence fondée sur le genre, de la création de répertoires en ligne et de la promotion d</w:t>
      </w:r>
      <w:r w:rsidR="00DB0699" w:rsidRPr="002E4298">
        <w:rPr>
          <w:lang w:val="fr-FR" w:bidi="fr-FR"/>
        </w:rPr>
        <w:t>’</w:t>
      </w:r>
      <w:r w:rsidRPr="002E4298">
        <w:rPr>
          <w:lang w:val="fr-FR" w:bidi="fr-FR"/>
        </w:rPr>
        <w:t>études d</w:t>
      </w:r>
      <w:r w:rsidR="00DB0699" w:rsidRPr="002E4298">
        <w:rPr>
          <w:lang w:val="fr-FR" w:bidi="fr-FR"/>
        </w:rPr>
        <w:t>’</w:t>
      </w:r>
      <w:r w:rsidRPr="002E4298">
        <w:rPr>
          <w:lang w:val="fr-FR" w:bidi="fr-FR"/>
        </w:rPr>
        <w:t>évaluation.</w:t>
      </w:r>
    </w:p>
    <w:p w14:paraId="380DCF87" w14:textId="5573C78E" w:rsidR="002B314F" w:rsidRPr="002E4298" w:rsidRDefault="002B314F" w:rsidP="00A11C35">
      <w:pPr>
        <w:pStyle w:val="SingleTxt"/>
        <w:numPr>
          <w:ilvl w:val="0"/>
          <w:numId w:val="5"/>
        </w:numPr>
        <w:spacing w:line="240" w:lineRule="exact"/>
        <w:ind w:left="1267"/>
        <w:rPr>
          <w:lang w:val="fr-FR"/>
        </w:rPr>
      </w:pPr>
      <w:r w:rsidRPr="002E4298">
        <w:rPr>
          <w:lang w:val="fr-FR" w:bidi="fr-FR"/>
        </w:rPr>
        <w:t>La Division des statistiques de la Direction générale de la politique de la justice a mené une étude dans le but de déterminer d</w:t>
      </w:r>
      <w:r w:rsidR="00DB0699" w:rsidRPr="002E4298">
        <w:rPr>
          <w:lang w:val="fr-FR" w:bidi="fr-FR"/>
        </w:rPr>
        <w:t>’</w:t>
      </w:r>
      <w:r w:rsidRPr="002E4298">
        <w:rPr>
          <w:lang w:val="fr-FR" w:bidi="fr-FR"/>
        </w:rPr>
        <w:t>autres indicateurs pertinents afin de mieux comprendre les délits liés à la violence domestique et de mieux connaître les victimes, à savoir l</w:t>
      </w:r>
      <w:r w:rsidR="00DB0699" w:rsidRPr="002E4298">
        <w:rPr>
          <w:lang w:val="fr-FR" w:bidi="fr-FR"/>
        </w:rPr>
        <w:t>’</w:t>
      </w:r>
      <w:r w:rsidRPr="002E4298">
        <w:rPr>
          <w:lang w:val="fr-FR" w:bidi="fr-FR"/>
        </w:rPr>
        <w:t>âge et le sexe de la victime, et le fait de savoir celle-ci a obtenu ou non le statut de victime de violence domestique. Les modifications nécessaires du système de statistiques de la justice qui permettront la collecte de ces données ont été recensées et leur application est en cours d</w:t>
      </w:r>
      <w:r w:rsidR="00DB0699" w:rsidRPr="002E4298">
        <w:rPr>
          <w:lang w:val="fr-FR" w:bidi="fr-FR"/>
        </w:rPr>
        <w:t>’</w:t>
      </w:r>
      <w:r w:rsidRPr="002E4298">
        <w:rPr>
          <w:lang w:val="fr-FR" w:bidi="fr-FR"/>
        </w:rPr>
        <w:t>analyse.</w:t>
      </w:r>
    </w:p>
    <w:p w14:paraId="67C95941" w14:textId="55BB6D06" w:rsidR="00DB0699" w:rsidRPr="002E4298" w:rsidRDefault="002B314F" w:rsidP="00A11C35">
      <w:pPr>
        <w:pStyle w:val="SingleTxt"/>
        <w:numPr>
          <w:ilvl w:val="0"/>
          <w:numId w:val="5"/>
        </w:numPr>
        <w:spacing w:line="240" w:lineRule="exact"/>
        <w:ind w:left="1267"/>
        <w:rPr>
          <w:lang w:val="fr-FR" w:bidi="fr-FR"/>
        </w:rPr>
      </w:pPr>
      <w:r w:rsidRPr="002E4298">
        <w:rPr>
          <w:lang w:val="fr-FR" w:bidi="fr-FR"/>
        </w:rPr>
        <w:t>Enfin, en vertu de la résolution nº 139/2019 du Conseil des ministres, l</w:t>
      </w:r>
      <w:r w:rsidR="00DB0699" w:rsidRPr="002E4298">
        <w:rPr>
          <w:lang w:val="fr-FR" w:bidi="fr-FR"/>
        </w:rPr>
        <w:t>’</w:t>
      </w:r>
      <w:r w:rsidRPr="002E4298">
        <w:rPr>
          <w:lang w:val="fr-FR" w:bidi="fr-FR"/>
        </w:rPr>
        <w:t>amélioration, l</w:t>
      </w:r>
      <w:r w:rsidR="00DB0699" w:rsidRPr="002E4298">
        <w:rPr>
          <w:lang w:val="fr-FR" w:bidi="fr-FR"/>
        </w:rPr>
        <w:t>’</w:t>
      </w:r>
      <w:r w:rsidRPr="002E4298">
        <w:rPr>
          <w:lang w:val="fr-FR" w:bidi="fr-FR"/>
        </w:rPr>
        <w:t>harmonisation et la mise à jour permanente des données officielles sur la violence domestique et la violence à l</w:t>
      </w:r>
      <w:r w:rsidR="00DB0699" w:rsidRPr="002E4298">
        <w:rPr>
          <w:lang w:val="fr-FR" w:bidi="fr-FR"/>
        </w:rPr>
        <w:t>’</w:t>
      </w:r>
      <w:r w:rsidRPr="002E4298">
        <w:rPr>
          <w:lang w:val="fr-FR" w:bidi="fr-FR"/>
        </w:rPr>
        <w:t>égard des femmes constituent l</w:t>
      </w:r>
      <w:r w:rsidR="00DB0699" w:rsidRPr="002E4298">
        <w:rPr>
          <w:lang w:val="fr-FR" w:bidi="fr-FR"/>
        </w:rPr>
        <w:t>’</w:t>
      </w:r>
      <w:r w:rsidRPr="002E4298">
        <w:rPr>
          <w:lang w:val="fr-FR" w:bidi="fr-FR"/>
        </w:rPr>
        <w:t>un des axes prioritaires d</w:t>
      </w:r>
      <w:r w:rsidR="00DB0699" w:rsidRPr="002E4298">
        <w:rPr>
          <w:lang w:val="fr-FR" w:bidi="fr-FR"/>
        </w:rPr>
        <w:t>’</w:t>
      </w:r>
      <w:r w:rsidRPr="002E4298">
        <w:rPr>
          <w:lang w:val="fr-FR" w:bidi="fr-FR"/>
        </w:rPr>
        <w:t>intervention et nécessitent l</w:t>
      </w:r>
      <w:r w:rsidR="00DB0699" w:rsidRPr="002E4298">
        <w:rPr>
          <w:lang w:val="fr-FR" w:bidi="fr-FR"/>
        </w:rPr>
        <w:t>’</w:t>
      </w:r>
      <w:r w:rsidRPr="002E4298">
        <w:rPr>
          <w:lang w:val="fr-FR" w:bidi="fr-FR"/>
        </w:rPr>
        <w:t>action concertée de plusieurs ministères. Un groupe de travail a déjà été constitué et a commencé ses travaux à cet égard.</w:t>
      </w:r>
    </w:p>
    <w:p w14:paraId="34C2DA00" w14:textId="77777777" w:rsidR="00C31EE2" w:rsidRPr="002E4298" w:rsidRDefault="00C31EE2" w:rsidP="00C31EE2">
      <w:pPr>
        <w:pStyle w:val="SingleTxt"/>
        <w:spacing w:after="0" w:line="120" w:lineRule="exact"/>
        <w:rPr>
          <w:sz w:val="10"/>
          <w:lang w:val="fr-FR" w:bidi="fr-FR"/>
        </w:rPr>
      </w:pPr>
    </w:p>
    <w:p w14:paraId="029694A5" w14:textId="20B9FD32" w:rsidR="002B314F" w:rsidRPr="002E4298" w:rsidRDefault="002B314F" w:rsidP="00C31EE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2E4298">
        <w:rPr>
          <w:lang w:val="fr-FR" w:bidi="fr-FR"/>
        </w:rPr>
        <w:tab/>
      </w:r>
      <w:r w:rsidRPr="002E4298">
        <w:rPr>
          <w:lang w:val="fr-FR" w:bidi="fr-FR"/>
        </w:rPr>
        <w:tab/>
        <w:t>Mécanismes de plainte et accès à la justice</w:t>
      </w:r>
    </w:p>
    <w:p w14:paraId="1A331F37" w14:textId="36413DC0" w:rsidR="00C31EE2" w:rsidRPr="002E4298" w:rsidRDefault="00C31EE2" w:rsidP="00C31EE2">
      <w:pPr>
        <w:pStyle w:val="SingleTxt"/>
        <w:spacing w:after="0" w:line="120" w:lineRule="exact"/>
        <w:rPr>
          <w:sz w:val="10"/>
          <w:lang w:val="fr-FR" w:bidi="fr-FR"/>
        </w:rPr>
      </w:pPr>
    </w:p>
    <w:p w14:paraId="5A20F1F0" w14:textId="6927682D" w:rsidR="00DB0699" w:rsidRPr="002E4298" w:rsidRDefault="002B314F" w:rsidP="00A11C35">
      <w:pPr>
        <w:pStyle w:val="SingleTxt"/>
        <w:numPr>
          <w:ilvl w:val="0"/>
          <w:numId w:val="5"/>
        </w:numPr>
        <w:spacing w:line="240" w:lineRule="exact"/>
        <w:ind w:left="1267"/>
        <w:rPr>
          <w:lang w:val="fr-FR" w:bidi="fr-FR"/>
        </w:rPr>
      </w:pPr>
      <w:r w:rsidRPr="002E4298">
        <w:rPr>
          <w:lang w:val="fr-FR" w:bidi="fr-FR"/>
        </w:rPr>
        <w:t>La violence domestique est un délit public</w:t>
      </w:r>
      <w:r w:rsidR="00DB0699" w:rsidRPr="002E4298">
        <w:rPr>
          <w:lang w:val="fr-FR" w:bidi="fr-FR"/>
        </w:rPr>
        <w:t> :</w:t>
      </w:r>
      <w:r w:rsidRPr="002E4298">
        <w:rPr>
          <w:lang w:val="fr-FR" w:bidi="fr-FR"/>
        </w:rPr>
        <w:t xml:space="preserve"> toute personne peut la signaler aux autorités compétentes. Le signalement des cas violence domestique est encouragé de diverses manières</w:t>
      </w:r>
      <w:r w:rsidR="00DB0699" w:rsidRPr="002E4298">
        <w:rPr>
          <w:lang w:val="fr-FR" w:bidi="fr-FR"/>
        </w:rPr>
        <w:t> :</w:t>
      </w:r>
      <w:r w:rsidRPr="002E4298">
        <w:rPr>
          <w:lang w:val="fr-FR" w:bidi="fr-FR"/>
        </w:rPr>
        <w:t xml:space="preserve"> il existe une variété d</w:t>
      </w:r>
      <w:r w:rsidR="00DB0699" w:rsidRPr="002E4298">
        <w:rPr>
          <w:lang w:val="fr-FR" w:bidi="fr-FR"/>
        </w:rPr>
        <w:t>’</w:t>
      </w:r>
      <w:r w:rsidRPr="002E4298">
        <w:rPr>
          <w:lang w:val="fr-FR" w:bidi="fr-FR"/>
        </w:rPr>
        <w:t>entités publiques compétentes pour enregistrer les plaintes (la police, les services du Ministère public, d</w:t>
      </w:r>
      <w:r w:rsidR="00DB0699" w:rsidRPr="002E4298">
        <w:rPr>
          <w:lang w:val="fr-FR" w:bidi="fr-FR"/>
        </w:rPr>
        <w:t>’</w:t>
      </w:r>
      <w:r w:rsidRPr="002E4298">
        <w:rPr>
          <w:lang w:val="fr-FR" w:bidi="fr-FR"/>
        </w:rPr>
        <w:t>autres entités telles que le médiateur, lequel doit transmettre la plainte aux services du Ministère public)</w:t>
      </w:r>
      <w:r w:rsidR="00DB0699" w:rsidRPr="002E4298">
        <w:rPr>
          <w:lang w:val="fr-FR" w:bidi="fr-FR"/>
        </w:rPr>
        <w:t> ;</w:t>
      </w:r>
      <w:r w:rsidRPr="002E4298">
        <w:rPr>
          <w:lang w:val="fr-FR" w:bidi="fr-FR"/>
        </w:rPr>
        <w:t xml:space="preserve"> le signalement peut être effectué en personne ou en ligne</w:t>
      </w:r>
      <w:r w:rsidR="00DB0699" w:rsidRPr="002E4298">
        <w:rPr>
          <w:lang w:val="fr-FR" w:bidi="fr-FR"/>
        </w:rPr>
        <w:t> ;</w:t>
      </w:r>
      <w:r w:rsidRPr="002E4298">
        <w:rPr>
          <w:lang w:val="fr-FR" w:bidi="fr-FR"/>
        </w:rPr>
        <w:t xml:space="preserve"> récemment, une application relative à la violence domestique qui indique les entités compétentes ainsi que leurs coordonnées a été mise en service (voir ci-dessous)</w:t>
      </w:r>
      <w:r w:rsidR="00DB0699" w:rsidRPr="002E4298">
        <w:rPr>
          <w:lang w:val="fr-FR" w:bidi="fr-FR"/>
        </w:rPr>
        <w:t> ;</w:t>
      </w:r>
      <w:r w:rsidRPr="002E4298">
        <w:rPr>
          <w:lang w:val="fr-FR" w:bidi="fr-FR"/>
        </w:rPr>
        <w:t xml:space="preserve"> des informations sur le service d</w:t>
      </w:r>
      <w:r w:rsidR="00DB0699" w:rsidRPr="002E4298">
        <w:rPr>
          <w:lang w:val="fr-FR" w:bidi="fr-FR"/>
        </w:rPr>
        <w:t>’</w:t>
      </w:r>
      <w:r w:rsidRPr="002E4298">
        <w:rPr>
          <w:lang w:val="fr-FR" w:bidi="fr-FR"/>
        </w:rPr>
        <w:t>assistance de la Commission pour la citoyenneté et l</w:t>
      </w:r>
      <w:r w:rsidR="00DB0699" w:rsidRPr="002E4298">
        <w:rPr>
          <w:lang w:val="fr-FR" w:bidi="fr-FR"/>
        </w:rPr>
        <w:t>’</w:t>
      </w:r>
      <w:r w:rsidRPr="002E4298">
        <w:rPr>
          <w:lang w:val="fr-FR" w:bidi="fr-FR"/>
        </w:rPr>
        <w:t>égalité des genres et sur les services du réseau national d</w:t>
      </w:r>
      <w:r w:rsidR="00DB0699" w:rsidRPr="002E4298">
        <w:rPr>
          <w:lang w:val="fr-FR" w:bidi="fr-FR"/>
        </w:rPr>
        <w:t>’</w:t>
      </w:r>
      <w:r w:rsidRPr="002E4298">
        <w:rPr>
          <w:lang w:val="fr-FR" w:bidi="fr-FR"/>
        </w:rPr>
        <w:t xml:space="preserve">aide aux victimes de la violence domestique ont été diffusées dans le cadre de plusieurs campagnes au fil des ans. En outre, les représentants des autorités de police et les fonctionnaires qui prennent connaissance </w:t>
      </w:r>
      <w:r w:rsidRPr="002E4298">
        <w:rPr>
          <w:lang w:val="fr-FR" w:bidi="fr-FR"/>
        </w:rPr>
        <w:lastRenderedPageBreak/>
        <w:t>de la commission d</w:t>
      </w:r>
      <w:r w:rsidR="00DB0699" w:rsidRPr="002E4298">
        <w:rPr>
          <w:lang w:val="fr-FR" w:bidi="fr-FR"/>
        </w:rPr>
        <w:t>’</w:t>
      </w:r>
      <w:r w:rsidRPr="002E4298">
        <w:rPr>
          <w:lang w:val="fr-FR" w:bidi="fr-FR"/>
        </w:rPr>
        <w:t>un acte de violence domestique lorsqu</w:t>
      </w:r>
      <w:r w:rsidR="00DB0699" w:rsidRPr="002E4298">
        <w:rPr>
          <w:lang w:val="fr-FR" w:bidi="fr-FR"/>
        </w:rPr>
        <w:t>’</w:t>
      </w:r>
      <w:r w:rsidRPr="002E4298">
        <w:rPr>
          <w:lang w:val="fr-FR" w:bidi="fr-FR"/>
        </w:rPr>
        <w:t>ils exercent leurs fonctions sont tenus de le signaler.</w:t>
      </w:r>
    </w:p>
    <w:p w14:paraId="22598A77" w14:textId="27D4831B" w:rsidR="002B314F" w:rsidRPr="002E4298" w:rsidRDefault="002B314F" w:rsidP="00A11C35">
      <w:pPr>
        <w:pStyle w:val="SingleTxt"/>
        <w:numPr>
          <w:ilvl w:val="0"/>
          <w:numId w:val="5"/>
        </w:numPr>
        <w:spacing w:line="240" w:lineRule="exact"/>
        <w:ind w:left="1267"/>
        <w:rPr>
          <w:lang w:val="fr-FR"/>
        </w:rPr>
      </w:pPr>
      <w:r w:rsidRPr="002E4298">
        <w:rPr>
          <w:lang w:val="fr-FR" w:bidi="fr-FR"/>
        </w:rPr>
        <w:t>Le fait que la poursuite de l</w:t>
      </w:r>
      <w:r w:rsidR="00DB0699" w:rsidRPr="002E4298">
        <w:rPr>
          <w:lang w:val="fr-FR" w:bidi="fr-FR"/>
        </w:rPr>
        <w:t>’</w:t>
      </w:r>
      <w:r w:rsidRPr="002E4298">
        <w:rPr>
          <w:lang w:val="fr-FR" w:bidi="fr-FR"/>
        </w:rPr>
        <w:t>auteur de l</w:t>
      </w:r>
      <w:r w:rsidR="00DB0699" w:rsidRPr="002E4298">
        <w:rPr>
          <w:lang w:val="fr-FR" w:bidi="fr-FR"/>
        </w:rPr>
        <w:t>’</w:t>
      </w:r>
      <w:r w:rsidRPr="002E4298">
        <w:rPr>
          <w:lang w:val="fr-FR" w:bidi="fr-FR"/>
        </w:rPr>
        <w:t>infraction ne dépende pas du dépôt d</w:t>
      </w:r>
      <w:r w:rsidR="00DB0699" w:rsidRPr="002E4298">
        <w:rPr>
          <w:lang w:val="fr-FR" w:bidi="fr-FR"/>
        </w:rPr>
        <w:t>’</w:t>
      </w:r>
      <w:r w:rsidRPr="002E4298">
        <w:rPr>
          <w:lang w:val="fr-FR" w:bidi="fr-FR"/>
        </w:rPr>
        <w:t>une plainte par la victime est essentiel pour assurer la protection de la victime et prévenir une victimisation secondaire.</w:t>
      </w:r>
    </w:p>
    <w:p w14:paraId="6021C168" w14:textId="1EB666D9" w:rsidR="002B314F" w:rsidRPr="002E4298" w:rsidRDefault="002B314F" w:rsidP="00A11C35">
      <w:pPr>
        <w:pStyle w:val="SingleTxt"/>
        <w:numPr>
          <w:ilvl w:val="0"/>
          <w:numId w:val="5"/>
        </w:numPr>
        <w:spacing w:line="240" w:lineRule="exact"/>
        <w:ind w:left="1267"/>
        <w:rPr>
          <w:lang w:val="fr-FR"/>
        </w:rPr>
      </w:pPr>
      <w:r w:rsidRPr="002E4298">
        <w:rPr>
          <w:lang w:val="fr-FR" w:bidi="fr-FR"/>
        </w:rPr>
        <w:t>La loi nº 112/2009 garantit un accès effectif à la justice et prévoit la fourniture rapide de conseils juridiques à la victime ainsi que le traitement en urgence de la procédure de demande et d</w:t>
      </w:r>
      <w:r w:rsidR="00DB0699" w:rsidRPr="002E4298">
        <w:rPr>
          <w:lang w:val="fr-FR" w:bidi="fr-FR"/>
        </w:rPr>
        <w:t>’</w:t>
      </w:r>
      <w:r w:rsidRPr="002E4298">
        <w:rPr>
          <w:lang w:val="fr-FR" w:bidi="fr-FR"/>
        </w:rPr>
        <w:t>octroi de l</w:t>
      </w:r>
      <w:r w:rsidR="00DB0699" w:rsidRPr="002E4298">
        <w:rPr>
          <w:lang w:val="fr-FR" w:bidi="fr-FR"/>
        </w:rPr>
        <w:t>’</w:t>
      </w:r>
      <w:r w:rsidRPr="002E4298">
        <w:rPr>
          <w:lang w:val="fr-FR" w:bidi="fr-FR"/>
        </w:rPr>
        <w:t>aide juridictionnelle. Les victimes de violence domestique sont dispensées du paiement des frais de justice encourus dans le cadre de la procédure pénale</w:t>
      </w:r>
      <w:r w:rsidRPr="002E4298">
        <w:rPr>
          <w:vertAlign w:val="superscript"/>
          <w:lang w:val="fr-FR" w:bidi="fr-FR"/>
        </w:rPr>
        <w:footnoteReference w:id="14"/>
      </w:r>
      <w:r w:rsidRPr="002E4298">
        <w:rPr>
          <w:lang w:val="fr-FR" w:bidi="fr-FR"/>
        </w:rPr>
        <w:t>.</w:t>
      </w:r>
    </w:p>
    <w:p w14:paraId="0A05AC3E" w14:textId="5694439C" w:rsidR="002B314F" w:rsidRPr="002E4298" w:rsidRDefault="002B314F" w:rsidP="00A11C35">
      <w:pPr>
        <w:pStyle w:val="SingleTxt"/>
        <w:numPr>
          <w:ilvl w:val="0"/>
          <w:numId w:val="5"/>
        </w:numPr>
        <w:spacing w:line="240" w:lineRule="exact"/>
        <w:ind w:left="1267"/>
        <w:rPr>
          <w:lang w:val="fr-FR"/>
        </w:rPr>
      </w:pPr>
      <w:r w:rsidRPr="002E4298">
        <w:rPr>
          <w:lang w:val="fr-FR" w:bidi="fr-FR"/>
        </w:rPr>
        <w:t>La loi nº 112/2009 prévoit par ailleurs la création de bureaux d</w:t>
      </w:r>
      <w:r w:rsidR="00DB0699" w:rsidRPr="002E4298">
        <w:rPr>
          <w:lang w:val="fr-FR" w:bidi="fr-FR"/>
        </w:rPr>
        <w:t>’</w:t>
      </w:r>
      <w:r w:rsidRPr="002E4298">
        <w:rPr>
          <w:lang w:val="fr-FR" w:bidi="fr-FR"/>
        </w:rPr>
        <w:t>aide aux victimes dans les postes de police et, dans la mesure du possible, dans les bureaux des services du procureur des circonscriptions judiciaires, qui apportent en permanence une réponse personnalisée aux cas des victimes, notamment en ce qui concerne l</w:t>
      </w:r>
      <w:r w:rsidR="00DB0699" w:rsidRPr="002E4298">
        <w:rPr>
          <w:lang w:val="fr-FR" w:bidi="fr-FR"/>
        </w:rPr>
        <w:t>’</w:t>
      </w:r>
      <w:r w:rsidRPr="002E4298">
        <w:rPr>
          <w:lang w:val="fr-FR" w:bidi="fr-FR"/>
        </w:rPr>
        <w:t>accueil, l</w:t>
      </w:r>
      <w:r w:rsidR="00DB0699" w:rsidRPr="002E4298">
        <w:rPr>
          <w:lang w:val="fr-FR" w:bidi="fr-FR"/>
        </w:rPr>
        <w:t>’</w:t>
      </w:r>
      <w:r w:rsidRPr="002E4298">
        <w:rPr>
          <w:lang w:val="fr-FR" w:bidi="fr-FR"/>
        </w:rPr>
        <w:t>information, le soutien et le suivi. Les postes de police disposent déjà de tels bureaux. Récemment, des bureaux d</w:t>
      </w:r>
      <w:r w:rsidR="00DB0699" w:rsidRPr="002E4298">
        <w:rPr>
          <w:lang w:val="fr-FR" w:bidi="fr-FR"/>
        </w:rPr>
        <w:t>’</w:t>
      </w:r>
      <w:r w:rsidRPr="002E4298">
        <w:rPr>
          <w:lang w:val="fr-FR" w:bidi="fr-FR"/>
        </w:rPr>
        <w:t xml:space="preserve">aide aux victimes ont été créés dans les </w:t>
      </w:r>
      <w:r w:rsidR="003C7963" w:rsidRPr="002E4298">
        <w:rPr>
          <w:lang w:val="fr-FR" w:bidi="fr-FR"/>
        </w:rPr>
        <w:t xml:space="preserve">six </w:t>
      </w:r>
      <w:r w:rsidRPr="002E4298">
        <w:rPr>
          <w:lang w:val="fr-FR" w:bidi="fr-FR"/>
        </w:rPr>
        <w:t>circonscriptions judiciaires dans lesquelles le plus grand nombre d</w:t>
      </w:r>
      <w:r w:rsidR="00DB0699" w:rsidRPr="002E4298">
        <w:rPr>
          <w:lang w:val="fr-FR" w:bidi="fr-FR"/>
        </w:rPr>
        <w:t>’</w:t>
      </w:r>
      <w:r w:rsidRPr="002E4298">
        <w:rPr>
          <w:lang w:val="fr-FR" w:bidi="fr-FR"/>
        </w:rPr>
        <w:t>affaires de violence domestique ou fondée sur le genre</w:t>
      </w:r>
      <w:r w:rsidRPr="002E4298" w:rsidDel="0045507A">
        <w:rPr>
          <w:lang w:val="fr-FR" w:bidi="fr-FR"/>
        </w:rPr>
        <w:t xml:space="preserve"> </w:t>
      </w:r>
      <w:r w:rsidRPr="002E4298">
        <w:rPr>
          <w:lang w:val="fr-FR" w:bidi="fr-FR"/>
        </w:rPr>
        <w:t xml:space="preserve">est enregistré. Les bureaux ont été créés grâce à un protocole associant le Ministère de la justice, le Bureau du procureur général et </w:t>
      </w:r>
      <w:r w:rsidR="003E7581" w:rsidRPr="002E4298">
        <w:rPr>
          <w:lang w:val="fr-FR" w:bidi="fr-FR"/>
        </w:rPr>
        <w:t xml:space="preserve">trois </w:t>
      </w:r>
      <w:r w:rsidRPr="002E4298">
        <w:rPr>
          <w:lang w:val="fr-FR" w:bidi="fr-FR"/>
        </w:rPr>
        <w:t>ONG spécialisées dans ce type d</w:t>
      </w:r>
      <w:r w:rsidR="00DB0699" w:rsidRPr="002E4298">
        <w:rPr>
          <w:lang w:val="fr-FR" w:bidi="fr-FR"/>
        </w:rPr>
        <w:t>’</w:t>
      </w:r>
      <w:r w:rsidRPr="002E4298">
        <w:rPr>
          <w:lang w:val="fr-FR" w:bidi="fr-FR"/>
        </w:rPr>
        <w:t>intervention.</w:t>
      </w:r>
    </w:p>
    <w:p w14:paraId="2099D8B5" w14:textId="10F29B08" w:rsidR="00DB0699" w:rsidRPr="002E4298" w:rsidRDefault="002B314F" w:rsidP="00A11C35">
      <w:pPr>
        <w:pStyle w:val="SingleTxt"/>
        <w:numPr>
          <w:ilvl w:val="0"/>
          <w:numId w:val="5"/>
        </w:numPr>
        <w:spacing w:line="240" w:lineRule="exact"/>
        <w:ind w:left="1267"/>
        <w:rPr>
          <w:lang w:val="fr-FR" w:bidi="fr-FR"/>
        </w:rPr>
      </w:pPr>
      <w:r w:rsidRPr="002E4298">
        <w:rPr>
          <w:lang w:val="fr-FR" w:bidi="fr-FR"/>
        </w:rPr>
        <w:t>Les victimes ont le droit d</w:t>
      </w:r>
      <w:r w:rsidR="00DB0699" w:rsidRPr="002E4298">
        <w:rPr>
          <w:lang w:val="fr-FR" w:bidi="fr-FR"/>
        </w:rPr>
        <w:t>’</w:t>
      </w:r>
      <w:r w:rsidRPr="002E4298">
        <w:rPr>
          <w:lang w:val="fr-FR" w:bidi="fr-FR"/>
        </w:rPr>
        <w:t>être entendues dans un environnement informel et privé et dans des conditions qui garantissent la prévention de la victimisation secondaire.</w:t>
      </w:r>
    </w:p>
    <w:p w14:paraId="39976BC9" w14:textId="46322FD6" w:rsidR="00DB0699" w:rsidRPr="002E4298" w:rsidRDefault="002B314F" w:rsidP="00A11C35">
      <w:pPr>
        <w:pStyle w:val="SingleTxt"/>
        <w:numPr>
          <w:ilvl w:val="0"/>
          <w:numId w:val="5"/>
        </w:numPr>
        <w:spacing w:line="240" w:lineRule="exact"/>
        <w:ind w:left="1267"/>
        <w:rPr>
          <w:lang w:val="fr-FR" w:bidi="fr-FR"/>
        </w:rPr>
      </w:pPr>
      <w:r w:rsidRPr="002E4298">
        <w:rPr>
          <w:lang w:val="fr-FR" w:bidi="fr-FR"/>
        </w:rPr>
        <w:t>Sous réserve des règles de procédure pénale applicables, les victimes peuvent également coopérer avec le Ministère public dans le cadre de la procédure et s</w:t>
      </w:r>
      <w:r w:rsidR="00DB0699" w:rsidRPr="002E4298">
        <w:rPr>
          <w:lang w:val="fr-FR" w:bidi="fr-FR"/>
        </w:rPr>
        <w:t>’</w:t>
      </w:r>
      <w:r w:rsidRPr="002E4298">
        <w:rPr>
          <w:lang w:val="fr-FR" w:bidi="fr-FR"/>
        </w:rPr>
        <w:t>opposer à une décision de clôture de l</w:t>
      </w:r>
      <w:r w:rsidR="00DB0699" w:rsidRPr="002E4298">
        <w:rPr>
          <w:lang w:val="fr-FR" w:bidi="fr-FR"/>
        </w:rPr>
        <w:t>’</w:t>
      </w:r>
      <w:r w:rsidRPr="002E4298">
        <w:rPr>
          <w:lang w:val="fr-FR" w:bidi="fr-FR"/>
        </w:rPr>
        <w:t>affaire.</w:t>
      </w:r>
    </w:p>
    <w:p w14:paraId="7BC7E43C" w14:textId="77777777" w:rsidR="00C31EE2" w:rsidRPr="002E4298" w:rsidRDefault="00C31EE2" w:rsidP="00C31EE2">
      <w:pPr>
        <w:pStyle w:val="SingleTxt"/>
        <w:spacing w:after="0" w:line="120" w:lineRule="exact"/>
        <w:rPr>
          <w:sz w:val="10"/>
          <w:lang w:val="fr-FR" w:bidi="fr-FR"/>
        </w:rPr>
      </w:pPr>
    </w:p>
    <w:p w14:paraId="28FE6846" w14:textId="4B2156CA" w:rsidR="002B314F" w:rsidRPr="002E4298" w:rsidRDefault="002B314F" w:rsidP="00C31EE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2E4298">
        <w:rPr>
          <w:lang w:val="fr-FR" w:bidi="fr-FR"/>
        </w:rPr>
        <w:tab/>
      </w:r>
      <w:r w:rsidRPr="002E4298">
        <w:rPr>
          <w:lang w:val="fr-FR" w:bidi="fr-FR"/>
        </w:rPr>
        <w:tab/>
        <w:t>Accès à la protection</w:t>
      </w:r>
    </w:p>
    <w:p w14:paraId="590B5534" w14:textId="22D09338" w:rsidR="00C31EE2" w:rsidRPr="002E4298" w:rsidRDefault="00C31EE2" w:rsidP="00C31EE2">
      <w:pPr>
        <w:pStyle w:val="SingleTxt"/>
        <w:spacing w:after="0" w:line="120" w:lineRule="exact"/>
        <w:rPr>
          <w:sz w:val="10"/>
          <w:lang w:val="fr-FR" w:bidi="fr-FR"/>
        </w:rPr>
      </w:pPr>
    </w:p>
    <w:p w14:paraId="2E656829" w14:textId="15501005" w:rsidR="00DB0699" w:rsidRPr="002E4298" w:rsidRDefault="002B314F" w:rsidP="00A11C35">
      <w:pPr>
        <w:pStyle w:val="SingleTxt"/>
        <w:numPr>
          <w:ilvl w:val="0"/>
          <w:numId w:val="5"/>
        </w:numPr>
        <w:spacing w:line="240" w:lineRule="exact"/>
        <w:ind w:left="1267"/>
        <w:rPr>
          <w:lang w:val="fr-FR" w:bidi="fr-FR"/>
        </w:rPr>
      </w:pPr>
      <w:r w:rsidRPr="002E4298">
        <w:rPr>
          <w:lang w:val="fr-FR" w:bidi="fr-FR"/>
        </w:rPr>
        <w:t>Suite à une plainte officielle, les victimes se voient accorder à la fois le statut de victime de violence domestique (tel qu</w:t>
      </w:r>
      <w:r w:rsidR="00DB0699" w:rsidRPr="002E4298">
        <w:rPr>
          <w:lang w:val="fr-FR" w:bidi="fr-FR"/>
        </w:rPr>
        <w:t>’</w:t>
      </w:r>
      <w:r w:rsidRPr="002E4298">
        <w:rPr>
          <w:lang w:val="fr-FR" w:bidi="fr-FR"/>
        </w:rPr>
        <w:t xml:space="preserve">établi par la loi nº 112/2009) et celui de victime particulièrement vulnérable (tel que prévu par la loi nº 130/2015 </w:t>
      </w:r>
      <w:r w:rsidR="003E7581" w:rsidRPr="002E4298">
        <w:rPr>
          <w:lang w:val="fr-FR" w:bidi="fr-FR"/>
        </w:rPr>
        <w:t xml:space="preserve">du </w:t>
      </w:r>
      <w:r w:rsidRPr="002E4298">
        <w:rPr>
          <w:lang w:val="fr-FR" w:bidi="fr-FR"/>
        </w:rPr>
        <w:t>4 septembre</w:t>
      </w:r>
      <w:r w:rsidR="00B23B6D" w:rsidRPr="002E4298">
        <w:rPr>
          <w:lang w:val="fr-FR" w:bidi="fr-FR"/>
        </w:rPr>
        <w:t xml:space="preserve"> 20</w:t>
      </w:r>
      <w:r w:rsidRPr="002E4298">
        <w:rPr>
          <w:lang w:val="fr-FR" w:bidi="fr-FR"/>
        </w:rPr>
        <w:t>15). Ces statuts confèrent aux victimes un ensemble de droits tant procéduraux que matériels qui garantissent leur protection et préviennent une victimisation secondaire.</w:t>
      </w:r>
    </w:p>
    <w:p w14:paraId="237536A4" w14:textId="3B8354C0" w:rsidR="00DB0699" w:rsidRPr="002E4298" w:rsidRDefault="002B314F" w:rsidP="00A11C35">
      <w:pPr>
        <w:pStyle w:val="SingleTxt"/>
        <w:numPr>
          <w:ilvl w:val="0"/>
          <w:numId w:val="5"/>
        </w:numPr>
        <w:spacing w:line="240" w:lineRule="exact"/>
        <w:ind w:left="1267"/>
        <w:rPr>
          <w:lang w:val="fr-FR" w:bidi="fr-FR"/>
        </w:rPr>
      </w:pPr>
      <w:r w:rsidRPr="002E4298">
        <w:rPr>
          <w:lang w:val="fr-FR" w:bidi="fr-FR"/>
        </w:rPr>
        <w:t>Lorsqu</w:t>
      </w:r>
      <w:r w:rsidR="00DB0699" w:rsidRPr="002E4298">
        <w:rPr>
          <w:lang w:val="fr-FR" w:bidi="fr-FR"/>
        </w:rPr>
        <w:t>’</w:t>
      </w:r>
      <w:r w:rsidRPr="002E4298">
        <w:rPr>
          <w:lang w:val="fr-FR" w:bidi="fr-FR"/>
        </w:rPr>
        <w:t>elles enregistrent une plainte pour violence domestique, les autorités de police sont tenues de procéder à une évaluation des risques afin de définir les mesures de protection pertinentes. Il peut s</w:t>
      </w:r>
      <w:r w:rsidR="00DB0699" w:rsidRPr="002E4298">
        <w:rPr>
          <w:lang w:val="fr-FR" w:bidi="fr-FR"/>
        </w:rPr>
        <w:t>’</w:t>
      </w:r>
      <w:r w:rsidRPr="002E4298">
        <w:rPr>
          <w:lang w:val="fr-FR" w:bidi="fr-FR"/>
        </w:rPr>
        <w:t>agir d</w:t>
      </w:r>
      <w:r w:rsidR="00DB0699" w:rsidRPr="002E4298">
        <w:rPr>
          <w:lang w:val="fr-FR" w:bidi="fr-FR"/>
        </w:rPr>
        <w:t>’</w:t>
      </w:r>
      <w:r w:rsidRPr="002E4298">
        <w:rPr>
          <w:lang w:val="fr-FR" w:bidi="fr-FR"/>
        </w:rPr>
        <w:t>élaborer un plan de sécurité pour la victime assorti de conseils spécifiques pour assurer la sécurité personnelle de celle-ci, de signaler la victime au programme de protection par téléassistance, d</w:t>
      </w:r>
      <w:r w:rsidR="00DB0699" w:rsidRPr="002E4298">
        <w:rPr>
          <w:lang w:val="fr-FR" w:bidi="fr-FR"/>
        </w:rPr>
        <w:t>’</w:t>
      </w:r>
      <w:r w:rsidRPr="002E4298">
        <w:rPr>
          <w:lang w:val="fr-FR" w:bidi="fr-FR"/>
        </w:rPr>
        <w:t>orienter la victime vers des mécanismes de soutien et, éventuellement, des hébergements d</w:t>
      </w:r>
      <w:r w:rsidR="00DB0699" w:rsidRPr="002E4298">
        <w:rPr>
          <w:lang w:val="fr-FR" w:bidi="fr-FR"/>
        </w:rPr>
        <w:t>’</w:t>
      </w:r>
      <w:r w:rsidRPr="002E4298">
        <w:rPr>
          <w:lang w:val="fr-FR" w:bidi="fr-FR"/>
        </w:rPr>
        <w:t>urgence, de signaler le cas à la Commission nationale pour la promotion des droits et la protection des enfants et des jeunes (CNPDCJ) lorsque des enfants sont impliqués, d</w:t>
      </w:r>
      <w:r w:rsidR="00DB0699" w:rsidRPr="002E4298">
        <w:rPr>
          <w:lang w:val="fr-FR" w:bidi="fr-FR"/>
        </w:rPr>
        <w:t>’</w:t>
      </w:r>
      <w:r w:rsidRPr="002E4298">
        <w:rPr>
          <w:lang w:val="fr-FR" w:bidi="fr-FR"/>
        </w:rPr>
        <w:t>établir des contacts périodiques avec la victime, ou de renforcer les patrouilles dans la zone de résidence de la victime. La police peut également proposer que le Parquet demande au tribunal d</w:t>
      </w:r>
      <w:r w:rsidR="00DB0699" w:rsidRPr="002E4298">
        <w:rPr>
          <w:lang w:val="fr-FR" w:bidi="fr-FR"/>
        </w:rPr>
        <w:t>’</w:t>
      </w:r>
      <w:r w:rsidRPr="002E4298">
        <w:rPr>
          <w:lang w:val="fr-FR" w:bidi="fr-FR"/>
        </w:rPr>
        <w:t>imposer des mesures de contrainte à l</w:t>
      </w:r>
      <w:r w:rsidR="00DB0699" w:rsidRPr="002E4298">
        <w:rPr>
          <w:lang w:val="fr-FR" w:bidi="fr-FR"/>
        </w:rPr>
        <w:t>’</w:t>
      </w:r>
      <w:r w:rsidRPr="002E4298">
        <w:rPr>
          <w:lang w:val="fr-FR" w:bidi="fr-FR"/>
        </w:rPr>
        <w:t>auteur des faits.</w:t>
      </w:r>
    </w:p>
    <w:p w14:paraId="4F6EB4F4" w14:textId="385727C9" w:rsidR="002B314F" w:rsidRPr="002E4298" w:rsidRDefault="002B314F" w:rsidP="00A11C35">
      <w:pPr>
        <w:pStyle w:val="SingleTxt"/>
        <w:numPr>
          <w:ilvl w:val="0"/>
          <w:numId w:val="5"/>
        </w:numPr>
        <w:spacing w:line="240" w:lineRule="exact"/>
        <w:ind w:left="1267"/>
        <w:rPr>
          <w:lang w:val="fr-FR"/>
        </w:rPr>
      </w:pPr>
      <w:r w:rsidRPr="002E4298">
        <w:rPr>
          <w:lang w:val="fr-FR" w:bidi="fr-FR"/>
        </w:rPr>
        <w:lastRenderedPageBreak/>
        <w:t>Toute plainte pour violence domestique est immédiatement transmise au Parquet pour l</w:t>
      </w:r>
      <w:r w:rsidR="00DB0699" w:rsidRPr="002E4298">
        <w:rPr>
          <w:lang w:val="fr-FR" w:bidi="fr-FR"/>
        </w:rPr>
        <w:t>’</w:t>
      </w:r>
      <w:r w:rsidRPr="002E4298">
        <w:rPr>
          <w:lang w:val="fr-FR" w:bidi="fr-FR"/>
        </w:rPr>
        <w:t>ouverture d</w:t>
      </w:r>
      <w:r w:rsidR="00DB0699" w:rsidRPr="002E4298">
        <w:rPr>
          <w:lang w:val="fr-FR" w:bidi="fr-FR"/>
        </w:rPr>
        <w:t>’</w:t>
      </w:r>
      <w:r w:rsidRPr="002E4298">
        <w:rPr>
          <w:lang w:val="fr-FR" w:bidi="fr-FR"/>
        </w:rPr>
        <w:t>une enquête pénale, accompagnée de l</w:t>
      </w:r>
      <w:r w:rsidR="00DB0699" w:rsidRPr="002E4298">
        <w:rPr>
          <w:lang w:val="fr-FR" w:bidi="fr-FR"/>
        </w:rPr>
        <w:t>’</w:t>
      </w:r>
      <w:r w:rsidRPr="002E4298">
        <w:rPr>
          <w:lang w:val="fr-FR" w:bidi="fr-FR"/>
        </w:rPr>
        <w:t>évaluation des risques susmentionnée. Les procureurs doivent également veiller à analyser minutieusement les risques et à remplir les formulaires d</w:t>
      </w:r>
      <w:r w:rsidR="00DB0699" w:rsidRPr="002E4298">
        <w:rPr>
          <w:lang w:val="fr-FR" w:bidi="fr-FR"/>
        </w:rPr>
        <w:t>’</w:t>
      </w:r>
      <w:r w:rsidRPr="002E4298">
        <w:rPr>
          <w:lang w:val="fr-FR" w:bidi="fr-FR"/>
        </w:rPr>
        <w:t>évaluation des risques, ainsi qu</w:t>
      </w:r>
      <w:r w:rsidR="00DB0699" w:rsidRPr="002E4298">
        <w:rPr>
          <w:lang w:val="fr-FR" w:bidi="fr-FR"/>
        </w:rPr>
        <w:t>’</w:t>
      </w:r>
      <w:r w:rsidRPr="002E4298">
        <w:rPr>
          <w:lang w:val="fr-FR" w:bidi="fr-FR"/>
        </w:rPr>
        <w:t>à s</w:t>
      </w:r>
      <w:r w:rsidR="00DB0699" w:rsidRPr="002E4298">
        <w:rPr>
          <w:lang w:val="fr-FR" w:bidi="fr-FR"/>
        </w:rPr>
        <w:t>’</w:t>
      </w:r>
      <w:r w:rsidRPr="002E4298">
        <w:rPr>
          <w:lang w:val="fr-FR" w:bidi="fr-FR"/>
        </w:rPr>
        <w:t>enquérir de l</w:t>
      </w:r>
      <w:r w:rsidR="00DB0699" w:rsidRPr="002E4298">
        <w:rPr>
          <w:lang w:val="fr-FR" w:bidi="fr-FR"/>
        </w:rPr>
        <w:t>’</w:t>
      </w:r>
      <w:r w:rsidRPr="002E4298">
        <w:rPr>
          <w:lang w:val="fr-FR" w:bidi="fr-FR"/>
        </w:rPr>
        <w:t>existence d</w:t>
      </w:r>
      <w:r w:rsidR="00DB0699" w:rsidRPr="002E4298">
        <w:rPr>
          <w:lang w:val="fr-FR" w:bidi="fr-FR"/>
        </w:rPr>
        <w:t>’</w:t>
      </w:r>
      <w:r w:rsidRPr="002E4298">
        <w:rPr>
          <w:lang w:val="fr-FR" w:bidi="fr-FR"/>
        </w:rPr>
        <w:t>infractions antérieures, afin d</w:t>
      </w:r>
      <w:r w:rsidR="00DB0699" w:rsidRPr="002E4298">
        <w:rPr>
          <w:lang w:val="fr-FR" w:bidi="fr-FR"/>
        </w:rPr>
        <w:t>’</w:t>
      </w:r>
      <w:r w:rsidRPr="002E4298">
        <w:rPr>
          <w:lang w:val="fr-FR" w:bidi="fr-FR"/>
        </w:rPr>
        <w:t>évaluer pleinement les demandes de protection de la victime et d</w:t>
      </w:r>
      <w:r w:rsidR="00DB0699" w:rsidRPr="002E4298">
        <w:rPr>
          <w:lang w:val="fr-FR" w:bidi="fr-FR"/>
        </w:rPr>
        <w:t>’</w:t>
      </w:r>
      <w:r w:rsidRPr="002E4298">
        <w:rPr>
          <w:lang w:val="fr-FR" w:bidi="fr-FR"/>
        </w:rPr>
        <w:t>ordonner l</w:t>
      </w:r>
      <w:r w:rsidR="00DB0699" w:rsidRPr="002E4298">
        <w:rPr>
          <w:lang w:val="fr-FR" w:bidi="fr-FR"/>
        </w:rPr>
        <w:t>’</w:t>
      </w:r>
      <w:r w:rsidRPr="002E4298">
        <w:rPr>
          <w:lang w:val="fr-FR" w:bidi="fr-FR"/>
        </w:rPr>
        <w:t>application des mesures nécessaires.</w:t>
      </w:r>
    </w:p>
    <w:p w14:paraId="6520D4FF" w14:textId="029E224A" w:rsidR="002B314F" w:rsidRPr="002E4298" w:rsidRDefault="002B314F" w:rsidP="00A11C35">
      <w:pPr>
        <w:pStyle w:val="SingleTxt"/>
        <w:numPr>
          <w:ilvl w:val="0"/>
          <w:numId w:val="5"/>
        </w:numPr>
        <w:spacing w:line="240" w:lineRule="exact"/>
        <w:ind w:left="1267"/>
        <w:rPr>
          <w:lang w:val="fr-FR"/>
        </w:rPr>
      </w:pPr>
      <w:r w:rsidRPr="002E4298">
        <w:rPr>
          <w:lang w:val="fr-FR" w:bidi="fr-FR"/>
        </w:rPr>
        <w:t>L</w:t>
      </w:r>
      <w:r w:rsidR="00DB0699" w:rsidRPr="002E4298">
        <w:rPr>
          <w:lang w:val="fr-FR" w:bidi="fr-FR"/>
        </w:rPr>
        <w:t>’</w:t>
      </w:r>
      <w:r w:rsidRPr="002E4298">
        <w:rPr>
          <w:lang w:val="fr-FR" w:bidi="fr-FR"/>
        </w:rPr>
        <w:t>amélioration des mécanismes utilisés par les forces de police dans les 72 heures suivant le dépôt d</w:t>
      </w:r>
      <w:r w:rsidR="00DB0699" w:rsidRPr="002E4298">
        <w:rPr>
          <w:lang w:val="fr-FR" w:bidi="fr-FR"/>
        </w:rPr>
        <w:t>’</w:t>
      </w:r>
      <w:r w:rsidRPr="002E4298">
        <w:rPr>
          <w:lang w:val="fr-FR" w:bidi="fr-FR"/>
        </w:rPr>
        <w:t>une plainte est l</w:t>
      </w:r>
      <w:r w:rsidR="00DB0699" w:rsidRPr="002E4298">
        <w:rPr>
          <w:lang w:val="fr-FR" w:bidi="fr-FR"/>
        </w:rPr>
        <w:t>’</w:t>
      </w:r>
      <w:r w:rsidRPr="002E4298">
        <w:rPr>
          <w:lang w:val="fr-FR" w:bidi="fr-FR"/>
        </w:rPr>
        <w:t>un des axes prioritaires établis par la résolution nº 139/2019. Les mesures suivantes sont prévues à cet effet</w:t>
      </w:r>
      <w:r w:rsidR="00DB0699" w:rsidRPr="002E4298">
        <w:rPr>
          <w:lang w:val="fr-FR" w:bidi="fr-FR"/>
        </w:rPr>
        <w:t> :</w:t>
      </w:r>
      <w:r w:rsidRPr="002E4298">
        <w:rPr>
          <w:lang w:val="fr-FR" w:bidi="fr-FR"/>
        </w:rPr>
        <w:t xml:space="preserve"> l</w:t>
      </w:r>
      <w:r w:rsidR="00DB0699" w:rsidRPr="002E4298">
        <w:rPr>
          <w:lang w:val="fr-FR" w:bidi="fr-FR"/>
        </w:rPr>
        <w:t>’</w:t>
      </w:r>
      <w:r w:rsidRPr="002E4298">
        <w:rPr>
          <w:lang w:val="fr-FR" w:bidi="fr-FR"/>
        </w:rPr>
        <w:t>élaboration d</w:t>
      </w:r>
      <w:r w:rsidR="00DB0699" w:rsidRPr="002E4298">
        <w:rPr>
          <w:lang w:val="fr-FR" w:bidi="fr-FR"/>
        </w:rPr>
        <w:t>’</w:t>
      </w:r>
      <w:r w:rsidRPr="002E4298">
        <w:rPr>
          <w:lang w:val="fr-FR" w:bidi="fr-FR"/>
        </w:rPr>
        <w:t>un manuel par la garde nationale républicaine, la police de sécurité publique et la police judiciaire, en coopération avec le Centre d</w:t>
      </w:r>
      <w:r w:rsidR="00DB0699" w:rsidRPr="002E4298">
        <w:rPr>
          <w:lang w:val="fr-FR" w:bidi="fr-FR"/>
        </w:rPr>
        <w:t>’</w:t>
      </w:r>
      <w:r w:rsidRPr="002E4298">
        <w:rPr>
          <w:lang w:val="fr-FR" w:bidi="fr-FR"/>
        </w:rPr>
        <w:t>études judiciaires et le Bureau du procureur général, la révision des formulaires de signalement d</w:t>
      </w:r>
      <w:r w:rsidR="00DB0699" w:rsidRPr="002E4298">
        <w:rPr>
          <w:lang w:val="fr-FR" w:bidi="fr-FR"/>
        </w:rPr>
        <w:t>’</w:t>
      </w:r>
      <w:r w:rsidRPr="002E4298">
        <w:rPr>
          <w:lang w:val="fr-FR" w:bidi="fr-FR"/>
        </w:rPr>
        <w:t>actes de violence domestique et des modèles accordant le statut de victime, la création de réseaux d</w:t>
      </w:r>
      <w:r w:rsidR="00DB0699" w:rsidRPr="002E4298">
        <w:rPr>
          <w:lang w:val="fr-FR" w:bidi="fr-FR"/>
        </w:rPr>
        <w:t>’</w:t>
      </w:r>
      <w:r w:rsidRPr="002E4298">
        <w:rPr>
          <w:lang w:val="fr-FR" w:bidi="fr-FR"/>
        </w:rPr>
        <w:t>intervention d</w:t>
      </w:r>
      <w:r w:rsidR="00DB0699" w:rsidRPr="002E4298">
        <w:rPr>
          <w:lang w:val="fr-FR" w:bidi="fr-FR"/>
        </w:rPr>
        <w:t>’</w:t>
      </w:r>
      <w:r w:rsidRPr="002E4298">
        <w:rPr>
          <w:lang w:val="fr-FR" w:bidi="fr-FR"/>
        </w:rPr>
        <w:t>urgence au moyen de projets pilotes, l</w:t>
      </w:r>
      <w:r w:rsidR="00DB0699" w:rsidRPr="002E4298">
        <w:rPr>
          <w:lang w:val="fr-FR" w:bidi="fr-FR"/>
        </w:rPr>
        <w:t>’</w:t>
      </w:r>
      <w:r w:rsidRPr="002E4298">
        <w:rPr>
          <w:lang w:val="fr-FR" w:bidi="fr-FR"/>
        </w:rPr>
        <w:t>évaluation du modèle d</w:t>
      </w:r>
      <w:r w:rsidR="00DB0699" w:rsidRPr="002E4298">
        <w:rPr>
          <w:lang w:val="fr-FR" w:bidi="fr-FR"/>
        </w:rPr>
        <w:t>’</w:t>
      </w:r>
      <w:r w:rsidRPr="002E4298">
        <w:rPr>
          <w:lang w:val="fr-FR" w:bidi="fr-FR"/>
        </w:rPr>
        <w:t>organisation des bureaux d</w:t>
      </w:r>
      <w:r w:rsidR="00DB0699" w:rsidRPr="002E4298">
        <w:rPr>
          <w:lang w:val="fr-FR" w:bidi="fr-FR"/>
        </w:rPr>
        <w:t>’</w:t>
      </w:r>
      <w:r w:rsidRPr="002E4298">
        <w:rPr>
          <w:lang w:val="fr-FR" w:bidi="fr-FR"/>
        </w:rPr>
        <w:t>aide aux victimes récemment mis en place en vue de l</w:t>
      </w:r>
      <w:r w:rsidR="00DB0699" w:rsidRPr="002E4298">
        <w:rPr>
          <w:lang w:val="fr-FR" w:bidi="fr-FR"/>
        </w:rPr>
        <w:t>’</w:t>
      </w:r>
      <w:r w:rsidRPr="002E4298">
        <w:rPr>
          <w:lang w:val="fr-FR" w:bidi="fr-FR"/>
        </w:rPr>
        <w:t>expansion de ces bureaux, la révision du modèle actuel d</w:t>
      </w:r>
      <w:r w:rsidR="00DB0699" w:rsidRPr="002E4298">
        <w:rPr>
          <w:lang w:val="fr-FR" w:bidi="fr-FR"/>
        </w:rPr>
        <w:t>’</w:t>
      </w:r>
      <w:r w:rsidRPr="002E4298">
        <w:rPr>
          <w:lang w:val="fr-FR" w:bidi="fr-FR"/>
        </w:rPr>
        <w:t>évaluation et de gestion des risques encourus par la victime afin d</w:t>
      </w:r>
      <w:r w:rsidR="00DB0699" w:rsidRPr="002E4298">
        <w:rPr>
          <w:lang w:val="fr-FR" w:bidi="fr-FR"/>
        </w:rPr>
        <w:t>’</w:t>
      </w:r>
      <w:r w:rsidRPr="002E4298">
        <w:rPr>
          <w:lang w:val="fr-FR" w:bidi="fr-FR"/>
        </w:rPr>
        <w:t>y inclure des indicateurs concernant les enfants et les adolescents ainsi que d</w:t>
      </w:r>
      <w:r w:rsidR="00DB0699" w:rsidRPr="002E4298">
        <w:rPr>
          <w:lang w:val="fr-FR" w:bidi="fr-FR"/>
        </w:rPr>
        <w:t>’</w:t>
      </w:r>
      <w:r w:rsidRPr="002E4298">
        <w:rPr>
          <w:lang w:val="fr-FR" w:bidi="fr-FR"/>
        </w:rPr>
        <w:t>autres victimes vulnérables. Dans ce cadre, les rapports de l</w:t>
      </w:r>
      <w:r w:rsidR="00DB0699" w:rsidRPr="002E4298">
        <w:rPr>
          <w:lang w:val="fr-FR" w:bidi="fr-FR"/>
        </w:rPr>
        <w:t>’</w:t>
      </w:r>
      <w:r w:rsidRPr="002E4298">
        <w:rPr>
          <w:lang w:val="fr-FR" w:bidi="fr-FR"/>
        </w:rPr>
        <w:t>Équipe d</w:t>
      </w:r>
      <w:r w:rsidR="00DB0699" w:rsidRPr="002E4298">
        <w:rPr>
          <w:lang w:val="fr-FR" w:bidi="fr-FR"/>
        </w:rPr>
        <w:t>’</w:t>
      </w:r>
      <w:r w:rsidRPr="002E4298">
        <w:rPr>
          <w:lang w:val="fr-FR" w:bidi="fr-FR"/>
        </w:rPr>
        <w:t>analyse rétrospective des homicides liés à la violence domestique, fondés sur l</w:t>
      </w:r>
      <w:r w:rsidR="00DB0699" w:rsidRPr="002E4298">
        <w:rPr>
          <w:lang w:val="fr-FR" w:bidi="fr-FR"/>
        </w:rPr>
        <w:t>’</w:t>
      </w:r>
      <w:r w:rsidRPr="002E4298">
        <w:rPr>
          <w:lang w:val="fr-FR" w:bidi="fr-FR"/>
        </w:rPr>
        <w:t>analyse de cas concrets, constituent un outil très important pour déterminer les procédures qui doivent être révisées.</w:t>
      </w:r>
    </w:p>
    <w:p w14:paraId="2B85FAA0" w14:textId="07962350" w:rsidR="00DB0699" w:rsidRPr="002E4298" w:rsidRDefault="002B314F" w:rsidP="00A11C35">
      <w:pPr>
        <w:pStyle w:val="SingleTxt"/>
        <w:numPr>
          <w:ilvl w:val="0"/>
          <w:numId w:val="5"/>
        </w:numPr>
        <w:spacing w:line="240" w:lineRule="exact"/>
        <w:ind w:left="1267"/>
        <w:rPr>
          <w:lang w:val="fr-FR" w:bidi="fr-FR"/>
        </w:rPr>
      </w:pPr>
      <w:r w:rsidRPr="002E4298">
        <w:rPr>
          <w:lang w:val="fr-FR" w:bidi="fr-FR"/>
        </w:rPr>
        <w:t>Une fois que le suspect est mis en cause dans le cadre d</w:t>
      </w:r>
      <w:r w:rsidR="00DB0699" w:rsidRPr="002E4298">
        <w:rPr>
          <w:lang w:val="fr-FR" w:bidi="fr-FR"/>
        </w:rPr>
        <w:t>’</w:t>
      </w:r>
      <w:r w:rsidRPr="002E4298">
        <w:rPr>
          <w:lang w:val="fr-FR" w:bidi="fr-FR"/>
        </w:rPr>
        <w:t xml:space="preserve">une procédure pénale, le tribunal envisage, dans un délai </w:t>
      </w:r>
      <w:r w:rsidR="00DC43BF" w:rsidRPr="002E4298">
        <w:rPr>
          <w:lang w:val="fr-FR" w:bidi="fr-FR"/>
        </w:rPr>
        <w:t xml:space="preserve">de </w:t>
      </w:r>
      <w:r w:rsidRPr="002E4298">
        <w:rPr>
          <w:lang w:val="fr-FR" w:bidi="fr-FR"/>
        </w:rPr>
        <w:t>48 heures, l</w:t>
      </w:r>
      <w:r w:rsidR="00DB0699" w:rsidRPr="002E4298">
        <w:rPr>
          <w:lang w:val="fr-FR" w:bidi="fr-FR"/>
        </w:rPr>
        <w:t>’</w:t>
      </w:r>
      <w:r w:rsidRPr="002E4298">
        <w:rPr>
          <w:lang w:val="fr-FR" w:bidi="fr-FR"/>
        </w:rPr>
        <w:t>application de mesures de contraintes, notamment l</w:t>
      </w:r>
      <w:r w:rsidR="00DB0699" w:rsidRPr="002E4298">
        <w:rPr>
          <w:lang w:val="fr-FR" w:bidi="fr-FR"/>
        </w:rPr>
        <w:t>’</w:t>
      </w:r>
      <w:r w:rsidRPr="002E4298">
        <w:rPr>
          <w:lang w:val="fr-FR" w:bidi="fr-FR"/>
        </w:rPr>
        <w:t>interdiction pour le suspect de demeurer dans le domicile où l</w:t>
      </w:r>
      <w:r w:rsidR="00DB0699" w:rsidRPr="002E4298">
        <w:rPr>
          <w:lang w:val="fr-FR" w:bidi="fr-FR"/>
        </w:rPr>
        <w:t>’</w:t>
      </w:r>
      <w:r w:rsidRPr="002E4298">
        <w:rPr>
          <w:lang w:val="fr-FR" w:bidi="fr-FR"/>
        </w:rPr>
        <w:t>infraction a été commise ou dans celui où vit la victime, ou l</w:t>
      </w:r>
      <w:r w:rsidR="00DB0699" w:rsidRPr="002E4298">
        <w:rPr>
          <w:lang w:val="fr-FR" w:bidi="fr-FR"/>
        </w:rPr>
        <w:t>’</w:t>
      </w:r>
      <w:r w:rsidRPr="002E4298">
        <w:rPr>
          <w:lang w:val="fr-FR" w:bidi="fr-FR"/>
        </w:rPr>
        <w:t>interdiction de contacter la victime. Des mesures de contraintes sont également applicables à d</w:t>
      </w:r>
      <w:r w:rsidR="00DB0699" w:rsidRPr="002E4298">
        <w:rPr>
          <w:lang w:val="fr-FR" w:bidi="fr-FR"/>
        </w:rPr>
        <w:t>’</w:t>
      </w:r>
      <w:r w:rsidRPr="002E4298">
        <w:rPr>
          <w:lang w:val="fr-FR" w:bidi="fr-FR"/>
        </w:rPr>
        <w:t>autres moments de la procédure, comme injonction dans le cadre de la suspension provisoire de la procédure, comme obligation inhérente à la suspension de l</w:t>
      </w:r>
      <w:r w:rsidR="00DB0699" w:rsidRPr="002E4298">
        <w:rPr>
          <w:lang w:val="fr-FR" w:bidi="fr-FR"/>
        </w:rPr>
        <w:t>’</w:t>
      </w:r>
      <w:r w:rsidRPr="002E4298">
        <w:rPr>
          <w:lang w:val="fr-FR" w:bidi="fr-FR"/>
        </w:rPr>
        <w:t>exécution de la peine d</w:t>
      </w:r>
      <w:r w:rsidR="00DB0699" w:rsidRPr="002E4298">
        <w:rPr>
          <w:lang w:val="fr-FR" w:bidi="fr-FR"/>
        </w:rPr>
        <w:t>’</w:t>
      </w:r>
      <w:r w:rsidRPr="002E4298">
        <w:rPr>
          <w:lang w:val="fr-FR" w:bidi="fr-FR"/>
        </w:rPr>
        <w:t>emprisonnement, ou comme peine accessoire.</w:t>
      </w:r>
    </w:p>
    <w:p w14:paraId="066097AE" w14:textId="25D570E9" w:rsidR="00DB0699" w:rsidRPr="002E4298" w:rsidRDefault="002B314F" w:rsidP="00A11C35">
      <w:pPr>
        <w:pStyle w:val="SingleTxt"/>
        <w:numPr>
          <w:ilvl w:val="0"/>
          <w:numId w:val="5"/>
        </w:numPr>
        <w:spacing w:line="240" w:lineRule="exact"/>
        <w:ind w:left="1267"/>
        <w:rPr>
          <w:lang w:val="fr-FR" w:bidi="fr-FR"/>
        </w:rPr>
      </w:pPr>
      <w:r w:rsidRPr="002E4298">
        <w:rPr>
          <w:lang w:val="fr-FR" w:bidi="fr-FR"/>
        </w:rPr>
        <w:t>Avant l</w:t>
      </w:r>
      <w:r w:rsidR="00DB0699" w:rsidRPr="002E4298">
        <w:rPr>
          <w:lang w:val="fr-FR" w:bidi="fr-FR"/>
        </w:rPr>
        <w:t>’</w:t>
      </w:r>
      <w:r w:rsidRPr="002E4298">
        <w:rPr>
          <w:lang w:val="fr-FR" w:bidi="fr-FR"/>
        </w:rPr>
        <w:t>audience du procès, le tribunal doit en principe demander une évaluation des risques actualisée afin de définir les mesures appropriées pour garantir la sécurité de la victime.</w:t>
      </w:r>
    </w:p>
    <w:p w14:paraId="3377142C" w14:textId="085951A3" w:rsidR="00DB0699" w:rsidRPr="002E4298" w:rsidRDefault="002B314F" w:rsidP="00A11C35">
      <w:pPr>
        <w:pStyle w:val="SingleTxt"/>
        <w:numPr>
          <w:ilvl w:val="0"/>
          <w:numId w:val="5"/>
        </w:numPr>
        <w:spacing w:line="240" w:lineRule="exact"/>
        <w:ind w:left="1267"/>
        <w:rPr>
          <w:lang w:val="fr-FR" w:bidi="fr-FR"/>
        </w:rPr>
      </w:pPr>
      <w:r w:rsidRPr="002E4298">
        <w:rPr>
          <w:lang w:val="fr-FR" w:bidi="fr-FR"/>
        </w:rPr>
        <w:t>Depuis</w:t>
      </w:r>
      <w:r w:rsidR="00B23B6D" w:rsidRPr="002E4298">
        <w:rPr>
          <w:lang w:val="fr-FR" w:bidi="fr-FR"/>
        </w:rPr>
        <w:t xml:space="preserve"> 20</w:t>
      </w:r>
      <w:r w:rsidRPr="002E4298">
        <w:rPr>
          <w:lang w:val="fr-FR" w:bidi="fr-FR"/>
        </w:rPr>
        <w:t>15, on constate une augmentation notable de l</w:t>
      </w:r>
      <w:r w:rsidR="00DB0699" w:rsidRPr="002E4298">
        <w:rPr>
          <w:lang w:val="fr-FR" w:bidi="fr-FR"/>
        </w:rPr>
        <w:t>’</w:t>
      </w:r>
      <w:r w:rsidRPr="002E4298">
        <w:rPr>
          <w:lang w:val="fr-FR" w:bidi="fr-FR"/>
        </w:rPr>
        <w:t>application de mesures de protection et d</w:t>
      </w:r>
      <w:r w:rsidR="00DB0699" w:rsidRPr="002E4298">
        <w:rPr>
          <w:lang w:val="fr-FR" w:bidi="fr-FR"/>
        </w:rPr>
        <w:t>’</w:t>
      </w:r>
      <w:r w:rsidRPr="002E4298">
        <w:rPr>
          <w:lang w:val="fr-FR" w:bidi="fr-FR"/>
        </w:rPr>
        <w:t>éloignement</w:t>
      </w:r>
      <w:r w:rsidR="00DB0699" w:rsidRPr="002E4298">
        <w:rPr>
          <w:lang w:val="fr-FR" w:bidi="fr-FR"/>
        </w:rPr>
        <w:t> :</w:t>
      </w:r>
      <w:r w:rsidRPr="002E4298">
        <w:rPr>
          <w:lang w:val="fr-FR" w:bidi="fr-FR"/>
        </w:rPr>
        <w:t xml:space="preserve"> le nombre de victimes bénéficiant d</w:t>
      </w:r>
      <w:r w:rsidR="00DB0699" w:rsidRPr="002E4298">
        <w:rPr>
          <w:lang w:val="fr-FR" w:bidi="fr-FR"/>
        </w:rPr>
        <w:t>’</w:t>
      </w:r>
      <w:r w:rsidRPr="002E4298">
        <w:rPr>
          <w:lang w:val="fr-FR" w:bidi="fr-FR"/>
        </w:rPr>
        <w:t>une protection par téléassistance a augmenté d</w:t>
      </w:r>
      <w:r w:rsidR="00DB0699" w:rsidRPr="002E4298">
        <w:rPr>
          <w:lang w:val="fr-FR" w:bidi="fr-FR"/>
        </w:rPr>
        <w:t>’</w:t>
      </w:r>
      <w:r w:rsidRPr="002E4298">
        <w:rPr>
          <w:lang w:val="fr-FR" w:bidi="fr-FR"/>
        </w:rPr>
        <w:t>environ 251</w:t>
      </w:r>
      <w:r w:rsidR="00DB0699" w:rsidRPr="002E4298">
        <w:rPr>
          <w:lang w:val="fr-FR" w:bidi="fr-FR"/>
        </w:rPr>
        <w:t> %</w:t>
      </w:r>
      <w:r w:rsidRPr="002E4298">
        <w:rPr>
          <w:lang w:val="fr-FR" w:bidi="fr-FR"/>
        </w:rPr>
        <w:t xml:space="preserve"> (en mai</w:t>
      </w:r>
      <w:r w:rsidR="00B23B6D" w:rsidRPr="002E4298">
        <w:rPr>
          <w:lang w:val="fr-FR" w:bidi="fr-FR"/>
        </w:rPr>
        <w:t xml:space="preserve"> 20</w:t>
      </w:r>
      <w:r w:rsidRPr="002E4298">
        <w:rPr>
          <w:lang w:val="fr-FR" w:bidi="fr-FR"/>
        </w:rPr>
        <w:t>19, ce système de protection concernait 2 274 victimes de violence domestique) et le nombre d</w:t>
      </w:r>
      <w:r w:rsidR="00DB0699" w:rsidRPr="002E4298">
        <w:rPr>
          <w:lang w:val="fr-FR" w:bidi="fr-FR"/>
        </w:rPr>
        <w:t>’</w:t>
      </w:r>
      <w:r w:rsidRPr="002E4298">
        <w:rPr>
          <w:lang w:val="fr-FR" w:bidi="fr-FR"/>
        </w:rPr>
        <w:t>auteurs faisant l</w:t>
      </w:r>
      <w:r w:rsidR="00DB0699" w:rsidRPr="002E4298">
        <w:rPr>
          <w:lang w:val="fr-FR" w:bidi="fr-FR"/>
        </w:rPr>
        <w:t>’</w:t>
      </w:r>
      <w:r w:rsidRPr="002E4298">
        <w:rPr>
          <w:lang w:val="fr-FR" w:bidi="fr-FR"/>
        </w:rPr>
        <w:t>objet d</w:t>
      </w:r>
      <w:r w:rsidR="00DB0699" w:rsidRPr="002E4298">
        <w:rPr>
          <w:lang w:val="fr-FR" w:bidi="fr-FR"/>
        </w:rPr>
        <w:t>’</w:t>
      </w:r>
      <w:r w:rsidRPr="002E4298">
        <w:rPr>
          <w:lang w:val="fr-FR" w:bidi="fr-FR"/>
        </w:rPr>
        <w:t xml:space="preserve">une surveillance électronique a augmenté </w:t>
      </w:r>
      <w:r w:rsidR="00DC43BF" w:rsidRPr="002E4298">
        <w:rPr>
          <w:lang w:val="fr-FR" w:bidi="fr-FR"/>
        </w:rPr>
        <w:t xml:space="preserve">de </w:t>
      </w:r>
      <w:r w:rsidRPr="002E4298">
        <w:rPr>
          <w:lang w:val="fr-FR" w:bidi="fr-FR"/>
        </w:rPr>
        <w:t>93</w:t>
      </w:r>
      <w:r w:rsidR="00DB0699" w:rsidRPr="002E4298">
        <w:rPr>
          <w:lang w:val="fr-FR" w:bidi="fr-FR"/>
        </w:rPr>
        <w:t> %</w:t>
      </w:r>
      <w:r w:rsidRPr="002E4298">
        <w:rPr>
          <w:lang w:val="fr-FR" w:bidi="fr-FR"/>
        </w:rPr>
        <w:t>.</w:t>
      </w:r>
    </w:p>
    <w:p w14:paraId="38B98F38" w14:textId="659D8AE1" w:rsidR="002B314F" w:rsidRPr="002E4298" w:rsidRDefault="002B314F" w:rsidP="00A11C35">
      <w:pPr>
        <w:pStyle w:val="SingleTxt"/>
        <w:numPr>
          <w:ilvl w:val="0"/>
          <w:numId w:val="5"/>
        </w:numPr>
        <w:spacing w:line="240" w:lineRule="exact"/>
        <w:ind w:left="1267"/>
        <w:rPr>
          <w:lang w:val="fr-FR"/>
        </w:rPr>
      </w:pPr>
      <w:r w:rsidRPr="002E4298">
        <w:rPr>
          <w:lang w:val="fr-FR" w:bidi="fr-FR"/>
        </w:rPr>
        <w:t xml:space="preserve">Récemment, la loi nº 101/2019 </w:t>
      </w:r>
      <w:r w:rsidR="003E7581" w:rsidRPr="002E4298">
        <w:rPr>
          <w:lang w:val="fr-FR" w:bidi="fr-FR"/>
        </w:rPr>
        <w:t xml:space="preserve">du </w:t>
      </w:r>
      <w:r w:rsidRPr="002E4298">
        <w:rPr>
          <w:lang w:val="fr-FR" w:bidi="fr-FR"/>
        </w:rPr>
        <w:t>6 septembre</w:t>
      </w:r>
      <w:r w:rsidR="00B23B6D" w:rsidRPr="002E4298">
        <w:rPr>
          <w:lang w:val="fr-FR" w:bidi="fr-FR"/>
        </w:rPr>
        <w:t xml:space="preserve"> 20</w:t>
      </w:r>
      <w:r w:rsidRPr="002E4298">
        <w:rPr>
          <w:lang w:val="fr-FR" w:bidi="fr-FR"/>
        </w:rPr>
        <w:t>19 a modifié le Code de procédure pénale en étendant la disponibilité et l</w:t>
      </w:r>
      <w:r w:rsidR="00DB0699" w:rsidRPr="002E4298">
        <w:rPr>
          <w:lang w:val="fr-FR" w:bidi="fr-FR"/>
        </w:rPr>
        <w:t>’</w:t>
      </w:r>
      <w:r w:rsidRPr="002E4298">
        <w:rPr>
          <w:lang w:val="fr-FR" w:bidi="fr-FR"/>
        </w:rPr>
        <w:t>application des ordonnances d</w:t>
      </w:r>
      <w:r w:rsidR="00DB0699" w:rsidRPr="002E4298">
        <w:rPr>
          <w:lang w:val="fr-FR" w:bidi="fr-FR"/>
        </w:rPr>
        <w:t>’</w:t>
      </w:r>
      <w:r w:rsidRPr="002E4298">
        <w:rPr>
          <w:lang w:val="fr-FR" w:bidi="fr-FR"/>
        </w:rPr>
        <w:t>interdiction, d</w:t>
      </w:r>
      <w:r w:rsidR="00DB0699" w:rsidRPr="002E4298">
        <w:rPr>
          <w:lang w:val="fr-FR" w:bidi="fr-FR"/>
        </w:rPr>
        <w:t>’</w:t>
      </w:r>
      <w:r w:rsidRPr="002E4298">
        <w:rPr>
          <w:lang w:val="fr-FR" w:bidi="fr-FR"/>
        </w:rPr>
        <w:t>éloignement et de protection aux victimes de harcèlement criminel. Le harcèlement criminel étant souvent associé à des cas de violence domestique, cela permettra d</w:t>
      </w:r>
      <w:r w:rsidR="00DB0699" w:rsidRPr="002E4298">
        <w:rPr>
          <w:lang w:val="fr-FR" w:bidi="fr-FR"/>
        </w:rPr>
        <w:t>’</w:t>
      </w:r>
      <w:r w:rsidRPr="002E4298">
        <w:rPr>
          <w:lang w:val="fr-FR" w:bidi="fr-FR"/>
        </w:rPr>
        <w:t>améliorer la protection accordée aux victimes de tels actes.</w:t>
      </w:r>
    </w:p>
    <w:p w14:paraId="10036B52" w14:textId="67E5C5D2" w:rsidR="00DB0699" w:rsidRPr="002E4298" w:rsidRDefault="002B314F" w:rsidP="00A11C35">
      <w:pPr>
        <w:pStyle w:val="SingleTxt"/>
        <w:numPr>
          <w:ilvl w:val="0"/>
          <w:numId w:val="5"/>
        </w:numPr>
        <w:spacing w:line="240" w:lineRule="exact"/>
        <w:ind w:left="1267"/>
        <w:rPr>
          <w:lang w:val="fr-FR" w:bidi="fr-FR"/>
        </w:rPr>
      </w:pPr>
      <w:r w:rsidRPr="002E4298">
        <w:rPr>
          <w:lang w:val="fr-FR" w:bidi="fr-FR"/>
        </w:rPr>
        <w:t>Dans le cadre du mécanisme de financement de l</w:t>
      </w:r>
      <w:r w:rsidR="00DB0699" w:rsidRPr="002E4298">
        <w:rPr>
          <w:lang w:val="fr-FR" w:bidi="fr-FR"/>
        </w:rPr>
        <w:t>’</w:t>
      </w:r>
      <w:r w:rsidRPr="002E4298">
        <w:rPr>
          <w:lang w:val="fr-FR" w:bidi="fr-FR"/>
        </w:rPr>
        <w:t>Espace économique européen, une étude sera lancée en</w:t>
      </w:r>
      <w:r w:rsidR="00B23B6D" w:rsidRPr="002E4298">
        <w:rPr>
          <w:lang w:val="fr-FR" w:bidi="fr-FR"/>
        </w:rPr>
        <w:t xml:space="preserve"> 20</w:t>
      </w:r>
      <w:r w:rsidRPr="002E4298">
        <w:rPr>
          <w:lang w:val="fr-FR" w:bidi="fr-FR"/>
        </w:rPr>
        <w:t>19 pour évaluer l</w:t>
      </w:r>
      <w:r w:rsidR="00DB0699" w:rsidRPr="002E4298">
        <w:rPr>
          <w:lang w:val="fr-FR" w:bidi="fr-FR"/>
        </w:rPr>
        <w:t>’</w:t>
      </w:r>
      <w:r w:rsidRPr="002E4298">
        <w:rPr>
          <w:lang w:val="fr-FR" w:bidi="fr-FR"/>
        </w:rPr>
        <w:t>efficacité des mesures prises à l</w:t>
      </w:r>
      <w:r w:rsidR="00DB0699" w:rsidRPr="002E4298">
        <w:rPr>
          <w:lang w:val="fr-FR" w:bidi="fr-FR"/>
        </w:rPr>
        <w:t>’</w:t>
      </w:r>
      <w:r w:rsidRPr="002E4298">
        <w:rPr>
          <w:lang w:val="fr-FR" w:bidi="fr-FR"/>
        </w:rPr>
        <w:t>encontre des délinquants et recenser les besoins d</w:t>
      </w:r>
      <w:r w:rsidR="00DB0699" w:rsidRPr="002E4298">
        <w:rPr>
          <w:lang w:val="fr-FR" w:bidi="fr-FR"/>
        </w:rPr>
        <w:t>’</w:t>
      </w:r>
      <w:r w:rsidRPr="002E4298">
        <w:rPr>
          <w:lang w:val="fr-FR" w:bidi="fr-FR"/>
        </w:rPr>
        <w:t>amélioration.</w:t>
      </w:r>
    </w:p>
    <w:p w14:paraId="19BF87D7" w14:textId="74E2F6FB" w:rsidR="00DB0699" w:rsidRPr="002E4298" w:rsidRDefault="002B314F" w:rsidP="00A11C35">
      <w:pPr>
        <w:pStyle w:val="SingleTxt"/>
        <w:numPr>
          <w:ilvl w:val="0"/>
          <w:numId w:val="5"/>
        </w:numPr>
        <w:spacing w:line="240" w:lineRule="exact"/>
        <w:ind w:left="1267"/>
        <w:rPr>
          <w:lang w:val="fr-FR" w:bidi="fr-FR"/>
        </w:rPr>
      </w:pPr>
      <w:r w:rsidRPr="002E4298">
        <w:rPr>
          <w:lang w:val="fr-FR" w:bidi="fr-FR"/>
        </w:rPr>
        <w:t>La résolution nº 139/2019 prévoit en outre qu</w:t>
      </w:r>
      <w:r w:rsidR="00DB0699" w:rsidRPr="002E4298">
        <w:rPr>
          <w:lang w:val="fr-FR" w:bidi="fr-FR"/>
        </w:rPr>
        <w:t>’</w:t>
      </w:r>
      <w:r w:rsidRPr="002E4298">
        <w:rPr>
          <w:lang w:val="fr-FR" w:bidi="fr-FR"/>
        </w:rPr>
        <w:t>une évaluation soit entreprise concernant la réponse judiciaire apportée au phénomène de la violence à l</w:t>
      </w:r>
      <w:r w:rsidR="00DB0699" w:rsidRPr="002E4298">
        <w:rPr>
          <w:lang w:val="fr-FR" w:bidi="fr-FR"/>
        </w:rPr>
        <w:t>’</w:t>
      </w:r>
      <w:r w:rsidRPr="002E4298">
        <w:rPr>
          <w:lang w:val="fr-FR" w:bidi="fr-FR"/>
        </w:rPr>
        <w:t>égard des femmes et de la violence domestique, notamment concernant l</w:t>
      </w:r>
      <w:r w:rsidR="00DB0699" w:rsidRPr="002E4298">
        <w:rPr>
          <w:lang w:val="fr-FR" w:bidi="fr-FR"/>
        </w:rPr>
        <w:t>’</w:t>
      </w:r>
      <w:r w:rsidRPr="002E4298">
        <w:rPr>
          <w:lang w:val="fr-FR" w:bidi="fr-FR"/>
        </w:rPr>
        <w:t>incidence des mesures prises à l</w:t>
      </w:r>
      <w:r w:rsidR="00DB0699" w:rsidRPr="002E4298">
        <w:rPr>
          <w:lang w:val="fr-FR" w:bidi="fr-FR"/>
        </w:rPr>
        <w:t>’</w:t>
      </w:r>
      <w:r w:rsidRPr="002E4298">
        <w:rPr>
          <w:lang w:val="fr-FR" w:bidi="fr-FR"/>
        </w:rPr>
        <w:t>encontre des délinquants sur tous les aspects liés à ce phénomène.</w:t>
      </w:r>
    </w:p>
    <w:p w14:paraId="382CD6CE" w14:textId="4229F864" w:rsidR="002B314F" w:rsidRPr="002E4298" w:rsidRDefault="002B314F" w:rsidP="00A11C35">
      <w:pPr>
        <w:pStyle w:val="SingleTxt"/>
        <w:numPr>
          <w:ilvl w:val="0"/>
          <w:numId w:val="5"/>
        </w:numPr>
        <w:spacing w:line="240" w:lineRule="exact"/>
        <w:ind w:left="1267"/>
        <w:rPr>
          <w:lang w:val="fr-FR"/>
        </w:rPr>
      </w:pPr>
      <w:r w:rsidRPr="002E4298">
        <w:rPr>
          <w:lang w:val="fr-FR" w:bidi="fr-FR"/>
        </w:rPr>
        <w:lastRenderedPageBreak/>
        <w:t>Les droits procéduraux garantis aux victimes sont également importants pour assurer la protection de celles-ci. Tout d</w:t>
      </w:r>
      <w:r w:rsidR="00DB0699" w:rsidRPr="002E4298">
        <w:rPr>
          <w:lang w:val="fr-FR" w:bidi="fr-FR"/>
        </w:rPr>
        <w:t>’</w:t>
      </w:r>
      <w:r w:rsidRPr="002E4298">
        <w:rPr>
          <w:lang w:val="fr-FR" w:bidi="fr-FR"/>
        </w:rPr>
        <w:t>abord, les procédures concernant la violence domestique sont des procédures d</w:t>
      </w:r>
      <w:r w:rsidR="00DB0699" w:rsidRPr="002E4298">
        <w:rPr>
          <w:lang w:val="fr-FR" w:bidi="fr-FR"/>
        </w:rPr>
        <w:t>’</w:t>
      </w:r>
      <w:r w:rsidRPr="002E4298">
        <w:rPr>
          <w:lang w:val="fr-FR" w:bidi="fr-FR"/>
        </w:rPr>
        <w:t>urgence. Les victimes doivent en outre recevoir toutes les informations nécessaires à la protection de leurs droits, à savoir des informations sur l</w:t>
      </w:r>
      <w:r w:rsidR="00DB0699" w:rsidRPr="002E4298">
        <w:rPr>
          <w:lang w:val="fr-FR" w:bidi="fr-FR"/>
        </w:rPr>
        <w:t>’</w:t>
      </w:r>
      <w:r w:rsidRPr="002E4298">
        <w:rPr>
          <w:lang w:val="fr-FR" w:bidi="fr-FR"/>
        </w:rPr>
        <w:t>état de l</w:t>
      </w:r>
      <w:r w:rsidR="00DB0699" w:rsidRPr="002E4298">
        <w:rPr>
          <w:lang w:val="fr-FR" w:bidi="fr-FR"/>
        </w:rPr>
        <w:t>’</w:t>
      </w:r>
      <w:r w:rsidRPr="002E4298">
        <w:rPr>
          <w:lang w:val="fr-FR" w:bidi="fr-FR"/>
        </w:rPr>
        <w:t>enquête et de la procédure ainsi que sur les principales décisions concernant la personne mise en cause, en particulier sa remise en liberté, le cas échéant. Toutes les informations fournies aux victimes doivent être communiquées d</w:t>
      </w:r>
      <w:r w:rsidR="00DB0699" w:rsidRPr="002E4298">
        <w:rPr>
          <w:lang w:val="fr-FR" w:bidi="fr-FR"/>
        </w:rPr>
        <w:t>’</w:t>
      </w:r>
      <w:r w:rsidRPr="002E4298">
        <w:rPr>
          <w:lang w:val="fr-FR" w:bidi="fr-FR"/>
        </w:rPr>
        <w:t>une manière et dans une langue intelligibles pour celles-ci.</w:t>
      </w:r>
    </w:p>
    <w:p w14:paraId="7C400559" w14:textId="723DFC90" w:rsidR="00DB0699" w:rsidRPr="002E4298" w:rsidRDefault="002B314F" w:rsidP="00A11C35">
      <w:pPr>
        <w:pStyle w:val="SingleTxt"/>
        <w:numPr>
          <w:ilvl w:val="0"/>
          <w:numId w:val="5"/>
        </w:numPr>
        <w:spacing w:line="240" w:lineRule="exact"/>
        <w:ind w:left="1267"/>
        <w:rPr>
          <w:lang w:val="fr-FR" w:bidi="fr-FR"/>
        </w:rPr>
      </w:pPr>
      <w:r w:rsidRPr="002E4298">
        <w:rPr>
          <w:lang w:val="fr-FR" w:bidi="fr-FR"/>
        </w:rPr>
        <w:t>Par ailleurs, afin de protéger les victimes contre une victimisation secondaire ou un préjudice supplémentaire, le tribunal peut appliquer des mesures visant à éviter tout contact entre la victime et la personne mise en cause dans le cadre de la procédure, ce qui peut consister à entendre la victime par vidéoconférence ou téléconférence ou à enregistrer la déclaration de la victime au cours de l</w:t>
      </w:r>
      <w:r w:rsidR="00DB0699" w:rsidRPr="002E4298">
        <w:rPr>
          <w:lang w:val="fr-FR" w:bidi="fr-FR"/>
        </w:rPr>
        <w:t>’</w:t>
      </w:r>
      <w:r w:rsidRPr="002E4298">
        <w:rPr>
          <w:lang w:val="fr-FR" w:bidi="fr-FR"/>
        </w:rPr>
        <w:t>enquête, dans un environnement informel et privé, en vue d</w:t>
      </w:r>
      <w:r w:rsidR="00DB0699" w:rsidRPr="002E4298">
        <w:rPr>
          <w:lang w:val="fr-FR" w:bidi="fr-FR"/>
        </w:rPr>
        <w:t>’</w:t>
      </w:r>
      <w:r w:rsidRPr="002E4298">
        <w:rPr>
          <w:lang w:val="fr-FR" w:bidi="fr-FR"/>
        </w:rPr>
        <w:t>apprécier la déclaration lors du futur procès.</w:t>
      </w:r>
    </w:p>
    <w:p w14:paraId="4F0F01F2" w14:textId="0DCA6E78" w:rsidR="00FF7B53" w:rsidRPr="002E4298" w:rsidRDefault="00FF7B53" w:rsidP="00FF7B53">
      <w:pPr>
        <w:pStyle w:val="SingleTxt"/>
        <w:spacing w:after="0" w:line="120" w:lineRule="exact"/>
        <w:rPr>
          <w:sz w:val="10"/>
          <w:lang w:val="fr-FR" w:bidi="fr-FR"/>
        </w:rPr>
      </w:pPr>
    </w:p>
    <w:p w14:paraId="57F7AC18" w14:textId="2529966C" w:rsidR="002B314F" w:rsidRPr="002E4298" w:rsidRDefault="002B314F" w:rsidP="00C31EE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2E4298">
        <w:rPr>
          <w:lang w:val="fr-FR" w:bidi="fr-FR"/>
        </w:rPr>
        <w:tab/>
      </w:r>
      <w:r w:rsidRPr="002E4298">
        <w:rPr>
          <w:lang w:val="fr-FR" w:bidi="fr-FR"/>
        </w:rPr>
        <w:tab/>
        <w:t>Réseau national d</w:t>
      </w:r>
      <w:r w:rsidR="00DB0699" w:rsidRPr="002E4298">
        <w:rPr>
          <w:lang w:val="fr-FR" w:bidi="fr-FR"/>
        </w:rPr>
        <w:t>’</w:t>
      </w:r>
      <w:r w:rsidRPr="002E4298">
        <w:rPr>
          <w:lang w:val="fr-FR" w:bidi="fr-FR"/>
        </w:rPr>
        <w:t>aide aux victimes de la violence domestique</w:t>
      </w:r>
    </w:p>
    <w:p w14:paraId="477C6CC6" w14:textId="0B65C2F9" w:rsidR="00C31EE2" w:rsidRPr="002E4298" w:rsidRDefault="00C31EE2" w:rsidP="00C31EE2">
      <w:pPr>
        <w:pStyle w:val="SingleTxt"/>
        <w:spacing w:after="0" w:line="120" w:lineRule="exact"/>
        <w:rPr>
          <w:sz w:val="10"/>
          <w:lang w:val="fr-FR" w:bidi="fr-FR"/>
        </w:rPr>
      </w:pPr>
    </w:p>
    <w:p w14:paraId="5391FBD2" w14:textId="3829BFCD" w:rsidR="002B314F" w:rsidRPr="002E4298" w:rsidRDefault="002B314F" w:rsidP="00A11C35">
      <w:pPr>
        <w:pStyle w:val="SingleTxt"/>
        <w:numPr>
          <w:ilvl w:val="0"/>
          <w:numId w:val="5"/>
        </w:numPr>
        <w:spacing w:line="240" w:lineRule="exact"/>
        <w:ind w:left="1267"/>
        <w:rPr>
          <w:lang w:val="fr-FR"/>
        </w:rPr>
      </w:pPr>
      <w:r w:rsidRPr="002E4298">
        <w:rPr>
          <w:lang w:val="fr-FR" w:bidi="fr-FR"/>
        </w:rPr>
        <w:t>Indépendamment du dépôt d</w:t>
      </w:r>
      <w:r w:rsidR="00DB0699" w:rsidRPr="002E4298">
        <w:rPr>
          <w:lang w:val="fr-FR" w:bidi="fr-FR"/>
        </w:rPr>
        <w:t>’</w:t>
      </w:r>
      <w:r w:rsidRPr="002E4298">
        <w:rPr>
          <w:lang w:val="fr-FR" w:bidi="fr-FR"/>
        </w:rPr>
        <w:t>une plainte, la victime a accès au soutien offert par le réseau national d</w:t>
      </w:r>
      <w:r w:rsidR="00DB0699" w:rsidRPr="002E4298">
        <w:rPr>
          <w:lang w:val="fr-FR" w:bidi="fr-FR"/>
        </w:rPr>
        <w:t>’</w:t>
      </w:r>
      <w:r w:rsidRPr="002E4298">
        <w:rPr>
          <w:lang w:val="fr-FR" w:bidi="fr-FR"/>
        </w:rPr>
        <w:t>aide, gratuitement et au même titre que les victimes qui ont déjà déposé une plainte.</w:t>
      </w:r>
    </w:p>
    <w:p w14:paraId="22767EBC" w14:textId="34AFEFB1" w:rsidR="002B314F" w:rsidRPr="002E4298" w:rsidRDefault="002B314F" w:rsidP="00A11C35">
      <w:pPr>
        <w:pStyle w:val="SingleTxt"/>
        <w:numPr>
          <w:ilvl w:val="0"/>
          <w:numId w:val="5"/>
        </w:numPr>
        <w:spacing w:line="240" w:lineRule="exact"/>
        <w:ind w:left="1267"/>
        <w:rPr>
          <w:lang w:val="fr-FR"/>
        </w:rPr>
      </w:pPr>
      <w:r w:rsidRPr="002E4298">
        <w:rPr>
          <w:lang w:val="fr-FR" w:bidi="fr-FR"/>
        </w:rPr>
        <w:t>Le réseau national d</w:t>
      </w:r>
      <w:r w:rsidR="00DB0699" w:rsidRPr="002E4298">
        <w:rPr>
          <w:lang w:val="fr-FR" w:bidi="fr-FR"/>
        </w:rPr>
        <w:t>’</w:t>
      </w:r>
      <w:r w:rsidRPr="002E4298">
        <w:rPr>
          <w:lang w:val="fr-FR" w:bidi="fr-FR"/>
        </w:rPr>
        <w:t>aide aux victimes de la violence domestique offre trois</w:t>
      </w:r>
      <w:r w:rsidR="00DC43BF" w:rsidRPr="002E4298">
        <w:rPr>
          <w:lang w:val="fr-FR" w:bidi="fr-FR"/>
        </w:rPr>
        <w:t xml:space="preserve"> </w:t>
      </w:r>
      <w:r w:rsidRPr="002E4298">
        <w:rPr>
          <w:lang w:val="fr-FR" w:bidi="fr-FR"/>
        </w:rPr>
        <w:t>types de services de soutien en fonction du niveau de risque évalué</w:t>
      </w:r>
      <w:r w:rsidR="00DB0699" w:rsidRPr="002E4298">
        <w:rPr>
          <w:lang w:val="fr-FR" w:bidi="fr-FR"/>
        </w:rPr>
        <w:t> :</w:t>
      </w:r>
      <w:r w:rsidRPr="002E4298">
        <w:rPr>
          <w:lang w:val="fr-FR" w:bidi="fr-FR"/>
        </w:rPr>
        <w:t xml:space="preserve"> des centres de soutien et des hébergements de courte et de longue durée. Différents types d</w:t>
      </w:r>
      <w:r w:rsidR="00DB0699" w:rsidRPr="002E4298">
        <w:rPr>
          <w:lang w:val="fr-FR" w:bidi="fr-FR"/>
        </w:rPr>
        <w:t>’</w:t>
      </w:r>
      <w:r w:rsidRPr="002E4298">
        <w:rPr>
          <w:lang w:val="fr-FR" w:bidi="fr-FR"/>
        </w:rPr>
        <w:t>interventions sont proposés pour les victimes et leurs enfants.</w:t>
      </w:r>
    </w:p>
    <w:p w14:paraId="6B03B226" w14:textId="6ADB79C6" w:rsidR="00DB0699" w:rsidRPr="002E4298" w:rsidRDefault="002B314F" w:rsidP="00A11C35">
      <w:pPr>
        <w:pStyle w:val="SingleTxt"/>
        <w:numPr>
          <w:ilvl w:val="0"/>
          <w:numId w:val="5"/>
        </w:numPr>
        <w:spacing w:line="240" w:lineRule="exact"/>
        <w:ind w:left="1267"/>
        <w:rPr>
          <w:lang w:val="fr-FR" w:bidi="fr-FR"/>
        </w:rPr>
      </w:pPr>
      <w:r w:rsidRPr="002E4298">
        <w:rPr>
          <w:lang w:val="fr-FR" w:bidi="fr-FR"/>
        </w:rPr>
        <w:t>Le Portugal propose deux types d</w:t>
      </w:r>
      <w:r w:rsidR="00DB0699" w:rsidRPr="002E4298">
        <w:rPr>
          <w:lang w:val="fr-FR" w:bidi="fr-FR"/>
        </w:rPr>
        <w:t>’</w:t>
      </w:r>
      <w:r w:rsidRPr="002E4298">
        <w:rPr>
          <w:lang w:val="fr-FR" w:bidi="fr-FR"/>
        </w:rPr>
        <w:t>abris pour les victimes de violence domestique</w:t>
      </w:r>
      <w:r w:rsidR="00DB0699" w:rsidRPr="002E4298">
        <w:rPr>
          <w:lang w:val="fr-FR" w:bidi="fr-FR"/>
        </w:rPr>
        <w:t> :</w:t>
      </w:r>
      <w:r w:rsidRPr="002E4298">
        <w:rPr>
          <w:lang w:val="fr-FR" w:bidi="fr-FR"/>
        </w:rPr>
        <w:t xml:space="preserve"> des hébergements de longue durée et des hébergements d</w:t>
      </w:r>
      <w:r w:rsidR="00DB0699" w:rsidRPr="002E4298">
        <w:rPr>
          <w:lang w:val="fr-FR" w:bidi="fr-FR"/>
        </w:rPr>
        <w:t>’</w:t>
      </w:r>
      <w:r w:rsidRPr="002E4298">
        <w:rPr>
          <w:lang w:val="fr-FR" w:bidi="fr-FR"/>
        </w:rPr>
        <w:t>urgence. Il existe 37 hébergements de longue durée pour femmes et enfants à charge dans tout le pays (y compris dans les régions autonomes), qui disposent de 611 places. Depuis</w:t>
      </w:r>
      <w:r w:rsidR="00B23B6D" w:rsidRPr="002E4298">
        <w:rPr>
          <w:lang w:val="fr-FR" w:bidi="fr-FR"/>
        </w:rPr>
        <w:t xml:space="preserve"> 20</w:t>
      </w:r>
      <w:r w:rsidRPr="002E4298">
        <w:rPr>
          <w:lang w:val="fr-FR" w:bidi="fr-FR"/>
        </w:rPr>
        <w:t>17, il existe également un centre d</w:t>
      </w:r>
      <w:r w:rsidR="00DB0699" w:rsidRPr="002E4298">
        <w:rPr>
          <w:lang w:val="fr-FR" w:bidi="fr-FR"/>
        </w:rPr>
        <w:t>’</w:t>
      </w:r>
      <w:r w:rsidRPr="002E4298">
        <w:rPr>
          <w:lang w:val="fr-FR" w:bidi="fr-FR"/>
        </w:rPr>
        <w:t>accueil à long terme pour hommes, qui dispose</w:t>
      </w:r>
      <w:r w:rsidR="00DC43BF" w:rsidRPr="002E4298">
        <w:rPr>
          <w:lang w:val="fr-FR" w:bidi="fr-FR"/>
        </w:rPr>
        <w:t xml:space="preserve"> de</w:t>
      </w:r>
      <w:r w:rsidRPr="002E4298">
        <w:rPr>
          <w:lang w:val="fr-FR" w:bidi="fr-FR"/>
        </w:rPr>
        <w:t xml:space="preserve"> </w:t>
      </w:r>
      <w:r w:rsidR="00DC43BF" w:rsidRPr="002E4298">
        <w:rPr>
          <w:lang w:val="fr-FR" w:bidi="fr-FR"/>
        </w:rPr>
        <w:t xml:space="preserve">10 </w:t>
      </w:r>
      <w:r w:rsidRPr="002E4298">
        <w:rPr>
          <w:lang w:val="fr-FR" w:bidi="fr-FR"/>
        </w:rPr>
        <w:t>places. En outre, on compte 27 hébergements d</w:t>
      </w:r>
      <w:r w:rsidR="00DB0699" w:rsidRPr="002E4298">
        <w:rPr>
          <w:lang w:val="fr-FR" w:bidi="fr-FR"/>
        </w:rPr>
        <w:t>’</w:t>
      </w:r>
      <w:r w:rsidRPr="002E4298">
        <w:rPr>
          <w:lang w:val="fr-FR" w:bidi="fr-FR"/>
        </w:rPr>
        <w:t>urgence pour les victimes de violence domestique, comprenant 273 places, dont certains peuvent accueillir des femmes handicapées et des femmes souffrant de maladies mentales (17 places au total), ainsi que des personne</w:t>
      </w:r>
      <w:r w:rsidR="00DC43BF" w:rsidRPr="002E4298">
        <w:rPr>
          <w:lang w:val="fr-FR" w:bidi="fr-FR"/>
        </w:rPr>
        <w:t xml:space="preserve">s </w:t>
      </w:r>
      <w:r w:rsidRPr="002E4298">
        <w:rPr>
          <w:lang w:val="fr-FR" w:bidi="fr-FR"/>
        </w:rPr>
        <w:t>LGBTI (9 places). Il existe également 166 centres de soutien dans tout le pays. De nouveaux services spécialisés dans l</w:t>
      </w:r>
      <w:r w:rsidR="00DB0699" w:rsidRPr="002E4298">
        <w:rPr>
          <w:lang w:val="fr-FR" w:bidi="fr-FR"/>
        </w:rPr>
        <w:t>’</w:t>
      </w:r>
      <w:r w:rsidRPr="002E4298">
        <w:rPr>
          <w:lang w:val="fr-FR" w:bidi="fr-FR"/>
        </w:rPr>
        <w:t>appui aux victimes de violences sexuelles ont été créés (à Lisbonne et à Porto), ainsi qu</w:t>
      </w:r>
      <w:r w:rsidR="00DB0699" w:rsidRPr="002E4298">
        <w:rPr>
          <w:lang w:val="fr-FR" w:bidi="fr-FR"/>
        </w:rPr>
        <w:t>’</w:t>
      </w:r>
      <w:r w:rsidRPr="002E4298">
        <w:rPr>
          <w:lang w:val="fr-FR" w:bidi="fr-FR"/>
        </w:rPr>
        <w:t>un nouveau service spécialisé pour les hommes victimes de violence domestique et d</w:t>
      </w:r>
      <w:r w:rsidR="00DB0699" w:rsidRPr="002E4298">
        <w:rPr>
          <w:lang w:val="fr-FR" w:bidi="fr-FR"/>
        </w:rPr>
        <w:t>’</w:t>
      </w:r>
      <w:r w:rsidRPr="002E4298">
        <w:rPr>
          <w:lang w:val="fr-FR" w:bidi="fr-FR"/>
        </w:rPr>
        <w:t>atteintes sexuelles. On compte auss</w:t>
      </w:r>
      <w:r w:rsidR="00DC43BF" w:rsidRPr="002E4298">
        <w:rPr>
          <w:lang w:val="fr-FR" w:bidi="fr-FR"/>
        </w:rPr>
        <w:t>i</w:t>
      </w:r>
      <w:r w:rsidRPr="002E4298">
        <w:rPr>
          <w:lang w:val="fr-FR" w:bidi="fr-FR"/>
        </w:rPr>
        <w:t xml:space="preserve"> </w:t>
      </w:r>
      <w:r w:rsidR="003E7581" w:rsidRPr="002E4298">
        <w:rPr>
          <w:lang w:val="fr-FR" w:bidi="fr-FR"/>
        </w:rPr>
        <w:t xml:space="preserve">trois </w:t>
      </w:r>
      <w:r w:rsidRPr="002E4298">
        <w:rPr>
          <w:lang w:val="fr-FR" w:bidi="fr-FR"/>
        </w:rPr>
        <w:t>services spécialisés pour les personnes</w:t>
      </w:r>
      <w:r w:rsidR="00C31EE2" w:rsidRPr="002E4298">
        <w:rPr>
          <w:lang w:val="fr-FR" w:bidi="fr-FR"/>
        </w:rPr>
        <w:t xml:space="preserve"> </w:t>
      </w:r>
      <w:r w:rsidRPr="002E4298">
        <w:rPr>
          <w:lang w:val="fr-FR" w:bidi="fr-FR"/>
        </w:rPr>
        <w:t>LGBTI. Depuis</w:t>
      </w:r>
      <w:r w:rsidR="00B23B6D" w:rsidRPr="002E4298">
        <w:rPr>
          <w:lang w:val="fr-FR" w:bidi="fr-FR"/>
        </w:rPr>
        <w:t xml:space="preserve"> 20</w:t>
      </w:r>
      <w:r w:rsidRPr="002E4298">
        <w:rPr>
          <w:lang w:val="fr-FR" w:bidi="fr-FR"/>
        </w:rPr>
        <w:t>16, le Gouvernement renforce le réseau national d</w:t>
      </w:r>
      <w:r w:rsidR="00DB0699" w:rsidRPr="002E4298">
        <w:rPr>
          <w:lang w:val="fr-FR" w:bidi="fr-FR"/>
        </w:rPr>
        <w:t>’</w:t>
      </w:r>
      <w:r w:rsidRPr="002E4298">
        <w:rPr>
          <w:lang w:val="fr-FR" w:bidi="fr-FR"/>
        </w:rPr>
        <w:t>aide aux victimes, notamment par des partenariats avec les municipalités, les autorités locales et les ONG, afin d</w:t>
      </w:r>
      <w:r w:rsidR="00DB0699" w:rsidRPr="002E4298">
        <w:rPr>
          <w:lang w:val="fr-FR" w:bidi="fr-FR"/>
        </w:rPr>
        <w:t>’</w:t>
      </w:r>
      <w:r w:rsidRPr="002E4298">
        <w:rPr>
          <w:lang w:val="fr-FR" w:bidi="fr-FR"/>
        </w:rPr>
        <w:t>assurer une couverture nationale et une adéquation du réseau aux spécificités territoriales.</w:t>
      </w:r>
    </w:p>
    <w:p w14:paraId="4518EFF6" w14:textId="642732E2" w:rsidR="00DB0699" w:rsidRPr="002E4298" w:rsidRDefault="002B314F" w:rsidP="00A11C35">
      <w:pPr>
        <w:pStyle w:val="SingleTxt"/>
        <w:numPr>
          <w:ilvl w:val="0"/>
          <w:numId w:val="5"/>
        </w:numPr>
        <w:spacing w:line="240" w:lineRule="exact"/>
        <w:ind w:left="1267"/>
        <w:rPr>
          <w:lang w:val="fr-FR" w:bidi="fr-FR"/>
        </w:rPr>
      </w:pPr>
      <w:r w:rsidRPr="002E4298">
        <w:rPr>
          <w:lang w:val="fr-FR" w:bidi="fr-FR"/>
        </w:rPr>
        <w:t>En</w:t>
      </w:r>
      <w:r w:rsidR="00B23B6D" w:rsidRPr="002E4298">
        <w:rPr>
          <w:lang w:val="fr-FR" w:bidi="fr-FR"/>
        </w:rPr>
        <w:t xml:space="preserve"> 20</w:t>
      </w:r>
      <w:r w:rsidRPr="002E4298">
        <w:rPr>
          <w:lang w:val="fr-FR" w:bidi="fr-FR"/>
        </w:rPr>
        <w:t>18, de nouvelles réglementations concernant l</w:t>
      </w:r>
      <w:r w:rsidR="00DB0699" w:rsidRPr="002E4298">
        <w:rPr>
          <w:lang w:val="fr-FR" w:bidi="fr-FR"/>
        </w:rPr>
        <w:t>’</w:t>
      </w:r>
      <w:r w:rsidRPr="002E4298">
        <w:rPr>
          <w:lang w:val="fr-FR" w:bidi="fr-FR"/>
        </w:rPr>
        <w:t>organisation et le fonctionnement des structures de service, des centres de crise et des abris du réseau national d</w:t>
      </w:r>
      <w:r w:rsidR="00DB0699" w:rsidRPr="002E4298">
        <w:rPr>
          <w:lang w:val="fr-FR" w:bidi="fr-FR"/>
        </w:rPr>
        <w:t>’</w:t>
      </w:r>
      <w:r w:rsidRPr="002E4298">
        <w:rPr>
          <w:lang w:val="fr-FR" w:bidi="fr-FR"/>
        </w:rPr>
        <w:t>aide aux victimes de la violence domestique ont été adoptées (le décret d</w:t>
      </w:r>
      <w:r w:rsidR="00DB0699" w:rsidRPr="002E4298">
        <w:rPr>
          <w:lang w:val="fr-FR" w:bidi="fr-FR"/>
        </w:rPr>
        <w:t>’</w:t>
      </w:r>
      <w:r w:rsidRPr="002E4298">
        <w:rPr>
          <w:lang w:val="fr-FR" w:bidi="fr-FR"/>
        </w:rPr>
        <w:t xml:space="preserve">application nº 2/2018 </w:t>
      </w:r>
      <w:r w:rsidR="003E7581" w:rsidRPr="002E4298">
        <w:rPr>
          <w:lang w:val="fr-FR" w:bidi="fr-FR"/>
        </w:rPr>
        <w:t xml:space="preserve">du </w:t>
      </w:r>
      <w:r w:rsidRPr="002E4298">
        <w:rPr>
          <w:lang w:val="fr-FR" w:bidi="fr-FR"/>
        </w:rPr>
        <w:t>24 janvier</w:t>
      </w:r>
      <w:r w:rsidR="00B23B6D" w:rsidRPr="002E4298">
        <w:rPr>
          <w:lang w:val="fr-FR" w:bidi="fr-FR"/>
        </w:rPr>
        <w:t xml:space="preserve"> 20</w:t>
      </w:r>
      <w:r w:rsidRPr="002E4298">
        <w:rPr>
          <w:lang w:val="fr-FR" w:bidi="fr-FR"/>
        </w:rPr>
        <w:t>18 et l</w:t>
      </w:r>
      <w:r w:rsidR="00DB0699" w:rsidRPr="002E4298">
        <w:rPr>
          <w:lang w:val="fr-FR" w:bidi="fr-FR"/>
        </w:rPr>
        <w:t>’</w:t>
      </w:r>
      <w:r w:rsidRPr="002E4298">
        <w:rPr>
          <w:lang w:val="fr-FR" w:bidi="fr-FR"/>
        </w:rPr>
        <w:t xml:space="preserve">ordonnance nº 197/2018 </w:t>
      </w:r>
      <w:r w:rsidR="003E7581" w:rsidRPr="002E4298">
        <w:rPr>
          <w:lang w:val="fr-FR" w:bidi="fr-FR"/>
        </w:rPr>
        <w:t xml:space="preserve">du </w:t>
      </w:r>
      <w:r w:rsidRPr="002E4298">
        <w:rPr>
          <w:lang w:val="fr-FR" w:bidi="fr-FR"/>
        </w:rPr>
        <w:t>6 juillet</w:t>
      </w:r>
      <w:r w:rsidR="00B23B6D" w:rsidRPr="002E4298">
        <w:rPr>
          <w:lang w:val="fr-FR" w:bidi="fr-FR"/>
        </w:rPr>
        <w:t xml:space="preserve"> 20</w:t>
      </w:r>
      <w:r w:rsidRPr="002E4298">
        <w:rPr>
          <w:lang w:val="fr-FR" w:bidi="fr-FR"/>
        </w:rPr>
        <w:t>18) en vue d</w:t>
      </w:r>
      <w:r w:rsidR="00DB0699" w:rsidRPr="002E4298">
        <w:rPr>
          <w:lang w:val="fr-FR" w:bidi="fr-FR"/>
        </w:rPr>
        <w:t>’</w:t>
      </w:r>
      <w:r w:rsidRPr="002E4298">
        <w:rPr>
          <w:lang w:val="fr-FR" w:bidi="fr-FR"/>
        </w:rPr>
        <w:t>améliorer l</w:t>
      </w:r>
      <w:r w:rsidR="00DB0699" w:rsidRPr="002E4298">
        <w:rPr>
          <w:lang w:val="fr-FR" w:bidi="fr-FR"/>
        </w:rPr>
        <w:t>’</w:t>
      </w:r>
      <w:r w:rsidRPr="002E4298">
        <w:rPr>
          <w:lang w:val="fr-FR" w:bidi="fr-FR"/>
        </w:rPr>
        <w:t>efficacité et le fonctionnement du réseau et de le mettre en conformité avec la Convention d</w:t>
      </w:r>
      <w:r w:rsidR="00DB0699" w:rsidRPr="002E4298">
        <w:rPr>
          <w:lang w:val="fr-FR" w:bidi="fr-FR"/>
        </w:rPr>
        <w:t>’</w:t>
      </w:r>
      <w:r w:rsidRPr="002E4298">
        <w:rPr>
          <w:lang w:val="fr-FR" w:bidi="fr-FR"/>
        </w:rPr>
        <w:t>Istanbul.</w:t>
      </w:r>
    </w:p>
    <w:p w14:paraId="280882C2" w14:textId="4ED806F4" w:rsidR="002B314F" w:rsidRPr="002E4298" w:rsidRDefault="002B314F" w:rsidP="00A11C35">
      <w:pPr>
        <w:pStyle w:val="SingleTxt"/>
        <w:numPr>
          <w:ilvl w:val="0"/>
          <w:numId w:val="5"/>
        </w:numPr>
        <w:spacing w:line="240" w:lineRule="exact"/>
        <w:ind w:left="1267"/>
        <w:rPr>
          <w:lang w:val="fr-FR"/>
        </w:rPr>
      </w:pPr>
      <w:r w:rsidRPr="002E4298">
        <w:rPr>
          <w:lang w:val="fr-FR" w:bidi="fr-FR"/>
        </w:rPr>
        <w:t>La Commission pour la citoyenneté et l</w:t>
      </w:r>
      <w:r w:rsidR="00DB0699" w:rsidRPr="002E4298">
        <w:rPr>
          <w:lang w:val="fr-FR" w:bidi="fr-FR"/>
        </w:rPr>
        <w:t>’</w:t>
      </w:r>
      <w:r w:rsidRPr="002E4298">
        <w:rPr>
          <w:lang w:val="fr-FR" w:bidi="fr-FR"/>
        </w:rPr>
        <w:t>égalité des genres a élaboré un « Guide de ressources » et lancé, en</w:t>
      </w:r>
      <w:r w:rsidR="00B23B6D" w:rsidRPr="002E4298">
        <w:rPr>
          <w:lang w:val="fr-FR" w:bidi="fr-FR"/>
        </w:rPr>
        <w:t xml:space="preserve"> 20</w:t>
      </w:r>
      <w:r w:rsidRPr="002E4298">
        <w:rPr>
          <w:lang w:val="fr-FR" w:bidi="fr-FR"/>
        </w:rPr>
        <w:t>17, l</w:t>
      </w:r>
      <w:r w:rsidR="00DB0699" w:rsidRPr="002E4298">
        <w:rPr>
          <w:lang w:val="fr-FR" w:bidi="fr-FR"/>
        </w:rPr>
        <w:t>’</w:t>
      </w:r>
      <w:r w:rsidRPr="002E4298">
        <w:rPr>
          <w:lang w:val="fr-FR" w:bidi="fr-FR"/>
        </w:rPr>
        <w:t>application mobi</w:t>
      </w:r>
      <w:r w:rsidR="00DC43BF" w:rsidRPr="002E4298">
        <w:rPr>
          <w:lang w:val="fr-FR" w:bidi="fr-FR"/>
        </w:rPr>
        <w:t xml:space="preserve">le </w:t>
      </w:r>
      <w:r w:rsidRPr="002E4298">
        <w:rPr>
          <w:lang w:val="fr-FR" w:bidi="fr-FR"/>
        </w:rPr>
        <w:t>AppVD, qui fournit des informations sur tous les services de soutien disponibles dans le pays ainsi que sur les moyens de déposer une plainte ou de demander des informations.</w:t>
      </w:r>
    </w:p>
    <w:p w14:paraId="698D15D4" w14:textId="4D0C39D5" w:rsidR="002B314F" w:rsidRPr="002E4298" w:rsidRDefault="002B314F" w:rsidP="00C31EE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2E4298">
        <w:rPr>
          <w:lang w:val="fr-FR" w:bidi="fr-FR"/>
        </w:rPr>
        <w:lastRenderedPageBreak/>
        <w:tab/>
      </w:r>
      <w:r w:rsidRPr="002E4298">
        <w:rPr>
          <w:lang w:val="fr-FR" w:bidi="fr-FR"/>
        </w:rPr>
        <w:tab/>
        <w:t>Enquête et poursuite des auteurs</w:t>
      </w:r>
    </w:p>
    <w:p w14:paraId="691391D1" w14:textId="2ECDFF48" w:rsidR="00C31EE2" w:rsidRPr="002E4298" w:rsidRDefault="00C31EE2" w:rsidP="00C31EE2">
      <w:pPr>
        <w:pStyle w:val="SingleTxt"/>
        <w:spacing w:after="0" w:line="120" w:lineRule="exact"/>
        <w:rPr>
          <w:sz w:val="10"/>
          <w:lang w:val="fr-FR" w:bidi="fr-FR"/>
        </w:rPr>
      </w:pPr>
    </w:p>
    <w:p w14:paraId="55131EEB" w14:textId="06190E92" w:rsidR="00DB0699" w:rsidRPr="002E4298" w:rsidRDefault="002B314F" w:rsidP="00A11C35">
      <w:pPr>
        <w:pStyle w:val="SingleTxt"/>
        <w:numPr>
          <w:ilvl w:val="0"/>
          <w:numId w:val="5"/>
        </w:numPr>
        <w:spacing w:line="240" w:lineRule="exact"/>
        <w:ind w:left="1267"/>
        <w:rPr>
          <w:lang w:val="fr-FR" w:bidi="fr-FR"/>
        </w:rPr>
      </w:pPr>
      <w:r w:rsidRPr="002E4298">
        <w:rPr>
          <w:lang w:val="fr-FR" w:bidi="fr-FR"/>
        </w:rPr>
        <w:t>La violence domestique constitue une infraction pénale au Portugal depuis</w:t>
      </w:r>
      <w:r w:rsidR="00B23B6D" w:rsidRPr="002E4298">
        <w:rPr>
          <w:lang w:val="fr-FR" w:bidi="fr-FR"/>
        </w:rPr>
        <w:t xml:space="preserve"> 20</w:t>
      </w:r>
      <w:r w:rsidRPr="002E4298">
        <w:rPr>
          <w:lang w:val="fr-FR" w:bidi="fr-FR"/>
        </w:rPr>
        <w:t>07 (artic</w:t>
      </w:r>
      <w:r w:rsidR="00DC43BF" w:rsidRPr="002E4298">
        <w:rPr>
          <w:lang w:val="fr-FR" w:bidi="fr-FR"/>
        </w:rPr>
        <w:t xml:space="preserve">le </w:t>
      </w:r>
      <w:r w:rsidRPr="002E4298">
        <w:rPr>
          <w:lang w:val="fr-FR" w:bidi="fr-FR"/>
        </w:rPr>
        <w:t xml:space="preserve">152 du Code pénal). La loi nº 44/2018 </w:t>
      </w:r>
      <w:r w:rsidR="003E7581" w:rsidRPr="002E4298">
        <w:rPr>
          <w:lang w:val="fr-FR" w:bidi="fr-FR"/>
        </w:rPr>
        <w:t xml:space="preserve">du </w:t>
      </w:r>
      <w:r w:rsidRPr="002E4298">
        <w:rPr>
          <w:lang w:val="fr-FR" w:bidi="fr-FR"/>
        </w:rPr>
        <w:t>9 août</w:t>
      </w:r>
      <w:r w:rsidR="00B23B6D" w:rsidRPr="002E4298">
        <w:rPr>
          <w:lang w:val="fr-FR" w:bidi="fr-FR"/>
        </w:rPr>
        <w:t xml:space="preserve"> 20</w:t>
      </w:r>
      <w:r w:rsidRPr="002E4298">
        <w:rPr>
          <w:lang w:val="fr-FR" w:bidi="fr-FR"/>
        </w:rPr>
        <w:t>18 a modifié l</w:t>
      </w:r>
      <w:r w:rsidR="00DB0699" w:rsidRPr="002E4298">
        <w:rPr>
          <w:lang w:val="fr-FR" w:bidi="fr-FR"/>
        </w:rPr>
        <w:t>’</w:t>
      </w:r>
      <w:r w:rsidRPr="002E4298">
        <w:rPr>
          <w:lang w:val="fr-FR" w:bidi="fr-FR"/>
        </w:rPr>
        <w:t>artic</w:t>
      </w:r>
      <w:r w:rsidR="00DC43BF" w:rsidRPr="002E4298">
        <w:rPr>
          <w:lang w:val="fr-FR" w:bidi="fr-FR"/>
        </w:rPr>
        <w:t xml:space="preserve">le </w:t>
      </w:r>
      <w:r w:rsidRPr="002E4298">
        <w:rPr>
          <w:lang w:val="fr-FR" w:bidi="fr-FR"/>
        </w:rPr>
        <w:t>12 du Code pénal pour y inclure une nouvelle circonstance aggravante</w:t>
      </w:r>
      <w:r w:rsidR="00DB0699" w:rsidRPr="002E4298">
        <w:rPr>
          <w:lang w:val="fr-FR" w:bidi="fr-FR"/>
        </w:rPr>
        <w:t> :</w:t>
      </w:r>
      <w:r w:rsidRPr="002E4298">
        <w:rPr>
          <w:lang w:val="fr-FR" w:bidi="fr-FR"/>
        </w:rPr>
        <w:t xml:space="preserve"> la diffusion, sur Internet ou par tout autre moyen de diffusion publique, de données personnelles, à savoir des image ou des sons, concernant la vie privée d</w:t>
      </w:r>
      <w:r w:rsidR="00DB0699" w:rsidRPr="002E4298">
        <w:rPr>
          <w:lang w:val="fr-FR" w:bidi="fr-FR"/>
        </w:rPr>
        <w:t>’</w:t>
      </w:r>
      <w:r w:rsidRPr="002E4298">
        <w:rPr>
          <w:lang w:val="fr-FR" w:bidi="fr-FR"/>
        </w:rPr>
        <w:t xml:space="preserve">une victime sans son consentement, auquel cas la peine est aggravée (de </w:t>
      </w:r>
      <w:r w:rsidR="00135318" w:rsidRPr="002E4298">
        <w:rPr>
          <w:lang w:val="fr-FR" w:bidi="fr-FR"/>
        </w:rPr>
        <w:t xml:space="preserve">deux </w:t>
      </w:r>
      <w:r w:rsidRPr="002E4298">
        <w:rPr>
          <w:lang w:val="fr-FR" w:bidi="fr-FR"/>
        </w:rPr>
        <w:t xml:space="preserve">à </w:t>
      </w:r>
      <w:r w:rsidR="003C7963" w:rsidRPr="002E4298">
        <w:rPr>
          <w:lang w:val="fr-FR" w:bidi="fr-FR"/>
        </w:rPr>
        <w:t xml:space="preserve">cinq </w:t>
      </w:r>
      <w:r w:rsidRPr="002E4298">
        <w:rPr>
          <w:lang w:val="fr-FR" w:bidi="fr-FR"/>
        </w:rPr>
        <w:t>années supplémentaires d</w:t>
      </w:r>
      <w:r w:rsidR="00DB0699" w:rsidRPr="002E4298">
        <w:rPr>
          <w:lang w:val="fr-FR" w:bidi="fr-FR"/>
        </w:rPr>
        <w:t>’</w:t>
      </w:r>
      <w:r w:rsidRPr="002E4298">
        <w:rPr>
          <w:lang w:val="fr-FR" w:bidi="fr-FR"/>
        </w:rPr>
        <w:t>emprisonnement).</w:t>
      </w:r>
    </w:p>
    <w:p w14:paraId="51DD6F86" w14:textId="0A509FA7" w:rsidR="002B314F" w:rsidRPr="002E4298" w:rsidRDefault="002B314F" w:rsidP="00A11C35">
      <w:pPr>
        <w:pStyle w:val="SingleTxt"/>
        <w:numPr>
          <w:ilvl w:val="0"/>
          <w:numId w:val="5"/>
        </w:numPr>
        <w:spacing w:line="240" w:lineRule="exact"/>
        <w:ind w:left="1267"/>
        <w:rPr>
          <w:lang w:val="fr-FR"/>
        </w:rPr>
      </w:pPr>
      <w:r w:rsidRPr="002E4298">
        <w:rPr>
          <w:lang w:val="fr-FR" w:bidi="fr-FR"/>
        </w:rPr>
        <w:t>Le Code pénal prévoit également l</w:t>
      </w:r>
      <w:r w:rsidR="00DB0699" w:rsidRPr="002E4298">
        <w:rPr>
          <w:lang w:val="fr-FR" w:bidi="fr-FR"/>
        </w:rPr>
        <w:t>’</w:t>
      </w:r>
      <w:r w:rsidRPr="002E4298">
        <w:rPr>
          <w:lang w:val="fr-FR" w:bidi="fr-FR"/>
        </w:rPr>
        <w:t>application de peines accessoires dans le cas spécifique de la violence domestique, telles que l</w:t>
      </w:r>
      <w:r w:rsidR="00DB0699" w:rsidRPr="002E4298">
        <w:rPr>
          <w:lang w:val="fr-FR" w:bidi="fr-FR"/>
        </w:rPr>
        <w:t>’</w:t>
      </w:r>
      <w:r w:rsidRPr="002E4298">
        <w:rPr>
          <w:lang w:val="fr-FR" w:bidi="fr-FR"/>
        </w:rPr>
        <w:t>interdiction d</w:t>
      </w:r>
      <w:r w:rsidR="00DB0699" w:rsidRPr="002E4298">
        <w:rPr>
          <w:lang w:val="fr-FR" w:bidi="fr-FR"/>
        </w:rPr>
        <w:t>’</w:t>
      </w:r>
      <w:r w:rsidRPr="002E4298">
        <w:rPr>
          <w:lang w:val="fr-FR" w:bidi="fr-FR"/>
        </w:rPr>
        <w:t>entrer en contact avec la victime, l</w:t>
      </w:r>
      <w:r w:rsidR="00DB0699" w:rsidRPr="002E4298">
        <w:rPr>
          <w:lang w:val="fr-FR" w:bidi="fr-FR"/>
        </w:rPr>
        <w:t>’</w:t>
      </w:r>
      <w:r w:rsidRPr="002E4298">
        <w:rPr>
          <w:lang w:val="fr-FR" w:bidi="fr-FR"/>
        </w:rPr>
        <w:t>interdiction d</w:t>
      </w:r>
      <w:r w:rsidR="00DB0699" w:rsidRPr="002E4298">
        <w:rPr>
          <w:lang w:val="fr-FR" w:bidi="fr-FR"/>
        </w:rPr>
        <w:t>’</w:t>
      </w:r>
      <w:r w:rsidRPr="002E4298">
        <w:rPr>
          <w:lang w:val="fr-FR" w:bidi="fr-FR"/>
        </w:rPr>
        <w:t xml:space="preserve">utiliser et de porter des armes pendant une période pouvant aller de </w:t>
      </w:r>
      <w:r w:rsidR="003C7963" w:rsidRPr="002E4298">
        <w:rPr>
          <w:lang w:val="fr-FR" w:bidi="fr-FR"/>
        </w:rPr>
        <w:t xml:space="preserve">six </w:t>
      </w:r>
      <w:r w:rsidRPr="002E4298">
        <w:rPr>
          <w:lang w:val="fr-FR" w:bidi="fr-FR"/>
        </w:rPr>
        <w:t xml:space="preserve">mois à </w:t>
      </w:r>
      <w:r w:rsidR="003C7963" w:rsidRPr="002E4298">
        <w:rPr>
          <w:lang w:val="fr-FR" w:bidi="fr-FR"/>
        </w:rPr>
        <w:t xml:space="preserve">cinq </w:t>
      </w:r>
      <w:r w:rsidRPr="002E4298">
        <w:rPr>
          <w:lang w:val="fr-FR" w:bidi="fr-FR"/>
        </w:rPr>
        <w:t>ans, et l</w:t>
      </w:r>
      <w:r w:rsidR="00DB0699" w:rsidRPr="002E4298">
        <w:rPr>
          <w:lang w:val="fr-FR" w:bidi="fr-FR"/>
        </w:rPr>
        <w:t>’</w:t>
      </w:r>
      <w:r w:rsidRPr="002E4298">
        <w:rPr>
          <w:lang w:val="fr-FR" w:bidi="fr-FR"/>
        </w:rPr>
        <w:t>obligation de suivre des programmes spécifiques de prévention de la violence domestique. En outre, le juge peut décider de retirer à l</w:t>
      </w:r>
      <w:r w:rsidR="00DB0699" w:rsidRPr="002E4298">
        <w:rPr>
          <w:lang w:val="fr-FR" w:bidi="fr-FR"/>
        </w:rPr>
        <w:t>’</w:t>
      </w:r>
      <w:r w:rsidRPr="002E4298">
        <w:rPr>
          <w:lang w:val="fr-FR" w:bidi="fr-FR"/>
        </w:rPr>
        <w:t>auteur son autorité parentale, de tutelle ou de curatelle pendant une période d</w:t>
      </w:r>
      <w:r w:rsidR="00DB0699" w:rsidRPr="002E4298">
        <w:rPr>
          <w:lang w:val="fr-FR" w:bidi="fr-FR"/>
        </w:rPr>
        <w:t>’</w:t>
      </w:r>
      <w:r w:rsidRPr="002E4298">
        <w:rPr>
          <w:lang w:val="fr-FR" w:bidi="fr-FR"/>
        </w:rPr>
        <w:t>un à dix ans.</w:t>
      </w:r>
    </w:p>
    <w:p w14:paraId="370C5693" w14:textId="52098E60" w:rsidR="002B314F" w:rsidRPr="002E4298" w:rsidRDefault="002B314F" w:rsidP="00A11C35">
      <w:pPr>
        <w:pStyle w:val="SingleTxt"/>
        <w:numPr>
          <w:ilvl w:val="0"/>
          <w:numId w:val="5"/>
        </w:numPr>
        <w:spacing w:line="240" w:lineRule="exact"/>
        <w:ind w:left="1267"/>
        <w:rPr>
          <w:lang w:val="fr-FR"/>
        </w:rPr>
      </w:pPr>
      <w:r w:rsidRPr="002E4298">
        <w:rPr>
          <w:lang w:val="fr-FR" w:bidi="fr-FR"/>
        </w:rPr>
        <w:t>La loi nº 72/2015 du</w:t>
      </w:r>
      <w:r w:rsidR="00B23B6D" w:rsidRPr="002E4298">
        <w:rPr>
          <w:lang w:val="fr-FR" w:bidi="fr-FR"/>
        </w:rPr>
        <w:t xml:space="preserve"> 20</w:t>
      </w:r>
      <w:r w:rsidRPr="002E4298">
        <w:rPr>
          <w:lang w:val="fr-FR" w:bidi="fr-FR"/>
        </w:rPr>
        <w:t> juillet</w:t>
      </w:r>
      <w:r w:rsidR="00B23B6D" w:rsidRPr="002E4298">
        <w:rPr>
          <w:lang w:val="fr-FR" w:bidi="fr-FR"/>
        </w:rPr>
        <w:t xml:space="preserve"> 20</w:t>
      </w:r>
      <w:r w:rsidRPr="002E4298">
        <w:rPr>
          <w:lang w:val="fr-FR" w:bidi="fr-FR"/>
        </w:rPr>
        <w:t xml:space="preserve">15, et la loi nº 96/2017 </w:t>
      </w:r>
      <w:r w:rsidR="003E7581" w:rsidRPr="002E4298">
        <w:rPr>
          <w:lang w:val="fr-FR" w:bidi="fr-FR"/>
        </w:rPr>
        <w:t xml:space="preserve">du </w:t>
      </w:r>
      <w:r w:rsidRPr="002E4298">
        <w:rPr>
          <w:lang w:val="fr-FR" w:bidi="fr-FR"/>
        </w:rPr>
        <w:t>23 août</w:t>
      </w:r>
      <w:r w:rsidR="00B23B6D" w:rsidRPr="002E4298">
        <w:rPr>
          <w:lang w:val="fr-FR" w:bidi="fr-FR"/>
        </w:rPr>
        <w:t xml:space="preserve"> 20</w:t>
      </w:r>
      <w:r w:rsidRPr="002E4298">
        <w:rPr>
          <w:lang w:val="fr-FR" w:bidi="fr-FR"/>
        </w:rPr>
        <w:t>17, qui fixent les objectifs, les priorités et les orientations de la politique pénale pour les années</w:t>
      </w:r>
      <w:r w:rsidR="00B23B6D" w:rsidRPr="002E4298">
        <w:rPr>
          <w:lang w:val="fr-FR" w:bidi="fr-FR"/>
        </w:rPr>
        <w:t xml:space="preserve"> 20</w:t>
      </w:r>
      <w:r w:rsidRPr="002E4298">
        <w:rPr>
          <w:lang w:val="fr-FR" w:bidi="fr-FR"/>
        </w:rPr>
        <w:t>15-2017 et</w:t>
      </w:r>
      <w:r w:rsidR="00B23B6D" w:rsidRPr="002E4298">
        <w:rPr>
          <w:lang w:val="fr-FR" w:bidi="fr-FR"/>
        </w:rPr>
        <w:t xml:space="preserve"> 20</w:t>
      </w:r>
      <w:r w:rsidRPr="002E4298">
        <w:rPr>
          <w:lang w:val="fr-FR" w:bidi="fr-FR"/>
        </w:rPr>
        <w:t>17-2019, respectivement, définissent toutes deux la violence domestique comme une infraction pénale devant faire l</w:t>
      </w:r>
      <w:r w:rsidR="00DB0699" w:rsidRPr="002E4298">
        <w:rPr>
          <w:lang w:val="fr-FR" w:bidi="fr-FR"/>
        </w:rPr>
        <w:t>’</w:t>
      </w:r>
      <w:r w:rsidRPr="002E4298">
        <w:rPr>
          <w:lang w:val="fr-FR" w:bidi="fr-FR"/>
        </w:rPr>
        <w:t>objet d</w:t>
      </w:r>
      <w:r w:rsidR="00DB0699" w:rsidRPr="002E4298">
        <w:rPr>
          <w:lang w:val="fr-FR" w:bidi="fr-FR"/>
        </w:rPr>
        <w:t>’</w:t>
      </w:r>
      <w:r w:rsidRPr="002E4298">
        <w:rPr>
          <w:lang w:val="fr-FR" w:bidi="fr-FR"/>
        </w:rPr>
        <w:t>une prévention et d</w:t>
      </w:r>
      <w:r w:rsidR="00DB0699" w:rsidRPr="002E4298">
        <w:rPr>
          <w:lang w:val="fr-FR" w:bidi="fr-FR"/>
        </w:rPr>
        <w:t>’</w:t>
      </w:r>
      <w:r w:rsidRPr="002E4298">
        <w:rPr>
          <w:lang w:val="fr-FR" w:bidi="fr-FR"/>
        </w:rPr>
        <w:t>une enquête prioritaires.</w:t>
      </w:r>
    </w:p>
    <w:p w14:paraId="6C8F5DE0" w14:textId="53A7E85E" w:rsidR="00DB0699" w:rsidRPr="002E4298" w:rsidRDefault="002B314F" w:rsidP="00A11C35">
      <w:pPr>
        <w:pStyle w:val="SingleTxt"/>
        <w:numPr>
          <w:ilvl w:val="0"/>
          <w:numId w:val="5"/>
        </w:numPr>
        <w:spacing w:line="240" w:lineRule="exact"/>
        <w:ind w:left="1267"/>
        <w:rPr>
          <w:lang w:val="fr-FR" w:bidi="fr-FR"/>
        </w:rPr>
      </w:pPr>
      <w:r w:rsidRPr="002E4298">
        <w:rPr>
          <w:lang w:val="fr-FR" w:bidi="fr-FR"/>
        </w:rPr>
        <w:t>En</w:t>
      </w:r>
      <w:r w:rsidR="00B23B6D" w:rsidRPr="002E4298">
        <w:rPr>
          <w:lang w:val="fr-FR" w:bidi="fr-FR"/>
        </w:rPr>
        <w:t xml:space="preserve"> 20</w:t>
      </w:r>
      <w:r w:rsidRPr="002E4298">
        <w:rPr>
          <w:lang w:val="fr-FR" w:bidi="fr-FR"/>
        </w:rPr>
        <w:t>18, la Procureure générale de la République portugaise a créé un groupe de travail sur la violence domestique pour définir sa stratégie en matière de violence domestique, notamment l</w:t>
      </w:r>
      <w:r w:rsidR="00DB0699" w:rsidRPr="002E4298">
        <w:rPr>
          <w:lang w:val="fr-FR" w:bidi="fr-FR"/>
        </w:rPr>
        <w:t>’</w:t>
      </w:r>
      <w:r w:rsidRPr="002E4298">
        <w:rPr>
          <w:lang w:val="fr-FR" w:bidi="fr-FR"/>
        </w:rPr>
        <w:t>adoption de bonnes pratiques et la normalisation des procédures dans les tribunaux pénaux, ainsi que la coopération rapide avec les tribunaux des affaires familiales et les tribunaux pour enfants. Afin de garantir l</w:t>
      </w:r>
      <w:r w:rsidR="00DB0699" w:rsidRPr="002E4298">
        <w:rPr>
          <w:lang w:val="fr-FR" w:bidi="fr-FR"/>
        </w:rPr>
        <w:t>’</w:t>
      </w:r>
      <w:r w:rsidRPr="002E4298">
        <w:rPr>
          <w:lang w:val="fr-FR" w:bidi="fr-FR"/>
        </w:rPr>
        <w:t>efficacité des enquêtes et des poursuites, les enquêtes relatives à des soupçons de violence domestique sont confiées à des sections et des magistrats spécialisés.</w:t>
      </w:r>
    </w:p>
    <w:p w14:paraId="5C484C06" w14:textId="193B3E93" w:rsidR="00DB0699" w:rsidRPr="002E4298" w:rsidRDefault="002B314F" w:rsidP="00A11C35">
      <w:pPr>
        <w:pStyle w:val="SingleTxt"/>
        <w:numPr>
          <w:ilvl w:val="0"/>
          <w:numId w:val="5"/>
        </w:numPr>
        <w:spacing w:line="240" w:lineRule="exact"/>
        <w:ind w:left="1267"/>
        <w:rPr>
          <w:lang w:val="fr-FR" w:bidi="fr-FR"/>
        </w:rPr>
      </w:pPr>
      <w:r w:rsidRPr="002E4298">
        <w:rPr>
          <w:lang w:val="fr-FR" w:bidi="fr-FR"/>
        </w:rPr>
        <w:t>Il convient de noter que le nombre de plaintes pour violence domestique est resté relativement stable au cours de la période de rapport. En revanche, les enquêtes et les poursuites relatives à la violence domestique ont dans l</w:t>
      </w:r>
      <w:r w:rsidR="00DB0699" w:rsidRPr="002E4298">
        <w:rPr>
          <w:lang w:val="fr-FR" w:bidi="fr-FR"/>
        </w:rPr>
        <w:t>’</w:t>
      </w:r>
      <w:r w:rsidRPr="002E4298">
        <w:rPr>
          <w:lang w:val="fr-FR" w:bidi="fr-FR"/>
        </w:rPr>
        <w:t>ensemble augmenté, ainsi que le nombre de personnes condamnées pour cette infraction par les tribunaux pénaux de première instance. Comme le montre le tableau ci-dessous, de</w:t>
      </w:r>
      <w:r w:rsidR="00B23B6D" w:rsidRPr="002E4298">
        <w:rPr>
          <w:lang w:val="fr-FR" w:bidi="fr-FR"/>
        </w:rPr>
        <w:t xml:space="preserve"> 20</w:t>
      </w:r>
      <w:r w:rsidRPr="002E4298">
        <w:rPr>
          <w:lang w:val="fr-FR" w:bidi="fr-FR"/>
        </w:rPr>
        <w:t>14 à</w:t>
      </w:r>
      <w:r w:rsidR="00B23B6D" w:rsidRPr="002E4298">
        <w:rPr>
          <w:lang w:val="fr-FR" w:bidi="fr-FR"/>
        </w:rPr>
        <w:t xml:space="preserve"> 20</w:t>
      </w:r>
      <w:r w:rsidRPr="002E4298">
        <w:rPr>
          <w:lang w:val="fr-FR" w:bidi="fr-FR"/>
        </w:rPr>
        <w:t xml:space="preserve">17, le nombre de procédures a augmenté </w:t>
      </w:r>
      <w:r w:rsidR="00DC43BF" w:rsidRPr="002E4298">
        <w:rPr>
          <w:lang w:val="fr-FR" w:bidi="fr-FR"/>
        </w:rPr>
        <w:t xml:space="preserve">de </w:t>
      </w:r>
      <w:r w:rsidRPr="002E4298">
        <w:rPr>
          <w:lang w:val="fr-FR" w:bidi="fr-FR"/>
        </w:rPr>
        <w:t>19</w:t>
      </w:r>
      <w:r w:rsidR="00DB0699" w:rsidRPr="002E4298">
        <w:rPr>
          <w:lang w:val="fr-FR" w:bidi="fr-FR"/>
        </w:rPr>
        <w:t> %</w:t>
      </w:r>
      <w:r w:rsidRPr="002E4298">
        <w:rPr>
          <w:lang w:val="fr-FR" w:bidi="fr-FR"/>
        </w:rPr>
        <w:t>, le nombre de personnes mises en cause de 18</w:t>
      </w:r>
      <w:r w:rsidR="00DB0699" w:rsidRPr="002E4298">
        <w:rPr>
          <w:lang w:val="fr-FR" w:bidi="fr-FR"/>
        </w:rPr>
        <w:t> %</w:t>
      </w:r>
      <w:r w:rsidRPr="002E4298">
        <w:rPr>
          <w:lang w:val="fr-FR" w:bidi="fr-FR"/>
        </w:rPr>
        <w:t xml:space="preserve">, et le nombre de personnes condamnées </w:t>
      </w:r>
      <w:r w:rsidR="00DC43BF" w:rsidRPr="002E4298">
        <w:rPr>
          <w:lang w:val="fr-FR" w:bidi="fr-FR"/>
        </w:rPr>
        <w:t xml:space="preserve">de </w:t>
      </w:r>
      <w:r w:rsidRPr="002E4298">
        <w:rPr>
          <w:lang w:val="fr-FR" w:bidi="fr-FR"/>
        </w:rPr>
        <w:t>14</w:t>
      </w:r>
      <w:r w:rsidR="00DB0699" w:rsidRPr="002E4298">
        <w:rPr>
          <w:lang w:val="fr-FR" w:bidi="fr-FR"/>
        </w:rPr>
        <w:t> %</w:t>
      </w:r>
      <w:r w:rsidRPr="002E4298">
        <w:rPr>
          <w:lang w:val="fr-FR" w:bidi="fr-FR"/>
        </w:rPr>
        <w:t>.</w:t>
      </w:r>
    </w:p>
    <w:p w14:paraId="5A54A441" w14:textId="12A76235" w:rsidR="00BF2097" w:rsidRPr="002E4298" w:rsidRDefault="00BF2097" w:rsidP="00130BB3">
      <w:pPr>
        <w:pStyle w:val="SingleTxt"/>
        <w:spacing w:after="0" w:line="240" w:lineRule="auto"/>
        <w:ind w:left="1854" w:hanging="360"/>
        <w:rPr>
          <w:lang w:val="fr-FR"/>
        </w:rPr>
      </w:pPr>
    </w:p>
    <w:p w14:paraId="65551908" w14:textId="77777777" w:rsidR="00A920BE" w:rsidRPr="002E4298" w:rsidRDefault="00A920BE" w:rsidP="00BF2097">
      <w:pPr>
        <w:pStyle w:val="SingleTxt"/>
        <w:rPr>
          <w:lang w:val="fr-FR"/>
        </w:rPr>
        <w:sectPr w:rsidR="00A920BE" w:rsidRPr="002E4298" w:rsidSect="0001022E">
          <w:type w:val="continuous"/>
          <w:pgSz w:w="12240" w:h="15840"/>
          <w:pgMar w:top="1440" w:right="1200" w:bottom="1152" w:left="1200" w:header="432" w:footer="504" w:gutter="0"/>
          <w:cols w:space="720"/>
          <w:noEndnote/>
          <w:docGrid w:linePitch="360"/>
        </w:sectPr>
      </w:pPr>
    </w:p>
    <w:tbl>
      <w:tblPr>
        <w:tblW w:w="13221" w:type="dxa"/>
        <w:tblLayout w:type="fixed"/>
        <w:tblCellMar>
          <w:left w:w="0" w:type="dxa"/>
          <w:right w:w="0" w:type="dxa"/>
        </w:tblCellMar>
        <w:tblLook w:val="04A0" w:firstRow="1" w:lastRow="0" w:firstColumn="1" w:lastColumn="0" w:noHBand="0" w:noVBand="1"/>
      </w:tblPr>
      <w:tblGrid>
        <w:gridCol w:w="1566"/>
        <w:gridCol w:w="117"/>
        <w:gridCol w:w="961"/>
        <w:gridCol w:w="962"/>
        <w:gridCol w:w="961"/>
        <w:gridCol w:w="131"/>
        <w:gridCol w:w="831"/>
        <w:gridCol w:w="961"/>
        <w:gridCol w:w="962"/>
        <w:gridCol w:w="126"/>
        <w:gridCol w:w="835"/>
        <w:gridCol w:w="962"/>
        <w:gridCol w:w="961"/>
        <w:gridCol w:w="131"/>
        <w:gridCol w:w="831"/>
        <w:gridCol w:w="961"/>
        <w:gridCol w:w="962"/>
      </w:tblGrid>
      <w:tr w:rsidR="00EA6C00" w:rsidRPr="002E4298" w14:paraId="5AEE3581" w14:textId="77777777" w:rsidTr="00EA6C00">
        <w:trPr>
          <w:tblHeader/>
        </w:trPr>
        <w:tc>
          <w:tcPr>
            <w:tcW w:w="1566" w:type="dxa"/>
            <w:tcBorders>
              <w:top w:val="single" w:sz="4" w:space="0" w:color="auto"/>
              <w:bottom w:val="single" w:sz="4" w:space="0" w:color="auto"/>
            </w:tcBorders>
            <w:shd w:val="clear" w:color="auto" w:fill="auto"/>
            <w:noWrap/>
            <w:vAlign w:val="bottom"/>
          </w:tcPr>
          <w:p w14:paraId="0172D6B0" w14:textId="77777777" w:rsidR="00EA6C00" w:rsidRPr="002E4298" w:rsidRDefault="00EA6C00" w:rsidP="00770302">
            <w:pPr>
              <w:suppressAutoHyphens/>
              <w:spacing w:before="81" w:after="81" w:line="160" w:lineRule="exact"/>
              <w:ind w:right="40"/>
              <w:rPr>
                <w:i/>
                <w:sz w:val="14"/>
                <w:lang w:val="fr-FR"/>
              </w:rPr>
            </w:pPr>
            <w:r w:rsidRPr="002E4298">
              <w:rPr>
                <w:i/>
                <w:sz w:val="14"/>
                <w:lang w:val="fr-FR"/>
              </w:rPr>
              <w:lastRenderedPageBreak/>
              <w:t>Année</w:t>
            </w:r>
          </w:p>
        </w:tc>
        <w:tc>
          <w:tcPr>
            <w:tcW w:w="117" w:type="dxa"/>
            <w:tcBorders>
              <w:top w:val="single" w:sz="4" w:space="0" w:color="auto"/>
            </w:tcBorders>
            <w:shd w:val="clear" w:color="auto" w:fill="auto"/>
            <w:vAlign w:val="bottom"/>
          </w:tcPr>
          <w:p w14:paraId="4583A98C" w14:textId="15949DB5" w:rsidR="00EA6C00" w:rsidRPr="002E4298" w:rsidRDefault="00EA6C00" w:rsidP="00770302">
            <w:pPr>
              <w:suppressAutoHyphens/>
              <w:spacing w:before="81" w:after="81" w:line="160" w:lineRule="exact"/>
              <w:ind w:right="40"/>
              <w:rPr>
                <w:i/>
                <w:sz w:val="14"/>
                <w:lang w:val="fr-FR"/>
              </w:rPr>
            </w:pPr>
          </w:p>
        </w:tc>
        <w:tc>
          <w:tcPr>
            <w:tcW w:w="2884" w:type="dxa"/>
            <w:gridSpan w:val="3"/>
            <w:tcBorders>
              <w:top w:val="single" w:sz="4" w:space="0" w:color="auto"/>
              <w:bottom w:val="single" w:sz="4" w:space="0" w:color="auto"/>
            </w:tcBorders>
            <w:shd w:val="clear" w:color="auto" w:fill="auto"/>
            <w:vAlign w:val="bottom"/>
          </w:tcPr>
          <w:p w14:paraId="5CD7258C" w14:textId="5DD8A562" w:rsidR="00EA6C00" w:rsidRPr="002E4298" w:rsidRDefault="00EA6C00" w:rsidP="00103025">
            <w:pPr>
              <w:suppressAutoHyphens/>
              <w:spacing w:before="81" w:after="81" w:line="160" w:lineRule="exact"/>
              <w:ind w:right="43"/>
              <w:jc w:val="center"/>
              <w:rPr>
                <w:i/>
                <w:sz w:val="14"/>
                <w:lang w:val="fr-FR"/>
              </w:rPr>
            </w:pPr>
            <w:r w:rsidRPr="002E4298">
              <w:rPr>
                <w:i/>
                <w:sz w:val="14"/>
                <w:lang w:val="fr-FR"/>
              </w:rPr>
              <w:t>2017</w:t>
            </w:r>
            <w:r w:rsidRPr="002E4298">
              <w:rPr>
                <w:rStyle w:val="FootnoteReference"/>
                <w:rFonts w:asciiTheme="majorBidi" w:hAnsiTheme="majorBidi" w:cstheme="majorBidi"/>
                <w:iCs/>
                <w:sz w:val="16"/>
                <w:szCs w:val="16"/>
                <w:lang w:val="fr-FR" w:bidi="fr-FR"/>
              </w:rPr>
              <w:footnoteReference w:id="15"/>
            </w:r>
          </w:p>
        </w:tc>
        <w:tc>
          <w:tcPr>
            <w:tcW w:w="131" w:type="dxa"/>
            <w:tcBorders>
              <w:top w:val="single" w:sz="4" w:space="0" w:color="auto"/>
            </w:tcBorders>
            <w:shd w:val="clear" w:color="auto" w:fill="auto"/>
            <w:vAlign w:val="bottom"/>
          </w:tcPr>
          <w:p w14:paraId="04BB86CA" w14:textId="77777777" w:rsidR="00EA6C00" w:rsidRPr="002E4298" w:rsidRDefault="00EA6C00" w:rsidP="00103025">
            <w:pPr>
              <w:suppressAutoHyphens/>
              <w:spacing w:before="81" w:after="81" w:line="160" w:lineRule="exact"/>
              <w:ind w:right="43"/>
              <w:jc w:val="center"/>
              <w:rPr>
                <w:i/>
                <w:sz w:val="14"/>
                <w:lang w:val="fr-FR"/>
              </w:rPr>
            </w:pPr>
          </w:p>
        </w:tc>
        <w:tc>
          <w:tcPr>
            <w:tcW w:w="2754" w:type="dxa"/>
            <w:gridSpan w:val="3"/>
            <w:tcBorders>
              <w:top w:val="single" w:sz="4" w:space="0" w:color="auto"/>
              <w:bottom w:val="single" w:sz="4" w:space="0" w:color="auto"/>
            </w:tcBorders>
            <w:shd w:val="clear" w:color="auto" w:fill="auto"/>
            <w:vAlign w:val="bottom"/>
          </w:tcPr>
          <w:p w14:paraId="513E5D14" w14:textId="5ACBCD8F" w:rsidR="00EA6C00" w:rsidRPr="002E4298" w:rsidRDefault="00EA6C00" w:rsidP="00103025">
            <w:pPr>
              <w:suppressAutoHyphens/>
              <w:spacing w:before="81" w:after="81" w:line="160" w:lineRule="exact"/>
              <w:ind w:right="43"/>
              <w:jc w:val="center"/>
              <w:rPr>
                <w:i/>
                <w:sz w:val="14"/>
                <w:lang w:val="fr-FR"/>
              </w:rPr>
            </w:pPr>
            <w:r w:rsidRPr="002E4298">
              <w:rPr>
                <w:i/>
                <w:sz w:val="14"/>
                <w:lang w:val="fr-FR"/>
              </w:rPr>
              <w:t>2016</w:t>
            </w:r>
          </w:p>
        </w:tc>
        <w:tc>
          <w:tcPr>
            <w:tcW w:w="126" w:type="dxa"/>
            <w:tcBorders>
              <w:top w:val="single" w:sz="4" w:space="0" w:color="auto"/>
            </w:tcBorders>
            <w:shd w:val="clear" w:color="auto" w:fill="auto"/>
            <w:vAlign w:val="bottom"/>
          </w:tcPr>
          <w:p w14:paraId="25ACFE83" w14:textId="77777777" w:rsidR="00EA6C00" w:rsidRPr="002E4298" w:rsidRDefault="00EA6C00" w:rsidP="00103025">
            <w:pPr>
              <w:suppressAutoHyphens/>
              <w:spacing w:before="81" w:after="81" w:line="160" w:lineRule="exact"/>
              <w:ind w:right="43"/>
              <w:jc w:val="center"/>
              <w:rPr>
                <w:i/>
                <w:sz w:val="14"/>
                <w:lang w:val="fr-FR"/>
              </w:rPr>
            </w:pPr>
          </w:p>
        </w:tc>
        <w:tc>
          <w:tcPr>
            <w:tcW w:w="2758" w:type="dxa"/>
            <w:gridSpan w:val="3"/>
            <w:tcBorders>
              <w:top w:val="single" w:sz="4" w:space="0" w:color="auto"/>
              <w:bottom w:val="single" w:sz="4" w:space="0" w:color="auto"/>
            </w:tcBorders>
            <w:shd w:val="clear" w:color="auto" w:fill="auto"/>
            <w:vAlign w:val="bottom"/>
          </w:tcPr>
          <w:p w14:paraId="0AEA8C52" w14:textId="599A7CA0" w:rsidR="00EA6C00" w:rsidRPr="002E4298" w:rsidRDefault="00EA6C00" w:rsidP="00103025">
            <w:pPr>
              <w:suppressAutoHyphens/>
              <w:spacing w:before="81" w:after="81" w:line="160" w:lineRule="exact"/>
              <w:ind w:right="43"/>
              <w:jc w:val="center"/>
              <w:rPr>
                <w:i/>
                <w:sz w:val="14"/>
                <w:lang w:val="fr-FR"/>
              </w:rPr>
            </w:pPr>
            <w:r w:rsidRPr="002E4298">
              <w:rPr>
                <w:i/>
                <w:sz w:val="14"/>
                <w:lang w:val="fr-FR"/>
              </w:rPr>
              <w:t>2015</w:t>
            </w:r>
          </w:p>
        </w:tc>
        <w:tc>
          <w:tcPr>
            <w:tcW w:w="131" w:type="dxa"/>
            <w:tcBorders>
              <w:top w:val="single" w:sz="4" w:space="0" w:color="auto"/>
            </w:tcBorders>
            <w:shd w:val="clear" w:color="auto" w:fill="auto"/>
            <w:vAlign w:val="bottom"/>
          </w:tcPr>
          <w:p w14:paraId="09ECB820" w14:textId="77777777" w:rsidR="00EA6C00" w:rsidRPr="002E4298" w:rsidRDefault="00EA6C00" w:rsidP="00103025">
            <w:pPr>
              <w:suppressAutoHyphens/>
              <w:spacing w:before="81" w:after="81" w:line="160" w:lineRule="exact"/>
              <w:ind w:right="43"/>
              <w:jc w:val="center"/>
              <w:rPr>
                <w:i/>
                <w:sz w:val="14"/>
                <w:lang w:val="fr-FR"/>
              </w:rPr>
            </w:pPr>
          </w:p>
        </w:tc>
        <w:tc>
          <w:tcPr>
            <w:tcW w:w="2754" w:type="dxa"/>
            <w:gridSpan w:val="3"/>
            <w:tcBorders>
              <w:top w:val="single" w:sz="4" w:space="0" w:color="auto"/>
              <w:bottom w:val="single" w:sz="4" w:space="0" w:color="auto"/>
            </w:tcBorders>
            <w:shd w:val="clear" w:color="auto" w:fill="auto"/>
            <w:vAlign w:val="bottom"/>
          </w:tcPr>
          <w:p w14:paraId="46879865" w14:textId="3E81E15E" w:rsidR="00EA6C00" w:rsidRPr="002E4298" w:rsidRDefault="00EA6C00" w:rsidP="00103025">
            <w:pPr>
              <w:suppressAutoHyphens/>
              <w:spacing w:before="81" w:after="81" w:line="160" w:lineRule="exact"/>
              <w:ind w:right="43"/>
              <w:jc w:val="center"/>
              <w:rPr>
                <w:i/>
                <w:sz w:val="14"/>
                <w:lang w:val="fr-FR"/>
              </w:rPr>
            </w:pPr>
            <w:r w:rsidRPr="002E4298">
              <w:rPr>
                <w:i/>
                <w:sz w:val="14"/>
                <w:lang w:val="fr-FR"/>
              </w:rPr>
              <w:t>2014</w:t>
            </w:r>
          </w:p>
        </w:tc>
      </w:tr>
      <w:tr w:rsidR="00770302" w:rsidRPr="002E4298" w14:paraId="1B7E46FE" w14:textId="77777777" w:rsidTr="00EA6C00">
        <w:trPr>
          <w:tblHeader/>
        </w:trPr>
        <w:tc>
          <w:tcPr>
            <w:tcW w:w="1683" w:type="dxa"/>
            <w:gridSpan w:val="2"/>
            <w:tcBorders>
              <w:bottom w:val="single" w:sz="12" w:space="0" w:color="auto"/>
            </w:tcBorders>
            <w:shd w:val="clear" w:color="auto" w:fill="auto"/>
            <w:noWrap/>
            <w:vAlign w:val="bottom"/>
          </w:tcPr>
          <w:p w14:paraId="7F877565" w14:textId="77777777" w:rsidR="00BB0956" w:rsidRPr="002E4298" w:rsidRDefault="00BB0956" w:rsidP="00770302">
            <w:pPr>
              <w:suppressAutoHyphens/>
              <w:spacing w:before="81" w:after="81" w:line="160" w:lineRule="exact"/>
              <w:ind w:right="40"/>
              <w:rPr>
                <w:i/>
                <w:sz w:val="14"/>
                <w:lang w:val="fr-FR"/>
              </w:rPr>
            </w:pPr>
            <w:r w:rsidRPr="002E4298">
              <w:rPr>
                <w:i/>
                <w:sz w:val="14"/>
                <w:lang w:val="fr-FR"/>
              </w:rPr>
              <w:t xml:space="preserve">Infraction </w:t>
            </w:r>
          </w:p>
        </w:tc>
        <w:tc>
          <w:tcPr>
            <w:tcW w:w="961" w:type="dxa"/>
            <w:tcBorders>
              <w:top w:val="single" w:sz="4" w:space="0" w:color="auto"/>
              <w:bottom w:val="single" w:sz="12" w:space="0" w:color="auto"/>
            </w:tcBorders>
            <w:shd w:val="clear" w:color="auto" w:fill="auto"/>
            <w:vAlign w:val="bottom"/>
          </w:tcPr>
          <w:p w14:paraId="0AAF943D" w14:textId="77777777" w:rsidR="00BB0956" w:rsidRPr="002E4298" w:rsidRDefault="00BB0956" w:rsidP="00770302">
            <w:pPr>
              <w:suppressAutoHyphens/>
              <w:spacing w:before="81" w:after="81" w:line="160" w:lineRule="exact"/>
              <w:ind w:right="43"/>
              <w:jc w:val="right"/>
              <w:rPr>
                <w:i/>
                <w:sz w:val="14"/>
                <w:lang w:val="fr-FR"/>
              </w:rPr>
            </w:pPr>
            <w:r w:rsidRPr="002E4298">
              <w:rPr>
                <w:i/>
                <w:sz w:val="14"/>
                <w:lang w:val="fr-FR"/>
              </w:rPr>
              <w:t>Procédures</w:t>
            </w:r>
          </w:p>
        </w:tc>
        <w:tc>
          <w:tcPr>
            <w:tcW w:w="962" w:type="dxa"/>
            <w:tcBorders>
              <w:top w:val="single" w:sz="4" w:space="0" w:color="auto"/>
              <w:bottom w:val="single" w:sz="12" w:space="0" w:color="auto"/>
            </w:tcBorders>
            <w:shd w:val="clear" w:color="auto" w:fill="auto"/>
            <w:vAlign w:val="bottom"/>
          </w:tcPr>
          <w:p w14:paraId="0CD6950C" w14:textId="4A0C2C7D" w:rsidR="00BB0956" w:rsidRPr="002E4298" w:rsidRDefault="00BB0956" w:rsidP="00770302">
            <w:pPr>
              <w:suppressAutoHyphens/>
              <w:spacing w:before="81" w:after="81" w:line="160" w:lineRule="exact"/>
              <w:ind w:right="43"/>
              <w:jc w:val="right"/>
              <w:rPr>
                <w:i/>
                <w:sz w:val="14"/>
                <w:lang w:val="fr-FR"/>
              </w:rPr>
            </w:pPr>
            <w:r w:rsidRPr="002E4298">
              <w:rPr>
                <w:i/>
                <w:sz w:val="14"/>
                <w:lang w:val="fr-FR"/>
              </w:rPr>
              <w:t>Personnes mises</w:t>
            </w:r>
            <w:r w:rsidR="00770302" w:rsidRPr="002E4298">
              <w:rPr>
                <w:i/>
                <w:sz w:val="14"/>
                <w:lang w:val="fr-FR"/>
              </w:rPr>
              <w:br/>
            </w:r>
            <w:r w:rsidRPr="002E4298">
              <w:rPr>
                <w:i/>
                <w:sz w:val="14"/>
                <w:lang w:val="fr-FR"/>
              </w:rPr>
              <w:t>en cause</w:t>
            </w:r>
          </w:p>
        </w:tc>
        <w:tc>
          <w:tcPr>
            <w:tcW w:w="961" w:type="dxa"/>
            <w:tcBorders>
              <w:top w:val="single" w:sz="4" w:space="0" w:color="auto"/>
              <w:bottom w:val="single" w:sz="12" w:space="0" w:color="auto"/>
            </w:tcBorders>
            <w:shd w:val="clear" w:color="auto" w:fill="auto"/>
            <w:vAlign w:val="bottom"/>
          </w:tcPr>
          <w:p w14:paraId="1F209945" w14:textId="77777777" w:rsidR="00BB0956" w:rsidRPr="002E4298" w:rsidRDefault="00BB0956" w:rsidP="00770302">
            <w:pPr>
              <w:suppressAutoHyphens/>
              <w:spacing w:before="81" w:after="81" w:line="160" w:lineRule="exact"/>
              <w:ind w:right="43"/>
              <w:jc w:val="right"/>
              <w:rPr>
                <w:i/>
                <w:sz w:val="14"/>
                <w:lang w:val="fr-FR"/>
              </w:rPr>
            </w:pPr>
            <w:r w:rsidRPr="002E4298">
              <w:rPr>
                <w:i/>
                <w:sz w:val="14"/>
                <w:lang w:val="fr-FR"/>
              </w:rPr>
              <w:t>Personnes condamnées</w:t>
            </w:r>
          </w:p>
        </w:tc>
        <w:tc>
          <w:tcPr>
            <w:tcW w:w="962" w:type="dxa"/>
            <w:gridSpan w:val="2"/>
            <w:tcBorders>
              <w:bottom w:val="single" w:sz="12" w:space="0" w:color="auto"/>
            </w:tcBorders>
            <w:shd w:val="clear" w:color="auto" w:fill="auto"/>
            <w:vAlign w:val="bottom"/>
          </w:tcPr>
          <w:p w14:paraId="40A4B07A" w14:textId="77777777" w:rsidR="00BB0956" w:rsidRPr="002E4298" w:rsidRDefault="00BB0956" w:rsidP="00770302">
            <w:pPr>
              <w:suppressAutoHyphens/>
              <w:spacing w:before="81" w:after="81" w:line="160" w:lineRule="exact"/>
              <w:ind w:right="43"/>
              <w:jc w:val="right"/>
              <w:rPr>
                <w:i/>
                <w:sz w:val="14"/>
                <w:lang w:val="fr-FR"/>
              </w:rPr>
            </w:pPr>
            <w:r w:rsidRPr="002E4298">
              <w:rPr>
                <w:i/>
                <w:sz w:val="14"/>
                <w:lang w:val="fr-FR"/>
              </w:rPr>
              <w:t>Procédures</w:t>
            </w:r>
          </w:p>
        </w:tc>
        <w:tc>
          <w:tcPr>
            <w:tcW w:w="961" w:type="dxa"/>
            <w:tcBorders>
              <w:bottom w:val="single" w:sz="12" w:space="0" w:color="auto"/>
            </w:tcBorders>
            <w:shd w:val="clear" w:color="auto" w:fill="auto"/>
            <w:vAlign w:val="bottom"/>
          </w:tcPr>
          <w:p w14:paraId="09130BF2" w14:textId="1C6FB6A1" w:rsidR="00BB0956" w:rsidRPr="002E4298" w:rsidRDefault="00BB0956" w:rsidP="00770302">
            <w:pPr>
              <w:suppressAutoHyphens/>
              <w:spacing w:before="81" w:after="81" w:line="160" w:lineRule="exact"/>
              <w:ind w:right="43"/>
              <w:jc w:val="right"/>
              <w:rPr>
                <w:i/>
                <w:sz w:val="14"/>
                <w:lang w:val="fr-FR"/>
              </w:rPr>
            </w:pPr>
            <w:r w:rsidRPr="002E4298">
              <w:rPr>
                <w:i/>
                <w:sz w:val="14"/>
                <w:lang w:val="fr-FR"/>
              </w:rPr>
              <w:t>Personnes mises</w:t>
            </w:r>
            <w:r w:rsidR="00770302" w:rsidRPr="002E4298">
              <w:rPr>
                <w:i/>
                <w:sz w:val="14"/>
                <w:lang w:val="fr-FR"/>
              </w:rPr>
              <w:br/>
            </w:r>
            <w:r w:rsidRPr="002E4298">
              <w:rPr>
                <w:i/>
                <w:sz w:val="14"/>
                <w:lang w:val="fr-FR"/>
              </w:rPr>
              <w:t>en cause</w:t>
            </w:r>
          </w:p>
        </w:tc>
        <w:tc>
          <w:tcPr>
            <w:tcW w:w="962" w:type="dxa"/>
            <w:tcBorders>
              <w:bottom w:val="single" w:sz="12" w:space="0" w:color="auto"/>
            </w:tcBorders>
            <w:shd w:val="clear" w:color="auto" w:fill="auto"/>
            <w:vAlign w:val="bottom"/>
          </w:tcPr>
          <w:p w14:paraId="3ABDEB4D" w14:textId="77777777" w:rsidR="00BB0956" w:rsidRPr="002E4298" w:rsidRDefault="00BB0956" w:rsidP="00770302">
            <w:pPr>
              <w:suppressAutoHyphens/>
              <w:spacing w:before="81" w:after="81" w:line="160" w:lineRule="exact"/>
              <w:ind w:right="43"/>
              <w:jc w:val="right"/>
              <w:rPr>
                <w:i/>
                <w:sz w:val="14"/>
                <w:lang w:val="fr-FR"/>
              </w:rPr>
            </w:pPr>
            <w:r w:rsidRPr="002E4298">
              <w:rPr>
                <w:i/>
                <w:sz w:val="14"/>
                <w:lang w:val="fr-FR"/>
              </w:rPr>
              <w:t>Personnes condamnées</w:t>
            </w:r>
          </w:p>
        </w:tc>
        <w:tc>
          <w:tcPr>
            <w:tcW w:w="961" w:type="dxa"/>
            <w:gridSpan w:val="2"/>
            <w:tcBorders>
              <w:bottom w:val="single" w:sz="12" w:space="0" w:color="auto"/>
            </w:tcBorders>
            <w:shd w:val="clear" w:color="auto" w:fill="auto"/>
            <w:vAlign w:val="bottom"/>
          </w:tcPr>
          <w:p w14:paraId="22F8BF24" w14:textId="77777777" w:rsidR="00BB0956" w:rsidRPr="002E4298" w:rsidRDefault="00BB0956" w:rsidP="00770302">
            <w:pPr>
              <w:suppressAutoHyphens/>
              <w:spacing w:before="81" w:after="81" w:line="160" w:lineRule="exact"/>
              <w:ind w:right="43"/>
              <w:jc w:val="right"/>
              <w:rPr>
                <w:i/>
                <w:sz w:val="14"/>
                <w:lang w:val="fr-FR"/>
              </w:rPr>
            </w:pPr>
            <w:r w:rsidRPr="002E4298">
              <w:rPr>
                <w:i/>
                <w:sz w:val="14"/>
                <w:lang w:val="fr-FR"/>
              </w:rPr>
              <w:t>Procédures</w:t>
            </w:r>
          </w:p>
        </w:tc>
        <w:tc>
          <w:tcPr>
            <w:tcW w:w="962" w:type="dxa"/>
            <w:tcBorders>
              <w:bottom w:val="single" w:sz="12" w:space="0" w:color="auto"/>
            </w:tcBorders>
            <w:shd w:val="clear" w:color="auto" w:fill="auto"/>
            <w:vAlign w:val="bottom"/>
          </w:tcPr>
          <w:p w14:paraId="3BC99D92" w14:textId="05ECE2EC" w:rsidR="00BB0956" w:rsidRPr="002E4298" w:rsidRDefault="00BB0956" w:rsidP="00770302">
            <w:pPr>
              <w:suppressAutoHyphens/>
              <w:spacing w:before="81" w:after="81" w:line="160" w:lineRule="exact"/>
              <w:ind w:right="43"/>
              <w:jc w:val="right"/>
              <w:rPr>
                <w:i/>
                <w:sz w:val="14"/>
                <w:lang w:val="fr-FR"/>
              </w:rPr>
            </w:pPr>
            <w:r w:rsidRPr="002E4298">
              <w:rPr>
                <w:i/>
                <w:sz w:val="14"/>
                <w:lang w:val="fr-FR"/>
              </w:rPr>
              <w:t>Personnes mises</w:t>
            </w:r>
            <w:r w:rsidR="00770302" w:rsidRPr="002E4298">
              <w:rPr>
                <w:i/>
                <w:sz w:val="14"/>
                <w:lang w:val="fr-FR"/>
              </w:rPr>
              <w:br/>
            </w:r>
            <w:r w:rsidRPr="002E4298">
              <w:rPr>
                <w:i/>
                <w:sz w:val="14"/>
                <w:lang w:val="fr-FR"/>
              </w:rPr>
              <w:t>en cause</w:t>
            </w:r>
          </w:p>
        </w:tc>
        <w:tc>
          <w:tcPr>
            <w:tcW w:w="961" w:type="dxa"/>
            <w:tcBorders>
              <w:bottom w:val="single" w:sz="12" w:space="0" w:color="auto"/>
            </w:tcBorders>
            <w:shd w:val="clear" w:color="auto" w:fill="auto"/>
            <w:vAlign w:val="bottom"/>
          </w:tcPr>
          <w:p w14:paraId="40AECD8B" w14:textId="77777777" w:rsidR="00BB0956" w:rsidRPr="002E4298" w:rsidRDefault="00BB0956" w:rsidP="00770302">
            <w:pPr>
              <w:suppressAutoHyphens/>
              <w:spacing w:before="81" w:after="81" w:line="160" w:lineRule="exact"/>
              <w:ind w:right="43"/>
              <w:jc w:val="right"/>
              <w:rPr>
                <w:i/>
                <w:sz w:val="14"/>
                <w:lang w:val="fr-FR"/>
              </w:rPr>
            </w:pPr>
            <w:r w:rsidRPr="002E4298">
              <w:rPr>
                <w:i/>
                <w:sz w:val="14"/>
                <w:lang w:val="fr-FR"/>
              </w:rPr>
              <w:t>Personnes condamnées</w:t>
            </w:r>
          </w:p>
        </w:tc>
        <w:tc>
          <w:tcPr>
            <w:tcW w:w="962" w:type="dxa"/>
            <w:gridSpan w:val="2"/>
            <w:tcBorders>
              <w:bottom w:val="single" w:sz="12" w:space="0" w:color="auto"/>
            </w:tcBorders>
            <w:shd w:val="clear" w:color="auto" w:fill="auto"/>
            <w:vAlign w:val="bottom"/>
          </w:tcPr>
          <w:p w14:paraId="0D102FBB" w14:textId="77777777" w:rsidR="00BB0956" w:rsidRPr="002E4298" w:rsidRDefault="00BB0956" w:rsidP="00770302">
            <w:pPr>
              <w:suppressAutoHyphens/>
              <w:spacing w:before="81" w:after="81" w:line="160" w:lineRule="exact"/>
              <w:ind w:right="43"/>
              <w:jc w:val="right"/>
              <w:rPr>
                <w:i/>
                <w:sz w:val="14"/>
                <w:lang w:val="fr-FR"/>
              </w:rPr>
            </w:pPr>
            <w:r w:rsidRPr="002E4298">
              <w:rPr>
                <w:i/>
                <w:sz w:val="14"/>
                <w:lang w:val="fr-FR"/>
              </w:rPr>
              <w:t>Procédures</w:t>
            </w:r>
          </w:p>
        </w:tc>
        <w:tc>
          <w:tcPr>
            <w:tcW w:w="961" w:type="dxa"/>
            <w:tcBorders>
              <w:bottom w:val="single" w:sz="12" w:space="0" w:color="auto"/>
            </w:tcBorders>
            <w:shd w:val="clear" w:color="auto" w:fill="auto"/>
            <w:vAlign w:val="bottom"/>
          </w:tcPr>
          <w:p w14:paraId="4103D16E" w14:textId="484FAC9D" w:rsidR="00BB0956" w:rsidRPr="002E4298" w:rsidRDefault="00BB0956" w:rsidP="00770302">
            <w:pPr>
              <w:suppressAutoHyphens/>
              <w:spacing w:before="81" w:after="81" w:line="160" w:lineRule="exact"/>
              <w:ind w:right="43"/>
              <w:jc w:val="right"/>
              <w:rPr>
                <w:i/>
                <w:sz w:val="14"/>
                <w:lang w:val="fr-FR"/>
              </w:rPr>
            </w:pPr>
            <w:r w:rsidRPr="002E4298">
              <w:rPr>
                <w:i/>
                <w:sz w:val="14"/>
                <w:lang w:val="fr-FR"/>
              </w:rPr>
              <w:t>Personnes mises</w:t>
            </w:r>
            <w:r w:rsidR="00770302" w:rsidRPr="002E4298">
              <w:rPr>
                <w:i/>
                <w:sz w:val="14"/>
                <w:lang w:val="fr-FR"/>
              </w:rPr>
              <w:br/>
            </w:r>
            <w:r w:rsidRPr="002E4298">
              <w:rPr>
                <w:i/>
                <w:sz w:val="14"/>
                <w:lang w:val="fr-FR"/>
              </w:rPr>
              <w:t>en cause</w:t>
            </w:r>
          </w:p>
        </w:tc>
        <w:tc>
          <w:tcPr>
            <w:tcW w:w="962" w:type="dxa"/>
            <w:tcBorders>
              <w:bottom w:val="single" w:sz="12" w:space="0" w:color="auto"/>
            </w:tcBorders>
            <w:shd w:val="clear" w:color="auto" w:fill="auto"/>
            <w:vAlign w:val="bottom"/>
          </w:tcPr>
          <w:p w14:paraId="4A864127" w14:textId="77777777" w:rsidR="00BB0956" w:rsidRPr="002E4298" w:rsidRDefault="00BB0956" w:rsidP="00770302">
            <w:pPr>
              <w:suppressAutoHyphens/>
              <w:spacing w:before="81" w:after="81" w:line="160" w:lineRule="exact"/>
              <w:ind w:right="43"/>
              <w:jc w:val="right"/>
              <w:rPr>
                <w:i/>
                <w:sz w:val="14"/>
                <w:lang w:val="fr-FR"/>
              </w:rPr>
            </w:pPr>
            <w:r w:rsidRPr="002E4298">
              <w:rPr>
                <w:i/>
                <w:sz w:val="14"/>
                <w:lang w:val="fr-FR"/>
              </w:rPr>
              <w:t>Personnes condamnées</w:t>
            </w:r>
          </w:p>
        </w:tc>
      </w:tr>
      <w:tr w:rsidR="00770302" w:rsidRPr="002E4298" w14:paraId="49D32B2C" w14:textId="77777777" w:rsidTr="00770302">
        <w:trPr>
          <w:trHeight w:hRule="exact" w:val="115"/>
          <w:tblHeader/>
        </w:trPr>
        <w:tc>
          <w:tcPr>
            <w:tcW w:w="1683" w:type="dxa"/>
            <w:gridSpan w:val="2"/>
            <w:tcBorders>
              <w:top w:val="single" w:sz="12" w:space="0" w:color="auto"/>
            </w:tcBorders>
            <w:shd w:val="clear" w:color="auto" w:fill="auto"/>
            <w:noWrap/>
            <w:vAlign w:val="bottom"/>
          </w:tcPr>
          <w:p w14:paraId="56763F3C" w14:textId="77777777" w:rsidR="00BB0956" w:rsidRPr="002E4298" w:rsidRDefault="00BB0956" w:rsidP="00770302">
            <w:pPr>
              <w:suppressAutoHyphens/>
              <w:spacing w:before="40" w:after="81" w:line="210" w:lineRule="exact"/>
              <w:ind w:right="40"/>
              <w:rPr>
                <w:sz w:val="17"/>
                <w:lang w:val="fr-FR"/>
              </w:rPr>
            </w:pPr>
          </w:p>
        </w:tc>
        <w:tc>
          <w:tcPr>
            <w:tcW w:w="961" w:type="dxa"/>
            <w:tcBorders>
              <w:top w:val="single" w:sz="12" w:space="0" w:color="auto"/>
            </w:tcBorders>
            <w:shd w:val="clear" w:color="auto" w:fill="auto"/>
            <w:vAlign w:val="bottom"/>
          </w:tcPr>
          <w:p w14:paraId="1164CD25" w14:textId="77777777" w:rsidR="00BB0956" w:rsidRPr="002E4298" w:rsidRDefault="00BB0956" w:rsidP="00770302">
            <w:pPr>
              <w:suppressAutoHyphens/>
              <w:spacing w:before="40" w:after="81" w:line="210" w:lineRule="exact"/>
              <w:ind w:right="43"/>
              <w:jc w:val="right"/>
              <w:rPr>
                <w:sz w:val="17"/>
                <w:lang w:val="fr-FR"/>
              </w:rPr>
            </w:pPr>
          </w:p>
        </w:tc>
        <w:tc>
          <w:tcPr>
            <w:tcW w:w="962" w:type="dxa"/>
            <w:tcBorders>
              <w:top w:val="single" w:sz="12" w:space="0" w:color="auto"/>
            </w:tcBorders>
            <w:shd w:val="clear" w:color="auto" w:fill="auto"/>
            <w:vAlign w:val="bottom"/>
          </w:tcPr>
          <w:p w14:paraId="631ED0F1" w14:textId="77777777" w:rsidR="00BB0956" w:rsidRPr="002E4298" w:rsidRDefault="00BB0956" w:rsidP="00770302">
            <w:pPr>
              <w:suppressAutoHyphens/>
              <w:spacing w:before="40" w:after="81" w:line="210" w:lineRule="exact"/>
              <w:ind w:right="43"/>
              <w:jc w:val="right"/>
              <w:rPr>
                <w:sz w:val="17"/>
                <w:lang w:val="fr-FR"/>
              </w:rPr>
            </w:pPr>
          </w:p>
        </w:tc>
        <w:tc>
          <w:tcPr>
            <w:tcW w:w="961" w:type="dxa"/>
            <w:tcBorders>
              <w:top w:val="single" w:sz="12" w:space="0" w:color="auto"/>
            </w:tcBorders>
            <w:shd w:val="clear" w:color="auto" w:fill="auto"/>
            <w:vAlign w:val="bottom"/>
          </w:tcPr>
          <w:p w14:paraId="304298D9" w14:textId="77777777" w:rsidR="00BB0956" w:rsidRPr="002E4298" w:rsidRDefault="00BB0956" w:rsidP="00770302">
            <w:pPr>
              <w:suppressAutoHyphens/>
              <w:spacing w:before="40" w:after="81" w:line="210" w:lineRule="exact"/>
              <w:ind w:right="43"/>
              <w:jc w:val="right"/>
              <w:rPr>
                <w:sz w:val="17"/>
                <w:lang w:val="fr-FR"/>
              </w:rPr>
            </w:pPr>
          </w:p>
        </w:tc>
        <w:tc>
          <w:tcPr>
            <w:tcW w:w="962" w:type="dxa"/>
            <w:gridSpan w:val="2"/>
            <w:tcBorders>
              <w:top w:val="single" w:sz="12" w:space="0" w:color="auto"/>
            </w:tcBorders>
            <w:shd w:val="clear" w:color="auto" w:fill="auto"/>
            <w:vAlign w:val="bottom"/>
          </w:tcPr>
          <w:p w14:paraId="05EE9ADF" w14:textId="77777777" w:rsidR="00BB0956" w:rsidRPr="002E4298" w:rsidRDefault="00BB0956" w:rsidP="00770302">
            <w:pPr>
              <w:suppressAutoHyphens/>
              <w:spacing w:before="40" w:after="81" w:line="210" w:lineRule="exact"/>
              <w:ind w:right="43"/>
              <w:jc w:val="right"/>
              <w:rPr>
                <w:sz w:val="17"/>
                <w:lang w:val="fr-FR"/>
              </w:rPr>
            </w:pPr>
          </w:p>
        </w:tc>
        <w:tc>
          <w:tcPr>
            <w:tcW w:w="961" w:type="dxa"/>
            <w:tcBorders>
              <w:top w:val="single" w:sz="12" w:space="0" w:color="auto"/>
            </w:tcBorders>
            <w:shd w:val="clear" w:color="auto" w:fill="auto"/>
            <w:vAlign w:val="bottom"/>
          </w:tcPr>
          <w:p w14:paraId="2DB80EEA" w14:textId="77777777" w:rsidR="00BB0956" w:rsidRPr="002E4298" w:rsidRDefault="00BB0956" w:rsidP="00770302">
            <w:pPr>
              <w:suppressAutoHyphens/>
              <w:spacing w:before="40" w:after="81" w:line="210" w:lineRule="exact"/>
              <w:ind w:right="43"/>
              <w:jc w:val="right"/>
              <w:rPr>
                <w:sz w:val="17"/>
                <w:lang w:val="fr-FR"/>
              </w:rPr>
            </w:pPr>
          </w:p>
        </w:tc>
        <w:tc>
          <w:tcPr>
            <w:tcW w:w="962" w:type="dxa"/>
            <w:tcBorders>
              <w:top w:val="single" w:sz="12" w:space="0" w:color="auto"/>
            </w:tcBorders>
            <w:shd w:val="clear" w:color="auto" w:fill="auto"/>
            <w:vAlign w:val="bottom"/>
          </w:tcPr>
          <w:p w14:paraId="0920FFCD" w14:textId="77777777" w:rsidR="00BB0956" w:rsidRPr="002E4298" w:rsidRDefault="00BB0956" w:rsidP="00770302">
            <w:pPr>
              <w:suppressAutoHyphens/>
              <w:spacing w:before="40" w:after="81" w:line="210" w:lineRule="exact"/>
              <w:ind w:right="43"/>
              <w:jc w:val="right"/>
              <w:rPr>
                <w:sz w:val="17"/>
                <w:lang w:val="fr-FR"/>
              </w:rPr>
            </w:pPr>
          </w:p>
        </w:tc>
        <w:tc>
          <w:tcPr>
            <w:tcW w:w="961" w:type="dxa"/>
            <w:gridSpan w:val="2"/>
            <w:tcBorders>
              <w:top w:val="single" w:sz="12" w:space="0" w:color="auto"/>
            </w:tcBorders>
            <w:shd w:val="clear" w:color="auto" w:fill="auto"/>
            <w:vAlign w:val="bottom"/>
          </w:tcPr>
          <w:p w14:paraId="52021850" w14:textId="77777777" w:rsidR="00BB0956" w:rsidRPr="002E4298" w:rsidRDefault="00BB0956" w:rsidP="00770302">
            <w:pPr>
              <w:suppressAutoHyphens/>
              <w:spacing w:before="40" w:after="81" w:line="210" w:lineRule="exact"/>
              <w:ind w:right="43"/>
              <w:jc w:val="right"/>
              <w:rPr>
                <w:sz w:val="17"/>
                <w:lang w:val="fr-FR"/>
              </w:rPr>
            </w:pPr>
          </w:p>
        </w:tc>
        <w:tc>
          <w:tcPr>
            <w:tcW w:w="962" w:type="dxa"/>
            <w:tcBorders>
              <w:top w:val="single" w:sz="12" w:space="0" w:color="auto"/>
            </w:tcBorders>
            <w:shd w:val="clear" w:color="auto" w:fill="auto"/>
            <w:vAlign w:val="bottom"/>
          </w:tcPr>
          <w:p w14:paraId="356BA1C9" w14:textId="77777777" w:rsidR="00BB0956" w:rsidRPr="002E4298" w:rsidRDefault="00BB0956" w:rsidP="00770302">
            <w:pPr>
              <w:suppressAutoHyphens/>
              <w:spacing w:before="40" w:after="81" w:line="210" w:lineRule="exact"/>
              <w:ind w:right="43"/>
              <w:jc w:val="right"/>
              <w:rPr>
                <w:sz w:val="17"/>
                <w:lang w:val="fr-FR"/>
              </w:rPr>
            </w:pPr>
          </w:p>
        </w:tc>
        <w:tc>
          <w:tcPr>
            <w:tcW w:w="961" w:type="dxa"/>
            <w:tcBorders>
              <w:top w:val="single" w:sz="12" w:space="0" w:color="auto"/>
            </w:tcBorders>
            <w:shd w:val="clear" w:color="auto" w:fill="auto"/>
            <w:vAlign w:val="bottom"/>
          </w:tcPr>
          <w:p w14:paraId="7D2A64FF" w14:textId="77777777" w:rsidR="00BB0956" w:rsidRPr="002E4298" w:rsidRDefault="00BB0956" w:rsidP="00770302">
            <w:pPr>
              <w:suppressAutoHyphens/>
              <w:spacing w:before="40" w:after="81" w:line="210" w:lineRule="exact"/>
              <w:ind w:right="43"/>
              <w:jc w:val="right"/>
              <w:rPr>
                <w:sz w:val="17"/>
                <w:lang w:val="fr-FR"/>
              </w:rPr>
            </w:pPr>
          </w:p>
        </w:tc>
        <w:tc>
          <w:tcPr>
            <w:tcW w:w="962" w:type="dxa"/>
            <w:gridSpan w:val="2"/>
            <w:tcBorders>
              <w:top w:val="single" w:sz="12" w:space="0" w:color="auto"/>
            </w:tcBorders>
            <w:shd w:val="clear" w:color="auto" w:fill="auto"/>
            <w:vAlign w:val="bottom"/>
          </w:tcPr>
          <w:p w14:paraId="5E7187B1" w14:textId="77777777" w:rsidR="00BB0956" w:rsidRPr="002E4298" w:rsidRDefault="00BB0956" w:rsidP="00770302">
            <w:pPr>
              <w:suppressAutoHyphens/>
              <w:spacing w:before="40" w:after="81" w:line="210" w:lineRule="exact"/>
              <w:ind w:right="43"/>
              <w:jc w:val="right"/>
              <w:rPr>
                <w:sz w:val="17"/>
                <w:lang w:val="fr-FR"/>
              </w:rPr>
            </w:pPr>
          </w:p>
        </w:tc>
        <w:tc>
          <w:tcPr>
            <w:tcW w:w="961" w:type="dxa"/>
            <w:tcBorders>
              <w:top w:val="single" w:sz="12" w:space="0" w:color="auto"/>
            </w:tcBorders>
            <w:shd w:val="clear" w:color="auto" w:fill="auto"/>
            <w:vAlign w:val="bottom"/>
          </w:tcPr>
          <w:p w14:paraId="446F7149" w14:textId="77777777" w:rsidR="00BB0956" w:rsidRPr="002E4298" w:rsidRDefault="00BB0956" w:rsidP="00770302">
            <w:pPr>
              <w:suppressAutoHyphens/>
              <w:spacing w:before="40" w:after="81" w:line="210" w:lineRule="exact"/>
              <w:ind w:right="43"/>
              <w:jc w:val="right"/>
              <w:rPr>
                <w:sz w:val="17"/>
                <w:lang w:val="fr-FR"/>
              </w:rPr>
            </w:pPr>
          </w:p>
        </w:tc>
        <w:tc>
          <w:tcPr>
            <w:tcW w:w="962" w:type="dxa"/>
            <w:tcBorders>
              <w:top w:val="single" w:sz="12" w:space="0" w:color="auto"/>
            </w:tcBorders>
            <w:shd w:val="clear" w:color="auto" w:fill="auto"/>
            <w:vAlign w:val="bottom"/>
          </w:tcPr>
          <w:p w14:paraId="0259CB26" w14:textId="77777777" w:rsidR="00BB0956" w:rsidRPr="002E4298" w:rsidRDefault="00BB0956" w:rsidP="00770302">
            <w:pPr>
              <w:suppressAutoHyphens/>
              <w:spacing w:before="40" w:after="81" w:line="210" w:lineRule="exact"/>
              <w:ind w:right="43"/>
              <w:jc w:val="right"/>
              <w:rPr>
                <w:sz w:val="17"/>
                <w:lang w:val="fr-FR"/>
              </w:rPr>
            </w:pPr>
          </w:p>
        </w:tc>
      </w:tr>
      <w:tr w:rsidR="00BB0956" w:rsidRPr="002E4298" w14:paraId="3F7F75D4" w14:textId="77777777" w:rsidTr="00770302">
        <w:tc>
          <w:tcPr>
            <w:tcW w:w="1683" w:type="dxa"/>
            <w:gridSpan w:val="2"/>
            <w:tcBorders>
              <w:bottom w:val="single" w:sz="4" w:space="0" w:color="auto"/>
            </w:tcBorders>
            <w:shd w:val="clear" w:color="auto" w:fill="auto"/>
            <w:noWrap/>
            <w:vAlign w:val="bottom"/>
            <w:hideMark/>
          </w:tcPr>
          <w:p w14:paraId="452C23EF" w14:textId="77777777" w:rsidR="00BB0956" w:rsidRPr="002E4298" w:rsidRDefault="00BB0956" w:rsidP="00770302">
            <w:pPr>
              <w:tabs>
                <w:tab w:val="left" w:pos="288"/>
                <w:tab w:val="left" w:pos="576"/>
                <w:tab w:val="left" w:pos="864"/>
                <w:tab w:val="left" w:pos="1152"/>
              </w:tabs>
              <w:suppressAutoHyphens/>
              <w:spacing w:before="40" w:after="81" w:line="210" w:lineRule="exact"/>
              <w:ind w:right="40"/>
              <w:rPr>
                <w:b/>
                <w:sz w:val="17"/>
                <w:lang w:val="fr-FR"/>
              </w:rPr>
            </w:pPr>
            <w:r w:rsidRPr="002E4298">
              <w:rPr>
                <w:b/>
                <w:sz w:val="17"/>
                <w:lang w:val="fr-FR"/>
              </w:rPr>
              <w:tab/>
              <w:t>Total</w:t>
            </w:r>
          </w:p>
        </w:tc>
        <w:tc>
          <w:tcPr>
            <w:tcW w:w="961" w:type="dxa"/>
            <w:tcBorders>
              <w:bottom w:val="single" w:sz="4" w:space="0" w:color="auto"/>
            </w:tcBorders>
            <w:shd w:val="clear" w:color="auto" w:fill="auto"/>
            <w:vAlign w:val="bottom"/>
          </w:tcPr>
          <w:p w14:paraId="496B5659" w14:textId="77777777" w:rsidR="00BB0956" w:rsidRPr="002E4298" w:rsidRDefault="00BB0956" w:rsidP="00770302">
            <w:pPr>
              <w:tabs>
                <w:tab w:val="left" w:pos="288"/>
                <w:tab w:val="left" w:pos="576"/>
                <w:tab w:val="left" w:pos="864"/>
                <w:tab w:val="left" w:pos="1152"/>
              </w:tabs>
              <w:suppressAutoHyphens/>
              <w:spacing w:before="40" w:after="81" w:line="210" w:lineRule="exact"/>
              <w:ind w:right="43"/>
              <w:jc w:val="right"/>
              <w:rPr>
                <w:b/>
                <w:sz w:val="17"/>
                <w:lang w:val="fr-FR"/>
              </w:rPr>
            </w:pPr>
            <w:r w:rsidRPr="002E4298">
              <w:rPr>
                <w:b/>
                <w:sz w:val="17"/>
                <w:lang w:val="fr-FR"/>
              </w:rPr>
              <w:t>3 423</w:t>
            </w:r>
          </w:p>
        </w:tc>
        <w:tc>
          <w:tcPr>
            <w:tcW w:w="962" w:type="dxa"/>
            <w:tcBorders>
              <w:bottom w:val="single" w:sz="4" w:space="0" w:color="auto"/>
            </w:tcBorders>
            <w:shd w:val="clear" w:color="auto" w:fill="auto"/>
            <w:vAlign w:val="bottom"/>
          </w:tcPr>
          <w:p w14:paraId="35DC7BF5" w14:textId="77777777" w:rsidR="00BB0956" w:rsidRPr="002E4298" w:rsidRDefault="00BB0956" w:rsidP="00770302">
            <w:pPr>
              <w:tabs>
                <w:tab w:val="left" w:pos="288"/>
                <w:tab w:val="left" w:pos="576"/>
                <w:tab w:val="left" w:pos="864"/>
                <w:tab w:val="left" w:pos="1152"/>
              </w:tabs>
              <w:suppressAutoHyphens/>
              <w:spacing w:before="40" w:after="81" w:line="210" w:lineRule="exact"/>
              <w:ind w:right="43"/>
              <w:jc w:val="right"/>
              <w:rPr>
                <w:b/>
                <w:sz w:val="17"/>
                <w:lang w:val="fr-FR"/>
              </w:rPr>
            </w:pPr>
            <w:r w:rsidRPr="002E4298">
              <w:rPr>
                <w:b/>
                <w:sz w:val="17"/>
                <w:lang w:val="fr-FR"/>
              </w:rPr>
              <w:t>3 589</w:t>
            </w:r>
          </w:p>
        </w:tc>
        <w:tc>
          <w:tcPr>
            <w:tcW w:w="961" w:type="dxa"/>
            <w:tcBorders>
              <w:bottom w:val="single" w:sz="4" w:space="0" w:color="auto"/>
            </w:tcBorders>
            <w:shd w:val="clear" w:color="auto" w:fill="auto"/>
            <w:vAlign w:val="bottom"/>
          </w:tcPr>
          <w:p w14:paraId="668C47DC" w14:textId="77777777" w:rsidR="00BB0956" w:rsidRPr="002E4298" w:rsidRDefault="00BB0956" w:rsidP="00770302">
            <w:pPr>
              <w:tabs>
                <w:tab w:val="left" w:pos="288"/>
                <w:tab w:val="left" w:pos="576"/>
                <w:tab w:val="left" w:pos="864"/>
                <w:tab w:val="left" w:pos="1152"/>
              </w:tabs>
              <w:suppressAutoHyphens/>
              <w:spacing w:before="40" w:after="81" w:line="210" w:lineRule="exact"/>
              <w:ind w:right="43"/>
              <w:jc w:val="right"/>
              <w:rPr>
                <w:b/>
                <w:sz w:val="17"/>
                <w:lang w:val="fr-FR"/>
              </w:rPr>
            </w:pPr>
            <w:r w:rsidRPr="002E4298">
              <w:rPr>
                <w:b/>
                <w:sz w:val="17"/>
                <w:lang w:val="fr-FR"/>
              </w:rPr>
              <w:t>1 917</w:t>
            </w:r>
          </w:p>
        </w:tc>
        <w:tc>
          <w:tcPr>
            <w:tcW w:w="962" w:type="dxa"/>
            <w:gridSpan w:val="2"/>
            <w:tcBorders>
              <w:bottom w:val="single" w:sz="4" w:space="0" w:color="auto"/>
            </w:tcBorders>
            <w:shd w:val="clear" w:color="auto" w:fill="auto"/>
            <w:vAlign w:val="bottom"/>
            <w:hideMark/>
          </w:tcPr>
          <w:p w14:paraId="2EADA54E" w14:textId="77777777" w:rsidR="00BB0956" w:rsidRPr="002E4298" w:rsidRDefault="00BB0956" w:rsidP="00770302">
            <w:pPr>
              <w:tabs>
                <w:tab w:val="left" w:pos="288"/>
                <w:tab w:val="left" w:pos="576"/>
                <w:tab w:val="left" w:pos="864"/>
                <w:tab w:val="left" w:pos="1152"/>
              </w:tabs>
              <w:suppressAutoHyphens/>
              <w:spacing w:before="40" w:after="81" w:line="210" w:lineRule="exact"/>
              <w:ind w:right="43"/>
              <w:jc w:val="right"/>
              <w:rPr>
                <w:b/>
                <w:sz w:val="17"/>
                <w:lang w:val="fr-FR"/>
              </w:rPr>
            </w:pPr>
            <w:r w:rsidRPr="002E4298">
              <w:rPr>
                <w:b/>
                <w:sz w:val="17"/>
                <w:lang w:val="fr-FR"/>
              </w:rPr>
              <w:t>3 647</w:t>
            </w:r>
          </w:p>
        </w:tc>
        <w:tc>
          <w:tcPr>
            <w:tcW w:w="961" w:type="dxa"/>
            <w:tcBorders>
              <w:bottom w:val="single" w:sz="4" w:space="0" w:color="auto"/>
            </w:tcBorders>
            <w:shd w:val="clear" w:color="auto" w:fill="auto"/>
            <w:vAlign w:val="bottom"/>
            <w:hideMark/>
          </w:tcPr>
          <w:p w14:paraId="56AB67C4" w14:textId="77777777" w:rsidR="00BB0956" w:rsidRPr="002E4298" w:rsidRDefault="00BB0956" w:rsidP="00770302">
            <w:pPr>
              <w:tabs>
                <w:tab w:val="left" w:pos="288"/>
                <w:tab w:val="left" w:pos="576"/>
                <w:tab w:val="left" w:pos="864"/>
                <w:tab w:val="left" w:pos="1152"/>
              </w:tabs>
              <w:suppressAutoHyphens/>
              <w:spacing w:before="40" w:after="81" w:line="210" w:lineRule="exact"/>
              <w:ind w:right="43"/>
              <w:jc w:val="right"/>
              <w:rPr>
                <w:b/>
                <w:sz w:val="17"/>
                <w:lang w:val="fr-FR"/>
              </w:rPr>
            </w:pPr>
            <w:r w:rsidRPr="002E4298">
              <w:rPr>
                <w:b/>
                <w:sz w:val="17"/>
                <w:lang w:val="fr-FR"/>
              </w:rPr>
              <w:t>3 841</w:t>
            </w:r>
          </w:p>
        </w:tc>
        <w:tc>
          <w:tcPr>
            <w:tcW w:w="962" w:type="dxa"/>
            <w:tcBorders>
              <w:bottom w:val="single" w:sz="4" w:space="0" w:color="auto"/>
            </w:tcBorders>
            <w:shd w:val="clear" w:color="auto" w:fill="auto"/>
            <w:vAlign w:val="bottom"/>
            <w:hideMark/>
          </w:tcPr>
          <w:p w14:paraId="08B8C085" w14:textId="77777777" w:rsidR="00BB0956" w:rsidRPr="002E4298" w:rsidRDefault="00BB0956" w:rsidP="00770302">
            <w:pPr>
              <w:tabs>
                <w:tab w:val="left" w:pos="288"/>
                <w:tab w:val="left" w:pos="576"/>
                <w:tab w:val="left" w:pos="864"/>
                <w:tab w:val="left" w:pos="1152"/>
              </w:tabs>
              <w:suppressAutoHyphens/>
              <w:spacing w:before="40" w:after="81" w:line="210" w:lineRule="exact"/>
              <w:ind w:right="43"/>
              <w:jc w:val="right"/>
              <w:rPr>
                <w:b/>
                <w:sz w:val="17"/>
                <w:lang w:val="fr-FR"/>
              </w:rPr>
            </w:pPr>
            <w:r w:rsidRPr="002E4298">
              <w:rPr>
                <w:b/>
                <w:sz w:val="17"/>
                <w:lang w:val="fr-FR"/>
              </w:rPr>
              <w:t>1 999</w:t>
            </w:r>
          </w:p>
        </w:tc>
        <w:tc>
          <w:tcPr>
            <w:tcW w:w="961" w:type="dxa"/>
            <w:gridSpan w:val="2"/>
            <w:tcBorders>
              <w:bottom w:val="single" w:sz="4" w:space="0" w:color="auto"/>
            </w:tcBorders>
            <w:shd w:val="clear" w:color="auto" w:fill="auto"/>
            <w:vAlign w:val="bottom"/>
            <w:hideMark/>
          </w:tcPr>
          <w:p w14:paraId="32BE5A86" w14:textId="77777777" w:rsidR="00BB0956" w:rsidRPr="002E4298" w:rsidRDefault="00BB0956" w:rsidP="00770302">
            <w:pPr>
              <w:tabs>
                <w:tab w:val="left" w:pos="288"/>
                <w:tab w:val="left" w:pos="576"/>
                <w:tab w:val="left" w:pos="864"/>
                <w:tab w:val="left" w:pos="1152"/>
              </w:tabs>
              <w:suppressAutoHyphens/>
              <w:spacing w:before="40" w:after="81" w:line="210" w:lineRule="exact"/>
              <w:ind w:right="43"/>
              <w:jc w:val="right"/>
              <w:rPr>
                <w:b/>
                <w:sz w:val="17"/>
                <w:lang w:val="fr-FR"/>
              </w:rPr>
            </w:pPr>
            <w:r w:rsidRPr="002E4298">
              <w:rPr>
                <w:b/>
                <w:sz w:val="17"/>
                <w:lang w:val="fr-FR"/>
              </w:rPr>
              <w:t>3 325</w:t>
            </w:r>
          </w:p>
        </w:tc>
        <w:tc>
          <w:tcPr>
            <w:tcW w:w="962" w:type="dxa"/>
            <w:tcBorders>
              <w:bottom w:val="single" w:sz="4" w:space="0" w:color="auto"/>
            </w:tcBorders>
            <w:shd w:val="clear" w:color="auto" w:fill="auto"/>
            <w:vAlign w:val="bottom"/>
            <w:hideMark/>
          </w:tcPr>
          <w:p w14:paraId="4BA3A6F6" w14:textId="77777777" w:rsidR="00BB0956" w:rsidRPr="002E4298" w:rsidRDefault="00BB0956" w:rsidP="00770302">
            <w:pPr>
              <w:tabs>
                <w:tab w:val="left" w:pos="288"/>
                <w:tab w:val="left" w:pos="576"/>
                <w:tab w:val="left" w:pos="864"/>
                <w:tab w:val="left" w:pos="1152"/>
              </w:tabs>
              <w:suppressAutoHyphens/>
              <w:spacing w:before="40" w:after="81" w:line="210" w:lineRule="exact"/>
              <w:ind w:right="43"/>
              <w:jc w:val="right"/>
              <w:rPr>
                <w:b/>
                <w:sz w:val="17"/>
                <w:lang w:val="fr-FR"/>
              </w:rPr>
            </w:pPr>
            <w:r w:rsidRPr="002E4298">
              <w:rPr>
                <w:b/>
                <w:sz w:val="17"/>
                <w:lang w:val="fr-FR"/>
              </w:rPr>
              <w:t>3 486</w:t>
            </w:r>
          </w:p>
        </w:tc>
        <w:tc>
          <w:tcPr>
            <w:tcW w:w="961" w:type="dxa"/>
            <w:tcBorders>
              <w:bottom w:val="single" w:sz="4" w:space="0" w:color="auto"/>
            </w:tcBorders>
            <w:shd w:val="clear" w:color="auto" w:fill="auto"/>
            <w:vAlign w:val="bottom"/>
            <w:hideMark/>
          </w:tcPr>
          <w:p w14:paraId="604914DD" w14:textId="77777777" w:rsidR="00BB0956" w:rsidRPr="002E4298" w:rsidRDefault="00BB0956" w:rsidP="00770302">
            <w:pPr>
              <w:tabs>
                <w:tab w:val="left" w:pos="288"/>
                <w:tab w:val="left" w:pos="576"/>
                <w:tab w:val="left" w:pos="864"/>
                <w:tab w:val="left" w:pos="1152"/>
              </w:tabs>
              <w:suppressAutoHyphens/>
              <w:spacing w:before="40" w:after="81" w:line="210" w:lineRule="exact"/>
              <w:ind w:right="43"/>
              <w:jc w:val="right"/>
              <w:rPr>
                <w:b/>
                <w:sz w:val="17"/>
                <w:lang w:val="fr-FR"/>
              </w:rPr>
            </w:pPr>
            <w:r w:rsidRPr="002E4298">
              <w:rPr>
                <w:b/>
                <w:sz w:val="17"/>
                <w:lang w:val="fr-FR"/>
              </w:rPr>
              <w:t>1 874</w:t>
            </w:r>
          </w:p>
        </w:tc>
        <w:tc>
          <w:tcPr>
            <w:tcW w:w="962" w:type="dxa"/>
            <w:gridSpan w:val="2"/>
            <w:tcBorders>
              <w:bottom w:val="single" w:sz="4" w:space="0" w:color="auto"/>
            </w:tcBorders>
            <w:shd w:val="clear" w:color="auto" w:fill="auto"/>
            <w:vAlign w:val="bottom"/>
            <w:hideMark/>
          </w:tcPr>
          <w:p w14:paraId="6EB258E5" w14:textId="77777777" w:rsidR="00BB0956" w:rsidRPr="002E4298" w:rsidRDefault="00BB0956" w:rsidP="00770302">
            <w:pPr>
              <w:tabs>
                <w:tab w:val="left" w:pos="288"/>
                <w:tab w:val="left" w:pos="576"/>
                <w:tab w:val="left" w:pos="864"/>
                <w:tab w:val="left" w:pos="1152"/>
              </w:tabs>
              <w:suppressAutoHyphens/>
              <w:spacing w:before="40" w:after="81" w:line="210" w:lineRule="exact"/>
              <w:ind w:right="43"/>
              <w:jc w:val="right"/>
              <w:rPr>
                <w:b/>
                <w:sz w:val="17"/>
                <w:lang w:val="fr-FR"/>
              </w:rPr>
            </w:pPr>
            <w:r w:rsidRPr="002E4298">
              <w:rPr>
                <w:b/>
                <w:sz w:val="17"/>
                <w:lang w:val="fr-FR"/>
              </w:rPr>
              <w:t>2 883</w:t>
            </w:r>
          </w:p>
        </w:tc>
        <w:tc>
          <w:tcPr>
            <w:tcW w:w="961" w:type="dxa"/>
            <w:tcBorders>
              <w:bottom w:val="single" w:sz="4" w:space="0" w:color="auto"/>
            </w:tcBorders>
            <w:shd w:val="clear" w:color="auto" w:fill="auto"/>
            <w:vAlign w:val="bottom"/>
            <w:hideMark/>
          </w:tcPr>
          <w:p w14:paraId="4B0937A3" w14:textId="77777777" w:rsidR="00BB0956" w:rsidRPr="002E4298" w:rsidRDefault="00BB0956" w:rsidP="00770302">
            <w:pPr>
              <w:tabs>
                <w:tab w:val="left" w:pos="288"/>
                <w:tab w:val="left" w:pos="576"/>
                <w:tab w:val="left" w:pos="864"/>
                <w:tab w:val="left" w:pos="1152"/>
              </w:tabs>
              <w:suppressAutoHyphens/>
              <w:spacing w:before="40" w:after="81" w:line="210" w:lineRule="exact"/>
              <w:ind w:right="43"/>
              <w:jc w:val="right"/>
              <w:rPr>
                <w:b/>
                <w:sz w:val="17"/>
                <w:lang w:val="fr-FR"/>
              </w:rPr>
            </w:pPr>
            <w:r w:rsidRPr="002E4298">
              <w:rPr>
                <w:b/>
                <w:sz w:val="17"/>
                <w:lang w:val="fr-FR"/>
              </w:rPr>
              <w:t>3 038</w:t>
            </w:r>
          </w:p>
        </w:tc>
        <w:tc>
          <w:tcPr>
            <w:tcW w:w="962" w:type="dxa"/>
            <w:tcBorders>
              <w:bottom w:val="single" w:sz="4" w:space="0" w:color="auto"/>
            </w:tcBorders>
            <w:shd w:val="clear" w:color="auto" w:fill="auto"/>
            <w:vAlign w:val="bottom"/>
            <w:hideMark/>
          </w:tcPr>
          <w:p w14:paraId="3BA8382A" w14:textId="77777777" w:rsidR="00BB0956" w:rsidRPr="002E4298" w:rsidRDefault="00BB0956" w:rsidP="00770302">
            <w:pPr>
              <w:tabs>
                <w:tab w:val="left" w:pos="288"/>
                <w:tab w:val="left" w:pos="576"/>
                <w:tab w:val="left" w:pos="864"/>
                <w:tab w:val="left" w:pos="1152"/>
              </w:tabs>
              <w:suppressAutoHyphens/>
              <w:spacing w:before="40" w:after="81" w:line="210" w:lineRule="exact"/>
              <w:ind w:right="43"/>
              <w:jc w:val="right"/>
              <w:rPr>
                <w:b/>
                <w:sz w:val="17"/>
                <w:lang w:val="fr-FR"/>
              </w:rPr>
            </w:pPr>
            <w:r w:rsidRPr="002E4298">
              <w:rPr>
                <w:b/>
                <w:sz w:val="17"/>
                <w:lang w:val="fr-FR"/>
              </w:rPr>
              <w:t>1 683</w:t>
            </w:r>
          </w:p>
        </w:tc>
      </w:tr>
      <w:tr w:rsidR="00BB0956" w:rsidRPr="002E4298" w14:paraId="7BAC9AE9" w14:textId="77777777" w:rsidTr="00770302">
        <w:tc>
          <w:tcPr>
            <w:tcW w:w="1683" w:type="dxa"/>
            <w:gridSpan w:val="2"/>
            <w:tcBorders>
              <w:top w:val="single" w:sz="4" w:space="0" w:color="auto"/>
            </w:tcBorders>
            <w:shd w:val="clear" w:color="auto" w:fill="auto"/>
            <w:noWrap/>
            <w:vAlign w:val="bottom"/>
          </w:tcPr>
          <w:p w14:paraId="17D8264D" w14:textId="5D26F404" w:rsidR="00BB0956" w:rsidRPr="002E4298" w:rsidRDefault="00BB0956" w:rsidP="00770302">
            <w:pPr>
              <w:tabs>
                <w:tab w:val="left" w:pos="288"/>
                <w:tab w:val="left" w:pos="576"/>
                <w:tab w:val="left" w:pos="864"/>
                <w:tab w:val="left" w:pos="1152"/>
              </w:tabs>
              <w:suppressAutoHyphens/>
              <w:spacing w:before="81" w:after="40" w:line="210" w:lineRule="exact"/>
              <w:ind w:right="40"/>
              <w:rPr>
                <w:sz w:val="17"/>
                <w:lang w:val="fr-FR"/>
              </w:rPr>
            </w:pPr>
            <w:r w:rsidRPr="002E4298">
              <w:rPr>
                <w:sz w:val="17"/>
                <w:lang w:val="fr-FR"/>
              </w:rPr>
              <w:t>Violence domestique contre le ou la partenaire, l’ex</w:t>
            </w:r>
            <w:r w:rsidR="00103025" w:rsidRPr="002E4298">
              <w:rPr>
                <w:sz w:val="17"/>
                <w:lang w:val="fr-FR"/>
              </w:rPr>
              <w:noBreakHyphen/>
            </w:r>
            <w:r w:rsidRPr="002E4298">
              <w:rPr>
                <w:sz w:val="17"/>
                <w:lang w:val="fr-FR"/>
              </w:rPr>
              <w:t>partenaire ou</w:t>
            </w:r>
            <w:r w:rsidR="00103025" w:rsidRPr="002E4298">
              <w:rPr>
                <w:sz w:val="17"/>
                <w:lang w:val="fr-FR"/>
              </w:rPr>
              <w:t> </w:t>
            </w:r>
            <w:r w:rsidRPr="002E4298">
              <w:rPr>
                <w:sz w:val="17"/>
                <w:lang w:val="fr-FR"/>
              </w:rPr>
              <w:t>assimilé</w:t>
            </w:r>
          </w:p>
        </w:tc>
        <w:tc>
          <w:tcPr>
            <w:tcW w:w="961" w:type="dxa"/>
            <w:tcBorders>
              <w:top w:val="single" w:sz="4" w:space="0" w:color="auto"/>
            </w:tcBorders>
            <w:shd w:val="clear" w:color="auto" w:fill="auto"/>
            <w:vAlign w:val="bottom"/>
          </w:tcPr>
          <w:p w14:paraId="5A421B1B" w14:textId="77777777" w:rsidR="00BB0956" w:rsidRPr="002E4298" w:rsidRDefault="00BB0956" w:rsidP="00770302">
            <w:pPr>
              <w:tabs>
                <w:tab w:val="left" w:pos="288"/>
                <w:tab w:val="left" w:pos="576"/>
                <w:tab w:val="left" w:pos="864"/>
                <w:tab w:val="left" w:pos="1152"/>
              </w:tabs>
              <w:suppressAutoHyphens/>
              <w:spacing w:before="81" w:after="40" w:line="210" w:lineRule="exact"/>
              <w:ind w:right="43"/>
              <w:jc w:val="right"/>
              <w:rPr>
                <w:sz w:val="17"/>
                <w:lang w:val="fr-FR"/>
              </w:rPr>
            </w:pPr>
            <w:r w:rsidRPr="002E4298">
              <w:rPr>
                <w:sz w:val="17"/>
                <w:lang w:val="fr-FR"/>
              </w:rPr>
              <w:t>2 674</w:t>
            </w:r>
          </w:p>
        </w:tc>
        <w:tc>
          <w:tcPr>
            <w:tcW w:w="962" w:type="dxa"/>
            <w:tcBorders>
              <w:top w:val="single" w:sz="4" w:space="0" w:color="auto"/>
            </w:tcBorders>
            <w:shd w:val="clear" w:color="auto" w:fill="auto"/>
            <w:vAlign w:val="bottom"/>
          </w:tcPr>
          <w:p w14:paraId="3516D16C" w14:textId="77777777" w:rsidR="00BB0956" w:rsidRPr="002E4298" w:rsidRDefault="00BB0956" w:rsidP="00770302">
            <w:pPr>
              <w:tabs>
                <w:tab w:val="left" w:pos="288"/>
                <w:tab w:val="left" w:pos="576"/>
                <w:tab w:val="left" w:pos="864"/>
                <w:tab w:val="left" w:pos="1152"/>
              </w:tabs>
              <w:suppressAutoHyphens/>
              <w:spacing w:before="81" w:after="40" w:line="210" w:lineRule="exact"/>
              <w:ind w:right="43"/>
              <w:jc w:val="right"/>
              <w:rPr>
                <w:sz w:val="17"/>
                <w:lang w:val="fr-FR"/>
              </w:rPr>
            </w:pPr>
            <w:r w:rsidRPr="002E4298">
              <w:rPr>
                <w:sz w:val="17"/>
                <w:lang w:val="fr-FR"/>
              </w:rPr>
              <w:t>2 770</w:t>
            </w:r>
          </w:p>
        </w:tc>
        <w:tc>
          <w:tcPr>
            <w:tcW w:w="961" w:type="dxa"/>
            <w:tcBorders>
              <w:top w:val="single" w:sz="4" w:space="0" w:color="auto"/>
            </w:tcBorders>
            <w:shd w:val="clear" w:color="auto" w:fill="auto"/>
            <w:vAlign w:val="bottom"/>
          </w:tcPr>
          <w:p w14:paraId="476CE451" w14:textId="77777777" w:rsidR="00BB0956" w:rsidRPr="002E4298" w:rsidRDefault="00BB0956" w:rsidP="00770302">
            <w:pPr>
              <w:tabs>
                <w:tab w:val="left" w:pos="288"/>
                <w:tab w:val="left" w:pos="576"/>
                <w:tab w:val="left" w:pos="864"/>
                <w:tab w:val="left" w:pos="1152"/>
              </w:tabs>
              <w:suppressAutoHyphens/>
              <w:spacing w:before="81" w:after="40" w:line="210" w:lineRule="exact"/>
              <w:ind w:right="43"/>
              <w:jc w:val="right"/>
              <w:rPr>
                <w:sz w:val="17"/>
                <w:lang w:val="fr-FR"/>
              </w:rPr>
            </w:pPr>
            <w:r w:rsidRPr="002E4298">
              <w:rPr>
                <w:sz w:val="17"/>
                <w:lang w:val="fr-FR"/>
              </w:rPr>
              <w:t>1 457</w:t>
            </w:r>
          </w:p>
        </w:tc>
        <w:tc>
          <w:tcPr>
            <w:tcW w:w="962" w:type="dxa"/>
            <w:gridSpan w:val="2"/>
            <w:tcBorders>
              <w:top w:val="single" w:sz="4" w:space="0" w:color="auto"/>
            </w:tcBorders>
            <w:shd w:val="clear" w:color="auto" w:fill="auto"/>
            <w:vAlign w:val="bottom"/>
          </w:tcPr>
          <w:p w14:paraId="377FC73A" w14:textId="77777777" w:rsidR="00BB0956" w:rsidRPr="002E4298" w:rsidRDefault="00BB0956" w:rsidP="00770302">
            <w:pPr>
              <w:tabs>
                <w:tab w:val="left" w:pos="288"/>
                <w:tab w:val="left" w:pos="576"/>
                <w:tab w:val="left" w:pos="864"/>
                <w:tab w:val="left" w:pos="1152"/>
              </w:tabs>
              <w:suppressAutoHyphens/>
              <w:spacing w:before="81" w:after="40" w:line="210" w:lineRule="exact"/>
              <w:ind w:right="43"/>
              <w:jc w:val="right"/>
              <w:rPr>
                <w:sz w:val="17"/>
                <w:lang w:val="fr-FR"/>
              </w:rPr>
            </w:pPr>
            <w:r w:rsidRPr="002E4298">
              <w:rPr>
                <w:sz w:val="17"/>
                <w:lang w:val="fr-FR"/>
              </w:rPr>
              <w:t>2 829</w:t>
            </w:r>
          </w:p>
        </w:tc>
        <w:tc>
          <w:tcPr>
            <w:tcW w:w="961" w:type="dxa"/>
            <w:tcBorders>
              <w:top w:val="single" w:sz="4" w:space="0" w:color="auto"/>
            </w:tcBorders>
            <w:shd w:val="clear" w:color="auto" w:fill="auto"/>
            <w:vAlign w:val="bottom"/>
          </w:tcPr>
          <w:p w14:paraId="3C0AC0B5" w14:textId="77777777" w:rsidR="00BB0956" w:rsidRPr="002E4298" w:rsidRDefault="00BB0956" w:rsidP="00770302">
            <w:pPr>
              <w:tabs>
                <w:tab w:val="left" w:pos="288"/>
                <w:tab w:val="left" w:pos="576"/>
                <w:tab w:val="left" w:pos="864"/>
                <w:tab w:val="left" w:pos="1152"/>
              </w:tabs>
              <w:suppressAutoHyphens/>
              <w:spacing w:before="81" w:after="40" w:line="210" w:lineRule="exact"/>
              <w:ind w:right="43"/>
              <w:jc w:val="right"/>
              <w:rPr>
                <w:sz w:val="17"/>
                <w:lang w:val="fr-FR"/>
              </w:rPr>
            </w:pPr>
            <w:r w:rsidRPr="002E4298">
              <w:rPr>
                <w:sz w:val="17"/>
                <w:lang w:val="fr-FR"/>
              </w:rPr>
              <w:t>2 951</w:t>
            </w:r>
          </w:p>
        </w:tc>
        <w:tc>
          <w:tcPr>
            <w:tcW w:w="962" w:type="dxa"/>
            <w:tcBorders>
              <w:top w:val="single" w:sz="4" w:space="0" w:color="auto"/>
            </w:tcBorders>
            <w:shd w:val="clear" w:color="auto" w:fill="auto"/>
            <w:vAlign w:val="bottom"/>
          </w:tcPr>
          <w:p w14:paraId="038FA1EB" w14:textId="77777777" w:rsidR="00BB0956" w:rsidRPr="002E4298" w:rsidRDefault="00BB0956" w:rsidP="00770302">
            <w:pPr>
              <w:tabs>
                <w:tab w:val="left" w:pos="288"/>
                <w:tab w:val="left" w:pos="576"/>
                <w:tab w:val="left" w:pos="864"/>
                <w:tab w:val="left" w:pos="1152"/>
              </w:tabs>
              <w:suppressAutoHyphens/>
              <w:spacing w:before="81" w:after="40" w:line="210" w:lineRule="exact"/>
              <w:ind w:right="43"/>
              <w:jc w:val="right"/>
              <w:rPr>
                <w:sz w:val="17"/>
                <w:lang w:val="fr-FR"/>
              </w:rPr>
            </w:pPr>
            <w:r w:rsidRPr="002E4298">
              <w:rPr>
                <w:sz w:val="17"/>
                <w:lang w:val="fr-FR"/>
              </w:rPr>
              <w:t>1 534</w:t>
            </w:r>
          </w:p>
        </w:tc>
        <w:tc>
          <w:tcPr>
            <w:tcW w:w="961" w:type="dxa"/>
            <w:gridSpan w:val="2"/>
            <w:tcBorders>
              <w:top w:val="single" w:sz="4" w:space="0" w:color="auto"/>
            </w:tcBorders>
            <w:shd w:val="clear" w:color="auto" w:fill="auto"/>
            <w:vAlign w:val="bottom"/>
          </w:tcPr>
          <w:p w14:paraId="384376C2" w14:textId="77777777" w:rsidR="00BB0956" w:rsidRPr="002E4298" w:rsidRDefault="00BB0956" w:rsidP="00770302">
            <w:pPr>
              <w:tabs>
                <w:tab w:val="left" w:pos="288"/>
                <w:tab w:val="left" w:pos="576"/>
                <w:tab w:val="left" w:pos="864"/>
                <w:tab w:val="left" w:pos="1152"/>
              </w:tabs>
              <w:suppressAutoHyphens/>
              <w:spacing w:before="81" w:after="40" w:line="210" w:lineRule="exact"/>
              <w:ind w:right="43"/>
              <w:jc w:val="right"/>
              <w:rPr>
                <w:sz w:val="17"/>
                <w:lang w:val="fr-FR"/>
              </w:rPr>
            </w:pPr>
            <w:r w:rsidRPr="002E4298">
              <w:rPr>
                <w:sz w:val="17"/>
                <w:lang w:val="fr-FR"/>
              </w:rPr>
              <w:t>2 604</w:t>
            </w:r>
          </w:p>
        </w:tc>
        <w:tc>
          <w:tcPr>
            <w:tcW w:w="962" w:type="dxa"/>
            <w:tcBorders>
              <w:top w:val="single" w:sz="4" w:space="0" w:color="auto"/>
            </w:tcBorders>
            <w:shd w:val="clear" w:color="auto" w:fill="auto"/>
            <w:vAlign w:val="bottom"/>
          </w:tcPr>
          <w:p w14:paraId="0F2FC7C5" w14:textId="77777777" w:rsidR="00BB0956" w:rsidRPr="002E4298" w:rsidRDefault="00BB0956" w:rsidP="00770302">
            <w:pPr>
              <w:tabs>
                <w:tab w:val="left" w:pos="288"/>
                <w:tab w:val="left" w:pos="576"/>
                <w:tab w:val="left" w:pos="864"/>
                <w:tab w:val="left" w:pos="1152"/>
              </w:tabs>
              <w:suppressAutoHyphens/>
              <w:spacing w:before="81" w:after="40" w:line="210" w:lineRule="exact"/>
              <w:ind w:right="43"/>
              <w:jc w:val="right"/>
              <w:rPr>
                <w:sz w:val="17"/>
                <w:lang w:val="fr-FR"/>
              </w:rPr>
            </w:pPr>
            <w:r w:rsidRPr="002E4298">
              <w:rPr>
                <w:sz w:val="17"/>
                <w:lang w:val="fr-FR"/>
              </w:rPr>
              <w:t>2 714</w:t>
            </w:r>
          </w:p>
        </w:tc>
        <w:tc>
          <w:tcPr>
            <w:tcW w:w="961" w:type="dxa"/>
            <w:tcBorders>
              <w:top w:val="single" w:sz="4" w:space="0" w:color="auto"/>
            </w:tcBorders>
            <w:shd w:val="clear" w:color="auto" w:fill="auto"/>
            <w:vAlign w:val="bottom"/>
          </w:tcPr>
          <w:p w14:paraId="370F9B7F" w14:textId="77777777" w:rsidR="00BB0956" w:rsidRPr="002E4298" w:rsidRDefault="00BB0956" w:rsidP="00770302">
            <w:pPr>
              <w:tabs>
                <w:tab w:val="left" w:pos="288"/>
                <w:tab w:val="left" w:pos="576"/>
                <w:tab w:val="left" w:pos="864"/>
                <w:tab w:val="left" w:pos="1152"/>
              </w:tabs>
              <w:suppressAutoHyphens/>
              <w:spacing w:before="81" w:after="40" w:line="210" w:lineRule="exact"/>
              <w:ind w:right="43"/>
              <w:jc w:val="right"/>
              <w:rPr>
                <w:sz w:val="17"/>
                <w:lang w:val="fr-FR"/>
              </w:rPr>
            </w:pPr>
            <w:r w:rsidRPr="002E4298">
              <w:rPr>
                <w:sz w:val="17"/>
                <w:lang w:val="fr-FR"/>
              </w:rPr>
              <w:t>1 444</w:t>
            </w:r>
          </w:p>
        </w:tc>
        <w:tc>
          <w:tcPr>
            <w:tcW w:w="962" w:type="dxa"/>
            <w:gridSpan w:val="2"/>
            <w:tcBorders>
              <w:top w:val="single" w:sz="4" w:space="0" w:color="auto"/>
            </w:tcBorders>
            <w:shd w:val="clear" w:color="auto" w:fill="auto"/>
            <w:vAlign w:val="bottom"/>
          </w:tcPr>
          <w:p w14:paraId="6CCD2330" w14:textId="77777777" w:rsidR="00BB0956" w:rsidRPr="002E4298" w:rsidRDefault="00BB0956" w:rsidP="00770302">
            <w:pPr>
              <w:tabs>
                <w:tab w:val="left" w:pos="288"/>
                <w:tab w:val="left" w:pos="576"/>
                <w:tab w:val="left" w:pos="864"/>
                <w:tab w:val="left" w:pos="1152"/>
              </w:tabs>
              <w:suppressAutoHyphens/>
              <w:spacing w:before="81" w:after="40" w:line="210" w:lineRule="exact"/>
              <w:ind w:right="43"/>
              <w:jc w:val="right"/>
              <w:rPr>
                <w:sz w:val="17"/>
                <w:lang w:val="fr-FR"/>
              </w:rPr>
            </w:pPr>
            <w:r w:rsidRPr="002E4298">
              <w:rPr>
                <w:sz w:val="17"/>
                <w:lang w:val="fr-FR"/>
              </w:rPr>
              <w:t>2 267</w:t>
            </w:r>
          </w:p>
        </w:tc>
        <w:tc>
          <w:tcPr>
            <w:tcW w:w="961" w:type="dxa"/>
            <w:tcBorders>
              <w:top w:val="single" w:sz="4" w:space="0" w:color="auto"/>
            </w:tcBorders>
            <w:shd w:val="clear" w:color="auto" w:fill="auto"/>
            <w:vAlign w:val="bottom"/>
          </w:tcPr>
          <w:p w14:paraId="14CBD04B" w14:textId="77777777" w:rsidR="00BB0956" w:rsidRPr="002E4298" w:rsidRDefault="00BB0956" w:rsidP="00770302">
            <w:pPr>
              <w:tabs>
                <w:tab w:val="left" w:pos="288"/>
                <w:tab w:val="left" w:pos="576"/>
                <w:tab w:val="left" w:pos="864"/>
                <w:tab w:val="left" w:pos="1152"/>
              </w:tabs>
              <w:suppressAutoHyphens/>
              <w:spacing w:before="81" w:after="40" w:line="210" w:lineRule="exact"/>
              <w:ind w:right="43"/>
              <w:jc w:val="right"/>
              <w:rPr>
                <w:sz w:val="17"/>
                <w:lang w:val="fr-FR"/>
              </w:rPr>
            </w:pPr>
            <w:r w:rsidRPr="002E4298">
              <w:rPr>
                <w:sz w:val="17"/>
                <w:lang w:val="fr-FR"/>
              </w:rPr>
              <w:t>2 346</w:t>
            </w:r>
          </w:p>
        </w:tc>
        <w:tc>
          <w:tcPr>
            <w:tcW w:w="962" w:type="dxa"/>
            <w:tcBorders>
              <w:top w:val="single" w:sz="4" w:space="0" w:color="auto"/>
            </w:tcBorders>
            <w:shd w:val="clear" w:color="auto" w:fill="auto"/>
            <w:vAlign w:val="bottom"/>
          </w:tcPr>
          <w:p w14:paraId="6A02776E" w14:textId="77777777" w:rsidR="00BB0956" w:rsidRPr="002E4298" w:rsidRDefault="00BB0956" w:rsidP="00770302">
            <w:pPr>
              <w:tabs>
                <w:tab w:val="left" w:pos="288"/>
                <w:tab w:val="left" w:pos="576"/>
                <w:tab w:val="left" w:pos="864"/>
                <w:tab w:val="left" w:pos="1152"/>
              </w:tabs>
              <w:suppressAutoHyphens/>
              <w:spacing w:before="81" w:after="40" w:line="210" w:lineRule="exact"/>
              <w:ind w:right="43"/>
              <w:jc w:val="right"/>
              <w:rPr>
                <w:sz w:val="17"/>
                <w:lang w:val="fr-FR"/>
              </w:rPr>
            </w:pPr>
            <w:r w:rsidRPr="002E4298">
              <w:rPr>
                <w:sz w:val="17"/>
                <w:lang w:val="fr-FR"/>
              </w:rPr>
              <w:t>1 283</w:t>
            </w:r>
          </w:p>
        </w:tc>
      </w:tr>
      <w:tr w:rsidR="00BB0956" w:rsidRPr="002E4298" w14:paraId="480831F3" w14:textId="77777777" w:rsidTr="00770302">
        <w:tc>
          <w:tcPr>
            <w:tcW w:w="1683" w:type="dxa"/>
            <w:gridSpan w:val="2"/>
            <w:shd w:val="clear" w:color="auto" w:fill="auto"/>
            <w:noWrap/>
            <w:vAlign w:val="bottom"/>
          </w:tcPr>
          <w:p w14:paraId="27BFE8B0" w14:textId="77777777" w:rsidR="00BB0956" w:rsidRPr="002E4298" w:rsidRDefault="00BB0956" w:rsidP="00770302">
            <w:pPr>
              <w:tabs>
                <w:tab w:val="left" w:pos="288"/>
                <w:tab w:val="left" w:pos="576"/>
                <w:tab w:val="left" w:pos="864"/>
                <w:tab w:val="left" w:pos="1152"/>
              </w:tabs>
              <w:suppressAutoHyphens/>
              <w:spacing w:before="40" w:after="40" w:line="210" w:lineRule="exact"/>
              <w:ind w:right="40"/>
              <w:rPr>
                <w:sz w:val="17"/>
                <w:lang w:val="fr-FR"/>
              </w:rPr>
            </w:pPr>
            <w:r w:rsidRPr="002E4298">
              <w:rPr>
                <w:sz w:val="17"/>
                <w:lang w:val="fr-FR"/>
              </w:rPr>
              <w:t>Violence domestique contre des mineurs</w:t>
            </w:r>
          </w:p>
        </w:tc>
        <w:tc>
          <w:tcPr>
            <w:tcW w:w="961" w:type="dxa"/>
            <w:shd w:val="clear" w:color="auto" w:fill="auto"/>
            <w:vAlign w:val="bottom"/>
          </w:tcPr>
          <w:p w14:paraId="084E6E26" w14:textId="77777777" w:rsidR="00BB0956" w:rsidRPr="002E4298" w:rsidRDefault="00BB0956" w:rsidP="00770302">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67</w:t>
            </w:r>
          </w:p>
        </w:tc>
        <w:tc>
          <w:tcPr>
            <w:tcW w:w="962" w:type="dxa"/>
            <w:shd w:val="clear" w:color="auto" w:fill="auto"/>
            <w:vAlign w:val="bottom"/>
          </w:tcPr>
          <w:p w14:paraId="43E462D9" w14:textId="77777777" w:rsidR="00BB0956" w:rsidRPr="002E4298" w:rsidRDefault="00BB0956" w:rsidP="00770302">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75</w:t>
            </w:r>
          </w:p>
        </w:tc>
        <w:tc>
          <w:tcPr>
            <w:tcW w:w="961" w:type="dxa"/>
            <w:shd w:val="clear" w:color="auto" w:fill="auto"/>
            <w:vAlign w:val="bottom"/>
          </w:tcPr>
          <w:p w14:paraId="2BB0FDC5" w14:textId="77777777" w:rsidR="00BB0956" w:rsidRPr="002E4298" w:rsidRDefault="00BB0956" w:rsidP="00770302">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49</w:t>
            </w:r>
          </w:p>
        </w:tc>
        <w:tc>
          <w:tcPr>
            <w:tcW w:w="962" w:type="dxa"/>
            <w:gridSpan w:val="2"/>
            <w:shd w:val="clear" w:color="auto" w:fill="auto"/>
            <w:vAlign w:val="bottom"/>
          </w:tcPr>
          <w:p w14:paraId="4004275D" w14:textId="77777777" w:rsidR="00BB0956" w:rsidRPr="002E4298" w:rsidRDefault="00BB0956" w:rsidP="00770302">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75</w:t>
            </w:r>
          </w:p>
        </w:tc>
        <w:tc>
          <w:tcPr>
            <w:tcW w:w="961" w:type="dxa"/>
            <w:shd w:val="clear" w:color="auto" w:fill="auto"/>
            <w:vAlign w:val="bottom"/>
          </w:tcPr>
          <w:p w14:paraId="7A66E87C" w14:textId="77777777" w:rsidR="00BB0956" w:rsidRPr="002E4298" w:rsidRDefault="00BB0956" w:rsidP="00770302">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84</w:t>
            </w:r>
          </w:p>
        </w:tc>
        <w:tc>
          <w:tcPr>
            <w:tcW w:w="962" w:type="dxa"/>
            <w:shd w:val="clear" w:color="auto" w:fill="auto"/>
            <w:vAlign w:val="bottom"/>
          </w:tcPr>
          <w:p w14:paraId="58F1C4BF" w14:textId="77777777" w:rsidR="00BB0956" w:rsidRPr="002E4298" w:rsidRDefault="00BB0956" w:rsidP="00770302">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48</w:t>
            </w:r>
          </w:p>
        </w:tc>
        <w:tc>
          <w:tcPr>
            <w:tcW w:w="961" w:type="dxa"/>
            <w:gridSpan w:val="2"/>
            <w:shd w:val="clear" w:color="auto" w:fill="auto"/>
            <w:vAlign w:val="bottom"/>
          </w:tcPr>
          <w:p w14:paraId="4E15BC36" w14:textId="77777777" w:rsidR="00BB0956" w:rsidRPr="002E4298" w:rsidRDefault="00BB0956" w:rsidP="00770302">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67</w:t>
            </w:r>
          </w:p>
        </w:tc>
        <w:tc>
          <w:tcPr>
            <w:tcW w:w="962" w:type="dxa"/>
            <w:shd w:val="clear" w:color="auto" w:fill="auto"/>
            <w:vAlign w:val="bottom"/>
          </w:tcPr>
          <w:p w14:paraId="32E241E1" w14:textId="77777777" w:rsidR="00BB0956" w:rsidRPr="002E4298" w:rsidRDefault="00BB0956" w:rsidP="00770302">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74</w:t>
            </w:r>
          </w:p>
        </w:tc>
        <w:tc>
          <w:tcPr>
            <w:tcW w:w="961" w:type="dxa"/>
            <w:shd w:val="clear" w:color="auto" w:fill="auto"/>
            <w:vAlign w:val="bottom"/>
          </w:tcPr>
          <w:p w14:paraId="2D061B8C" w14:textId="77777777" w:rsidR="00BB0956" w:rsidRPr="002E4298" w:rsidRDefault="00BB0956" w:rsidP="00770302">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39</w:t>
            </w:r>
          </w:p>
        </w:tc>
        <w:tc>
          <w:tcPr>
            <w:tcW w:w="962" w:type="dxa"/>
            <w:gridSpan w:val="2"/>
            <w:shd w:val="clear" w:color="auto" w:fill="auto"/>
            <w:vAlign w:val="bottom"/>
          </w:tcPr>
          <w:p w14:paraId="5E5B9649" w14:textId="77777777" w:rsidR="00BB0956" w:rsidRPr="002E4298" w:rsidRDefault="00BB0956" w:rsidP="00770302">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61</w:t>
            </w:r>
          </w:p>
        </w:tc>
        <w:tc>
          <w:tcPr>
            <w:tcW w:w="961" w:type="dxa"/>
            <w:shd w:val="clear" w:color="auto" w:fill="auto"/>
            <w:vAlign w:val="bottom"/>
          </w:tcPr>
          <w:p w14:paraId="7AA152D8" w14:textId="77777777" w:rsidR="00BB0956" w:rsidRPr="002E4298" w:rsidRDefault="00BB0956" w:rsidP="00770302">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71</w:t>
            </w:r>
          </w:p>
        </w:tc>
        <w:tc>
          <w:tcPr>
            <w:tcW w:w="962" w:type="dxa"/>
            <w:shd w:val="clear" w:color="auto" w:fill="auto"/>
            <w:vAlign w:val="bottom"/>
          </w:tcPr>
          <w:p w14:paraId="19F430FE" w14:textId="77777777" w:rsidR="00BB0956" w:rsidRPr="002E4298" w:rsidRDefault="00BB0956" w:rsidP="00770302">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33</w:t>
            </w:r>
          </w:p>
        </w:tc>
      </w:tr>
      <w:tr w:rsidR="00BB0956" w:rsidRPr="002E4298" w14:paraId="635FB439" w14:textId="77777777" w:rsidTr="00770302">
        <w:tc>
          <w:tcPr>
            <w:tcW w:w="1683" w:type="dxa"/>
            <w:gridSpan w:val="2"/>
            <w:tcBorders>
              <w:bottom w:val="single" w:sz="12" w:space="0" w:color="auto"/>
            </w:tcBorders>
            <w:shd w:val="clear" w:color="auto" w:fill="auto"/>
            <w:noWrap/>
            <w:vAlign w:val="bottom"/>
          </w:tcPr>
          <w:p w14:paraId="7D712186" w14:textId="5C529557" w:rsidR="00BB0956" w:rsidRPr="002E4298" w:rsidRDefault="00BB0956" w:rsidP="00770302">
            <w:pPr>
              <w:tabs>
                <w:tab w:val="left" w:pos="288"/>
                <w:tab w:val="left" w:pos="576"/>
                <w:tab w:val="left" w:pos="864"/>
                <w:tab w:val="left" w:pos="1152"/>
              </w:tabs>
              <w:suppressAutoHyphens/>
              <w:spacing w:before="40" w:after="40" w:line="210" w:lineRule="exact"/>
              <w:ind w:right="40"/>
              <w:rPr>
                <w:sz w:val="17"/>
                <w:lang w:val="fr-FR"/>
              </w:rPr>
            </w:pPr>
            <w:r w:rsidRPr="002E4298">
              <w:rPr>
                <w:sz w:val="17"/>
                <w:lang w:val="fr-FR"/>
              </w:rPr>
              <w:t>Autres</w:t>
            </w:r>
          </w:p>
        </w:tc>
        <w:tc>
          <w:tcPr>
            <w:tcW w:w="961" w:type="dxa"/>
            <w:tcBorders>
              <w:bottom w:val="single" w:sz="12" w:space="0" w:color="auto"/>
            </w:tcBorders>
            <w:shd w:val="clear" w:color="auto" w:fill="auto"/>
            <w:vAlign w:val="bottom"/>
          </w:tcPr>
          <w:p w14:paraId="7820013F" w14:textId="77777777" w:rsidR="00BB0956" w:rsidRPr="002E4298" w:rsidRDefault="00BB0956" w:rsidP="00770302">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679</w:t>
            </w:r>
          </w:p>
        </w:tc>
        <w:tc>
          <w:tcPr>
            <w:tcW w:w="962" w:type="dxa"/>
            <w:tcBorders>
              <w:bottom w:val="single" w:sz="12" w:space="0" w:color="auto"/>
            </w:tcBorders>
            <w:shd w:val="clear" w:color="auto" w:fill="auto"/>
            <w:vAlign w:val="bottom"/>
          </w:tcPr>
          <w:p w14:paraId="7EDCB98E" w14:textId="77777777" w:rsidR="00BB0956" w:rsidRPr="002E4298" w:rsidRDefault="00BB0956" w:rsidP="00770302">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735</w:t>
            </w:r>
          </w:p>
        </w:tc>
        <w:tc>
          <w:tcPr>
            <w:tcW w:w="961" w:type="dxa"/>
            <w:tcBorders>
              <w:bottom w:val="single" w:sz="12" w:space="0" w:color="auto"/>
            </w:tcBorders>
            <w:shd w:val="clear" w:color="auto" w:fill="auto"/>
            <w:vAlign w:val="bottom"/>
          </w:tcPr>
          <w:p w14:paraId="74C77D89" w14:textId="77777777" w:rsidR="00BB0956" w:rsidRPr="002E4298" w:rsidRDefault="00BB0956" w:rsidP="00770302">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403</w:t>
            </w:r>
          </w:p>
        </w:tc>
        <w:tc>
          <w:tcPr>
            <w:tcW w:w="962" w:type="dxa"/>
            <w:gridSpan w:val="2"/>
            <w:tcBorders>
              <w:bottom w:val="single" w:sz="12" w:space="0" w:color="auto"/>
            </w:tcBorders>
            <w:shd w:val="clear" w:color="auto" w:fill="auto"/>
            <w:vAlign w:val="bottom"/>
          </w:tcPr>
          <w:p w14:paraId="2427E1D7" w14:textId="77777777" w:rsidR="00BB0956" w:rsidRPr="002E4298" w:rsidRDefault="00BB0956" w:rsidP="00770302">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738</w:t>
            </w:r>
          </w:p>
        </w:tc>
        <w:tc>
          <w:tcPr>
            <w:tcW w:w="961" w:type="dxa"/>
            <w:tcBorders>
              <w:bottom w:val="single" w:sz="12" w:space="0" w:color="auto"/>
            </w:tcBorders>
            <w:shd w:val="clear" w:color="auto" w:fill="auto"/>
            <w:vAlign w:val="bottom"/>
          </w:tcPr>
          <w:p w14:paraId="290FAC54" w14:textId="77777777" w:rsidR="00BB0956" w:rsidRPr="002E4298" w:rsidRDefault="00BB0956" w:rsidP="00770302">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787</w:t>
            </w:r>
          </w:p>
        </w:tc>
        <w:tc>
          <w:tcPr>
            <w:tcW w:w="962" w:type="dxa"/>
            <w:tcBorders>
              <w:bottom w:val="single" w:sz="12" w:space="0" w:color="auto"/>
            </w:tcBorders>
            <w:shd w:val="clear" w:color="auto" w:fill="auto"/>
            <w:vAlign w:val="bottom"/>
          </w:tcPr>
          <w:p w14:paraId="5952E755" w14:textId="77777777" w:rsidR="00BB0956" w:rsidRPr="002E4298" w:rsidRDefault="00BB0956" w:rsidP="00770302">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407</w:t>
            </w:r>
          </w:p>
        </w:tc>
        <w:tc>
          <w:tcPr>
            <w:tcW w:w="961" w:type="dxa"/>
            <w:gridSpan w:val="2"/>
            <w:tcBorders>
              <w:bottom w:val="single" w:sz="12" w:space="0" w:color="auto"/>
            </w:tcBorders>
            <w:shd w:val="clear" w:color="auto" w:fill="auto"/>
            <w:vAlign w:val="bottom"/>
          </w:tcPr>
          <w:p w14:paraId="5C819965" w14:textId="77777777" w:rsidR="00BB0956" w:rsidRPr="002E4298" w:rsidRDefault="00BB0956" w:rsidP="00770302">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651</w:t>
            </w:r>
          </w:p>
        </w:tc>
        <w:tc>
          <w:tcPr>
            <w:tcW w:w="962" w:type="dxa"/>
            <w:tcBorders>
              <w:bottom w:val="single" w:sz="12" w:space="0" w:color="auto"/>
            </w:tcBorders>
            <w:shd w:val="clear" w:color="auto" w:fill="auto"/>
            <w:vAlign w:val="bottom"/>
          </w:tcPr>
          <w:p w14:paraId="72E698A5" w14:textId="77777777" w:rsidR="00BB0956" w:rsidRPr="002E4298" w:rsidRDefault="00BB0956" w:rsidP="00770302">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692</w:t>
            </w:r>
          </w:p>
        </w:tc>
        <w:tc>
          <w:tcPr>
            <w:tcW w:w="961" w:type="dxa"/>
            <w:tcBorders>
              <w:bottom w:val="single" w:sz="12" w:space="0" w:color="auto"/>
            </w:tcBorders>
            <w:shd w:val="clear" w:color="auto" w:fill="auto"/>
            <w:vAlign w:val="bottom"/>
          </w:tcPr>
          <w:p w14:paraId="137AF3CC" w14:textId="77777777" w:rsidR="00BB0956" w:rsidRPr="002E4298" w:rsidRDefault="00BB0956" w:rsidP="00770302">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390</w:t>
            </w:r>
          </w:p>
        </w:tc>
        <w:tc>
          <w:tcPr>
            <w:tcW w:w="962" w:type="dxa"/>
            <w:gridSpan w:val="2"/>
            <w:tcBorders>
              <w:bottom w:val="single" w:sz="12" w:space="0" w:color="auto"/>
            </w:tcBorders>
            <w:shd w:val="clear" w:color="auto" w:fill="auto"/>
            <w:vAlign w:val="bottom"/>
          </w:tcPr>
          <w:p w14:paraId="6EE78457" w14:textId="77777777" w:rsidR="00BB0956" w:rsidRPr="002E4298" w:rsidRDefault="00BB0956" w:rsidP="00770302">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551</w:t>
            </w:r>
          </w:p>
        </w:tc>
        <w:tc>
          <w:tcPr>
            <w:tcW w:w="961" w:type="dxa"/>
            <w:tcBorders>
              <w:bottom w:val="single" w:sz="12" w:space="0" w:color="auto"/>
            </w:tcBorders>
            <w:shd w:val="clear" w:color="auto" w:fill="auto"/>
            <w:vAlign w:val="bottom"/>
          </w:tcPr>
          <w:p w14:paraId="42CCF664" w14:textId="77777777" w:rsidR="00BB0956" w:rsidRPr="002E4298" w:rsidRDefault="00BB0956" w:rsidP="00770302">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590</w:t>
            </w:r>
          </w:p>
        </w:tc>
        <w:tc>
          <w:tcPr>
            <w:tcW w:w="962" w:type="dxa"/>
            <w:tcBorders>
              <w:bottom w:val="single" w:sz="12" w:space="0" w:color="auto"/>
            </w:tcBorders>
            <w:shd w:val="clear" w:color="auto" w:fill="auto"/>
            <w:vAlign w:val="bottom"/>
          </w:tcPr>
          <w:p w14:paraId="4C152CAD" w14:textId="77777777" w:rsidR="00BB0956" w:rsidRPr="002E4298" w:rsidRDefault="00BB0956" w:rsidP="00770302">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345</w:t>
            </w:r>
          </w:p>
        </w:tc>
      </w:tr>
    </w:tbl>
    <w:p w14:paraId="2064C5B0" w14:textId="3925FADB" w:rsidR="00BB0956" w:rsidRPr="002E4298" w:rsidRDefault="00BB0956" w:rsidP="00770302">
      <w:pPr>
        <w:pStyle w:val="FootnoteText"/>
        <w:tabs>
          <w:tab w:val="right" w:pos="216"/>
          <w:tab w:val="left" w:pos="288"/>
          <w:tab w:val="right" w:pos="576"/>
          <w:tab w:val="left" w:pos="648"/>
        </w:tabs>
        <w:spacing w:line="120" w:lineRule="exact"/>
        <w:ind w:left="288" w:hanging="288"/>
        <w:rPr>
          <w:sz w:val="10"/>
          <w:lang w:val="fr-FR"/>
        </w:rPr>
      </w:pPr>
    </w:p>
    <w:p w14:paraId="2EFFF4AB" w14:textId="77777777" w:rsidR="00770302" w:rsidRPr="002E4298" w:rsidRDefault="00770302" w:rsidP="00770302">
      <w:pPr>
        <w:pStyle w:val="FootnoteText"/>
        <w:tabs>
          <w:tab w:val="right" w:pos="216"/>
          <w:tab w:val="left" w:pos="288"/>
          <w:tab w:val="right" w:pos="576"/>
          <w:tab w:val="left" w:pos="648"/>
        </w:tabs>
        <w:ind w:left="288" w:hanging="288"/>
        <w:rPr>
          <w:lang w:val="fr-FR"/>
        </w:rPr>
      </w:pPr>
      <w:r w:rsidRPr="002E4298">
        <w:rPr>
          <w:i/>
          <w:lang w:val="fr-FR" w:bidi="fr-FR"/>
        </w:rPr>
        <w:t>Source</w:t>
      </w:r>
      <w:r w:rsidRPr="002E4298">
        <w:rPr>
          <w:iCs/>
          <w:lang w:val="fr-FR" w:bidi="fr-FR"/>
        </w:rPr>
        <w:t> :</w:t>
      </w:r>
      <w:r w:rsidRPr="002E4298">
        <w:rPr>
          <w:lang w:val="fr-FR" w:bidi="fr-FR"/>
        </w:rPr>
        <w:t xml:space="preserve"> Ministère de la justice.</w:t>
      </w:r>
    </w:p>
    <w:p w14:paraId="21B3CA0D" w14:textId="77777777" w:rsidR="00A920BE" w:rsidRPr="002E4298" w:rsidRDefault="00A920BE" w:rsidP="00A920BE">
      <w:pPr>
        <w:pStyle w:val="SingleTxt"/>
        <w:rPr>
          <w:lang w:val="fr-FR"/>
        </w:rPr>
      </w:pPr>
    </w:p>
    <w:p w14:paraId="31D53316" w14:textId="77777777" w:rsidR="00A920BE" w:rsidRPr="002E4298" w:rsidRDefault="00A920BE" w:rsidP="00BF2097">
      <w:pPr>
        <w:pStyle w:val="SingleTxt"/>
        <w:rPr>
          <w:lang w:val="fr-FR"/>
        </w:rPr>
        <w:sectPr w:rsidR="00A920BE" w:rsidRPr="002E4298" w:rsidSect="00A920BE">
          <w:headerReference w:type="even" r:id="rId17"/>
          <w:headerReference w:type="default" r:id="rId18"/>
          <w:footerReference w:type="even" r:id="rId19"/>
          <w:footerReference w:type="default" r:id="rId20"/>
          <w:pgSz w:w="15840" w:h="12240" w:orient="landscape"/>
          <w:pgMar w:top="1195" w:right="1440" w:bottom="1195" w:left="1152" w:header="576" w:footer="1037" w:gutter="0"/>
          <w:cols w:space="720"/>
          <w:noEndnote/>
          <w:bidi/>
          <w:rtlGutter/>
          <w:docGrid w:linePitch="360"/>
        </w:sectPr>
      </w:pPr>
    </w:p>
    <w:p w14:paraId="4E5FE85F" w14:textId="6738081D" w:rsidR="00BB0956" w:rsidRPr="002E4298" w:rsidRDefault="00BB0956" w:rsidP="00FF7B5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2E4298">
        <w:rPr>
          <w:lang w:val="fr-FR" w:bidi="fr-FR"/>
        </w:rPr>
        <w:lastRenderedPageBreak/>
        <w:tab/>
      </w:r>
      <w:r w:rsidRPr="002E4298">
        <w:rPr>
          <w:lang w:val="fr-FR" w:bidi="fr-FR"/>
        </w:rPr>
        <w:tab/>
        <w:t>Coordination entre les tribunaux des affaires familiales et les tribunaux pénaux</w:t>
      </w:r>
    </w:p>
    <w:p w14:paraId="6B9C34BF" w14:textId="62A07906" w:rsidR="00FF7B53" w:rsidRPr="002E4298" w:rsidRDefault="00FF7B53" w:rsidP="00FF7B53">
      <w:pPr>
        <w:pStyle w:val="SingleTxt"/>
        <w:spacing w:after="0" w:line="120" w:lineRule="exact"/>
        <w:rPr>
          <w:sz w:val="10"/>
          <w:lang w:val="fr-FR" w:bidi="fr-FR"/>
        </w:rPr>
      </w:pPr>
    </w:p>
    <w:p w14:paraId="50625F8D" w14:textId="5497747D" w:rsidR="00BB0956" w:rsidRPr="002E4298" w:rsidRDefault="00BB0956" w:rsidP="00A11C35">
      <w:pPr>
        <w:pStyle w:val="SingleTxt"/>
        <w:numPr>
          <w:ilvl w:val="0"/>
          <w:numId w:val="6"/>
        </w:numPr>
        <w:spacing w:line="240" w:lineRule="exact"/>
        <w:rPr>
          <w:lang w:val="fr-FR"/>
        </w:rPr>
      </w:pPr>
      <w:r w:rsidRPr="002E4298">
        <w:rPr>
          <w:spacing w:val="3"/>
          <w:lang w:val="fr-FR" w:bidi="fr-FR"/>
        </w:rPr>
        <w:t>En ce qui concerne la coopération et la coordination entre les tribunaux des affaires familiales et les tribunaux pénaux, comme le Comité en a déjà été informé</w:t>
      </w:r>
      <w:r w:rsidRPr="002E4298">
        <w:rPr>
          <w:spacing w:val="3"/>
          <w:vertAlign w:val="superscript"/>
          <w:lang w:val="fr-FR" w:bidi="fr-FR"/>
        </w:rPr>
        <w:footnoteReference w:id="16"/>
      </w:r>
      <w:r w:rsidRPr="002E4298">
        <w:rPr>
          <w:spacing w:val="3"/>
          <w:lang w:val="fr-FR" w:bidi="fr-FR"/>
        </w:rPr>
        <w:t>, la loi nº 24/2017 du 24 mai 2017 prévoit la régulation urgente des modalités d’exercice des responsabilités parentales en cas de violence domestique entre les parents</w:t>
      </w:r>
      <w:r w:rsidRPr="002E4298">
        <w:rPr>
          <w:spacing w:val="3"/>
          <w:vertAlign w:val="superscript"/>
          <w:lang w:val="fr-FR" w:bidi="fr-FR"/>
        </w:rPr>
        <w:footnoteReference w:id="17"/>
      </w:r>
      <w:r w:rsidRPr="002E4298">
        <w:rPr>
          <w:spacing w:val="3"/>
          <w:lang w:val="fr-FR" w:bidi="fr-FR"/>
        </w:rPr>
        <w:t>.</w:t>
      </w:r>
      <w:r w:rsidRPr="002E4298">
        <w:rPr>
          <w:lang w:val="fr-FR" w:bidi="fr-FR"/>
        </w:rPr>
        <w:t xml:space="preserve"> La résolution nº 139/2019 susmentionnée prévoit, parmi ses axes d’intervention, l’évaluation des mesures judiciaires imposées face à des situations de violence domestique, y compris l’application du régime de régulation urgente des modalités d’exercice des responsabilités parentales.</w:t>
      </w:r>
    </w:p>
    <w:p w14:paraId="68F8724C" w14:textId="515CC8C2" w:rsidR="00BB0956" w:rsidRPr="002E4298" w:rsidRDefault="00BB0956" w:rsidP="00A11C35">
      <w:pPr>
        <w:pStyle w:val="SingleTxt"/>
        <w:numPr>
          <w:ilvl w:val="0"/>
          <w:numId w:val="6"/>
        </w:numPr>
        <w:spacing w:line="240" w:lineRule="exact"/>
        <w:rPr>
          <w:lang w:val="fr-FR" w:bidi="fr-FR"/>
        </w:rPr>
      </w:pPr>
      <w:r w:rsidRPr="002E4298">
        <w:rPr>
          <w:lang w:val="fr-FR" w:bidi="fr-FR"/>
        </w:rPr>
        <w:t>Les représentants du Ministères public sont particulièrement attentifs à ces affaires. Une directive interne du Bureau du Procureur général émise en 2017 en relation à l’application de la loi nº 96/2017 précise, en ce qui concerne les délits de violence domestique ou ceux liés à la liberté sexuelle ou à la libre détermination de l’identité de genre, que lorsque des enfants sont victimes, les procureurs chargés des enquêtes doivent coordonner l’intervention nécessaire avec les procureurs en poste au sein des tribunaux des affaires familiales et des tribunaux pour enfants. À l’inverse, ces derniers doivent informer immédiatement les procureurs des tribunaux pénaux de tout soupçon quant à la commission d’une infraction pénale dans le cadre d’affaires familiales.</w:t>
      </w:r>
    </w:p>
    <w:p w14:paraId="1E45B1CA" w14:textId="6F8EA326" w:rsidR="00BB0956" w:rsidRPr="002E4298" w:rsidRDefault="00BB0956" w:rsidP="00A11C35">
      <w:pPr>
        <w:pStyle w:val="SingleTxt"/>
        <w:numPr>
          <w:ilvl w:val="0"/>
          <w:numId w:val="6"/>
        </w:numPr>
        <w:spacing w:line="240" w:lineRule="exact"/>
        <w:rPr>
          <w:lang w:val="fr-FR" w:bidi="fr-FR"/>
        </w:rPr>
      </w:pPr>
      <w:r w:rsidRPr="002E4298">
        <w:rPr>
          <w:lang w:val="fr-FR" w:bidi="fr-FR"/>
        </w:rPr>
        <w:t>La résolution nº 139/2019 prévoit en outre la conduite d’une étude par le Ministère de la justice sur la possibilité de mettre en œuvre une approche judiciaire intégrée pour ce qui est de l’analyse des affaires et des décisions judiciaires qui relèvent à la fois du domaine pénal et du domaine familial.</w:t>
      </w:r>
    </w:p>
    <w:p w14:paraId="4966777C" w14:textId="77777777" w:rsidR="00FF7B53" w:rsidRPr="002E4298" w:rsidRDefault="00FF7B53" w:rsidP="00FF7B53">
      <w:pPr>
        <w:pStyle w:val="SingleTxt"/>
        <w:spacing w:after="0" w:line="120" w:lineRule="exact"/>
        <w:rPr>
          <w:sz w:val="10"/>
          <w:lang w:val="fr-FR" w:bidi="fr-FR"/>
        </w:rPr>
      </w:pPr>
    </w:p>
    <w:p w14:paraId="72C26699" w14:textId="7B02B74B" w:rsidR="00BB0956" w:rsidRPr="002E4298" w:rsidRDefault="00BB0956" w:rsidP="00FF7B5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2E4298">
        <w:rPr>
          <w:lang w:val="fr-FR" w:bidi="fr-FR"/>
        </w:rPr>
        <w:tab/>
      </w:r>
      <w:r w:rsidRPr="002E4298">
        <w:rPr>
          <w:lang w:val="fr-FR" w:bidi="fr-FR"/>
        </w:rPr>
        <w:tab/>
        <w:t>Réparation</w:t>
      </w:r>
    </w:p>
    <w:p w14:paraId="323EC3FD" w14:textId="2CF1919C" w:rsidR="00FF7B53" w:rsidRPr="002E4298" w:rsidRDefault="00FF7B53" w:rsidP="00FF7B53">
      <w:pPr>
        <w:pStyle w:val="SingleTxt"/>
        <w:spacing w:after="0" w:line="120" w:lineRule="exact"/>
        <w:rPr>
          <w:sz w:val="10"/>
          <w:lang w:val="fr-FR" w:bidi="fr-FR"/>
        </w:rPr>
      </w:pPr>
    </w:p>
    <w:p w14:paraId="26E70215" w14:textId="267856F7" w:rsidR="00BB0956" w:rsidRPr="002E4298" w:rsidRDefault="00BB0956" w:rsidP="00A11C35">
      <w:pPr>
        <w:pStyle w:val="SingleTxt"/>
        <w:numPr>
          <w:ilvl w:val="0"/>
          <w:numId w:val="6"/>
        </w:numPr>
        <w:spacing w:line="240" w:lineRule="exact"/>
        <w:rPr>
          <w:lang w:val="fr-FR"/>
        </w:rPr>
      </w:pPr>
      <w:r w:rsidRPr="002E4298">
        <w:rPr>
          <w:lang w:val="fr-FR" w:bidi="fr-FR"/>
        </w:rPr>
        <w:t xml:space="preserve">Le loi garantit aux victimes de violence domestique le droit de recevoir, dans un délai raisonnable, une décision sur la réparation due par l’auteur de l’infraction. Même si la victime n’introduit pas de demande de dommages et intérêts (dans le cadre d’une procédure pénale ou autre), le tribunal peut, en cas de condamnation, accorder une indemnisation à la victime pour le préjudice subi (article 82-A du Code de procédure pénale </w:t>
      </w:r>
      <w:r w:rsidRPr="002E4298">
        <w:rPr>
          <w:i/>
          <w:lang w:val="fr-FR" w:bidi="fr-FR"/>
        </w:rPr>
        <w:t>ex vi</w:t>
      </w:r>
      <w:r w:rsidRPr="002E4298">
        <w:rPr>
          <w:lang w:val="fr-FR" w:bidi="fr-FR"/>
        </w:rPr>
        <w:t xml:space="preserve"> article 21, paragraphe 2, de la loi nº 112/2009).</w:t>
      </w:r>
    </w:p>
    <w:p w14:paraId="074794E8" w14:textId="71AD089C" w:rsidR="00BB0956" w:rsidRPr="002E4298" w:rsidRDefault="00BB0956" w:rsidP="00A11C35">
      <w:pPr>
        <w:pStyle w:val="SingleTxt"/>
        <w:numPr>
          <w:ilvl w:val="0"/>
          <w:numId w:val="6"/>
        </w:numPr>
        <w:spacing w:line="240" w:lineRule="exact"/>
        <w:rPr>
          <w:lang w:val="fr-FR"/>
        </w:rPr>
      </w:pPr>
      <w:r w:rsidRPr="002E4298">
        <w:rPr>
          <w:lang w:val="fr-FR" w:bidi="fr-FR"/>
        </w:rPr>
        <w:t>La loi nº 121/2015 portant modification de la loi nº 104/2009 relative à l’octroi d’une indemnisation aux victimes de délits avec violence et de violence domestique renforce l’accès effectif des victimes de violence domestique aux mécanismes de réparation. En vertu de cette loi, les victimes de violence domestique en situation de difficulté financière peuvent demander à l’État le paiement anticipé du montant total de l’indemnisation. En 2017, l’État a donné suite à 170 demandes de paiement anticipé d’indemnisations à des victimes de violence domestique, pour un montant total de 214 892,00 euros. En 2018, 144 demandes ont été approuvées, pour un total de 203 028,00 euros.</w:t>
      </w:r>
    </w:p>
    <w:p w14:paraId="60284160" w14:textId="1630426F" w:rsidR="00BB0956" w:rsidRPr="002E4298" w:rsidRDefault="00BB0956" w:rsidP="00A11C35">
      <w:pPr>
        <w:pStyle w:val="SingleTxt"/>
        <w:numPr>
          <w:ilvl w:val="0"/>
          <w:numId w:val="6"/>
        </w:numPr>
        <w:spacing w:line="240" w:lineRule="exact"/>
        <w:rPr>
          <w:lang w:val="fr-FR"/>
        </w:rPr>
      </w:pPr>
      <w:r w:rsidRPr="002E4298">
        <w:rPr>
          <w:lang w:val="fr-FR" w:bidi="fr-FR"/>
        </w:rPr>
        <w:t>L’</w:t>
      </w:r>
      <w:r w:rsidRPr="002E4298" w:rsidDel="00B459E8">
        <w:rPr>
          <w:lang w:val="fr-FR" w:bidi="fr-FR"/>
        </w:rPr>
        <w:t>artic</w:t>
      </w:r>
      <w:r w:rsidRPr="002E4298">
        <w:rPr>
          <w:lang w:val="fr-FR" w:bidi="fr-FR"/>
        </w:rPr>
        <w:t xml:space="preserve">le </w:t>
      </w:r>
      <w:r w:rsidRPr="002E4298" w:rsidDel="00B459E8">
        <w:rPr>
          <w:lang w:val="fr-FR" w:bidi="fr-FR"/>
        </w:rPr>
        <w:t>67-A du</w:t>
      </w:r>
      <w:r w:rsidRPr="002E4298">
        <w:rPr>
          <w:lang w:val="fr-FR" w:bidi="fr-FR"/>
        </w:rPr>
        <w:t xml:space="preserve"> Code de procédure pénale établit une définition plus large de la « victime », qui inclut non seulement la personne directement concernée par l’infraction, mais aussi les membres de la famille ayant subi un préjudice du fait de l’infraction, notamment en cas de décès.</w:t>
      </w:r>
    </w:p>
    <w:p w14:paraId="74F2A0DA" w14:textId="77777777" w:rsidR="000234BC" w:rsidRPr="002E4298" w:rsidRDefault="000234BC" w:rsidP="000234BC">
      <w:pPr>
        <w:pStyle w:val="SingleTxt"/>
        <w:spacing w:after="0" w:line="120" w:lineRule="exact"/>
        <w:rPr>
          <w:sz w:val="10"/>
          <w:lang w:val="fr-FR" w:bidi="fr-FR"/>
        </w:rPr>
      </w:pPr>
    </w:p>
    <w:p w14:paraId="0360E974" w14:textId="1B11D3F1" w:rsidR="00BB0956" w:rsidRPr="002E4298" w:rsidRDefault="00BB0956" w:rsidP="000234B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2E4298">
        <w:rPr>
          <w:lang w:val="fr-FR" w:bidi="fr-FR"/>
        </w:rPr>
        <w:lastRenderedPageBreak/>
        <w:tab/>
      </w:r>
      <w:r w:rsidRPr="002E4298">
        <w:rPr>
          <w:lang w:val="fr-FR" w:bidi="fr-FR"/>
        </w:rPr>
        <w:tab/>
        <w:t>Programmes de réadaptation des auteurs de violence domestique</w:t>
      </w:r>
    </w:p>
    <w:p w14:paraId="15FC8B10" w14:textId="146F955E" w:rsidR="000234BC" w:rsidRPr="002E4298" w:rsidRDefault="000234BC" w:rsidP="000234BC">
      <w:pPr>
        <w:pStyle w:val="SingleTxt"/>
        <w:spacing w:after="0" w:line="120" w:lineRule="exact"/>
        <w:rPr>
          <w:sz w:val="10"/>
          <w:lang w:val="fr-FR" w:bidi="fr-FR"/>
        </w:rPr>
      </w:pPr>
    </w:p>
    <w:p w14:paraId="37E8B7FF" w14:textId="5471563E" w:rsidR="00BB0956" w:rsidRPr="002E4298" w:rsidRDefault="00BB0956" w:rsidP="00A11C35">
      <w:pPr>
        <w:pStyle w:val="SingleTxt"/>
        <w:numPr>
          <w:ilvl w:val="0"/>
          <w:numId w:val="6"/>
        </w:numPr>
        <w:spacing w:line="240" w:lineRule="exact"/>
        <w:rPr>
          <w:lang w:val="fr-FR"/>
        </w:rPr>
      </w:pPr>
      <w:r w:rsidRPr="002E4298">
        <w:rPr>
          <w:lang w:val="fr-FR" w:bidi="fr-FR"/>
        </w:rPr>
        <w:t>La Direction générale de la réinsertion et de l’administration pénitentiaire propose des programmes spécifiques pour les auteurs d’actes de violence domestique visant à promouvoir la prise de conscience et la responsabilisation des personnes reconnues coupables par rapport à leur comportement violent, et, à cet égard, à réduire la récidive et à protéger efficacement les victimes. Les programmes sont disponibles à la fois dans le contexte civil et dans l’environnement carcéral et apportent des réponses spécifiques en fonction des risques que présente l’auteur des faits et de ses besoins.</w:t>
      </w:r>
    </w:p>
    <w:p w14:paraId="75E77598" w14:textId="1B067206" w:rsidR="00BB0956" w:rsidRPr="002E4298" w:rsidRDefault="00BB0956" w:rsidP="00A11C35">
      <w:pPr>
        <w:pStyle w:val="SingleTxt"/>
        <w:numPr>
          <w:ilvl w:val="0"/>
          <w:numId w:val="6"/>
        </w:numPr>
        <w:spacing w:line="240" w:lineRule="exact"/>
        <w:rPr>
          <w:lang w:val="fr-FR"/>
        </w:rPr>
      </w:pPr>
      <w:r w:rsidRPr="002E4298">
        <w:rPr>
          <w:lang w:val="fr-FR" w:bidi="fr-FR"/>
        </w:rPr>
        <w:t>Le programme principal (Programme pour les auteurs de violences domestiques) a été conçu pour être exécuté dans un contexte civil dans divers scénarios : comme mesure de contrainte urgente, comme injonction ou règle de conduite dans le cadre de la suspension provisoire d’une procédure</w:t>
      </w:r>
      <w:r w:rsidRPr="002E4298">
        <w:rPr>
          <w:vertAlign w:val="superscript"/>
          <w:lang w:val="fr-FR" w:bidi="fr-FR"/>
        </w:rPr>
        <w:footnoteReference w:id="18"/>
      </w:r>
      <w:r w:rsidRPr="002E4298">
        <w:rPr>
          <w:lang w:val="fr-FR" w:bidi="fr-FR"/>
        </w:rPr>
        <w:t xml:space="preserve"> ou dans le cadre de la suspension de l’exécution d’une peine d’emprisonnement</w:t>
      </w:r>
      <w:r w:rsidRPr="002E4298">
        <w:rPr>
          <w:vertAlign w:val="superscript"/>
          <w:lang w:val="fr-FR" w:bidi="fr-FR"/>
        </w:rPr>
        <w:footnoteReference w:id="19"/>
      </w:r>
      <w:r w:rsidRPr="002E4298">
        <w:rPr>
          <w:lang w:val="fr-FR" w:bidi="fr-FR"/>
        </w:rPr>
        <w:t>, et comme peine accessoire. La participation au programme constitue, dans de nombreux cas, une injonction et une condition au maintien des mesures appliquées, lesquelles peuvent être annulées en cas de non-respect. Le fait que l’auteur fasse l’objet d’une surveillance par des moyens électroniques n’empêche pas sa participation au programme.</w:t>
      </w:r>
    </w:p>
    <w:p w14:paraId="4B973EC1" w14:textId="6151206D" w:rsidR="00BB0956" w:rsidRPr="002E4298" w:rsidRDefault="00BB0956" w:rsidP="00A11C35">
      <w:pPr>
        <w:pStyle w:val="SingleTxt"/>
        <w:numPr>
          <w:ilvl w:val="0"/>
          <w:numId w:val="6"/>
        </w:numPr>
        <w:spacing w:line="240" w:lineRule="exact"/>
        <w:rPr>
          <w:lang w:val="fr-FR"/>
        </w:rPr>
      </w:pPr>
      <w:r w:rsidRPr="002E4298">
        <w:rPr>
          <w:lang w:val="fr-FR" w:bidi="fr-FR"/>
        </w:rPr>
        <w:t>En 2018, plus d’un millier de délinquants ont suivi des programmes dans le contexte civil.</w:t>
      </w:r>
    </w:p>
    <w:p w14:paraId="044F59BE" w14:textId="0055E40C" w:rsidR="00BB0956" w:rsidRPr="002E4298" w:rsidRDefault="00BB0956" w:rsidP="00A11C35">
      <w:pPr>
        <w:pStyle w:val="SingleTxt"/>
        <w:numPr>
          <w:ilvl w:val="0"/>
          <w:numId w:val="6"/>
        </w:numPr>
        <w:spacing w:line="240" w:lineRule="exact"/>
        <w:rPr>
          <w:lang w:val="fr-FR" w:bidi="fr-FR"/>
        </w:rPr>
      </w:pPr>
      <w:r w:rsidRPr="002E4298">
        <w:rPr>
          <w:lang w:val="fr-FR" w:bidi="fr-FR"/>
        </w:rPr>
        <w:t>En 2017, le Programme pour les auteurs de violences domestiques a été étendu au contexte carcéral et adapté aux caractéristiques spécifiques des délinquants incarcérés.</w:t>
      </w:r>
    </w:p>
    <w:p w14:paraId="73328984" w14:textId="7A1A49CB" w:rsidR="00BB0956" w:rsidRPr="002E4298" w:rsidRDefault="00BB0956" w:rsidP="00A11C35">
      <w:pPr>
        <w:pStyle w:val="SingleTxt"/>
        <w:numPr>
          <w:ilvl w:val="0"/>
          <w:numId w:val="6"/>
        </w:numPr>
        <w:spacing w:line="240" w:lineRule="exact"/>
        <w:rPr>
          <w:lang w:val="fr-FR"/>
        </w:rPr>
      </w:pPr>
      <w:r w:rsidRPr="002E4298">
        <w:rPr>
          <w:lang w:val="fr-FR" w:bidi="fr-FR"/>
        </w:rPr>
        <w:t>Les équipes chargées des institutions pénitentiaires et de la probation sont en contact étroit avec les organisations d’aide aux victimes et coopèrent étroitement avec les ONG et d’autres institutions concernées telles que les services de santé et de santé mentale, de la sécurité sociale, de l’emploi et de la protection sociale, afin d’apporter une réponse coordonnée.</w:t>
      </w:r>
    </w:p>
    <w:p w14:paraId="67B2CD23" w14:textId="77777777" w:rsidR="000234BC" w:rsidRPr="002E4298" w:rsidRDefault="000234BC" w:rsidP="000234BC">
      <w:pPr>
        <w:pStyle w:val="SingleTxt"/>
        <w:spacing w:after="0" w:line="120" w:lineRule="exact"/>
        <w:rPr>
          <w:sz w:val="10"/>
          <w:lang w:val="fr-FR" w:bidi="fr-FR"/>
        </w:rPr>
      </w:pPr>
    </w:p>
    <w:p w14:paraId="74D26F55" w14:textId="517499B8" w:rsidR="00BB0956" w:rsidRPr="002E4298" w:rsidRDefault="00BB0956" w:rsidP="000234B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2E4298">
        <w:rPr>
          <w:lang w:val="fr-FR" w:bidi="fr-FR"/>
        </w:rPr>
        <w:tab/>
      </w:r>
      <w:r w:rsidRPr="002E4298">
        <w:rPr>
          <w:lang w:val="fr-FR" w:bidi="fr-FR"/>
        </w:rPr>
        <w:tab/>
        <w:t>Violence domestique et incidence des difficultés économiques sur les familles</w:t>
      </w:r>
    </w:p>
    <w:p w14:paraId="013A182A" w14:textId="2CBDC173" w:rsidR="000234BC" w:rsidRPr="002E4298" w:rsidRDefault="000234BC" w:rsidP="000234BC">
      <w:pPr>
        <w:pStyle w:val="SingleTxt"/>
        <w:spacing w:after="0" w:line="120" w:lineRule="exact"/>
        <w:rPr>
          <w:sz w:val="10"/>
          <w:lang w:val="fr-FR" w:bidi="fr-FR"/>
        </w:rPr>
      </w:pPr>
    </w:p>
    <w:p w14:paraId="4805FCC0" w14:textId="5D8DDBBE" w:rsidR="00BB0956" w:rsidRPr="002E4298" w:rsidRDefault="00BB0956" w:rsidP="00A11C35">
      <w:pPr>
        <w:pStyle w:val="SingleTxt"/>
        <w:numPr>
          <w:ilvl w:val="0"/>
          <w:numId w:val="6"/>
        </w:numPr>
        <w:spacing w:line="240" w:lineRule="exact"/>
        <w:rPr>
          <w:lang w:val="fr-FR"/>
        </w:rPr>
      </w:pPr>
      <w:r w:rsidRPr="002E4298">
        <w:rPr>
          <w:lang w:val="fr-FR" w:bidi="fr-FR"/>
        </w:rPr>
        <w:t>Les droits économiques des victimes de violence domestique font l’objet d’une attention particulière en application de la loi nº 112/2009, qui établit des mesures visant à assurer la subsistance et l’autonomie financières des victimes. Celles qui sont dans la misère peuvent accéder au revenu social d’insertion ; les demandes des victimes de violence domestique sont examinées en priorité. La Commission pour la citoyenneté et l’égalité des genres et l’Institut du logement et de la rénovation urbaine ont signé un protocole pour garantir que les femmes puissent être hébergées dans l’un des centres du réseau national d’aide aux victimes de la violence domestique. De plus, en 2019, la Commission pour la citoyenneté et l’égalité des genres et l’Association nationale des municipalités portugaises ont signé un protocole visant à renforcer la réponse aux besoins des victimes de violence domestique en matière de logement.</w:t>
      </w:r>
    </w:p>
    <w:p w14:paraId="28BE28BE" w14:textId="2633FEF0" w:rsidR="00BB0956" w:rsidRPr="002E4298" w:rsidRDefault="00BB0956" w:rsidP="00A11C35">
      <w:pPr>
        <w:pStyle w:val="SingleTxt"/>
        <w:numPr>
          <w:ilvl w:val="0"/>
          <w:numId w:val="6"/>
        </w:numPr>
        <w:spacing w:line="240" w:lineRule="exact"/>
        <w:rPr>
          <w:lang w:val="fr-FR"/>
        </w:rPr>
      </w:pPr>
      <w:r w:rsidRPr="002E4298">
        <w:rPr>
          <w:lang w:val="fr-FR" w:bidi="fr-FR"/>
        </w:rPr>
        <w:t>Plusieurs ateliers et conférences sur la prévention et la lutte contre la violence domestique et sur les coûts de la violence domestique dans le secteur privé ont été organisés à l’intention d’entreprises, d’associations professionnelles, de syndicats et d’autres acteurs du secteur privé.</w:t>
      </w:r>
    </w:p>
    <w:p w14:paraId="32F2B66B" w14:textId="77777777" w:rsidR="000234BC" w:rsidRPr="002E4298" w:rsidRDefault="000234BC" w:rsidP="000234BC">
      <w:pPr>
        <w:pStyle w:val="SingleTxt"/>
        <w:spacing w:after="0" w:line="120" w:lineRule="exact"/>
        <w:rPr>
          <w:sz w:val="10"/>
          <w:lang w:val="fr-FR" w:bidi="fr-FR"/>
        </w:rPr>
      </w:pPr>
    </w:p>
    <w:p w14:paraId="222DD672" w14:textId="244CEE2B" w:rsidR="00BB0956" w:rsidRPr="002E4298" w:rsidRDefault="00BB0956" w:rsidP="000234B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2E4298">
        <w:rPr>
          <w:lang w:val="fr-FR" w:bidi="fr-FR"/>
        </w:rPr>
        <w:lastRenderedPageBreak/>
        <w:tab/>
      </w:r>
      <w:r w:rsidRPr="002E4298">
        <w:rPr>
          <w:lang w:val="fr-FR" w:bidi="fr-FR"/>
        </w:rPr>
        <w:tab/>
        <w:t>Formation</w:t>
      </w:r>
    </w:p>
    <w:p w14:paraId="3659A7CC" w14:textId="288719D6" w:rsidR="000234BC" w:rsidRPr="002E4298" w:rsidRDefault="000234BC" w:rsidP="000234BC">
      <w:pPr>
        <w:pStyle w:val="SingleTxt"/>
        <w:keepNext/>
        <w:spacing w:after="0" w:line="120" w:lineRule="exact"/>
        <w:rPr>
          <w:sz w:val="10"/>
          <w:lang w:val="fr-FR" w:bidi="fr-FR"/>
        </w:rPr>
      </w:pPr>
    </w:p>
    <w:p w14:paraId="53888996" w14:textId="33C7FAC8" w:rsidR="00BB0956" w:rsidRPr="002E4298" w:rsidRDefault="00BB0956" w:rsidP="00A11C35">
      <w:pPr>
        <w:pStyle w:val="SingleTxt"/>
        <w:numPr>
          <w:ilvl w:val="0"/>
          <w:numId w:val="6"/>
        </w:numPr>
        <w:spacing w:line="240" w:lineRule="exact"/>
        <w:rPr>
          <w:lang w:val="fr-FR"/>
        </w:rPr>
      </w:pPr>
      <w:r w:rsidRPr="002E4298">
        <w:rPr>
          <w:lang w:val="fr-FR" w:bidi="fr-FR"/>
        </w:rPr>
        <w:t>Afin de renforcer la formation des professionnels pertinents en matière de violence à l’égard des femmes et de violence domestique, notamment du personnel judiciaire (procureurs, juges, avocats, greffiers), des forces de sécurité et des professionnels de la santé (médecins, personnel infirmier et administratif), la Commission pour la citoyenneté et l’égalité des genres a établi des protocoles (par exemple avec le Barreau, le Centre d’études judiciaires, la Direction générale de l’administration de la justice, les forces de police, le Bureau du Procureur général) afin d’offrir davantage de cours de formation et de spécialisation et de produire le matériel adéquat à cet effet.</w:t>
      </w:r>
    </w:p>
    <w:p w14:paraId="381325D8" w14:textId="19EC89F9" w:rsidR="00BB0956" w:rsidRPr="002E4298" w:rsidRDefault="00BB0956" w:rsidP="00A11C35">
      <w:pPr>
        <w:pStyle w:val="SingleTxt"/>
        <w:numPr>
          <w:ilvl w:val="0"/>
          <w:numId w:val="6"/>
        </w:numPr>
        <w:spacing w:line="240" w:lineRule="exact"/>
        <w:rPr>
          <w:lang w:val="fr-FR" w:bidi="fr-FR"/>
        </w:rPr>
      </w:pPr>
      <w:r w:rsidRPr="002E4298">
        <w:rPr>
          <w:lang w:val="fr-FR" w:bidi="fr-FR"/>
        </w:rPr>
        <w:t>En ce qui concerne la formation des juges et des procureurs, le Centre d’études judiciaires dispense des formations initiales et continues sur divers sujets relatifs aux droits fondamentaux et au droit constitutionnel, sous la forme de cours, d’ateliers ou de séminaires, qui portent notamment sur la violence domestique, la violence fondée sur le genre</w:t>
      </w:r>
      <w:r w:rsidRPr="002E4298" w:rsidDel="0045507A">
        <w:rPr>
          <w:lang w:val="fr-FR" w:bidi="fr-FR"/>
        </w:rPr>
        <w:t xml:space="preserve"> </w:t>
      </w:r>
      <w:r w:rsidRPr="002E4298">
        <w:rPr>
          <w:lang w:val="fr-FR" w:bidi="fr-FR"/>
        </w:rPr>
        <w:t>et les mutilations génitales féminines. En 2017 et 2018 seulement, le Centre d’études judiciaires a organisé un séminaire, trois ateliers et une conférence sur la violence domestique et la violence fondée sur le genre. Le Centre d’études judiciaires a également publié plusieurs documents sur la violence domestique (par exemple, un livre électronique sur la téléassistance, un livre électronique sur l’évaluation et le contrôle des risques et un manuel interdisciplinaire sur les conséquences de la violence domestique).</w:t>
      </w:r>
    </w:p>
    <w:p w14:paraId="519FADF4" w14:textId="2275DB98" w:rsidR="00BB0956" w:rsidRPr="002E4298" w:rsidRDefault="00BB0956" w:rsidP="00A11C35">
      <w:pPr>
        <w:pStyle w:val="SingleTxt"/>
        <w:numPr>
          <w:ilvl w:val="0"/>
          <w:numId w:val="6"/>
        </w:numPr>
        <w:spacing w:line="240" w:lineRule="exact"/>
        <w:rPr>
          <w:lang w:val="fr-FR"/>
        </w:rPr>
      </w:pPr>
      <w:r w:rsidRPr="002E4298">
        <w:rPr>
          <w:lang w:val="fr-FR" w:bidi="fr-FR"/>
        </w:rPr>
        <w:t>La loi nº 80/2019 du 2 septembre 2019 dispose que la formation sur les droits humains et sur la violence domestique est désormais obligatoire pour les juges et les procureurs.</w:t>
      </w:r>
    </w:p>
    <w:p w14:paraId="75E1455A" w14:textId="1E760A4C" w:rsidR="00BB0956" w:rsidRPr="002E4298" w:rsidRDefault="00BB0956" w:rsidP="00A11C35">
      <w:pPr>
        <w:pStyle w:val="SingleTxt"/>
        <w:numPr>
          <w:ilvl w:val="0"/>
          <w:numId w:val="6"/>
        </w:numPr>
        <w:spacing w:line="240" w:lineRule="exact"/>
        <w:rPr>
          <w:lang w:val="fr-FR"/>
        </w:rPr>
      </w:pPr>
      <w:r w:rsidRPr="002E4298">
        <w:rPr>
          <w:lang w:val="fr-FR" w:bidi="fr-FR"/>
        </w:rPr>
        <w:t>Comme mentionné ci-dessus, le Barreau portugais propose de plus en plus de formations sur des sujets liés aux droits des femmes. La question de la violence domestique est une préoccupation particulière des avocats. Le Conseil régional du Barreau de Lisbonne a organisé deux conférences consacrées à ce sujet, l’une en 2018 et l’autre en 2019, centrées sur l’adoption d’une approche multidisciplinaire grâce à la participation de professionnels d’autres domaines, tels que des psychologues. La formation initiale aborde également des questions liées à l’égalité des genres et à la violence domestique.</w:t>
      </w:r>
    </w:p>
    <w:p w14:paraId="0FA5D9E4" w14:textId="77777777" w:rsidR="000234BC" w:rsidRPr="002E4298" w:rsidRDefault="000234BC" w:rsidP="000234BC">
      <w:pPr>
        <w:pStyle w:val="SingleTxt"/>
        <w:spacing w:after="0" w:line="120" w:lineRule="exact"/>
        <w:rPr>
          <w:sz w:val="10"/>
          <w:lang w:val="fr-FR" w:bidi="fr-FR"/>
        </w:rPr>
      </w:pPr>
    </w:p>
    <w:p w14:paraId="5E2E741F" w14:textId="68A4A72A" w:rsidR="00BB0956" w:rsidRPr="002E4298" w:rsidRDefault="00BB0956" w:rsidP="000234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2E4298">
        <w:rPr>
          <w:lang w:val="fr-FR" w:bidi="fr-FR"/>
        </w:rPr>
        <w:tab/>
      </w:r>
      <w:r w:rsidRPr="002E4298">
        <w:rPr>
          <w:lang w:val="fr-FR" w:bidi="fr-FR"/>
        </w:rPr>
        <w:tab/>
        <w:t>Violence sexuelle</w:t>
      </w:r>
    </w:p>
    <w:p w14:paraId="0FADDDF6" w14:textId="1C28E8D5" w:rsidR="000234BC" w:rsidRPr="002E4298" w:rsidRDefault="000234BC" w:rsidP="000234BC">
      <w:pPr>
        <w:pStyle w:val="SingleTxt"/>
        <w:spacing w:after="0" w:line="120" w:lineRule="exact"/>
        <w:rPr>
          <w:sz w:val="10"/>
          <w:lang w:val="fr-FR" w:bidi="fr-FR"/>
        </w:rPr>
      </w:pPr>
    </w:p>
    <w:p w14:paraId="3729AECA" w14:textId="3175C24D" w:rsidR="00BB0956" w:rsidRPr="002E4298" w:rsidRDefault="00BB0956" w:rsidP="00A11C35">
      <w:pPr>
        <w:pStyle w:val="SingleTxt"/>
        <w:numPr>
          <w:ilvl w:val="0"/>
          <w:numId w:val="6"/>
        </w:numPr>
        <w:spacing w:line="240" w:lineRule="exact"/>
        <w:rPr>
          <w:lang w:val="fr-FR" w:bidi="fr-FR"/>
        </w:rPr>
      </w:pPr>
      <w:r w:rsidRPr="002E4298">
        <w:rPr>
          <w:lang w:val="fr-FR" w:bidi="fr-FR"/>
        </w:rPr>
        <w:t>Le plan d’action sur la violence à l’égard des femmes et la violence domestique adopté dans le cadre de la Stratégie nationale en faveur de l’égalité et de la non-discrimination, déjà mentionné ci-dessus, prévoit des mesures visant à lutter contre toutes les formes de violence à l’égard des femmes.</w:t>
      </w:r>
    </w:p>
    <w:p w14:paraId="0DD0E560" w14:textId="77777777" w:rsidR="000234BC" w:rsidRPr="002E4298" w:rsidRDefault="000234BC" w:rsidP="000234BC">
      <w:pPr>
        <w:pStyle w:val="SingleTxt"/>
        <w:spacing w:after="0" w:line="120" w:lineRule="exact"/>
        <w:rPr>
          <w:sz w:val="10"/>
          <w:lang w:val="fr-FR" w:bidi="fr-FR"/>
        </w:rPr>
      </w:pPr>
    </w:p>
    <w:p w14:paraId="552359F1" w14:textId="21FC51D8" w:rsidR="00BB0956" w:rsidRPr="002E4298" w:rsidRDefault="00BB0956" w:rsidP="000234B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2E4298">
        <w:rPr>
          <w:lang w:val="fr-FR" w:bidi="fr-FR"/>
        </w:rPr>
        <w:tab/>
      </w:r>
      <w:r w:rsidRPr="002E4298">
        <w:rPr>
          <w:lang w:val="fr-FR" w:bidi="fr-FR"/>
        </w:rPr>
        <w:tab/>
        <w:t>Criminalisation de tous les types d’actes sexuels non consentis</w:t>
      </w:r>
    </w:p>
    <w:p w14:paraId="67DC9E43" w14:textId="15B06588" w:rsidR="000234BC" w:rsidRPr="002E4298" w:rsidRDefault="000234BC" w:rsidP="000234BC">
      <w:pPr>
        <w:pStyle w:val="SingleTxt"/>
        <w:spacing w:after="0" w:line="120" w:lineRule="exact"/>
        <w:rPr>
          <w:sz w:val="10"/>
          <w:lang w:val="fr-FR" w:bidi="fr-FR"/>
        </w:rPr>
      </w:pPr>
    </w:p>
    <w:p w14:paraId="483E553B" w14:textId="0DABE2C3" w:rsidR="00BB0956" w:rsidRPr="002E4298" w:rsidRDefault="00BB0956" w:rsidP="00A11C35">
      <w:pPr>
        <w:pStyle w:val="SingleTxt"/>
        <w:numPr>
          <w:ilvl w:val="0"/>
          <w:numId w:val="6"/>
        </w:numPr>
        <w:spacing w:line="240" w:lineRule="exact"/>
        <w:rPr>
          <w:lang w:val="fr-FR" w:bidi="fr-FR"/>
        </w:rPr>
      </w:pPr>
      <w:r w:rsidRPr="002E4298">
        <w:rPr>
          <w:lang w:val="fr-FR" w:bidi="fr-FR"/>
        </w:rPr>
        <w:t>La loi nº 83/2015 du 5 août 2015 a modifié les définitions des délits de viol, de relations sexuelles sous contrainte et de harcèlement sexuel contenues dans le Code pénal conformément à la Convention d’Istanbul. Suite aux recommandations du Groupe d’experts sur la lutte contre la violence à l’égard des femmes et la violence domestique (GREVIO), la loi nº 101/2019 du 6 septembre 2019 a revu la définition des infractions de viol et de relations sexuelles sous contrainte, en précisant que ces infractions reposent sur l’absence de consentement de la victime et que le recours à la violence justifie l’application d’une peine aggravée.</w:t>
      </w:r>
    </w:p>
    <w:p w14:paraId="1A589ABE" w14:textId="1626FDB4" w:rsidR="00BB0956" w:rsidRPr="002E4298" w:rsidRDefault="00BB0956" w:rsidP="00A11C35">
      <w:pPr>
        <w:pStyle w:val="SingleTxt"/>
        <w:numPr>
          <w:ilvl w:val="0"/>
          <w:numId w:val="6"/>
        </w:numPr>
        <w:spacing w:line="240" w:lineRule="exact"/>
        <w:rPr>
          <w:lang w:val="fr-FR" w:bidi="fr-FR"/>
        </w:rPr>
      </w:pPr>
      <w:r w:rsidRPr="002E4298">
        <w:rPr>
          <w:lang w:val="fr-FR" w:bidi="fr-FR"/>
        </w:rPr>
        <w:t xml:space="preserve">Bien que le Code pénal n’englobe pas toutes les formes d’actes sexuels non consentis dans la définition du viol, il qualifie et punit un large éventail d’actes sexuels non consentis comme des délits contre la liberté sexuelle (viol, relations </w:t>
      </w:r>
      <w:r w:rsidRPr="002E4298">
        <w:rPr>
          <w:lang w:val="fr-FR" w:bidi="fr-FR"/>
        </w:rPr>
        <w:lastRenderedPageBreak/>
        <w:t>sexuelles sous contrainte, abus sexuel, harcèlement et proxénétisme). Ce catalogue différencié permet de prendre en compte les différents degrés de gravité des comportements et des préjudices subis en conséquence.</w:t>
      </w:r>
    </w:p>
    <w:p w14:paraId="54352A7D" w14:textId="70DF91F8" w:rsidR="00BB0956" w:rsidRPr="002E4298" w:rsidRDefault="00BB0956" w:rsidP="00A11C35">
      <w:pPr>
        <w:pStyle w:val="SingleTxt"/>
        <w:numPr>
          <w:ilvl w:val="0"/>
          <w:numId w:val="6"/>
        </w:numPr>
        <w:spacing w:line="240" w:lineRule="exact"/>
        <w:rPr>
          <w:lang w:val="fr-FR" w:bidi="fr-FR"/>
        </w:rPr>
      </w:pPr>
      <w:r w:rsidRPr="002E4298">
        <w:rPr>
          <w:lang w:val="fr-FR" w:bidi="fr-FR"/>
        </w:rPr>
        <w:t>En ce qui concerne le harcèlement sexuel, la définition actuelle de ce délit inclut en outre le comportement consistant à importuner une personne en formulant des propos à connotation sexuelle.</w:t>
      </w:r>
    </w:p>
    <w:p w14:paraId="16ABD17C" w14:textId="4BEFBE0B" w:rsidR="00BB0956" w:rsidRPr="002E4298" w:rsidRDefault="00BB0956" w:rsidP="00A11C35">
      <w:pPr>
        <w:pStyle w:val="SingleTxt"/>
        <w:numPr>
          <w:ilvl w:val="0"/>
          <w:numId w:val="6"/>
        </w:numPr>
        <w:spacing w:line="240" w:lineRule="exact"/>
        <w:rPr>
          <w:lang w:val="fr-FR"/>
        </w:rPr>
      </w:pPr>
      <w:r w:rsidRPr="002E4298">
        <w:rPr>
          <w:lang w:val="fr-FR" w:bidi="fr-FR"/>
        </w:rPr>
        <w:t>La loi nº 83/2015 a également érigé en infraction pénale le harcèlement criminel. La loi nº 101/2019 a modifié le Code de procédure pénale en étendant l’application des ordonnances d’interdiction, d’éloignement et de protection aux victimes de menaces, de coercition et de harcèlement. Pour garantir la sécurité de la victime, l’interdiction faite à la personne mise en cause de contacter par quelque moyen que ce soit une personne particulière ou de fréquenter certains lieux peut être contrôlée par des moyens techniques de surveillance à distance.</w:t>
      </w:r>
    </w:p>
    <w:p w14:paraId="58902DE1" w14:textId="475A9C04" w:rsidR="00BB0956" w:rsidRPr="002E4298" w:rsidRDefault="00BB0956" w:rsidP="00A11C35">
      <w:pPr>
        <w:pStyle w:val="SingleTxt"/>
        <w:numPr>
          <w:ilvl w:val="0"/>
          <w:numId w:val="6"/>
        </w:numPr>
        <w:spacing w:line="240" w:lineRule="exact"/>
        <w:rPr>
          <w:lang w:val="fr-FR"/>
        </w:rPr>
      </w:pPr>
      <w:r w:rsidRPr="002E4298">
        <w:rPr>
          <w:lang w:val="fr-FR" w:bidi="fr-FR"/>
        </w:rPr>
        <w:t>Les victimes de viol et de relations sexuelles sous contrainte sont également dispensées du paiement des frais de justice encourus dans le cadre de la procédure pénale</w:t>
      </w:r>
      <w:r w:rsidRPr="002E4298">
        <w:rPr>
          <w:vertAlign w:val="superscript"/>
          <w:lang w:val="fr-FR" w:bidi="fr-FR"/>
        </w:rPr>
        <w:footnoteReference w:id="20"/>
      </w:r>
      <w:r w:rsidRPr="002E4298">
        <w:rPr>
          <w:lang w:val="fr-FR" w:bidi="fr-FR"/>
        </w:rPr>
        <w:t>.</w:t>
      </w:r>
    </w:p>
    <w:p w14:paraId="7C4AF881" w14:textId="77777777" w:rsidR="000234BC" w:rsidRPr="002E4298" w:rsidRDefault="000234BC" w:rsidP="000234BC">
      <w:pPr>
        <w:pStyle w:val="SingleTxt"/>
        <w:spacing w:after="0" w:line="120" w:lineRule="exact"/>
        <w:rPr>
          <w:sz w:val="10"/>
          <w:lang w:val="fr-FR" w:bidi="fr-FR"/>
        </w:rPr>
      </w:pPr>
    </w:p>
    <w:p w14:paraId="2E3CF48B" w14:textId="632C7202" w:rsidR="00BB0956" w:rsidRPr="002E4298" w:rsidRDefault="00BB0956" w:rsidP="000234B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2E4298">
        <w:rPr>
          <w:lang w:val="fr-FR" w:bidi="fr-FR"/>
        </w:rPr>
        <w:tab/>
      </w:r>
      <w:r w:rsidRPr="002E4298">
        <w:rPr>
          <w:lang w:val="fr-FR" w:bidi="fr-FR"/>
        </w:rPr>
        <w:tab/>
        <w:t>Services d’urgence pour les victimes de viol</w:t>
      </w:r>
    </w:p>
    <w:p w14:paraId="3B1EAE63" w14:textId="2314E8E1" w:rsidR="000234BC" w:rsidRPr="002E4298" w:rsidRDefault="000234BC" w:rsidP="000234BC">
      <w:pPr>
        <w:pStyle w:val="SingleTxt"/>
        <w:spacing w:after="0" w:line="120" w:lineRule="exact"/>
        <w:rPr>
          <w:sz w:val="10"/>
          <w:lang w:val="fr-FR" w:bidi="fr-FR"/>
        </w:rPr>
      </w:pPr>
    </w:p>
    <w:p w14:paraId="737E503C" w14:textId="7A200E21" w:rsidR="00BB0956" w:rsidRPr="002E4298" w:rsidRDefault="00BB0956" w:rsidP="00A11C35">
      <w:pPr>
        <w:pStyle w:val="SingleTxt"/>
        <w:numPr>
          <w:ilvl w:val="0"/>
          <w:numId w:val="6"/>
        </w:numPr>
        <w:spacing w:line="240" w:lineRule="exact"/>
        <w:rPr>
          <w:lang w:val="fr-FR"/>
        </w:rPr>
      </w:pPr>
      <w:r w:rsidRPr="002E4298">
        <w:rPr>
          <w:lang w:val="fr-FR" w:bidi="fr-FR"/>
        </w:rPr>
        <w:t>Les victimes de viol sont considérées comme des victimes particulièrement vulnérables, statut pouvant justifier l’application de mesures spéciales destinées à protéger la victime contre une victimisation secondaire ou contre un préjudice supplémentaire. Dans le cas des victimes de violence sexuelle, de violence fondée sur le genre</w:t>
      </w:r>
      <w:r w:rsidRPr="002E4298" w:rsidDel="0045507A">
        <w:rPr>
          <w:lang w:val="fr-FR" w:bidi="fr-FR"/>
        </w:rPr>
        <w:t xml:space="preserve"> </w:t>
      </w:r>
      <w:r w:rsidRPr="002E4298">
        <w:rPr>
          <w:lang w:val="fr-FR" w:bidi="fr-FR"/>
        </w:rPr>
        <w:t>ou de violence dans des relations intimes, les mesures spéciales prévoient que l’examen de la victime doit être effectué par une personne du même sexe que la victime, si celle-ci le souhaite. Parmi les mesures spéciales figurent également le fait que l’examen de la victime doit toujours être effectué par la même personne, des mesures visant à éviter le contact visuel entre les victimes et les accusés, notamment lors des dépositions, à l’aide des moyens technologiques appropriés, la prise de dépositions pour une utilisation future et la non-publicité des audiences.</w:t>
      </w:r>
    </w:p>
    <w:p w14:paraId="4FD90289" w14:textId="3ACB0F89" w:rsidR="00BB0956" w:rsidRPr="002E4298" w:rsidRDefault="00BB0956" w:rsidP="00A11C35">
      <w:pPr>
        <w:pStyle w:val="SingleTxt"/>
        <w:numPr>
          <w:ilvl w:val="0"/>
          <w:numId w:val="6"/>
        </w:numPr>
        <w:spacing w:line="240" w:lineRule="exact"/>
        <w:rPr>
          <w:lang w:val="fr-FR"/>
        </w:rPr>
      </w:pPr>
      <w:r w:rsidRPr="002E4298">
        <w:rPr>
          <w:lang w:val="fr-FR" w:bidi="fr-FR"/>
        </w:rPr>
        <w:t>En 2017 et 2018, deux centres de crise pour les victimes de violences sexuelles ont été créés (à Lisbonne et à Porto, respectivement) et offrent un soutien psychologique et psychosocial immédiat et individualisé aux femmes et aux filles victimes de violences sexuelles. Ces centres sont gérés par des ONG féminines</w:t>
      </w:r>
      <w:r w:rsidRPr="002E4298">
        <w:rPr>
          <w:vertAlign w:val="superscript"/>
          <w:lang w:val="fr-FR" w:bidi="fr-FR"/>
        </w:rPr>
        <w:footnoteReference w:id="21"/>
      </w:r>
      <w:r w:rsidRPr="002E4298">
        <w:rPr>
          <w:lang w:val="fr-FR" w:bidi="fr-FR"/>
        </w:rPr>
        <w:t xml:space="preserve"> et financés par l’État. Par ailleurs, un centre pour les hommes victimes de violences sexuelles a été créé en 2017.</w:t>
      </w:r>
    </w:p>
    <w:p w14:paraId="71218116" w14:textId="77777777" w:rsidR="000234BC" w:rsidRPr="002E4298" w:rsidRDefault="000234BC" w:rsidP="000234BC">
      <w:pPr>
        <w:pStyle w:val="SingleTxt"/>
        <w:spacing w:after="0" w:line="120" w:lineRule="exact"/>
        <w:rPr>
          <w:i/>
          <w:sz w:val="10"/>
          <w:lang w:val="fr-FR" w:bidi="fr-FR"/>
        </w:rPr>
      </w:pPr>
    </w:p>
    <w:p w14:paraId="53431B9C" w14:textId="2D620BD3" w:rsidR="00BB0956" w:rsidRPr="002E4298" w:rsidRDefault="00BB0956" w:rsidP="000234B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2E4298">
        <w:rPr>
          <w:lang w:val="fr-FR" w:bidi="fr-FR"/>
        </w:rPr>
        <w:tab/>
      </w:r>
      <w:r w:rsidRPr="002E4298">
        <w:rPr>
          <w:lang w:val="fr-FR" w:bidi="fr-FR"/>
        </w:rPr>
        <w:tab/>
        <w:t>Viol conjugal</w:t>
      </w:r>
    </w:p>
    <w:p w14:paraId="256C679C" w14:textId="4ACF89DD" w:rsidR="000234BC" w:rsidRPr="002E4298" w:rsidRDefault="000234BC" w:rsidP="000234BC">
      <w:pPr>
        <w:pStyle w:val="SingleTxt"/>
        <w:spacing w:after="0" w:line="120" w:lineRule="exact"/>
        <w:rPr>
          <w:sz w:val="10"/>
          <w:lang w:val="fr-FR" w:bidi="fr-FR"/>
        </w:rPr>
      </w:pPr>
    </w:p>
    <w:p w14:paraId="50870158" w14:textId="1B1FC4E0" w:rsidR="00BB0956" w:rsidRPr="002E4298" w:rsidRDefault="00BB0956" w:rsidP="00A11C35">
      <w:pPr>
        <w:pStyle w:val="SingleTxt"/>
        <w:numPr>
          <w:ilvl w:val="0"/>
          <w:numId w:val="6"/>
        </w:numPr>
        <w:spacing w:line="240" w:lineRule="exact"/>
        <w:rPr>
          <w:lang w:val="fr-FR"/>
        </w:rPr>
      </w:pPr>
      <w:r w:rsidRPr="002E4298">
        <w:rPr>
          <w:lang w:val="fr-FR" w:bidi="fr-FR"/>
        </w:rPr>
        <w:t>Le viol conjugal est puni dans le cadre du délit de viol. La peine est augmentée d’un tiers lorsque le délinquant est un proche de la victime ou qu’il cohabite avec la victime, et que l’infraction est commise en tirant profit de cette relation. Le viol conjugal peut également être puni en tant qu’acte de violence domestique, mais seulement s’il n’est pas possible d’appliquer une peine plus sévère en vertu d’une autre disposition légale (comme le viol).</w:t>
      </w:r>
    </w:p>
    <w:p w14:paraId="664B665B" w14:textId="2CD09181" w:rsidR="00BB0956" w:rsidRPr="002E4298" w:rsidRDefault="00BB0956" w:rsidP="00A11C35">
      <w:pPr>
        <w:pStyle w:val="SingleTxt"/>
        <w:numPr>
          <w:ilvl w:val="0"/>
          <w:numId w:val="6"/>
        </w:numPr>
        <w:spacing w:line="240" w:lineRule="exact"/>
        <w:rPr>
          <w:lang w:val="fr-FR" w:bidi="fr-FR"/>
        </w:rPr>
      </w:pPr>
      <w:r w:rsidRPr="002E4298">
        <w:rPr>
          <w:lang w:val="fr-FR" w:bidi="fr-FR"/>
        </w:rPr>
        <w:t xml:space="preserve">Depuis 2017, le Portugal met en œuvre un projet intitulé « Violence sexuelle dans les relations intimes », financé par la Commission européenne et impulsé par la Commission pour la citoyenneté et l’égalité des genres, en partenariat avec les Ministères de la santé, de l’intérieur, de la justice, de l’éducation et du travail, de la </w:t>
      </w:r>
      <w:r w:rsidRPr="002E4298">
        <w:rPr>
          <w:lang w:val="fr-FR" w:bidi="fr-FR"/>
        </w:rPr>
        <w:lastRenderedPageBreak/>
        <w:t>solidarité et de la sécurité sociale. Le projet vise à sensibiliser les professionnels de ces cinq secteurs (professionnels de l’administration publique), considérés comme des maillons essentiels à la mise en œuvre des programmes de prévention de la violence sexuelle dans les relations intimes, en les formant à détecter, dans le cadre de leur intervention, les problèmes de violence sexuelle dans les relations intimes et à adapter en conséquence leurs attitudes et comportements.</w:t>
      </w:r>
    </w:p>
    <w:p w14:paraId="53833456" w14:textId="77777777" w:rsidR="000234BC" w:rsidRPr="002E4298" w:rsidRDefault="000234BC" w:rsidP="000234BC">
      <w:pPr>
        <w:pStyle w:val="SingleTxt"/>
        <w:spacing w:after="0" w:line="120" w:lineRule="exact"/>
        <w:rPr>
          <w:sz w:val="10"/>
          <w:lang w:val="fr-FR" w:bidi="fr-FR"/>
        </w:rPr>
      </w:pPr>
    </w:p>
    <w:p w14:paraId="75A2A5A5" w14:textId="6B7BB48F" w:rsidR="00BB0956" w:rsidRPr="002E4298" w:rsidRDefault="00BB0956" w:rsidP="000234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2E4298">
        <w:rPr>
          <w:lang w:val="fr-FR" w:bidi="fr-FR"/>
        </w:rPr>
        <w:tab/>
      </w:r>
      <w:r w:rsidRPr="002E4298">
        <w:rPr>
          <w:lang w:val="fr-FR" w:bidi="fr-FR"/>
        </w:rPr>
        <w:tab/>
        <w:t>Pratiques traditionnelles préjudiciables</w:t>
      </w:r>
    </w:p>
    <w:p w14:paraId="03CAD2AE" w14:textId="17011316" w:rsidR="000234BC" w:rsidRPr="002E4298" w:rsidRDefault="000234BC" w:rsidP="000234BC">
      <w:pPr>
        <w:pStyle w:val="SingleTxt"/>
        <w:spacing w:after="0" w:line="120" w:lineRule="exact"/>
        <w:rPr>
          <w:sz w:val="10"/>
          <w:lang w:val="fr-FR" w:bidi="fr-FR"/>
        </w:rPr>
      </w:pPr>
    </w:p>
    <w:p w14:paraId="7BB99D0E" w14:textId="586ACA51" w:rsidR="00BB0956" w:rsidRPr="002E4298" w:rsidRDefault="00BB0956" w:rsidP="00A11C35">
      <w:pPr>
        <w:pStyle w:val="SingleTxt"/>
        <w:numPr>
          <w:ilvl w:val="0"/>
          <w:numId w:val="6"/>
        </w:numPr>
        <w:spacing w:line="240" w:lineRule="exact"/>
        <w:rPr>
          <w:lang w:val="fr-FR"/>
        </w:rPr>
      </w:pPr>
      <w:r w:rsidRPr="002E4298">
        <w:rPr>
          <w:lang w:val="fr-FR" w:bidi="fr-FR"/>
        </w:rPr>
        <w:t>Comme en a déjà été informé le Comité, la loi nº 83/2015 a également érigé en infraction pénale les mutilations génitales féminines et leurs actes préparatoires, de même que le mariage forcé et ses actes préparatoires. Les sanctions applicables peuvent être aggravées en fonction du degré de cruauté de l’acte, de la relation de l’auteur avec la victime et d’autres circonstances aggravantes.</w:t>
      </w:r>
    </w:p>
    <w:p w14:paraId="1ACB1481" w14:textId="13E07812" w:rsidR="00BB0956" w:rsidRPr="002E4298" w:rsidRDefault="00BB0956" w:rsidP="00A11C35">
      <w:pPr>
        <w:pStyle w:val="SingleTxt"/>
        <w:numPr>
          <w:ilvl w:val="0"/>
          <w:numId w:val="6"/>
        </w:numPr>
        <w:spacing w:line="240" w:lineRule="exact"/>
        <w:rPr>
          <w:lang w:val="fr-FR"/>
        </w:rPr>
      </w:pPr>
      <w:r w:rsidRPr="002E4298">
        <w:rPr>
          <w:lang w:val="fr-FR" w:bidi="fr-FR"/>
        </w:rPr>
        <w:t>Selon le Code pénal, les mutilations génitales féminines et le mariage forcé sont passibles d’une condamnation au Portugal même s’ils sont commis en dehors du territoire portugais (principe d’extraterritorialité), à condition que l’auteur de l’infraction soit arrêté au Portugal et ne puisse être extradé ni remis aux autorités compétentes en vertu de l’exécution d’un mandat d’arrêt européen ou d’un autre instrument de coopération internationale liant l’État portugais. Cette disposition s’applique même si l’auteur de l’infraction n’est pas un ressortissant portugais et si l’infraction a été commise dans son pays d’origine.</w:t>
      </w:r>
    </w:p>
    <w:p w14:paraId="7BDE5A6C" w14:textId="256AFA92" w:rsidR="00BB0956" w:rsidRPr="002E4298" w:rsidRDefault="00BB0956" w:rsidP="00A11C35">
      <w:pPr>
        <w:pStyle w:val="SingleTxt"/>
        <w:numPr>
          <w:ilvl w:val="0"/>
          <w:numId w:val="6"/>
        </w:numPr>
        <w:spacing w:line="240" w:lineRule="exact"/>
        <w:rPr>
          <w:lang w:val="fr-FR"/>
        </w:rPr>
      </w:pPr>
      <w:r w:rsidRPr="002E4298">
        <w:rPr>
          <w:lang w:val="fr-FR" w:bidi="fr-FR"/>
        </w:rPr>
        <w:t>Les victimes de mutilations génitales féminines sont également dispensées du paiement des frais de justice encourus dans le cadre de la procédure pénale</w:t>
      </w:r>
      <w:r w:rsidRPr="002E4298">
        <w:rPr>
          <w:vertAlign w:val="superscript"/>
          <w:lang w:val="fr-FR" w:bidi="fr-FR"/>
        </w:rPr>
        <w:footnoteReference w:id="22"/>
      </w:r>
      <w:r w:rsidRPr="002E4298">
        <w:rPr>
          <w:lang w:val="fr-FR" w:bidi="fr-FR"/>
        </w:rPr>
        <w:t>.</w:t>
      </w:r>
    </w:p>
    <w:p w14:paraId="1C3FDEF7" w14:textId="141B7714" w:rsidR="00BB0956" w:rsidRPr="002E4298" w:rsidRDefault="00BB0956" w:rsidP="00A11C35">
      <w:pPr>
        <w:pStyle w:val="SingleTxt"/>
        <w:numPr>
          <w:ilvl w:val="0"/>
          <w:numId w:val="6"/>
        </w:numPr>
        <w:spacing w:line="240" w:lineRule="exact"/>
        <w:rPr>
          <w:lang w:val="fr-FR" w:bidi="fr-FR"/>
        </w:rPr>
      </w:pPr>
      <w:r w:rsidRPr="002E4298">
        <w:rPr>
          <w:lang w:val="fr-FR" w:bidi="fr-FR"/>
        </w:rPr>
        <w:t>Au fil des ans, la prévention et la lutte contre les mutilations génitales féminines se sont vu accorder une priorité croissante, avec l’introduction de mesures structurelles visant à mettre un terme à cette pratique préjudiciable. D’importants efforts ont été déployés pour cerner la dimension juridique de cette pratique, notamment l’élaboration de lignes directrices à l’intention des professionnels les plus concernés, le renforcement des connaissances sur les mutilations génitales féminines (prévalence, signalement des cas par le système de santé publique), et la fourniture d’un soutien en faveur de projets de lutte contre les mutilations génitales féminines mis en place par des associations de migrants issus de communautés à risque (approche par les pairs).</w:t>
      </w:r>
    </w:p>
    <w:p w14:paraId="59597BC7" w14:textId="7CB3EB0A" w:rsidR="00BB0956" w:rsidRPr="002E4298" w:rsidRDefault="00BB0956" w:rsidP="00A11C35">
      <w:pPr>
        <w:pStyle w:val="SingleTxt"/>
        <w:numPr>
          <w:ilvl w:val="0"/>
          <w:numId w:val="6"/>
        </w:numPr>
        <w:spacing w:line="240" w:lineRule="exact"/>
        <w:rPr>
          <w:lang w:val="fr-FR"/>
        </w:rPr>
      </w:pPr>
      <w:r w:rsidRPr="002E4298">
        <w:rPr>
          <w:lang w:val="fr-FR" w:bidi="fr-FR"/>
        </w:rPr>
        <w:t>Le Plan de prévention et de lutte contre la violence à l’égard des femmes et la violence domestique actuel (2018-2021) prévoit des mesures visant à lutter contre les pratiques traditionnelles préjudiciables, en particulier les mutilations génitales féminines et les mariages précoces et forcés.</w:t>
      </w:r>
    </w:p>
    <w:p w14:paraId="58EE5729" w14:textId="1D4CE85A" w:rsidR="00BB0956" w:rsidRPr="002E4298" w:rsidRDefault="00BB0956" w:rsidP="00A11C35">
      <w:pPr>
        <w:pStyle w:val="SingleTxt"/>
        <w:numPr>
          <w:ilvl w:val="0"/>
          <w:numId w:val="6"/>
        </w:numPr>
        <w:spacing w:line="240" w:lineRule="exact"/>
        <w:rPr>
          <w:lang w:val="fr-FR"/>
        </w:rPr>
      </w:pPr>
      <w:r w:rsidRPr="002E4298">
        <w:rPr>
          <w:lang w:val="fr-FR" w:bidi="fr-FR"/>
        </w:rPr>
        <w:t>En 2016, une campagne de sensibilisation intitulée « Le droit de vivre sans mutilations génitales féminines » a été lancée. Cette campagne a été (re)lancée pendant les vacances scolaires de Pâques et d’été dans les aéroports de Lisbonne, de Porto et de Faro, au moyen de la distribution de tracts et de la pose d’affiches. En 2019, une nouvelle campagne a été lancée avec la devise « Ne mutilez pas l’avenir ». Les deux campagnes sont le résultat d’une initiative conjointe entre le Gouvernement et divers organismes publics et organisations non gouvernementales.</w:t>
      </w:r>
    </w:p>
    <w:p w14:paraId="4A929FE1" w14:textId="2A7A9924" w:rsidR="00BB0956" w:rsidRPr="002E4298" w:rsidRDefault="00BB0956" w:rsidP="00A11C35">
      <w:pPr>
        <w:pStyle w:val="SingleTxt"/>
        <w:numPr>
          <w:ilvl w:val="0"/>
          <w:numId w:val="6"/>
        </w:numPr>
        <w:spacing w:line="240" w:lineRule="exact"/>
        <w:rPr>
          <w:lang w:val="fr-FR"/>
        </w:rPr>
      </w:pPr>
      <w:r w:rsidRPr="002E4298">
        <w:rPr>
          <w:lang w:val="fr-FR" w:bidi="fr-FR"/>
        </w:rPr>
        <w:t xml:space="preserve">En 2018, un grand projet, intitulé </w:t>
      </w:r>
      <w:r w:rsidRPr="002E4298">
        <w:rPr>
          <w:i/>
          <w:lang w:val="fr-FR" w:bidi="fr-FR"/>
        </w:rPr>
        <w:t>« Práticas Saudáveis</w:t>
      </w:r>
      <w:r w:rsidRPr="002E4298">
        <w:rPr>
          <w:lang w:val="fr-FR" w:bidi="fr-FR"/>
        </w:rPr>
        <w:t>:</w:t>
      </w:r>
      <w:r w:rsidRPr="002E4298">
        <w:rPr>
          <w:i/>
          <w:lang w:val="fr-FR" w:bidi="fr-FR"/>
        </w:rPr>
        <w:t xml:space="preserve"> Fim à Mutilação Genital Feminina », </w:t>
      </w:r>
      <w:r w:rsidRPr="002E4298">
        <w:rPr>
          <w:lang w:val="fr-FR" w:bidi="fr-FR"/>
        </w:rPr>
        <w:t>a été lancé pour donner un nouvel élan à ces efforts en renforçant la participation des services publics et en favorisant une intervention intégrée. Sous la coordination de la Commission pour la citoyenneté et l’égalité des genres, du Haut-</w:t>
      </w:r>
      <w:r w:rsidRPr="002E4298">
        <w:rPr>
          <w:lang w:val="fr-FR" w:bidi="fr-FR"/>
        </w:rPr>
        <w:lastRenderedPageBreak/>
        <w:t>Commissariat aux migrations et de l’Administration régionale de la santé de Lisbonne et de la Vallée du Tage, des activités sont mises en œuvre par les unités de santé publique dans les régions à forte prévalence. Ces activités comprennent la formation de professionnels dans des secteurs clés (santé, éducation, justice, forces de sécurité, sécurité sociale, etc.) et des initiatives d’intervention au niveau communautaire.</w:t>
      </w:r>
    </w:p>
    <w:p w14:paraId="760C485C" w14:textId="3C51C8C1" w:rsidR="00BB0956" w:rsidRPr="002E4298" w:rsidRDefault="00BB0956" w:rsidP="00A11C35">
      <w:pPr>
        <w:pStyle w:val="SingleTxt"/>
        <w:numPr>
          <w:ilvl w:val="0"/>
          <w:numId w:val="6"/>
        </w:numPr>
        <w:spacing w:line="240" w:lineRule="exact"/>
        <w:rPr>
          <w:lang w:val="fr-FR"/>
        </w:rPr>
      </w:pPr>
      <w:r w:rsidRPr="002E4298">
        <w:rPr>
          <w:lang w:val="fr-FR" w:bidi="fr-FR"/>
        </w:rPr>
        <w:t>Plusieurs éditions d’un programme post-universitaire intitulé « Santé sexuelle et reproductive : mutilations génitales féminines », soutenues financièrement par la Commission pour la citoyenneté et l’égalité des genres, ont été dispensées à l’Escola Superior de Saúde do Instituto Politécnico de Setúbal à des professionnels de la santé.</w:t>
      </w:r>
    </w:p>
    <w:p w14:paraId="5040F884" w14:textId="288F6350" w:rsidR="00BB0956" w:rsidRPr="002E4298" w:rsidRDefault="00BB0956" w:rsidP="00A11C35">
      <w:pPr>
        <w:pStyle w:val="SingleTxt"/>
        <w:numPr>
          <w:ilvl w:val="0"/>
          <w:numId w:val="6"/>
        </w:numPr>
        <w:spacing w:line="240" w:lineRule="exact"/>
        <w:rPr>
          <w:lang w:val="fr-FR"/>
        </w:rPr>
      </w:pPr>
      <w:r w:rsidRPr="002E4298">
        <w:rPr>
          <w:lang w:val="fr-FR" w:bidi="fr-FR"/>
        </w:rPr>
        <w:t>En coopération avec la Commission pour la citoyenneté et l’égalité des genres</w:t>
      </w:r>
      <w:r w:rsidRPr="002E4298" w:rsidDel="00535E0B">
        <w:rPr>
          <w:lang w:val="fr-FR" w:bidi="fr-FR"/>
        </w:rPr>
        <w:t xml:space="preserve"> </w:t>
      </w:r>
      <w:r w:rsidRPr="002E4298">
        <w:rPr>
          <w:lang w:val="fr-FR" w:bidi="fr-FR"/>
        </w:rPr>
        <w:t>et la société civile, le Haut-Commissariat aux migrations a organisé en avril 2019 une conférence consacrée à l’égalité et aux droits humains dans l’Islam, « Les filles et les femmes, la tradition et l’Islam », axée notamment sur l’abandon des pratiques préjudiciables. L’initiative visait à promouvoir des rencontres avec des chefs religieux de communautés présentant des risques de mutilations génitales féminines, de mariages d’enfants et de non-respect des droits des femmes et des filles ainsi qu’entre ces chefs religieux, et a rassemblé divers chefs religieux de Guinée-Bissau et du Portugal.</w:t>
      </w:r>
    </w:p>
    <w:p w14:paraId="678ACCF9" w14:textId="4716A3EC" w:rsidR="00BB0956" w:rsidRPr="002E4298" w:rsidRDefault="00BB0956" w:rsidP="00A11C35">
      <w:pPr>
        <w:pStyle w:val="SingleTxt"/>
        <w:numPr>
          <w:ilvl w:val="0"/>
          <w:numId w:val="6"/>
        </w:numPr>
        <w:spacing w:line="240" w:lineRule="exact"/>
        <w:rPr>
          <w:lang w:val="fr-FR"/>
        </w:rPr>
      </w:pPr>
      <w:r w:rsidRPr="002E4298">
        <w:rPr>
          <w:lang w:val="fr-FR" w:bidi="fr-FR"/>
        </w:rPr>
        <w:t xml:space="preserve">En 2014, la Commission nationale pour la promotion des droits et la protection de l’enfance et de la </w:t>
      </w:r>
      <w:r w:rsidR="002E4298" w:rsidRPr="002E4298">
        <w:rPr>
          <w:lang w:val="fr-FR" w:bidi="fr-FR"/>
        </w:rPr>
        <w:t>jeunesse</w:t>
      </w:r>
      <w:r w:rsidRPr="002E4298">
        <w:rPr>
          <w:lang w:val="fr-FR" w:bidi="fr-FR"/>
        </w:rPr>
        <w:t xml:space="preserve"> (NCPRPCYP) a publié un manuel de procédures intitulé « Collaborer activement pour la prévention et l’élimination des mutilations génitales féminines », destiné aux professionnels des centres de protection de l’enfance et de la jeunesse. En 2016, le manuel a été revu et mis à jour, et sept éditions d’un cours de formation de 6 heures ont eu lieu à Lisbonne, Sintra et Faro auprès de 154 professionnels. En 2017, 117 professionnels ont également eu accès à des formations spécialisées sur « les mariages forcés et précoces », à Lisbonne, Coimbra, Porto et Alentejo.</w:t>
      </w:r>
    </w:p>
    <w:p w14:paraId="08D61588" w14:textId="77777777" w:rsidR="000234BC" w:rsidRPr="002E4298" w:rsidRDefault="000234BC" w:rsidP="000234BC">
      <w:pPr>
        <w:pStyle w:val="SingleTxt"/>
        <w:spacing w:after="0" w:line="120" w:lineRule="exact"/>
        <w:rPr>
          <w:sz w:val="10"/>
          <w:lang w:val="fr-FR" w:bidi="fr-FR"/>
        </w:rPr>
      </w:pPr>
    </w:p>
    <w:p w14:paraId="52E6514F" w14:textId="1804AA32" w:rsidR="00BB0956" w:rsidRPr="002E4298" w:rsidRDefault="00BB0956" w:rsidP="000234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2E4298">
        <w:rPr>
          <w:lang w:val="fr-FR" w:bidi="fr-FR"/>
        </w:rPr>
        <w:tab/>
        <w:t>10.</w:t>
      </w:r>
      <w:r w:rsidRPr="002E4298">
        <w:rPr>
          <w:lang w:val="fr-FR" w:bidi="fr-FR"/>
        </w:rPr>
        <w:tab/>
        <w:t>Traite et exploitation de la prostitution (paragraphes 28 et 29)</w:t>
      </w:r>
    </w:p>
    <w:p w14:paraId="060204F4" w14:textId="1684AE61" w:rsidR="000234BC" w:rsidRPr="002E4298" w:rsidRDefault="000234BC" w:rsidP="000234BC">
      <w:pPr>
        <w:pStyle w:val="SingleTxt"/>
        <w:spacing w:after="0" w:line="120" w:lineRule="exact"/>
        <w:rPr>
          <w:sz w:val="10"/>
          <w:lang w:val="fr-FR" w:bidi="fr-FR"/>
        </w:rPr>
      </w:pPr>
    </w:p>
    <w:p w14:paraId="68CA3045" w14:textId="1A2FC0C8" w:rsidR="00BB0956" w:rsidRPr="002E4298" w:rsidRDefault="000234BC" w:rsidP="000234B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2E4298">
        <w:rPr>
          <w:lang w:val="fr-FR" w:bidi="fr-FR"/>
        </w:rPr>
        <w:tab/>
      </w:r>
      <w:r w:rsidR="00BB0956" w:rsidRPr="002E4298">
        <w:rPr>
          <w:lang w:val="fr-FR" w:bidi="fr-FR"/>
        </w:rPr>
        <w:tab/>
        <w:t>Identification et protection des victimes</w:t>
      </w:r>
    </w:p>
    <w:p w14:paraId="35036923" w14:textId="5EE52B32" w:rsidR="000234BC" w:rsidRPr="002E4298" w:rsidRDefault="000234BC" w:rsidP="000234BC">
      <w:pPr>
        <w:pStyle w:val="SingleTxt"/>
        <w:spacing w:after="0" w:line="120" w:lineRule="exact"/>
        <w:rPr>
          <w:sz w:val="10"/>
          <w:lang w:val="fr-FR" w:bidi="fr-FR"/>
        </w:rPr>
      </w:pPr>
    </w:p>
    <w:p w14:paraId="2FAAA879" w14:textId="349C48FB" w:rsidR="00BB0956" w:rsidRPr="002E4298" w:rsidRDefault="00BB0956" w:rsidP="00A11C35">
      <w:pPr>
        <w:pStyle w:val="SingleTxt"/>
        <w:numPr>
          <w:ilvl w:val="0"/>
          <w:numId w:val="6"/>
        </w:numPr>
        <w:spacing w:line="240" w:lineRule="exact"/>
        <w:rPr>
          <w:lang w:val="fr-FR" w:bidi="fr-FR"/>
        </w:rPr>
      </w:pPr>
      <w:r w:rsidRPr="002E4298">
        <w:rPr>
          <w:lang w:val="fr-FR" w:bidi="fr-FR"/>
        </w:rPr>
        <w:t>Le Portugal a mis en place un mécanisme d’orientation qui coordonne les efforts d’application de la loi et le soutien qu’apportent les ONG aux victimes de la traite. Ce mécanisme a été mis à jour à partir des lignes directrices récentes mises en œuvre par toutes les parties prenantes.</w:t>
      </w:r>
    </w:p>
    <w:p w14:paraId="410E08E4" w14:textId="6AA88492" w:rsidR="00BB0956" w:rsidRPr="002E4298" w:rsidRDefault="00BB0956" w:rsidP="00A11C35">
      <w:pPr>
        <w:pStyle w:val="SingleTxt"/>
        <w:numPr>
          <w:ilvl w:val="0"/>
          <w:numId w:val="6"/>
        </w:numPr>
        <w:spacing w:line="240" w:lineRule="exact"/>
        <w:rPr>
          <w:lang w:val="fr-FR"/>
        </w:rPr>
      </w:pPr>
      <w:r w:rsidRPr="002E4298">
        <w:rPr>
          <w:lang w:val="fr-FR" w:bidi="fr-FR"/>
        </w:rPr>
        <w:t>Lorsque les forces de police ont pris contact avec une potentielle victime de la traite des êtres humains et qu’elles ont terminé toutes les procédures d’enquête urgentes, elles procèdent à une brève évaluation de la sécurité et de la situation sociale et psychologique de la victime. S’il est considéré que la victime est exposée à un quelconque risque, l’ONG concernée est contactée (elle est disponible 24h/24 et 7j/7) et les officiers de police sont chargés d’assurer le transport et la sécurité de la victime jusqu’à ce qu’elle soit prise en charge par l’ONG. L’ONG fournit un logement sûr et sécurisé à la victime, ainsi qu’un soutien social et psychologique. Si, à un quelconque moment, l’ONG a besoin de mesures de sécurité supplémentaires ou de transport, elle contacte simplement les services d’enquête de la police, qui se chargent de lui venir en aide.</w:t>
      </w:r>
    </w:p>
    <w:p w14:paraId="5277F1FC" w14:textId="5DF2C881" w:rsidR="00BB0956" w:rsidRPr="002E4298" w:rsidRDefault="00BB0956" w:rsidP="00A11C35">
      <w:pPr>
        <w:pStyle w:val="SingleTxt"/>
        <w:numPr>
          <w:ilvl w:val="0"/>
          <w:numId w:val="6"/>
        </w:numPr>
        <w:spacing w:line="240" w:lineRule="exact"/>
        <w:rPr>
          <w:lang w:val="fr-FR" w:bidi="fr-FR"/>
        </w:rPr>
      </w:pPr>
      <w:r w:rsidRPr="002E4298">
        <w:rPr>
          <w:lang w:val="fr-FR" w:bidi="fr-FR"/>
        </w:rPr>
        <w:t>Conformément à la loi, les victimes de la traite ont droit à la subsistance, à un accès à un traitement médical approprié et urgent, à une assistance psychologique, à une protection, à des services de traduction et d’interprétation, ainsi qu’à des services juridiques. Les victimes étrangères ont le même accès aux soins que les victimes nationales de la traite.</w:t>
      </w:r>
    </w:p>
    <w:p w14:paraId="5E8B449C" w14:textId="4602D32E" w:rsidR="00BB0956" w:rsidRPr="002E4298" w:rsidRDefault="00BB0956" w:rsidP="00A11C35">
      <w:pPr>
        <w:pStyle w:val="SingleTxt"/>
        <w:numPr>
          <w:ilvl w:val="0"/>
          <w:numId w:val="6"/>
        </w:numPr>
        <w:spacing w:line="240" w:lineRule="exact"/>
        <w:rPr>
          <w:lang w:val="fr-FR"/>
        </w:rPr>
      </w:pPr>
      <w:r w:rsidRPr="002E4298">
        <w:rPr>
          <w:lang w:val="fr-FR" w:bidi="fr-FR"/>
        </w:rPr>
        <w:lastRenderedPageBreak/>
        <w:t>En outre, en vertu de la loi nº 130/2015, les victimes de la traite sont considérées comme des victimes particulièrement vulnérables et bénéficient par conséquent de droits spécifiques, à savoir certaines mesures de protection spéciales, comme expliqué ci-dessus</w:t>
      </w:r>
      <w:r w:rsidRPr="002E4298">
        <w:rPr>
          <w:vertAlign w:val="superscript"/>
          <w:lang w:val="fr-FR" w:bidi="fr-FR"/>
        </w:rPr>
        <w:footnoteReference w:id="23"/>
      </w:r>
      <w:r w:rsidRPr="002E4298">
        <w:rPr>
          <w:lang w:val="fr-FR" w:bidi="fr-FR"/>
        </w:rPr>
        <w:t>. Les victimes de la traite sont elles aussi dispensées du paiement des frais de justice encourus dans le cadre de la procédure pénale</w:t>
      </w:r>
      <w:r w:rsidRPr="002E4298">
        <w:rPr>
          <w:vertAlign w:val="superscript"/>
          <w:lang w:val="fr-FR" w:bidi="fr-FR"/>
        </w:rPr>
        <w:footnoteReference w:id="24"/>
      </w:r>
      <w:r w:rsidRPr="002E4298">
        <w:rPr>
          <w:lang w:val="fr-FR" w:bidi="fr-FR"/>
        </w:rPr>
        <w:t>.</w:t>
      </w:r>
    </w:p>
    <w:p w14:paraId="1FD3FC60" w14:textId="756C6F23" w:rsidR="00BB0956" w:rsidRPr="002E4298" w:rsidRDefault="00BB0956" w:rsidP="00A11C35">
      <w:pPr>
        <w:pStyle w:val="SingleTxt"/>
        <w:numPr>
          <w:ilvl w:val="0"/>
          <w:numId w:val="6"/>
        </w:numPr>
        <w:spacing w:line="240" w:lineRule="exact"/>
        <w:rPr>
          <w:lang w:val="fr-FR"/>
        </w:rPr>
      </w:pPr>
      <w:r w:rsidRPr="002E4298">
        <w:rPr>
          <w:lang w:val="fr-FR" w:bidi="fr-FR"/>
        </w:rPr>
        <w:t>Les centres d’accueil et de protection apportent un soutien aux femmes, aux hommes et aux enfants identifiés comme étant des victimes de la traite, quels que soient leur nationalité, leur âge, leur religion, leur appartenance ethnique, leur orientation sexuelle, leur handicap, leur état civil, leur orientation politique ou leurs caractéristiques socioéconomiques. Un soutien est également accordé aux enfants mineurs des victimes. L’objectif est de fournir un hébergement temporaire aux victimes de la traite dans un environnement sûr, et de favoriser leur rétablissement physique et émotionnel ainsi que leur intégration sociale.</w:t>
      </w:r>
    </w:p>
    <w:p w14:paraId="2285B157" w14:textId="5BF09357" w:rsidR="00BB0956" w:rsidRPr="002E4298" w:rsidRDefault="00BB0956" w:rsidP="00A11C35">
      <w:pPr>
        <w:pStyle w:val="SingleTxt"/>
        <w:numPr>
          <w:ilvl w:val="0"/>
          <w:numId w:val="6"/>
        </w:numPr>
        <w:spacing w:line="240" w:lineRule="exact"/>
        <w:rPr>
          <w:lang w:val="fr-FR"/>
        </w:rPr>
      </w:pPr>
      <w:r w:rsidRPr="002E4298">
        <w:rPr>
          <w:lang w:val="fr-FR" w:bidi="fr-FR"/>
        </w:rPr>
        <w:t>Il s’agit de mettre en place des conditions pour la protection et la sécurité, le soutien médical, le rétablissement émotionnel, la stabilisation et le bien-être ainsi que l’accès à l’information sur les droits, à savoir la protection juridique et sociale, ainsi que de promouvoir une prise de décision éclairée et libre, de fournir aux victimes les instruments nécessaires à leur autonomie future, indépendamment du lieu d’intégration choisi.</w:t>
      </w:r>
    </w:p>
    <w:p w14:paraId="7DF10E80" w14:textId="375153BD" w:rsidR="00BB0956" w:rsidRPr="002E4298" w:rsidRDefault="00BB0956" w:rsidP="00A11C35">
      <w:pPr>
        <w:pStyle w:val="SingleTxt"/>
        <w:numPr>
          <w:ilvl w:val="0"/>
          <w:numId w:val="6"/>
        </w:numPr>
        <w:spacing w:line="240" w:lineRule="exact"/>
        <w:rPr>
          <w:lang w:val="fr-FR"/>
        </w:rPr>
      </w:pPr>
      <w:r w:rsidRPr="002E4298">
        <w:rPr>
          <w:lang w:val="fr-FR" w:bidi="fr-FR"/>
        </w:rPr>
        <w:t>Le Portugal dispose de cinq refuges pour les victimes de la traite des êtres humains :</w:t>
      </w:r>
    </w:p>
    <w:p w14:paraId="23C631AC" w14:textId="2F636905" w:rsidR="00BB0956" w:rsidRPr="002E4298" w:rsidRDefault="0081441E" w:rsidP="0081441E">
      <w:pPr>
        <w:pStyle w:val="SingleTxt"/>
        <w:tabs>
          <w:tab w:val="right" w:pos="1685"/>
        </w:tabs>
        <w:ind w:left="1742" w:hanging="475"/>
        <w:rPr>
          <w:lang w:val="fr-FR" w:bidi="fr-FR"/>
        </w:rPr>
      </w:pPr>
      <w:r w:rsidRPr="002E4298">
        <w:rPr>
          <w:lang w:val="fr-FR" w:bidi="fr-FR"/>
        </w:rPr>
        <w:tab/>
        <w:t>•</w:t>
      </w:r>
      <w:r w:rsidRPr="002E4298">
        <w:rPr>
          <w:lang w:val="fr-FR" w:bidi="fr-FR"/>
        </w:rPr>
        <w:tab/>
      </w:r>
      <w:r w:rsidR="00BB0956" w:rsidRPr="002E4298">
        <w:rPr>
          <w:lang w:val="fr-FR" w:bidi="fr-FR"/>
        </w:rPr>
        <w:t>un centre d’accueil et de protection pour les femmes et leurs enfants mineurs (ouvert depuis 2008), qui fournit un hébergement aux femmes et à leurs enfants mineurs. La structure offre aux victimes un soutien en matière de stabilisation émotionnelle et dans les domaines psychologique, sanitaire, social et juridique, afin de favoriser la construction d’un projet de vie co-structuré ;</w:t>
      </w:r>
    </w:p>
    <w:p w14:paraId="056C5FFD" w14:textId="27D29393" w:rsidR="00BB0956" w:rsidRPr="002E4298" w:rsidRDefault="0081441E" w:rsidP="0081441E">
      <w:pPr>
        <w:pStyle w:val="SingleTxt"/>
        <w:tabs>
          <w:tab w:val="right" w:pos="1685"/>
        </w:tabs>
        <w:ind w:left="1742" w:hanging="475"/>
        <w:rPr>
          <w:lang w:val="fr-FR"/>
        </w:rPr>
      </w:pPr>
      <w:r w:rsidRPr="002E4298">
        <w:rPr>
          <w:lang w:val="fr-FR" w:bidi="fr-FR"/>
        </w:rPr>
        <w:tab/>
        <w:t>•</w:t>
      </w:r>
      <w:r w:rsidRPr="002E4298">
        <w:rPr>
          <w:lang w:val="fr-FR" w:bidi="fr-FR"/>
        </w:rPr>
        <w:tab/>
      </w:r>
      <w:r w:rsidR="00BB0956" w:rsidRPr="002E4298">
        <w:rPr>
          <w:lang w:val="fr-FR" w:bidi="fr-FR"/>
        </w:rPr>
        <w:t>un centre d’accueil et de protection pour hommes (ouvert depuis juin 2013). La structure offre aux victimes un soutien en matière de stabilisation émotionnelle et dans les domaines psychologique, sanitaire, social et juridique, afin de favoriser la construction d’un projet de vie co-structuré ;</w:t>
      </w:r>
    </w:p>
    <w:p w14:paraId="29AB31D9" w14:textId="547432F6" w:rsidR="00BB0956" w:rsidRPr="002E4298" w:rsidRDefault="0081441E" w:rsidP="0081441E">
      <w:pPr>
        <w:pStyle w:val="SingleTxt"/>
        <w:tabs>
          <w:tab w:val="right" w:pos="1685"/>
        </w:tabs>
        <w:ind w:left="1742" w:hanging="475"/>
        <w:rPr>
          <w:lang w:val="fr-FR"/>
        </w:rPr>
      </w:pPr>
      <w:r w:rsidRPr="002E4298">
        <w:rPr>
          <w:lang w:val="fr-FR" w:bidi="fr-FR"/>
        </w:rPr>
        <w:tab/>
        <w:t>•</w:t>
      </w:r>
      <w:r w:rsidRPr="002E4298">
        <w:rPr>
          <w:lang w:val="fr-FR" w:bidi="fr-FR"/>
        </w:rPr>
        <w:tab/>
      </w:r>
      <w:r w:rsidR="00BB0956" w:rsidRPr="002E4298">
        <w:rPr>
          <w:lang w:val="fr-FR" w:bidi="fr-FR"/>
        </w:rPr>
        <w:t>un nouveau refuge pour les femmes et leurs enfants dans le sud du Portugal, créé en 2014 ;</w:t>
      </w:r>
    </w:p>
    <w:p w14:paraId="27A40981" w14:textId="08D3E8ED" w:rsidR="00BB0956" w:rsidRPr="002E4298" w:rsidRDefault="0081441E" w:rsidP="0081441E">
      <w:pPr>
        <w:pStyle w:val="SingleTxt"/>
        <w:tabs>
          <w:tab w:val="right" w:pos="1685"/>
        </w:tabs>
        <w:ind w:left="1742" w:hanging="475"/>
        <w:rPr>
          <w:lang w:val="fr-FR"/>
        </w:rPr>
      </w:pPr>
      <w:r w:rsidRPr="002E4298">
        <w:rPr>
          <w:lang w:val="fr-FR" w:bidi="fr-FR"/>
        </w:rPr>
        <w:tab/>
        <w:t>•</w:t>
      </w:r>
      <w:r w:rsidRPr="002E4298">
        <w:rPr>
          <w:lang w:val="fr-FR" w:bidi="fr-FR"/>
        </w:rPr>
        <w:tab/>
      </w:r>
      <w:r w:rsidR="00BB0956" w:rsidRPr="002E4298">
        <w:rPr>
          <w:lang w:val="fr-FR" w:bidi="fr-FR"/>
        </w:rPr>
        <w:t>un centre d’accueil et de protection pour les enfants victimes de la traite des êtres humains ouvert par l’ONG Akto en août 2018, qui dispose d’une capacité d’accueil de six enfants, assure la prise en charge temporaire et le soutien des enfants victimes de la traite des êtres humains, dans un lieu sûr, en leur offrant un environnement digne et accueillant qui favorise le développement intégral de leur santé physique et mentale ainsi que leur intégration sociale, en leur apportant un soutien médical, juridique, psychosocial et éducatif. Le fonctionnement de ce centre repose sur trois principes clés : la confidentialité de son emplacement géographique, un soutien technique transversal et spécialisé, et la mise à disposition d’une ligne d’assistance téléphonique 24 heures sur 24 et 7 jours sur 7 ;</w:t>
      </w:r>
    </w:p>
    <w:p w14:paraId="5B0D7221" w14:textId="449B929B" w:rsidR="00BB0956" w:rsidRPr="002E4298" w:rsidRDefault="0081441E" w:rsidP="0081441E">
      <w:pPr>
        <w:pStyle w:val="SingleTxt"/>
        <w:tabs>
          <w:tab w:val="right" w:pos="1685"/>
        </w:tabs>
        <w:ind w:left="1742" w:hanging="475"/>
        <w:rPr>
          <w:lang w:val="fr-FR"/>
        </w:rPr>
      </w:pPr>
      <w:r w:rsidRPr="002E4298">
        <w:rPr>
          <w:lang w:val="fr-FR" w:bidi="fr-FR"/>
        </w:rPr>
        <w:tab/>
        <w:t>•</w:t>
      </w:r>
      <w:r w:rsidRPr="002E4298">
        <w:rPr>
          <w:lang w:val="fr-FR" w:bidi="fr-FR"/>
        </w:rPr>
        <w:tab/>
      </w:r>
      <w:r w:rsidR="00BB0956" w:rsidRPr="002E4298">
        <w:rPr>
          <w:lang w:val="fr-FR" w:bidi="fr-FR"/>
        </w:rPr>
        <w:t>un abri pour les hommes victimes de traite et leurs enfants mineurs, ouvert en 2019 ;</w:t>
      </w:r>
    </w:p>
    <w:p w14:paraId="2DE034C8" w14:textId="1F541B3A" w:rsidR="00BB0956" w:rsidRPr="002E4298" w:rsidRDefault="0081441E" w:rsidP="0081441E">
      <w:pPr>
        <w:pStyle w:val="SingleTxt"/>
        <w:tabs>
          <w:tab w:val="right" w:pos="1685"/>
        </w:tabs>
        <w:ind w:left="1742" w:hanging="475"/>
        <w:rPr>
          <w:lang w:val="fr-FR"/>
        </w:rPr>
      </w:pPr>
      <w:r w:rsidRPr="002E4298">
        <w:rPr>
          <w:lang w:val="fr-FR" w:bidi="fr-FR"/>
        </w:rPr>
        <w:lastRenderedPageBreak/>
        <w:tab/>
        <w:t>•</w:t>
      </w:r>
      <w:r w:rsidRPr="002E4298">
        <w:rPr>
          <w:lang w:val="fr-FR" w:bidi="fr-FR"/>
        </w:rPr>
        <w:tab/>
      </w:r>
      <w:r w:rsidR="00BB0956" w:rsidRPr="002E4298">
        <w:rPr>
          <w:lang w:val="fr-FR" w:bidi="fr-FR"/>
        </w:rPr>
        <w:t>il convient en outre de mentionner que le centre d’accueil et de protection pour hommes a été doté de deux places supplémentaires.</w:t>
      </w:r>
    </w:p>
    <w:p w14:paraId="0D559980" w14:textId="4606390D" w:rsidR="00BB0956" w:rsidRPr="002E4298" w:rsidRDefault="00BB0956" w:rsidP="00A11C35">
      <w:pPr>
        <w:pStyle w:val="SingleTxt"/>
        <w:numPr>
          <w:ilvl w:val="0"/>
          <w:numId w:val="6"/>
        </w:numPr>
        <w:spacing w:line="240" w:lineRule="exact"/>
        <w:rPr>
          <w:lang w:val="fr-FR" w:bidi="fr-FR"/>
        </w:rPr>
      </w:pPr>
      <w:r w:rsidRPr="002E4298">
        <w:rPr>
          <w:lang w:val="fr-FR" w:bidi="fr-FR"/>
        </w:rPr>
        <w:t>Le Portugal dispose de cinq équipes multidisciplinaires spécialisées dans l’aide aux victimes de la traite des êtres humains. L’intervention de ces équipes régionales couvre l’ensemble du territoire continental portugais. Les cinq équipes régionales de l’association de planification familiale agissent au niveau local, dans une perspective de proximité, en étroite collaboration avec des professionnels qualifiés d’institutions gouvernementales et non gouvernementales, à savoir les services répressifs et les trois centres d’accueil et de protection des victimes de la traite des êtres humains. Un tel travail de collaboration garantit la stabilisation émotionnelle et la réinsertion sociale de la victime, grâce à un soutien psychologique, sanitaire, social et juridique.</w:t>
      </w:r>
    </w:p>
    <w:p w14:paraId="27EE89DC" w14:textId="77C774D2" w:rsidR="00BB0956" w:rsidRPr="002E4298" w:rsidRDefault="00BB0956" w:rsidP="00A11C35">
      <w:pPr>
        <w:pStyle w:val="SingleTxt"/>
        <w:numPr>
          <w:ilvl w:val="0"/>
          <w:numId w:val="6"/>
        </w:numPr>
        <w:spacing w:line="240" w:lineRule="exact"/>
        <w:rPr>
          <w:lang w:val="fr-FR"/>
        </w:rPr>
      </w:pPr>
      <w:r w:rsidRPr="002E4298">
        <w:rPr>
          <w:lang w:val="fr-FR" w:bidi="fr-FR"/>
        </w:rPr>
        <w:t>L’intervention est transversale à toutes les étapes du mécanisme national d’orientation : signalement de la victime présumée de la traite, soutien à son identification formelle et à son intégration sur le territoire national ou retour volontaire assisté dans le pays d’origine.</w:t>
      </w:r>
    </w:p>
    <w:p w14:paraId="052B85E8" w14:textId="39D998F8" w:rsidR="00BB0956" w:rsidRPr="002E4298" w:rsidRDefault="00BB0956" w:rsidP="00A11C35">
      <w:pPr>
        <w:pStyle w:val="SingleTxt"/>
        <w:numPr>
          <w:ilvl w:val="0"/>
          <w:numId w:val="6"/>
        </w:numPr>
        <w:spacing w:line="240" w:lineRule="exact"/>
        <w:rPr>
          <w:lang w:val="fr-FR" w:bidi="fr-FR"/>
        </w:rPr>
      </w:pPr>
      <w:r w:rsidRPr="002E4298">
        <w:rPr>
          <w:lang w:val="fr-FR" w:bidi="fr-FR"/>
        </w:rPr>
        <w:t>Les cinq équipes régionales spécialisées ont créé des « réseaux régionaux de soutien et de protection des victimes de la traite des êtres humains » (Nord, Centre, Lisbonne, Alentejo et Algarve), des réseaux de coopération et de partage d’informations visant à prévenir, à protéger et à réintégrer les victimes de la traite des êtres humains.</w:t>
      </w:r>
    </w:p>
    <w:p w14:paraId="71BCC59B" w14:textId="6BCE4585" w:rsidR="00BB0956" w:rsidRPr="002E4298" w:rsidRDefault="00BB0956" w:rsidP="00A11C35">
      <w:pPr>
        <w:pStyle w:val="SingleTxt"/>
        <w:numPr>
          <w:ilvl w:val="0"/>
          <w:numId w:val="6"/>
        </w:numPr>
        <w:spacing w:line="240" w:lineRule="exact"/>
        <w:rPr>
          <w:lang w:val="fr-FR"/>
        </w:rPr>
      </w:pPr>
      <w:r w:rsidRPr="002E4298">
        <w:rPr>
          <w:lang w:val="fr-FR" w:bidi="fr-FR"/>
        </w:rPr>
        <w:t>L’ordonnance législative nº 3/2019 du 8 février 2019 a permis d’allouer des financements à l’aide aux victimes de la traite des êtres humains dans le but d’aider les victimes à devenir autonomes.</w:t>
      </w:r>
    </w:p>
    <w:p w14:paraId="71F5D194" w14:textId="634E00F1" w:rsidR="00BB0956" w:rsidRPr="002E4298" w:rsidRDefault="00BB0956" w:rsidP="00A11C35">
      <w:pPr>
        <w:pStyle w:val="SingleTxt"/>
        <w:numPr>
          <w:ilvl w:val="0"/>
          <w:numId w:val="6"/>
        </w:numPr>
        <w:spacing w:line="240" w:lineRule="exact"/>
        <w:rPr>
          <w:lang w:val="fr-FR"/>
        </w:rPr>
      </w:pPr>
      <w:r w:rsidRPr="002E4298">
        <w:rPr>
          <w:lang w:val="fr-FR" w:bidi="fr-FR"/>
        </w:rPr>
        <w:t>Suite à un protocole signé entre une mairie du Nord et l’Association de planification familiale, un appartement a été mis à la disposition des victimes de la traite des êtres humains devenues autonomes.</w:t>
      </w:r>
    </w:p>
    <w:p w14:paraId="78C224F9" w14:textId="77777777" w:rsidR="0081441E" w:rsidRPr="002E4298" w:rsidRDefault="0081441E" w:rsidP="0081441E">
      <w:pPr>
        <w:pStyle w:val="SingleTxt"/>
        <w:spacing w:after="0" w:line="120" w:lineRule="exact"/>
        <w:rPr>
          <w:sz w:val="10"/>
          <w:lang w:val="fr-FR" w:bidi="fr-FR"/>
        </w:rPr>
      </w:pPr>
    </w:p>
    <w:p w14:paraId="7E7607C8" w14:textId="4B114A95" w:rsidR="00BB0956" w:rsidRPr="002E4298" w:rsidRDefault="00BB0956" w:rsidP="0081441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2E4298">
        <w:rPr>
          <w:lang w:val="fr-FR" w:bidi="fr-FR"/>
        </w:rPr>
        <w:tab/>
      </w:r>
      <w:r w:rsidRPr="002E4298">
        <w:rPr>
          <w:lang w:val="fr-FR" w:bidi="fr-FR"/>
        </w:rPr>
        <w:tab/>
        <w:t>Poursuite et condamnation des trafiquants</w:t>
      </w:r>
    </w:p>
    <w:p w14:paraId="71672625" w14:textId="1D2F487D" w:rsidR="0081441E" w:rsidRPr="002E4298" w:rsidRDefault="0081441E" w:rsidP="0081441E">
      <w:pPr>
        <w:pStyle w:val="SingleTxt"/>
        <w:spacing w:after="0" w:line="120" w:lineRule="exact"/>
        <w:rPr>
          <w:sz w:val="10"/>
          <w:lang w:val="fr-FR" w:bidi="fr-FR"/>
        </w:rPr>
      </w:pPr>
    </w:p>
    <w:p w14:paraId="11158EF3" w14:textId="428700AE" w:rsidR="00BB0956" w:rsidRPr="002E4298" w:rsidRDefault="00BB0956" w:rsidP="00A11C35">
      <w:pPr>
        <w:pStyle w:val="SingleTxt"/>
        <w:numPr>
          <w:ilvl w:val="0"/>
          <w:numId w:val="6"/>
        </w:numPr>
        <w:spacing w:line="240" w:lineRule="exact"/>
        <w:rPr>
          <w:lang w:val="fr-FR"/>
        </w:rPr>
      </w:pPr>
      <w:r w:rsidRPr="002E4298">
        <w:rPr>
          <w:lang w:val="fr-FR" w:bidi="fr-FR"/>
        </w:rPr>
        <w:t>La liste des formes d’exploitation constituant un acte de traite des êtres humains a été élargie en 2013 pour inclure l’esclavage, la mendicité forcée et l’exploitation d’autres activités criminelles. Les amendements apporté à la législation ont également ajouté une liste de circonstances aggravantes. En outre, un paragraphe a été ajouté indiquant que le consentement de la victime aux infractions visées à l’article 160 du Code pénal n’exclut pas le caractère illicite de l’acte.</w:t>
      </w:r>
    </w:p>
    <w:p w14:paraId="0319CD88" w14:textId="5031F8F7" w:rsidR="00BB0956" w:rsidRPr="002E4298" w:rsidRDefault="00BB0956" w:rsidP="00A11C35">
      <w:pPr>
        <w:pStyle w:val="SingleTxt"/>
        <w:numPr>
          <w:ilvl w:val="0"/>
          <w:numId w:val="6"/>
        </w:numPr>
        <w:spacing w:line="240" w:lineRule="exact"/>
        <w:rPr>
          <w:lang w:val="fr-FR" w:bidi="fr-FR"/>
        </w:rPr>
      </w:pPr>
      <w:r w:rsidRPr="002E4298">
        <w:rPr>
          <w:lang w:val="fr-FR" w:bidi="fr-FR"/>
        </w:rPr>
        <w:t>La traite des êtres humains constitue un délit public que toute personne peut signaler aux autorités compétentes et qui doit faire l’objet d’une prévention et d’une enquête prioritaires</w:t>
      </w:r>
      <w:r w:rsidRPr="002E4298">
        <w:rPr>
          <w:vertAlign w:val="superscript"/>
          <w:lang w:val="fr-FR" w:bidi="fr-FR"/>
        </w:rPr>
        <w:footnoteReference w:id="25"/>
      </w:r>
      <w:r w:rsidRPr="002E4298">
        <w:rPr>
          <w:lang w:val="fr-FR" w:bidi="fr-FR"/>
        </w:rPr>
        <w:t>. En 2017, le Procureur général de la République a publié des orientations générales qui prévoient, entre autres, que les affaires d’immigration irrégulière doivent être spécifiquement analysées afin de déterminer s’il existe des preuves indiquant l’existence d’une traite et que le Parquet doit coopérer avec les institutions d’aide sociale et les ONG, au niveau local, afin de détecter et de signaler les délits de traite des êtres humains.</w:t>
      </w:r>
    </w:p>
    <w:p w14:paraId="0FEE984D" w14:textId="2828E8D5" w:rsidR="00BB0956" w:rsidRPr="002E4298" w:rsidRDefault="00BB0956" w:rsidP="00A11C35">
      <w:pPr>
        <w:pStyle w:val="SingleTxt"/>
        <w:numPr>
          <w:ilvl w:val="0"/>
          <w:numId w:val="6"/>
        </w:numPr>
        <w:spacing w:line="240" w:lineRule="exact"/>
        <w:rPr>
          <w:lang w:val="fr-FR"/>
        </w:rPr>
      </w:pPr>
      <w:r w:rsidRPr="002E4298">
        <w:rPr>
          <w:lang w:val="fr-FR" w:bidi="fr-FR"/>
        </w:rPr>
        <w:t>En outre, les autorités portugaises ont cherché à adapter et à améliorer la réponse pénale aux nouvelles formes de traite et de recrutement en adoptant une nouvelle législation, comme la loi nº 71/2015, qui transpose la directive européenne 2011/99/UE dans le droit national.</w:t>
      </w:r>
    </w:p>
    <w:p w14:paraId="4F5576CD" w14:textId="447909B2" w:rsidR="00BB0956" w:rsidRPr="002E4298" w:rsidRDefault="00BB0956" w:rsidP="00A11C35">
      <w:pPr>
        <w:pStyle w:val="SingleTxt"/>
        <w:numPr>
          <w:ilvl w:val="0"/>
          <w:numId w:val="6"/>
        </w:numPr>
        <w:spacing w:line="240" w:lineRule="exact"/>
        <w:rPr>
          <w:lang w:val="fr-FR" w:bidi="fr-FR"/>
        </w:rPr>
      </w:pPr>
      <w:r w:rsidRPr="002E4298">
        <w:rPr>
          <w:lang w:val="fr-FR" w:bidi="fr-FR"/>
        </w:rPr>
        <w:t xml:space="preserve">Le Bureau du Procureur général conçoit actuellement une base de données centralisée (« dataCRIME ») qui facilitera l’accès et la recherche d’informations et </w:t>
      </w:r>
      <w:r w:rsidRPr="002E4298">
        <w:rPr>
          <w:lang w:val="fr-FR" w:bidi="fr-FR"/>
        </w:rPr>
        <w:lastRenderedPageBreak/>
        <w:t>l’interconnexion avec des entités tierces, notamment aux niveaux européen et international, améliorant ainsi la coopération judiciaire dans la lutte contre la criminalité transfrontalière grave et complexe, y compris la traite des êtres humains.</w:t>
      </w:r>
    </w:p>
    <w:p w14:paraId="43CD0033" w14:textId="77777777" w:rsidR="004905C8" w:rsidRPr="002E4298" w:rsidRDefault="004905C8" w:rsidP="004905C8">
      <w:pPr>
        <w:pStyle w:val="SingleTxt"/>
        <w:spacing w:after="0" w:line="120" w:lineRule="exact"/>
        <w:rPr>
          <w:sz w:val="10"/>
          <w:lang w:val="fr-FR" w:bidi="fr-FR"/>
        </w:rPr>
      </w:pPr>
    </w:p>
    <w:p w14:paraId="1CBB6320" w14:textId="2A8D8AF5" w:rsidR="00BB0956" w:rsidRPr="002E4298" w:rsidRDefault="00BB0956" w:rsidP="004905C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2E4298">
        <w:rPr>
          <w:lang w:val="fr-FR" w:bidi="fr-FR"/>
        </w:rPr>
        <w:tab/>
      </w:r>
      <w:r w:rsidRPr="002E4298">
        <w:rPr>
          <w:lang w:val="fr-FR" w:bidi="fr-FR"/>
        </w:rPr>
        <w:tab/>
        <w:t>Prévention et formation</w:t>
      </w:r>
    </w:p>
    <w:p w14:paraId="13189819" w14:textId="318FA850" w:rsidR="004905C8" w:rsidRPr="002E4298" w:rsidRDefault="004905C8" w:rsidP="004905C8">
      <w:pPr>
        <w:pStyle w:val="SingleTxt"/>
        <w:spacing w:after="0" w:line="120" w:lineRule="exact"/>
        <w:rPr>
          <w:sz w:val="10"/>
          <w:lang w:val="fr-FR" w:bidi="fr-FR"/>
        </w:rPr>
      </w:pPr>
    </w:p>
    <w:p w14:paraId="5BD6957F" w14:textId="7275D517" w:rsidR="00BB0956" w:rsidRPr="002E4298" w:rsidRDefault="00BB0956" w:rsidP="00A11C35">
      <w:pPr>
        <w:pStyle w:val="SingleTxt"/>
        <w:numPr>
          <w:ilvl w:val="0"/>
          <w:numId w:val="6"/>
        </w:numPr>
        <w:spacing w:line="240" w:lineRule="exact"/>
        <w:rPr>
          <w:lang w:val="fr-FR"/>
        </w:rPr>
      </w:pPr>
      <w:r w:rsidRPr="002E4298">
        <w:rPr>
          <w:lang w:val="fr-FR" w:bidi="fr-FR"/>
        </w:rPr>
        <w:t>L’Observatoire sur la traite des êtres humains a été créé afin de lutter contre l’opacité qui caractérise le phénomène de la traite des êtres humains et, grâce à une meilleure compréhension de ce phénomène, de contribuer à de meilleures formes d’intervention en matière de prévention, de protection et de poursuites.</w:t>
      </w:r>
    </w:p>
    <w:p w14:paraId="5231FEEE" w14:textId="2D7CD4FC" w:rsidR="00BB0956" w:rsidRPr="002E4298" w:rsidRDefault="00BB0956" w:rsidP="00A11C35">
      <w:pPr>
        <w:pStyle w:val="SingleTxt"/>
        <w:numPr>
          <w:ilvl w:val="0"/>
          <w:numId w:val="6"/>
        </w:numPr>
        <w:spacing w:line="240" w:lineRule="exact"/>
        <w:rPr>
          <w:lang w:val="fr-FR"/>
        </w:rPr>
      </w:pPr>
      <w:r w:rsidRPr="002E4298">
        <w:rPr>
          <w:lang w:val="fr-FR" w:bidi="fr-FR"/>
        </w:rPr>
        <w:t>L’Observatoire a pour mission de produire, de collecter, d’analyser et de diffuser des informations et des connaissances sur le phénomène de la traite des êtres humains et d’autres formes de violence fondée sur le genre.</w:t>
      </w:r>
    </w:p>
    <w:p w14:paraId="630DC979" w14:textId="29038451" w:rsidR="00BB0956" w:rsidRPr="002E4298" w:rsidRDefault="00BB0956" w:rsidP="00A11C35">
      <w:pPr>
        <w:pStyle w:val="SingleTxt"/>
        <w:numPr>
          <w:ilvl w:val="0"/>
          <w:numId w:val="6"/>
        </w:numPr>
        <w:spacing w:line="240" w:lineRule="exact"/>
        <w:rPr>
          <w:lang w:val="fr-FR"/>
        </w:rPr>
      </w:pPr>
      <w:r w:rsidRPr="002E4298">
        <w:rPr>
          <w:lang w:val="fr-FR" w:bidi="fr-FR"/>
        </w:rPr>
        <w:t>Chaque année, une formation en matière de traite des êtres humains à l’intention des forces de l’ordre, des juges, des procureurs, des travailleurs sociaux et des professionnels de la santé, entre autres, est organisée au niveau national.</w:t>
      </w:r>
    </w:p>
    <w:p w14:paraId="22F71F12" w14:textId="06F7D6D2" w:rsidR="00BB0956" w:rsidRPr="002E4298" w:rsidRDefault="00BB0956" w:rsidP="00A11C35">
      <w:pPr>
        <w:pStyle w:val="SingleTxt"/>
        <w:numPr>
          <w:ilvl w:val="0"/>
          <w:numId w:val="6"/>
        </w:numPr>
        <w:spacing w:line="240" w:lineRule="exact"/>
        <w:rPr>
          <w:lang w:val="fr-FR"/>
        </w:rPr>
      </w:pPr>
      <w:r w:rsidRPr="002E4298">
        <w:rPr>
          <w:lang w:val="fr-FR" w:bidi="fr-FR"/>
        </w:rPr>
        <w:t>Le Centre d’études judiciaires dispense régulièrement des formations sur la traite des êtres humains aux juges et aux procureurs.</w:t>
      </w:r>
    </w:p>
    <w:p w14:paraId="7D6FAF88" w14:textId="6CF8DD06" w:rsidR="00BB0956" w:rsidRPr="002E4298" w:rsidRDefault="00BB0956" w:rsidP="00A11C35">
      <w:pPr>
        <w:pStyle w:val="SingleTxt"/>
        <w:numPr>
          <w:ilvl w:val="0"/>
          <w:numId w:val="6"/>
        </w:numPr>
        <w:spacing w:line="240" w:lineRule="exact"/>
        <w:rPr>
          <w:lang w:val="fr-FR"/>
        </w:rPr>
      </w:pPr>
      <w:r w:rsidRPr="002E4298">
        <w:rPr>
          <w:lang w:val="fr-FR" w:bidi="fr-FR"/>
        </w:rPr>
        <w:t>Une campagne nationale ciblant divers publics est lancée le 18 octobre de chaque année. Les campagnes sont diffusées à la radio, dans la presse régionale, sur la voie publique, à la télévision, sur les chaînes câblées, dans les journaux télévisés, dans les espaces publicitaires et les centres commerciaux.</w:t>
      </w:r>
    </w:p>
    <w:p w14:paraId="40ADE4E0" w14:textId="22442BDD" w:rsidR="00BB0956" w:rsidRPr="002E4298" w:rsidRDefault="00BB0956" w:rsidP="00A11C35">
      <w:pPr>
        <w:pStyle w:val="SingleTxt"/>
        <w:numPr>
          <w:ilvl w:val="0"/>
          <w:numId w:val="6"/>
        </w:numPr>
        <w:spacing w:line="240" w:lineRule="exact"/>
        <w:rPr>
          <w:lang w:val="fr-FR"/>
        </w:rPr>
      </w:pPr>
      <w:r w:rsidRPr="002E4298">
        <w:rPr>
          <w:lang w:val="fr-FR" w:bidi="fr-FR"/>
        </w:rPr>
        <w:t>Au cours de la période de rapport, le Portugal a mis en œuvre le troisième Plan national de prévention et de lutte contre la traite des êtres humains pour la période 2014-2017.</w:t>
      </w:r>
    </w:p>
    <w:p w14:paraId="6A323193" w14:textId="49EE1F0F" w:rsidR="00BB0956" w:rsidRPr="002E4298" w:rsidRDefault="00BB0956" w:rsidP="00A11C35">
      <w:pPr>
        <w:pStyle w:val="SingleTxt"/>
        <w:numPr>
          <w:ilvl w:val="0"/>
          <w:numId w:val="6"/>
        </w:numPr>
        <w:spacing w:line="240" w:lineRule="exact"/>
        <w:rPr>
          <w:lang w:val="fr-FR"/>
        </w:rPr>
      </w:pPr>
      <w:r w:rsidRPr="002E4298">
        <w:rPr>
          <w:lang w:val="fr-FR" w:bidi="fr-FR"/>
        </w:rPr>
        <w:t>Le quatrième</w:t>
      </w:r>
      <w:r w:rsidR="0038581D" w:rsidRPr="002E4298">
        <w:rPr>
          <w:lang w:val="fr-FR" w:bidi="fr-FR"/>
        </w:rPr>
        <w:t xml:space="preserve"> </w:t>
      </w:r>
      <w:r w:rsidRPr="002E4298">
        <w:rPr>
          <w:lang w:val="fr-FR" w:bidi="fr-FR"/>
        </w:rPr>
        <w:t>Plan d’action pour la prévention et la lutte contre la traite des êtres humains pour la période 2018-2021, actuellement mis en œuvre, s’articule autour de trois objectifs stratégiques :</w:t>
      </w:r>
    </w:p>
    <w:p w14:paraId="22A4CA31" w14:textId="4F2A71B8" w:rsidR="00BB0956" w:rsidRPr="002E4298" w:rsidRDefault="0038581D" w:rsidP="0038581D">
      <w:pPr>
        <w:pStyle w:val="SingleTxt"/>
        <w:tabs>
          <w:tab w:val="right" w:pos="1685"/>
        </w:tabs>
        <w:ind w:left="1742" w:hanging="475"/>
        <w:rPr>
          <w:lang w:val="fr-FR"/>
        </w:rPr>
      </w:pPr>
      <w:r w:rsidRPr="002E4298">
        <w:rPr>
          <w:lang w:val="fr-FR" w:bidi="fr-FR"/>
        </w:rPr>
        <w:tab/>
        <w:t>•</w:t>
      </w:r>
      <w:r w:rsidRPr="002E4298">
        <w:rPr>
          <w:lang w:val="fr-FR" w:bidi="fr-FR"/>
        </w:rPr>
        <w:tab/>
      </w:r>
      <w:r w:rsidR="00BB0956" w:rsidRPr="002E4298">
        <w:rPr>
          <w:lang w:val="fr-FR" w:bidi="fr-FR"/>
        </w:rPr>
        <w:t>renforcer les connaissances en matière de traite des êtres humains, et informer et sensibiliser à ce sujet ;</w:t>
      </w:r>
    </w:p>
    <w:p w14:paraId="26ED81F5" w14:textId="2A596F92" w:rsidR="00BB0956" w:rsidRPr="002E4298" w:rsidRDefault="0038581D" w:rsidP="0038581D">
      <w:pPr>
        <w:pStyle w:val="SingleTxt"/>
        <w:tabs>
          <w:tab w:val="right" w:pos="1685"/>
        </w:tabs>
        <w:ind w:left="1742" w:hanging="475"/>
        <w:rPr>
          <w:lang w:val="fr-FR"/>
        </w:rPr>
      </w:pPr>
      <w:r w:rsidRPr="002E4298">
        <w:rPr>
          <w:lang w:val="fr-FR" w:bidi="fr-FR"/>
        </w:rPr>
        <w:tab/>
        <w:t>•</w:t>
      </w:r>
      <w:r w:rsidRPr="002E4298">
        <w:rPr>
          <w:lang w:val="fr-FR" w:bidi="fr-FR"/>
        </w:rPr>
        <w:tab/>
      </w:r>
      <w:r w:rsidR="00BB0956" w:rsidRPr="002E4298">
        <w:rPr>
          <w:lang w:val="fr-FR" w:bidi="fr-FR"/>
        </w:rPr>
        <w:t>permettre aux victimes de la traite de mieux exercer leurs droits et d’être éligibles à une intervention renforcée et consolidée ;</w:t>
      </w:r>
    </w:p>
    <w:p w14:paraId="009F6AC6" w14:textId="4419F1B5" w:rsidR="00BB0956" w:rsidRPr="002E4298" w:rsidRDefault="0038581D" w:rsidP="0038581D">
      <w:pPr>
        <w:pStyle w:val="SingleTxt"/>
        <w:tabs>
          <w:tab w:val="right" w:pos="1685"/>
        </w:tabs>
        <w:ind w:left="1742" w:hanging="475"/>
        <w:rPr>
          <w:lang w:val="fr-FR"/>
        </w:rPr>
      </w:pPr>
      <w:r w:rsidRPr="002E4298">
        <w:rPr>
          <w:lang w:val="fr-FR" w:bidi="fr-FR"/>
        </w:rPr>
        <w:tab/>
        <w:t>•</w:t>
      </w:r>
      <w:r w:rsidRPr="002E4298">
        <w:rPr>
          <w:lang w:val="fr-FR" w:bidi="fr-FR"/>
        </w:rPr>
        <w:tab/>
      </w:r>
      <w:r w:rsidR="00BB0956" w:rsidRPr="002E4298">
        <w:rPr>
          <w:lang w:val="fr-FR" w:bidi="fr-FR"/>
        </w:rPr>
        <w:t>renforcer la lutte contre les réseaux de criminalité organisée, notamment pour démanteler le modèle économique et la chaîne de la traite.</w:t>
      </w:r>
    </w:p>
    <w:p w14:paraId="7ECFEE70" w14:textId="1989A9F6" w:rsidR="00BB0956" w:rsidRPr="002E4298" w:rsidRDefault="00BB0956" w:rsidP="00A11C35">
      <w:pPr>
        <w:pStyle w:val="SingleTxt"/>
        <w:numPr>
          <w:ilvl w:val="0"/>
          <w:numId w:val="6"/>
        </w:numPr>
        <w:spacing w:line="240" w:lineRule="exact"/>
        <w:rPr>
          <w:lang w:val="fr-FR"/>
        </w:rPr>
      </w:pPr>
      <w:r w:rsidRPr="002E4298">
        <w:rPr>
          <w:lang w:val="fr-FR" w:bidi="fr-FR"/>
        </w:rPr>
        <w:t>Le Gouvernement portugais consacre chaque année 1,5 million d’euros à la protection et au soutien des victimes de la traite. Ce montant est dédié à l’entretien de cinq centres d’accueil et de protection, aux cinq équipes régionales multidisciplinaires spécialisées (dans le Nord, le Centre, la région de Lisbonne, l’Alentejo et l’Algarve), et aux frais de rapatriement des victimes de la traite. Plusieurs projets sont mis en œuvre au Portugal en matière de traite des êtres humains.</w:t>
      </w:r>
    </w:p>
    <w:p w14:paraId="52FC08A5" w14:textId="77777777" w:rsidR="0038581D" w:rsidRPr="002E4298" w:rsidRDefault="0038581D" w:rsidP="0038581D">
      <w:pPr>
        <w:pStyle w:val="SingleTxt"/>
        <w:spacing w:after="0" w:line="120" w:lineRule="exact"/>
        <w:rPr>
          <w:sz w:val="10"/>
          <w:lang w:val="fr-FR" w:bidi="fr-FR"/>
        </w:rPr>
      </w:pPr>
    </w:p>
    <w:p w14:paraId="09FB4DF5" w14:textId="29E47CC2" w:rsidR="00BB0956" w:rsidRPr="002E4298" w:rsidRDefault="00BB0956" w:rsidP="0038581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2E4298">
        <w:rPr>
          <w:lang w:val="fr-FR" w:bidi="fr-FR"/>
        </w:rPr>
        <w:tab/>
        <w:t>11.</w:t>
      </w:r>
      <w:r w:rsidRPr="002E4298">
        <w:rPr>
          <w:lang w:val="fr-FR" w:bidi="fr-FR"/>
        </w:rPr>
        <w:tab/>
        <w:t>Participation à la vie politique et publique (paragraphes 30 et 31)</w:t>
      </w:r>
    </w:p>
    <w:p w14:paraId="3D92D7A6" w14:textId="4567C57C" w:rsidR="0038581D" w:rsidRPr="002E4298" w:rsidRDefault="0038581D" w:rsidP="0038581D">
      <w:pPr>
        <w:pStyle w:val="SingleTxt"/>
        <w:spacing w:after="0" w:line="120" w:lineRule="exact"/>
        <w:rPr>
          <w:sz w:val="10"/>
          <w:lang w:val="fr-FR" w:bidi="fr-FR"/>
        </w:rPr>
      </w:pPr>
    </w:p>
    <w:p w14:paraId="08EA540C" w14:textId="5149FEFC" w:rsidR="00BB0956" w:rsidRPr="002E4298" w:rsidRDefault="00BB0956" w:rsidP="00A11C35">
      <w:pPr>
        <w:pStyle w:val="SingleTxt"/>
        <w:numPr>
          <w:ilvl w:val="0"/>
          <w:numId w:val="6"/>
        </w:numPr>
        <w:spacing w:line="240" w:lineRule="exact"/>
        <w:rPr>
          <w:lang w:val="fr-FR" w:bidi="fr-FR"/>
        </w:rPr>
      </w:pPr>
      <w:r w:rsidRPr="002E4298">
        <w:rPr>
          <w:lang w:val="fr-FR" w:bidi="fr-FR"/>
        </w:rPr>
        <w:t>Comme mentionné plus haut, il est important de souligner l’adoption de la loi nº 62/2017, de la loi nº 26/2019 et de la loi nº 1/2019 (voir la section sur les mesures temporaires spéciales). En outre, depuis 2019, un financement est accordé pour soutenir les projets locaux qui favorisent la participation civique et politique des femmes et des filles.</w:t>
      </w:r>
    </w:p>
    <w:p w14:paraId="20A71200" w14:textId="1EC7E15D" w:rsidR="00BB0956" w:rsidRPr="002E4298" w:rsidRDefault="00BB0956" w:rsidP="00A11C35">
      <w:pPr>
        <w:pStyle w:val="SingleTxt"/>
        <w:numPr>
          <w:ilvl w:val="0"/>
          <w:numId w:val="6"/>
        </w:numPr>
        <w:spacing w:line="240" w:lineRule="exact"/>
        <w:rPr>
          <w:lang w:val="fr-FR" w:bidi="fr-FR"/>
        </w:rPr>
      </w:pPr>
      <w:r w:rsidRPr="002E4298">
        <w:rPr>
          <w:lang w:val="fr-FR" w:bidi="fr-FR"/>
        </w:rPr>
        <w:t xml:space="preserve">La représentation des femmes dans le système judiciaire continue d’augmenter de manière très significative. Les femmes accèdent aux postes des tribunaux de </w:t>
      </w:r>
      <w:r w:rsidRPr="002E4298">
        <w:rPr>
          <w:lang w:val="fr-FR" w:bidi="fr-FR"/>
        </w:rPr>
        <w:lastRenderedPageBreak/>
        <w:t>grande instance dans les mêmes conditions que les hommes. Il convient de souligner que, pour la deuxième fois, une femme (nommée en 2018) occupe le poste de Procureure générale de la République et que la Cour suprême de justice a également une femme pour Vice-présidente.</w:t>
      </w:r>
    </w:p>
    <w:p w14:paraId="446A41F9" w14:textId="751D8220" w:rsidR="00BB0956" w:rsidRPr="002E4298" w:rsidRDefault="00BB0956" w:rsidP="00A11C35">
      <w:pPr>
        <w:pStyle w:val="SingleTxt"/>
        <w:numPr>
          <w:ilvl w:val="0"/>
          <w:numId w:val="6"/>
        </w:numPr>
        <w:spacing w:line="240" w:lineRule="exact"/>
        <w:rPr>
          <w:lang w:val="fr-FR" w:bidi="fr-FR"/>
        </w:rPr>
      </w:pPr>
      <w:r w:rsidRPr="002E4298">
        <w:rPr>
          <w:lang w:val="fr-FR" w:bidi="fr-FR"/>
        </w:rPr>
        <w:t>Les chiffres de 2018 montrent que, dans l’ensemble des tribunaux et des instances judiciaires, 61 % des juges et 64 % des procureurs sont des femmes.</w:t>
      </w:r>
    </w:p>
    <w:p w14:paraId="3B71BB3C" w14:textId="0816018F" w:rsidR="00BB0956" w:rsidRPr="002E4298" w:rsidRDefault="00BB0956" w:rsidP="00A11C35">
      <w:pPr>
        <w:pStyle w:val="SingleTxt"/>
        <w:numPr>
          <w:ilvl w:val="0"/>
          <w:numId w:val="6"/>
        </w:numPr>
        <w:spacing w:line="240" w:lineRule="exact"/>
        <w:rPr>
          <w:lang w:val="fr-FR"/>
        </w:rPr>
      </w:pPr>
      <w:r w:rsidRPr="002E4298">
        <w:rPr>
          <w:lang w:val="fr-FR" w:bidi="fr-FR"/>
        </w:rPr>
        <w:t>La représentation des femmes dans les juridictions supérieures continue également d’augmenter. À la Cour suprême de justice, la part de femmes juges est maintenant de près de 30 % et celle des femmes procureures de 31 %. À la Cour constitutionnelle, 38 % des juges sont des femmes.</w:t>
      </w:r>
    </w:p>
    <w:p w14:paraId="07EAD2F3" w14:textId="77777777" w:rsidR="0038581D" w:rsidRPr="002E4298" w:rsidRDefault="0038581D" w:rsidP="0038581D">
      <w:pPr>
        <w:pStyle w:val="SingleTxt"/>
        <w:spacing w:after="0" w:line="120" w:lineRule="exact"/>
        <w:rPr>
          <w:sz w:val="10"/>
          <w:lang w:val="fr-FR" w:bidi="fr-FR"/>
        </w:rPr>
      </w:pPr>
    </w:p>
    <w:p w14:paraId="1528B51B" w14:textId="56AB60C9" w:rsidR="00BB0956" w:rsidRPr="002E4298" w:rsidRDefault="00BB0956" w:rsidP="0038581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2E4298">
        <w:rPr>
          <w:lang w:val="fr-FR" w:bidi="fr-FR"/>
        </w:rPr>
        <w:tab/>
        <w:t>12.</w:t>
      </w:r>
      <w:r w:rsidRPr="002E4298">
        <w:rPr>
          <w:lang w:val="fr-FR" w:bidi="fr-FR"/>
        </w:rPr>
        <w:tab/>
        <w:t>Éducation (paragraphes 32 et 33)</w:t>
      </w:r>
    </w:p>
    <w:p w14:paraId="07ACD4D1" w14:textId="0C6D0895" w:rsidR="0038581D" w:rsidRPr="002E4298" w:rsidRDefault="0038581D" w:rsidP="0038581D">
      <w:pPr>
        <w:pStyle w:val="SingleTxt"/>
        <w:spacing w:after="0" w:line="120" w:lineRule="exact"/>
        <w:rPr>
          <w:sz w:val="10"/>
          <w:lang w:val="fr-FR" w:bidi="fr-FR"/>
        </w:rPr>
      </w:pPr>
    </w:p>
    <w:p w14:paraId="55B88B26" w14:textId="4F468F35" w:rsidR="00BB0956" w:rsidRPr="002E4298" w:rsidRDefault="00BB0956" w:rsidP="00A11C35">
      <w:pPr>
        <w:pStyle w:val="SingleTxt"/>
        <w:numPr>
          <w:ilvl w:val="0"/>
          <w:numId w:val="6"/>
        </w:numPr>
        <w:spacing w:line="240" w:lineRule="exact"/>
        <w:rPr>
          <w:lang w:val="fr-FR"/>
        </w:rPr>
      </w:pPr>
      <w:r w:rsidRPr="002E4298">
        <w:rPr>
          <w:lang w:val="fr-FR" w:bidi="fr-FR"/>
        </w:rPr>
        <w:t>Le système d’éducation et de formation portugais est inclusif et favorise l’inclusion sociale et la citoyenneté active de tous les citoyens, indépendamment de leur sexe, de leur âge ou de leur origine ethnique. Les parcours d’éducation et de formation pour les enfants, les jeunes et les adultes garantissent les principes d’égalité des chances et de non-discrimination, l’égalité des genres, l’inclusion et la cohésion sociale.</w:t>
      </w:r>
    </w:p>
    <w:p w14:paraId="23BF0F71" w14:textId="60F0D04C" w:rsidR="00BB0956" w:rsidRPr="002E4298" w:rsidRDefault="00BB0956" w:rsidP="00A11C35">
      <w:pPr>
        <w:pStyle w:val="SingleTxt"/>
        <w:numPr>
          <w:ilvl w:val="0"/>
          <w:numId w:val="6"/>
        </w:numPr>
        <w:spacing w:line="240" w:lineRule="exact"/>
        <w:rPr>
          <w:lang w:val="fr-FR" w:bidi="fr-FR"/>
        </w:rPr>
      </w:pPr>
      <w:r w:rsidRPr="002E4298">
        <w:rPr>
          <w:lang w:val="fr-FR" w:bidi="fr-FR"/>
        </w:rPr>
        <w:t>Comme mentionné dans le rapport précédent, la Commission pour la citoyenneté et l’égalité des genres</w:t>
      </w:r>
      <w:r w:rsidRPr="002E4298" w:rsidDel="00535E0B">
        <w:rPr>
          <w:lang w:val="fr-FR" w:bidi="fr-FR"/>
        </w:rPr>
        <w:t xml:space="preserve"> </w:t>
      </w:r>
      <w:r w:rsidRPr="002E4298">
        <w:rPr>
          <w:lang w:val="fr-FR" w:bidi="fr-FR"/>
        </w:rPr>
        <w:t>a mis en place depuis les années 2008-2009 le projet intitulé « Guides d’éducation à l’égalité des genres</w:t>
      </w:r>
      <w:r w:rsidRPr="002E4298" w:rsidDel="00535E0B">
        <w:rPr>
          <w:lang w:val="fr-FR" w:bidi="fr-FR"/>
        </w:rPr>
        <w:t xml:space="preserve"> </w:t>
      </w:r>
      <w:r w:rsidRPr="002E4298">
        <w:rPr>
          <w:lang w:val="fr-FR" w:bidi="fr-FR"/>
        </w:rPr>
        <w:t>et à la citoyenneté : stratégie pour l’intégration des questions de genre dans l’éducation », un projet à long terme devenu une priorité politique en ce qui concerne le système éducatif.</w:t>
      </w:r>
    </w:p>
    <w:p w14:paraId="73C02555" w14:textId="1173F0F8" w:rsidR="00BB0956" w:rsidRPr="002E4298" w:rsidRDefault="00BB0956" w:rsidP="00A11C35">
      <w:pPr>
        <w:pStyle w:val="SingleTxt"/>
        <w:numPr>
          <w:ilvl w:val="0"/>
          <w:numId w:val="6"/>
        </w:numPr>
        <w:spacing w:line="240" w:lineRule="exact"/>
        <w:rPr>
          <w:lang w:val="fr-FR" w:bidi="fr-FR"/>
        </w:rPr>
      </w:pPr>
      <w:r w:rsidRPr="002E4298">
        <w:rPr>
          <w:lang w:val="fr-FR" w:bidi="fr-FR"/>
        </w:rPr>
        <w:t>Dans ce cadre, les principales activités qui ont été renforcés au cours de la période de rapport sont les suivantes : la production de cinq guides éducatifs sur l’égalité des genres</w:t>
      </w:r>
      <w:r w:rsidRPr="002E4298" w:rsidDel="00535E0B">
        <w:rPr>
          <w:lang w:val="fr-FR" w:bidi="fr-FR"/>
        </w:rPr>
        <w:t xml:space="preserve"> </w:t>
      </w:r>
      <w:r w:rsidRPr="002E4298">
        <w:rPr>
          <w:lang w:val="fr-FR" w:bidi="fr-FR"/>
        </w:rPr>
        <w:t>et la citoyenneté couvrant les cinq cycles du système d’enseignement public obligatoire (de la première à la douzième année) et leur diffusion par l’intermédiaire des bibliothèques du réseau scolaire national, la formation initiale et continue des enseignants en vue de promouvoir la généralisation des matériels produits dans les écoles à l’échelle nationale, l’intégration des études sur les femmes et sur les questions de genre dans les programmes des établissements d’enseignement supérieur de l’ensemble du pays, en particulier dans ceux qui assurent la formation initiale des enseignants, la mobilisation des municipalités afin d’intégrer la problématique femmes-hommes dans les politiques locales en faveur de l’égalité des genres</w:t>
      </w:r>
      <w:r w:rsidRPr="002E4298" w:rsidDel="00535E0B">
        <w:rPr>
          <w:lang w:val="fr-FR" w:bidi="fr-FR"/>
        </w:rPr>
        <w:t xml:space="preserve"> </w:t>
      </w:r>
      <w:r w:rsidRPr="002E4298">
        <w:rPr>
          <w:lang w:val="fr-FR" w:bidi="fr-FR"/>
        </w:rPr>
        <w:t>ainsi que dans l’éducation et le sport, et la mise en œuvre de l’égalité des genres</w:t>
      </w:r>
      <w:r w:rsidRPr="002E4298" w:rsidDel="00535E0B">
        <w:rPr>
          <w:lang w:val="fr-FR" w:bidi="fr-FR"/>
        </w:rPr>
        <w:t xml:space="preserve"> </w:t>
      </w:r>
      <w:r w:rsidRPr="002E4298">
        <w:rPr>
          <w:lang w:val="fr-FR" w:bidi="fr-FR"/>
        </w:rPr>
        <w:t>dans le cadre de la Stratégie nationale pour l’éducation à la citoyenneté.</w:t>
      </w:r>
    </w:p>
    <w:p w14:paraId="2D65326E" w14:textId="27F00927" w:rsidR="00BB0956" w:rsidRPr="002E4298" w:rsidRDefault="00BB0956" w:rsidP="00A11C35">
      <w:pPr>
        <w:pStyle w:val="SingleTxt"/>
        <w:numPr>
          <w:ilvl w:val="0"/>
          <w:numId w:val="6"/>
        </w:numPr>
        <w:spacing w:line="240" w:lineRule="exact"/>
        <w:rPr>
          <w:lang w:val="fr-FR" w:bidi="fr-FR"/>
        </w:rPr>
      </w:pPr>
      <w:r w:rsidRPr="002E4298">
        <w:rPr>
          <w:lang w:val="fr-FR" w:bidi="fr-FR"/>
        </w:rPr>
        <w:t>Le projet a été planifié et est coordonné par la Commission pour la citoyenneté et l’égalité des genres</w:t>
      </w:r>
      <w:r w:rsidRPr="002E4298" w:rsidDel="00535E0B">
        <w:rPr>
          <w:lang w:val="fr-FR" w:bidi="fr-FR"/>
        </w:rPr>
        <w:t xml:space="preserve"> </w:t>
      </w:r>
      <w:r w:rsidRPr="002E4298">
        <w:rPr>
          <w:lang w:val="fr-FR" w:bidi="fr-FR"/>
        </w:rPr>
        <w:t>en étroite collaboration avec 31 experts en études sur les femmes et sur les questions de genre afin de proposer des séances d’éducation et de formation au corps enseignant de 18 établissements d’enseignement supérieur dans tout le pays, ce qui a nécessité l’établissement de protocoles de collaboration ainsi que le renforcement des partenariats avec les établissements d’enseignement supérieur et avec un service au sein du Ministère de l’éducation. Quinze institutions (onze établissements d’enseignement supérieur, trois municipalités et un service du Ministère de l’éducation) ont travaillé avec la Commission pour la citoyenneté et l’égalité des genres</w:t>
      </w:r>
      <w:r w:rsidRPr="002E4298" w:rsidDel="00535E0B">
        <w:rPr>
          <w:lang w:val="fr-FR" w:bidi="fr-FR"/>
        </w:rPr>
        <w:t xml:space="preserve"> </w:t>
      </w:r>
      <w:r w:rsidRPr="002E4298">
        <w:rPr>
          <w:lang w:val="fr-FR" w:bidi="fr-FR"/>
        </w:rPr>
        <w:t xml:space="preserve">afin de proposer des formations destinées au corps enseignant. En 2018, le financement reçu au titre du programme opérationnel « Inclusion sociale et emploi », destiné à la formation de publics stratégiques, a pour la première fois intégré le corps enseignant comme public cible, ce qui a permis de dispenser une formation axée sur l’application des guides à une association d’enseignants et à une communauté de municipalités dans la région centrale du pays. Ces organisations ont </w:t>
      </w:r>
      <w:r w:rsidRPr="002E4298">
        <w:rPr>
          <w:lang w:val="fr-FR" w:bidi="fr-FR"/>
        </w:rPr>
        <w:lastRenderedPageBreak/>
        <w:t>tissé divers liens avec les écoles et collaborent de différentes manières avec celle-ci. Au cours des trois dernières années, la Direction régionale de l’éducation de la région autonome de Madère a mis en œuvre des actions locales et régionales de formation continue des enseignants pour toutes les écoles de son territoire, axées sur la diffusion et l’application des guides dans le cadre du Programme d’éducation à la sexualité et à l’intimité. Les gouvernements des régions autonomes de Madère et des Açores ont distribué les guides dans les bibliothèques scolaires de leurs territoires.</w:t>
      </w:r>
    </w:p>
    <w:p w14:paraId="1E4C65E1" w14:textId="3E9BD357" w:rsidR="00BB0956" w:rsidRPr="002E4298" w:rsidRDefault="00BB0956" w:rsidP="00A11C35">
      <w:pPr>
        <w:pStyle w:val="SingleTxt"/>
        <w:numPr>
          <w:ilvl w:val="0"/>
          <w:numId w:val="6"/>
        </w:numPr>
        <w:spacing w:line="240" w:lineRule="exact"/>
        <w:rPr>
          <w:lang w:val="fr-FR"/>
        </w:rPr>
      </w:pPr>
      <w:r w:rsidRPr="002E4298">
        <w:rPr>
          <w:lang w:val="fr-FR" w:bidi="fr-FR"/>
        </w:rPr>
        <w:t>Les mesures stratégiques pour l’égalité entre les femmes et les hommes ciblant le système éducatif reposent sur deux priorités. D’une part, intégrer la problématique de l’égalité femmes-hommes et les études sur les femmes dans les programmes d’études, dans les pratiques pédagogiques du corps enseignant et dans la prise de décision, l’organisation et la communication des établissements scolaires afin d’étoffer les connaissances scientifiques sur ces question dans les matières au programme, de modifier les pratiques individuelles et collectives des enseignants ainsi que la culture scolaire, et d’assurer la durabilité des changements individuels. D’autre part, faire de l’égalité entre les femmes et les hommes une question centrale de la Stratégie nationale pour l’éducation à la citoyenneté et un thème obligatoire à aborder dans le cadre de la composante « Citoyenneté et développement », ainsi qu’intégrer l’égalité entre les femmes et les hommes dans des domaines transversaux du programme scolaire, tels que l’éducation à la santé, l’éducation sexuelle et l’éducation technologique, qui sont des priorités pour le Ministère de l’éducation, ainsi que dans toutes les disciplines du programme d’études. L’intégration de l’égalité des genres</w:t>
      </w:r>
      <w:r w:rsidRPr="002E4298" w:rsidDel="00535E0B">
        <w:rPr>
          <w:lang w:val="fr-FR" w:bidi="fr-FR"/>
        </w:rPr>
        <w:t xml:space="preserve"> </w:t>
      </w:r>
      <w:r w:rsidRPr="002E4298">
        <w:rPr>
          <w:lang w:val="fr-FR" w:bidi="fr-FR"/>
        </w:rPr>
        <w:t>et des droits des femmes dans toutes les questions relatives à la composante « Citoyenneté et développement » constitue désormais la principale stratégie d’intégration des questions de genre dans le système éducatif portugais.</w:t>
      </w:r>
    </w:p>
    <w:p w14:paraId="73ED19E3" w14:textId="7B0796F4" w:rsidR="00BB0956" w:rsidRPr="002E4298" w:rsidRDefault="00BB0956" w:rsidP="00A11C35">
      <w:pPr>
        <w:pStyle w:val="SingleTxt"/>
        <w:numPr>
          <w:ilvl w:val="0"/>
          <w:numId w:val="6"/>
        </w:numPr>
        <w:spacing w:line="240" w:lineRule="exact"/>
        <w:rPr>
          <w:lang w:val="fr-FR"/>
        </w:rPr>
      </w:pPr>
      <w:r w:rsidRPr="002E4298">
        <w:rPr>
          <w:lang w:val="fr-FR" w:bidi="fr-FR"/>
        </w:rPr>
        <w:t>Jusqu’à présent et principalement depuis 2014, les guides sont parvenus dans plus de mille bibliothèques scolaires ; l’utilisation des guides a été appuyée par 121 formations pour une durée totale de 3 793 heures à l’intention de 1 780 enseignants (84 % de femmes et 16 % d’hommes), dont 55 % provenant de groupements scolaires publics répartis sur l’ensemble des districts, et 40 % des municipalités continentales. L’égalité des genres</w:t>
      </w:r>
      <w:r w:rsidRPr="002E4298" w:rsidDel="00535E0B">
        <w:rPr>
          <w:lang w:val="fr-FR" w:bidi="fr-FR"/>
        </w:rPr>
        <w:t xml:space="preserve"> </w:t>
      </w:r>
      <w:r w:rsidRPr="002E4298">
        <w:rPr>
          <w:lang w:val="fr-FR" w:bidi="fr-FR"/>
        </w:rPr>
        <w:t>et les relations sociales entre les femmes et les hommes ont été mises en pratique dans le domaine transversal de l’éducation à la citoyenneté et, depuis cette année, dans la composante obligatoire « Citoyenneté et développement », ainsi que dans plusieurs matières des programmes nationaux de l’enseignement préscolaire, de l’enseignement primaire et de l’enseignement secondaire (principalement en langues, biologie, chimie et physique, histoire, art, géographie, philosophie, technologies de l’information et de la communication, sport et éducation physique) et dans des projets scolaires concernant la santé, la sexualité et les technologies de l’information et de la communication.</w:t>
      </w:r>
    </w:p>
    <w:p w14:paraId="6A071FA9" w14:textId="6D37137C" w:rsidR="00BB0956" w:rsidRPr="002E4298" w:rsidRDefault="00BB0956" w:rsidP="00A11C35">
      <w:pPr>
        <w:pStyle w:val="SingleTxt"/>
        <w:numPr>
          <w:ilvl w:val="0"/>
          <w:numId w:val="6"/>
        </w:numPr>
        <w:spacing w:line="240" w:lineRule="exact"/>
        <w:rPr>
          <w:lang w:val="fr-FR" w:bidi="fr-FR"/>
        </w:rPr>
      </w:pPr>
      <w:r w:rsidRPr="002E4298">
        <w:rPr>
          <w:lang w:val="fr-FR" w:bidi="fr-FR"/>
        </w:rPr>
        <w:t>Un programme national de formation continue, qui comprend un atelier de 60 heures sur la citoyenneté et le développement dans lequel sont abordés les droits humains et l’égalité entre femmes et hommes, entre autres domaines d’éducation à la citoyenneté, est en cours depuis 2018, et 930 personnes (dont les 812 coordinateurs scolaires de la composante « Citoyenneté et développement » - un par groupement scolaire/établissement) y ont participé. Dans le cadre de la Stratégie nationale pour l’éducation à la citoyenneté et du nouveau programme d’études, les sessions de formation visent à soutenir l’élaboration et la mise en œuvre d’une stratégie pour l’éducation à la citoyenneté par chaque école.</w:t>
      </w:r>
    </w:p>
    <w:p w14:paraId="2E567C86" w14:textId="74F37E32" w:rsidR="00BB0956" w:rsidRPr="002E4298" w:rsidRDefault="00BB0956" w:rsidP="00A11C35">
      <w:pPr>
        <w:pStyle w:val="SingleTxt"/>
        <w:numPr>
          <w:ilvl w:val="0"/>
          <w:numId w:val="6"/>
        </w:numPr>
        <w:spacing w:line="240" w:lineRule="exact"/>
        <w:rPr>
          <w:lang w:val="fr-FR"/>
        </w:rPr>
      </w:pPr>
      <w:r w:rsidRPr="002E4298">
        <w:rPr>
          <w:lang w:val="fr-FR" w:bidi="fr-FR"/>
        </w:rPr>
        <w:t xml:space="preserve">Aucune mesure spécifique n’est mise en œuvre au Portugal pour améliorer l’accès des filles à l’éducation, à l’enseignement et la formation professionnels ou à des programmes de développement des compétences, ni pour encourager leur maintien dans ces systèmes ou l’achèvement de leurs études. Il convient en outre de </w:t>
      </w:r>
      <w:r w:rsidRPr="002E4298">
        <w:rPr>
          <w:lang w:val="fr-FR" w:bidi="fr-FR"/>
        </w:rPr>
        <w:lastRenderedPageBreak/>
        <w:t>noter à cet égard que les données et les statistiques sur l’éducation montrent que les filles sont plus nombreuses que les garçons à terminer leurs études avec succès, quel que soit le type et le niveau d’enseignement (y compris dans l’enseignement et la formation professionnels et dans l’enseignement supérieur).</w:t>
      </w:r>
    </w:p>
    <w:p w14:paraId="46F3EA42" w14:textId="3C3D31A3" w:rsidR="00BB0956" w:rsidRPr="002E4298" w:rsidRDefault="00BB0956" w:rsidP="00A11C35">
      <w:pPr>
        <w:pStyle w:val="SingleTxt"/>
        <w:numPr>
          <w:ilvl w:val="0"/>
          <w:numId w:val="6"/>
        </w:numPr>
        <w:spacing w:line="240" w:lineRule="exact"/>
        <w:rPr>
          <w:lang w:val="fr-FR" w:bidi="fr-FR"/>
        </w:rPr>
      </w:pPr>
      <w:r w:rsidRPr="002E4298">
        <w:rPr>
          <w:lang w:val="fr-FR" w:bidi="fr-FR"/>
        </w:rPr>
        <w:t>Comme mentionné ci-dessus, la Stratégie nationale pour l’éducation à la citoyenneté vise à renforcer les compétences en faveur d’une culture de la démocratie et à dispenser un enseignement ayant une incidence sur le comportement civique individuel, sur les relations interpersonnelles et sur les relations sociales et interculturelles, grâce à la composante « Citoyenneté et développement ».</w:t>
      </w:r>
    </w:p>
    <w:p w14:paraId="166ECE0E" w14:textId="12A5FC3B" w:rsidR="00BB0956" w:rsidRPr="002E4298" w:rsidRDefault="00BB0956" w:rsidP="00A11C35">
      <w:pPr>
        <w:pStyle w:val="SingleTxt"/>
        <w:numPr>
          <w:ilvl w:val="0"/>
          <w:numId w:val="6"/>
        </w:numPr>
        <w:spacing w:line="240" w:lineRule="exact"/>
        <w:rPr>
          <w:lang w:val="fr-FR" w:bidi="fr-FR"/>
        </w:rPr>
      </w:pPr>
      <w:r w:rsidRPr="002E4298">
        <w:rPr>
          <w:lang w:val="fr-FR" w:bidi="fr-FR"/>
        </w:rPr>
        <w:t>Le nouveau programme d’études (décret-loi nº 55/2018 du 6 juillet 2018) intègre la composante « Citoyenneté et développement » dans la structure de toutes les programmes d’éducation et de formation (de l’enseignement primaire à l’enseignement secondaire supérieur). La composante « Citoyenneté et développement » regroupe 17 thèmes interdépendants, dont six, à savoir les droits humains, l’égalité entre les femmes et les hommes, l’interculturalité, le développement durable, l’éducation environnementale et la santé, sont obligatoires dans tous les cycles et à tous les niveaux d’enseignement.</w:t>
      </w:r>
    </w:p>
    <w:p w14:paraId="33E3AE07" w14:textId="04CA17E3" w:rsidR="00BB0956" w:rsidRPr="002E4298" w:rsidRDefault="00BB0956" w:rsidP="00A11C35">
      <w:pPr>
        <w:pStyle w:val="SingleTxt"/>
        <w:numPr>
          <w:ilvl w:val="0"/>
          <w:numId w:val="6"/>
        </w:numPr>
        <w:spacing w:line="240" w:lineRule="exact"/>
        <w:rPr>
          <w:lang w:val="fr-FR"/>
        </w:rPr>
      </w:pPr>
      <w:r w:rsidRPr="002E4298">
        <w:rPr>
          <w:lang w:val="fr-FR" w:bidi="fr-FR"/>
        </w:rPr>
        <w:t>Tous les groupements scolaires/établissements doivent élaborer une stratégie d’éducation à la citoyenneté, qui doit être conçue en collaboration avec des ONG et d’autres partenaires communautaires, et disposer d’un coordinateur pour cette matière.</w:t>
      </w:r>
    </w:p>
    <w:p w14:paraId="40980C33" w14:textId="580318A2" w:rsidR="00BB0956" w:rsidRPr="002E4298" w:rsidRDefault="00BB0956" w:rsidP="00A11C35">
      <w:pPr>
        <w:pStyle w:val="SingleTxt"/>
        <w:numPr>
          <w:ilvl w:val="0"/>
          <w:numId w:val="6"/>
        </w:numPr>
        <w:spacing w:line="240" w:lineRule="exact"/>
        <w:rPr>
          <w:lang w:val="fr-FR"/>
        </w:rPr>
      </w:pPr>
      <w:r w:rsidRPr="002E4298">
        <w:rPr>
          <w:lang w:val="fr-FR" w:bidi="fr-FR"/>
        </w:rPr>
        <w:t>Le Cadre d’éducation à la santé intègre des spécifications relatives aux compétences qui favorisent l’égalité entre les femmes et les hommes. Le thème « Santé mentale et prévention de la violence » vise à développer chez les enfants, de l’éducation préscolaire à l’enseignement secondaire, des compétences pour analyser de manière critique les causes et les effets de la ségrégation fondée sur le sexe et sur le genre et pour adopter des attitudes et des comportements respectueux de l’égalité entre les femmes et les hommes. Le thème « Identité et éducation à la sexualité » contient également un sous-thème sur l’égalité entre les femmes et les hommes, dont les objectifs sont de renforcer la conscience de l’individualité en ce qui concerne la sexualité, l’identité, l’expression du genre et l’orientation sexuelle et d’enseigner aux élèves à adopter une attitude positive à l’égard de l’égalité entre femmes et hommes.</w:t>
      </w:r>
    </w:p>
    <w:p w14:paraId="2418C936" w14:textId="09D4EF66" w:rsidR="00BB0956" w:rsidRPr="002E4298" w:rsidRDefault="00BB0956" w:rsidP="00A11C35">
      <w:pPr>
        <w:pStyle w:val="SingleTxt"/>
        <w:numPr>
          <w:ilvl w:val="0"/>
          <w:numId w:val="6"/>
        </w:numPr>
        <w:spacing w:line="240" w:lineRule="exact"/>
        <w:rPr>
          <w:lang w:val="fr-FR" w:bidi="fr-FR"/>
        </w:rPr>
      </w:pPr>
      <w:r w:rsidRPr="002E4298">
        <w:rPr>
          <w:lang w:val="fr-FR" w:bidi="fr-FR"/>
        </w:rPr>
        <w:t>Un cours en ligne ouvert à tous publics, comprenant un module sur la nouvelle composante du programme d’études « Citoyenneté et développement », articulé dans le cadre de la Stratégie nationale pour l’éducation à la citoyenneté, a été mis en place en 2018 et suivi par 845 enseignants.</w:t>
      </w:r>
    </w:p>
    <w:p w14:paraId="65EBD76F" w14:textId="48F0C8C9" w:rsidR="00BB0956" w:rsidRPr="002E4298" w:rsidRDefault="00BB0956" w:rsidP="00A11C35">
      <w:pPr>
        <w:pStyle w:val="SingleTxt"/>
        <w:numPr>
          <w:ilvl w:val="0"/>
          <w:numId w:val="6"/>
        </w:numPr>
        <w:spacing w:line="240" w:lineRule="exact"/>
        <w:rPr>
          <w:lang w:val="fr-FR" w:bidi="fr-FR"/>
        </w:rPr>
      </w:pPr>
      <w:r w:rsidRPr="002E4298">
        <w:rPr>
          <w:lang w:val="fr-FR" w:bidi="fr-FR"/>
        </w:rPr>
        <w:t>En août 2019, l’ordonnance nº 7247/2019 établissant des mesures administratives visant à garantir le libre développement de la personnalité de tous les enfants et adolescents et la non-discrimination à l’école a été adoptée dans le cadre de la loi sur la libre détermination de l’identité de genre et de l’expression du genre et la protection des caractéristiques sexuelles.</w:t>
      </w:r>
    </w:p>
    <w:p w14:paraId="23B4ADB8" w14:textId="5853B1B7" w:rsidR="00BB0956" w:rsidRPr="002E4298" w:rsidRDefault="00BB0956" w:rsidP="00A11C35">
      <w:pPr>
        <w:pStyle w:val="SingleTxt"/>
        <w:numPr>
          <w:ilvl w:val="0"/>
          <w:numId w:val="6"/>
        </w:numPr>
        <w:spacing w:line="240" w:lineRule="exact"/>
        <w:rPr>
          <w:lang w:val="fr-FR"/>
        </w:rPr>
      </w:pPr>
      <w:r w:rsidRPr="002E4298">
        <w:rPr>
          <w:lang w:val="fr-FR" w:bidi="fr-FR"/>
        </w:rPr>
        <w:t>Le Ministère de l’éducation a créé le label « École saine », qui vise à récompenser les établissements dont l’environnement favorise lui aussi le bien-être, la sécurité et l’égalité entre les femmes et les hommes.</w:t>
      </w:r>
    </w:p>
    <w:p w14:paraId="65793100" w14:textId="1DD5AC7F" w:rsidR="00BB0956" w:rsidRPr="002E4298" w:rsidRDefault="00BB0956" w:rsidP="00A11C35">
      <w:pPr>
        <w:pStyle w:val="SingleTxt"/>
        <w:numPr>
          <w:ilvl w:val="0"/>
          <w:numId w:val="6"/>
        </w:numPr>
        <w:spacing w:line="240" w:lineRule="exact"/>
        <w:rPr>
          <w:lang w:val="fr-FR" w:bidi="fr-FR"/>
        </w:rPr>
      </w:pPr>
      <w:r w:rsidRPr="002E4298">
        <w:rPr>
          <w:lang w:val="fr-FR" w:bidi="fr-FR"/>
        </w:rPr>
        <w:t>Diverses initiatives positives ont été mises en place pour accroître les compétences numériques des filles et des garçons, parmi lesquelles :</w:t>
      </w:r>
    </w:p>
    <w:p w14:paraId="7559BFF0" w14:textId="61346CF2" w:rsidR="00BB0956" w:rsidRPr="002E4298" w:rsidRDefault="0038581D" w:rsidP="0038581D">
      <w:pPr>
        <w:pStyle w:val="SingleTxt"/>
        <w:tabs>
          <w:tab w:val="right" w:pos="1685"/>
        </w:tabs>
        <w:ind w:left="1742" w:hanging="475"/>
        <w:rPr>
          <w:lang w:val="fr-FR"/>
        </w:rPr>
      </w:pPr>
      <w:r w:rsidRPr="002E4298">
        <w:rPr>
          <w:lang w:val="fr-FR" w:bidi="fr-FR"/>
        </w:rPr>
        <w:tab/>
        <w:t>•</w:t>
      </w:r>
      <w:r w:rsidRPr="002E4298">
        <w:rPr>
          <w:lang w:val="fr-FR" w:bidi="fr-FR"/>
        </w:rPr>
        <w:tab/>
      </w:r>
      <w:r w:rsidR="00BB0956" w:rsidRPr="002E4298">
        <w:rPr>
          <w:lang w:val="fr-FR" w:bidi="fr-FR"/>
        </w:rPr>
        <w:t>de 2015 à 2017, la Direction générale de l’éducation a mené un projet pilote destiné aux élèves de troisième</w:t>
      </w:r>
      <w:r w:rsidR="00BB0956" w:rsidRPr="002E4298">
        <w:rPr>
          <w:vertAlign w:val="superscript"/>
          <w:lang w:val="fr-FR" w:bidi="fr-FR"/>
        </w:rPr>
        <w:t> </w:t>
      </w:r>
      <w:r w:rsidR="00BB0956" w:rsidRPr="002E4298">
        <w:rPr>
          <w:lang w:val="fr-FR" w:bidi="fr-FR"/>
        </w:rPr>
        <w:t>et quatrième</w:t>
      </w:r>
      <w:r w:rsidR="00BB0956" w:rsidRPr="002E4298">
        <w:rPr>
          <w:vertAlign w:val="superscript"/>
          <w:lang w:val="fr-FR" w:bidi="fr-FR"/>
        </w:rPr>
        <w:t> </w:t>
      </w:r>
      <w:r w:rsidR="00BB0956" w:rsidRPr="002E4298">
        <w:rPr>
          <w:lang w:val="fr-FR" w:bidi="fr-FR"/>
        </w:rPr>
        <w:t xml:space="preserve">année de scolarité afin qu’ils puissent entamer un apprentissage évolutif dans ce domaine ; en 2017 et 2018, </w:t>
      </w:r>
      <w:r w:rsidR="00BB0956" w:rsidRPr="002E4298">
        <w:rPr>
          <w:lang w:val="fr-FR" w:bidi="fr-FR"/>
        </w:rPr>
        <w:lastRenderedPageBreak/>
        <w:t>ce projet pilote a été étendu à tous les cycles de l’enseignement primaire et secondaire ;</w:t>
      </w:r>
    </w:p>
    <w:p w14:paraId="0F254C75" w14:textId="33447062" w:rsidR="00BB0956" w:rsidRPr="002E4298" w:rsidRDefault="0038581D" w:rsidP="0038581D">
      <w:pPr>
        <w:pStyle w:val="SingleTxt"/>
        <w:tabs>
          <w:tab w:val="right" w:pos="1685"/>
        </w:tabs>
        <w:ind w:left="1742" w:hanging="475"/>
        <w:rPr>
          <w:lang w:val="fr-FR"/>
        </w:rPr>
      </w:pPr>
      <w:r w:rsidRPr="002E4298">
        <w:rPr>
          <w:lang w:val="fr-FR" w:bidi="fr-FR"/>
        </w:rPr>
        <w:tab/>
        <w:t>•</w:t>
      </w:r>
      <w:r w:rsidRPr="002E4298">
        <w:rPr>
          <w:lang w:val="fr-FR" w:bidi="fr-FR"/>
        </w:rPr>
        <w:tab/>
      </w:r>
      <w:r w:rsidR="00BB0956" w:rsidRPr="002E4298">
        <w:rPr>
          <w:lang w:val="fr-FR" w:bidi="fr-FR"/>
        </w:rPr>
        <w:t>durant l’année scolaire 2018/2019, les technologies de l’information et de la communication ont été introduites dans le programme scolaire en tant que matière obligatoire pour les élèves de la cinquième</w:t>
      </w:r>
      <w:r w:rsidR="00BB0956" w:rsidRPr="002E4298">
        <w:rPr>
          <w:vertAlign w:val="superscript"/>
          <w:lang w:val="fr-FR" w:bidi="fr-FR"/>
        </w:rPr>
        <w:t> </w:t>
      </w:r>
      <w:r w:rsidR="00BB0956" w:rsidRPr="002E4298">
        <w:rPr>
          <w:lang w:val="fr-FR" w:bidi="fr-FR"/>
        </w:rPr>
        <w:t>à la neuvième</w:t>
      </w:r>
      <w:r w:rsidR="00BB0956" w:rsidRPr="002E4298">
        <w:rPr>
          <w:vertAlign w:val="superscript"/>
          <w:lang w:val="fr-FR" w:bidi="fr-FR"/>
        </w:rPr>
        <w:t> </w:t>
      </w:r>
      <w:r w:rsidR="00BB0956" w:rsidRPr="002E4298">
        <w:rPr>
          <w:lang w:val="fr-FR" w:bidi="fr-FR"/>
        </w:rPr>
        <w:t>année, et en tant que matière transversale pour l’école primaire.</w:t>
      </w:r>
    </w:p>
    <w:p w14:paraId="24F2D822" w14:textId="29475702" w:rsidR="00BB0956" w:rsidRPr="002E4298" w:rsidRDefault="00BB0956" w:rsidP="00A11C35">
      <w:pPr>
        <w:pStyle w:val="SingleTxt"/>
        <w:numPr>
          <w:ilvl w:val="0"/>
          <w:numId w:val="6"/>
        </w:numPr>
        <w:spacing w:line="240" w:lineRule="exact"/>
        <w:rPr>
          <w:lang w:val="fr-FR"/>
        </w:rPr>
      </w:pPr>
      <w:r w:rsidRPr="002E4298">
        <w:rPr>
          <w:lang w:val="fr-FR" w:bidi="fr-FR"/>
        </w:rPr>
        <w:t>En 2016, le Gouvernement a mis en œuvre un programme pilote d’enseignement à distance, fondamental pour réduire la pénurie de formation et de compétences, notamment dans le domaine des technologies de l’information et de la communication, pour prévenir et combattre la ségrégation professionnelle fondée sur le sexe, destiné aux élèves du secondaire (10 et 11 ans, dans le domaine des sciences et des technologies) et aux étudiants du troisième</w:t>
      </w:r>
      <w:r w:rsidRPr="002E4298">
        <w:rPr>
          <w:vertAlign w:val="superscript"/>
          <w:lang w:val="fr-FR" w:bidi="fr-FR"/>
        </w:rPr>
        <w:t> </w:t>
      </w:r>
      <w:r w:rsidRPr="002E4298">
        <w:rPr>
          <w:lang w:val="fr-FR" w:bidi="fr-FR"/>
        </w:rPr>
        <w:t>cycle de l’éducation de base (cours professionnels).</w:t>
      </w:r>
    </w:p>
    <w:p w14:paraId="135A499A" w14:textId="30E1BD85" w:rsidR="00BB0956" w:rsidRPr="002E4298" w:rsidRDefault="00BB0956" w:rsidP="00A11C35">
      <w:pPr>
        <w:pStyle w:val="SingleTxt"/>
        <w:numPr>
          <w:ilvl w:val="0"/>
          <w:numId w:val="6"/>
        </w:numPr>
        <w:spacing w:line="240" w:lineRule="exact"/>
        <w:rPr>
          <w:lang w:val="fr-FR" w:bidi="fr-FR"/>
        </w:rPr>
      </w:pPr>
      <w:r w:rsidRPr="002E4298">
        <w:rPr>
          <w:lang w:val="fr-FR" w:bidi="fr-FR"/>
        </w:rPr>
        <w:t>En ce qui concerne la santé et les droits sexuels et reproductifs, le Ministère de la santé diffuse largement des informations sur la santé et les droits sexuels et reproductifs sur des sites Web et par d’autres moyens de communication.</w:t>
      </w:r>
    </w:p>
    <w:p w14:paraId="09C643BC" w14:textId="5F307054" w:rsidR="00BB0956" w:rsidRPr="002E4298" w:rsidRDefault="00BB0956" w:rsidP="00A11C35">
      <w:pPr>
        <w:pStyle w:val="SingleTxt"/>
        <w:numPr>
          <w:ilvl w:val="0"/>
          <w:numId w:val="6"/>
        </w:numPr>
        <w:spacing w:line="240" w:lineRule="exact"/>
        <w:rPr>
          <w:lang w:val="fr-FR"/>
        </w:rPr>
      </w:pPr>
      <w:r w:rsidRPr="002E4298">
        <w:rPr>
          <w:lang w:val="fr-FR" w:bidi="fr-FR"/>
        </w:rPr>
        <w:t>Des ONG, avec le soutien de la Direction générale de la santé, ont mis au point des ressources informatives et des programmes de prévention destinés aux groupes les plus vulnérables et les plus exposés, notamment les jeunes. Ces dernières années, le pourcentage d’adolescentes enceintes a diminué.</w:t>
      </w:r>
    </w:p>
    <w:p w14:paraId="16212BE9" w14:textId="60523EA0" w:rsidR="00BB0956" w:rsidRPr="002E4298" w:rsidRDefault="00BB0956" w:rsidP="00A11C35">
      <w:pPr>
        <w:pStyle w:val="SingleTxt"/>
        <w:numPr>
          <w:ilvl w:val="0"/>
          <w:numId w:val="6"/>
        </w:numPr>
        <w:spacing w:line="240" w:lineRule="exact"/>
        <w:rPr>
          <w:lang w:val="fr-FR"/>
        </w:rPr>
      </w:pPr>
      <w:r w:rsidRPr="002E4298">
        <w:rPr>
          <w:lang w:val="fr-FR" w:bidi="fr-FR"/>
        </w:rPr>
        <w:t>« Cuida-te » (Prends soin de toi) est un programme de l’Institut portugais de la jeunesse mis en œuvre en partenariat avec d’autres organismes publics et privés. Son principal objectif est d’intervenir dans le domaine de la santé des jeunes et de promouvoir des modes de vie sains. Le programme s’adresse aux jeunes âgés de 12 à 25 ans, aux enseignants, aux parents, aux responsables d’organisations de jeunesse, aux professionnels de la santé et aux autres acteurs de ce domaine. Il est axé sur l’éducation à la santé et sur la promotion globale et intégrée des connaissances et des compétences dans le domaine de la santé, en mettant en relation les différentes composantes de la santé : somatique, affective et psychosociale.</w:t>
      </w:r>
    </w:p>
    <w:p w14:paraId="119E4E5B" w14:textId="4E39607B" w:rsidR="00BB0956" w:rsidRPr="002E4298" w:rsidRDefault="00BB0956" w:rsidP="00A11C35">
      <w:pPr>
        <w:pStyle w:val="SingleTxt"/>
        <w:numPr>
          <w:ilvl w:val="0"/>
          <w:numId w:val="6"/>
        </w:numPr>
        <w:spacing w:line="240" w:lineRule="exact"/>
        <w:rPr>
          <w:lang w:val="fr-FR" w:bidi="fr-FR"/>
        </w:rPr>
      </w:pPr>
      <w:r w:rsidRPr="002E4298">
        <w:rPr>
          <w:lang w:val="fr-FR" w:bidi="fr-FR"/>
        </w:rPr>
        <w:t>L’éducation sexuelle est obligatoire à tous les niveaux d’enseignement et est mise en œuvre dans le cadre de projets mis au point par les établissements, de l’éducation préscolaire à la fin de l’enseignement secondaire.</w:t>
      </w:r>
    </w:p>
    <w:p w14:paraId="0130C231" w14:textId="0A373F28" w:rsidR="00BB0956" w:rsidRPr="002E4298" w:rsidRDefault="00BB0956" w:rsidP="00A11C35">
      <w:pPr>
        <w:pStyle w:val="SingleTxt"/>
        <w:numPr>
          <w:ilvl w:val="0"/>
          <w:numId w:val="6"/>
        </w:numPr>
        <w:spacing w:line="240" w:lineRule="exact"/>
        <w:rPr>
          <w:lang w:val="fr-FR"/>
        </w:rPr>
      </w:pPr>
      <w:r w:rsidRPr="002E4298">
        <w:rPr>
          <w:lang w:val="fr-FR" w:bidi="fr-FR"/>
        </w:rPr>
        <w:t>Les établissements disposent d’un bureau d’information et de soutien aux étudiants, où une équipe multidisciplinaire (composée de personnes issues des secteurs de l’éducation et de la santé) répond aux besoins recensés dans le domaine de la santé et de l’éducation sexuelle.</w:t>
      </w:r>
    </w:p>
    <w:p w14:paraId="5FD26D63" w14:textId="77777777" w:rsidR="0038581D" w:rsidRPr="002E4298" w:rsidRDefault="0038581D" w:rsidP="0038581D">
      <w:pPr>
        <w:pStyle w:val="SingleTxt"/>
        <w:spacing w:after="0" w:line="120" w:lineRule="exact"/>
        <w:rPr>
          <w:sz w:val="10"/>
          <w:lang w:val="fr-FR" w:bidi="fr-FR"/>
        </w:rPr>
      </w:pPr>
    </w:p>
    <w:p w14:paraId="46969011" w14:textId="26BB619B" w:rsidR="00BB0956" w:rsidRPr="002E4298" w:rsidRDefault="00BB0956" w:rsidP="0038581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2E4298">
        <w:rPr>
          <w:lang w:val="fr-FR" w:bidi="fr-FR"/>
        </w:rPr>
        <w:tab/>
        <w:t>13.</w:t>
      </w:r>
      <w:r w:rsidRPr="002E4298">
        <w:rPr>
          <w:lang w:val="fr-FR" w:bidi="fr-FR"/>
        </w:rPr>
        <w:tab/>
        <w:t>Emploi (paragraphes 34 et 35)</w:t>
      </w:r>
    </w:p>
    <w:p w14:paraId="7D9C4DB3" w14:textId="705DB66C" w:rsidR="0038581D" w:rsidRPr="002E4298" w:rsidRDefault="0038581D" w:rsidP="0038581D">
      <w:pPr>
        <w:pStyle w:val="SingleTxt"/>
        <w:spacing w:after="0" w:line="120" w:lineRule="exact"/>
        <w:rPr>
          <w:sz w:val="10"/>
          <w:lang w:val="fr-FR" w:bidi="fr-FR"/>
        </w:rPr>
      </w:pPr>
    </w:p>
    <w:p w14:paraId="1921B3D9" w14:textId="047E874D" w:rsidR="00BB0956" w:rsidRPr="002E4298" w:rsidRDefault="00BB0956" w:rsidP="00A11C35">
      <w:pPr>
        <w:pStyle w:val="SingleTxt"/>
        <w:numPr>
          <w:ilvl w:val="0"/>
          <w:numId w:val="6"/>
        </w:numPr>
        <w:spacing w:line="240" w:lineRule="exact"/>
        <w:rPr>
          <w:lang w:val="fr-FR"/>
        </w:rPr>
      </w:pPr>
      <w:r w:rsidRPr="002E4298">
        <w:rPr>
          <w:lang w:val="fr-FR" w:bidi="fr-FR"/>
        </w:rPr>
        <w:t>Au fil du temps, l’État portugais a mis en œuvre des mesures législatives et de politique publique visant à lutter contre les inégalités entre hommes et femmes qui subsistent dans tous les domaines, notamment sur le marché du travail.</w:t>
      </w:r>
    </w:p>
    <w:p w14:paraId="3CFD3857" w14:textId="05193712" w:rsidR="00BB0956" w:rsidRPr="002E4298" w:rsidRDefault="00BB0956" w:rsidP="00A11C35">
      <w:pPr>
        <w:pStyle w:val="SingleTxt"/>
        <w:numPr>
          <w:ilvl w:val="0"/>
          <w:numId w:val="6"/>
        </w:numPr>
        <w:spacing w:line="240" w:lineRule="exact"/>
        <w:rPr>
          <w:lang w:val="fr-FR"/>
        </w:rPr>
      </w:pPr>
      <w:r w:rsidRPr="002E4298">
        <w:rPr>
          <w:lang w:val="fr-FR" w:bidi="fr-FR"/>
        </w:rPr>
        <w:t>L’acquis juridique a donc continué d’être renforcé, notamment au moyen de l’adoption de lois, de décrets-lois et de résolutions par l’Assemblée de la République et le Gouvernement.</w:t>
      </w:r>
    </w:p>
    <w:p w14:paraId="59673766" w14:textId="33625374" w:rsidR="00BB0956" w:rsidRPr="002E4298" w:rsidRDefault="00BB0956" w:rsidP="00A11C35">
      <w:pPr>
        <w:pStyle w:val="SingleTxt"/>
        <w:numPr>
          <w:ilvl w:val="0"/>
          <w:numId w:val="6"/>
        </w:numPr>
        <w:spacing w:line="240" w:lineRule="exact"/>
        <w:rPr>
          <w:lang w:val="fr-FR"/>
        </w:rPr>
      </w:pPr>
      <w:r w:rsidRPr="002E4298">
        <w:rPr>
          <w:lang w:val="fr-FR" w:bidi="fr-FR"/>
        </w:rPr>
        <w:t>Au cours de la période de rapport, plusieurs actes législatifs ont été adoptés :</w:t>
      </w:r>
    </w:p>
    <w:p w14:paraId="67C51D11" w14:textId="7C3C1816" w:rsidR="00BB0956" w:rsidRPr="002E4298" w:rsidRDefault="0038581D" w:rsidP="0038581D">
      <w:pPr>
        <w:pStyle w:val="SingleTxt"/>
        <w:tabs>
          <w:tab w:val="right" w:pos="1685"/>
        </w:tabs>
        <w:ind w:left="1742" w:hanging="475"/>
        <w:rPr>
          <w:lang w:val="fr-FR"/>
        </w:rPr>
      </w:pPr>
      <w:r w:rsidRPr="002E4298">
        <w:rPr>
          <w:lang w:val="fr-FR" w:bidi="fr-FR"/>
        </w:rPr>
        <w:tab/>
        <w:t>•</w:t>
      </w:r>
      <w:r w:rsidRPr="002E4298">
        <w:rPr>
          <w:lang w:val="fr-FR" w:bidi="fr-FR"/>
        </w:rPr>
        <w:tab/>
      </w:r>
      <w:r w:rsidR="00BB0956" w:rsidRPr="002E4298">
        <w:rPr>
          <w:lang w:val="fr-FR" w:bidi="fr-FR"/>
        </w:rPr>
        <w:t xml:space="preserve">la loi nº 60/2018 du 21 août 2018 prévoit des mesures visant à promouvoir l’égalité salariale entre les femmes et les hommes pour un travail égal ou de valeur égale. Elle comprend quatre types de mécanismes qui permettent d’appliquer le principe de l’égalité salariale pour un travail égal ou de valeur </w:t>
      </w:r>
      <w:r w:rsidR="00BB0956" w:rsidRPr="002E4298">
        <w:rPr>
          <w:lang w:val="fr-FR" w:bidi="fr-FR"/>
        </w:rPr>
        <w:lastRenderedPageBreak/>
        <w:t>égale : premièrement, la disponibilité d’informations statistiques annuelles sur les différences de rémunération, par entreprise (bilan) et par secteur d’activité (baromètre) ; deuxièmement, l’obligation pour les entreprises de garantir une politique de rémunération transparente basée sur des critères objectifs et non discriminatoires ; troisièmement, lorsque des différences de rémunération sont détectées, l’obligation pour l’entreprise concernée de soumettre à l’Autorité pour les conditions de travail un plan d’évaluation de ces différences à mettre en œuvre pendant un an ; enfin, la possibilité pour tout travailleur de demander à la Commission pour l’égalité dans le travail et l’emploi d’émettre un avis sur l’existence ou non d’une discrimination salariale fondée sur le sexe ;</w:t>
      </w:r>
    </w:p>
    <w:p w14:paraId="0FF90D4A" w14:textId="2875059F" w:rsidR="00BB0956" w:rsidRPr="002E4298" w:rsidRDefault="0038581D" w:rsidP="0038581D">
      <w:pPr>
        <w:pStyle w:val="SingleTxt"/>
        <w:tabs>
          <w:tab w:val="right" w:pos="1685"/>
        </w:tabs>
        <w:ind w:left="1742" w:hanging="475"/>
        <w:rPr>
          <w:lang w:val="fr-FR"/>
        </w:rPr>
      </w:pPr>
      <w:r w:rsidRPr="002E4298">
        <w:rPr>
          <w:lang w:val="fr-FR" w:bidi="fr-FR"/>
        </w:rPr>
        <w:tab/>
        <w:t>•</w:t>
      </w:r>
      <w:r w:rsidRPr="002E4298">
        <w:rPr>
          <w:lang w:val="fr-FR" w:bidi="fr-FR"/>
        </w:rPr>
        <w:tab/>
      </w:r>
      <w:r w:rsidR="00BB0956" w:rsidRPr="002E4298">
        <w:rPr>
          <w:lang w:val="fr-FR" w:bidi="fr-FR"/>
        </w:rPr>
        <w:t>la résolution du Conseil des ministres (nº 72/2018 du 6 juin 2018, publiée au Journal officiel, série I, nº 108/2018, 06/06/2018) approuve le programme d’action visant à lutter contre la précarité et à promouvoir la négociation collective ;</w:t>
      </w:r>
    </w:p>
    <w:p w14:paraId="607F89E0" w14:textId="2C656188" w:rsidR="00BB0956" w:rsidRPr="002E4298" w:rsidRDefault="0038581D" w:rsidP="0038581D">
      <w:pPr>
        <w:pStyle w:val="SingleTxt"/>
        <w:tabs>
          <w:tab w:val="right" w:pos="1685"/>
        </w:tabs>
        <w:ind w:left="1742" w:hanging="475"/>
        <w:rPr>
          <w:lang w:val="fr-FR"/>
        </w:rPr>
      </w:pPr>
      <w:r w:rsidRPr="002E4298">
        <w:rPr>
          <w:lang w:val="fr-FR" w:bidi="fr-FR"/>
        </w:rPr>
        <w:tab/>
        <w:t>•</w:t>
      </w:r>
      <w:r w:rsidRPr="002E4298">
        <w:rPr>
          <w:lang w:val="fr-FR" w:bidi="fr-FR"/>
        </w:rPr>
        <w:tab/>
      </w:r>
      <w:r w:rsidR="00BB0956" w:rsidRPr="002E4298">
        <w:rPr>
          <w:lang w:val="fr-FR" w:bidi="fr-FR"/>
        </w:rPr>
        <w:t>l’ordonnance nº 84/2015 du 20 mars 2015, publiée au Journal officiel, série I, nº 56, 20/03/2015, instaure la promotion de l’égalité des genres</w:t>
      </w:r>
      <w:r w:rsidR="00BB0956" w:rsidRPr="002E4298" w:rsidDel="00535E0B">
        <w:rPr>
          <w:lang w:val="fr-FR" w:bidi="fr-FR"/>
        </w:rPr>
        <w:t xml:space="preserve"> </w:t>
      </w:r>
      <w:r w:rsidR="00BB0956" w:rsidRPr="002E4298">
        <w:rPr>
          <w:lang w:val="fr-FR" w:bidi="fr-FR"/>
        </w:rPr>
        <w:t>sur le marché du travail et régit sa mise en œuvre ;</w:t>
      </w:r>
    </w:p>
    <w:p w14:paraId="17D946D8" w14:textId="485B5DCC" w:rsidR="00BB0956" w:rsidRPr="002E4298" w:rsidRDefault="0038581D" w:rsidP="0038581D">
      <w:pPr>
        <w:pStyle w:val="SingleTxt"/>
        <w:tabs>
          <w:tab w:val="right" w:pos="1685"/>
        </w:tabs>
        <w:ind w:left="1742" w:hanging="475"/>
        <w:rPr>
          <w:lang w:val="fr-FR"/>
        </w:rPr>
      </w:pPr>
      <w:r w:rsidRPr="002E4298">
        <w:rPr>
          <w:lang w:val="fr-FR" w:bidi="fr-FR"/>
        </w:rPr>
        <w:tab/>
        <w:t>•</w:t>
      </w:r>
      <w:r w:rsidRPr="002E4298">
        <w:rPr>
          <w:lang w:val="fr-FR" w:bidi="fr-FR"/>
        </w:rPr>
        <w:tab/>
      </w:r>
      <w:r w:rsidR="00BB0956" w:rsidRPr="002E4298">
        <w:rPr>
          <w:lang w:val="fr-FR" w:bidi="fr-FR"/>
        </w:rPr>
        <w:t>la loi nº 62/2017, la loi nº 26/2019 et la loi organique nº 1/2019 prévoient la représentation équilibrée des femmes et des hommes aux postes de prise de décision des entreprises publiques et des sociétés cotées en bourse, de l’administration publique, des établissements publics d’enseignement supérieur et des associations publiques, ainsi que sur les listes électorales des élections au Parlement national et au Parlement européen, au sein des instances élues des municipalités et parmi les membres des conseils paroissiaux (voir la section sur les mesures temporaires spéciales) ;</w:t>
      </w:r>
    </w:p>
    <w:p w14:paraId="057F989A" w14:textId="742A2835" w:rsidR="00BB0956" w:rsidRPr="002E4298" w:rsidRDefault="0038581D" w:rsidP="0038581D">
      <w:pPr>
        <w:pStyle w:val="SingleTxt"/>
        <w:tabs>
          <w:tab w:val="right" w:pos="1685"/>
        </w:tabs>
        <w:ind w:left="1742" w:hanging="475"/>
        <w:rPr>
          <w:lang w:val="fr-FR"/>
        </w:rPr>
      </w:pPr>
      <w:r w:rsidRPr="002E4298">
        <w:rPr>
          <w:lang w:val="fr-FR" w:bidi="fr-FR"/>
        </w:rPr>
        <w:tab/>
        <w:t>•</w:t>
      </w:r>
      <w:r w:rsidRPr="002E4298">
        <w:rPr>
          <w:lang w:val="fr-FR" w:bidi="fr-FR"/>
        </w:rPr>
        <w:tab/>
      </w:r>
      <w:r w:rsidR="00BB0956" w:rsidRPr="002E4298">
        <w:rPr>
          <w:lang w:val="fr-FR" w:bidi="fr-FR"/>
        </w:rPr>
        <w:t>le régime de prestations parentale (maternité, paternité et adoption) a été modifié pendant la période de rapport par la loi nº 120/2015 du 1</w:t>
      </w:r>
      <w:r w:rsidR="00BB0956" w:rsidRPr="002E4298">
        <w:rPr>
          <w:vertAlign w:val="superscript"/>
          <w:lang w:val="fr-FR" w:bidi="fr-FR"/>
        </w:rPr>
        <w:t>er </w:t>
      </w:r>
      <w:r w:rsidR="00BB0956" w:rsidRPr="002E4298">
        <w:rPr>
          <w:lang w:val="fr-FR" w:bidi="fr-FR"/>
        </w:rPr>
        <w:t>septembre 2015, publiée au Journal officiel, série I, nº 170, 09/09/2015, qui est venue renforcer les droits liés à la maternité et à la paternité.</w:t>
      </w:r>
    </w:p>
    <w:p w14:paraId="0B0DEE0B" w14:textId="105575F0" w:rsidR="00BB0956" w:rsidRPr="002E4298" w:rsidRDefault="0038581D" w:rsidP="0038581D">
      <w:pPr>
        <w:pStyle w:val="SingleTxt"/>
        <w:tabs>
          <w:tab w:val="right" w:pos="1685"/>
        </w:tabs>
        <w:ind w:left="1742" w:hanging="475"/>
        <w:rPr>
          <w:lang w:val="fr-FR"/>
        </w:rPr>
      </w:pPr>
      <w:r w:rsidRPr="002E4298">
        <w:rPr>
          <w:lang w:val="fr-FR" w:bidi="fr-FR"/>
        </w:rPr>
        <w:tab/>
        <w:t>•</w:t>
      </w:r>
      <w:r w:rsidRPr="002E4298">
        <w:rPr>
          <w:lang w:val="fr-FR" w:bidi="fr-FR"/>
        </w:rPr>
        <w:tab/>
      </w:r>
      <w:r w:rsidR="00BB0956" w:rsidRPr="002E4298">
        <w:rPr>
          <w:lang w:val="fr-FR" w:bidi="fr-FR"/>
        </w:rPr>
        <w:t>Outre les mesures visant à améliorer le régime des congés parentaux en introduisant la possibilité pour le père et la mère de bénéficier simultanément du congé parental initial, lorsqu’il est partagé, cette loi a établi l’obligation d’accorder au père un congé de paternité initial plus long. Le père se voit accorder une période obligatoire de 15 jours ouvrables (contre 10 jours auparavant), consécutifs ou non, dont cinq jours consécutifs doivent être pris immédiatement après la naissance et les 10 autres dans les 30 jours suivant la naissance ;</w:t>
      </w:r>
    </w:p>
    <w:p w14:paraId="3071C1E9" w14:textId="399A3541" w:rsidR="00BB0956" w:rsidRPr="002E4298" w:rsidRDefault="0038581D" w:rsidP="0038581D">
      <w:pPr>
        <w:pStyle w:val="SingleTxt"/>
        <w:tabs>
          <w:tab w:val="right" w:pos="1685"/>
        </w:tabs>
        <w:ind w:left="1742" w:hanging="475"/>
        <w:rPr>
          <w:lang w:val="fr-FR"/>
        </w:rPr>
      </w:pPr>
      <w:r w:rsidRPr="002E4298">
        <w:rPr>
          <w:lang w:val="fr-FR" w:bidi="fr-FR"/>
        </w:rPr>
        <w:tab/>
        <w:t>•</w:t>
      </w:r>
      <w:r w:rsidRPr="002E4298">
        <w:rPr>
          <w:lang w:val="fr-FR" w:bidi="fr-FR"/>
        </w:rPr>
        <w:tab/>
      </w:r>
      <w:r w:rsidR="00BB0956" w:rsidRPr="002E4298">
        <w:rPr>
          <w:lang w:val="fr-FR" w:bidi="fr-FR"/>
        </w:rPr>
        <w:t>la loi nº 137/2015 du 7 septembre 2015, publiée au Journal officiel, série I, nº 174, 07/09/2015, modifie le Code civil, adopté au moyen du décret-loi nº 47 344 du 25 novembre 1966, en ce qui concerne les modalités d’exercice des responsabilités parentales ;</w:t>
      </w:r>
    </w:p>
    <w:p w14:paraId="1728DE0A" w14:textId="6BF9D9E0" w:rsidR="00BB0956" w:rsidRPr="002E4298" w:rsidRDefault="0038581D" w:rsidP="0038581D">
      <w:pPr>
        <w:pStyle w:val="SingleTxt"/>
        <w:tabs>
          <w:tab w:val="right" w:pos="1685"/>
        </w:tabs>
        <w:ind w:left="1742" w:hanging="475"/>
        <w:rPr>
          <w:lang w:val="fr-FR"/>
        </w:rPr>
      </w:pPr>
      <w:r w:rsidRPr="002E4298">
        <w:rPr>
          <w:lang w:val="fr-FR" w:bidi="fr-FR"/>
        </w:rPr>
        <w:tab/>
        <w:t>•</w:t>
      </w:r>
      <w:r w:rsidRPr="002E4298">
        <w:rPr>
          <w:lang w:val="fr-FR" w:bidi="fr-FR"/>
        </w:rPr>
        <w:tab/>
      </w:r>
      <w:r w:rsidR="00BB0956" w:rsidRPr="002E4298">
        <w:rPr>
          <w:lang w:val="fr-FR" w:bidi="fr-FR"/>
        </w:rPr>
        <w:t>la loi nº 133/2015 du 7 septembre 2015, publiée au Journal officiel,, série I, nº 174, 07/09/2015, crée un mécanisme de protection des travailleuses enceintes, qui ont récemment accouchées ou sont allaitantes ;</w:t>
      </w:r>
    </w:p>
    <w:p w14:paraId="15DAE9AC" w14:textId="6B28495A" w:rsidR="00BB0956" w:rsidRPr="002E4298" w:rsidRDefault="0038581D" w:rsidP="0038581D">
      <w:pPr>
        <w:pStyle w:val="SingleTxt"/>
        <w:tabs>
          <w:tab w:val="right" w:pos="1685"/>
        </w:tabs>
        <w:ind w:left="1742" w:hanging="475"/>
        <w:rPr>
          <w:lang w:val="fr-FR"/>
        </w:rPr>
      </w:pPr>
      <w:r w:rsidRPr="002E4298">
        <w:rPr>
          <w:lang w:val="fr-FR" w:bidi="fr-FR"/>
        </w:rPr>
        <w:tab/>
        <w:t>•</w:t>
      </w:r>
      <w:r w:rsidRPr="002E4298">
        <w:rPr>
          <w:lang w:val="fr-FR" w:bidi="fr-FR"/>
        </w:rPr>
        <w:tab/>
      </w:r>
      <w:r w:rsidR="00BB0956" w:rsidRPr="002E4298">
        <w:rPr>
          <w:lang w:val="fr-FR" w:bidi="fr-FR"/>
        </w:rPr>
        <w:t xml:space="preserve">Le décret-loi nº 53/2018 du 2 juillet 2018 a étendu aux travailleurs indépendants deux prestations qui faisaient partie du régime de protection sociale des salariés, harmonisant ainsi la protection offerte par les deux régimes. Les deux prestations concernées sont l’allocation pour enfant à charge (pour aider les enfants en cas de maladie ou d’accident) et l’allocation pour petit-enfant à </w:t>
      </w:r>
      <w:r w:rsidR="00BB0956" w:rsidRPr="002E4298">
        <w:rPr>
          <w:lang w:val="fr-FR" w:bidi="fr-FR"/>
        </w:rPr>
        <w:lastRenderedPageBreak/>
        <w:t>charge (pour fournir une assistance après la naissance d’un petit-enfant ou pour s’occuper d’un petit-enfant) ;</w:t>
      </w:r>
    </w:p>
    <w:p w14:paraId="0A431C44" w14:textId="0392FFF4" w:rsidR="00BB0956" w:rsidRPr="002E4298" w:rsidRDefault="0038581D" w:rsidP="0038581D">
      <w:pPr>
        <w:pStyle w:val="SingleTxt"/>
        <w:tabs>
          <w:tab w:val="right" w:pos="1685"/>
        </w:tabs>
        <w:ind w:left="1742" w:hanging="475"/>
        <w:rPr>
          <w:lang w:val="fr-FR"/>
        </w:rPr>
      </w:pPr>
      <w:r w:rsidRPr="002E4298">
        <w:rPr>
          <w:lang w:val="fr-FR" w:bidi="fr-FR"/>
        </w:rPr>
        <w:tab/>
        <w:t>•</w:t>
      </w:r>
      <w:r w:rsidRPr="002E4298">
        <w:rPr>
          <w:lang w:val="fr-FR" w:bidi="fr-FR"/>
        </w:rPr>
        <w:tab/>
      </w:r>
      <w:r w:rsidR="00BB0956" w:rsidRPr="002E4298">
        <w:rPr>
          <w:lang w:val="fr-FR" w:bidi="fr-FR"/>
        </w:rPr>
        <w:t>la loi nº 90/2019 du 4 septembre 2019 :</w:t>
      </w:r>
    </w:p>
    <w:p w14:paraId="4BA019B2" w14:textId="3971E9AA" w:rsidR="00BB0956" w:rsidRPr="002E4298" w:rsidRDefault="0038581D" w:rsidP="0038581D">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2E4298">
        <w:rPr>
          <w:rFonts w:ascii="Symbol" w:hAnsi="Symbol"/>
          <w:sz w:val="14"/>
          <w:lang w:val="fr-FR"/>
        </w:rPr>
        <w:tab/>
      </w:r>
      <w:r w:rsidR="00BB0956" w:rsidRPr="002E4298">
        <w:rPr>
          <w:rFonts w:ascii="Symbol" w:hAnsi="Symbol"/>
          <w:sz w:val="14"/>
          <w:lang w:val="fr-FR"/>
        </w:rPr>
        <w:t></w:t>
      </w:r>
      <w:r w:rsidR="00BB0956" w:rsidRPr="002E4298">
        <w:rPr>
          <w:rFonts w:ascii="Symbol" w:hAnsi="Symbol"/>
          <w:sz w:val="14"/>
          <w:lang w:val="fr-FR"/>
        </w:rPr>
        <w:tab/>
      </w:r>
      <w:r w:rsidR="00BB0956" w:rsidRPr="002E4298">
        <w:rPr>
          <w:lang w:val="fr-FR" w:bidi="fr-FR"/>
        </w:rPr>
        <w:t>prévoit, en cas d’hospitalisation du nouveau-né après la naissance, que le congé parental est prolongé pour la période d’hospitalisation jusqu’à un maximum de 30 jours ou pour l’intégralité de la période d’hospitalisation si la naissance a lieu avant ou à la 33</w:t>
      </w:r>
      <w:r w:rsidR="00BB0956" w:rsidRPr="002E4298">
        <w:rPr>
          <w:vertAlign w:val="superscript"/>
          <w:lang w:val="fr-FR" w:bidi="fr-FR"/>
        </w:rPr>
        <w:t>e </w:t>
      </w:r>
      <w:r w:rsidR="00BB0956" w:rsidRPr="002E4298">
        <w:rPr>
          <w:lang w:val="fr-FR" w:bidi="fr-FR"/>
        </w:rPr>
        <w:t>semaine. Dans tous les cas où la naissance a lieu avant ou à la 33</w:t>
      </w:r>
      <w:r w:rsidR="00BB0956" w:rsidRPr="002E4298">
        <w:rPr>
          <w:vertAlign w:val="superscript"/>
          <w:lang w:val="fr-FR" w:bidi="fr-FR"/>
        </w:rPr>
        <w:t>e </w:t>
      </w:r>
      <w:r w:rsidR="00BB0956" w:rsidRPr="002E4298">
        <w:rPr>
          <w:lang w:val="fr-FR" w:bidi="fr-FR"/>
        </w:rPr>
        <w:t>semaine, le congé parental est prolongé de 30 jours supplémentaires, mesure devant entrer en vigueur avec le budget de l’État pour 2020,</w:t>
      </w:r>
    </w:p>
    <w:p w14:paraId="580695F5" w14:textId="621DF72C" w:rsidR="00BB0956" w:rsidRPr="002E4298" w:rsidRDefault="0038581D" w:rsidP="0038581D">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2E4298">
        <w:rPr>
          <w:rFonts w:ascii="Symbol" w:hAnsi="Symbol"/>
          <w:sz w:val="14"/>
          <w:lang w:val="fr-FR"/>
        </w:rPr>
        <w:tab/>
      </w:r>
      <w:r w:rsidR="00BB0956" w:rsidRPr="002E4298">
        <w:rPr>
          <w:rFonts w:ascii="Symbol" w:hAnsi="Symbol"/>
          <w:sz w:val="14"/>
          <w:lang w:val="fr-FR"/>
        </w:rPr>
        <w:t></w:t>
      </w:r>
      <w:r w:rsidR="00BB0956" w:rsidRPr="002E4298">
        <w:rPr>
          <w:rFonts w:ascii="Symbol" w:hAnsi="Symbol"/>
          <w:sz w:val="14"/>
          <w:lang w:val="fr-FR"/>
        </w:rPr>
        <w:tab/>
      </w:r>
      <w:r w:rsidR="00BB0956" w:rsidRPr="002E4298">
        <w:rPr>
          <w:lang w:val="fr-FR" w:bidi="fr-FR"/>
        </w:rPr>
        <w:t>augmente (de 15) à 20 jours obligatoires le congé de paternité, mesure devant entrer en vigueur avec le budget de l’État pour 2020,</w:t>
      </w:r>
    </w:p>
    <w:p w14:paraId="0FB3BF1C" w14:textId="32A039B6" w:rsidR="00BB0956" w:rsidRPr="002E4298" w:rsidRDefault="0038581D" w:rsidP="0038581D">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2E4298">
        <w:rPr>
          <w:rFonts w:ascii="Symbol" w:hAnsi="Symbol"/>
          <w:sz w:val="14"/>
          <w:lang w:val="fr-FR"/>
        </w:rPr>
        <w:tab/>
      </w:r>
      <w:r w:rsidR="00BB0956" w:rsidRPr="002E4298">
        <w:rPr>
          <w:rFonts w:ascii="Symbol" w:hAnsi="Symbol"/>
          <w:sz w:val="14"/>
          <w:lang w:val="fr-FR"/>
        </w:rPr>
        <w:t></w:t>
      </w:r>
      <w:r w:rsidR="00BB0956" w:rsidRPr="002E4298">
        <w:rPr>
          <w:rFonts w:ascii="Symbol" w:hAnsi="Symbol"/>
          <w:sz w:val="14"/>
          <w:lang w:val="fr-FR"/>
        </w:rPr>
        <w:tab/>
      </w:r>
      <w:r w:rsidR="00BB0956" w:rsidRPr="002E4298">
        <w:rPr>
          <w:lang w:val="fr-FR" w:bidi="fr-FR"/>
        </w:rPr>
        <w:t>interdit la discrimination fondée sur la jouissance des droits liés à la maternité et à la paternité, y compris concernant la rémunération et la progression de carrière,</w:t>
      </w:r>
    </w:p>
    <w:p w14:paraId="7DB7463F" w14:textId="47D2D614" w:rsidR="00BB0956" w:rsidRPr="002E4298" w:rsidRDefault="0038581D" w:rsidP="0038581D">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2E4298">
        <w:rPr>
          <w:rFonts w:ascii="Symbol" w:hAnsi="Symbol"/>
          <w:sz w:val="14"/>
          <w:lang w:val="fr-FR"/>
        </w:rPr>
        <w:tab/>
      </w:r>
      <w:r w:rsidR="00BB0956" w:rsidRPr="002E4298">
        <w:rPr>
          <w:rFonts w:ascii="Symbol" w:hAnsi="Symbol"/>
          <w:sz w:val="14"/>
          <w:lang w:val="fr-FR"/>
        </w:rPr>
        <w:t></w:t>
      </w:r>
      <w:r w:rsidR="00BB0956" w:rsidRPr="002E4298">
        <w:rPr>
          <w:rFonts w:ascii="Symbol" w:hAnsi="Symbol"/>
          <w:sz w:val="14"/>
          <w:lang w:val="fr-FR"/>
        </w:rPr>
        <w:tab/>
      </w:r>
      <w:r w:rsidR="00BB0956" w:rsidRPr="002E4298">
        <w:rPr>
          <w:lang w:val="fr-FR" w:bidi="fr-FR"/>
        </w:rPr>
        <w:t>établit que, pendant la période d’essai, l’employeur est tenu de communiquer à la Commission pour l’égalité dans le travail et l’emploi la résiliation du contrat de travail des travailleuses enceintes, qui ont récemment accouchées ou sont allaitantes ou des travailleurs et travailleuses en congé parental, dans un délai de cinq jours ouvrables,</w:t>
      </w:r>
    </w:p>
    <w:p w14:paraId="7B0EDE1D" w14:textId="7E6BAABB" w:rsidR="00BB0956" w:rsidRPr="002E4298" w:rsidRDefault="0038581D" w:rsidP="0038581D">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2E4298">
        <w:rPr>
          <w:rFonts w:ascii="Symbol" w:hAnsi="Symbol"/>
          <w:sz w:val="14"/>
          <w:lang w:val="fr-FR"/>
        </w:rPr>
        <w:tab/>
      </w:r>
      <w:r w:rsidR="00BB0956" w:rsidRPr="002E4298">
        <w:rPr>
          <w:rFonts w:ascii="Symbol" w:hAnsi="Symbol"/>
          <w:sz w:val="14"/>
          <w:lang w:val="fr-FR"/>
        </w:rPr>
        <w:t></w:t>
      </w:r>
      <w:r w:rsidR="00BB0956" w:rsidRPr="002E4298">
        <w:rPr>
          <w:rFonts w:ascii="Symbol" w:hAnsi="Symbol"/>
          <w:sz w:val="14"/>
          <w:lang w:val="fr-FR"/>
        </w:rPr>
        <w:tab/>
      </w:r>
      <w:r w:rsidR="00BB0956" w:rsidRPr="002E4298">
        <w:rPr>
          <w:lang w:val="fr-FR" w:bidi="fr-FR"/>
        </w:rPr>
        <w:t>prévoit que l’employeur est tenu de communiquer à la Commission pour l’égalité dans le travail et l’emploi les raisons du non-renouvellement des contrats à durée déterminée des travailleuses enceintes, qui ont récemment accouchées ou sont allaitantes ou des travailleurs et travailleuses en congé parental, dans les cinq jours ouvrables précédant le préavis.</w:t>
      </w:r>
    </w:p>
    <w:p w14:paraId="27127F6E" w14:textId="77777777" w:rsidR="0038581D" w:rsidRPr="002E4298" w:rsidRDefault="0038581D" w:rsidP="0038581D">
      <w:pPr>
        <w:pStyle w:val="SingleTxt"/>
        <w:spacing w:after="0" w:line="120" w:lineRule="exact"/>
        <w:rPr>
          <w:sz w:val="10"/>
          <w:lang w:val="fr-FR" w:bidi="fr-FR"/>
        </w:rPr>
      </w:pPr>
    </w:p>
    <w:p w14:paraId="046BE8DD" w14:textId="0BAF5C41" w:rsidR="00BB0956" w:rsidRPr="002E4298" w:rsidRDefault="00BB0956" w:rsidP="0038581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2E4298">
        <w:rPr>
          <w:lang w:val="fr-FR" w:bidi="fr-FR"/>
        </w:rPr>
        <w:tab/>
      </w:r>
      <w:r w:rsidRPr="002E4298">
        <w:rPr>
          <w:lang w:val="fr-FR" w:bidi="fr-FR"/>
        </w:rPr>
        <w:tab/>
        <w:t>Équilibre entre vie professionnelle et vie privée</w:t>
      </w:r>
    </w:p>
    <w:p w14:paraId="6172F36A" w14:textId="11F1267E" w:rsidR="0038581D" w:rsidRPr="002E4298" w:rsidRDefault="0038581D" w:rsidP="0038581D">
      <w:pPr>
        <w:pStyle w:val="SingleTxt"/>
        <w:spacing w:after="0" w:line="120" w:lineRule="exact"/>
        <w:rPr>
          <w:sz w:val="10"/>
          <w:lang w:val="fr-FR" w:bidi="fr-FR"/>
        </w:rPr>
      </w:pPr>
    </w:p>
    <w:p w14:paraId="3AD1102C" w14:textId="5E285F88" w:rsidR="00BB0956" w:rsidRPr="002E4298" w:rsidRDefault="00BB0956" w:rsidP="00A11C35">
      <w:pPr>
        <w:pStyle w:val="SingleTxt"/>
        <w:numPr>
          <w:ilvl w:val="0"/>
          <w:numId w:val="6"/>
        </w:numPr>
        <w:spacing w:line="240" w:lineRule="exact"/>
        <w:rPr>
          <w:lang w:val="fr-FR" w:bidi="fr-FR"/>
        </w:rPr>
      </w:pPr>
      <w:r w:rsidRPr="002E4298">
        <w:rPr>
          <w:lang w:val="fr-FR" w:bidi="fr-FR"/>
        </w:rPr>
        <w:t>En décembre 2018, le Gouvernement a lancé un programme novateur de conciliation entre vie professionnelle et vie privée (</w:t>
      </w:r>
      <w:r w:rsidRPr="002E4298">
        <w:rPr>
          <w:i/>
          <w:lang w:val="fr-FR" w:bidi="fr-FR"/>
        </w:rPr>
        <w:t>3 em Linha - Programa para a Conciliação da Vida Profissional, Pessoal e Familiar 2018-2019)</w:t>
      </w:r>
      <w:r w:rsidRPr="002E4298">
        <w:rPr>
          <w:lang w:val="fr-FR" w:bidi="fr-FR"/>
        </w:rPr>
        <w:t xml:space="preserve"> visant à favoriser les conditions permettant aux femmes et aux hommes de concilier vie professionnelle, vie privée et vie familiale. Il comporte quatre axes (regroupant un total de 33 mesures) : la promotion de pratiques favorables à l’équilibre entre vie professionnelle et vie privée dans les organisations privées et publiques, y compris grâce au dialogue avec les partenaires sociaux, l’élaboration de mesures spécifiques dans l’administration publique, l’amélioration des infrastructures, des services et des mesures d’incitation dans les secteurs des soins, de l’éducation, du transport et de la santé, et la production de connaissances.</w:t>
      </w:r>
    </w:p>
    <w:p w14:paraId="01663012" w14:textId="4DE5CECE" w:rsidR="00BB0956" w:rsidRPr="002E4298" w:rsidRDefault="00BB0956" w:rsidP="00A11C35">
      <w:pPr>
        <w:pStyle w:val="SingleTxt"/>
        <w:numPr>
          <w:ilvl w:val="0"/>
          <w:numId w:val="6"/>
        </w:numPr>
        <w:spacing w:line="240" w:lineRule="exact"/>
        <w:rPr>
          <w:lang w:val="fr-FR" w:bidi="fr-FR"/>
        </w:rPr>
      </w:pPr>
      <w:r w:rsidRPr="002E4298">
        <w:rPr>
          <w:lang w:val="fr-FR" w:bidi="fr-FR"/>
        </w:rPr>
        <w:t>Il s’agit d’un programme intersectoriel qui associe des acteurs publics et privés afin de mettre en œuvre des actions très concrètes. Dans ce cadre, il convient de souligner les éléments suivants :</w:t>
      </w:r>
    </w:p>
    <w:p w14:paraId="484ECBF9" w14:textId="0DC43A2A" w:rsidR="00BB0956" w:rsidRPr="002E4298" w:rsidRDefault="0038581D" w:rsidP="0038581D">
      <w:pPr>
        <w:pStyle w:val="SingleTxt"/>
        <w:tabs>
          <w:tab w:val="right" w:pos="1685"/>
        </w:tabs>
        <w:ind w:left="1742" w:hanging="475"/>
        <w:rPr>
          <w:lang w:val="fr-FR"/>
        </w:rPr>
      </w:pPr>
      <w:r w:rsidRPr="002E4298">
        <w:rPr>
          <w:lang w:val="fr-FR" w:bidi="fr-FR"/>
        </w:rPr>
        <w:tab/>
        <w:t>•</w:t>
      </w:r>
      <w:r w:rsidRPr="002E4298">
        <w:rPr>
          <w:lang w:val="fr-FR" w:bidi="fr-FR"/>
        </w:rPr>
        <w:tab/>
      </w:r>
      <w:r w:rsidR="00BB0956" w:rsidRPr="002E4298">
        <w:rPr>
          <w:lang w:val="fr-FR" w:bidi="fr-FR"/>
        </w:rPr>
        <w:t>le projet intitulé</w:t>
      </w:r>
      <w:r w:rsidR="00BB0956" w:rsidRPr="002E4298">
        <w:rPr>
          <w:i/>
          <w:lang w:val="fr-FR" w:bidi="fr-FR"/>
        </w:rPr>
        <w:t xml:space="preserve"> « Pacto para a conciliação »</w:t>
      </w:r>
      <w:r w:rsidR="00BB0956" w:rsidRPr="002E4298">
        <w:rPr>
          <w:lang w:val="fr-FR" w:bidi="fr-FR"/>
        </w:rPr>
        <w:t xml:space="preserve"> (Pacte pour la conciliation) réunit des organisations publiques et privées (actuellement 58 organisations, et ce nombre continue de croître) qui s’engagent volontairement à mettre en œuvre et à certifier un système de gestion de l’équilibre entre vie professionnelle et vie privée selon la norme portugaise</w:t>
      </w:r>
      <w:r w:rsidRPr="002E4298">
        <w:rPr>
          <w:lang w:val="fr-FR" w:bidi="fr-FR"/>
        </w:rPr>
        <w:t xml:space="preserve"> </w:t>
      </w:r>
      <w:r w:rsidR="00BB0956" w:rsidRPr="002E4298">
        <w:rPr>
          <w:lang w:val="fr-FR" w:bidi="fr-FR"/>
        </w:rPr>
        <w:t>NP 4552:2016. Il s’agit notamment d’organismes de l’administration publique centrale et locale, d’entreprises publiques et d’entreprises privées. En moins d’un an, neuf organisations ont déjà été certifiées par des organismes de certification indépendants agréés ;</w:t>
      </w:r>
    </w:p>
    <w:p w14:paraId="11F3FA75" w14:textId="38787905" w:rsidR="00BB0956" w:rsidRPr="002E4298" w:rsidRDefault="0038581D" w:rsidP="0038581D">
      <w:pPr>
        <w:pStyle w:val="SingleTxt"/>
        <w:tabs>
          <w:tab w:val="right" w:pos="1685"/>
        </w:tabs>
        <w:ind w:left="1742" w:hanging="475"/>
        <w:rPr>
          <w:lang w:val="fr-FR"/>
        </w:rPr>
      </w:pPr>
      <w:r w:rsidRPr="002E4298">
        <w:rPr>
          <w:lang w:val="fr-FR" w:bidi="fr-FR"/>
        </w:rPr>
        <w:lastRenderedPageBreak/>
        <w:tab/>
        <w:t>•</w:t>
      </w:r>
      <w:r w:rsidRPr="002E4298">
        <w:rPr>
          <w:lang w:val="fr-FR" w:bidi="fr-FR"/>
        </w:rPr>
        <w:tab/>
      </w:r>
      <w:r w:rsidR="00BB0956" w:rsidRPr="002E4298">
        <w:rPr>
          <w:lang w:val="fr-FR" w:bidi="fr-FR"/>
        </w:rPr>
        <w:t>en 2019, le Gouvernement a lancé deux lignes de financement pour soutenir les petites et moyennes entreprises (PME) et les organismes de l’administration publique dans la mise en œuvre et la certification de ce système de gestion de l’équilibre entre vie professionnelle et vie privée, dans le cadre de la norme</w:t>
      </w:r>
      <w:r w:rsidRPr="002E4298">
        <w:rPr>
          <w:lang w:val="fr-FR" w:bidi="fr-FR"/>
        </w:rPr>
        <w:t xml:space="preserve"> </w:t>
      </w:r>
      <w:r w:rsidR="00BB0956" w:rsidRPr="002E4298">
        <w:rPr>
          <w:lang w:val="fr-FR" w:bidi="fr-FR"/>
        </w:rPr>
        <w:t>NP 4552:2016, pour un total de 31,5 millions d’euros ;</w:t>
      </w:r>
    </w:p>
    <w:p w14:paraId="57DC2821" w14:textId="52C12928" w:rsidR="00BB0956" w:rsidRPr="002E4298" w:rsidRDefault="0038581D" w:rsidP="0038581D">
      <w:pPr>
        <w:pStyle w:val="SingleTxt"/>
        <w:tabs>
          <w:tab w:val="right" w:pos="1685"/>
        </w:tabs>
        <w:ind w:left="1742" w:hanging="475"/>
        <w:rPr>
          <w:lang w:val="fr-FR"/>
        </w:rPr>
      </w:pPr>
      <w:r w:rsidRPr="002E4298">
        <w:rPr>
          <w:lang w:val="fr-FR" w:bidi="fr-FR"/>
        </w:rPr>
        <w:tab/>
        <w:t>•</w:t>
      </w:r>
      <w:r w:rsidRPr="002E4298">
        <w:rPr>
          <w:lang w:val="fr-FR" w:bidi="fr-FR"/>
        </w:rPr>
        <w:tab/>
      </w:r>
      <w:r w:rsidR="00BB0956" w:rsidRPr="002E4298">
        <w:rPr>
          <w:lang w:val="fr-FR" w:bidi="fr-FR"/>
        </w:rPr>
        <w:t>sur proposition du Gouvernement, les partenaires sociaux sont convenus de créer le premier groupe de travail chargé d’élaborer des mesures pour l’équilibre entre vie professionnelle et vie privée en 2019 et 2020 ;</w:t>
      </w:r>
    </w:p>
    <w:p w14:paraId="33FC5AB9" w14:textId="2B8D2E8A" w:rsidR="00BB0956" w:rsidRPr="002E4298" w:rsidRDefault="0038581D" w:rsidP="0038581D">
      <w:pPr>
        <w:pStyle w:val="SingleTxt"/>
        <w:tabs>
          <w:tab w:val="right" w:pos="1685"/>
        </w:tabs>
        <w:ind w:left="1742" w:hanging="475"/>
        <w:rPr>
          <w:lang w:val="fr-FR"/>
        </w:rPr>
      </w:pPr>
      <w:r w:rsidRPr="002E4298">
        <w:rPr>
          <w:lang w:val="fr-FR" w:bidi="fr-FR"/>
        </w:rPr>
        <w:tab/>
        <w:t>•</w:t>
      </w:r>
      <w:r w:rsidRPr="002E4298">
        <w:rPr>
          <w:lang w:val="fr-FR" w:bidi="fr-FR"/>
        </w:rPr>
        <w:tab/>
      </w:r>
      <w:r w:rsidR="00BB0956" w:rsidRPr="002E4298">
        <w:rPr>
          <w:lang w:val="fr-FR" w:bidi="fr-FR"/>
        </w:rPr>
        <w:t>le nombre de jours obligatoires du congé de paternité a augmenté, passant de 15</w:t>
      </w:r>
      <w:r w:rsidR="0055179F">
        <w:rPr>
          <w:lang w:val="fr-FR" w:bidi="fr-FR"/>
        </w:rPr>
        <w:t> </w:t>
      </w:r>
      <w:r w:rsidR="00BB0956" w:rsidRPr="002E4298">
        <w:rPr>
          <w:lang w:val="fr-FR" w:bidi="fr-FR"/>
        </w:rPr>
        <w:t>à 20 jours (voir les dispositions de la loi nº 90/2019 du 4 septembre 2019 ci</w:t>
      </w:r>
      <w:r w:rsidRPr="002E4298">
        <w:rPr>
          <w:lang w:val="fr-FR" w:bidi="fr-FR"/>
        </w:rPr>
        <w:noBreakHyphen/>
      </w:r>
      <w:r w:rsidR="00BB0956" w:rsidRPr="002E4298">
        <w:rPr>
          <w:lang w:val="fr-FR" w:bidi="fr-FR"/>
        </w:rPr>
        <w:t>dessus) ;</w:t>
      </w:r>
    </w:p>
    <w:p w14:paraId="733131C9" w14:textId="043B8BFB" w:rsidR="00BB0956" w:rsidRPr="002E4298" w:rsidRDefault="00BB0956" w:rsidP="00A11C35">
      <w:pPr>
        <w:pStyle w:val="SingleTxt"/>
        <w:numPr>
          <w:ilvl w:val="0"/>
          <w:numId w:val="6"/>
        </w:numPr>
        <w:spacing w:line="240" w:lineRule="exact"/>
        <w:rPr>
          <w:lang w:val="fr-FR"/>
        </w:rPr>
      </w:pPr>
      <w:r w:rsidRPr="002E4298">
        <w:rPr>
          <w:lang w:val="fr-FR" w:bidi="fr-FR"/>
        </w:rPr>
        <w:t>On observe une tendance à la hausse du nombre de notifications de l’intention de ne pas renouveler les contrats de travail à durée déterminée des travailleuses enceintes, qui ont récemment accouchées ou sont allaitantes, ainsi que des travailleurs et travailleuses en congé parental.</w:t>
      </w:r>
    </w:p>
    <w:p w14:paraId="7ACBE564" w14:textId="77777777" w:rsidR="0038581D" w:rsidRPr="002E4298" w:rsidRDefault="0038581D" w:rsidP="0038581D">
      <w:pPr>
        <w:pStyle w:val="SingleTxt"/>
        <w:spacing w:after="0" w:line="120" w:lineRule="exact"/>
        <w:rPr>
          <w:sz w:val="10"/>
          <w:lang w:val="fr-FR" w:bidi="fr-FR"/>
        </w:rPr>
      </w:pPr>
    </w:p>
    <w:p w14:paraId="414FF045" w14:textId="6893AF75" w:rsidR="00BB0956" w:rsidRPr="002E4298" w:rsidRDefault="00BB0956" w:rsidP="0038581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E4298">
        <w:rPr>
          <w:lang w:val="fr-FR" w:bidi="fr-FR"/>
        </w:rPr>
        <w:tab/>
      </w:r>
      <w:r w:rsidRPr="002E4298">
        <w:rPr>
          <w:lang w:val="fr-FR" w:bidi="fr-FR"/>
        </w:rPr>
        <w:tab/>
        <w:t>Évolution du nombre de notifications de non-renouvellement de contrats à durée déterminée</w:t>
      </w:r>
      <w:r w:rsidR="0038581D" w:rsidRPr="002E4298">
        <w:rPr>
          <w:lang w:val="fr-FR" w:bidi="fr-FR"/>
        </w:rPr>
        <w:t xml:space="preserve"> </w:t>
      </w:r>
      <w:r w:rsidRPr="002E4298">
        <w:rPr>
          <w:lang w:val="fr-FR" w:bidi="fr-FR"/>
        </w:rPr>
        <w:t>(2012-2018)</w:t>
      </w:r>
    </w:p>
    <w:p w14:paraId="32C15179" w14:textId="77777777" w:rsidR="00BB0956" w:rsidRPr="002E4298" w:rsidRDefault="00BB0956" w:rsidP="00BB0956">
      <w:pPr>
        <w:pStyle w:val="SingleTxt"/>
        <w:spacing w:after="0" w:line="120" w:lineRule="exact"/>
        <w:rPr>
          <w:sz w:val="10"/>
          <w:lang w:val="fr-FR"/>
        </w:rPr>
      </w:pPr>
    </w:p>
    <w:p w14:paraId="3D5F5098" w14:textId="77777777" w:rsidR="00BB0956" w:rsidRPr="002E4298" w:rsidRDefault="00BB0956" w:rsidP="00BB0956">
      <w:pPr>
        <w:pStyle w:val="SingleTxt"/>
        <w:spacing w:after="0" w:line="120" w:lineRule="exact"/>
        <w:rPr>
          <w:sz w:val="10"/>
          <w:lang w:val="fr-FR"/>
        </w:rPr>
      </w:pPr>
    </w:p>
    <w:p w14:paraId="0CA3B58F" w14:textId="3B2DFAF4" w:rsidR="00BB0956" w:rsidRPr="002E4298" w:rsidRDefault="004C5B47" w:rsidP="00BB0956">
      <w:pPr>
        <w:pStyle w:val="SingleTxt"/>
        <w:spacing w:after="0" w:line="240" w:lineRule="auto"/>
        <w:rPr>
          <w:lang w:val="fr-FR"/>
        </w:rPr>
      </w:pPr>
      <w:r w:rsidRPr="002E4298">
        <w:rPr>
          <w:noProof/>
          <w:lang w:val="fr-FR"/>
        </w:rPr>
        <w:drawing>
          <wp:inline distT="0" distB="0" distL="0" distR="0" wp14:anchorId="4D32FF7C" wp14:editId="051D77C4">
            <wp:extent cx="4626320" cy="1674712"/>
            <wp:effectExtent l="0" t="0" r="317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80579" cy="1694354"/>
                    </a:xfrm>
                    <a:prstGeom prst="rect">
                      <a:avLst/>
                    </a:prstGeom>
                    <a:noFill/>
                  </pic:spPr>
                </pic:pic>
              </a:graphicData>
            </a:graphic>
          </wp:inline>
        </w:drawing>
      </w:r>
    </w:p>
    <w:p w14:paraId="7F78D65C" w14:textId="77777777" w:rsidR="00BB0956" w:rsidRPr="002E4298" w:rsidRDefault="00BB0956" w:rsidP="00BB0956">
      <w:pPr>
        <w:pStyle w:val="SingleTxt"/>
        <w:spacing w:after="0" w:line="120" w:lineRule="exact"/>
        <w:rPr>
          <w:sz w:val="10"/>
          <w:lang w:val="fr-FR"/>
        </w:rPr>
      </w:pPr>
    </w:p>
    <w:p w14:paraId="59C47617" w14:textId="02F75C47" w:rsidR="00BB0956" w:rsidRPr="002E4298" w:rsidRDefault="00BB0956" w:rsidP="0038581D">
      <w:pPr>
        <w:pStyle w:val="FootnoteText"/>
        <w:tabs>
          <w:tab w:val="right" w:pos="1476"/>
          <w:tab w:val="left" w:pos="1548"/>
          <w:tab w:val="right" w:pos="1836"/>
          <w:tab w:val="left" w:pos="1908"/>
        </w:tabs>
        <w:ind w:left="1548" w:right="1267" w:hanging="288"/>
        <w:rPr>
          <w:lang w:val="fr-FR" w:bidi="fr-FR"/>
        </w:rPr>
      </w:pPr>
      <w:r w:rsidRPr="002E4298">
        <w:rPr>
          <w:i/>
          <w:iCs/>
          <w:lang w:val="fr-FR" w:bidi="fr-FR"/>
        </w:rPr>
        <w:t>Source</w:t>
      </w:r>
      <w:r w:rsidRPr="002E4298">
        <w:rPr>
          <w:lang w:val="fr-FR" w:bidi="fr-FR"/>
        </w:rPr>
        <w:t> : Commission pour l’égalité dans le travail et l’emploi.</w:t>
      </w:r>
    </w:p>
    <w:p w14:paraId="2EC7DF3D" w14:textId="44CBF9CE" w:rsidR="0038581D" w:rsidRPr="002E4298" w:rsidRDefault="0038581D" w:rsidP="0038581D">
      <w:pPr>
        <w:pStyle w:val="SingleTxt"/>
        <w:spacing w:after="0" w:line="120" w:lineRule="exact"/>
        <w:rPr>
          <w:i/>
          <w:sz w:val="10"/>
          <w:lang w:val="fr-FR" w:bidi="fr-FR"/>
        </w:rPr>
      </w:pPr>
    </w:p>
    <w:p w14:paraId="603B3B16" w14:textId="5B56A05E" w:rsidR="0038581D" w:rsidRPr="002E4298" w:rsidRDefault="0038581D" w:rsidP="0038581D">
      <w:pPr>
        <w:pStyle w:val="SingleTxt"/>
        <w:spacing w:after="0" w:line="120" w:lineRule="exact"/>
        <w:rPr>
          <w:i/>
          <w:sz w:val="10"/>
          <w:lang w:val="fr-FR"/>
        </w:rPr>
      </w:pPr>
    </w:p>
    <w:p w14:paraId="60F33522" w14:textId="7B75D92C" w:rsidR="00BB0956" w:rsidRPr="002E4298" w:rsidRDefault="00BB0956" w:rsidP="00A11C35">
      <w:pPr>
        <w:pStyle w:val="SingleTxt"/>
        <w:numPr>
          <w:ilvl w:val="0"/>
          <w:numId w:val="6"/>
        </w:numPr>
        <w:spacing w:line="240" w:lineRule="exact"/>
        <w:rPr>
          <w:lang w:val="fr-FR"/>
        </w:rPr>
      </w:pPr>
      <w:r w:rsidRPr="002E4298">
        <w:rPr>
          <w:lang w:val="fr-FR" w:bidi="fr-FR"/>
        </w:rPr>
        <w:t>En 2018, la Commission pour l’égalité dans le travail et l’emploi a reçu 45 plaintes concernant des violations des dispositions légales sur l’égalité et la non-discrimination entre les femmes et les hommes (34 en 2017, 64 en 2016, 129 en 2015, 210 en 2014). Le nombre de plaintes a diminué ces dernières années. Sur les 482 plaintes enregistrées de 2014 à 2018, seules 63 concernaient les droits liés à la maternité, 210 étaient liées au travail à horaire flexible et 30 concernaient le travail à temps partiel.</w:t>
      </w:r>
    </w:p>
    <w:p w14:paraId="6D4A3EF4" w14:textId="731967A4" w:rsidR="00BB0956" w:rsidRPr="002E4298" w:rsidRDefault="00BB0956" w:rsidP="00A11C35">
      <w:pPr>
        <w:pStyle w:val="SingleTxt"/>
        <w:numPr>
          <w:ilvl w:val="0"/>
          <w:numId w:val="6"/>
        </w:numPr>
        <w:spacing w:line="240" w:lineRule="exact"/>
        <w:rPr>
          <w:lang w:val="fr-FR" w:bidi="fr-FR"/>
        </w:rPr>
      </w:pPr>
      <w:r w:rsidRPr="002E4298">
        <w:rPr>
          <w:lang w:val="fr-FR" w:bidi="fr-FR"/>
        </w:rPr>
        <w:t>Le nombre d’avis juridiques concernant les violations des dispositions légales en matière d’égalité et de non-discrimination est en constante augmentation. En 2014, la Commission pour l’égalité dans le travail et l’emploi a rendu 462 avis juridiques. Ce chiffre a atteint 585 en 2015, 688 en 2016 et 747 en 2017. En 2018, la Commission a rendu 727 avis juridiques.</w:t>
      </w:r>
    </w:p>
    <w:p w14:paraId="545DFC2B" w14:textId="30A9E5C1" w:rsidR="00BB0956" w:rsidRPr="002E4298" w:rsidRDefault="00BB0956" w:rsidP="00A11C35">
      <w:pPr>
        <w:pStyle w:val="SingleTxt"/>
        <w:numPr>
          <w:ilvl w:val="0"/>
          <w:numId w:val="6"/>
        </w:numPr>
        <w:spacing w:line="240" w:lineRule="exact"/>
        <w:rPr>
          <w:lang w:val="fr-FR"/>
        </w:rPr>
      </w:pPr>
      <w:r w:rsidRPr="002E4298">
        <w:rPr>
          <w:lang w:val="fr-FR" w:bidi="fr-FR"/>
        </w:rPr>
        <w:t>La plupart des avis juridiques rendus par la Commission portent sur l’aménagement du temps de travail des mères et des pères qui travaillent, comme les horaires flexibles et le temps partiel.</w:t>
      </w:r>
    </w:p>
    <w:p w14:paraId="349FDC42" w14:textId="00DFFB9A" w:rsidR="00BB0956" w:rsidRPr="002E4298" w:rsidRDefault="00BB0956" w:rsidP="00A11C35">
      <w:pPr>
        <w:pStyle w:val="SingleTxt"/>
        <w:numPr>
          <w:ilvl w:val="0"/>
          <w:numId w:val="6"/>
        </w:numPr>
        <w:spacing w:line="240" w:lineRule="exact"/>
        <w:rPr>
          <w:lang w:val="fr-FR"/>
        </w:rPr>
      </w:pPr>
      <w:r w:rsidRPr="002E4298">
        <w:rPr>
          <w:lang w:val="fr-FR" w:bidi="fr-FR"/>
        </w:rPr>
        <w:t>Le nombre d’avis juridiques rendus par la Commission sur des questions d’intention de licenciement a évolué comme suit : 80 (11 %) en 2018 ; 76 (10 %) en 2017 ; 91 (14 %) en 2016 ; 112 (20 %) en 2015 ; et 89 (19 %) en 2014.</w:t>
      </w:r>
    </w:p>
    <w:p w14:paraId="73D19342" w14:textId="2BC3F84C" w:rsidR="00BB0956" w:rsidRPr="002E4298" w:rsidRDefault="00BB0956" w:rsidP="00A11C35">
      <w:pPr>
        <w:pStyle w:val="SingleTxt"/>
        <w:numPr>
          <w:ilvl w:val="0"/>
          <w:numId w:val="6"/>
        </w:numPr>
        <w:spacing w:line="240" w:lineRule="exact"/>
        <w:rPr>
          <w:lang w:val="fr-FR"/>
        </w:rPr>
      </w:pPr>
      <w:r w:rsidRPr="002E4298">
        <w:rPr>
          <w:lang w:val="fr-FR" w:bidi="fr-FR"/>
        </w:rPr>
        <w:lastRenderedPageBreak/>
        <w:t>La majorité des avis juridiques liés à une intention de licenciement concernent des femmes : 95 % des avis en 2018, 94 % en 2017, 97 % en 2016, 96 % en 2015, et 93 % en 2014.</w:t>
      </w:r>
    </w:p>
    <w:p w14:paraId="4A0B4F86" w14:textId="18193BAD" w:rsidR="00BB0956" w:rsidRPr="002E4298" w:rsidRDefault="00BB0956" w:rsidP="00A11C35">
      <w:pPr>
        <w:pStyle w:val="SingleTxt"/>
        <w:numPr>
          <w:ilvl w:val="0"/>
          <w:numId w:val="6"/>
        </w:numPr>
        <w:spacing w:line="240" w:lineRule="exact"/>
        <w:rPr>
          <w:lang w:val="fr-FR"/>
        </w:rPr>
      </w:pPr>
      <w:r w:rsidRPr="002E4298">
        <w:rPr>
          <w:lang w:val="fr-FR" w:bidi="fr-FR"/>
        </w:rPr>
        <w:t>En ce qui concerne l’évolution de l’utilisation du congé parental au cours des dernières années, on constate en général une utilisation croissante des congés auxquels a droit le père et une évolution positive du partage du congé parental entre la mère et le père. Il convient de relever l’adhésion continue des parents qui travaillent au partage du congé parental (120/150 jours de congé parental initial), dont la part du père est passée de 10,1 % en 2009 à 30,3 % en 2014 et à 39,9 % en 2018 (en pourcentage du congé total des femmes).</w:t>
      </w:r>
    </w:p>
    <w:p w14:paraId="2EF6ADF5" w14:textId="1B132671" w:rsidR="00BB0956" w:rsidRPr="002E4298" w:rsidRDefault="00BB0956" w:rsidP="00A11C35">
      <w:pPr>
        <w:pStyle w:val="SingleTxt"/>
        <w:numPr>
          <w:ilvl w:val="0"/>
          <w:numId w:val="6"/>
        </w:numPr>
        <w:spacing w:line="240" w:lineRule="exact"/>
        <w:rPr>
          <w:lang w:val="fr-FR" w:bidi="fr-FR"/>
        </w:rPr>
      </w:pPr>
      <w:r w:rsidRPr="002E4298">
        <w:rPr>
          <w:lang w:val="fr-FR" w:bidi="fr-FR"/>
        </w:rPr>
        <w:t>Les données relatives à la participation des femmes au marché du travail montrent une évolution positive, avec une augmentation du taux d’emploi des femmes et une diminution du taux de chômage.</w:t>
      </w:r>
    </w:p>
    <w:p w14:paraId="487C6785" w14:textId="48B67CED" w:rsidR="00BB0956" w:rsidRPr="002E4298" w:rsidRDefault="00BB0956" w:rsidP="00A11C35">
      <w:pPr>
        <w:pStyle w:val="SingleTxt"/>
        <w:numPr>
          <w:ilvl w:val="0"/>
          <w:numId w:val="6"/>
        </w:numPr>
        <w:spacing w:line="240" w:lineRule="exact"/>
        <w:rPr>
          <w:lang w:val="fr-FR"/>
        </w:rPr>
      </w:pPr>
      <w:r w:rsidRPr="002E4298">
        <w:rPr>
          <w:lang w:val="fr-FR" w:bidi="fr-FR"/>
        </w:rPr>
        <w:t>Le taux d’emploi au Portugal est en hausse depuis 2013. L’écart entre les taux masculins et féminins s’est légèrement réduit, se situant en 2018 à 9,8 points de pourcentage, légèrement en dessous de la moyenne des vingt-huit pays de l’Union européenne (11,9 points de pourcentage). La réduction de l’écart entre les taux d’emploi masculin et féminin résulte d’une plus forte croissance du taux d’emploi féminin.</w:t>
      </w:r>
    </w:p>
    <w:p w14:paraId="78EEEFD6" w14:textId="77777777" w:rsidR="005519F3" w:rsidRPr="002E4298" w:rsidRDefault="005519F3" w:rsidP="005519F3">
      <w:pPr>
        <w:pStyle w:val="SingleTxt"/>
        <w:spacing w:after="0" w:line="120" w:lineRule="exact"/>
        <w:rPr>
          <w:sz w:val="10"/>
          <w:lang w:val="fr-FR" w:bidi="fr-FR"/>
        </w:rPr>
      </w:pPr>
    </w:p>
    <w:p w14:paraId="679C3926" w14:textId="52C49075" w:rsidR="00BB0956" w:rsidRPr="002E4298" w:rsidRDefault="00BB0956" w:rsidP="005519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E4298">
        <w:rPr>
          <w:lang w:val="fr-FR" w:bidi="fr-FR"/>
        </w:rPr>
        <w:tab/>
      </w:r>
      <w:r w:rsidRPr="002E4298">
        <w:rPr>
          <w:lang w:val="fr-FR" w:bidi="fr-FR"/>
        </w:rPr>
        <w:tab/>
        <w:t>Taux d’emploi (15-64 ans) au Portugal, par sexe, 2012-2018 (%)</w:t>
      </w:r>
    </w:p>
    <w:p w14:paraId="6F494CDB" w14:textId="77777777" w:rsidR="00BB0956" w:rsidRPr="002E4298" w:rsidRDefault="00BB0956" w:rsidP="00BB0956">
      <w:pPr>
        <w:pStyle w:val="SingleTxt"/>
        <w:spacing w:after="0" w:line="120" w:lineRule="exact"/>
        <w:rPr>
          <w:sz w:val="10"/>
          <w:lang w:val="fr-FR"/>
        </w:rPr>
      </w:pPr>
    </w:p>
    <w:p w14:paraId="6A165688" w14:textId="77777777" w:rsidR="00BB0956" w:rsidRPr="002E4298" w:rsidRDefault="00BB0956" w:rsidP="00BB0956">
      <w:pPr>
        <w:pStyle w:val="SingleTxt"/>
        <w:spacing w:after="0" w:line="120" w:lineRule="exact"/>
        <w:rPr>
          <w:sz w:val="10"/>
          <w:lang w:val="fr-FR"/>
        </w:rPr>
      </w:pPr>
    </w:p>
    <w:p w14:paraId="76028BAD" w14:textId="4BA26BCE" w:rsidR="00BB0956" w:rsidRPr="002E4298" w:rsidRDefault="004C5B47" w:rsidP="00BB0956">
      <w:pPr>
        <w:pStyle w:val="SingleTxt"/>
        <w:spacing w:after="0" w:line="240" w:lineRule="auto"/>
        <w:rPr>
          <w:lang w:val="fr-FR"/>
        </w:rPr>
      </w:pPr>
      <w:r w:rsidRPr="002E4298">
        <w:rPr>
          <w:noProof/>
          <w:lang w:val="fr-FR"/>
        </w:rPr>
        <w:drawing>
          <wp:inline distT="0" distB="0" distL="0" distR="0" wp14:anchorId="310E967A" wp14:editId="7F9DA941">
            <wp:extent cx="4650464" cy="2380055"/>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690643" cy="2400618"/>
                    </a:xfrm>
                    <a:prstGeom prst="rect">
                      <a:avLst/>
                    </a:prstGeom>
                  </pic:spPr>
                </pic:pic>
              </a:graphicData>
            </a:graphic>
          </wp:inline>
        </w:drawing>
      </w:r>
    </w:p>
    <w:p w14:paraId="5AB557BE" w14:textId="77777777" w:rsidR="00BB0956" w:rsidRPr="002E4298" w:rsidRDefault="00BB0956" w:rsidP="00BB0956">
      <w:pPr>
        <w:pStyle w:val="SingleTxt"/>
        <w:spacing w:after="0" w:line="120" w:lineRule="exact"/>
        <w:rPr>
          <w:sz w:val="10"/>
          <w:lang w:val="fr-FR"/>
        </w:rPr>
      </w:pPr>
    </w:p>
    <w:p w14:paraId="79F40370" w14:textId="156702CA" w:rsidR="00BB0956" w:rsidRPr="002E4298" w:rsidRDefault="00BB0956" w:rsidP="005519F3">
      <w:pPr>
        <w:pStyle w:val="FootnoteText"/>
        <w:tabs>
          <w:tab w:val="right" w:pos="1476"/>
          <w:tab w:val="left" w:pos="1548"/>
          <w:tab w:val="right" w:pos="1836"/>
          <w:tab w:val="left" w:pos="1908"/>
        </w:tabs>
        <w:ind w:left="1548" w:right="1267" w:hanging="288"/>
        <w:rPr>
          <w:lang w:val="fr-FR" w:bidi="fr-FR"/>
        </w:rPr>
      </w:pPr>
      <w:r w:rsidRPr="002E4298">
        <w:rPr>
          <w:i/>
          <w:lang w:val="fr-FR" w:bidi="fr-FR"/>
        </w:rPr>
        <w:t>Source </w:t>
      </w:r>
      <w:r w:rsidRPr="002E4298">
        <w:rPr>
          <w:iCs/>
          <w:lang w:val="fr-FR" w:bidi="fr-FR"/>
        </w:rPr>
        <w:t>:</w:t>
      </w:r>
      <w:r w:rsidRPr="002E4298">
        <w:rPr>
          <w:lang w:val="fr-FR" w:bidi="fr-FR"/>
        </w:rPr>
        <w:t xml:space="preserve"> enquête sur la population active, Institut national de la statistique (INE).</w:t>
      </w:r>
    </w:p>
    <w:p w14:paraId="2BE2C78A" w14:textId="360DCFE7" w:rsidR="005519F3" w:rsidRPr="002E4298" w:rsidRDefault="005519F3" w:rsidP="005519F3">
      <w:pPr>
        <w:pStyle w:val="SingleTxt"/>
        <w:spacing w:after="0" w:line="120" w:lineRule="exact"/>
        <w:rPr>
          <w:sz w:val="10"/>
          <w:lang w:val="fr-FR" w:bidi="fr-FR"/>
        </w:rPr>
      </w:pPr>
    </w:p>
    <w:p w14:paraId="4AED916E" w14:textId="16F111DD" w:rsidR="005519F3" w:rsidRPr="002E4298" w:rsidRDefault="005519F3" w:rsidP="005519F3">
      <w:pPr>
        <w:pStyle w:val="SingleTxt"/>
        <w:spacing w:after="0" w:line="120" w:lineRule="exact"/>
        <w:rPr>
          <w:sz w:val="10"/>
          <w:lang w:val="fr-FR"/>
        </w:rPr>
      </w:pPr>
    </w:p>
    <w:p w14:paraId="2134E3B7" w14:textId="781D6D48" w:rsidR="00BB0956" w:rsidRPr="002E4298" w:rsidRDefault="00BB0956" w:rsidP="00A11C35">
      <w:pPr>
        <w:pStyle w:val="SingleTxt"/>
        <w:numPr>
          <w:ilvl w:val="0"/>
          <w:numId w:val="6"/>
        </w:numPr>
        <w:spacing w:line="240" w:lineRule="exact"/>
        <w:rPr>
          <w:lang w:val="fr-FR"/>
        </w:rPr>
      </w:pPr>
      <w:r w:rsidRPr="002E4298">
        <w:rPr>
          <w:lang w:val="fr-FR" w:bidi="fr-FR"/>
        </w:rPr>
        <w:t>En parallèle, le chômage diminue depuis 2013, de manière similaire chez les hommes et les femmes. Le chômage des jeunes (15-24 ans et 25-34 ans) a quant à lui fortement diminué.</w:t>
      </w:r>
    </w:p>
    <w:p w14:paraId="0510990F" w14:textId="1BF66A8E" w:rsidR="00BB0956" w:rsidRPr="002E4298" w:rsidRDefault="00BB0956" w:rsidP="00A11C35">
      <w:pPr>
        <w:pStyle w:val="SingleTxt"/>
        <w:numPr>
          <w:ilvl w:val="0"/>
          <w:numId w:val="6"/>
        </w:numPr>
        <w:spacing w:line="240" w:lineRule="exact"/>
        <w:rPr>
          <w:lang w:val="fr-FR"/>
        </w:rPr>
      </w:pPr>
      <w:r w:rsidRPr="002E4298">
        <w:rPr>
          <w:lang w:val="fr-FR" w:bidi="fr-FR"/>
        </w:rPr>
        <w:t>Entre 2017 et 2018, le chômage des jeunes (15-24 ans) a chuté plus fortement chez les femmes que concernant l’ensemble de la population au chômage.</w:t>
      </w:r>
    </w:p>
    <w:p w14:paraId="68CC830D" w14:textId="576285C1" w:rsidR="00BB0956" w:rsidRPr="002E4298" w:rsidRDefault="00BB0956" w:rsidP="00A11C35">
      <w:pPr>
        <w:pStyle w:val="SingleTxt"/>
        <w:numPr>
          <w:ilvl w:val="0"/>
          <w:numId w:val="6"/>
        </w:numPr>
        <w:spacing w:line="240" w:lineRule="exact"/>
        <w:rPr>
          <w:lang w:val="fr-FR"/>
        </w:rPr>
      </w:pPr>
      <w:r w:rsidRPr="002E4298">
        <w:rPr>
          <w:lang w:val="fr-FR" w:bidi="fr-FR"/>
        </w:rPr>
        <w:t>On observe une réduction de l’écart de rémunération entre les sexes, lequel est passé de 16,6 % en 2014 et 2015 à 15,7 % en 2016 et à 14,8 % en 2017 pour ce qui est du traitement de base, soit un écart absolu entre les rémunérations des femmes et des hommes de 155,6 euros/mois en 2016 et de 149,5 euros/mois en 2017, au désavantage des premières. En ce qui concerne les revenus, l’écart entre les hommes et les femmes est passé de 19,1 % à 18,2 %, ce qui représente encore une perte moyenne de 224,1 euros par mois pour les femmes par rapport aux hommes.</w:t>
      </w:r>
    </w:p>
    <w:p w14:paraId="08CC892E" w14:textId="79B2117B" w:rsidR="00BB0956" w:rsidRPr="002E4298" w:rsidRDefault="00BB0956" w:rsidP="00A11C35">
      <w:pPr>
        <w:pStyle w:val="SingleTxt"/>
        <w:numPr>
          <w:ilvl w:val="0"/>
          <w:numId w:val="6"/>
        </w:numPr>
        <w:spacing w:line="240" w:lineRule="exact"/>
        <w:rPr>
          <w:lang w:val="fr-FR" w:bidi="fr-FR"/>
        </w:rPr>
      </w:pPr>
      <w:r w:rsidRPr="002E4298">
        <w:rPr>
          <w:lang w:val="fr-FR" w:bidi="fr-FR"/>
        </w:rPr>
        <w:lastRenderedPageBreak/>
        <w:t>Cependant, entre 2014 et 2018, la Commission pour l’égalité dans le travail et l’emploi n’a reçu que cinq plaintes liées à l’écart de rémunération entre femmes et hommes.</w:t>
      </w:r>
    </w:p>
    <w:p w14:paraId="29B75C10" w14:textId="77777777" w:rsidR="00BB0956" w:rsidRPr="002E4298" w:rsidRDefault="00BB0956" w:rsidP="00BB0956">
      <w:pPr>
        <w:pStyle w:val="SingleTxt"/>
        <w:spacing w:after="0" w:line="120" w:lineRule="exact"/>
        <w:rPr>
          <w:sz w:val="10"/>
          <w:lang w:val="fr-FR"/>
        </w:rPr>
      </w:pPr>
    </w:p>
    <w:p w14:paraId="7A53AE0C" w14:textId="77777777" w:rsidR="00BB0956" w:rsidRPr="002E4298" w:rsidRDefault="00BB0956" w:rsidP="005519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E4298">
        <w:rPr>
          <w:lang w:val="fr-FR" w:bidi="fr-FR"/>
        </w:rPr>
        <w:tab/>
      </w:r>
      <w:r w:rsidRPr="002E4298">
        <w:rPr>
          <w:lang w:val="fr-FR" w:bidi="fr-FR"/>
        </w:rPr>
        <w:tab/>
        <w:t>Salaire mensuel moyen de base et revenus par sexe, et écart de rémunération entre les sexes au Portugal, 2010-2017 (en euros)</w:t>
      </w:r>
    </w:p>
    <w:p w14:paraId="7748F333" w14:textId="77777777" w:rsidR="00BB0956" w:rsidRPr="002E4298" w:rsidRDefault="00BB0956" w:rsidP="00BB0956">
      <w:pPr>
        <w:pStyle w:val="SingleTxt"/>
        <w:spacing w:after="0" w:line="120" w:lineRule="exact"/>
        <w:rPr>
          <w:sz w:val="10"/>
          <w:lang w:val="fr-FR"/>
        </w:rPr>
      </w:pPr>
    </w:p>
    <w:p w14:paraId="44A6DAA5" w14:textId="77777777" w:rsidR="00BB0956" w:rsidRPr="002E4298" w:rsidRDefault="00BB0956" w:rsidP="00BB0956">
      <w:pPr>
        <w:pStyle w:val="SingleTxt"/>
        <w:spacing w:after="0" w:line="120" w:lineRule="exact"/>
        <w:rPr>
          <w:sz w:val="10"/>
          <w:lang w:val="fr-FR"/>
        </w:rPr>
      </w:pPr>
    </w:p>
    <w:tbl>
      <w:tblPr>
        <w:tblW w:w="7317" w:type="dxa"/>
        <w:tblInd w:w="1260" w:type="dxa"/>
        <w:tblLayout w:type="fixed"/>
        <w:tblCellMar>
          <w:left w:w="0" w:type="dxa"/>
          <w:right w:w="0" w:type="dxa"/>
        </w:tblCellMar>
        <w:tblLook w:val="04A0" w:firstRow="1" w:lastRow="0" w:firstColumn="1" w:lastColumn="0" w:noHBand="0" w:noVBand="1"/>
      </w:tblPr>
      <w:tblGrid>
        <w:gridCol w:w="813"/>
        <w:gridCol w:w="813"/>
        <w:gridCol w:w="813"/>
        <w:gridCol w:w="813"/>
        <w:gridCol w:w="813"/>
        <w:gridCol w:w="813"/>
        <w:gridCol w:w="813"/>
        <w:gridCol w:w="813"/>
        <w:gridCol w:w="813"/>
      </w:tblGrid>
      <w:tr w:rsidR="00BB0956" w:rsidRPr="002E4298" w14:paraId="5505029C" w14:textId="77777777" w:rsidTr="005519F3">
        <w:trPr>
          <w:tblHeader/>
        </w:trPr>
        <w:tc>
          <w:tcPr>
            <w:tcW w:w="813" w:type="dxa"/>
            <w:tcBorders>
              <w:top w:val="single" w:sz="4" w:space="0" w:color="auto"/>
              <w:bottom w:val="single" w:sz="12" w:space="0" w:color="auto"/>
            </w:tcBorders>
            <w:shd w:val="clear" w:color="auto" w:fill="auto"/>
            <w:noWrap/>
            <w:vAlign w:val="bottom"/>
            <w:hideMark/>
          </w:tcPr>
          <w:p w14:paraId="501ED42A" w14:textId="77777777" w:rsidR="00BB0956" w:rsidRPr="002E4298" w:rsidRDefault="00BB0956" w:rsidP="005519F3">
            <w:pPr>
              <w:pStyle w:val="SingleTxtG"/>
              <w:spacing w:before="81" w:after="81" w:line="160" w:lineRule="exact"/>
              <w:ind w:left="0" w:right="40"/>
              <w:jc w:val="left"/>
              <w:rPr>
                <w:bCs/>
                <w:i/>
                <w:spacing w:val="4"/>
                <w:w w:val="103"/>
                <w:sz w:val="14"/>
                <w:lang w:val="fr-FR"/>
              </w:rPr>
            </w:pPr>
            <w:r w:rsidRPr="002E4298">
              <w:rPr>
                <w:i/>
                <w:spacing w:val="4"/>
                <w:w w:val="103"/>
                <w:sz w:val="14"/>
                <w:lang w:val="fr-FR" w:bidi="fr-FR"/>
              </w:rPr>
              <w:t> </w:t>
            </w:r>
          </w:p>
        </w:tc>
        <w:tc>
          <w:tcPr>
            <w:tcW w:w="813" w:type="dxa"/>
            <w:tcBorders>
              <w:top w:val="single" w:sz="4" w:space="0" w:color="auto"/>
              <w:bottom w:val="single" w:sz="12" w:space="0" w:color="auto"/>
            </w:tcBorders>
            <w:shd w:val="clear" w:color="auto" w:fill="auto"/>
            <w:noWrap/>
            <w:vAlign w:val="bottom"/>
            <w:hideMark/>
          </w:tcPr>
          <w:p w14:paraId="49BE427F" w14:textId="77777777" w:rsidR="00BB0956" w:rsidRPr="002E4298" w:rsidRDefault="00BB0956" w:rsidP="005519F3">
            <w:pPr>
              <w:pStyle w:val="SingleTxtG"/>
              <w:spacing w:before="81" w:after="81" w:line="160" w:lineRule="exact"/>
              <w:ind w:left="0" w:right="43"/>
              <w:jc w:val="right"/>
              <w:rPr>
                <w:bCs/>
                <w:i/>
                <w:spacing w:val="4"/>
                <w:w w:val="103"/>
                <w:sz w:val="14"/>
                <w:lang w:val="fr-FR"/>
              </w:rPr>
            </w:pPr>
            <w:r w:rsidRPr="002E4298">
              <w:rPr>
                <w:i/>
                <w:spacing w:val="4"/>
                <w:w w:val="103"/>
                <w:sz w:val="14"/>
                <w:lang w:val="fr-FR" w:bidi="fr-FR"/>
              </w:rPr>
              <w:t>2010</w:t>
            </w:r>
          </w:p>
        </w:tc>
        <w:tc>
          <w:tcPr>
            <w:tcW w:w="813" w:type="dxa"/>
            <w:tcBorders>
              <w:top w:val="single" w:sz="4" w:space="0" w:color="auto"/>
              <w:bottom w:val="single" w:sz="12" w:space="0" w:color="auto"/>
            </w:tcBorders>
            <w:shd w:val="clear" w:color="auto" w:fill="auto"/>
            <w:noWrap/>
            <w:vAlign w:val="bottom"/>
            <w:hideMark/>
          </w:tcPr>
          <w:p w14:paraId="2309E9EA" w14:textId="77777777" w:rsidR="00BB0956" w:rsidRPr="002E4298" w:rsidRDefault="00BB0956" w:rsidP="005519F3">
            <w:pPr>
              <w:pStyle w:val="SingleTxtG"/>
              <w:spacing w:before="81" w:after="81" w:line="160" w:lineRule="exact"/>
              <w:ind w:left="0" w:right="43"/>
              <w:jc w:val="right"/>
              <w:rPr>
                <w:bCs/>
                <w:i/>
                <w:spacing w:val="4"/>
                <w:w w:val="103"/>
                <w:sz w:val="14"/>
                <w:lang w:val="fr-FR"/>
              </w:rPr>
            </w:pPr>
            <w:r w:rsidRPr="002E4298">
              <w:rPr>
                <w:i/>
                <w:spacing w:val="4"/>
                <w:w w:val="103"/>
                <w:sz w:val="14"/>
                <w:lang w:val="fr-FR" w:bidi="fr-FR"/>
              </w:rPr>
              <w:t>2011</w:t>
            </w:r>
          </w:p>
        </w:tc>
        <w:tc>
          <w:tcPr>
            <w:tcW w:w="813" w:type="dxa"/>
            <w:tcBorders>
              <w:top w:val="single" w:sz="4" w:space="0" w:color="auto"/>
              <w:bottom w:val="single" w:sz="12" w:space="0" w:color="auto"/>
            </w:tcBorders>
            <w:shd w:val="clear" w:color="auto" w:fill="auto"/>
            <w:noWrap/>
            <w:vAlign w:val="bottom"/>
            <w:hideMark/>
          </w:tcPr>
          <w:p w14:paraId="4E5F7F70" w14:textId="77777777" w:rsidR="00BB0956" w:rsidRPr="002E4298" w:rsidRDefault="00BB0956" w:rsidP="005519F3">
            <w:pPr>
              <w:pStyle w:val="SingleTxtG"/>
              <w:spacing w:before="81" w:after="81" w:line="160" w:lineRule="exact"/>
              <w:ind w:left="0" w:right="43"/>
              <w:jc w:val="right"/>
              <w:rPr>
                <w:bCs/>
                <w:i/>
                <w:spacing w:val="4"/>
                <w:w w:val="103"/>
                <w:sz w:val="14"/>
                <w:lang w:val="fr-FR"/>
              </w:rPr>
            </w:pPr>
            <w:r w:rsidRPr="002E4298">
              <w:rPr>
                <w:i/>
                <w:spacing w:val="4"/>
                <w:w w:val="103"/>
                <w:sz w:val="14"/>
                <w:lang w:val="fr-FR" w:bidi="fr-FR"/>
              </w:rPr>
              <w:t>2012</w:t>
            </w:r>
          </w:p>
        </w:tc>
        <w:tc>
          <w:tcPr>
            <w:tcW w:w="813" w:type="dxa"/>
            <w:tcBorders>
              <w:top w:val="single" w:sz="4" w:space="0" w:color="auto"/>
              <w:bottom w:val="single" w:sz="12" w:space="0" w:color="auto"/>
            </w:tcBorders>
            <w:shd w:val="clear" w:color="auto" w:fill="auto"/>
            <w:noWrap/>
            <w:vAlign w:val="bottom"/>
            <w:hideMark/>
          </w:tcPr>
          <w:p w14:paraId="40A8C5D4" w14:textId="77777777" w:rsidR="00BB0956" w:rsidRPr="002E4298" w:rsidRDefault="00BB0956" w:rsidP="005519F3">
            <w:pPr>
              <w:pStyle w:val="SingleTxtG"/>
              <w:spacing w:before="81" w:after="81" w:line="160" w:lineRule="exact"/>
              <w:ind w:left="0" w:right="43"/>
              <w:jc w:val="right"/>
              <w:rPr>
                <w:bCs/>
                <w:i/>
                <w:spacing w:val="4"/>
                <w:w w:val="103"/>
                <w:sz w:val="14"/>
                <w:lang w:val="fr-FR"/>
              </w:rPr>
            </w:pPr>
            <w:r w:rsidRPr="002E4298">
              <w:rPr>
                <w:i/>
                <w:spacing w:val="4"/>
                <w:w w:val="103"/>
                <w:sz w:val="14"/>
                <w:lang w:val="fr-FR" w:bidi="fr-FR"/>
              </w:rPr>
              <w:t>2013</w:t>
            </w:r>
          </w:p>
        </w:tc>
        <w:tc>
          <w:tcPr>
            <w:tcW w:w="813" w:type="dxa"/>
            <w:tcBorders>
              <w:top w:val="single" w:sz="4" w:space="0" w:color="auto"/>
              <w:bottom w:val="single" w:sz="12" w:space="0" w:color="auto"/>
            </w:tcBorders>
            <w:shd w:val="clear" w:color="auto" w:fill="auto"/>
            <w:noWrap/>
            <w:vAlign w:val="bottom"/>
            <w:hideMark/>
          </w:tcPr>
          <w:p w14:paraId="25BA1D33" w14:textId="77777777" w:rsidR="00BB0956" w:rsidRPr="002E4298" w:rsidRDefault="00BB0956" w:rsidP="005519F3">
            <w:pPr>
              <w:pStyle w:val="SingleTxtG"/>
              <w:spacing w:before="81" w:after="81" w:line="160" w:lineRule="exact"/>
              <w:ind w:left="0" w:right="43"/>
              <w:jc w:val="right"/>
              <w:rPr>
                <w:bCs/>
                <w:i/>
                <w:spacing w:val="4"/>
                <w:w w:val="103"/>
                <w:sz w:val="14"/>
                <w:lang w:val="fr-FR"/>
              </w:rPr>
            </w:pPr>
            <w:r w:rsidRPr="002E4298">
              <w:rPr>
                <w:i/>
                <w:spacing w:val="4"/>
                <w:w w:val="103"/>
                <w:sz w:val="14"/>
                <w:lang w:val="fr-FR" w:bidi="fr-FR"/>
              </w:rPr>
              <w:t>2014</w:t>
            </w:r>
          </w:p>
        </w:tc>
        <w:tc>
          <w:tcPr>
            <w:tcW w:w="813" w:type="dxa"/>
            <w:tcBorders>
              <w:top w:val="single" w:sz="4" w:space="0" w:color="auto"/>
              <w:bottom w:val="single" w:sz="12" w:space="0" w:color="auto"/>
            </w:tcBorders>
            <w:shd w:val="clear" w:color="auto" w:fill="auto"/>
            <w:noWrap/>
            <w:vAlign w:val="bottom"/>
            <w:hideMark/>
          </w:tcPr>
          <w:p w14:paraId="6FFEF66E" w14:textId="77777777" w:rsidR="00BB0956" w:rsidRPr="002E4298" w:rsidRDefault="00BB0956" w:rsidP="005519F3">
            <w:pPr>
              <w:pStyle w:val="SingleTxtG"/>
              <w:spacing w:before="81" w:after="81" w:line="160" w:lineRule="exact"/>
              <w:ind w:left="0" w:right="43"/>
              <w:jc w:val="right"/>
              <w:rPr>
                <w:bCs/>
                <w:i/>
                <w:spacing w:val="4"/>
                <w:w w:val="103"/>
                <w:sz w:val="14"/>
                <w:lang w:val="fr-FR"/>
              </w:rPr>
            </w:pPr>
            <w:r w:rsidRPr="002E4298">
              <w:rPr>
                <w:i/>
                <w:spacing w:val="4"/>
                <w:w w:val="103"/>
                <w:sz w:val="14"/>
                <w:lang w:val="fr-FR" w:bidi="fr-FR"/>
              </w:rPr>
              <w:t>2015</w:t>
            </w:r>
          </w:p>
        </w:tc>
        <w:tc>
          <w:tcPr>
            <w:tcW w:w="813" w:type="dxa"/>
            <w:tcBorders>
              <w:top w:val="single" w:sz="4" w:space="0" w:color="auto"/>
              <w:bottom w:val="single" w:sz="12" w:space="0" w:color="auto"/>
            </w:tcBorders>
            <w:shd w:val="clear" w:color="auto" w:fill="auto"/>
            <w:noWrap/>
            <w:vAlign w:val="bottom"/>
            <w:hideMark/>
          </w:tcPr>
          <w:p w14:paraId="2340D00D" w14:textId="77777777" w:rsidR="00BB0956" w:rsidRPr="002E4298" w:rsidRDefault="00BB0956" w:rsidP="005519F3">
            <w:pPr>
              <w:pStyle w:val="SingleTxtG"/>
              <w:spacing w:before="81" w:after="81" w:line="160" w:lineRule="exact"/>
              <w:ind w:left="0" w:right="43"/>
              <w:jc w:val="right"/>
              <w:rPr>
                <w:bCs/>
                <w:i/>
                <w:spacing w:val="4"/>
                <w:w w:val="103"/>
                <w:sz w:val="14"/>
                <w:lang w:val="fr-FR"/>
              </w:rPr>
            </w:pPr>
            <w:r w:rsidRPr="002E4298">
              <w:rPr>
                <w:i/>
                <w:spacing w:val="4"/>
                <w:w w:val="103"/>
                <w:sz w:val="14"/>
                <w:lang w:val="fr-FR" w:bidi="fr-FR"/>
              </w:rPr>
              <w:t>2016</w:t>
            </w:r>
          </w:p>
        </w:tc>
        <w:tc>
          <w:tcPr>
            <w:tcW w:w="813" w:type="dxa"/>
            <w:tcBorders>
              <w:top w:val="single" w:sz="4" w:space="0" w:color="auto"/>
              <w:bottom w:val="single" w:sz="12" w:space="0" w:color="auto"/>
            </w:tcBorders>
            <w:shd w:val="clear" w:color="auto" w:fill="auto"/>
            <w:noWrap/>
            <w:vAlign w:val="bottom"/>
            <w:hideMark/>
          </w:tcPr>
          <w:p w14:paraId="087A4064" w14:textId="77777777" w:rsidR="00BB0956" w:rsidRPr="002E4298" w:rsidRDefault="00BB0956" w:rsidP="005519F3">
            <w:pPr>
              <w:pStyle w:val="SingleTxtG"/>
              <w:spacing w:before="81" w:after="81" w:line="160" w:lineRule="exact"/>
              <w:ind w:left="0" w:right="43"/>
              <w:jc w:val="right"/>
              <w:rPr>
                <w:bCs/>
                <w:i/>
                <w:spacing w:val="4"/>
                <w:w w:val="103"/>
                <w:sz w:val="14"/>
                <w:lang w:val="fr-FR"/>
              </w:rPr>
            </w:pPr>
            <w:r w:rsidRPr="002E4298">
              <w:rPr>
                <w:i/>
                <w:spacing w:val="4"/>
                <w:w w:val="103"/>
                <w:sz w:val="14"/>
                <w:lang w:val="fr-FR" w:bidi="fr-FR"/>
              </w:rPr>
              <w:t>2017</w:t>
            </w:r>
          </w:p>
        </w:tc>
      </w:tr>
      <w:tr w:rsidR="005519F3" w:rsidRPr="002E4298" w14:paraId="2B504CDF" w14:textId="77777777" w:rsidTr="005519F3">
        <w:trPr>
          <w:trHeight w:hRule="exact" w:val="115"/>
          <w:tblHeader/>
        </w:trPr>
        <w:tc>
          <w:tcPr>
            <w:tcW w:w="813" w:type="dxa"/>
            <w:tcBorders>
              <w:top w:val="single" w:sz="12" w:space="0" w:color="auto"/>
            </w:tcBorders>
            <w:shd w:val="clear" w:color="auto" w:fill="auto"/>
            <w:noWrap/>
            <w:vAlign w:val="bottom"/>
          </w:tcPr>
          <w:p w14:paraId="7A7AEE5D" w14:textId="77777777" w:rsidR="005519F3" w:rsidRPr="002E4298" w:rsidRDefault="005519F3" w:rsidP="005519F3">
            <w:pPr>
              <w:pStyle w:val="SingleTxtG"/>
              <w:spacing w:before="40" w:after="40" w:line="210" w:lineRule="exact"/>
              <w:ind w:left="0" w:right="40"/>
              <w:jc w:val="left"/>
              <w:rPr>
                <w:spacing w:val="4"/>
                <w:w w:val="103"/>
                <w:sz w:val="17"/>
                <w:lang w:val="fr-FR" w:bidi="fr-FR"/>
              </w:rPr>
            </w:pPr>
          </w:p>
        </w:tc>
        <w:tc>
          <w:tcPr>
            <w:tcW w:w="813" w:type="dxa"/>
            <w:tcBorders>
              <w:top w:val="single" w:sz="12" w:space="0" w:color="auto"/>
            </w:tcBorders>
            <w:shd w:val="clear" w:color="auto" w:fill="auto"/>
            <w:noWrap/>
            <w:vAlign w:val="bottom"/>
          </w:tcPr>
          <w:p w14:paraId="59175EF1" w14:textId="77777777" w:rsidR="005519F3" w:rsidRPr="002E4298" w:rsidRDefault="005519F3" w:rsidP="005519F3">
            <w:pPr>
              <w:pStyle w:val="SingleTxtG"/>
              <w:spacing w:before="40" w:after="40" w:line="210" w:lineRule="exact"/>
              <w:ind w:left="0" w:right="43"/>
              <w:jc w:val="right"/>
              <w:rPr>
                <w:spacing w:val="4"/>
                <w:w w:val="103"/>
                <w:sz w:val="17"/>
                <w:lang w:val="fr-FR" w:bidi="fr-FR"/>
              </w:rPr>
            </w:pPr>
          </w:p>
        </w:tc>
        <w:tc>
          <w:tcPr>
            <w:tcW w:w="813" w:type="dxa"/>
            <w:tcBorders>
              <w:top w:val="single" w:sz="12" w:space="0" w:color="auto"/>
            </w:tcBorders>
            <w:shd w:val="clear" w:color="auto" w:fill="auto"/>
            <w:noWrap/>
            <w:vAlign w:val="bottom"/>
          </w:tcPr>
          <w:p w14:paraId="70A238D0" w14:textId="77777777" w:rsidR="005519F3" w:rsidRPr="002E4298" w:rsidRDefault="005519F3" w:rsidP="005519F3">
            <w:pPr>
              <w:pStyle w:val="SingleTxtG"/>
              <w:spacing w:before="40" w:after="40" w:line="210" w:lineRule="exact"/>
              <w:ind w:left="0" w:right="43"/>
              <w:jc w:val="right"/>
              <w:rPr>
                <w:spacing w:val="4"/>
                <w:w w:val="103"/>
                <w:sz w:val="17"/>
                <w:lang w:val="fr-FR" w:bidi="fr-FR"/>
              </w:rPr>
            </w:pPr>
          </w:p>
        </w:tc>
        <w:tc>
          <w:tcPr>
            <w:tcW w:w="813" w:type="dxa"/>
            <w:tcBorders>
              <w:top w:val="single" w:sz="12" w:space="0" w:color="auto"/>
            </w:tcBorders>
            <w:shd w:val="clear" w:color="auto" w:fill="auto"/>
            <w:noWrap/>
            <w:vAlign w:val="bottom"/>
          </w:tcPr>
          <w:p w14:paraId="1A6A67AB" w14:textId="77777777" w:rsidR="005519F3" w:rsidRPr="002E4298" w:rsidRDefault="005519F3" w:rsidP="005519F3">
            <w:pPr>
              <w:pStyle w:val="SingleTxtG"/>
              <w:spacing w:before="40" w:after="40" w:line="210" w:lineRule="exact"/>
              <w:ind w:left="0" w:right="43"/>
              <w:jc w:val="right"/>
              <w:rPr>
                <w:spacing w:val="4"/>
                <w:w w:val="103"/>
                <w:sz w:val="17"/>
                <w:lang w:val="fr-FR" w:bidi="fr-FR"/>
              </w:rPr>
            </w:pPr>
          </w:p>
        </w:tc>
        <w:tc>
          <w:tcPr>
            <w:tcW w:w="813" w:type="dxa"/>
            <w:tcBorders>
              <w:top w:val="single" w:sz="12" w:space="0" w:color="auto"/>
            </w:tcBorders>
            <w:shd w:val="clear" w:color="auto" w:fill="auto"/>
            <w:noWrap/>
            <w:vAlign w:val="bottom"/>
          </w:tcPr>
          <w:p w14:paraId="7F17D85E" w14:textId="77777777" w:rsidR="005519F3" w:rsidRPr="002E4298" w:rsidRDefault="005519F3" w:rsidP="005519F3">
            <w:pPr>
              <w:pStyle w:val="SingleTxtG"/>
              <w:spacing w:before="40" w:after="40" w:line="210" w:lineRule="exact"/>
              <w:ind w:left="0" w:right="43"/>
              <w:jc w:val="right"/>
              <w:rPr>
                <w:spacing w:val="4"/>
                <w:w w:val="103"/>
                <w:sz w:val="17"/>
                <w:lang w:val="fr-FR" w:bidi="fr-FR"/>
              </w:rPr>
            </w:pPr>
          </w:p>
        </w:tc>
        <w:tc>
          <w:tcPr>
            <w:tcW w:w="813" w:type="dxa"/>
            <w:tcBorders>
              <w:top w:val="single" w:sz="12" w:space="0" w:color="auto"/>
            </w:tcBorders>
            <w:shd w:val="clear" w:color="auto" w:fill="auto"/>
            <w:noWrap/>
            <w:vAlign w:val="bottom"/>
          </w:tcPr>
          <w:p w14:paraId="50D498C4" w14:textId="77777777" w:rsidR="005519F3" w:rsidRPr="002E4298" w:rsidRDefault="005519F3" w:rsidP="005519F3">
            <w:pPr>
              <w:pStyle w:val="SingleTxtG"/>
              <w:spacing w:before="40" w:after="40" w:line="210" w:lineRule="exact"/>
              <w:ind w:left="0" w:right="43"/>
              <w:jc w:val="right"/>
              <w:rPr>
                <w:spacing w:val="4"/>
                <w:w w:val="103"/>
                <w:sz w:val="17"/>
                <w:lang w:val="fr-FR" w:bidi="fr-FR"/>
              </w:rPr>
            </w:pPr>
          </w:p>
        </w:tc>
        <w:tc>
          <w:tcPr>
            <w:tcW w:w="813" w:type="dxa"/>
            <w:tcBorders>
              <w:top w:val="single" w:sz="12" w:space="0" w:color="auto"/>
            </w:tcBorders>
            <w:shd w:val="clear" w:color="auto" w:fill="auto"/>
            <w:noWrap/>
            <w:vAlign w:val="bottom"/>
          </w:tcPr>
          <w:p w14:paraId="06F5728B" w14:textId="77777777" w:rsidR="005519F3" w:rsidRPr="002E4298" w:rsidRDefault="005519F3" w:rsidP="005519F3">
            <w:pPr>
              <w:pStyle w:val="SingleTxtG"/>
              <w:spacing w:before="40" w:after="40" w:line="210" w:lineRule="exact"/>
              <w:ind w:left="0" w:right="43"/>
              <w:jc w:val="right"/>
              <w:rPr>
                <w:spacing w:val="4"/>
                <w:w w:val="103"/>
                <w:sz w:val="17"/>
                <w:lang w:val="fr-FR" w:bidi="fr-FR"/>
              </w:rPr>
            </w:pPr>
          </w:p>
        </w:tc>
        <w:tc>
          <w:tcPr>
            <w:tcW w:w="813" w:type="dxa"/>
            <w:tcBorders>
              <w:top w:val="single" w:sz="12" w:space="0" w:color="auto"/>
            </w:tcBorders>
            <w:shd w:val="clear" w:color="auto" w:fill="auto"/>
            <w:noWrap/>
            <w:vAlign w:val="bottom"/>
          </w:tcPr>
          <w:p w14:paraId="11380216" w14:textId="77777777" w:rsidR="005519F3" w:rsidRPr="002E4298" w:rsidRDefault="005519F3" w:rsidP="005519F3">
            <w:pPr>
              <w:pStyle w:val="SingleTxtG"/>
              <w:spacing w:before="40" w:after="40" w:line="210" w:lineRule="exact"/>
              <w:ind w:left="0" w:right="43"/>
              <w:jc w:val="right"/>
              <w:rPr>
                <w:spacing w:val="4"/>
                <w:w w:val="103"/>
                <w:sz w:val="17"/>
                <w:lang w:val="fr-FR" w:bidi="fr-FR"/>
              </w:rPr>
            </w:pPr>
          </w:p>
        </w:tc>
        <w:tc>
          <w:tcPr>
            <w:tcW w:w="813" w:type="dxa"/>
            <w:tcBorders>
              <w:top w:val="single" w:sz="12" w:space="0" w:color="auto"/>
            </w:tcBorders>
            <w:shd w:val="clear" w:color="auto" w:fill="auto"/>
            <w:noWrap/>
            <w:vAlign w:val="bottom"/>
          </w:tcPr>
          <w:p w14:paraId="2CB4B353" w14:textId="77777777" w:rsidR="005519F3" w:rsidRPr="002E4298" w:rsidRDefault="005519F3" w:rsidP="005519F3">
            <w:pPr>
              <w:pStyle w:val="SingleTxtG"/>
              <w:spacing w:before="40" w:after="40" w:line="210" w:lineRule="exact"/>
              <w:ind w:left="0" w:right="43"/>
              <w:jc w:val="right"/>
              <w:rPr>
                <w:spacing w:val="4"/>
                <w:w w:val="103"/>
                <w:sz w:val="17"/>
                <w:lang w:val="fr-FR" w:bidi="fr-FR"/>
              </w:rPr>
            </w:pPr>
          </w:p>
        </w:tc>
      </w:tr>
      <w:tr w:rsidR="005519F3" w:rsidRPr="002E4298" w14:paraId="01618FF9" w14:textId="77777777" w:rsidTr="0020528A">
        <w:tc>
          <w:tcPr>
            <w:tcW w:w="4065" w:type="dxa"/>
            <w:gridSpan w:val="5"/>
            <w:shd w:val="clear" w:color="auto" w:fill="auto"/>
            <w:noWrap/>
          </w:tcPr>
          <w:p w14:paraId="470452E6" w14:textId="6EDD184C" w:rsidR="005519F3" w:rsidRPr="002E4298" w:rsidRDefault="005519F3" w:rsidP="005519F3">
            <w:pPr>
              <w:pStyle w:val="SingleTxtG"/>
              <w:tabs>
                <w:tab w:val="left" w:pos="288"/>
                <w:tab w:val="left" w:pos="576"/>
                <w:tab w:val="left" w:pos="864"/>
                <w:tab w:val="left" w:pos="1152"/>
              </w:tabs>
              <w:spacing w:before="40" w:after="40" w:line="210" w:lineRule="exact"/>
              <w:ind w:left="0" w:right="43"/>
              <w:jc w:val="left"/>
              <w:rPr>
                <w:spacing w:val="4"/>
                <w:w w:val="103"/>
                <w:sz w:val="17"/>
                <w:lang w:val="fr-FR" w:bidi="fr-FR"/>
              </w:rPr>
            </w:pPr>
            <w:r w:rsidRPr="002E4298">
              <w:rPr>
                <w:spacing w:val="4"/>
                <w:w w:val="103"/>
                <w:sz w:val="17"/>
                <w:lang w:val="fr-FR" w:bidi="fr-FR"/>
              </w:rPr>
              <w:t>Salaire de base mensuel moyen</w:t>
            </w:r>
          </w:p>
        </w:tc>
        <w:tc>
          <w:tcPr>
            <w:tcW w:w="813" w:type="dxa"/>
            <w:shd w:val="clear" w:color="auto" w:fill="auto"/>
            <w:noWrap/>
            <w:vAlign w:val="bottom"/>
          </w:tcPr>
          <w:p w14:paraId="0BED1780" w14:textId="77777777" w:rsidR="005519F3" w:rsidRPr="002E4298" w:rsidRDefault="005519F3" w:rsidP="005519F3">
            <w:pPr>
              <w:pStyle w:val="SingleTxtG"/>
              <w:tabs>
                <w:tab w:val="left" w:pos="288"/>
                <w:tab w:val="left" w:pos="576"/>
                <w:tab w:val="left" w:pos="864"/>
                <w:tab w:val="left" w:pos="1152"/>
              </w:tabs>
              <w:spacing w:before="40" w:after="40" w:line="210" w:lineRule="exact"/>
              <w:ind w:left="0" w:right="43"/>
              <w:jc w:val="right"/>
              <w:rPr>
                <w:spacing w:val="4"/>
                <w:w w:val="103"/>
                <w:sz w:val="17"/>
                <w:lang w:val="fr-FR" w:bidi="fr-FR"/>
              </w:rPr>
            </w:pPr>
          </w:p>
        </w:tc>
        <w:tc>
          <w:tcPr>
            <w:tcW w:w="813" w:type="dxa"/>
            <w:shd w:val="clear" w:color="auto" w:fill="auto"/>
            <w:noWrap/>
            <w:vAlign w:val="bottom"/>
          </w:tcPr>
          <w:p w14:paraId="21AB4A17" w14:textId="77777777" w:rsidR="005519F3" w:rsidRPr="002E4298" w:rsidRDefault="005519F3" w:rsidP="005519F3">
            <w:pPr>
              <w:pStyle w:val="SingleTxtG"/>
              <w:tabs>
                <w:tab w:val="left" w:pos="288"/>
                <w:tab w:val="left" w:pos="576"/>
                <w:tab w:val="left" w:pos="864"/>
                <w:tab w:val="left" w:pos="1152"/>
              </w:tabs>
              <w:spacing w:before="40" w:after="40" w:line="210" w:lineRule="exact"/>
              <w:ind w:left="0" w:right="43"/>
              <w:jc w:val="right"/>
              <w:rPr>
                <w:spacing w:val="4"/>
                <w:w w:val="103"/>
                <w:sz w:val="17"/>
                <w:lang w:val="fr-FR" w:bidi="fr-FR"/>
              </w:rPr>
            </w:pPr>
          </w:p>
        </w:tc>
        <w:tc>
          <w:tcPr>
            <w:tcW w:w="813" w:type="dxa"/>
            <w:shd w:val="clear" w:color="auto" w:fill="auto"/>
            <w:noWrap/>
            <w:vAlign w:val="bottom"/>
          </w:tcPr>
          <w:p w14:paraId="43461DDC" w14:textId="77777777" w:rsidR="005519F3" w:rsidRPr="002E4298" w:rsidRDefault="005519F3" w:rsidP="005519F3">
            <w:pPr>
              <w:pStyle w:val="SingleTxtG"/>
              <w:tabs>
                <w:tab w:val="left" w:pos="288"/>
                <w:tab w:val="left" w:pos="576"/>
                <w:tab w:val="left" w:pos="864"/>
                <w:tab w:val="left" w:pos="1152"/>
              </w:tabs>
              <w:spacing w:before="40" w:after="40" w:line="210" w:lineRule="exact"/>
              <w:ind w:left="0" w:right="43"/>
              <w:jc w:val="right"/>
              <w:rPr>
                <w:spacing w:val="4"/>
                <w:w w:val="103"/>
                <w:sz w:val="17"/>
                <w:lang w:val="fr-FR" w:bidi="fr-FR"/>
              </w:rPr>
            </w:pPr>
          </w:p>
        </w:tc>
        <w:tc>
          <w:tcPr>
            <w:tcW w:w="813" w:type="dxa"/>
            <w:shd w:val="clear" w:color="auto" w:fill="auto"/>
            <w:noWrap/>
            <w:vAlign w:val="bottom"/>
          </w:tcPr>
          <w:p w14:paraId="73F46207" w14:textId="77777777" w:rsidR="005519F3" w:rsidRPr="002E4298" w:rsidRDefault="005519F3" w:rsidP="005519F3">
            <w:pPr>
              <w:pStyle w:val="SingleTxtG"/>
              <w:tabs>
                <w:tab w:val="left" w:pos="288"/>
                <w:tab w:val="left" w:pos="576"/>
                <w:tab w:val="left" w:pos="864"/>
                <w:tab w:val="left" w:pos="1152"/>
              </w:tabs>
              <w:spacing w:before="40" w:after="40" w:line="210" w:lineRule="exact"/>
              <w:ind w:left="0" w:right="43"/>
              <w:jc w:val="right"/>
              <w:rPr>
                <w:spacing w:val="4"/>
                <w:w w:val="103"/>
                <w:sz w:val="17"/>
                <w:lang w:val="fr-FR" w:bidi="fr-FR"/>
              </w:rPr>
            </w:pPr>
          </w:p>
        </w:tc>
      </w:tr>
      <w:tr w:rsidR="00BB0956" w:rsidRPr="002E4298" w14:paraId="6E2601A6" w14:textId="77777777" w:rsidTr="005519F3">
        <w:tc>
          <w:tcPr>
            <w:tcW w:w="813" w:type="dxa"/>
            <w:shd w:val="clear" w:color="auto" w:fill="auto"/>
            <w:noWrap/>
            <w:vAlign w:val="bottom"/>
            <w:hideMark/>
          </w:tcPr>
          <w:p w14:paraId="442EB43C" w14:textId="77777777" w:rsidR="00BB0956" w:rsidRPr="002E4298" w:rsidRDefault="00BB0956" w:rsidP="005519F3">
            <w:pPr>
              <w:pStyle w:val="SingleTxtG"/>
              <w:tabs>
                <w:tab w:val="left" w:pos="288"/>
                <w:tab w:val="left" w:pos="576"/>
                <w:tab w:val="left" w:pos="864"/>
                <w:tab w:val="left" w:pos="1152"/>
              </w:tabs>
              <w:spacing w:before="40" w:after="40" w:line="210" w:lineRule="exact"/>
              <w:ind w:left="0" w:right="40"/>
              <w:jc w:val="left"/>
              <w:rPr>
                <w:bCs/>
                <w:spacing w:val="4"/>
                <w:w w:val="103"/>
                <w:sz w:val="17"/>
                <w:lang w:val="fr-FR"/>
              </w:rPr>
            </w:pPr>
            <w:r w:rsidRPr="002E4298">
              <w:rPr>
                <w:spacing w:val="4"/>
                <w:w w:val="103"/>
                <w:sz w:val="17"/>
                <w:lang w:val="fr-FR" w:bidi="fr-FR"/>
              </w:rPr>
              <w:t>H</w:t>
            </w:r>
          </w:p>
        </w:tc>
        <w:tc>
          <w:tcPr>
            <w:tcW w:w="813" w:type="dxa"/>
            <w:shd w:val="clear" w:color="auto" w:fill="auto"/>
            <w:noWrap/>
            <w:vAlign w:val="bottom"/>
            <w:hideMark/>
          </w:tcPr>
          <w:p w14:paraId="4EC53797" w14:textId="77777777" w:rsidR="00BB0956" w:rsidRPr="002E4298" w:rsidRDefault="00BB0956" w:rsidP="005519F3">
            <w:pPr>
              <w:pStyle w:val="SingleTxtG"/>
              <w:tabs>
                <w:tab w:val="left" w:pos="288"/>
                <w:tab w:val="left" w:pos="576"/>
                <w:tab w:val="left" w:pos="864"/>
                <w:tab w:val="left" w:pos="1152"/>
              </w:tabs>
              <w:spacing w:before="40" w:after="40" w:line="210" w:lineRule="exact"/>
              <w:ind w:left="0" w:right="43"/>
              <w:jc w:val="right"/>
              <w:rPr>
                <w:spacing w:val="4"/>
                <w:w w:val="103"/>
                <w:sz w:val="17"/>
                <w:lang w:val="fr-FR"/>
              </w:rPr>
            </w:pPr>
            <w:r w:rsidRPr="002E4298">
              <w:rPr>
                <w:spacing w:val="4"/>
                <w:w w:val="103"/>
                <w:sz w:val="17"/>
                <w:lang w:val="fr-FR" w:bidi="fr-FR"/>
              </w:rPr>
              <w:t>974,4</w:t>
            </w:r>
          </w:p>
        </w:tc>
        <w:tc>
          <w:tcPr>
            <w:tcW w:w="813" w:type="dxa"/>
            <w:shd w:val="clear" w:color="auto" w:fill="auto"/>
            <w:noWrap/>
            <w:vAlign w:val="bottom"/>
            <w:hideMark/>
          </w:tcPr>
          <w:p w14:paraId="7EF274DE" w14:textId="77777777" w:rsidR="00BB0956" w:rsidRPr="002E4298" w:rsidRDefault="00BB0956" w:rsidP="005519F3">
            <w:pPr>
              <w:pStyle w:val="SingleTxtG"/>
              <w:tabs>
                <w:tab w:val="left" w:pos="288"/>
                <w:tab w:val="left" w:pos="576"/>
                <w:tab w:val="left" w:pos="864"/>
                <w:tab w:val="left" w:pos="1152"/>
              </w:tabs>
              <w:spacing w:before="40" w:after="40" w:line="210" w:lineRule="exact"/>
              <w:ind w:left="0" w:right="43"/>
              <w:jc w:val="right"/>
              <w:rPr>
                <w:spacing w:val="4"/>
                <w:w w:val="103"/>
                <w:sz w:val="17"/>
                <w:lang w:val="fr-FR"/>
              </w:rPr>
            </w:pPr>
            <w:r w:rsidRPr="002E4298">
              <w:rPr>
                <w:spacing w:val="4"/>
                <w:w w:val="103"/>
                <w:sz w:val="17"/>
                <w:lang w:val="fr-FR" w:bidi="fr-FR"/>
              </w:rPr>
              <w:t>982,0</w:t>
            </w:r>
          </w:p>
        </w:tc>
        <w:tc>
          <w:tcPr>
            <w:tcW w:w="813" w:type="dxa"/>
            <w:shd w:val="clear" w:color="auto" w:fill="auto"/>
            <w:noWrap/>
            <w:vAlign w:val="bottom"/>
            <w:hideMark/>
          </w:tcPr>
          <w:p w14:paraId="367A60C2" w14:textId="77777777" w:rsidR="00BB0956" w:rsidRPr="002E4298" w:rsidRDefault="00BB0956" w:rsidP="005519F3">
            <w:pPr>
              <w:pStyle w:val="SingleTxtG"/>
              <w:tabs>
                <w:tab w:val="left" w:pos="288"/>
                <w:tab w:val="left" w:pos="576"/>
                <w:tab w:val="left" w:pos="864"/>
                <w:tab w:val="left" w:pos="1152"/>
              </w:tabs>
              <w:spacing w:before="40" w:after="40" w:line="210" w:lineRule="exact"/>
              <w:ind w:left="0" w:right="43"/>
              <w:jc w:val="right"/>
              <w:rPr>
                <w:spacing w:val="4"/>
                <w:w w:val="103"/>
                <w:sz w:val="17"/>
                <w:lang w:val="fr-FR"/>
              </w:rPr>
            </w:pPr>
            <w:r w:rsidRPr="002E4298">
              <w:rPr>
                <w:spacing w:val="4"/>
                <w:w w:val="103"/>
                <w:sz w:val="17"/>
                <w:lang w:val="fr-FR" w:bidi="fr-FR"/>
              </w:rPr>
              <w:t>996,6</w:t>
            </w:r>
          </w:p>
        </w:tc>
        <w:tc>
          <w:tcPr>
            <w:tcW w:w="813" w:type="dxa"/>
            <w:shd w:val="clear" w:color="auto" w:fill="auto"/>
            <w:noWrap/>
            <w:vAlign w:val="bottom"/>
            <w:hideMark/>
          </w:tcPr>
          <w:p w14:paraId="0FDED2EA" w14:textId="77777777" w:rsidR="00BB0956" w:rsidRPr="002E4298" w:rsidRDefault="00BB0956" w:rsidP="005519F3">
            <w:pPr>
              <w:pStyle w:val="SingleTxtG"/>
              <w:tabs>
                <w:tab w:val="left" w:pos="288"/>
                <w:tab w:val="left" w:pos="576"/>
                <w:tab w:val="left" w:pos="864"/>
                <w:tab w:val="left" w:pos="1152"/>
              </w:tabs>
              <w:spacing w:before="40" w:after="40" w:line="210" w:lineRule="exact"/>
              <w:ind w:left="0" w:right="43"/>
              <w:jc w:val="right"/>
              <w:rPr>
                <w:spacing w:val="4"/>
                <w:w w:val="103"/>
                <w:sz w:val="17"/>
                <w:lang w:val="fr-FR"/>
              </w:rPr>
            </w:pPr>
            <w:r w:rsidRPr="002E4298">
              <w:rPr>
                <w:spacing w:val="4"/>
                <w:w w:val="103"/>
                <w:sz w:val="17"/>
                <w:lang w:val="fr-FR" w:bidi="fr-FR"/>
              </w:rPr>
              <w:t>990,5</w:t>
            </w:r>
          </w:p>
        </w:tc>
        <w:tc>
          <w:tcPr>
            <w:tcW w:w="813" w:type="dxa"/>
            <w:shd w:val="clear" w:color="auto" w:fill="auto"/>
            <w:noWrap/>
            <w:vAlign w:val="bottom"/>
            <w:hideMark/>
          </w:tcPr>
          <w:p w14:paraId="724E05B7" w14:textId="77777777" w:rsidR="00BB0956" w:rsidRPr="002E4298" w:rsidRDefault="00BB0956" w:rsidP="005519F3">
            <w:pPr>
              <w:pStyle w:val="SingleTxtG"/>
              <w:tabs>
                <w:tab w:val="left" w:pos="288"/>
                <w:tab w:val="left" w:pos="576"/>
                <w:tab w:val="left" w:pos="864"/>
                <w:tab w:val="left" w:pos="1152"/>
              </w:tabs>
              <w:spacing w:before="40" w:after="40" w:line="210" w:lineRule="exact"/>
              <w:ind w:left="0" w:right="43"/>
              <w:jc w:val="right"/>
              <w:rPr>
                <w:spacing w:val="4"/>
                <w:w w:val="103"/>
                <w:sz w:val="17"/>
                <w:lang w:val="fr-FR"/>
              </w:rPr>
            </w:pPr>
            <w:r w:rsidRPr="002E4298">
              <w:rPr>
                <w:spacing w:val="4"/>
                <w:w w:val="103"/>
                <w:sz w:val="17"/>
                <w:lang w:val="fr-FR" w:bidi="fr-FR"/>
              </w:rPr>
              <w:t>981,7</w:t>
            </w:r>
          </w:p>
        </w:tc>
        <w:tc>
          <w:tcPr>
            <w:tcW w:w="813" w:type="dxa"/>
            <w:shd w:val="clear" w:color="auto" w:fill="auto"/>
            <w:noWrap/>
            <w:vAlign w:val="bottom"/>
            <w:hideMark/>
          </w:tcPr>
          <w:p w14:paraId="363E2BDA" w14:textId="77777777" w:rsidR="00BB0956" w:rsidRPr="002E4298" w:rsidRDefault="00BB0956" w:rsidP="005519F3">
            <w:pPr>
              <w:pStyle w:val="SingleTxtG"/>
              <w:tabs>
                <w:tab w:val="left" w:pos="288"/>
                <w:tab w:val="left" w:pos="576"/>
                <w:tab w:val="left" w:pos="864"/>
                <w:tab w:val="left" w:pos="1152"/>
              </w:tabs>
              <w:spacing w:before="40" w:after="40" w:line="210" w:lineRule="exact"/>
              <w:ind w:left="0" w:right="43"/>
              <w:jc w:val="right"/>
              <w:rPr>
                <w:spacing w:val="4"/>
                <w:w w:val="103"/>
                <w:sz w:val="17"/>
                <w:lang w:val="fr-FR"/>
              </w:rPr>
            </w:pPr>
            <w:r w:rsidRPr="002E4298">
              <w:rPr>
                <w:spacing w:val="4"/>
                <w:w w:val="103"/>
                <w:sz w:val="17"/>
                <w:lang w:val="fr-FR" w:bidi="fr-FR"/>
              </w:rPr>
              <w:t>986,5</w:t>
            </w:r>
          </w:p>
        </w:tc>
        <w:tc>
          <w:tcPr>
            <w:tcW w:w="813" w:type="dxa"/>
            <w:shd w:val="clear" w:color="auto" w:fill="auto"/>
            <w:noWrap/>
            <w:vAlign w:val="bottom"/>
            <w:hideMark/>
          </w:tcPr>
          <w:p w14:paraId="0A25131B" w14:textId="77777777" w:rsidR="00BB0956" w:rsidRPr="002E4298" w:rsidRDefault="00BB0956" w:rsidP="005519F3">
            <w:pPr>
              <w:pStyle w:val="SingleTxtG"/>
              <w:tabs>
                <w:tab w:val="left" w:pos="288"/>
                <w:tab w:val="left" w:pos="576"/>
                <w:tab w:val="left" w:pos="864"/>
                <w:tab w:val="left" w:pos="1152"/>
              </w:tabs>
              <w:spacing w:before="40" w:after="40" w:line="210" w:lineRule="exact"/>
              <w:ind w:left="0" w:right="43"/>
              <w:jc w:val="right"/>
              <w:rPr>
                <w:spacing w:val="4"/>
                <w:w w:val="103"/>
                <w:sz w:val="17"/>
                <w:lang w:val="fr-FR"/>
              </w:rPr>
            </w:pPr>
            <w:r w:rsidRPr="002E4298">
              <w:rPr>
                <w:spacing w:val="4"/>
                <w:w w:val="103"/>
                <w:sz w:val="17"/>
                <w:lang w:val="fr-FR" w:bidi="fr-FR"/>
              </w:rPr>
              <w:t>994,0</w:t>
            </w:r>
          </w:p>
        </w:tc>
        <w:tc>
          <w:tcPr>
            <w:tcW w:w="813" w:type="dxa"/>
            <w:shd w:val="clear" w:color="auto" w:fill="auto"/>
            <w:noWrap/>
            <w:vAlign w:val="bottom"/>
            <w:hideMark/>
          </w:tcPr>
          <w:p w14:paraId="4B5A9C2B" w14:textId="77777777" w:rsidR="00BB0956" w:rsidRPr="002E4298" w:rsidRDefault="00BB0956" w:rsidP="005519F3">
            <w:pPr>
              <w:pStyle w:val="SingleTxtG"/>
              <w:tabs>
                <w:tab w:val="left" w:pos="288"/>
                <w:tab w:val="left" w:pos="576"/>
                <w:tab w:val="left" w:pos="864"/>
                <w:tab w:val="left" w:pos="1152"/>
              </w:tabs>
              <w:spacing w:before="40" w:after="40" w:line="210" w:lineRule="exact"/>
              <w:ind w:left="0" w:right="43"/>
              <w:jc w:val="right"/>
              <w:rPr>
                <w:spacing w:val="4"/>
                <w:w w:val="103"/>
                <w:sz w:val="17"/>
                <w:lang w:val="fr-FR"/>
              </w:rPr>
            </w:pPr>
            <w:r w:rsidRPr="002E4298">
              <w:rPr>
                <w:spacing w:val="4"/>
                <w:w w:val="103"/>
                <w:sz w:val="17"/>
                <w:lang w:val="fr-FR" w:bidi="fr-FR"/>
              </w:rPr>
              <w:t>1 008,7</w:t>
            </w:r>
          </w:p>
        </w:tc>
      </w:tr>
      <w:tr w:rsidR="00BB0956" w:rsidRPr="002E4298" w14:paraId="602BE0AA" w14:textId="77777777" w:rsidTr="005519F3">
        <w:tc>
          <w:tcPr>
            <w:tcW w:w="813" w:type="dxa"/>
            <w:shd w:val="clear" w:color="auto" w:fill="auto"/>
            <w:noWrap/>
            <w:vAlign w:val="bottom"/>
            <w:hideMark/>
          </w:tcPr>
          <w:p w14:paraId="431A29F3" w14:textId="77777777" w:rsidR="00BB0956" w:rsidRPr="002E4298" w:rsidRDefault="00BB0956" w:rsidP="005519F3">
            <w:pPr>
              <w:pStyle w:val="SingleTxtG"/>
              <w:tabs>
                <w:tab w:val="left" w:pos="288"/>
                <w:tab w:val="left" w:pos="576"/>
                <w:tab w:val="left" w:pos="864"/>
                <w:tab w:val="left" w:pos="1152"/>
              </w:tabs>
              <w:spacing w:before="40" w:after="40" w:line="210" w:lineRule="exact"/>
              <w:ind w:left="0" w:right="40"/>
              <w:jc w:val="left"/>
              <w:rPr>
                <w:bCs/>
                <w:spacing w:val="4"/>
                <w:w w:val="103"/>
                <w:sz w:val="17"/>
                <w:lang w:val="fr-FR"/>
              </w:rPr>
            </w:pPr>
            <w:r w:rsidRPr="002E4298">
              <w:rPr>
                <w:spacing w:val="4"/>
                <w:w w:val="103"/>
                <w:sz w:val="17"/>
                <w:lang w:val="fr-FR" w:bidi="fr-FR"/>
              </w:rPr>
              <w:t>F</w:t>
            </w:r>
          </w:p>
        </w:tc>
        <w:tc>
          <w:tcPr>
            <w:tcW w:w="813" w:type="dxa"/>
            <w:shd w:val="clear" w:color="auto" w:fill="auto"/>
            <w:noWrap/>
            <w:vAlign w:val="bottom"/>
            <w:hideMark/>
          </w:tcPr>
          <w:p w14:paraId="5DC837CD" w14:textId="77777777" w:rsidR="00BB0956" w:rsidRPr="002E4298" w:rsidRDefault="00BB0956" w:rsidP="005519F3">
            <w:pPr>
              <w:pStyle w:val="SingleTxtG"/>
              <w:tabs>
                <w:tab w:val="left" w:pos="288"/>
                <w:tab w:val="left" w:pos="576"/>
                <w:tab w:val="left" w:pos="864"/>
                <w:tab w:val="left" w:pos="1152"/>
              </w:tabs>
              <w:spacing w:before="40" w:after="40" w:line="210" w:lineRule="exact"/>
              <w:ind w:left="0" w:right="43"/>
              <w:jc w:val="right"/>
              <w:rPr>
                <w:spacing w:val="4"/>
                <w:w w:val="103"/>
                <w:sz w:val="17"/>
                <w:lang w:val="fr-FR"/>
              </w:rPr>
            </w:pPr>
            <w:r w:rsidRPr="002E4298">
              <w:rPr>
                <w:spacing w:val="4"/>
                <w:w w:val="103"/>
                <w:sz w:val="17"/>
                <w:lang w:val="fr-FR" w:bidi="fr-FR"/>
              </w:rPr>
              <w:t>799,6</w:t>
            </w:r>
          </w:p>
        </w:tc>
        <w:tc>
          <w:tcPr>
            <w:tcW w:w="813" w:type="dxa"/>
            <w:shd w:val="clear" w:color="auto" w:fill="auto"/>
            <w:noWrap/>
            <w:vAlign w:val="bottom"/>
            <w:hideMark/>
          </w:tcPr>
          <w:p w14:paraId="65119C38" w14:textId="77777777" w:rsidR="00BB0956" w:rsidRPr="002E4298" w:rsidRDefault="00BB0956" w:rsidP="005519F3">
            <w:pPr>
              <w:pStyle w:val="SingleTxtG"/>
              <w:tabs>
                <w:tab w:val="left" w:pos="288"/>
                <w:tab w:val="left" w:pos="576"/>
                <w:tab w:val="left" w:pos="864"/>
                <w:tab w:val="left" w:pos="1152"/>
              </w:tabs>
              <w:spacing w:before="40" w:after="40" w:line="210" w:lineRule="exact"/>
              <w:ind w:left="0" w:right="43"/>
              <w:jc w:val="right"/>
              <w:rPr>
                <w:spacing w:val="4"/>
                <w:w w:val="103"/>
                <w:sz w:val="17"/>
                <w:lang w:val="fr-FR"/>
              </w:rPr>
            </w:pPr>
            <w:r w:rsidRPr="002E4298">
              <w:rPr>
                <w:spacing w:val="4"/>
                <w:w w:val="103"/>
                <w:sz w:val="17"/>
                <w:lang w:val="fr-FR" w:bidi="fr-FR"/>
              </w:rPr>
              <w:t>806,5</w:t>
            </w:r>
          </w:p>
        </w:tc>
        <w:tc>
          <w:tcPr>
            <w:tcW w:w="813" w:type="dxa"/>
            <w:shd w:val="clear" w:color="auto" w:fill="auto"/>
            <w:noWrap/>
            <w:vAlign w:val="bottom"/>
            <w:hideMark/>
          </w:tcPr>
          <w:p w14:paraId="6FA30DFF" w14:textId="77777777" w:rsidR="00BB0956" w:rsidRPr="002E4298" w:rsidRDefault="00BB0956" w:rsidP="005519F3">
            <w:pPr>
              <w:pStyle w:val="SingleTxtG"/>
              <w:tabs>
                <w:tab w:val="left" w:pos="288"/>
                <w:tab w:val="left" w:pos="576"/>
                <w:tab w:val="left" w:pos="864"/>
                <w:tab w:val="left" w:pos="1152"/>
              </w:tabs>
              <w:spacing w:before="40" w:after="40" w:line="210" w:lineRule="exact"/>
              <w:ind w:left="0" w:right="43"/>
              <w:jc w:val="right"/>
              <w:rPr>
                <w:spacing w:val="4"/>
                <w:w w:val="103"/>
                <w:sz w:val="17"/>
                <w:lang w:val="fr-FR"/>
              </w:rPr>
            </w:pPr>
            <w:r w:rsidRPr="002E4298">
              <w:rPr>
                <w:spacing w:val="4"/>
                <w:w w:val="103"/>
                <w:sz w:val="17"/>
                <w:lang w:val="fr-FR" w:bidi="fr-FR"/>
              </w:rPr>
              <w:t>812,8</w:t>
            </w:r>
          </w:p>
        </w:tc>
        <w:tc>
          <w:tcPr>
            <w:tcW w:w="813" w:type="dxa"/>
            <w:shd w:val="clear" w:color="auto" w:fill="auto"/>
            <w:noWrap/>
            <w:vAlign w:val="bottom"/>
            <w:hideMark/>
          </w:tcPr>
          <w:p w14:paraId="5D5CE0ED" w14:textId="77777777" w:rsidR="00BB0956" w:rsidRPr="002E4298" w:rsidRDefault="00BB0956" w:rsidP="005519F3">
            <w:pPr>
              <w:pStyle w:val="SingleTxtG"/>
              <w:tabs>
                <w:tab w:val="left" w:pos="288"/>
                <w:tab w:val="left" w:pos="576"/>
                <w:tab w:val="left" w:pos="864"/>
                <w:tab w:val="left" w:pos="1152"/>
              </w:tabs>
              <w:spacing w:before="40" w:after="40" w:line="210" w:lineRule="exact"/>
              <w:ind w:left="0" w:right="43"/>
              <w:jc w:val="right"/>
              <w:rPr>
                <w:spacing w:val="4"/>
                <w:w w:val="103"/>
                <w:sz w:val="17"/>
                <w:lang w:val="fr-FR"/>
              </w:rPr>
            </w:pPr>
            <w:r w:rsidRPr="002E4298">
              <w:rPr>
                <w:spacing w:val="4"/>
                <w:w w:val="103"/>
                <w:sz w:val="17"/>
                <w:lang w:val="fr-FR" w:bidi="fr-FR"/>
              </w:rPr>
              <w:t>814,6</w:t>
            </w:r>
          </w:p>
        </w:tc>
        <w:tc>
          <w:tcPr>
            <w:tcW w:w="813" w:type="dxa"/>
            <w:shd w:val="clear" w:color="auto" w:fill="auto"/>
            <w:noWrap/>
            <w:vAlign w:val="bottom"/>
            <w:hideMark/>
          </w:tcPr>
          <w:p w14:paraId="4F2DD683" w14:textId="77777777" w:rsidR="00BB0956" w:rsidRPr="002E4298" w:rsidRDefault="00BB0956" w:rsidP="005519F3">
            <w:pPr>
              <w:pStyle w:val="SingleTxtG"/>
              <w:tabs>
                <w:tab w:val="left" w:pos="288"/>
                <w:tab w:val="left" w:pos="576"/>
                <w:tab w:val="left" w:pos="864"/>
                <w:tab w:val="left" w:pos="1152"/>
              </w:tabs>
              <w:spacing w:before="40" w:after="40" w:line="210" w:lineRule="exact"/>
              <w:ind w:left="0" w:right="43"/>
              <w:jc w:val="right"/>
              <w:rPr>
                <w:spacing w:val="4"/>
                <w:w w:val="103"/>
                <w:sz w:val="17"/>
                <w:lang w:val="fr-FR"/>
              </w:rPr>
            </w:pPr>
            <w:r w:rsidRPr="002E4298">
              <w:rPr>
                <w:spacing w:val="4"/>
                <w:w w:val="103"/>
                <w:sz w:val="17"/>
                <w:lang w:val="fr-FR" w:bidi="fr-FR"/>
              </w:rPr>
              <w:t>818,5</w:t>
            </w:r>
          </w:p>
        </w:tc>
        <w:tc>
          <w:tcPr>
            <w:tcW w:w="813" w:type="dxa"/>
            <w:shd w:val="clear" w:color="auto" w:fill="auto"/>
            <w:noWrap/>
            <w:vAlign w:val="bottom"/>
            <w:hideMark/>
          </w:tcPr>
          <w:p w14:paraId="2C8B4771" w14:textId="77777777" w:rsidR="00BB0956" w:rsidRPr="002E4298" w:rsidRDefault="00BB0956" w:rsidP="005519F3">
            <w:pPr>
              <w:pStyle w:val="SingleTxtG"/>
              <w:tabs>
                <w:tab w:val="left" w:pos="288"/>
                <w:tab w:val="left" w:pos="576"/>
                <w:tab w:val="left" w:pos="864"/>
                <w:tab w:val="left" w:pos="1152"/>
              </w:tabs>
              <w:spacing w:before="40" w:after="40" w:line="210" w:lineRule="exact"/>
              <w:ind w:left="0" w:right="43"/>
              <w:jc w:val="right"/>
              <w:rPr>
                <w:spacing w:val="4"/>
                <w:w w:val="103"/>
                <w:sz w:val="17"/>
                <w:lang w:val="fr-FR"/>
              </w:rPr>
            </w:pPr>
            <w:r w:rsidRPr="002E4298">
              <w:rPr>
                <w:spacing w:val="4"/>
                <w:w w:val="103"/>
                <w:sz w:val="17"/>
                <w:lang w:val="fr-FR" w:bidi="fr-FR"/>
              </w:rPr>
              <w:t>823,2</w:t>
            </w:r>
          </w:p>
        </w:tc>
        <w:tc>
          <w:tcPr>
            <w:tcW w:w="813" w:type="dxa"/>
            <w:shd w:val="clear" w:color="auto" w:fill="auto"/>
            <w:noWrap/>
            <w:vAlign w:val="bottom"/>
            <w:hideMark/>
          </w:tcPr>
          <w:p w14:paraId="76408A72" w14:textId="77777777" w:rsidR="00BB0956" w:rsidRPr="002E4298" w:rsidRDefault="00BB0956" w:rsidP="005519F3">
            <w:pPr>
              <w:pStyle w:val="SingleTxtG"/>
              <w:tabs>
                <w:tab w:val="left" w:pos="288"/>
                <w:tab w:val="left" w:pos="576"/>
                <w:tab w:val="left" w:pos="864"/>
                <w:tab w:val="left" w:pos="1152"/>
              </w:tabs>
              <w:spacing w:before="40" w:after="40" w:line="210" w:lineRule="exact"/>
              <w:ind w:left="0" w:right="43"/>
              <w:jc w:val="right"/>
              <w:rPr>
                <w:spacing w:val="4"/>
                <w:w w:val="103"/>
                <w:sz w:val="17"/>
                <w:lang w:val="fr-FR"/>
              </w:rPr>
            </w:pPr>
            <w:r w:rsidRPr="002E4298">
              <w:rPr>
                <w:spacing w:val="4"/>
                <w:w w:val="103"/>
                <w:sz w:val="17"/>
                <w:lang w:val="fr-FR" w:bidi="fr-FR"/>
              </w:rPr>
              <w:t>838,4</w:t>
            </w:r>
          </w:p>
        </w:tc>
        <w:tc>
          <w:tcPr>
            <w:tcW w:w="813" w:type="dxa"/>
            <w:shd w:val="clear" w:color="auto" w:fill="auto"/>
            <w:noWrap/>
            <w:vAlign w:val="bottom"/>
            <w:hideMark/>
          </w:tcPr>
          <w:p w14:paraId="250C33CC" w14:textId="77777777" w:rsidR="00BB0956" w:rsidRPr="002E4298" w:rsidRDefault="00BB0956" w:rsidP="005519F3">
            <w:pPr>
              <w:pStyle w:val="SingleTxtG"/>
              <w:tabs>
                <w:tab w:val="left" w:pos="288"/>
                <w:tab w:val="left" w:pos="576"/>
                <w:tab w:val="left" w:pos="864"/>
                <w:tab w:val="left" w:pos="1152"/>
              </w:tabs>
              <w:spacing w:before="40" w:after="40" w:line="210" w:lineRule="exact"/>
              <w:ind w:left="0" w:right="43"/>
              <w:jc w:val="right"/>
              <w:rPr>
                <w:spacing w:val="4"/>
                <w:w w:val="103"/>
                <w:sz w:val="17"/>
                <w:lang w:val="fr-FR"/>
              </w:rPr>
            </w:pPr>
            <w:r w:rsidRPr="002E4298">
              <w:rPr>
                <w:spacing w:val="4"/>
                <w:w w:val="103"/>
                <w:sz w:val="17"/>
                <w:lang w:val="fr-FR" w:bidi="fr-FR"/>
              </w:rPr>
              <w:t>859,2</w:t>
            </w:r>
          </w:p>
        </w:tc>
      </w:tr>
      <w:tr w:rsidR="005519F3" w:rsidRPr="002E4298" w14:paraId="68C9D1F4" w14:textId="77777777" w:rsidTr="0020528A">
        <w:tc>
          <w:tcPr>
            <w:tcW w:w="3252" w:type="dxa"/>
            <w:gridSpan w:val="4"/>
            <w:shd w:val="clear" w:color="auto" w:fill="auto"/>
            <w:noWrap/>
          </w:tcPr>
          <w:p w14:paraId="41C4BC34" w14:textId="20D61E16" w:rsidR="005519F3" w:rsidRPr="002E4298" w:rsidRDefault="005519F3" w:rsidP="005519F3">
            <w:pPr>
              <w:pStyle w:val="SingleTxtG"/>
              <w:tabs>
                <w:tab w:val="left" w:pos="288"/>
                <w:tab w:val="left" w:pos="576"/>
                <w:tab w:val="left" w:pos="864"/>
                <w:tab w:val="left" w:pos="1152"/>
              </w:tabs>
              <w:spacing w:before="40" w:after="40" w:line="210" w:lineRule="exact"/>
              <w:ind w:left="0" w:right="43"/>
              <w:jc w:val="left"/>
              <w:rPr>
                <w:spacing w:val="4"/>
                <w:w w:val="103"/>
                <w:sz w:val="17"/>
                <w:lang w:val="fr-FR" w:bidi="fr-FR"/>
              </w:rPr>
            </w:pPr>
            <w:r w:rsidRPr="002E4298">
              <w:rPr>
                <w:spacing w:val="4"/>
                <w:w w:val="103"/>
                <w:sz w:val="17"/>
                <w:lang w:val="fr-FR" w:bidi="fr-FR"/>
              </w:rPr>
              <w:t>Revenus mensuels moyens</w:t>
            </w:r>
          </w:p>
        </w:tc>
        <w:tc>
          <w:tcPr>
            <w:tcW w:w="813" w:type="dxa"/>
            <w:shd w:val="clear" w:color="auto" w:fill="auto"/>
            <w:noWrap/>
            <w:vAlign w:val="bottom"/>
          </w:tcPr>
          <w:p w14:paraId="3374E5B7" w14:textId="77777777" w:rsidR="005519F3" w:rsidRPr="002E4298" w:rsidRDefault="005519F3" w:rsidP="005519F3">
            <w:pPr>
              <w:pStyle w:val="SingleTxtG"/>
              <w:tabs>
                <w:tab w:val="left" w:pos="288"/>
                <w:tab w:val="left" w:pos="576"/>
                <w:tab w:val="left" w:pos="864"/>
                <w:tab w:val="left" w:pos="1152"/>
              </w:tabs>
              <w:spacing w:before="40" w:after="40" w:line="210" w:lineRule="exact"/>
              <w:ind w:left="0" w:right="43"/>
              <w:jc w:val="right"/>
              <w:rPr>
                <w:spacing w:val="4"/>
                <w:w w:val="103"/>
                <w:sz w:val="17"/>
                <w:lang w:val="fr-FR" w:bidi="fr-FR"/>
              </w:rPr>
            </w:pPr>
          </w:p>
        </w:tc>
        <w:tc>
          <w:tcPr>
            <w:tcW w:w="813" w:type="dxa"/>
            <w:shd w:val="clear" w:color="auto" w:fill="auto"/>
            <w:noWrap/>
            <w:vAlign w:val="bottom"/>
          </w:tcPr>
          <w:p w14:paraId="269D7A9E" w14:textId="77777777" w:rsidR="005519F3" w:rsidRPr="002E4298" w:rsidRDefault="005519F3" w:rsidP="005519F3">
            <w:pPr>
              <w:pStyle w:val="SingleTxtG"/>
              <w:tabs>
                <w:tab w:val="left" w:pos="288"/>
                <w:tab w:val="left" w:pos="576"/>
                <w:tab w:val="left" w:pos="864"/>
                <w:tab w:val="left" w:pos="1152"/>
              </w:tabs>
              <w:spacing w:before="40" w:after="40" w:line="210" w:lineRule="exact"/>
              <w:ind w:left="0" w:right="43"/>
              <w:jc w:val="right"/>
              <w:rPr>
                <w:spacing w:val="4"/>
                <w:w w:val="103"/>
                <w:sz w:val="17"/>
                <w:lang w:val="fr-FR" w:bidi="fr-FR"/>
              </w:rPr>
            </w:pPr>
          </w:p>
        </w:tc>
        <w:tc>
          <w:tcPr>
            <w:tcW w:w="813" w:type="dxa"/>
            <w:shd w:val="clear" w:color="auto" w:fill="auto"/>
            <w:noWrap/>
            <w:vAlign w:val="bottom"/>
          </w:tcPr>
          <w:p w14:paraId="0275D0C6" w14:textId="77777777" w:rsidR="005519F3" w:rsidRPr="002E4298" w:rsidRDefault="005519F3" w:rsidP="005519F3">
            <w:pPr>
              <w:pStyle w:val="SingleTxtG"/>
              <w:tabs>
                <w:tab w:val="left" w:pos="288"/>
                <w:tab w:val="left" w:pos="576"/>
                <w:tab w:val="left" w:pos="864"/>
                <w:tab w:val="left" w:pos="1152"/>
              </w:tabs>
              <w:spacing w:before="40" w:after="40" w:line="210" w:lineRule="exact"/>
              <w:ind w:left="0" w:right="43"/>
              <w:jc w:val="right"/>
              <w:rPr>
                <w:spacing w:val="4"/>
                <w:w w:val="103"/>
                <w:sz w:val="17"/>
                <w:lang w:val="fr-FR" w:bidi="fr-FR"/>
              </w:rPr>
            </w:pPr>
          </w:p>
        </w:tc>
        <w:tc>
          <w:tcPr>
            <w:tcW w:w="813" w:type="dxa"/>
            <w:shd w:val="clear" w:color="auto" w:fill="auto"/>
            <w:noWrap/>
            <w:vAlign w:val="bottom"/>
          </w:tcPr>
          <w:p w14:paraId="7CD6F971" w14:textId="77777777" w:rsidR="005519F3" w:rsidRPr="002E4298" w:rsidRDefault="005519F3" w:rsidP="005519F3">
            <w:pPr>
              <w:pStyle w:val="SingleTxtG"/>
              <w:tabs>
                <w:tab w:val="left" w:pos="288"/>
                <w:tab w:val="left" w:pos="576"/>
                <w:tab w:val="left" w:pos="864"/>
                <w:tab w:val="left" w:pos="1152"/>
              </w:tabs>
              <w:spacing w:before="40" w:after="40" w:line="210" w:lineRule="exact"/>
              <w:ind w:left="0" w:right="43"/>
              <w:jc w:val="right"/>
              <w:rPr>
                <w:spacing w:val="4"/>
                <w:w w:val="103"/>
                <w:sz w:val="17"/>
                <w:lang w:val="fr-FR" w:bidi="fr-FR"/>
              </w:rPr>
            </w:pPr>
          </w:p>
        </w:tc>
        <w:tc>
          <w:tcPr>
            <w:tcW w:w="813" w:type="dxa"/>
            <w:shd w:val="clear" w:color="auto" w:fill="auto"/>
            <w:noWrap/>
            <w:vAlign w:val="bottom"/>
          </w:tcPr>
          <w:p w14:paraId="5E2C6920" w14:textId="77777777" w:rsidR="005519F3" w:rsidRPr="002E4298" w:rsidRDefault="005519F3" w:rsidP="005519F3">
            <w:pPr>
              <w:pStyle w:val="SingleTxtG"/>
              <w:tabs>
                <w:tab w:val="left" w:pos="288"/>
                <w:tab w:val="left" w:pos="576"/>
                <w:tab w:val="left" w:pos="864"/>
                <w:tab w:val="left" w:pos="1152"/>
              </w:tabs>
              <w:spacing w:before="40" w:after="40" w:line="210" w:lineRule="exact"/>
              <w:ind w:left="0" w:right="43"/>
              <w:jc w:val="right"/>
              <w:rPr>
                <w:spacing w:val="4"/>
                <w:w w:val="103"/>
                <w:sz w:val="17"/>
                <w:lang w:val="fr-FR" w:bidi="fr-FR"/>
              </w:rPr>
            </w:pPr>
          </w:p>
        </w:tc>
      </w:tr>
      <w:tr w:rsidR="00BB0956" w:rsidRPr="002E4298" w14:paraId="2D61A343" w14:textId="77777777" w:rsidTr="005519F3">
        <w:tc>
          <w:tcPr>
            <w:tcW w:w="813" w:type="dxa"/>
            <w:shd w:val="clear" w:color="auto" w:fill="auto"/>
            <w:noWrap/>
            <w:vAlign w:val="bottom"/>
            <w:hideMark/>
          </w:tcPr>
          <w:p w14:paraId="299E7073" w14:textId="77777777" w:rsidR="00BB0956" w:rsidRPr="002E4298" w:rsidRDefault="00BB0956" w:rsidP="005519F3">
            <w:pPr>
              <w:pStyle w:val="SingleTxtG"/>
              <w:tabs>
                <w:tab w:val="left" w:pos="288"/>
                <w:tab w:val="left" w:pos="576"/>
                <w:tab w:val="left" w:pos="864"/>
                <w:tab w:val="left" w:pos="1152"/>
              </w:tabs>
              <w:spacing w:before="40" w:after="40" w:line="210" w:lineRule="exact"/>
              <w:ind w:left="0" w:right="40"/>
              <w:jc w:val="left"/>
              <w:rPr>
                <w:bCs/>
                <w:spacing w:val="4"/>
                <w:w w:val="103"/>
                <w:sz w:val="17"/>
                <w:lang w:val="fr-FR"/>
              </w:rPr>
            </w:pPr>
            <w:r w:rsidRPr="002E4298">
              <w:rPr>
                <w:spacing w:val="4"/>
                <w:w w:val="103"/>
                <w:sz w:val="17"/>
                <w:lang w:val="fr-FR" w:bidi="fr-FR"/>
              </w:rPr>
              <w:t>H</w:t>
            </w:r>
          </w:p>
        </w:tc>
        <w:tc>
          <w:tcPr>
            <w:tcW w:w="813" w:type="dxa"/>
            <w:shd w:val="clear" w:color="auto" w:fill="auto"/>
            <w:noWrap/>
            <w:vAlign w:val="bottom"/>
            <w:hideMark/>
          </w:tcPr>
          <w:p w14:paraId="3E4CC338" w14:textId="77777777" w:rsidR="00BB0956" w:rsidRPr="002E4298" w:rsidRDefault="00BB0956" w:rsidP="005519F3">
            <w:pPr>
              <w:pStyle w:val="SingleTxtG"/>
              <w:tabs>
                <w:tab w:val="left" w:pos="288"/>
                <w:tab w:val="left" w:pos="576"/>
                <w:tab w:val="left" w:pos="864"/>
                <w:tab w:val="left" w:pos="1152"/>
              </w:tabs>
              <w:spacing w:before="40" w:after="40" w:line="210" w:lineRule="exact"/>
              <w:ind w:left="0" w:right="43"/>
              <w:jc w:val="right"/>
              <w:rPr>
                <w:spacing w:val="4"/>
                <w:w w:val="103"/>
                <w:sz w:val="17"/>
                <w:lang w:val="fr-FR"/>
              </w:rPr>
            </w:pPr>
            <w:r w:rsidRPr="002E4298">
              <w:rPr>
                <w:spacing w:val="4"/>
                <w:w w:val="103"/>
                <w:sz w:val="17"/>
                <w:lang w:val="fr-FR" w:bidi="fr-FR"/>
              </w:rPr>
              <w:t>1 182,7</w:t>
            </w:r>
          </w:p>
        </w:tc>
        <w:tc>
          <w:tcPr>
            <w:tcW w:w="813" w:type="dxa"/>
            <w:shd w:val="clear" w:color="auto" w:fill="auto"/>
            <w:noWrap/>
            <w:vAlign w:val="bottom"/>
            <w:hideMark/>
          </w:tcPr>
          <w:p w14:paraId="21EA1436" w14:textId="77777777" w:rsidR="00BB0956" w:rsidRPr="002E4298" w:rsidRDefault="00BB0956" w:rsidP="005519F3">
            <w:pPr>
              <w:pStyle w:val="SingleTxtG"/>
              <w:tabs>
                <w:tab w:val="left" w:pos="288"/>
                <w:tab w:val="left" w:pos="576"/>
                <w:tab w:val="left" w:pos="864"/>
                <w:tab w:val="left" w:pos="1152"/>
              </w:tabs>
              <w:spacing w:before="40" w:after="40" w:line="210" w:lineRule="exact"/>
              <w:ind w:left="0" w:right="43"/>
              <w:jc w:val="right"/>
              <w:rPr>
                <w:spacing w:val="4"/>
                <w:w w:val="103"/>
                <w:sz w:val="17"/>
                <w:lang w:val="fr-FR"/>
              </w:rPr>
            </w:pPr>
            <w:r w:rsidRPr="002E4298">
              <w:rPr>
                <w:spacing w:val="4"/>
                <w:w w:val="103"/>
                <w:sz w:val="17"/>
                <w:lang w:val="fr-FR" w:bidi="fr-FR"/>
              </w:rPr>
              <w:t>1 193,2</w:t>
            </w:r>
          </w:p>
        </w:tc>
        <w:tc>
          <w:tcPr>
            <w:tcW w:w="813" w:type="dxa"/>
            <w:shd w:val="clear" w:color="auto" w:fill="auto"/>
            <w:noWrap/>
            <w:vAlign w:val="bottom"/>
            <w:hideMark/>
          </w:tcPr>
          <w:p w14:paraId="2C161F6E" w14:textId="77777777" w:rsidR="00BB0956" w:rsidRPr="002E4298" w:rsidRDefault="00BB0956" w:rsidP="005519F3">
            <w:pPr>
              <w:pStyle w:val="SingleTxtG"/>
              <w:tabs>
                <w:tab w:val="left" w:pos="288"/>
                <w:tab w:val="left" w:pos="576"/>
                <w:tab w:val="left" w:pos="864"/>
                <w:tab w:val="left" w:pos="1152"/>
              </w:tabs>
              <w:spacing w:before="40" w:after="40" w:line="210" w:lineRule="exact"/>
              <w:ind w:left="0" w:right="43"/>
              <w:jc w:val="right"/>
              <w:rPr>
                <w:spacing w:val="4"/>
                <w:w w:val="103"/>
                <w:sz w:val="17"/>
                <w:lang w:val="fr-FR"/>
              </w:rPr>
            </w:pPr>
            <w:r w:rsidRPr="002E4298">
              <w:rPr>
                <w:spacing w:val="4"/>
                <w:w w:val="103"/>
                <w:sz w:val="17"/>
                <w:lang w:val="fr-FR" w:bidi="fr-FR"/>
              </w:rPr>
              <w:t>1 209,9</w:t>
            </w:r>
          </w:p>
        </w:tc>
        <w:tc>
          <w:tcPr>
            <w:tcW w:w="813" w:type="dxa"/>
            <w:shd w:val="clear" w:color="auto" w:fill="auto"/>
            <w:noWrap/>
            <w:vAlign w:val="bottom"/>
            <w:hideMark/>
          </w:tcPr>
          <w:p w14:paraId="67C08132" w14:textId="77777777" w:rsidR="00BB0956" w:rsidRPr="002E4298" w:rsidRDefault="00BB0956" w:rsidP="005519F3">
            <w:pPr>
              <w:pStyle w:val="SingleTxtG"/>
              <w:tabs>
                <w:tab w:val="left" w:pos="288"/>
                <w:tab w:val="left" w:pos="576"/>
                <w:tab w:val="left" w:pos="864"/>
                <w:tab w:val="left" w:pos="1152"/>
              </w:tabs>
              <w:spacing w:before="40" w:after="40" w:line="210" w:lineRule="exact"/>
              <w:ind w:left="0" w:right="43"/>
              <w:jc w:val="right"/>
              <w:rPr>
                <w:spacing w:val="4"/>
                <w:w w:val="103"/>
                <w:sz w:val="17"/>
                <w:lang w:val="fr-FR"/>
              </w:rPr>
            </w:pPr>
            <w:r w:rsidRPr="002E4298">
              <w:rPr>
                <w:spacing w:val="4"/>
                <w:w w:val="103"/>
                <w:sz w:val="17"/>
                <w:lang w:val="fr-FR" w:bidi="fr-FR"/>
              </w:rPr>
              <w:t>1 205,8</w:t>
            </w:r>
          </w:p>
        </w:tc>
        <w:tc>
          <w:tcPr>
            <w:tcW w:w="813" w:type="dxa"/>
            <w:shd w:val="clear" w:color="auto" w:fill="auto"/>
            <w:noWrap/>
            <w:vAlign w:val="bottom"/>
            <w:hideMark/>
          </w:tcPr>
          <w:p w14:paraId="5F294AE1" w14:textId="77777777" w:rsidR="00BB0956" w:rsidRPr="002E4298" w:rsidRDefault="00BB0956" w:rsidP="005519F3">
            <w:pPr>
              <w:pStyle w:val="SingleTxtG"/>
              <w:tabs>
                <w:tab w:val="left" w:pos="288"/>
                <w:tab w:val="left" w:pos="576"/>
                <w:tab w:val="left" w:pos="864"/>
                <w:tab w:val="left" w:pos="1152"/>
              </w:tabs>
              <w:spacing w:before="40" w:after="40" w:line="210" w:lineRule="exact"/>
              <w:ind w:left="0" w:right="43"/>
              <w:jc w:val="right"/>
              <w:rPr>
                <w:spacing w:val="4"/>
                <w:w w:val="103"/>
                <w:sz w:val="17"/>
                <w:lang w:val="fr-FR"/>
              </w:rPr>
            </w:pPr>
            <w:r w:rsidRPr="002E4298">
              <w:rPr>
                <w:spacing w:val="4"/>
                <w:w w:val="103"/>
                <w:sz w:val="17"/>
                <w:lang w:val="fr-FR" w:bidi="fr-FR"/>
              </w:rPr>
              <w:t>1 199,8</w:t>
            </w:r>
          </w:p>
        </w:tc>
        <w:tc>
          <w:tcPr>
            <w:tcW w:w="813" w:type="dxa"/>
            <w:shd w:val="clear" w:color="auto" w:fill="auto"/>
            <w:noWrap/>
            <w:vAlign w:val="bottom"/>
            <w:hideMark/>
          </w:tcPr>
          <w:p w14:paraId="4E2A9345" w14:textId="77777777" w:rsidR="00BB0956" w:rsidRPr="002E4298" w:rsidRDefault="00BB0956" w:rsidP="005519F3">
            <w:pPr>
              <w:pStyle w:val="SingleTxtG"/>
              <w:tabs>
                <w:tab w:val="left" w:pos="288"/>
                <w:tab w:val="left" w:pos="576"/>
                <w:tab w:val="left" w:pos="864"/>
                <w:tab w:val="left" w:pos="1152"/>
              </w:tabs>
              <w:spacing w:before="40" w:after="40" w:line="210" w:lineRule="exact"/>
              <w:ind w:left="0" w:right="43"/>
              <w:jc w:val="right"/>
              <w:rPr>
                <w:spacing w:val="4"/>
                <w:w w:val="103"/>
                <w:sz w:val="17"/>
                <w:lang w:val="fr-FR"/>
              </w:rPr>
            </w:pPr>
            <w:r w:rsidRPr="002E4298">
              <w:rPr>
                <w:spacing w:val="4"/>
                <w:w w:val="103"/>
                <w:sz w:val="17"/>
                <w:lang w:val="fr-FR" w:bidi="fr-FR"/>
              </w:rPr>
              <w:t>1 204,4</w:t>
            </w:r>
          </w:p>
        </w:tc>
        <w:tc>
          <w:tcPr>
            <w:tcW w:w="813" w:type="dxa"/>
            <w:shd w:val="clear" w:color="auto" w:fill="auto"/>
            <w:noWrap/>
            <w:vAlign w:val="bottom"/>
            <w:hideMark/>
          </w:tcPr>
          <w:p w14:paraId="5260AFBB" w14:textId="77777777" w:rsidR="00BB0956" w:rsidRPr="002E4298" w:rsidRDefault="00BB0956" w:rsidP="005519F3">
            <w:pPr>
              <w:pStyle w:val="SingleTxtG"/>
              <w:tabs>
                <w:tab w:val="left" w:pos="288"/>
                <w:tab w:val="left" w:pos="576"/>
                <w:tab w:val="left" w:pos="864"/>
                <w:tab w:val="left" w:pos="1152"/>
              </w:tabs>
              <w:spacing w:before="40" w:after="40" w:line="210" w:lineRule="exact"/>
              <w:ind w:left="0" w:right="43"/>
              <w:jc w:val="right"/>
              <w:rPr>
                <w:spacing w:val="4"/>
                <w:w w:val="103"/>
                <w:sz w:val="17"/>
                <w:lang w:val="fr-FR"/>
              </w:rPr>
            </w:pPr>
            <w:r w:rsidRPr="002E4298">
              <w:rPr>
                <w:spacing w:val="4"/>
                <w:w w:val="103"/>
                <w:sz w:val="17"/>
                <w:lang w:val="fr-FR" w:bidi="fr-FR"/>
              </w:rPr>
              <w:t>1 212,2</w:t>
            </w:r>
          </w:p>
        </w:tc>
        <w:tc>
          <w:tcPr>
            <w:tcW w:w="813" w:type="dxa"/>
            <w:shd w:val="clear" w:color="auto" w:fill="auto"/>
            <w:noWrap/>
            <w:vAlign w:val="bottom"/>
            <w:hideMark/>
          </w:tcPr>
          <w:p w14:paraId="624287D3" w14:textId="77777777" w:rsidR="00BB0956" w:rsidRPr="002E4298" w:rsidRDefault="00BB0956" w:rsidP="005519F3">
            <w:pPr>
              <w:pStyle w:val="SingleTxtG"/>
              <w:tabs>
                <w:tab w:val="left" w:pos="288"/>
                <w:tab w:val="left" w:pos="576"/>
                <w:tab w:val="left" w:pos="864"/>
                <w:tab w:val="left" w:pos="1152"/>
              </w:tabs>
              <w:spacing w:before="40" w:after="40" w:line="210" w:lineRule="exact"/>
              <w:ind w:left="0" w:right="43"/>
              <w:jc w:val="right"/>
              <w:rPr>
                <w:spacing w:val="4"/>
                <w:w w:val="103"/>
                <w:sz w:val="17"/>
                <w:lang w:val="fr-FR"/>
              </w:rPr>
            </w:pPr>
            <w:r w:rsidRPr="002E4298">
              <w:rPr>
                <w:spacing w:val="4"/>
                <w:w w:val="103"/>
                <w:sz w:val="17"/>
                <w:lang w:val="fr-FR" w:bidi="fr-FR"/>
              </w:rPr>
              <w:t>1 233,5</w:t>
            </w:r>
          </w:p>
        </w:tc>
      </w:tr>
      <w:tr w:rsidR="00BB0956" w:rsidRPr="002E4298" w14:paraId="1B4E3E1F" w14:textId="77777777" w:rsidTr="005519F3">
        <w:tc>
          <w:tcPr>
            <w:tcW w:w="813" w:type="dxa"/>
            <w:shd w:val="clear" w:color="auto" w:fill="auto"/>
            <w:noWrap/>
            <w:vAlign w:val="bottom"/>
            <w:hideMark/>
          </w:tcPr>
          <w:p w14:paraId="15C1139D" w14:textId="77777777" w:rsidR="00BB0956" w:rsidRPr="002E4298" w:rsidRDefault="00BB0956" w:rsidP="005519F3">
            <w:pPr>
              <w:pStyle w:val="SingleTxtG"/>
              <w:tabs>
                <w:tab w:val="left" w:pos="288"/>
                <w:tab w:val="left" w:pos="576"/>
                <w:tab w:val="left" w:pos="864"/>
                <w:tab w:val="left" w:pos="1152"/>
              </w:tabs>
              <w:spacing w:before="40" w:after="40" w:line="210" w:lineRule="exact"/>
              <w:ind w:left="0" w:right="40"/>
              <w:jc w:val="left"/>
              <w:rPr>
                <w:bCs/>
                <w:spacing w:val="4"/>
                <w:w w:val="103"/>
                <w:sz w:val="17"/>
                <w:lang w:val="fr-FR"/>
              </w:rPr>
            </w:pPr>
            <w:r w:rsidRPr="002E4298">
              <w:rPr>
                <w:spacing w:val="4"/>
                <w:w w:val="103"/>
                <w:sz w:val="17"/>
                <w:lang w:val="fr-FR" w:bidi="fr-FR"/>
              </w:rPr>
              <w:t>F</w:t>
            </w:r>
          </w:p>
        </w:tc>
        <w:tc>
          <w:tcPr>
            <w:tcW w:w="813" w:type="dxa"/>
            <w:shd w:val="clear" w:color="auto" w:fill="auto"/>
            <w:noWrap/>
            <w:vAlign w:val="bottom"/>
            <w:hideMark/>
          </w:tcPr>
          <w:p w14:paraId="2B1A3272" w14:textId="77777777" w:rsidR="00BB0956" w:rsidRPr="002E4298" w:rsidRDefault="00BB0956" w:rsidP="005519F3">
            <w:pPr>
              <w:pStyle w:val="SingleTxtG"/>
              <w:tabs>
                <w:tab w:val="left" w:pos="288"/>
                <w:tab w:val="left" w:pos="576"/>
                <w:tab w:val="left" w:pos="864"/>
                <w:tab w:val="left" w:pos="1152"/>
              </w:tabs>
              <w:spacing w:before="40" w:after="40" w:line="210" w:lineRule="exact"/>
              <w:ind w:left="0" w:right="43"/>
              <w:jc w:val="right"/>
              <w:rPr>
                <w:spacing w:val="4"/>
                <w:w w:val="103"/>
                <w:sz w:val="17"/>
                <w:lang w:val="fr-FR"/>
              </w:rPr>
            </w:pPr>
            <w:r w:rsidRPr="002E4298">
              <w:rPr>
                <w:spacing w:val="4"/>
                <w:w w:val="103"/>
                <w:sz w:val="17"/>
                <w:lang w:val="fr-FR" w:bidi="fr-FR"/>
              </w:rPr>
              <w:t>935,3</w:t>
            </w:r>
          </w:p>
        </w:tc>
        <w:tc>
          <w:tcPr>
            <w:tcW w:w="813" w:type="dxa"/>
            <w:shd w:val="clear" w:color="auto" w:fill="auto"/>
            <w:noWrap/>
            <w:vAlign w:val="bottom"/>
            <w:hideMark/>
          </w:tcPr>
          <w:p w14:paraId="270E1309" w14:textId="77777777" w:rsidR="00BB0956" w:rsidRPr="002E4298" w:rsidRDefault="00BB0956" w:rsidP="005519F3">
            <w:pPr>
              <w:pStyle w:val="SingleTxtG"/>
              <w:tabs>
                <w:tab w:val="left" w:pos="288"/>
                <w:tab w:val="left" w:pos="576"/>
                <w:tab w:val="left" w:pos="864"/>
                <w:tab w:val="left" w:pos="1152"/>
              </w:tabs>
              <w:spacing w:before="40" w:after="40" w:line="210" w:lineRule="exact"/>
              <w:ind w:left="0" w:right="43"/>
              <w:jc w:val="right"/>
              <w:rPr>
                <w:spacing w:val="4"/>
                <w:w w:val="103"/>
                <w:sz w:val="17"/>
                <w:lang w:val="fr-FR"/>
              </w:rPr>
            </w:pPr>
            <w:r w:rsidRPr="002E4298">
              <w:rPr>
                <w:spacing w:val="4"/>
                <w:w w:val="103"/>
                <w:sz w:val="17"/>
                <w:lang w:val="fr-FR" w:bidi="fr-FR"/>
              </w:rPr>
              <w:t>945,1</w:t>
            </w:r>
          </w:p>
        </w:tc>
        <w:tc>
          <w:tcPr>
            <w:tcW w:w="813" w:type="dxa"/>
            <w:shd w:val="clear" w:color="auto" w:fill="auto"/>
            <w:noWrap/>
            <w:vAlign w:val="bottom"/>
            <w:hideMark/>
          </w:tcPr>
          <w:p w14:paraId="61FD0F04" w14:textId="77777777" w:rsidR="00BB0956" w:rsidRPr="002E4298" w:rsidRDefault="00BB0956" w:rsidP="005519F3">
            <w:pPr>
              <w:pStyle w:val="SingleTxtG"/>
              <w:tabs>
                <w:tab w:val="left" w:pos="288"/>
                <w:tab w:val="left" w:pos="576"/>
                <w:tab w:val="left" w:pos="864"/>
                <w:tab w:val="left" w:pos="1152"/>
              </w:tabs>
              <w:spacing w:before="40" w:after="40" w:line="210" w:lineRule="exact"/>
              <w:ind w:left="0" w:right="43"/>
              <w:jc w:val="right"/>
              <w:rPr>
                <w:spacing w:val="4"/>
                <w:w w:val="103"/>
                <w:sz w:val="17"/>
                <w:lang w:val="fr-FR"/>
              </w:rPr>
            </w:pPr>
            <w:r w:rsidRPr="002E4298">
              <w:rPr>
                <w:spacing w:val="4"/>
                <w:w w:val="103"/>
                <w:sz w:val="17"/>
                <w:lang w:val="fr-FR" w:bidi="fr-FR"/>
              </w:rPr>
              <w:t>954,9</w:t>
            </w:r>
          </w:p>
        </w:tc>
        <w:tc>
          <w:tcPr>
            <w:tcW w:w="813" w:type="dxa"/>
            <w:shd w:val="clear" w:color="auto" w:fill="auto"/>
            <w:noWrap/>
            <w:vAlign w:val="bottom"/>
            <w:hideMark/>
          </w:tcPr>
          <w:p w14:paraId="443608FC" w14:textId="77777777" w:rsidR="00BB0956" w:rsidRPr="002E4298" w:rsidRDefault="00BB0956" w:rsidP="005519F3">
            <w:pPr>
              <w:pStyle w:val="SingleTxtG"/>
              <w:tabs>
                <w:tab w:val="left" w:pos="288"/>
                <w:tab w:val="left" w:pos="576"/>
                <w:tab w:val="left" w:pos="864"/>
                <w:tab w:val="left" w:pos="1152"/>
              </w:tabs>
              <w:spacing w:before="40" w:after="40" w:line="210" w:lineRule="exact"/>
              <w:ind w:left="0" w:right="43"/>
              <w:jc w:val="right"/>
              <w:rPr>
                <w:spacing w:val="4"/>
                <w:w w:val="103"/>
                <w:sz w:val="17"/>
                <w:lang w:val="fr-FR"/>
              </w:rPr>
            </w:pPr>
            <w:r w:rsidRPr="002E4298">
              <w:rPr>
                <w:spacing w:val="4"/>
                <w:w w:val="103"/>
                <w:sz w:val="17"/>
                <w:lang w:val="fr-FR" w:bidi="fr-FR"/>
              </w:rPr>
              <w:t>956,7</w:t>
            </w:r>
          </w:p>
        </w:tc>
        <w:tc>
          <w:tcPr>
            <w:tcW w:w="813" w:type="dxa"/>
            <w:shd w:val="clear" w:color="auto" w:fill="auto"/>
            <w:noWrap/>
            <w:vAlign w:val="bottom"/>
            <w:hideMark/>
          </w:tcPr>
          <w:p w14:paraId="6803810A" w14:textId="77777777" w:rsidR="00BB0956" w:rsidRPr="002E4298" w:rsidRDefault="00BB0956" w:rsidP="005519F3">
            <w:pPr>
              <w:pStyle w:val="SingleTxtG"/>
              <w:tabs>
                <w:tab w:val="left" w:pos="288"/>
                <w:tab w:val="left" w:pos="576"/>
                <w:tab w:val="left" w:pos="864"/>
                <w:tab w:val="left" w:pos="1152"/>
              </w:tabs>
              <w:spacing w:before="40" w:after="40" w:line="210" w:lineRule="exact"/>
              <w:ind w:left="0" w:right="43"/>
              <w:jc w:val="right"/>
              <w:rPr>
                <w:spacing w:val="4"/>
                <w:w w:val="103"/>
                <w:sz w:val="17"/>
                <w:lang w:val="fr-FR"/>
              </w:rPr>
            </w:pPr>
            <w:r w:rsidRPr="002E4298">
              <w:rPr>
                <w:spacing w:val="4"/>
                <w:w w:val="103"/>
                <w:sz w:val="17"/>
                <w:lang w:val="fr-FR" w:bidi="fr-FR"/>
              </w:rPr>
              <w:t>961,6</w:t>
            </w:r>
          </w:p>
        </w:tc>
        <w:tc>
          <w:tcPr>
            <w:tcW w:w="813" w:type="dxa"/>
            <w:shd w:val="clear" w:color="auto" w:fill="auto"/>
            <w:noWrap/>
            <w:vAlign w:val="bottom"/>
            <w:hideMark/>
          </w:tcPr>
          <w:p w14:paraId="697A4023" w14:textId="77777777" w:rsidR="00BB0956" w:rsidRPr="002E4298" w:rsidRDefault="00BB0956" w:rsidP="005519F3">
            <w:pPr>
              <w:pStyle w:val="SingleTxtG"/>
              <w:tabs>
                <w:tab w:val="left" w:pos="288"/>
                <w:tab w:val="left" w:pos="576"/>
                <w:tab w:val="left" w:pos="864"/>
                <w:tab w:val="left" w:pos="1152"/>
              </w:tabs>
              <w:spacing w:before="40" w:after="40" w:line="210" w:lineRule="exact"/>
              <w:ind w:left="0" w:right="43"/>
              <w:jc w:val="right"/>
              <w:rPr>
                <w:spacing w:val="4"/>
                <w:w w:val="103"/>
                <w:sz w:val="17"/>
                <w:lang w:val="fr-FR"/>
              </w:rPr>
            </w:pPr>
            <w:r w:rsidRPr="002E4298">
              <w:rPr>
                <w:spacing w:val="4"/>
                <w:w w:val="103"/>
                <w:sz w:val="17"/>
                <w:lang w:val="fr-FR" w:bidi="fr-FR"/>
              </w:rPr>
              <w:t>965,3</w:t>
            </w:r>
          </w:p>
        </w:tc>
        <w:tc>
          <w:tcPr>
            <w:tcW w:w="813" w:type="dxa"/>
            <w:shd w:val="clear" w:color="auto" w:fill="auto"/>
            <w:noWrap/>
            <w:vAlign w:val="bottom"/>
            <w:hideMark/>
          </w:tcPr>
          <w:p w14:paraId="11FB60F3" w14:textId="77777777" w:rsidR="00BB0956" w:rsidRPr="002E4298" w:rsidRDefault="00BB0956" w:rsidP="005519F3">
            <w:pPr>
              <w:pStyle w:val="SingleTxtG"/>
              <w:tabs>
                <w:tab w:val="left" w:pos="288"/>
                <w:tab w:val="left" w:pos="576"/>
                <w:tab w:val="left" w:pos="864"/>
                <w:tab w:val="left" w:pos="1152"/>
              </w:tabs>
              <w:spacing w:before="40" w:after="40" w:line="210" w:lineRule="exact"/>
              <w:ind w:left="0" w:right="43"/>
              <w:jc w:val="right"/>
              <w:rPr>
                <w:spacing w:val="4"/>
                <w:w w:val="103"/>
                <w:sz w:val="17"/>
                <w:lang w:val="fr-FR"/>
              </w:rPr>
            </w:pPr>
            <w:r w:rsidRPr="002E4298">
              <w:rPr>
                <w:spacing w:val="4"/>
                <w:w w:val="103"/>
                <w:sz w:val="17"/>
                <w:lang w:val="fr-FR" w:bidi="fr-FR"/>
              </w:rPr>
              <w:t>981,0</w:t>
            </w:r>
          </w:p>
        </w:tc>
        <w:tc>
          <w:tcPr>
            <w:tcW w:w="813" w:type="dxa"/>
            <w:shd w:val="clear" w:color="auto" w:fill="auto"/>
            <w:noWrap/>
            <w:vAlign w:val="bottom"/>
            <w:hideMark/>
          </w:tcPr>
          <w:p w14:paraId="73C302C5" w14:textId="77777777" w:rsidR="00BB0956" w:rsidRPr="002E4298" w:rsidRDefault="00BB0956" w:rsidP="005519F3">
            <w:pPr>
              <w:pStyle w:val="SingleTxtG"/>
              <w:tabs>
                <w:tab w:val="left" w:pos="288"/>
                <w:tab w:val="left" w:pos="576"/>
                <w:tab w:val="left" w:pos="864"/>
                <w:tab w:val="left" w:pos="1152"/>
              </w:tabs>
              <w:spacing w:before="40" w:after="40" w:line="210" w:lineRule="exact"/>
              <w:ind w:left="0" w:right="43"/>
              <w:jc w:val="right"/>
              <w:rPr>
                <w:spacing w:val="4"/>
                <w:w w:val="103"/>
                <w:sz w:val="17"/>
                <w:lang w:val="fr-FR"/>
              </w:rPr>
            </w:pPr>
            <w:r w:rsidRPr="002E4298">
              <w:rPr>
                <w:spacing w:val="4"/>
                <w:w w:val="103"/>
                <w:sz w:val="17"/>
                <w:lang w:val="fr-FR" w:bidi="fr-FR"/>
              </w:rPr>
              <w:t>1 009,4</w:t>
            </w:r>
          </w:p>
        </w:tc>
      </w:tr>
      <w:tr w:rsidR="005519F3" w:rsidRPr="002E4298" w14:paraId="1E1FEBFB" w14:textId="77777777" w:rsidTr="0020528A">
        <w:tc>
          <w:tcPr>
            <w:tcW w:w="4065" w:type="dxa"/>
            <w:gridSpan w:val="5"/>
            <w:shd w:val="clear" w:color="auto" w:fill="auto"/>
            <w:noWrap/>
          </w:tcPr>
          <w:p w14:paraId="1F37C231" w14:textId="21C2EEA8" w:rsidR="005519F3" w:rsidRPr="002E4298" w:rsidRDefault="005519F3" w:rsidP="005519F3">
            <w:pPr>
              <w:pStyle w:val="SingleTxtG"/>
              <w:tabs>
                <w:tab w:val="left" w:pos="288"/>
                <w:tab w:val="left" w:pos="576"/>
                <w:tab w:val="left" w:pos="864"/>
                <w:tab w:val="left" w:pos="1152"/>
              </w:tabs>
              <w:spacing w:before="40" w:after="40" w:line="210" w:lineRule="exact"/>
              <w:ind w:left="0" w:right="43"/>
              <w:jc w:val="left"/>
              <w:rPr>
                <w:spacing w:val="4"/>
                <w:w w:val="103"/>
                <w:sz w:val="17"/>
                <w:lang w:val="fr-FR" w:bidi="fr-FR"/>
              </w:rPr>
            </w:pPr>
            <w:r w:rsidRPr="002E4298">
              <w:rPr>
                <w:spacing w:val="4"/>
                <w:w w:val="103"/>
                <w:sz w:val="17"/>
                <w:lang w:val="fr-FR" w:bidi="fr-FR"/>
              </w:rPr>
              <w:t>Écart de rémunération entre femmes et hommes (%)</w:t>
            </w:r>
          </w:p>
        </w:tc>
        <w:tc>
          <w:tcPr>
            <w:tcW w:w="813" w:type="dxa"/>
            <w:shd w:val="clear" w:color="auto" w:fill="auto"/>
            <w:noWrap/>
            <w:vAlign w:val="bottom"/>
          </w:tcPr>
          <w:p w14:paraId="39218C3F" w14:textId="77777777" w:rsidR="005519F3" w:rsidRPr="002E4298" w:rsidRDefault="005519F3" w:rsidP="005519F3">
            <w:pPr>
              <w:pStyle w:val="SingleTxtG"/>
              <w:tabs>
                <w:tab w:val="left" w:pos="288"/>
                <w:tab w:val="left" w:pos="576"/>
                <w:tab w:val="left" w:pos="864"/>
                <w:tab w:val="left" w:pos="1152"/>
              </w:tabs>
              <w:spacing w:before="40" w:after="40" w:line="210" w:lineRule="exact"/>
              <w:ind w:left="0" w:right="43"/>
              <w:jc w:val="right"/>
              <w:rPr>
                <w:spacing w:val="4"/>
                <w:w w:val="103"/>
                <w:sz w:val="17"/>
                <w:lang w:val="fr-FR" w:bidi="fr-FR"/>
              </w:rPr>
            </w:pPr>
          </w:p>
        </w:tc>
        <w:tc>
          <w:tcPr>
            <w:tcW w:w="813" w:type="dxa"/>
            <w:shd w:val="clear" w:color="auto" w:fill="auto"/>
            <w:noWrap/>
            <w:vAlign w:val="bottom"/>
          </w:tcPr>
          <w:p w14:paraId="570E1A70" w14:textId="77777777" w:rsidR="005519F3" w:rsidRPr="002E4298" w:rsidRDefault="005519F3" w:rsidP="005519F3">
            <w:pPr>
              <w:pStyle w:val="SingleTxtG"/>
              <w:tabs>
                <w:tab w:val="left" w:pos="288"/>
                <w:tab w:val="left" w:pos="576"/>
                <w:tab w:val="left" w:pos="864"/>
                <w:tab w:val="left" w:pos="1152"/>
              </w:tabs>
              <w:spacing w:before="40" w:after="40" w:line="210" w:lineRule="exact"/>
              <w:ind w:left="0" w:right="43"/>
              <w:jc w:val="right"/>
              <w:rPr>
                <w:spacing w:val="4"/>
                <w:w w:val="103"/>
                <w:sz w:val="17"/>
                <w:lang w:val="fr-FR" w:bidi="fr-FR"/>
              </w:rPr>
            </w:pPr>
          </w:p>
        </w:tc>
        <w:tc>
          <w:tcPr>
            <w:tcW w:w="813" w:type="dxa"/>
            <w:shd w:val="clear" w:color="auto" w:fill="auto"/>
            <w:noWrap/>
            <w:vAlign w:val="bottom"/>
          </w:tcPr>
          <w:p w14:paraId="53191473" w14:textId="77777777" w:rsidR="005519F3" w:rsidRPr="002E4298" w:rsidRDefault="005519F3" w:rsidP="005519F3">
            <w:pPr>
              <w:pStyle w:val="SingleTxtG"/>
              <w:tabs>
                <w:tab w:val="left" w:pos="288"/>
                <w:tab w:val="left" w:pos="576"/>
                <w:tab w:val="left" w:pos="864"/>
                <w:tab w:val="left" w:pos="1152"/>
              </w:tabs>
              <w:spacing w:before="40" w:after="40" w:line="210" w:lineRule="exact"/>
              <w:ind w:left="0" w:right="43"/>
              <w:jc w:val="right"/>
              <w:rPr>
                <w:spacing w:val="4"/>
                <w:w w:val="103"/>
                <w:sz w:val="17"/>
                <w:lang w:val="fr-FR" w:bidi="fr-FR"/>
              </w:rPr>
            </w:pPr>
          </w:p>
        </w:tc>
        <w:tc>
          <w:tcPr>
            <w:tcW w:w="813" w:type="dxa"/>
            <w:shd w:val="clear" w:color="auto" w:fill="auto"/>
            <w:noWrap/>
            <w:vAlign w:val="bottom"/>
          </w:tcPr>
          <w:p w14:paraId="043270D9" w14:textId="77777777" w:rsidR="005519F3" w:rsidRPr="002E4298" w:rsidRDefault="005519F3" w:rsidP="005519F3">
            <w:pPr>
              <w:pStyle w:val="SingleTxtG"/>
              <w:tabs>
                <w:tab w:val="left" w:pos="288"/>
                <w:tab w:val="left" w:pos="576"/>
                <w:tab w:val="left" w:pos="864"/>
                <w:tab w:val="left" w:pos="1152"/>
              </w:tabs>
              <w:spacing w:before="40" w:after="40" w:line="210" w:lineRule="exact"/>
              <w:ind w:left="0" w:right="43"/>
              <w:jc w:val="right"/>
              <w:rPr>
                <w:spacing w:val="4"/>
                <w:w w:val="103"/>
                <w:sz w:val="17"/>
                <w:lang w:val="fr-FR" w:bidi="fr-FR"/>
              </w:rPr>
            </w:pPr>
          </w:p>
        </w:tc>
      </w:tr>
      <w:tr w:rsidR="00BB0956" w:rsidRPr="002E4298" w14:paraId="0A98472E" w14:textId="77777777" w:rsidTr="005519F3">
        <w:tc>
          <w:tcPr>
            <w:tcW w:w="813" w:type="dxa"/>
            <w:shd w:val="clear" w:color="auto" w:fill="auto"/>
            <w:noWrap/>
            <w:vAlign w:val="bottom"/>
            <w:hideMark/>
          </w:tcPr>
          <w:p w14:paraId="2A875BC1" w14:textId="77777777" w:rsidR="00BB0956" w:rsidRPr="002E4298" w:rsidRDefault="00BB0956" w:rsidP="005519F3">
            <w:pPr>
              <w:pStyle w:val="SingleTxtG"/>
              <w:tabs>
                <w:tab w:val="left" w:pos="288"/>
                <w:tab w:val="left" w:pos="576"/>
                <w:tab w:val="left" w:pos="864"/>
                <w:tab w:val="left" w:pos="1152"/>
              </w:tabs>
              <w:spacing w:before="40" w:after="40" w:line="210" w:lineRule="exact"/>
              <w:ind w:left="0" w:right="40"/>
              <w:jc w:val="left"/>
              <w:rPr>
                <w:bCs/>
                <w:spacing w:val="4"/>
                <w:w w:val="103"/>
                <w:sz w:val="17"/>
                <w:lang w:val="fr-FR"/>
              </w:rPr>
            </w:pPr>
            <w:r w:rsidRPr="002E4298">
              <w:rPr>
                <w:spacing w:val="4"/>
                <w:w w:val="103"/>
                <w:sz w:val="17"/>
                <w:lang w:val="fr-FR" w:bidi="fr-FR"/>
              </w:rPr>
              <w:t>H</w:t>
            </w:r>
          </w:p>
        </w:tc>
        <w:tc>
          <w:tcPr>
            <w:tcW w:w="813" w:type="dxa"/>
            <w:shd w:val="clear" w:color="auto" w:fill="auto"/>
            <w:noWrap/>
            <w:vAlign w:val="bottom"/>
            <w:hideMark/>
          </w:tcPr>
          <w:p w14:paraId="25D7D182" w14:textId="77777777" w:rsidR="00BB0956" w:rsidRPr="002E4298" w:rsidRDefault="00BB0956" w:rsidP="005519F3">
            <w:pPr>
              <w:pStyle w:val="SingleTxtG"/>
              <w:tabs>
                <w:tab w:val="left" w:pos="288"/>
                <w:tab w:val="left" w:pos="576"/>
                <w:tab w:val="left" w:pos="864"/>
                <w:tab w:val="left" w:pos="1152"/>
              </w:tabs>
              <w:spacing w:before="40" w:after="40" w:line="210" w:lineRule="exact"/>
              <w:ind w:left="0" w:right="43"/>
              <w:jc w:val="right"/>
              <w:rPr>
                <w:spacing w:val="4"/>
                <w:w w:val="103"/>
                <w:sz w:val="17"/>
                <w:lang w:val="fr-FR"/>
              </w:rPr>
            </w:pPr>
            <w:r w:rsidRPr="002E4298">
              <w:rPr>
                <w:spacing w:val="4"/>
                <w:w w:val="103"/>
                <w:sz w:val="17"/>
                <w:lang w:val="fr-FR" w:bidi="fr-FR"/>
              </w:rPr>
              <w:t>17,9</w:t>
            </w:r>
          </w:p>
        </w:tc>
        <w:tc>
          <w:tcPr>
            <w:tcW w:w="813" w:type="dxa"/>
            <w:shd w:val="clear" w:color="auto" w:fill="auto"/>
            <w:noWrap/>
            <w:vAlign w:val="bottom"/>
            <w:hideMark/>
          </w:tcPr>
          <w:p w14:paraId="638D2C42" w14:textId="77777777" w:rsidR="00BB0956" w:rsidRPr="002E4298" w:rsidRDefault="00BB0956" w:rsidP="005519F3">
            <w:pPr>
              <w:pStyle w:val="SingleTxtG"/>
              <w:tabs>
                <w:tab w:val="left" w:pos="288"/>
                <w:tab w:val="left" w:pos="576"/>
                <w:tab w:val="left" w:pos="864"/>
                <w:tab w:val="left" w:pos="1152"/>
              </w:tabs>
              <w:spacing w:before="40" w:after="40" w:line="210" w:lineRule="exact"/>
              <w:ind w:left="0" w:right="43"/>
              <w:jc w:val="right"/>
              <w:rPr>
                <w:spacing w:val="4"/>
                <w:w w:val="103"/>
                <w:sz w:val="17"/>
                <w:lang w:val="fr-FR"/>
              </w:rPr>
            </w:pPr>
            <w:r w:rsidRPr="002E4298">
              <w:rPr>
                <w:spacing w:val="4"/>
                <w:w w:val="103"/>
                <w:sz w:val="17"/>
                <w:lang w:val="fr-FR" w:bidi="fr-FR"/>
              </w:rPr>
              <w:t>17,9</w:t>
            </w:r>
          </w:p>
        </w:tc>
        <w:tc>
          <w:tcPr>
            <w:tcW w:w="813" w:type="dxa"/>
            <w:shd w:val="clear" w:color="auto" w:fill="auto"/>
            <w:noWrap/>
            <w:vAlign w:val="bottom"/>
            <w:hideMark/>
          </w:tcPr>
          <w:p w14:paraId="39E7DD7B" w14:textId="77777777" w:rsidR="00BB0956" w:rsidRPr="002E4298" w:rsidRDefault="00BB0956" w:rsidP="005519F3">
            <w:pPr>
              <w:pStyle w:val="SingleTxtG"/>
              <w:tabs>
                <w:tab w:val="left" w:pos="288"/>
                <w:tab w:val="left" w:pos="576"/>
                <w:tab w:val="left" w:pos="864"/>
                <w:tab w:val="left" w:pos="1152"/>
              </w:tabs>
              <w:spacing w:before="40" w:after="40" w:line="210" w:lineRule="exact"/>
              <w:ind w:left="0" w:right="43"/>
              <w:jc w:val="right"/>
              <w:rPr>
                <w:spacing w:val="4"/>
                <w:w w:val="103"/>
                <w:sz w:val="17"/>
                <w:lang w:val="fr-FR"/>
              </w:rPr>
            </w:pPr>
            <w:r w:rsidRPr="002E4298">
              <w:rPr>
                <w:spacing w:val="4"/>
                <w:w w:val="103"/>
                <w:sz w:val="17"/>
                <w:lang w:val="fr-FR" w:bidi="fr-FR"/>
              </w:rPr>
              <w:t>18,4</w:t>
            </w:r>
          </w:p>
        </w:tc>
        <w:tc>
          <w:tcPr>
            <w:tcW w:w="813" w:type="dxa"/>
            <w:shd w:val="clear" w:color="auto" w:fill="auto"/>
            <w:noWrap/>
            <w:vAlign w:val="bottom"/>
            <w:hideMark/>
          </w:tcPr>
          <w:p w14:paraId="0F289B0B" w14:textId="77777777" w:rsidR="00BB0956" w:rsidRPr="002E4298" w:rsidRDefault="00BB0956" w:rsidP="005519F3">
            <w:pPr>
              <w:pStyle w:val="SingleTxtG"/>
              <w:tabs>
                <w:tab w:val="left" w:pos="288"/>
                <w:tab w:val="left" w:pos="576"/>
                <w:tab w:val="left" w:pos="864"/>
                <w:tab w:val="left" w:pos="1152"/>
              </w:tabs>
              <w:spacing w:before="40" w:after="40" w:line="210" w:lineRule="exact"/>
              <w:ind w:left="0" w:right="43"/>
              <w:jc w:val="right"/>
              <w:rPr>
                <w:spacing w:val="4"/>
                <w:w w:val="103"/>
                <w:sz w:val="17"/>
                <w:lang w:val="fr-FR"/>
              </w:rPr>
            </w:pPr>
            <w:r w:rsidRPr="002E4298">
              <w:rPr>
                <w:spacing w:val="4"/>
                <w:w w:val="103"/>
                <w:sz w:val="17"/>
                <w:lang w:val="fr-FR" w:bidi="fr-FR"/>
              </w:rPr>
              <w:t>17,8</w:t>
            </w:r>
          </w:p>
        </w:tc>
        <w:tc>
          <w:tcPr>
            <w:tcW w:w="813" w:type="dxa"/>
            <w:shd w:val="clear" w:color="auto" w:fill="auto"/>
            <w:noWrap/>
            <w:vAlign w:val="bottom"/>
            <w:hideMark/>
          </w:tcPr>
          <w:p w14:paraId="23D0A2EE" w14:textId="77777777" w:rsidR="00BB0956" w:rsidRPr="002E4298" w:rsidRDefault="00BB0956" w:rsidP="005519F3">
            <w:pPr>
              <w:pStyle w:val="SingleTxtG"/>
              <w:tabs>
                <w:tab w:val="left" w:pos="288"/>
                <w:tab w:val="left" w:pos="576"/>
                <w:tab w:val="left" w:pos="864"/>
                <w:tab w:val="left" w:pos="1152"/>
              </w:tabs>
              <w:spacing w:before="40" w:after="40" w:line="210" w:lineRule="exact"/>
              <w:ind w:left="0" w:right="43"/>
              <w:jc w:val="right"/>
              <w:rPr>
                <w:spacing w:val="4"/>
                <w:w w:val="103"/>
                <w:sz w:val="17"/>
                <w:lang w:val="fr-FR"/>
              </w:rPr>
            </w:pPr>
            <w:r w:rsidRPr="002E4298">
              <w:rPr>
                <w:spacing w:val="4"/>
                <w:w w:val="103"/>
                <w:sz w:val="17"/>
                <w:lang w:val="fr-FR" w:bidi="fr-FR"/>
              </w:rPr>
              <w:t>16,6</w:t>
            </w:r>
          </w:p>
        </w:tc>
        <w:tc>
          <w:tcPr>
            <w:tcW w:w="813" w:type="dxa"/>
            <w:shd w:val="clear" w:color="auto" w:fill="auto"/>
            <w:noWrap/>
            <w:vAlign w:val="bottom"/>
            <w:hideMark/>
          </w:tcPr>
          <w:p w14:paraId="16074534" w14:textId="77777777" w:rsidR="00BB0956" w:rsidRPr="002E4298" w:rsidRDefault="00BB0956" w:rsidP="005519F3">
            <w:pPr>
              <w:pStyle w:val="SingleTxtG"/>
              <w:tabs>
                <w:tab w:val="left" w:pos="288"/>
                <w:tab w:val="left" w:pos="576"/>
                <w:tab w:val="left" w:pos="864"/>
                <w:tab w:val="left" w:pos="1152"/>
              </w:tabs>
              <w:spacing w:before="40" w:after="40" w:line="210" w:lineRule="exact"/>
              <w:ind w:left="0" w:right="43"/>
              <w:jc w:val="right"/>
              <w:rPr>
                <w:spacing w:val="4"/>
                <w:w w:val="103"/>
                <w:sz w:val="17"/>
                <w:lang w:val="fr-FR"/>
              </w:rPr>
            </w:pPr>
            <w:r w:rsidRPr="002E4298">
              <w:rPr>
                <w:spacing w:val="4"/>
                <w:w w:val="103"/>
                <w:sz w:val="17"/>
                <w:lang w:val="fr-FR" w:bidi="fr-FR"/>
              </w:rPr>
              <w:t>16,6</w:t>
            </w:r>
          </w:p>
        </w:tc>
        <w:tc>
          <w:tcPr>
            <w:tcW w:w="813" w:type="dxa"/>
            <w:shd w:val="clear" w:color="auto" w:fill="auto"/>
            <w:noWrap/>
            <w:vAlign w:val="bottom"/>
            <w:hideMark/>
          </w:tcPr>
          <w:p w14:paraId="2FF68CF8" w14:textId="77777777" w:rsidR="00BB0956" w:rsidRPr="002E4298" w:rsidRDefault="00BB0956" w:rsidP="005519F3">
            <w:pPr>
              <w:pStyle w:val="SingleTxtG"/>
              <w:tabs>
                <w:tab w:val="left" w:pos="288"/>
                <w:tab w:val="left" w:pos="576"/>
                <w:tab w:val="left" w:pos="864"/>
                <w:tab w:val="left" w:pos="1152"/>
              </w:tabs>
              <w:spacing w:before="40" w:after="40" w:line="210" w:lineRule="exact"/>
              <w:ind w:left="0" w:right="43"/>
              <w:jc w:val="right"/>
              <w:rPr>
                <w:spacing w:val="4"/>
                <w:w w:val="103"/>
                <w:sz w:val="17"/>
                <w:lang w:val="fr-FR"/>
              </w:rPr>
            </w:pPr>
            <w:r w:rsidRPr="002E4298">
              <w:rPr>
                <w:spacing w:val="4"/>
                <w:w w:val="103"/>
                <w:sz w:val="17"/>
                <w:lang w:val="fr-FR" w:bidi="fr-FR"/>
              </w:rPr>
              <w:t>15,7</w:t>
            </w:r>
          </w:p>
        </w:tc>
        <w:tc>
          <w:tcPr>
            <w:tcW w:w="813" w:type="dxa"/>
            <w:shd w:val="clear" w:color="auto" w:fill="auto"/>
            <w:noWrap/>
            <w:vAlign w:val="bottom"/>
            <w:hideMark/>
          </w:tcPr>
          <w:p w14:paraId="208ADEF6" w14:textId="77777777" w:rsidR="00BB0956" w:rsidRPr="002E4298" w:rsidRDefault="00BB0956" w:rsidP="005519F3">
            <w:pPr>
              <w:pStyle w:val="SingleTxtG"/>
              <w:tabs>
                <w:tab w:val="left" w:pos="288"/>
                <w:tab w:val="left" w:pos="576"/>
                <w:tab w:val="left" w:pos="864"/>
                <w:tab w:val="left" w:pos="1152"/>
              </w:tabs>
              <w:spacing w:before="40" w:after="40" w:line="210" w:lineRule="exact"/>
              <w:ind w:left="0" w:right="43"/>
              <w:jc w:val="right"/>
              <w:rPr>
                <w:spacing w:val="4"/>
                <w:w w:val="103"/>
                <w:sz w:val="17"/>
                <w:lang w:val="fr-FR"/>
              </w:rPr>
            </w:pPr>
            <w:r w:rsidRPr="002E4298">
              <w:rPr>
                <w:spacing w:val="4"/>
                <w:w w:val="103"/>
                <w:sz w:val="17"/>
                <w:lang w:val="fr-FR" w:bidi="fr-FR"/>
              </w:rPr>
              <w:t>14,8</w:t>
            </w:r>
          </w:p>
        </w:tc>
      </w:tr>
      <w:tr w:rsidR="00BB0956" w:rsidRPr="002E4298" w14:paraId="0B1A9CC6" w14:textId="77777777" w:rsidTr="005519F3">
        <w:tc>
          <w:tcPr>
            <w:tcW w:w="813" w:type="dxa"/>
            <w:tcBorders>
              <w:bottom w:val="single" w:sz="12" w:space="0" w:color="auto"/>
            </w:tcBorders>
            <w:shd w:val="clear" w:color="auto" w:fill="auto"/>
            <w:noWrap/>
            <w:vAlign w:val="bottom"/>
            <w:hideMark/>
          </w:tcPr>
          <w:p w14:paraId="0EEF71F3" w14:textId="77777777" w:rsidR="00BB0956" w:rsidRPr="002E4298" w:rsidRDefault="00BB0956" w:rsidP="005519F3">
            <w:pPr>
              <w:pStyle w:val="SingleTxtG"/>
              <w:tabs>
                <w:tab w:val="left" w:pos="288"/>
                <w:tab w:val="left" w:pos="576"/>
                <w:tab w:val="left" w:pos="864"/>
                <w:tab w:val="left" w:pos="1152"/>
              </w:tabs>
              <w:spacing w:before="40" w:after="40" w:line="210" w:lineRule="exact"/>
              <w:ind w:left="0" w:right="40"/>
              <w:jc w:val="left"/>
              <w:rPr>
                <w:bCs/>
                <w:spacing w:val="4"/>
                <w:w w:val="103"/>
                <w:sz w:val="17"/>
                <w:lang w:val="fr-FR"/>
              </w:rPr>
            </w:pPr>
            <w:r w:rsidRPr="002E4298">
              <w:rPr>
                <w:spacing w:val="4"/>
                <w:w w:val="103"/>
                <w:sz w:val="17"/>
                <w:lang w:val="fr-FR" w:bidi="fr-FR"/>
              </w:rPr>
              <w:t>F</w:t>
            </w:r>
          </w:p>
        </w:tc>
        <w:tc>
          <w:tcPr>
            <w:tcW w:w="813" w:type="dxa"/>
            <w:tcBorders>
              <w:bottom w:val="single" w:sz="12" w:space="0" w:color="auto"/>
            </w:tcBorders>
            <w:shd w:val="clear" w:color="auto" w:fill="auto"/>
            <w:noWrap/>
            <w:vAlign w:val="bottom"/>
            <w:hideMark/>
          </w:tcPr>
          <w:p w14:paraId="12F340A3" w14:textId="77777777" w:rsidR="00BB0956" w:rsidRPr="002E4298" w:rsidRDefault="00BB0956" w:rsidP="005519F3">
            <w:pPr>
              <w:pStyle w:val="SingleTxtG"/>
              <w:tabs>
                <w:tab w:val="left" w:pos="288"/>
                <w:tab w:val="left" w:pos="576"/>
                <w:tab w:val="left" w:pos="864"/>
                <w:tab w:val="left" w:pos="1152"/>
              </w:tabs>
              <w:spacing w:before="40" w:after="40" w:line="210" w:lineRule="exact"/>
              <w:ind w:left="0" w:right="43"/>
              <w:jc w:val="right"/>
              <w:rPr>
                <w:spacing w:val="4"/>
                <w:w w:val="103"/>
                <w:sz w:val="17"/>
                <w:lang w:val="fr-FR"/>
              </w:rPr>
            </w:pPr>
            <w:r w:rsidRPr="002E4298">
              <w:rPr>
                <w:spacing w:val="4"/>
                <w:w w:val="103"/>
                <w:sz w:val="17"/>
                <w:lang w:val="fr-FR" w:bidi="fr-FR"/>
              </w:rPr>
              <w:t>20,9</w:t>
            </w:r>
          </w:p>
        </w:tc>
        <w:tc>
          <w:tcPr>
            <w:tcW w:w="813" w:type="dxa"/>
            <w:tcBorders>
              <w:bottom w:val="single" w:sz="12" w:space="0" w:color="auto"/>
            </w:tcBorders>
            <w:shd w:val="clear" w:color="auto" w:fill="auto"/>
            <w:noWrap/>
            <w:vAlign w:val="bottom"/>
            <w:hideMark/>
          </w:tcPr>
          <w:p w14:paraId="19035A06" w14:textId="77777777" w:rsidR="00BB0956" w:rsidRPr="002E4298" w:rsidRDefault="00BB0956" w:rsidP="005519F3">
            <w:pPr>
              <w:pStyle w:val="SingleTxtG"/>
              <w:tabs>
                <w:tab w:val="left" w:pos="288"/>
                <w:tab w:val="left" w:pos="576"/>
                <w:tab w:val="left" w:pos="864"/>
                <w:tab w:val="left" w:pos="1152"/>
              </w:tabs>
              <w:spacing w:before="40" w:after="40" w:line="210" w:lineRule="exact"/>
              <w:ind w:left="0" w:right="43"/>
              <w:jc w:val="right"/>
              <w:rPr>
                <w:spacing w:val="4"/>
                <w:w w:val="103"/>
                <w:sz w:val="17"/>
                <w:lang w:val="fr-FR"/>
              </w:rPr>
            </w:pPr>
            <w:r w:rsidRPr="002E4298">
              <w:rPr>
                <w:spacing w:val="4"/>
                <w:w w:val="103"/>
                <w:sz w:val="17"/>
                <w:lang w:val="fr-FR" w:bidi="fr-FR"/>
              </w:rPr>
              <w:t>20,8</w:t>
            </w:r>
          </w:p>
        </w:tc>
        <w:tc>
          <w:tcPr>
            <w:tcW w:w="813" w:type="dxa"/>
            <w:tcBorders>
              <w:bottom w:val="single" w:sz="12" w:space="0" w:color="auto"/>
            </w:tcBorders>
            <w:shd w:val="clear" w:color="auto" w:fill="auto"/>
            <w:noWrap/>
            <w:vAlign w:val="bottom"/>
            <w:hideMark/>
          </w:tcPr>
          <w:p w14:paraId="30A1637C" w14:textId="77777777" w:rsidR="00BB0956" w:rsidRPr="002E4298" w:rsidRDefault="00BB0956" w:rsidP="005519F3">
            <w:pPr>
              <w:pStyle w:val="SingleTxtG"/>
              <w:tabs>
                <w:tab w:val="left" w:pos="288"/>
                <w:tab w:val="left" w:pos="576"/>
                <w:tab w:val="left" w:pos="864"/>
                <w:tab w:val="left" w:pos="1152"/>
              </w:tabs>
              <w:spacing w:before="40" w:after="40" w:line="210" w:lineRule="exact"/>
              <w:ind w:left="0" w:right="43"/>
              <w:jc w:val="right"/>
              <w:rPr>
                <w:spacing w:val="4"/>
                <w:w w:val="103"/>
                <w:sz w:val="17"/>
                <w:lang w:val="fr-FR"/>
              </w:rPr>
            </w:pPr>
            <w:r w:rsidRPr="002E4298">
              <w:rPr>
                <w:spacing w:val="4"/>
                <w:w w:val="103"/>
                <w:sz w:val="17"/>
                <w:lang w:val="fr-FR" w:bidi="fr-FR"/>
              </w:rPr>
              <w:t>21,1</w:t>
            </w:r>
          </w:p>
        </w:tc>
        <w:tc>
          <w:tcPr>
            <w:tcW w:w="813" w:type="dxa"/>
            <w:tcBorders>
              <w:bottom w:val="single" w:sz="12" w:space="0" w:color="auto"/>
            </w:tcBorders>
            <w:shd w:val="clear" w:color="auto" w:fill="auto"/>
            <w:noWrap/>
            <w:vAlign w:val="bottom"/>
            <w:hideMark/>
          </w:tcPr>
          <w:p w14:paraId="3A725494" w14:textId="77777777" w:rsidR="00BB0956" w:rsidRPr="002E4298" w:rsidRDefault="00BB0956" w:rsidP="005519F3">
            <w:pPr>
              <w:pStyle w:val="SingleTxtG"/>
              <w:tabs>
                <w:tab w:val="left" w:pos="288"/>
                <w:tab w:val="left" w:pos="576"/>
                <w:tab w:val="left" w:pos="864"/>
                <w:tab w:val="left" w:pos="1152"/>
              </w:tabs>
              <w:spacing w:before="40" w:after="40" w:line="210" w:lineRule="exact"/>
              <w:ind w:left="0" w:right="43"/>
              <w:jc w:val="right"/>
              <w:rPr>
                <w:spacing w:val="4"/>
                <w:w w:val="103"/>
                <w:sz w:val="17"/>
                <w:lang w:val="fr-FR"/>
              </w:rPr>
            </w:pPr>
            <w:r w:rsidRPr="002E4298">
              <w:rPr>
                <w:spacing w:val="4"/>
                <w:w w:val="103"/>
                <w:sz w:val="17"/>
                <w:lang w:val="fr-FR" w:bidi="fr-FR"/>
              </w:rPr>
              <w:t>20,7</w:t>
            </w:r>
          </w:p>
        </w:tc>
        <w:tc>
          <w:tcPr>
            <w:tcW w:w="813" w:type="dxa"/>
            <w:tcBorders>
              <w:bottom w:val="single" w:sz="12" w:space="0" w:color="auto"/>
            </w:tcBorders>
            <w:shd w:val="clear" w:color="auto" w:fill="auto"/>
            <w:noWrap/>
            <w:vAlign w:val="bottom"/>
            <w:hideMark/>
          </w:tcPr>
          <w:p w14:paraId="4F238503" w14:textId="77777777" w:rsidR="00BB0956" w:rsidRPr="002E4298" w:rsidRDefault="00BB0956" w:rsidP="005519F3">
            <w:pPr>
              <w:pStyle w:val="SingleTxtG"/>
              <w:tabs>
                <w:tab w:val="left" w:pos="288"/>
                <w:tab w:val="left" w:pos="576"/>
                <w:tab w:val="left" w:pos="864"/>
                <w:tab w:val="left" w:pos="1152"/>
              </w:tabs>
              <w:spacing w:before="40" w:after="40" w:line="210" w:lineRule="exact"/>
              <w:ind w:left="0" w:right="43"/>
              <w:jc w:val="right"/>
              <w:rPr>
                <w:spacing w:val="4"/>
                <w:w w:val="103"/>
                <w:sz w:val="17"/>
                <w:lang w:val="fr-FR"/>
              </w:rPr>
            </w:pPr>
            <w:r w:rsidRPr="002E4298">
              <w:rPr>
                <w:spacing w:val="4"/>
                <w:w w:val="103"/>
                <w:sz w:val="17"/>
                <w:lang w:val="fr-FR" w:bidi="fr-FR"/>
              </w:rPr>
              <w:t>19,9</w:t>
            </w:r>
          </w:p>
        </w:tc>
        <w:tc>
          <w:tcPr>
            <w:tcW w:w="813" w:type="dxa"/>
            <w:tcBorders>
              <w:bottom w:val="single" w:sz="12" w:space="0" w:color="auto"/>
            </w:tcBorders>
            <w:shd w:val="clear" w:color="auto" w:fill="auto"/>
            <w:noWrap/>
            <w:vAlign w:val="bottom"/>
            <w:hideMark/>
          </w:tcPr>
          <w:p w14:paraId="20B2965D" w14:textId="77777777" w:rsidR="00BB0956" w:rsidRPr="002E4298" w:rsidRDefault="00BB0956" w:rsidP="005519F3">
            <w:pPr>
              <w:pStyle w:val="SingleTxtG"/>
              <w:tabs>
                <w:tab w:val="left" w:pos="288"/>
                <w:tab w:val="left" w:pos="576"/>
                <w:tab w:val="left" w:pos="864"/>
                <w:tab w:val="left" w:pos="1152"/>
              </w:tabs>
              <w:spacing w:before="40" w:after="40" w:line="210" w:lineRule="exact"/>
              <w:ind w:left="0" w:right="43"/>
              <w:jc w:val="right"/>
              <w:rPr>
                <w:spacing w:val="4"/>
                <w:w w:val="103"/>
                <w:sz w:val="17"/>
                <w:lang w:val="fr-FR"/>
              </w:rPr>
            </w:pPr>
            <w:r w:rsidRPr="002E4298">
              <w:rPr>
                <w:spacing w:val="4"/>
                <w:w w:val="103"/>
                <w:sz w:val="17"/>
                <w:lang w:val="fr-FR" w:bidi="fr-FR"/>
              </w:rPr>
              <w:t>19,8</w:t>
            </w:r>
          </w:p>
        </w:tc>
        <w:tc>
          <w:tcPr>
            <w:tcW w:w="813" w:type="dxa"/>
            <w:tcBorders>
              <w:bottom w:val="single" w:sz="12" w:space="0" w:color="auto"/>
            </w:tcBorders>
            <w:shd w:val="clear" w:color="auto" w:fill="auto"/>
            <w:noWrap/>
            <w:vAlign w:val="bottom"/>
            <w:hideMark/>
          </w:tcPr>
          <w:p w14:paraId="7E3F3231" w14:textId="77777777" w:rsidR="00BB0956" w:rsidRPr="002E4298" w:rsidRDefault="00BB0956" w:rsidP="005519F3">
            <w:pPr>
              <w:pStyle w:val="SingleTxtG"/>
              <w:tabs>
                <w:tab w:val="left" w:pos="288"/>
                <w:tab w:val="left" w:pos="576"/>
                <w:tab w:val="left" w:pos="864"/>
                <w:tab w:val="left" w:pos="1152"/>
              </w:tabs>
              <w:spacing w:before="40" w:after="40" w:line="210" w:lineRule="exact"/>
              <w:ind w:left="0" w:right="43"/>
              <w:jc w:val="right"/>
              <w:rPr>
                <w:spacing w:val="4"/>
                <w:w w:val="103"/>
                <w:sz w:val="17"/>
                <w:lang w:val="fr-FR"/>
              </w:rPr>
            </w:pPr>
            <w:r w:rsidRPr="002E4298">
              <w:rPr>
                <w:spacing w:val="4"/>
                <w:w w:val="103"/>
                <w:sz w:val="17"/>
                <w:lang w:val="fr-FR" w:bidi="fr-FR"/>
              </w:rPr>
              <w:t>19,1</w:t>
            </w:r>
          </w:p>
        </w:tc>
        <w:tc>
          <w:tcPr>
            <w:tcW w:w="813" w:type="dxa"/>
            <w:tcBorders>
              <w:bottom w:val="single" w:sz="12" w:space="0" w:color="auto"/>
            </w:tcBorders>
            <w:shd w:val="clear" w:color="auto" w:fill="auto"/>
            <w:noWrap/>
            <w:vAlign w:val="bottom"/>
            <w:hideMark/>
          </w:tcPr>
          <w:p w14:paraId="59757BC8" w14:textId="77777777" w:rsidR="00BB0956" w:rsidRPr="002E4298" w:rsidRDefault="00BB0956" w:rsidP="005519F3">
            <w:pPr>
              <w:pStyle w:val="SingleTxtG"/>
              <w:tabs>
                <w:tab w:val="left" w:pos="288"/>
                <w:tab w:val="left" w:pos="576"/>
                <w:tab w:val="left" w:pos="864"/>
                <w:tab w:val="left" w:pos="1152"/>
              </w:tabs>
              <w:spacing w:before="40" w:after="40" w:line="210" w:lineRule="exact"/>
              <w:ind w:left="0" w:right="43"/>
              <w:jc w:val="right"/>
              <w:rPr>
                <w:spacing w:val="4"/>
                <w:w w:val="103"/>
                <w:sz w:val="17"/>
                <w:lang w:val="fr-FR"/>
              </w:rPr>
            </w:pPr>
            <w:r w:rsidRPr="002E4298">
              <w:rPr>
                <w:spacing w:val="4"/>
                <w:w w:val="103"/>
                <w:sz w:val="17"/>
                <w:lang w:val="fr-FR" w:bidi="fr-FR"/>
              </w:rPr>
              <w:t>18,2</w:t>
            </w:r>
          </w:p>
        </w:tc>
      </w:tr>
    </w:tbl>
    <w:p w14:paraId="16FD07BD" w14:textId="77777777" w:rsidR="00BB0956" w:rsidRPr="002E4298" w:rsidRDefault="00BB0956" w:rsidP="00BB0956">
      <w:pPr>
        <w:pStyle w:val="SingleTxt"/>
        <w:spacing w:after="0" w:line="120" w:lineRule="exact"/>
        <w:rPr>
          <w:sz w:val="10"/>
          <w:lang w:val="fr-FR"/>
        </w:rPr>
      </w:pPr>
    </w:p>
    <w:p w14:paraId="041E8CCB" w14:textId="4E4A6186" w:rsidR="00BB0956" w:rsidRPr="002E4298" w:rsidRDefault="00BB0956" w:rsidP="005519F3">
      <w:pPr>
        <w:pStyle w:val="FootnoteText"/>
        <w:tabs>
          <w:tab w:val="right" w:pos="1476"/>
          <w:tab w:val="left" w:pos="1548"/>
          <w:tab w:val="right" w:pos="1836"/>
          <w:tab w:val="left" w:pos="1908"/>
        </w:tabs>
        <w:ind w:left="1548" w:right="1267" w:hanging="288"/>
        <w:rPr>
          <w:lang w:val="fr-FR" w:bidi="fr-FR"/>
        </w:rPr>
      </w:pPr>
      <w:r w:rsidRPr="002E4298">
        <w:rPr>
          <w:i/>
          <w:lang w:val="fr-FR" w:bidi="fr-FR"/>
        </w:rPr>
        <w:t>Source</w:t>
      </w:r>
      <w:r w:rsidRPr="002E4298">
        <w:rPr>
          <w:iCs/>
          <w:lang w:val="fr-FR" w:bidi="fr-FR"/>
        </w:rPr>
        <w:t> :</w:t>
      </w:r>
      <w:r w:rsidRPr="002E4298">
        <w:rPr>
          <w:lang w:val="fr-FR" w:bidi="fr-FR"/>
        </w:rPr>
        <w:t xml:space="preserve"> bureau de la stratégie et de la planification du Ministère du travail, de la solidarité et de la sécurité sociale (GEP/MTSSS), listes du personnel.</w:t>
      </w:r>
    </w:p>
    <w:p w14:paraId="168C2364" w14:textId="19367D0F" w:rsidR="005519F3" w:rsidRPr="002E4298" w:rsidRDefault="005519F3" w:rsidP="005519F3">
      <w:pPr>
        <w:pStyle w:val="SingleTxt"/>
        <w:spacing w:after="0" w:line="120" w:lineRule="exact"/>
        <w:rPr>
          <w:sz w:val="10"/>
          <w:lang w:val="fr-FR" w:bidi="fr-FR"/>
        </w:rPr>
      </w:pPr>
    </w:p>
    <w:p w14:paraId="5A687819" w14:textId="74D43424" w:rsidR="005519F3" w:rsidRPr="002E4298" w:rsidRDefault="005519F3" w:rsidP="005519F3">
      <w:pPr>
        <w:pStyle w:val="SingleTxt"/>
        <w:spacing w:after="0" w:line="120" w:lineRule="exact"/>
        <w:rPr>
          <w:sz w:val="10"/>
          <w:lang w:val="fr-FR"/>
        </w:rPr>
      </w:pPr>
    </w:p>
    <w:p w14:paraId="0BE139D9" w14:textId="5A74FB8B" w:rsidR="005519F3" w:rsidRPr="002E4298" w:rsidRDefault="005519F3" w:rsidP="005519F3">
      <w:pPr>
        <w:pStyle w:val="SingleTxt"/>
        <w:spacing w:after="0" w:line="120" w:lineRule="exact"/>
        <w:rPr>
          <w:sz w:val="10"/>
          <w:lang w:val="fr-FR"/>
        </w:rPr>
      </w:pPr>
    </w:p>
    <w:p w14:paraId="230C04E4" w14:textId="77777777" w:rsidR="00BB0956" w:rsidRPr="002E4298" w:rsidRDefault="00BB0956" w:rsidP="005519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E4298">
        <w:rPr>
          <w:lang w:val="fr-FR" w:bidi="fr-FR"/>
        </w:rPr>
        <w:tab/>
      </w:r>
      <w:r w:rsidRPr="002E4298">
        <w:rPr>
          <w:lang w:val="fr-FR" w:bidi="fr-FR"/>
        </w:rPr>
        <w:tab/>
        <w:t>Écart de rémunération entre femmes et hommes au Portugal, 2010-2017 (%)</w:t>
      </w:r>
    </w:p>
    <w:p w14:paraId="1F245AB3" w14:textId="77777777" w:rsidR="00BB0956" w:rsidRPr="002E4298" w:rsidRDefault="00BB0956" w:rsidP="00BB0956">
      <w:pPr>
        <w:pStyle w:val="SingleTxt"/>
        <w:spacing w:after="0" w:line="120" w:lineRule="exact"/>
        <w:rPr>
          <w:sz w:val="10"/>
          <w:lang w:val="fr-FR"/>
        </w:rPr>
      </w:pPr>
    </w:p>
    <w:p w14:paraId="50B83D86" w14:textId="77777777" w:rsidR="00BB0956" w:rsidRPr="002E4298" w:rsidRDefault="00BB0956" w:rsidP="00BB0956">
      <w:pPr>
        <w:pStyle w:val="SingleTxt"/>
        <w:spacing w:after="0" w:line="120" w:lineRule="exact"/>
        <w:rPr>
          <w:sz w:val="10"/>
          <w:lang w:val="fr-FR"/>
        </w:rPr>
      </w:pPr>
    </w:p>
    <w:p w14:paraId="471D15DF" w14:textId="3D8E0B31" w:rsidR="00BB0956" w:rsidRPr="002E4298" w:rsidRDefault="00370F38" w:rsidP="00BB0956">
      <w:pPr>
        <w:pStyle w:val="SingleTxt"/>
        <w:spacing w:after="0" w:line="240" w:lineRule="auto"/>
        <w:rPr>
          <w:lang w:val="fr-FR"/>
        </w:rPr>
      </w:pPr>
      <w:r w:rsidRPr="002E4298">
        <w:rPr>
          <w:lang w:val="fr-FR"/>
        </w:rPr>
        <w:drawing>
          <wp:inline distT="0" distB="0" distL="0" distR="0" wp14:anchorId="0D502C13" wp14:editId="280E9185">
            <wp:extent cx="4701861" cy="257694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742229" cy="2599069"/>
                    </a:xfrm>
                    <a:prstGeom prst="rect">
                      <a:avLst/>
                    </a:prstGeom>
                  </pic:spPr>
                </pic:pic>
              </a:graphicData>
            </a:graphic>
          </wp:inline>
        </w:drawing>
      </w:r>
    </w:p>
    <w:p w14:paraId="41DCDDD5" w14:textId="77777777" w:rsidR="00BB0956" w:rsidRPr="002E4298" w:rsidRDefault="00BB0956" w:rsidP="00BB0956">
      <w:pPr>
        <w:pStyle w:val="SingleTxt"/>
        <w:spacing w:after="0" w:line="120" w:lineRule="exact"/>
        <w:rPr>
          <w:sz w:val="10"/>
          <w:lang w:val="fr-FR"/>
        </w:rPr>
      </w:pPr>
    </w:p>
    <w:p w14:paraId="51371BB4" w14:textId="3DF2669F" w:rsidR="00BB0956" w:rsidRPr="002E4298" w:rsidRDefault="00BB0956" w:rsidP="005519F3">
      <w:pPr>
        <w:pStyle w:val="FootnoteText"/>
        <w:tabs>
          <w:tab w:val="right" w:pos="1476"/>
          <w:tab w:val="left" w:pos="1548"/>
          <w:tab w:val="right" w:pos="1836"/>
          <w:tab w:val="left" w:pos="1908"/>
        </w:tabs>
        <w:ind w:left="1548" w:right="1267" w:hanging="288"/>
        <w:rPr>
          <w:lang w:val="fr-FR" w:bidi="fr-FR"/>
        </w:rPr>
      </w:pPr>
      <w:r w:rsidRPr="002E4298">
        <w:rPr>
          <w:i/>
          <w:lang w:val="fr-FR" w:bidi="fr-FR"/>
        </w:rPr>
        <w:t>Source</w:t>
      </w:r>
      <w:r w:rsidRPr="002E4298">
        <w:rPr>
          <w:iCs/>
          <w:lang w:val="fr-FR" w:bidi="fr-FR"/>
        </w:rPr>
        <w:t xml:space="preserve"> : </w:t>
      </w:r>
      <w:r w:rsidRPr="002E4298">
        <w:rPr>
          <w:lang w:val="fr-FR" w:bidi="fr-FR"/>
        </w:rPr>
        <w:t>bureau de la stratégie et de la planification du Ministère du travail, de la solidarité et de la sécurité sociale (GEP/MTSSS), listes du personnel.</w:t>
      </w:r>
    </w:p>
    <w:p w14:paraId="1757AE7E" w14:textId="19CDCB40" w:rsidR="005519F3" w:rsidRPr="002E4298" w:rsidRDefault="005519F3" w:rsidP="005519F3">
      <w:pPr>
        <w:pStyle w:val="SingleTxt"/>
        <w:spacing w:after="0" w:line="120" w:lineRule="exact"/>
        <w:rPr>
          <w:sz w:val="10"/>
          <w:lang w:val="fr-FR" w:bidi="fr-FR"/>
        </w:rPr>
      </w:pPr>
    </w:p>
    <w:p w14:paraId="06FB27ED" w14:textId="6C37621F" w:rsidR="005519F3" w:rsidRPr="002E4298" w:rsidRDefault="005519F3" w:rsidP="005519F3">
      <w:pPr>
        <w:pStyle w:val="SingleTxt"/>
        <w:spacing w:after="0" w:line="120" w:lineRule="exact"/>
        <w:rPr>
          <w:sz w:val="10"/>
          <w:lang w:val="fr-FR"/>
        </w:rPr>
      </w:pPr>
    </w:p>
    <w:p w14:paraId="4A2EB4BD" w14:textId="3F5589C1" w:rsidR="00BB0956" w:rsidRPr="002E4298" w:rsidRDefault="00BB0956" w:rsidP="00A11C35">
      <w:pPr>
        <w:pStyle w:val="SingleTxt"/>
        <w:numPr>
          <w:ilvl w:val="0"/>
          <w:numId w:val="6"/>
        </w:numPr>
        <w:spacing w:line="240" w:lineRule="exact"/>
        <w:rPr>
          <w:lang w:val="fr-FR"/>
        </w:rPr>
      </w:pPr>
      <w:r w:rsidRPr="002E4298">
        <w:rPr>
          <w:lang w:val="fr-FR" w:bidi="fr-FR"/>
        </w:rPr>
        <w:t>La Commission pour l’égalité dans le travail et l’emploi est chargée d’évaluer la légalité des dispositions des conventions collectives au regard des exigences du droit du travail en matière d’égalité entre femmes et hommes.</w:t>
      </w:r>
    </w:p>
    <w:p w14:paraId="7CD88329" w14:textId="4F928482" w:rsidR="00BB0956" w:rsidRPr="002E4298" w:rsidRDefault="00BB0956" w:rsidP="00A11C35">
      <w:pPr>
        <w:pStyle w:val="SingleTxt"/>
        <w:numPr>
          <w:ilvl w:val="0"/>
          <w:numId w:val="6"/>
        </w:numPr>
        <w:spacing w:line="240" w:lineRule="exact"/>
        <w:rPr>
          <w:lang w:val="fr-FR"/>
        </w:rPr>
      </w:pPr>
      <w:r w:rsidRPr="002E4298">
        <w:rPr>
          <w:lang w:val="fr-FR" w:bidi="fr-FR"/>
        </w:rPr>
        <w:t xml:space="preserve">Entre 2014 et 2018, la Commission a évalué 1 130 conventions collectives. Sur l’ensemble des conventions collectives analysées, 124 contenaient des dispositions illégales (240 dispositions illégales ont été signalées), et les parties ont été invitées à </w:t>
      </w:r>
      <w:r w:rsidRPr="002E4298">
        <w:rPr>
          <w:lang w:val="fr-FR" w:bidi="fr-FR"/>
        </w:rPr>
        <w:lastRenderedPageBreak/>
        <w:t>formuler des commentaires et à apporter les modifications nécessaires pour adapter ces dispositions.</w:t>
      </w:r>
    </w:p>
    <w:p w14:paraId="192CA732" w14:textId="42F24F6F" w:rsidR="00BB0956" w:rsidRPr="002E4298" w:rsidRDefault="00BB0956" w:rsidP="00A11C35">
      <w:pPr>
        <w:pStyle w:val="SingleTxt"/>
        <w:numPr>
          <w:ilvl w:val="0"/>
          <w:numId w:val="6"/>
        </w:numPr>
        <w:spacing w:line="240" w:lineRule="exact"/>
        <w:rPr>
          <w:lang w:val="fr-FR"/>
        </w:rPr>
      </w:pPr>
      <w:r w:rsidRPr="002E4298">
        <w:rPr>
          <w:lang w:val="fr-FR" w:bidi="fr-FR"/>
        </w:rPr>
        <w:t>Les cas les plus fréquents de non-respect de la loi concernent les droits liés à la maternité et à la paternité.</w:t>
      </w:r>
    </w:p>
    <w:p w14:paraId="6116E0D6" w14:textId="64DE37DA" w:rsidR="00BB0956" w:rsidRPr="002E4298" w:rsidRDefault="00BB0956" w:rsidP="00A11C35">
      <w:pPr>
        <w:pStyle w:val="SingleTxt"/>
        <w:numPr>
          <w:ilvl w:val="0"/>
          <w:numId w:val="6"/>
        </w:numPr>
        <w:spacing w:line="240" w:lineRule="exact"/>
        <w:rPr>
          <w:lang w:val="fr-FR" w:bidi="fr-FR"/>
        </w:rPr>
      </w:pPr>
      <w:r w:rsidRPr="002E4298">
        <w:rPr>
          <w:lang w:val="fr-FR" w:bidi="fr-FR"/>
        </w:rPr>
        <w:t>En ce qui concerne les initiatives non législatives, le Portugal a élaboré différents programmes, actions, projets, campagnes de sensibilisation et formations afin de lutter contre la persistance des écarts entre les sexes sur le lieu de travail, de produire des connaissances et de déterminer les données pertinentes pour informer l’élaboration des politiques, de fournir des outils et des ressources pour surmonter ces écarts et d’inscrire l’égalité des genres</w:t>
      </w:r>
      <w:r w:rsidRPr="002E4298" w:rsidDel="00535E0B">
        <w:rPr>
          <w:lang w:val="fr-FR" w:bidi="fr-FR"/>
        </w:rPr>
        <w:t xml:space="preserve"> </w:t>
      </w:r>
      <w:r w:rsidRPr="002E4298">
        <w:rPr>
          <w:lang w:val="fr-FR" w:bidi="fr-FR"/>
        </w:rPr>
        <w:t>à l’ordre du jour des partenaires sociaux, des employeurs, des médias, ainsi que du grand public.</w:t>
      </w:r>
    </w:p>
    <w:p w14:paraId="45BC4A02" w14:textId="3C11A0EE" w:rsidR="00BB0956" w:rsidRPr="002E4298" w:rsidRDefault="00BB0956" w:rsidP="00A11C35">
      <w:pPr>
        <w:pStyle w:val="SingleTxt"/>
        <w:numPr>
          <w:ilvl w:val="0"/>
          <w:numId w:val="6"/>
        </w:numPr>
        <w:spacing w:line="240" w:lineRule="exact"/>
        <w:rPr>
          <w:lang w:val="fr-FR"/>
        </w:rPr>
      </w:pPr>
      <w:r w:rsidRPr="002E4298">
        <w:rPr>
          <w:lang w:val="fr-FR" w:bidi="fr-FR"/>
        </w:rPr>
        <w:t xml:space="preserve">Afin de promouvoir la participation des employeurs, la Commission pour </w:t>
      </w:r>
      <w:r w:rsidRPr="002E4298">
        <w:rPr>
          <w:spacing w:val="3"/>
          <w:lang w:val="fr-FR" w:bidi="fr-FR"/>
        </w:rPr>
        <w:t>l’égalité dans le travail et l’emploi parraine, depuis 2013, un partenariat avec des organisations du secteur privé et des entreprises publiques (le Forum des organisations pour l’égalité des genres – IGEN) dans le but de mettre en œuvre, de</w:t>
      </w:r>
      <w:r w:rsidRPr="002E4298">
        <w:rPr>
          <w:lang w:val="fr-FR" w:bidi="fr-FR"/>
        </w:rPr>
        <w:t xml:space="preserve"> surveiller et de diffuser des mesures et des actions concrètes sur l’égalité des genres, y compris en matière d’équilibre entre vie professionnelle et vie privée, de recrutement, de déségrégation horizontale et verticale et de lutte contre les inégalités salariales.</w:t>
      </w:r>
    </w:p>
    <w:p w14:paraId="63700784" w14:textId="0B57922C" w:rsidR="00BB0956" w:rsidRPr="002E4298" w:rsidRDefault="00BB0956" w:rsidP="00A11C35">
      <w:pPr>
        <w:pStyle w:val="SingleTxt"/>
        <w:numPr>
          <w:ilvl w:val="0"/>
          <w:numId w:val="6"/>
        </w:numPr>
        <w:spacing w:line="240" w:lineRule="exact"/>
        <w:rPr>
          <w:lang w:val="fr-FR"/>
        </w:rPr>
      </w:pPr>
      <w:r w:rsidRPr="002E4298">
        <w:rPr>
          <w:lang w:val="fr-FR" w:bidi="fr-FR"/>
        </w:rPr>
        <w:t>Le Forum, qui rassemble des organisations œuvrant en faveur de la promotion de mesures pour l’égalité des genres et de la lutte contre toutes les formes de discrimination fondée sur le genre</w:t>
      </w:r>
      <w:r w:rsidRPr="002E4298" w:rsidDel="0045507A">
        <w:rPr>
          <w:lang w:val="fr-FR" w:bidi="fr-FR"/>
        </w:rPr>
        <w:t xml:space="preserve"> </w:t>
      </w:r>
      <w:r w:rsidRPr="002E4298">
        <w:rPr>
          <w:lang w:val="fr-FR" w:bidi="fr-FR"/>
        </w:rPr>
        <w:t>sur le lieu de travail, a pour objectif de renforcer l’engagement des organisations en faveur de l’égalité des genres et de s’attaquer aux obstacles que celles-ci rencontrent dans la mise en œuvre de mesures et de politiques relatives à l’égalité entre les femmes et les hommes.</w:t>
      </w:r>
    </w:p>
    <w:p w14:paraId="5BDD3628" w14:textId="398F4EF1" w:rsidR="00BB0956" w:rsidRPr="002E4298" w:rsidRDefault="00BB0956" w:rsidP="00A11C35">
      <w:pPr>
        <w:pStyle w:val="SingleTxt"/>
        <w:numPr>
          <w:ilvl w:val="0"/>
          <w:numId w:val="6"/>
        </w:numPr>
        <w:spacing w:line="240" w:lineRule="exact"/>
        <w:rPr>
          <w:lang w:val="fr-FR"/>
        </w:rPr>
      </w:pPr>
      <w:r w:rsidRPr="002E4298">
        <w:rPr>
          <w:lang w:val="fr-FR" w:bidi="fr-FR"/>
        </w:rPr>
        <w:t>Au fil des ans, 68 organisations, principalement des entreprises, ont rejoint le Forum. Les membres du Forum se sont engagés à entreprendre des actions pour promouvoir l’égalité des sexes (y compris en matière de droits parentaux, de maternité, de paternité, de conciliation entre vie professionnelle et vie de famille, de prise de décision et d’écart de rémunération) et ont défini des objectifs d’amélioration quantifiés.</w:t>
      </w:r>
    </w:p>
    <w:p w14:paraId="50738940" w14:textId="49D44CCA" w:rsidR="00BB0956" w:rsidRPr="002E4298" w:rsidRDefault="00BB0956" w:rsidP="00A11C35">
      <w:pPr>
        <w:pStyle w:val="SingleTxt"/>
        <w:numPr>
          <w:ilvl w:val="0"/>
          <w:numId w:val="6"/>
        </w:numPr>
        <w:spacing w:line="240" w:lineRule="exact"/>
        <w:rPr>
          <w:lang w:val="fr-FR"/>
        </w:rPr>
      </w:pPr>
      <w:r w:rsidRPr="002E4298">
        <w:rPr>
          <w:lang w:val="fr-FR" w:bidi="fr-FR"/>
        </w:rPr>
        <w:t>Le Forum se réunit tous les trimestres afin de prendre des décisions, de discuter des propositions présentées par les membres, d’approuver des documents et des activités et de partager des bonnes pratiques. Lors de ces réunions, deux ou trois entreprises présentent leurs pratiques, qui font ensuite l’objet d’un débat.</w:t>
      </w:r>
    </w:p>
    <w:p w14:paraId="7B654B97" w14:textId="7092C808" w:rsidR="00BB0956" w:rsidRPr="002E4298" w:rsidRDefault="00BB0956" w:rsidP="00A11C35">
      <w:pPr>
        <w:pStyle w:val="SingleTxt"/>
        <w:numPr>
          <w:ilvl w:val="0"/>
          <w:numId w:val="6"/>
        </w:numPr>
        <w:spacing w:line="240" w:lineRule="exact"/>
        <w:rPr>
          <w:lang w:val="fr-FR"/>
        </w:rPr>
      </w:pPr>
      <w:r w:rsidRPr="002E4298">
        <w:rPr>
          <w:lang w:val="fr-FR" w:bidi="fr-FR"/>
        </w:rPr>
        <w:t>Tout au long de ce processus, les organisations partagent leurs expériences, leurs difficultés, leurs stratégies pour surmonter les obstacles et leurs principales réussites. Le Forum fonctionne comme une communauté de connaissances et de pratiques ; une plateforme en ligne a été créée pour partager les informations.</w:t>
      </w:r>
    </w:p>
    <w:p w14:paraId="7811DCE8" w14:textId="2C81F468" w:rsidR="00BB0956" w:rsidRPr="002E4298" w:rsidRDefault="00BB0956" w:rsidP="00A11C35">
      <w:pPr>
        <w:pStyle w:val="SingleTxt"/>
        <w:numPr>
          <w:ilvl w:val="0"/>
          <w:numId w:val="6"/>
        </w:numPr>
        <w:spacing w:line="240" w:lineRule="exact"/>
        <w:rPr>
          <w:lang w:val="fr-FR"/>
        </w:rPr>
      </w:pPr>
      <w:r w:rsidRPr="002E4298">
        <w:rPr>
          <w:lang w:val="fr-FR" w:bidi="fr-FR"/>
        </w:rPr>
        <w:t xml:space="preserve">Les travaux effectués au sein du Forum ont incité d’autres organisations à rejoindre le Forum, ce qui permet à celui-ci de croître en tant que réseau autour d’un engagement commun visant à élaborer des mesures pour l’égalité des </w:t>
      </w:r>
      <w:r w:rsidR="002E4298" w:rsidRPr="002E4298">
        <w:rPr>
          <w:lang w:val="fr-FR" w:bidi="fr-FR"/>
        </w:rPr>
        <w:t>genres dans</w:t>
      </w:r>
      <w:r w:rsidRPr="002E4298">
        <w:rPr>
          <w:lang w:val="fr-FR" w:bidi="fr-FR"/>
        </w:rPr>
        <w:t xml:space="preserve"> les politiques internes de chaque organisation.</w:t>
      </w:r>
    </w:p>
    <w:p w14:paraId="46BB7095" w14:textId="77777777" w:rsidR="002E4298" w:rsidRPr="002E4298" w:rsidRDefault="002E4298" w:rsidP="002E429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b w:val="0"/>
          <w:bCs/>
          <w:sz w:val="10"/>
          <w:lang w:val="fr-FR" w:bidi="fr-FR"/>
        </w:rPr>
      </w:pPr>
    </w:p>
    <w:p w14:paraId="6054B6A0" w14:textId="75B548EC" w:rsidR="00BB0956" w:rsidRPr="002E4298" w:rsidRDefault="00BB0956" w:rsidP="007C5A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E4298">
        <w:rPr>
          <w:lang w:val="fr-FR" w:bidi="fr-FR"/>
        </w:rPr>
        <w:tab/>
      </w:r>
      <w:r w:rsidRPr="002E4298">
        <w:rPr>
          <w:lang w:val="fr-FR" w:bidi="fr-FR"/>
        </w:rPr>
        <w:tab/>
        <w:t>Actions mises en œuvre par les membres du Forum des organisations pour l’égalité des genres</w:t>
      </w:r>
    </w:p>
    <w:p w14:paraId="2CEF0C31" w14:textId="77777777" w:rsidR="00BB0956" w:rsidRPr="002E4298" w:rsidRDefault="00BB0956" w:rsidP="007C5A39">
      <w:pPr>
        <w:pStyle w:val="SingleTxt"/>
        <w:keepNext/>
        <w:spacing w:after="0" w:line="120" w:lineRule="exact"/>
        <w:rPr>
          <w:sz w:val="10"/>
          <w:lang w:val="fr-FR"/>
        </w:rPr>
      </w:pPr>
    </w:p>
    <w:p w14:paraId="69B37523" w14:textId="77777777" w:rsidR="00BB0956" w:rsidRPr="002E4298" w:rsidRDefault="00BB0956" w:rsidP="007C5A39">
      <w:pPr>
        <w:pStyle w:val="SingleTxt"/>
        <w:keepNext/>
        <w:spacing w:after="0" w:line="120" w:lineRule="exact"/>
        <w:rPr>
          <w:sz w:val="10"/>
          <w:lang w:val="fr-FR"/>
        </w:rPr>
      </w:pPr>
    </w:p>
    <w:tbl>
      <w:tblPr>
        <w:tblW w:w="7320" w:type="dxa"/>
        <w:tblInd w:w="1260" w:type="dxa"/>
        <w:tblLayout w:type="fixed"/>
        <w:tblCellMar>
          <w:left w:w="0" w:type="dxa"/>
          <w:right w:w="0" w:type="dxa"/>
        </w:tblCellMar>
        <w:tblLook w:val="04A0" w:firstRow="1" w:lastRow="0" w:firstColumn="1" w:lastColumn="0" w:noHBand="0" w:noVBand="1"/>
      </w:tblPr>
      <w:tblGrid>
        <w:gridCol w:w="630"/>
        <w:gridCol w:w="1810"/>
        <w:gridCol w:w="1220"/>
        <w:gridCol w:w="1220"/>
        <w:gridCol w:w="1220"/>
        <w:gridCol w:w="1220"/>
      </w:tblGrid>
      <w:tr w:rsidR="00DA41D5" w:rsidRPr="002E4298" w14:paraId="4466F273" w14:textId="77777777" w:rsidTr="00DA41D5">
        <w:trPr>
          <w:tblHeader/>
        </w:trPr>
        <w:tc>
          <w:tcPr>
            <w:tcW w:w="630" w:type="dxa"/>
            <w:tcBorders>
              <w:top w:val="single" w:sz="4" w:space="0" w:color="auto"/>
            </w:tcBorders>
            <w:shd w:val="clear" w:color="auto" w:fill="auto"/>
            <w:tcMar>
              <w:top w:w="0" w:type="dxa"/>
              <w:left w:w="0" w:type="dxa"/>
              <w:bottom w:w="0" w:type="dxa"/>
              <w:right w:w="0" w:type="dxa"/>
            </w:tcMar>
            <w:vAlign w:val="bottom"/>
          </w:tcPr>
          <w:p w14:paraId="16603574" w14:textId="77777777" w:rsidR="00DA41D5" w:rsidRPr="002E4298" w:rsidRDefault="00DA41D5" w:rsidP="00DA41D5">
            <w:pPr>
              <w:suppressAutoHyphens/>
              <w:spacing w:before="81" w:after="81" w:line="160" w:lineRule="exact"/>
              <w:ind w:right="40"/>
              <w:rPr>
                <w:i/>
                <w:sz w:val="14"/>
                <w:lang w:val="fr-FR"/>
              </w:rPr>
            </w:pPr>
          </w:p>
        </w:tc>
        <w:tc>
          <w:tcPr>
            <w:tcW w:w="1810" w:type="dxa"/>
            <w:tcBorders>
              <w:top w:val="single" w:sz="4" w:space="0" w:color="auto"/>
            </w:tcBorders>
            <w:shd w:val="clear" w:color="auto" w:fill="auto"/>
            <w:tcMar>
              <w:top w:w="0" w:type="dxa"/>
              <w:left w:w="0" w:type="dxa"/>
              <w:bottom w:w="0" w:type="dxa"/>
              <w:right w:w="0" w:type="dxa"/>
            </w:tcMar>
            <w:vAlign w:val="bottom"/>
          </w:tcPr>
          <w:p w14:paraId="03EF68E7" w14:textId="77777777" w:rsidR="00DA41D5" w:rsidRPr="002E4298" w:rsidRDefault="00DA41D5" w:rsidP="00DA41D5">
            <w:pPr>
              <w:suppressAutoHyphens/>
              <w:spacing w:before="81" w:after="81" w:line="160" w:lineRule="exact"/>
              <w:ind w:right="43"/>
              <w:jc w:val="right"/>
              <w:rPr>
                <w:i/>
                <w:sz w:val="14"/>
                <w:lang w:val="fr-FR"/>
              </w:rPr>
            </w:pPr>
          </w:p>
        </w:tc>
        <w:tc>
          <w:tcPr>
            <w:tcW w:w="4880" w:type="dxa"/>
            <w:gridSpan w:val="4"/>
            <w:tcBorders>
              <w:top w:val="single" w:sz="4" w:space="0" w:color="auto"/>
              <w:bottom w:val="single" w:sz="4" w:space="0" w:color="auto"/>
            </w:tcBorders>
            <w:shd w:val="clear" w:color="auto" w:fill="auto"/>
            <w:tcMar>
              <w:top w:w="0" w:type="dxa"/>
              <w:left w:w="0" w:type="dxa"/>
              <w:bottom w:w="0" w:type="dxa"/>
              <w:right w:w="0" w:type="dxa"/>
            </w:tcMar>
            <w:vAlign w:val="bottom"/>
          </w:tcPr>
          <w:p w14:paraId="66A0DDB9" w14:textId="794E4EA8" w:rsidR="00DA41D5" w:rsidRPr="002E4298" w:rsidRDefault="00DA41D5" w:rsidP="00DA41D5">
            <w:pPr>
              <w:suppressAutoHyphens/>
              <w:spacing w:before="81" w:after="81" w:line="160" w:lineRule="exact"/>
              <w:ind w:right="43"/>
              <w:jc w:val="center"/>
              <w:rPr>
                <w:i/>
                <w:sz w:val="14"/>
                <w:lang w:val="fr-FR"/>
              </w:rPr>
            </w:pPr>
            <w:r w:rsidRPr="002E4298">
              <w:rPr>
                <w:i/>
                <w:sz w:val="14"/>
                <w:lang w:val="fr-FR"/>
              </w:rPr>
              <w:t>Domaines d’action relatifs à l’égalité des genres</w:t>
            </w:r>
          </w:p>
        </w:tc>
      </w:tr>
      <w:tr w:rsidR="00DA41D5" w:rsidRPr="002E4298" w14:paraId="5196E666" w14:textId="77777777" w:rsidTr="00DA41D5">
        <w:trPr>
          <w:tblHeader/>
        </w:trPr>
        <w:tc>
          <w:tcPr>
            <w:tcW w:w="630" w:type="dxa"/>
            <w:tcBorders>
              <w:bottom w:val="single" w:sz="12" w:space="0" w:color="auto"/>
            </w:tcBorders>
            <w:shd w:val="clear" w:color="auto" w:fill="auto"/>
            <w:tcMar>
              <w:top w:w="0" w:type="dxa"/>
              <w:left w:w="0" w:type="dxa"/>
              <w:bottom w:w="0" w:type="dxa"/>
              <w:right w:w="0" w:type="dxa"/>
            </w:tcMar>
            <w:vAlign w:val="bottom"/>
          </w:tcPr>
          <w:p w14:paraId="3C70035D" w14:textId="77777777" w:rsidR="00DA41D5" w:rsidRPr="002E4298" w:rsidRDefault="00DA41D5" w:rsidP="00DA41D5">
            <w:pPr>
              <w:suppressAutoHyphens/>
              <w:spacing w:before="81" w:after="81" w:line="160" w:lineRule="exact"/>
              <w:ind w:right="40"/>
              <w:rPr>
                <w:i/>
                <w:sz w:val="14"/>
                <w:lang w:val="fr-FR"/>
              </w:rPr>
            </w:pPr>
          </w:p>
        </w:tc>
        <w:tc>
          <w:tcPr>
            <w:tcW w:w="1810" w:type="dxa"/>
            <w:tcBorders>
              <w:bottom w:val="single" w:sz="12" w:space="0" w:color="auto"/>
            </w:tcBorders>
            <w:shd w:val="clear" w:color="auto" w:fill="auto"/>
            <w:tcMar>
              <w:top w:w="0" w:type="dxa"/>
              <w:left w:w="0" w:type="dxa"/>
              <w:bottom w:w="0" w:type="dxa"/>
              <w:right w:w="0" w:type="dxa"/>
            </w:tcMar>
            <w:vAlign w:val="bottom"/>
          </w:tcPr>
          <w:p w14:paraId="303DDB9B" w14:textId="1A280745" w:rsidR="00DA41D5" w:rsidRPr="002E4298" w:rsidRDefault="00DA41D5" w:rsidP="00DA41D5">
            <w:pPr>
              <w:suppressAutoHyphens/>
              <w:spacing w:before="81" w:after="81" w:line="160" w:lineRule="exact"/>
              <w:ind w:right="43"/>
              <w:jc w:val="right"/>
              <w:rPr>
                <w:i/>
                <w:sz w:val="14"/>
                <w:lang w:val="fr-FR"/>
              </w:rPr>
            </w:pPr>
            <w:r w:rsidRPr="002E4298">
              <w:rPr>
                <w:i/>
                <w:sz w:val="14"/>
                <w:lang w:val="fr-FR"/>
              </w:rPr>
              <w:t>Nombre d’actions relatives à l’égalité des genres</w:t>
            </w:r>
          </w:p>
        </w:tc>
        <w:tc>
          <w:tcPr>
            <w:tcW w:w="1220"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501E9476" w14:textId="36BC8D4F" w:rsidR="00DA41D5" w:rsidRPr="002E4298" w:rsidRDefault="00DA41D5" w:rsidP="00DA41D5">
            <w:pPr>
              <w:suppressAutoHyphens/>
              <w:spacing w:before="81" w:after="81" w:line="160" w:lineRule="exact"/>
              <w:ind w:right="43"/>
              <w:jc w:val="right"/>
              <w:rPr>
                <w:i/>
                <w:sz w:val="14"/>
                <w:lang w:val="fr-FR"/>
              </w:rPr>
            </w:pPr>
            <w:r w:rsidRPr="002E4298">
              <w:rPr>
                <w:i/>
                <w:sz w:val="14"/>
                <w:lang w:val="fr-FR"/>
              </w:rPr>
              <w:t>Équilibre entre vie professionnelle</w:t>
            </w:r>
            <w:r w:rsidRPr="002E4298">
              <w:rPr>
                <w:i/>
                <w:sz w:val="14"/>
                <w:lang w:val="fr-FR"/>
              </w:rPr>
              <w:br/>
              <w:t>et vie privée</w:t>
            </w:r>
          </w:p>
        </w:tc>
        <w:tc>
          <w:tcPr>
            <w:tcW w:w="1220"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403253D3" w14:textId="61F774FD" w:rsidR="00DA41D5" w:rsidRPr="002E4298" w:rsidRDefault="00DA41D5" w:rsidP="00DA41D5">
            <w:pPr>
              <w:suppressAutoHyphens/>
              <w:spacing w:before="81" w:after="81" w:line="160" w:lineRule="exact"/>
              <w:ind w:right="43"/>
              <w:jc w:val="right"/>
              <w:rPr>
                <w:i/>
                <w:sz w:val="14"/>
                <w:lang w:val="fr-FR"/>
              </w:rPr>
            </w:pPr>
            <w:r w:rsidRPr="002E4298">
              <w:rPr>
                <w:i/>
                <w:sz w:val="14"/>
                <w:lang w:val="fr-FR"/>
              </w:rPr>
              <w:t>Protection</w:t>
            </w:r>
            <w:r w:rsidRPr="002E4298">
              <w:rPr>
                <w:i/>
                <w:sz w:val="14"/>
                <w:lang w:val="fr-FR"/>
              </w:rPr>
              <w:br/>
              <w:t>de la maternité</w:t>
            </w:r>
            <w:r w:rsidRPr="002E4298">
              <w:rPr>
                <w:i/>
                <w:sz w:val="14"/>
                <w:lang w:val="fr-FR"/>
              </w:rPr>
              <w:br/>
              <w:t>et de la paternité</w:t>
            </w:r>
          </w:p>
        </w:tc>
        <w:tc>
          <w:tcPr>
            <w:tcW w:w="1220"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65C6A123" w14:textId="326869A6" w:rsidR="00DA41D5" w:rsidRPr="002E4298" w:rsidRDefault="00DA41D5" w:rsidP="00DA41D5">
            <w:pPr>
              <w:suppressAutoHyphens/>
              <w:spacing w:before="81" w:after="81" w:line="160" w:lineRule="exact"/>
              <w:ind w:right="43"/>
              <w:jc w:val="right"/>
              <w:rPr>
                <w:i/>
                <w:sz w:val="14"/>
                <w:lang w:val="fr-FR"/>
              </w:rPr>
            </w:pPr>
            <w:r w:rsidRPr="002E4298">
              <w:rPr>
                <w:i/>
                <w:sz w:val="14"/>
                <w:lang w:val="fr-FR"/>
              </w:rPr>
              <w:t>Rémunérations</w:t>
            </w:r>
            <w:r w:rsidRPr="002E4298">
              <w:rPr>
                <w:i/>
                <w:sz w:val="14"/>
                <w:lang w:val="fr-FR"/>
              </w:rPr>
              <w:br/>
              <w:t>et carrière</w:t>
            </w:r>
          </w:p>
        </w:tc>
        <w:tc>
          <w:tcPr>
            <w:tcW w:w="1220"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1020B39A" w14:textId="2040E30D" w:rsidR="00DA41D5" w:rsidRPr="002E4298" w:rsidRDefault="00DA41D5" w:rsidP="00DA41D5">
            <w:pPr>
              <w:suppressAutoHyphens/>
              <w:spacing w:before="81" w:after="81" w:line="160" w:lineRule="exact"/>
              <w:ind w:right="43"/>
              <w:jc w:val="right"/>
              <w:rPr>
                <w:i/>
                <w:sz w:val="14"/>
                <w:lang w:val="fr-FR"/>
              </w:rPr>
            </w:pPr>
            <w:r w:rsidRPr="002E4298">
              <w:rPr>
                <w:i/>
                <w:sz w:val="14"/>
                <w:lang w:val="fr-FR"/>
              </w:rPr>
              <w:t>Recrutement</w:t>
            </w:r>
          </w:p>
        </w:tc>
      </w:tr>
      <w:tr w:rsidR="00DA41D5" w:rsidRPr="002E4298" w14:paraId="5D7F4C39" w14:textId="77777777" w:rsidTr="00DA41D5">
        <w:trPr>
          <w:trHeight w:hRule="exact" w:val="115"/>
          <w:tblHeader/>
        </w:trPr>
        <w:tc>
          <w:tcPr>
            <w:tcW w:w="630" w:type="dxa"/>
            <w:tcBorders>
              <w:top w:val="single" w:sz="12" w:space="0" w:color="auto"/>
            </w:tcBorders>
            <w:shd w:val="clear" w:color="auto" w:fill="auto"/>
            <w:tcMar>
              <w:top w:w="0" w:type="dxa"/>
              <w:left w:w="0" w:type="dxa"/>
              <w:bottom w:w="0" w:type="dxa"/>
              <w:right w:w="0" w:type="dxa"/>
            </w:tcMar>
            <w:vAlign w:val="bottom"/>
          </w:tcPr>
          <w:p w14:paraId="0B47DED6" w14:textId="77777777" w:rsidR="00DA41D5" w:rsidRPr="002E4298" w:rsidRDefault="00DA41D5" w:rsidP="00DA41D5">
            <w:pPr>
              <w:suppressAutoHyphens/>
              <w:spacing w:before="40" w:after="40" w:line="210" w:lineRule="exact"/>
              <w:ind w:right="40"/>
              <w:rPr>
                <w:sz w:val="17"/>
                <w:lang w:val="fr-FR"/>
              </w:rPr>
            </w:pPr>
          </w:p>
        </w:tc>
        <w:tc>
          <w:tcPr>
            <w:tcW w:w="1810" w:type="dxa"/>
            <w:tcBorders>
              <w:top w:val="single" w:sz="12" w:space="0" w:color="auto"/>
            </w:tcBorders>
            <w:shd w:val="clear" w:color="auto" w:fill="auto"/>
            <w:tcMar>
              <w:top w:w="0" w:type="dxa"/>
              <w:left w:w="0" w:type="dxa"/>
              <w:bottom w:w="0" w:type="dxa"/>
              <w:right w:w="0" w:type="dxa"/>
            </w:tcMar>
            <w:vAlign w:val="bottom"/>
          </w:tcPr>
          <w:p w14:paraId="5F3C6AEB" w14:textId="77777777" w:rsidR="00DA41D5" w:rsidRPr="002E4298" w:rsidRDefault="00DA41D5" w:rsidP="00DA41D5">
            <w:pPr>
              <w:suppressAutoHyphens/>
              <w:spacing w:before="40" w:after="40" w:line="210" w:lineRule="exact"/>
              <w:ind w:right="43"/>
              <w:jc w:val="right"/>
              <w:rPr>
                <w:sz w:val="17"/>
                <w:lang w:val="fr-FR"/>
              </w:rPr>
            </w:pPr>
          </w:p>
        </w:tc>
        <w:tc>
          <w:tcPr>
            <w:tcW w:w="1220" w:type="dxa"/>
            <w:tcBorders>
              <w:top w:val="single" w:sz="12" w:space="0" w:color="auto"/>
            </w:tcBorders>
            <w:shd w:val="clear" w:color="auto" w:fill="auto"/>
            <w:tcMar>
              <w:top w:w="0" w:type="dxa"/>
              <w:left w:w="0" w:type="dxa"/>
              <w:bottom w:w="0" w:type="dxa"/>
              <w:right w:w="0" w:type="dxa"/>
            </w:tcMar>
            <w:vAlign w:val="bottom"/>
          </w:tcPr>
          <w:p w14:paraId="2BDE9589" w14:textId="77777777" w:rsidR="00DA41D5" w:rsidRPr="002E4298" w:rsidRDefault="00DA41D5" w:rsidP="00DA41D5">
            <w:pPr>
              <w:suppressAutoHyphens/>
              <w:spacing w:before="40" w:after="40" w:line="210" w:lineRule="exact"/>
              <w:ind w:right="43"/>
              <w:jc w:val="right"/>
              <w:rPr>
                <w:sz w:val="17"/>
                <w:lang w:val="fr-FR"/>
              </w:rPr>
            </w:pPr>
          </w:p>
        </w:tc>
        <w:tc>
          <w:tcPr>
            <w:tcW w:w="1220" w:type="dxa"/>
            <w:tcBorders>
              <w:top w:val="single" w:sz="12" w:space="0" w:color="auto"/>
            </w:tcBorders>
            <w:shd w:val="clear" w:color="auto" w:fill="auto"/>
            <w:tcMar>
              <w:top w:w="0" w:type="dxa"/>
              <w:left w:w="0" w:type="dxa"/>
              <w:bottom w:w="0" w:type="dxa"/>
              <w:right w:w="0" w:type="dxa"/>
            </w:tcMar>
            <w:vAlign w:val="bottom"/>
          </w:tcPr>
          <w:p w14:paraId="151B6C48" w14:textId="77777777" w:rsidR="00DA41D5" w:rsidRPr="002E4298" w:rsidRDefault="00DA41D5" w:rsidP="00DA41D5">
            <w:pPr>
              <w:suppressAutoHyphens/>
              <w:spacing w:before="40" w:after="40" w:line="210" w:lineRule="exact"/>
              <w:ind w:right="43"/>
              <w:jc w:val="right"/>
              <w:rPr>
                <w:sz w:val="17"/>
                <w:lang w:val="fr-FR"/>
              </w:rPr>
            </w:pPr>
          </w:p>
        </w:tc>
        <w:tc>
          <w:tcPr>
            <w:tcW w:w="1220" w:type="dxa"/>
            <w:tcBorders>
              <w:top w:val="single" w:sz="12" w:space="0" w:color="auto"/>
            </w:tcBorders>
            <w:shd w:val="clear" w:color="auto" w:fill="auto"/>
            <w:tcMar>
              <w:top w:w="0" w:type="dxa"/>
              <w:left w:w="0" w:type="dxa"/>
              <w:bottom w:w="0" w:type="dxa"/>
              <w:right w:w="0" w:type="dxa"/>
            </w:tcMar>
            <w:vAlign w:val="bottom"/>
          </w:tcPr>
          <w:p w14:paraId="5815D2E2" w14:textId="77777777" w:rsidR="00DA41D5" w:rsidRPr="002E4298" w:rsidRDefault="00DA41D5" w:rsidP="00DA41D5">
            <w:pPr>
              <w:suppressAutoHyphens/>
              <w:spacing w:before="40" w:after="40" w:line="210" w:lineRule="exact"/>
              <w:ind w:right="43"/>
              <w:jc w:val="right"/>
              <w:rPr>
                <w:sz w:val="17"/>
                <w:lang w:val="fr-FR"/>
              </w:rPr>
            </w:pPr>
          </w:p>
        </w:tc>
        <w:tc>
          <w:tcPr>
            <w:tcW w:w="1220" w:type="dxa"/>
            <w:tcBorders>
              <w:top w:val="single" w:sz="12" w:space="0" w:color="auto"/>
            </w:tcBorders>
            <w:shd w:val="clear" w:color="auto" w:fill="auto"/>
            <w:tcMar>
              <w:top w:w="0" w:type="dxa"/>
              <w:left w:w="0" w:type="dxa"/>
              <w:bottom w:w="0" w:type="dxa"/>
              <w:right w:w="0" w:type="dxa"/>
            </w:tcMar>
            <w:vAlign w:val="bottom"/>
          </w:tcPr>
          <w:p w14:paraId="584801F0" w14:textId="77777777" w:rsidR="00DA41D5" w:rsidRPr="002E4298" w:rsidRDefault="00DA41D5" w:rsidP="00DA41D5">
            <w:pPr>
              <w:suppressAutoHyphens/>
              <w:spacing w:before="40" w:after="40" w:line="210" w:lineRule="exact"/>
              <w:ind w:right="43"/>
              <w:jc w:val="right"/>
              <w:rPr>
                <w:sz w:val="17"/>
                <w:lang w:val="fr-FR"/>
              </w:rPr>
            </w:pPr>
          </w:p>
        </w:tc>
      </w:tr>
      <w:tr w:rsidR="00DA41D5" w:rsidRPr="002E4298" w14:paraId="6E92994B" w14:textId="77777777" w:rsidTr="00DA41D5">
        <w:tc>
          <w:tcPr>
            <w:tcW w:w="630" w:type="dxa"/>
            <w:shd w:val="clear" w:color="auto" w:fill="auto"/>
            <w:tcMar>
              <w:top w:w="0" w:type="dxa"/>
              <w:left w:w="0" w:type="dxa"/>
              <w:bottom w:w="0" w:type="dxa"/>
              <w:right w:w="0" w:type="dxa"/>
            </w:tcMar>
            <w:vAlign w:val="bottom"/>
            <w:hideMark/>
          </w:tcPr>
          <w:p w14:paraId="1C1BED92" w14:textId="77777777" w:rsidR="00DA41D5" w:rsidRPr="002E4298" w:rsidRDefault="00DA41D5" w:rsidP="00DA41D5">
            <w:pPr>
              <w:tabs>
                <w:tab w:val="left" w:pos="288"/>
                <w:tab w:val="left" w:pos="576"/>
                <w:tab w:val="left" w:pos="864"/>
                <w:tab w:val="left" w:pos="1152"/>
              </w:tabs>
              <w:suppressAutoHyphens/>
              <w:spacing w:before="40" w:after="40" w:line="210" w:lineRule="exact"/>
              <w:ind w:right="40"/>
              <w:rPr>
                <w:sz w:val="17"/>
                <w:lang w:val="fr-FR"/>
              </w:rPr>
            </w:pPr>
            <w:r w:rsidRPr="002E4298">
              <w:rPr>
                <w:sz w:val="17"/>
                <w:lang w:val="fr-FR"/>
              </w:rPr>
              <w:t>2014</w:t>
            </w:r>
          </w:p>
        </w:tc>
        <w:tc>
          <w:tcPr>
            <w:tcW w:w="1810" w:type="dxa"/>
            <w:shd w:val="clear" w:color="auto" w:fill="auto"/>
            <w:tcMar>
              <w:top w:w="0" w:type="dxa"/>
              <w:left w:w="0" w:type="dxa"/>
              <w:bottom w:w="0" w:type="dxa"/>
              <w:right w:w="0" w:type="dxa"/>
            </w:tcMar>
            <w:vAlign w:val="bottom"/>
            <w:hideMark/>
          </w:tcPr>
          <w:p w14:paraId="7675B7DA" w14:textId="77777777" w:rsidR="00DA41D5" w:rsidRPr="002E4298" w:rsidRDefault="00DA41D5" w:rsidP="00DA41D5">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96</w:t>
            </w:r>
          </w:p>
        </w:tc>
        <w:tc>
          <w:tcPr>
            <w:tcW w:w="1220" w:type="dxa"/>
            <w:shd w:val="clear" w:color="auto" w:fill="auto"/>
            <w:tcMar>
              <w:top w:w="0" w:type="dxa"/>
              <w:left w:w="0" w:type="dxa"/>
              <w:bottom w:w="0" w:type="dxa"/>
              <w:right w:w="0" w:type="dxa"/>
            </w:tcMar>
            <w:vAlign w:val="bottom"/>
            <w:hideMark/>
          </w:tcPr>
          <w:p w14:paraId="1D1B20C8" w14:textId="77777777" w:rsidR="00DA41D5" w:rsidRPr="002E4298" w:rsidRDefault="00DA41D5" w:rsidP="00DA41D5">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36,0 %</w:t>
            </w:r>
          </w:p>
        </w:tc>
        <w:tc>
          <w:tcPr>
            <w:tcW w:w="1220" w:type="dxa"/>
            <w:shd w:val="clear" w:color="auto" w:fill="auto"/>
            <w:tcMar>
              <w:top w:w="0" w:type="dxa"/>
              <w:left w:w="0" w:type="dxa"/>
              <w:bottom w:w="0" w:type="dxa"/>
              <w:right w:w="0" w:type="dxa"/>
            </w:tcMar>
            <w:vAlign w:val="bottom"/>
            <w:hideMark/>
          </w:tcPr>
          <w:p w14:paraId="34C5526D" w14:textId="77777777" w:rsidR="00DA41D5" w:rsidRPr="002E4298" w:rsidRDefault="00DA41D5" w:rsidP="00DA41D5">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4,0 %</w:t>
            </w:r>
          </w:p>
        </w:tc>
        <w:tc>
          <w:tcPr>
            <w:tcW w:w="1220" w:type="dxa"/>
            <w:shd w:val="clear" w:color="auto" w:fill="auto"/>
            <w:tcMar>
              <w:top w:w="0" w:type="dxa"/>
              <w:left w:w="0" w:type="dxa"/>
              <w:bottom w:w="0" w:type="dxa"/>
              <w:right w:w="0" w:type="dxa"/>
            </w:tcMar>
            <w:vAlign w:val="bottom"/>
            <w:hideMark/>
          </w:tcPr>
          <w:p w14:paraId="10F7FB2A" w14:textId="77777777" w:rsidR="00DA41D5" w:rsidRPr="002E4298" w:rsidRDefault="00DA41D5" w:rsidP="00DA41D5">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8,0 %</w:t>
            </w:r>
          </w:p>
        </w:tc>
        <w:tc>
          <w:tcPr>
            <w:tcW w:w="1220" w:type="dxa"/>
            <w:shd w:val="clear" w:color="auto" w:fill="auto"/>
            <w:tcMar>
              <w:top w:w="0" w:type="dxa"/>
              <w:left w:w="0" w:type="dxa"/>
              <w:bottom w:w="0" w:type="dxa"/>
              <w:right w:w="0" w:type="dxa"/>
            </w:tcMar>
            <w:vAlign w:val="bottom"/>
            <w:hideMark/>
          </w:tcPr>
          <w:p w14:paraId="146B2C63" w14:textId="77777777" w:rsidR="00DA41D5" w:rsidRPr="002E4298" w:rsidRDefault="00DA41D5" w:rsidP="00DA41D5">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9,0 %</w:t>
            </w:r>
          </w:p>
        </w:tc>
      </w:tr>
      <w:tr w:rsidR="00DA41D5" w:rsidRPr="002E4298" w14:paraId="70434234" w14:textId="77777777" w:rsidTr="00DA41D5">
        <w:tc>
          <w:tcPr>
            <w:tcW w:w="630" w:type="dxa"/>
            <w:shd w:val="clear" w:color="auto" w:fill="auto"/>
            <w:tcMar>
              <w:top w:w="0" w:type="dxa"/>
              <w:left w:w="0" w:type="dxa"/>
              <w:bottom w:w="0" w:type="dxa"/>
              <w:right w:w="0" w:type="dxa"/>
            </w:tcMar>
            <w:vAlign w:val="bottom"/>
            <w:hideMark/>
          </w:tcPr>
          <w:p w14:paraId="090FCF74" w14:textId="77777777" w:rsidR="00DA41D5" w:rsidRPr="002E4298" w:rsidRDefault="00DA41D5" w:rsidP="00DA41D5">
            <w:pPr>
              <w:tabs>
                <w:tab w:val="left" w:pos="288"/>
                <w:tab w:val="left" w:pos="576"/>
                <w:tab w:val="left" w:pos="864"/>
                <w:tab w:val="left" w:pos="1152"/>
              </w:tabs>
              <w:suppressAutoHyphens/>
              <w:spacing w:before="40" w:after="40" w:line="210" w:lineRule="exact"/>
              <w:ind w:right="40"/>
              <w:rPr>
                <w:sz w:val="17"/>
                <w:lang w:val="fr-FR"/>
              </w:rPr>
            </w:pPr>
            <w:r w:rsidRPr="002E4298">
              <w:rPr>
                <w:sz w:val="17"/>
                <w:lang w:val="fr-FR"/>
              </w:rPr>
              <w:t>2015</w:t>
            </w:r>
          </w:p>
        </w:tc>
        <w:tc>
          <w:tcPr>
            <w:tcW w:w="1810" w:type="dxa"/>
            <w:shd w:val="clear" w:color="auto" w:fill="auto"/>
            <w:tcMar>
              <w:top w:w="0" w:type="dxa"/>
              <w:left w:w="0" w:type="dxa"/>
              <w:bottom w:w="0" w:type="dxa"/>
              <w:right w:w="0" w:type="dxa"/>
            </w:tcMar>
            <w:vAlign w:val="bottom"/>
            <w:hideMark/>
          </w:tcPr>
          <w:p w14:paraId="3E965CB3" w14:textId="77777777" w:rsidR="00DA41D5" w:rsidRPr="002E4298" w:rsidRDefault="00DA41D5" w:rsidP="00DA41D5">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56</w:t>
            </w:r>
          </w:p>
        </w:tc>
        <w:tc>
          <w:tcPr>
            <w:tcW w:w="1220" w:type="dxa"/>
            <w:shd w:val="clear" w:color="auto" w:fill="auto"/>
            <w:tcMar>
              <w:top w:w="0" w:type="dxa"/>
              <w:left w:w="0" w:type="dxa"/>
              <w:bottom w:w="0" w:type="dxa"/>
              <w:right w:w="0" w:type="dxa"/>
            </w:tcMar>
            <w:vAlign w:val="bottom"/>
            <w:hideMark/>
          </w:tcPr>
          <w:p w14:paraId="296F046A" w14:textId="77777777" w:rsidR="00DA41D5" w:rsidRPr="002E4298" w:rsidRDefault="00DA41D5" w:rsidP="00DA41D5">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40,0 %</w:t>
            </w:r>
          </w:p>
        </w:tc>
        <w:tc>
          <w:tcPr>
            <w:tcW w:w="1220" w:type="dxa"/>
            <w:shd w:val="clear" w:color="auto" w:fill="auto"/>
            <w:tcMar>
              <w:top w:w="0" w:type="dxa"/>
              <w:left w:w="0" w:type="dxa"/>
              <w:bottom w:w="0" w:type="dxa"/>
              <w:right w:w="0" w:type="dxa"/>
            </w:tcMar>
            <w:vAlign w:val="bottom"/>
            <w:hideMark/>
          </w:tcPr>
          <w:p w14:paraId="230911A1" w14:textId="77777777" w:rsidR="00DA41D5" w:rsidRPr="002E4298" w:rsidRDefault="00DA41D5" w:rsidP="00DA41D5">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18,0 %</w:t>
            </w:r>
          </w:p>
        </w:tc>
        <w:tc>
          <w:tcPr>
            <w:tcW w:w="1220" w:type="dxa"/>
            <w:shd w:val="clear" w:color="auto" w:fill="auto"/>
            <w:tcMar>
              <w:top w:w="0" w:type="dxa"/>
              <w:left w:w="0" w:type="dxa"/>
              <w:bottom w:w="0" w:type="dxa"/>
              <w:right w:w="0" w:type="dxa"/>
            </w:tcMar>
            <w:vAlign w:val="bottom"/>
            <w:hideMark/>
          </w:tcPr>
          <w:p w14:paraId="2DF60D07" w14:textId="77777777" w:rsidR="00DA41D5" w:rsidRPr="002E4298" w:rsidRDefault="00DA41D5" w:rsidP="00DA41D5">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8,0 %</w:t>
            </w:r>
          </w:p>
        </w:tc>
        <w:tc>
          <w:tcPr>
            <w:tcW w:w="1220" w:type="dxa"/>
            <w:shd w:val="clear" w:color="auto" w:fill="auto"/>
            <w:tcMar>
              <w:top w:w="0" w:type="dxa"/>
              <w:left w:w="0" w:type="dxa"/>
              <w:bottom w:w="0" w:type="dxa"/>
              <w:right w:w="0" w:type="dxa"/>
            </w:tcMar>
            <w:vAlign w:val="bottom"/>
            <w:hideMark/>
          </w:tcPr>
          <w:p w14:paraId="535EA094" w14:textId="77777777" w:rsidR="00DA41D5" w:rsidRPr="002E4298" w:rsidRDefault="00DA41D5" w:rsidP="00DA41D5">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0,0 %</w:t>
            </w:r>
          </w:p>
        </w:tc>
      </w:tr>
      <w:tr w:rsidR="00DA41D5" w:rsidRPr="002E4298" w14:paraId="3694BA9F" w14:textId="77777777" w:rsidTr="00DA41D5">
        <w:tc>
          <w:tcPr>
            <w:tcW w:w="630" w:type="dxa"/>
            <w:shd w:val="clear" w:color="auto" w:fill="auto"/>
            <w:tcMar>
              <w:top w:w="0" w:type="dxa"/>
              <w:left w:w="0" w:type="dxa"/>
              <w:bottom w:w="0" w:type="dxa"/>
              <w:right w:w="0" w:type="dxa"/>
            </w:tcMar>
            <w:vAlign w:val="bottom"/>
            <w:hideMark/>
          </w:tcPr>
          <w:p w14:paraId="5F4FA911" w14:textId="77777777" w:rsidR="00DA41D5" w:rsidRPr="002E4298" w:rsidRDefault="00DA41D5" w:rsidP="00DA41D5">
            <w:pPr>
              <w:tabs>
                <w:tab w:val="left" w:pos="288"/>
                <w:tab w:val="left" w:pos="576"/>
                <w:tab w:val="left" w:pos="864"/>
                <w:tab w:val="left" w:pos="1152"/>
              </w:tabs>
              <w:suppressAutoHyphens/>
              <w:spacing w:before="40" w:after="40" w:line="210" w:lineRule="exact"/>
              <w:ind w:right="40"/>
              <w:rPr>
                <w:sz w:val="17"/>
                <w:lang w:val="fr-FR"/>
              </w:rPr>
            </w:pPr>
            <w:r w:rsidRPr="002E4298">
              <w:rPr>
                <w:sz w:val="17"/>
                <w:lang w:val="fr-FR"/>
              </w:rPr>
              <w:t>2016</w:t>
            </w:r>
          </w:p>
        </w:tc>
        <w:tc>
          <w:tcPr>
            <w:tcW w:w="1810" w:type="dxa"/>
            <w:shd w:val="clear" w:color="auto" w:fill="auto"/>
            <w:tcMar>
              <w:top w:w="0" w:type="dxa"/>
              <w:left w:w="0" w:type="dxa"/>
              <w:bottom w:w="0" w:type="dxa"/>
              <w:right w:w="0" w:type="dxa"/>
            </w:tcMar>
            <w:vAlign w:val="bottom"/>
            <w:hideMark/>
          </w:tcPr>
          <w:p w14:paraId="0E15EBD6" w14:textId="77777777" w:rsidR="00DA41D5" w:rsidRPr="002E4298" w:rsidRDefault="00DA41D5" w:rsidP="00DA41D5">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102</w:t>
            </w:r>
          </w:p>
        </w:tc>
        <w:tc>
          <w:tcPr>
            <w:tcW w:w="1220" w:type="dxa"/>
            <w:shd w:val="clear" w:color="auto" w:fill="auto"/>
            <w:tcMar>
              <w:top w:w="0" w:type="dxa"/>
              <w:left w:w="0" w:type="dxa"/>
              <w:bottom w:w="0" w:type="dxa"/>
              <w:right w:w="0" w:type="dxa"/>
            </w:tcMar>
            <w:vAlign w:val="bottom"/>
            <w:hideMark/>
          </w:tcPr>
          <w:p w14:paraId="7A05317A" w14:textId="77777777" w:rsidR="00DA41D5" w:rsidRPr="002E4298" w:rsidRDefault="00DA41D5" w:rsidP="00DA41D5">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25,0 %</w:t>
            </w:r>
          </w:p>
        </w:tc>
        <w:tc>
          <w:tcPr>
            <w:tcW w:w="1220" w:type="dxa"/>
            <w:shd w:val="clear" w:color="auto" w:fill="auto"/>
            <w:tcMar>
              <w:top w:w="0" w:type="dxa"/>
              <w:left w:w="0" w:type="dxa"/>
              <w:bottom w:w="0" w:type="dxa"/>
              <w:right w:w="0" w:type="dxa"/>
            </w:tcMar>
            <w:vAlign w:val="bottom"/>
            <w:hideMark/>
          </w:tcPr>
          <w:p w14:paraId="34481320" w14:textId="77777777" w:rsidR="00DA41D5" w:rsidRPr="002E4298" w:rsidRDefault="00DA41D5" w:rsidP="00DA41D5">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10,0 %</w:t>
            </w:r>
          </w:p>
        </w:tc>
        <w:tc>
          <w:tcPr>
            <w:tcW w:w="1220" w:type="dxa"/>
            <w:shd w:val="clear" w:color="auto" w:fill="auto"/>
            <w:tcMar>
              <w:top w:w="0" w:type="dxa"/>
              <w:left w:w="0" w:type="dxa"/>
              <w:bottom w:w="0" w:type="dxa"/>
              <w:right w:w="0" w:type="dxa"/>
            </w:tcMar>
            <w:vAlign w:val="bottom"/>
            <w:hideMark/>
          </w:tcPr>
          <w:p w14:paraId="4C128B91" w14:textId="77777777" w:rsidR="00DA41D5" w:rsidRPr="002E4298" w:rsidRDefault="00DA41D5" w:rsidP="00DA41D5">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10,0 %</w:t>
            </w:r>
          </w:p>
        </w:tc>
        <w:tc>
          <w:tcPr>
            <w:tcW w:w="1220" w:type="dxa"/>
            <w:shd w:val="clear" w:color="auto" w:fill="auto"/>
            <w:tcMar>
              <w:top w:w="0" w:type="dxa"/>
              <w:left w:w="0" w:type="dxa"/>
              <w:bottom w:w="0" w:type="dxa"/>
              <w:right w:w="0" w:type="dxa"/>
            </w:tcMar>
            <w:vAlign w:val="bottom"/>
            <w:hideMark/>
          </w:tcPr>
          <w:p w14:paraId="7E810473" w14:textId="77777777" w:rsidR="00DA41D5" w:rsidRPr="002E4298" w:rsidRDefault="00DA41D5" w:rsidP="00DA41D5">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1,0 %</w:t>
            </w:r>
          </w:p>
        </w:tc>
      </w:tr>
      <w:tr w:rsidR="00DA41D5" w:rsidRPr="002E4298" w14:paraId="793BEB7A" w14:textId="77777777" w:rsidTr="00DA41D5">
        <w:tc>
          <w:tcPr>
            <w:tcW w:w="630" w:type="dxa"/>
            <w:tcBorders>
              <w:bottom w:val="single" w:sz="12" w:space="0" w:color="auto"/>
            </w:tcBorders>
            <w:shd w:val="clear" w:color="auto" w:fill="auto"/>
            <w:tcMar>
              <w:top w:w="0" w:type="dxa"/>
              <w:left w:w="0" w:type="dxa"/>
              <w:bottom w:w="0" w:type="dxa"/>
              <w:right w:w="0" w:type="dxa"/>
            </w:tcMar>
            <w:vAlign w:val="bottom"/>
            <w:hideMark/>
          </w:tcPr>
          <w:p w14:paraId="02C82F92" w14:textId="77777777" w:rsidR="00DA41D5" w:rsidRPr="002E4298" w:rsidRDefault="00DA41D5" w:rsidP="00DA41D5">
            <w:pPr>
              <w:tabs>
                <w:tab w:val="left" w:pos="288"/>
                <w:tab w:val="left" w:pos="576"/>
                <w:tab w:val="left" w:pos="864"/>
                <w:tab w:val="left" w:pos="1152"/>
              </w:tabs>
              <w:suppressAutoHyphens/>
              <w:spacing w:before="40" w:after="40" w:line="210" w:lineRule="exact"/>
              <w:ind w:right="40"/>
              <w:rPr>
                <w:sz w:val="17"/>
                <w:lang w:val="fr-FR"/>
              </w:rPr>
            </w:pPr>
            <w:r w:rsidRPr="002E4298">
              <w:rPr>
                <w:sz w:val="17"/>
                <w:lang w:val="fr-FR"/>
              </w:rPr>
              <w:t>2017</w:t>
            </w:r>
          </w:p>
        </w:tc>
        <w:tc>
          <w:tcPr>
            <w:tcW w:w="1810" w:type="dxa"/>
            <w:tcBorders>
              <w:bottom w:val="single" w:sz="12" w:space="0" w:color="auto"/>
            </w:tcBorders>
            <w:shd w:val="clear" w:color="auto" w:fill="auto"/>
            <w:tcMar>
              <w:top w:w="0" w:type="dxa"/>
              <w:left w:w="0" w:type="dxa"/>
              <w:bottom w:w="0" w:type="dxa"/>
              <w:right w:w="0" w:type="dxa"/>
            </w:tcMar>
            <w:vAlign w:val="bottom"/>
            <w:hideMark/>
          </w:tcPr>
          <w:p w14:paraId="54D5A44B" w14:textId="77777777" w:rsidR="00DA41D5" w:rsidRPr="002E4298" w:rsidRDefault="00DA41D5" w:rsidP="00DA41D5">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112</w:t>
            </w:r>
          </w:p>
        </w:tc>
        <w:tc>
          <w:tcPr>
            <w:tcW w:w="1220" w:type="dxa"/>
            <w:tcBorders>
              <w:bottom w:val="single" w:sz="12" w:space="0" w:color="auto"/>
            </w:tcBorders>
            <w:shd w:val="clear" w:color="auto" w:fill="auto"/>
            <w:tcMar>
              <w:top w:w="0" w:type="dxa"/>
              <w:left w:w="0" w:type="dxa"/>
              <w:bottom w:w="0" w:type="dxa"/>
              <w:right w:w="0" w:type="dxa"/>
            </w:tcMar>
            <w:vAlign w:val="bottom"/>
            <w:hideMark/>
          </w:tcPr>
          <w:p w14:paraId="230CAA31" w14:textId="77777777" w:rsidR="00DA41D5" w:rsidRPr="002E4298" w:rsidRDefault="00DA41D5" w:rsidP="00DA41D5">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14,6 %</w:t>
            </w:r>
          </w:p>
        </w:tc>
        <w:tc>
          <w:tcPr>
            <w:tcW w:w="1220" w:type="dxa"/>
            <w:tcBorders>
              <w:bottom w:val="single" w:sz="12" w:space="0" w:color="auto"/>
            </w:tcBorders>
            <w:shd w:val="clear" w:color="auto" w:fill="auto"/>
            <w:tcMar>
              <w:top w:w="0" w:type="dxa"/>
              <w:left w:w="0" w:type="dxa"/>
              <w:bottom w:w="0" w:type="dxa"/>
              <w:right w:w="0" w:type="dxa"/>
            </w:tcMar>
            <w:vAlign w:val="bottom"/>
            <w:hideMark/>
          </w:tcPr>
          <w:p w14:paraId="37E9D538" w14:textId="77777777" w:rsidR="00DA41D5" w:rsidRPr="002E4298" w:rsidRDefault="00DA41D5" w:rsidP="00DA41D5">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14,6 %</w:t>
            </w:r>
          </w:p>
        </w:tc>
        <w:tc>
          <w:tcPr>
            <w:tcW w:w="1220" w:type="dxa"/>
            <w:tcBorders>
              <w:bottom w:val="single" w:sz="12" w:space="0" w:color="auto"/>
            </w:tcBorders>
            <w:shd w:val="clear" w:color="auto" w:fill="auto"/>
            <w:tcMar>
              <w:top w:w="0" w:type="dxa"/>
              <w:left w:w="0" w:type="dxa"/>
              <w:bottom w:w="0" w:type="dxa"/>
              <w:right w:w="0" w:type="dxa"/>
            </w:tcMar>
            <w:vAlign w:val="bottom"/>
            <w:hideMark/>
          </w:tcPr>
          <w:p w14:paraId="20A5A0C2" w14:textId="77777777" w:rsidR="00DA41D5" w:rsidRPr="002E4298" w:rsidRDefault="00DA41D5" w:rsidP="00DA41D5">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7,3 %</w:t>
            </w:r>
          </w:p>
        </w:tc>
        <w:tc>
          <w:tcPr>
            <w:tcW w:w="1220" w:type="dxa"/>
            <w:tcBorders>
              <w:bottom w:val="single" w:sz="12" w:space="0" w:color="auto"/>
            </w:tcBorders>
            <w:shd w:val="clear" w:color="auto" w:fill="auto"/>
            <w:tcMar>
              <w:top w:w="0" w:type="dxa"/>
              <w:left w:w="0" w:type="dxa"/>
              <w:bottom w:w="0" w:type="dxa"/>
              <w:right w:w="0" w:type="dxa"/>
            </w:tcMar>
            <w:vAlign w:val="bottom"/>
            <w:hideMark/>
          </w:tcPr>
          <w:p w14:paraId="0D14FD09" w14:textId="77777777" w:rsidR="00DA41D5" w:rsidRPr="002E4298" w:rsidRDefault="00DA41D5" w:rsidP="00DA41D5">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0,0 %</w:t>
            </w:r>
          </w:p>
        </w:tc>
      </w:tr>
    </w:tbl>
    <w:p w14:paraId="0AC5A3C8" w14:textId="4C2C8EEC" w:rsidR="00BB0956" w:rsidRPr="002E4298" w:rsidRDefault="00BB0956" w:rsidP="00DA41D5">
      <w:pPr>
        <w:pStyle w:val="SingleTxt"/>
        <w:spacing w:after="0" w:line="120" w:lineRule="exact"/>
        <w:rPr>
          <w:sz w:val="10"/>
          <w:lang w:val="fr-FR"/>
        </w:rPr>
      </w:pPr>
    </w:p>
    <w:p w14:paraId="6473D25E" w14:textId="77777777" w:rsidR="00DA41D5" w:rsidRPr="002E4298" w:rsidRDefault="00DA41D5" w:rsidP="00BB0956">
      <w:pPr>
        <w:pStyle w:val="SingleTxt"/>
        <w:spacing w:after="0" w:line="120" w:lineRule="exact"/>
        <w:rPr>
          <w:sz w:val="10"/>
          <w:lang w:val="fr-FR"/>
        </w:rPr>
      </w:pPr>
    </w:p>
    <w:p w14:paraId="5B28D7E4" w14:textId="02D25D03" w:rsidR="00BB0956" w:rsidRPr="002E4298" w:rsidRDefault="00BB0956" w:rsidP="00A11C35">
      <w:pPr>
        <w:pStyle w:val="SingleTxt"/>
        <w:numPr>
          <w:ilvl w:val="0"/>
          <w:numId w:val="6"/>
        </w:numPr>
        <w:spacing w:line="240" w:lineRule="exact"/>
        <w:rPr>
          <w:lang w:val="fr-FR"/>
        </w:rPr>
      </w:pPr>
      <w:r w:rsidRPr="002E4298">
        <w:rPr>
          <w:lang w:val="fr-FR" w:bidi="fr-FR"/>
        </w:rPr>
        <w:t>Dans le cadre de la loi nº 60/2018 du 21 août 2018, un baromètre sectoriel sur les disparités salariales a récemment été mis en place (juin 2019). Le baromètre est publié par le Bureau de la stratégie et de la planification du Ministère du travail, de la solidarité et de la sécurité sociale à partir des informations fournies chaque année par les entreprises, et comprend des données détaillées sur les disparités salariales par secteur d’activité économique. La première édition du baromètre comprend des données sectorielles sur l’écart de rémunération ajusté entre les sexes, ce qui constitue une source d’information innovante sur les disparités salariales. Le baromètre est destiné à améliorer les statistiques, ainsi qu’à sensibiliser à l’égalité de rémunération dans la société portugaise et à promouvoir un vaste débat sur le sujet.</w:t>
      </w:r>
    </w:p>
    <w:p w14:paraId="48EF346C" w14:textId="2641DABD" w:rsidR="00BB0956" w:rsidRPr="002E4298" w:rsidRDefault="00BB0956" w:rsidP="00A11C35">
      <w:pPr>
        <w:pStyle w:val="SingleTxt"/>
        <w:numPr>
          <w:ilvl w:val="0"/>
          <w:numId w:val="6"/>
        </w:numPr>
        <w:spacing w:line="240" w:lineRule="exact"/>
        <w:rPr>
          <w:lang w:val="fr-FR"/>
        </w:rPr>
      </w:pPr>
      <w:r w:rsidRPr="002E4298">
        <w:rPr>
          <w:lang w:val="fr-FR" w:bidi="fr-FR"/>
        </w:rPr>
        <w:t>En 2014, la Commission pour l’égalité dans le travail et l’emploi a mis au point deux outils Web (disponibles sur le site de la Commission depuis début 2015) qui permettent aux entreprises d’analyser la structure de leur personnel et de la rémunération appliquée et de déterminer si les écarts de rémunération constatés sont fondés ou non sur le sexe, et ainsi de s’autoévaluer et de s’autoréguler en la matière afin d’adopter volontairement des mesures et des pratiques susceptibles de combler les écarts recensés.</w:t>
      </w:r>
    </w:p>
    <w:p w14:paraId="1BBAF0F9" w14:textId="4771440D" w:rsidR="00BB0956" w:rsidRPr="002E4298" w:rsidRDefault="00BB0956" w:rsidP="00A11C35">
      <w:pPr>
        <w:pStyle w:val="SingleTxt"/>
        <w:numPr>
          <w:ilvl w:val="0"/>
          <w:numId w:val="6"/>
        </w:numPr>
        <w:spacing w:line="240" w:lineRule="exact"/>
        <w:rPr>
          <w:lang w:val="fr-FR" w:bidi="fr-FR"/>
        </w:rPr>
      </w:pPr>
      <w:r w:rsidRPr="002E4298">
        <w:rPr>
          <w:lang w:val="fr-FR" w:bidi="fr-FR"/>
        </w:rPr>
        <w:t>L’enquête d’autoévaluation sur l’égalité salariale entre les hommes et les femmes dans les entreprises est un outil conçu pour évaluer certaines pratiques organisationnelles liées à la valorisation du travail et au paiement des salaires et autres avantages aux travailleurs.</w:t>
      </w:r>
    </w:p>
    <w:p w14:paraId="6DBB3CD9" w14:textId="5F4C73D3" w:rsidR="00BB0956" w:rsidRPr="002E4298" w:rsidRDefault="00BB0956" w:rsidP="00A11C35">
      <w:pPr>
        <w:pStyle w:val="SingleTxt"/>
        <w:numPr>
          <w:ilvl w:val="0"/>
          <w:numId w:val="6"/>
        </w:numPr>
        <w:spacing w:line="240" w:lineRule="exact"/>
        <w:rPr>
          <w:lang w:val="fr-FR"/>
        </w:rPr>
      </w:pPr>
      <w:r w:rsidRPr="002E4298">
        <w:rPr>
          <w:lang w:val="fr-FR" w:bidi="fr-FR"/>
        </w:rPr>
        <w:t>Le calculateur d’écart de rémunération entre les sexes (DSG) est un outil logiciel qui permet aux entreprises de procéder à un exercice d’autoévaluation sur l’égalité de rémunération entre les hommes et les femmes. Il permet de mesurer l’écart de rémunération entre les femmes et les hommes au sein des entreprises et de recenser des exemples concrets d’écart de rémunération entre les femmes et les hommes, afin de déterminer si ces différences s’expliquent par des facteurs objectifs ou par une différence de sexe.</w:t>
      </w:r>
    </w:p>
    <w:p w14:paraId="431A3A1B" w14:textId="13043BF9" w:rsidR="00BB0956" w:rsidRPr="002E4298" w:rsidRDefault="00BB0956" w:rsidP="00A11C35">
      <w:pPr>
        <w:pStyle w:val="SingleTxt"/>
        <w:numPr>
          <w:ilvl w:val="0"/>
          <w:numId w:val="6"/>
        </w:numPr>
        <w:spacing w:line="240" w:lineRule="exact"/>
        <w:rPr>
          <w:lang w:val="fr-FR"/>
        </w:rPr>
      </w:pPr>
      <w:r w:rsidRPr="002E4298">
        <w:rPr>
          <w:lang w:val="fr-FR" w:bidi="fr-FR"/>
        </w:rPr>
        <w:t>Le nombre d’entités qui ont déjà utilisé ces outils révèle la pertinence de ces derniers. L’année dernière, 860 utilisateurs se sont connectés, pour un total de 1 004 connexions, au calculateur d’écart de rémunération entre les sexes, et 159 utilisateurs ont répondu à l’enquête d’autoévaluation.</w:t>
      </w:r>
    </w:p>
    <w:p w14:paraId="6033FF97" w14:textId="6089BE33" w:rsidR="00BB0956" w:rsidRPr="002E4298" w:rsidRDefault="00BB0956" w:rsidP="00A11C35">
      <w:pPr>
        <w:pStyle w:val="SingleTxt"/>
        <w:numPr>
          <w:ilvl w:val="0"/>
          <w:numId w:val="6"/>
        </w:numPr>
        <w:spacing w:line="240" w:lineRule="exact"/>
        <w:rPr>
          <w:lang w:val="fr-FR"/>
        </w:rPr>
      </w:pPr>
      <w:r w:rsidRPr="002E4298">
        <w:rPr>
          <w:lang w:val="fr-FR" w:bidi="fr-FR"/>
        </w:rPr>
        <w:t xml:space="preserve">En juin 2017, la Commission pour l’égalité dans le travail et l’emploi a lancé un cycle de formation, intitulé « Ateliers de l’égalité », visant à analyser les écarts entre les sexes dans les indicateurs du marché du travail, à lutter contre la ségrégation et la discrimination au travail et à promouvoir l’égalité des </w:t>
      </w:r>
      <w:r w:rsidR="002E4298" w:rsidRPr="002E4298">
        <w:rPr>
          <w:lang w:val="fr-FR" w:bidi="fr-FR"/>
        </w:rPr>
        <w:t>genres en</w:t>
      </w:r>
      <w:r w:rsidRPr="002E4298">
        <w:rPr>
          <w:lang w:val="fr-FR" w:bidi="fr-FR"/>
        </w:rPr>
        <w:t xml:space="preserve"> déconstruisant les stéréotypes et les préjugés fondés sur le genre. La formation est organisée en quatre sessions et couvre les sujets suivants : la situation des femmes et des hommes </w:t>
      </w:r>
      <w:r w:rsidRPr="002E4298">
        <w:rPr>
          <w:lang w:val="fr-FR" w:bidi="fr-FR"/>
        </w:rPr>
        <w:lastRenderedPageBreak/>
        <w:t>sur le marché du travail, les concepts et principes de genre, les stratégies et outils pour l’égalité, et l’élaboration de plans d’action par les participants.</w:t>
      </w:r>
    </w:p>
    <w:p w14:paraId="45E11F45" w14:textId="7D1EFBF0" w:rsidR="00BB0956" w:rsidRPr="002E4298" w:rsidRDefault="00BB0956" w:rsidP="00A11C35">
      <w:pPr>
        <w:pStyle w:val="SingleTxt"/>
        <w:numPr>
          <w:ilvl w:val="0"/>
          <w:numId w:val="6"/>
        </w:numPr>
        <w:spacing w:line="240" w:lineRule="exact"/>
        <w:rPr>
          <w:lang w:val="fr-FR" w:bidi="fr-FR"/>
        </w:rPr>
      </w:pPr>
      <w:r w:rsidRPr="002E4298">
        <w:rPr>
          <w:lang w:val="fr-FR" w:bidi="fr-FR"/>
        </w:rPr>
        <w:t>Jusqu’à présent, la Commission a organisé neuf cycles de formation auxquels ont participé 364 apprenants (364 femmes et 37 hommes), parmi lesquels des fonctionnaires de l’administration publique centrale et locale, ainsi que des cadres et employés d’ONG, de syndicats et d’entreprises.</w:t>
      </w:r>
    </w:p>
    <w:p w14:paraId="6879649E" w14:textId="28B42F88" w:rsidR="00BB0956" w:rsidRPr="002E4298" w:rsidRDefault="00BB0956" w:rsidP="00A11C35">
      <w:pPr>
        <w:pStyle w:val="SingleTxt"/>
        <w:numPr>
          <w:ilvl w:val="0"/>
          <w:numId w:val="6"/>
        </w:numPr>
        <w:spacing w:line="240" w:lineRule="exact"/>
        <w:rPr>
          <w:lang w:val="fr-FR" w:bidi="fr-FR"/>
        </w:rPr>
      </w:pPr>
      <w:r w:rsidRPr="002E4298">
        <w:rPr>
          <w:lang w:val="fr-FR" w:bidi="fr-FR"/>
        </w:rPr>
        <w:t>La Commission promeut depuis l’an 2000, et depuis 2009 en partenariat avec la Commission pour la citoyenneté et l’égalité des genres, le Prix « Égalité, synonyme de qualité » (PIQ), qui récompense les entreprises et autres employeurs disposant de politiques dans le domaine de l’égalité des genres, de l’équilibre entre vie professionnelle et vie privée et de bonnes pratiques pour prévenir et combattre la violence domestique et la violence fondée sur le genre.</w:t>
      </w:r>
    </w:p>
    <w:p w14:paraId="1415F757" w14:textId="23904C4D" w:rsidR="00BB0956" w:rsidRPr="002E4298" w:rsidRDefault="00BB0956" w:rsidP="00A11C35">
      <w:pPr>
        <w:pStyle w:val="SingleTxt"/>
        <w:numPr>
          <w:ilvl w:val="0"/>
          <w:numId w:val="6"/>
        </w:numPr>
        <w:spacing w:line="240" w:lineRule="exact"/>
        <w:rPr>
          <w:lang w:val="fr-FR" w:bidi="fr-FR"/>
        </w:rPr>
      </w:pPr>
      <w:r w:rsidRPr="002E4298">
        <w:rPr>
          <w:lang w:val="fr-FR" w:bidi="fr-FR"/>
        </w:rPr>
        <w:t>Depuis la première édition, 249 organisations se sont portées candidates au Prix, 18 ont été récompensées et 41 ont reçu une « mention honorable ». La cérémonie publique de la douzième</w:t>
      </w:r>
      <w:r w:rsidRPr="002E4298">
        <w:rPr>
          <w:vertAlign w:val="superscript"/>
          <w:lang w:val="fr-FR" w:bidi="fr-FR"/>
        </w:rPr>
        <w:t> </w:t>
      </w:r>
      <w:r w:rsidRPr="002E4298">
        <w:rPr>
          <w:lang w:val="fr-FR" w:bidi="fr-FR"/>
        </w:rPr>
        <w:t>édition du Prix s’est tenue le 29 juin 2018.</w:t>
      </w:r>
    </w:p>
    <w:p w14:paraId="29BE7456" w14:textId="71CBDBEB" w:rsidR="00BB0956" w:rsidRPr="002E4298" w:rsidRDefault="00BB0956" w:rsidP="00A11C35">
      <w:pPr>
        <w:pStyle w:val="SingleTxt"/>
        <w:numPr>
          <w:ilvl w:val="0"/>
          <w:numId w:val="6"/>
        </w:numPr>
        <w:spacing w:line="240" w:lineRule="exact"/>
        <w:rPr>
          <w:lang w:val="fr-FR" w:bidi="fr-FR"/>
        </w:rPr>
      </w:pPr>
      <w:r w:rsidRPr="002E4298">
        <w:rPr>
          <w:lang w:val="fr-FR" w:bidi="fr-FR"/>
        </w:rPr>
        <w:t>Chaque année depuis 2013, la Journée nationale de l’égalité salariale est célébrée pour sensibiliser le public à la nécessité de combler l’écart persistant entre les revenus des femmes et ceux des hommes, par la diffusion d’informations sur les inégalités existantes parmi les principaux acteurs du marché du travail, les entreprises et les associations d’employeurs des principaux secteurs économiques ainsi que les partenaires sociaux.</w:t>
      </w:r>
    </w:p>
    <w:p w14:paraId="0A81D5C5" w14:textId="34C0BE2F" w:rsidR="00BB0956" w:rsidRPr="002E4298" w:rsidRDefault="00BB0956" w:rsidP="00A11C35">
      <w:pPr>
        <w:pStyle w:val="SingleTxt"/>
        <w:numPr>
          <w:ilvl w:val="0"/>
          <w:numId w:val="6"/>
        </w:numPr>
        <w:spacing w:line="240" w:lineRule="exact"/>
        <w:rPr>
          <w:lang w:val="fr-FR"/>
        </w:rPr>
      </w:pPr>
      <w:r w:rsidRPr="002E4298">
        <w:rPr>
          <w:lang w:val="fr-FR" w:bidi="fr-FR"/>
        </w:rPr>
        <w:t>Une nouvelle campagne nationale pour l’égalité salariale « </w:t>
      </w:r>
      <w:r w:rsidRPr="002E4298">
        <w:rPr>
          <w:i/>
          <w:lang w:val="fr-FR" w:bidi="fr-FR"/>
        </w:rPr>
        <w:t>Eu mereço igual</w:t>
      </w:r>
      <w:r w:rsidRPr="002E4298">
        <w:rPr>
          <w:lang w:val="fr-FR" w:bidi="fr-FR"/>
        </w:rPr>
        <w:t> » (Je mérite tout autant), mise au point par la Commission pour l’égalité dans le travail et l’emploi, a été lancée en juin 2019 pour sensibiliser, encourager et motiver la société face à la nécessité d’un changement de paradigme.</w:t>
      </w:r>
    </w:p>
    <w:p w14:paraId="31F2A7D5" w14:textId="614CD5A2" w:rsidR="00BB0956" w:rsidRPr="002E4298" w:rsidRDefault="00BB0956" w:rsidP="00A11C35">
      <w:pPr>
        <w:pStyle w:val="SingleTxt"/>
        <w:numPr>
          <w:ilvl w:val="0"/>
          <w:numId w:val="6"/>
        </w:numPr>
        <w:spacing w:line="240" w:lineRule="exact"/>
        <w:rPr>
          <w:lang w:val="fr-FR"/>
        </w:rPr>
      </w:pPr>
      <w:r w:rsidRPr="002E4298">
        <w:rPr>
          <w:lang w:val="fr-FR" w:bidi="fr-FR"/>
        </w:rPr>
        <w:t>La campagne a été diffusée à la télévision, à la radio, sur les réseaux sociaux et sur des panneaux d’affichage au mois de septembre (dans le cadre de la célébration du quarantième</w:t>
      </w:r>
      <w:r w:rsidRPr="002E4298">
        <w:rPr>
          <w:vertAlign w:val="superscript"/>
          <w:lang w:val="fr-FR" w:bidi="fr-FR"/>
        </w:rPr>
        <w:t> </w:t>
      </w:r>
      <w:r w:rsidRPr="002E4298">
        <w:rPr>
          <w:lang w:val="fr-FR" w:bidi="fr-FR"/>
        </w:rPr>
        <w:t>anniversaire de la Commission) et au mois de novembre, à l’occasion de la Journée nationale de l’égalité salariale.</w:t>
      </w:r>
    </w:p>
    <w:p w14:paraId="451D51DF" w14:textId="5BAC8968" w:rsidR="00BB0956" w:rsidRPr="002E4298" w:rsidRDefault="00BB0956" w:rsidP="00A11C35">
      <w:pPr>
        <w:pStyle w:val="SingleTxt"/>
        <w:numPr>
          <w:ilvl w:val="0"/>
          <w:numId w:val="6"/>
        </w:numPr>
        <w:spacing w:line="240" w:lineRule="exact"/>
        <w:rPr>
          <w:lang w:val="fr-FR"/>
        </w:rPr>
      </w:pPr>
      <w:r w:rsidRPr="002E4298">
        <w:rPr>
          <w:lang w:val="fr-FR" w:bidi="fr-FR"/>
        </w:rPr>
        <w:t>Pour sensibiliser le public à l’équilibre entre vie professionnelle et vie privée et au partage équitable des responsabilités familiales entre femmes et hommes, la Commission pour l’égalité dans le travail et l’emploi a conçu et lancé, en octobre 2016, une campagne nationale sur la réconciliation et l’utilisation du temps.</w:t>
      </w:r>
    </w:p>
    <w:p w14:paraId="10DABA65" w14:textId="26B14938" w:rsidR="00BB0956" w:rsidRPr="002E4298" w:rsidRDefault="00BB0956" w:rsidP="00A11C35">
      <w:pPr>
        <w:pStyle w:val="SingleTxt"/>
        <w:numPr>
          <w:ilvl w:val="0"/>
          <w:numId w:val="6"/>
        </w:numPr>
        <w:spacing w:line="240" w:lineRule="exact"/>
        <w:rPr>
          <w:lang w:val="fr-FR" w:bidi="fr-FR"/>
        </w:rPr>
      </w:pPr>
      <w:r w:rsidRPr="002E4298">
        <w:rPr>
          <w:lang w:val="fr-FR" w:bidi="fr-FR"/>
        </w:rPr>
        <w:t>La devise de la campagne, « Il est temps ! Réconcilions la vie professionnelle et la vie familiale », s’appuie sur l’utilisation du temps par les femmes et les hommes concernant l’articulation entre travail et vie personnelle et familiale comme outil pour promouvoir l’égalité des genres.</w:t>
      </w:r>
      <w:hyperlink r:id="rId24" w:history="1">
        <w:r w:rsidRPr="002E4298">
          <w:rPr>
            <w:rStyle w:val="Hyperlink"/>
            <w:lang w:val="fr-FR" w:bidi="fr-FR"/>
          </w:rPr>
          <w:t xml:space="preserve"> </w:t>
        </w:r>
      </w:hyperlink>
      <w:r w:rsidRPr="002E4298">
        <w:rPr>
          <w:lang w:val="fr-FR" w:bidi="fr-FR"/>
        </w:rPr>
        <w:t>La campagne diffuse quatre messages différents et quatre images différentes concernant des aspects différents de la question : le lieu de travail, la vie familiale et la vie privée.</w:t>
      </w:r>
    </w:p>
    <w:p w14:paraId="322D7B20" w14:textId="4269A896" w:rsidR="00BB0956" w:rsidRPr="002E4298" w:rsidRDefault="00BB0956" w:rsidP="00A11C35">
      <w:pPr>
        <w:pStyle w:val="SingleTxt"/>
        <w:numPr>
          <w:ilvl w:val="0"/>
          <w:numId w:val="6"/>
        </w:numPr>
        <w:spacing w:line="240" w:lineRule="exact"/>
        <w:rPr>
          <w:lang w:val="fr-FR"/>
        </w:rPr>
      </w:pPr>
      <w:r w:rsidRPr="002E4298">
        <w:rPr>
          <w:lang w:val="fr-FR" w:bidi="fr-FR"/>
        </w:rPr>
        <w:t xml:space="preserve">La campagne a été diffusée auprès de différentes parties prenantes et sur diverses plateformes à différents moments. Un dépliant, un calendrier et un aimant pour bloc-notes ont été distribués aux membres de la Commission, aux organisations et aux entreprises. Des annonces radiophoniques ont été diffusées sur le canal de la radio </w:t>
      </w:r>
      <w:r w:rsidRPr="002E4298">
        <w:rPr>
          <w:i/>
          <w:lang w:val="fr-FR" w:bidi="fr-FR"/>
        </w:rPr>
        <w:t>Emissora das Beiras</w:t>
      </w:r>
      <w:r w:rsidRPr="002E4298">
        <w:rPr>
          <w:lang w:val="fr-FR" w:bidi="fr-FR"/>
        </w:rPr>
        <w:t xml:space="preserve"> au cours du mois de novembre 2016. Des annonces télévisées ont également été diffusées sur les chaînes de télévision </w:t>
      </w:r>
      <w:r w:rsidRPr="002E4298">
        <w:rPr>
          <w:i/>
          <w:lang w:val="fr-FR" w:bidi="fr-FR"/>
        </w:rPr>
        <w:t>RTP</w:t>
      </w:r>
      <w:r w:rsidRPr="002E4298">
        <w:rPr>
          <w:lang w:val="fr-FR" w:bidi="fr-FR"/>
        </w:rPr>
        <w:t xml:space="preserve"> et </w:t>
      </w:r>
      <w:r w:rsidRPr="002E4298">
        <w:rPr>
          <w:i/>
          <w:lang w:val="fr-FR" w:bidi="fr-FR"/>
        </w:rPr>
        <w:t>Media Capital</w:t>
      </w:r>
      <w:r w:rsidRPr="002E4298">
        <w:rPr>
          <w:lang w:val="fr-FR" w:bidi="fr-FR"/>
        </w:rPr>
        <w:t>. Des affiches ont été posées dans les rues du territoire continental du Portugal et dans les transports publics de la région de Lisbonne, et un bandeau de campagne a été affiché sur les sites Web des services publics.</w:t>
      </w:r>
    </w:p>
    <w:p w14:paraId="04CDF54C" w14:textId="77777777" w:rsidR="00DA41D5" w:rsidRPr="002E4298" w:rsidRDefault="00DA41D5" w:rsidP="00DA41D5">
      <w:pPr>
        <w:pStyle w:val="SingleTxt"/>
        <w:spacing w:after="0" w:line="120" w:lineRule="exact"/>
        <w:rPr>
          <w:sz w:val="10"/>
          <w:lang w:val="fr-FR" w:bidi="fr-FR"/>
        </w:rPr>
      </w:pPr>
    </w:p>
    <w:p w14:paraId="15D94A94" w14:textId="6C482472" w:rsidR="00BB0956" w:rsidRPr="002E4298" w:rsidRDefault="00BB0956" w:rsidP="00DA41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2E4298">
        <w:rPr>
          <w:lang w:val="fr-FR" w:bidi="fr-FR"/>
        </w:rPr>
        <w:lastRenderedPageBreak/>
        <w:tab/>
      </w:r>
      <w:r w:rsidRPr="002E4298">
        <w:rPr>
          <w:lang w:val="fr-FR" w:bidi="fr-FR"/>
        </w:rPr>
        <w:tab/>
        <w:t>Égalité entre les femmes et les hommes sur le marché du travail</w:t>
      </w:r>
    </w:p>
    <w:p w14:paraId="26AB2054" w14:textId="0E03F42F" w:rsidR="00DA41D5" w:rsidRPr="002E4298" w:rsidRDefault="00DA41D5" w:rsidP="00DA41D5">
      <w:pPr>
        <w:pStyle w:val="SingleTxt"/>
        <w:keepNext/>
        <w:spacing w:after="0" w:line="120" w:lineRule="exact"/>
        <w:rPr>
          <w:sz w:val="10"/>
          <w:lang w:val="fr-FR" w:bidi="fr-FR"/>
        </w:rPr>
      </w:pPr>
    </w:p>
    <w:p w14:paraId="4C0EBBF9" w14:textId="3C0EE423" w:rsidR="00BB0956" w:rsidRPr="002E4298" w:rsidRDefault="00BB0956" w:rsidP="00A11C35">
      <w:pPr>
        <w:pStyle w:val="SingleTxt"/>
        <w:numPr>
          <w:ilvl w:val="0"/>
          <w:numId w:val="6"/>
        </w:numPr>
        <w:tabs>
          <w:tab w:val="num" w:pos="1769"/>
        </w:tabs>
        <w:spacing w:line="240" w:lineRule="exact"/>
        <w:rPr>
          <w:lang w:val="fr-FR" w:bidi="fr-FR"/>
        </w:rPr>
      </w:pPr>
      <w:r w:rsidRPr="002E4298">
        <w:rPr>
          <w:lang w:val="fr-FR" w:bidi="fr-FR"/>
        </w:rPr>
        <w:t xml:space="preserve">L’Institut pour l’emploi et la formation professionnelle (IEFP) promeut activement l’égalité des </w:t>
      </w:r>
      <w:r w:rsidR="002E4298" w:rsidRPr="002E4298">
        <w:rPr>
          <w:lang w:val="fr-FR" w:bidi="fr-FR"/>
        </w:rPr>
        <w:t>genres dans</w:t>
      </w:r>
      <w:r w:rsidRPr="002E4298">
        <w:rPr>
          <w:lang w:val="fr-FR" w:bidi="fr-FR"/>
        </w:rPr>
        <w:t xml:space="preserve"> tous ses domaines de compétence. Les travailleurs et les demandeurs d’emploi ont droit à l’égalité des chances et de traitement en ce qui concerne l’accès à l’emploi et à la formation.</w:t>
      </w:r>
    </w:p>
    <w:p w14:paraId="6C4E1FBD" w14:textId="2D5EF1AD" w:rsidR="00BB0956" w:rsidRPr="002E4298" w:rsidRDefault="00BB0956" w:rsidP="00A11C35">
      <w:pPr>
        <w:pStyle w:val="SingleTxt"/>
        <w:numPr>
          <w:ilvl w:val="0"/>
          <w:numId w:val="6"/>
        </w:numPr>
        <w:tabs>
          <w:tab w:val="num" w:pos="1769"/>
        </w:tabs>
        <w:spacing w:line="240" w:lineRule="exact"/>
        <w:rPr>
          <w:lang w:val="fr-FR" w:bidi="fr-FR"/>
        </w:rPr>
      </w:pPr>
      <w:r w:rsidRPr="002E4298">
        <w:rPr>
          <w:lang w:val="fr-FR" w:bidi="fr-FR"/>
        </w:rPr>
        <w:t>En matière d’accès à l’emploi, les offres d’emploi et la sélection des candidats ne peuvent comporter aucune exigence, restriction ou préférence fondée sur le sexe ou le genre. Au niveau du Service public pour l’emploi, 55,7 % des chômeurs inscrits (à la fin du mois) en décembre 2018 étaient des femmes. Par conséquent, l’éventail de mesures proposées pour l’emploi, la formation professionnelle et la réinsertion vise majoritairement les femmes.</w:t>
      </w:r>
    </w:p>
    <w:p w14:paraId="2E6A3E7C" w14:textId="3CEBDD36" w:rsidR="00511561" w:rsidRPr="002E4298" w:rsidRDefault="00511561" w:rsidP="00511561">
      <w:pPr>
        <w:pStyle w:val="SingleTxt"/>
        <w:spacing w:after="0" w:line="120" w:lineRule="exact"/>
        <w:rPr>
          <w:sz w:val="10"/>
          <w:lang w:val="fr-FR" w:bidi="fr-FR"/>
        </w:rPr>
      </w:pPr>
    </w:p>
    <w:tbl>
      <w:tblPr>
        <w:tblW w:w="7320" w:type="dxa"/>
        <w:tblInd w:w="1260" w:type="dxa"/>
        <w:tblLayout w:type="fixed"/>
        <w:tblCellMar>
          <w:left w:w="0" w:type="dxa"/>
          <w:right w:w="0" w:type="dxa"/>
        </w:tblCellMar>
        <w:tblLook w:val="04A0" w:firstRow="1" w:lastRow="0" w:firstColumn="1" w:lastColumn="0" w:noHBand="0" w:noVBand="1"/>
      </w:tblPr>
      <w:tblGrid>
        <w:gridCol w:w="2440"/>
        <w:gridCol w:w="2440"/>
        <w:gridCol w:w="2440"/>
      </w:tblGrid>
      <w:tr w:rsidR="00511561" w:rsidRPr="002E4298" w14:paraId="55B8CB5F" w14:textId="77777777" w:rsidTr="00511561">
        <w:trPr>
          <w:tblHeader/>
        </w:trPr>
        <w:tc>
          <w:tcPr>
            <w:tcW w:w="2440" w:type="dxa"/>
            <w:tcBorders>
              <w:top w:val="single" w:sz="4" w:space="0" w:color="auto"/>
              <w:bottom w:val="single" w:sz="12" w:space="0" w:color="auto"/>
            </w:tcBorders>
            <w:shd w:val="clear" w:color="auto" w:fill="auto"/>
            <w:noWrap/>
            <w:vAlign w:val="bottom"/>
          </w:tcPr>
          <w:p w14:paraId="3656A950" w14:textId="5A4CE38F" w:rsidR="00511561" w:rsidRPr="002E4298" w:rsidRDefault="00511561" w:rsidP="00511561">
            <w:pPr>
              <w:suppressAutoHyphens/>
              <w:spacing w:before="81" w:after="81" w:line="160" w:lineRule="exact"/>
              <w:ind w:right="40"/>
              <w:rPr>
                <w:i/>
                <w:sz w:val="14"/>
                <w:lang w:val="fr-FR"/>
              </w:rPr>
            </w:pPr>
            <w:r w:rsidRPr="002E4298">
              <w:rPr>
                <w:i/>
                <w:sz w:val="14"/>
                <w:lang w:val="fr-FR"/>
              </w:rPr>
              <w:t>Personnes au chômage en 2018</w:t>
            </w:r>
          </w:p>
        </w:tc>
        <w:tc>
          <w:tcPr>
            <w:tcW w:w="2440" w:type="dxa"/>
            <w:tcBorders>
              <w:top w:val="single" w:sz="4" w:space="0" w:color="auto"/>
              <w:bottom w:val="single" w:sz="12" w:space="0" w:color="auto"/>
            </w:tcBorders>
            <w:shd w:val="clear" w:color="auto" w:fill="auto"/>
            <w:noWrap/>
            <w:vAlign w:val="bottom"/>
          </w:tcPr>
          <w:p w14:paraId="35AA2533" w14:textId="77777777" w:rsidR="00511561" w:rsidRPr="002E4298" w:rsidRDefault="00511561" w:rsidP="00511561">
            <w:pPr>
              <w:suppressAutoHyphens/>
              <w:spacing w:before="81" w:after="81" w:line="160" w:lineRule="exact"/>
              <w:ind w:right="43"/>
              <w:jc w:val="right"/>
              <w:rPr>
                <w:i/>
                <w:sz w:val="14"/>
                <w:lang w:val="fr-FR"/>
              </w:rPr>
            </w:pPr>
          </w:p>
        </w:tc>
        <w:tc>
          <w:tcPr>
            <w:tcW w:w="2440" w:type="dxa"/>
            <w:tcBorders>
              <w:top w:val="single" w:sz="4" w:space="0" w:color="auto"/>
              <w:bottom w:val="single" w:sz="12" w:space="0" w:color="auto"/>
            </w:tcBorders>
            <w:shd w:val="clear" w:color="auto" w:fill="auto"/>
            <w:noWrap/>
            <w:vAlign w:val="bottom"/>
          </w:tcPr>
          <w:p w14:paraId="5B61E5C6" w14:textId="77777777" w:rsidR="00511561" w:rsidRPr="002E4298" w:rsidRDefault="00511561" w:rsidP="00511561">
            <w:pPr>
              <w:suppressAutoHyphens/>
              <w:spacing w:before="81" w:after="81" w:line="160" w:lineRule="exact"/>
              <w:ind w:right="43"/>
              <w:jc w:val="right"/>
              <w:rPr>
                <w:i/>
                <w:sz w:val="14"/>
                <w:lang w:val="fr-FR"/>
              </w:rPr>
            </w:pPr>
          </w:p>
        </w:tc>
      </w:tr>
      <w:tr w:rsidR="00511561" w:rsidRPr="002E4298" w14:paraId="32DF3E96" w14:textId="77777777" w:rsidTr="00511561">
        <w:trPr>
          <w:trHeight w:hRule="exact" w:val="115"/>
          <w:tblHeader/>
        </w:trPr>
        <w:tc>
          <w:tcPr>
            <w:tcW w:w="2440" w:type="dxa"/>
            <w:tcBorders>
              <w:top w:val="single" w:sz="12" w:space="0" w:color="auto"/>
            </w:tcBorders>
            <w:shd w:val="clear" w:color="auto" w:fill="auto"/>
            <w:noWrap/>
            <w:vAlign w:val="bottom"/>
          </w:tcPr>
          <w:p w14:paraId="14E97945" w14:textId="77777777" w:rsidR="00511561" w:rsidRPr="002E4298" w:rsidRDefault="00511561" w:rsidP="00511561">
            <w:pPr>
              <w:suppressAutoHyphens/>
              <w:spacing w:before="40" w:after="40" w:line="210" w:lineRule="exact"/>
              <w:ind w:right="40"/>
              <w:rPr>
                <w:sz w:val="17"/>
                <w:lang w:val="fr-FR"/>
              </w:rPr>
            </w:pPr>
          </w:p>
        </w:tc>
        <w:tc>
          <w:tcPr>
            <w:tcW w:w="2440" w:type="dxa"/>
            <w:tcBorders>
              <w:top w:val="single" w:sz="12" w:space="0" w:color="auto"/>
            </w:tcBorders>
            <w:shd w:val="clear" w:color="auto" w:fill="auto"/>
            <w:noWrap/>
            <w:vAlign w:val="bottom"/>
          </w:tcPr>
          <w:p w14:paraId="5BDDF6ED" w14:textId="77777777" w:rsidR="00511561" w:rsidRPr="002E4298" w:rsidRDefault="00511561" w:rsidP="00511561">
            <w:pPr>
              <w:suppressAutoHyphens/>
              <w:spacing w:before="40" w:after="40" w:line="210" w:lineRule="exact"/>
              <w:ind w:right="43"/>
              <w:jc w:val="right"/>
              <w:rPr>
                <w:sz w:val="17"/>
                <w:lang w:val="fr-FR"/>
              </w:rPr>
            </w:pPr>
          </w:p>
        </w:tc>
        <w:tc>
          <w:tcPr>
            <w:tcW w:w="2440" w:type="dxa"/>
            <w:tcBorders>
              <w:top w:val="single" w:sz="12" w:space="0" w:color="auto"/>
            </w:tcBorders>
            <w:shd w:val="clear" w:color="auto" w:fill="auto"/>
            <w:noWrap/>
            <w:vAlign w:val="bottom"/>
          </w:tcPr>
          <w:p w14:paraId="6D56B80A" w14:textId="77777777" w:rsidR="00511561" w:rsidRPr="002E4298" w:rsidRDefault="00511561" w:rsidP="00511561">
            <w:pPr>
              <w:suppressAutoHyphens/>
              <w:spacing w:before="40" w:after="40" w:line="210" w:lineRule="exact"/>
              <w:ind w:right="43"/>
              <w:jc w:val="right"/>
              <w:rPr>
                <w:sz w:val="17"/>
                <w:lang w:val="fr-FR"/>
              </w:rPr>
            </w:pPr>
          </w:p>
        </w:tc>
      </w:tr>
      <w:tr w:rsidR="00BB0956" w:rsidRPr="002E4298" w14:paraId="5449D653" w14:textId="77777777" w:rsidTr="00511561">
        <w:tc>
          <w:tcPr>
            <w:tcW w:w="2440" w:type="dxa"/>
            <w:shd w:val="clear" w:color="auto" w:fill="auto"/>
            <w:noWrap/>
            <w:vAlign w:val="bottom"/>
            <w:hideMark/>
          </w:tcPr>
          <w:p w14:paraId="21CCE3A1" w14:textId="77777777" w:rsidR="00BB0956" w:rsidRPr="002E4298" w:rsidRDefault="00BB0956" w:rsidP="00511561">
            <w:pPr>
              <w:tabs>
                <w:tab w:val="left" w:pos="288"/>
                <w:tab w:val="left" w:pos="576"/>
                <w:tab w:val="left" w:pos="864"/>
                <w:tab w:val="left" w:pos="1152"/>
              </w:tabs>
              <w:suppressAutoHyphens/>
              <w:spacing w:before="40" w:after="40" w:line="210" w:lineRule="exact"/>
              <w:ind w:right="40"/>
              <w:rPr>
                <w:sz w:val="17"/>
                <w:lang w:val="fr-FR"/>
              </w:rPr>
            </w:pPr>
            <w:r w:rsidRPr="002E4298">
              <w:rPr>
                <w:sz w:val="17"/>
                <w:lang w:val="fr-FR"/>
              </w:rPr>
              <w:t>Hommes</w:t>
            </w:r>
          </w:p>
        </w:tc>
        <w:tc>
          <w:tcPr>
            <w:tcW w:w="2440" w:type="dxa"/>
            <w:shd w:val="clear" w:color="auto" w:fill="auto"/>
            <w:noWrap/>
            <w:vAlign w:val="bottom"/>
            <w:hideMark/>
          </w:tcPr>
          <w:p w14:paraId="4C456A22" w14:textId="77777777" w:rsidR="00BB0956" w:rsidRPr="002E4298" w:rsidRDefault="00BB0956" w:rsidP="00511561">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150 357</w:t>
            </w:r>
          </w:p>
        </w:tc>
        <w:tc>
          <w:tcPr>
            <w:tcW w:w="2440" w:type="dxa"/>
            <w:shd w:val="clear" w:color="auto" w:fill="auto"/>
            <w:noWrap/>
            <w:vAlign w:val="bottom"/>
            <w:hideMark/>
          </w:tcPr>
          <w:p w14:paraId="1E05819B" w14:textId="77777777" w:rsidR="00BB0956" w:rsidRPr="002E4298" w:rsidRDefault="00BB0956" w:rsidP="00511561">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44,3 %</w:t>
            </w:r>
          </w:p>
        </w:tc>
      </w:tr>
      <w:tr w:rsidR="00BB0956" w:rsidRPr="002E4298" w14:paraId="338B4A9F" w14:textId="77777777" w:rsidTr="00511561">
        <w:tc>
          <w:tcPr>
            <w:tcW w:w="2440" w:type="dxa"/>
            <w:shd w:val="clear" w:color="auto" w:fill="auto"/>
            <w:noWrap/>
            <w:vAlign w:val="bottom"/>
            <w:hideMark/>
          </w:tcPr>
          <w:p w14:paraId="2FAFFEC7" w14:textId="77777777" w:rsidR="00BB0956" w:rsidRPr="002E4298" w:rsidRDefault="00BB0956" w:rsidP="00511561">
            <w:pPr>
              <w:tabs>
                <w:tab w:val="left" w:pos="288"/>
                <w:tab w:val="left" w:pos="576"/>
                <w:tab w:val="left" w:pos="864"/>
                <w:tab w:val="left" w:pos="1152"/>
              </w:tabs>
              <w:suppressAutoHyphens/>
              <w:spacing w:before="40" w:after="40" w:line="210" w:lineRule="exact"/>
              <w:ind w:right="40"/>
              <w:rPr>
                <w:sz w:val="17"/>
                <w:lang w:val="fr-FR"/>
              </w:rPr>
            </w:pPr>
            <w:r w:rsidRPr="002E4298">
              <w:rPr>
                <w:sz w:val="17"/>
                <w:lang w:val="fr-FR"/>
              </w:rPr>
              <w:t>Femmes</w:t>
            </w:r>
          </w:p>
        </w:tc>
        <w:tc>
          <w:tcPr>
            <w:tcW w:w="2440" w:type="dxa"/>
            <w:shd w:val="clear" w:color="auto" w:fill="auto"/>
            <w:noWrap/>
            <w:vAlign w:val="bottom"/>
            <w:hideMark/>
          </w:tcPr>
          <w:p w14:paraId="0DCDDCDB" w14:textId="77777777" w:rsidR="00BB0956" w:rsidRPr="002E4298" w:rsidRDefault="00BB0956" w:rsidP="00511561">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188 678</w:t>
            </w:r>
          </w:p>
        </w:tc>
        <w:tc>
          <w:tcPr>
            <w:tcW w:w="2440" w:type="dxa"/>
            <w:shd w:val="clear" w:color="auto" w:fill="auto"/>
            <w:noWrap/>
            <w:vAlign w:val="bottom"/>
            <w:hideMark/>
          </w:tcPr>
          <w:p w14:paraId="2D9E78C1" w14:textId="77777777" w:rsidR="00BB0956" w:rsidRPr="002E4298" w:rsidRDefault="00BB0956" w:rsidP="00511561">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55,7 %</w:t>
            </w:r>
          </w:p>
        </w:tc>
      </w:tr>
      <w:tr w:rsidR="00BB0956" w:rsidRPr="002E4298" w14:paraId="325038C7" w14:textId="77777777" w:rsidTr="00511561">
        <w:tc>
          <w:tcPr>
            <w:tcW w:w="2440" w:type="dxa"/>
            <w:tcBorders>
              <w:bottom w:val="single" w:sz="12" w:space="0" w:color="auto"/>
            </w:tcBorders>
            <w:shd w:val="clear" w:color="auto" w:fill="auto"/>
            <w:noWrap/>
            <w:vAlign w:val="bottom"/>
          </w:tcPr>
          <w:p w14:paraId="01BA8CAF" w14:textId="77777777" w:rsidR="00BB0956" w:rsidRPr="002E4298" w:rsidRDefault="00BB0956" w:rsidP="00511561">
            <w:pPr>
              <w:tabs>
                <w:tab w:val="left" w:pos="288"/>
                <w:tab w:val="left" w:pos="576"/>
                <w:tab w:val="left" w:pos="864"/>
                <w:tab w:val="left" w:pos="1152"/>
              </w:tabs>
              <w:suppressAutoHyphens/>
              <w:spacing w:before="40" w:after="40" w:line="210" w:lineRule="exact"/>
              <w:ind w:right="40"/>
              <w:rPr>
                <w:sz w:val="17"/>
                <w:lang w:val="fr-FR"/>
              </w:rPr>
            </w:pPr>
            <w:r w:rsidRPr="002E4298">
              <w:rPr>
                <w:sz w:val="17"/>
                <w:lang w:val="fr-FR"/>
              </w:rPr>
              <w:t>Total</w:t>
            </w:r>
          </w:p>
        </w:tc>
        <w:tc>
          <w:tcPr>
            <w:tcW w:w="2440" w:type="dxa"/>
            <w:tcBorders>
              <w:bottom w:val="single" w:sz="12" w:space="0" w:color="auto"/>
            </w:tcBorders>
            <w:shd w:val="clear" w:color="auto" w:fill="auto"/>
            <w:vAlign w:val="bottom"/>
          </w:tcPr>
          <w:p w14:paraId="6CB3BDA9" w14:textId="77777777" w:rsidR="00BB0956" w:rsidRPr="002E4298" w:rsidRDefault="00BB0956" w:rsidP="00511561">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339 035</w:t>
            </w:r>
          </w:p>
        </w:tc>
        <w:tc>
          <w:tcPr>
            <w:tcW w:w="2440" w:type="dxa"/>
            <w:tcBorders>
              <w:bottom w:val="single" w:sz="12" w:space="0" w:color="auto"/>
            </w:tcBorders>
            <w:shd w:val="clear" w:color="auto" w:fill="auto"/>
            <w:vAlign w:val="bottom"/>
          </w:tcPr>
          <w:p w14:paraId="467FDD0E" w14:textId="77777777" w:rsidR="00BB0956" w:rsidRPr="002E4298" w:rsidRDefault="00BB0956" w:rsidP="00511561">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100 %</w:t>
            </w:r>
          </w:p>
        </w:tc>
      </w:tr>
    </w:tbl>
    <w:p w14:paraId="05442D8F" w14:textId="77777777" w:rsidR="00511561" w:rsidRPr="002E4298" w:rsidRDefault="00511561" w:rsidP="00511561">
      <w:pPr>
        <w:pStyle w:val="SingleTxt"/>
        <w:spacing w:after="0" w:line="120" w:lineRule="exact"/>
        <w:rPr>
          <w:iCs/>
          <w:sz w:val="10"/>
          <w:lang w:val="fr-FR" w:bidi="fr-FR"/>
        </w:rPr>
      </w:pPr>
    </w:p>
    <w:p w14:paraId="1315CBC7" w14:textId="1374A081" w:rsidR="00BB0956" w:rsidRPr="002E4298" w:rsidRDefault="00BB0956" w:rsidP="00B93FC1">
      <w:pPr>
        <w:pStyle w:val="FootnoteText"/>
        <w:tabs>
          <w:tab w:val="right" w:pos="1476"/>
          <w:tab w:val="left" w:pos="1548"/>
          <w:tab w:val="right" w:pos="1836"/>
          <w:tab w:val="left" w:pos="1908"/>
        </w:tabs>
        <w:ind w:left="1548" w:right="1267" w:hanging="288"/>
        <w:rPr>
          <w:lang w:val="fr-FR" w:bidi="fr-FR"/>
        </w:rPr>
      </w:pPr>
      <w:r w:rsidRPr="002E4298">
        <w:rPr>
          <w:i/>
          <w:lang w:val="fr-FR" w:bidi="fr-FR"/>
        </w:rPr>
        <w:t>Source</w:t>
      </w:r>
      <w:r w:rsidRPr="002E4298">
        <w:rPr>
          <w:iCs/>
          <w:lang w:val="fr-FR" w:bidi="fr-FR"/>
        </w:rPr>
        <w:t> :</w:t>
      </w:r>
      <w:r w:rsidRPr="002E4298">
        <w:rPr>
          <w:lang w:val="fr-FR" w:bidi="fr-FR"/>
        </w:rPr>
        <w:t xml:space="preserve"> IEFP, I.P.</w:t>
      </w:r>
    </w:p>
    <w:p w14:paraId="7C3E22A4" w14:textId="76C3ED1A" w:rsidR="00B93FC1" w:rsidRPr="002E4298" w:rsidRDefault="00B93FC1" w:rsidP="00B93FC1">
      <w:pPr>
        <w:pStyle w:val="SingleTxt"/>
        <w:spacing w:after="0" w:line="120" w:lineRule="exact"/>
        <w:rPr>
          <w:sz w:val="10"/>
          <w:lang w:val="fr-FR" w:bidi="fr-FR"/>
        </w:rPr>
      </w:pPr>
    </w:p>
    <w:p w14:paraId="556C04A4" w14:textId="2BFAEDB5" w:rsidR="00B93FC1" w:rsidRPr="002E4298" w:rsidRDefault="00B93FC1" w:rsidP="00B93FC1">
      <w:pPr>
        <w:pStyle w:val="SingleTxt"/>
        <w:spacing w:after="0" w:line="120" w:lineRule="exact"/>
        <w:rPr>
          <w:sz w:val="10"/>
          <w:lang w:val="fr-FR"/>
        </w:rPr>
      </w:pPr>
    </w:p>
    <w:p w14:paraId="463745F8" w14:textId="365E619B" w:rsidR="00BB0956" w:rsidRPr="002E4298" w:rsidRDefault="00BB0956" w:rsidP="00A11C35">
      <w:pPr>
        <w:pStyle w:val="SingleTxt"/>
        <w:numPr>
          <w:ilvl w:val="0"/>
          <w:numId w:val="6"/>
        </w:numPr>
        <w:tabs>
          <w:tab w:val="num" w:pos="1769"/>
        </w:tabs>
        <w:spacing w:line="240" w:lineRule="exact"/>
        <w:rPr>
          <w:lang w:val="fr-FR"/>
        </w:rPr>
      </w:pPr>
      <w:r w:rsidRPr="002E4298">
        <w:rPr>
          <w:lang w:val="fr-FR" w:bidi="fr-FR"/>
        </w:rPr>
        <w:t>En ce qui concerne les mesures actives pour l’emploi, il convient de noter que les femmes sont les principales bénéficiaires des mesures les plus importantes en matière d’emploi, telles que les « stages professionnels », l’« aide à l’embauche » et l’« allocation conditionnelle », bien que, comme précédemment mentionné, aucune de ces mesures ne privilégie ni n’accorde un accès prioritaire aux femmes.</w:t>
      </w:r>
    </w:p>
    <w:p w14:paraId="5184092B" w14:textId="3418DEB1" w:rsidR="00BB0956" w:rsidRPr="002E4298" w:rsidRDefault="00BB0956" w:rsidP="00A11C35">
      <w:pPr>
        <w:pStyle w:val="SingleTxt"/>
        <w:numPr>
          <w:ilvl w:val="0"/>
          <w:numId w:val="6"/>
        </w:numPr>
        <w:tabs>
          <w:tab w:val="num" w:pos="1769"/>
        </w:tabs>
        <w:spacing w:line="240" w:lineRule="exact"/>
        <w:rPr>
          <w:lang w:val="fr-FR"/>
        </w:rPr>
      </w:pPr>
      <w:r w:rsidRPr="002E4298">
        <w:rPr>
          <w:lang w:val="fr-FR" w:bidi="fr-FR"/>
        </w:rPr>
        <w:t>Concernant l’accès à la formation, ces dernières décennies, le Portugal a fait de grands efforts pour améliorer son capital humain et relever le niveau de qualification de la population par différentes approches, parmi lesquelles des politiques liées à l’éducation, à la formation et à l’enseignement supérieur, ainsi que différentes stratégies pour les enfants, les jeunes et les adultes, en particulier les femmes, visant à lutter contre les problèmes structurels qui ont une incidence sur la cohésion sociale, la croissance économique et la durabilité du pays.</w:t>
      </w:r>
    </w:p>
    <w:p w14:paraId="51609ACD" w14:textId="770105B0" w:rsidR="00BB0956" w:rsidRPr="002E4298" w:rsidRDefault="00BB0956" w:rsidP="00A11C35">
      <w:pPr>
        <w:pStyle w:val="SingleTxt"/>
        <w:numPr>
          <w:ilvl w:val="0"/>
          <w:numId w:val="6"/>
        </w:numPr>
        <w:tabs>
          <w:tab w:val="num" w:pos="1769"/>
        </w:tabs>
        <w:spacing w:line="240" w:lineRule="exact"/>
        <w:rPr>
          <w:lang w:val="fr-FR"/>
        </w:rPr>
      </w:pPr>
      <w:r w:rsidRPr="002E4298">
        <w:rPr>
          <w:lang w:val="fr-FR" w:bidi="fr-FR"/>
        </w:rPr>
        <w:t>Parallèlement, les changements technologiques et les transformations connexes des marchés du travail exigent le perfectionnement et la reconversion de la population en âge de travailler. Il est de plus en plus important de disposer d’une qualification adaptée au marché du travail, qu’elle soit académique ou professionnelle, pour s’adapter à une économie en mutation rapide et répondre à la demande de compétences de haut de niveau.</w:t>
      </w:r>
    </w:p>
    <w:p w14:paraId="021F7EB2" w14:textId="5158B67A" w:rsidR="00BB0956" w:rsidRPr="002E4298" w:rsidRDefault="00BB0956" w:rsidP="00A11C35">
      <w:pPr>
        <w:pStyle w:val="SingleTxt"/>
        <w:numPr>
          <w:ilvl w:val="0"/>
          <w:numId w:val="6"/>
        </w:numPr>
        <w:tabs>
          <w:tab w:val="num" w:pos="1769"/>
        </w:tabs>
        <w:spacing w:line="240" w:lineRule="exact"/>
        <w:rPr>
          <w:lang w:val="fr-FR"/>
        </w:rPr>
      </w:pPr>
      <w:r w:rsidRPr="002E4298">
        <w:rPr>
          <w:lang w:val="fr-FR" w:bidi="fr-FR"/>
        </w:rPr>
        <w:t>Dès lors, l’augmentation du niveau de compétences de la population adulte, y</w:t>
      </w:r>
      <w:r w:rsidR="002E4298" w:rsidRPr="002E4298">
        <w:rPr>
          <w:lang w:val="fr-FR" w:bidi="fr-FR"/>
        </w:rPr>
        <w:t> </w:t>
      </w:r>
      <w:r w:rsidRPr="002E4298">
        <w:rPr>
          <w:lang w:val="fr-FR" w:bidi="fr-FR"/>
        </w:rPr>
        <w:t>compris des compétences numériques, par le renforcement de la formation dans le cadre des programmes de qualification pour adultes et l’élargissement de sa couverture, constitue une priorité stratégique clé pour les autorités portugaises.</w:t>
      </w:r>
    </w:p>
    <w:p w14:paraId="2AA4C337" w14:textId="0DE1E349" w:rsidR="002E4298" w:rsidRPr="002E4298" w:rsidRDefault="002E4298" w:rsidP="002E4298">
      <w:pPr>
        <w:pStyle w:val="SingleTxt"/>
        <w:tabs>
          <w:tab w:val="clear" w:pos="1742"/>
          <w:tab w:val="num" w:pos="1769"/>
        </w:tabs>
        <w:spacing w:after="0" w:line="120" w:lineRule="exact"/>
        <w:rPr>
          <w:sz w:val="10"/>
          <w:lang w:val="fr-FR" w:bidi="fr-FR"/>
        </w:rPr>
      </w:pPr>
    </w:p>
    <w:p w14:paraId="3CECC9A1" w14:textId="081C4E00" w:rsidR="00B93FC1" w:rsidRPr="002E4298" w:rsidRDefault="00B93FC1" w:rsidP="00B93FC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E4298">
        <w:rPr>
          <w:lang w:val="fr-FR"/>
        </w:rPr>
        <w:tab/>
      </w:r>
      <w:r w:rsidRPr="002E4298">
        <w:rPr>
          <w:lang w:val="fr-FR"/>
        </w:rPr>
        <w:tab/>
        <w:t>Données cumulées, octobre 2018</w:t>
      </w:r>
    </w:p>
    <w:p w14:paraId="0D4C2C70" w14:textId="40E91B02" w:rsidR="00BB0956" w:rsidRPr="002E4298" w:rsidRDefault="00BB0956" w:rsidP="00B93FC1">
      <w:pPr>
        <w:pStyle w:val="SingleTxt"/>
        <w:spacing w:after="0" w:line="120" w:lineRule="exact"/>
        <w:rPr>
          <w:sz w:val="10"/>
          <w:lang w:val="fr-FR"/>
        </w:rPr>
      </w:pPr>
    </w:p>
    <w:p w14:paraId="49BE00BB" w14:textId="77777777" w:rsidR="00B93FC1" w:rsidRPr="002E4298" w:rsidRDefault="00B93FC1" w:rsidP="00BB0956">
      <w:pPr>
        <w:pStyle w:val="SingleTxt"/>
        <w:spacing w:after="0" w:line="120" w:lineRule="exact"/>
        <w:rPr>
          <w:sz w:val="10"/>
          <w:lang w:val="fr-FR"/>
        </w:rPr>
      </w:pPr>
    </w:p>
    <w:tbl>
      <w:tblPr>
        <w:tblW w:w="7320" w:type="dxa"/>
        <w:tblInd w:w="1260" w:type="dxa"/>
        <w:tblLayout w:type="fixed"/>
        <w:tblCellMar>
          <w:left w:w="0" w:type="dxa"/>
          <w:right w:w="0" w:type="dxa"/>
        </w:tblCellMar>
        <w:tblLook w:val="04A0" w:firstRow="1" w:lastRow="0" w:firstColumn="1" w:lastColumn="0" w:noHBand="0" w:noVBand="1"/>
      </w:tblPr>
      <w:tblGrid>
        <w:gridCol w:w="3418"/>
        <w:gridCol w:w="1304"/>
        <w:gridCol w:w="1299"/>
        <w:gridCol w:w="1299"/>
      </w:tblGrid>
      <w:tr w:rsidR="00B93FC1" w:rsidRPr="002E4298" w14:paraId="25320B13" w14:textId="77777777" w:rsidTr="0055179F">
        <w:trPr>
          <w:tblHeader/>
        </w:trPr>
        <w:tc>
          <w:tcPr>
            <w:tcW w:w="3420" w:type="dxa"/>
            <w:tcBorders>
              <w:top w:val="single" w:sz="4" w:space="0" w:color="auto"/>
            </w:tcBorders>
            <w:shd w:val="clear" w:color="auto" w:fill="auto"/>
            <w:vAlign w:val="bottom"/>
          </w:tcPr>
          <w:p w14:paraId="6F324B0C" w14:textId="23F01D92" w:rsidR="00B93FC1" w:rsidRPr="002E4298" w:rsidRDefault="00B93FC1" w:rsidP="00B93FC1">
            <w:pPr>
              <w:suppressAutoHyphens/>
              <w:spacing w:before="81" w:after="81" w:line="160" w:lineRule="exact"/>
              <w:ind w:right="40"/>
              <w:rPr>
                <w:i/>
                <w:sz w:val="14"/>
                <w:lang w:val="fr-FR"/>
              </w:rPr>
            </w:pPr>
          </w:p>
        </w:tc>
        <w:tc>
          <w:tcPr>
            <w:tcW w:w="1305" w:type="dxa"/>
            <w:tcBorders>
              <w:top w:val="single" w:sz="4" w:space="0" w:color="auto"/>
            </w:tcBorders>
            <w:shd w:val="clear" w:color="auto" w:fill="auto"/>
            <w:vAlign w:val="bottom"/>
          </w:tcPr>
          <w:p w14:paraId="77760663" w14:textId="77777777" w:rsidR="00B93FC1" w:rsidRPr="002E4298" w:rsidRDefault="00B93FC1" w:rsidP="00B93FC1">
            <w:pPr>
              <w:suppressAutoHyphens/>
              <w:spacing w:before="81" w:after="81" w:line="160" w:lineRule="exact"/>
              <w:ind w:right="43"/>
              <w:jc w:val="right"/>
              <w:rPr>
                <w:b/>
                <w:bCs/>
                <w:i/>
                <w:sz w:val="14"/>
                <w:lang w:val="fr-FR"/>
              </w:rPr>
            </w:pPr>
          </w:p>
        </w:tc>
        <w:tc>
          <w:tcPr>
            <w:tcW w:w="2595" w:type="dxa"/>
            <w:gridSpan w:val="2"/>
            <w:tcBorders>
              <w:top w:val="single" w:sz="4" w:space="0" w:color="auto"/>
              <w:bottom w:val="single" w:sz="4" w:space="0" w:color="auto"/>
            </w:tcBorders>
            <w:shd w:val="clear" w:color="auto" w:fill="auto"/>
            <w:vAlign w:val="bottom"/>
          </w:tcPr>
          <w:p w14:paraId="7F88264B" w14:textId="42D3BB9D" w:rsidR="00B93FC1" w:rsidRPr="002E4298" w:rsidRDefault="00B93FC1" w:rsidP="00B93FC1">
            <w:pPr>
              <w:suppressAutoHyphens/>
              <w:spacing w:before="81" w:after="81" w:line="160" w:lineRule="exact"/>
              <w:ind w:right="43"/>
              <w:jc w:val="center"/>
              <w:rPr>
                <w:i/>
                <w:sz w:val="14"/>
                <w:lang w:val="fr-FR"/>
              </w:rPr>
            </w:pPr>
            <w:r w:rsidRPr="002E4298">
              <w:rPr>
                <w:i/>
                <w:sz w:val="14"/>
                <w:lang w:val="fr-FR"/>
              </w:rPr>
              <w:t>Genre</w:t>
            </w:r>
          </w:p>
        </w:tc>
      </w:tr>
      <w:tr w:rsidR="00B93FC1" w:rsidRPr="002E4298" w14:paraId="2810C546" w14:textId="77777777" w:rsidTr="00B91C4F">
        <w:trPr>
          <w:tblHeader/>
        </w:trPr>
        <w:tc>
          <w:tcPr>
            <w:tcW w:w="3420" w:type="dxa"/>
            <w:tcBorders>
              <w:bottom w:val="single" w:sz="12" w:space="0" w:color="auto"/>
            </w:tcBorders>
            <w:shd w:val="clear" w:color="auto" w:fill="auto"/>
            <w:vAlign w:val="bottom"/>
          </w:tcPr>
          <w:p w14:paraId="786F3309" w14:textId="234B28CB" w:rsidR="00B93FC1" w:rsidRPr="002E4298" w:rsidRDefault="00B93FC1" w:rsidP="00B93FC1">
            <w:pPr>
              <w:suppressAutoHyphens/>
              <w:spacing w:before="81" w:after="81" w:line="160" w:lineRule="exact"/>
              <w:ind w:right="40"/>
              <w:rPr>
                <w:i/>
                <w:sz w:val="14"/>
                <w:lang w:val="fr-FR"/>
              </w:rPr>
            </w:pPr>
            <w:r w:rsidRPr="002E4298">
              <w:rPr>
                <w:i/>
                <w:sz w:val="14"/>
                <w:lang w:val="fr-FR"/>
              </w:rPr>
              <w:t>Domaine d’action</w:t>
            </w:r>
          </w:p>
        </w:tc>
        <w:tc>
          <w:tcPr>
            <w:tcW w:w="1300" w:type="dxa"/>
            <w:tcBorders>
              <w:bottom w:val="single" w:sz="12" w:space="0" w:color="auto"/>
            </w:tcBorders>
            <w:shd w:val="clear" w:color="auto" w:fill="auto"/>
            <w:vAlign w:val="bottom"/>
          </w:tcPr>
          <w:p w14:paraId="5D05D0BC" w14:textId="1DCE668A" w:rsidR="00B93FC1" w:rsidRPr="002E4298" w:rsidRDefault="00B93FC1" w:rsidP="00DF1766">
            <w:pPr>
              <w:suppressAutoHyphens/>
              <w:spacing w:before="81" w:after="81" w:line="160" w:lineRule="exact"/>
              <w:ind w:right="72"/>
              <w:jc w:val="right"/>
              <w:rPr>
                <w:b/>
                <w:bCs/>
                <w:i/>
                <w:sz w:val="14"/>
                <w:lang w:val="fr-FR"/>
              </w:rPr>
            </w:pPr>
            <w:r w:rsidRPr="002E4298">
              <w:rPr>
                <w:b/>
                <w:bCs/>
                <w:i/>
                <w:sz w:val="14"/>
                <w:lang w:val="fr-FR"/>
              </w:rPr>
              <w:t>Total</w:t>
            </w:r>
          </w:p>
        </w:tc>
        <w:tc>
          <w:tcPr>
            <w:tcW w:w="1300" w:type="dxa"/>
            <w:tcBorders>
              <w:top w:val="single" w:sz="4" w:space="0" w:color="auto"/>
              <w:bottom w:val="single" w:sz="12" w:space="0" w:color="auto"/>
            </w:tcBorders>
            <w:shd w:val="clear" w:color="auto" w:fill="auto"/>
            <w:vAlign w:val="bottom"/>
          </w:tcPr>
          <w:p w14:paraId="4325AEDD" w14:textId="4CDE55F4" w:rsidR="00B93FC1" w:rsidRPr="002E4298" w:rsidRDefault="00B93FC1" w:rsidP="00B93FC1">
            <w:pPr>
              <w:suppressAutoHyphens/>
              <w:spacing w:before="81" w:after="81" w:line="160" w:lineRule="exact"/>
              <w:ind w:right="43"/>
              <w:jc w:val="right"/>
              <w:rPr>
                <w:i/>
                <w:sz w:val="14"/>
                <w:lang w:val="fr-FR"/>
              </w:rPr>
            </w:pPr>
            <w:r w:rsidRPr="002E4298">
              <w:rPr>
                <w:i/>
                <w:sz w:val="14"/>
                <w:lang w:val="fr-FR"/>
              </w:rPr>
              <w:t>Hommes</w:t>
            </w:r>
          </w:p>
        </w:tc>
        <w:tc>
          <w:tcPr>
            <w:tcW w:w="1300" w:type="dxa"/>
            <w:tcBorders>
              <w:top w:val="single" w:sz="4" w:space="0" w:color="auto"/>
              <w:bottom w:val="single" w:sz="12" w:space="0" w:color="auto"/>
            </w:tcBorders>
            <w:shd w:val="clear" w:color="auto" w:fill="auto"/>
            <w:vAlign w:val="bottom"/>
          </w:tcPr>
          <w:p w14:paraId="17B223B6" w14:textId="08943CCC" w:rsidR="00B93FC1" w:rsidRPr="002E4298" w:rsidRDefault="00B93FC1" w:rsidP="00B93FC1">
            <w:pPr>
              <w:suppressAutoHyphens/>
              <w:spacing w:before="81" w:after="81" w:line="160" w:lineRule="exact"/>
              <w:ind w:right="43"/>
              <w:jc w:val="right"/>
              <w:rPr>
                <w:i/>
                <w:sz w:val="14"/>
                <w:lang w:val="fr-FR"/>
              </w:rPr>
            </w:pPr>
            <w:r w:rsidRPr="002E4298">
              <w:rPr>
                <w:i/>
                <w:sz w:val="14"/>
                <w:lang w:val="fr-FR"/>
              </w:rPr>
              <w:t>Femmes</w:t>
            </w:r>
          </w:p>
        </w:tc>
      </w:tr>
      <w:tr w:rsidR="00B93FC1" w:rsidRPr="002E4298" w14:paraId="724891F0" w14:textId="77777777" w:rsidTr="00B91C4F">
        <w:trPr>
          <w:trHeight w:hRule="exact" w:val="115"/>
          <w:tblHeader/>
        </w:trPr>
        <w:tc>
          <w:tcPr>
            <w:tcW w:w="3420" w:type="dxa"/>
            <w:tcBorders>
              <w:top w:val="single" w:sz="12" w:space="0" w:color="auto"/>
            </w:tcBorders>
            <w:shd w:val="clear" w:color="auto" w:fill="auto"/>
            <w:vAlign w:val="bottom"/>
          </w:tcPr>
          <w:p w14:paraId="24AFA68A" w14:textId="77777777" w:rsidR="00B93FC1" w:rsidRPr="002E4298" w:rsidRDefault="00B93FC1" w:rsidP="00B93FC1">
            <w:pPr>
              <w:suppressAutoHyphens/>
              <w:spacing w:before="40" w:after="40" w:line="210" w:lineRule="exact"/>
              <w:ind w:right="40"/>
              <w:rPr>
                <w:sz w:val="17"/>
                <w:lang w:val="fr-FR"/>
              </w:rPr>
            </w:pPr>
          </w:p>
        </w:tc>
        <w:tc>
          <w:tcPr>
            <w:tcW w:w="1300" w:type="dxa"/>
            <w:tcBorders>
              <w:top w:val="single" w:sz="12" w:space="0" w:color="auto"/>
            </w:tcBorders>
            <w:shd w:val="clear" w:color="auto" w:fill="auto"/>
            <w:vAlign w:val="bottom"/>
          </w:tcPr>
          <w:p w14:paraId="0194C617" w14:textId="77777777" w:rsidR="00B93FC1" w:rsidRPr="002E4298" w:rsidRDefault="00B93FC1" w:rsidP="00DF1766">
            <w:pPr>
              <w:suppressAutoHyphens/>
              <w:spacing w:before="40" w:after="40" w:line="210" w:lineRule="exact"/>
              <w:ind w:right="72"/>
              <w:jc w:val="right"/>
              <w:rPr>
                <w:b/>
                <w:bCs/>
                <w:sz w:val="17"/>
                <w:lang w:val="fr-FR"/>
              </w:rPr>
            </w:pPr>
          </w:p>
        </w:tc>
        <w:tc>
          <w:tcPr>
            <w:tcW w:w="1300" w:type="dxa"/>
            <w:tcBorders>
              <w:top w:val="single" w:sz="12" w:space="0" w:color="auto"/>
            </w:tcBorders>
            <w:shd w:val="clear" w:color="auto" w:fill="auto"/>
            <w:vAlign w:val="bottom"/>
          </w:tcPr>
          <w:p w14:paraId="43801E8C" w14:textId="77777777" w:rsidR="00B93FC1" w:rsidRPr="002E4298" w:rsidRDefault="00B93FC1" w:rsidP="00B93FC1">
            <w:pPr>
              <w:suppressAutoHyphens/>
              <w:spacing w:before="40" w:after="40" w:line="210" w:lineRule="exact"/>
              <w:ind w:right="43"/>
              <w:jc w:val="right"/>
              <w:rPr>
                <w:sz w:val="17"/>
                <w:lang w:val="fr-FR"/>
              </w:rPr>
            </w:pPr>
          </w:p>
        </w:tc>
        <w:tc>
          <w:tcPr>
            <w:tcW w:w="1300" w:type="dxa"/>
            <w:tcBorders>
              <w:top w:val="single" w:sz="12" w:space="0" w:color="auto"/>
            </w:tcBorders>
            <w:shd w:val="clear" w:color="auto" w:fill="auto"/>
            <w:vAlign w:val="bottom"/>
          </w:tcPr>
          <w:p w14:paraId="2520B18F" w14:textId="77777777" w:rsidR="00B93FC1" w:rsidRPr="002E4298" w:rsidRDefault="00B93FC1" w:rsidP="00B93FC1">
            <w:pPr>
              <w:suppressAutoHyphens/>
              <w:spacing w:before="40" w:after="40" w:line="210" w:lineRule="exact"/>
              <w:ind w:right="43"/>
              <w:jc w:val="right"/>
              <w:rPr>
                <w:sz w:val="17"/>
                <w:lang w:val="fr-FR"/>
              </w:rPr>
            </w:pPr>
          </w:p>
        </w:tc>
      </w:tr>
      <w:tr w:rsidR="00B93FC1" w:rsidRPr="002E4298" w14:paraId="2B8562AD" w14:textId="77777777" w:rsidTr="00B91C4F">
        <w:tc>
          <w:tcPr>
            <w:tcW w:w="3420" w:type="dxa"/>
            <w:shd w:val="clear" w:color="auto" w:fill="auto"/>
            <w:noWrap/>
            <w:vAlign w:val="bottom"/>
            <w:hideMark/>
          </w:tcPr>
          <w:p w14:paraId="0BDFAD40" w14:textId="77777777" w:rsidR="00B93FC1" w:rsidRPr="002E4298" w:rsidRDefault="00B93FC1" w:rsidP="00B93FC1">
            <w:pPr>
              <w:tabs>
                <w:tab w:val="left" w:pos="288"/>
                <w:tab w:val="left" w:pos="576"/>
                <w:tab w:val="left" w:pos="864"/>
                <w:tab w:val="left" w:pos="1152"/>
              </w:tabs>
              <w:suppressAutoHyphens/>
              <w:spacing w:before="40" w:after="40" w:line="210" w:lineRule="exact"/>
              <w:ind w:right="40"/>
              <w:rPr>
                <w:sz w:val="17"/>
                <w:lang w:val="fr-FR"/>
              </w:rPr>
            </w:pPr>
            <w:r w:rsidRPr="002E4298">
              <w:rPr>
                <w:sz w:val="17"/>
                <w:lang w:val="fr-FR"/>
              </w:rPr>
              <w:t>Emploi</w:t>
            </w:r>
          </w:p>
        </w:tc>
        <w:tc>
          <w:tcPr>
            <w:tcW w:w="1300" w:type="dxa"/>
            <w:shd w:val="clear" w:color="auto" w:fill="auto"/>
            <w:vAlign w:val="bottom"/>
            <w:hideMark/>
          </w:tcPr>
          <w:p w14:paraId="1F061F75" w14:textId="77777777" w:rsidR="00B93FC1" w:rsidRPr="002E4298" w:rsidRDefault="00B93FC1" w:rsidP="00DF1766">
            <w:pPr>
              <w:tabs>
                <w:tab w:val="left" w:pos="288"/>
                <w:tab w:val="left" w:pos="576"/>
                <w:tab w:val="left" w:pos="864"/>
                <w:tab w:val="left" w:pos="1152"/>
              </w:tabs>
              <w:suppressAutoHyphens/>
              <w:spacing w:before="40" w:after="40" w:line="210" w:lineRule="exact"/>
              <w:ind w:right="72"/>
              <w:jc w:val="right"/>
              <w:rPr>
                <w:b/>
                <w:bCs/>
                <w:sz w:val="17"/>
                <w:lang w:val="fr-FR"/>
              </w:rPr>
            </w:pPr>
            <w:r w:rsidRPr="002E4298">
              <w:rPr>
                <w:b/>
                <w:bCs/>
                <w:sz w:val="17"/>
                <w:lang w:val="fr-FR"/>
              </w:rPr>
              <w:t>84 356</w:t>
            </w:r>
          </w:p>
        </w:tc>
        <w:tc>
          <w:tcPr>
            <w:tcW w:w="1300" w:type="dxa"/>
            <w:shd w:val="clear" w:color="auto" w:fill="auto"/>
            <w:vAlign w:val="bottom"/>
            <w:hideMark/>
          </w:tcPr>
          <w:p w14:paraId="48F18F9D" w14:textId="77777777" w:rsidR="00B93FC1" w:rsidRPr="002E4298" w:rsidRDefault="00B93FC1" w:rsidP="00B93FC1">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32 927</w:t>
            </w:r>
          </w:p>
        </w:tc>
        <w:tc>
          <w:tcPr>
            <w:tcW w:w="1300" w:type="dxa"/>
            <w:shd w:val="clear" w:color="auto" w:fill="auto"/>
            <w:vAlign w:val="bottom"/>
            <w:hideMark/>
          </w:tcPr>
          <w:p w14:paraId="761F5824" w14:textId="77777777" w:rsidR="00B93FC1" w:rsidRPr="002E4298" w:rsidRDefault="00B93FC1" w:rsidP="00B93FC1">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51 429</w:t>
            </w:r>
          </w:p>
        </w:tc>
      </w:tr>
      <w:tr w:rsidR="00B93FC1" w:rsidRPr="002E4298" w14:paraId="2AAAB93E" w14:textId="77777777" w:rsidTr="00B91C4F">
        <w:tc>
          <w:tcPr>
            <w:tcW w:w="3420" w:type="dxa"/>
            <w:shd w:val="clear" w:color="auto" w:fill="auto"/>
            <w:noWrap/>
            <w:vAlign w:val="bottom"/>
            <w:hideMark/>
          </w:tcPr>
          <w:p w14:paraId="37275B98" w14:textId="7C52671A" w:rsidR="00B93FC1" w:rsidRPr="002E4298" w:rsidRDefault="003B598D" w:rsidP="00B93FC1">
            <w:pPr>
              <w:tabs>
                <w:tab w:val="left" w:pos="288"/>
                <w:tab w:val="left" w:pos="576"/>
                <w:tab w:val="left" w:pos="864"/>
                <w:tab w:val="left" w:pos="1152"/>
              </w:tabs>
              <w:suppressAutoHyphens/>
              <w:spacing w:before="40" w:after="40" w:line="210" w:lineRule="exact"/>
              <w:ind w:right="40"/>
              <w:rPr>
                <w:sz w:val="17"/>
                <w:lang w:val="fr-FR"/>
              </w:rPr>
            </w:pPr>
            <w:r w:rsidRPr="002E4298">
              <w:rPr>
                <w:sz w:val="17"/>
                <w:lang w:val="fr-FR"/>
              </w:rPr>
              <w:tab/>
            </w:r>
            <w:r w:rsidR="00B93FC1" w:rsidRPr="002E4298">
              <w:rPr>
                <w:sz w:val="17"/>
                <w:lang w:val="fr-FR"/>
              </w:rPr>
              <w:t>Stages</w:t>
            </w:r>
          </w:p>
        </w:tc>
        <w:tc>
          <w:tcPr>
            <w:tcW w:w="1300" w:type="dxa"/>
            <w:shd w:val="clear" w:color="auto" w:fill="auto"/>
            <w:vAlign w:val="bottom"/>
            <w:hideMark/>
          </w:tcPr>
          <w:p w14:paraId="7BF19A66" w14:textId="77777777" w:rsidR="00B93FC1" w:rsidRPr="002E4298" w:rsidRDefault="00B93FC1" w:rsidP="00DF1766">
            <w:pPr>
              <w:tabs>
                <w:tab w:val="left" w:pos="288"/>
                <w:tab w:val="left" w:pos="576"/>
                <w:tab w:val="left" w:pos="864"/>
                <w:tab w:val="left" w:pos="1152"/>
              </w:tabs>
              <w:suppressAutoHyphens/>
              <w:spacing w:before="40" w:after="40" w:line="210" w:lineRule="exact"/>
              <w:ind w:right="72"/>
              <w:jc w:val="right"/>
              <w:rPr>
                <w:b/>
                <w:bCs/>
                <w:sz w:val="17"/>
                <w:lang w:val="fr-FR"/>
              </w:rPr>
            </w:pPr>
            <w:r w:rsidRPr="002E4298">
              <w:rPr>
                <w:b/>
                <w:bCs/>
                <w:sz w:val="17"/>
                <w:lang w:val="fr-FR"/>
              </w:rPr>
              <w:t>32 340</w:t>
            </w:r>
          </w:p>
        </w:tc>
        <w:tc>
          <w:tcPr>
            <w:tcW w:w="1300" w:type="dxa"/>
            <w:shd w:val="clear" w:color="auto" w:fill="auto"/>
            <w:vAlign w:val="bottom"/>
            <w:hideMark/>
          </w:tcPr>
          <w:p w14:paraId="7EBD467E" w14:textId="77777777" w:rsidR="00B93FC1" w:rsidRPr="002E4298" w:rsidRDefault="00B93FC1" w:rsidP="00B93FC1">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13 221</w:t>
            </w:r>
          </w:p>
        </w:tc>
        <w:tc>
          <w:tcPr>
            <w:tcW w:w="1300" w:type="dxa"/>
            <w:shd w:val="clear" w:color="auto" w:fill="auto"/>
            <w:vAlign w:val="bottom"/>
            <w:hideMark/>
          </w:tcPr>
          <w:p w14:paraId="3E465153" w14:textId="77777777" w:rsidR="00B93FC1" w:rsidRPr="002E4298" w:rsidRDefault="00B93FC1" w:rsidP="00B93FC1">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19 119</w:t>
            </w:r>
          </w:p>
        </w:tc>
      </w:tr>
      <w:tr w:rsidR="00B93FC1" w:rsidRPr="002E4298" w14:paraId="04B0273E" w14:textId="77777777" w:rsidTr="00B91C4F">
        <w:tc>
          <w:tcPr>
            <w:tcW w:w="3420" w:type="dxa"/>
            <w:shd w:val="clear" w:color="auto" w:fill="auto"/>
            <w:noWrap/>
            <w:vAlign w:val="bottom"/>
            <w:hideMark/>
          </w:tcPr>
          <w:p w14:paraId="72913C10" w14:textId="004A53E0" w:rsidR="00B93FC1" w:rsidRPr="002E4298" w:rsidRDefault="003B598D" w:rsidP="00B93FC1">
            <w:pPr>
              <w:tabs>
                <w:tab w:val="left" w:pos="288"/>
                <w:tab w:val="left" w:pos="576"/>
                <w:tab w:val="left" w:pos="864"/>
                <w:tab w:val="left" w:pos="1152"/>
              </w:tabs>
              <w:suppressAutoHyphens/>
              <w:spacing w:before="40" w:after="40" w:line="210" w:lineRule="exact"/>
              <w:ind w:right="40"/>
              <w:rPr>
                <w:sz w:val="17"/>
                <w:lang w:val="fr-FR"/>
              </w:rPr>
            </w:pPr>
            <w:r w:rsidRPr="002E4298">
              <w:rPr>
                <w:sz w:val="17"/>
                <w:lang w:val="fr-FR"/>
              </w:rPr>
              <w:tab/>
            </w:r>
            <w:r w:rsidR="00B93FC1" w:rsidRPr="002E4298">
              <w:rPr>
                <w:sz w:val="17"/>
                <w:lang w:val="fr-FR"/>
              </w:rPr>
              <w:t xml:space="preserve">Aide à l’embauche </w:t>
            </w:r>
          </w:p>
        </w:tc>
        <w:tc>
          <w:tcPr>
            <w:tcW w:w="1300" w:type="dxa"/>
            <w:shd w:val="clear" w:color="auto" w:fill="auto"/>
            <w:vAlign w:val="bottom"/>
            <w:hideMark/>
          </w:tcPr>
          <w:p w14:paraId="48BA2906" w14:textId="77777777" w:rsidR="00B93FC1" w:rsidRPr="002E4298" w:rsidRDefault="00B93FC1" w:rsidP="00DF1766">
            <w:pPr>
              <w:tabs>
                <w:tab w:val="left" w:pos="288"/>
                <w:tab w:val="left" w:pos="576"/>
                <w:tab w:val="left" w:pos="864"/>
                <w:tab w:val="left" w:pos="1152"/>
              </w:tabs>
              <w:suppressAutoHyphens/>
              <w:spacing w:before="40" w:after="40" w:line="210" w:lineRule="exact"/>
              <w:ind w:right="72"/>
              <w:jc w:val="right"/>
              <w:rPr>
                <w:b/>
                <w:bCs/>
                <w:sz w:val="17"/>
                <w:lang w:val="fr-FR"/>
              </w:rPr>
            </w:pPr>
            <w:r w:rsidRPr="002E4298">
              <w:rPr>
                <w:b/>
                <w:bCs/>
                <w:sz w:val="17"/>
                <w:lang w:val="fr-FR"/>
              </w:rPr>
              <w:t>13 072</w:t>
            </w:r>
          </w:p>
        </w:tc>
        <w:tc>
          <w:tcPr>
            <w:tcW w:w="1300" w:type="dxa"/>
            <w:shd w:val="clear" w:color="auto" w:fill="auto"/>
            <w:vAlign w:val="bottom"/>
            <w:hideMark/>
          </w:tcPr>
          <w:p w14:paraId="28C4A4B9" w14:textId="77777777" w:rsidR="00B93FC1" w:rsidRPr="002E4298" w:rsidRDefault="00B93FC1" w:rsidP="00B93FC1">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5 468</w:t>
            </w:r>
          </w:p>
        </w:tc>
        <w:tc>
          <w:tcPr>
            <w:tcW w:w="1300" w:type="dxa"/>
            <w:shd w:val="clear" w:color="auto" w:fill="auto"/>
            <w:vAlign w:val="bottom"/>
            <w:hideMark/>
          </w:tcPr>
          <w:p w14:paraId="1AF00302" w14:textId="77777777" w:rsidR="00B93FC1" w:rsidRPr="002E4298" w:rsidRDefault="00B93FC1" w:rsidP="00B93FC1">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7 604</w:t>
            </w:r>
          </w:p>
        </w:tc>
      </w:tr>
      <w:tr w:rsidR="00B93FC1" w:rsidRPr="002E4298" w14:paraId="7285F803" w14:textId="77777777" w:rsidTr="00B91C4F">
        <w:tc>
          <w:tcPr>
            <w:tcW w:w="3420" w:type="dxa"/>
            <w:shd w:val="clear" w:color="auto" w:fill="auto"/>
            <w:noWrap/>
            <w:vAlign w:val="bottom"/>
            <w:hideMark/>
          </w:tcPr>
          <w:p w14:paraId="74DE1BE2" w14:textId="3E805C91" w:rsidR="00B93FC1" w:rsidRPr="002E4298" w:rsidRDefault="003B598D" w:rsidP="00B93FC1">
            <w:pPr>
              <w:tabs>
                <w:tab w:val="left" w:pos="288"/>
                <w:tab w:val="left" w:pos="576"/>
                <w:tab w:val="left" w:pos="864"/>
                <w:tab w:val="left" w:pos="1152"/>
              </w:tabs>
              <w:suppressAutoHyphens/>
              <w:spacing w:before="40" w:after="40" w:line="210" w:lineRule="exact"/>
              <w:ind w:right="40"/>
              <w:rPr>
                <w:sz w:val="17"/>
                <w:lang w:val="fr-FR"/>
              </w:rPr>
            </w:pPr>
            <w:r w:rsidRPr="002E4298">
              <w:rPr>
                <w:sz w:val="17"/>
                <w:lang w:val="fr-FR"/>
              </w:rPr>
              <w:lastRenderedPageBreak/>
              <w:tab/>
            </w:r>
            <w:r w:rsidR="00B93FC1" w:rsidRPr="002E4298">
              <w:rPr>
                <w:sz w:val="17"/>
                <w:lang w:val="fr-FR"/>
              </w:rPr>
              <w:t>Création d’emplois et entreprises</w:t>
            </w:r>
          </w:p>
        </w:tc>
        <w:tc>
          <w:tcPr>
            <w:tcW w:w="1300" w:type="dxa"/>
            <w:shd w:val="clear" w:color="auto" w:fill="auto"/>
            <w:vAlign w:val="bottom"/>
            <w:hideMark/>
          </w:tcPr>
          <w:p w14:paraId="07E0AD4F" w14:textId="77777777" w:rsidR="00B93FC1" w:rsidRPr="002E4298" w:rsidRDefault="00B93FC1" w:rsidP="00DF1766">
            <w:pPr>
              <w:tabs>
                <w:tab w:val="left" w:pos="288"/>
                <w:tab w:val="left" w:pos="576"/>
                <w:tab w:val="left" w:pos="864"/>
                <w:tab w:val="left" w:pos="1152"/>
              </w:tabs>
              <w:suppressAutoHyphens/>
              <w:spacing w:before="40" w:after="40" w:line="210" w:lineRule="exact"/>
              <w:ind w:right="72"/>
              <w:jc w:val="right"/>
              <w:rPr>
                <w:b/>
                <w:bCs/>
                <w:sz w:val="17"/>
                <w:lang w:val="fr-FR"/>
              </w:rPr>
            </w:pPr>
            <w:r w:rsidRPr="002E4298">
              <w:rPr>
                <w:b/>
                <w:bCs/>
                <w:sz w:val="17"/>
                <w:lang w:val="fr-FR"/>
              </w:rPr>
              <w:t>2 745</w:t>
            </w:r>
          </w:p>
        </w:tc>
        <w:tc>
          <w:tcPr>
            <w:tcW w:w="1300" w:type="dxa"/>
            <w:shd w:val="clear" w:color="auto" w:fill="auto"/>
            <w:vAlign w:val="bottom"/>
            <w:hideMark/>
          </w:tcPr>
          <w:p w14:paraId="51655B15" w14:textId="77777777" w:rsidR="00B93FC1" w:rsidRPr="002E4298" w:rsidRDefault="00B93FC1" w:rsidP="00B93FC1">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1 563</w:t>
            </w:r>
          </w:p>
        </w:tc>
        <w:tc>
          <w:tcPr>
            <w:tcW w:w="1300" w:type="dxa"/>
            <w:shd w:val="clear" w:color="auto" w:fill="auto"/>
            <w:vAlign w:val="bottom"/>
            <w:hideMark/>
          </w:tcPr>
          <w:p w14:paraId="386414FD" w14:textId="77777777" w:rsidR="00B93FC1" w:rsidRPr="002E4298" w:rsidRDefault="00B93FC1" w:rsidP="00B93FC1">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1 182</w:t>
            </w:r>
          </w:p>
        </w:tc>
      </w:tr>
      <w:tr w:rsidR="00B93FC1" w:rsidRPr="002E4298" w14:paraId="71BF3F79" w14:textId="77777777" w:rsidTr="00B91C4F">
        <w:tc>
          <w:tcPr>
            <w:tcW w:w="3420" w:type="dxa"/>
            <w:shd w:val="clear" w:color="auto" w:fill="auto"/>
            <w:noWrap/>
            <w:vAlign w:val="bottom"/>
            <w:hideMark/>
          </w:tcPr>
          <w:p w14:paraId="18887D95" w14:textId="5D6BF640" w:rsidR="00B93FC1" w:rsidRPr="002E4298" w:rsidRDefault="003B598D" w:rsidP="003B598D">
            <w:pPr>
              <w:tabs>
                <w:tab w:val="left" w:pos="288"/>
                <w:tab w:val="left" w:pos="576"/>
                <w:tab w:val="left" w:pos="864"/>
                <w:tab w:val="left" w:pos="1152"/>
              </w:tabs>
              <w:suppressAutoHyphens/>
              <w:spacing w:before="40" w:after="40" w:line="210" w:lineRule="exact"/>
              <w:ind w:left="288" w:right="40" w:hanging="288"/>
              <w:rPr>
                <w:sz w:val="17"/>
                <w:lang w:val="fr-FR"/>
              </w:rPr>
            </w:pPr>
            <w:r w:rsidRPr="002E4298">
              <w:rPr>
                <w:sz w:val="17"/>
                <w:lang w:val="fr-FR"/>
              </w:rPr>
              <w:tab/>
            </w:r>
            <w:r w:rsidR="00B93FC1" w:rsidRPr="002E4298">
              <w:rPr>
                <w:sz w:val="17"/>
                <w:lang w:val="fr-FR"/>
              </w:rPr>
              <w:t>Allocation conditionnelle – programmes professionnels</w:t>
            </w:r>
          </w:p>
        </w:tc>
        <w:tc>
          <w:tcPr>
            <w:tcW w:w="1300" w:type="dxa"/>
            <w:shd w:val="clear" w:color="auto" w:fill="auto"/>
            <w:vAlign w:val="bottom"/>
            <w:hideMark/>
          </w:tcPr>
          <w:p w14:paraId="47468596" w14:textId="77777777" w:rsidR="00B93FC1" w:rsidRPr="002E4298" w:rsidRDefault="00B93FC1" w:rsidP="00DF1766">
            <w:pPr>
              <w:tabs>
                <w:tab w:val="left" w:pos="288"/>
                <w:tab w:val="left" w:pos="576"/>
                <w:tab w:val="left" w:pos="864"/>
                <w:tab w:val="left" w:pos="1152"/>
              </w:tabs>
              <w:suppressAutoHyphens/>
              <w:spacing w:before="40" w:after="40" w:line="210" w:lineRule="exact"/>
              <w:ind w:right="72"/>
              <w:jc w:val="right"/>
              <w:rPr>
                <w:b/>
                <w:bCs/>
                <w:sz w:val="17"/>
                <w:lang w:val="fr-FR"/>
              </w:rPr>
            </w:pPr>
            <w:r w:rsidRPr="002E4298">
              <w:rPr>
                <w:b/>
                <w:bCs/>
                <w:sz w:val="17"/>
                <w:lang w:val="fr-FR"/>
              </w:rPr>
              <w:t>36 199</w:t>
            </w:r>
          </w:p>
        </w:tc>
        <w:tc>
          <w:tcPr>
            <w:tcW w:w="1300" w:type="dxa"/>
            <w:shd w:val="clear" w:color="auto" w:fill="auto"/>
            <w:vAlign w:val="bottom"/>
            <w:hideMark/>
          </w:tcPr>
          <w:p w14:paraId="777F97C4" w14:textId="77777777" w:rsidR="00B93FC1" w:rsidRPr="002E4298" w:rsidRDefault="00B93FC1" w:rsidP="00B93FC1">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12 675</w:t>
            </w:r>
          </w:p>
        </w:tc>
        <w:tc>
          <w:tcPr>
            <w:tcW w:w="1300" w:type="dxa"/>
            <w:shd w:val="clear" w:color="auto" w:fill="auto"/>
            <w:vAlign w:val="bottom"/>
            <w:hideMark/>
          </w:tcPr>
          <w:p w14:paraId="74EE36F5" w14:textId="77777777" w:rsidR="00B93FC1" w:rsidRPr="002E4298" w:rsidRDefault="00B93FC1" w:rsidP="00B93FC1">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23 524</w:t>
            </w:r>
          </w:p>
        </w:tc>
      </w:tr>
      <w:tr w:rsidR="00B93FC1" w:rsidRPr="002E4298" w14:paraId="132C1FDA" w14:textId="77777777" w:rsidTr="00B91C4F">
        <w:tc>
          <w:tcPr>
            <w:tcW w:w="3420" w:type="dxa"/>
            <w:shd w:val="clear" w:color="auto" w:fill="auto"/>
            <w:noWrap/>
            <w:vAlign w:val="bottom"/>
            <w:hideMark/>
          </w:tcPr>
          <w:p w14:paraId="50F30981" w14:textId="77777777" w:rsidR="00B93FC1" w:rsidRPr="002E4298" w:rsidRDefault="00B93FC1" w:rsidP="002E4298">
            <w:pPr>
              <w:keepNext/>
              <w:tabs>
                <w:tab w:val="left" w:pos="288"/>
                <w:tab w:val="left" w:pos="576"/>
                <w:tab w:val="left" w:pos="864"/>
                <w:tab w:val="left" w:pos="1152"/>
              </w:tabs>
              <w:suppressAutoHyphens/>
              <w:spacing w:before="40" w:after="40" w:line="210" w:lineRule="exact"/>
              <w:ind w:right="40"/>
              <w:rPr>
                <w:sz w:val="17"/>
                <w:lang w:val="fr-FR"/>
              </w:rPr>
            </w:pPr>
            <w:r w:rsidRPr="002E4298">
              <w:rPr>
                <w:sz w:val="17"/>
                <w:lang w:val="fr-FR"/>
              </w:rPr>
              <w:t>Formation professionnelle</w:t>
            </w:r>
          </w:p>
        </w:tc>
        <w:tc>
          <w:tcPr>
            <w:tcW w:w="1300" w:type="dxa"/>
            <w:shd w:val="clear" w:color="auto" w:fill="auto"/>
            <w:vAlign w:val="bottom"/>
            <w:hideMark/>
          </w:tcPr>
          <w:p w14:paraId="16C08025" w14:textId="77777777" w:rsidR="00B93FC1" w:rsidRPr="002E4298" w:rsidRDefault="00B93FC1" w:rsidP="00DF1766">
            <w:pPr>
              <w:keepNext/>
              <w:tabs>
                <w:tab w:val="left" w:pos="288"/>
                <w:tab w:val="left" w:pos="576"/>
                <w:tab w:val="left" w:pos="864"/>
                <w:tab w:val="left" w:pos="1152"/>
              </w:tabs>
              <w:suppressAutoHyphens/>
              <w:spacing w:before="40" w:after="40" w:line="210" w:lineRule="exact"/>
              <w:ind w:right="72"/>
              <w:jc w:val="right"/>
              <w:rPr>
                <w:b/>
                <w:bCs/>
                <w:sz w:val="17"/>
                <w:lang w:val="fr-FR"/>
              </w:rPr>
            </w:pPr>
            <w:r w:rsidRPr="002E4298">
              <w:rPr>
                <w:b/>
                <w:bCs/>
                <w:sz w:val="17"/>
                <w:lang w:val="fr-FR"/>
              </w:rPr>
              <w:t>183 684</w:t>
            </w:r>
          </w:p>
        </w:tc>
        <w:tc>
          <w:tcPr>
            <w:tcW w:w="1300" w:type="dxa"/>
            <w:shd w:val="clear" w:color="auto" w:fill="auto"/>
            <w:vAlign w:val="bottom"/>
            <w:hideMark/>
          </w:tcPr>
          <w:p w14:paraId="7200BC97" w14:textId="77777777" w:rsidR="00B93FC1" w:rsidRPr="002E4298" w:rsidRDefault="00B93FC1" w:rsidP="002E4298">
            <w:pPr>
              <w:keepNext/>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74 282</w:t>
            </w:r>
          </w:p>
        </w:tc>
        <w:tc>
          <w:tcPr>
            <w:tcW w:w="1300" w:type="dxa"/>
            <w:shd w:val="clear" w:color="auto" w:fill="auto"/>
            <w:vAlign w:val="bottom"/>
            <w:hideMark/>
          </w:tcPr>
          <w:p w14:paraId="214FF30E" w14:textId="77777777" w:rsidR="00B93FC1" w:rsidRPr="002E4298" w:rsidRDefault="00B93FC1" w:rsidP="002E4298">
            <w:pPr>
              <w:keepNext/>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109 402</w:t>
            </w:r>
          </w:p>
        </w:tc>
      </w:tr>
      <w:tr w:rsidR="00B93FC1" w:rsidRPr="002E4298" w14:paraId="38EAADF9" w14:textId="77777777" w:rsidTr="00B91C4F">
        <w:tc>
          <w:tcPr>
            <w:tcW w:w="3420" w:type="dxa"/>
            <w:shd w:val="clear" w:color="auto" w:fill="auto"/>
            <w:noWrap/>
            <w:vAlign w:val="bottom"/>
            <w:hideMark/>
          </w:tcPr>
          <w:p w14:paraId="1ECEB7C7" w14:textId="35B4FF9C" w:rsidR="00B93FC1" w:rsidRPr="002E4298" w:rsidRDefault="00B91C4F" w:rsidP="002E4298">
            <w:pPr>
              <w:keepNext/>
              <w:tabs>
                <w:tab w:val="left" w:pos="288"/>
                <w:tab w:val="left" w:pos="576"/>
                <w:tab w:val="left" w:pos="864"/>
                <w:tab w:val="left" w:pos="1152"/>
              </w:tabs>
              <w:suppressAutoHyphens/>
              <w:spacing w:before="40" w:after="40" w:line="210" w:lineRule="exact"/>
              <w:ind w:right="40"/>
              <w:rPr>
                <w:sz w:val="17"/>
                <w:lang w:val="fr-FR"/>
              </w:rPr>
            </w:pPr>
            <w:r w:rsidRPr="002E4298">
              <w:rPr>
                <w:sz w:val="17"/>
                <w:lang w:val="fr-FR"/>
              </w:rPr>
              <w:tab/>
            </w:r>
            <w:r w:rsidR="00B93FC1" w:rsidRPr="002E4298">
              <w:rPr>
                <w:sz w:val="17"/>
                <w:lang w:val="fr-FR"/>
              </w:rPr>
              <w:t>Qualification pour les jeunes</w:t>
            </w:r>
          </w:p>
        </w:tc>
        <w:tc>
          <w:tcPr>
            <w:tcW w:w="1300" w:type="dxa"/>
            <w:shd w:val="clear" w:color="auto" w:fill="auto"/>
            <w:vAlign w:val="bottom"/>
            <w:hideMark/>
          </w:tcPr>
          <w:p w14:paraId="7B6D0F00" w14:textId="77777777" w:rsidR="00B93FC1" w:rsidRPr="002E4298" w:rsidRDefault="00B93FC1" w:rsidP="00DF1766">
            <w:pPr>
              <w:keepNext/>
              <w:tabs>
                <w:tab w:val="left" w:pos="288"/>
                <w:tab w:val="left" w:pos="576"/>
                <w:tab w:val="left" w:pos="864"/>
                <w:tab w:val="left" w:pos="1152"/>
              </w:tabs>
              <w:suppressAutoHyphens/>
              <w:spacing w:before="40" w:after="40" w:line="210" w:lineRule="exact"/>
              <w:ind w:right="72"/>
              <w:jc w:val="right"/>
              <w:rPr>
                <w:b/>
                <w:bCs/>
                <w:sz w:val="17"/>
                <w:lang w:val="fr-FR"/>
              </w:rPr>
            </w:pPr>
            <w:r w:rsidRPr="002E4298">
              <w:rPr>
                <w:b/>
                <w:bCs/>
                <w:sz w:val="17"/>
                <w:lang w:val="fr-FR"/>
              </w:rPr>
              <w:t>23 290</w:t>
            </w:r>
          </w:p>
        </w:tc>
        <w:tc>
          <w:tcPr>
            <w:tcW w:w="1300" w:type="dxa"/>
            <w:shd w:val="clear" w:color="auto" w:fill="auto"/>
            <w:vAlign w:val="bottom"/>
            <w:hideMark/>
          </w:tcPr>
          <w:p w14:paraId="21E57EAB" w14:textId="77777777" w:rsidR="00B93FC1" w:rsidRPr="002E4298" w:rsidRDefault="00B93FC1" w:rsidP="002E4298">
            <w:pPr>
              <w:keepNext/>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14 659</w:t>
            </w:r>
          </w:p>
        </w:tc>
        <w:tc>
          <w:tcPr>
            <w:tcW w:w="1300" w:type="dxa"/>
            <w:shd w:val="clear" w:color="auto" w:fill="auto"/>
            <w:vAlign w:val="bottom"/>
            <w:hideMark/>
          </w:tcPr>
          <w:p w14:paraId="7C392FC6" w14:textId="77777777" w:rsidR="00B93FC1" w:rsidRPr="002E4298" w:rsidRDefault="00B93FC1" w:rsidP="002E4298">
            <w:pPr>
              <w:keepNext/>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8 631</w:t>
            </w:r>
          </w:p>
        </w:tc>
      </w:tr>
      <w:tr w:rsidR="00B93FC1" w:rsidRPr="002E4298" w14:paraId="47F29484" w14:textId="77777777" w:rsidTr="00B91C4F">
        <w:tc>
          <w:tcPr>
            <w:tcW w:w="3420" w:type="dxa"/>
            <w:shd w:val="clear" w:color="auto" w:fill="auto"/>
            <w:noWrap/>
            <w:vAlign w:val="bottom"/>
            <w:hideMark/>
          </w:tcPr>
          <w:p w14:paraId="1E210ACB" w14:textId="7BBED617" w:rsidR="00B93FC1" w:rsidRPr="002E4298" w:rsidRDefault="00B91C4F" w:rsidP="00B93FC1">
            <w:pPr>
              <w:tabs>
                <w:tab w:val="left" w:pos="288"/>
                <w:tab w:val="left" w:pos="576"/>
                <w:tab w:val="left" w:pos="864"/>
                <w:tab w:val="left" w:pos="1152"/>
              </w:tabs>
              <w:suppressAutoHyphens/>
              <w:spacing w:before="40" w:after="40" w:line="210" w:lineRule="exact"/>
              <w:ind w:right="40"/>
              <w:rPr>
                <w:sz w:val="17"/>
                <w:lang w:val="fr-FR"/>
              </w:rPr>
            </w:pPr>
            <w:r w:rsidRPr="002E4298">
              <w:rPr>
                <w:sz w:val="17"/>
                <w:lang w:val="fr-FR"/>
              </w:rPr>
              <w:tab/>
            </w:r>
            <w:r w:rsidR="00B93FC1" w:rsidRPr="002E4298">
              <w:rPr>
                <w:sz w:val="17"/>
                <w:lang w:val="fr-FR"/>
              </w:rPr>
              <w:t>Qualification pour les adultes</w:t>
            </w:r>
          </w:p>
        </w:tc>
        <w:tc>
          <w:tcPr>
            <w:tcW w:w="1300" w:type="dxa"/>
            <w:shd w:val="clear" w:color="auto" w:fill="auto"/>
            <w:vAlign w:val="bottom"/>
            <w:hideMark/>
          </w:tcPr>
          <w:p w14:paraId="74A7BF59" w14:textId="77777777" w:rsidR="00B93FC1" w:rsidRPr="002E4298" w:rsidRDefault="00B93FC1" w:rsidP="00DF1766">
            <w:pPr>
              <w:tabs>
                <w:tab w:val="left" w:pos="288"/>
                <w:tab w:val="left" w:pos="576"/>
                <w:tab w:val="left" w:pos="864"/>
                <w:tab w:val="left" w:pos="1152"/>
              </w:tabs>
              <w:suppressAutoHyphens/>
              <w:spacing w:before="40" w:after="40" w:line="210" w:lineRule="exact"/>
              <w:ind w:right="72"/>
              <w:jc w:val="right"/>
              <w:rPr>
                <w:b/>
                <w:bCs/>
                <w:sz w:val="17"/>
                <w:lang w:val="fr-FR"/>
              </w:rPr>
            </w:pPr>
            <w:r w:rsidRPr="002E4298">
              <w:rPr>
                <w:b/>
                <w:bCs/>
                <w:sz w:val="17"/>
                <w:lang w:val="fr-FR"/>
              </w:rPr>
              <w:t>158 893</w:t>
            </w:r>
          </w:p>
        </w:tc>
        <w:tc>
          <w:tcPr>
            <w:tcW w:w="1300" w:type="dxa"/>
            <w:shd w:val="clear" w:color="auto" w:fill="auto"/>
            <w:vAlign w:val="bottom"/>
            <w:hideMark/>
          </w:tcPr>
          <w:p w14:paraId="62649C9C" w14:textId="77777777" w:rsidR="00B93FC1" w:rsidRPr="002E4298" w:rsidRDefault="00B93FC1" w:rsidP="00B93FC1">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59 129</w:t>
            </w:r>
          </w:p>
        </w:tc>
        <w:tc>
          <w:tcPr>
            <w:tcW w:w="1300" w:type="dxa"/>
            <w:shd w:val="clear" w:color="auto" w:fill="auto"/>
            <w:vAlign w:val="bottom"/>
            <w:hideMark/>
          </w:tcPr>
          <w:p w14:paraId="48D90070" w14:textId="77777777" w:rsidR="00B93FC1" w:rsidRPr="002E4298" w:rsidRDefault="00B93FC1" w:rsidP="00B93FC1">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99 764</w:t>
            </w:r>
          </w:p>
        </w:tc>
      </w:tr>
      <w:tr w:rsidR="00B93FC1" w:rsidRPr="002E4298" w14:paraId="0466B07C" w14:textId="77777777" w:rsidTr="00B91C4F">
        <w:tc>
          <w:tcPr>
            <w:tcW w:w="3420" w:type="dxa"/>
            <w:shd w:val="clear" w:color="auto" w:fill="auto"/>
            <w:noWrap/>
            <w:vAlign w:val="bottom"/>
            <w:hideMark/>
          </w:tcPr>
          <w:p w14:paraId="40385EE6" w14:textId="63282910" w:rsidR="00B93FC1" w:rsidRPr="002E4298" w:rsidRDefault="00B91C4F" w:rsidP="00B93FC1">
            <w:pPr>
              <w:tabs>
                <w:tab w:val="left" w:pos="288"/>
                <w:tab w:val="left" w:pos="576"/>
                <w:tab w:val="left" w:pos="864"/>
                <w:tab w:val="left" w:pos="1152"/>
              </w:tabs>
              <w:suppressAutoHyphens/>
              <w:spacing w:before="40" w:after="40" w:line="210" w:lineRule="exact"/>
              <w:ind w:right="40"/>
              <w:rPr>
                <w:sz w:val="17"/>
                <w:lang w:val="fr-FR"/>
              </w:rPr>
            </w:pPr>
            <w:r w:rsidRPr="002E4298">
              <w:rPr>
                <w:sz w:val="17"/>
                <w:lang w:val="fr-FR"/>
              </w:rPr>
              <w:tab/>
            </w:r>
            <w:r w:rsidR="00B93FC1" w:rsidRPr="002E4298">
              <w:rPr>
                <w:sz w:val="17"/>
                <w:lang w:val="fr-FR"/>
              </w:rPr>
              <w:t>Formation de formateurs et formatrices</w:t>
            </w:r>
          </w:p>
        </w:tc>
        <w:tc>
          <w:tcPr>
            <w:tcW w:w="1300" w:type="dxa"/>
            <w:shd w:val="clear" w:color="auto" w:fill="auto"/>
            <w:vAlign w:val="bottom"/>
            <w:hideMark/>
          </w:tcPr>
          <w:p w14:paraId="4D9D7A51" w14:textId="77777777" w:rsidR="00B93FC1" w:rsidRPr="002E4298" w:rsidRDefault="00B93FC1" w:rsidP="00DF1766">
            <w:pPr>
              <w:tabs>
                <w:tab w:val="left" w:pos="288"/>
                <w:tab w:val="left" w:pos="576"/>
                <w:tab w:val="left" w:pos="864"/>
                <w:tab w:val="left" w:pos="1152"/>
              </w:tabs>
              <w:suppressAutoHyphens/>
              <w:spacing w:before="40" w:after="40" w:line="210" w:lineRule="exact"/>
              <w:ind w:right="72"/>
              <w:jc w:val="right"/>
              <w:rPr>
                <w:b/>
                <w:bCs/>
                <w:sz w:val="17"/>
                <w:lang w:val="fr-FR"/>
              </w:rPr>
            </w:pPr>
            <w:r w:rsidRPr="002E4298">
              <w:rPr>
                <w:b/>
                <w:bCs/>
                <w:sz w:val="17"/>
                <w:lang w:val="fr-FR"/>
              </w:rPr>
              <w:t>1 501</w:t>
            </w:r>
          </w:p>
        </w:tc>
        <w:tc>
          <w:tcPr>
            <w:tcW w:w="1300" w:type="dxa"/>
            <w:shd w:val="clear" w:color="auto" w:fill="auto"/>
            <w:vAlign w:val="bottom"/>
            <w:hideMark/>
          </w:tcPr>
          <w:p w14:paraId="2D6A4A52" w14:textId="77777777" w:rsidR="00B93FC1" w:rsidRPr="002E4298" w:rsidRDefault="00B93FC1" w:rsidP="00B93FC1">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494</w:t>
            </w:r>
          </w:p>
        </w:tc>
        <w:tc>
          <w:tcPr>
            <w:tcW w:w="1300" w:type="dxa"/>
            <w:shd w:val="clear" w:color="auto" w:fill="auto"/>
            <w:vAlign w:val="bottom"/>
            <w:hideMark/>
          </w:tcPr>
          <w:p w14:paraId="61B1FDE9" w14:textId="77777777" w:rsidR="00B93FC1" w:rsidRPr="002E4298" w:rsidRDefault="00B93FC1" w:rsidP="00B93FC1">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1 007</w:t>
            </w:r>
          </w:p>
        </w:tc>
      </w:tr>
      <w:tr w:rsidR="00B91C4F" w:rsidRPr="002E4298" w14:paraId="7C5A7EF2" w14:textId="77777777" w:rsidTr="00B91C4F">
        <w:tc>
          <w:tcPr>
            <w:tcW w:w="3420" w:type="dxa"/>
            <w:tcBorders>
              <w:bottom w:val="single" w:sz="4" w:space="0" w:color="auto"/>
            </w:tcBorders>
            <w:shd w:val="clear" w:color="auto" w:fill="auto"/>
            <w:noWrap/>
            <w:vAlign w:val="bottom"/>
            <w:hideMark/>
          </w:tcPr>
          <w:p w14:paraId="728D3A8B" w14:textId="77777777" w:rsidR="00B93FC1" w:rsidRPr="002E4298" w:rsidRDefault="00B93FC1" w:rsidP="00B93FC1">
            <w:pPr>
              <w:tabs>
                <w:tab w:val="left" w:pos="288"/>
                <w:tab w:val="left" w:pos="576"/>
                <w:tab w:val="left" w:pos="864"/>
                <w:tab w:val="left" w:pos="1152"/>
              </w:tabs>
              <w:suppressAutoHyphens/>
              <w:spacing w:before="40" w:after="81" w:line="210" w:lineRule="exact"/>
              <w:ind w:right="40"/>
              <w:rPr>
                <w:sz w:val="17"/>
                <w:lang w:val="fr-FR"/>
              </w:rPr>
            </w:pPr>
            <w:r w:rsidRPr="002E4298">
              <w:rPr>
                <w:sz w:val="17"/>
                <w:lang w:val="fr-FR"/>
              </w:rPr>
              <w:t>Réadaptation professionnelle</w:t>
            </w:r>
          </w:p>
        </w:tc>
        <w:tc>
          <w:tcPr>
            <w:tcW w:w="1300" w:type="dxa"/>
            <w:tcBorders>
              <w:bottom w:val="single" w:sz="4" w:space="0" w:color="auto"/>
            </w:tcBorders>
            <w:shd w:val="clear" w:color="auto" w:fill="auto"/>
            <w:vAlign w:val="bottom"/>
            <w:hideMark/>
          </w:tcPr>
          <w:p w14:paraId="2F0BDADC" w14:textId="77777777" w:rsidR="00B93FC1" w:rsidRPr="002E4298" w:rsidRDefault="00B93FC1" w:rsidP="00DF1766">
            <w:pPr>
              <w:tabs>
                <w:tab w:val="left" w:pos="288"/>
                <w:tab w:val="left" w:pos="576"/>
                <w:tab w:val="left" w:pos="864"/>
                <w:tab w:val="left" w:pos="1152"/>
              </w:tabs>
              <w:suppressAutoHyphens/>
              <w:spacing w:before="40" w:after="81" w:line="210" w:lineRule="exact"/>
              <w:ind w:right="72"/>
              <w:jc w:val="right"/>
              <w:rPr>
                <w:b/>
                <w:bCs/>
                <w:sz w:val="17"/>
                <w:lang w:val="fr-FR"/>
              </w:rPr>
            </w:pPr>
            <w:r w:rsidRPr="002E4298">
              <w:rPr>
                <w:b/>
                <w:bCs/>
                <w:sz w:val="17"/>
                <w:lang w:val="fr-FR"/>
              </w:rPr>
              <w:t>19 272</w:t>
            </w:r>
          </w:p>
        </w:tc>
        <w:tc>
          <w:tcPr>
            <w:tcW w:w="1300" w:type="dxa"/>
            <w:tcBorders>
              <w:bottom w:val="single" w:sz="4" w:space="0" w:color="auto"/>
            </w:tcBorders>
            <w:shd w:val="clear" w:color="auto" w:fill="auto"/>
            <w:vAlign w:val="bottom"/>
            <w:hideMark/>
          </w:tcPr>
          <w:p w14:paraId="74D80734" w14:textId="77777777" w:rsidR="00B93FC1" w:rsidRPr="002E4298" w:rsidRDefault="00B93FC1" w:rsidP="00B93FC1">
            <w:pPr>
              <w:tabs>
                <w:tab w:val="left" w:pos="288"/>
                <w:tab w:val="left" w:pos="576"/>
                <w:tab w:val="left" w:pos="864"/>
                <w:tab w:val="left" w:pos="1152"/>
              </w:tabs>
              <w:suppressAutoHyphens/>
              <w:spacing w:before="40" w:after="81" w:line="210" w:lineRule="exact"/>
              <w:ind w:right="43"/>
              <w:jc w:val="right"/>
              <w:rPr>
                <w:sz w:val="17"/>
                <w:lang w:val="fr-FR"/>
              </w:rPr>
            </w:pPr>
            <w:r w:rsidRPr="002E4298">
              <w:rPr>
                <w:sz w:val="17"/>
                <w:lang w:val="fr-FR"/>
              </w:rPr>
              <w:t>10 692</w:t>
            </w:r>
          </w:p>
        </w:tc>
        <w:tc>
          <w:tcPr>
            <w:tcW w:w="1300" w:type="dxa"/>
            <w:tcBorders>
              <w:bottom w:val="single" w:sz="4" w:space="0" w:color="auto"/>
            </w:tcBorders>
            <w:shd w:val="clear" w:color="auto" w:fill="auto"/>
            <w:vAlign w:val="bottom"/>
            <w:hideMark/>
          </w:tcPr>
          <w:p w14:paraId="1E995B91" w14:textId="77777777" w:rsidR="00B93FC1" w:rsidRPr="002E4298" w:rsidRDefault="00B93FC1" w:rsidP="00B93FC1">
            <w:pPr>
              <w:tabs>
                <w:tab w:val="left" w:pos="288"/>
                <w:tab w:val="left" w:pos="576"/>
                <w:tab w:val="left" w:pos="864"/>
                <w:tab w:val="left" w:pos="1152"/>
              </w:tabs>
              <w:suppressAutoHyphens/>
              <w:spacing w:before="40" w:after="81" w:line="210" w:lineRule="exact"/>
              <w:ind w:right="43"/>
              <w:jc w:val="right"/>
              <w:rPr>
                <w:sz w:val="17"/>
                <w:lang w:val="fr-FR"/>
              </w:rPr>
            </w:pPr>
            <w:r w:rsidRPr="002E4298">
              <w:rPr>
                <w:sz w:val="17"/>
                <w:lang w:val="fr-FR"/>
              </w:rPr>
              <w:t>8 580</w:t>
            </w:r>
          </w:p>
        </w:tc>
      </w:tr>
      <w:tr w:rsidR="00B91C4F" w:rsidRPr="002E4298" w14:paraId="38BB5C45" w14:textId="77777777" w:rsidTr="00B91C4F">
        <w:tc>
          <w:tcPr>
            <w:tcW w:w="3420" w:type="dxa"/>
            <w:tcBorders>
              <w:top w:val="single" w:sz="4" w:space="0" w:color="auto"/>
              <w:bottom w:val="single" w:sz="12" w:space="0" w:color="auto"/>
            </w:tcBorders>
            <w:shd w:val="clear" w:color="auto" w:fill="auto"/>
            <w:noWrap/>
            <w:vAlign w:val="bottom"/>
            <w:hideMark/>
          </w:tcPr>
          <w:p w14:paraId="36C50FBD" w14:textId="7A4EAA6B" w:rsidR="00B93FC1" w:rsidRPr="002E4298" w:rsidRDefault="00B93FC1" w:rsidP="00B93FC1">
            <w:pPr>
              <w:tabs>
                <w:tab w:val="left" w:pos="288"/>
                <w:tab w:val="left" w:pos="576"/>
                <w:tab w:val="left" w:pos="864"/>
                <w:tab w:val="left" w:pos="1152"/>
              </w:tabs>
              <w:suppressAutoHyphens/>
              <w:spacing w:before="81" w:after="81" w:line="210" w:lineRule="exact"/>
              <w:ind w:right="40"/>
              <w:rPr>
                <w:b/>
                <w:sz w:val="17"/>
                <w:lang w:val="fr-FR"/>
              </w:rPr>
            </w:pPr>
            <w:r w:rsidRPr="002E4298">
              <w:rPr>
                <w:b/>
                <w:sz w:val="17"/>
                <w:lang w:val="fr-FR"/>
              </w:rPr>
              <w:tab/>
              <w:t>Total</w:t>
            </w:r>
          </w:p>
        </w:tc>
        <w:tc>
          <w:tcPr>
            <w:tcW w:w="1300" w:type="dxa"/>
            <w:tcBorders>
              <w:top w:val="single" w:sz="4" w:space="0" w:color="auto"/>
              <w:bottom w:val="single" w:sz="12" w:space="0" w:color="auto"/>
            </w:tcBorders>
            <w:shd w:val="clear" w:color="auto" w:fill="auto"/>
            <w:noWrap/>
            <w:vAlign w:val="bottom"/>
            <w:hideMark/>
          </w:tcPr>
          <w:p w14:paraId="40F98905" w14:textId="77777777" w:rsidR="00B93FC1" w:rsidRPr="002E4298" w:rsidRDefault="00B93FC1" w:rsidP="00DF1766">
            <w:pPr>
              <w:tabs>
                <w:tab w:val="left" w:pos="288"/>
                <w:tab w:val="left" w:pos="576"/>
                <w:tab w:val="left" w:pos="864"/>
                <w:tab w:val="left" w:pos="1152"/>
              </w:tabs>
              <w:suppressAutoHyphens/>
              <w:spacing w:before="81" w:after="81" w:line="210" w:lineRule="exact"/>
              <w:ind w:right="72"/>
              <w:jc w:val="right"/>
              <w:rPr>
                <w:b/>
                <w:bCs/>
                <w:sz w:val="17"/>
                <w:lang w:val="fr-FR"/>
              </w:rPr>
            </w:pPr>
            <w:r w:rsidRPr="002E4298">
              <w:rPr>
                <w:b/>
                <w:bCs/>
                <w:sz w:val="17"/>
                <w:lang w:val="fr-FR"/>
              </w:rPr>
              <w:t>287 312</w:t>
            </w:r>
          </w:p>
        </w:tc>
        <w:tc>
          <w:tcPr>
            <w:tcW w:w="1300" w:type="dxa"/>
            <w:tcBorders>
              <w:top w:val="single" w:sz="4" w:space="0" w:color="auto"/>
              <w:bottom w:val="single" w:sz="12" w:space="0" w:color="auto"/>
            </w:tcBorders>
            <w:shd w:val="clear" w:color="auto" w:fill="auto"/>
            <w:noWrap/>
            <w:vAlign w:val="bottom"/>
            <w:hideMark/>
          </w:tcPr>
          <w:p w14:paraId="400A69F8" w14:textId="77777777" w:rsidR="00B93FC1" w:rsidRPr="002E4298" w:rsidRDefault="00B93FC1" w:rsidP="00B93FC1">
            <w:pPr>
              <w:tabs>
                <w:tab w:val="left" w:pos="288"/>
                <w:tab w:val="left" w:pos="576"/>
                <w:tab w:val="left" w:pos="864"/>
                <w:tab w:val="left" w:pos="1152"/>
              </w:tabs>
              <w:suppressAutoHyphens/>
              <w:spacing w:before="81" w:after="81" w:line="210" w:lineRule="exact"/>
              <w:ind w:right="43"/>
              <w:jc w:val="right"/>
              <w:rPr>
                <w:b/>
                <w:sz w:val="17"/>
                <w:lang w:val="fr-FR"/>
              </w:rPr>
            </w:pPr>
            <w:r w:rsidRPr="002E4298">
              <w:rPr>
                <w:b/>
                <w:sz w:val="17"/>
                <w:lang w:val="fr-FR"/>
              </w:rPr>
              <w:t>117 901</w:t>
            </w:r>
          </w:p>
        </w:tc>
        <w:tc>
          <w:tcPr>
            <w:tcW w:w="1300" w:type="dxa"/>
            <w:tcBorders>
              <w:top w:val="single" w:sz="4" w:space="0" w:color="auto"/>
              <w:bottom w:val="single" w:sz="12" w:space="0" w:color="auto"/>
            </w:tcBorders>
            <w:shd w:val="clear" w:color="auto" w:fill="auto"/>
            <w:noWrap/>
            <w:vAlign w:val="bottom"/>
            <w:hideMark/>
          </w:tcPr>
          <w:p w14:paraId="6A90312C" w14:textId="77777777" w:rsidR="00B93FC1" w:rsidRPr="002E4298" w:rsidRDefault="00B93FC1" w:rsidP="00B93FC1">
            <w:pPr>
              <w:tabs>
                <w:tab w:val="left" w:pos="288"/>
                <w:tab w:val="left" w:pos="576"/>
                <w:tab w:val="left" w:pos="864"/>
                <w:tab w:val="left" w:pos="1152"/>
              </w:tabs>
              <w:suppressAutoHyphens/>
              <w:spacing w:before="81" w:after="81" w:line="210" w:lineRule="exact"/>
              <w:ind w:right="43"/>
              <w:jc w:val="right"/>
              <w:rPr>
                <w:b/>
                <w:sz w:val="17"/>
                <w:lang w:val="fr-FR"/>
              </w:rPr>
            </w:pPr>
            <w:r w:rsidRPr="002E4298">
              <w:rPr>
                <w:b/>
                <w:sz w:val="17"/>
                <w:lang w:val="fr-FR"/>
              </w:rPr>
              <w:t>169 411</w:t>
            </w:r>
          </w:p>
        </w:tc>
      </w:tr>
    </w:tbl>
    <w:p w14:paraId="06CFA381" w14:textId="77777777" w:rsidR="00BB0956" w:rsidRPr="002E4298" w:rsidRDefault="00BB0956" w:rsidP="00BB0956">
      <w:pPr>
        <w:pStyle w:val="SingleTxt"/>
        <w:spacing w:after="0" w:line="120" w:lineRule="exact"/>
        <w:rPr>
          <w:sz w:val="10"/>
          <w:lang w:val="fr-FR"/>
        </w:rPr>
      </w:pPr>
    </w:p>
    <w:p w14:paraId="66C03692" w14:textId="4FD154AB" w:rsidR="00BB0956" w:rsidRPr="002E4298" w:rsidRDefault="00BB0956" w:rsidP="00B93FC1">
      <w:pPr>
        <w:pStyle w:val="FootnoteText"/>
        <w:tabs>
          <w:tab w:val="right" w:pos="1476"/>
          <w:tab w:val="left" w:pos="1548"/>
          <w:tab w:val="right" w:pos="1836"/>
          <w:tab w:val="left" w:pos="1908"/>
        </w:tabs>
        <w:ind w:left="1548" w:right="1267" w:hanging="288"/>
        <w:rPr>
          <w:lang w:val="fr-FR" w:bidi="fr-FR"/>
        </w:rPr>
      </w:pPr>
      <w:r w:rsidRPr="002E4298">
        <w:rPr>
          <w:i/>
          <w:lang w:val="fr-FR" w:bidi="fr-FR"/>
        </w:rPr>
        <w:t>Source</w:t>
      </w:r>
      <w:r w:rsidRPr="002E4298">
        <w:rPr>
          <w:iCs/>
          <w:lang w:val="fr-FR" w:bidi="fr-FR"/>
        </w:rPr>
        <w:t> :</w:t>
      </w:r>
      <w:r w:rsidRPr="002E4298">
        <w:rPr>
          <w:lang w:val="fr-FR" w:bidi="fr-FR"/>
        </w:rPr>
        <w:t xml:space="preserve"> IEFP, IP, SIEFF, SIGAE, SGC et SGFOR.</w:t>
      </w:r>
    </w:p>
    <w:p w14:paraId="2CAA0DC6" w14:textId="12DF1CC1" w:rsidR="00B93FC1" w:rsidRPr="002E4298" w:rsidRDefault="00B93FC1" w:rsidP="00B93FC1">
      <w:pPr>
        <w:pStyle w:val="SingleTxt"/>
        <w:spacing w:after="0" w:line="120" w:lineRule="exact"/>
        <w:rPr>
          <w:sz w:val="10"/>
          <w:lang w:val="fr-FR" w:bidi="fr-FR"/>
        </w:rPr>
      </w:pPr>
    </w:p>
    <w:p w14:paraId="145ED7F5" w14:textId="158F7C31" w:rsidR="00B93FC1" w:rsidRPr="002E4298" w:rsidRDefault="00B93FC1" w:rsidP="00B93FC1">
      <w:pPr>
        <w:pStyle w:val="SingleTxt"/>
        <w:spacing w:after="0" w:line="120" w:lineRule="exact"/>
        <w:rPr>
          <w:sz w:val="10"/>
          <w:lang w:val="fr-FR"/>
        </w:rPr>
      </w:pPr>
    </w:p>
    <w:p w14:paraId="76FA6D68" w14:textId="088DC028" w:rsidR="00BB0956" w:rsidRPr="002E4298" w:rsidRDefault="00BB0956" w:rsidP="00A11C35">
      <w:pPr>
        <w:pStyle w:val="SingleTxt"/>
        <w:numPr>
          <w:ilvl w:val="0"/>
          <w:numId w:val="6"/>
        </w:numPr>
        <w:tabs>
          <w:tab w:val="num" w:pos="1769"/>
        </w:tabs>
        <w:spacing w:line="240" w:lineRule="exact"/>
        <w:rPr>
          <w:lang w:val="fr-FR"/>
        </w:rPr>
      </w:pPr>
      <w:r w:rsidRPr="002E4298">
        <w:rPr>
          <w:lang w:val="fr-FR" w:bidi="fr-FR"/>
        </w:rPr>
        <w:t>L’Institut pour l’emploi et la formation professionnelle (IEFP) est investi de plusieurs tâches dans le cadre de la Stratégie nationale en faveur de l’égalité et de la non-discrimination, telles que :</w:t>
      </w:r>
    </w:p>
    <w:p w14:paraId="00441DFB" w14:textId="04388DFC" w:rsidR="00BB0956" w:rsidRPr="002E4298" w:rsidRDefault="00BB0956" w:rsidP="00BB0956">
      <w:pPr>
        <w:pStyle w:val="SingleTxt"/>
        <w:rPr>
          <w:lang w:val="fr-FR"/>
        </w:rPr>
      </w:pPr>
      <w:r w:rsidRPr="002E4298">
        <w:rPr>
          <w:lang w:val="fr-FR" w:bidi="fr-FR"/>
        </w:rPr>
        <w:tab/>
        <w:t>a)</w:t>
      </w:r>
      <w:r w:rsidRPr="002E4298">
        <w:rPr>
          <w:lang w:val="fr-FR" w:bidi="fr-FR"/>
        </w:rPr>
        <w:tab/>
        <w:t>lutter contre la ségrégation sexuelle dans l’emploi, en collectant des données sur :</w:t>
      </w:r>
    </w:p>
    <w:p w14:paraId="503EC893" w14:textId="5F7070EF" w:rsidR="00BB0956" w:rsidRPr="002E4298" w:rsidRDefault="00296005" w:rsidP="0029600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bidi="fr-FR"/>
        </w:rPr>
      </w:pPr>
      <w:r w:rsidRPr="002E4298">
        <w:rPr>
          <w:rFonts w:ascii="Symbol" w:hAnsi="Symbol"/>
          <w:sz w:val="14"/>
          <w:lang w:val="fr-FR"/>
        </w:rPr>
        <w:tab/>
      </w:r>
      <w:r w:rsidR="00BB0956" w:rsidRPr="002E4298">
        <w:rPr>
          <w:rFonts w:ascii="Symbol" w:hAnsi="Symbol"/>
          <w:sz w:val="14"/>
          <w:lang w:val="fr-FR"/>
        </w:rPr>
        <w:t></w:t>
      </w:r>
      <w:r w:rsidR="00BB0956" w:rsidRPr="002E4298">
        <w:rPr>
          <w:rFonts w:ascii="Symbol" w:hAnsi="Symbol"/>
          <w:sz w:val="14"/>
          <w:lang w:val="fr-FR"/>
        </w:rPr>
        <w:tab/>
      </w:r>
      <w:r w:rsidR="00BB0956" w:rsidRPr="002E4298">
        <w:rPr>
          <w:lang w:val="fr-FR" w:bidi="fr-FR"/>
        </w:rPr>
        <w:t>le nombre de cours de formation pour les techniciens des centres pour l’emploi chargés du recrutement et de la sélection ;</w:t>
      </w:r>
    </w:p>
    <w:p w14:paraId="13A1978F" w14:textId="77A97556" w:rsidR="00BB0956" w:rsidRPr="002E4298" w:rsidRDefault="00296005" w:rsidP="0029600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2E4298">
        <w:rPr>
          <w:rFonts w:ascii="Symbol" w:hAnsi="Symbol"/>
          <w:sz w:val="14"/>
          <w:lang w:val="fr-FR"/>
        </w:rPr>
        <w:tab/>
      </w:r>
      <w:r w:rsidR="00BB0956" w:rsidRPr="002E4298">
        <w:rPr>
          <w:rFonts w:ascii="Symbol" w:hAnsi="Symbol"/>
          <w:sz w:val="14"/>
          <w:lang w:val="fr-FR"/>
        </w:rPr>
        <w:t></w:t>
      </w:r>
      <w:r w:rsidR="00BB0956" w:rsidRPr="002E4298">
        <w:rPr>
          <w:rFonts w:ascii="Symbol" w:hAnsi="Symbol"/>
          <w:sz w:val="14"/>
          <w:lang w:val="fr-FR"/>
        </w:rPr>
        <w:tab/>
      </w:r>
      <w:r w:rsidR="00BB0956" w:rsidRPr="002E4298">
        <w:rPr>
          <w:lang w:val="fr-FR" w:bidi="fr-FR"/>
        </w:rPr>
        <w:t>le nombre de techniciens des centres pour l’emploi bénéficiant des cours de formation ;</w:t>
      </w:r>
    </w:p>
    <w:p w14:paraId="393FF6E2" w14:textId="3B074F64" w:rsidR="00BB0956" w:rsidRPr="002E4298" w:rsidRDefault="00296005" w:rsidP="0029600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2E4298">
        <w:rPr>
          <w:rFonts w:ascii="Symbol" w:hAnsi="Symbol"/>
          <w:sz w:val="14"/>
          <w:lang w:val="fr-FR"/>
        </w:rPr>
        <w:tab/>
      </w:r>
      <w:r w:rsidR="00BB0956" w:rsidRPr="002E4298">
        <w:rPr>
          <w:rFonts w:ascii="Symbol" w:hAnsi="Symbol"/>
          <w:sz w:val="14"/>
          <w:lang w:val="fr-FR"/>
        </w:rPr>
        <w:t></w:t>
      </w:r>
      <w:r w:rsidR="00BB0956" w:rsidRPr="002E4298">
        <w:rPr>
          <w:rFonts w:ascii="Symbol" w:hAnsi="Symbol"/>
          <w:sz w:val="14"/>
          <w:lang w:val="fr-FR"/>
        </w:rPr>
        <w:tab/>
      </w:r>
      <w:r w:rsidR="00BB0956" w:rsidRPr="002E4298">
        <w:rPr>
          <w:lang w:val="fr-FR" w:bidi="fr-FR"/>
        </w:rPr>
        <w:t>le nombre d’actions visant à faire connaître les mesures pour la promotion de l’égalité des genres sur le marché du travail ;</w:t>
      </w:r>
    </w:p>
    <w:p w14:paraId="65EEFCD6" w14:textId="227D7F94" w:rsidR="00BB0956" w:rsidRPr="002E4298" w:rsidRDefault="00296005" w:rsidP="0029600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2E4298">
        <w:rPr>
          <w:rFonts w:ascii="Symbol" w:hAnsi="Symbol"/>
          <w:sz w:val="14"/>
          <w:lang w:val="fr-FR"/>
        </w:rPr>
        <w:tab/>
      </w:r>
      <w:r w:rsidR="00BB0956" w:rsidRPr="002E4298">
        <w:rPr>
          <w:rFonts w:ascii="Symbol" w:hAnsi="Symbol"/>
          <w:sz w:val="14"/>
          <w:lang w:val="fr-FR"/>
        </w:rPr>
        <w:t></w:t>
      </w:r>
      <w:r w:rsidR="00BB0956" w:rsidRPr="002E4298">
        <w:rPr>
          <w:rFonts w:ascii="Symbol" w:hAnsi="Symbol"/>
          <w:sz w:val="14"/>
          <w:lang w:val="fr-FR"/>
        </w:rPr>
        <w:tab/>
      </w:r>
      <w:r w:rsidR="00BB0956" w:rsidRPr="002E4298">
        <w:rPr>
          <w:lang w:val="fr-FR" w:bidi="fr-FR"/>
        </w:rPr>
        <w:t>le nombre d’emplois créés pour lesquels un soutien financier a été accordé aux employeurs qui signent des contrats de travail avec des demandeurs d’emploi du sexe sous-représenté dans une profession particulière qui sont inscrits auprès des centres pour l’emploi, dans le cadre de mesures pour l’emploi telles que la mesure d’aide à l’embauche et aux stages professionnels (prime pour l’emploi la après signature du contrat) ;</w:t>
      </w:r>
    </w:p>
    <w:p w14:paraId="1C669B8D" w14:textId="439418D9" w:rsidR="00BB0956" w:rsidRPr="002E4298" w:rsidRDefault="00296005" w:rsidP="0029600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2E4298">
        <w:rPr>
          <w:rFonts w:ascii="Symbol" w:hAnsi="Symbol"/>
          <w:sz w:val="14"/>
          <w:lang w:val="fr-FR"/>
        </w:rPr>
        <w:tab/>
      </w:r>
      <w:r w:rsidR="00BB0956" w:rsidRPr="002E4298">
        <w:rPr>
          <w:rFonts w:ascii="Symbol" w:hAnsi="Symbol"/>
          <w:sz w:val="14"/>
          <w:lang w:val="fr-FR"/>
        </w:rPr>
        <w:t></w:t>
      </w:r>
      <w:r w:rsidR="00BB0956" w:rsidRPr="002E4298">
        <w:rPr>
          <w:rFonts w:ascii="Symbol" w:hAnsi="Symbol"/>
          <w:sz w:val="14"/>
          <w:lang w:val="fr-FR"/>
        </w:rPr>
        <w:tab/>
      </w:r>
      <w:r w:rsidR="00BB0956" w:rsidRPr="002E4298">
        <w:rPr>
          <w:lang w:val="fr-FR" w:bidi="fr-FR"/>
        </w:rPr>
        <w:t>le nombre d’initiatives et d’actions de sensibilisation visant à encourager les entreprises à adopter des pratiques et des plans d’action pour lutter contre la ségrégation sexuelle dans l’emploi (par exemple, la promotion de l’égalité des genres sur le marché du travail) ;</w:t>
      </w:r>
    </w:p>
    <w:p w14:paraId="276A22BA" w14:textId="0213677D" w:rsidR="00BB0956" w:rsidRPr="002E4298" w:rsidRDefault="00BB0956" w:rsidP="00BB0956">
      <w:pPr>
        <w:pStyle w:val="SingleTxt"/>
        <w:rPr>
          <w:lang w:val="fr-FR"/>
        </w:rPr>
      </w:pPr>
      <w:r w:rsidRPr="002E4298">
        <w:rPr>
          <w:lang w:val="fr-FR" w:bidi="fr-FR"/>
        </w:rPr>
        <w:tab/>
        <w:t>b)</w:t>
      </w:r>
      <w:r w:rsidRPr="002E4298">
        <w:rPr>
          <w:lang w:val="fr-FR" w:bidi="fr-FR"/>
        </w:rPr>
        <w:tab/>
        <w:t>supprimer les disparités de revenus entre les femmes et les hommes :</w:t>
      </w:r>
    </w:p>
    <w:p w14:paraId="2DC2FD62" w14:textId="238A0CA2" w:rsidR="00BB0956" w:rsidRPr="002E4298" w:rsidRDefault="00296005" w:rsidP="0029600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2E4298">
        <w:rPr>
          <w:rFonts w:ascii="Symbol" w:hAnsi="Symbol"/>
          <w:sz w:val="14"/>
          <w:lang w:val="fr-FR"/>
        </w:rPr>
        <w:tab/>
      </w:r>
      <w:r w:rsidR="00BB0956" w:rsidRPr="002E4298">
        <w:rPr>
          <w:rFonts w:ascii="Symbol" w:hAnsi="Symbol"/>
          <w:sz w:val="14"/>
          <w:lang w:val="fr-FR"/>
        </w:rPr>
        <w:t></w:t>
      </w:r>
      <w:r w:rsidR="00BB0956" w:rsidRPr="002E4298">
        <w:rPr>
          <w:rFonts w:ascii="Symbol" w:hAnsi="Symbol"/>
          <w:sz w:val="14"/>
          <w:lang w:val="fr-FR"/>
        </w:rPr>
        <w:tab/>
      </w:r>
      <w:r w:rsidR="00BB0956" w:rsidRPr="002E4298">
        <w:rPr>
          <w:lang w:val="fr-FR" w:bidi="fr-FR"/>
        </w:rPr>
        <w:t>l’IEFP mène actuellement une évaluation de la faisabilité d’intégrer des compétences en matière de négociation salariale dans le cadre du réexamen des méthodologies relatives aux relations avec les usagers du Service public de l’emploi (SPE) ;</w:t>
      </w:r>
    </w:p>
    <w:p w14:paraId="2C7F5AD7" w14:textId="3D75E893" w:rsidR="00BB0956" w:rsidRPr="002E4298" w:rsidRDefault="00BB0956" w:rsidP="00BB0956">
      <w:pPr>
        <w:pStyle w:val="SingleTxt"/>
        <w:rPr>
          <w:lang w:val="fr-FR" w:bidi="fr-FR"/>
        </w:rPr>
      </w:pPr>
      <w:r w:rsidRPr="002E4298">
        <w:rPr>
          <w:lang w:val="fr-FR" w:bidi="fr-FR"/>
        </w:rPr>
        <w:tab/>
        <w:t>c)</w:t>
      </w:r>
      <w:r w:rsidRPr="002E4298">
        <w:rPr>
          <w:lang w:val="fr-FR" w:bidi="fr-FR"/>
        </w:rPr>
        <w:tab/>
        <w:t>assurer la protection de la parentalité et promouvoir l’équilibre entre vie professionnelle, vie privée et vie familiale :</w:t>
      </w:r>
    </w:p>
    <w:p w14:paraId="2CCCB376" w14:textId="6F6811CA" w:rsidR="00BB0956" w:rsidRPr="002E4298" w:rsidRDefault="00296005" w:rsidP="0029600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rPr>
          <w:lang w:val="fr-FR"/>
        </w:rPr>
      </w:pPr>
      <w:r w:rsidRPr="002E4298">
        <w:rPr>
          <w:rFonts w:ascii="Symbol" w:hAnsi="Symbol"/>
          <w:sz w:val="14"/>
          <w:lang w:val="fr-FR"/>
        </w:rPr>
        <w:tab/>
      </w:r>
      <w:r w:rsidR="00BB0956" w:rsidRPr="002E4298">
        <w:rPr>
          <w:rFonts w:ascii="Symbol" w:hAnsi="Symbol"/>
          <w:sz w:val="14"/>
          <w:lang w:val="fr-FR"/>
        </w:rPr>
        <w:t></w:t>
      </w:r>
      <w:r w:rsidR="00BB0956" w:rsidRPr="002E4298">
        <w:rPr>
          <w:rFonts w:ascii="Symbol" w:hAnsi="Symbol"/>
          <w:sz w:val="14"/>
          <w:lang w:val="fr-FR"/>
        </w:rPr>
        <w:tab/>
      </w:r>
      <w:r w:rsidR="00BB0956" w:rsidRPr="002E4298">
        <w:rPr>
          <w:lang w:val="fr-FR" w:bidi="fr-FR"/>
        </w:rPr>
        <w:t xml:space="preserve">mise en œuvre de mesures positives et augmentation de l’aide aux entreprises et aux employeurs qui recrutent des travailleurs issus de familles monoparentales au moyen de l’aide à l’embauche (Contrato-Emprego), de stages professionnels (Estágios Profissionais), ou du contrat emploi-intégration + (CEI+). Le nombre de familles monoparentales </w:t>
      </w:r>
      <w:r w:rsidR="00BB0956" w:rsidRPr="002E4298">
        <w:rPr>
          <w:lang w:val="fr-FR" w:bidi="fr-FR"/>
        </w:rPr>
        <w:lastRenderedPageBreak/>
        <w:t>bénéficiant de ces mesures fait également partie des données collectées aux fins du plan d’action ;</w:t>
      </w:r>
    </w:p>
    <w:p w14:paraId="440D890A" w14:textId="067F60AE" w:rsidR="00BB0956" w:rsidRPr="002E4298" w:rsidRDefault="00BB0956" w:rsidP="00BB0956">
      <w:pPr>
        <w:pStyle w:val="SingleTxt"/>
        <w:rPr>
          <w:lang w:val="fr-FR" w:bidi="fr-FR"/>
        </w:rPr>
      </w:pPr>
      <w:r w:rsidRPr="002E4298">
        <w:rPr>
          <w:lang w:val="fr-FR" w:bidi="fr-FR"/>
        </w:rPr>
        <w:tab/>
        <w:t>d)</w:t>
      </w:r>
      <w:r w:rsidRPr="002E4298">
        <w:rPr>
          <w:lang w:val="fr-FR" w:bidi="fr-FR"/>
        </w:rPr>
        <w:tab/>
        <w:t>promouvoir l’égalité entre les femmes et les hommes dans l’enseignement supérieur et le développement scientifique et technique :</w:t>
      </w:r>
    </w:p>
    <w:p w14:paraId="564F0FEF" w14:textId="5FACB512" w:rsidR="00BB0956" w:rsidRPr="002E4298" w:rsidRDefault="00296005" w:rsidP="00296005">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475"/>
        <w:rPr>
          <w:lang w:val="fr-FR"/>
        </w:rPr>
      </w:pPr>
      <w:r w:rsidRPr="002E4298">
        <w:rPr>
          <w:rFonts w:ascii="Symbol" w:hAnsi="Symbol"/>
          <w:sz w:val="14"/>
          <w:lang w:val="fr-FR"/>
        </w:rPr>
        <w:tab/>
      </w:r>
      <w:r w:rsidR="00BB0956" w:rsidRPr="002E4298">
        <w:rPr>
          <w:rFonts w:ascii="Symbol" w:hAnsi="Symbol"/>
          <w:sz w:val="14"/>
          <w:lang w:val="fr-FR"/>
        </w:rPr>
        <w:t></w:t>
      </w:r>
      <w:r w:rsidR="00BB0956" w:rsidRPr="002E4298">
        <w:rPr>
          <w:rFonts w:ascii="Symbol" w:hAnsi="Symbol"/>
          <w:sz w:val="14"/>
          <w:lang w:val="fr-FR"/>
        </w:rPr>
        <w:tab/>
      </w:r>
      <w:r w:rsidR="00BB0956" w:rsidRPr="002E4298">
        <w:rPr>
          <w:lang w:val="fr-FR" w:bidi="fr-FR"/>
        </w:rPr>
        <w:t>mise en œuvre de la mesure « Formation à la citoyenneté numérique », en veillant à une participation équilibrée des femmes et des hommes, conçue pour garantir l’accès aux nouvelles technologies numériques à l’ensemble de la population portugaise, y compris l’utilisation des services publics en ligne, des notifications électroniques, de la sécurité numérique et des réseaux sociaux.</w:t>
      </w:r>
    </w:p>
    <w:p w14:paraId="322332B8" w14:textId="78DB30D2" w:rsidR="00BB0956" w:rsidRPr="002E4298" w:rsidRDefault="00BB0956" w:rsidP="00A11C35">
      <w:pPr>
        <w:pStyle w:val="SingleTxt"/>
        <w:numPr>
          <w:ilvl w:val="0"/>
          <w:numId w:val="6"/>
        </w:numPr>
        <w:tabs>
          <w:tab w:val="num" w:pos="1769"/>
        </w:tabs>
        <w:spacing w:line="240" w:lineRule="exact"/>
        <w:rPr>
          <w:lang w:val="fr-FR"/>
        </w:rPr>
      </w:pPr>
      <w:r w:rsidRPr="002E4298">
        <w:rPr>
          <w:lang w:val="fr-FR" w:bidi="fr-FR"/>
        </w:rPr>
        <w:t>La mesure de « promotion de l’égalité des genres sur le marché du travail »</w:t>
      </w:r>
      <w:r w:rsidRPr="002E4298">
        <w:rPr>
          <w:vertAlign w:val="superscript"/>
          <w:lang w:val="fr-FR" w:bidi="fr-FR"/>
        </w:rPr>
        <w:footnoteReference w:id="26"/>
      </w:r>
      <w:r w:rsidRPr="002E4298">
        <w:rPr>
          <w:lang w:val="fr-FR" w:bidi="fr-FR"/>
        </w:rPr>
        <w:t>, également mise en œuvre dans le cadre de la Stratégie nationale en faveur de l’égalité et de la non-discrimination, visait à :</w:t>
      </w:r>
    </w:p>
    <w:p w14:paraId="0B5D9018" w14:textId="13FFA98D" w:rsidR="00BB0956" w:rsidRPr="002E4298" w:rsidRDefault="00CC4AD2" w:rsidP="00CC4AD2">
      <w:pPr>
        <w:pStyle w:val="SingleTxt"/>
        <w:tabs>
          <w:tab w:val="right" w:pos="1685"/>
        </w:tabs>
        <w:ind w:left="1742" w:hanging="475"/>
        <w:rPr>
          <w:lang w:val="fr-FR"/>
        </w:rPr>
      </w:pPr>
      <w:r w:rsidRPr="002E4298">
        <w:rPr>
          <w:rFonts w:ascii="Symbol" w:hAnsi="Symbol"/>
          <w:sz w:val="14"/>
          <w:lang w:val="fr-FR"/>
        </w:rPr>
        <w:tab/>
      </w:r>
      <w:r w:rsidRPr="002E4298">
        <w:rPr>
          <w:rFonts w:ascii="Symbol" w:hAnsi="Symbol"/>
          <w:sz w:val="14"/>
          <w:lang w:val="fr-FR"/>
        </w:rPr>
        <w:t></w:t>
      </w:r>
      <w:r w:rsidRPr="002E4298">
        <w:rPr>
          <w:rFonts w:ascii="Symbol" w:hAnsi="Symbol"/>
          <w:sz w:val="14"/>
          <w:lang w:val="fr-FR"/>
        </w:rPr>
        <w:tab/>
      </w:r>
      <w:r w:rsidR="00BB0956" w:rsidRPr="002E4298">
        <w:rPr>
          <w:lang w:val="fr-FR" w:bidi="fr-FR"/>
        </w:rPr>
        <w:t>promouvoir l’égalité des genres sur le marché du travail ;</w:t>
      </w:r>
    </w:p>
    <w:p w14:paraId="1F6D94A1" w14:textId="5218332E" w:rsidR="00BB0956" w:rsidRPr="002E4298" w:rsidRDefault="00CC4AD2" w:rsidP="00CC4AD2">
      <w:pPr>
        <w:pStyle w:val="SingleTxt"/>
        <w:tabs>
          <w:tab w:val="right" w:pos="1685"/>
        </w:tabs>
        <w:ind w:left="1742" w:hanging="475"/>
        <w:rPr>
          <w:lang w:val="fr-FR"/>
        </w:rPr>
      </w:pPr>
      <w:r w:rsidRPr="002E4298">
        <w:rPr>
          <w:rFonts w:ascii="Symbol" w:hAnsi="Symbol"/>
          <w:sz w:val="14"/>
          <w:lang w:val="fr-FR"/>
        </w:rPr>
        <w:tab/>
      </w:r>
      <w:r w:rsidRPr="002E4298">
        <w:rPr>
          <w:rFonts w:ascii="Symbol" w:hAnsi="Symbol"/>
          <w:sz w:val="14"/>
          <w:lang w:val="fr-FR"/>
        </w:rPr>
        <w:t></w:t>
      </w:r>
      <w:r w:rsidRPr="002E4298">
        <w:rPr>
          <w:rFonts w:ascii="Symbol" w:hAnsi="Symbol"/>
          <w:sz w:val="14"/>
          <w:lang w:val="fr-FR"/>
        </w:rPr>
        <w:tab/>
      </w:r>
      <w:r w:rsidR="00BB0956" w:rsidRPr="002E4298">
        <w:rPr>
          <w:lang w:val="fr-FR" w:bidi="fr-FR"/>
        </w:rPr>
        <w:t>lutter contre la discrimination fondée sur le genre</w:t>
      </w:r>
      <w:r w:rsidR="00BB0956" w:rsidRPr="002E4298" w:rsidDel="0045507A">
        <w:rPr>
          <w:lang w:val="fr-FR" w:bidi="fr-FR"/>
        </w:rPr>
        <w:t xml:space="preserve"> </w:t>
      </w:r>
      <w:r w:rsidR="00BB0956" w:rsidRPr="002E4298">
        <w:rPr>
          <w:lang w:val="fr-FR" w:bidi="fr-FR"/>
        </w:rPr>
        <w:t>sur le marché du travail ;</w:t>
      </w:r>
    </w:p>
    <w:p w14:paraId="49EBA8E6" w14:textId="057044F4" w:rsidR="00BB0956" w:rsidRPr="002E4298" w:rsidRDefault="00CC4AD2" w:rsidP="00CC4AD2">
      <w:pPr>
        <w:pStyle w:val="SingleTxt"/>
        <w:tabs>
          <w:tab w:val="right" w:pos="1685"/>
        </w:tabs>
        <w:ind w:left="1742" w:hanging="475"/>
        <w:rPr>
          <w:lang w:val="fr-FR"/>
        </w:rPr>
      </w:pPr>
      <w:r w:rsidRPr="002E4298">
        <w:rPr>
          <w:rFonts w:ascii="Symbol" w:hAnsi="Symbol"/>
          <w:sz w:val="14"/>
          <w:lang w:val="fr-FR"/>
        </w:rPr>
        <w:tab/>
      </w:r>
      <w:r w:rsidRPr="002E4298">
        <w:rPr>
          <w:rFonts w:ascii="Symbol" w:hAnsi="Symbol"/>
          <w:sz w:val="14"/>
          <w:lang w:val="fr-FR"/>
        </w:rPr>
        <w:t></w:t>
      </w:r>
      <w:r w:rsidRPr="002E4298">
        <w:rPr>
          <w:rFonts w:ascii="Symbol" w:hAnsi="Symbol"/>
          <w:sz w:val="14"/>
          <w:lang w:val="fr-FR"/>
        </w:rPr>
        <w:tab/>
      </w:r>
      <w:r w:rsidR="00BB0956" w:rsidRPr="002E4298">
        <w:rPr>
          <w:lang w:val="fr-FR" w:bidi="fr-FR"/>
        </w:rPr>
        <w:t>encourager le recrutement de demandeurs d’emploi du sexe sous-représenté dans une profession ;</w:t>
      </w:r>
    </w:p>
    <w:p w14:paraId="70BB532C" w14:textId="3F1204EE" w:rsidR="00BB0956" w:rsidRPr="002E4298" w:rsidRDefault="00CC4AD2" w:rsidP="00CC4AD2">
      <w:pPr>
        <w:pStyle w:val="SingleTxt"/>
        <w:tabs>
          <w:tab w:val="right" w:pos="1685"/>
        </w:tabs>
        <w:ind w:left="1742" w:hanging="475"/>
        <w:rPr>
          <w:lang w:val="fr-FR"/>
        </w:rPr>
      </w:pPr>
      <w:r w:rsidRPr="002E4298">
        <w:rPr>
          <w:rFonts w:ascii="Symbol" w:hAnsi="Symbol"/>
          <w:sz w:val="14"/>
          <w:lang w:val="fr-FR"/>
        </w:rPr>
        <w:tab/>
      </w:r>
      <w:r w:rsidRPr="002E4298">
        <w:rPr>
          <w:rFonts w:ascii="Symbol" w:hAnsi="Symbol"/>
          <w:sz w:val="14"/>
          <w:lang w:val="fr-FR"/>
        </w:rPr>
        <w:t></w:t>
      </w:r>
      <w:r w:rsidRPr="002E4298">
        <w:rPr>
          <w:rFonts w:ascii="Symbol" w:hAnsi="Symbol"/>
          <w:sz w:val="14"/>
          <w:lang w:val="fr-FR"/>
        </w:rPr>
        <w:tab/>
      </w:r>
      <w:r w:rsidR="00BB0956" w:rsidRPr="002E4298">
        <w:rPr>
          <w:lang w:val="fr-FR" w:bidi="fr-FR"/>
        </w:rPr>
        <w:t>encourager les jeunes chômeurs à choisir une profession ou un emploi en fonction de leur vocation et sans contraintes motivées par des stéréotypes fondés sur le genre.</w:t>
      </w:r>
    </w:p>
    <w:p w14:paraId="5D72B419" w14:textId="5905FB20" w:rsidR="00BB0956" w:rsidRPr="002E4298" w:rsidRDefault="00BB0956" w:rsidP="00A11C35">
      <w:pPr>
        <w:pStyle w:val="SingleTxt"/>
        <w:numPr>
          <w:ilvl w:val="0"/>
          <w:numId w:val="6"/>
        </w:numPr>
        <w:tabs>
          <w:tab w:val="num" w:pos="1769"/>
        </w:tabs>
        <w:spacing w:line="240" w:lineRule="exact"/>
        <w:rPr>
          <w:lang w:val="fr-FR"/>
        </w:rPr>
      </w:pPr>
      <w:r w:rsidRPr="002E4298">
        <w:rPr>
          <w:lang w:val="fr-FR" w:bidi="fr-FR"/>
        </w:rPr>
        <w:t>En 2018, 1 756 emplois ont été créés, soit environ 13 % du nombre total d’emplois relevant de la mesure d’aide à l’embauche, dont 60,1 % ont été occupés par des hommes et 39,9 % par des femmes.</w:t>
      </w:r>
    </w:p>
    <w:p w14:paraId="1473F954" w14:textId="2903CD5D" w:rsidR="00BB0956" w:rsidRPr="002E4298" w:rsidRDefault="00BB0956" w:rsidP="00CC4AD2">
      <w:pPr>
        <w:pStyle w:val="SingleTxt"/>
        <w:spacing w:after="0" w:line="120" w:lineRule="exact"/>
        <w:rPr>
          <w:sz w:val="10"/>
          <w:lang w:val="fr-FR"/>
        </w:rPr>
      </w:pPr>
    </w:p>
    <w:p w14:paraId="11EA41A7" w14:textId="1EED879B" w:rsidR="00CC4AD2" w:rsidRPr="002E4298" w:rsidRDefault="00CC4AD2" w:rsidP="00CC4A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2E4298">
        <w:rPr>
          <w:lang w:val="fr-FR"/>
        </w:rPr>
        <w:tab/>
      </w:r>
      <w:r w:rsidRPr="002E4298">
        <w:rPr>
          <w:lang w:val="fr-FR"/>
        </w:rPr>
        <w:tab/>
      </w:r>
      <w:r w:rsidRPr="002E4298">
        <w:rPr>
          <w:lang w:val="fr-FR" w:bidi="fr-FR"/>
        </w:rPr>
        <w:t>Promotion de l’égalité des genres sur le marché du travail (2018), nombre de bénéficiaires</w:t>
      </w:r>
    </w:p>
    <w:p w14:paraId="19781051" w14:textId="2E16A016" w:rsidR="00CC4AD2" w:rsidRPr="002E4298" w:rsidRDefault="00CC4AD2" w:rsidP="00CC4AD2">
      <w:pPr>
        <w:pStyle w:val="SingleTxt"/>
        <w:spacing w:after="0" w:line="120" w:lineRule="exact"/>
        <w:rPr>
          <w:sz w:val="10"/>
          <w:lang w:val="fr-FR" w:bidi="fr-FR"/>
        </w:rPr>
      </w:pPr>
    </w:p>
    <w:p w14:paraId="3508295C" w14:textId="15277F33" w:rsidR="00CC4AD2" w:rsidRPr="002E4298" w:rsidRDefault="00CC4AD2" w:rsidP="00CC4AD2">
      <w:pPr>
        <w:pStyle w:val="SingleTxt"/>
        <w:spacing w:after="0" w:line="120" w:lineRule="exact"/>
        <w:rPr>
          <w:sz w:val="10"/>
          <w:lang w:val="fr-FR" w:bidi="fr-FR"/>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4"/>
        <w:gridCol w:w="1464"/>
        <w:gridCol w:w="1464"/>
        <w:gridCol w:w="126"/>
        <w:gridCol w:w="1338"/>
        <w:gridCol w:w="1464"/>
      </w:tblGrid>
      <w:tr w:rsidR="00CC4AD2" w:rsidRPr="002E4298" w14:paraId="7B7DE233" w14:textId="77777777" w:rsidTr="00CC4AD2">
        <w:trPr>
          <w:tblHeader/>
        </w:trPr>
        <w:tc>
          <w:tcPr>
            <w:tcW w:w="1464" w:type="dxa"/>
            <w:tcBorders>
              <w:top w:val="single" w:sz="4" w:space="0" w:color="auto"/>
            </w:tcBorders>
            <w:shd w:val="clear" w:color="auto" w:fill="auto"/>
            <w:vAlign w:val="bottom"/>
          </w:tcPr>
          <w:p w14:paraId="2E9E9C69" w14:textId="77777777" w:rsidR="00CC4AD2" w:rsidRPr="002E4298" w:rsidRDefault="00CC4AD2" w:rsidP="00CC4AD2">
            <w:pPr>
              <w:spacing w:before="81" w:after="81" w:line="160" w:lineRule="exact"/>
              <w:ind w:right="40"/>
              <w:rPr>
                <w:i/>
                <w:sz w:val="14"/>
                <w:lang w:val="fr-FR"/>
              </w:rPr>
            </w:pPr>
          </w:p>
        </w:tc>
        <w:tc>
          <w:tcPr>
            <w:tcW w:w="2928" w:type="dxa"/>
            <w:gridSpan w:val="2"/>
            <w:tcBorders>
              <w:top w:val="single" w:sz="4" w:space="0" w:color="auto"/>
              <w:bottom w:val="single" w:sz="4" w:space="0" w:color="auto"/>
            </w:tcBorders>
            <w:shd w:val="clear" w:color="auto" w:fill="auto"/>
            <w:vAlign w:val="bottom"/>
          </w:tcPr>
          <w:p w14:paraId="48F742C6" w14:textId="7CAE2CD9" w:rsidR="00CC4AD2" w:rsidRPr="002E4298" w:rsidRDefault="00CC4AD2" w:rsidP="00CC4AD2">
            <w:pPr>
              <w:spacing w:before="81" w:after="81" w:line="160" w:lineRule="exact"/>
              <w:ind w:right="43"/>
              <w:jc w:val="center"/>
              <w:rPr>
                <w:i/>
                <w:sz w:val="14"/>
                <w:lang w:val="fr-FR"/>
              </w:rPr>
            </w:pPr>
            <w:r w:rsidRPr="002E4298">
              <w:rPr>
                <w:i/>
                <w:sz w:val="14"/>
                <w:lang w:val="fr-FR"/>
              </w:rPr>
              <w:t>Hommes</w:t>
            </w:r>
          </w:p>
        </w:tc>
        <w:tc>
          <w:tcPr>
            <w:tcW w:w="126" w:type="dxa"/>
            <w:tcBorders>
              <w:top w:val="single" w:sz="4" w:space="0" w:color="auto"/>
            </w:tcBorders>
            <w:shd w:val="clear" w:color="auto" w:fill="auto"/>
            <w:vAlign w:val="bottom"/>
          </w:tcPr>
          <w:p w14:paraId="60089C9F" w14:textId="77777777" w:rsidR="00CC4AD2" w:rsidRPr="002E4298" w:rsidRDefault="00CC4AD2" w:rsidP="00CC4AD2">
            <w:pPr>
              <w:spacing w:before="81" w:after="81" w:line="160" w:lineRule="exact"/>
              <w:ind w:right="43"/>
              <w:jc w:val="center"/>
              <w:rPr>
                <w:i/>
                <w:sz w:val="14"/>
                <w:lang w:val="fr-FR"/>
              </w:rPr>
            </w:pPr>
          </w:p>
        </w:tc>
        <w:tc>
          <w:tcPr>
            <w:tcW w:w="2802" w:type="dxa"/>
            <w:gridSpan w:val="2"/>
            <w:tcBorders>
              <w:top w:val="single" w:sz="4" w:space="0" w:color="auto"/>
              <w:bottom w:val="single" w:sz="4" w:space="0" w:color="auto"/>
            </w:tcBorders>
            <w:shd w:val="clear" w:color="auto" w:fill="auto"/>
            <w:vAlign w:val="bottom"/>
          </w:tcPr>
          <w:p w14:paraId="5BB64B91" w14:textId="338299B1" w:rsidR="00CC4AD2" w:rsidRPr="002E4298" w:rsidRDefault="00CC4AD2" w:rsidP="00CC4AD2">
            <w:pPr>
              <w:spacing w:before="81" w:after="81" w:line="160" w:lineRule="exact"/>
              <w:ind w:right="43"/>
              <w:jc w:val="center"/>
              <w:rPr>
                <w:i/>
                <w:sz w:val="14"/>
                <w:lang w:val="fr-FR"/>
              </w:rPr>
            </w:pPr>
            <w:r w:rsidRPr="002E4298">
              <w:rPr>
                <w:i/>
                <w:sz w:val="14"/>
                <w:lang w:val="fr-FR"/>
              </w:rPr>
              <w:t>Femmes</w:t>
            </w:r>
          </w:p>
        </w:tc>
      </w:tr>
      <w:tr w:rsidR="00CC4AD2" w:rsidRPr="002E4298" w14:paraId="57233572" w14:textId="77777777" w:rsidTr="00CC4AD2">
        <w:trPr>
          <w:tblHeader/>
        </w:trPr>
        <w:tc>
          <w:tcPr>
            <w:tcW w:w="1464" w:type="dxa"/>
            <w:tcBorders>
              <w:bottom w:val="single" w:sz="12" w:space="0" w:color="auto"/>
            </w:tcBorders>
            <w:shd w:val="clear" w:color="auto" w:fill="auto"/>
            <w:vAlign w:val="bottom"/>
          </w:tcPr>
          <w:p w14:paraId="275BA747" w14:textId="3165311B" w:rsidR="00CC4AD2" w:rsidRPr="002E4298" w:rsidRDefault="00CC4AD2" w:rsidP="00CC4AD2">
            <w:pPr>
              <w:spacing w:before="81" w:after="81" w:line="160" w:lineRule="exact"/>
              <w:ind w:right="40"/>
              <w:rPr>
                <w:b/>
                <w:bCs/>
                <w:i/>
                <w:sz w:val="14"/>
                <w:lang w:val="fr-FR"/>
              </w:rPr>
            </w:pPr>
            <w:r w:rsidRPr="002E4298">
              <w:rPr>
                <w:b/>
                <w:bCs/>
                <w:i/>
                <w:sz w:val="14"/>
                <w:lang w:val="fr-FR"/>
              </w:rPr>
              <w:t>Total</w:t>
            </w:r>
          </w:p>
        </w:tc>
        <w:tc>
          <w:tcPr>
            <w:tcW w:w="1464" w:type="dxa"/>
            <w:tcBorders>
              <w:top w:val="single" w:sz="4" w:space="0" w:color="auto"/>
              <w:bottom w:val="single" w:sz="12" w:space="0" w:color="auto"/>
            </w:tcBorders>
            <w:shd w:val="clear" w:color="auto" w:fill="auto"/>
            <w:vAlign w:val="bottom"/>
          </w:tcPr>
          <w:p w14:paraId="022D263D" w14:textId="1219A17E" w:rsidR="00CC4AD2" w:rsidRPr="002E4298" w:rsidRDefault="00CC4AD2" w:rsidP="00CC4AD2">
            <w:pPr>
              <w:spacing w:before="81" w:after="81" w:line="160" w:lineRule="exact"/>
              <w:ind w:right="43"/>
              <w:jc w:val="right"/>
              <w:rPr>
                <w:i/>
                <w:sz w:val="14"/>
                <w:lang w:val="fr-FR"/>
              </w:rPr>
            </w:pPr>
            <w:r w:rsidRPr="002E4298">
              <w:rPr>
                <w:i/>
                <w:sz w:val="14"/>
                <w:lang w:val="fr-FR"/>
              </w:rPr>
              <w:t>Nº</w:t>
            </w:r>
          </w:p>
        </w:tc>
        <w:tc>
          <w:tcPr>
            <w:tcW w:w="1464" w:type="dxa"/>
            <w:tcBorders>
              <w:top w:val="single" w:sz="4" w:space="0" w:color="auto"/>
              <w:bottom w:val="single" w:sz="12" w:space="0" w:color="auto"/>
            </w:tcBorders>
            <w:shd w:val="clear" w:color="auto" w:fill="auto"/>
            <w:vAlign w:val="bottom"/>
          </w:tcPr>
          <w:p w14:paraId="1920A4AA" w14:textId="7C551997" w:rsidR="00CC4AD2" w:rsidRPr="002E4298" w:rsidRDefault="00CC4AD2" w:rsidP="00CC4AD2">
            <w:pPr>
              <w:spacing w:before="81" w:after="81" w:line="160" w:lineRule="exact"/>
              <w:ind w:right="43"/>
              <w:jc w:val="right"/>
              <w:rPr>
                <w:i/>
                <w:sz w:val="14"/>
                <w:lang w:val="fr-FR"/>
              </w:rPr>
            </w:pPr>
            <w:r w:rsidRPr="002E4298">
              <w:rPr>
                <w:i/>
                <w:sz w:val="14"/>
                <w:lang w:val="fr-FR"/>
              </w:rPr>
              <w:t>%</w:t>
            </w:r>
          </w:p>
        </w:tc>
        <w:tc>
          <w:tcPr>
            <w:tcW w:w="1464" w:type="dxa"/>
            <w:gridSpan w:val="2"/>
            <w:tcBorders>
              <w:bottom w:val="single" w:sz="12" w:space="0" w:color="auto"/>
            </w:tcBorders>
            <w:shd w:val="clear" w:color="auto" w:fill="auto"/>
            <w:vAlign w:val="bottom"/>
          </w:tcPr>
          <w:p w14:paraId="1459D193" w14:textId="67C3A63F" w:rsidR="00CC4AD2" w:rsidRPr="002E4298" w:rsidRDefault="00CC4AD2" w:rsidP="00CC4AD2">
            <w:pPr>
              <w:spacing w:before="81" w:after="81" w:line="160" w:lineRule="exact"/>
              <w:ind w:right="43"/>
              <w:jc w:val="right"/>
              <w:rPr>
                <w:i/>
                <w:sz w:val="14"/>
                <w:lang w:val="fr-FR"/>
              </w:rPr>
            </w:pPr>
            <w:r w:rsidRPr="002E4298">
              <w:rPr>
                <w:i/>
                <w:sz w:val="14"/>
                <w:lang w:val="fr-FR"/>
              </w:rPr>
              <w:t>Nº</w:t>
            </w:r>
          </w:p>
        </w:tc>
        <w:tc>
          <w:tcPr>
            <w:tcW w:w="1464" w:type="dxa"/>
            <w:tcBorders>
              <w:bottom w:val="single" w:sz="12" w:space="0" w:color="auto"/>
            </w:tcBorders>
            <w:shd w:val="clear" w:color="auto" w:fill="auto"/>
            <w:vAlign w:val="bottom"/>
          </w:tcPr>
          <w:p w14:paraId="54C9A747" w14:textId="57CDAA68" w:rsidR="00CC4AD2" w:rsidRPr="002E4298" w:rsidRDefault="00CC4AD2" w:rsidP="00CC4AD2">
            <w:pPr>
              <w:spacing w:before="81" w:after="81" w:line="160" w:lineRule="exact"/>
              <w:ind w:right="43"/>
              <w:jc w:val="right"/>
              <w:rPr>
                <w:i/>
                <w:sz w:val="14"/>
                <w:lang w:val="fr-FR"/>
              </w:rPr>
            </w:pPr>
            <w:r w:rsidRPr="002E4298">
              <w:rPr>
                <w:i/>
                <w:sz w:val="14"/>
                <w:lang w:val="fr-FR"/>
              </w:rPr>
              <w:t>%</w:t>
            </w:r>
          </w:p>
        </w:tc>
      </w:tr>
      <w:tr w:rsidR="00CC4AD2" w:rsidRPr="002E4298" w14:paraId="2CE89695" w14:textId="77777777" w:rsidTr="00CC4AD2">
        <w:trPr>
          <w:trHeight w:hRule="exact" w:val="115"/>
          <w:tblHeader/>
        </w:trPr>
        <w:tc>
          <w:tcPr>
            <w:tcW w:w="1464" w:type="dxa"/>
            <w:tcBorders>
              <w:top w:val="single" w:sz="12" w:space="0" w:color="auto"/>
            </w:tcBorders>
            <w:shd w:val="clear" w:color="auto" w:fill="auto"/>
            <w:vAlign w:val="bottom"/>
          </w:tcPr>
          <w:p w14:paraId="5B710204" w14:textId="77777777" w:rsidR="00CC4AD2" w:rsidRPr="002E4298" w:rsidRDefault="00CC4AD2" w:rsidP="00CC4AD2">
            <w:pPr>
              <w:spacing w:before="40" w:after="40" w:line="210" w:lineRule="exact"/>
              <w:ind w:right="40"/>
              <w:rPr>
                <w:b/>
                <w:bCs/>
                <w:sz w:val="17"/>
                <w:lang w:val="fr-FR"/>
              </w:rPr>
            </w:pPr>
          </w:p>
        </w:tc>
        <w:tc>
          <w:tcPr>
            <w:tcW w:w="1464" w:type="dxa"/>
            <w:tcBorders>
              <w:top w:val="single" w:sz="12" w:space="0" w:color="auto"/>
            </w:tcBorders>
            <w:shd w:val="clear" w:color="auto" w:fill="auto"/>
            <w:vAlign w:val="bottom"/>
          </w:tcPr>
          <w:p w14:paraId="19673011" w14:textId="77777777" w:rsidR="00CC4AD2" w:rsidRPr="002E4298" w:rsidRDefault="00CC4AD2" w:rsidP="00CC4AD2">
            <w:pPr>
              <w:spacing w:before="40" w:after="40" w:line="210" w:lineRule="exact"/>
              <w:ind w:right="43"/>
              <w:jc w:val="right"/>
              <w:rPr>
                <w:sz w:val="17"/>
                <w:lang w:val="fr-FR"/>
              </w:rPr>
            </w:pPr>
          </w:p>
        </w:tc>
        <w:tc>
          <w:tcPr>
            <w:tcW w:w="1464" w:type="dxa"/>
            <w:tcBorders>
              <w:top w:val="single" w:sz="12" w:space="0" w:color="auto"/>
            </w:tcBorders>
            <w:shd w:val="clear" w:color="auto" w:fill="auto"/>
            <w:vAlign w:val="bottom"/>
          </w:tcPr>
          <w:p w14:paraId="26ABC322" w14:textId="77777777" w:rsidR="00CC4AD2" w:rsidRPr="002E4298" w:rsidRDefault="00CC4AD2" w:rsidP="00CC4AD2">
            <w:pPr>
              <w:spacing w:before="40" w:after="40" w:line="210" w:lineRule="exact"/>
              <w:ind w:right="43"/>
              <w:jc w:val="right"/>
              <w:rPr>
                <w:sz w:val="17"/>
                <w:lang w:val="fr-FR"/>
              </w:rPr>
            </w:pPr>
          </w:p>
        </w:tc>
        <w:tc>
          <w:tcPr>
            <w:tcW w:w="1464" w:type="dxa"/>
            <w:gridSpan w:val="2"/>
            <w:tcBorders>
              <w:top w:val="single" w:sz="12" w:space="0" w:color="auto"/>
            </w:tcBorders>
            <w:shd w:val="clear" w:color="auto" w:fill="auto"/>
            <w:vAlign w:val="bottom"/>
          </w:tcPr>
          <w:p w14:paraId="2669C9B8" w14:textId="77777777" w:rsidR="00CC4AD2" w:rsidRPr="002E4298" w:rsidRDefault="00CC4AD2" w:rsidP="00CC4AD2">
            <w:pPr>
              <w:spacing w:before="40" w:after="40" w:line="210" w:lineRule="exact"/>
              <w:ind w:right="43"/>
              <w:jc w:val="right"/>
              <w:rPr>
                <w:sz w:val="17"/>
                <w:lang w:val="fr-FR"/>
              </w:rPr>
            </w:pPr>
          </w:p>
        </w:tc>
        <w:tc>
          <w:tcPr>
            <w:tcW w:w="1464" w:type="dxa"/>
            <w:tcBorders>
              <w:top w:val="single" w:sz="12" w:space="0" w:color="auto"/>
            </w:tcBorders>
            <w:shd w:val="clear" w:color="auto" w:fill="auto"/>
            <w:vAlign w:val="bottom"/>
          </w:tcPr>
          <w:p w14:paraId="436C4D91" w14:textId="77777777" w:rsidR="00CC4AD2" w:rsidRPr="002E4298" w:rsidRDefault="00CC4AD2" w:rsidP="00CC4AD2">
            <w:pPr>
              <w:spacing w:before="40" w:after="40" w:line="210" w:lineRule="exact"/>
              <w:ind w:right="43"/>
              <w:jc w:val="right"/>
              <w:rPr>
                <w:sz w:val="17"/>
                <w:lang w:val="fr-FR"/>
              </w:rPr>
            </w:pPr>
          </w:p>
        </w:tc>
      </w:tr>
      <w:tr w:rsidR="00CC4AD2" w:rsidRPr="002E4298" w14:paraId="2A4BFA8E" w14:textId="77777777" w:rsidTr="00CC4AD2">
        <w:trPr>
          <w:tblHeader/>
        </w:trPr>
        <w:tc>
          <w:tcPr>
            <w:tcW w:w="1464" w:type="dxa"/>
            <w:tcBorders>
              <w:bottom w:val="single" w:sz="12" w:space="0" w:color="auto"/>
            </w:tcBorders>
            <w:shd w:val="clear" w:color="auto" w:fill="auto"/>
            <w:vAlign w:val="bottom"/>
          </w:tcPr>
          <w:p w14:paraId="7CC62A68" w14:textId="42973D70" w:rsidR="00CC4AD2" w:rsidRPr="002E4298" w:rsidRDefault="00CC4AD2" w:rsidP="00CC4AD2">
            <w:pPr>
              <w:tabs>
                <w:tab w:val="left" w:pos="288"/>
                <w:tab w:val="left" w:pos="576"/>
                <w:tab w:val="left" w:pos="864"/>
                <w:tab w:val="left" w:pos="1152"/>
              </w:tabs>
              <w:spacing w:before="40" w:after="40" w:line="210" w:lineRule="exact"/>
              <w:ind w:right="40"/>
              <w:rPr>
                <w:b/>
                <w:bCs/>
                <w:sz w:val="17"/>
                <w:lang w:val="fr-FR"/>
              </w:rPr>
            </w:pPr>
            <w:r w:rsidRPr="002E4298">
              <w:rPr>
                <w:b/>
                <w:bCs/>
                <w:sz w:val="17"/>
                <w:lang w:val="fr-FR"/>
              </w:rPr>
              <w:t>1 756</w:t>
            </w:r>
          </w:p>
        </w:tc>
        <w:tc>
          <w:tcPr>
            <w:tcW w:w="1464" w:type="dxa"/>
            <w:tcBorders>
              <w:bottom w:val="single" w:sz="12" w:space="0" w:color="auto"/>
            </w:tcBorders>
            <w:shd w:val="clear" w:color="auto" w:fill="auto"/>
            <w:vAlign w:val="bottom"/>
          </w:tcPr>
          <w:p w14:paraId="5955C95F" w14:textId="4DC601F6" w:rsidR="00CC4AD2" w:rsidRPr="002E4298" w:rsidRDefault="00CC4AD2" w:rsidP="00CC4AD2">
            <w:pPr>
              <w:tabs>
                <w:tab w:val="left" w:pos="288"/>
                <w:tab w:val="left" w:pos="576"/>
                <w:tab w:val="left" w:pos="864"/>
                <w:tab w:val="left" w:pos="1152"/>
              </w:tabs>
              <w:spacing w:before="40" w:after="40" w:line="210" w:lineRule="exact"/>
              <w:ind w:right="43"/>
              <w:jc w:val="right"/>
              <w:rPr>
                <w:sz w:val="17"/>
                <w:lang w:val="fr-FR"/>
              </w:rPr>
            </w:pPr>
            <w:r w:rsidRPr="002E4298">
              <w:rPr>
                <w:sz w:val="17"/>
                <w:lang w:val="fr-FR"/>
              </w:rPr>
              <w:t>1 055</w:t>
            </w:r>
          </w:p>
        </w:tc>
        <w:tc>
          <w:tcPr>
            <w:tcW w:w="1464" w:type="dxa"/>
            <w:tcBorders>
              <w:bottom w:val="single" w:sz="12" w:space="0" w:color="auto"/>
            </w:tcBorders>
            <w:shd w:val="clear" w:color="auto" w:fill="auto"/>
            <w:vAlign w:val="bottom"/>
          </w:tcPr>
          <w:p w14:paraId="4B1B2970" w14:textId="4382E074" w:rsidR="00CC4AD2" w:rsidRPr="002E4298" w:rsidRDefault="00CC4AD2" w:rsidP="00CC4AD2">
            <w:pPr>
              <w:tabs>
                <w:tab w:val="left" w:pos="288"/>
                <w:tab w:val="left" w:pos="576"/>
                <w:tab w:val="left" w:pos="864"/>
                <w:tab w:val="left" w:pos="1152"/>
              </w:tabs>
              <w:spacing w:before="40" w:after="40" w:line="210" w:lineRule="exact"/>
              <w:ind w:right="43"/>
              <w:jc w:val="right"/>
              <w:rPr>
                <w:sz w:val="17"/>
                <w:lang w:val="fr-FR"/>
              </w:rPr>
            </w:pPr>
            <w:r w:rsidRPr="002E4298">
              <w:rPr>
                <w:sz w:val="17"/>
                <w:lang w:val="fr-FR"/>
              </w:rPr>
              <w:t>60,1</w:t>
            </w:r>
          </w:p>
        </w:tc>
        <w:tc>
          <w:tcPr>
            <w:tcW w:w="1464" w:type="dxa"/>
            <w:gridSpan w:val="2"/>
            <w:tcBorders>
              <w:bottom w:val="single" w:sz="12" w:space="0" w:color="auto"/>
            </w:tcBorders>
            <w:shd w:val="clear" w:color="auto" w:fill="auto"/>
            <w:vAlign w:val="bottom"/>
          </w:tcPr>
          <w:p w14:paraId="6C11850D" w14:textId="69E05DF4" w:rsidR="00CC4AD2" w:rsidRPr="002E4298" w:rsidRDefault="00CC4AD2" w:rsidP="00CC4AD2">
            <w:pPr>
              <w:tabs>
                <w:tab w:val="left" w:pos="288"/>
                <w:tab w:val="left" w:pos="576"/>
                <w:tab w:val="left" w:pos="864"/>
                <w:tab w:val="left" w:pos="1152"/>
              </w:tabs>
              <w:spacing w:before="40" w:after="40" w:line="210" w:lineRule="exact"/>
              <w:ind w:right="43"/>
              <w:jc w:val="right"/>
              <w:rPr>
                <w:sz w:val="17"/>
                <w:lang w:val="fr-FR"/>
              </w:rPr>
            </w:pPr>
            <w:r w:rsidRPr="002E4298">
              <w:rPr>
                <w:sz w:val="17"/>
                <w:lang w:val="fr-FR"/>
              </w:rPr>
              <w:t>701</w:t>
            </w:r>
          </w:p>
        </w:tc>
        <w:tc>
          <w:tcPr>
            <w:tcW w:w="1464" w:type="dxa"/>
            <w:tcBorders>
              <w:bottom w:val="single" w:sz="12" w:space="0" w:color="auto"/>
            </w:tcBorders>
            <w:shd w:val="clear" w:color="auto" w:fill="auto"/>
            <w:vAlign w:val="bottom"/>
          </w:tcPr>
          <w:p w14:paraId="772A3BFB" w14:textId="71112BAA" w:rsidR="00CC4AD2" w:rsidRPr="002E4298" w:rsidRDefault="00CC4AD2" w:rsidP="00CC4AD2">
            <w:pPr>
              <w:tabs>
                <w:tab w:val="left" w:pos="288"/>
                <w:tab w:val="left" w:pos="576"/>
                <w:tab w:val="left" w:pos="864"/>
                <w:tab w:val="left" w:pos="1152"/>
              </w:tabs>
              <w:spacing w:before="40" w:after="40" w:line="210" w:lineRule="exact"/>
              <w:ind w:right="43"/>
              <w:jc w:val="right"/>
              <w:rPr>
                <w:sz w:val="17"/>
                <w:lang w:val="fr-FR"/>
              </w:rPr>
            </w:pPr>
            <w:r w:rsidRPr="002E4298">
              <w:rPr>
                <w:sz w:val="17"/>
                <w:lang w:val="fr-FR"/>
              </w:rPr>
              <w:t>39,9</w:t>
            </w:r>
          </w:p>
        </w:tc>
      </w:tr>
    </w:tbl>
    <w:p w14:paraId="4FB58A93" w14:textId="5D0CA5E2" w:rsidR="00CC4AD2" w:rsidRPr="002E4298" w:rsidRDefault="00CC4AD2" w:rsidP="00CC4AD2">
      <w:pPr>
        <w:pStyle w:val="SingleTxt"/>
        <w:spacing w:after="0" w:line="120" w:lineRule="exact"/>
        <w:rPr>
          <w:sz w:val="10"/>
          <w:lang w:val="fr-FR" w:bidi="fr-FR"/>
        </w:rPr>
      </w:pPr>
    </w:p>
    <w:p w14:paraId="5F0E1B68" w14:textId="7163EC20" w:rsidR="00BB0956" w:rsidRPr="002E4298" w:rsidRDefault="00BB0956" w:rsidP="00CC4AD2">
      <w:pPr>
        <w:pStyle w:val="FootnoteText"/>
        <w:tabs>
          <w:tab w:val="right" w:pos="1476"/>
          <w:tab w:val="left" w:pos="1548"/>
          <w:tab w:val="right" w:pos="1836"/>
          <w:tab w:val="left" w:pos="1908"/>
        </w:tabs>
        <w:ind w:left="1548" w:right="1267" w:hanging="288"/>
        <w:rPr>
          <w:lang w:val="fr-FR" w:bidi="fr-FR"/>
        </w:rPr>
      </w:pPr>
      <w:r w:rsidRPr="002E4298">
        <w:rPr>
          <w:i/>
          <w:lang w:val="fr-FR" w:bidi="fr-FR"/>
        </w:rPr>
        <w:t>Source</w:t>
      </w:r>
      <w:r w:rsidRPr="002E4298">
        <w:rPr>
          <w:iCs/>
          <w:lang w:val="fr-FR" w:bidi="fr-FR"/>
        </w:rPr>
        <w:t> :</w:t>
      </w:r>
      <w:r w:rsidRPr="002E4298">
        <w:rPr>
          <w:lang w:val="fr-FR" w:bidi="fr-FR"/>
        </w:rPr>
        <w:t xml:space="preserve"> IEFP, I.P.</w:t>
      </w:r>
    </w:p>
    <w:p w14:paraId="1DB0A106" w14:textId="1C1E281E" w:rsidR="00CC4AD2" w:rsidRPr="002E4298" w:rsidRDefault="00CC4AD2" w:rsidP="00CC4AD2">
      <w:pPr>
        <w:pStyle w:val="SingleTxt"/>
        <w:spacing w:after="0" w:line="120" w:lineRule="exact"/>
        <w:rPr>
          <w:sz w:val="10"/>
          <w:lang w:val="fr-FR" w:bidi="fr-FR"/>
        </w:rPr>
      </w:pPr>
    </w:p>
    <w:p w14:paraId="4BF5BE92" w14:textId="18F8096A" w:rsidR="00CC4AD2" w:rsidRPr="002E4298" w:rsidRDefault="00CC4AD2" w:rsidP="00CC4AD2">
      <w:pPr>
        <w:pStyle w:val="SingleTxt"/>
        <w:spacing w:after="0" w:line="120" w:lineRule="exact"/>
        <w:rPr>
          <w:sz w:val="10"/>
          <w:lang w:val="fr-FR"/>
        </w:rPr>
      </w:pPr>
    </w:p>
    <w:p w14:paraId="7E8DF654" w14:textId="272FF804" w:rsidR="00CC4AD2" w:rsidRPr="002E4298" w:rsidRDefault="00CC4AD2" w:rsidP="00CC4AD2">
      <w:pPr>
        <w:pStyle w:val="SingleTxt"/>
        <w:spacing w:after="0" w:line="120" w:lineRule="exact"/>
        <w:rPr>
          <w:sz w:val="10"/>
          <w:lang w:val="fr-FR"/>
        </w:rPr>
      </w:pPr>
    </w:p>
    <w:p w14:paraId="764A82E6" w14:textId="0CE4BBF6" w:rsidR="00CC4AD2" w:rsidRPr="002E4298" w:rsidRDefault="00CC4AD2" w:rsidP="00CC4A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E4298">
        <w:rPr>
          <w:lang w:val="fr-FR"/>
        </w:rPr>
        <w:tab/>
      </w:r>
      <w:r w:rsidRPr="002E4298">
        <w:rPr>
          <w:lang w:val="fr-FR"/>
        </w:rPr>
        <w:tab/>
        <w:t>Égalité femmes-hommes : mesures d’embauche</w:t>
      </w:r>
    </w:p>
    <w:p w14:paraId="3E0B88D6" w14:textId="5B8D439F" w:rsidR="00CC4AD2" w:rsidRPr="002E4298" w:rsidRDefault="00CC4AD2" w:rsidP="00CC4AD2">
      <w:pPr>
        <w:pStyle w:val="SingleTxt"/>
        <w:spacing w:after="0" w:line="120" w:lineRule="exact"/>
        <w:rPr>
          <w:sz w:val="10"/>
          <w:lang w:val="fr-FR"/>
        </w:rPr>
      </w:pPr>
    </w:p>
    <w:p w14:paraId="55680859" w14:textId="13151327" w:rsidR="00CC4AD2" w:rsidRPr="002E4298" w:rsidRDefault="00CC4AD2" w:rsidP="00CC4AD2">
      <w:pPr>
        <w:pStyle w:val="SingleTxt"/>
        <w:spacing w:after="0" w:line="120" w:lineRule="exact"/>
        <w:rPr>
          <w:sz w:val="10"/>
          <w:lang w:val="fr-FR"/>
        </w:rPr>
      </w:pPr>
    </w:p>
    <w:tbl>
      <w:tblPr>
        <w:tblStyle w:val="GridTable4-Accent1"/>
        <w:tblW w:w="7320"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5"/>
        <w:gridCol w:w="759"/>
        <w:gridCol w:w="113"/>
        <w:gridCol w:w="886"/>
        <w:gridCol w:w="918"/>
        <w:gridCol w:w="118"/>
        <w:gridCol w:w="866"/>
        <w:gridCol w:w="933"/>
        <w:gridCol w:w="123"/>
        <w:gridCol w:w="876"/>
        <w:gridCol w:w="813"/>
      </w:tblGrid>
      <w:tr w:rsidR="00870546" w:rsidRPr="002E4298" w14:paraId="1D484D3A" w14:textId="77777777" w:rsidTr="0087054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74" w:type="dxa"/>
            <w:gridSpan w:val="2"/>
            <w:tcBorders>
              <w:top w:val="single" w:sz="4" w:space="0" w:color="auto"/>
              <w:left w:val="none" w:sz="0" w:space="0" w:color="auto"/>
              <w:bottom w:val="single" w:sz="4" w:space="0" w:color="auto"/>
            </w:tcBorders>
            <w:shd w:val="clear" w:color="auto" w:fill="auto"/>
            <w:noWrap/>
            <w:vAlign w:val="bottom"/>
          </w:tcPr>
          <w:p w14:paraId="12EB76D0" w14:textId="4D55B3BC" w:rsidR="00870546" w:rsidRPr="002E4298" w:rsidRDefault="00870546" w:rsidP="00CC4AD2">
            <w:pPr>
              <w:suppressAutoHyphens/>
              <w:spacing w:before="81" w:after="81" w:line="160" w:lineRule="exact"/>
              <w:ind w:right="43"/>
              <w:jc w:val="center"/>
              <w:rPr>
                <w:b w:val="0"/>
                <w:bCs w:val="0"/>
                <w:i/>
                <w:color w:val="000000" w:themeColor="text1"/>
                <w:sz w:val="14"/>
                <w:lang w:val="fr-FR"/>
              </w:rPr>
            </w:pPr>
            <w:r w:rsidRPr="002E4298">
              <w:rPr>
                <w:b w:val="0"/>
                <w:bCs w:val="0"/>
                <w:i/>
                <w:color w:val="000000" w:themeColor="text1"/>
                <w:sz w:val="14"/>
                <w:lang w:val="fr-FR"/>
              </w:rPr>
              <w:t>2018</w:t>
            </w:r>
          </w:p>
        </w:tc>
        <w:tc>
          <w:tcPr>
            <w:tcW w:w="113" w:type="dxa"/>
            <w:tcBorders>
              <w:top w:val="single" w:sz="4" w:space="0" w:color="auto"/>
            </w:tcBorders>
            <w:shd w:val="clear" w:color="auto" w:fill="auto"/>
            <w:noWrap/>
            <w:vAlign w:val="bottom"/>
          </w:tcPr>
          <w:p w14:paraId="06DB1608" w14:textId="77777777" w:rsidR="00870546" w:rsidRPr="002E4298" w:rsidRDefault="00870546" w:rsidP="00CC4AD2">
            <w:pPr>
              <w:suppressAutoHyphens/>
              <w:spacing w:before="81" w:after="81" w:line="160" w:lineRule="exact"/>
              <w:ind w:right="43"/>
              <w:jc w:val="center"/>
              <w:cnfStyle w:val="100000000000" w:firstRow="1" w:lastRow="0" w:firstColumn="0" w:lastColumn="0" w:oddVBand="0" w:evenVBand="0" w:oddHBand="0" w:evenHBand="0" w:firstRowFirstColumn="0" w:firstRowLastColumn="0" w:lastRowFirstColumn="0" w:lastRowLastColumn="0"/>
              <w:rPr>
                <w:i/>
                <w:color w:val="000000" w:themeColor="text1"/>
                <w:sz w:val="14"/>
                <w:lang w:val="fr-FR"/>
              </w:rPr>
            </w:pPr>
          </w:p>
        </w:tc>
        <w:tc>
          <w:tcPr>
            <w:tcW w:w="1804" w:type="dxa"/>
            <w:gridSpan w:val="2"/>
            <w:tcBorders>
              <w:top w:val="single" w:sz="4" w:space="0" w:color="auto"/>
              <w:bottom w:val="single" w:sz="4" w:space="0" w:color="auto"/>
            </w:tcBorders>
            <w:shd w:val="clear" w:color="auto" w:fill="auto"/>
            <w:vAlign w:val="bottom"/>
          </w:tcPr>
          <w:p w14:paraId="39CDC685" w14:textId="3CAFEE06" w:rsidR="00870546" w:rsidRPr="002E4298" w:rsidRDefault="00870546" w:rsidP="00CC4AD2">
            <w:pPr>
              <w:suppressAutoHyphens/>
              <w:spacing w:before="81" w:after="81" w:line="160" w:lineRule="exact"/>
              <w:ind w:right="43"/>
              <w:jc w:val="center"/>
              <w:cnfStyle w:val="100000000000" w:firstRow="1" w:lastRow="0" w:firstColumn="0" w:lastColumn="0" w:oddVBand="0" w:evenVBand="0" w:oddHBand="0" w:evenHBand="0" w:firstRowFirstColumn="0" w:firstRowLastColumn="0" w:lastRowFirstColumn="0" w:lastRowLastColumn="0"/>
              <w:rPr>
                <w:b w:val="0"/>
                <w:bCs w:val="0"/>
                <w:i/>
                <w:color w:val="000000" w:themeColor="text1"/>
                <w:sz w:val="14"/>
                <w:lang w:val="fr-FR"/>
              </w:rPr>
            </w:pPr>
            <w:r w:rsidRPr="002E4298">
              <w:rPr>
                <w:b w:val="0"/>
                <w:bCs w:val="0"/>
                <w:i/>
                <w:color w:val="000000" w:themeColor="text1"/>
                <w:sz w:val="14"/>
                <w:lang w:val="fr-FR"/>
              </w:rPr>
              <w:t>2017</w:t>
            </w:r>
          </w:p>
        </w:tc>
        <w:tc>
          <w:tcPr>
            <w:tcW w:w="118" w:type="dxa"/>
            <w:tcBorders>
              <w:top w:val="single" w:sz="4" w:space="0" w:color="auto"/>
            </w:tcBorders>
            <w:shd w:val="clear" w:color="auto" w:fill="auto"/>
            <w:noWrap/>
            <w:vAlign w:val="bottom"/>
          </w:tcPr>
          <w:p w14:paraId="24A5B69A" w14:textId="77777777" w:rsidR="00870546" w:rsidRPr="002E4298" w:rsidRDefault="00870546" w:rsidP="00CC4AD2">
            <w:pPr>
              <w:suppressAutoHyphens/>
              <w:spacing w:before="81" w:after="81" w:line="160" w:lineRule="exact"/>
              <w:ind w:right="43"/>
              <w:jc w:val="center"/>
              <w:cnfStyle w:val="100000000000" w:firstRow="1" w:lastRow="0" w:firstColumn="0" w:lastColumn="0" w:oddVBand="0" w:evenVBand="0" w:oddHBand="0" w:evenHBand="0" w:firstRowFirstColumn="0" w:firstRowLastColumn="0" w:lastRowFirstColumn="0" w:lastRowLastColumn="0"/>
              <w:rPr>
                <w:i/>
                <w:color w:val="000000" w:themeColor="text1"/>
                <w:sz w:val="14"/>
                <w:lang w:val="fr-FR"/>
              </w:rPr>
            </w:pPr>
          </w:p>
        </w:tc>
        <w:tc>
          <w:tcPr>
            <w:tcW w:w="1799" w:type="dxa"/>
            <w:gridSpan w:val="2"/>
            <w:tcBorders>
              <w:top w:val="single" w:sz="4" w:space="0" w:color="auto"/>
              <w:bottom w:val="single" w:sz="4" w:space="0" w:color="auto"/>
            </w:tcBorders>
            <w:shd w:val="clear" w:color="auto" w:fill="auto"/>
            <w:vAlign w:val="bottom"/>
          </w:tcPr>
          <w:p w14:paraId="58DA8BB0" w14:textId="68A9BD0D" w:rsidR="00870546" w:rsidRPr="002E4298" w:rsidRDefault="00870546" w:rsidP="00CC4AD2">
            <w:pPr>
              <w:suppressAutoHyphens/>
              <w:spacing w:before="81" w:after="81" w:line="160" w:lineRule="exact"/>
              <w:ind w:right="43"/>
              <w:jc w:val="center"/>
              <w:cnfStyle w:val="100000000000" w:firstRow="1" w:lastRow="0" w:firstColumn="0" w:lastColumn="0" w:oddVBand="0" w:evenVBand="0" w:oddHBand="0" w:evenHBand="0" w:firstRowFirstColumn="0" w:firstRowLastColumn="0" w:lastRowFirstColumn="0" w:lastRowLastColumn="0"/>
              <w:rPr>
                <w:b w:val="0"/>
                <w:bCs w:val="0"/>
                <w:i/>
                <w:color w:val="000000" w:themeColor="text1"/>
                <w:sz w:val="14"/>
                <w:lang w:val="fr-FR"/>
              </w:rPr>
            </w:pPr>
            <w:r w:rsidRPr="002E4298">
              <w:rPr>
                <w:b w:val="0"/>
                <w:bCs w:val="0"/>
                <w:i/>
                <w:color w:val="000000" w:themeColor="text1"/>
                <w:sz w:val="14"/>
                <w:lang w:val="fr-FR"/>
              </w:rPr>
              <w:t>2016</w:t>
            </w:r>
          </w:p>
        </w:tc>
        <w:tc>
          <w:tcPr>
            <w:tcW w:w="123" w:type="dxa"/>
            <w:tcBorders>
              <w:top w:val="single" w:sz="4" w:space="0" w:color="auto"/>
            </w:tcBorders>
            <w:shd w:val="clear" w:color="auto" w:fill="auto"/>
            <w:noWrap/>
            <w:vAlign w:val="bottom"/>
          </w:tcPr>
          <w:p w14:paraId="04EB4FC1" w14:textId="77777777" w:rsidR="00870546" w:rsidRPr="002E4298" w:rsidRDefault="00870546" w:rsidP="00CC4AD2">
            <w:pPr>
              <w:suppressAutoHyphens/>
              <w:spacing w:before="81" w:after="81" w:line="160" w:lineRule="exact"/>
              <w:ind w:right="43"/>
              <w:jc w:val="center"/>
              <w:cnfStyle w:val="100000000000" w:firstRow="1" w:lastRow="0" w:firstColumn="0" w:lastColumn="0" w:oddVBand="0" w:evenVBand="0" w:oddHBand="0" w:evenHBand="0" w:firstRowFirstColumn="0" w:firstRowLastColumn="0" w:lastRowFirstColumn="0" w:lastRowLastColumn="0"/>
              <w:rPr>
                <w:i/>
                <w:color w:val="000000" w:themeColor="text1"/>
                <w:sz w:val="14"/>
                <w:lang w:val="fr-FR"/>
              </w:rPr>
            </w:pPr>
          </w:p>
        </w:tc>
        <w:tc>
          <w:tcPr>
            <w:tcW w:w="1689" w:type="dxa"/>
            <w:gridSpan w:val="2"/>
            <w:tcBorders>
              <w:top w:val="single" w:sz="4" w:space="0" w:color="auto"/>
              <w:bottom w:val="single" w:sz="4" w:space="0" w:color="auto"/>
              <w:right w:val="none" w:sz="0" w:space="0" w:color="auto"/>
            </w:tcBorders>
            <w:shd w:val="clear" w:color="auto" w:fill="auto"/>
            <w:vAlign w:val="bottom"/>
          </w:tcPr>
          <w:p w14:paraId="1ED99C27" w14:textId="6CDB8DE4" w:rsidR="00870546" w:rsidRPr="002E4298" w:rsidRDefault="00870546" w:rsidP="00CC4AD2">
            <w:pPr>
              <w:suppressAutoHyphens/>
              <w:spacing w:before="81" w:after="81" w:line="160" w:lineRule="exact"/>
              <w:ind w:right="43"/>
              <w:jc w:val="center"/>
              <w:cnfStyle w:val="100000000000" w:firstRow="1" w:lastRow="0" w:firstColumn="0" w:lastColumn="0" w:oddVBand="0" w:evenVBand="0" w:oddHBand="0" w:evenHBand="0" w:firstRowFirstColumn="0" w:firstRowLastColumn="0" w:lastRowFirstColumn="0" w:lastRowLastColumn="0"/>
              <w:rPr>
                <w:b w:val="0"/>
                <w:bCs w:val="0"/>
                <w:i/>
                <w:color w:val="000000" w:themeColor="text1"/>
                <w:sz w:val="14"/>
                <w:lang w:val="fr-FR"/>
              </w:rPr>
            </w:pPr>
            <w:r w:rsidRPr="002E4298">
              <w:rPr>
                <w:b w:val="0"/>
                <w:bCs w:val="0"/>
                <w:i/>
                <w:color w:val="000000" w:themeColor="text1"/>
                <w:sz w:val="14"/>
                <w:lang w:val="fr-FR"/>
              </w:rPr>
              <w:t>2015</w:t>
            </w:r>
          </w:p>
        </w:tc>
      </w:tr>
      <w:tr w:rsidR="00CC4AD2" w:rsidRPr="002E4298" w14:paraId="53039B39" w14:textId="77777777" w:rsidTr="0087054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15" w:type="dxa"/>
            <w:tcBorders>
              <w:top w:val="single" w:sz="4" w:space="0" w:color="auto"/>
              <w:left w:val="none" w:sz="0" w:space="0" w:color="auto"/>
              <w:bottom w:val="single" w:sz="12" w:space="0" w:color="auto"/>
            </w:tcBorders>
            <w:shd w:val="clear" w:color="auto" w:fill="auto"/>
            <w:noWrap/>
            <w:vAlign w:val="bottom"/>
          </w:tcPr>
          <w:p w14:paraId="79C7615D" w14:textId="3EDF1FD6" w:rsidR="00CC4AD2" w:rsidRPr="002E4298" w:rsidRDefault="00CC4AD2" w:rsidP="00CC4AD2">
            <w:pPr>
              <w:suppressAutoHyphens/>
              <w:spacing w:before="81" w:after="81" w:line="160" w:lineRule="exact"/>
              <w:ind w:right="40"/>
              <w:rPr>
                <w:b w:val="0"/>
                <w:bCs w:val="0"/>
                <w:i/>
                <w:color w:val="000000" w:themeColor="text1"/>
                <w:sz w:val="14"/>
                <w:lang w:val="fr-FR"/>
              </w:rPr>
            </w:pPr>
            <w:r w:rsidRPr="002E4298">
              <w:rPr>
                <w:b w:val="0"/>
                <w:bCs w:val="0"/>
                <w:i/>
                <w:color w:val="000000" w:themeColor="text1"/>
                <w:sz w:val="14"/>
                <w:lang w:val="fr-FR"/>
              </w:rPr>
              <w:t>Bénéficiaires couverts</w:t>
            </w:r>
          </w:p>
        </w:tc>
        <w:tc>
          <w:tcPr>
            <w:tcW w:w="759" w:type="dxa"/>
            <w:tcBorders>
              <w:top w:val="single" w:sz="4" w:space="0" w:color="auto"/>
              <w:bottom w:val="single" w:sz="12" w:space="0" w:color="auto"/>
            </w:tcBorders>
            <w:shd w:val="clear" w:color="auto" w:fill="auto"/>
            <w:noWrap/>
            <w:vAlign w:val="bottom"/>
          </w:tcPr>
          <w:p w14:paraId="70EF2EEF" w14:textId="61AF7DDA" w:rsidR="00CC4AD2" w:rsidRPr="002E4298" w:rsidRDefault="00CC4AD2" w:rsidP="00CC4AD2">
            <w:pPr>
              <w:suppressAutoHyphens/>
              <w:spacing w:before="81" w:after="81" w:line="160" w:lineRule="exact"/>
              <w:ind w:right="43"/>
              <w:jc w:val="right"/>
              <w:cnfStyle w:val="100000000000" w:firstRow="1" w:lastRow="0" w:firstColumn="0" w:lastColumn="0" w:oddVBand="0" w:evenVBand="0" w:oddHBand="0" w:evenHBand="0" w:firstRowFirstColumn="0" w:firstRowLastColumn="0" w:lastRowFirstColumn="0" w:lastRowLastColumn="0"/>
              <w:rPr>
                <w:b w:val="0"/>
                <w:bCs w:val="0"/>
                <w:i/>
                <w:color w:val="000000" w:themeColor="text1"/>
                <w:sz w:val="14"/>
                <w:lang w:val="fr-FR"/>
              </w:rPr>
            </w:pPr>
            <w:r w:rsidRPr="002E4298">
              <w:rPr>
                <w:b w:val="0"/>
                <w:bCs w:val="0"/>
                <w:i/>
                <w:color w:val="000000" w:themeColor="text1"/>
                <w:sz w:val="14"/>
                <w:lang w:val="fr-FR"/>
              </w:rPr>
              <w:t>Égalité</w:t>
            </w:r>
            <w:r w:rsidRPr="002E4298">
              <w:rPr>
                <w:b w:val="0"/>
                <w:bCs w:val="0"/>
                <w:i/>
                <w:color w:val="000000" w:themeColor="text1"/>
                <w:sz w:val="14"/>
                <w:lang w:val="fr-FR"/>
              </w:rPr>
              <w:br/>
              <w:t>des genres</w:t>
            </w:r>
          </w:p>
        </w:tc>
        <w:tc>
          <w:tcPr>
            <w:tcW w:w="999" w:type="dxa"/>
            <w:gridSpan w:val="2"/>
            <w:tcBorders>
              <w:bottom w:val="single" w:sz="12" w:space="0" w:color="auto"/>
            </w:tcBorders>
            <w:shd w:val="clear" w:color="auto" w:fill="auto"/>
            <w:noWrap/>
            <w:vAlign w:val="bottom"/>
          </w:tcPr>
          <w:p w14:paraId="22E8744C" w14:textId="742AFE3D" w:rsidR="00CC4AD2" w:rsidRPr="002E4298" w:rsidRDefault="00CC4AD2" w:rsidP="00CC4AD2">
            <w:pPr>
              <w:suppressAutoHyphens/>
              <w:spacing w:before="81" w:after="81" w:line="160" w:lineRule="exact"/>
              <w:ind w:right="43"/>
              <w:jc w:val="right"/>
              <w:cnfStyle w:val="100000000000" w:firstRow="1" w:lastRow="0" w:firstColumn="0" w:lastColumn="0" w:oddVBand="0" w:evenVBand="0" w:oddHBand="0" w:evenHBand="0" w:firstRowFirstColumn="0" w:firstRowLastColumn="0" w:lastRowFirstColumn="0" w:lastRowLastColumn="0"/>
              <w:rPr>
                <w:b w:val="0"/>
                <w:bCs w:val="0"/>
                <w:i/>
                <w:color w:val="000000" w:themeColor="text1"/>
                <w:sz w:val="14"/>
                <w:lang w:val="fr-FR"/>
              </w:rPr>
            </w:pPr>
            <w:r w:rsidRPr="002E4298">
              <w:rPr>
                <w:b w:val="0"/>
                <w:bCs w:val="0"/>
                <w:i/>
                <w:color w:val="000000" w:themeColor="text1"/>
                <w:sz w:val="14"/>
                <w:lang w:val="fr-FR"/>
              </w:rPr>
              <w:t>Bénéficiaires</w:t>
            </w:r>
          </w:p>
        </w:tc>
        <w:tc>
          <w:tcPr>
            <w:tcW w:w="918" w:type="dxa"/>
            <w:tcBorders>
              <w:bottom w:val="single" w:sz="12" w:space="0" w:color="auto"/>
            </w:tcBorders>
            <w:shd w:val="clear" w:color="auto" w:fill="auto"/>
            <w:noWrap/>
            <w:vAlign w:val="bottom"/>
          </w:tcPr>
          <w:p w14:paraId="4AC2499F" w14:textId="41DA9BC5" w:rsidR="00CC4AD2" w:rsidRPr="002E4298" w:rsidRDefault="00CC4AD2" w:rsidP="00CC4AD2">
            <w:pPr>
              <w:suppressAutoHyphens/>
              <w:spacing w:before="81" w:after="81" w:line="160" w:lineRule="exact"/>
              <w:ind w:right="43"/>
              <w:jc w:val="right"/>
              <w:cnfStyle w:val="100000000000" w:firstRow="1" w:lastRow="0" w:firstColumn="0" w:lastColumn="0" w:oddVBand="0" w:evenVBand="0" w:oddHBand="0" w:evenHBand="0" w:firstRowFirstColumn="0" w:firstRowLastColumn="0" w:lastRowFirstColumn="0" w:lastRowLastColumn="0"/>
              <w:rPr>
                <w:b w:val="0"/>
                <w:bCs w:val="0"/>
                <w:i/>
                <w:color w:val="000000" w:themeColor="text1"/>
                <w:sz w:val="14"/>
                <w:lang w:val="fr-FR"/>
              </w:rPr>
            </w:pPr>
            <w:r w:rsidRPr="002E4298">
              <w:rPr>
                <w:b w:val="0"/>
                <w:bCs w:val="0"/>
                <w:i/>
                <w:color w:val="000000" w:themeColor="text1"/>
                <w:sz w:val="14"/>
                <w:lang w:val="fr-FR"/>
              </w:rPr>
              <w:t>Égalité</w:t>
            </w:r>
            <w:r w:rsidRPr="002E4298">
              <w:rPr>
                <w:b w:val="0"/>
                <w:bCs w:val="0"/>
                <w:i/>
                <w:color w:val="000000" w:themeColor="text1"/>
                <w:sz w:val="14"/>
                <w:lang w:val="fr-FR"/>
              </w:rPr>
              <w:br/>
              <w:t>des genres</w:t>
            </w:r>
          </w:p>
        </w:tc>
        <w:tc>
          <w:tcPr>
            <w:tcW w:w="984" w:type="dxa"/>
            <w:gridSpan w:val="2"/>
            <w:tcBorders>
              <w:bottom w:val="single" w:sz="12" w:space="0" w:color="auto"/>
            </w:tcBorders>
            <w:shd w:val="clear" w:color="auto" w:fill="auto"/>
            <w:noWrap/>
            <w:vAlign w:val="bottom"/>
          </w:tcPr>
          <w:p w14:paraId="1A8F3394" w14:textId="5CEC11B2" w:rsidR="00CC4AD2" w:rsidRPr="002E4298" w:rsidRDefault="00CC4AD2" w:rsidP="00CC4AD2">
            <w:pPr>
              <w:suppressAutoHyphens/>
              <w:spacing w:before="81" w:after="81" w:line="160" w:lineRule="exact"/>
              <w:ind w:right="43"/>
              <w:jc w:val="right"/>
              <w:cnfStyle w:val="100000000000" w:firstRow="1" w:lastRow="0" w:firstColumn="0" w:lastColumn="0" w:oddVBand="0" w:evenVBand="0" w:oddHBand="0" w:evenHBand="0" w:firstRowFirstColumn="0" w:firstRowLastColumn="0" w:lastRowFirstColumn="0" w:lastRowLastColumn="0"/>
              <w:rPr>
                <w:b w:val="0"/>
                <w:bCs w:val="0"/>
                <w:i/>
                <w:color w:val="000000" w:themeColor="text1"/>
                <w:sz w:val="14"/>
                <w:lang w:val="fr-FR"/>
              </w:rPr>
            </w:pPr>
            <w:r w:rsidRPr="002E4298">
              <w:rPr>
                <w:b w:val="0"/>
                <w:bCs w:val="0"/>
                <w:i/>
                <w:color w:val="000000" w:themeColor="text1"/>
                <w:sz w:val="14"/>
                <w:lang w:val="fr-FR"/>
              </w:rPr>
              <w:t>Bénéficiaires</w:t>
            </w:r>
          </w:p>
        </w:tc>
        <w:tc>
          <w:tcPr>
            <w:tcW w:w="933" w:type="dxa"/>
            <w:tcBorders>
              <w:bottom w:val="single" w:sz="12" w:space="0" w:color="auto"/>
            </w:tcBorders>
            <w:shd w:val="clear" w:color="auto" w:fill="auto"/>
            <w:noWrap/>
            <w:vAlign w:val="bottom"/>
          </w:tcPr>
          <w:p w14:paraId="02BA6DF1" w14:textId="7FE771E2" w:rsidR="00CC4AD2" w:rsidRPr="002E4298" w:rsidRDefault="00CC4AD2" w:rsidP="00CC4AD2">
            <w:pPr>
              <w:suppressAutoHyphens/>
              <w:spacing w:before="81" w:after="81" w:line="160" w:lineRule="exact"/>
              <w:ind w:right="43"/>
              <w:jc w:val="right"/>
              <w:cnfStyle w:val="100000000000" w:firstRow="1" w:lastRow="0" w:firstColumn="0" w:lastColumn="0" w:oddVBand="0" w:evenVBand="0" w:oddHBand="0" w:evenHBand="0" w:firstRowFirstColumn="0" w:firstRowLastColumn="0" w:lastRowFirstColumn="0" w:lastRowLastColumn="0"/>
              <w:rPr>
                <w:b w:val="0"/>
                <w:bCs w:val="0"/>
                <w:i/>
                <w:color w:val="000000" w:themeColor="text1"/>
                <w:sz w:val="14"/>
                <w:lang w:val="fr-FR"/>
              </w:rPr>
            </w:pPr>
            <w:r w:rsidRPr="002E4298">
              <w:rPr>
                <w:b w:val="0"/>
                <w:bCs w:val="0"/>
                <w:i/>
                <w:color w:val="000000" w:themeColor="text1"/>
                <w:sz w:val="14"/>
                <w:lang w:val="fr-FR"/>
              </w:rPr>
              <w:t>Égalité</w:t>
            </w:r>
            <w:r w:rsidRPr="002E4298">
              <w:rPr>
                <w:b w:val="0"/>
                <w:bCs w:val="0"/>
                <w:i/>
                <w:color w:val="000000" w:themeColor="text1"/>
                <w:sz w:val="14"/>
                <w:lang w:val="fr-FR"/>
              </w:rPr>
              <w:br/>
              <w:t>des genres</w:t>
            </w:r>
          </w:p>
        </w:tc>
        <w:tc>
          <w:tcPr>
            <w:tcW w:w="999" w:type="dxa"/>
            <w:gridSpan w:val="2"/>
            <w:tcBorders>
              <w:bottom w:val="single" w:sz="12" w:space="0" w:color="auto"/>
            </w:tcBorders>
            <w:shd w:val="clear" w:color="auto" w:fill="auto"/>
            <w:noWrap/>
            <w:vAlign w:val="bottom"/>
          </w:tcPr>
          <w:p w14:paraId="45185A5E" w14:textId="43CE17A7" w:rsidR="00CC4AD2" w:rsidRPr="002E4298" w:rsidRDefault="00CC4AD2" w:rsidP="00CC4AD2">
            <w:pPr>
              <w:suppressAutoHyphens/>
              <w:spacing w:before="81" w:after="81" w:line="160" w:lineRule="exact"/>
              <w:ind w:right="43"/>
              <w:jc w:val="right"/>
              <w:cnfStyle w:val="100000000000" w:firstRow="1" w:lastRow="0" w:firstColumn="0" w:lastColumn="0" w:oddVBand="0" w:evenVBand="0" w:oddHBand="0" w:evenHBand="0" w:firstRowFirstColumn="0" w:firstRowLastColumn="0" w:lastRowFirstColumn="0" w:lastRowLastColumn="0"/>
              <w:rPr>
                <w:b w:val="0"/>
                <w:bCs w:val="0"/>
                <w:i/>
                <w:color w:val="000000" w:themeColor="text1"/>
                <w:sz w:val="14"/>
                <w:lang w:val="fr-FR"/>
              </w:rPr>
            </w:pPr>
            <w:r w:rsidRPr="002E4298">
              <w:rPr>
                <w:b w:val="0"/>
                <w:bCs w:val="0"/>
                <w:i/>
                <w:color w:val="000000" w:themeColor="text1"/>
                <w:sz w:val="14"/>
                <w:lang w:val="fr-FR"/>
              </w:rPr>
              <w:t>Bénéficiaires</w:t>
            </w:r>
          </w:p>
        </w:tc>
        <w:tc>
          <w:tcPr>
            <w:tcW w:w="813" w:type="dxa"/>
            <w:tcBorders>
              <w:bottom w:val="single" w:sz="12" w:space="0" w:color="auto"/>
              <w:right w:val="none" w:sz="0" w:space="0" w:color="auto"/>
            </w:tcBorders>
            <w:shd w:val="clear" w:color="auto" w:fill="auto"/>
            <w:noWrap/>
            <w:vAlign w:val="bottom"/>
          </w:tcPr>
          <w:p w14:paraId="524F9B3F" w14:textId="09FE63AC" w:rsidR="00CC4AD2" w:rsidRPr="002E4298" w:rsidRDefault="00CC4AD2" w:rsidP="00CC4AD2">
            <w:pPr>
              <w:suppressAutoHyphens/>
              <w:spacing w:before="81" w:after="81" w:line="160" w:lineRule="exact"/>
              <w:ind w:right="43"/>
              <w:jc w:val="right"/>
              <w:cnfStyle w:val="100000000000" w:firstRow="1" w:lastRow="0" w:firstColumn="0" w:lastColumn="0" w:oddVBand="0" w:evenVBand="0" w:oddHBand="0" w:evenHBand="0" w:firstRowFirstColumn="0" w:firstRowLastColumn="0" w:lastRowFirstColumn="0" w:lastRowLastColumn="0"/>
              <w:rPr>
                <w:b w:val="0"/>
                <w:bCs w:val="0"/>
                <w:i/>
                <w:color w:val="000000" w:themeColor="text1"/>
                <w:sz w:val="14"/>
                <w:lang w:val="fr-FR"/>
              </w:rPr>
            </w:pPr>
            <w:r w:rsidRPr="002E4298">
              <w:rPr>
                <w:b w:val="0"/>
                <w:bCs w:val="0"/>
                <w:i/>
                <w:color w:val="000000" w:themeColor="text1"/>
                <w:sz w:val="14"/>
                <w:lang w:val="fr-FR"/>
              </w:rPr>
              <w:t>Égalité</w:t>
            </w:r>
            <w:r w:rsidRPr="002E4298">
              <w:rPr>
                <w:b w:val="0"/>
                <w:bCs w:val="0"/>
                <w:i/>
                <w:color w:val="000000" w:themeColor="text1"/>
                <w:sz w:val="14"/>
                <w:lang w:val="fr-FR"/>
              </w:rPr>
              <w:br/>
              <w:t>des genres</w:t>
            </w:r>
          </w:p>
        </w:tc>
      </w:tr>
      <w:tr w:rsidR="00CC4AD2" w:rsidRPr="002E4298" w14:paraId="7523AFE5" w14:textId="77777777" w:rsidTr="00870546">
        <w:trPr>
          <w:cnfStyle w:val="100000000000" w:firstRow="1" w:lastRow="0" w:firstColumn="0" w:lastColumn="0" w:oddVBand="0" w:evenVBand="0" w:oddHBand="0" w:evenHBand="0" w:firstRowFirstColumn="0" w:firstRowLastColumn="0" w:lastRowFirstColumn="0" w:lastRowLastColumn="0"/>
          <w:trHeight w:hRule="exact" w:val="115"/>
          <w:tblHeader/>
        </w:trPr>
        <w:tc>
          <w:tcPr>
            <w:cnfStyle w:val="001000000000" w:firstRow="0" w:lastRow="0" w:firstColumn="1" w:lastColumn="0" w:oddVBand="0" w:evenVBand="0" w:oddHBand="0" w:evenHBand="0" w:firstRowFirstColumn="0" w:firstRowLastColumn="0" w:lastRowFirstColumn="0" w:lastRowLastColumn="0"/>
            <w:tcW w:w="915" w:type="dxa"/>
            <w:tcBorders>
              <w:top w:val="single" w:sz="12" w:space="0" w:color="auto"/>
              <w:left w:val="none" w:sz="0" w:space="0" w:color="auto"/>
              <w:bottom w:val="none" w:sz="0" w:space="0" w:color="auto"/>
            </w:tcBorders>
            <w:shd w:val="clear" w:color="auto" w:fill="auto"/>
            <w:noWrap/>
            <w:vAlign w:val="bottom"/>
          </w:tcPr>
          <w:p w14:paraId="7649DB9F" w14:textId="77777777" w:rsidR="00CC4AD2" w:rsidRPr="002E4298" w:rsidRDefault="00CC4AD2" w:rsidP="00CC4AD2">
            <w:pPr>
              <w:suppressAutoHyphens/>
              <w:spacing w:before="40" w:after="40" w:line="210" w:lineRule="exact"/>
              <w:ind w:right="40"/>
              <w:rPr>
                <w:b w:val="0"/>
                <w:bCs w:val="0"/>
                <w:color w:val="000000" w:themeColor="text1"/>
                <w:sz w:val="17"/>
                <w:lang w:val="fr-FR"/>
              </w:rPr>
            </w:pPr>
          </w:p>
        </w:tc>
        <w:tc>
          <w:tcPr>
            <w:tcW w:w="759" w:type="dxa"/>
            <w:tcBorders>
              <w:top w:val="single" w:sz="12" w:space="0" w:color="auto"/>
              <w:bottom w:val="none" w:sz="0" w:space="0" w:color="auto"/>
            </w:tcBorders>
            <w:shd w:val="clear" w:color="auto" w:fill="auto"/>
            <w:noWrap/>
            <w:vAlign w:val="bottom"/>
          </w:tcPr>
          <w:p w14:paraId="0A7B5E06" w14:textId="77777777" w:rsidR="00CC4AD2" w:rsidRPr="002E4298" w:rsidRDefault="00CC4AD2" w:rsidP="00CC4AD2">
            <w:pPr>
              <w:suppressAutoHyphens/>
              <w:spacing w:before="40" w:after="40" w:line="210" w:lineRule="exact"/>
              <w:ind w:right="43"/>
              <w:jc w:val="right"/>
              <w:cnfStyle w:val="100000000000" w:firstRow="1" w:lastRow="0" w:firstColumn="0" w:lastColumn="0" w:oddVBand="0" w:evenVBand="0" w:oddHBand="0" w:evenHBand="0" w:firstRowFirstColumn="0" w:firstRowLastColumn="0" w:lastRowFirstColumn="0" w:lastRowLastColumn="0"/>
              <w:rPr>
                <w:color w:val="000000" w:themeColor="text1"/>
                <w:sz w:val="17"/>
                <w:lang w:val="fr-FR"/>
              </w:rPr>
            </w:pPr>
          </w:p>
        </w:tc>
        <w:tc>
          <w:tcPr>
            <w:tcW w:w="999" w:type="dxa"/>
            <w:gridSpan w:val="2"/>
            <w:tcBorders>
              <w:top w:val="single" w:sz="12" w:space="0" w:color="auto"/>
              <w:bottom w:val="none" w:sz="0" w:space="0" w:color="auto"/>
            </w:tcBorders>
            <w:shd w:val="clear" w:color="auto" w:fill="auto"/>
            <w:noWrap/>
            <w:vAlign w:val="bottom"/>
          </w:tcPr>
          <w:p w14:paraId="39D2B803" w14:textId="77777777" w:rsidR="00CC4AD2" w:rsidRPr="002E4298" w:rsidRDefault="00CC4AD2" w:rsidP="00CC4AD2">
            <w:pPr>
              <w:suppressAutoHyphens/>
              <w:spacing w:before="40" w:after="40" w:line="210" w:lineRule="exact"/>
              <w:ind w:right="43"/>
              <w:jc w:val="right"/>
              <w:cnfStyle w:val="100000000000" w:firstRow="1" w:lastRow="0" w:firstColumn="0" w:lastColumn="0" w:oddVBand="0" w:evenVBand="0" w:oddHBand="0" w:evenHBand="0" w:firstRowFirstColumn="0" w:firstRowLastColumn="0" w:lastRowFirstColumn="0" w:lastRowLastColumn="0"/>
              <w:rPr>
                <w:color w:val="000000" w:themeColor="text1"/>
                <w:sz w:val="17"/>
                <w:lang w:val="fr-FR"/>
              </w:rPr>
            </w:pPr>
          </w:p>
        </w:tc>
        <w:tc>
          <w:tcPr>
            <w:tcW w:w="918" w:type="dxa"/>
            <w:tcBorders>
              <w:top w:val="single" w:sz="12" w:space="0" w:color="auto"/>
              <w:bottom w:val="none" w:sz="0" w:space="0" w:color="auto"/>
            </w:tcBorders>
            <w:shd w:val="clear" w:color="auto" w:fill="auto"/>
            <w:noWrap/>
            <w:vAlign w:val="bottom"/>
          </w:tcPr>
          <w:p w14:paraId="63EA2EE4" w14:textId="77777777" w:rsidR="00CC4AD2" w:rsidRPr="002E4298" w:rsidRDefault="00CC4AD2" w:rsidP="00CC4AD2">
            <w:pPr>
              <w:suppressAutoHyphens/>
              <w:spacing w:before="40" w:after="40" w:line="210" w:lineRule="exact"/>
              <w:ind w:right="43"/>
              <w:jc w:val="right"/>
              <w:cnfStyle w:val="100000000000" w:firstRow="1" w:lastRow="0" w:firstColumn="0" w:lastColumn="0" w:oddVBand="0" w:evenVBand="0" w:oddHBand="0" w:evenHBand="0" w:firstRowFirstColumn="0" w:firstRowLastColumn="0" w:lastRowFirstColumn="0" w:lastRowLastColumn="0"/>
              <w:rPr>
                <w:color w:val="000000" w:themeColor="text1"/>
                <w:sz w:val="17"/>
                <w:lang w:val="fr-FR"/>
              </w:rPr>
            </w:pPr>
          </w:p>
        </w:tc>
        <w:tc>
          <w:tcPr>
            <w:tcW w:w="984" w:type="dxa"/>
            <w:gridSpan w:val="2"/>
            <w:tcBorders>
              <w:top w:val="single" w:sz="12" w:space="0" w:color="auto"/>
              <w:bottom w:val="none" w:sz="0" w:space="0" w:color="auto"/>
            </w:tcBorders>
            <w:shd w:val="clear" w:color="auto" w:fill="auto"/>
            <w:noWrap/>
            <w:vAlign w:val="bottom"/>
          </w:tcPr>
          <w:p w14:paraId="2A15DEEF" w14:textId="77777777" w:rsidR="00CC4AD2" w:rsidRPr="002E4298" w:rsidRDefault="00CC4AD2" w:rsidP="00CC4AD2">
            <w:pPr>
              <w:suppressAutoHyphens/>
              <w:spacing w:before="40" w:after="40" w:line="210" w:lineRule="exact"/>
              <w:ind w:right="43"/>
              <w:jc w:val="right"/>
              <w:cnfStyle w:val="100000000000" w:firstRow="1" w:lastRow="0" w:firstColumn="0" w:lastColumn="0" w:oddVBand="0" w:evenVBand="0" w:oddHBand="0" w:evenHBand="0" w:firstRowFirstColumn="0" w:firstRowLastColumn="0" w:lastRowFirstColumn="0" w:lastRowLastColumn="0"/>
              <w:rPr>
                <w:color w:val="000000" w:themeColor="text1"/>
                <w:sz w:val="17"/>
                <w:lang w:val="fr-FR"/>
              </w:rPr>
            </w:pPr>
          </w:p>
        </w:tc>
        <w:tc>
          <w:tcPr>
            <w:tcW w:w="933" w:type="dxa"/>
            <w:tcBorders>
              <w:top w:val="single" w:sz="12" w:space="0" w:color="auto"/>
              <w:bottom w:val="none" w:sz="0" w:space="0" w:color="auto"/>
            </w:tcBorders>
            <w:shd w:val="clear" w:color="auto" w:fill="auto"/>
            <w:noWrap/>
            <w:vAlign w:val="bottom"/>
          </w:tcPr>
          <w:p w14:paraId="24164534" w14:textId="77777777" w:rsidR="00CC4AD2" w:rsidRPr="002E4298" w:rsidRDefault="00CC4AD2" w:rsidP="00CC4AD2">
            <w:pPr>
              <w:suppressAutoHyphens/>
              <w:spacing w:before="40" w:after="40" w:line="210" w:lineRule="exact"/>
              <w:ind w:right="43"/>
              <w:jc w:val="right"/>
              <w:cnfStyle w:val="100000000000" w:firstRow="1" w:lastRow="0" w:firstColumn="0" w:lastColumn="0" w:oddVBand="0" w:evenVBand="0" w:oddHBand="0" w:evenHBand="0" w:firstRowFirstColumn="0" w:firstRowLastColumn="0" w:lastRowFirstColumn="0" w:lastRowLastColumn="0"/>
              <w:rPr>
                <w:color w:val="000000" w:themeColor="text1"/>
                <w:sz w:val="17"/>
                <w:lang w:val="fr-FR"/>
              </w:rPr>
            </w:pPr>
          </w:p>
        </w:tc>
        <w:tc>
          <w:tcPr>
            <w:tcW w:w="999" w:type="dxa"/>
            <w:gridSpan w:val="2"/>
            <w:tcBorders>
              <w:top w:val="single" w:sz="12" w:space="0" w:color="auto"/>
              <w:bottom w:val="none" w:sz="0" w:space="0" w:color="auto"/>
            </w:tcBorders>
            <w:shd w:val="clear" w:color="auto" w:fill="auto"/>
            <w:noWrap/>
            <w:vAlign w:val="bottom"/>
          </w:tcPr>
          <w:p w14:paraId="05698F38" w14:textId="77777777" w:rsidR="00CC4AD2" w:rsidRPr="002E4298" w:rsidRDefault="00CC4AD2" w:rsidP="00CC4AD2">
            <w:pPr>
              <w:suppressAutoHyphens/>
              <w:spacing w:before="40" w:after="40" w:line="210" w:lineRule="exact"/>
              <w:ind w:right="43"/>
              <w:jc w:val="right"/>
              <w:cnfStyle w:val="100000000000" w:firstRow="1" w:lastRow="0" w:firstColumn="0" w:lastColumn="0" w:oddVBand="0" w:evenVBand="0" w:oddHBand="0" w:evenHBand="0" w:firstRowFirstColumn="0" w:firstRowLastColumn="0" w:lastRowFirstColumn="0" w:lastRowLastColumn="0"/>
              <w:rPr>
                <w:color w:val="000000" w:themeColor="text1"/>
                <w:sz w:val="17"/>
                <w:lang w:val="fr-FR"/>
              </w:rPr>
            </w:pPr>
          </w:p>
        </w:tc>
        <w:tc>
          <w:tcPr>
            <w:tcW w:w="813" w:type="dxa"/>
            <w:tcBorders>
              <w:top w:val="single" w:sz="12" w:space="0" w:color="auto"/>
              <w:bottom w:val="none" w:sz="0" w:space="0" w:color="auto"/>
              <w:right w:val="none" w:sz="0" w:space="0" w:color="auto"/>
            </w:tcBorders>
            <w:shd w:val="clear" w:color="auto" w:fill="auto"/>
            <w:noWrap/>
            <w:vAlign w:val="bottom"/>
          </w:tcPr>
          <w:p w14:paraId="3DA81B14" w14:textId="77777777" w:rsidR="00CC4AD2" w:rsidRPr="002E4298" w:rsidRDefault="00CC4AD2" w:rsidP="00CC4AD2">
            <w:pPr>
              <w:suppressAutoHyphens/>
              <w:spacing w:before="40" w:after="40" w:line="210" w:lineRule="exact"/>
              <w:ind w:right="43"/>
              <w:jc w:val="right"/>
              <w:cnfStyle w:val="100000000000" w:firstRow="1" w:lastRow="0" w:firstColumn="0" w:lastColumn="0" w:oddVBand="0" w:evenVBand="0" w:oddHBand="0" w:evenHBand="0" w:firstRowFirstColumn="0" w:firstRowLastColumn="0" w:lastRowFirstColumn="0" w:lastRowLastColumn="0"/>
              <w:rPr>
                <w:color w:val="000000" w:themeColor="text1"/>
                <w:sz w:val="17"/>
                <w:lang w:val="fr-FR"/>
              </w:rPr>
            </w:pPr>
          </w:p>
        </w:tc>
      </w:tr>
      <w:tr w:rsidR="00CC4AD2" w:rsidRPr="002E4298" w14:paraId="40D9776A" w14:textId="77777777" w:rsidTr="00870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5" w:type="dxa"/>
            <w:tcBorders>
              <w:bottom w:val="single" w:sz="12" w:space="0" w:color="auto"/>
            </w:tcBorders>
            <w:shd w:val="clear" w:color="auto" w:fill="auto"/>
            <w:noWrap/>
            <w:vAlign w:val="bottom"/>
            <w:hideMark/>
          </w:tcPr>
          <w:p w14:paraId="65E01CE7" w14:textId="77777777" w:rsidR="00CC4AD2" w:rsidRPr="002E4298" w:rsidRDefault="00CC4AD2" w:rsidP="00CC4AD2">
            <w:pPr>
              <w:tabs>
                <w:tab w:val="left" w:pos="288"/>
                <w:tab w:val="left" w:pos="576"/>
                <w:tab w:val="left" w:pos="864"/>
                <w:tab w:val="left" w:pos="1152"/>
              </w:tabs>
              <w:suppressAutoHyphens/>
              <w:spacing w:before="40" w:after="40" w:line="210" w:lineRule="exact"/>
              <w:ind w:right="40"/>
              <w:rPr>
                <w:b w:val="0"/>
                <w:bCs w:val="0"/>
                <w:color w:val="000000" w:themeColor="text1"/>
                <w:sz w:val="17"/>
                <w:lang w:val="fr-FR"/>
              </w:rPr>
            </w:pPr>
            <w:r w:rsidRPr="002E4298">
              <w:rPr>
                <w:b w:val="0"/>
                <w:bCs w:val="0"/>
                <w:color w:val="000000" w:themeColor="text1"/>
                <w:sz w:val="17"/>
                <w:lang w:val="fr-FR"/>
              </w:rPr>
              <w:t>11 316</w:t>
            </w:r>
          </w:p>
        </w:tc>
        <w:tc>
          <w:tcPr>
            <w:tcW w:w="759" w:type="dxa"/>
            <w:tcBorders>
              <w:bottom w:val="single" w:sz="12" w:space="0" w:color="auto"/>
            </w:tcBorders>
            <w:shd w:val="clear" w:color="auto" w:fill="auto"/>
            <w:noWrap/>
            <w:vAlign w:val="bottom"/>
            <w:hideMark/>
          </w:tcPr>
          <w:p w14:paraId="61C1A5EE" w14:textId="77777777" w:rsidR="00CC4AD2" w:rsidRPr="002E4298" w:rsidRDefault="00CC4AD2" w:rsidP="00CC4AD2">
            <w:pPr>
              <w:tabs>
                <w:tab w:val="left" w:pos="288"/>
                <w:tab w:val="left" w:pos="576"/>
                <w:tab w:val="left" w:pos="864"/>
                <w:tab w:val="left" w:pos="1152"/>
              </w:tabs>
              <w:suppressAutoHyphens/>
              <w:spacing w:before="40" w:after="40" w:line="210" w:lineRule="exact"/>
              <w:ind w:right="43"/>
              <w:jc w:val="right"/>
              <w:cnfStyle w:val="000000100000" w:firstRow="0" w:lastRow="0" w:firstColumn="0" w:lastColumn="0" w:oddVBand="0" w:evenVBand="0" w:oddHBand="1" w:evenHBand="0" w:firstRowFirstColumn="0" w:firstRowLastColumn="0" w:lastRowFirstColumn="0" w:lastRowLastColumn="0"/>
              <w:rPr>
                <w:color w:val="000000" w:themeColor="text1"/>
                <w:sz w:val="17"/>
                <w:lang w:val="fr-FR"/>
              </w:rPr>
            </w:pPr>
            <w:r w:rsidRPr="002E4298">
              <w:rPr>
                <w:color w:val="000000" w:themeColor="text1"/>
                <w:sz w:val="17"/>
                <w:lang w:val="fr-FR"/>
              </w:rPr>
              <w:t>1 756</w:t>
            </w:r>
          </w:p>
        </w:tc>
        <w:tc>
          <w:tcPr>
            <w:tcW w:w="999" w:type="dxa"/>
            <w:gridSpan w:val="2"/>
            <w:tcBorders>
              <w:bottom w:val="single" w:sz="12" w:space="0" w:color="auto"/>
            </w:tcBorders>
            <w:shd w:val="clear" w:color="auto" w:fill="auto"/>
            <w:noWrap/>
            <w:vAlign w:val="bottom"/>
            <w:hideMark/>
          </w:tcPr>
          <w:p w14:paraId="5D077766" w14:textId="77777777" w:rsidR="00CC4AD2" w:rsidRPr="002E4298" w:rsidRDefault="00CC4AD2" w:rsidP="00CC4AD2">
            <w:pPr>
              <w:tabs>
                <w:tab w:val="left" w:pos="288"/>
                <w:tab w:val="left" w:pos="576"/>
                <w:tab w:val="left" w:pos="864"/>
                <w:tab w:val="left" w:pos="1152"/>
              </w:tabs>
              <w:suppressAutoHyphens/>
              <w:spacing w:before="40" w:after="40" w:line="210" w:lineRule="exact"/>
              <w:ind w:right="43"/>
              <w:jc w:val="right"/>
              <w:cnfStyle w:val="000000100000" w:firstRow="0" w:lastRow="0" w:firstColumn="0" w:lastColumn="0" w:oddVBand="0" w:evenVBand="0" w:oddHBand="1" w:evenHBand="0" w:firstRowFirstColumn="0" w:firstRowLastColumn="0" w:lastRowFirstColumn="0" w:lastRowLastColumn="0"/>
              <w:rPr>
                <w:color w:val="000000" w:themeColor="text1"/>
                <w:sz w:val="17"/>
                <w:lang w:val="fr-FR"/>
              </w:rPr>
            </w:pPr>
            <w:r w:rsidRPr="002E4298">
              <w:rPr>
                <w:color w:val="000000" w:themeColor="text1"/>
                <w:sz w:val="17"/>
                <w:lang w:val="fr-FR"/>
              </w:rPr>
              <w:t>31 562</w:t>
            </w:r>
          </w:p>
        </w:tc>
        <w:tc>
          <w:tcPr>
            <w:tcW w:w="918" w:type="dxa"/>
            <w:tcBorders>
              <w:bottom w:val="single" w:sz="12" w:space="0" w:color="auto"/>
            </w:tcBorders>
            <w:shd w:val="clear" w:color="auto" w:fill="auto"/>
            <w:noWrap/>
            <w:vAlign w:val="bottom"/>
            <w:hideMark/>
          </w:tcPr>
          <w:p w14:paraId="027C5907" w14:textId="77777777" w:rsidR="00CC4AD2" w:rsidRPr="002E4298" w:rsidRDefault="00CC4AD2" w:rsidP="00CC4AD2">
            <w:pPr>
              <w:tabs>
                <w:tab w:val="left" w:pos="288"/>
                <w:tab w:val="left" w:pos="576"/>
                <w:tab w:val="left" w:pos="864"/>
                <w:tab w:val="left" w:pos="1152"/>
              </w:tabs>
              <w:suppressAutoHyphens/>
              <w:spacing w:before="40" w:after="40" w:line="210" w:lineRule="exact"/>
              <w:ind w:right="43"/>
              <w:jc w:val="right"/>
              <w:cnfStyle w:val="000000100000" w:firstRow="0" w:lastRow="0" w:firstColumn="0" w:lastColumn="0" w:oddVBand="0" w:evenVBand="0" w:oddHBand="1" w:evenHBand="0" w:firstRowFirstColumn="0" w:firstRowLastColumn="0" w:lastRowFirstColumn="0" w:lastRowLastColumn="0"/>
              <w:rPr>
                <w:color w:val="000000" w:themeColor="text1"/>
                <w:sz w:val="17"/>
                <w:lang w:val="fr-FR"/>
              </w:rPr>
            </w:pPr>
            <w:r w:rsidRPr="002E4298">
              <w:rPr>
                <w:color w:val="000000" w:themeColor="text1"/>
                <w:sz w:val="17"/>
                <w:lang w:val="fr-FR"/>
              </w:rPr>
              <w:t>4 478</w:t>
            </w:r>
          </w:p>
        </w:tc>
        <w:tc>
          <w:tcPr>
            <w:tcW w:w="984" w:type="dxa"/>
            <w:gridSpan w:val="2"/>
            <w:tcBorders>
              <w:bottom w:val="single" w:sz="12" w:space="0" w:color="auto"/>
            </w:tcBorders>
            <w:shd w:val="clear" w:color="auto" w:fill="auto"/>
            <w:noWrap/>
            <w:vAlign w:val="bottom"/>
            <w:hideMark/>
          </w:tcPr>
          <w:p w14:paraId="77701444" w14:textId="77777777" w:rsidR="00CC4AD2" w:rsidRPr="002E4298" w:rsidRDefault="00CC4AD2" w:rsidP="00CC4AD2">
            <w:pPr>
              <w:tabs>
                <w:tab w:val="left" w:pos="288"/>
                <w:tab w:val="left" w:pos="576"/>
                <w:tab w:val="left" w:pos="864"/>
                <w:tab w:val="left" w:pos="1152"/>
              </w:tabs>
              <w:suppressAutoHyphens/>
              <w:spacing w:before="40" w:after="40" w:line="210" w:lineRule="exact"/>
              <w:ind w:right="43"/>
              <w:jc w:val="right"/>
              <w:cnfStyle w:val="000000100000" w:firstRow="0" w:lastRow="0" w:firstColumn="0" w:lastColumn="0" w:oddVBand="0" w:evenVBand="0" w:oddHBand="1" w:evenHBand="0" w:firstRowFirstColumn="0" w:firstRowLastColumn="0" w:lastRowFirstColumn="0" w:lastRowLastColumn="0"/>
              <w:rPr>
                <w:color w:val="000000" w:themeColor="text1"/>
                <w:sz w:val="17"/>
                <w:lang w:val="fr-FR"/>
              </w:rPr>
            </w:pPr>
            <w:r w:rsidRPr="002E4298">
              <w:rPr>
                <w:color w:val="000000" w:themeColor="text1"/>
                <w:sz w:val="17"/>
                <w:lang w:val="fr-FR"/>
              </w:rPr>
              <w:t>16 348</w:t>
            </w:r>
          </w:p>
        </w:tc>
        <w:tc>
          <w:tcPr>
            <w:tcW w:w="933" w:type="dxa"/>
            <w:tcBorders>
              <w:bottom w:val="single" w:sz="12" w:space="0" w:color="auto"/>
            </w:tcBorders>
            <w:shd w:val="clear" w:color="auto" w:fill="auto"/>
            <w:noWrap/>
            <w:vAlign w:val="bottom"/>
            <w:hideMark/>
          </w:tcPr>
          <w:p w14:paraId="21C673C9" w14:textId="77777777" w:rsidR="00CC4AD2" w:rsidRPr="002E4298" w:rsidRDefault="00CC4AD2" w:rsidP="00CC4AD2">
            <w:pPr>
              <w:tabs>
                <w:tab w:val="left" w:pos="288"/>
                <w:tab w:val="left" w:pos="576"/>
                <w:tab w:val="left" w:pos="864"/>
                <w:tab w:val="left" w:pos="1152"/>
              </w:tabs>
              <w:suppressAutoHyphens/>
              <w:spacing w:before="40" w:after="40" w:line="210" w:lineRule="exact"/>
              <w:ind w:right="43"/>
              <w:jc w:val="right"/>
              <w:cnfStyle w:val="000000100000" w:firstRow="0" w:lastRow="0" w:firstColumn="0" w:lastColumn="0" w:oddVBand="0" w:evenVBand="0" w:oddHBand="1" w:evenHBand="0" w:firstRowFirstColumn="0" w:firstRowLastColumn="0" w:lastRowFirstColumn="0" w:lastRowLastColumn="0"/>
              <w:rPr>
                <w:color w:val="000000" w:themeColor="text1"/>
                <w:sz w:val="17"/>
                <w:lang w:val="fr-FR"/>
              </w:rPr>
            </w:pPr>
            <w:r w:rsidRPr="002E4298">
              <w:rPr>
                <w:color w:val="000000" w:themeColor="text1"/>
                <w:sz w:val="17"/>
                <w:lang w:val="fr-FR"/>
              </w:rPr>
              <w:t>2 379</w:t>
            </w:r>
          </w:p>
        </w:tc>
        <w:tc>
          <w:tcPr>
            <w:tcW w:w="999" w:type="dxa"/>
            <w:gridSpan w:val="2"/>
            <w:tcBorders>
              <w:bottom w:val="single" w:sz="12" w:space="0" w:color="auto"/>
            </w:tcBorders>
            <w:shd w:val="clear" w:color="auto" w:fill="auto"/>
            <w:noWrap/>
            <w:vAlign w:val="bottom"/>
            <w:hideMark/>
          </w:tcPr>
          <w:p w14:paraId="5554B2F8" w14:textId="77777777" w:rsidR="00CC4AD2" w:rsidRPr="002E4298" w:rsidRDefault="00CC4AD2" w:rsidP="00CC4AD2">
            <w:pPr>
              <w:tabs>
                <w:tab w:val="left" w:pos="288"/>
                <w:tab w:val="left" w:pos="576"/>
                <w:tab w:val="left" w:pos="864"/>
                <w:tab w:val="left" w:pos="1152"/>
              </w:tabs>
              <w:suppressAutoHyphens/>
              <w:spacing w:before="40" w:after="40" w:line="210" w:lineRule="exact"/>
              <w:ind w:right="43"/>
              <w:jc w:val="right"/>
              <w:cnfStyle w:val="000000100000" w:firstRow="0" w:lastRow="0" w:firstColumn="0" w:lastColumn="0" w:oddVBand="0" w:evenVBand="0" w:oddHBand="1" w:evenHBand="0" w:firstRowFirstColumn="0" w:firstRowLastColumn="0" w:lastRowFirstColumn="0" w:lastRowLastColumn="0"/>
              <w:rPr>
                <w:color w:val="000000" w:themeColor="text1"/>
                <w:sz w:val="17"/>
                <w:lang w:val="fr-FR"/>
              </w:rPr>
            </w:pPr>
            <w:r w:rsidRPr="002E4298">
              <w:rPr>
                <w:color w:val="000000" w:themeColor="text1"/>
                <w:sz w:val="17"/>
                <w:lang w:val="fr-FR"/>
              </w:rPr>
              <w:t>49 594</w:t>
            </w:r>
          </w:p>
        </w:tc>
        <w:tc>
          <w:tcPr>
            <w:tcW w:w="813" w:type="dxa"/>
            <w:tcBorders>
              <w:bottom w:val="single" w:sz="12" w:space="0" w:color="auto"/>
            </w:tcBorders>
            <w:shd w:val="clear" w:color="auto" w:fill="auto"/>
            <w:noWrap/>
            <w:vAlign w:val="bottom"/>
            <w:hideMark/>
          </w:tcPr>
          <w:p w14:paraId="2D62C2D7" w14:textId="77777777" w:rsidR="00CC4AD2" w:rsidRPr="002E4298" w:rsidRDefault="00CC4AD2" w:rsidP="00CC4AD2">
            <w:pPr>
              <w:tabs>
                <w:tab w:val="left" w:pos="288"/>
                <w:tab w:val="left" w:pos="576"/>
                <w:tab w:val="left" w:pos="864"/>
                <w:tab w:val="left" w:pos="1152"/>
              </w:tabs>
              <w:suppressAutoHyphens/>
              <w:spacing w:before="40" w:after="40" w:line="210" w:lineRule="exact"/>
              <w:ind w:right="43"/>
              <w:jc w:val="right"/>
              <w:cnfStyle w:val="000000100000" w:firstRow="0" w:lastRow="0" w:firstColumn="0" w:lastColumn="0" w:oddVBand="0" w:evenVBand="0" w:oddHBand="1" w:evenHBand="0" w:firstRowFirstColumn="0" w:firstRowLastColumn="0" w:lastRowFirstColumn="0" w:lastRowLastColumn="0"/>
              <w:rPr>
                <w:color w:val="000000" w:themeColor="text1"/>
                <w:sz w:val="17"/>
                <w:lang w:val="fr-FR"/>
              </w:rPr>
            </w:pPr>
            <w:r w:rsidRPr="002E4298">
              <w:rPr>
                <w:color w:val="000000" w:themeColor="text1"/>
                <w:sz w:val="17"/>
                <w:lang w:val="fr-FR"/>
              </w:rPr>
              <w:t>4 365</w:t>
            </w:r>
          </w:p>
        </w:tc>
      </w:tr>
    </w:tbl>
    <w:p w14:paraId="6D5E6101" w14:textId="7B98685D" w:rsidR="00CC4AD2" w:rsidRPr="002E4298" w:rsidRDefault="00CC4AD2" w:rsidP="00870546">
      <w:pPr>
        <w:pStyle w:val="SingleTxt"/>
        <w:spacing w:after="0" w:line="120" w:lineRule="exact"/>
        <w:rPr>
          <w:sz w:val="10"/>
          <w:lang w:val="fr-FR" w:bidi="fr-FR"/>
        </w:rPr>
      </w:pPr>
    </w:p>
    <w:p w14:paraId="71C6F805" w14:textId="3E25B5FE" w:rsidR="00BB0956" w:rsidRPr="002E4298" w:rsidRDefault="00BB0956" w:rsidP="00870546">
      <w:pPr>
        <w:pStyle w:val="FootnoteText"/>
        <w:tabs>
          <w:tab w:val="right" w:pos="1476"/>
          <w:tab w:val="left" w:pos="1548"/>
          <w:tab w:val="right" w:pos="1836"/>
          <w:tab w:val="left" w:pos="1908"/>
        </w:tabs>
        <w:ind w:left="1548" w:right="1267" w:hanging="288"/>
        <w:rPr>
          <w:lang w:val="fr-FR" w:bidi="fr-FR"/>
        </w:rPr>
      </w:pPr>
      <w:r w:rsidRPr="002E4298">
        <w:rPr>
          <w:i/>
          <w:iCs/>
          <w:lang w:val="fr-FR" w:bidi="fr-FR"/>
        </w:rPr>
        <w:t>Source</w:t>
      </w:r>
      <w:r w:rsidRPr="002E4298">
        <w:rPr>
          <w:lang w:val="fr-FR" w:bidi="fr-FR"/>
        </w:rPr>
        <w:t> : IEFP, I.P.</w:t>
      </w:r>
    </w:p>
    <w:p w14:paraId="47C39F80" w14:textId="36CABD41" w:rsidR="00870546" w:rsidRPr="002E4298" w:rsidRDefault="00870546" w:rsidP="00870546">
      <w:pPr>
        <w:pStyle w:val="SingleTxt"/>
        <w:spacing w:after="0" w:line="120" w:lineRule="exact"/>
        <w:rPr>
          <w:sz w:val="10"/>
          <w:lang w:val="fr-FR" w:bidi="fr-FR"/>
        </w:rPr>
      </w:pPr>
    </w:p>
    <w:p w14:paraId="1ACB3298" w14:textId="0060ABBE" w:rsidR="00870546" w:rsidRPr="002E4298" w:rsidRDefault="00870546" w:rsidP="00870546">
      <w:pPr>
        <w:pStyle w:val="SingleTxt"/>
        <w:spacing w:after="0" w:line="120" w:lineRule="exact"/>
        <w:rPr>
          <w:sz w:val="10"/>
          <w:lang w:val="fr-FR"/>
        </w:rPr>
      </w:pPr>
    </w:p>
    <w:p w14:paraId="7925C1D6" w14:textId="27A92F71" w:rsidR="00BB0956" w:rsidRPr="002E4298" w:rsidRDefault="00BB0956" w:rsidP="00A11C35">
      <w:pPr>
        <w:pStyle w:val="SingleTxt"/>
        <w:numPr>
          <w:ilvl w:val="0"/>
          <w:numId w:val="6"/>
        </w:numPr>
        <w:tabs>
          <w:tab w:val="num" w:pos="1769"/>
        </w:tabs>
        <w:spacing w:line="240" w:lineRule="exact"/>
        <w:rPr>
          <w:lang w:val="fr-FR"/>
        </w:rPr>
      </w:pPr>
      <w:r w:rsidRPr="002E4298">
        <w:rPr>
          <w:lang w:val="fr-FR" w:bidi="fr-FR"/>
        </w:rPr>
        <w:t xml:space="preserve">L’IEFP contribue également à éliminer les disparités salariales entre les femmes et les hommes, en assurant la protection de la parentalité et en favorisant l’équilibre entre vie professionnelle et vie privée au moyen de conditions d’accès spéciales et d’une augmentation du soutien aux entités qui embauchent des bénéficiaires issus de </w:t>
      </w:r>
      <w:r w:rsidRPr="002E4298">
        <w:rPr>
          <w:lang w:val="fr-FR" w:bidi="fr-FR"/>
        </w:rPr>
        <w:lastRenderedPageBreak/>
        <w:t>familles monoparentales (c’est-à-dire des mesures relatives au contrat de travail et à l’embauche, des stages professionnels, des allocations conditionnelles et des contrats emploi-intégration +). Si ces mesures pour l’emploi ne ciblent pas uniquement aux femmes, les chiffres montrent que ce sont elles qui en bénéficient le plus.</w:t>
      </w:r>
    </w:p>
    <w:p w14:paraId="388A2FD8" w14:textId="0AC52C0F" w:rsidR="00BB0956" w:rsidRPr="002E4298" w:rsidRDefault="00BB0956" w:rsidP="00AB0B39">
      <w:pPr>
        <w:pStyle w:val="SingleTxt"/>
        <w:spacing w:after="0" w:line="120" w:lineRule="exact"/>
        <w:rPr>
          <w:sz w:val="10"/>
          <w:lang w:val="fr-FR"/>
        </w:rPr>
      </w:pPr>
    </w:p>
    <w:p w14:paraId="4937F5BE" w14:textId="4F6C5EC4" w:rsidR="00AB0B39" w:rsidRPr="002E4298" w:rsidRDefault="00AB0B39" w:rsidP="00AB0B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2E4298">
        <w:rPr>
          <w:lang w:val="fr-FR"/>
        </w:rPr>
        <w:tab/>
      </w:r>
      <w:r w:rsidRPr="002E4298">
        <w:rPr>
          <w:lang w:val="fr-FR"/>
        </w:rPr>
        <w:tab/>
      </w:r>
      <w:r w:rsidRPr="002E4298">
        <w:rPr>
          <w:lang w:val="fr-FR" w:bidi="fr-FR"/>
        </w:rPr>
        <w:t>Augmentation du soutien pour embauche de bénéficiaires issus de familles monoparentales</w:t>
      </w:r>
    </w:p>
    <w:p w14:paraId="0B7C7334" w14:textId="405C37E1" w:rsidR="00AB0B39" w:rsidRPr="002E4298" w:rsidRDefault="00AB0B39" w:rsidP="00AB0B39">
      <w:pPr>
        <w:pStyle w:val="SingleTxt"/>
        <w:spacing w:after="0" w:line="120" w:lineRule="exact"/>
        <w:rPr>
          <w:sz w:val="10"/>
          <w:lang w:val="fr-FR" w:bidi="fr-FR"/>
        </w:rPr>
      </w:pPr>
    </w:p>
    <w:p w14:paraId="2CD8901A" w14:textId="0B1CF55D" w:rsidR="00AB0B39" w:rsidRPr="002E4298" w:rsidRDefault="00AB0B39" w:rsidP="00AB0B39">
      <w:pPr>
        <w:pStyle w:val="SingleTxt"/>
        <w:spacing w:after="0" w:line="120" w:lineRule="exact"/>
        <w:rPr>
          <w:sz w:val="10"/>
          <w:lang w:val="fr-FR" w:bidi="fr-FR"/>
        </w:rPr>
      </w:pPr>
    </w:p>
    <w:tbl>
      <w:tblPr>
        <w:tblStyle w:val="GridTable4-Accent1"/>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64"/>
        <w:gridCol w:w="1464"/>
        <w:gridCol w:w="1464"/>
        <w:gridCol w:w="1464"/>
        <w:gridCol w:w="1464"/>
      </w:tblGrid>
      <w:tr w:rsidR="00AB0B39" w:rsidRPr="002E4298" w14:paraId="2420ACDC" w14:textId="77777777" w:rsidTr="008150D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64" w:type="dxa"/>
            <w:tcBorders>
              <w:top w:val="single" w:sz="4" w:space="0" w:color="auto"/>
              <w:left w:val="none" w:sz="0" w:space="0" w:color="auto"/>
              <w:bottom w:val="single" w:sz="12" w:space="0" w:color="auto"/>
              <w:right w:val="none" w:sz="0" w:space="0" w:color="auto"/>
            </w:tcBorders>
            <w:shd w:val="clear" w:color="auto" w:fill="auto"/>
            <w:noWrap/>
            <w:vAlign w:val="bottom"/>
            <w:hideMark/>
          </w:tcPr>
          <w:p w14:paraId="04DD62A8" w14:textId="77777777" w:rsidR="00BB0956" w:rsidRPr="002E4298" w:rsidRDefault="00BB0956" w:rsidP="00AB0B39">
            <w:pPr>
              <w:pStyle w:val="SingleTxtG"/>
              <w:spacing w:before="81" w:after="81" w:line="160" w:lineRule="exact"/>
              <w:ind w:left="0" w:right="40"/>
              <w:jc w:val="left"/>
              <w:rPr>
                <w:b w:val="0"/>
                <w:i/>
                <w:color w:val="000000" w:themeColor="text1"/>
                <w:spacing w:val="4"/>
                <w:w w:val="103"/>
                <w:sz w:val="14"/>
                <w:lang w:val="fr-FR"/>
              </w:rPr>
            </w:pPr>
            <w:r w:rsidRPr="002E4298">
              <w:rPr>
                <w:b w:val="0"/>
                <w:i/>
                <w:color w:val="000000" w:themeColor="text1"/>
                <w:spacing w:val="4"/>
                <w:w w:val="103"/>
                <w:sz w:val="14"/>
                <w:lang w:val="fr-FR" w:bidi="fr-FR"/>
              </w:rPr>
              <w:t>Année</w:t>
            </w:r>
          </w:p>
        </w:tc>
        <w:tc>
          <w:tcPr>
            <w:tcW w:w="1464" w:type="dxa"/>
            <w:tcBorders>
              <w:top w:val="single" w:sz="4" w:space="0" w:color="auto"/>
              <w:left w:val="none" w:sz="0" w:space="0" w:color="auto"/>
              <w:bottom w:val="single" w:sz="12" w:space="0" w:color="auto"/>
              <w:right w:val="none" w:sz="0" w:space="0" w:color="auto"/>
            </w:tcBorders>
            <w:shd w:val="clear" w:color="auto" w:fill="auto"/>
            <w:noWrap/>
            <w:vAlign w:val="bottom"/>
            <w:hideMark/>
          </w:tcPr>
          <w:p w14:paraId="3C1E68E6" w14:textId="77777777" w:rsidR="00BB0956" w:rsidRPr="002E4298" w:rsidRDefault="00BB0956" w:rsidP="00AB0B39">
            <w:pPr>
              <w:pStyle w:val="SingleTxtG"/>
              <w:spacing w:before="81" w:after="81" w:line="160" w:lineRule="exact"/>
              <w:ind w:left="0" w:right="43"/>
              <w:jc w:val="right"/>
              <w:cnfStyle w:val="100000000000" w:firstRow="1" w:lastRow="0" w:firstColumn="0" w:lastColumn="0" w:oddVBand="0" w:evenVBand="0" w:oddHBand="0" w:evenHBand="0" w:firstRowFirstColumn="0" w:firstRowLastColumn="0" w:lastRowFirstColumn="0" w:lastRowLastColumn="0"/>
              <w:rPr>
                <w:b w:val="0"/>
                <w:bCs w:val="0"/>
                <w:i/>
                <w:color w:val="000000" w:themeColor="text1"/>
                <w:spacing w:val="4"/>
                <w:w w:val="103"/>
                <w:sz w:val="14"/>
                <w:lang w:val="fr-FR"/>
              </w:rPr>
            </w:pPr>
            <w:r w:rsidRPr="002E4298">
              <w:rPr>
                <w:b w:val="0"/>
                <w:bCs w:val="0"/>
                <w:i/>
                <w:color w:val="000000" w:themeColor="text1"/>
                <w:spacing w:val="4"/>
                <w:w w:val="103"/>
                <w:sz w:val="14"/>
                <w:lang w:val="fr-FR" w:bidi="fr-FR"/>
              </w:rPr>
              <w:t>2015</w:t>
            </w:r>
          </w:p>
        </w:tc>
        <w:tc>
          <w:tcPr>
            <w:tcW w:w="1464" w:type="dxa"/>
            <w:tcBorders>
              <w:top w:val="single" w:sz="4" w:space="0" w:color="auto"/>
              <w:left w:val="none" w:sz="0" w:space="0" w:color="auto"/>
              <w:bottom w:val="single" w:sz="12" w:space="0" w:color="auto"/>
              <w:right w:val="none" w:sz="0" w:space="0" w:color="auto"/>
            </w:tcBorders>
            <w:shd w:val="clear" w:color="auto" w:fill="auto"/>
            <w:noWrap/>
            <w:vAlign w:val="bottom"/>
            <w:hideMark/>
          </w:tcPr>
          <w:p w14:paraId="75AB1D49" w14:textId="77777777" w:rsidR="00BB0956" w:rsidRPr="002E4298" w:rsidRDefault="00BB0956" w:rsidP="00AB0B39">
            <w:pPr>
              <w:pStyle w:val="SingleTxtG"/>
              <w:spacing w:before="81" w:after="81" w:line="160" w:lineRule="exact"/>
              <w:ind w:left="0" w:right="43"/>
              <w:jc w:val="right"/>
              <w:cnfStyle w:val="100000000000" w:firstRow="1" w:lastRow="0" w:firstColumn="0" w:lastColumn="0" w:oddVBand="0" w:evenVBand="0" w:oddHBand="0" w:evenHBand="0" w:firstRowFirstColumn="0" w:firstRowLastColumn="0" w:lastRowFirstColumn="0" w:lastRowLastColumn="0"/>
              <w:rPr>
                <w:b w:val="0"/>
                <w:bCs w:val="0"/>
                <w:i/>
                <w:color w:val="000000" w:themeColor="text1"/>
                <w:spacing w:val="4"/>
                <w:w w:val="103"/>
                <w:sz w:val="14"/>
                <w:lang w:val="fr-FR"/>
              </w:rPr>
            </w:pPr>
            <w:r w:rsidRPr="002E4298">
              <w:rPr>
                <w:b w:val="0"/>
                <w:bCs w:val="0"/>
                <w:i/>
                <w:color w:val="000000" w:themeColor="text1"/>
                <w:spacing w:val="4"/>
                <w:w w:val="103"/>
                <w:sz w:val="14"/>
                <w:lang w:val="fr-FR" w:bidi="fr-FR"/>
              </w:rPr>
              <w:t>2016</w:t>
            </w:r>
          </w:p>
        </w:tc>
        <w:tc>
          <w:tcPr>
            <w:tcW w:w="1464" w:type="dxa"/>
            <w:tcBorders>
              <w:top w:val="single" w:sz="4" w:space="0" w:color="auto"/>
              <w:left w:val="none" w:sz="0" w:space="0" w:color="auto"/>
              <w:bottom w:val="single" w:sz="12" w:space="0" w:color="auto"/>
              <w:right w:val="none" w:sz="0" w:space="0" w:color="auto"/>
            </w:tcBorders>
            <w:shd w:val="clear" w:color="auto" w:fill="auto"/>
            <w:noWrap/>
            <w:vAlign w:val="bottom"/>
            <w:hideMark/>
          </w:tcPr>
          <w:p w14:paraId="408F82A3" w14:textId="77777777" w:rsidR="00BB0956" w:rsidRPr="002E4298" w:rsidRDefault="00BB0956" w:rsidP="00AB0B39">
            <w:pPr>
              <w:pStyle w:val="SingleTxtG"/>
              <w:spacing w:before="81" w:after="81" w:line="160" w:lineRule="exact"/>
              <w:ind w:left="0" w:right="43"/>
              <w:jc w:val="right"/>
              <w:cnfStyle w:val="100000000000" w:firstRow="1" w:lastRow="0" w:firstColumn="0" w:lastColumn="0" w:oddVBand="0" w:evenVBand="0" w:oddHBand="0" w:evenHBand="0" w:firstRowFirstColumn="0" w:firstRowLastColumn="0" w:lastRowFirstColumn="0" w:lastRowLastColumn="0"/>
              <w:rPr>
                <w:b w:val="0"/>
                <w:bCs w:val="0"/>
                <w:i/>
                <w:color w:val="000000" w:themeColor="text1"/>
                <w:spacing w:val="4"/>
                <w:w w:val="103"/>
                <w:sz w:val="14"/>
                <w:lang w:val="fr-FR"/>
              </w:rPr>
            </w:pPr>
            <w:r w:rsidRPr="002E4298">
              <w:rPr>
                <w:b w:val="0"/>
                <w:bCs w:val="0"/>
                <w:i/>
                <w:color w:val="000000" w:themeColor="text1"/>
                <w:spacing w:val="4"/>
                <w:w w:val="103"/>
                <w:sz w:val="14"/>
                <w:lang w:val="fr-FR" w:bidi="fr-FR"/>
              </w:rPr>
              <w:t>2017</w:t>
            </w:r>
          </w:p>
        </w:tc>
        <w:tc>
          <w:tcPr>
            <w:tcW w:w="1464" w:type="dxa"/>
            <w:tcBorders>
              <w:top w:val="single" w:sz="4" w:space="0" w:color="auto"/>
              <w:left w:val="none" w:sz="0" w:space="0" w:color="auto"/>
              <w:bottom w:val="single" w:sz="12" w:space="0" w:color="auto"/>
              <w:right w:val="none" w:sz="0" w:space="0" w:color="auto"/>
            </w:tcBorders>
            <w:shd w:val="clear" w:color="auto" w:fill="auto"/>
            <w:noWrap/>
            <w:vAlign w:val="bottom"/>
            <w:hideMark/>
          </w:tcPr>
          <w:p w14:paraId="5C9390A3" w14:textId="77777777" w:rsidR="00BB0956" w:rsidRPr="002E4298" w:rsidRDefault="00BB0956" w:rsidP="00AB0B39">
            <w:pPr>
              <w:pStyle w:val="SingleTxtG"/>
              <w:spacing w:before="81" w:after="81" w:line="160" w:lineRule="exact"/>
              <w:ind w:left="0" w:right="43"/>
              <w:jc w:val="right"/>
              <w:cnfStyle w:val="100000000000" w:firstRow="1" w:lastRow="0" w:firstColumn="0" w:lastColumn="0" w:oddVBand="0" w:evenVBand="0" w:oddHBand="0" w:evenHBand="0" w:firstRowFirstColumn="0" w:firstRowLastColumn="0" w:lastRowFirstColumn="0" w:lastRowLastColumn="0"/>
              <w:rPr>
                <w:b w:val="0"/>
                <w:bCs w:val="0"/>
                <w:i/>
                <w:color w:val="000000" w:themeColor="text1"/>
                <w:spacing w:val="4"/>
                <w:w w:val="103"/>
                <w:sz w:val="14"/>
                <w:lang w:val="fr-FR"/>
              </w:rPr>
            </w:pPr>
            <w:r w:rsidRPr="002E4298">
              <w:rPr>
                <w:b w:val="0"/>
                <w:bCs w:val="0"/>
                <w:i/>
                <w:color w:val="000000" w:themeColor="text1"/>
                <w:spacing w:val="4"/>
                <w:w w:val="103"/>
                <w:sz w:val="14"/>
                <w:lang w:val="fr-FR" w:bidi="fr-FR"/>
              </w:rPr>
              <w:t>2018</w:t>
            </w:r>
          </w:p>
        </w:tc>
      </w:tr>
      <w:tr w:rsidR="00AB0B39" w:rsidRPr="002E4298" w14:paraId="28628EFF" w14:textId="77777777" w:rsidTr="008150DA">
        <w:trPr>
          <w:cnfStyle w:val="100000000000" w:firstRow="1" w:lastRow="0" w:firstColumn="0" w:lastColumn="0" w:oddVBand="0" w:evenVBand="0" w:oddHBand="0" w:evenHBand="0" w:firstRowFirstColumn="0" w:firstRowLastColumn="0" w:lastRowFirstColumn="0" w:lastRowLastColumn="0"/>
          <w:trHeight w:hRule="exact" w:val="115"/>
          <w:tblHeader/>
        </w:trPr>
        <w:tc>
          <w:tcPr>
            <w:cnfStyle w:val="001000000000" w:firstRow="0" w:lastRow="0" w:firstColumn="1" w:lastColumn="0" w:oddVBand="0" w:evenVBand="0" w:oddHBand="0" w:evenHBand="0" w:firstRowFirstColumn="0" w:firstRowLastColumn="0" w:lastRowFirstColumn="0" w:lastRowLastColumn="0"/>
            <w:tcW w:w="1464" w:type="dxa"/>
            <w:tcBorders>
              <w:top w:val="single" w:sz="12" w:space="0" w:color="auto"/>
              <w:left w:val="none" w:sz="0" w:space="0" w:color="auto"/>
              <w:bottom w:val="none" w:sz="0" w:space="0" w:color="auto"/>
            </w:tcBorders>
            <w:shd w:val="clear" w:color="auto" w:fill="auto"/>
            <w:noWrap/>
            <w:vAlign w:val="bottom"/>
          </w:tcPr>
          <w:p w14:paraId="5DEEE63F" w14:textId="77777777" w:rsidR="00AB0B39" w:rsidRPr="002E4298" w:rsidRDefault="00AB0B39" w:rsidP="00AB0B39">
            <w:pPr>
              <w:pStyle w:val="SingleTxtG"/>
              <w:spacing w:before="40" w:after="40" w:line="210" w:lineRule="exact"/>
              <w:ind w:left="0" w:right="40"/>
              <w:jc w:val="left"/>
              <w:rPr>
                <w:b w:val="0"/>
                <w:color w:val="000000" w:themeColor="text1"/>
                <w:spacing w:val="4"/>
                <w:w w:val="103"/>
                <w:sz w:val="17"/>
                <w:lang w:val="fr-FR" w:bidi="fr-FR"/>
              </w:rPr>
            </w:pPr>
          </w:p>
        </w:tc>
        <w:tc>
          <w:tcPr>
            <w:tcW w:w="1464" w:type="dxa"/>
            <w:tcBorders>
              <w:top w:val="single" w:sz="12" w:space="0" w:color="auto"/>
              <w:bottom w:val="none" w:sz="0" w:space="0" w:color="auto"/>
            </w:tcBorders>
            <w:shd w:val="clear" w:color="auto" w:fill="auto"/>
            <w:noWrap/>
            <w:vAlign w:val="bottom"/>
          </w:tcPr>
          <w:p w14:paraId="3103D49B" w14:textId="77777777" w:rsidR="00AB0B39" w:rsidRPr="002E4298" w:rsidRDefault="00AB0B39" w:rsidP="00AB0B39">
            <w:pPr>
              <w:pStyle w:val="SingleTxtG"/>
              <w:spacing w:before="40" w:after="40" w:line="210" w:lineRule="exact"/>
              <w:ind w:left="0" w:right="43"/>
              <w:jc w:val="right"/>
              <w:cnfStyle w:val="100000000000" w:firstRow="1" w:lastRow="0" w:firstColumn="0" w:lastColumn="0" w:oddVBand="0" w:evenVBand="0" w:oddHBand="0" w:evenHBand="0" w:firstRowFirstColumn="0" w:firstRowLastColumn="0" w:lastRowFirstColumn="0" w:lastRowLastColumn="0"/>
              <w:rPr>
                <w:color w:val="000000" w:themeColor="text1"/>
                <w:spacing w:val="4"/>
                <w:w w:val="103"/>
                <w:sz w:val="17"/>
                <w:lang w:val="fr-FR" w:bidi="fr-FR"/>
              </w:rPr>
            </w:pPr>
          </w:p>
        </w:tc>
        <w:tc>
          <w:tcPr>
            <w:tcW w:w="1464" w:type="dxa"/>
            <w:tcBorders>
              <w:top w:val="single" w:sz="12" w:space="0" w:color="auto"/>
              <w:bottom w:val="none" w:sz="0" w:space="0" w:color="auto"/>
            </w:tcBorders>
            <w:shd w:val="clear" w:color="auto" w:fill="auto"/>
            <w:noWrap/>
            <w:vAlign w:val="bottom"/>
          </w:tcPr>
          <w:p w14:paraId="7B00105A" w14:textId="77777777" w:rsidR="00AB0B39" w:rsidRPr="002E4298" w:rsidRDefault="00AB0B39" w:rsidP="00AB0B39">
            <w:pPr>
              <w:pStyle w:val="SingleTxtG"/>
              <w:spacing w:before="40" w:after="40" w:line="210" w:lineRule="exact"/>
              <w:ind w:left="0" w:right="43"/>
              <w:jc w:val="right"/>
              <w:cnfStyle w:val="100000000000" w:firstRow="1" w:lastRow="0" w:firstColumn="0" w:lastColumn="0" w:oddVBand="0" w:evenVBand="0" w:oddHBand="0" w:evenHBand="0" w:firstRowFirstColumn="0" w:firstRowLastColumn="0" w:lastRowFirstColumn="0" w:lastRowLastColumn="0"/>
              <w:rPr>
                <w:color w:val="000000" w:themeColor="text1"/>
                <w:spacing w:val="4"/>
                <w:w w:val="103"/>
                <w:sz w:val="17"/>
                <w:lang w:val="fr-FR" w:bidi="fr-FR"/>
              </w:rPr>
            </w:pPr>
          </w:p>
        </w:tc>
        <w:tc>
          <w:tcPr>
            <w:tcW w:w="1464" w:type="dxa"/>
            <w:tcBorders>
              <w:top w:val="single" w:sz="12" w:space="0" w:color="auto"/>
              <w:bottom w:val="none" w:sz="0" w:space="0" w:color="auto"/>
            </w:tcBorders>
            <w:shd w:val="clear" w:color="auto" w:fill="auto"/>
            <w:noWrap/>
            <w:vAlign w:val="bottom"/>
          </w:tcPr>
          <w:p w14:paraId="4C8048ED" w14:textId="77777777" w:rsidR="00AB0B39" w:rsidRPr="002E4298" w:rsidRDefault="00AB0B39" w:rsidP="00AB0B39">
            <w:pPr>
              <w:pStyle w:val="SingleTxtG"/>
              <w:spacing w:before="40" w:after="40" w:line="210" w:lineRule="exact"/>
              <w:ind w:left="0" w:right="43"/>
              <w:jc w:val="right"/>
              <w:cnfStyle w:val="100000000000" w:firstRow="1" w:lastRow="0" w:firstColumn="0" w:lastColumn="0" w:oddVBand="0" w:evenVBand="0" w:oddHBand="0" w:evenHBand="0" w:firstRowFirstColumn="0" w:firstRowLastColumn="0" w:lastRowFirstColumn="0" w:lastRowLastColumn="0"/>
              <w:rPr>
                <w:color w:val="000000" w:themeColor="text1"/>
                <w:spacing w:val="4"/>
                <w:w w:val="103"/>
                <w:sz w:val="17"/>
                <w:lang w:val="fr-FR" w:bidi="fr-FR"/>
              </w:rPr>
            </w:pPr>
          </w:p>
        </w:tc>
        <w:tc>
          <w:tcPr>
            <w:tcW w:w="1464" w:type="dxa"/>
            <w:tcBorders>
              <w:top w:val="single" w:sz="12" w:space="0" w:color="auto"/>
              <w:bottom w:val="none" w:sz="0" w:space="0" w:color="auto"/>
              <w:right w:val="none" w:sz="0" w:space="0" w:color="auto"/>
            </w:tcBorders>
            <w:shd w:val="clear" w:color="auto" w:fill="auto"/>
            <w:noWrap/>
            <w:vAlign w:val="bottom"/>
          </w:tcPr>
          <w:p w14:paraId="707A8C3A" w14:textId="77777777" w:rsidR="00AB0B39" w:rsidRPr="002E4298" w:rsidRDefault="00AB0B39" w:rsidP="00AB0B39">
            <w:pPr>
              <w:pStyle w:val="SingleTxtG"/>
              <w:spacing w:before="40" w:after="40" w:line="210" w:lineRule="exact"/>
              <w:ind w:left="0" w:right="43"/>
              <w:jc w:val="right"/>
              <w:cnfStyle w:val="100000000000" w:firstRow="1" w:lastRow="0" w:firstColumn="0" w:lastColumn="0" w:oddVBand="0" w:evenVBand="0" w:oddHBand="0" w:evenHBand="0" w:firstRowFirstColumn="0" w:firstRowLastColumn="0" w:lastRowFirstColumn="0" w:lastRowLastColumn="0"/>
              <w:rPr>
                <w:color w:val="000000" w:themeColor="text1"/>
                <w:spacing w:val="4"/>
                <w:w w:val="103"/>
                <w:sz w:val="17"/>
                <w:lang w:val="fr-FR" w:bidi="fr-FR"/>
              </w:rPr>
            </w:pPr>
          </w:p>
        </w:tc>
      </w:tr>
      <w:tr w:rsidR="00AB0B39" w:rsidRPr="002E4298" w14:paraId="389995A3" w14:textId="77777777" w:rsidTr="00AB0B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4" w:type="dxa"/>
            <w:tcBorders>
              <w:bottom w:val="single" w:sz="12" w:space="0" w:color="auto"/>
            </w:tcBorders>
            <w:shd w:val="clear" w:color="auto" w:fill="auto"/>
            <w:noWrap/>
            <w:vAlign w:val="bottom"/>
            <w:hideMark/>
          </w:tcPr>
          <w:p w14:paraId="14944020" w14:textId="77777777" w:rsidR="00BB0956" w:rsidRPr="002E4298" w:rsidRDefault="00BB0956" w:rsidP="00AB0B39">
            <w:pPr>
              <w:pStyle w:val="SingleTxtG"/>
              <w:tabs>
                <w:tab w:val="left" w:pos="288"/>
                <w:tab w:val="left" w:pos="576"/>
                <w:tab w:val="left" w:pos="864"/>
                <w:tab w:val="left" w:pos="1152"/>
              </w:tabs>
              <w:spacing w:before="40" w:after="40" w:line="210" w:lineRule="exact"/>
              <w:ind w:left="0" w:right="40"/>
              <w:jc w:val="left"/>
              <w:rPr>
                <w:b w:val="0"/>
                <w:color w:val="000000" w:themeColor="text1"/>
                <w:spacing w:val="4"/>
                <w:w w:val="103"/>
                <w:sz w:val="17"/>
                <w:lang w:val="fr-FR"/>
              </w:rPr>
            </w:pPr>
            <w:r w:rsidRPr="002E4298">
              <w:rPr>
                <w:b w:val="0"/>
                <w:color w:val="000000" w:themeColor="text1"/>
                <w:spacing w:val="4"/>
                <w:w w:val="103"/>
                <w:sz w:val="17"/>
                <w:lang w:val="fr-FR" w:bidi="fr-FR"/>
              </w:rPr>
              <w:t>Bénéficiaires</w:t>
            </w:r>
          </w:p>
        </w:tc>
        <w:tc>
          <w:tcPr>
            <w:tcW w:w="1464" w:type="dxa"/>
            <w:tcBorders>
              <w:bottom w:val="single" w:sz="12" w:space="0" w:color="auto"/>
            </w:tcBorders>
            <w:shd w:val="clear" w:color="auto" w:fill="auto"/>
            <w:noWrap/>
            <w:vAlign w:val="bottom"/>
            <w:hideMark/>
          </w:tcPr>
          <w:p w14:paraId="166CDB0D" w14:textId="77777777" w:rsidR="00BB0956" w:rsidRPr="002E4298" w:rsidRDefault="00BB0956" w:rsidP="00AB0B39">
            <w:pPr>
              <w:pStyle w:val="SingleTxtG"/>
              <w:tabs>
                <w:tab w:val="left" w:pos="288"/>
                <w:tab w:val="left" w:pos="576"/>
                <w:tab w:val="left" w:pos="864"/>
                <w:tab w:val="left" w:pos="1152"/>
              </w:tabs>
              <w:spacing w:before="40" w:after="40" w:line="210" w:lineRule="exact"/>
              <w:ind w:left="0" w:right="43"/>
              <w:jc w:val="right"/>
              <w:cnfStyle w:val="000000100000" w:firstRow="0" w:lastRow="0" w:firstColumn="0" w:lastColumn="0" w:oddVBand="0" w:evenVBand="0" w:oddHBand="1" w:evenHBand="0" w:firstRowFirstColumn="0" w:firstRowLastColumn="0" w:lastRowFirstColumn="0" w:lastRowLastColumn="0"/>
              <w:rPr>
                <w:color w:val="000000" w:themeColor="text1"/>
                <w:spacing w:val="4"/>
                <w:w w:val="103"/>
                <w:sz w:val="17"/>
                <w:lang w:val="fr-FR"/>
              </w:rPr>
            </w:pPr>
            <w:r w:rsidRPr="002E4298">
              <w:rPr>
                <w:color w:val="000000" w:themeColor="text1"/>
                <w:spacing w:val="4"/>
                <w:w w:val="103"/>
                <w:sz w:val="17"/>
                <w:lang w:val="fr-FR" w:bidi="fr-FR"/>
              </w:rPr>
              <w:t>16 219</w:t>
            </w:r>
          </w:p>
        </w:tc>
        <w:tc>
          <w:tcPr>
            <w:tcW w:w="1464" w:type="dxa"/>
            <w:tcBorders>
              <w:bottom w:val="single" w:sz="12" w:space="0" w:color="auto"/>
            </w:tcBorders>
            <w:shd w:val="clear" w:color="auto" w:fill="auto"/>
            <w:noWrap/>
            <w:vAlign w:val="bottom"/>
            <w:hideMark/>
          </w:tcPr>
          <w:p w14:paraId="691C49E0" w14:textId="77777777" w:rsidR="00BB0956" w:rsidRPr="002E4298" w:rsidRDefault="00BB0956" w:rsidP="00AB0B39">
            <w:pPr>
              <w:pStyle w:val="SingleTxtG"/>
              <w:tabs>
                <w:tab w:val="left" w:pos="288"/>
                <w:tab w:val="left" w:pos="576"/>
                <w:tab w:val="left" w:pos="864"/>
                <w:tab w:val="left" w:pos="1152"/>
              </w:tabs>
              <w:spacing w:before="40" w:after="40" w:line="210" w:lineRule="exact"/>
              <w:ind w:left="0" w:right="43"/>
              <w:jc w:val="right"/>
              <w:cnfStyle w:val="000000100000" w:firstRow="0" w:lastRow="0" w:firstColumn="0" w:lastColumn="0" w:oddVBand="0" w:evenVBand="0" w:oddHBand="1" w:evenHBand="0" w:firstRowFirstColumn="0" w:firstRowLastColumn="0" w:lastRowFirstColumn="0" w:lastRowLastColumn="0"/>
              <w:rPr>
                <w:color w:val="000000" w:themeColor="text1"/>
                <w:spacing w:val="4"/>
                <w:w w:val="103"/>
                <w:sz w:val="17"/>
                <w:lang w:val="fr-FR"/>
              </w:rPr>
            </w:pPr>
            <w:r w:rsidRPr="002E4298">
              <w:rPr>
                <w:color w:val="000000" w:themeColor="text1"/>
                <w:spacing w:val="4"/>
                <w:w w:val="103"/>
                <w:sz w:val="17"/>
                <w:lang w:val="fr-FR" w:bidi="fr-FR"/>
              </w:rPr>
              <w:t>11 809</w:t>
            </w:r>
          </w:p>
        </w:tc>
        <w:tc>
          <w:tcPr>
            <w:tcW w:w="1464" w:type="dxa"/>
            <w:tcBorders>
              <w:bottom w:val="single" w:sz="12" w:space="0" w:color="auto"/>
            </w:tcBorders>
            <w:shd w:val="clear" w:color="auto" w:fill="auto"/>
            <w:noWrap/>
            <w:vAlign w:val="bottom"/>
            <w:hideMark/>
          </w:tcPr>
          <w:p w14:paraId="7D4B1380" w14:textId="77777777" w:rsidR="00BB0956" w:rsidRPr="002E4298" w:rsidRDefault="00BB0956" w:rsidP="00AB0B39">
            <w:pPr>
              <w:pStyle w:val="SingleTxtG"/>
              <w:tabs>
                <w:tab w:val="left" w:pos="288"/>
                <w:tab w:val="left" w:pos="576"/>
                <w:tab w:val="left" w:pos="864"/>
                <w:tab w:val="left" w:pos="1152"/>
              </w:tabs>
              <w:spacing w:before="40" w:after="40" w:line="210" w:lineRule="exact"/>
              <w:ind w:left="0" w:right="43"/>
              <w:jc w:val="right"/>
              <w:cnfStyle w:val="000000100000" w:firstRow="0" w:lastRow="0" w:firstColumn="0" w:lastColumn="0" w:oddVBand="0" w:evenVBand="0" w:oddHBand="1" w:evenHBand="0" w:firstRowFirstColumn="0" w:firstRowLastColumn="0" w:lastRowFirstColumn="0" w:lastRowLastColumn="0"/>
              <w:rPr>
                <w:color w:val="000000" w:themeColor="text1"/>
                <w:spacing w:val="4"/>
                <w:w w:val="103"/>
                <w:sz w:val="17"/>
                <w:lang w:val="fr-FR"/>
              </w:rPr>
            </w:pPr>
            <w:r w:rsidRPr="002E4298">
              <w:rPr>
                <w:color w:val="000000" w:themeColor="text1"/>
                <w:spacing w:val="4"/>
                <w:w w:val="103"/>
                <w:sz w:val="17"/>
                <w:lang w:val="fr-FR" w:bidi="fr-FR"/>
              </w:rPr>
              <w:t>10 524</w:t>
            </w:r>
          </w:p>
        </w:tc>
        <w:tc>
          <w:tcPr>
            <w:tcW w:w="1464" w:type="dxa"/>
            <w:tcBorders>
              <w:bottom w:val="single" w:sz="12" w:space="0" w:color="auto"/>
            </w:tcBorders>
            <w:shd w:val="clear" w:color="auto" w:fill="auto"/>
            <w:noWrap/>
            <w:vAlign w:val="bottom"/>
            <w:hideMark/>
          </w:tcPr>
          <w:p w14:paraId="443822BD" w14:textId="77777777" w:rsidR="00BB0956" w:rsidRPr="002E4298" w:rsidRDefault="00BB0956" w:rsidP="00AB0B39">
            <w:pPr>
              <w:pStyle w:val="SingleTxtG"/>
              <w:tabs>
                <w:tab w:val="left" w:pos="288"/>
                <w:tab w:val="left" w:pos="576"/>
                <w:tab w:val="left" w:pos="864"/>
                <w:tab w:val="left" w:pos="1152"/>
              </w:tabs>
              <w:spacing w:before="40" w:after="40" w:line="210" w:lineRule="exact"/>
              <w:ind w:left="0" w:right="43"/>
              <w:jc w:val="right"/>
              <w:cnfStyle w:val="000000100000" w:firstRow="0" w:lastRow="0" w:firstColumn="0" w:lastColumn="0" w:oddVBand="0" w:evenVBand="0" w:oddHBand="1" w:evenHBand="0" w:firstRowFirstColumn="0" w:firstRowLastColumn="0" w:lastRowFirstColumn="0" w:lastRowLastColumn="0"/>
              <w:rPr>
                <w:color w:val="000000" w:themeColor="text1"/>
                <w:spacing w:val="4"/>
                <w:w w:val="103"/>
                <w:sz w:val="17"/>
                <w:lang w:val="fr-FR"/>
              </w:rPr>
            </w:pPr>
            <w:r w:rsidRPr="002E4298">
              <w:rPr>
                <w:color w:val="000000" w:themeColor="text1"/>
                <w:spacing w:val="4"/>
                <w:w w:val="103"/>
                <w:sz w:val="17"/>
                <w:lang w:val="fr-FR" w:bidi="fr-FR"/>
              </w:rPr>
              <w:t>8 979</w:t>
            </w:r>
          </w:p>
        </w:tc>
      </w:tr>
    </w:tbl>
    <w:p w14:paraId="770E540C" w14:textId="77777777" w:rsidR="00BB0956" w:rsidRPr="002E4298" w:rsidRDefault="00BB0956" w:rsidP="00BB0956">
      <w:pPr>
        <w:pStyle w:val="SingleTxt"/>
        <w:spacing w:after="0" w:line="120" w:lineRule="exact"/>
        <w:rPr>
          <w:sz w:val="10"/>
          <w:lang w:val="fr-FR"/>
        </w:rPr>
      </w:pPr>
    </w:p>
    <w:p w14:paraId="7BBB3549" w14:textId="6814A546" w:rsidR="00BB0956" w:rsidRPr="002E4298" w:rsidRDefault="00BB0956" w:rsidP="00AB0B39">
      <w:pPr>
        <w:pStyle w:val="FootnoteText"/>
        <w:tabs>
          <w:tab w:val="right" w:pos="1476"/>
          <w:tab w:val="left" w:pos="1548"/>
          <w:tab w:val="right" w:pos="1836"/>
          <w:tab w:val="left" w:pos="1908"/>
        </w:tabs>
        <w:ind w:left="1548" w:right="1267" w:hanging="288"/>
        <w:rPr>
          <w:lang w:val="fr-FR" w:bidi="fr-FR"/>
        </w:rPr>
      </w:pPr>
      <w:r w:rsidRPr="002E4298">
        <w:rPr>
          <w:i/>
          <w:iCs/>
          <w:lang w:val="fr-FR" w:bidi="fr-FR"/>
        </w:rPr>
        <w:t>Source</w:t>
      </w:r>
      <w:r w:rsidRPr="002E4298">
        <w:rPr>
          <w:lang w:val="fr-FR" w:bidi="fr-FR"/>
        </w:rPr>
        <w:t> : IEFP, I.P.</w:t>
      </w:r>
    </w:p>
    <w:p w14:paraId="7B156A0F" w14:textId="7F92B669" w:rsidR="00AB0B39" w:rsidRPr="002E4298" w:rsidRDefault="00AB0B39" w:rsidP="00AB0B39">
      <w:pPr>
        <w:pStyle w:val="SingleTxt"/>
        <w:spacing w:after="0" w:line="120" w:lineRule="exact"/>
        <w:rPr>
          <w:i/>
          <w:sz w:val="10"/>
          <w:lang w:val="fr-FR" w:bidi="fr-FR"/>
        </w:rPr>
      </w:pPr>
    </w:p>
    <w:p w14:paraId="3A6CC8D0" w14:textId="7A60B856" w:rsidR="00AB0B39" w:rsidRPr="002E4298" w:rsidRDefault="00AB0B39" w:rsidP="00AB0B39">
      <w:pPr>
        <w:pStyle w:val="SingleTxt"/>
        <w:spacing w:after="0" w:line="120" w:lineRule="exact"/>
        <w:rPr>
          <w:i/>
          <w:sz w:val="10"/>
          <w:lang w:val="fr-FR"/>
        </w:rPr>
      </w:pPr>
    </w:p>
    <w:p w14:paraId="57F82522" w14:textId="3C224E51" w:rsidR="00BB0956" w:rsidRPr="002E4298" w:rsidRDefault="00BB0956" w:rsidP="00A11C35">
      <w:pPr>
        <w:pStyle w:val="SingleTxt"/>
        <w:numPr>
          <w:ilvl w:val="0"/>
          <w:numId w:val="6"/>
        </w:numPr>
        <w:tabs>
          <w:tab w:val="num" w:pos="1769"/>
        </w:tabs>
        <w:spacing w:line="240" w:lineRule="exact"/>
        <w:rPr>
          <w:lang w:val="fr-FR"/>
        </w:rPr>
      </w:pPr>
      <w:r w:rsidRPr="002E4298">
        <w:rPr>
          <w:lang w:val="fr-FR" w:bidi="fr-FR"/>
        </w:rPr>
        <w:t>En ce qui concerne l’intégration des femmes roms, l’Institut pour l’emploi et la formation professionnelle est également chargé de certaines mesures dans le cadre de la Stratégie nationale pour l’intégration des communautés du voyage (ENICC), à savoir la promotion de la participation des filles et des femmes roms au marché du travail, dans le cadre des mesures pour l’emploi (primes à l’emploi et de conversion). Il s’agit d’une mesure très récente concernant laquelle les données ne sont pas encore disponibles.</w:t>
      </w:r>
    </w:p>
    <w:p w14:paraId="65B56DAE" w14:textId="42C84FB7" w:rsidR="00BB0956" w:rsidRPr="002E4298" w:rsidRDefault="00BB0956" w:rsidP="00A11C35">
      <w:pPr>
        <w:pStyle w:val="SingleTxt"/>
        <w:numPr>
          <w:ilvl w:val="0"/>
          <w:numId w:val="6"/>
        </w:numPr>
        <w:tabs>
          <w:tab w:val="num" w:pos="1769"/>
        </w:tabs>
        <w:spacing w:line="240" w:lineRule="exact"/>
        <w:rPr>
          <w:lang w:val="fr-FR"/>
        </w:rPr>
      </w:pPr>
      <w:r w:rsidRPr="002E4298">
        <w:rPr>
          <w:lang w:val="fr-FR" w:bidi="fr-FR"/>
        </w:rPr>
        <w:t>L’Institut pour l’emploi et la formation professionnelle a également adopté une série de mesures diversifiées pour soutenir les chômeurs en matière de promotion de l’esprit d’entreprise. Les femmes sont également candidates et bénéficiaires de ces programmes d’entrepreneuriat.</w:t>
      </w:r>
    </w:p>
    <w:p w14:paraId="7C3D8E5D" w14:textId="674BA847" w:rsidR="00BB0956" w:rsidRPr="002E4298" w:rsidRDefault="00BB0956" w:rsidP="00A11C35">
      <w:pPr>
        <w:pStyle w:val="SingleTxt"/>
        <w:numPr>
          <w:ilvl w:val="0"/>
          <w:numId w:val="6"/>
        </w:numPr>
        <w:tabs>
          <w:tab w:val="num" w:pos="1769"/>
        </w:tabs>
        <w:spacing w:line="240" w:lineRule="exact"/>
        <w:rPr>
          <w:lang w:val="fr-FR"/>
        </w:rPr>
      </w:pPr>
      <w:r w:rsidRPr="002E4298">
        <w:rPr>
          <w:lang w:val="fr-FR" w:bidi="fr-FR"/>
        </w:rPr>
        <w:t>Le graphique ci-dessous montre l’évolution des demandes par sexe. Il convient de noter que le nombre de candidatures féminines a davantage augmenté que celui des candidatures masculines.</w:t>
      </w:r>
    </w:p>
    <w:p w14:paraId="608B840A" w14:textId="77777777" w:rsidR="00BB0956" w:rsidRPr="002E4298" w:rsidRDefault="00BB0956" w:rsidP="00E36B1F">
      <w:pPr>
        <w:pStyle w:val="SingleTxt"/>
        <w:spacing w:after="0" w:line="120" w:lineRule="exact"/>
        <w:rPr>
          <w:sz w:val="10"/>
          <w:lang w:val="fr-FR"/>
        </w:rPr>
      </w:pPr>
    </w:p>
    <w:p w14:paraId="63555004" w14:textId="77777777" w:rsidR="00BB0956" w:rsidRPr="002E4298" w:rsidRDefault="00BB0956" w:rsidP="003B598D">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E4298">
        <w:rPr>
          <w:lang w:val="fr-FR" w:bidi="fr-FR"/>
        </w:rPr>
        <w:tab/>
      </w:r>
      <w:r w:rsidRPr="002E4298">
        <w:rPr>
          <w:lang w:val="fr-FR" w:bidi="fr-FR"/>
        </w:rPr>
        <w:tab/>
        <w:t>Graphique 1</w:t>
      </w:r>
    </w:p>
    <w:p w14:paraId="5AEBA83B" w14:textId="6E22F88E" w:rsidR="00BB0956" w:rsidRPr="002E4298" w:rsidRDefault="003B598D" w:rsidP="003B59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2E4298">
        <w:rPr>
          <w:lang w:val="fr-FR" w:bidi="fr-FR"/>
        </w:rPr>
        <w:tab/>
      </w:r>
      <w:r w:rsidRPr="002E4298">
        <w:rPr>
          <w:lang w:val="fr-FR" w:bidi="fr-FR"/>
        </w:rPr>
        <w:tab/>
      </w:r>
      <w:r w:rsidR="00BB0956" w:rsidRPr="002E4298">
        <w:rPr>
          <w:lang w:val="fr-FR" w:bidi="fr-FR"/>
        </w:rPr>
        <w:t>Pourcentage d’évolution du nombre de candidatures aux projets d’entrepreneuriat</w:t>
      </w:r>
    </w:p>
    <w:p w14:paraId="1DA1C62A" w14:textId="77777777" w:rsidR="00BB0956" w:rsidRPr="002E4298" w:rsidRDefault="00BB0956" w:rsidP="00BB0956">
      <w:pPr>
        <w:pStyle w:val="SingleTxt"/>
        <w:spacing w:after="0" w:line="120" w:lineRule="exact"/>
        <w:rPr>
          <w:sz w:val="10"/>
          <w:lang w:val="fr-FR"/>
        </w:rPr>
      </w:pPr>
    </w:p>
    <w:p w14:paraId="623BEDDB" w14:textId="77777777" w:rsidR="00BB0956" w:rsidRPr="002E4298" w:rsidRDefault="00BB0956" w:rsidP="00BB0956">
      <w:pPr>
        <w:pStyle w:val="SingleTxt"/>
        <w:spacing w:after="0" w:line="120" w:lineRule="exact"/>
        <w:rPr>
          <w:sz w:val="10"/>
          <w:lang w:val="fr-FR"/>
        </w:rPr>
      </w:pPr>
    </w:p>
    <w:p w14:paraId="3020D808" w14:textId="2D572E06" w:rsidR="00BB0956" w:rsidRPr="002E4298" w:rsidRDefault="003B598D" w:rsidP="003B598D">
      <w:pPr>
        <w:pStyle w:val="SingleTxt"/>
        <w:spacing w:after="0" w:line="240" w:lineRule="auto"/>
        <w:rPr>
          <w:lang w:val="fr-FR"/>
        </w:rPr>
      </w:pPr>
      <w:r w:rsidRPr="002E4298">
        <w:rPr>
          <w:noProof/>
          <w:lang w:val="fr-FR"/>
        </w:rPr>
        <w:drawing>
          <wp:inline distT="0" distB="0" distL="0" distR="0" wp14:anchorId="5C2E0AAD" wp14:editId="1BA71A13">
            <wp:extent cx="4626320" cy="204316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29414" cy="2044526"/>
                    </a:xfrm>
                    <a:prstGeom prst="rect">
                      <a:avLst/>
                    </a:prstGeom>
                    <a:noFill/>
                  </pic:spPr>
                </pic:pic>
              </a:graphicData>
            </a:graphic>
          </wp:inline>
        </w:drawing>
      </w:r>
    </w:p>
    <w:p w14:paraId="770C6CD7" w14:textId="77777777" w:rsidR="00BB0956" w:rsidRPr="002E4298" w:rsidRDefault="00BB0956" w:rsidP="00BB0956">
      <w:pPr>
        <w:pStyle w:val="SingleTxt"/>
        <w:spacing w:after="0" w:line="120" w:lineRule="exact"/>
        <w:rPr>
          <w:sz w:val="10"/>
          <w:lang w:val="fr-FR"/>
        </w:rPr>
      </w:pPr>
    </w:p>
    <w:p w14:paraId="32B86E51" w14:textId="74A00292" w:rsidR="00BB0956" w:rsidRPr="002E4298" w:rsidRDefault="00BB0956" w:rsidP="003B598D">
      <w:pPr>
        <w:pStyle w:val="FootnoteText"/>
        <w:tabs>
          <w:tab w:val="right" w:pos="1476"/>
          <w:tab w:val="left" w:pos="1548"/>
          <w:tab w:val="right" w:pos="1836"/>
          <w:tab w:val="left" w:pos="1908"/>
        </w:tabs>
        <w:ind w:left="1548" w:right="1267" w:hanging="288"/>
        <w:rPr>
          <w:lang w:val="fr-FR" w:bidi="fr-FR"/>
        </w:rPr>
      </w:pPr>
      <w:r w:rsidRPr="002E4298">
        <w:rPr>
          <w:i/>
          <w:iCs/>
          <w:lang w:val="fr-FR" w:bidi="fr-FR"/>
        </w:rPr>
        <w:t>Source</w:t>
      </w:r>
      <w:r w:rsidRPr="002E4298">
        <w:rPr>
          <w:lang w:val="fr-FR" w:bidi="fr-FR"/>
        </w:rPr>
        <w:t> : IEFP, IP.</w:t>
      </w:r>
    </w:p>
    <w:p w14:paraId="398F99AB" w14:textId="55070E0F" w:rsidR="003B598D" w:rsidRPr="002E4298" w:rsidRDefault="003B598D" w:rsidP="003B598D">
      <w:pPr>
        <w:pStyle w:val="SingleTxt"/>
        <w:spacing w:after="0" w:line="120" w:lineRule="exact"/>
        <w:rPr>
          <w:iCs/>
          <w:sz w:val="10"/>
          <w:lang w:val="fr-FR" w:bidi="fr-FR"/>
        </w:rPr>
      </w:pPr>
    </w:p>
    <w:p w14:paraId="0AB34698" w14:textId="1AA7F356" w:rsidR="003B598D" w:rsidRPr="002E4298" w:rsidRDefault="003B598D" w:rsidP="003B598D">
      <w:pPr>
        <w:pStyle w:val="SingleTxt"/>
        <w:spacing w:after="0" w:line="120" w:lineRule="exact"/>
        <w:rPr>
          <w:bCs/>
          <w:iCs/>
          <w:sz w:val="10"/>
          <w:lang w:val="fr-FR"/>
        </w:rPr>
      </w:pPr>
    </w:p>
    <w:p w14:paraId="686CD6CA" w14:textId="40FEE29B" w:rsidR="00BB0956" w:rsidRPr="002E4298" w:rsidRDefault="00BB0956" w:rsidP="00A11C35">
      <w:pPr>
        <w:pStyle w:val="SingleTxt"/>
        <w:numPr>
          <w:ilvl w:val="0"/>
          <w:numId w:val="6"/>
        </w:numPr>
        <w:tabs>
          <w:tab w:val="num" w:pos="1769"/>
        </w:tabs>
        <w:spacing w:line="240" w:lineRule="exact"/>
        <w:rPr>
          <w:lang w:val="fr-FR"/>
        </w:rPr>
      </w:pPr>
      <w:r w:rsidRPr="002E4298">
        <w:rPr>
          <w:lang w:val="fr-FR" w:bidi="fr-FR"/>
        </w:rPr>
        <w:t>L’Institut pour l’emploi et la formation professionnelle intègre également dans son programme d’action une formation à l’entrepreneuriat sur une base annuelle.</w:t>
      </w:r>
    </w:p>
    <w:p w14:paraId="3278FA85" w14:textId="1EE91194" w:rsidR="00BB0956" w:rsidRPr="002E4298" w:rsidRDefault="00BB0956" w:rsidP="00A11C35">
      <w:pPr>
        <w:pStyle w:val="SingleTxt"/>
        <w:numPr>
          <w:ilvl w:val="0"/>
          <w:numId w:val="6"/>
        </w:numPr>
        <w:tabs>
          <w:tab w:val="num" w:pos="1769"/>
        </w:tabs>
        <w:spacing w:line="240" w:lineRule="exact"/>
        <w:rPr>
          <w:lang w:val="fr-FR"/>
        </w:rPr>
      </w:pPr>
      <w:r w:rsidRPr="002E4298">
        <w:rPr>
          <w:lang w:val="fr-FR" w:bidi="fr-FR"/>
        </w:rPr>
        <w:t xml:space="preserve">Dans le cadre du plan d’action pour la prévention et la lutte contre la violence à l’égard des femmes et la violence domestique, l’Institut a contribué à améliorer les conditions de vie de ces victimes en favorisant l’accès prioritaire, dans certaines des </w:t>
      </w:r>
      <w:r w:rsidRPr="002E4298">
        <w:rPr>
          <w:lang w:val="fr-FR" w:bidi="fr-FR"/>
        </w:rPr>
        <w:lastRenderedPageBreak/>
        <w:t>mesures pour l’emploi, aux programmes et aux mesures pour l’emploi. L’Institut élabore des mesures d’action positive concernant l’autonomisation des victimes de la violence domestique. Il dispose également de personnel chargé d’assister les victimes de violence domestique dans un environnement privé, afin de les aider à accéder à une orientation professionnelle et au marché du travail. Le tableau suivant montre les données relatives au nombre de victimes de la violence domestique prises en charge par les centres pour l’emploi et intégrées au marché du travail ou aux mesures d’emploi ou de formation de 2014 à 2018, ventilées par plan d’action.</w:t>
      </w:r>
    </w:p>
    <w:p w14:paraId="662F92CF" w14:textId="77777777" w:rsidR="00BB0956" w:rsidRPr="002E4298" w:rsidRDefault="00BB0956" w:rsidP="00BB0956">
      <w:pPr>
        <w:pStyle w:val="SingleTxt"/>
        <w:spacing w:after="0" w:line="120" w:lineRule="exact"/>
        <w:rPr>
          <w:sz w:val="10"/>
          <w:lang w:val="fr-FR"/>
        </w:rPr>
      </w:pPr>
    </w:p>
    <w:tbl>
      <w:tblPr>
        <w:tblW w:w="7320" w:type="dxa"/>
        <w:tblInd w:w="1260" w:type="dxa"/>
        <w:tblLayout w:type="fixed"/>
        <w:tblCellMar>
          <w:left w:w="0" w:type="dxa"/>
          <w:right w:w="0" w:type="dxa"/>
        </w:tblCellMar>
        <w:tblLook w:val="04A0" w:firstRow="1" w:lastRow="0" w:firstColumn="1" w:lastColumn="0" w:noHBand="0" w:noVBand="1"/>
      </w:tblPr>
      <w:tblGrid>
        <w:gridCol w:w="2700"/>
        <w:gridCol w:w="1872"/>
        <w:gridCol w:w="1374"/>
        <w:gridCol w:w="1374"/>
      </w:tblGrid>
      <w:tr w:rsidR="00BB0956" w:rsidRPr="002E4298" w14:paraId="24AD6F35" w14:textId="77777777" w:rsidTr="00C15FFE">
        <w:trPr>
          <w:tblHeader/>
        </w:trPr>
        <w:tc>
          <w:tcPr>
            <w:tcW w:w="2700"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4A200EE0" w14:textId="77777777" w:rsidR="00BB0956" w:rsidRPr="002E4298" w:rsidRDefault="00BB0956" w:rsidP="0020528A">
            <w:pPr>
              <w:suppressAutoHyphens/>
              <w:spacing w:before="81" w:after="81" w:line="160" w:lineRule="exact"/>
              <w:ind w:right="40"/>
              <w:rPr>
                <w:i/>
                <w:sz w:val="14"/>
                <w:lang w:val="fr-FR"/>
              </w:rPr>
            </w:pPr>
            <w:r w:rsidRPr="002E4298">
              <w:rPr>
                <w:i/>
                <w:sz w:val="14"/>
                <w:lang w:val="fr-FR"/>
              </w:rPr>
              <w:t>Plans nationaux</w:t>
            </w:r>
          </w:p>
        </w:tc>
        <w:tc>
          <w:tcPr>
            <w:tcW w:w="1872"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4AE794FF" w14:textId="77777777" w:rsidR="00BB0956" w:rsidRPr="002E4298" w:rsidRDefault="00BB0956" w:rsidP="0020528A">
            <w:pPr>
              <w:suppressAutoHyphens/>
              <w:spacing w:before="81" w:after="81" w:line="160" w:lineRule="exact"/>
              <w:ind w:left="144" w:right="43"/>
              <w:rPr>
                <w:i/>
                <w:sz w:val="14"/>
                <w:lang w:val="fr-FR"/>
              </w:rPr>
            </w:pPr>
            <w:r w:rsidRPr="002E4298">
              <w:rPr>
                <w:i/>
                <w:sz w:val="14"/>
                <w:lang w:val="fr-FR"/>
              </w:rPr>
              <w:t>Année de mise en œuvre</w:t>
            </w:r>
          </w:p>
        </w:tc>
        <w:tc>
          <w:tcPr>
            <w:tcW w:w="137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314BCA83" w14:textId="77777777" w:rsidR="00BB0956" w:rsidRPr="002E4298" w:rsidRDefault="00BB0956" w:rsidP="0020528A">
            <w:pPr>
              <w:suppressAutoHyphens/>
              <w:spacing w:before="81" w:after="81" w:line="160" w:lineRule="exact"/>
              <w:ind w:right="43"/>
              <w:jc w:val="right"/>
              <w:rPr>
                <w:i/>
                <w:sz w:val="14"/>
                <w:lang w:val="fr-FR"/>
              </w:rPr>
            </w:pPr>
            <w:r w:rsidRPr="002E4298">
              <w:rPr>
                <w:i/>
                <w:sz w:val="14"/>
                <w:lang w:val="fr-FR"/>
              </w:rPr>
              <w:t xml:space="preserve">Nombre de victimes prises en charge </w:t>
            </w:r>
          </w:p>
        </w:tc>
        <w:tc>
          <w:tcPr>
            <w:tcW w:w="137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43A4CF31" w14:textId="079E6E04" w:rsidR="00BB0956" w:rsidRPr="002E4298" w:rsidRDefault="00BB0956" w:rsidP="0020528A">
            <w:pPr>
              <w:suppressAutoHyphens/>
              <w:spacing w:before="81" w:after="81" w:line="160" w:lineRule="exact"/>
              <w:ind w:right="43"/>
              <w:jc w:val="right"/>
              <w:rPr>
                <w:i/>
                <w:sz w:val="14"/>
                <w:lang w:val="fr-FR"/>
              </w:rPr>
            </w:pPr>
            <w:r w:rsidRPr="002E4298">
              <w:rPr>
                <w:i/>
                <w:sz w:val="14"/>
                <w:lang w:val="fr-FR"/>
              </w:rPr>
              <w:t>Nombre de victimes intégrées*</w:t>
            </w:r>
          </w:p>
        </w:tc>
      </w:tr>
      <w:tr w:rsidR="0020528A" w:rsidRPr="002E4298" w14:paraId="466C558F" w14:textId="77777777" w:rsidTr="00C15FFE">
        <w:trPr>
          <w:trHeight w:hRule="exact" w:val="115"/>
          <w:tblHeader/>
        </w:trPr>
        <w:tc>
          <w:tcPr>
            <w:tcW w:w="2700" w:type="dxa"/>
            <w:tcBorders>
              <w:top w:val="single" w:sz="12" w:space="0" w:color="auto"/>
            </w:tcBorders>
            <w:shd w:val="clear" w:color="auto" w:fill="auto"/>
            <w:tcMar>
              <w:top w:w="0" w:type="dxa"/>
              <w:left w:w="0" w:type="dxa"/>
              <w:bottom w:w="0" w:type="dxa"/>
              <w:right w:w="0" w:type="dxa"/>
            </w:tcMar>
            <w:vAlign w:val="bottom"/>
          </w:tcPr>
          <w:p w14:paraId="36D663D1" w14:textId="77777777" w:rsidR="0020528A" w:rsidRPr="002E4298" w:rsidRDefault="0020528A" w:rsidP="0020528A">
            <w:pPr>
              <w:suppressAutoHyphens/>
              <w:spacing w:before="40" w:after="40" w:line="210" w:lineRule="exact"/>
              <w:ind w:right="40"/>
              <w:rPr>
                <w:sz w:val="17"/>
                <w:lang w:val="fr-FR"/>
              </w:rPr>
            </w:pPr>
          </w:p>
        </w:tc>
        <w:tc>
          <w:tcPr>
            <w:tcW w:w="1872" w:type="dxa"/>
            <w:tcBorders>
              <w:top w:val="single" w:sz="12" w:space="0" w:color="auto"/>
            </w:tcBorders>
            <w:shd w:val="clear" w:color="auto" w:fill="auto"/>
            <w:tcMar>
              <w:top w:w="0" w:type="dxa"/>
              <w:left w:w="0" w:type="dxa"/>
              <w:bottom w:w="0" w:type="dxa"/>
              <w:right w:w="0" w:type="dxa"/>
            </w:tcMar>
            <w:vAlign w:val="bottom"/>
          </w:tcPr>
          <w:p w14:paraId="59C01B6C" w14:textId="77777777" w:rsidR="0020528A" w:rsidRPr="002E4298" w:rsidRDefault="0020528A" w:rsidP="0020528A">
            <w:pPr>
              <w:suppressAutoHyphens/>
              <w:spacing w:before="40" w:after="40" w:line="210" w:lineRule="exact"/>
              <w:ind w:left="144" w:right="43"/>
              <w:jc w:val="right"/>
              <w:rPr>
                <w:sz w:val="17"/>
                <w:lang w:val="fr-FR"/>
              </w:rPr>
            </w:pPr>
          </w:p>
        </w:tc>
        <w:tc>
          <w:tcPr>
            <w:tcW w:w="1374" w:type="dxa"/>
            <w:tcBorders>
              <w:top w:val="single" w:sz="12" w:space="0" w:color="auto"/>
            </w:tcBorders>
            <w:shd w:val="clear" w:color="auto" w:fill="auto"/>
            <w:tcMar>
              <w:top w:w="0" w:type="dxa"/>
              <w:left w:w="0" w:type="dxa"/>
              <w:bottom w:w="0" w:type="dxa"/>
              <w:right w:w="0" w:type="dxa"/>
            </w:tcMar>
            <w:vAlign w:val="bottom"/>
          </w:tcPr>
          <w:p w14:paraId="39E8D78D" w14:textId="77777777" w:rsidR="0020528A" w:rsidRPr="002E4298" w:rsidRDefault="0020528A" w:rsidP="0020528A">
            <w:pPr>
              <w:suppressAutoHyphens/>
              <w:spacing w:before="40" w:after="40" w:line="210" w:lineRule="exact"/>
              <w:ind w:right="43"/>
              <w:jc w:val="right"/>
              <w:rPr>
                <w:sz w:val="17"/>
                <w:lang w:val="fr-FR"/>
              </w:rPr>
            </w:pPr>
          </w:p>
        </w:tc>
        <w:tc>
          <w:tcPr>
            <w:tcW w:w="1374" w:type="dxa"/>
            <w:tcBorders>
              <w:top w:val="single" w:sz="12" w:space="0" w:color="auto"/>
            </w:tcBorders>
            <w:shd w:val="clear" w:color="auto" w:fill="auto"/>
            <w:tcMar>
              <w:top w:w="0" w:type="dxa"/>
              <w:left w:w="0" w:type="dxa"/>
              <w:bottom w:w="0" w:type="dxa"/>
              <w:right w:w="0" w:type="dxa"/>
            </w:tcMar>
            <w:vAlign w:val="bottom"/>
          </w:tcPr>
          <w:p w14:paraId="34A2037B" w14:textId="77777777" w:rsidR="0020528A" w:rsidRPr="002E4298" w:rsidRDefault="0020528A" w:rsidP="0020528A">
            <w:pPr>
              <w:suppressAutoHyphens/>
              <w:spacing w:before="40" w:after="40" w:line="210" w:lineRule="exact"/>
              <w:ind w:right="43"/>
              <w:jc w:val="right"/>
              <w:rPr>
                <w:sz w:val="17"/>
                <w:lang w:val="fr-FR"/>
              </w:rPr>
            </w:pPr>
          </w:p>
        </w:tc>
      </w:tr>
      <w:tr w:rsidR="0020528A" w:rsidRPr="002E4298" w14:paraId="5BF2AB31" w14:textId="77777777" w:rsidTr="00C15FFE">
        <w:tc>
          <w:tcPr>
            <w:tcW w:w="2700" w:type="dxa"/>
            <w:vMerge w:val="restart"/>
            <w:shd w:val="clear" w:color="auto" w:fill="auto"/>
            <w:tcMar>
              <w:top w:w="0" w:type="dxa"/>
              <w:left w:w="0" w:type="dxa"/>
              <w:bottom w:w="0" w:type="dxa"/>
              <w:right w:w="0" w:type="dxa"/>
            </w:tcMar>
            <w:vAlign w:val="bottom"/>
          </w:tcPr>
          <w:p w14:paraId="25B1CF1E" w14:textId="131864AB" w:rsidR="0020528A" w:rsidRPr="002E4298" w:rsidRDefault="0020528A" w:rsidP="0020528A">
            <w:pPr>
              <w:tabs>
                <w:tab w:val="left" w:pos="288"/>
                <w:tab w:val="left" w:pos="576"/>
                <w:tab w:val="left" w:pos="864"/>
                <w:tab w:val="left" w:pos="1152"/>
              </w:tabs>
              <w:suppressAutoHyphens/>
              <w:spacing w:before="40" w:after="40" w:line="210" w:lineRule="exact"/>
              <w:ind w:right="40"/>
              <w:rPr>
                <w:sz w:val="17"/>
                <w:lang w:val="fr-FR"/>
              </w:rPr>
            </w:pPr>
            <w:r w:rsidRPr="002E4298">
              <w:rPr>
                <w:sz w:val="17"/>
                <w:lang w:val="fr-FR"/>
              </w:rPr>
              <w:t>Plan d’action pour la prévention et</w:t>
            </w:r>
            <w:r w:rsidR="00C15FFE" w:rsidRPr="002E4298">
              <w:rPr>
                <w:sz w:val="17"/>
                <w:lang w:val="fr-FR"/>
              </w:rPr>
              <w:t> </w:t>
            </w:r>
            <w:r w:rsidRPr="002E4298">
              <w:rPr>
                <w:sz w:val="17"/>
                <w:lang w:val="fr-FR"/>
              </w:rPr>
              <w:t>la lutte contre la violence à l’égard des femmes et la violence domestique 2018-2030</w:t>
            </w:r>
          </w:p>
        </w:tc>
        <w:tc>
          <w:tcPr>
            <w:tcW w:w="1872" w:type="dxa"/>
            <w:shd w:val="clear" w:color="auto" w:fill="auto"/>
            <w:tcMar>
              <w:top w:w="0" w:type="dxa"/>
              <w:left w:w="0" w:type="dxa"/>
              <w:bottom w:w="0" w:type="dxa"/>
              <w:right w:w="0" w:type="dxa"/>
            </w:tcMar>
          </w:tcPr>
          <w:p w14:paraId="316378DB" w14:textId="61F0D52E" w:rsidR="0020528A" w:rsidRPr="002E4298" w:rsidRDefault="0020528A" w:rsidP="0020528A">
            <w:pPr>
              <w:tabs>
                <w:tab w:val="left" w:pos="288"/>
                <w:tab w:val="left" w:pos="576"/>
                <w:tab w:val="left" w:pos="864"/>
                <w:tab w:val="left" w:pos="1152"/>
              </w:tabs>
              <w:suppressAutoHyphens/>
              <w:spacing w:before="40" w:after="40" w:line="210" w:lineRule="exact"/>
              <w:ind w:left="144" w:right="43"/>
              <w:rPr>
                <w:sz w:val="17"/>
                <w:lang w:val="fr-FR"/>
              </w:rPr>
            </w:pPr>
            <w:r w:rsidRPr="002E4298">
              <w:rPr>
                <w:sz w:val="17"/>
                <w:lang w:val="fr-FR"/>
              </w:rPr>
              <w:t>2019</w:t>
            </w:r>
            <w:r w:rsidR="00C15FFE" w:rsidRPr="002E4298">
              <w:rPr>
                <w:sz w:val="17"/>
                <w:lang w:val="fr-FR"/>
              </w:rPr>
              <w:br/>
            </w:r>
            <w:r w:rsidRPr="002E4298">
              <w:rPr>
                <w:sz w:val="17"/>
                <w:lang w:val="fr-FR"/>
              </w:rPr>
              <w:t>(au 30 septembre)</w:t>
            </w:r>
          </w:p>
        </w:tc>
        <w:tc>
          <w:tcPr>
            <w:tcW w:w="1374" w:type="dxa"/>
            <w:shd w:val="clear" w:color="auto" w:fill="auto"/>
            <w:tcMar>
              <w:top w:w="0" w:type="dxa"/>
              <w:left w:w="0" w:type="dxa"/>
              <w:bottom w:w="0" w:type="dxa"/>
              <w:right w:w="0" w:type="dxa"/>
            </w:tcMar>
          </w:tcPr>
          <w:p w14:paraId="502043EC" w14:textId="0B3AAC04" w:rsidR="0020528A" w:rsidRPr="002E4298" w:rsidRDefault="0020528A" w:rsidP="0020528A">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292</w:t>
            </w:r>
          </w:p>
        </w:tc>
        <w:tc>
          <w:tcPr>
            <w:tcW w:w="1374" w:type="dxa"/>
            <w:shd w:val="clear" w:color="auto" w:fill="auto"/>
            <w:tcMar>
              <w:top w:w="0" w:type="dxa"/>
              <w:left w:w="0" w:type="dxa"/>
              <w:bottom w:w="0" w:type="dxa"/>
              <w:right w:w="0" w:type="dxa"/>
            </w:tcMar>
          </w:tcPr>
          <w:p w14:paraId="00DA90D3" w14:textId="64E5DD4F" w:rsidR="0020528A" w:rsidRPr="002E4298" w:rsidRDefault="0020528A" w:rsidP="0020528A">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100</w:t>
            </w:r>
          </w:p>
        </w:tc>
      </w:tr>
      <w:tr w:rsidR="0020528A" w:rsidRPr="002E4298" w14:paraId="4B1B0A9D" w14:textId="77777777" w:rsidTr="00C15FFE">
        <w:tc>
          <w:tcPr>
            <w:tcW w:w="2700" w:type="dxa"/>
            <w:vMerge/>
            <w:shd w:val="clear" w:color="auto" w:fill="auto"/>
            <w:tcMar>
              <w:top w:w="0" w:type="dxa"/>
              <w:left w:w="0" w:type="dxa"/>
              <w:bottom w:w="0" w:type="dxa"/>
              <w:right w:w="0" w:type="dxa"/>
            </w:tcMar>
            <w:vAlign w:val="bottom"/>
          </w:tcPr>
          <w:p w14:paraId="48A7F568" w14:textId="77777777" w:rsidR="0020528A" w:rsidRPr="002E4298" w:rsidRDefault="0020528A" w:rsidP="0020528A">
            <w:pPr>
              <w:tabs>
                <w:tab w:val="left" w:pos="288"/>
                <w:tab w:val="left" w:pos="576"/>
                <w:tab w:val="left" w:pos="864"/>
                <w:tab w:val="left" w:pos="1152"/>
              </w:tabs>
              <w:suppressAutoHyphens/>
              <w:spacing w:before="40" w:after="40" w:line="210" w:lineRule="exact"/>
              <w:ind w:right="40"/>
              <w:rPr>
                <w:sz w:val="17"/>
                <w:lang w:val="fr-FR"/>
              </w:rPr>
            </w:pPr>
          </w:p>
        </w:tc>
        <w:tc>
          <w:tcPr>
            <w:tcW w:w="1872" w:type="dxa"/>
            <w:shd w:val="clear" w:color="auto" w:fill="auto"/>
            <w:tcMar>
              <w:top w:w="0" w:type="dxa"/>
              <w:left w:w="0" w:type="dxa"/>
              <w:bottom w:w="0" w:type="dxa"/>
              <w:right w:w="0" w:type="dxa"/>
            </w:tcMar>
          </w:tcPr>
          <w:p w14:paraId="6E7E6C32" w14:textId="26039E74" w:rsidR="0020528A" w:rsidRPr="002E4298" w:rsidRDefault="0020528A" w:rsidP="0020528A">
            <w:pPr>
              <w:tabs>
                <w:tab w:val="left" w:pos="288"/>
                <w:tab w:val="left" w:pos="576"/>
                <w:tab w:val="left" w:pos="864"/>
                <w:tab w:val="left" w:pos="1152"/>
              </w:tabs>
              <w:suppressAutoHyphens/>
              <w:spacing w:before="40" w:after="40" w:line="210" w:lineRule="exact"/>
              <w:ind w:left="144" w:right="43"/>
              <w:rPr>
                <w:sz w:val="17"/>
                <w:lang w:val="fr-FR"/>
              </w:rPr>
            </w:pPr>
            <w:r w:rsidRPr="002E4298">
              <w:rPr>
                <w:sz w:val="17"/>
                <w:lang w:val="fr-FR"/>
              </w:rPr>
              <w:t>2018</w:t>
            </w:r>
          </w:p>
        </w:tc>
        <w:tc>
          <w:tcPr>
            <w:tcW w:w="1374" w:type="dxa"/>
            <w:shd w:val="clear" w:color="auto" w:fill="auto"/>
            <w:tcMar>
              <w:top w:w="0" w:type="dxa"/>
              <w:left w:w="0" w:type="dxa"/>
              <w:bottom w:w="0" w:type="dxa"/>
              <w:right w:w="0" w:type="dxa"/>
            </w:tcMar>
          </w:tcPr>
          <w:p w14:paraId="0309BD11" w14:textId="73E28774" w:rsidR="0020528A" w:rsidRPr="002E4298" w:rsidRDefault="0020528A" w:rsidP="0020528A">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637</w:t>
            </w:r>
          </w:p>
        </w:tc>
        <w:tc>
          <w:tcPr>
            <w:tcW w:w="1374" w:type="dxa"/>
            <w:shd w:val="clear" w:color="auto" w:fill="auto"/>
            <w:tcMar>
              <w:top w:w="0" w:type="dxa"/>
              <w:left w:w="0" w:type="dxa"/>
              <w:bottom w:w="0" w:type="dxa"/>
              <w:right w:w="0" w:type="dxa"/>
            </w:tcMar>
          </w:tcPr>
          <w:p w14:paraId="27A6F53E" w14:textId="547359A3" w:rsidR="0020528A" w:rsidRPr="002E4298" w:rsidRDefault="0020528A" w:rsidP="0020528A">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209</w:t>
            </w:r>
          </w:p>
        </w:tc>
      </w:tr>
      <w:tr w:rsidR="0020528A" w:rsidRPr="002E4298" w14:paraId="536AD0C9" w14:textId="77777777" w:rsidTr="00C15FFE">
        <w:tc>
          <w:tcPr>
            <w:tcW w:w="2700" w:type="dxa"/>
            <w:vMerge w:val="restart"/>
            <w:shd w:val="clear" w:color="auto" w:fill="auto"/>
            <w:tcMar>
              <w:top w:w="0" w:type="dxa"/>
              <w:left w:w="0" w:type="dxa"/>
              <w:bottom w:w="0" w:type="dxa"/>
              <w:right w:w="0" w:type="dxa"/>
            </w:tcMar>
          </w:tcPr>
          <w:p w14:paraId="677317A1" w14:textId="71706570" w:rsidR="0020528A" w:rsidRPr="002E4298" w:rsidRDefault="0020528A" w:rsidP="0020528A">
            <w:pPr>
              <w:tabs>
                <w:tab w:val="left" w:pos="288"/>
                <w:tab w:val="left" w:pos="576"/>
                <w:tab w:val="left" w:pos="864"/>
                <w:tab w:val="left" w:pos="1152"/>
              </w:tabs>
              <w:suppressAutoHyphens/>
              <w:spacing w:before="40" w:after="40" w:line="210" w:lineRule="exact"/>
              <w:ind w:right="40"/>
              <w:rPr>
                <w:sz w:val="17"/>
                <w:lang w:val="fr-FR"/>
              </w:rPr>
            </w:pPr>
            <w:r w:rsidRPr="002E4298">
              <w:rPr>
                <w:sz w:val="17"/>
                <w:lang w:val="fr-FR"/>
              </w:rPr>
              <w:t>Cinquième plan national de prévention et de lutte contre la violence fondée sur le genre</w:t>
            </w:r>
            <w:r w:rsidRPr="002E4298" w:rsidDel="0045507A">
              <w:rPr>
                <w:sz w:val="17"/>
                <w:lang w:val="fr-FR"/>
              </w:rPr>
              <w:t xml:space="preserve"> </w:t>
            </w:r>
            <w:r w:rsidRPr="002E4298">
              <w:rPr>
                <w:sz w:val="17"/>
                <w:lang w:val="fr-FR"/>
              </w:rPr>
              <w:t>et la violence domestique 2014</w:t>
            </w:r>
            <w:r w:rsidRPr="002E4298">
              <w:rPr>
                <w:sz w:val="17"/>
                <w:lang w:val="fr-FR"/>
              </w:rPr>
              <w:noBreakHyphen/>
              <w:t>2017</w:t>
            </w:r>
          </w:p>
        </w:tc>
        <w:tc>
          <w:tcPr>
            <w:tcW w:w="1872" w:type="dxa"/>
            <w:shd w:val="clear" w:color="auto" w:fill="auto"/>
            <w:tcMar>
              <w:top w:w="0" w:type="dxa"/>
              <w:left w:w="0" w:type="dxa"/>
              <w:bottom w:w="0" w:type="dxa"/>
              <w:right w:w="0" w:type="dxa"/>
            </w:tcMar>
          </w:tcPr>
          <w:p w14:paraId="455E5939" w14:textId="5471FB48" w:rsidR="0020528A" w:rsidRPr="002E4298" w:rsidRDefault="0020528A" w:rsidP="0020528A">
            <w:pPr>
              <w:tabs>
                <w:tab w:val="left" w:pos="288"/>
                <w:tab w:val="left" w:pos="576"/>
                <w:tab w:val="left" w:pos="864"/>
                <w:tab w:val="left" w:pos="1152"/>
              </w:tabs>
              <w:suppressAutoHyphens/>
              <w:spacing w:before="40" w:after="40" w:line="210" w:lineRule="exact"/>
              <w:ind w:left="144" w:right="43"/>
              <w:rPr>
                <w:sz w:val="17"/>
                <w:lang w:val="fr-FR"/>
              </w:rPr>
            </w:pPr>
            <w:r w:rsidRPr="002E4298">
              <w:rPr>
                <w:sz w:val="17"/>
                <w:lang w:val="fr-FR"/>
              </w:rPr>
              <w:t>2017</w:t>
            </w:r>
          </w:p>
        </w:tc>
        <w:tc>
          <w:tcPr>
            <w:tcW w:w="1374" w:type="dxa"/>
            <w:shd w:val="clear" w:color="auto" w:fill="auto"/>
            <w:tcMar>
              <w:top w:w="0" w:type="dxa"/>
              <w:left w:w="0" w:type="dxa"/>
              <w:bottom w:w="0" w:type="dxa"/>
              <w:right w:w="0" w:type="dxa"/>
            </w:tcMar>
          </w:tcPr>
          <w:p w14:paraId="4F91C276" w14:textId="33C1CA74" w:rsidR="0020528A" w:rsidRPr="002E4298" w:rsidRDefault="0020528A" w:rsidP="0020528A">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581</w:t>
            </w:r>
          </w:p>
        </w:tc>
        <w:tc>
          <w:tcPr>
            <w:tcW w:w="1374" w:type="dxa"/>
            <w:shd w:val="clear" w:color="auto" w:fill="auto"/>
            <w:tcMar>
              <w:top w:w="0" w:type="dxa"/>
              <w:left w:w="0" w:type="dxa"/>
              <w:bottom w:w="0" w:type="dxa"/>
              <w:right w:w="0" w:type="dxa"/>
            </w:tcMar>
          </w:tcPr>
          <w:p w14:paraId="25DE1225" w14:textId="2C80A10E" w:rsidR="0020528A" w:rsidRPr="002E4298" w:rsidRDefault="0020528A" w:rsidP="0020528A">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184</w:t>
            </w:r>
          </w:p>
        </w:tc>
      </w:tr>
      <w:tr w:rsidR="0020528A" w:rsidRPr="002E4298" w14:paraId="6F6FFBBD" w14:textId="77777777" w:rsidTr="00C15FFE">
        <w:tc>
          <w:tcPr>
            <w:tcW w:w="2700" w:type="dxa"/>
            <w:vMerge/>
            <w:shd w:val="clear" w:color="auto" w:fill="auto"/>
            <w:tcMar>
              <w:top w:w="0" w:type="dxa"/>
              <w:left w:w="0" w:type="dxa"/>
              <w:bottom w:w="0" w:type="dxa"/>
              <w:right w:w="0" w:type="dxa"/>
            </w:tcMar>
          </w:tcPr>
          <w:p w14:paraId="43D88377" w14:textId="77777777" w:rsidR="0020528A" w:rsidRPr="002E4298" w:rsidRDefault="0020528A" w:rsidP="0020528A">
            <w:pPr>
              <w:tabs>
                <w:tab w:val="left" w:pos="288"/>
                <w:tab w:val="left" w:pos="576"/>
                <w:tab w:val="left" w:pos="864"/>
                <w:tab w:val="left" w:pos="1152"/>
              </w:tabs>
              <w:suppressAutoHyphens/>
              <w:spacing w:before="40" w:after="40" w:line="210" w:lineRule="exact"/>
              <w:ind w:right="40"/>
              <w:rPr>
                <w:sz w:val="17"/>
                <w:lang w:val="fr-FR"/>
              </w:rPr>
            </w:pPr>
          </w:p>
        </w:tc>
        <w:tc>
          <w:tcPr>
            <w:tcW w:w="1872" w:type="dxa"/>
            <w:shd w:val="clear" w:color="auto" w:fill="auto"/>
            <w:tcMar>
              <w:top w:w="0" w:type="dxa"/>
              <w:left w:w="0" w:type="dxa"/>
              <w:bottom w:w="0" w:type="dxa"/>
              <w:right w:w="0" w:type="dxa"/>
            </w:tcMar>
          </w:tcPr>
          <w:p w14:paraId="64383AE7" w14:textId="5DAF528D" w:rsidR="0020528A" w:rsidRPr="002E4298" w:rsidRDefault="0020528A" w:rsidP="0020528A">
            <w:pPr>
              <w:tabs>
                <w:tab w:val="left" w:pos="288"/>
                <w:tab w:val="left" w:pos="576"/>
                <w:tab w:val="left" w:pos="864"/>
                <w:tab w:val="left" w:pos="1152"/>
              </w:tabs>
              <w:suppressAutoHyphens/>
              <w:spacing w:before="40" w:after="40" w:line="210" w:lineRule="exact"/>
              <w:ind w:left="144" w:right="43"/>
              <w:rPr>
                <w:sz w:val="17"/>
                <w:lang w:val="fr-FR"/>
              </w:rPr>
            </w:pPr>
            <w:r w:rsidRPr="002E4298">
              <w:rPr>
                <w:sz w:val="17"/>
                <w:lang w:val="fr-FR"/>
              </w:rPr>
              <w:t>2016</w:t>
            </w:r>
          </w:p>
        </w:tc>
        <w:tc>
          <w:tcPr>
            <w:tcW w:w="1374" w:type="dxa"/>
            <w:shd w:val="clear" w:color="auto" w:fill="auto"/>
            <w:tcMar>
              <w:top w:w="0" w:type="dxa"/>
              <w:left w:w="0" w:type="dxa"/>
              <w:bottom w:w="0" w:type="dxa"/>
              <w:right w:w="0" w:type="dxa"/>
            </w:tcMar>
          </w:tcPr>
          <w:p w14:paraId="5C38A57B" w14:textId="29FEDB78" w:rsidR="0020528A" w:rsidRPr="002E4298" w:rsidRDefault="0020528A" w:rsidP="0020528A">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608</w:t>
            </w:r>
          </w:p>
        </w:tc>
        <w:tc>
          <w:tcPr>
            <w:tcW w:w="1374" w:type="dxa"/>
            <w:shd w:val="clear" w:color="auto" w:fill="auto"/>
            <w:tcMar>
              <w:top w:w="0" w:type="dxa"/>
              <w:left w:w="0" w:type="dxa"/>
              <w:bottom w:w="0" w:type="dxa"/>
              <w:right w:w="0" w:type="dxa"/>
            </w:tcMar>
          </w:tcPr>
          <w:p w14:paraId="0431394D" w14:textId="313641D1" w:rsidR="0020528A" w:rsidRPr="002E4298" w:rsidRDefault="0020528A" w:rsidP="0020528A">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231</w:t>
            </w:r>
          </w:p>
        </w:tc>
      </w:tr>
      <w:tr w:rsidR="0020528A" w:rsidRPr="002E4298" w14:paraId="5356E646" w14:textId="77777777" w:rsidTr="00C15FFE">
        <w:tc>
          <w:tcPr>
            <w:tcW w:w="2700" w:type="dxa"/>
            <w:vMerge/>
            <w:shd w:val="clear" w:color="auto" w:fill="auto"/>
            <w:tcMar>
              <w:top w:w="0" w:type="dxa"/>
              <w:left w:w="0" w:type="dxa"/>
              <w:bottom w:w="0" w:type="dxa"/>
              <w:right w:w="0" w:type="dxa"/>
            </w:tcMar>
          </w:tcPr>
          <w:p w14:paraId="3619676A" w14:textId="77777777" w:rsidR="0020528A" w:rsidRPr="002E4298" w:rsidRDefault="0020528A" w:rsidP="0020528A">
            <w:pPr>
              <w:tabs>
                <w:tab w:val="left" w:pos="288"/>
                <w:tab w:val="left" w:pos="576"/>
                <w:tab w:val="left" w:pos="864"/>
                <w:tab w:val="left" w:pos="1152"/>
              </w:tabs>
              <w:suppressAutoHyphens/>
              <w:spacing w:before="40" w:after="40" w:line="210" w:lineRule="exact"/>
              <w:ind w:right="40"/>
              <w:rPr>
                <w:sz w:val="17"/>
                <w:lang w:val="fr-FR"/>
              </w:rPr>
            </w:pPr>
          </w:p>
        </w:tc>
        <w:tc>
          <w:tcPr>
            <w:tcW w:w="1872" w:type="dxa"/>
            <w:shd w:val="clear" w:color="auto" w:fill="auto"/>
            <w:tcMar>
              <w:top w:w="0" w:type="dxa"/>
              <w:left w:w="0" w:type="dxa"/>
              <w:bottom w:w="0" w:type="dxa"/>
              <w:right w:w="0" w:type="dxa"/>
            </w:tcMar>
          </w:tcPr>
          <w:p w14:paraId="07A11AC3" w14:textId="0987C3C0" w:rsidR="0020528A" w:rsidRPr="002E4298" w:rsidRDefault="0020528A" w:rsidP="0020528A">
            <w:pPr>
              <w:tabs>
                <w:tab w:val="left" w:pos="288"/>
                <w:tab w:val="left" w:pos="576"/>
                <w:tab w:val="left" w:pos="864"/>
                <w:tab w:val="left" w:pos="1152"/>
              </w:tabs>
              <w:suppressAutoHyphens/>
              <w:spacing w:before="40" w:after="40" w:line="210" w:lineRule="exact"/>
              <w:ind w:left="144" w:right="43"/>
              <w:rPr>
                <w:sz w:val="17"/>
                <w:lang w:val="fr-FR"/>
              </w:rPr>
            </w:pPr>
            <w:r w:rsidRPr="002E4298">
              <w:rPr>
                <w:sz w:val="17"/>
                <w:lang w:val="fr-FR"/>
              </w:rPr>
              <w:t>2015</w:t>
            </w:r>
          </w:p>
        </w:tc>
        <w:tc>
          <w:tcPr>
            <w:tcW w:w="1374" w:type="dxa"/>
            <w:shd w:val="clear" w:color="auto" w:fill="auto"/>
            <w:tcMar>
              <w:top w:w="0" w:type="dxa"/>
              <w:left w:w="0" w:type="dxa"/>
              <w:bottom w:w="0" w:type="dxa"/>
              <w:right w:w="0" w:type="dxa"/>
            </w:tcMar>
          </w:tcPr>
          <w:p w14:paraId="4A8C68BB" w14:textId="386D418A" w:rsidR="0020528A" w:rsidRPr="002E4298" w:rsidRDefault="0020528A" w:rsidP="0020528A">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705</w:t>
            </w:r>
          </w:p>
        </w:tc>
        <w:tc>
          <w:tcPr>
            <w:tcW w:w="1374" w:type="dxa"/>
            <w:shd w:val="clear" w:color="auto" w:fill="auto"/>
            <w:tcMar>
              <w:top w:w="0" w:type="dxa"/>
              <w:left w:w="0" w:type="dxa"/>
              <w:bottom w:w="0" w:type="dxa"/>
              <w:right w:w="0" w:type="dxa"/>
            </w:tcMar>
          </w:tcPr>
          <w:p w14:paraId="079AA920" w14:textId="52782C17" w:rsidR="0020528A" w:rsidRPr="002E4298" w:rsidRDefault="0020528A" w:rsidP="0020528A">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327</w:t>
            </w:r>
          </w:p>
        </w:tc>
      </w:tr>
      <w:tr w:rsidR="0020528A" w:rsidRPr="002E4298" w14:paraId="2B91CD5D" w14:textId="77777777" w:rsidTr="00C15FFE">
        <w:tc>
          <w:tcPr>
            <w:tcW w:w="2700" w:type="dxa"/>
            <w:vMerge/>
            <w:tcBorders>
              <w:bottom w:val="single" w:sz="12" w:space="0" w:color="auto"/>
            </w:tcBorders>
            <w:shd w:val="clear" w:color="auto" w:fill="auto"/>
            <w:tcMar>
              <w:top w:w="0" w:type="dxa"/>
              <w:left w:w="0" w:type="dxa"/>
              <w:bottom w:w="0" w:type="dxa"/>
              <w:right w:w="0" w:type="dxa"/>
            </w:tcMar>
          </w:tcPr>
          <w:p w14:paraId="47CCE75E" w14:textId="77777777" w:rsidR="0020528A" w:rsidRPr="002E4298" w:rsidRDefault="0020528A" w:rsidP="0020528A">
            <w:pPr>
              <w:tabs>
                <w:tab w:val="left" w:pos="288"/>
                <w:tab w:val="left" w:pos="576"/>
                <w:tab w:val="left" w:pos="864"/>
                <w:tab w:val="left" w:pos="1152"/>
              </w:tabs>
              <w:suppressAutoHyphens/>
              <w:spacing w:before="40" w:after="40" w:line="210" w:lineRule="exact"/>
              <w:ind w:right="40"/>
              <w:rPr>
                <w:sz w:val="17"/>
                <w:lang w:val="fr-FR"/>
              </w:rPr>
            </w:pPr>
          </w:p>
        </w:tc>
        <w:tc>
          <w:tcPr>
            <w:tcW w:w="1872" w:type="dxa"/>
            <w:tcBorders>
              <w:bottom w:val="single" w:sz="12" w:space="0" w:color="auto"/>
            </w:tcBorders>
            <w:shd w:val="clear" w:color="auto" w:fill="auto"/>
            <w:tcMar>
              <w:top w:w="0" w:type="dxa"/>
              <w:left w:w="0" w:type="dxa"/>
              <w:bottom w:w="0" w:type="dxa"/>
              <w:right w:w="0" w:type="dxa"/>
            </w:tcMar>
          </w:tcPr>
          <w:p w14:paraId="1AD4D61F" w14:textId="674049D7" w:rsidR="0020528A" w:rsidRPr="002E4298" w:rsidRDefault="0020528A" w:rsidP="0020528A">
            <w:pPr>
              <w:tabs>
                <w:tab w:val="left" w:pos="288"/>
                <w:tab w:val="left" w:pos="576"/>
                <w:tab w:val="left" w:pos="864"/>
                <w:tab w:val="left" w:pos="1152"/>
              </w:tabs>
              <w:suppressAutoHyphens/>
              <w:spacing w:before="40" w:after="40" w:line="210" w:lineRule="exact"/>
              <w:ind w:left="144" w:right="43"/>
              <w:rPr>
                <w:sz w:val="17"/>
                <w:lang w:val="fr-FR"/>
              </w:rPr>
            </w:pPr>
            <w:r w:rsidRPr="002E4298">
              <w:rPr>
                <w:sz w:val="17"/>
                <w:lang w:val="fr-FR"/>
              </w:rPr>
              <w:t>2014</w:t>
            </w:r>
          </w:p>
        </w:tc>
        <w:tc>
          <w:tcPr>
            <w:tcW w:w="1374" w:type="dxa"/>
            <w:tcBorders>
              <w:bottom w:val="single" w:sz="12" w:space="0" w:color="auto"/>
            </w:tcBorders>
            <w:shd w:val="clear" w:color="auto" w:fill="auto"/>
            <w:tcMar>
              <w:top w:w="0" w:type="dxa"/>
              <w:left w:w="0" w:type="dxa"/>
              <w:bottom w:w="0" w:type="dxa"/>
              <w:right w:w="0" w:type="dxa"/>
            </w:tcMar>
          </w:tcPr>
          <w:p w14:paraId="722715FC" w14:textId="285DB4FE" w:rsidR="0020528A" w:rsidRPr="002E4298" w:rsidRDefault="0020528A" w:rsidP="0020528A">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514</w:t>
            </w:r>
          </w:p>
        </w:tc>
        <w:tc>
          <w:tcPr>
            <w:tcW w:w="1374" w:type="dxa"/>
            <w:tcBorders>
              <w:bottom w:val="single" w:sz="12" w:space="0" w:color="auto"/>
            </w:tcBorders>
            <w:shd w:val="clear" w:color="auto" w:fill="auto"/>
            <w:tcMar>
              <w:top w:w="0" w:type="dxa"/>
              <w:left w:w="0" w:type="dxa"/>
              <w:bottom w:w="0" w:type="dxa"/>
              <w:right w:w="0" w:type="dxa"/>
            </w:tcMar>
          </w:tcPr>
          <w:p w14:paraId="608363A0" w14:textId="2DF53FBA" w:rsidR="0020528A" w:rsidRPr="002E4298" w:rsidRDefault="0020528A" w:rsidP="0020528A">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295</w:t>
            </w:r>
          </w:p>
        </w:tc>
      </w:tr>
    </w:tbl>
    <w:p w14:paraId="2D16279E" w14:textId="77777777" w:rsidR="00BB0956" w:rsidRPr="002E4298" w:rsidRDefault="00BB0956" w:rsidP="00BB0956">
      <w:pPr>
        <w:pStyle w:val="SingleTxt"/>
        <w:spacing w:after="0" w:line="120" w:lineRule="exact"/>
        <w:rPr>
          <w:sz w:val="10"/>
          <w:lang w:val="fr-FR"/>
        </w:rPr>
      </w:pPr>
    </w:p>
    <w:p w14:paraId="45FAAFD7" w14:textId="6BEFBE8A" w:rsidR="00BB0956" w:rsidRPr="002E4298" w:rsidRDefault="00BB0956" w:rsidP="00E36B1F">
      <w:pPr>
        <w:pStyle w:val="FootnoteText"/>
        <w:tabs>
          <w:tab w:val="right" w:pos="1476"/>
          <w:tab w:val="left" w:pos="1548"/>
          <w:tab w:val="right" w:pos="1836"/>
          <w:tab w:val="left" w:pos="1908"/>
        </w:tabs>
        <w:ind w:left="1548" w:right="1267" w:hanging="288"/>
        <w:rPr>
          <w:lang w:val="fr-FR" w:bidi="fr-FR"/>
        </w:rPr>
      </w:pPr>
      <w:r w:rsidRPr="002E4298">
        <w:rPr>
          <w:i/>
          <w:iCs/>
          <w:lang w:val="fr-FR" w:bidi="fr-FR"/>
        </w:rPr>
        <w:t>Source</w:t>
      </w:r>
      <w:r w:rsidRPr="002E4298">
        <w:rPr>
          <w:lang w:val="fr-FR" w:bidi="fr-FR"/>
        </w:rPr>
        <w:t> : IEFP.</w:t>
      </w:r>
    </w:p>
    <w:p w14:paraId="676DB0E3" w14:textId="7627DEEF" w:rsidR="00E36B1F" w:rsidRPr="002E4298" w:rsidRDefault="00E36B1F" w:rsidP="00E36B1F">
      <w:pPr>
        <w:pStyle w:val="SingleTxt"/>
        <w:spacing w:after="0" w:line="120" w:lineRule="exact"/>
        <w:rPr>
          <w:iCs/>
          <w:sz w:val="10"/>
          <w:lang w:val="fr-FR" w:bidi="fr-FR"/>
        </w:rPr>
      </w:pPr>
    </w:p>
    <w:p w14:paraId="72A07B4B" w14:textId="11A6F1D9" w:rsidR="00E36B1F" w:rsidRPr="002E4298" w:rsidRDefault="00E36B1F" w:rsidP="00E36B1F">
      <w:pPr>
        <w:pStyle w:val="SingleTxt"/>
        <w:spacing w:after="0" w:line="120" w:lineRule="exact"/>
        <w:rPr>
          <w:iCs/>
          <w:sz w:val="10"/>
          <w:lang w:val="fr-FR"/>
        </w:rPr>
      </w:pPr>
    </w:p>
    <w:p w14:paraId="4C98C036" w14:textId="1B12C22B" w:rsidR="00E36B1F" w:rsidRPr="002E4298" w:rsidRDefault="00E36B1F" w:rsidP="00E36B1F">
      <w:pPr>
        <w:pStyle w:val="SingleTxt"/>
        <w:spacing w:after="0" w:line="120" w:lineRule="exact"/>
        <w:rPr>
          <w:iCs/>
          <w:sz w:val="10"/>
          <w:lang w:val="fr-FR"/>
        </w:rPr>
      </w:pPr>
    </w:p>
    <w:p w14:paraId="3D38A3F9" w14:textId="29DAADD1" w:rsidR="00BB0956" w:rsidRPr="002E4298" w:rsidRDefault="00BB0956" w:rsidP="00C15FF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2E4298">
        <w:rPr>
          <w:lang w:val="fr-FR" w:bidi="fr-FR"/>
        </w:rPr>
        <w:tab/>
      </w:r>
      <w:r w:rsidRPr="002E4298">
        <w:rPr>
          <w:lang w:val="fr-FR" w:bidi="fr-FR"/>
        </w:rPr>
        <w:tab/>
        <w:t>Services d’inspection de l’égalité et de la non-discrimination</w:t>
      </w:r>
    </w:p>
    <w:p w14:paraId="454AFF85" w14:textId="69396DED" w:rsidR="00C15FFE" w:rsidRPr="002E4298" w:rsidRDefault="00C15FFE" w:rsidP="00C15FFE">
      <w:pPr>
        <w:pStyle w:val="SingleTxt"/>
        <w:spacing w:after="0" w:line="120" w:lineRule="exact"/>
        <w:rPr>
          <w:sz w:val="10"/>
          <w:lang w:val="fr-FR" w:bidi="fr-FR"/>
        </w:rPr>
      </w:pPr>
    </w:p>
    <w:p w14:paraId="40F74B44" w14:textId="6A7550F1" w:rsidR="00BB0956" w:rsidRPr="002E4298" w:rsidRDefault="00BB0956" w:rsidP="00A11C35">
      <w:pPr>
        <w:pStyle w:val="SingleTxt"/>
        <w:numPr>
          <w:ilvl w:val="0"/>
          <w:numId w:val="6"/>
        </w:numPr>
        <w:spacing w:line="240" w:lineRule="exact"/>
        <w:rPr>
          <w:lang w:val="fr-FR"/>
        </w:rPr>
      </w:pPr>
      <w:r w:rsidRPr="002E4298">
        <w:rPr>
          <w:lang w:val="fr-FR" w:bidi="fr-FR"/>
        </w:rPr>
        <w:t>Dans le cadre des inspections des conditions de travail menées par les services de l’Autorité sur les conditions de travail (ACT) en ce qui concerne les relations de travail et la santé et la sécurité au travail, 36 076 visites ont été effectuées en 2017, couvrant 263 100 travailleurs, dont 148 925 hommes et 114 175 femmes.</w:t>
      </w:r>
    </w:p>
    <w:p w14:paraId="0C34308A" w14:textId="27038438" w:rsidR="00501EAE" w:rsidRPr="002E4298" w:rsidRDefault="00BB0956" w:rsidP="00A11C35">
      <w:pPr>
        <w:pStyle w:val="SingleTxt"/>
        <w:numPr>
          <w:ilvl w:val="0"/>
          <w:numId w:val="6"/>
        </w:numPr>
        <w:spacing w:line="240" w:lineRule="exact"/>
        <w:rPr>
          <w:lang w:val="fr-FR"/>
        </w:rPr>
      </w:pPr>
      <w:r w:rsidRPr="002E4298">
        <w:rPr>
          <w:lang w:val="fr-FR" w:bidi="fr-FR"/>
        </w:rPr>
        <w:t>Les actions de l’Autorité s’inscrivent de plus en plus dans une approche globale et intégrée des situations, privilégiant des interventions d’inspection multidimensionnelles qui abordent simultanément les questions des relations de travail et de la santé et la sécurité au travail. Les données suivantes montrent les procédures d’inspection menées dans différents domaines.</w:t>
      </w:r>
    </w:p>
    <w:p w14:paraId="55B7BC07" w14:textId="04B537EE" w:rsidR="00BB0956" w:rsidRPr="002E4298" w:rsidRDefault="00BB0956" w:rsidP="00BB0956">
      <w:pPr>
        <w:pStyle w:val="SingleTxt"/>
        <w:rPr>
          <w:lang w:val="fr-FR"/>
        </w:rPr>
      </w:pPr>
    </w:p>
    <w:p w14:paraId="674FA10B" w14:textId="77777777" w:rsidR="00BB0956" w:rsidRPr="002E4298" w:rsidRDefault="00BB0956" w:rsidP="00BB0956">
      <w:pPr>
        <w:pStyle w:val="SingleTxt"/>
        <w:rPr>
          <w:lang w:val="fr-FR"/>
        </w:rPr>
        <w:sectPr w:rsidR="00BB0956" w:rsidRPr="002E4298" w:rsidSect="00A920BE">
          <w:headerReference w:type="even" r:id="rId26"/>
          <w:headerReference w:type="default" r:id="rId27"/>
          <w:footerReference w:type="even" r:id="rId28"/>
          <w:footerReference w:type="default" r:id="rId29"/>
          <w:pgSz w:w="12240" w:h="15840"/>
          <w:pgMar w:top="1440" w:right="1200" w:bottom="1152" w:left="1200" w:header="432" w:footer="504" w:gutter="0"/>
          <w:cols w:space="720"/>
          <w:noEndnote/>
          <w:docGrid w:linePitch="360"/>
        </w:sectPr>
      </w:pPr>
    </w:p>
    <w:p w14:paraId="2F38088F" w14:textId="77777777" w:rsidR="00BB0956" w:rsidRPr="002E4298" w:rsidRDefault="00BB0956" w:rsidP="00BB0956">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2E4298">
        <w:rPr>
          <w:lang w:val="fr-FR"/>
        </w:rPr>
        <w:lastRenderedPageBreak/>
        <w:t>Procédures d’inspection en matière d’égalité et de non-discrimination (coercitives et non coercitives)</w:t>
      </w:r>
    </w:p>
    <w:p w14:paraId="13AD1AF6" w14:textId="77777777" w:rsidR="00BB0956" w:rsidRPr="002E4298" w:rsidRDefault="00BB0956" w:rsidP="00BB0956">
      <w:pPr>
        <w:spacing w:line="120" w:lineRule="exact"/>
        <w:rPr>
          <w:sz w:val="10"/>
          <w:lang w:val="fr-FR"/>
        </w:rPr>
      </w:pPr>
    </w:p>
    <w:p w14:paraId="72F00E01" w14:textId="77777777" w:rsidR="00BB0956" w:rsidRPr="002E4298" w:rsidRDefault="00BB0956" w:rsidP="00BB0956">
      <w:pPr>
        <w:spacing w:line="120" w:lineRule="exact"/>
        <w:rPr>
          <w:sz w:val="10"/>
          <w:lang w:val="fr-FR"/>
        </w:rPr>
      </w:pPr>
    </w:p>
    <w:tbl>
      <w:tblPr>
        <w:tblW w:w="4990" w:type="pct"/>
        <w:tblLayout w:type="fixed"/>
        <w:tblCellMar>
          <w:left w:w="0" w:type="dxa"/>
          <w:right w:w="0" w:type="dxa"/>
        </w:tblCellMar>
        <w:tblLook w:val="04A0" w:firstRow="1" w:lastRow="0" w:firstColumn="1" w:lastColumn="0" w:noHBand="0" w:noVBand="1"/>
      </w:tblPr>
      <w:tblGrid>
        <w:gridCol w:w="3132"/>
        <w:gridCol w:w="822"/>
        <w:gridCol w:w="823"/>
        <w:gridCol w:w="823"/>
        <w:gridCol w:w="124"/>
        <w:gridCol w:w="723"/>
        <w:gridCol w:w="847"/>
        <w:gridCol w:w="847"/>
        <w:gridCol w:w="103"/>
        <w:gridCol w:w="743"/>
        <w:gridCol w:w="847"/>
        <w:gridCol w:w="847"/>
        <w:gridCol w:w="110"/>
        <w:gridCol w:w="737"/>
        <w:gridCol w:w="847"/>
        <w:gridCol w:w="847"/>
      </w:tblGrid>
      <w:tr w:rsidR="0011228E" w:rsidRPr="002E4298" w14:paraId="4B1B42C2" w14:textId="77777777" w:rsidTr="0011228E">
        <w:trPr>
          <w:tblHeader/>
        </w:trPr>
        <w:tc>
          <w:tcPr>
            <w:tcW w:w="3132" w:type="dxa"/>
            <w:tcBorders>
              <w:top w:val="single" w:sz="4" w:space="0" w:color="auto"/>
            </w:tcBorders>
            <w:shd w:val="clear" w:color="auto" w:fill="auto"/>
            <w:vAlign w:val="bottom"/>
          </w:tcPr>
          <w:p w14:paraId="24F23524" w14:textId="77777777" w:rsidR="0011228E" w:rsidRPr="002E4298" w:rsidRDefault="0011228E" w:rsidP="0011228E">
            <w:pPr>
              <w:suppressAutoHyphens/>
              <w:spacing w:before="81" w:after="81" w:line="160" w:lineRule="exact"/>
              <w:ind w:right="40"/>
              <w:rPr>
                <w:i/>
                <w:sz w:val="14"/>
                <w:lang w:val="fr-FR"/>
              </w:rPr>
            </w:pPr>
          </w:p>
        </w:tc>
        <w:tc>
          <w:tcPr>
            <w:tcW w:w="2468" w:type="dxa"/>
            <w:gridSpan w:val="3"/>
            <w:tcBorders>
              <w:top w:val="single" w:sz="4" w:space="0" w:color="auto"/>
              <w:bottom w:val="single" w:sz="4" w:space="0" w:color="auto"/>
            </w:tcBorders>
            <w:shd w:val="clear" w:color="auto" w:fill="auto"/>
            <w:vAlign w:val="bottom"/>
          </w:tcPr>
          <w:p w14:paraId="62D6E567" w14:textId="08A78A52" w:rsidR="0011228E" w:rsidRPr="002E4298" w:rsidRDefault="0011228E" w:rsidP="0011228E">
            <w:pPr>
              <w:suppressAutoHyphens/>
              <w:spacing w:before="81" w:after="81" w:line="160" w:lineRule="exact"/>
              <w:ind w:right="43"/>
              <w:jc w:val="center"/>
              <w:rPr>
                <w:i/>
                <w:sz w:val="14"/>
                <w:lang w:val="fr-FR"/>
              </w:rPr>
            </w:pPr>
            <w:r w:rsidRPr="002E4298">
              <w:rPr>
                <w:i/>
                <w:sz w:val="14"/>
                <w:lang w:val="fr-FR"/>
              </w:rPr>
              <w:t>Avertissement</w:t>
            </w:r>
          </w:p>
        </w:tc>
        <w:tc>
          <w:tcPr>
            <w:tcW w:w="124" w:type="dxa"/>
            <w:tcBorders>
              <w:top w:val="single" w:sz="4" w:space="0" w:color="auto"/>
            </w:tcBorders>
            <w:shd w:val="clear" w:color="auto" w:fill="auto"/>
            <w:vAlign w:val="bottom"/>
          </w:tcPr>
          <w:p w14:paraId="5D5C3864" w14:textId="77777777" w:rsidR="0011228E" w:rsidRPr="002E4298" w:rsidRDefault="0011228E" w:rsidP="0011228E">
            <w:pPr>
              <w:suppressAutoHyphens/>
              <w:spacing w:before="81" w:after="81" w:line="160" w:lineRule="exact"/>
              <w:ind w:right="43"/>
              <w:jc w:val="right"/>
              <w:rPr>
                <w:i/>
                <w:sz w:val="14"/>
                <w:lang w:val="fr-FR"/>
              </w:rPr>
            </w:pPr>
          </w:p>
        </w:tc>
        <w:tc>
          <w:tcPr>
            <w:tcW w:w="2417" w:type="dxa"/>
            <w:gridSpan w:val="3"/>
            <w:tcBorders>
              <w:top w:val="single" w:sz="4" w:space="0" w:color="auto"/>
              <w:bottom w:val="single" w:sz="4" w:space="0" w:color="auto"/>
            </w:tcBorders>
            <w:shd w:val="clear" w:color="auto" w:fill="auto"/>
            <w:vAlign w:val="bottom"/>
          </w:tcPr>
          <w:p w14:paraId="4929818D" w14:textId="4CC0FF9E" w:rsidR="0011228E" w:rsidRPr="002E4298" w:rsidRDefault="0011228E" w:rsidP="0011228E">
            <w:pPr>
              <w:suppressAutoHyphens/>
              <w:spacing w:before="81" w:after="81" w:line="160" w:lineRule="exact"/>
              <w:ind w:right="43"/>
              <w:jc w:val="center"/>
              <w:rPr>
                <w:i/>
                <w:sz w:val="14"/>
                <w:lang w:val="fr-FR"/>
              </w:rPr>
            </w:pPr>
            <w:r w:rsidRPr="002E4298">
              <w:rPr>
                <w:i/>
                <w:sz w:val="14"/>
                <w:lang w:val="fr-FR"/>
              </w:rPr>
              <w:t>Mesure visant à améliorer l’avis</w:t>
            </w:r>
          </w:p>
        </w:tc>
        <w:tc>
          <w:tcPr>
            <w:tcW w:w="103" w:type="dxa"/>
            <w:tcBorders>
              <w:top w:val="single" w:sz="4" w:space="0" w:color="auto"/>
            </w:tcBorders>
            <w:shd w:val="clear" w:color="auto" w:fill="auto"/>
            <w:vAlign w:val="bottom"/>
          </w:tcPr>
          <w:p w14:paraId="2E9B14ED" w14:textId="77777777" w:rsidR="0011228E" w:rsidRPr="002E4298" w:rsidRDefault="0011228E" w:rsidP="0011228E">
            <w:pPr>
              <w:suppressAutoHyphens/>
              <w:spacing w:before="81" w:after="81" w:line="160" w:lineRule="exact"/>
              <w:ind w:right="43"/>
              <w:jc w:val="right"/>
              <w:rPr>
                <w:i/>
                <w:sz w:val="14"/>
                <w:lang w:val="fr-FR"/>
              </w:rPr>
            </w:pPr>
          </w:p>
        </w:tc>
        <w:tc>
          <w:tcPr>
            <w:tcW w:w="2437" w:type="dxa"/>
            <w:gridSpan w:val="3"/>
            <w:tcBorders>
              <w:top w:val="single" w:sz="4" w:space="0" w:color="auto"/>
              <w:bottom w:val="single" w:sz="4" w:space="0" w:color="auto"/>
            </w:tcBorders>
            <w:shd w:val="clear" w:color="auto" w:fill="auto"/>
            <w:vAlign w:val="bottom"/>
          </w:tcPr>
          <w:p w14:paraId="2587EFEE" w14:textId="6772D79D" w:rsidR="0011228E" w:rsidRPr="002E4298" w:rsidRDefault="0011228E" w:rsidP="0011228E">
            <w:pPr>
              <w:suppressAutoHyphens/>
              <w:spacing w:before="81" w:after="81" w:line="160" w:lineRule="exact"/>
              <w:ind w:right="43"/>
              <w:jc w:val="center"/>
              <w:rPr>
                <w:i/>
                <w:sz w:val="14"/>
                <w:lang w:val="fr-FR"/>
              </w:rPr>
            </w:pPr>
            <w:r w:rsidRPr="002E4298">
              <w:rPr>
                <w:i/>
                <w:sz w:val="14"/>
                <w:lang w:val="fr-FR"/>
              </w:rPr>
              <w:t>Autres</w:t>
            </w:r>
          </w:p>
        </w:tc>
        <w:tc>
          <w:tcPr>
            <w:tcW w:w="110" w:type="dxa"/>
            <w:tcBorders>
              <w:top w:val="single" w:sz="4" w:space="0" w:color="auto"/>
            </w:tcBorders>
            <w:shd w:val="clear" w:color="auto" w:fill="auto"/>
            <w:vAlign w:val="bottom"/>
          </w:tcPr>
          <w:p w14:paraId="1C3BEA5D" w14:textId="77777777" w:rsidR="0011228E" w:rsidRPr="002E4298" w:rsidRDefault="0011228E" w:rsidP="0011228E">
            <w:pPr>
              <w:suppressAutoHyphens/>
              <w:spacing w:before="81" w:after="81" w:line="160" w:lineRule="exact"/>
              <w:ind w:right="43"/>
              <w:jc w:val="right"/>
              <w:rPr>
                <w:i/>
                <w:sz w:val="14"/>
                <w:lang w:val="fr-FR"/>
              </w:rPr>
            </w:pPr>
          </w:p>
        </w:tc>
        <w:tc>
          <w:tcPr>
            <w:tcW w:w="2431" w:type="dxa"/>
            <w:gridSpan w:val="3"/>
            <w:tcBorders>
              <w:top w:val="single" w:sz="4" w:space="0" w:color="auto"/>
              <w:bottom w:val="single" w:sz="4" w:space="0" w:color="auto"/>
            </w:tcBorders>
            <w:shd w:val="clear" w:color="auto" w:fill="auto"/>
            <w:vAlign w:val="bottom"/>
          </w:tcPr>
          <w:p w14:paraId="55D0ECDA" w14:textId="1BB8BEFF" w:rsidR="0011228E" w:rsidRPr="002E4298" w:rsidRDefault="0011228E" w:rsidP="0011228E">
            <w:pPr>
              <w:suppressAutoHyphens/>
              <w:spacing w:before="81" w:after="81" w:line="160" w:lineRule="exact"/>
              <w:ind w:right="43"/>
              <w:jc w:val="center"/>
              <w:rPr>
                <w:i/>
                <w:sz w:val="14"/>
                <w:lang w:val="fr-FR"/>
              </w:rPr>
            </w:pPr>
            <w:r w:rsidRPr="002E4298">
              <w:rPr>
                <w:i/>
                <w:sz w:val="14"/>
                <w:lang w:val="fr-FR"/>
              </w:rPr>
              <w:t>Infractions</w:t>
            </w:r>
          </w:p>
        </w:tc>
      </w:tr>
      <w:tr w:rsidR="0011228E" w:rsidRPr="002E4298" w14:paraId="5B64CF65" w14:textId="77777777" w:rsidTr="0011228E">
        <w:trPr>
          <w:tblHeader/>
        </w:trPr>
        <w:tc>
          <w:tcPr>
            <w:tcW w:w="3132" w:type="dxa"/>
            <w:tcBorders>
              <w:bottom w:val="single" w:sz="12" w:space="0" w:color="auto"/>
            </w:tcBorders>
            <w:shd w:val="clear" w:color="auto" w:fill="auto"/>
            <w:vAlign w:val="bottom"/>
          </w:tcPr>
          <w:p w14:paraId="6FDCE4F7" w14:textId="77671A1B" w:rsidR="00FB514F" w:rsidRPr="002E4298" w:rsidRDefault="00FB514F" w:rsidP="0011228E">
            <w:pPr>
              <w:suppressAutoHyphens/>
              <w:spacing w:before="81" w:after="81" w:line="160" w:lineRule="exact"/>
              <w:ind w:right="40"/>
              <w:rPr>
                <w:i/>
                <w:sz w:val="14"/>
                <w:lang w:val="fr-FR"/>
              </w:rPr>
            </w:pPr>
            <w:r w:rsidRPr="002E4298">
              <w:rPr>
                <w:i/>
                <w:sz w:val="14"/>
                <w:lang w:val="fr-FR"/>
              </w:rPr>
              <w:t>Sujets</w:t>
            </w:r>
          </w:p>
        </w:tc>
        <w:tc>
          <w:tcPr>
            <w:tcW w:w="822" w:type="dxa"/>
            <w:tcBorders>
              <w:top w:val="single" w:sz="4" w:space="0" w:color="auto"/>
              <w:bottom w:val="single" w:sz="12" w:space="0" w:color="auto"/>
            </w:tcBorders>
            <w:shd w:val="clear" w:color="auto" w:fill="auto"/>
            <w:vAlign w:val="bottom"/>
          </w:tcPr>
          <w:p w14:paraId="0848C56E" w14:textId="4419E065" w:rsidR="00FB514F" w:rsidRPr="002E4298" w:rsidRDefault="00FB514F" w:rsidP="0011228E">
            <w:pPr>
              <w:suppressAutoHyphens/>
              <w:spacing w:before="81" w:after="81" w:line="160" w:lineRule="exact"/>
              <w:ind w:right="43"/>
              <w:jc w:val="right"/>
              <w:rPr>
                <w:i/>
                <w:sz w:val="14"/>
                <w:lang w:val="fr-FR"/>
              </w:rPr>
            </w:pPr>
            <w:r w:rsidRPr="002E4298">
              <w:rPr>
                <w:i/>
                <w:sz w:val="14"/>
                <w:lang w:val="fr-FR"/>
              </w:rPr>
              <w:t>2017</w:t>
            </w:r>
          </w:p>
        </w:tc>
        <w:tc>
          <w:tcPr>
            <w:tcW w:w="823" w:type="dxa"/>
            <w:tcBorders>
              <w:top w:val="single" w:sz="4" w:space="0" w:color="auto"/>
              <w:bottom w:val="single" w:sz="12" w:space="0" w:color="auto"/>
            </w:tcBorders>
            <w:shd w:val="clear" w:color="auto" w:fill="auto"/>
            <w:vAlign w:val="bottom"/>
          </w:tcPr>
          <w:p w14:paraId="6ACABD70" w14:textId="2FC2654C" w:rsidR="00FB514F" w:rsidRPr="002E4298" w:rsidRDefault="00FB514F" w:rsidP="0011228E">
            <w:pPr>
              <w:suppressAutoHyphens/>
              <w:spacing w:before="81" w:after="81" w:line="160" w:lineRule="exact"/>
              <w:ind w:right="43"/>
              <w:jc w:val="right"/>
              <w:rPr>
                <w:i/>
                <w:sz w:val="14"/>
                <w:lang w:val="fr-FR"/>
              </w:rPr>
            </w:pPr>
            <w:r w:rsidRPr="002E4298">
              <w:rPr>
                <w:i/>
                <w:sz w:val="14"/>
                <w:lang w:val="fr-FR"/>
              </w:rPr>
              <w:t>2016</w:t>
            </w:r>
          </w:p>
        </w:tc>
        <w:tc>
          <w:tcPr>
            <w:tcW w:w="823" w:type="dxa"/>
            <w:tcBorders>
              <w:top w:val="single" w:sz="4" w:space="0" w:color="auto"/>
              <w:bottom w:val="single" w:sz="12" w:space="0" w:color="auto"/>
            </w:tcBorders>
            <w:shd w:val="clear" w:color="auto" w:fill="auto"/>
            <w:vAlign w:val="bottom"/>
          </w:tcPr>
          <w:p w14:paraId="7ED25F87" w14:textId="4FB4EFF2" w:rsidR="00FB514F" w:rsidRPr="002E4298" w:rsidRDefault="00FB514F" w:rsidP="0011228E">
            <w:pPr>
              <w:suppressAutoHyphens/>
              <w:spacing w:before="81" w:after="81" w:line="160" w:lineRule="exact"/>
              <w:ind w:right="43"/>
              <w:jc w:val="right"/>
              <w:rPr>
                <w:i/>
                <w:sz w:val="14"/>
                <w:lang w:val="fr-FR"/>
              </w:rPr>
            </w:pPr>
            <w:r w:rsidRPr="002E4298">
              <w:rPr>
                <w:i/>
                <w:sz w:val="14"/>
                <w:lang w:val="fr-FR"/>
              </w:rPr>
              <w:t>2015</w:t>
            </w:r>
          </w:p>
        </w:tc>
        <w:tc>
          <w:tcPr>
            <w:tcW w:w="847" w:type="dxa"/>
            <w:gridSpan w:val="2"/>
            <w:tcBorders>
              <w:bottom w:val="single" w:sz="12" w:space="0" w:color="auto"/>
            </w:tcBorders>
            <w:shd w:val="clear" w:color="auto" w:fill="auto"/>
            <w:vAlign w:val="bottom"/>
          </w:tcPr>
          <w:p w14:paraId="67A7C955" w14:textId="6266CD7D" w:rsidR="00FB514F" w:rsidRPr="002E4298" w:rsidRDefault="00FB514F" w:rsidP="0011228E">
            <w:pPr>
              <w:suppressAutoHyphens/>
              <w:spacing w:before="81" w:after="81" w:line="160" w:lineRule="exact"/>
              <w:ind w:right="43"/>
              <w:jc w:val="right"/>
              <w:rPr>
                <w:i/>
                <w:sz w:val="14"/>
                <w:lang w:val="fr-FR"/>
              </w:rPr>
            </w:pPr>
            <w:r w:rsidRPr="002E4298">
              <w:rPr>
                <w:i/>
                <w:sz w:val="14"/>
                <w:lang w:val="fr-FR"/>
              </w:rPr>
              <w:t>2017</w:t>
            </w:r>
          </w:p>
        </w:tc>
        <w:tc>
          <w:tcPr>
            <w:tcW w:w="847" w:type="dxa"/>
            <w:tcBorders>
              <w:bottom w:val="single" w:sz="12" w:space="0" w:color="auto"/>
            </w:tcBorders>
            <w:shd w:val="clear" w:color="auto" w:fill="auto"/>
            <w:vAlign w:val="bottom"/>
          </w:tcPr>
          <w:p w14:paraId="2AE3B57F" w14:textId="1CE614C5" w:rsidR="00FB514F" w:rsidRPr="002E4298" w:rsidRDefault="00FB514F" w:rsidP="0011228E">
            <w:pPr>
              <w:suppressAutoHyphens/>
              <w:spacing w:before="81" w:after="81" w:line="160" w:lineRule="exact"/>
              <w:ind w:right="43"/>
              <w:jc w:val="right"/>
              <w:rPr>
                <w:i/>
                <w:sz w:val="14"/>
                <w:lang w:val="fr-FR"/>
              </w:rPr>
            </w:pPr>
            <w:r w:rsidRPr="002E4298">
              <w:rPr>
                <w:i/>
                <w:sz w:val="14"/>
                <w:lang w:val="fr-FR"/>
              </w:rPr>
              <w:t>2016</w:t>
            </w:r>
          </w:p>
        </w:tc>
        <w:tc>
          <w:tcPr>
            <w:tcW w:w="847" w:type="dxa"/>
            <w:tcBorders>
              <w:bottom w:val="single" w:sz="12" w:space="0" w:color="auto"/>
            </w:tcBorders>
            <w:shd w:val="clear" w:color="auto" w:fill="auto"/>
            <w:vAlign w:val="bottom"/>
          </w:tcPr>
          <w:p w14:paraId="7CB68706" w14:textId="41B793AC" w:rsidR="00FB514F" w:rsidRPr="002E4298" w:rsidRDefault="00FB514F" w:rsidP="0011228E">
            <w:pPr>
              <w:suppressAutoHyphens/>
              <w:spacing w:before="81" w:after="81" w:line="160" w:lineRule="exact"/>
              <w:ind w:right="43"/>
              <w:jc w:val="right"/>
              <w:rPr>
                <w:i/>
                <w:sz w:val="14"/>
                <w:lang w:val="fr-FR"/>
              </w:rPr>
            </w:pPr>
            <w:r w:rsidRPr="002E4298">
              <w:rPr>
                <w:i/>
                <w:sz w:val="14"/>
                <w:lang w:val="fr-FR"/>
              </w:rPr>
              <w:t>2015</w:t>
            </w:r>
          </w:p>
        </w:tc>
        <w:tc>
          <w:tcPr>
            <w:tcW w:w="846" w:type="dxa"/>
            <w:gridSpan w:val="2"/>
            <w:tcBorders>
              <w:bottom w:val="single" w:sz="12" w:space="0" w:color="auto"/>
            </w:tcBorders>
            <w:shd w:val="clear" w:color="auto" w:fill="auto"/>
            <w:vAlign w:val="bottom"/>
          </w:tcPr>
          <w:p w14:paraId="0166F2BC" w14:textId="253179C0" w:rsidR="00FB514F" w:rsidRPr="002E4298" w:rsidRDefault="00FB514F" w:rsidP="0011228E">
            <w:pPr>
              <w:suppressAutoHyphens/>
              <w:spacing w:before="81" w:after="81" w:line="160" w:lineRule="exact"/>
              <w:ind w:right="43"/>
              <w:jc w:val="right"/>
              <w:rPr>
                <w:i/>
                <w:sz w:val="14"/>
                <w:lang w:val="fr-FR"/>
              </w:rPr>
            </w:pPr>
            <w:r w:rsidRPr="002E4298">
              <w:rPr>
                <w:i/>
                <w:sz w:val="14"/>
                <w:lang w:val="fr-FR"/>
              </w:rPr>
              <w:t>2017</w:t>
            </w:r>
          </w:p>
        </w:tc>
        <w:tc>
          <w:tcPr>
            <w:tcW w:w="847" w:type="dxa"/>
            <w:tcBorders>
              <w:bottom w:val="single" w:sz="12" w:space="0" w:color="auto"/>
            </w:tcBorders>
            <w:shd w:val="clear" w:color="auto" w:fill="auto"/>
            <w:vAlign w:val="bottom"/>
          </w:tcPr>
          <w:p w14:paraId="657ACC05" w14:textId="7618909D" w:rsidR="00FB514F" w:rsidRPr="002E4298" w:rsidRDefault="00FB514F" w:rsidP="0011228E">
            <w:pPr>
              <w:suppressAutoHyphens/>
              <w:spacing w:before="81" w:after="81" w:line="160" w:lineRule="exact"/>
              <w:ind w:right="43"/>
              <w:jc w:val="right"/>
              <w:rPr>
                <w:i/>
                <w:sz w:val="14"/>
                <w:lang w:val="fr-FR"/>
              </w:rPr>
            </w:pPr>
            <w:r w:rsidRPr="002E4298">
              <w:rPr>
                <w:i/>
                <w:sz w:val="14"/>
                <w:lang w:val="fr-FR"/>
              </w:rPr>
              <w:t>2016</w:t>
            </w:r>
          </w:p>
        </w:tc>
        <w:tc>
          <w:tcPr>
            <w:tcW w:w="847" w:type="dxa"/>
            <w:tcBorders>
              <w:bottom w:val="single" w:sz="12" w:space="0" w:color="auto"/>
            </w:tcBorders>
            <w:shd w:val="clear" w:color="auto" w:fill="auto"/>
            <w:vAlign w:val="bottom"/>
          </w:tcPr>
          <w:p w14:paraId="32F1BEB9" w14:textId="2770DD62" w:rsidR="00FB514F" w:rsidRPr="002E4298" w:rsidRDefault="00FB514F" w:rsidP="0011228E">
            <w:pPr>
              <w:suppressAutoHyphens/>
              <w:spacing w:before="81" w:after="81" w:line="160" w:lineRule="exact"/>
              <w:ind w:right="43"/>
              <w:jc w:val="right"/>
              <w:rPr>
                <w:i/>
                <w:sz w:val="14"/>
                <w:lang w:val="fr-FR"/>
              </w:rPr>
            </w:pPr>
            <w:r w:rsidRPr="002E4298">
              <w:rPr>
                <w:i/>
                <w:sz w:val="14"/>
                <w:lang w:val="fr-FR"/>
              </w:rPr>
              <w:t>2015</w:t>
            </w:r>
          </w:p>
        </w:tc>
        <w:tc>
          <w:tcPr>
            <w:tcW w:w="847" w:type="dxa"/>
            <w:gridSpan w:val="2"/>
            <w:tcBorders>
              <w:bottom w:val="single" w:sz="12" w:space="0" w:color="auto"/>
            </w:tcBorders>
            <w:shd w:val="clear" w:color="auto" w:fill="auto"/>
            <w:vAlign w:val="bottom"/>
          </w:tcPr>
          <w:p w14:paraId="7F2E9B84" w14:textId="3EBC4A2D" w:rsidR="00FB514F" w:rsidRPr="002E4298" w:rsidRDefault="00FB514F" w:rsidP="0011228E">
            <w:pPr>
              <w:suppressAutoHyphens/>
              <w:spacing w:before="81" w:after="81" w:line="160" w:lineRule="exact"/>
              <w:ind w:right="43"/>
              <w:jc w:val="right"/>
              <w:rPr>
                <w:i/>
                <w:sz w:val="14"/>
                <w:lang w:val="fr-FR"/>
              </w:rPr>
            </w:pPr>
            <w:r w:rsidRPr="002E4298">
              <w:rPr>
                <w:i/>
                <w:sz w:val="14"/>
                <w:lang w:val="fr-FR"/>
              </w:rPr>
              <w:t>2017</w:t>
            </w:r>
          </w:p>
        </w:tc>
        <w:tc>
          <w:tcPr>
            <w:tcW w:w="847" w:type="dxa"/>
            <w:tcBorders>
              <w:bottom w:val="single" w:sz="12" w:space="0" w:color="auto"/>
            </w:tcBorders>
            <w:shd w:val="clear" w:color="auto" w:fill="auto"/>
            <w:vAlign w:val="bottom"/>
          </w:tcPr>
          <w:p w14:paraId="3A110EC4" w14:textId="58766CC6" w:rsidR="00FB514F" w:rsidRPr="002E4298" w:rsidRDefault="00FB514F" w:rsidP="0011228E">
            <w:pPr>
              <w:suppressAutoHyphens/>
              <w:spacing w:before="81" w:after="81" w:line="160" w:lineRule="exact"/>
              <w:ind w:right="43"/>
              <w:jc w:val="right"/>
              <w:rPr>
                <w:i/>
                <w:sz w:val="14"/>
                <w:lang w:val="fr-FR"/>
              </w:rPr>
            </w:pPr>
            <w:r w:rsidRPr="002E4298">
              <w:rPr>
                <w:i/>
                <w:sz w:val="14"/>
                <w:lang w:val="fr-FR"/>
              </w:rPr>
              <w:t>2016</w:t>
            </w:r>
          </w:p>
        </w:tc>
        <w:tc>
          <w:tcPr>
            <w:tcW w:w="847" w:type="dxa"/>
            <w:tcBorders>
              <w:bottom w:val="single" w:sz="12" w:space="0" w:color="auto"/>
            </w:tcBorders>
            <w:shd w:val="clear" w:color="auto" w:fill="auto"/>
            <w:vAlign w:val="bottom"/>
          </w:tcPr>
          <w:p w14:paraId="3B7039C3" w14:textId="5237CC42" w:rsidR="00FB514F" w:rsidRPr="002E4298" w:rsidRDefault="00FB514F" w:rsidP="0011228E">
            <w:pPr>
              <w:suppressAutoHyphens/>
              <w:spacing w:before="81" w:after="81" w:line="160" w:lineRule="exact"/>
              <w:ind w:right="43"/>
              <w:jc w:val="right"/>
              <w:rPr>
                <w:i/>
                <w:sz w:val="14"/>
                <w:lang w:val="fr-FR"/>
              </w:rPr>
            </w:pPr>
            <w:r w:rsidRPr="002E4298">
              <w:rPr>
                <w:i/>
                <w:sz w:val="14"/>
                <w:lang w:val="fr-FR"/>
              </w:rPr>
              <w:t>2015</w:t>
            </w:r>
          </w:p>
        </w:tc>
      </w:tr>
      <w:tr w:rsidR="0011228E" w:rsidRPr="002E4298" w14:paraId="322E5623" w14:textId="77777777" w:rsidTr="0011228E">
        <w:trPr>
          <w:trHeight w:hRule="exact" w:val="115"/>
          <w:tblHeader/>
        </w:trPr>
        <w:tc>
          <w:tcPr>
            <w:tcW w:w="3132" w:type="dxa"/>
            <w:tcBorders>
              <w:top w:val="single" w:sz="12" w:space="0" w:color="auto"/>
            </w:tcBorders>
            <w:shd w:val="clear" w:color="auto" w:fill="auto"/>
            <w:vAlign w:val="bottom"/>
          </w:tcPr>
          <w:p w14:paraId="6F4363ED" w14:textId="77777777" w:rsidR="0011228E" w:rsidRPr="002E4298" w:rsidRDefault="0011228E" w:rsidP="0011228E">
            <w:pPr>
              <w:suppressAutoHyphens/>
              <w:spacing w:before="40" w:after="40" w:line="210" w:lineRule="exact"/>
              <w:ind w:right="40"/>
              <w:rPr>
                <w:sz w:val="17"/>
                <w:lang w:val="fr-FR"/>
              </w:rPr>
            </w:pPr>
          </w:p>
        </w:tc>
        <w:tc>
          <w:tcPr>
            <w:tcW w:w="822" w:type="dxa"/>
            <w:tcBorders>
              <w:top w:val="single" w:sz="12" w:space="0" w:color="auto"/>
            </w:tcBorders>
            <w:shd w:val="clear" w:color="auto" w:fill="auto"/>
            <w:vAlign w:val="bottom"/>
          </w:tcPr>
          <w:p w14:paraId="075D61C1" w14:textId="77777777" w:rsidR="0011228E" w:rsidRPr="002E4298" w:rsidRDefault="0011228E" w:rsidP="0011228E">
            <w:pPr>
              <w:suppressAutoHyphens/>
              <w:spacing w:before="40" w:after="40" w:line="210" w:lineRule="exact"/>
              <w:ind w:right="43"/>
              <w:jc w:val="right"/>
              <w:rPr>
                <w:sz w:val="17"/>
                <w:lang w:val="fr-FR"/>
              </w:rPr>
            </w:pPr>
          </w:p>
        </w:tc>
        <w:tc>
          <w:tcPr>
            <w:tcW w:w="823" w:type="dxa"/>
            <w:tcBorders>
              <w:top w:val="single" w:sz="12" w:space="0" w:color="auto"/>
            </w:tcBorders>
            <w:shd w:val="clear" w:color="auto" w:fill="auto"/>
            <w:vAlign w:val="bottom"/>
          </w:tcPr>
          <w:p w14:paraId="247BD6E5" w14:textId="77777777" w:rsidR="0011228E" w:rsidRPr="002E4298" w:rsidRDefault="0011228E" w:rsidP="0011228E">
            <w:pPr>
              <w:suppressAutoHyphens/>
              <w:spacing w:before="40" w:after="40" w:line="210" w:lineRule="exact"/>
              <w:ind w:right="43"/>
              <w:jc w:val="right"/>
              <w:rPr>
                <w:sz w:val="17"/>
                <w:lang w:val="fr-FR"/>
              </w:rPr>
            </w:pPr>
          </w:p>
        </w:tc>
        <w:tc>
          <w:tcPr>
            <w:tcW w:w="823" w:type="dxa"/>
            <w:tcBorders>
              <w:top w:val="single" w:sz="12" w:space="0" w:color="auto"/>
            </w:tcBorders>
            <w:shd w:val="clear" w:color="auto" w:fill="auto"/>
            <w:vAlign w:val="bottom"/>
          </w:tcPr>
          <w:p w14:paraId="3DEFE85B" w14:textId="77777777" w:rsidR="0011228E" w:rsidRPr="002E4298" w:rsidRDefault="0011228E" w:rsidP="0011228E">
            <w:pPr>
              <w:suppressAutoHyphens/>
              <w:spacing w:before="40" w:after="40" w:line="210" w:lineRule="exact"/>
              <w:ind w:right="43"/>
              <w:jc w:val="right"/>
              <w:rPr>
                <w:sz w:val="17"/>
                <w:lang w:val="fr-FR"/>
              </w:rPr>
            </w:pPr>
          </w:p>
        </w:tc>
        <w:tc>
          <w:tcPr>
            <w:tcW w:w="847" w:type="dxa"/>
            <w:gridSpan w:val="2"/>
            <w:tcBorders>
              <w:top w:val="single" w:sz="12" w:space="0" w:color="auto"/>
            </w:tcBorders>
            <w:shd w:val="clear" w:color="auto" w:fill="auto"/>
            <w:vAlign w:val="bottom"/>
          </w:tcPr>
          <w:p w14:paraId="37B1CABE" w14:textId="77777777" w:rsidR="0011228E" w:rsidRPr="002E4298" w:rsidRDefault="0011228E" w:rsidP="0011228E">
            <w:pPr>
              <w:suppressAutoHyphens/>
              <w:spacing w:before="40" w:after="40" w:line="210" w:lineRule="exact"/>
              <w:ind w:right="43"/>
              <w:jc w:val="right"/>
              <w:rPr>
                <w:sz w:val="17"/>
                <w:lang w:val="fr-FR"/>
              </w:rPr>
            </w:pPr>
          </w:p>
        </w:tc>
        <w:tc>
          <w:tcPr>
            <w:tcW w:w="847" w:type="dxa"/>
            <w:tcBorders>
              <w:top w:val="single" w:sz="12" w:space="0" w:color="auto"/>
            </w:tcBorders>
            <w:shd w:val="clear" w:color="auto" w:fill="auto"/>
            <w:vAlign w:val="bottom"/>
          </w:tcPr>
          <w:p w14:paraId="3ABBB324" w14:textId="77777777" w:rsidR="0011228E" w:rsidRPr="002E4298" w:rsidRDefault="0011228E" w:rsidP="0011228E">
            <w:pPr>
              <w:suppressAutoHyphens/>
              <w:spacing w:before="40" w:after="40" w:line="210" w:lineRule="exact"/>
              <w:ind w:right="43"/>
              <w:jc w:val="right"/>
              <w:rPr>
                <w:sz w:val="17"/>
                <w:lang w:val="fr-FR"/>
              </w:rPr>
            </w:pPr>
          </w:p>
        </w:tc>
        <w:tc>
          <w:tcPr>
            <w:tcW w:w="847" w:type="dxa"/>
            <w:tcBorders>
              <w:top w:val="single" w:sz="12" w:space="0" w:color="auto"/>
            </w:tcBorders>
            <w:shd w:val="clear" w:color="auto" w:fill="auto"/>
            <w:vAlign w:val="bottom"/>
          </w:tcPr>
          <w:p w14:paraId="4DD436EE" w14:textId="77777777" w:rsidR="0011228E" w:rsidRPr="002E4298" w:rsidRDefault="0011228E" w:rsidP="0011228E">
            <w:pPr>
              <w:suppressAutoHyphens/>
              <w:spacing w:before="40" w:after="40" w:line="210" w:lineRule="exact"/>
              <w:ind w:right="43"/>
              <w:jc w:val="right"/>
              <w:rPr>
                <w:sz w:val="17"/>
                <w:lang w:val="fr-FR"/>
              </w:rPr>
            </w:pPr>
          </w:p>
        </w:tc>
        <w:tc>
          <w:tcPr>
            <w:tcW w:w="846" w:type="dxa"/>
            <w:gridSpan w:val="2"/>
            <w:tcBorders>
              <w:top w:val="single" w:sz="12" w:space="0" w:color="auto"/>
            </w:tcBorders>
            <w:shd w:val="clear" w:color="auto" w:fill="auto"/>
            <w:vAlign w:val="bottom"/>
          </w:tcPr>
          <w:p w14:paraId="614C33E8" w14:textId="77777777" w:rsidR="0011228E" w:rsidRPr="002E4298" w:rsidRDefault="0011228E" w:rsidP="0011228E">
            <w:pPr>
              <w:suppressAutoHyphens/>
              <w:spacing w:before="40" w:after="40" w:line="210" w:lineRule="exact"/>
              <w:ind w:right="43"/>
              <w:jc w:val="right"/>
              <w:rPr>
                <w:sz w:val="17"/>
                <w:lang w:val="fr-FR"/>
              </w:rPr>
            </w:pPr>
          </w:p>
        </w:tc>
        <w:tc>
          <w:tcPr>
            <w:tcW w:w="847" w:type="dxa"/>
            <w:tcBorders>
              <w:top w:val="single" w:sz="12" w:space="0" w:color="auto"/>
            </w:tcBorders>
            <w:shd w:val="clear" w:color="auto" w:fill="auto"/>
            <w:vAlign w:val="bottom"/>
          </w:tcPr>
          <w:p w14:paraId="43703741" w14:textId="77777777" w:rsidR="0011228E" w:rsidRPr="002E4298" w:rsidRDefault="0011228E" w:rsidP="0011228E">
            <w:pPr>
              <w:suppressAutoHyphens/>
              <w:spacing w:before="40" w:after="40" w:line="210" w:lineRule="exact"/>
              <w:ind w:right="43"/>
              <w:jc w:val="right"/>
              <w:rPr>
                <w:sz w:val="17"/>
                <w:lang w:val="fr-FR"/>
              </w:rPr>
            </w:pPr>
          </w:p>
        </w:tc>
        <w:tc>
          <w:tcPr>
            <w:tcW w:w="847" w:type="dxa"/>
            <w:tcBorders>
              <w:top w:val="single" w:sz="12" w:space="0" w:color="auto"/>
            </w:tcBorders>
            <w:shd w:val="clear" w:color="auto" w:fill="auto"/>
            <w:vAlign w:val="bottom"/>
          </w:tcPr>
          <w:p w14:paraId="430488A3" w14:textId="77777777" w:rsidR="0011228E" w:rsidRPr="002E4298" w:rsidRDefault="0011228E" w:rsidP="0011228E">
            <w:pPr>
              <w:suppressAutoHyphens/>
              <w:spacing w:before="40" w:after="40" w:line="210" w:lineRule="exact"/>
              <w:ind w:right="43"/>
              <w:jc w:val="right"/>
              <w:rPr>
                <w:sz w:val="17"/>
                <w:lang w:val="fr-FR"/>
              </w:rPr>
            </w:pPr>
          </w:p>
        </w:tc>
        <w:tc>
          <w:tcPr>
            <w:tcW w:w="847" w:type="dxa"/>
            <w:gridSpan w:val="2"/>
            <w:tcBorders>
              <w:top w:val="single" w:sz="12" w:space="0" w:color="auto"/>
            </w:tcBorders>
            <w:shd w:val="clear" w:color="auto" w:fill="auto"/>
            <w:vAlign w:val="bottom"/>
          </w:tcPr>
          <w:p w14:paraId="1FFAAEC2" w14:textId="77777777" w:rsidR="0011228E" w:rsidRPr="002E4298" w:rsidRDefault="0011228E" w:rsidP="0011228E">
            <w:pPr>
              <w:suppressAutoHyphens/>
              <w:spacing w:before="40" w:after="40" w:line="210" w:lineRule="exact"/>
              <w:ind w:right="43"/>
              <w:jc w:val="right"/>
              <w:rPr>
                <w:sz w:val="17"/>
                <w:lang w:val="fr-FR"/>
              </w:rPr>
            </w:pPr>
          </w:p>
        </w:tc>
        <w:tc>
          <w:tcPr>
            <w:tcW w:w="847" w:type="dxa"/>
            <w:tcBorders>
              <w:top w:val="single" w:sz="12" w:space="0" w:color="auto"/>
            </w:tcBorders>
            <w:shd w:val="clear" w:color="auto" w:fill="auto"/>
            <w:vAlign w:val="bottom"/>
          </w:tcPr>
          <w:p w14:paraId="6F0EFE46" w14:textId="77777777" w:rsidR="0011228E" w:rsidRPr="002E4298" w:rsidRDefault="0011228E" w:rsidP="0011228E">
            <w:pPr>
              <w:suppressAutoHyphens/>
              <w:spacing w:before="40" w:after="40" w:line="210" w:lineRule="exact"/>
              <w:ind w:right="43"/>
              <w:jc w:val="right"/>
              <w:rPr>
                <w:sz w:val="17"/>
                <w:lang w:val="fr-FR"/>
              </w:rPr>
            </w:pPr>
          </w:p>
        </w:tc>
        <w:tc>
          <w:tcPr>
            <w:tcW w:w="847" w:type="dxa"/>
            <w:tcBorders>
              <w:top w:val="single" w:sz="12" w:space="0" w:color="auto"/>
            </w:tcBorders>
            <w:shd w:val="clear" w:color="auto" w:fill="auto"/>
            <w:vAlign w:val="bottom"/>
          </w:tcPr>
          <w:p w14:paraId="2D3DAD4E" w14:textId="77777777" w:rsidR="0011228E" w:rsidRPr="002E4298" w:rsidRDefault="0011228E" w:rsidP="0011228E">
            <w:pPr>
              <w:suppressAutoHyphens/>
              <w:spacing w:before="40" w:after="40" w:line="210" w:lineRule="exact"/>
              <w:ind w:right="43"/>
              <w:jc w:val="right"/>
              <w:rPr>
                <w:sz w:val="17"/>
                <w:lang w:val="fr-FR"/>
              </w:rPr>
            </w:pPr>
          </w:p>
        </w:tc>
      </w:tr>
      <w:tr w:rsidR="0011228E" w:rsidRPr="002E4298" w14:paraId="5E395D37" w14:textId="77777777" w:rsidTr="0011228E">
        <w:tc>
          <w:tcPr>
            <w:tcW w:w="3132" w:type="dxa"/>
            <w:shd w:val="clear" w:color="auto" w:fill="auto"/>
            <w:vAlign w:val="bottom"/>
            <w:hideMark/>
          </w:tcPr>
          <w:p w14:paraId="58081896" w14:textId="77777777" w:rsidR="00FB514F" w:rsidRPr="002E4298" w:rsidRDefault="00FB514F" w:rsidP="0011228E">
            <w:pPr>
              <w:tabs>
                <w:tab w:val="left" w:pos="288"/>
                <w:tab w:val="left" w:pos="576"/>
                <w:tab w:val="left" w:pos="864"/>
                <w:tab w:val="left" w:pos="1152"/>
              </w:tabs>
              <w:suppressAutoHyphens/>
              <w:spacing w:before="40" w:after="40" w:line="210" w:lineRule="exact"/>
              <w:ind w:right="40"/>
              <w:rPr>
                <w:sz w:val="17"/>
                <w:lang w:val="fr-FR"/>
              </w:rPr>
            </w:pPr>
            <w:r w:rsidRPr="002E4298">
              <w:rPr>
                <w:sz w:val="17"/>
                <w:lang w:val="fr-FR"/>
              </w:rPr>
              <w:t>Égalité et non-discrimination</w:t>
            </w:r>
          </w:p>
        </w:tc>
        <w:tc>
          <w:tcPr>
            <w:tcW w:w="822" w:type="dxa"/>
            <w:shd w:val="clear" w:color="auto" w:fill="auto"/>
            <w:vAlign w:val="bottom"/>
            <w:hideMark/>
          </w:tcPr>
          <w:p w14:paraId="49A414CC"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507</w:t>
            </w:r>
          </w:p>
        </w:tc>
        <w:tc>
          <w:tcPr>
            <w:tcW w:w="823" w:type="dxa"/>
            <w:shd w:val="clear" w:color="auto" w:fill="auto"/>
            <w:vAlign w:val="bottom"/>
          </w:tcPr>
          <w:p w14:paraId="36BEBBF0"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140</w:t>
            </w:r>
          </w:p>
        </w:tc>
        <w:tc>
          <w:tcPr>
            <w:tcW w:w="823" w:type="dxa"/>
            <w:shd w:val="clear" w:color="auto" w:fill="auto"/>
            <w:vAlign w:val="bottom"/>
          </w:tcPr>
          <w:p w14:paraId="4E3CBA42"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267</w:t>
            </w:r>
          </w:p>
        </w:tc>
        <w:tc>
          <w:tcPr>
            <w:tcW w:w="847" w:type="dxa"/>
            <w:gridSpan w:val="2"/>
            <w:shd w:val="clear" w:color="auto" w:fill="auto"/>
            <w:vAlign w:val="bottom"/>
          </w:tcPr>
          <w:p w14:paraId="0AC2482D"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2</w:t>
            </w:r>
          </w:p>
        </w:tc>
        <w:tc>
          <w:tcPr>
            <w:tcW w:w="847" w:type="dxa"/>
            <w:shd w:val="clear" w:color="auto" w:fill="auto"/>
            <w:vAlign w:val="bottom"/>
          </w:tcPr>
          <w:p w14:paraId="5A57A3CA"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1</w:t>
            </w:r>
          </w:p>
        </w:tc>
        <w:tc>
          <w:tcPr>
            <w:tcW w:w="847" w:type="dxa"/>
            <w:shd w:val="clear" w:color="auto" w:fill="auto"/>
            <w:vAlign w:val="bottom"/>
          </w:tcPr>
          <w:p w14:paraId="6F33541F" w14:textId="1DD19A89"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w:t>
            </w:r>
          </w:p>
        </w:tc>
        <w:tc>
          <w:tcPr>
            <w:tcW w:w="846" w:type="dxa"/>
            <w:gridSpan w:val="2"/>
            <w:shd w:val="clear" w:color="auto" w:fill="auto"/>
            <w:vAlign w:val="bottom"/>
            <w:hideMark/>
          </w:tcPr>
          <w:p w14:paraId="1F2F1E01"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6D9EBFD6"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7E326CC6" w14:textId="72CCDFF4"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w:t>
            </w:r>
          </w:p>
        </w:tc>
        <w:tc>
          <w:tcPr>
            <w:tcW w:w="847" w:type="dxa"/>
            <w:gridSpan w:val="2"/>
            <w:shd w:val="clear" w:color="auto" w:fill="auto"/>
            <w:vAlign w:val="bottom"/>
            <w:hideMark/>
          </w:tcPr>
          <w:p w14:paraId="6F83E7D4"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35</w:t>
            </w:r>
          </w:p>
        </w:tc>
        <w:tc>
          <w:tcPr>
            <w:tcW w:w="847" w:type="dxa"/>
            <w:shd w:val="clear" w:color="auto" w:fill="auto"/>
            <w:vAlign w:val="bottom"/>
          </w:tcPr>
          <w:p w14:paraId="3261B29E"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30</w:t>
            </w:r>
          </w:p>
        </w:tc>
        <w:tc>
          <w:tcPr>
            <w:tcW w:w="847" w:type="dxa"/>
            <w:shd w:val="clear" w:color="auto" w:fill="auto"/>
            <w:vAlign w:val="bottom"/>
          </w:tcPr>
          <w:p w14:paraId="690E21F3"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18</w:t>
            </w:r>
          </w:p>
        </w:tc>
      </w:tr>
      <w:tr w:rsidR="0011228E" w:rsidRPr="002E4298" w14:paraId="7743CFCE" w14:textId="77777777" w:rsidTr="0011228E">
        <w:tc>
          <w:tcPr>
            <w:tcW w:w="3132" w:type="dxa"/>
            <w:shd w:val="clear" w:color="auto" w:fill="auto"/>
            <w:vAlign w:val="bottom"/>
            <w:hideMark/>
          </w:tcPr>
          <w:p w14:paraId="59B9DD12" w14:textId="77777777" w:rsidR="00FB514F" w:rsidRPr="002E4298" w:rsidRDefault="00FB514F" w:rsidP="0011228E">
            <w:pPr>
              <w:tabs>
                <w:tab w:val="left" w:pos="288"/>
                <w:tab w:val="left" w:pos="576"/>
                <w:tab w:val="left" w:pos="864"/>
                <w:tab w:val="left" w:pos="1152"/>
              </w:tabs>
              <w:suppressAutoHyphens/>
              <w:spacing w:before="40" w:after="40" w:line="210" w:lineRule="exact"/>
              <w:ind w:right="40"/>
              <w:rPr>
                <w:sz w:val="17"/>
                <w:lang w:val="fr-FR"/>
              </w:rPr>
            </w:pPr>
            <w:r w:rsidRPr="002E4298">
              <w:rPr>
                <w:sz w:val="17"/>
                <w:lang w:val="fr-FR"/>
              </w:rPr>
              <w:t>Égalité d’accès à l’emploi et au travail</w:t>
            </w:r>
          </w:p>
        </w:tc>
        <w:tc>
          <w:tcPr>
            <w:tcW w:w="822" w:type="dxa"/>
            <w:shd w:val="clear" w:color="auto" w:fill="auto"/>
            <w:vAlign w:val="bottom"/>
            <w:hideMark/>
          </w:tcPr>
          <w:p w14:paraId="4A62F06D"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36</w:t>
            </w:r>
          </w:p>
        </w:tc>
        <w:tc>
          <w:tcPr>
            <w:tcW w:w="823" w:type="dxa"/>
            <w:shd w:val="clear" w:color="auto" w:fill="auto"/>
            <w:vAlign w:val="bottom"/>
          </w:tcPr>
          <w:p w14:paraId="50AE6D39"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4</w:t>
            </w:r>
          </w:p>
        </w:tc>
        <w:tc>
          <w:tcPr>
            <w:tcW w:w="823" w:type="dxa"/>
            <w:shd w:val="clear" w:color="auto" w:fill="auto"/>
            <w:vAlign w:val="bottom"/>
          </w:tcPr>
          <w:p w14:paraId="4EA10590"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7</w:t>
            </w:r>
          </w:p>
        </w:tc>
        <w:tc>
          <w:tcPr>
            <w:tcW w:w="847" w:type="dxa"/>
            <w:gridSpan w:val="2"/>
            <w:shd w:val="clear" w:color="auto" w:fill="auto"/>
            <w:vAlign w:val="bottom"/>
          </w:tcPr>
          <w:p w14:paraId="125F47B2"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2</w:t>
            </w:r>
          </w:p>
        </w:tc>
        <w:tc>
          <w:tcPr>
            <w:tcW w:w="847" w:type="dxa"/>
            <w:shd w:val="clear" w:color="auto" w:fill="auto"/>
            <w:vAlign w:val="bottom"/>
          </w:tcPr>
          <w:p w14:paraId="6C4E3E18"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10B11509" w14:textId="19FBAF04"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w:t>
            </w:r>
          </w:p>
        </w:tc>
        <w:tc>
          <w:tcPr>
            <w:tcW w:w="846" w:type="dxa"/>
            <w:gridSpan w:val="2"/>
            <w:shd w:val="clear" w:color="auto" w:fill="auto"/>
            <w:vAlign w:val="bottom"/>
            <w:hideMark/>
          </w:tcPr>
          <w:p w14:paraId="7480A68D"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0682567A"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513C457C" w14:textId="2FBDA36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w:t>
            </w:r>
          </w:p>
        </w:tc>
        <w:tc>
          <w:tcPr>
            <w:tcW w:w="847" w:type="dxa"/>
            <w:gridSpan w:val="2"/>
            <w:shd w:val="clear" w:color="auto" w:fill="auto"/>
            <w:vAlign w:val="bottom"/>
            <w:hideMark/>
          </w:tcPr>
          <w:p w14:paraId="1042849C"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4</w:t>
            </w:r>
          </w:p>
        </w:tc>
        <w:tc>
          <w:tcPr>
            <w:tcW w:w="847" w:type="dxa"/>
            <w:shd w:val="clear" w:color="auto" w:fill="auto"/>
            <w:vAlign w:val="bottom"/>
          </w:tcPr>
          <w:p w14:paraId="62E610FD"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2</w:t>
            </w:r>
          </w:p>
        </w:tc>
        <w:tc>
          <w:tcPr>
            <w:tcW w:w="847" w:type="dxa"/>
            <w:shd w:val="clear" w:color="auto" w:fill="auto"/>
            <w:vAlign w:val="bottom"/>
          </w:tcPr>
          <w:p w14:paraId="2F269C38"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2</w:t>
            </w:r>
          </w:p>
        </w:tc>
      </w:tr>
      <w:tr w:rsidR="0011228E" w:rsidRPr="002E4298" w14:paraId="28208F74" w14:textId="77777777" w:rsidTr="0011228E">
        <w:tc>
          <w:tcPr>
            <w:tcW w:w="3132" w:type="dxa"/>
            <w:shd w:val="clear" w:color="auto" w:fill="auto"/>
            <w:vAlign w:val="bottom"/>
            <w:hideMark/>
          </w:tcPr>
          <w:p w14:paraId="7F880C44" w14:textId="77777777" w:rsidR="00FB514F" w:rsidRPr="002E4298" w:rsidRDefault="00FB514F" w:rsidP="0011228E">
            <w:pPr>
              <w:tabs>
                <w:tab w:val="left" w:pos="288"/>
                <w:tab w:val="left" w:pos="576"/>
                <w:tab w:val="left" w:pos="864"/>
                <w:tab w:val="left" w:pos="1152"/>
              </w:tabs>
              <w:suppressAutoHyphens/>
              <w:spacing w:before="40" w:after="40" w:line="210" w:lineRule="exact"/>
              <w:ind w:right="40"/>
              <w:rPr>
                <w:sz w:val="17"/>
                <w:lang w:val="fr-FR"/>
              </w:rPr>
            </w:pPr>
            <w:r w:rsidRPr="002E4298">
              <w:rPr>
                <w:sz w:val="17"/>
                <w:lang w:val="fr-FR"/>
              </w:rPr>
              <w:t>Affichage des droits et devoirs en matière d’égalité et de non-discrimination</w:t>
            </w:r>
          </w:p>
        </w:tc>
        <w:tc>
          <w:tcPr>
            <w:tcW w:w="822" w:type="dxa"/>
            <w:shd w:val="clear" w:color="auto" w:fill="auto"/>
            <w:vAlign w:val="bottom"/>
            <w:hideMark/>
          </w:tcPr>
          <w:p w14:paraId="214B856A"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467</w:t>
            </w:r>
          </w:p>
        </w:tc>
        <w:tc>
          <w:tcPr>
            <w:tcW w:w="823" w:type="dxa"/>
            <w:shd w:val="clear" w:color="auto" w:fill="auto"/>
            <w:vAlign w:val="bottom"/>
          </w:tcPr>
          <w:p w14:paraId="6949FEF5"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134</w:t>
            </w:r>
          </w:p>
        </w:tc>
        <w:tc>
          <w:tcPr>
            <w:tcW w:w="823" w:type="dxa"/>
            <w:shd w:val="clear" w:color="auto" w:fill="auto"/>
            <w:vAlign w:val="bottom"/>
          </w:tcPr>
          <w:p w14:paraId="56C6F9D5"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255</w:t>
            </w:r>
          </w:p>
        </w:tc>
        <w:tc>
          <w:tcPr>
            <w:tcW w:w="847" w:type="dxa"/>
            <w:gridSpan w:val="2"/>
            <w:shd w:val="clear" w:color="auto" w:fill="auto"/>
            <w:vAlign w:val="bottom"/>
          </w:tcPr>
          <w:p w14:paraId="2A6B51BF"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722BDF68"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1</w:t>
            </w:r>
          </w:p>
        </w:tc>
        <w:tc>
          <w:tcPr>
            <w:tcW w:w="847" w:type="dxa"/>
            <w:shd w:val="clear" w:color="auto" w:fill="auto"/>
            <w:vAlign w:val="bottom"/>
          </w:tcPr>
          <w:p w14:paraId="18267C83" w14:textId="3EC0348F"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w:t>
            </w:r>
          </w:p>
        </w:tc>
        <w:tc>
          <w:tcPr>
            <w:tcW w:w="846" w:type="dxa"/>
            <w:gridSpan w:val="2"/>
            <w:shd w:val="clear" w:color="auto" w:fill="auto"/>
            <w:vAlign w:val="bottom"/>
            <w:hideMark/>
          </w:tcPr>
          <w:p w14:paraId="17837E71"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2A966827"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6726755C" w14:textId="02846C6F"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w:t>
            </w:r>
          </w:p>
        </w:tc>
        <w:tc>
          <w:tcPr>
            <w:tcW w:w="847" w:type="dxa"/>
            <w:gridSpan w:val="2"/>
            <w:shd w:val="clear" w:color="auto" w:fill="auto"/>
            <w:vAlign w:val="bottom"/>
            <w:hideMark/>
          </w:tcPr>
          <w:p w14:paraId="4971386B"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4</w:t>
            </w:r>
          </w:p>
        </w:tc>
        <w:tc>
          <w:tcPr>
            <w:tcW w:w="847" w:type="dxa"/>
            <w:shd w:val="clear" w:color="auto" w:fill="auto"/>
            <w:vAlign w:val="bottom"/>
          </w:tcPr>
          <w:p w14:paraId="178E2D3A"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4</w:t>
            </w:r>
          </w:p>
        </w:tc>
        <w:tc>
          <w:tcPr>
            <w:tcW w:w="847" w:type="dxa"/>
            <w:shd w:val="clear" w:color="auto" w:fill="auto"/>
            <w:vAlign w:val="bottom"/>
          </w:tcPr>
          <w:p w14:paraId="4469C111"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1</w:t>
            </w:r>
          </w:p>
        </w:tc>
      </w:tr>
      <w:tr w:rsidR="0011228E" w:rsidRPr="002E4298" w14:paraId="2590391E" w14:textId="77777777" w:rsidTr="0011228E">
        <w:tc>
          <w:tcPr>
            <w:tcW w:w="3132" w:type="dxa"/>
            <w:shd w:val="clear" w:color="auto" w:fill="auto"/>
            <w:vAlign w:val="bottom"/>
            <w:hideMark/>
          </w:tcPr>
          <w:p w14:paraId="042C2CA9" w14:textId="77777777" w:rsidR="00FB514F" w:rsidRPr="002E4298" w:rsidRDefault="00FB514F" w:rsidP="0011228E">
            <w:pPr>
              <w:tabs>
                <w:tab w:val="left" w:pos="288"/>
                <w:tab w:val="left" w:pos="576"/>
                <w:tab w:val="left" w:pos="864"/>
                <w:tab w:val="left" w:pos="1152"/>
              </w:tabs>
              <w:suppressAutoHyphens/>
              <w:spacing w:before="40" w:after="40" w:line="210" w:lineRule="exact"/>
              <w:ind w:right="40"/>
              <w:rPr>
                <w:sz w:val="17"/>
                <w:lang w:val="fr-FR"/>
              </w:rPr>
            </w:pPr>
            <w:r w:rsidRPr="002E4298">
              <w:rPr>
                <w:sz w:val="17"/>
                <w:lang w:val="fr-FR"/>
              </w:rPr>
              <w:t>Interdiction de la discrimination</w:t>
            </w:r>
          </w:p>
        </w:tc>
        <w:tc>
          <w:tcPr>
            <w:tcW w:w="822" w:type="dxa"/>
            <w:shd w:val="clear" w:color="auto" w:fill="auto"/>
            <w:vAlign w:val="bottom"/>
            <w:hideMark/>
          </w:tcPr>
          <w:p w14:paraId="2DBA08DE"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2</w:t>
            </w:r>
          </w:p>
        </w:tc>
        <w:tc>
          <w:tcPr>
            <w:tcW w:w="823" w:type="dxa"/>
            <w:shd w:val="clear" w:color="auto" w:fill="auto"/>
            <w:vAlign w:val="bottom"/>
          </w:tcPr>
          <w:p w14:paraId="54F2EC56"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1</w:t>
            </w:r>
          </w:p>
        </w:tc>
        <w:tc>
          <w:tcPr>
            <w:tcW w:w="823" w:type="dxa"/>
            <w:shd w:val="clear" w:color="auto" w:fill="auto"/>
            <w:vAlign w:val="bottom"/>
          </w:tcPr>
          <w:p w14:paraId="06618838"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1</w:t>
            </w:r>
          </w:p>
        </w:tc>
        <w:tc>
          <w:tcPr>
            <w:tcW w:w="847" w:type="dxa"/>
            <w:gridSpan w:val="2"/>
            <w:shd w:val="clear" w:color="auto" w:fill="auto"/>
            <w:vAlign w:val="bottom"/>
          </w:tcPr>
          <w:p w14:paraId="66B3922D"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11FBAD47"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7F3349F7" w14:textId="1EB39358"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w:t>
            </w:r>
          </w:p>
        </w:tc>
        <w:tc>
          <w:tcPr>
            <w:tcW w:w="846" w:type="dxa"/>
            <w:gridSpan w:val="2"/>
            <w:shd w:val="clear" w:color="auto" w:fill="auto"/>
            <w:vAlign w:val="bottom"/>
            <w:hideMark/>
          </w:tcPr>
          <w:p w14:paraId="6DA98C61"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1C7B44A0"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40046A71" w14:textId="26C568B3"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w:t>
            </w:r>
          </w:p>
        </w:tc>
        <w:tc>
          <w:tcPr>
            <w:tcW w:w="847" w:type="dxa"/>
            <w:gridSpan w:val="2"/>
            <w:shd w:val="clear" w:color="auto" w:fill="auto"/>
            <w:vAlign w:val="bottom"/>
            <w:hideMark/>
          </w:tcPr>
          <w:p w14:paraId="0474535C"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3</w:t>
            </w:r>
          </w:p>
        </w:tc>
        <w:tc>
          <w:tcPr>
            <w:tcW w:w="847" w:type="dxa"/>
            <w:shd w:val="clear" w:color="auto" w:fill="auto"/>
            <w:vAlign w:val="bottom"/>
          </w:tcPr>
          <w:p w14:paraId="7DAEAFE2"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5</w:t>
            </w:r>
          </w:p>
        </w:tc>
        <w:tc>
          <w:tcPr>
            <w:tcW w:w="847" w:type="dxa"/>
            <w:shd w:val="clear" w:color="auto" w:fill="auto"/>
            <w:vAlign w:val="bottom"/>
          </w:tcPr>
          <w:p w14:paraId="319E6B89"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3</w:t>
            </w:r>
          </w:p>
        </w:tc>
      </w:tr>
      <w:tr w:rsidR="0011228E" w:rsidRPr="002E4298" w14:paraId="18329D3E" w14:textId="77777777" w:rsidTr="0011228E">
        <w:tc>
          <w:tcPr>
            <w:tcW w:w="3132" w:type="dxa"/>
            <w:shd w:val="clear" w:color="auto" w:fill="auto"/>
            <w:vAlign w:val="bottom"/>
            <w:hideMark/>
          </w:tcPr>
          <w:p w14:paraId="28EBFF47" w14:textId="77777777" w:rsidR="00FB514F" w:rsidRPr="002E4298" w:rsidRDefault="00FB514F" w:rsidP="0011228E">
            <w:pPr>
              <w:tabs>
                <w:tab w:val="left" w:pos="288"/>
                <w:tab w:val="left" w:pos="576"/>
                <w:tab w:val="left" w:pos="864"/>
                <w:tab w:val="left" w:pos="1152"/>
              </w:tabs>
              <w:suppressAutoHyphens/>
              <w:spacing w:before="40" w:after="40" w:line="210" w:lineRule="exact"/>
              <w:ind w:right="40"/>
              <w:rPr>
                <w:sz w:val="17"/>
                <w:lang w:val="fr-FR"/>
              </w:rPr>
            </w:pPr>
            <w:r w:rsidRPr="002E4298">
              <w:rPr>
                <w:sz w:val="17"/>
                <w:lang w:val="fr-FR"/>
              </w:rPr>
              <w:t>Harcèlement moral</w:t>
            </w:r>
          </w:p>
        </w:tc>
        <w:tc>
          <w:tcPr>
            <w:tcW w:w="822" w:type="dxa"/>
            <w:shd w:val="clear" w:color="auto" w:fill="auto"/>
            <w:vAlign w:val="bottom"/>
            <w:hideMark/>
          </w:tcPr>
          <w:p w14:paraId="00AD164C"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1</w:t>
            </w:r>
          </w:p>
        </w:tc>
        <w:tc>
          <w:tcPr>
            <w:tcW w:w="823" w:type="dxa"/>
            <w:shd w:val="clear" w:color="auto" w:fill="auto"/>
            <w:vAlign w:val="bottom"/>
          </w:tcPr>
          <w:p w14:paraId="0B3D0A60"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23" w:type="dxa"/>
            <w:shd w:val="clear" w:color="auto" w:fill="auto"/>
            <w:vAlign w:val="bottom"/>
          </w:tcPr>
          <w:p w14:paraId="3FC3B129"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3</w:t>
            </w:r>
          </w:p>
        </w:tc>
        <w:tc>
          <w:tcPr>
            <w:tcW w:w="847" w:type="dxa"/>
            <w:gridSpan w:val="2"/>
            <w:shd w:val="clear" w:color="auto" w:fill="auto"/>
            <w:vAlign w:val="bottom"/>
          </w:tcPr>
          <w:p w14:paraId="51703E48"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5A124425"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09CD202D" w14:textId="20FAB070"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w:t>
            </w:r>
          </w:p>
        </w:tc>
        <w:tc>
          <w:tcPr>
            <w:tcW w:w="846" w:type="dxa"/>
            <w:gridSpan w:val="2"/>
            <w:shd w:val="clear" w:color="auto" w:fill="auto"/>
            <w:vAlign w:val="bottom"/>
            <w:hideMark/>
          </w:tcPr>
          <w:p w14:paraId="1D5824EF"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598D9C58"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28B3CCAA" w14:textId="20064123"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w:t>
            </w:r>
          </w:p>
        </w:tc>
        <w:tc>
          <w:tcPr>
            <w:tcW w:w="847" w:type="dxa"/>
            <w:gridSpan w:val="2"/>
            <w:shd w:val="clear" w:color="auto" w:fill="auto"/>
            <w:vAlign w:val="bottom"/>
            <w:hideMark/>
          </w:tcPr>
          <w:p w14:paraId="14BF506E"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22</w:t>
            </w:r>
          </w:p>
        </w:tc>
        <w:tc>
          <w:tcPr>
            <w:tcW w:w="847" w:type="dxa"/>
            <w:shd w:val="clear" w:color="auto" w:fill="auto"/>
            <w:vAlign w:val="bottom"/>
          </w:tcPr>
          <w:p w14:paraId="0A7D480F"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18</w:t>
            </w:r>
          </w:p>
        </w:tc>
        <w:tc>
          <w:tcPr>
            <w:tcW w:w="847" w:type="dxa"/>
            <w:shd w:val="clear" w:color="auto" w:fill="auto"/>
            <w:vAlign w:val="bottom"/>
          </w:tcPr>
          <w:p w14:paraId="03420E7E"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12</w:t>
            </w:r>
          </w:p>
        </w:tc>
      </w:tr>
      <w:tr w:rsidR="0011228E" w:rsidRPr="002E4298" w14:paraId="02F382ED" w14:textId="77777777" w:rsidTr="0011228E">
        <w:tc>
          <w:tcPr>
            <w:tcW w:w="3132" w:type="dxa"/>
            <w:shd w:val="clear" w:color="auto" w:fill="auto"/>
            <w:vAlign w:val="bottom"/>
            <w:hideMark/>
          </w:tcPr>
          <w:p w14:paraId="68C7001B" w14:textId="77777777" w:rsidR="00FB514F" w:rsidRPr="002E4298" w:rsidRDefault="00FB514F" w:rsidP="0011228E">
            <w:pPr>
              <w:tabs>
                <w:tab w:val="left" w:pos="288"/>
                <w:tab w:val="left" w:pos="576"/>
                <w:tab w:val="left" w:pos="864"/>
                <w:tab w:val="left" w:pos="1152"/>
              </w:tabs>
              <w:suppressAutoHyphens/>
              <w:spacing w:before="40" w:after="40" w:line="210" w:lineRule="exact"/>
              <w:ind w:right="40"/>
              <w:rPr>
                <w:sz w:val="17"/>
                <w:lang w:val="fr-FR"/>
              </w:rPr>
            </w:pPr>
            <w:r w:rsidRPr="002E4298">
              <w:rPr>
                <w:sz w:val="17"/>
                <w:lang w:val="fr-FR"/>
              </w:rPr>
              <w:t>Harcèlement sexuel</w:t>
            </w:r>
          </w:p>
        </w:tc>
        <w:tc>
          <w:tcPr>
            <w:tcW w:w="822" w:type="dxa"/>
            <w:shd w:val="clear" w:color="auto" w:fill="auto"/>
            <w:vAlign w:val="bottom"/>
            <w:hideMark/>
          </w:tcPr>
          <w:p w14:paraId="355BFF93"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23" w:type="dxa"/>
            <w:shd w:val="clear" w:color="auto" w:fill="auto"/>
            <w:vAlign w:val="bottom"/>
          </w:tcPr>
          <w:p w14:paraId="2568763B"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23" w:type="dxa"/>
            <w:shd w:val="clear" w:color="auto" w:fill="auto"/>
            <w:vAlign w:val="bottom"/>
          </w:tcPr>
          <w:p w14:paraId="338C8861"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gridSpan w:val="2"/>
            <w:shd w:val="clear" w:color="auto" w:fill="auto"/>
            <w:vAlign w:val="bottom"/>
          </w:tcPr>
          <w:p w14:paraId="3158CE00"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36E3AAE5"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571FE550" w14:textId="5DB2CDBA"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w:t>
            </w:r>
          </w:p>
        </w:tc>
        <w:tc>
          <w:tcPr>
            <w:tcW w:w="846" w:type="dxa"/>
            <w:gridSpan w:val="2"/>
            <w:shd w:val="clear" w:color="auto" w:fill="auto"/>
            <w:vAlign w:val="bottom"/>
            <w:hideMark/>
          </w:tcPr>
          <w:p w14:paraId="7DAD0AE5"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7287F56A"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64DED805" w14:textId="0E5E06AD"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w:t>
            </w:r>
          </w:p>
        </w:tc>
        <w:tc>
          <w:tcPr>
            <w:tcW w:w="847" w:type="dxa"/>
            <w:gridSpan w:val="2"/>
            <w:shd w:val="clear" w:color="auto" w:fill="auto"/>
            <w:vAlign w:val="bottom"/>
            <w:hideMark/>
          </w:tcPr>
          <w:p w14:paraId="5412230A"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2</w:t>
            </w:r>
          </w:p>
        </w:tc>
        <w:tc>
          <w:tcPr>
            <w:tcW w:w="847" w:type="dxa"/>
            <w:shd w:val="clear" w:color="auto" w:fill="auto"/>
            <w:vAlign w:val="bottom"/>
          </w:tcPr>
          <w:p w14:paraId="56D70DB3"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1335686B"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r>
      <w:tr w:rsidR="0011228E" w:rsidRPr="002E4298" w14:paraId="47F33687" w14:textId="77777777" w:rsidTr="0011228E">
        <w:tc>
          <w:tcPr>
            <w:tcW w:w="3132" w:type="dxa"/>
            <w:shd w:val="clear" w:color="auto" w:fill="auto"/>
            <w:vAlign w:val="bottom"/>
            <w:hideMark/>
          </w:tcPr>
          <w:p w14:paraId="52F27E76" w14:textId="77777777" w:rsidR="00FB514F" w:rsidRPr="002E4298" w:rsidRDefault="00FB514F" w:rsidP="0011228E">
            <w:pPr>
              <w:tabs>
                <w:tab w:val="left" w:pos="288"/>
                <w:tab w:val="left" w:pos="576"/>
                <w:tab w:val="left" w:pos="864"/>
                <w:tab w:val="left" w:pos="1152"/>
              </w:tabs>
              <w:suppressAutoHyphens/>
              <w:spacing w:before="40" w:after="40" w:line="210" w:lineRule="exact"/>
              <w:ind w:right="40"/>
              <w:rPr>
                <w:sz w:val="17"/>
                <w:lang w:val="fr-FR"/>
              </w:rPr>
            </w:pPr>
            <w:r w:rsidRPr="002E4298">
              <w:rPr>
                <w:sz w:val="17"/>
                <w:lang w:val="fr-FR"/>
              </w:rPr>
              <w:t>Égalité des conditions de travail</w:t>
            </w:r>
          </w:p>
        </w:tc>
        <w:tc>
          <w:tcPr>
            <w:tcW w:w="822" w:type="dxa"/>
            <w:shd w:val="clear" w:color="auto" w:fill="auto"/>
            <w:vAlign w:val="bottom"/>
            <w:hideMark/>
          </w:tcPr>
          <w:p w14:paraId="3BEA4FD5"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1</w:t>
            </w:r>
          </w:p>
        </w:tc>
        <w:tc>
          <w:tcPr>
            <w:tcW w:w="823" w:type="dxa"/>
            <w:shd w:val="clear" w:color="auto" w:fill="auto"/>
            <w:vAlign w:val="bottom"/>
          </w:tcPr>
          <w:p w14:paraId="27057C7E"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1</w:t>
            </w:r>
          </w:p>
        </w:tc>
        <w:tc>
          <w:tcPr>
            <w:tcW w:w="823" w:type="dxa"/>
            <w:shd w:val="clear" w:color="auto" w:fill="auto"/>
            <w:vAlign w:val="bottom"/>
          </w:tcPr>
          <w:p w14:paraId="1885A6A6"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1</w:t>
            </w:r>
          </w:p>
        </w:tc>
        <w:tc>
          <w:tcPr>
            <w:tcW w:w="847" w:type="dxa"/>
            <w:gridSpan w:val="2"/>
            <w:shd w:val="clear" w:color="auto" w:fill="auto"/>
            <w:vAlign w:val="bottom"/>
          </w:tcPr>
          <w:p w14:paraId="5A56DC9C"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515A3040"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0BF9F074" w14:textId="61194CB3"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w:t>
            </w:r>
          </w:p>
        </w:tc>
        <w:tc>
          <w:tcPr>
            <w:tcW w:w="846" w:type="dxa"/>
            <w:gridSpan w:val="2"/>
            <w:shd w:val="clear" w:color="auto" w:fill="auto"/>
            <w:vAlign w:val="bottom"/>
            <w:hideMark/>
          </w:tcPr>
          <w:p w14:paraId="0E8A4685"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69C00E84"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07F9D29F" w14:textId="7E680CA8"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w:t>
            </w:r>
          </w:p>
        </w:tc>
        <w:tc>
          <w:tcPr>
            <w:tcW w:w="847" w:type="dxa"/>
            <w:gridSpan w:val="2"/>
            <w:shd w:val="clear" w:color="auto" w:fill="auto"/>
            <w:vAlign w:val="bottom"/>
            <w:hideMark/>
          </w:tcPr>
          <w:p w14:paraId="1611CA1F"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4383CF1E"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1</w:t>
            </w:r>
          </w:p>
        </w:tc>
        <w:tc>
          <w:tcPr>
            <w:tcW w:w="847" w:type="dxa"/>
            <w:shd w:val="clear" w:color="auto" w:fill="auto"/>
            <w:vAlign w:val="bottom"/>
          </w:tcPr>
          <w:p w14:paraId="32AD9328"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r>
      <w:tr w:rsidR="0011228E" w:rsidRPr="002E4298" w14:paraId="76BD8577" w14:textId="77777777" w:rsidTr="0011228E">
        <w:tc>
          <w:tcPr>
            <w:tcW w:w="3132" w:type="dxa"/>
            <w:shd w:val="clear" w:color="auto" w:fill="auto"/>
            <w:vAlign w:val="bottom"/>
            <w:hideMark/>
          </w:tcPr>
          <w:p w14:paraId="587FC071" w14:textId="77777777" w:rsidR="00FB514F" w:rsidRPr="002E4298" w:rsidRDefault="00FB514F" w:rsidP="0011228E">
            <w:pPr>
              <w:tabs>
                <w:tab w:val="left" w:pos="288"/>
                <w:tab w:val="left" w:pos="576"/>
                <w:tab w:val="left" w:pos="864"/>
                <w:tab w:val="left" w:pos="1152"/>
              </w:tabs>
              <w:suppressAutoHyphens/>
              <w:spacing w:before="40" w:after="40" w:line="210" w:lineRule="exact"/>
              <w:ind w:right="40"/>
              <w:rPr>
                <w:sz w:val="17"/>
                <w:lang w:val="fr-FR"/>
              </w:rPr>
            </w:pPr>
            <w:r w:rsidRPr="002E4298">
              <w:rPr>
                <w:sz w:val="17"/>
                <w:lang w:val="fr-FR"/>
              </w:rPr>
              <w:t>Soutien parental</w:t>
            </w:r>
          </w:p>
        </w:tc>
        <w:tc>
          <w:tcPr>
            <w:tcW w:w="822" w:type="dxa"/>
            <w:shd w:val="clear" w:color="auto" w:fill="auto"/>
            <w:vAlign w:val="bottom"/>
            <w:hideMark/>
          </w:tcPr>
          <w:p w14:paraId="3806A25E"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43</w:t>
            </w:r>
          </w:p>
        </w:tc>
        <w:tc>
          <w:tcPr>
            <w:tcW w:w="823" w:type="dxa"/>
            <w:shd w:val="clear" w:color="auto" w:fill="auto"/>
            <w:vAlign w:val="bottom"/>
          </w:tcPr>
          <w:p w14:paraId="718FB887"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14</w:t>
            </w:r>
          </w:p>
        </w:tc>
        <w:tc>
          <w:tcPr>
            <w:tcW w:w="823" w:type="dxa"/>
            <w:shd w:val="clear" w:color="auto" w:fill="auto"/>
            <w:vAlign w:val="bottom"/>
          </w:tcPr>
          <w:p w14:paraId="31A6FEB7"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8</w:t>
            </w:r>
          </w:p>
        </w:tc>
        <w:tc>
          <w:tcPr>
            <w:tcW w:w="847" w:type="dxa"/>
            <w:gridSpan w:val="2"/>
            <w:shd w:val="clear" w:color="auto" w:fill="auto"/>
            <w:vAlign w:val="bottom"/>
          </w:tcPr>
          <w:p w14:paraId="6E868D11"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4</w:t>
            </w:r>
          </w:p>
        </w:tc>
        <w:tc>
          <w:tcPr>
            <w:tcW w:w="847" w:type="dxa"/>
            <w:shd w:val="clear" w:color="auto" w:fill="auto"/>
            <w:vAlign w:val="bottom"/>
          </w:tcPr>
          <w:p w14:paraId="3ADEB62B"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11</w:t>
            </w:r>
          </w:p>
        </w:tc>
        <w:tc>
          <w:tcPr>
            <w:tcW w:w="847" w:type="dxa"/>
            <w:shd w:val="clear" w:color="auto" w:fill="auto"/>
            <w:vAlign w:val="bottom"/>
          </w:tcPr>
          <w:p w14:paraId="0CFF662B" w14:textId="25AE65E0"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w:t>
            </w:r>
          </w:p>
        </w:tc>
        <w:tc>
          <w:tcPr>
            <w:tcW w:w="846" w:type="dxa"/>
            <w:gridSpan w:val="2"/>
            <w:shd w:val="clear" w:color="auto" w:fill="auto"/>
            <w:vAlign w:val="bottom"/>
            <w:hideMark/>
          </w:tcPr>
          <w:p w14:paraId="3CFF2B3B"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242A4556"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04B2B1FD" w14:textId="0DD4185E"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w:t>
            </w:r>
          </w:p>
        </w:tc>
        <w:tc>
          <w:tcPr>
            <w:tcW w:w="847" w:type="dxa"/>
            <w:gridSpan w:val="2"/>
            <w:shd w:val="clear" w:color="auto" w:fill="auto"/>
            <w:vAlign w:val="bottom"/>
            <w:hideMark/>
          </w:tcPr>
          <w:p w14:paraId="5662DDCC"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19</w:t>
            </w:r>
          </w:p>
        </w:tc>
        <w:tc>
          <w:tcPr>
            <w:tcW w:w="847" w:type="dxa"/>
            <w:shd w:val="clear" w:color="auto" w:fill="auto"/>
            <w:vAlign w:val="bottom"/>
          </w:tcPr>
          <w:p w14:paraId="29E3BF5D"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24</w:t>
            </w:r>
          </w:p>
        </w:tc>
        <w:tc>
          <w:tcPr>
            <w:tcW w:w="847" w:type="dxa"/>
            <w:shd w:val="clear" w:color="auto" w:fill="auto"/>
            <w:vAlign w:val="bottom"/>
          </w:tcPr>
          <w:p w14:paraId="21312DFA"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12</w:t>
            </w:r>
          </w:p>
        </w:tc>
      </w:tr>
      <w:tr w:rsidR="0011228E" w:rsidRPr="002E4298" w14:paraId="066D48D5" w14:textId="77777777" w:rsidTr="0011228E">
        <w:tc>
          <w:tcPr>
            <w:tcW w:w="3132" w:type="dxa"/>
            <w:shd w:val="clear" w:color="auto" w:fill="auto"/>
            <w:vAlign w:val="bottom"/>
            <w:hideMark/>
          </w:tcPr>
          <w:p w14:paraId="5FB62887" w14:textId="77777777" w:rsidR="00FB514F" w:rsidRPr="002E4298" w:rsidRDefault="00FB514F" w:rsidP="0011228E">
            <w:pPr>
              <w:tabs>
                <w:tab w:val="left" w:pos="288"/>
                <w:tab w:val="left" w:pos="576"/>
                <w:tab w:val="left" w:pos="864"/>
                <w:tab w:val="left" w:pos="1152"/>
              </w:tabs>
              <w:suppressAutoHyphens/>
              <w:spacing w:before="40" w:after="40" w:line="210" w:lineRule="exact"/>
              <w:ind w:right="40"/>
              <w:rPr>
                <w:sz w:val="17"/>
                <w:lang w:val="fr-FR"/>
              </w:rPr>
            </w:pPr>
            <w:r w:rsidRPr="002E4298">
              <w:rPr>
                <w:sz w:val="17"/>
                <w:lang w:val="fr-FR"/>
              </w:rPr>
              <w:t>Congé parental initial</w:t>
            </w:r>
          </w:p>
        </w:tc>
        <w:tc>
          <w:tcPr>
            <w:tcW w:w="822" w:type="dxa"/>
            <w:shd w:val="clear" w:color="auto" w:fill="auto"/>
            <w:vAlign w:val="bottom"/>
            <w:hideMark/>
          </w:tcPr>
          <w:p w14:paraId="6A3DBE73"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11</w:t>
            </w:r>
          </w:p>
        </w:tc>
        <w:tc>
          <w:tcPr>
            <w:tcW w:w="823" w:type="dxa"/>
            <w:shd w:val="clear" w:color="auto" w:fill="auto"/>
            <w:vAlign w:val="bottom"/>
          </w:tcPr>
          <w:p w14:paraId="5DC021D5"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23" w:type="dxa"/>
            <w:shd w:val="clear" w:color="auto" w:fill="auto"/>
            <w:vAlign w:val="bottom"/>
          </w:tcPr>
          <w:p w14:paraId="2EDEE356"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2</w:t>
            </w:r>
          </w:p>
        </w:tc>
        <w:tc>
          <w:tcPr>
            <w:tcW w:w="847" w:type="dxa"/>
            <w:gridSpan w:val="2"/>
            <w:shd w:val="clear" w:color="auto" w:fill="auto"/>
            <w:vAlign w:val="bottom"/>
          </w:tcPr>
          <w:p w14:paraId="37C436DB"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7D793683"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1</w:t>
            </w:r>
          </w:p>
        </w:tc>
        <w:tc>
          <w:tcPr>
            <w:tcW w:w="847" w:type="dxa"/>
            <w:shd w:val="clear" w:color="auto" w:fill="auto"/>
            <w:vAlign w:val="bottom"/>
          </w:tcPr>
          <w:p w14:paraId="2E2D4051" w14:textId="460333A9"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w:t>
            </w:r>
          </w:p>
        </w:tc>
        <w:tc>
          <w:tcPr>
            <w:tcW w:w="846" w:type="dxa"/>
            <w:gridSpan w:val="2"/>
            <w:shd w:val="clear" w:color="auto" w:fill="auto"/>
            <w:vAlign w:val="bottom"/>
            <w:hideMark/>
          </w:tcPr>
          <w:p w14:paraId="19093FAA"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12DC273D"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22DA17C5" w14:textId="04DD72B2"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w:t>
            </w:r>
          </w:p>
        </w:tc>
        <w:tc>
          <w:tcPr>
            <w:tcW w:w="847" w:type="dxa"/>
            <w:gridSpan w:val="2"/>
            <w:shd w:val="clear" w:color="auto" w:fill="auto"/>
            <w:vAlign w:val="bottom"/>
            <w:hideMark/>
          </w:tcPr>
          <w:p w14:paraId="23CE946B"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47209B05"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48E7F9F7" w14:textId="2FA281FD"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w:t>
            </w:r>
          </w:p>
        </w:tc>
      </w:tr>
      <w:tr w:rsidR="0011228E" w:rsidRPr="002E4298" w14:paraId="7309C478" w14:textId="77777777" w:rsidTr="0011228E">
        <w:tc>
          <w:tcPr>
            <w:tcW w:w="3132" w:type="dxa"/>
            <w:shd w:val="clear" w:color="auto" w:fill="auto"/>
            <w:vAlign w:val="bottom"/>
            <w:hideMark/>
          </w:tcPr>
          <w:p w14:paraId="298FCD86" w14:textId="77777777" w:rsidR="00FB514F" w:rsidRPr="002E4298" w:rsidRDefault="00FB514F" w:rsidP="0011228E">
            <w:pPr>
              <w:tabs>
                <w:tab w:val="left" w:pos="288"/>
                <w:tab w:val="left" w:pos="576"/>
                <w:tab w:val="left" w:pos="864"/>
                <w:tab w:val="left" w:pos="1152"/>
              </w:tabs>
              <w:suppressAutoHyphens/>
              <w:spacing w:before="40" w:after="40" w:line="210" w:lineRule="exact"/>
              <w:ind w:right="40"/>
              <w:rPr>
                <w:sz w:val="17"/>
                <w:lang w:val="fr-FR"/>
              </w:rPr>
            </w:pPr>
            <w:r w:rsidRPr="002E4298">
              <w:rPr>
                <w:sz w:val="17"/>
                <w:lang w:val="fr-FR"/>
              </w:rPr>
              <w:t>Congé de paternité</w:t>
            </w:r>
          </w:p>
        </w:tc>
        <w:tc>
          <w:tcPr>
            <w:tcW w:w="822" w:type="dxa"/>
            <w:shd w:val="clear" w:color="auto" w:fill="auto"/>
            <w:vAlign w:val="bottom"/>
            <w:hideMark/>
          </w:tcPr>
          <w:p w14:paraId="0CCC65B9"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23" w:type="dxa"/>
            <w:shd w:val="clear" w:color="auto" w:fill="auto"/>
            <w:vAlign w:val="bottom"/>
          </w:tcPr>
          <w:p w14:paraId="18672E18"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1</w:t>
            </w:r>
          </w:p>
        </w:tc>
        <w:tc>
          <w:tcPr>
            <w:tcW w:w="823" w:type="dxa"/>
            <w:shd w:val="clear" w:color="auto" w:fill="auto"/>
            <w:vAlign w:val="bottom"/>
          </w:tcPr>
          <w:p w14:paraId="496017EC" w14:textId="24D971FE"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w:t>
            </w:r>
          </w:p>
        </w:tc>
        <w:tc>
          <w:tcPr>
            <w:tcW w:w="847" w:type="dxa"/>
            <w:gridSpan w:val="2"/>
            <w:shd w:val="clear" w:color="auto" w:fill="auto"/>
            <w:vAlign w:val="bottom"/>
          </w:tcPr>
          <w:p w14:paraId="0682A456"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5CE7246C"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2A6D3161" w14:textId="4E7087DE"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w:t>
            </w:r>
          </w:p>
        </w:tc>
        <w:tc>
          <w:tcPr>
            <w:tcW w:w="846" w:type="dxa"/>
            <w:gridSpan w:val="2"/>
            <w:shd w:val="clear" w:color="auto" w:fill="auto"/>
            <w:vAlign w:val="bottom"/>
            <w:hideMark/>
          </w:tcPr>
          <w:p w14:paraId="3A0C3087"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00AE802A"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41778BEC" w14:textId="3511C0D3"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w:t>
            </w:r>
          </w:p>
        </w:tc>
        <w:tc>
          <w:tcPr>
            <w:tcW w:w="847" w:type="dxa"/>
            <w:gridSpan w:val="2"/>
            <w:shd w:val="clear" w:color="auto" w:fill="auto"/>
            <w:vAlign w:val="bottom"/>
            <w:hideMark/>
          </w:tcPr>
          <w:p w14:paraId="223FAD36"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7FE4B2B3"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03A8852D" w14:textId="1B1FFBEE"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w:t>
            </w:r>
          </w:p>
        </w:tc>
      </w:tr>
      <w:tr w:rsidR="0011228E" w:rsidRPr="002E4298" w14:paraId="275249F7" w14:textId="77777777" w:rsidTr="0011228E">
        <w:tc>
          <w:tcPr>
            <w:tcW w:w="3132" w:type="dxa"/>
            <w:shd w:val="clear" w:color="auto" w:fill="auto"/>
            <w:vAlign w:val="bottom"/>
            <w:hideMark/>
          </w:tcPr>
          <w:p w14:paraId="58C3277A" w14:textId="77777777" w:rsidR="00FB514F" w:rsidRPr="002E4298" w:rsidRDefault="00FB514F" w:rsidP="0011228E">
            <w:pPr>
              <w:tabs>
                <w:tab w:val="left" w:pos="288"/>
                <w:tab w:val="left" w:pos="576"/>
                <w:tab w:val="left" w:pos="864"/>
                <w:tab w:val="left" w:pos="1152"/>
              </w:tabs>
              <w:suppressAutoHyphens/>
              <w:spacing w:before="40" w:after="40" w:line="210" w:lineRule="exact"/>
              <w:ind w:right="40"/>
              <w:rPr>
                <w:sz w:val="17"/>
                <w:lang w:val="fr-FR"/>
              </w:rPr>
            </w:pPr>
            <w:r w:rsidRPr="002E4298">
              <w:rPr>
                <w:sz w:val="17"/>
                <w:lang w:val="fr-FR"/>
              </w:rPr>
              <w:t>Congé parental supplémentaire</w:t>
            </w:r>
          </w:p>
        </w:tc>
        <w:tc>
          <w:tcPr>
            <w:tcW w:w="822" w:type="dxa"/>
            <w:shd w:val="clear" w:color="auto" w:fill="auto"/>
            <w:vAlign w:val="bottom"/>
            <w:hideMark/>
          </w:tcPr>
          <w:p w14:paraId="51CE6523"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1</w:t>
            </w:r>
          </w:p>
        </w:tc>
        <w:tc>
          <w:tcPr>
            <w:tcW w:w="823" w:type="dxa"/>
            <w:shd w:val="clear" w:color="auto" w:fill="auto"/>
            <w:vAlign w:val="bottom"/>
          </w:tcPr>
          <w:p w14:paraId="760AC62E"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23" w:type="dxa"/>
            <w:shd w:val="clear" w:color="auto" w:fill="auto"/>
            <w:vAlign w:val="bottom"/>
          </w:tcPr>
          <w:p w14:paraId="1661C415" w14:textId="578B5E64"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w:t>
            </w:r>
          </w:p>
        </w:tc>
        <w:tc>
          <w:tcPr>
            <w:tcW w:w="847" w:type="dxa"/>
            <w:gridSpan w:val="2"/>
            <w:shd w:val="clear" w:color="auto" w:fill="auto"/>
            <w:vAlign w:val="bottom"/>
          </w:tcPr>
          <w:p w14:paraId="3FAC065D"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457CE21F"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62FB8BE9" w14:textId="5C53266D"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w:t>
            </w:r>
          </w:p>
        </w:tc>
        <w:tc>
          <w:tcPr>
            <w:tcW w:w="846" w:type="dxa"/>
            <w:gridSpan w:val="2"/>
            <w:shd w:val="clear" w:color="auto" w:fill="auto"/>
            <w:vAlign w:val="bottom"/>
            <w:hideMark/>
          </w:tcPr>
          <w:p w14:paraId="673362E0"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39652788"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78AA656B" w14:textId="0447C085"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w:t>
            </w:r>
          </w:p>
        </w:tc>
        <w:tc>
          <w:tcPr>
            <w:tcW w:w="847" w:type="dxa"/>
            <w:gridSpan w:val="2"/>
            <w:shd w:val="clear" w:color="auto" w:fill="auto"/>
            <w:vAlign w:val="bottom"/>
            <w:hideMark/>
          </w:tcPr>
          <w:p w14:paraId="3C01B1FB"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2815CA9E"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1</w:t>
            </w:r>
          </w:p>
        </w:tc>
        <w:tc>
          <w:tcPr>
            <w:tcW w:w="847" w:type="dxa"/>
            <w:shd w:val="clear" w:color="auto" w:fill="auto"/>
            <w:vAlign w:val="bottom"/>
          </w:tcPr>
          <w:p w14:paraId="670AE078" w14:textId="60D9933F"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w:t>
            </w:r>
          </w:p>
        </w:tc>
      </w:tr>
      <w:tr w:rsidR="0011228E" w:rsidRPr="002E4298" w14:paraId="3302F101" w14:textId="77777777" w:rsidTr="0011228E">
        <w:tc>
          <w:tcPr>
            <w:tcW w:w="3132" w:type="dxa"/>
            <w:shd w:val="clear" w:color="auto" w:fill="auto"/>
            <w:vAlign w:val="bottom"/>
            <w:hideMark/>
          </w:tcPr>
          <w:p w14:paraId="1AEC5190" w14:textId="77777777" w:rsidR="00FB514F" w:rsidRPr="002E4298" w:rsidRDefault="00FB514F" w:rsidP="0011228E">
            <w:pPr>
              <w:tabs>
                <w:tab w:val="left" w:pos="288"/>
                <w:tab w:val="left" w:pos="576"/>
                <w:tab w:val="left" w:pos="864"/>
                <w:tab w:val="left" w:pos="1152"/>
              </w:tabs>
              <w:suppressAutoHyphens/>
              <w:spacing w:before="40" w:after="40" w:line="210" w:lineRule="exact"/>
              <w:rPr>
                <w:sz w:val="17"/>
                <w:lang w:val="fr-FR"/>
              </w:rPr>
            </w:pPr>
            <w:r w:rsidRPr="002E4298">
              <w:rPr>
                <w:sz w:val="17"/>
                <w:lang w:val="fr-FR"/>
              </w:rPr>
              <w:t>Exercice du droit au travail à temps partiel</w:t>
            </w:r>
          </w:p>
        </w:tc>
        <w:tc>
          <w:tcPr>
            <w:tcW w:w="822" w:type="dxa"/>
            <w:shd w:val="clear" w:color="auto" w:fill="auto"/>
            <w:vAlign w:val="bottom"/>
            <w:hideMark/>
          </w:tcPr>
          <w:p w14:paraId="7701CA11"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4</w:t>
            </w:r>
          </w:p>
        </w:tc>
        <w:tc>
          <w:tcPr>
            <w:tcW w:w="823" w:type="dxa"/>
            <w:shd w:val="clear" w:color="auto" w:fill="auto"/>
            <w:vAlign w:val="bottom"/>
          </w:tcPr>
          <w:p w14:paraId="1AB1D654"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5</w:t>
            </w:r>
          </w:p>
        </w:tc>
        <w:tc>
          <w:tcPr>
            <w:tcW w:w="823" w:type="dxa"/>
            <w:shd w:val="clear" w:color="auto" w:fill="auto"/>
            <w:vAlign w:val="bottom"/>
          </w:tcPr>
          <w:p w14:paraId="33781A93"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1</w:t>
            </w:r>
          </w:p>
        </w:tc>
        <w:tc>
          <w:tcPr>
            <w:tcW w:w="847" w:type="dxa"/>
            <w:gridSpan w:val="2"/>
            <w:shd w:val="clear" w:color="auto" w:fill="auto"/>
            <w:vAlign w:val="bottom"/>
          </w:tcPr>
          <w:p w14:paraId="21A04CE0"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1DB1EE31"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4E0B85D9" w14:textId="1E1F95A3"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w:t>
            </w:r>
          </w:p>
        </w:tc>
        <w:tc>
          <w:tcPr>
            <w:tcW w:w="846" w:type="dxa"/>
            <w:gridSpan w:val="2"/>
            <w:shd w:val="clear" w:color="auto" w:fill="auto"/>
            <w:vAlign w:val="bottom"/>
            <w:hideMark/>
          </w:tcPr>
          <w:p w14:paraId="2B1AAA94"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390EB3F3"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041A565C" w14:textId="1EAC63E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w:t>
            </w:r>
          </w:p>
        </w:tc>
        <w:tc>
          <w:tcPr>
            <w:tcW w:w="847" w:type="dxa"/>
            <w:gridSpan w:val="2"/>
            <w:shd w:val="clear" w:color="auto" w:fill="auto"/>
            <w:vAlign w:val="bottom"/>
            <w:hideMark/>
          </w:tcPr>
          <w:p w14:paraId="016FBC2D"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11</w:t>
            </w:r>
          </w:p>
        </w:tc>
        <w:tc>
          <w:tcPr>
            <w:tcW w:w="847" w:type="dxa"/>
            <w:shd w:val="clear" w:color="auto" w:fill="auto"/>
            <w:vAlign w:val="bottom"/>
          </w:tcPr>
          <w:p w14:paraId="3692B907"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4</w:t>
            </w:r>
          </w:p>
        </w:tc>
        <w:tc>
          <w:tcPr>
            <w:tcW w:w="847" w:type="dxa"/>
            <w:shd w:val="clear" w:color="auto" w:fill="auto"/>
            <w:vAlign w:val="bottom"/>
          </w:tcPr>
          <w:p w14:paraId="35D1219A"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7</w:t>
            </w:r>
          </w:p>
        </w:tc>
      </w:tr>
      <w:tr w:rsidR="0011228E" w:rsidRPr="002E4298" w14:paraId="6628C837" w14:textId="77777777" w:rsidTr="0011228E">
        <w:tc>
          <w:tcPr>
            <w:tcW w:w="3132" w:type="dxa"/>
            <w:shd w:val="clear" w:color="auto" w:fill="auto"/>
            <w:vAlign w:val="bottom"/>
            <w:hideMark/>
          </w:tcPr>
          <w:p w14:paraId="12E487F6" w14:textId="6A917CD6" w:rsidR="00FB514F" w:rsidRPr="002E4298" w:rsidRDefault="00FB514F" w:rsidP="0011228E">
            <w:pPr>
              <w:tabs>
                <w:tab w:val="left" w:pos="288"/>
                <w:tab w:val="left" w:pos="576"/>
                <w:tab w:val="left" w:pos="864"/>
                <w:tab w:val="left" w:pos="1152"/>
              </w:tabs>
              <w:suppressAutoHyphens/>
              <w:spacing w:before="40" w:after="40" w:line="210" w:lineRule="exact"/>
              <w:ind w:right="40"/>
              <w:rPr>
                <w:sz w:val="17"/>
                <w:lang w:val="fr-FR"/>
              </w:rPr>
            </w:pPr>
            <w:r w:rsidRPr="002E4298">
              <w:rPr>
                <w:sz w:val="17"/>
                <w:lang w:val="fr-FR"/>
              </w:rPr>
              <w:t>Avis à la Commission pour l’égalité dans le travail et l’emploi de refus de travail à</w:t>
            </w:r>
            <w:r w:rsidR="0011228E" w:rsidRPr="002E4298">
              <w:rPr>
                <w:sz w:val="17"/>
                <w:lang w:val="fr-FR"/>
              </w:rPr>
              <w:t> </w:t>
            </w:r>
            <w:r w:rsidRPr="002E4298">
              <w:rPr>
                <w:sz w:val="17"/>
                <w:lang w:val="fr-FR"/>
              </w:rPr>
              <w:t>temps partiel</w:t>
            </w:r>
          </w:p>
        </w:tc>
        <w:tc>
          <w:tcPr>
            <w:tcW w:w="822" w:type="dxa"/>
            <w:shd w:val="clear" w:color="auto" w:fill="auto"/>
            <w:vAlign w:val="bottom"/>
            <w:hideMark/>
          </w:tcPr>
          <w:p w14:paraId="64409E9D"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2</w:t>
            </w:r>
          </w:p>
        </w:tc>
        <w:tc>
          <w:tcPr>
            <w:tcW w:w="823" w:type="dxa"/>
            <w:shd w:val="clear" w:color="auto" w:fill="auto"/>
            <w:vAlign w:val="bottom"/>
          </w:tcPr>
          <w:p w14:paraId="1E11DA5C"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23" w:type="dxa"/>
            <w:shd w:val="clear" w:color="auto" w:fill="auto"/>
            <w:vAlign w:val="bottom"/>
          </w:tcPr>
          <w:p w14:paraId="2DF2AF6C"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2</w:t>
            </w:r>
          </w:p>
        </w:tc>
        <w:tc>
          <w:tcPr>
            <w:tcW w:w="847" w:type="dxa"/>
            <w:gridSpan w:val="2"/>
            <w:shd w:val="clear" w:color="auto" w:fill="auto"/>
            <w:vAlign w:val="bottom"/>
          </w:tcPr>
          <w:p w14:paraId="52409E52"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140692B3"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5B368783" w14:textId="3D6926D3"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w:t>
            </w:r>
          </w:p>
        </w:tc>
        <w:tc>
          <w:tcPr>
            <w:tcW w:w="846" w:type="dxa"/>
            <w:gridSpan w:val="2"/>
            <w:shd w:val="clear" w:color="auto" w:fill="auto"/>
            <w:vAlign w:val="bottom"/>
            <w:hideMark/>
          </w:tcPr>
          <w:p w14:paraId="55F9860E"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60989C47"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59B03DC9" w14:textId="43EB4185"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w:t>
            </w:r>
          </w:p>
        </w:tc>
        <w:tc>
          <w:tcPr>
            <w:tcW w:w="847" w:type="dxa"/>
            <w:gridSpan w:val="2"/>
            <w:shd w:val="clear" w:color="auto" w:fill="auto"/>
            <w:vAlign w:val="bottom"/>
            <w:hideMark/>
          </w:tcPr>
          <w:p w14:paraId="593F3ABC"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3</w:t>
            </w:r>
          </w:p>
        </w:tc>
        <w:tc>
          <w:tcPr>
            <w:tcW w:w="847" w:type="dxa"/>
            <w:shd w:val="clear" w:color="auto" w:fill="auto"/>
            <w:vAlign w:val="bottom"/>
          </w:tcPr>
          <w:p w14:paraId="69BD1BA8"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11</w:t>
            </w:r>
          </w:p>
        </w:tc>
        <w:tc>
          <w:tcPr>
            <w:tcW w:w="847" w:type="dxa"/>
            <w:shd w:val="clear" w:color="auto" w:fill="auto"/>
            <w:vAlign w:val="bottom"/>
          </w:tcPr>
          <w:p w14:paraId="16DAE250"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1</w:t>
            </w:r>
          </w:p>
        </w:tc>
      </w:tr>
      <w:tr w:rsidR="0011228E" w:rsidRPr="002E4298" w14:paraId="33F19FD1" w14:textId="77777777" w:rsidTr="0011228E">
        <w:tc>
          <w:tcPr>
            <w:tcW w:w="3132" w:type="dxa"/>
            <w:shd w:val="clear" w:color="auto" w:fill="auto"/>
            <w:vAlign w:val="bottom"/>
            <w:hideMark/>
          </w:tcPr>
          <w:p w14:paraId="4595C5D0" w14:textId="4586279C" w:rsidR="00FB514F" w:rsidRPr="002E4298" w:rsidRDefault="00FB514F" w:rsidP="0011228E">
            <w:pPr>
              <w:tabs>
                <w:tab w:val="left" w:pos="288"/>
                <w:tab w:val="left" w:pos="576"/>
                <w:tab w:val="left" w:pos="864"/>
                <w:tab w:val="left" w:pos="1152"/>
              </w:tabs>
              <w:suppressAutoHyphens/>
              <w:spacing w:before="40" w:after="40" w:line="210" w:lineRule="exact"/>
              <w:ind w:right="40"/>
              <w:rPr>
                <w:sz w:val="17"/>
                <w:lang w:val="fr-FR"/>
              </w:rPr>
            </w:pPr>
            <w:r w:rsidRPr="002E4298">
              <w:rPr>
                <w:sz w:val="17"/>
                <w:lang w:val="fr-FR"/>
              </w:rPr>
              <w:t xml:space="preserve">Avis préalable de la Commission pour l’égalité dans le travail et l’emploi </w:t>
            </w:r>
            <w:r w:rsidR="0011228E" w:rsidRPr="002E4298">
              <w:rPr>
                <w:sz w:val="17"/>
                <w:lang w:val="fr-FR"/>
              </w:rPr>
              <w:br/>
              <w:t>–</w:t>
            </w:r>
            <w:r w:rsidRPr="002E4298">
              <w:rPr>
                <w:sz w:val="17"/>
                <w:lang w:val="fr-FR"/>
              </w:rPr>
              <w:t xml:space="preserve"> licenciement</w:t>
            </w:r>
          </w:p>
        </w:tc>
        <w:tc>
          <w:tcPr>
            <w:tcW w:w="822" w:type="dxa"/>
            <w:shd w:val="clear" w:color="auto" w:fill="auto"/>
            <w:vAlign w:val="bottom"/>
            <w:hideMark/>
          </w:tcPr>
          <w:p w14:paraId="1DD2A29E"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23" w:type="dxa"/>
            <w:shd w:val="clear" w:color="auto" w:fill="auto"/>
            <w:vAlign w:val="bottom"/>
          </w:tcPr>
          <w:p w14:paraId="34B54A03"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23" w:type="dxa"/>
            <w:shd w:val="clear" w:color="auto" w:fill="auto"/>
            <w:vAlign w:val="bottom"/>
          </w:tcPr>
          <w:p w14:paraId="29E51AED"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gridSpan w:val="2"/>
            <w:shd w:val="clear" w:color="auto" w:fill="auto"/>
            <w:vAlign w:val="bottom"/>
          </w:tcPr>
          <w:p w14:paraId="5546B4A9"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148DAAF0"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19E3701D" w14:textId="533C59C6"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w:t>
            </w:r>
          </w:p>
        </w:tc>
        <w:tc>
          <w:tcPr>
            <w:tcW w:w="846" w:type="dxa"/>
            <w:gridSpan w:val="2"/>
            <w:shd w:val="clear" w:color="auto" w:fill="auto"/>
            <w:vAlign w:val="bottom"/>
            <w:hideMark/>
          </w:tcPr>
          <w:p w14:paraId="4550C17B"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461B6752"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24579440" w14:textId="1ABBEEDC"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w:t>
            </w:r>
          </w:p>
        </w:tc>
        <w:tc>
          <w:tcPr>
            <w:tcW w:w="847" w:type="dxa"/>
            <w:gridSpan w:val="2"/>
            <w:shd w:val="clear" w:color="auto" w:fill="auto"/>
            <w:vAlign w:val="bottom"/>
            <w:hideMark/>
          </w:tcPr>
          <w:p w14:paraId="4EDF1E76"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60A06C15"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3</w:t>
            </w:r>
          </w:p>
        </w:tc>
        <w:tc>
          <w:tcPr>
            <w:tcW w:w="847" w:type="dxa"/>
            <w:shd w:val="clear" w:color="auto" w:fill="auto"/>
            <w:vAlign w:val="bottom"/>
          </w:tcPr>
          <w:p w14:paraId="055F4BF5"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1</w:t>
            </w:r>
          </w:p>
        </w:tc>
      </w:tr>
      <w:tr w:rsidR="0011228E" w:rsidRPr="002E4298" w14:paraId="3E57F793" w14:textId="77777777" w:rsidTr="0011228E">
        <w:tc>
          <w:tcPr>
            <w:tcW w:w="3132" w:type="dxa"/>
            <w:shd w:val="clear" w:color="auto" w:fill="auto"/>
            <w:vAlign w:val="bottom"/>
            <w:hideMark/>
          </w:tcPr>
          <w:p w14:paraId="578CD60A" w14:textId="131917D9" w:rsidR="00FB514F" w:rsidRPr="002E4298" w:rsidRDefault="00FB514F" w:rsidP="0011228E">
            <w:pPr>
              <w:tabs>
                <w:tab w:val="left" w:pos="288"/>
                <w:tab w:val="left" w:pos="576"/>
                <w:tab w:val="left" w:pos="864"/>
                <w:tab w:val="left" w:pos="1152"/>
              </w:tabs>
              <w:suppressAutoHyphens/>
              <w:spacing w:before="40" w:after="40" w:line="210" w:lineRule="exact"/>
              <w:ind w:right="40"/>
              <w:rPr>
                <w:sz w:val="17"/>
                <w:lang w:val="fr-FR"/>
              </w:rPr>
            </w:pPr>
            <w:r w:rsidRPr="002E4298">
              <w:rPr>
                <w:sz w:val="17"/>
                <w:lang w:val="fr-FR"/>
              </w:rPr>
              <w:t>Avis défavorable de la Commission pour l’égalité dans le travail et l’emploi</w:t>
            </w:r>
            <w:r w:rsidR="0011228E" w:rsidRPr="002E4298">
              <w:rPr>
                <w:sz w:val="17"/>
                <w:lang w:val="fr-FR"/>
              </w:rPr>
              <w:br/>
              <w:t>–</w:t>
            </w:r>
            <w:r w:rsidRPr="002E4298">
              <w:rPr>
                <w:sz w:val="17"/>
                <w:lang w:val="fr-FR"/>
              </w:rPr>
              <w:t xml:space="preserve"> licenciement après décision de justice</w:t>
            </w:r>
          </w:p>
        </w:tc>
        <w:tc>
          <w:tcPr>
            <w:tcW w:w="822" w:type="dxa"/>
            <w:shd w:val="clear" w:color="auto" w:fill="auto"/>
            <w:vAlign w:val="bottom"/>
            <w:hideMark/>
          </w:tcPr>
          <w:p w14:paraId="50FC118D"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23" w:type="dxa"/>
            <w:shd w:val="clear" w:color="auto" w:fill="auto"/>
            <w:vAlign w:val="bottom"/>
          </w:tcPr>
          <w:p w14:paraId="713A38D8"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23" w:type="dxa"/>
            <w:shd w:val="clear" w:color="auto" w:fill="auto"/>
            <w:vAlign w:val="bottom"/>
          </w:tcPr>
          <w:p w14:paraId="61A3A283" w14:textId="10C652D1"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w:t>
            </w:r>
          </w:p>
        </w:tc>
        <w:tc>
          <w:tcPr>
            <w:tcW w:w="847" w:type="dxa"/>
            <w:gridSpan w:val="2"/>
            <w:shd w:val="clear" w:color="auto" w:fill="auto"/>
            <w:vAlign w:val="bottom"/>
          </w:tcPr>
          <w:p w14:paraId="5D9E7918"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23987113"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2A36BA33" w14:textId="468E7A4C"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w:t>
            </w:r>
          </w:p>
        </w:tc>
        <w:tc>
          <w:tcPr>
            <w:tcW w:w="846" w:type="dxa"/>
            <w:gridSpan w:val="2"/>
            <w:shd w:val="clear" w:color="auto" w:fill="auto"/>
            <w:vAlign w:val="bottom"/>
            <w:hideMark/>
          </w:tcPr>
          <w:p w14:paraId="1091F745"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4AC7C325"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6C963B4E" w14:textId="28BEB6E1"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w:t>
            </w:r>
          </w:p>
        </w:tc>
        <w:tc>
          <w:tcPr>
            <w:tcW w:w="847" w:type="dxa"/>
            <w:gridSpan w:val="2"/>
            <w:shd w:val="clear" w:color="auto" w:fill="auto"/>
            <w:vAlign w:val="bottom"/>
            <w:hideMark/>
          </w:tcPr>
          <w:p w14:paraId="5A6E0982"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4A6FA8E7"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1</w:t>
            </w:r>
          </w:p>
        </w:tc>
        <w:tc>
          <w:tcPr>
            <w:tcW w:w="847" w:type="dxa"/>
            <w:shd w:val="clear" w:color="auto" w:fill="auto"/>
            <w:vAlign w:val="bottom"/>
          </w:tcPr>
          <w:p w14:paraId="38AF763E" w14:textId="78E80FD9"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w:t>
            </w:r>
          </w:p>
        </w:tc>
      </w:tr>
      <w:tr w:rsidR="0011228E" w:rsidRPr="002E4298" w14:paraId="7837998D" w14:textId="77777777" w:rsidTr="0011228E">
        <w:tc>
          <w:tcPr>
            <w:tcW w:w="3132" w:type="dxa"/>
            <w:shd w:val="clear" w:color="auto" w:fill="auto"/>
            <w:vAlign w:val="bottom"/>
            <w:hideMark/>
          </w:tcPr>
          <w:p w14:paraId="4FC18E14" w14:textId="77777777" w:rsidR="00FB514F" w:rsidRPr="002E4298" w:rsidRDefault="00FB514F" w:rsidP="0011228E">
            <w:pPr>
              <w:tabs>
                <w:tab w:val="left" w:pos="288"/>
                <w:tab w:val="left" w:pos="576"/>
                <w:tab w:val="left" w:pos="864"/>
                <w:tab w:val="left" w:pos="1152"/>
              </w:tabs>
              <w:suppressAutoHyphens/>
              <w:spacing w:before="40" w:after="40" w:line="210" w:lineRule="exact"/>
              <w:ind w:right="40"/>
              <w:rPr>
                <w:sz w:val="17"/>
                <w:lang w:val="fr-FR"/>
              </w:rPr>
            </w:pPr>
            <w:r w:rsidRPr="002E4298">
              <w:rPr>
                <w:sz w:val="17"/>
                <w:lang w:val="fr-FR"/>
              </w:rPr>
              <w:t>Dérogation pour allaitement</w:t>
            </w:r>
          </w:p>
        </w:tc>
        <w:tc>
          <w:tcPr>
            <w:tcW w:w="822" w:type="dxa"/>
            <w:shd w:val="clear" w:color="auto" w:fill="auto"/>
            <w:vAlign w:val="bottom"/>
            <w:hideMark/>
          </w:tcPr>
          <w:p w14:paraId="4F7480A3"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3</w:t>
            </w:r>
          </w:p>
        </w:tc>
        <w:tc>
          <w:tcPr>
            <w:tcW w:w="823" w:type="dxa"/>
            <w:shd w:val="clear" w:color="auto" w:fill="auto"/>
            <w:vAlign w:val="bottom"/>
          </w:tcPr>
          <w:p w14:paraId="4377D238"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1</w:t>
            </w:r>
          </w:p>
        </w:tc>
        <w:tc>
          <w:tcPr>
            <w:tcW w:w="823" w:type="dxa"/>
            <w:shd w:val="clear" w:color="auto" w:fill="auto"/>
            <w:vAlign w:val="bottom"/>
          </w:tcPr>
          <w:p w14:paraId="66C8827C"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gridSpan w:val="2"/>
            <w:shd w:val="clear" w:color="auto" w:fill="auto"/>
            <w:vAlign w:val="bottom"/>
          </w:tcPr>
          <w:p w14:paraId="3542CE93"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5EFBBD16"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7A91CD1B" w14:textId="2DB08D9F"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w:t>
            </w:r>
          </w:p>
        </w:tc>
        <w:tc>
          <w:tcPr>
            <w:tcW w:w="846" w:type="dxa"/>
            <w:gridSpan w:val="2"/>
            <w:shd w:val="clear" w:color="auto" w:fill="auto"/>
            <w:vAlign w:val="bottom"/>
            <w:hideMark/>
          </w:tcPr>
          <w:p w14:paraId="46767606"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499AAFB4"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4E5358F7" w14:textId="53BFB4E9"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w:t>
            </w:r>
          </w:p>
        </w:tc>
        <w:tc>
          <w:tcPr>
            <w:tcW w:w="847" w:type="dxa"/>
            <w:gridSpan w:val="2"/>
            <w:shd w:val="clear" w:color="auto" w:fill="auto"/>
            <w:vAlign w:val="bottom"/>
            <w:hideMark/>
          </w:tcPr>
          <w:p w14:paraId="6E88EDFE"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2</w:t>
            </w:r>
          </w:p>
        </w:tc>
        <w:tc>
          <w:tcPr>
            <w:tcW w:w="847" w:type="dxa"/>
            <w:shd w:val="clear" w:color="auto" w:fill="auto"/>
            <w:vAlign w:val="bottom"/>
          </w:tcPr>
          <w:p w14:paraId="161F298E"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2</w:t>
            </w:r>
          </w:p>
        </w:tc>
        <w:tc>
          <w:tcPr>
            <w:tcW w:w="847" w:type="dxa"/>
            <w:shd w:val="clear" w:color="auto" w:fill="auto"/>
            <w:vAlign w:val="bottom"/>
          </w:tcPr>
          <w:p w14:paraId="4489DEDD"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1</w:t>
            </w:r>
          </w:p>
        </w:tc>
      </w:tr>
      <w:tr w:rsidR="0011228E" w:rsidRPr="002E4298" w14:paraId="065A395B" w14:textId="77777777" w:rsidTr="0011228E">
        <w:tc>
          <w:tcPr>
            <w:tcW w:w="3132" w:type="dxa"/>
            <w:shd w:val="clear" w:color="auto" w:fill="auto"/>
            <w:vAlign w:val="bottom"/>
            <w:hideMark/>
          </w:tcPr>
          <w:p w14:paraId="080AAB31" w14:textId="77777777" w:rsidR="00FB514F" w:rsidRPr="002E4298" w:rsidRDefault="00FB514F" w:rsidP="0011228E">
            <w:pPr>
              <w:tabs>
                <w:tab w:val="left" w:pos="288"/>
                <w:tab w:val="left" w:pos="576"/>
                <w:tab w:val="left" w:pos="864"/>
                <w:tab w:val="left" w:pos="1152"/>
              </w:tabs>
              <w:suppressAutoHyphens/>
              <w:spacing w:before="40" w:after="40" w:line="210" w:lineRule="exact"/>
              <w:ind w:right="40"/>
              <w:rPr>
                <w:sz w:val="17"/>
                <w:lang w:val="fr-FR"/>
              </w:rPr>
            </w:pPr>
            <w:r w:rsidRPr="002E4298">
              <w:rPr>
                <w:sz w:val="17"/>
                <w:lang w:val="fr-FR"/>
              </w:rPr>
              <w:t>Exonération des heures supplémentaires</w:t>
            </w:r>
          </w:p>
        </w:tc>
        <w:tc>
          <w:tcPr>
            <w:tcW w:w="822" w:type="dxa"/>
            <w:shd w:val="clear" w:color="auto" w:fill="auto"/>
            <w:vAlign w:val="bottom"/>
            <w:hideMark/>
          </w:tcPr>
          <w:p w14:paraId="1C5618BF"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23" w:type="dxa"/>
            <w:shd w:val="clear" w:color="auto" w:fill="auto"/>
            <w:vAlign w:val="bottom"/>
          </w:tcPr>
          <w:p w14:paraId="2E0015BA"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23" w:type="dxa"/>
            <w:shd w:val="clear" w:color="auto" w:fill="auto"/>
            <w:vAlign w:val="bottom"/>
          </w:tcPr>
          <w:p w14:paraId="544E5F34"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p>
        </w:tc>
        <w:tc>
          <w:tcPr>
            <w:tcW w:w="847" w:type="dxa"/>
            <w:gridSpan w:val="2"/>
            <w:shd w:val="clear" w:color="auto" w:fill="auto"/>
            <w:vAlign w:val="bottom"/>
          </w:tcPr>
          <w:p w14:paraId="5DA7378A"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730A8751"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75F614A0"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p>
        </w:tc>
        <w:tc>
          <w:tcPr>
            <w:tcW w:w="846" w:type="dxa"/>
            <w:gridSpan w:val="2"/>
            <w:shd w:val="clear" w:color="auto" w:fill="auto"/>
            <w:vAlign w:val="bottom"/>
            <w:hideMark/>
          </w:tcPr>
          <w:p w14:paraId="7C823508"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2A397E4D"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7AAF1654"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p>
        </w:tc>
        <w:tc>
          <w:tcPr>
            <w:tcW w:w="847" w:type="dxa"/>
            <w:gridSpan w:val="2"/>
            <w:shd w:val="clear" w:color="auto" w:fill="auto"/>
            <w:vAlign w:val="bottom"/>
            <w:hideMark/>
          </w:tcPr>
          <w:p w14:paraId="29F883DC"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1</w:t>
            </w:r>
          </w:p>
        </w:tc>
        <w:tc>
          <w:tcPr>
            <w:tcW w:w="847" w:type="dxa"/>
            <w:shd w:val="clear" w:color="auto" w:fill="auto"/>
            <w:vAlign w:val="bottom"/>
          </w:tcPr>
          <w:p w14:paraId="3DE765C4"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1</w:t>
            </w:r>
          </w:p>
        </w:tc>
        <w:tc>
          <w:tcPr>
            <w:tcW w:w="847" w:type="dxa"/>
            <w:shd w:val="clear" w:color="auto" w:fill="auto"/>
            <w:vAlign w:val="bottom"/>
          </w:tcPr>
          <w:p w14:paraId="7137D7AF"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p>
        </w:tc>
      </w:tr>
      <w:tr w:rsidR="0011228E" w:rsidRPr="002E4298" w14:paraId="340D0D54" w14:textId="77777777" w:rsidTr="0011228E">
        <w:tc>
          <w:tcPr>
            <w:tcW w:w="3132" w:type="dxa"/>
            <w:shd w:val="clear" w:color="auto" w:fill="auto"/>
            <w:vAlign w:val="bottom"/>
            <w:hideMark/>
          </w:tcPr>
          <w:p w14:paraId="4E57175F" w14:textId="77777777" w:rsidR="00FB514F" w:rsidRPr="002E4298" w:rsidRDefault="00FB514F" w:rsidP="0011228E">
            <w:pPr>
              <w:tabs>
                <w:tab w:val="left" w:pos="288"/>
                <w:tab w:val="left" w:pos="576"/>
                <w:tab w:val="left" w:pos="864"/>
                <w:tab w:val="left" w:pos="1152"/>
              </w:tabs>
              <w:suppressAutoHyphens/>
              <w:spacing w:before="40" w:after="40" w:line="210" w:lineRule="exact"/>
              <w:ind w:right="40"/>
              <w:rPr>
                <w:sz w:val="17"/>
                <w:lang w:val="fr-FR"/>
              </w:rPr>
            </w:pPr>
            <w:r w:rsidRPr="002E4298">
              <w:rPr>
                <w:sz w:val="17"/>
                <w:lang w:val="fr-FR"/>
              </w:rPr>
              <w:t>Horaires flexibles pour enfant à charge de moins de 12 ans</w:t>
            </w:r>
          </w:p>
        </w:tc>
        <w:tc>
          <w:tcPr>
            <w:tcW w:w="822" w:type="dxa"/>
            <w:shd w:val="clear" w:color="auto" w:fill="auto"/>
            <w:vAlign w:val="bottom"/>
            <w:hideMark/>
          </w:tcPr>
          <w:p w14:paraId="7E288401"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2</w:t>
            </w:r>
          </w:p>
        </w:tc>
        <w:tc>
          <w:tcPr>
            <w:tcW w:w="823" w:type="dxa"/>
            <w:shd w:val="clear" w:color="auto" w:fill="auto"/>
            <w:vAlign w:val="bottom"/>
          </w:tcPr>
          <w:p w14:paraId="735D1B2A"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3</w:t>
            </w:r>
          </w:p>
        </w:tc>
        <w:tc>
          <w:tcPr>
            <w:tcW w:w="823" w:type="dxa"/>
            <w:shd w:val="clear" w:color="auto" w:fill="auto"/>
            <w:vAlign w:val="bottom"/>
          </w:tcPr>
          <w:p w14:paraId="55E7FD63"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3</w:t>
            </w:r>
          </w:p>
        </w:tc>
        <w:tc>
          <w:tcPr>
            <w:tcW w:w="847" w:type="dxa"/>
            <w:gridSpan w:val="2"/>
            <w:shd w:val="clear" w:color="auto" w:fill="auto"/>
            <w:vAlign w:val="bottom"/>
          </w:tcPr>
          <w:p w14:paraId="3FF0A4CB"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0DEED3D2"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1E40CB20" w14:textId="2855EA95"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w:t>
            </w:r>
          </w:p>
        </w:tc>
        <w:tc>
          <w:tcPr>
            <w:tcW w:w="846" w:type="dxa"/>
            <w:gridSpan w:val="2"/>
            <w:shd w:val="clear" w:color="auto" w:fill="auto"/>
            <w:vAlign w:val="bottom"/>
            <w:hideMark/>
          </w:tcPr>
          <w:p w14:paraId="36BD4811"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16828BEB"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293E84BF" w14:textId="5C4EAC40"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w:t>
            </w:r>
          </w:p>
        </w:tc>
        <w:tc>
          <w:tcPr>
            <w:tcW w:w="847" w:type="dxa"/>
            <w:gridSpan w:val="2"/>
            <w:shd w:val="clear" w:color="auto" w:fill="auto"/>
            <w:vAlign w:val="bottom"/>
            <w:hideMark/>
          </w:tcPr>
          <w:p w14:paraId="5E776D13"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1</w:t>
            </w:r>
          </w:p>
        </w:tc>
        <w:tc>
          <w:tcPr>
            <w:tcW w:w="847" w:type="dxa"/>
            <w:shd w:val="clear" w:color="auto" w:fill="auto"/>
            <w:vAlign w:val="bottom"/>
          </w:tcPr>
          <w:p w14:paraId="26A05C01"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1</w:t>
            </w:r>
          </w:p>
        </w:tc>
        <w:tc>
          <w:tcPr>
            <w:tcW w:w="847" w:type="dxa"/>
            <w:shd w:val="clear" w:color="auto" w:fill="auto"/>
            <w:vAlign w:val="bottom"/>
          </w:tcPr>
          <w:p w14:paraId="70F64DA1"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1</w:t>
            </w:r>
          </w:p>
        </w:tc>
      </w:tr>
      <w:tr w:rsidR="0011228E" w:rsidRPr="002E4298" w14:paraId="7FF4F16C" w14:textId="77777777" w:rsidTr="0011228E">
        <w:tc>
          <w:tcPr>
            <w:tcW w:w="3132" w:type="dxa"/>
            <w:shd w:val="clear" w:color="auto" w:fill="auto"/>
            <w:vAlign w:val="bottom"/>
            <w:hideMark/>
          </w:tcPr>
          <w:p w14:paraId="73C52275" w14:textId="77777777" w:rsidR="00FB514F" w:rsidRPr="002E4298" w:rsidRDefault="00FB514F" w:rsidP="0011228E">
            <w:pPr>
              <w:tabs>
                <w:tab w:val="left" w:pos="288"/>
                <w:tab w:val="left" w:pos="576"/>
                <w:tab w:val="left" w:pos="864"/>
                <w:tab w:val="left" w:pos="1152"/>
              </w:tabs>
              <w:suppressAutoHyphens/>
              <w:spacing w:before="40" w:after="40" w:line="210" w:lineRule="exact"/>
              <w:ind w:right="40"/>
              <w:rPr>
                <w:sz w:val="17"/>
                <w:lang w:val="fr-FR"/>
              </w:rPr>
            </w:pPr>
            <w:r w:rsidRPr="002E4298">
              <w:rPr>
                <w:sz w:val="17"/>
                <w:lang w:val="fr-FR"/>
              </w:rPr>
              <w:t>Congés, absences et dérogations</w:t>
            </w:r>
          </w:p>
        </w:tc>
        <w:tc>
          <w:tcPr>
            <w:tcW w:w="822" w:type="dxa"/>
            <w:shd w:val="clear" w:color="auto" w:fill="auto"/>
            <w:vAlign w:val="bottom"/>
            <w:hideMark/>
          </w:tcPr>
          <w:p w14:paraId="6CC7E5A0"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19</w:t>
            </w:r>
          </w:p>
        </w:tc>
        <w:tc>
          <w:tcPr>
            <w:tcW w:w="823" w:type="dxa"/>
            <w:shd w:val="clear" w:color="auto" w:fill="auto"/>
            <w:vAlign w:val="bottom"/>
          </w:tcPr>
          <w:p w14:paraId="4BC12688"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3</w:t>
            </w:r>
          </w:p>
        </w:tc>
        <w:tc>
          <w:tcPr>
            <w:tcW w:w="823" w:type="dxa"/>
            <w:shd w:val="clear" w:color="auto" w:fill="auto"/>
            <w:vAlign w:val="bottom"/>
          </w:tcPr>
          <w:p w14:paraId="4BF00F8A"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gridSpan w:val="2"/>
            <w:shd w:val="clear" w:color="auto" w:fill="auto"/>
            <w:vAlign w:val="bottom"/>
          </w:tcPr>
          <w:p w14:paraId="5390FCB2"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7C3B1127"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010DF2DE" w14:textId="2C819438"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w:t>
            </w:r>
          </w:p>
        </w:tc>
        <w:tc>
          <w:tcPr>
            <w:tcW w:w="846" w:type="dxa"/>
            <w:gridSpan w:val="2"/>
            <w:shd w:val="clear" w:color="auto" w:fill="auto"/>
            <w:vAlign w:val="bottom"/>
            <w:hideMark/>
          </w:tcPr>
          <w:p w14:paraId="0F2ADF21"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7ABEBC78"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025137E1" w14:textId="1D20E35E"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w:t>
            </w:r>
          </w:p>
        </w:tc>
        <w:tc>
          <w:tcPr>
            <w:tcW w:w="847" w:type="dxa"/>
            <w:gridSpan w:val="2"/>
            <w:shd w:val="clear" w:color="auto" w:fill="auto"/>
            <w:vAlign w:val="bottom"/>
            <w:hideMark/>
          </w:tcPr>
          <w:p w14:paraId="00D95A61"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1</w:t>
            </w:r>
          </w:p>
        </w:tc>
        <w:tc>
          <w:tcPr>
            <w:tcW w:w="847" w:type="dxa"/>
            <w:shd w:val="clear" w:color="auto" w:fill="auto"/>
            <w:vAlign w:val="bottom"/>
          </w:tcPr>
          <w:p w14:paraId="2D6CF217"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shd w:val="clear" w:color="auto" w:fill="auto"/>
            <w:vAlign w:val="bottom"/>
          </w:tcPr>
          <w:p w14:paraId="47902554"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1</w:t>
            </w:r>
          </w:p>
        </w:tc>
      </w:tr>
      <w:tr w:rsidR="0011228E" w:rsidRPr="002E4298" w14:paraId="7CAFF634" w14:textId="77777777" w:rsidTr="0011228E">
        <w:tc>
          <w:tcPr>
            <w:tcW w:w="3132" w:type="dxa"/>
            <w:tcBorders>
              <w:bottom w:val="single" w:sz="12" w:space="0" w:color="auto"/>
            </w:tcBorders>
            <w:shd w:val="clear" w:color="auto" w:fill="auto"/>
            <w:vAlign w:val="bottom"/>
            <w:hideMark/>
          </w:tcPr>
          <w:p w14:paraId="72DEC5F3" w14:textId="77777777" w:rsidR="00FB514F" w:rsidRPr="002E4298" w:rsidRDefault="00FB514F" w:rsidP="0011228E">
            <w:pPr>
              <w:tabs>
                <w:tab w:val="left" w:pos="288"/>
                <w:tab w:val="left" w:pos="576"/>
                <w:tab w:val="left" w:pos="864"/>
                <w:tab w:val="left" w:pos="1152"/>
              </w:tabs>
              <w:suppressAutoHyphens/>
              <w:spacing w:before="40" w:after="40" w:line="210" w:lineRule="exact"/>
              <w:ind w:right="40"/>
              <w:rPr>
                <w:sz w:val="17"/>
                <w:lang w:val="fr-FR"/>
              </w:rPr>
            </w:pPr>
            <w:r w:rsidRPr="002E4298">
              <w:rPr>
                <w:sz w:val="17"/>
                <w:lang w:val="fr-FR"/>
              </w:rPr>
              <w:t>Protection de la santé et de la sécurité au travail pendant la grossesse et la période post-partum ou l’allaitement</w:t>
            </w:r>
          </w:p>
        </w:tc>
        <w:tc>
          <w:tcPr>
            <w:tcW w:w="822" w:type="dxa"/>
            <w:tcBorders>
              <w:bottom w:val="single" w:sz="12" w:space="0" w:color="auto"/>
            </w:tcBorders>
            <w:shd w:val="clear" w:color="auto" w:fill="auto"/>
            <w:vAlign w:val="bottom"/>
            <w:hideMark/>
          </w:tcPr>
          <w:p w14:paraId="675CF615"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1</w:t>
            </w:r>
          </w:p>
        </w:tc>
        <w:tc>
          <w:tcPr>
            <w:tcW w:w="823" w:type="dxa"/>
            <w:tcBorders>
              <w:bottom w:val="single" w:sz="12" w:space="0" w:color="auto"/>
            </w:tcBorders>
            <w:shd w:val="clear" w:color="auto" w:fill="auto"/>
            <w:vAlign w:val="bottom"/>
          </w:tcPr>
          <w:p w14:paraId="745978BD"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1</w:t>
            </w:r>
          </w:p>
        </w:tc>
        <w:tc>
          <w:tcPr>
            <w:tcW w:w="823" w:type="dxa"/>
            <w:tcBorders>
              <w:bottom w:val="single" w:sz="12" w:space="0" w:color="auto"/>
            </w:tcBorders>
            <w:shd w:val="clear" w:color="auto" w:fill="auto"/>
            <w:vAlign w:val="bottom"/>
          </w:tcPr>
          <w:p w14:paraId="2779E731" w14:textId="7166FF90"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w:t>
            </w:r>
          </w:p>
        </w:tc>
        <w:tc>
          <w:tcPr>
            <w:tcW w:w="847" w:type="dxa"/>
            <w:gridSpan w:val="2"/>
            <w:tcBorders>
              <w:bottom w:val="single" w:sz="12" w:space="0" w:color="auto"/>
            </w:tcBorders>
            <w:shd w:val="clear" w:color="auto" w:fill="auto"/>
            <w:vAlign w:val="bottom"/>
          </w:tcPr>
          <w:p w14:paraId="0AA71873"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4</w:t>
            </w:r>
          </w:p>
        </w:tc>
        <w:tc>
          <w:tcPr>
            <w:tcW w:w="847" w:type="dxa"/>
            <w:tcBorders>
              <w:bottom w:val="single" w:sz="12" w:space="0" w:color="auto"/>
            </w:tcBorders>
            <w:shd w:val="clear" w:color="auto" w:fill="auto"/>
            <w:vAlign w:val="bottom"/>
          </w:tcPr>
          <w:p w14:paraId="4761987E"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10</w:t>
            </w:r>
          </w:p>
        </w:tc>
        <w:tc>
          <w:tcPr>
            <w:tcW w:w="847" w:type="dxa"/>
            <w:tcBorders>
              <w:bottom w:val="single" w:sz="12" w:space="0" w:color="auto"/>
            </w:tcBorders>
            <w:shd w:val="clear" w:color="auto" w:fill="auto"/>
            <w:vAlign w:val="bottom"/>
          </w:tcPr>
          <w:p w14:paraId="0623F3C4" w14:textId="6E2B504D"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w:t>
            </w:r>
          </w:p>
        </w:tc>
        <w:tc>
          <w:tcPr>
            <w:tcW w:w="846" w:type="dxa"/>
            <w:gridSpan w:val="2"/>
            <w:tcBorders>
              <w:bottom w:val="single" w:sz="12" w:space="0" w:color="auto"/>
            </w:tcBorders>
            <w:shd w:val="clear" w:color="auto" w:fill="auto"/>
            <w:vAlign w:val="bottom"/>
            <w:hideMark/>
          </w:tcPr>
          <w:p w14:paraId="2C4B5F73"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tcBorders>
              <w:bottom w:val="single" w:sz="12" w:space="0" w:color="auto"/>
            </w:tcBorders>
            <w:shd w:val="clear" w:color="auto" w:fill="auto"/>
            <w:vAlign w:val="bottom"/>
          </w:tcPr>
          <w:p w14:paraId="62998FEC"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tcBorders>
              <w:bottom w:val="single" w:sz="12" w:space="0" w:color="auto"/>
            </w:tcBorders>
            <w:shd w:val="clear" w:color="auto" w:fill="auto"/>
            <w:vAlign w:val="bottom"/>
          </w:tcPr>
          <w:p w14:paraId="38334613" w14:textId="3EC581F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w:t>
            </w:r>
          </w:p>
        </w:tc>
        <w:tc>
          <w:tcPr>
            <w:tcW w:w="847" w:type="dxa"/>
            <w:gridSpan w:val="2"/>
            <w:tcBorders>
              <w:bottom w:val="single" w:sz="12" w:space="0" w:color="auto"/>
            </w:tcBorders>
            <w:shd w:val="clear" w:color="auto" w:fill="auto"/>
            <w:vAlign w:val="bottom"/>
            <w:hideMark/>
          </w:tcPr>
          <w:p w14:paraId="22140B9D"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tcBorders>
              <w:bottom w:val="single" w:sz="12" w:space="0" w:color="auto"/>
            </w:tcBorders>
            <w:shd w:val="clear" w:color="auto" w:fill="auto"/>
            <w:vAlign w:val="bottom"/>
          </w:tcPr>
          <w:p w14:paraId="760E4F2A" w14:textId="77777777"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0</w:t>
            </w:r>
          </w:p>
        </w:tc>
        <w:tc>
          <w:tcPr>
            <w:tcW w:w="847" w:type="dxa"/>
            <w:tcBorders>
              <w:bottom w:val="single" w:sz="12" w:space="0" w:color="auto"/>
            </w:tcBorders>
            <w:shd w:val="clear" w:color="auto" w:fill="auto"/>
            <w:vAlign w:val="bottom"/>
          </w:tcPr>
          <w:p w14:paraId="1DFFE2E4" w14:textId="389D0466" w:rsidR="00FB514F" w:rsidRPr="002E4298" w:rsidRDefault="00FB514F" w:rsidP="0011228E">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w:t>
            </w:r>
          </w:p>
        </w:tc>
      </w:tr>
    </w:tbl>
    <w:p w14:paraId="05851DA2" w14:textId="77777777" w:rsidR="00BB0956" w:rsidRPr="002E4298" w:rsidRDefault="00BB0956" w:rsidP="00BB0956">
      <w:pPr>
        <w:spacing w:line="120" w:lineRule="exact"/>
        <w:rPr>
          <w:sz w:val="10"/>
          <w:lang w:val="fr-FR"/>
        </w:rPr>
      </w:pPr>
    </w:p>
    <w:p w14:paraId="52AB4778" w14:textId="6A6F1C85" w:rsidR="00BB0956" w:rsidRPr="002E4298" w:rsidRDefault="00BB0956" w:rsidP="0011228E">
      <w:pPr>
        <w:pStyle w:val="FootnoteText"/>
        <w:tabs>
          <w:tab w:val="right" w:pos="216"/>
          <w:tab w:val="left" w:pos="288"/>
          <w:tab w:val="right" w:pos="576"/>
          <w:tab w:val="left" w:pos="648"/>
        </w:tabs>
        <w:ind w:left="288" w:hanging="288"/>
        <w:rPr>
          <w:lang w:val="fr-FR"/>
        </w:rPr>
      </w:pPr>
      <w:r w:rsidRPr="002E4298">
        <w:rPr>
          <w:i/>
          <w:iCs/>
          <w:lang w:val="fr-FR"/>
        </w:rPr>
        <w:t>Source</w:t>
      </w:r>
      <w:r w:rsidRPr="002E4298">
        <w:rPr>
          <w:lang w:val="fr-FR"/>
        </w:rPr>
        <w:t> : ACT.</w:t>
      </w:r>
    </w:p>
    <w:p w14:paraId="50BC94CB" w14:textId="77777777" w:rsidR="00BB0956" w:rsidRPr="002E4298" w:rsidRDefault="00BB0956" w:rsidP="00BB0956">
      <w:pPr>
        <w:pStyle w:val="SingleTxt"/>
        <w:rPr>
          <w:lang w:val="fr-FR"/>
        </w:rPr>
        <w:sectPr w:rsidR="00BB0956" w:rsidRPr="002E4298" w:rsidSect="00BB0956">
          <w:headerReference w:type="even" r:id="rId30"/>
          <w:headerReference w:type="default" r:id="rId31"/>
          <w:footerReference w:type="even" r:id="rId32"/>
          <w:footerReference w:type="default" r:id="rId33"/>
          <w:pgSz w:w="15840" w:h="12240" w:orient="landscape"/>
          <w:pgMar w:top="1195" w:right="1440" w:bottom="1195" w:left="1152" w:header="576" w:footer="1037" w:gutter="0"/>
          <w:cols w:space="720"/>
          <w:noEndnote/>
          <w:bidi/>
          <w:rtlGutter/>
          <w:docGrid w:linePitch="360"/>
        </w:sectPr>
      </w:pPr>
    </w:p>
    <w:p w14:paraId="0561F429" w14:textId="4CF415B6" w:rsidR="00BB0956" w:rsidRPr="002E4298" w:rsidRDefault="00BB0956" w:rsidP="00A11C35">
      <w:pPr>
        <w:pStyle w:val="SingleTxt"/>
        <w:numPr>
          <w:ilvl w:val="0"/>
          <w:numId w:val="6"/>
        </w:numPr>
        <w:spacing w:line="240" w:lineRule="exact"/>
        <w:rPr>
          <w:lang w:val="fr-FR"/>
        </w:rPr>
      </w:pPr>
      <w:r w:rsidRPr="002E4298">
        <w:rPr>
          <w:lang w:val="fr-FR" w:bidi="fr-FR"/>
        </w:rPr>
        <w:lastRenderedPageBreak/>
        <w:t>Les visites ont été effectuées dans le but d’élaborer des stratégies de prévention et de contrôle visant à promouvoir des politiques et des pratiques d’égalité et de non-discrimination dans l’accès à l’emploi et les conditions de travail.</w:t>
      </w:r>
    </w:p>
    <w:p w14:paraId="19E08D02" w14:textId="4CA07922" w:rsidR="00BB0956" w:rsidRPr="002E4298" w:rsidRDefault="00BB0956" w:rsidP="00A11C35">
      <w:pPr>
        <w:pStyle w:val="SingleTxt"/>
        <w:numPr>
          <w:ilvl w:val="0"/>
          <w:numId w:val="6"/>
        </w:numPr>
        <w:spacing w:line="240" w:lineRule="exact"/>
        <w:rPr>
          <w:lang w:val="fr-FR"/>
        </w:rPr>
      </w:pPr>
      <w:r w:rsidRPr="002E4298">
        <w:rPr>
          <w:lang w:val="fr-FR" w:bidi="fr-FR"/>
        </w:rPr>
        <w:t>L’exercice d’information et de contrôle dans le contexte de l’égalité des genres et de la non-discrimination au travail et dans l’emploi a porté sur la protection des garanties liées à la parentalité, la prévention de la discrimination sexuelle au travail et l’emploi et la promotion de l’égalité salariale entre les hommes et les femmes.</w:t>
      </w:r>
    </w:p>
    <w:p w14:paraId="4353DCB3" w14:textId="0346A695" w:rsidR="00B872A1" w:rsidRPr="002E4298" w:rsidRDefault="00B872A1" w:rsidP="00B872A1">
      <w:pPr>
        <w:pStyle w:val="SingleTxt"/>
        <w:tabs>
          <w:tab w:val="clear" w:pos="1742"/>
        </w:tabs>
        <w:spacing w:after="0" w:line="120" w:lineRule="exact"/>
        <w:rPr>
          <w:sz w:val="10"/>
          <w:lang w:val="fr-FR" w:bidi="fr-FR"/>
        </w:rPr>
      </w:pPr>
    </w:p>
    <w:p w14:paraId="568E3D79" w14:textId="3F162B2C" w:rsidR="00BB0956" w:rsidRPr="002E4298" w:rsidRDefault="00BB0956" w:rsidP="00B872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2E4298">
        <w:rPr>
          <w:lang w:val="fr-FR" w:bidi="fr-FR"/>
        </w:rPr>
        <w:tab/>
      </w:r>
      <w:r w:rsidRPr="002E4298">
        <w:rPr>
          <w:lang w:val="fr-FR" w:bidi="fr-FR"/>
        </w:rPr>
        <w:tab/>
        <w:t>Accidents du travail signalés à l’Autorité sur les conditions de travail</w:t>
      </w:r>
    </w:p>
    <w:p w14:paraId="5083140B" w14:textId="4FA4DAC3" w:rsidR="00B872A1" w:rsidRPr="002E4298" w:rsidRDefault="00B872A1" w:rsidP="00B872A1">
      <w:pPr>
        <w:pStyle w:val="SingleTxt"/>
        <w:spacing w:after="0" w:line="120" w:lineRule="exact"/>
        <w:rPr>
          <w:sz w:val="10"/>
          <w:lang w:val="fr-FR" w:bidi="fr-FR"/>
        </w:rPr>
      </w:pPr>
    </w:p>
    <w:p w14:paraId="29D92A31" w14:textId="36C8FE17" w:rsidR="00BB0956" w:rsidRPr="002E4298" w:rsidRDefault="00BB0956" w:rsidP="00A11C35">
      <w:pPr>
        <w:pStyle w:val="SingleTxt"/>
        <w:numPr>
          <w:ilvl w:val="0"/>
          <w:numId w:val="6"/>
        </w:numPr>
        <w:tabs>
          <w:tab w:val="num" w:pos="1769"/>
        </w:tabs>
        <w:spacing w:line="240" w:lineRule="exact"/>
        <w:rPr>
          <w:lang w:val="fr-FR"/>
        </w:rPr>
      </w:pPr>
      <w:r w:rsidRPr="002E4298">
        <w:rPr>
          <w:lang w:val="fr-FR" w:bidi="fr-FR"/>
        </w:rPr>
        <w:t>La survenance d’accidents du travail et de maladies professionnelles est un indicateur important de l’existence de dysfonctionnements sur le lieu de travail et dans son environnement.</w:t>
      </w:r>
    </w:p>
    <w:p w14:paraId="0B346E79" w14:textId="61C4792C" w:rsidR="00BB0956" w:rsidRPr="002E4298" w:rsidRDefault="00BB0956" w:rsidP="00A11C35">
      <w:pPr>
        <w:pStyle w:val="SingleTxt"/>
        <w:numPr>
          <w:ilvl w:val="0"/>
          <w:numId w:val="6"/>
        </w:numPr>
        <w:tabs>
          <w:tab w:val="num" w:pos="1769"/>
        </w:tabs>
        <w:spacing w:line="240" w:lineRule="exact"/>
        <w:rPr>
          <w:lang w:val="fr-FR"/>
        </w:rPr>
      </w:pPr>
      <w:r w:rsidRPr="002E4298">
        <w:rPr>
          <w:lang w:val="fr-FR" w:bidi="fr-FR"/>
        </w:rPr>
        <w:t>Les informations concernant cet aspect permettent à l’Autorité d’orienter avec assurance son activité d’inspection vers les activités et les organisations productives où surviennent lesdits accidents et maladies, afin de mieux comprendre les besoins de corrections et d’adopter des mesures préventives nécessaires.</w:t>
      </w:r>
    </w:p>
    <w:p w14:paraId="757ED52C" w14:textId="7D5F551C" w:rsidR="00BB0956" w:rsidRPr="002E4298" w:rsidRDefault="00BB0956" w:rsidP="00A11C35">
      <w:pPr>
        <w:pStyle w:val="SingleTxt"/>
        <w:numPr>
          <w:ilvl w:val="0"/>
          <w:numId w:val="6"/>
        </w:numPr>
        <w:tabs>
          <w:tab w:val="num" w:pos="1769"/>
        </w:tabs>
        <w:spacing w:line="240" w:lineRule="exact"/>
        <w:rPr>
          <w:lang w:val="fr-FR"/>
        </w:rPr>
      </w:pPr>
      <w:r w:rsidRPr="002E4298">
        <w:rPr>
          <w:lang w:val="fr-FR" w:bidi="fr-FR"/>
        </w:rPr>
        <w:t>Les principales sources de renseignements de l’Autorité relatives aux accidents du travail sont les suivantes :</w:t>
      </w:r>
    </w:p>
    <w:p w14:paraId="1DC4E230" w14:textId="52A4D053" w:rsidR="00BB0956" w:rsidRPr="002E4298" w:rsidRDefault="00B872A1" w:rsidP="00B872A1">
      <w:pPr>
        <w:pStyle w:val="SingleTxt"/>
        <w:tabs>
          <w:tab w:val="right" w:pos="1685"/>
        </w:tabs>
        <w:ind w:left="1742" w:hanging="475"/>
        <w:rPr>
          <w:lang w:val="fr-FR"/>
        </w:rPr>
      </w:pPr>
      <w:r w:rsidRPr="002E4298">
        <w:rPr>
          <w:lang w:val="fr-FR" w:bidi="fr-FR"/>
        </w:rPr>
        <w:tab/>
        <w:t>•</w:t>
      </w:r>
      <w:r w:rsidRPr="002E4298">
        <w:rPr>
          <w:lang w:val="fr-FR" w:bidi="fr-FR"/>
        </w:rPr>
        <w:tab/>
      </w:r>
      <w:r w:rsidR="00BB0956" w:rsidRPr="002E4298">
        <w:rPr>
          <w:lang w:val="fr-FR" w:bidi="fr-FR"/>
        </w:rPr>
        <w:t>les informations que doivent obligatoirement fournir les employeurs, et, dans le cas de la construction civile, les entités d’exécution et les propriétaires de l’immeuble concerné ;</w:t>
      </w:r>
    </w:p>
    <w:p w14:paraId="2525FFD0" w14:textId="192428AF" w:rsidR="00BB0956" w:rsidRPr="002E4298" w:rsidRDefault="00B872A1" w:rsidP="00B872A1">
      <w:pPr>
        <w:pStyle w:val="SingleTxt"/>
        <w:tabs>
          <w:tab w:val="right" w:pos="1685"/>
        </w:tabs>
        <w:ind w:left="1742" w:hanging="475"/>
        <w:rPr>
          <w:lang w:val="fr-FR"/>
        </w:rPr>
      </w:pPr>
      <w:r w:rsidRPr="002E4298">
        <w:rPr>
          <w:lang w:val="fr-FR" w:bidi="fr-FR"/>
        </w:rPr>
        <w:tab/>
        <w:t>•</w:t>
      </w:r>
      <w:r w:rsidRPr="002E4298">
        <w:rPr>
          <w:lang w:val="fr-FR" w:bidi="fr-FR"/>
        </w:rPr>
        <w:tab/>
      </w:r>
      <w:r w:rsidR="00BB0956" w:rsidRPr="002E4298">
        <w:rPr>
          <w:lang w:val="fr-FR" w:bidi="fr-FR"/>
        </w:rPr>
        <w:t>les informations fournies par les autorités de police ;</w:t>
      </w:r>
    </w:p>
    <w:p w14:paraId="3DD3A721" w14:textId="11B4FCCD" w:rsidR="00BB0956" w:rsidRPr="002E4298" w:rsidRDefault="00B872A1" w:rsidP="00B872A1">
      <w:pPr>
        <w:pStyle w:val="SingleTxt"/>
        <w:tabs>
          <w:tab w:val="right" w:pos="1685"/>
        </w:tabs>
        <w:ind w:left="1742" w:hanging="475"/>
        <w:rPr>
          <w:lang w:val="fr-FR"/>
        </w:rPr>
      </w:pPr>
      <w:r w:rsidRPr="002E4298">
        <w:rPr>
          <w:lang w:val="fr-FR" w:bidi="fr-FR"/>
        </w:rPr>
        <w:tab/>
        <w:t>•</w:t>
      </w:r>
      <w:r w:rsidRPr="002E4298">
        <w:rPr>
          <w:lang w:val="fr-FR" w:bidi="fr-FR"/>
        </w:rPr>
        <w:tab/>
      </w:r>
      <w:r w:rsidR="00BB0956" w:rsidRPr="002E4298">
        <w:rPr>
          <w:lang w:val="fr-FR" w:bidi="fr-FR"/>
        </w:rPr>
        <w:t>les médias.</w:t>
      </w:r>
    </w:p>
    <w:p w14:paraId="7BBF6B49" w14:textId="3D2ED275" w:rsidR="00BB0956" w:rsidRPr="002E4298" w:rsidRDefault="00BB0956" w:rsidP="00A11C35">
      <w:pPr>
        <w:pStyle w:val="SingleTxt"/>
        <w:numPr>
          <w:ilvl w:val="0"/>
          <w:numId w:val="6"/>
        </w:numPr>
        <w:tabs>
          <w:tab w:val="num" w:pos="1769"/>
        </w:tabs>
        <w:spacing w:line="240" w:lineRule="exact"/>
        <w:rPr>
          <w:lang w:val="fr-FR"/>
        </w:rPr>
      </w:pPr>
      <w:r w:rsidRPr="002E4298">
        <w:rPr>
          <w:lang w:val="fr-FR" w:bidi="fr-FR"/>
        </w:rPr>
        <w:t xml:space="preserve">Les accidents se produisant sur le trajet domicile-travail, ou </w:t>
      </w:r>
      <w:r w:rsidRPr="002E4298">
        <w:rPr>
          <w:i/>
          <w:lang w:val="fr-FR" w:bidi="fr-FR"/>
        </w:rPr>
        <w:t>in itinere</w:t>
      </w:r>
      <w:r w:rsidRPr="002E4298">
        <w:rPr>
          <w:lang w:val="fr-FR" w:bidi="fr-FR"/>
        </w:rPr>
        <w:t>, bien que pouvant entraîner la mort, peuvent être exclus de la catégorie des accidents du travail lorsqu’il peut être conclu, d’après l’expérience commune, que les facteurs ayant provoqué l’accident n’ont pas de rapport significatif avec le domaine d’intervention corrective susceptible d’être géré par l’employeur.</w:t>
      </w:r>
    </w:p>
    <w:p w14:paraId="7983C89A" w14:textId="691B3B2C" w:rsidR="00BB0956" w:rsidRPr="002E4298" w:rsidRDefault="00BB0956" w:rsidP="00A11C35">
      <w:pPr>
        <w:pStyle w:val="SingleTxt"/>
        <w:numPr>
          <w:ilvl w:val="0"/>
          <w:numId w:val="6"/>
        </w:numPr>
        <w:tabs>
          <w:tab w:val="num" w:pos="1769"/>
        </w:tabs>
        <w:spacing w:line="240" w:lineRule="exact"/>
        <w:rPr>
          <w:lang w:val="fr-FR"/>
        </w:rPr>
      </w:pPr>
      <w:r w:rsidRPr="002E4298">
        <w:rPr>
          <w:lang w:val="fr-FR" w:bidi="fr-FR"/>
        </w:rPr>
        <w:t>Dans le cadre de ses enquêtes, l’Autorité examine les accidents du travail en fonction des paramètres suivants : activité économique, taille de l’entreprise, mois, jours de la semaine, population active nationale ou étrangère, et sexe.</w:t>
      </w:r>
    </w:p>
    <w:p w14:paraId="49B9301B" w14:textId="77777777" w:rsidR="002655F9" w:rsidRPr="002E4298" w:rsidRDefault="002655F9" w:rsidP="002655F9">
      <w:pPr>
        <w:pStyle w:val="SingleTxt"/>
        <w:spacing w:after="0" w:line="120" w:lineRule="exact"/>
        <w:rPr>
          <w:sz w:val="10"/>
          <w:lang w:val="fr-FR" w:bidi="fr-FR"/>
        </w:rPr>
      </w:pPr>
    </w:p>
    <w:p w14:paraId="4FB3AA2A" w14:textId="5E5CA49F" w:rsidR="00BB0956" w:rsidRPr="002E4298" w:rsidRDefault="002655F9" w:rsidP="002655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2E4298">
        <w:rPr>
          <w:lang w:val="fr-FR" w:bidi="fr-FR"/>
        </w:rPr>
        <w:tab/>
      </w:r>
      <w:r w:rsidRPr="002E4298">
        <w:rPr>
          <w:lang w:val="fr-FR" w:bidi="fr-FR"/>
        </w:rPr>
        <w:tab/>
      </w:r>
      <w:r w:rsidR="00BB0956" w:rsidRPr="002E4298">
        <w:rPr>
          <w:lang w:val="fr-FR" w:bidi="fr-FR"/>
        </w:rPr>
        <w:t>Nombre d’accidents mortels signalés et ayant fait l’objet d’une enquête, par sexe</w:t>
      </w:r>
    </w:p>
    <w:p w14:paraId="3A93EE97" w14:textId="77777777" w:rsidR="00BB0956" w:rsidRPr="002E4298" w:rsidRDefault="00BB0956" w:rsidP="00BB0956">
      <w:pPr>
        <w:pStyle w:val="SingleTxt"/>
        <w:spacing w:after="0" w:line="120" w:lineRule="exact"/>
        <w:rPr>
          <w:sz w:val="10"/>
          <w:lang w:val="fr-FR"/>
        </w:rPr>
      </w:pPr>
    </w:p>
    <w:p w14:paraId="5834EED2" w14:textId="77777777" w:rsidR="00BB0956" w:rsidRPr="002E4298" w:rsidRDefault="00BB0956" w:rsidP="00BB0956">
      <w:pPr>
        <w:pStyle w:val="SingleTxt"/>
        <w:spacing w:after="0" w:line="120" w:lineRule="exact"/>
        <w:rPr>
          <w:sz w:val="10"/>
          <w:lang w:val="fr-FR"/>
        </w:rPr>
      </w:pPr>
    </w:p>
    <w:tbl>
      <w:tblPr>
        <w:tblW w:w="7320" w:type="dxa"/>
        <w:tblInd w:w="1260" w:type="dxa"/>
        <w:tblLayout w:type="fixed"/>
        <w:tblCellMar>
          <w:left w:w="0" w:type="dxa"/>
          <w:right w:w="0" w:type="dxa"/>
        </w:tblCellMar>
        <w:tblLook w:val="04A0" w:firstRow="1" w:lastRow="0" w:firstColumn="1" w:lastColumn="0" w:noHBand="0" w:noVBand="1"/>
      </w:tblPr>
      <w:tblGrid>
        <w:gridCol w:w="1830"/>
        <w:gridCol w:w="1830"/>
        <w:gridCol w:w="1830"/>
        <w:gridCol w:w="1830"/>
      </w:tblGrid>
      <w:tr w:rsidR="00BB0956" w:rsidRPr="002E4298" w14:paraId="2393716F" w14:textId="77777777" w:rsidTr="002655F9">
        <w:trPr>
          <w:tblHeader/>
        </w:trPr>
        <w:tc>
          <w:tcPr>
            <w:tcW w:w="1830"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01BAD193" w14:textId="77777777" w:rsidR="00BB0956" w:rsidRPr="002E4298" w:rsidRDefault="00BB0956" w:rsidP="002655F9">
            <w:pPr>
              <w:suppressAutoHyphens/>
              <w:spacing w:before="81" w:after="81" w:line="160" w:lineRule="exact"/>
              <w:ind w:right="40"/>
              <w:rPr>
                <w:i/>
                <w:sz w:val="14"/>
                <w:lang w:val="fr-FR"/>
              </w:rPr>
            </w:pPr>
          </w:p>
        </w:tc>
        <w:tc>
          <w:tcPr>
            <w:tcW w:w="1830"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77069B5D" w14:textId="77777777" w:rsidR="00BB0956" w:rsidRPr="002E4298" w:rsidRDefault="00BB0956" w:rsidP="002655F9">
            <w:pPr>
              <w:suppressAutoHyphens/>
              <w:spacing w:before="81" w:after="81" w:line="160" w:lineRule="exact"/>
              <w:ind w:right="43"/>
              <w:jc w:val="right"/>
              <w:rPr>
                <w:i/>
                <w:sz w:val="14"/>
                <w:lang w:val="fr-FR"/>
              </w:rPr>
            </w:pPr>
            <w:r w:rsidRPr="002E4298">
              <w:rPr>
                <w:i/>
                <w:sz w:val="14"/>
                <w:lang w:val="fr-FR"/>
              </w:rPr>
              <w:t>2015</w:t>
            </w:r>
          </w:p>
        </w:tc>
        <w:tc>
          <w:tcPr>
            <w:tcW w:w="1830"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53832A02" w14:textId="77777777" w:rsidR="00BB0956" w:rsidRPr="002E4298" w:rsidRDefault="00BB0956" w:rsidP="002655F9">
            <w:pPr>
              <w:suppressAutoHyphens/>
              <w:spacing w:before="81" w:after="81" w:line="160" w:lineRule="exact"/>
              <w:ind w:right="43"/>
              <w:jc w:val="right"/>
              <w:rPr>
                <w:i/>
                <w:sz w:val="14"/>
                <w:lang w:val="fr-FR"/>
              </w:rPr>
            </w:pPr>
            <w:r w:rsidRPr="002E4298">
              <w:rPr>
                <w:i/>
                <w:sz w:val="14"/>
                <w:lang w:val="fr-FR"/>
              </w:rPr>
              <w:t>2016</w:t>
            </w:r>
          </w:p>
        </w:tc>
        <w:tc>
          <w:tcPr>
            <w:tcW w:w="1830"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69EF7CCB" w14:textId="77777777" w:rsidR="00BB0956" w:rsidRPr="002E4298" w:rsidRDefault="00BB0956" w:rsidP="002655F9">
            <w:pPr>
              <w:suppressAutoHyphens/>
              <w:spacing w:before="81" w:after="81" w:line="160" w:lineRule="exact"/>
              <w:ind w:right="43"/>
              <w:jc w:val="right"/>
              <w:rPr>
                <w:i/>
                <w:sz w:val="14"/>
                <w:lang w:val="fr-FR"/>
              </w:rPr>
            </w:pPr>
            <w:r w:rsidRPr="002E4298">
              <w:rPr>
                <w:i/>
                <w:sz w:val="14"/>
                <w:lang w:val="fr-FR"/>
              </w:rPr>
              <w:t>2017</w:t>
            </w:r>
          </w:p>
        </w:tc>
      </w:tr>
      <w:tr w:rsidR="002655F9" w:rsidRPr="002E4298" w14:paraId="3D68C37E" w14:textId="77777777" w:rsidTr="002655F9">
        <w:trPr>
          <w:trHeight w:hRule="exact" w:val="115"/>
          <w:tblHeader/>
        </w:trPr>
        <w:tc>
          <w:tcPr>
            <w:tcW w:w="1830" w:type="dxa"/>
            <w:tcBorders>
              <w:top w:val="single" w:sz="12" w:space="0" w:color="auto"/>
            </w:tcBorders>
            <w:shd w:val="clear" w:color="auto" w:fill="auto"/>
            <w:tcMar>
              <w:top w:w="0" w:type="dxa"/>
              <w:left w:w="0" w:type="dxa"/>
              <w:bottom w:w="0" w:type="dxa"/>
              <w:right w:w="0" w:type="dxa"/>
            </w:tcMar>
            <w:vAlign w:val="bottom"/>
          </w:tcPr>
          <w:p w14:paraId="4D9DA6BB" w14:textId="77777777" w:rsidR="002655F9" w:rsidRPr="002E4298" w:rsidRDefault="002655F9" w:rsidP="002655F9">
            <w:pPr>
              <w:suppressAutoHyphens/>
              <w:spacing w:before="40" w:after="40" w:line="210" w:lineRule="exact"/>
              <w:ind w:right="40"/>
              <w:rPr>
                <w:sz w:val="17"/>
                <w:lang w:val="fr-FR"/>
              </w:rPr>
            </w:pPr>
          </w:p>
        </w:tc>
        <w:tc>
          <w:tcPr>
            <w:tcW w:w="1830" w:type="dxa"/>
            <w:tcBorders>
              <w:top w:val="single" w:sz="12" w:space="0" w:color="auto"/>
            </w:tcBorders>
            <w:shd w:val="clear" w:color="auto" w:fill="auto"/>
            <w:tcMar>
              <w:top w:w="0" w:type="dxa"/>
              <w:left w:w="0" w:type="dxa"/>
              <w:bottom w:w="0" w:type="dxa"/>
              <w:right w:w="0" w:type="dxa"/>
            </w:tcMar>
            <w:vAlign w:val="bottom"/>
          </w:tcPr>
          <w:p w14:paraId="341228FA" w14:textId="77777777" w:rsidR="002655F9" w:rsidRPr="002E4298" w:rsidRDefault="002655F9" w:rsidP="002655F9">
            <w:pPr>
              <w:suppressAutoHyphens/>
              <w:spacing w:before="40" w:after="40" w:line="210" w:lineRule="exact"/>
              <w:ind w:right="43"/>
              <w:jc w:val="right"/>
              <w:rPr>
                <w:sz w:val="17"/>
                <w:lang w:val="fr-FR"/>
              </w:rPr>
            </w:pPr>
          </w:p>
        </w:tc>
        <w:tc>
          <w:tcPr>
            <w:tcW w:w="1830" w:type="dxa"/>
            <w:tcBorders>
              <w:top w:val="single" w:sz="12" w:space="0" w:color="auto"/>
            </w:tcBorders>
            <w:shd w:val="clear" w:color="auto" w:fill="auto"/>
            <w:tcMar>
              <w:top w:w="0" w:type="dxa"/>
              <w:left w:w="0" w:type="dxa"/>
              <w:bottom w:w="0" w:type="dxa"/>
              <w:right w:w="0" w:type="dxa"/>
            </w:tcMar>
            <w:vAlign w:val="bottom"/>
          </w:tcPr>
          <w:p w14:paraId="37BADEE1" w14:textId="77777777" w:rsidR="002655F9" w:rsidRPr="002E4298" w:rsidRDefault="002655F9" w:rsidP="002655F9">
            <w:pPr>
              <w:suppressAutoHyphens/>
              <w:spacing w:before="40" w:after="40" w:line="210" w:lineRule="exact"/>
              <w:ind w:right="43"/>
              <w:jc w:val="right"/>
              <w:rPr>
                <w:sz w:val="17"/>
                <w:lang w:val="fr-FR"/>
              </w:rPr>
            </w:pPr>
          </w:p>
        </w:tc>
        <w:tc>
          <w:tcPr>
            <w:tcW w:w="1830" w:type="dxa"/>
            <w:tcBorders>
              <w:top w:val="single" w:sz="12" w:space="0" w:color="auto"/>
            </w:tcBorders>
            <w:shd w:val="clear" w:color="auto" w:fill="auto"/>
            <w:tcMar>
              <w:top w:w="0" w:type="dxa"/>
              <w:left w:w="0" w:type="dxa"/>
              <w:bottom w:w="0" w:type="dxa"/>
              <w:right w:w="0" w:type="dxa"/>
            </w:tcMar>
            <w:vAlign w:val="bottom"/>
          </w:tcPr>
          <w:p w14:paraId="17053256" w14:textId="77777777" w:rsidR="002655F9" w:rsidRPr="002E4298" w:rsidRDefault="002655F9" w:rsidP="002655F9">
            <w:pPr>
              <w:suppressAutoHyphens/>
              <w:spacing w:before="40" w:after="40" w:line="210" w:lineRule="exact"/>
              <w:ind w:right="43"/>
              <w:jc w:val="right"/>
              <w:rPr>
                <w:sz w:val="17"/>
                <w:lang w:val="fr-FR"/>
              </w:rPr>
            </w:pPr>
          </w:p>
        </w:tc>
      </w:tr>
      <w:tr w:rsidR="00BB0956" w:rsidRPr="002E4298" w14:paraId="3861B81C" w14:textId="77777777" w:rsidTr="002655F9">
        <w:tc>
          <w:tcPr>
            <w:tcW w:w="1830" w:type="dxa"/>
            <w:shd w:val="clear" w:color="auto" w:fill="auto"/>
            <w:tcMar>
              <w:top w:w="0" w:type="dxa"/>
              <w:left w:w="0" w:type="dxa"/>
              <w:bottom w:w="0" w:type="dxa"/>
              <w:right w:w="0" w:type="dxa"/>
            </w:tcMar>
            <w:vAlign w:val="bottom"/>
            <w:hideMark/>
          </w:tcPr>
          <w:p w14:paraId="6A736233" w14:textId="77777777" w:rsidR="00BB0956" w:rsidRPr="002E4298" w:rsidRDefault="00BB0956" w:rsidP="002655F9">
            <w:pPr>
              <w:tabs>
                <w:tab w:val="left" w:pos="288"/>
                <w:tab w:val="left" w:pos="576"/>
                <w:tab w:val="left" w:pos="864"/>
                <w:tab w:val="left" w:pos="1152"/>
              </w:tabs>
              <w:suppressAutoHyphens/>
              <w:spacing w:before="40" w:after="40" w:line="210" w:lineRule="exact"/>
              <w:ind w:right="40"/>
              <w:rPr>
                <w:sz w:val="17"/>
                <w:lang w:val="fr-FR"/>
              </w:rPr>
            </w:pPr>
            <w:r w:rsidRPr="002E4298">
              <w:rPr>
                <w:sz w:val="17"/>
                <w:lang w:val="fr-FR"/>
              </w:rPr>
              <w:t>Hommes</w:t>
            </w:r>
          </w:p>
        </w:tc>
        <w:tc>
          <w:tcPr>
            <w:tcW w:w="1830" w:type="dxa"/>
            <w:shd w:val="clear" w:color="auto" w:fill="auto"/>
            <w:tcMar>
              <w:top w:w="0" w:type="dxa"/>
              <w:left w:w="0" w:type="dxa"/>
              <w:bottom w:w="0" w:type="dxa"/>
              <w:right w:w="0" w:type="dxa"/>
            </w:tcMar>
            <w:vAlign w:val="bottom"/>
            <w:hideMark/>
          </w:tcPr>
          <w:p w14:paraId="678B252D" w14:textId="77777777" w:rsidR="00BB0956" w:rsidRPr="002E4298" w:rsidRDefault="00BB0956" w:rsidP="002655F9">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134</w:t>
            </w:r>
          </w:p>
        </w:tc>
        <w:tc>
          <w:tcPr>
            <w:tcW w:w="1830" w:type="dxa"/>
            <w:shd w:val="clear" w:color="auto" w:fill="auto"/>
            <w:tcMar>
              <w:top w:w="0" w:type="dxa"/>
              <w:left w:w="0" w:type="dxa"/>
              <w:bottom w:w="0" w:type="dxa"/>
              <w:right w:w="0" w:type="dxa"/>
            </w:tcMar>
            <w:vAlign w:val="bottom"/>
            <w:hideMark/>
          </w:tcPr>
          <w:p w14:paraId="601E29B4" w14:textId="77777777" w:rsidR="00BB0956" w:rsidRPr="002E4298" w:rsidRDefault="00BB0956" w:rsidP="002655F9">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131</w:t>
            </w:r>
          </w:p>
        </w:tc>
        <w:tc>
          <w:tcPr>
            <w:tcW w:w="1830" w:type="dxa"/>
            <w:shd w:val="clear" w:color="auto" w:fill="auto"/>
            <w:tcMar>
              <w:top w:w="0" w:type="dxa"/>
              <w:left w:w="0" w:type="dxa"/>
              <w:bottom w:w="0" w:type="dxa"/>
              <w:right w:w="0" w:type="dxa"/>
            </w:tcMar>
            <w:vAlign w:val="bottom"/>
            <w:hideMark/>
          </w:tcPr>
          <w:p w14:paraId="0032CFFC" w14:textId="77777777" w:rsidR="00BB0956" w:rsidRPr="002E4298" w:rsidRDefault="00BB0956" w:rsidP="002655F9">
            <w:pPr>
              <w:tabs>
                <w:tab w:val="left" w:pos="288"/>
                <w:tab w:val="left" w:pos="576"/>
                <w:tab w:val="left" w:pos="864"/>
                <w:tab w:val="left" w:pos="1152"/>
              </w:tabs>
              <w:suppressAutoHyphens/>
              <w:spacing w:before="40" w:after="40" w:line="210" w:lineRule="exact"/>
              <w:ind w:right="43"/>
              <w:jc w:val="right"/>
              <w:rPr>
                <w:sz w:val="17"/>
                <w:lang w:val="fr-FR"/>
              </w:rPr>
            </w:pPr>
            <w:r w:rsidRPr="002E4298">
              <w:rPr>
                <w:sz w:val="17"/>
                <w:lang w:val="fr-FR"/>
              </w:rPr>
              <w:t>100</w:t>
            </w:r>
          </w:p>
        </w:tc>
      </w:tr>
      <w:tr w:rsidR="00BB0956" w:rsidRPr="002E4298" w14:paraId="030C0DE8" w14:textId="77777777" w:rsidTr="002655F9">
        <w:tc>
          <w:tcPr>
            <w:tcW w:w="1830" w:type="dxa"/>
            <w:tcBorders>
              <w:bottom w:val="single" w:sz="4" w:space="0" w:color="auto"/>
            </w:tcBorders>
            <w:shd w:val="clear" w:color="auto" w:fill="auto"/>
            <w:tcMar>
              <w:top w:w="0" w:type="dxa"/>
              <w:left w:w="0" w:type="dxa"/>
              <w:bottom w:w="0" w:type="dxa"/>
              <w:right w:w="0" w:type="dxa"/>
            </w:tcMar>
            <w:vAlign w:val="bottom"/>
            <w:hideMark/>
          </w:tcPr>
          <w:p w14:paraId="17E0E18B" w14:textId="77777777" w:rsidR="00BB0956" w:rsidRPr="002E4298" w:rsidRDefault="00BB0956" w:rsidP="002655F9">
            <w:pPr>
              <w:tabs>
                <w:tab w:val="left" w:pos="288"/>
                <w:tab w:val="left" w:pos="576"/>
                <w:tab w:val="left" w:pos="864"/>
                <w:tab w:val="left" w:pos="1152"/>
              </w:tabs>
              <w:suppressAutoHyphens/>
              <w:spacing w:before="40" w:after="81" w:line="210" w:lineRule="exact"/>
              <w:ind w:right="40"/>
              <w:rPr>
                <w:sz w:val="17"/>
                <w:lang w:val="fr-FR"/>
              </w:rPr>
            </w:pPr>
            <w:r w:rsidRPr="002E4298">
              <w:rPr>
                <w:sz w:val="17"/>
                <w:lang w:val="fr-FR"/>
              </w:rPr>
              <w:t>Femmes</w:t>
            </w:r>
          </w:p>
        </w:tc>
        <w:tc>
          <w:tcPr>
            <w:tcW w:w="1830" w:type="dxa"/>
            <w:tcBorders>
              <w:bottom w:val="single" w:sz="4" w:space="0" w:color="auto"/>
            </w:tcBorders>
            <w:shd w:val="clear" w:color="auto" w:fill="auto"/>
            <w:tcMar>
              <w:top w:w="0" w:type="dxa"/>
              <w:left w:w="0" w:type="dxa"/>
              <w:bottom w:w="0" w:type="dxa"/>
              <w:right w:w="0" w:type="dxa"/>
            </w:tcMar>
            <w:vAlign w:val="bottom"/>
            <w:hideMark/>
          </w:tcPr>
          <w:p w14:paraId="29394B6B" w14:textId="77777777" w:rsidR="00BB0956" w:rsidRPr="002E4298" w:rsidRDefault="00BB0956" w:rsidP="002655F9">
            <w:pPr>
              <w:tabs>
                <w:tab w:val="left" w:pos="288"/>
                <w:tab w:val="left" w:pos="576"/>
                <w:tab w:val="left" w:pos="864"/>
                <w:tab w:val="left" w:pos="1152"/>
              </w:tabs>
              <w:suppressAutoHyphens/>
              <w:spacing w:before="40" w:after="81" w:line="210" w:lineRule="exact"/>
              <w:ind w:right="43"/>
              <w:jc w:val="right"/>
              <w:rPr>
                <w:sz w:val="17"/>
                <w:lang w:val="fr-FR"/>
              </w:rPr>
            </w:pPr>
            <w:r w:rsidRPr="002E4298">
              <w:rPr>
                <w:sz w:val="17"/>
                <w:lang w:val="fr-FR"/>
              </w:rPr>
              <w:t>8</w:t>
            </w:r>
          </w:p>
        </w:tc>
        <w:tc>
          <w:tcPr>
            <w:tcW w:w="1830" w:type="dxa"/>
            <w:tcBorders>
              <w:bottom w:val="single" w:sz="4" w:space="0" w:color="auto"/>
            </w:tcBorders>
            <w:shd w:val="clear" w:color="auto" w:fill="auto"/>
            <w:tcMar>
              <w:top w:w="0" w:type="dxa"/>
              <w:left w:w="0" w:type="dxa"/>
              <w:bottom w:w="0" w:type="dxa"/>
              <w:right w:w="0" w:type="dxa"/>
            </w:tcMar>
            <w:vAlign w:val="bottom"/>
            <w:hideMark/>
          </w:tcPr>
          <w:p w14:paraId="160F0B02" w14:textId="77777777" w:rsidR="00BB0956" w:rsidRPr="002E4298" w:rsidRDefault="00BB0956" w:rsidP="002655F9">
            <w:pPr>
              <w:tabs>
                <w:tab w:val="left" w:pos="288"/>
                <w:tab w:val="left" w:pos="576"/>
                <w:tab w:val="left" w:pos="864"/>
                <w:tab w:val="left" w:pos="1152"/>
              </w:tabs>
              <w:suppressAutoHyphens/>
              <w:spacing w:before="40" w:after="81" w:line="210" w:lineRule="exact"/>
              <w:ind w:right="43"/>
              <w:jc w:val="right"/>
              <w:rPr>
                <w:sz w:val="17"/>
                <w:lang w:val="fr-FR"/>
              </w:rPr>
            </w:pPr>
            <w:r w:rsidRPr="002E4298">
              <w:rPr>
                <w:sz w:val="17"/>
                <w:lang w:val="fr-FR"/>
              </w:rPr>
              <w:t>9</w:t>
            </w:r>
          </w:p>
        </w:tc>
        <w:tc>
          <w:tcPr>
            <w:tcW w:w="1830" w:type="dxa"/>
            <w:tcBorders>
              <w:bottom w:val="single" w:sz="4" w:space="0" w:color="auto"/>
            </w:tcBorders>
            <w:shd w:val="clear" w:color="auto" w:fill="auto"/>
            <w:tcMar>
              <w:top w:w="0" w:type="dxa"/>
              <w:left w:w="0" w:type="dxa"/>
              <w:bottom w:w="0" w:type="dxa"/>
              <w:right w:w="0" w:type="dxa"/>
            </w:tcMar>
            <w:vAlign w:val="bottom"/>
            <w:hideMark/>
          </w:tcPr>
          <w:p w14:paraId="5A261BF9" w14:textId="77777777" w:rsidR="00BB0956" w:rsidRPr="002E4298" w:rsidRDefault="00BB0956" w:rsidP="002655F9">
            <w:pPr>
              <w:tabs>
                <w:tab w:val="left" w:pos="288"/>
                <w:tab w:val="left" w:pos="576"/>
                <w:tab w:val="left" w:pos="864"/>
                <w:tab w:val="left" w:pos="1152"/>
              </w:tabs>
              <w:suppressAutoHyphens/>
              <w:spacing w:before="40" w:after="81" w:line="210" w:lineRule="exact"/>
              <w:ind w:right="43"/>
              <w:jc w:val="right"/>
              <w:rPr>
                <w:sz w:val="17"/>
                <w:lang w:val="fr-FR"/>
              </w:rPr>
            </w:pPr>
            <w:r w:rsidRPr="002E4298">
              <w:rPr>
                <w:sz w:val="17"/>
                <w:lang w:val="fr-FR"/>
              </w:rPr>
              <w:t>9</w:t>
            </w:r>
          </w:p>
        </w:tc>
      </w:tr>
      <w:tr w:rsidR="00BB0956" w:rsidRPr="002E4298" w14:paraId="33DB0E51" w14:textId="77777777" w:rsidTr="002655F9">
        <w:tc>
          <w:tcPr>
            <w:tcW w:w="1830"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007E26B9" w14:textId="77207FBA" w:rsidR="00BB0956" w:rsidRPr="002E4298" w:rsidRDefault="002655F9" w:rsidP="002655F9">
            <w:pPr>
              <w:tabs>
                <w:tab w:val="left" w:pos="288"/>
                <w:tab w:val="left" w:pos="576"/>
                <w:tab w:val="left" w:pos="864"/>
                <w:tab w:val="left" w:pos="1152"/>
              </w:tabs>
              <w:suppressAutoHyphens/>
              <w:spacing w:before="81" w:after="81" w:line="210" w:lineRule="exact"/>
              <w:ind w:right="40"/>
              <w:rPr>
                <w:b/>
                <w:sz w:val="17"/>
                <w:lang w:val="fr-FR"/>
              </w:rPr>
            </w:pPr>
            <w:r w:rsidRPr="002E4298">
              <w:rPr>
                <w:b/>
                <w:sz w:val="17"/>
                <w:lang w:val="fr-FR"/>
              </w:rPr>
              <w:tab/>
            </w:r>
            <w:r w:rsidR="00BB0956" w:rsidRPr="002E4298">
              <w:rPr>
                <w:b/>
                <w:sz w:val="17"/>
                <w:lang w:val="fr-FR"/>
              </w:rPr>
              <w:t>Total</w:t>
            </w:r>
          </w:p>
        </w:tc>
        <w:tc>
          <w:tcPr>
            <w:tcW w:w="1830"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02A0257C" w14:textId="77777777" w:rsidR="00BB0956" w:rsidRPr="002E4298" w:rsidRDefault="00BB0956" w:rsidP="002655F9">
            <w:pPr>
              <w:tabs>
                <w:tab w:val="left" w:pos="288"/>
                <w:tab w:val="left" w:pos="576"/>
                <w:tab w:val="left" w:pos="864"/>
                <w:tab w:val="left" w:pos="1152"/>
              </w:tabs>
              <w:suppressAutoHyphens/>
              <w:spacing w:before="81" w:after="81" w:line="210" w:lineRule="exact"/>
              <w:ind w:right="43"/>
              <w:jc w:val="right"/>
              <w:rPr>
                <w:b/>
                <w:sz w:val="17"/>
                <w:lang w:val="fr-FR"/>
              </w:rPr>
            </w:pPr>
            <w:r w:rsidRPr="002E4298">
              <w:rPr>
                <w:b/>
                <w:sz w:val="17"/>
                <w:lang w:val="fr-FR"/>
              </w:rPr>
              <w:t>142</w:t>
            </w:r>
          </w:p>
        </w:tc>
        <w:tc>
          <w:tcPr>
            <w:tcW w:w="1830"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54CAB8D7" w14:textId="77777777" w:rsidR="00BB0956" w:rsidRPr="002E4298" w:rsidRDefault="00BB0956" w:rsidP="002655F9">
            <w:pPr>
              <w:tabs>
                <w:tab w:val="left" w:pos="288"/>
                <w:tab w:val="left" w:pos="576"/>
                <w:tab w:val="left" w:pos="864"/>
                <w:tab w:val="left" w:pos="1152"/>
              </w:tabs>
              <w:suppressAutoHyphens/>
              <w:spacing w:before="81" w:after="81" w:line="210" w:lineRule="exact"/>
              <w:ind w:right="43"/>
              <w:jc w:val="right"/>
              <w:rPr>
                <w:b/>
                <w:sz w:val="17"/>
                <w:lang w:val="fr-FR"/>
              </w:rPr>
            </w:pPr>
            <w:r w:rsidRPr="002E4298">
              <w:rPr>
                <w:b/>
                <w:sz w:val="17"/>
                <w:lang w:val="fr-FR"/>
              </w:rPr>
              <w:t>140</w:t>
            </w:r>
          </w:p>
        </w:tc>
        <w:tc>
          <w:tcPr>
            <w:tcW w:w="1830"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14:paraId="00220309" w14:textId="77777777" w:rsidR="00BB0956" w:rsidRPr="002E4298" w:rsidRDefault="00BB0956" w:rsidP="002655F9">
            <w:pPr>
              <w:tabs>
                <w:tab w:val="left" w:pos="288"/>
                <w:tab w:val="left" w:pos="576"/>
                <w:tab w:val="left" w:pos="864"/>
                <w:tab w:val="left" w:pos="1152"/>
              </w:tabs>
              <w:suppressAutoHyphens/>
              <w:spacing w:before="81" w:after="81" w:line="210" w:lineRule="exact"/>
              <w:ind w:right="43"/>
              <w:jc w:val="right"/>
              <w:rPr>
                <w:b/>
                <w:sz w:val="17"/>
                <w:lang w:val="fr-FR"/>
              </w:rPr>
            </w:pPr>
            <w:r w:rsidRPr="002E4298">
              <w:rPr>
                <w:b/>
                <w:sz w:val="17"/>
                <w:lang w:val="fr-FR"/>
              </w:rPr>
              <w:t>109</w:t>
            </w:r>
          </w:p>
        </w:tc>
      </w:tr>
    </w:tbl>
    <w:p w14:paraId="75C10D0B" w14:textId="77777777" w:rsidR="00BB0956" w:rsidRPr="002E4298" w:rsidRDefault="00BB0956" w:rsidP="00BB0956">
      <w:pPr>
        <w:pStyle w:val="SingleTxt"/>
        <w:spacing w:after="0" w:line="120" w:lineRule="exact"/>
        <w:rPr>
          <w:sz w:val="10"/>
          <w:lang w:val="fr-FR"/>
        </w:rPr>
      </w:pPr>
    </w:p>
    <w:p w14:paraId="0A1E6280" w14:textId="1DCDC3EB" w:rsidR="00BB0956" w:rsidRPr="002E4298" w:rsidRDefault="00BB0956" w:rsidP="00524CC6">
      <w:pPr>
        <w:pStyle w:val="FootnoteText"/>
        <w:tabs>
          <w:tab w:val="right" w:pos="1476"/>
          <w:tab w:val="left" w:pos="1548"/>
          <w:tab w:val="right" w:pos="1836"/>
          <w:tab w:val="left" w:pos="1908"/>
        </w:tabs>
        <w:ind w:left="1548" w:right="1267" w:hanging="288"/>
        <w:rPr>
          <w:lang w:val="fr-FR" w:bidi="fr-FR"/>
        </w:rPr>
      </w:pPr>
      <w:r w:rsidRPr="002E4298">
        <w:rPr>
          <w:i/>
          <w:iCs/>
          <w:lang w:val="fr-FR" w:bidi="fr-FR"/>
        </w:rPr>
        <w:t>Source</w:t>
      </w:r>
      <w:r w:rsidRPr="002E4298">
        <w:rPr>
          <w:lang w:val="fr-FR" w:bidi="fr-FR"/>
        </w:rPr>
        <w:t> : ACT.</w:t>
      </w:r>
    </w:p>
    <w:p w14:paraId="79E1C12B" w14:textId="64BC94AA" w:rsidR="00524CC6" w:rsidRPr="002E4298" w:rsidRDefault="00524CC6" w:rsidP="00524CC6">
      <w:pPr>
        <w:pStyle w:val="SingleTxt"/>
        <w:spacing w:after="0" w:line="120" w:lineRule="exact"/>
        <w:rPr>
          <w:sz w:val="10"/>
          <w:lang w:val="fr-FR" w:bidi="fr-FR"/>
        </w:rPr>
      </w:pPr>
    </w:p>
    <w:p w14:paraId="31A03C50" w14:textId="6B369AE2" w:rsidR="00524CC6" w:rsidRPr="002E4298" w:rsidRDefault="00524CC6" w:rsidP="00524CC6">
      <w:pPr>
        <w:pStyle w:val="SingleTxt"/>
        <w:spacing w:after="0" w:line="120" w:lineRule="exact"/>
        <w:rPr>
          <w:sz w:val="10"/>
          <w:lang w:val="fr-FR"/>
        </w:rPr>
      </w:pPr>
    </w:p>
    <w:p w14:paraId="28E0B76E" w14:textId="4FE9BD05" w:rsidR="00524CC6" w:rsidRPr="002E4298" w:rsidRDefault="00524CC6" w:rsidP="00524CC6">
      <w:pPr>
        <w:pStyle w:val="SingleTxt"/>
        <w:spacing w:after="0" w:line="120" w:lineRule="exact"/>
        <w:rPr>
          <w:sz w:val="10"/>
          <w:lang w:val="fr-FR"/>
        </w:rPr>
      </w:pPr>
    </w:p>
    <w:p w14:paraId="4AB57395" w14:textId="44E6A3B2" w:rsidR="00BB0956" w:rsidRPr="002E4298" w:rsidRDefault="00BB0956" w:rsidP="00524C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2E4298">
        <w:rPr>
          <w:lang w:val="fr-FR" w:bidi="fr-FR"/>
        </w:rPr>
        <w:tab/>
      </w:r>
      <w:r w:rsidRPr="002E4298">
        <w:rPr>
          <w:lang w:val="fr-FR" w:bidi="fr-FR"/>
        </w:rPr>
        <w:tab/>
        <w:t>Formation et information</w:t>
      </w:r>
    </w:p>
    <w:p w14:paraId="5F22C212" w14:textId="537C27A5" w:rsidR="00524CC6" w:rsidRPr="002E4298" w:rsidRDefault="00524CC6" w:rsidP="00524CC6">
      <w:pPr>
        <w:pStyle w:val="SingleTxt"/>
        <w:spacing w:after="0" w:line="120" w:lineRule="exact"/>
        <w:rPr>
          <w:sz w:val="10"/>
          <w:lang w:val="fr-FR" w:bidi="fr-FR"/>
        </w:rPr>
      </w:pPr>
    </w:p>
    <w:p w14:paraId="2E2005FA" w14:textId="6D1E5EC7" w:rsidR="00BB0956" w:rsidRPr="002E4298" w:rsidRDefault="00BB0956" w:rsidP="00A11C35">
      <w:pPr>
        <w:pStyle w:val="SingleTxt"/>
        <w:numPr>
          <w:ilvl w:val="0"/>
          <w:numId w:val="6"/>
        </w:numPr>
        <w:spacing w:line="240" w:lineRule="exact"/>
        <w:rPr>
          <w:lang w:val="fr-FR" w:bidi="fr-FR"/>
        </w:rPr>
      </w:pPr>
      <w:r w:rsidRPr="002E4298">
        <w:rPr>
          <w:lang w:val="fr-FR" w:bidi="fr-FR"/>
        </w:rPr>
        <w:t>L’Autorité pour les conditions de travail collabore avec les cycles de laboratoire sur l’égalité et la non-discrimination de la Commission pour l’égalité dans le travail et l’emploi, auxquels les inspecteurs du travail participent en tant qu’apprenants.</w:t>
      </w:r>
    </w:p>
    <w:p w14:paraId="1D922269" w14:textId="6CB23A2E" w:rsidR="00BB0956" w:rsidRPr="002E4298" w:rsidRDefault="00BB0956" w:rsidP="00A11C35">
      <w:pPr>
        <w:pStyle w:val="SingleTxt"/>
        <w:numPr>
          <w:ilvl w:val="0"/>
          <w:numId w:val="6"/>
        </w:numPr>
        <w:spacing w:line="240" w:lineRule="exact"/>
        <w:rPr>
          <w:lang w:val="fr-FR"/>
        </w:rPr>
      </w:pPr>
      <w:r w:rsidRPr="002E4298">
        <w:rPr>
          <w:lang w:val="fr-FR" w:bidi="fr-FR"/>
        </w:rPr>
        <w:t xml:space="preserve">L’Autorité propose des services d’information accessibles au grand public, grâce à des services d’information téléphonique, dont l’utilisation mensuelle </w:t>
      </w:r>
      <w:r w:rsidRPr="002E4298">
        <w:rPr>
          <w:lang w:val="fr-FR" w:bidi="fr-FR"/>
        </w:rPr>
        <w:lastRenderedPageBreak/>
        <w:t>moyenne ne cesse de croître, à des services sur place cinq jours par semaine dans les 32 bureaux locaux, ainsi qu’à une présence constante de l’Autorité sur les réseaux sociaux (Facebook, Twitter).</w:t>
      </w:r>
    </w:p>
    <w:p w14:paraId="0A3EE0C7" w14:textId="0C6EE6E2" w:rsidR="00BB0956" w:rsidRPr="002E4298" w:rsidRDefault="00BB0956" w:rsidP="00A11C35">
      <w:pPr>
        <w:pStyle w:val="SingleTxt"/>
        <w:numPr>
          <w:ilvl w:val="0"/>
          <w:numId w:val="6"/>
        </w:numPr>
        <w:spacing w:line="240" w:lineRule="exact"/>
        <w:rPr>
          <w:lang w:val="fr-FR"/>
        </w:rPr>
      </w:pPr>
      <w:r w:rsidRPr="002E4298">
        <w:rPr>
          <w:lang w:val="fr-FR" w:bidi="fr-FR"/>
        </w:rPr>
        <w:t>Le site Web de l’Autorité</w:t>
      </w:r>
      <w:r w:rsidRPr="002E4298">
        <w:rPr>
          <w:vertAlign w:val="superscript"/>
          <w:lang w:val="fr-FR" w:bidi="fr-FR"/>
        </w:rPr>
        <w:footnoteReference w:id="27"/>
      </w:r>
      <w:r w:rsidRPr="002E4298">
        <w:rPr>
          <w:lang w:val="fr-FR" w:bidi="fr-FR"/>
        </w:rPr>
        <w:t xml:space="preserve"> propose des guides d’information spécifiques sur l’égalité, la non-discrimination et le harcèlement, ainsi que des listes et un formulaire spécifiques sur le harcèlement.</w:t>
      </w:r>
    </w:p>
    <w:p w14:paraId="2941E279" w14:textId="159C1C6F" w:rsidR="00BB0956" w:rsidRPr="002E4298" w:rsidRDefault="00BB0956" w:rsidP="00A11C35">
      <w:pPr>
        <w:pStyle w:val="SingleTxt"/>
        <w:numPr>
          <w:ilvl w:val="0"/>
          <w:numId w:val="6"/>
        </w:numPr>
        <w:spacing w:line="240" w:lineRule="exact"/>
        <w:rPr>
          <w:lang w:val="fr-FR" w:bidi="fr-FR"/>
        </w:rPr>
      </w:pPr>
      <w:r w:rsidRPr="002E4298">
        <w:rPr>
          <w:lang w:val="fr-FR" w:bidi="fr-FR"/>
        </w:rPr>
        <w:t>Les activités de sensibilisation de l’Autorité en matière d’égalité entre femmes et hommes ciblent également la communauté scolaire, les élèves, le corps enseignant, les parents et les tuteurs et les assistants administratifs, entre autres, dans le cadre du programme « Campagne de retour à l’école ».</w:t>
      </w:r>
    </w:p>
    <w:p w14:paraId="62E33D85" w14:textId="77777777" w:rsidR="00524CC6" w:rsidRPr="002E4298" w:rsidRDefault="00524CC6" w:rsidP="00524CC6">
      <w:pPr>
        <w:pStyle w:val="SingleTxt"/>
        <w:spacing w:after="0" w:line="120" w:lineRule="exact"/>
        <w:rPr>
          <w:sz w:val="10"/>
          <w:lang w:val="fr-FR" w:bidi="fr-FR"/>
        </w:rPr>
      </w:pPr>
    </w:p>
    <w:p w14:paraId="5F9A0DED" w14:textId="2C80BC4C" w:rsidR="00BB0956" w:rsidRPr="002E4298" w:rsidRDefault="00524CC6" w:rsidP="00524C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2E4298">
        <w:rPr>
          <w:lang w:val="fr-FR" w:bidi="fr-FR"/>
        </w:rPr>
        <w:tab/>
      </w:r>
      <w:r w:rsidR="00BB0956" w:rsidRPr="002E4298">
        <w:rPr>
          <w:lang w:val="fr-FR" w:bidi="fr-FR"/>
        </w:rPr>
        <w:t>14.</w:t>
      </w:r>
      <w:r w:rsidR="00BB0956" w:rsidRPr="002E4298">
        <w:rPr>
          <w:lang w:val="fr-FR" w:bidi="fr-FR"/>
        </w:rPr>
        <w:tab/>
        <w:t>Santé (paragraphes 36 et 37)</w:t>
      </w:r>
    </w:p>
    <w:p w14:paraId="61C48C38" w14:textId="4C442DAA" w:rsidR="00524CC6" w:rsidRPr="002E4298" w:rsidRDefault="00524CC6" w:rsidP="00524CC6">
      <w:pPr>
        <w:pStyle w:val="SingleTxt"/>
        <w:spacing w:after="0" w:line="120" w:lineRule="exact"/>
        <w:rPr>
          <w:sz w:val="10"/>
          <w:lang w:val="fr-FR" w:bidi="fr-FR"/>
        </w:rPr>
      </w:pPr>
    </w:p>
    <w:p w14:paraId="3415325D" w14:textId="2D74B687" w:rsidR="00BB0956" w:rsidRPr="002E4298" w:rsidRDefault="00BB0956" w:rsidP="00A11C35">
      <w:pPr>
        <w:pStyle w:val="SingleTxt"/>
        <w:numPr>
          <w:ilvl w:val="0"/>
          <w:numId w:val="6"/>
        </w:numPr>
        <w:tabs>
          <w:tab w:val="num" w:pos="1769"/>
        </w:tabs>
        <w:spacing w:line="240" w:lineRule="exact"/>
        <w:rPr>
          <w:lang w:val="fr-FR"/>
        </w:rPr>
      </w:pPr>
      <w:r w:rsidRPr="002E4298">
        <w:rPr>
          <w:lang w:val="fr-FR" w:bidi="fr-FR"/>
        </w:rPr>
        <w:t>Dans le domaine de la santé, les questions de genre et les inégalités entre les sexes sont abordées dans le cadre des interventions des équipes de santé familiale (Programme national pour la santé des enfants et des adolescents, règlement nº 10/2013 de la Direction générale de la santé – DGS) et des équipes de santé scolaire (Programme national de santé scolaire de la DGS), ainsi que de cours de préparation à l’accouchement et à la parentalité, entre autres, en suivant les manuels techniques qui guident l’intervention des professionnels de la santé dans la prévention des mauvais traitements infligés aux enfants et aux adolescents, ainsi que de la violence sur les adultes, en accordant une attention particulière à la problématique femmes-hommes.</w:t>
      </w:r>
    </w:p>
    <w:p w14:paraId="2C39D787" w14:textId="3B00D828" w:rsidR="00BB0956" w:rsidRPr="002E4298" w:rsidRDefault="00BB0956" w:rsidP="00A11C35">
      <w:pPr>
        <w:pStyle w:val="SingleTxt"/>
        <w:numPr>
          <w:ilvl w:val="0"/>
          <w:numId w:val="6"/>
        </w:numPr>
        <w:tabs>
          <w:tab w:val="num" w:pos="1769"/>
        </w:tabs>
        <w:spacing w:line="240" w:lineRule="exact"/>
        <w:rPr>
          <w:lang w:val="fr-FR"/>
        </w:rPr>
      </w:pPr>
      <w:r w:rsidRPr="002E4298">
        <w:rPr>
          <w:lang w:val="fr-FR" w:bidi="fr-FR"/>
        </w:rPr>
        <w:t>Depuis 2016, la procréation médicalement assistée est autorisée pour toutes les femmes, indépendamment du diagnostic de stérilité, de l’état civil ou de l’orientation sexuelle, y compris pour les couples de femmes.</w:t>
      </w:r>
    </w:p>
    <w:p w14:paraId="420E234B" w14:textId="7E071180" w:rsidR="00BB0956" w:rsidRPr="002E4298" w:rsidRDefault="00BB0956" w:rsidP="00A11C35">
      <w:pPr>
        <w:pStyle w:val="SingleTxt"/>
        <w:numPr>
          <w:ilvl w:val="0"/>
          <w:numId w:val="6"/>
        </w:numPr>
        <w:tabs>
          <w:tab w:val="num" w:pos="1769"/>
        </w:tabs>
        <w:spacing w:line="240" w:lineRule="exact"/>
        <w:rPr>
          <w:lang w:val="fr-FR" w:bidi="fr-FR"/>
        </w:rPr>
      </w:pPr>
      <w:r w:rsidRPr="002E4298">
        <w:rPr>
          <w:lang w:val="fr-FR" w:bidi="fr-FR"/>
        </w:rPr>
        <w:t>L’Action sanitaire sur le genre, la violence et le cycle de vie (ASGVCV), instituée par l’ordonnance nº 6378/2013, vise à homogénéiser l’intervention au niveau national et à exploiter le potentiel des interventions déjà déployées dans les services de santé qui sont considérées comme de bonnes pratiques pour lutter contre la violence. L’Action vise également à promouvoir l’égalité, en particulier l’équité en matière de santé, ainsi que la prévention de la violence interpersonnelle chez les adultes, en articulant l’Action avec d’autres structures similaires dans les services de santé et au sein de la communauté. Il s’agit d’un modèle d’intervention intégré sur les cas de violence interpersonnelle dans les établissements de santé, qui est considéré comme un exemple de bonne pratique par l’Institut européen pour l’égalité entre les femmes et les hommes.</w:t>
      </w:r>
    </w:p>
    <w:p w14:paraId="336CD880" w14:textId="5B642753" w:rsidR="00BB0956" w:rsidRPr="002E4298" w:rsidRDefault="00BB0956" w:rsidP="00A11C35">
      <w:pPr>
        <w:pStyle w:val="SingleTxt"/>
        <w:numPr>
          <w:ilvl w:val="0"/>
          <w:numId w:val="6"/>
        </w:numPr>
        <w:tabs>
          <w:tab w:val="num" w:pos="1769"/>
        </w:tabs>
        <w:spacing w:line="240" w:lineRule="exact"/>
        <w:rPr>
          <w:lang w:val="fr-FR" w:bidi="fr-FR"/>
        </w:rPr>
      </w:pPr>
      <w:r w:rsidRPr="002E4298">
        <w:rPr>
          <w:lang w:val="fr-FR" w:bidi="fr-FR"/>
        </w:rPr>
        <w:t>Dans le cadre de l’Action, 224 équipes de prévention de la violence chez les adultes ont été créées au niveau national (dans des centres de soins de santé primaires et des hôpitaux). Au cours de la même année, les équipes ont signalé 2 434 nouveaux cas de violence interpersonnelle :</w:t>
      </w:r>
    </w:p>
    <w:p w14:paraId="71BA81AF" w14:textId="187A74DE" w:rsidR="00BB0956" w:rsidRPr="002E4298" w:rsidRDefault="00CE767B" w:rsidP="00CE767B">
      <w:pPr>
        <w:pStyle w:val="SingleTxt"/>
        <w:tabs>
          <w:tab w:val="right" w:pos="1685"/>
        </w:tabs>
        <w:ind w:left="1742" w:hanging="475"/>
        <w:rPr>
          <w:lang w:val="fr-FR"/>
        </w:rPr>
      </w:pPr>
      <w:r w:rsidRPr="002E4298">
        <w:rPr>
          <w:lang w:val="fr-FR" w:bidi="fr-FR"/>
        </w:rPr>
        <w:tab/>
        <w:t>•</w:t>
      </w:r>
      <w:r w:rsidRPr="002E4298">
        <w:rPr>
          <w:lang w:val="fr-FR" w:bidi="fr-FR"/>
        </w:rPr>
        <w:tab/>
        <w:t>p</w:t>
      </w:r>
      <w:r w:rsidR="00BB0956" w:rsidRPr="002E4298">
        <w:rPr>
          <w:lang w:val="fr-FR" w:bidi="fr-FR"/>
        </w:rPr>
        <w:t>armi les cas signalés, 25 % concernaient des hommes et 75 % des femmes ;</w:t>
      </w:r>
    </w:p>
    <w:p w14:paraId="1B0E18F4" w14:textId="2CE22E42" w:rsidR="00BB0956" w:rsidRPr="002E4298" w:rsidRDefault="00CE767B" w:rsidP="00CE767B">
      <w:pPr>
        <w:pStyle w:val="SingleTxt"/>
        <w:tabs>
          <w:tab w:val="right" w:pos="1685"/>
        </w:tabs>
        <w:ind w:left="1742" w:hanging="475"/>
        <w:rPr>
          <w:lang w:val="fr-FR"/>
        </w:rPr>
      </w:pPr>
      <w:r w:rsidRPr="002E4298">
        <w:rPr>
          <w:lang w:val="fr-FR" w:bidi="fr-FR"/>
        </w:rPr>
        <w:tab/>
        <w:t>•</w:t>
      </w:r>
      <w:r w:rsidRPr="002E4298">
        <w:rPr>
          <w:lang w:val="fr-FR" w:bidi="fr-FR"/>
        </w:rPr>
        <w:tab/>
      </w:r>
      <w:r w:rsidR="00BB0956" w:rsidRPr="002E4298">
        <w:rPr>
          <w:lang w:val="fr-FR" w:bidi="fr-FR"/>
        </w:rPr>
        <w:t>dans une étude de données partielles sur les cas recensés comme des affaires de violence domestique (554 cas) dans trois des cinq administrations régionales de la santé, 15 % des victimes étaient des hommes et 85 % des femmes ;</w:t>
      </w:r>
    </w:p>
    <w:p w14:paraId="06DFFE38" w14:textId="7C1569FF" w:rsidR="00BB0956" w:rsidRPr="002E4298" w:rsidRDefault="00CE767B" w:rsidP="00CE767B">
      <w:pPr>
        <w:pStyle w:val="SingleTxt"/>
        <w:tabs>
          <w:tab w:val="right" w:pos="1685"/>
        </w:tabs>
        <w:ind w:left="1742" w:hanging="475"/>
        <w:rPr>
          <w:lang w:val="fr-FR"/>
        </w:rPr>
      </w:pPr>
      <w:r w:rsidRPr="002E4298">
        <w:rPr>
          <w:lang w:val="fr-FR" w:bidi="fr-FR"/>
        </w:rPr>
        <w:tab/>
        <w:t>•</w:t>
      </w:r>
      <w:r w:rsidRPr="002E4298">
        <w:rPr>
          <w:lang w:val="fr-FR" w:bidi="fr-FR"/>
        </w:rPr>
        <w:tab/>
      </w:r>
      <w:r w:rsidR="00BB0956" w:rsidRPr="002E4298">
        <w:rPr>
          <w:lang w:val="fr-FR" w:bidi="fr-FR"/>
        </w:rPr>
        <w:t>en 2018, 2 893 nouveaux cas ont été signalés par les équipes.</w:t>
      </w:r>
    </w:p>
    <w:p w14:paraId="5A2858F3" w14:textId="6BF91009" w:rsidR="00BB0956" w:rsidRPr="002E4298" w:rsidRDefault="00BB0956" w:rsidP="00A11C35">
      <w:pPr>
        <w:pStyle w:val="SingleTxt"/>
        <w:numPr>
          <w:ilvl w:val="0"/>
          <w:numId w:val="6"/>
        </w:numPr>
        <w:tabs>
          <w:tab w:val="num" w:pos="1769"/>
        </w:tabs>
        <w:spacing w:line="240" w:lineRule="exact"/>
        <w:rPr>
          <w:lang w:val="fr-FR"/>
        </w:rPr>
      </w:pPr>
      <w:r w:rsidRPr="002E4298">
        <w:rPr>
          <w:lang w:val="fr-FR" w:bidi="fr-FR"/>
        </w:rPr>
        <w:t xml:space="preserve">La préparation des professionnels de la santé aux soins primaires et hospitaliers s’est poursuivie et intensifiée au cours des dernières années, avec l’organisation de </w:t>
      </w:r>
      <w:r w:rsidRPr="002E4298">
        <w:rPr>
          <w:lang w:val="fr-FR" w:bidi="fr-FR"/>
        </w:rPr>
        <w:lastRenderedPageBreak/>
        <w:t>diverses activités de formation par les cinq administrations régionales de la santé, ainsi que dans le cadre d’initiatives dans la région autonome des Açores, et demeure à l’ordre du jour.</w:t>
      </w:r>
    </w:p>
    <w:p w14:paraId="58E93B5E" w14:textId="321ECD11" w:rsidR="00BB0956" w:rsidRPr="002E4298" w:rsidRDefault="00BB0956" w:rsidP="00A11C35">
      <w:pPr>
        <w:pStyle w:val="SingleTxt"/>
        <w:numPr>
          <w:ilvl w:val="0"/>
          <w:numId w:val="6"/>
        </w:numPr>
        <w:tabs>
          <w:tab w:val="num" w:pos="1769"/>
        </w:tabs>
        <w:spacing w:line="240" w:lineRule="exact"/>
        <w:rPr>
          <w:lang w:val="fr-FR" w:bidi="fr-FR"/>
        </w:rPr>
      </w:pPr>
      <w:r w:rsidRPr="002E4298">
        <w:rPr>
          <w:lang w:val="fr-FR" w:bidi="fr-FR"/>
        </w:rPr>
        <w:t>Considérant que la violence interpersonnelle est un problème fréquent dans les relations intimes et familiales, il est apparu nécessaire de définir des protocoles d’intervention structurés.</w:t>
      </w:r>
    </w:p>
    <w:p w14:paraId="06975DDE" w14:textId="70A54C85" w:rsidR="00BB0956" w:rsidRPr="002E4298" w:rsidRDefault="00BB0956" w:rsidP="00A11C35">
      <w:pPr>
        <w:pStyle w:val="SingleTxt"/>
        <w:numPr>
          <w:ilvl w:val="0"/>
          <w:numId w:val="6"/>
        </w:numPr>
        <w:tabs>
          <w:tab w:val="num" w:pos="1769"/>
        </w:tabs>
        <w:spacing w:line="240" w:lineRule="exact"/>
        <w:rPr>
          <w:lang w:val="fr-FR"/>
        </w:rPr>
      </w:pPr>
      <w:r w:rsidRPr="002E4298">
        <w:rPr>
          <w:lang w:val="fr-FR" w:bidi="fr-FR"/>
        </w:rPr>
        <w:t>Le document technique « Violence : approche, diagnostic et intervention dans les services de santé » (2014) et le guide pratique « Violence interpersonnelle : approche, diagnostic et intervention dans les services de santé » (2017), destinés à soutenir l’action clinique en présence de situations de violence, prévoient un protocole d’intervention complet, ainsi que des protocoles complémentaires et plus spécifiques selon le type de violence en question. Parmi les différents types de violence, ces protocoles abordent les situations d’agression sexuelle.</w:t>
      </w:r>
    </w:p>
    <w:p w14:paraId="77F8C385" w14:textId="49AC656F" w:rsidR="00BB0956" w:rsidRPr="002E4298" w:rsidRDefault="00BB0956" w:rsidP="00A11C35">
      <w:pPr>
        <w:pStyle w:val="SingleTxt"/>
        <w:numPr>
          <w:ilvl w:val="0"/>
          <w:numId w:val="6"/>
        </w:numPr>
        <w:tabs>
          <w:tab w:val="num" w:pos="1769"/>
        </w:tabs>
        <w:spacing w:line="240" w:lineRule="exact"/>
        <w:rPr>
          <w:lang w:val="fr-FR"/>
        </w:rPr>
      </w:pPr>
      <w:r w:rsidRPr="002E4298">
        <w:rPr>
          <w:lang w:val="fr-FR" w:bidi="fr-FR"/>
        </w:rPr>
        <w:t>En octobre 2019, un Programme national de prévention de la violence au cours de la vie (Programa Nacional de Prevenção da Violência no Ciclo de Vida) a été instauré par l’ordonnance nº 9494/2019 du Secrétaire d’État à la santé. Coordonné par la Direction générale de la santé, le Programme vise à assurer la détection précoce des situations de violence et des facteurs de risque, à garantir une intervention adéquate dans les cas de violence et à promouvoir des relations interpersonnelles non violentes.</w:t>
      </w:r>
    </w:p>
    <w:p w14:paraId="2914995F" w14:textId="77777777" w:rsidR="00CE767B" w:rsidRPr="002E4298" w:rsidRDefault="00CE767B" w:rsidP="00CE767B">
      <w:pPr>
        <w:pStyle w:val="SingleTxt"/>
        <w:spacing w:after="0" w:line="120" w:lineRule="exact"/>
        <w:rPr>
          <w:sz w:val="10"/>
          <w:lang w:val="fr-FR" w:bidi="fr-FR"/>
        </w:rPr>
      </w:pPr>
    </w:p>
    <w:p w14:paraId="1D71B629" w14:textId="164C9BFE" w:rsidR="00BB0956" w:rsidRPr="002E4298" w:rsidRDefault="00BB0956" w:rsidP="00CE76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2E4298">
        <w:rPr>
          <w:lang w:val="fr-FR" w:bidi="fr-FR"/>
        </w:rPr>
        <w:tab/>
        <w:t>15.</w:t>
      </w:r>
      <w:r w:rsidRPr="002E4298">
        <w:rPr>
          <w:lang w:val="fr-FR" w:bidi="fr-FR"/>
        </w:rPr>
        <w:tab/>
        <w:t>Prêts hypothécaires et crédits financiers (paragraphes 38 et 39)</w:t>
      </w:r>
    </w:p>
    <w:p w14:paraId="140927E2" w14:textId="3E4BBCF4" w:rsidR="00CE767B" w:rsidRPr="002E4298" w:rsidRDefault="00CE767B" w:rsidP="00CE767B">
      <w:pPr>
        <w:pStyle w:val="SingleTxt"/>
        <w:spacing w:after="0" w:line="120" w:lineRule="exact"/>
        <w:rPr>
          <w:sz w:val="10"/>
          <w:lang w:val="fr-FR" w:bidi="fr-FR"/>
        </w:rPr>
      </w:pPr>
    </w:p>
    <w:p w14:paraId="2E660BA7" w14:textId="7A52B6E4" w:rsidR="00BB0956" w:rsidRPr="002E4298" w:rsidRDefault="00BB0956" w:rsidP="00A11C35">
      <w:pPr>
        <w:pStyle w:val="SingleTxt"/>
        <w:numPr>
          <w:ilvl w:val="0"/>
          <w:numId w:val="6"/>
        </w:numPr>
        <w:tabs>
          <w:tab w:val="num" w:pos="1769"/>
        </w:tabs>
        <w:spacing w:line="240" w:lineRule="exact"/>
        <w:rPr>
          <w:lang w:val="fr-FR"/>
        </w:rPr>
      </w:pPr>
      <w:r w:rsidRPr="002E4298">
        <w:rPr>
          <w:lang w:val="fr-FR" w:bidi="fr-FR"/>
        </w:rPr>
        <w:t>La résolution du Conseil des ministres nº 50-</w:t>
      </w:r>
      <w:hyperlink r:id="rId34" w:history="1">
        <w:r w:rsidRPr="002E4298">
          <w:rPr>
            <w:rStyle w:val="Hyperlink"/>
            <w:lang w:val="fr-FR" w:bidi="fr-FR"/>
          </w:rPr>
          <w:t>A/2018</w:t>
        </w:r>
      </w:hyperlink>
      <w:r w:rsidRPr="002E4298">
        <w:rPr>
          <w:lang w:val="fr-FR" w:bidi="fr-FR"/>
        </w:rPr>
        <w:t xml:space="preserve"> du 2 mai 2018 a établi la nouvelle génération de politiques du logement, qui fixe la direction stratégique, les objectifs et les instruments pour une nouvelle génération de politiques du logement. Il s’agit de politiques qui abordent les principaux problèmes structurels en matière d’accès à un logement adéquat et qui s’articulent autour d’instruments qui répondent aux besoins des groupes les plus vulnérables, tels que la Stratégie d’intégration de la communauté rom, la Stratégie nationale pour l’intégration des sans-abri et les mesures de soutien en faveur de la protection et du processus d’autonomisation des victimes de la violence domestique.</w:t>
      </w:r>
    </w:p>
    <w:p w14:paraId="27751BA8" w14:textId="77777777" w:rsidR="00CE767B" w:rsidRPr="002E4298" w:rsidRDefault="00CE767B" w:rsidP="00CE767B">
      <w:pPr>
        <w:pStyle w:val="SingleTxt"/>
        <w:spacing w:after="0" w:line="120" w:lineRule="exact"/>
        <w:rPr>
          <w:sz w:val="10"/>
          <w:lang w:val="fr-FR" w:bidi="fr-FR"/>
        </w:rPr>
      </w:pPr>
    </w:p>
    <w:p w14:paraId="1BD9C775" w14:textId="52B2C41D" w:rsidR="00BB0956" w:rsidRPr="002E4298" w:rsidRDefault="00BB0956" w:rsidP="00CE76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2E4298">
        <w:rPr>
          <w:lang w:val="fr-FR" w:bidi="fr-FR"/>
        </w:rPr>
        <w:tab/>
        <w:t>16.</w:t>
      </w:r>
      <w:r w:rsidRPr="002E4298">
        <w:rPr>
          <w:lang w:val="fr-FR" w:bidi="fr-FR"/>
        </w:rPr>
        <w:tab/>
        <w:t>Femmes rurales (paragraphes 40 et 41)</w:t>
      </w:r>
    </w:p>
    <w:p w14:paraId="2F1A5C56" w14:textId="215513E1" w:rsidR="00CE767B" w:rsidRPr="002E4298" w:rsidRDefault="00CE767B" w:rsidP="00CE767B">
      <w:pPr>
        <w:pStyle w:val="SingleTxt"/>
        <w:spacing w:after="0" w:line="120" w:lineRule="exact"/>
        <w:rPr>
          <w:sz w:val="10"/>
          <w:lang w:val="fr-FR" w:bidi="fr-FR"/>
        </w:rPr>
      </w:pPr>
    </w:p>
    <w:p w14:paraId="0CC5996A" w14:textId="18254AA1" w:rsidR="00BB0956" w:rsidRPr="002E4298" w:rsidRDefault="00BB0956" w:rsidP="00A11C35">
      <w:pPr>
        <w:pStyle w:val="SingleTxt"/>
        <w:numPr>
          <w:ilvl w:val="0"/>
          <w:numId w:val="6"/>
        </w:numPr>
        <w:tabs>
          <w:tab w:val="num" w:pos="1769"/>
        </w:tabs>
        <w:spacing w:line="240" w:lineRule="exact"/>
        <w:rPr>
          <w:lang w:val="fr-FR"/>
        </w:rPr>
      </w:pPr>
      <w:r w:rsidRPr="002E4298">
        <w:rPr>
          <w:lang w:val="fr-FR" w:bidi="fr-FR"/>
        </w:rPr>
        <w:t>Le Portugal reconnaît l’importance du rôle des femmes vivant dans des zones rurales, non seulement en raison de leur influence sur l’économie de ces zones, mais aussi pour leur contribution à la diversification économique, à la conservation de l’environnement et à la préservation du patrimoine naturel.</w:t>
      </w:r>
    </w:p>
    <w:p w14:paraId="139B3D0B" w14:textId="54829F78" w:rsidR="00BB0956" w:rsidRPr="002E4298" w:rsidRDefault="00BB0956" w:rsidP="00A11C35">
      <w:pPr>
        <w:pStyle w:val="SingleTxt"/>
        <w:numPr>
          <w:ilvl w:val="0"/>
          <w:numId w:val="6"/>
        </w:numPr>
        <w:tabs>
          <w:tab w:val="num" w:pos="1769"/>
        </w:tabs>
        <w:spacing w:line="240" w:lineRule="exact"/>
        <w:rPr>
          <w:lang w:val="fr-FR"/>
        </w:rPr>
      </w:pPr>
      <w:r w:rsidRPr="002E4298">
        <w:rPr>
          <w:lang w:val="fr-FR" w:bidi="fr-FR"/>
        </w:rPr>
        <w:t>En ce qui concerne la représentation et la participation, l’Association des agricultrices et des femmes rurales du Portugal – MARP (principale association portugaise représentant les femmes rurales) est représentée à la Commission pour la citoyenneté et l’égalité des genres</w:t>
      </w:r>
      <w:r w:rsidRPr="002E4298" w:rsidDel="00535E0B">
        <w:rPr>
          <w:lang w:val="fr-FR" w:bidi="fr-FR"/>
        </w:rPr>
        <w:t xml:space="preserve"> </w:t>
      </w:r>
      <w:r w:rsidRPr="002E4298">
        <w:rPr>
          <w:lang w:val="fr-FR" w:bidi="fr-FR"/>
        </w:rPr>
        <w:t>et participe à ses travaux au sein de l’organe consultatif de la Commission chargé d’élaborer des politiques publiques dans les domaines de la citoyenneté et de l’égalité des genres.</w:t>
      </w:r>
    </w:p>
    <w:p w14:paraId="4581980D" w14:textId="147F0637" w:rsidR="00BB0956" w:rsidRPr="002E4298" w:rsidRDefault="00BB0956" w:rsidP="00A11C35">
      <w:pPr>
        <w:pStyle w:val="SingleTxt"/>
        <w:numPr>
          <w:ilvl w:val="0"/>
          <w:numId w:val="6"/>
        </w:numPr>
        <w:tabs>
          <w:tab w:val="num" w:pos="1769"/>
        </w:tabs>
        <w:spacing w:line="240" w:lineRule="exact"/>
        <w:rPr>
          <w:lang w:val="fr-FR" w:bidi="fr-FR"/>
        </w:rPr>
      </w:pPr>
      <w:r w:rsidRPr="002E4298">
        <w:rPr>
          <w:lang w:val="fr-FR" w:bidi="fr-FR"/>
        </w:rPr>
        <w:t>En outre, et compte tenu des besoins des femmes rurales dans le domaine de la prévention et de la protection contre la violence, la Stratégie nationale en faveur de l’égalité et de la non-discrimination renforce la couverture nationale des services d’aide et de protection des victimes, en particulier dans les zones rurales et isolées, en renforçant les réseaux locaux entre les municipalités, les ONG féminines et d’autres acteurs. Les protocoles établis entre la Commission pour la citoyenneté et l’égalité des genres</w:t>
      </w:r>
      <w:r w:rsidRPr="002E4298" w:rsidDel="00535E0B">
        <w:rPr>
          <w:lang w:val="fr-FR" w:bidi="fr-FR"/>
        </w:rPr>
        <w:t xml:space="preserve"> </w:t>
      </w:r>
      <w:r w:rsidRPr="002E4298">
        <w:rPr>
          <w:lang w:val="fr-FR" w:bidi="fr-FR"/>
        </w:rPr>
        <w:t>et les municipalités sont un instrument clé à cette fin.</w:t>
      </w:r>
    </w:p>
    <w:p w14:paraId="17B30863" w14:textId="42C98F81" w:rsidR="00BB0956" w:rsidRPr="002E4298" w:rsidRDefault="00BB0956" w:rsidP="00A11C35">
      <w:pPr>
        <w:pStyle w:val="SingleTxt"/>
        <w:numPr>
          <w:ilvl w:val="0"/>
          <w:numId w:val="6"/>
        </w:numPr>
        <w:tabs>
          <w:tab w:val="num" w:pos="1769"/>
        </w:tabs>
        <w:spacing w:line="240" w:lineRule="exact"/>
        <w:rPr>
          <w:lang w:val="fr-FR"/>
        </w:rPr>
      </w:pPr>
      <w:r w:rsidRPr="002E4298">
        <w:rPr>
          <w:lang w:val="fr-FR" w:bidi="fr-FR"/>
        </w:rPr>
        <w:lastRenderedPageBreak/>
        <w:t>En outre, la Stratégie nationale en faveur de l’égalité et de la non-discrimination a également renforcé les mécanismes de prise en compte de la problématique femmes-hommes dans tous les domaines de la gouvernance afin de garantir une intervention intégrée, cohérente et efficace sur le terrain. En particulier, la problématique femmes-hommes est intégrée dans le programme national de valorisation des zones intérieures grâce à de nouveaux protocoles entre l’administration centrale et locale, à un soutien financier aux projets locaux visant à promouvoir l’égalité entre les femmes et les hommes, et au renforcement des réseaux locaux en vue de prévenir et d’éliminer la violence contre les femmes et la violence domestique.</w:t>
      </w:r>
    </w:p>
    <w:p w14:paraId="4A557363" w14:textId="6DDCDC64" w:rsidR="00BB0956" w:rsidRPr="002E4298" w:rsidRDefault="00BB0956" w:rsidP="00A11C35">
      <w:pPr>
        <w:pStyle w:val="SingleTxt"/>
        <w:numPr>
          <w:ilvl w:val="0"/>
          <w:numId w:val="6"/>
        </w:numPr>
        <w:tabs>
          <w:tab w:val="num" w:pos="1769"/>
        </w:tabs>
        <w:spacing w:line="240" w:lineRule="exact"/>
        <w:rPr>
          <w:lang w:val="fr-FR"/>
        </w:rPr>
      </w:pPr>
      <w:r w:rsidRPr="002E4298">
        <w:rPr>
          <w:lang w:val="fr-FR" w:bidi="fr-FR"/>
        </w:rPr>
        <w:t>De plus, en 2018, le Gouvernement a approuvé le statut de petite exploitation agricole familiale. Il s’agit d’un secteur dans lequel les femmes sont très désavantagées. Le statut est supposé avoir une forte incidence sur l’autonomisation et la participation des femmes rurales, en particulier sur le marché du travail agricole, en leur fournissant davantage de compétences, de moyens et un accès à des systèmes de sécurité sociale et d’imposition plus favorables.</w:t>
      </w:r>
    </w:p>
    <w:p w14:paraId="4B388A5C" w14:textId="1BD12F44" w:rsidR="00BB0956" w:rsidRPr="002E4298" w:rsidRDefault="00BB0956" w:rsidP="00A11C35">
      <w:pPr>
        <w:pStyle w:val="SingleTxt"/>
        <w:numPr>
          <w:ilvl w:val="0"/>
          <w:numId w:val="6"/>
        </w:numPr>
        <w:tabs>
          <w:tab w:val="num" w:pos="1769"/>
        </w:tabs>
        <w:spacing w:line="240" w:lineRule="exact"/>
        <w:rPr>
          <w:lang w:val="fr-FR"/>
        </w:rPr>
      </w:pPr>
      <w:r w:rsidRPr="002E4298">
        <w:rPr>
          <w:lang w:val="fr-FR" w:bidi="fr-FR"/>
        </w:rPr>
        <w:t>En 2016, le Gouvernement a mis en place un programme pilote d’enseignement à distance, fondamental pour réduire les pénuries de formation et de compétences, également dans le domaine des technologies de l’information et de la communication. Le programme vise à compléter le réseau traditionnel de l’enseignement secondaire, en apportant une réponse au problème créé par la dispersion géographique, en particulier dans les régions à faible densité de population, telles que les zones rurales, et au besoin ressenti par une part de la population active portugaise qui n’a pas terminé ses études secondaires.</w:t>
      </w:r>
    </w:p>
    <w:p w14:paraId="5320CCC1" w14:textId="572CD153" w:rsidR="00BB0956" w:rsidRPr="002E4298" w:rsidRDefault="00BB0956" w:rsidP="00A11C35">
      <w:pPr>
        <w:pStyle w:val="SingleTxt"/>
        <w:numPr>
          <w:ilvl w:val="0"/>
          <w:numId w:val="6"/>
        </w:numPr>
        <w:tabs>
          <w:tab w:val="num" w:pos="1769"/>
        </w:tabs>
        <w:spacing w:line="240" w:lineRule="exact"/>
        <w:rPr>
          <w:lang w:val="fr-FR" w:bidi="fr-FR"/>
        </w:rPr>
      </w:pPr>
      <w:r w:rsidRPr="002E4298">
        <w:rPr>
          <w:lang w:val="fr-FR" w:bidi="fr-FR"/>
        </w:rPr>
        <w:t>Enfin, les forces de sécurité mettent au point des programmes spéciaux de police de proximité, tels que le Programme de soutien 65 – Sécurité, qui vise à assurer un filet de sécurité pour les personnes âgées isolées ou pour les personnes exposées à l’isolement social, en les soutenant et en les sensibilisant. Le Programme de soutien 65 couvre 94 % du territoire continental.</w:t>
      </w:r>
    </w:p>
    <w:p w14:paraId="2C5BE015" w14:textId="11019A5C" w:rsidR="00BB0956" w:rsidRPr="002E4298" w:rsidRDefault="00BB0956" w:rsidP="00A11C35">
      <w:pPr>
        <w:pStyle w:val="SingleTxt"/>
        <w:numPr>
          <w:ilvl w:val="0"/>
          <w:numId w:val="6"/>
        </w:numPr>
        <w:tabs>
          <w:tab w:val="num" w:pos="1769"/>
        </w:tabs>
        <w:spacing w:line="240" w:lineRule="exact"/>
        <w:rPr>
          <w:lang w:val="fr-FR"/>
        </w:rPr>
      </w:pPr>
      <w:r w:rsidRPr="002E4298">
        <w:rPr>
          <w:lang w:val="fr-FR" w:bidi="fr-FR"/>
        </w:rPr>
        <w:t>En outre, le modèle portugais de développement rural durable vise à renforcer le secteur agro-forestier multifonctionnel au moyen d’une triple approche : premièrement, une approche économique, par la valorisation des biens commercialisables ; deuxièmement, une approche environnementale, par la mise en place de services et d’une gestion durable des ressources ; et troisièmement, une approche territoriale, par le renforcement des territoires en améliorant la gouvernance des communautés locales et de leurs activités connexes.</w:t>
      </w:r>
    </w:p>
    <w:p w14:paraId="37E1C7A1" w14:textId="77777777" w:rsidR="00CE767B" w:rsidRPr="002E4298" w:rsidRDefault="00CE767B" w:rsidP="00CE767B">
      <w:pPr>
        <w:pStyle w:val="SingleTxt"/>
        <w:spacing w:after="0" w:line="120" w:lineRule="exact"/>
        <w:rPr>
          <w:sz w:val="10"/>
          <w:lang w:val="fr-FR" w:bidi="fr-FR"/>
        </w:rPr>
      </w:pPr>
    </w:p>
    <w:p w14:paraId="5BB0428B" w14:textId="6BB4366A" w:rsidR="00BB0956" w:rsidRPr="002E4298" w:rsidRDefault="00BB0956" w:rsidP="00CE76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2E4298">
        <w:rPr>
          <w:lang w:val="fr-FR" w:bidi="fr-FR"/>
        </w:rPr>
        <w:tab/>
        <w:t>17.</w:t>
      </w:r>
      <w:r w:rsidRPr="002E4298">
        <w:rPr>
          <w:lang w:val="fr-FR" w:bidi="fr-FR"/>
        </w:rPr>
        <w:tab/>
        <w:t>Femmes roms (paragraphes 42 et 43)</w:t>
      </w:r>
    </w:p>
    <w:p w14:paraId="7B9872EC" w14:textId="227DAFA9" w:rsidR="00CE767B" w:rsidRPr="002E4298" w:rsidRDefault="00CE767B" w:rsidP="00CE767B">
      <w:pPr>
        <w:pStyle w:val="SingleTxt"/>
        <w:spacing w:after="0" w:line="120" w:lineRule="exact"/>
        <w:rPr>
          <w:sz w:val="10"/>
          <w:lang w:val="fr-FR" w:bidi="fr-FR"/>
        </w:rPr>
      </w:pPr>
    </w:p>
    <w:p w14:paraId="13F5C230" w14:textId="1BB675C3" w:rsidR="00BB0956" w:rsidRPr="002E4298" w:rsidRDefault="00BB0956" w:rsidP="00A11C35">
      <w:pPr>
        <w:pStyle w:val="SingleTxt"/>
        <w:numPr>
          <w:ilvl w:val="0"/>
          <w:numId w:val="6"/>
        </w:numPr>
        <w:tabs>
          <w:tab w:val="num" w:pos="1769"/>
        </w:tabs>
        <w:spacing w:line="240" w:lineRule="exact"/>
        <w:rPr>
          <w:lang w:val="fr-FR" w:bidi="fr-FR"/>
        </w:rPr>
      </w:pPr>
      <w:r w:rsidRPr="002E4298">
        <w:rPr>
          <w:lang w:val="fr-FR" w:bidi="fr-FR"/>
        </w:rPr>
        <w:t>Dans le cadre de la Stratégie nationale en faveur de l’égalité et de la non-discrimination, la Commission pour la citoyenneté et l’égalité des genres</w:t>
      </w:r>
      <w:r w:rsidRPr="002E4298" w:rsidDel="00535E0B">
        <w:rPr>
          <w:lang w:val="fr-FR" w:bidi="fr-FR"/>
        </w:rPr>
        <w:t xml:space="preserve"> </w:t>
      </w:r>
      <w:r w:rsidRPr="002E4298">
        <w:rPr>
          <w:lang w:val="fr-FR" w:bidi="fr-FR"/>
        </w:rPr>
        <w:t>et le Haut-Commissariat aux migrations ont mis en place un certain nombre d’actions s’inscrivant dans le cadre d’une approche intersectionnelle.</w:t>
      </w:r>
    </w:p>
    <w:p w14:paraId="5627704C" w14:textId="2FD35A34" w:rsidR="00BB0956" w:rsidRPr="002E4298" w:rsidRDefault="00BB0956" w:rsidP="00A11C35">
      <w:pPr>
        <w:pStyle w:val="SingleTxt"/>
        <w:numPr>
          <w:ilvl w:val="0"/>
          <w:numId w:val="6"/>
        </w:numPr>
        <w:tabs>
          <w:tab w:val="num" w:pos="1769"/>
        </w:tabs>
        <w:spacing w:line="240" w:lineRule="exact"/>
        <w:rPr>
          <w:lang w:val="fr-FR" w:bidi="fr-FR"/>
        </w:rPr>
      </w:pPr>
      <w:r w:rsidRPr="002E4298">
        <w:rPr>
          <w:lang w:val="fr-FR" w:bidi="fr-FR"/>
        </w:rPr>
        <w:t>Toutes les mesures et tous les indicateurs de la Stratégie nationale en faveur de l’égalité et de la non-discrimination concernant les femmes et les filles roms s’articulent autour de la Stratégie nationale d’intégration des communautés roms 2018-2022</w:t>
      </w:r>
      <w:r w:rsidRPr="002E4298">
        <w:rPr>
          <w:vertAlign w:val="superscript"/>
          <w:lang w:val="fr-FR" w:bidi="fr-FR"/>
        </w:rPr>
        <w:footnoteReference w:id="28"/>
      </w:r>
      <w:r w:rsidRPr="002E4298">
        <w:rPr>
          <w:lang w:val="fr-FR" w:bidi="fr-FR"/>
        </w:rPr>
        <w:t>, qui a été mise à jour notamment en ce qui concerne le renforcement de l’engagement national en faveur de l’amélioration des conditions de vie des femmes et des filles roms.</w:t>
      </w:r>
    </w:p>
    <w:p w14:paraId="420BEAAD" w14:textId="1D3FA196" w:rsidR="00BB0956" w:rsidRPr="002E4298" w:rsidRDefault="00BB0956" w:rsidP="00A11C35">
      <w:pPr>
        <w:pStyle w:val="SingleTxt"/>
        <w:numPr>
          <w:ilvl w:val="0"/>
          <w:numId w:val="6"/>
        </w:numPr>
        <w:tabs>
          <w:tab w:val="num" w:pos="1769"/>
        </w:tabs>
        <w:spacing w:line="240" w:lineRule="exact"/>
        <w:rPr>
          <w:lang w:val="fr-FR"/>
        </w:rPr>
      </w:pPr>
      <w:r w:rsidRPr="002E4298">
        <w:rPr>
          <w:lang w:val="fr-FR" w:bidi="fr-FR"/>
        </w:rPr>
        <w:t xml:space="preserve">Compte tenu de la féminisation croissante des flux migratoires ainsi que des besoins des femmes et des filles roms, le Haut-Commissariat aux migrations s’est </w:t>
      </w:r>
      <w:r w:rsidRPr="002E4298">
        <w:rPr>
          <w:lang w:val="fr-FR" w:bidi="fr-FR"/>
        </w:rPr>
        <w:lastRenderedPageBreak/>
        <w:t>engagé dans l’adoption d’une approche des politiques, services et activités d’intégration tenant compte de la problématique femmes-hommes.</w:t>
      </w:r>
    </w:p>
    <w:p w14:paraId="5E36CB3C" w14:textId="02E27A35" w:rsidR="00BB0956" w:rsidRPr="002E4298" w:rsidRDefault="00BB0956" w:rsidP="00A11C35">
      <w:pPr>
        <w:pStyle w:val="SingleTxt"/>
        <w:numPr>
          <w:ilvl w:val="0"/>
          <w:numId w:val="6"/>
        </w:numPr>
        <w:tabs>
          <w:tab w:val="num" w:pos="1769"/>
        </w:tabs>
        <w:spacing w:line="240" w:lineRule="exact"/>
        <w:rPr>
          <w:lang w:val="fr-FR" w:bidi="fr-FR"/>
        </w:rPr>
      </w:pPr>
      <w:r w:rsidRPr="002E4298">
        <w:rPr>
          <w:lang w:val="fr-FR" w:bidi="fr-FR"/>
        </w:rPr>
        <w:t>En janvier 2019, le Haut-Commissariat aux migrations a créé un domaine d’action sur les inégalités croisées, visant à élaborer et à mettre en œuvre des politiques et des mesures tenant compte de la problématique femmes-hommes pour l’intégration des migrants, y compris les réfugiés et les demandeurs d’asile, et des Roms.</w:t>
      </w:r>
    </w:p>
    <w:p w14:paraId="771F9536" w14:textId="5627F5E7" w:rsidR="00BB0956" w:rsidRPr="002E4298" w:rsidRDefault="00BB0956" w:rsidP="00A11C35">
      <w:pPr>
        <w:pStyle w:val="SingleTxt"/>
        <w:numPr>
          <w:ilvl w:val="0"/>
          <w:numId w:val="6"/>
        </w:numPr>
        <w:tabs>
          <w:tab w:val="num" w:pos="1769"/>
        </w:tabs>
        <w:spacing w:line="240" w:lineRule="exact"/>
        <w:rPr>
          <w:lang w:val="fr-FR" w:bidi="fr-FR"/>
        </w:rPr>
      </w:pPr>
      <w:r w:rsidRPr="002E4298">
        <w:rPr>
          <w:lang w:val="fr-FR" w:bidi="fr-FR"/>
        </w:rPr>
        <w:t>Ce domaine d’action se concentre sur les défis nationaux, européens et internationaux dans le domaine de l’intégration des migrants et des communautés roms, conformément aux recommandations des instruments européens et internationaux, tels que la Convention d’Istanbul et la Stratégie 20du Conseil de l’Europe pour l’égalité entre les femmes et les hommes 2018-2023, ainsi que le Programme 2030 et la Décennie internationale des personnes d’ascendance africaine (2015-2024).</w:t>
      </w:r>
    </w:p>
    <w:p w14:paraId="11AC1F59" w14:textId="33ABF61F" w:rsidR="00BB0956" w:rsidRPr="002E4298" w:rsidRDefault="00BB0956" w:rsidP="00A11C35">
      <w:pPr>
        <w:pStyle w:val="SingleTxt"/>
        <w:numPr>
          <w:ilvl w:val="0"/>
          <w:numId w:val="6"/>
        </w:numPr>
        <w:tabs>
          <w:tab w:val="num" w:pos="1769"/>
        </w:tabs>
        <w:spacing w:line="240" w:lineRule="exact"/>
        <w:rPr>
          <w:lang w:val="fr-FR" w:bidi="fr-FR"/>
        </w:rPr>
      </w:pPr>
      <w:r w:rsidRPr="002E4298">
        <w:rPr>
          <w:lang w:val="fr-FR" w:bidi="fr-FR"/>
        </w:rPr>
        <w:t>Dans le cadre de ladite Décennie, et concernant les femmes, le Haut-Commissariat aux migrations a encouragé des initiatives relatives au dialogue et à la mise en réseau, à savoir une rencontre-débat sur le thème « Effacées, réduites au silence, invisibles », entre des organisations de la société civile et des collectifs de femmes, en partenariat avec la Fondation du Musée Calouste Gulbenkian. La rencontre a eu lieu en mars 2019, et le débat a eu pour fil directeur le travail de l’artiste Yto Barrada, avec des œuvres fortement marquées par des récits d’histoires et d’identités, dans le cadre de sa relation avec le passé colonial et post-colonial, et de son rapport à l’Occident.</w:t>
      </w:r>
    </w:p>
    <w:p w14:paraId="133B4E02" w14:textId="4076E799" w:rsidR="00BB0956" w:rsidRPr="002E4298" w:rsidRDefault="00BB0956" w:rsidP="00A11C35">
      <w:pPr>
        <w:pStyle w:val="SingleTxt"/>
        <w:numPr>
          <w:ilvl w:val="0"/>
          <w:numId w:val="6"/>
        </w:numPr>
        <w:tabs>
          <w:tab w:val="num" w:pos="1769"/>
        </w:tabs>
        <w:spacing w:line="240" w:lineRule="exact"/>
        <w:rPr>
          <w:lang w:val="fr-FR"/>
        </w:rPr>
      </w:pPr>
      <w:r w:rsidRPr="002E4298">
        <w:rPr>
          <w:lang w:val="fr-FR" w:bidi="fr-FR"/>
        </w:rPr>
        <w:t>En outre, le Haut-Commissariat aux migrations a organisé un séminaire international, en collaboration avec le Réseau européen des femmes migrantes, intitulé « Intersectionnalité : la situation des femmes noires et des femmes d’ascendance africaine ».</w:t>
      </w:r>
    </w:p>
    <w:p w14:paraId="652C70CD" w14:textId="0DFA5FC5" w:rsidR="00BB0956" w:rsidRPr="002E4298" w:rsidRDefault="00BB0956" w:rsidP="00A11C35">
      <w:pPr>
        <w:pStyle w:val="SingleTxt"/>
        <w:numPr>
          <w:ilvl w:val="0"/>
          <w:numId w:val="6"/>
        </w:numPr>
        <w:tabs>
          <w:tab w:val="num" w:pos="1769"/>
        </w:tabs>
        <w:spacing w:line="240" w:lineRule="exact"/>
        <w:rPr>
          <w:lang w:val="fr-FR"/>
        </w:rPr>
      </w:pPr>
      <w:r w:rsidRPr="002E4298">
        <w:rPr>
          <w:lang w:val="fr-FR" w:bidi="fr-FR"/>
        </w:rPr>
        <w:t>Le discours d’ouverture a été prononcé par l’ancienne Présidente du Comité des Nations Unies pour l’élimination de la discrimination à l’égard des femmes et actuelle Présidente du groupe de travail chargé de préparer la recommandation générale relative à la traite des femmes et des filles dans le contexte des migrations mondiales, M</w:t>
      </w:r>
      <w:r w:rsidRPr="002E4298">
        <w:rPr>
          <w:vertAlign w:val="superscript"/>
          <w:lang w:val="fr-FR" w:bidi="fr-FR"/>
        </w:rPr>
        <w:t>me</w:t>
      </w:r>
      <w:r w:rsidRPr="002E4298">
        <w:rPr>
          <w:lang w:val="fr-FR" w:bidi="fr-FR"/>
        </w:rPr>
        <w:t> Dalia Leinarte.</w:t>
      </w:r>
    </w:p>
    <w:p w14:paraId="74F04CA6" w14:textId="0A09126B" w:rsidR="00BB0956" w:rsidRPr="002E4298" w:rsidRDefault="00BB0956" w:rsidP="00A11C35">
      <w:pPr>
        <w:pStyle w:val="SingleTxt"/>
        <w:numPr>
          <w:ilvl w:val="0"/>
          <w:numId w:val="6"/>
        </w:numPr>
        <w:tabs>
          <w:tab w:val="num" w:pos="1769"/>
        </w:tabs>
        <w:spacing w:line="240" w:lineRule="exact"/>
        <w:rPr>
          <w:lang w:val="fr-FR"/>
        </w:rPr>
      </w:pPr>
      <w:r w:rsidRPr="002E4298">
        <w:rPr>
          <w:lang w:val="fr-FR" w:bidi="fr-FR"/>
        </w:rPr>
        <w:t>Le séminaire s’est tenu en mai 2019, à Lisbonne, pour marquer la Journée de l’Afrique, célébrée le 25 mai.</w:t>
      </w:r>
    </w:p>
    <w:p w14:paraId="41B976E3" w14:textId="723E0D75" w:rsidR="00BB0956" w:rsidRPr="002E4298" w:rsidRDefault="00BB0956" w:rsidP="00A11C35">
      <w:pPr>
        <w:pStyle w:val="SingleTxt"/>
        <w:numPr>
          <w:ilvl w:val="0"/>
          <w:numId w:val="6"/>
        </w:numPr>
        <w:tabs>
          <w:tab w:val="num" w:pos="1769"/>
        </w:tabs>
        <w:spacing w:line="240" w:lineRule="exact"/>
        <w:rPr>
          <w:lang w:val="fr-FR"/>
        </w:rPr>
      </w:pPr>
      <w:r w:rsidRPr="002E4298">
        <w:rPr>
          <w:lang w:val="fr-FR" w:bidi="fr-FR"/>
        </w:rPr>
        <w:t>De sessions et des ateliers de sensibilisation à l’égalité des genres, à la violence à l’égard des femmes et à la violence domestique (y compris les pratiques traditionnelles préjudiciables) ainsi qu’à la traite des êtres humains ont été organisés tout au long de l’année 2018 à l’intention des professionnels qui travaillent directement ou indirectement auprès des communautés migrantes et roms, dans les centres nationaux et locaux de soutien à l’intégration des migrants et dans le cadre du programme « Choix » (qui vise à promouvoir l’inclusion des enfants et des jeunes vulnérables, et à favoriser l’égalité et la cohésion sociale) :</w:t>
      </w:r>
    </w:p>
    <w:p w14:paraId="0312C29A" w14:textId="08722CE7" w:rsidR="00BB0956" w:rsidRPr="002E4298" w:rsidRDefault="002A1DB7" w:rsidP="00CE767B">
      <w:pPr>
        <w:pStyle w:val="SingleTxt"/>
        <w:tabs>
          <w:tab w:val="right" w:pos="1685"/>
        </w:tabs>
        <w:ind w:left="1742" w:hanging="475"/>
        <w:rPr>
          <w:lang w:val="fr-FR" w:bidi="fr-FR"/>
        </w:rPr>
      </w:pPr>
      <w:r w:rsidRPr="002E4298">
        <w:rPr>
          <w:lang w:val="fr-FR" w:bidi="fr-FR"/>
        </w:rPr>
        <w:tab/>
        <w:t>•</w:t>
      </w:r>
      <w:r w:rsidRPr="002E4298">
        <w:rPr>
          <w:lang w:val="fr-FR" w:bidi="fr-FR"/>
        </w:rPr>
        <w:tab/>
      </w:r>
      <w:r w:rsidR="00BB0956" w:rsidRPr="002E4298">
        <w:rPr>
          <w:lang w:val="fr-FR" w:bidi="fr-FR"/>
        </w:rPr>
        <w:t>deux sessions de sensibilisation aux mariages forcés et précoces au centre national de soutien à l’intégration des migrants de Lisbonne, avec 27 participants (24 femmes et 3 hommes) ;</w:t>
      </w:r>
    </w:p>
    <w:p w14:paraId="01C04326" w14:textId="02A35B2E" w:rsidR="00BB0956" w:rsidRPr="002E4298" w:rsidRDefault="002A1DB7" w:rsidP="00CE767B">
      <w:pPr>
        <w:pStyle w:val="SingleTxt"/>
        <w:tabs>
          <w:tab w:val="right" w:pos="1685"/>
        </w:tabs>
        <w:ind w:left="1742" w:hanging="475"/>
        <w:rPr>
          <w:lang w:val="fr-FR" w:bidi="fr-FR"/>
        </w:rPr>
      </w:pPr>
      <w:r w:rsidRPr="002E4298">
        <w:rPr>
          <w:lang w:val="fr-FR" w:bidi="fr-FR"/>
        </w:rPr>
        <w:tab/>
        <w:t>•</w:t>
      </w:r>
      <w:r w:rsidRPr="002E4298">
        <w:rPr>
          <w:lang w:val="fr-FR" w:bidi="fr-FR"/>
        </w:rPr>
        <w:tab/>
      </w:r>
      <w:r w:rsidR="00BB0956" w:rsidRPr="002E4298">
        <w:rPr>
          <w:lang w:val="fr-FR" w:bidi="fr-FR"/>
        </w:rPr>
        <w:t>deux ateliers sur l’égalité des genres dans les centres nationaux de soutien à l’intégration des migrants de Lisbonne et Porto, avec 57 participants (46 femmes et 11 hommes) ;</w:t>
      </w:r>
    </w:p>
    <w:p w14:paraId="47DCBAEF" w14:textId="4C0D9886" w:rsidR="00BB0956" w:rsidRPr="002E4298" w:rsidRDefault="002A1DB7" w:rsidP="00CE767B">
      <w:pPr>
        <w:pStyle w:val="SingleTxt"/>
        <w:tabs>
          <w:tab w:val="right" w:pos="1685"/>
        </w:tabs>
        <w:ind w:left="1742" w:hanging="475"/>
        <w:rPr>
          <w:lang w:val="fr-FR" w:bidi="fr-FR"/>
        </w:rPr>
      </w:pPr>
      <w:r w:rsidRPr="002E4298">
        <w:rPr>
          <w:lang w:val="fr-FR" w:bidi="fr-FR"/>
        </w:rPr>
        <w:lastRenderedPageBreak/>
        <w:tab/>
        <w:t>•</w:t>
      </w:r>
      <w:r w:rsidRPr="002E4298">
        <w:rPr>
          <w:lang w:val="fr-FR" w:bidi="fr-FR"/>
        </w:rPr>
        <w:tab/>
      </w:r>
      <w:r w:rsidR="00BB0956" w:rsidRPr="002E4298">
        <w:rPr>
          <w:lang w:val="fr-FR" w:bidi="fr-FR"/>
        </w:rPr>
        <w:t>trois ateliers sur la violence domestique dans les centres nationaux de soutien à l’intégration des migrants de Lisbonne et Porto, avec 72 participants (58 femmes et 14 hommes) ;</w:t>
      </w:r>
    </w:p>
    <w:p w14:paraId="79FC4127" w14:textId="427AB425" w:rsidR="00BB0956" w:rsidRPr="002E4298" w:rsidRDefault="002A1DB7" w:rsidP="00CE767B">
      <w:pPr>
        <w:pStyle w:val="SingleTxt"/>
        <w:tabs>
          <w:tab w:val="right" w:pos="1685"/>
        </w:tabs>
        <w:ind w:left="1742" w:hanging="475"/>
        <w:rPr>
          <w:lang w:val="fr-FR"/>
        </w:rPr>
      </w:pPr>
      <w:r w:rsidRPr="002E4298">
        <w:rPr>
          <w:lang w:val="fr-FR" w:bidi="fr-FR"/>
        </w:rPr>
        <w:tab/>
        <w:t>•</w:t>
      </w:r>
      <w:r w:rsidRPr="002E4298">
        <w:rPr>
          <w:lang w:val="fr-FR" w:bidi="fr-FR"/>
        </w:rPr>
        <w:tab/>
      </w:r>
      <w:r w:rsidR="00BB0956" w:rsidRPr="002E4298">
        <w:rPr>
          <w:lang w:val="fr-FR" w:bidi="fr-FR"/>
        </w:rPr>
        <w:t>deux sessions de sensibilisation à la traite des êtres humains pour les bénéficiaires du Programme « Choix » et le réseau de partenaires de Lisbonne et Porto, avec 38 participants (36 femmes et 2 hommes).</w:t>
      </w:r>
    </w:p>
    <w:p w14:paraId="5D5C61AA" w14:textId="7395A6B7" w:rsidR="00BB0956" w:rsidRPr="002E4298" w:rsidRDefault="00BB0956" w:rsidP="00A11C35">
      <w:pPr>
        <w:pStyle w:val="SingleTxt"/>
        <w:numPr>
          <w:ilvl w:val="0"/>
          <w:numId w:val="6"/>
        </w:numPr>
        <w:tabs>
          <w:tab w:val="num" w:pos="1769"/>
        </w:tabs>
        <w:spacing w:line="240" w:lineRule="exact"/>
        <w:rPr>
          <w:lang w:val="fr-FR"/>
        </w:rPr>
      </w:pPr>
      <w:r w:rsidRPr="002E4298">
        <w:rPr>
          <w:lang w:val="fr-FR" w:bidi="fr-FR"/>
        </w:rPr>
        <w:t>Le programme opérationnel pour la promotion de l’éducation est une initiative qui accorde des bourses et offre des tuteurs aux jeunes des communautés roms inscrits dans l’enseignement supérieur. Pour l’année scolaire 2017/2018, le taux de réussite scolaire des jeunes ayant participé à ce programme a été de 64 % en moyenne, et de 75 % en ce qui concerne les filles roms.</w:t>
      </w:r>
    </w:p>
    <w:p w14:paraId="543DBCC8" w14:textId="77777777" w:rsidR="003531E2" w:rsidRPr="002E4298" w:rsidRDefault="003531E2" w:rsidP="003531E2">
      <w:pPr>
        <w:pStyle w:val="SingleTxt"/>
        <w:spacing w:after="0" w:line="120" w:lineRule="exact"/>
        <w:rPr>
          <w:sz w:val="10"/>
          <w:lang w:val="fr-FR" w:bidi="fr-FR"/>
        </w:rPr>
      </w:pPr>
    </w:p>
    <w:p w14:paraId="3C1B9132" w14:textId="5F802011" w:rsidR="00BB0956" w:rsidRPr="002E4298" w:rsidRDefault="00BB0956" w:rsidP="003531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2E4298">
        <w:rPr>
          <w:lang w:val="fr-FR" w:bidi="fr-FR"/>
        </w:rPr>
        <w:tab/>
        <w:t>18.</w:t>
      </w:r>
      <w:r w:rsidRPr="002E4298">
        <w:rPr>
          <w:lang w:val="fr-FR" w:bidi="fr-FR"/>
        </w:rPr>
        <w:tab/>
        <w:t>Mariage et relations familiales (paragraphes 44 et 45)</w:t>
      </w:r>
    </w:p>
    <w:p w14:paraId="515B1D18" w14:textId="2F77F14B" w:rsidR="003531E2" w:rsidRPr="002E4298" w:rsidRDefault="003531E2" w:rsidP="003531E2">
      <w:pPr>
        <w:pStyle w:val="SingleTxt"/>
        <w:spacing w:after="0" w:line="120" w:lineRule="exact"/>
        <w:rPr>
          <w:sz w:val="10"/>
          <w:lang w:val="fr-FR" w:bidi="fr-FR"/>
        </w:rPr>
      </w:pPr>
    </w:p>
    <w:p w14:paraId="089E0E39" w14:textId="2D2E1353" w:rsidR="00BB0956" w:rsidRPr="002E4298" w:rsidRDefault="00BB0956" w:rsidP="00A11C35">
      <w:pPr>
        <w:pStyle w:val="SingleTxt"/>
        <w:numPr>
          <w:ilvl w:val="0"/>
          <w:numId w:val="6"/>
        </w:numPr>
        <w:tabs>
          <w:tab w:val="num" w:pos="1769"/>
        </w:tabs>
        <w:spacing w:line="240" w:lineRule="exact"/>
        <w:rPr>
          <w:lang w:val="fr-FR" w:bidi="fr-FR"/>
        </w:rPr>
      </w:pPr>
      <w:r w:rsidRPr="002E4298">
        <w:rPr>
          <w:lang w:val="fr-FR" w:bidi="fr-FR"/>
        </w:rPr>
        <w:t>La loi nº 85/2019 du 3 septembre 2019 a supprimé le délai imposé aux femmes pour se remarier après un divorce, éliminant ainsi la discrimination existante entre les hommes et les femmes.</w:t>
      </w:r>
    </w:p>
    <w:p w14:paraId="32945921" w14:textId="37EB37FD" w:rsidR="00BB0956" w:rsidRPr="002E4298" w:rsidRDefault="00BB0956" w:rsidP="00A11C35">
      <w:pPr>
        <w:pStyle w:val="SingleTxt"/>
        <w:numPr>
          <w:ilvl w:val="0"/>
          <w:numId w:val="6"/>
        </w:numPr>
        <w:tabs>
          <w:tab w:val="num" w:pos="1769"/>
        </w:tabs>
        <w:spacing w:line="240" w:lineRule="exact"/>
        <w:rPr>
          <w:lang w:val="fr-FR"/>
        </w:rPr>
      </w:pPr>
      <w:r w:rsidRPr="002E4298">
        <w:rPr>
          <w:lang w:val="fr-FR" w:bidi="fr-FR"/>
        </w:rPr>
        <w:t>L’âge minimum légal pour se marier est 18 ans, qui est l’âge de la pleine capacité juridique. Les enfants de plus de 16 ans ne peuvent se marier qu’avec l’accord d’un parent ou d’un tuteur, accord que le fonctionnaire de l’état civil peut révoquer uniquement dans des circonstances très exceptionnelles. Le mariage des enfants de moins de 16 ans est interdit dans tous les cas.</w:t>
      </w:r>
    </w:p>
    <w:p w14:paraId="002C1837" w14:textId="24C51EB3" w:rsidR="00BB0956" w:rsidRPr="002E4298" w:rsidRDefault="00BB0956" w:rsidP="00A11C35">
      <w:pPr>
        <w:pStyle w:val="SingleTxt"/>
        <w:numPr>
          <w:ilvl w:val="0"/>
          <w:numId w:val="6"/>
        </w:numPr>
        <w:tabs>
          <w:tab w:val="num" w:pos="1769"/>
        </w:tabs>
        <w:spacing w:line="240" w:lineRule="exact"/>
        <w:rPr>
          <w:lang w:val="fr-FR" w:bidi="fr-FR"/>
        </w:rPr>
      </w:pPr>
      <w:r w:rsidRPr="002E4298">
        <w:rPr>
          <w:lang w:val="fr-FR" w:bidi="fr-FR"/>
        </w:rPr>
        <w:t>En outre, comme indiqué plus haut, quiconque oblige autrui à contracter un mariage ou une union comparable au mariage commet un délit. En cas de soupçon de mariage forcé, le fonctionnaire de l’état civil doit refuser d’enregistrer le mariage et, s’il s’agit d’un enfant, saisir la Commission nationale pour la promotion des droits et la protection des enfants et des jeunes. Tout mariage contracté sous la contrainte encourt la nullité.</w:t>
      </w:r>
    </w:p>
    <w:p w14:paraId="4712F19D" w14:textId="77777777" w:rsidR="003531E2" w:rsidRPr="002E4298" w:rsidRDefault="003531E2" w:rsidP="003531E2">
      <w:pPr>
        <w:pStyle w:val="SingleTxt"/>
        <w:spacing w:after="0" w:line="120" w:lineRule="exact"/>
        <w:rPr>
          <w:sz w:val="10"/>
          <w:lang w:val="fr-FR" w:bidi="fr-FR"/>
        </w:rPr>
      </w:pPr>
    </w:p>
    <w:p w14:paraId="36A9A590" w14:textId="121EF40E" w:rsidR="00BB0956" w:rsidRPr="002E4298" w:rsidRDefault="00BB0956" w:rsidP="003531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2E4298">
        <w:rPr>
          <w:lang w:val="fr-FR" w:bidi="fr-FR"/>
        </w:rPr>
        <w:tab/>
        <w:t>19.</w:t>
      </w:r>
      <w:r w:rsidRPr="002E4298">
        <w:rPr>
          <w:lang w:val="fr-FR" w:bidi="fr-FR"/>
        </w:rPr>
        <w:tab/>
        <w:t>Déclaration et Programme d’action de Beijing (paragraphe 46)</w:t>
      </w:r>
    </w:p>
    <w:p w14:paraId="488566AC" w14:textId="40C0A70E" w:rsidR="003531E2" w:rsidRPr="002E4298" w:rsidRDefault="003531E2" w:rsidP="003531E2">
      <w:pPr>
        <w:pStyle w:val="SingleTxt"/>
        <w:spacing w:after="0" w:line="120" w:lineRule="exact"/>
        <w:rPr>
          <w:sz w:val="10"/>
          <w:lang w:val="fr-FR" w:bidi="fr-FR"/>
        </w:rPr>
      </w:pPr>
    </w:p>
    <w:p w14:paraId="254145E7" w14:textId="49CBD2BF" w:rsidR="00BB0956" w:rsidRPr="002E4298" w:rsidRDefault="00BB0956" w:rsidP="00A11C35">
      <w:pPr>
        <w:pStyle w:val="SingleTxt"/>
        <w:numPr>
          <w:ilvl w:val="0"/>
          <w:numId w:val="6"/>
        </w:numPr>
        <w:spacing w:line="240" w:lineRule="exact"/>
        <w:rPr>
          <w:lang w:val="fr-FR" w:bidi="fr-FR"/>
        </w:rPr>
      </w:pPr>
      <w:r w:rsidRPr="002E4298">
        <w:rPr>
          <w:lang w:val="fr-FR" w:bidi="fr-FR"/>
        </w:rPr>
        <w:t>Le Portugal a présenté son rapport « Beijing+25 » en juin 2019</w:t>
      </w:r>
      <w:r w:rsidRPr="002E4298">
        <w:rPr>
          <w:vertAlign w:val="superscript"/>
          <w:lang w:val="fr-FR" w:bidi="fr-FR"/>
        </w:rPr>
        <w:footnoteReference w:id="29"/>
      </w:r>
      <w:r w:rsidRPr="002E4298">
        <w:rPr>
          <w:lang w:val="fr-FR" w:bidi="fr-FR"/>
        </w:rPr>
        <w:t>.</w:t>
      </w:r>
    </w:p>
    <w:p w14:paraId="74A0178D" w14:textId="77777777" w:rsidR="003531E2" w:rsidRPr="002E4298" w:rsidRDefault="003531E2" w:rsidP="003531E2">
      <w:pPr>
        <w:pStyle w:val="SingleTxt"/>
        <w:spacing w:after="0" w:line="120" w:lineRule="exact"/>
        <w:rPr>
          <w:sz w:val="10"/>
          <w:lang w:val="fr-FR" w:bidi="fr-FR"/>
        </w:rPr>
      </w:pPr>
    </w:p>
    <w:p w14:paraId="542386CF" w14:textId="3CB46AAB" w:rsidR="00BB0956" w:rsidRPr="002E4298" w:rsidRDefault="00BB0956" w:rsidP="003531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2E4298">
        <w:rPr>
          <w:lang w:val="fr-FR" w:bidi="fr-FR"/>
        </w:rPr>
        <w:tab/>
        <w:t>20.</w:t>
      </w:r>
      <w:r w:rsidRPr="002E4298">
        <w:rPr>
          <w:lang w:val="fr-FR" w:bidi="fr-FR"/>
        </w:rPr>
        <w:tab/>
        <w:t>Programme de développement durable à l’horizon 2030 (paragraphe 47)</w:t>
      </w:r>
    </w:p>
    <w:p w14:paraId="706CF211" w14:textId="1E8F6F1D" w:rsidR="003531E2" w:rsidRPr="002E4298" w:rsidRDefault="003531E2" w:rsidP="003531E2">
      <w:pPr>
        <w:pStyle w:val="SingleTxt"/>
        <w:spacing w:after="0" w:line="120" w:lineRule="exact"/>
        <w:rPr>
          <w:sz w:val="10"/>
          <w:lang w:val="fr-FR" w:bidi="fr-FR"/>
        </w:rPr>
      </w:pPr>
    </w:p>
    <w:p w14:paraId="71F78F82" w14:textId="2115E717" w:rsidR="00BB0956" w:rsidRPr="002E4298" w:rsidRDefault="00BB0956" w:rsidP="00A11C35">
      <w:pPr>
        <w:pStyle w:val="SingleTxt"/>
        <w:numPr>
          <w:ilvl w:val="0"/>
          <w:numId w:val="6"/>
        </w:numPr>
        <w:tabs>
          <w:tab w:val="num" w:pos="1769"/>
        </w:tabs>
        <w:spacing w:line="240" w:lineRule="exact"/>
        <w:rPr>
          <w:lang w:val="fr-FR"/>
        </w:rPr>
      </w:pPr>
      <w:r w:rsidRPr="002E4298">
        <w:rPr>
          <w:lang w:val="fr-FR" w:bidi="fr-FR"/>
        </w:rPr>
        <w:t>Comme signe de l’engagement national en faveur du Programme de développement durable à l’horizon 2030, le Portugal a présenté en juillet 2017 son premier rapport national volontaire, un outil de base et un exercice fondamental d’analyse politique et d’alignement stratégique pour la mise en œuvre du Programme 2030 dans le pays.</w:t>
      </w:r>
    </w:p>
    <w:p w14:paraId="4149660A" w14:textId="178CEADC" w:rsidR="00BB0956" w:rsidRPr="002E4298" w:rsidRDefault="00BB0956" w:rsidP="00A11C35">
      <w:pPr>
        <w:pStyle w:val="SingleTxt"/>
        <w:numPr>
          <w:ilvl w:val="0"/>
          <w:numId w:val="6"/>
        </w:numPr>
        <w:tabs>
          <w:tab w:val="num" w:pos="1769"/>
        </w:tabs>
        <w:spacing w:line="240" w:lineRule="exact"/>
        <w:rPr>
          <w:lang w:val="fr-FR"/>
        </w:rPr>
      </w:pPr>
      <w:r w:rsidRPr="002E4298">
        <w:rPr>
          <w:lang w:val="fr-FR" w:bidi="fr-FR"/>
        </w:rPr>
        <w:t>Parmi les 17 objectifs de développement durable (ODD), le Portugal a établi comme priorité l’objectif 4 « Éducation de qualité », l’objectif 5 « Égalité entre les sexes », l’objectif 9 « Industrie, innovation et infrastructure », l’objectif 10 « Inégalités réduites », l’objectif 13 « Mesures relatives à la lutte contre les changements climatiques » et l’objectif 14 « Vie aquatique ». D’une part, ils reflètent les trois dimensions du développement durable : l’économie, la société et l’environnement ; d’autre part, le Portugal estime que des résultats positifs concernant ces objectifs contribueront directement à la réalisation des objectifs de développement durable restants d’ici à 2030.</w:t>
      </w:r>
    </w:p>
    <w:p w14:paraId="37DC5231" w14:textId="118C8281" w:rsidR="00BB0956" w:rsidRPr="002E4298" w:rsidRDefault="00BB0956" w:rsidP="00A11C35">
      <w:pPr>
        <w:pStyle w:val="SingleTxt"/>
        <w:numPr>
          <w:ilvl w:val="0"/>
          <w:numId w:val="6"/>
        </w:numPr>
        <w:tabs>
          <w:tab w:val="num" w:pos="1769"/>
        </w:tabs>
        <w:spacing w:line="240" w:lineRule="exact"/>
        <w:rPr>
          <w:lang w:val="fr-FR"/>
        </w:rPr>
      </w:pPr>
      <w:r w:rsidRPr="002E4298">
        <w:rPr>
          <w:lang w:val="fr-FR" w:bidi="fr-FR"/>
        </w:rPr>
        <w:t xml:space="preserve">Selon l’étude « Mesurer la distance à parcourir pour atteindre les cibles des ODD 2019 » de l’OCDE, le Portugal se situe au-dessus de la moyenne des pays ayant </w:t>
      </w:r>
      <w:r w:rsidRPr="002E4298">
        <w:rPr>
          <w:lang w:val="fr-FR" w:bidi="fr-FR"/>
        </w:rPr>
        <w:lastRenderedPageBreak/>
        <w:t>atteint les cibles des objectifs de développement durable 7, 13 et 14, liés à l’énergie, au climat et aux océans. Le pays a obtenu des résultats supérieurs à la moyenne pour les objectifs liés à l’égalité des genres, au climat, aux océans, à l’énergie et aux institutions (objectifs 5, 13, 14, 7 et 16), et inférieurs à la moyenne concernant les objectifs liés à la production durable et aux villes (objectifs 11 et 12).</w:t>
      </w:r>
    </w:p>
    <w:p w14:paraId="1A4A035C" w14:textId="544FCD16" w:rsidR="00BB0956" w:rsidRPr="002E4298" w:rsidRDefault="00BB0956" w:rsidP="00A11C35">
      <w:pPr>
        <w:pStyle w:val="SingleTxt"/>
        <w:numPr>
          <w:ilvl w:val="0"/>
          <w:numId w:val="6"/>
        </w:numPr>
        <w:tabs>
          <w:tab w:val="num" w:pos="1769"/>
        </w:tabs>
        <w:spacing w:line="240" w:lineRule="exact"/>
        <w:rPr>
          <w:lang w:val="fr-FR"/>
        </w:rPr>
      </w:pPr>
      <w:r w:rsidRPr="002E4298">
        <w:rPr>
          <w:lang w:val="fr-FR" w:bidi="fr-FR"/>
        </w:rPr>
        <w:t>Pour mettre en œuvre l’objectif de développement durable 5, le Secrétaire d’État à la citoyenneté et à l’égalité a mis en place, en 2016, un groupe de travail composé des principales parties prenantes (publiques, privées et ONG). Il est important de souligner que la Stratégie nationale en faveur de l’égalité et de la non-discrimination est alignée sur le Programme 2030.</w:t>
      </w:r>
    </w:p>
    <w:p w14:paraId="246FA6EE" w14:textId="49DB6650" w:rsidR="00BB0956" w:rsidRPr="002E4298" w:rsidRDefault="00BB0956" w:rsidP="00A11C35">
      <w:pPr>
        <w:pStyle w:val="SingleTxt"/>
        <w:numPr>
          <w:ilvl w:val="0"/>
          <w:numId w:val="6"/>
        </w:numPr>
        <w:tabs>
          <w:tab w:val="num" w:pos="1769"/>
        </w:tabs>
        <w:spacing w:line="240" w:lineRule="exact"/>
        <w:rPr>
          <w:lang w:val="fr-FR"/>
        </w:rPr>
      </w:pPr>
      <w:r w:rsidRPr="002E4298">
        <w:rPr>
          <w:lang w:val="fr-FR" w:bidi="fr-FR"/>
        </w:rPr>
        <w:t>En outre, la collecte et la compilation de données sur les indicateurs de l’objectif de développement durable 5 et sur les indicateurs spécifiques au genre dans le cadre d’autres objectif de développement durable ont commencé. Veuillez consulter la publication et les tableaux relatifs aux objectifs de développement durable.</w:t>
      </w:r>
    </w:p>
    <w:p w14:paraId="6A63CF60" w14:textId="3FE65C10" w:rsidR="00BB0956" w:rsidRPr="002E4298" w:rsidRDefault="00BB0956" w:rsidP="00A11C35">
      <w:pPr>
        <w:pStyle w:val="SingleTxt"/>
        <w:numPr>
          <w:ilvl w:val="0"/>
          <w:numId w:val="6"/>
        </w:numPr>
        <w:tabs>
          <w:tab w:val="num" w:pos="1769"/>
        </w:tabs>
        <w:spacing w:line="240" w:lineRule="exact"/>
        <w:rPr>
          <w:lang w:val="fr-FR"/>
        </w:rPr>
      </w:pPr>
      <w:r w:rsidRPr="002E4298">
        <w:rPr>
          <w:lang w:val="fr-FR" w:bidi="fr-FR"/>
        </w:rPr>
        <w:t>En 2019, la Commission nationale pour la promotion des droits et la protection de l’enfance et de la jeunesse s’est attachée à intégrer la participation des enfants dans la prise de décision publique, ce qui devrait avoir une incidence directe sur la réalisation de l’objectif 5 ainsi que des objectifs 10 et 16.</w:t>
      </w:r>
    </w:p>
    <w:p w14:paraId="3E0BC3C2" w14:textId="77777777" w:rsidR="003531E2" w:rsidRPr="002E4298" w:rsidRDefault="003531E2" w:rsidP="003531E2">
      <w:pPr>
        <w:pStyle w:val="SingleTxt"/>
        <w:spacing w:after="0" w:line="120" w:lineRule="exact"/>
        <w:rPr>
          <w:sz w:val="10"/>
          <w:lang w:val="fr-FR" w:bidi="fr-FR"/>
        </w:rPr>
      </w:pPr>
    </w:p>
    <w:p w14:paraId="12178AB1" w14:textId="6461C03E" w:rsidR="00BB0956" w:rsidRPr="002E4298" w:rsidRDefault="00BB0956" w:rsidP="003531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2E4298">
        <w:rPr>
          <w:lang w:val="fr-FR" w:bidi="fr-FR"/>
        </w:rPr>
        <w:tab/>
        <w:t>21.</w:t>
      </w:r>
      <w:r w:rsidRPr="002E4298">
        <w:rPr>
          <w:lang w:val="fr-FR" w:bidi="fr-FR"/>
        </w:rPr>
        <w:tab/>
        <w:t>Diffusion (paragraphe 48)</w:t>
      </w:r>
    </w:p>
    <w:p w14:paraId="1518F167" w14:textId="78F1BEF3" w:rsidR="003531E2" w:rsidRPr="002E4298" w:rsidRDefault="003531E2" w:rsidP="003531E2">
      <w:pPr>
        <w:pStyle w:val="SingleTxt"/>
        <w:spacing w:after="0" w:line="120" w:lineRule="exact"/>
        <w:rPr>
          <w:sz w:val="10"/>
          <w:lang w:val="fr-FR" w:bidi="fr-FR"/>
        </w:rPr>
      </w:pPr>
    </w:p>
    <w:p w14:paraId="2C306299" w14:textId="3A4A2228" w:rsidR="00BB0956" w:rsidRPr="002E4298" w:rsidRDefault="00BB0956" w:rsidP="00A11C35">
      <w:pPr>
        <w:pStyle w:val="SingleTxt"/>
        <w:numPr>
          <w:ilvl w:val="0"/>
          <w:numId w:val="6"/>
        </w:numPr>
        <w:tabs>
          <w:tab w:val="num" w:pos="1769"/>
        </w:tabs>
        <w:spacing w:line="240" w:lineRule="exact"/>
        <w:rPr>
          <w:lang w:val="fr-FR"/>
        </w:rPr>
      </w:pPr>
      <w:r w:rsidRPr="002E4298">
        <w:rPr>
          <w:lang w:val="fr-FR" w:bidi="fr-FR"/>
        </w:rPr>
        <w:t>Le Portugal a traduit les observations finales et les a diffusées par les principaux canaux. Elles ont aussi été envoyées aux principales parties prenantes.</w:t>
      </w:r>
    </w:p>
    <w:p w14:paraId="50FD6BC6" w14:textId="77777777" w:rsidR="003531E2" w:rsidRPr="002E4298" w:rsidRDefault="003531E2" w:rsidP="003531E2">
      <w:pPr>
        <w:pStyle w:val="SingleTxt"/>
        <w:spacing w:after="0" w:line="120" w:lineRule="exact"/>
        <w:rPr>
          <w:sz w:val="10"/>
          <w:lang w:val="fr-FR" w:bidi="fr-FR"/>
        </w:rPr>
      </w:pPr>
    </w:p>
    <w:p w14:paraId="57434732" w14:textId="251C6E96" w:rsidR="00BB0956" w:rsidRPr="002E4298" w:rsidRDefault="00BB0956" w:rsidP="003531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2E4298">
        <w:rPr>
          <w:lang w:val="fr-FR" w:bidi="fr-FR"/>
        </w:rPr>
        <w:tab/>
        <w:t>22.</w:t>
      </w:r>
      <w:r w:rsidRPr="002E4298">
        <w:rPr>
          <w:lang w:val="fr-FR" w:bidi="fr-FR"/>
        </w:rPr>
        <w:tab/>
        <w:t>Assistance technique (paragraphe 49)</w:t>
      </w:r>
    </w:p>
    <w:p w14:paraId="4ECB3A4C" w14:textId="65884C39" w:rsidR="003531E2" w:rsidRPr="002E4298" w:rsidRDefault="003531E2" w:rsidP="003531E2">
      <w:pPr>
        <w:pStyle w:val="SingleTxt"/>
        <w:spacing w:after="0" w:line="120" w:lineRule="exact"/>
        <w:rPr>
          <w:sz w:val="10"/>
          <w:lang w:val="fr-FR" w:bidi="fr-FR"/>
        </w:rPr>
      </w:pPr>
    </w:p>
    <w:p w14:paraId="4B0F2B2B" w14:textId="5ECAB457" w:rsidR="00BB0956" w:rsidRPr="002E4298" w:rsidRDefault="00BB0956" w:rsidP="00A11C35">
      <w:pPr>
        <w:pStyle w:val="SingleTxt"/>
        <w:numPr>
          <w:ilvl w:val="0"/>
          <w:numId w:val="6"/>
        </w:numPr>
        <w:tabs>
          <w:tab w:val="num" w:pos="1769"/>
        </w:tabs>
        <w:spacing w:line="240" w:lineRule="exact"/>
        <w:rPr>
          <w:lang w:val="fr-FR" w:bidi="fr-FR"/>
        </w:rPr>
      </w:pPr>
      <w:r w:rsidRPr="002E4298">
        <w:rPr>
          <w:lang w:val="fr-FR" w:bidi="fr-FR"/>
        </w:rPr>
        <w:t>Dans le cadre de l’assistance technique internationale, la Commission pour la citoyenneté et l’égalité des genres</w:t>
      </w:r>
      <w:r w:rsidRPr="002E4298" w:rsidDel="00535E0B">
        <w:rPr>
          <w:lang w:val="fr-FR" w:bidi="fr-FR"/>
        </w:rPr>
        <w:t xml:space="preserve"> </w:t>
      </w:r>
      <w:r w:rsidRPr="002E4298">
        <w:rPr>
          <w:lang w:val="fr-FR" w:bidi="fr-FR"/>
        </w:rPr>
        <w:t>a pour mission de suivre et de participer aux travaux des organisations internationales et de leurs organes ou organismes dans le domaine de l’égalité entre femmes et hommes ainsi que de collaborer avec d’autres organismes nationaux en vue de défendre les positions du Portugal, de communiquer des informations sur la situation nationale, et de promouvoir le respect des engagements pris par le Portugal au niveau international dans ce domaine. Il convient de souligner à cet égard la participation aux travaux, entre autres, de l’Union européenne, de l’Union pour la Méditerranée, du Conseil de l’Europe, de la Communauté des pays de langue portugaise, de l’Amérique latine et des Nations Unies.</w:t>
      </w:r>
    </w:p>
    <w:p w14:paraId="1FF800F1" w14:textId="045F3348" w:rsidR="00BB0956" w:rsidRPr="002E4298" w:rsidRDefault="00BB0956" w:rsidP="00A11C35">
      <w:pPr>
        <w:pStyle w:val="SingleTxt"/>
        <w:numPr>
          <w:ilvl w:val="0"/>
          <w:numId w:val="6"/>
        </w:numPr>
        <w:tabs>
          <w:tab w:val="num" w:pos="1769"/>
        </w:tabs>
        <w:spacing w:line="240" w:lineRule="exact"/>
        <w:rPr>
          <w:lang w:val="fr-FR"/>
        </w:rPr>
      </w:pPr>
      <w:r w:rsidRPr="002E4298">
        <w:rPr>
          <w:lang w:val="fr-FR" w:bidi="fr-FR"/>
        </w:rPr>
        <w:t>En outre, il convient d’insister sur le partenariat avec la Norvège, l’Islande et le Liechtenstein dans le cadre du mécanisme financier de l’Espace économique européen 2014-2021, en qualité d’États donateurs. La Commission pour la citoyenneté et l’égalité des genres</w:t>
      </w:r>
      <w:r w:rsidRPr="002E4298" w:rsidDel="00535E0B">
        <w:rPr>
          <w:lang w:val="fr-FR" w:bidi="fr-FR"/>
        </w:rPr>
        <w:t xml:space="preserve"> </w:t>
      </w:r>
      <w:r w:rsidRPr="002E4298">
        <w:rPr>
          <w:lang w:val="fr-FR" w:bidi="fr-FR"/>
        </w:rPr>
        <w:t>est l’organisme chargé de mettre en œuvre le domaine programmatique « réconciliation et égalité », et bénéficie pour ce faire d’une allocation totale de sept millions d’euros. Grâce à ce programme, des projets nationaux, innovants et structurels dans les domaines de l’équilibre entre vie professionnelle, vie familiale et vie privée, de la violence domestique et de l’égalité des genres ainsi que de la bonne gouvernance seront financés, conformément à la Stratégie nationale en faveur de l’égalité et de la non-discrimination.</w:t>
      </w:r>
    </w:p>
    <w:p w14:paraId="21E02821" w14:textId="77777777" w:rsidR="003531E2" w:rsidRPr="002E4298" w:rsidRDefault="003531E2" w:rsidP="003531E2">
      <w:pPr>
        <w:pStyle w:val="SingleTxt"/>
        <w:spacing w:after="0" w:line="120" w:lineRule="exact"/>
        <w:rPr>
          <w:sz w:val="10"/>
          <w:lang w:val="fr-FR" w:bidi="fr-FR"/>
        </w:rPr>
      </w:pPr>
    </w:p>
    <w:p w14:paraId="0848DBBF" w14:textId="2F7043B8" w:rsidR="00BB0956" w:rsidRPr="002E4298" w:rsidRDefault="00BB0956" w:rsidP="003531E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bidi="fr-FR"/>
        </w:rPr>
      </w:pPr>
      <w:r w:rsidRPr="002E4298">
        <w:rPr>
          <w:lang w:val="fr-FR" w:bidi="fr-FR"/>
        </w:rPr>
        <w:tab/>
        <w:t>23.</w:t>
      </w:r>
      <w:r w:rsidRPr="002E4298">
        <w:rPr>
          <w:lang w:val="fr-FR" w:bidi="fr-FR"/>
        </w:rPr>
        <w:tab/>
        <w:t>Ratification d’autres instruments (paragraphe 50)</w:t>
      </w:r>
    </w:p>
    <w:p w14:paraId="00E2B97F" w14:textId="14F2F3D6" w:rsidR="003531E2" w:rsidRPr="002E4298" w:rsidRDefault="003531E2" w:rsidP="003531E2">
      <w:pPr>
        <w:pStyle w:val="SingleTxt"/>
        <w:spacing w:after="0" w:line="120" w:lineRule="exact"/>
        <w:rPr>
          <w:sz w:val="10"/>
          <w:lang w:val="fr-FR" w:bidi="fr-FR"/>
        </w:rPr>
      </w:pPr>
    </w:p>
    <w:p w14:paraId="6E22D8B8" w14:textId="5F345A53" w:rsidR="00BB0956" w:rsidRPr="002E4298" w:rsidRDefault="00BB0956" w:rsidP="00A11C35">
      <w:pPr>
        <w:pStyle w:val="SingleTxt"/>
        <w:numPr>
          <w:ilvl w:val="0"/>
          <w:numId w:val="6"/>
        </w:numPr>
        <w:tabs>
          <w:tab w:val="num" w:pos="1769"/>
        </w:tabs>
        <w:spacing w:line="240" w:lineRule="exact"/>
        <w:rPr>
          <w:lang w:val="fr-FR"/>
        </w:rPr>
      </w:pPr>
      <w:r w:rsidRPr="002E4298">
        <w:rPr>
          <w:lang w:val="fr-FR"/>
        </w:rPr>
        <w:tab/>
      </w:r>
      <w:r w:rsidRPr="002E4298">
        <w:rPr>
          <w:lang w:val="fr-FR" w:bidi="fr-FR"/>
        </w:rPr>
        <w:t xml:space="preserve">Depuis 2014, le Portugal a ratifié les instruments suivants : l’Accord européen concernant les personnes participant aux procédures devant la Commission et la Cour européennes des Droits de l’Homme, le sixième Protocole additionnel à l’Accord général sur les privilèges et immunités du Conseil de l’Europe, le Protocole nº 12 à </w:t>
      </w:r>
      <w:r w:rsidRPr="002E4298">
        <w:rPr>
          <w:lang w:val="fr-FR" w:bidi="fr-FR"/>
        </w:rPr>
        <w:lastRenderedPageBreak/>
        <w:t>la Convention de sauvegarde des droits de l’homme et des libertés fondamentales, le Protocole additionnel à la Convention sur les droits de l’homme et la biomédecine relatif à la transplantation d’organes et de tissus d’origine humaine, le Protocole portant amendement à la Convention européenne pour la répression du terrorisme, le Protocole additionnel à la Convention pénale sur la corruption, le Protocole additionnel à la Convention sur les droits de l’homme et la biomédecine relatif à la recherche biomédicale, la Convention du Conseil de l’Europe pour la prévention du terrorisme, le Protocole additionnel à la Convention sur les droits de l’homme et la biomédecine relatif aux tests génétiques à des fins médicales, le troisième Protocole additionnel à la Convention européenne d’extradition, la Convention du Conseil de l’Europe sur la contrefaçon des produits médicaux et les infractions similaires menaçant la santé publique, le Protocole nº 15 portant amendement à la Convention de sauvegarde des droits de l’homme et des libertés fondamentales, la Convention du Conseil de l’Europe sur la manipulation de compétitions sportives, la Convention du Conseil de l’Europe contre le trafic d’organes humains, le Protocole additionnel à la Convention du Conseil de l’Europe pour la prévention du terrorisme, la Convention du Conseil de l’Europe sur une approche intégrée de la sécurité, de la sûreté et des services lors des matches de football et autres manifestations sportives, les amendements de Kampala au Statut de Rome de la Cour pénale internationale, et l’amendement à l’article 124 du Statut de Rome de la Cour pénale internationale.</w:t>
      </w:r>
    </w:p>
    <w:p w14:paraId="1695A184" w14:textId="6C983CAB" w:rsidR="00BB0956" w:rsidRPr="002E4298" w:rsidRDefault="00BF72C3" w:rsidP="00BF72C3">
      <w:pPr>
        <w:pStyle w:val="SingleTxt"/>
        <w:spacing w:after="0" w:line="240" w:lineRule="auto"/>
        <w:rPr>
          <w:lang w:val="fr-FR"/>
        </w:rPr>
      </w:pPr>
      <w:r w:rsidRPr="002E4298">
        <w:rPr>
          <w:noProof/>
          <w:w w:val="100"/>
          <w:lang w:val="fr-FR"/>
        </w:rPr>
        <mc:AlternateContent>
          <mc:Choice Requires="wps">
            <w:drawing>
              <wp:anchor distT="0" distB="0" distL="114300" distR="114300" simplePos="0" relativeHeight="251659264" behindDoc="0" locked="0" layoutInCell="1" allowOverlap="1" wp14:anchorId="275C50FA" wp14:editId="3BD0DE69">
                <wp:simplePos x="0" y="0"/>
                <wp:positionH relativeFrom="page">
                  <wp:posOffset>3429000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1C3D9B"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BB0956" w:rsidRPr="002E4298" w:rsidSect="00A920BE">
      <w:headerReference w:type="even" r:id="rId35"/>
      <w:headerReference w:type="default" r:id="rId36"/>
      <w:footerReference w:type="even" r:id="rId37"/>
      <w:footerReference w:type="default" r:id="rId38"/>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11-16T15:39:00Z" w:initials="Start">
    <w:p w14:paraId="397FA2B8" w14:textId="77777777" w:rsidR="004C5B47" w:rsidRDefault="004C5B47">
      <w:pPr>
        <w:pStyle w:val="CommentText"/>
      </w:pPr>
      <w:r>
        <w:rPr>
          <w:rStyle w:val="CommentReference"/>
        </w:rPr>
        <w:annotationRef/>
      </w:r>
      <w:r>
        <w:t>&lt;&lt;ODS JOB NO&gt;&gt;N2024150F&lt;&lt;ODS JOB NO&gt;&gt;</w:t>
      </w:r>
    </w:p>
    <w:p w14:paraId="709251D8" w14:textId="77777777" w:rsidR="004C5B47" w:rsidRDefault="004C5B47">
      <w:pPr>
        <w:pStyle w:val="CommentText"/>
      </w:pPr>
      <w:r>
        <w:t>&lt;&lt;ODS DOC SYMBOL1&gt;&gt;CEDAW/C/PRT/10&lt;&lt;ODS DOC SYMBOL1&gt;&gt;</w:t>
      </w:r>
    </w:p>
    <w:p w14:paraId="385AC5FA" w14:textId="77777777" w:rsidR="004C5B47" w:rsidRDefault="004C5B47">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5AC5F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5AC5FA" w16cid:durableId="235D1B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1333B" w14:textId="77777777" w:rsidR="00942F3F" w:rsidRDefault="00942F3F" w:rsidP="00101B18">
      <w:pPr>
        <w:spacing w:line="240" w:lineRule="auto"/>
      </w:pPr>
      <w:r>
        <w:separator/>
      </w:r>
    </w:p>
  </w:endnote>
  <w:endnote w:type="continuationSeparator" w:id="0">
    <w:p w14:paraId="6A21A5F4" w14:textId="77777777" w:rsidR="00942F3F" w:rsidRDefault="00942F3F"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C5B47" w14:paraId="737F5DAC" w14:textId="77777777" w:rsidTr="00BD67EB">
      <w:tc>
        <w:tcPr>
          <w:tcW w:w="4920" w:type="dxa"/>
          <w:shd w:val="clear" w:color="auto" w:fill="auto"/>
        </w:tcPr>
        <w:p w14:paraId="49453635" w14:textId="15E8264F" w:rsidR="004C5B47" w:rsidRPr="00BD67EB" w:rsidRDefault="004C5B47" w:rsidP="00BD67E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615D3">
            <w:rPr>
              <w:b w:val="0"/>
              <w:w w:val="103"/>
              <w:sz w:val="14"/>
            </w:rPr>
            <w:t>20-12105</w:t>
          </w:r>
          <w:r>
            <w:rPr>
              <w:b w:val="0"/>
              <w:w w:val="103"/>
              <w:sz w:val="14"/>
            </w:rPr>
            <w:fldChar w:fldCharType="end"/>
          </w:r>
        </w:p>
      </w:tc>
      <w:tc>
        <w:tcPr>
          <w:tcW w:w="4920" w:type="dxa"/>
          <w:shd w:val="clear" w:color="auto" w:fill="auto"/>
        </w:tcPr>
        <w:p w14:paraId="7F3D735B" w14:textId="77777777" w:rsidR="004C5B47" w:rsidRPr="00BD67EB" w:rsidRDefault="004C5B47" w:rsidP="00BD67EB">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783973CF" w14:textId="77777777" w:rsidR="004C5B47" w:rsidRPr="00BD67EB" w:rsidRDefault="004C5B47" w:rsidP="00BD67E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C5B47" w14:paraId="47253565" w14:textId="77777777" w:rsidTr="00BD67EB">
      <w:tc>
        <w:tcPr>
          <w:tcW w:w="4920" w:type="dxa"/>
          <w:shd w:val="clear" w:color="auto" w:fill="auto"/>
        </w:tcPr>
        <w:p w14:paraId="4F098932" w14:textId="65C61DD3" w:rsidR="004C5B47" w:rsidRPr="00BD67EB" w:rsidRDefault="004C5B47" w:rsidP="00BD67E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615D3">
            <w:rPr>
              <w:b w:val="0"/>
              <w:w w:val="103"/>
              <w:sz w:val="14"/>
            </w:rPr>
            <w:t>20-12105</w:t>
          </w:r>
          <w:r>
            <w:rPr>
              <w:b w:val="0"/>
              <w:w w:val="103"/>
              <w:sz w:val="14"/>
            </w:rPr>
            <w:fldChar w:fldCharType="end"/>
          </w:r>
        </w:p>
      </w:tc>
      <w:tc>
        <w:tcPr>
          <w:tcW w:w="4920" w:type="dxa"/>
          <w:shd w:val="clear" w:color="auto" w:fill="auto"/>
        </w:tcPr>
        <w:p w14:paraId="3BE123BF" w14:textId="77777777" w:rsidR="004C5B47" w:rsidRPr="00BD67EB" w:rsidRDefault="004C5B47" w:rsidP="00BD67EB">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797E49D1" w14:textId="77777777" w:rsidR="004C5B47" w:rsidRPr="00BD67EB" w:rsidRDefault="004C5B47" w:rsidP="00BD67E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C5B47" w14:paraId="13687B8B" w14:textId="77777777" w:rsidTr="00BD67EB">
      <w:tc>
        <w:tcPr>
          <w:tcW w:w="4920" w:type="dxa"/>
          <w:shd w:val="clear" w:color="auto" w:fill="auto"/>
        </w:tcPr>
        <w:p w14:paraId="24FA3D6D" w14:textId="77777777" w:rsidR="004C5B47" w:rsidRPr="00BD67EB" w:rsidRDefault="004C5B47" w:rsidP="00BD67EB">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2F13531E" w14:textId="63662C6F" w:rsidR="004C5B47" w:rsidRPr="00BD67EB" w:rsidRDefault="004C5B47" w:rsidP="00BD67E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615D3">
            <w:rPr>
              <w:b w:val="0"/>
              <w:w w:val="103"/>
              <w:sz w:val="14"/>
            </w:rPr>
            <w:t>20-12105</w:t>
          </w:r>
          <w:r>
            <w:rPr>
              <w:b w:val="0"/>
              <w:w w:val="103"/>
              <w:sz w:val="14"/>
            </w:rPr>
            <w:fldChar w:fldCharType="end"/>
          </w:r>
        </w:p>
      </w:tc>
    </w:tr>
  </w:tbl>
  <w:p w14:paraId="2A584E93" w14:textId="77777777" w:rsidR="004C5B47" w:rsidRPr="00BD67EB" w:rsidRDefault="004C5B47" w:rsidP="00BD67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C5B47" w14:paraId="0DFC3237" w14:textId="77777777" w:rsidTr="00BD67EB">
      <w:tc>
        <w:tcPr>
          <w:tcW w:w="4920" w:type="dxa"/>
          <w:shd w:val="clear" w:color="auto" w:fill="auto"/>
        </w:tcPr>
        <w:p w14:paraId="201C4EAF" w14:textId="77777777" w:rsidR="004C5B47" w:rsidRPr="00BD67EB" w:rsidRDefault="004C5B47" w:rsidP="00BD67EB">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7903485E" w14:textId="0990FF3B" w:rsidR="004C5B47" w:rsidRPr="00BD67EB" w:rsidRDefault="004C5B47" w:rsidP="00BD67E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615D3">
            <w:rPr>
              <w:b w:val="0"/>
              <w:w w:val="103"/>
              <w:sz w:val="14"/>
            </w:rPr>
            <w:t>20-12105</w:t>
          </w:r>
          <w:r>
            <w:rPr>
              <w:b w:val="0"/>
              <w:w w:val="103"/>
              <w:sz w:val="14"/>
            </w:rPr>
            <w:fldChar w:fldCharType="end"/>
          </w:r>
        </w:p>
      </w:tc>
    </w:tr>
  </w:tbl>
  <w:p w14:paraId="1F1F2965" w14:textId="77777777" w:rsidR="004C5B47" w:rsidRPr="00BD67EB" w:rsidRDefault="004C5B47" w:rsidP="00BD67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353FB" w14:textId="77777777" w:rsidR="004C5B47" w:rsidRDefault="004C5B47">
    <w:pPr>
      <w:pStyle w:val="Footer"/>
    </w:pPr>
    <w:r>
      <w:rPr>
        <w:noProof/>
      </w:rPr>
      <w:drawing>
        <wp:anchor distT="0" distB="0" distL="114300" distR="114300" simplePos="0" relativeHeight="251658240" behindDoc="0" locked="0" layoutInCell="1" allowOverlap="1" wp14:anchorId="39E84F66" wp14:editId="203ACF61">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4C5B47" w14:paraId="6247FAC9" w14:textId="77777777" w:rsidTr="00BD67EB">
      <w:tc>
        <w:tcPr>
          <w:tcW w:w="3758" w:type="dxa"/>
        </w:tcPr>
        <w:p w14:paraId="3629C284" w14:textId="30C88395" w:rsidR="004C5B47" w:rsidRDefault="004C5B47" w:rsidP="00BD67EB">
          <w:pPr>
            <w:pStyle w:val="Footer"/>
            <w:rPr>
              <w:b w:val="0"/>
              <w:sz w:val="20"/>
            </w:rPr>
          </w:pPr>
          <w:r>
            <w:rPr>
              <w:b w:val="0"/>
              <w:sz w:val="20"/>
            </w:rPr>
            <w:t>20-12105X (F)</w:t>
          </w:r>
        </w:p>
        <w:p w14:paraId="7B1815F2" w14:textId="72C86A44" w:rsidR="004C5B47" w:rsidRPr="00BD67EB" w:rsidRDefault="004C5B47" w:rsidP="00BD67EB">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4615D3">
            <w:rPr>
              <w:rFonts w:ascii="Barcode 3 of 9 by request" w:hAnsi="Barcode 3 of 9 by request"/>
              <w:spacing w:val="0"/>
              <w:w w:val="100"/>
              <w:sz w:val="24"/>
            </w:rPr>
            <w:t>*2012105*</w:t>
          </w:r>
          <w:r>
            <w:rPr>
              <w:rFonts w:ascii="Barcode 3 of 9 by request" w:hAnsi="Barcode 3 of 9 by request"/>
              <w:spacing w:val="0"/>
              <w:w w:val="100"/>
              <w:sz w:val="24"/>
            </w:rPr>
            <w:fldChar w:fldCharType="end"/>
          </w:r>
        </w:p>
      </w:tc>
      <w:tc>
        <w:tcPr>
          <w:tcW w:w="4920" w:type="dxa"/>
        </w:tcPr>
        <w:p w14:paraId="660ED681" w14:textId="77777777" w:rsidR="004C5B47" w:rsidRDefault="004C5B47" w:rsidP="00BD67EB">
          <w:pPr>
            <w:pStyle w:val="Footer"/>
            <w:spacing w:line="240" w:lineRule="atLeast"/>
            <w:jc w:val="right"/>
            <w:rPr>
              <w:b w:val="0"/>
              <w:sz w:val="20"/>
            </w:rPr>
          </w:pPr>
          <w:r>
            <w:rPr>
              <w:b w:val="0"/>
              <w:noProof/>
              <w:sz w:val="20"/>
            </w:rPr>
            <w:drawing>
              <wp:inline distT="0" distB="0" distL="0" distR="0" wp14:anchorId="0B326F1E" wp14:editId="28DD923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7E6CEEBF" w14:textId="77777777" w:rsidR="004C5B47" w:rsidRPr="00BD67EB" w:rsidRDefault="004C5B47" w:rsidP="00BD67EB">
    <w:pPr>
      <w:pStyle w:val="Footer"/>
      <w:spacing w:line="56" w:lineRule="exact"/>
      <w:rPr>
        <w:b w:val="0"/>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tblGrid>
    <w:tr w:rsidR="004C5B47" w:rsidRPr="00A920BE" w14:paraId="6560D973" w14:textId="77777777" w:rsidTr="00A920BE">
      <w:trPr>
        <w:cantSplit/>
        <w:trHeight w:val="4925"/>
      </w:trPr>
      <w:tc>
        <w:tcPr>
          <w:tcW w:w="9830" w:type="dxa"/>
          <w:shd w:val="clear" w:color="auto" w:fill="auto"/>
          <w:textDirection w:val="tbRl"/>
        </w:tcPr>
        <w:p w14:paraId="7F72778A" w14:textId="44527D71" w:rsidR="004C5B47" w:rsidRPr="00A920BE" w:rsidRDefault="004C5B47" w:rsidP="00A920BE">
          <w:pPr>
            <w:pStyle w:val="Footer"/>
            <w:spacing w:line="240" w:lineRule="auto"/>
            <w:rPr>
              <w:w w:val="103"/>
            </w:rPr>
          </w:pPr>
          <w:r>
            <w:rPr>
              <w:w w:val="103"/>
            </w:rPr>
            <w:fldChar w:fldCharType="begin"/>
          </w:r>
          <w:r>
            <w:rPr>
              <w:w w:val="103"/>
            </w:rPr>
            <w:instrText xml:space="preserve"> PAGE  \* Arabic  \* MERGEFORMAT </w:instrText>
          </w:r>
          <w:r>
            <w:rPr>
              <w:w w:val="103"/>
            </w:rPr>
            <w:fldChar w:fldCharType="separate"/>
          </w:r>
          <w:r>
            <w:rPr>
              <w:noProof/>
              <w:w w:val="103"/>
            </w:rPr>
            <w:t>48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51</w:t>
          </w:r>
          <w:r>
            <w:rPr>
              <w:w w:val="103"/>
            </w:rPr>
            <w:fldChar w:fldCharType="end"/>
          </w:r>
        </w:p>
      </w:tc>
    </w:tr>
    <w:tr w:rsidR="004C5B47" w:rsidRPr="00A920BE" w14:paraId="6E0D6E72" w14:textId="77777777" w:rsidTr="00A920BE">
      <w:trPr>
        <w:cantSplit/>
        <w:trHeight w:val="4925"/>
      </w:trPr>
      <w:tc>
        <w:tcPr>
          <w:tcW w:w="9830" w:type="dxa"/>
          <w:shd w:val="clear" w:color="auto" w:fill="auto"/>
          <w:textDirection w:val="tbRl"/>
        </w:tcPr>
        <w:p w14:paraId="4F82F568" w14:textId="07204259" w:rsidR="004C5B47" w:rsidRPr="00A920BE" w:rsidRDefault="004C5B47" w:rsidP="00A920BE">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615D3">
            <w:rPr>
              <w:b w:val="0"/>
              <w:w w:val="103"/>
              <w:sz w:val="14"/>
            </w:rPr>
            <w:t>20-12105</w:t>
          </w:r>
          <w:r>
            <w:rPr>
              <w:b w:val="0"/>
              <w:w w:val="103"/>
              <w:sz w:val="14"/>
            </w:rPr>
            <w:fldChar w:fldCharType="end"/>
          </w:r>
        </w:p>
      </w:tc>
    </w:tr>
  </w:tbl>
  <w:p w14:paraId="4215A1F9" w14:textId="77777777" w:rsidR="004C5B47" w:rsidRPr="00A920BE" w:rsidRDefault="004C5B47" w:rsidP="00A920B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tblGrid>
    <w:tr w:rsidR="004C5B47" w:rsidRPr="00A920BE" w14:paraId="204E5EE1" w14:textId="77777777" w:rsidTr="00A920BE">
      <w:trPr>
        <w:cantSplit/>
        <w:trHeight w:val="4925"/>
      </w:trPr>
      <w:tc>
        <w:tcPr>
          <w:tcW w:w="9830" w:type="dxa"/>
          <w:shd w:val="clear" w:color="auto" w:fill="auto"/>
          <w:textDirection w:val="tbRl"/>
        </w:tcPr>
        <w:p w14:paraId="3F5E50CB" w14:textId="7A637294" w:rsidR="004C5B47" w:rsidRPr="00A920BE" w:rsidRDefault="004C5B47" w:rsidP="00A920BE">
          <w:pPr>
            <w:pStyle w:val="Footer"/>
            <w:spacing w:line="240" w:lineRule="auto"/>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615D3">
            <w:rPr>
              <w:b w:val="0"/>
              <w:w w:val="103"/>
              <w:sz w:val="14"/>
            </w:rPr>
            <w:t>20-12105</w:t>
          </w:r>
          <w:r>
            <w:rPr>
              <w:b w:val="0"/>
              <w:w w:val="103"/>
              <w:sz w:val="14"/>
            </w:rPr>
            <w:fldChar w:fldCharType="end"/>
          </w:r>
        </w:p>
      </w:tc>
    </w:tr>
    <w:tr w:rsidR="004C5B47" w:rsidRPr="00A920BE" w14:paraId="3B8AC817" w14:textId="77777777" w:rsidTr="00A920BE">
      <w:trPr>
        <w:cantSplit/>
        <w:trHeight w:val="4925"/>
      </w:trPr>
      <w:tc>
        <w:tcPr>
          <w:tcW w:w="9830" w:type="dxa"/>
          <w:shd w:val="clear" w:color="auto" w:fill="auto"/>
          <w:textDirection w:val="tbRl"/>
        </w:tcPr>
        <w:p w14:paraId="799A9D20" w14:textId="7E26679D" w:rsidR="004C5B47" w:rsidRPr="00A920BE" w:rsidRDefault="004C5B47" w:rsidP="00A920BE">
          <w:pPr>
            <w:pStyle w:val="Footer"/>
            <w:spacing w:line="240" w:lineRule="auto"/>
            <w:jc w:val="right"/>
            <w:rPr>
              <w:w w:val="103"/>
            </w:rPr>
          </w:pPr>
          <w:r>
            <w:rPr>
              <w:w w:val="103"/>
            </w:rPr>
            <w:fldChar w:fldCharType="begin"/>
          </w:r>
          <w:r>
            <w:rPr>
              <w:w w:val="103"/>
            </w:rPr>
            <w:instrText xml:space="preserve"> PAGE  \* Arabic  \* MERGEFORMAT </w:instrText>
          </w:r>
          <w:r>
            <w:rPr>
              <w:w w:val="103"/>
            </w:rPr>
            <w:fldChar w:fldCharType="separate"/>
          </w:r>
          <w:r>
            <w:rPr>
              <w:noProof/>
              <w:w w:val="103"/>
            </w:rPr>
            <w:t>50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51</w:t>
          </w:r>
          <w:r>
            <w:rPr>
              <w:w w:val="103"/>
            </w:rPr>
            <w:fldChar w:fldCharType="end"/>
          </w:r>
        </w:p>
      </w:tc>
    </w:tr>
  </w:tbl>
  <w:p w14:paraId="6A0CBEEB" w14:textId="77777777" w:rsidR="004C5B47" w:rsidRPr="00A920BE" w:rsidRDefault="004C5B47" w:rsidP="00A920B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C5B47" w14:paraId="77CD43C7" w14:textId="77777777" w:rsidTr="00BD67EB">
      <w:tc>
        <w:tcPr>
          <w:tcW w:w="4920" w:type="dxa"/>
          <w:shd w:val="clear" w:color="auto" w:fill="auto"/>
        </w:tcPr>
        <w:p w14:paraId="062DF4C1" w14:textId="7C85FF6F" w:rsidR="004C5B47" w:rsidRPr="00BD67EB" w:rsidRDefault="004C5B47" w:rsidP="00BD67E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615D3">
            <w:rPr>
              <w:b w:val="0"/>
              <w:w w:val="103"/>
              <w:sz w:val="14"/>
            </w:rPr>
            <w:t>20-12105</w:t>
          </w:r>
          <w:r>
            <w:rPr>
              <w:b w:val="0"/>
              <w:w w:val="103"/>
              <w:sz w:val="14"/>
            </w:rPr>
            <w:fldChar w:fldCharType="end"/>
          </w:r>
        </w:p>
      </w:tc>
      <w:tc>
        <w:tcPr>
          <w:tcW w:w="4920" w:type="dxa"/>
          <w:shd w:val="clear" w:color="auto" w:fill="auto"/>
        </w:tcPr>
        <w:p w14:paraId="2C133461" w14:textId="77777777" w:rsidR="004C5B47" w:rsidRPr="00BD67EB" w:rsidRDefault="004C5B47" w:rsidP="00BD67EB">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18AE21A1" w14:textId="77777777" w:rsidR="004C5B47" w:rsidRPr="00BD67EB" w:rsidRDefault="004C5B47" w:rsidP="00BD67E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C5B47" w14:paraId="3BB0D6B9" w14:textId="77777777" w:rsidTr="00BD67EB">
      <w:tc>
        <w:tcPr>
          <w:tcW w:w="4920" w:type="dxa"/>
          <w:shd w:val="clear" w:color="auto" w:fill="auto"/>
        </w:tcPr>
        <w:p w14:paraId="2C839A28" w14:textId="77777777" w:rsidR="004C5B47" w:rsidRPr="00BD67EB" w:rsidRDefault="004C5B47" w:rsidP="00BD67EB">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4FBDB40A" w14:textId="4CFC0E24" w:rsidR="004C5B47" w:rsidRPr="00BD67EB" w:rsidRDefault="004C5B47" w:rsidP="00BD67E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615D3">
            <w:rPr>
              <w:b w:val="0"/>
              <w:w w:val="103"/>
              <w:sz w:val="14"/>
            </w:rPr>
            <w:t>20-12105</w:t>
          </w:r>
          <w:r>
            <w:rPr>
              <w:b w:val="0"/>
              <w:w w:val="103"/>
              <w:sz w:val="14"/>
            </w:rPr>
            <w:fldChar w:fldCharType="end"/>
          </w:r>
        </w:p>
      </w:tc>
    </w:tr>
  </w:tbl>
  <w:p w14:paraId="0A2A510D" w14:textId="77777777" w:rsidR="004C5B47" w:rsidRPr="00BD67EB" w:rsidRDefault="004C5B47" w:rsidP="00BD67E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tblGrid>
    <w:tr w:rsidR="004C5B47" w:rsidRPr="00BB0956" w14:paraId="6B8E80AE" w14:textId="77777777" w:rsidTr="00BB0956">
      <w:trPr>
        <w:cantSplit/>
        <w:trHeight w:val="4925"/>
      </w:trPr>
      <w:tc>
        <w:tcPr>
          <w:tcW w:w="9830" w:type="dxa"/>
          <w:shd w:val="clear" w:color="auto" w:fill="auto"/>
          <w:textDirection w:val="tbRl"/>
        </w:tcPr>
        <w:p w14:paraId="3A04F742" w14:textId="26F13554" w:rsidR="004C5B47" w:rsidRPr="00BB0956" w:rsidRDefault="004C5B47" w:rsidP="00BB0956">
          <w:pPr>
            <w:pStyle w:val="Footer"/>
            <w:spacing w:line="240" w:lineRule="auto"/>
            <w:rPr>
              <w:w w:val="103"/>
            </w:rPr>
          </w:pPr>
          <w:r>
            <w:rPr>
              <w:w w:val="103"/>
            </w:rPr>
            <w:fldChar w:fldCharType="begin"/>
          </w:r>
          <w:r>
            <w:rPr>
              <w:w w:val="103"/>
            </w:rPr>
            <w:instrText xml:space="preserve"> PAGE  \* Arabic  \* MERGEFORMAT </w:instrText>
          </w:r>
          <w:r>
            <w:rPr>
              <w:w w:val="103"/>
            </w:rPr>
            <w:fldChar w:fldCharType="separate"/>
          </w:r>
          <w:r>
            <w:rPr>
              <w:noProof/>
              <w:w w:val="103"/>
            </w:rPr>
            <w:t>58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60</w:t>
          </w:r>
          <w:r>
            <w:rPr>
              <w:w w:val="103"/>
            </w:rPr>
            <w:fldChar w:fldCharType="end"/>
          </w:r>
        </w:p>
      </w:tc>
    </w:tr>
    <w:tr w:rsidR="004C5B47" w:rsidRPr="00BB0956" w14:paraId="6BB42490" w14:textId="77777777" w:rsidTr="00BB0956">
      <w:trPr>
        <w:cantSplit/>
        <w:trHeight w:val="4925"/>
      </w:trPr>
      <w:tc>
        <w:tcPr>
          <w:tcW w:w="9830" w:type="dxa"/>
          <w:shd w:val="clear" w:color="auto" w:fill="auto"/>
          <w:textDirection w:val="tbRl"/>
        </w:tcPr>
        <w:p w14:paraId="54EB8E04" w14:textId="67F91172" w:rsidR="004C5B47" w:rsidRPr="00BB0956" w:rsidRDefault="004C5B47" w:rsidP="00BB0956">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615D3">
            <w:rPr>
              <w:b w:val="0"/>
              <w:w w:val="103"/>
              <w:sz w:val="14"/>
            </w:rPr>
            <w:t>20-12105</w:t>
          </w:r>
          <w:r>
            <w:rPr>
              <w:b w:val="0"/>
              <w:w w:val="103"/>
              <w:sz w:val="14"/>
            </w:rPr>
            <w:fldChar w:fldCharType="end"/>
          </w:r>
        </w:p>
      </w:tc>
    </w:tr>
  </w:tbl>
  <w:p w14:paraId="7E6A7ECE" w14:textId="77777777" w:rsidR="004C5B47" w:rsidRPr="00BB0956" w:rsidRDefault="004C5B47" w:rsidP="00BB095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tblGrid>
    <w:tr w:rsidR="004C5B47" w:rsidRPr="00BB0956" w14:paraId="1DE378B2" w14:textId="77777777" w:rsidTr="00BB0956">
      <w:trPr>
        <w:cantSplit/>
        <w:trHeight w:val="4925"/>
      </w:trPr>
      <w:tc>
        <w:tcPr>
          <w:tcW w:w="9830" w:type="dxa"/>
          <w:shd w:val="clear" w:color="auto" w:fill="auto"/>
          <w:textDirection w:val="tbRl"/>
        </w:tcPr>
        <w:p w14:paraId="29397FAA" w14:textId="1E824220" w:rsidR="004C5B47" w:rsidRPr="00BB0956" w:rsidRDefault="004C5B47" w:rsidP="00BB0956">
          <w:pPr>
            <w:pStyle w:val="Footer"/>
            <w:spacing w:line="240" w:lineRule="auto"/>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615D3">
            <w:rPr>
              <w:b w:val="0"/>
              <w:w w:val="103"/>
              <w:sz w:val="14"/>
            </w:rPr>
            <w:t>20-12105</w:t>
          </w:r>
          <w:r>
            <w:rPr>
              <w:b w:val="0"/>
              <w:w w:val="103"/>
              <w:sz w:val="14"/>
            </w:rPr>
            <w:fldChar w:fldCharType="end"/>
          </w:r>
        </w:p>
      </w:tc>
    </w:tr>
    <w:tr w:rsidR="004C5B47" w:rsidRPr="00BB0956" w14:paraId="44D634F1" w14:textId="77777777" w:rsidTr="00BB0956">
      <w:trPr>
        <w:cantSplit/>
        <w:trHeight w:val="4925"/>
      </w:trPr>
      <w:tc>
        <w:tcPr>
          <w:tcW w:w="9830" w:type="dxa"/>
          <w:shd w:val="clear" w:color="auto" w:fill="auto"/>
          <w:textDirection w:val="tbRl"/>
        </w:tcPr>
        <w:p w14:paraId="3A9A19A2" w14:textId="69288C17" w:rsidR="004C5B47" w:rsidRPr="00BB0956" w:rsidRDefault="004C5B47" w:rsidP="00BB0956">
          <w:pPr>
            <w:pStyle w:val="Footer"/>
            <w:spacing w:line="240" w:lineRule="auto"/>
            <w:jc w:val="right"/>
            <w:rPr>
              <w:w w:val="103"/>
            </w:rPr>
          </w:pPr>
          <w:r>
            <w:rPr>
              <w:w w:val="103"/>
            </w:rPr>
            <w:fldChar w:fldCharType="begin"/>
          </w:r>
          <w:r>
            <w:rPr>
              <w:w w:val="103"/>
            </w:rPr>
            <w:instrText xml:space="preserve"> PAGE  \* Arabic  \* MERGEFORMAT </w:instrText>
          </w:r>
          <w:r>
            <w:rPr>
              <w:w w:val="103"/>
            </w:rPr>
            <w:fldChar w:fldCharType="separate"/>
          </w:r>
          <w:r>
            <w:rPr>
              <w:noProof/>
              <w:w w:val="103"/>
            </w:rPr>
            <w:t>58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60</w:t>
          </w:r>
          <w:r>
            <w:rPr>
              <w:w w:val="103"/>
            </w:rPr>
            <w:fldChar w:fldCharType="end"/>
          </w:r>
        </w:p>
      </w:tc>
    </w:tr>
  </w:tbl>
  <w:p w14:paraId="14BE0481" w14:textId="77777777" w:rsidR="004C5B47" w:rsidRPr="00BB0956" w:rsidRDefault="004C5B47" w:rsidP="00BB0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5D124" w14:textId="77777777" w:rsidR="00942F3F" w:rsidRPr="007D4862" w:rsidRDefault="00942F3F" w:rsidP="007D4862">
      <w:pPr>
        <w:pStyle w:val="Footer"/>
        <w:spacing w:after="80"/>
        <w:ind w:left="792"/>
        <w:rPr>
          <w:sz w:val="16"/>
        </w:rPr>
      </w:pPr>
      <w:r w:rsidRPr="007D4862">
        <w:rPr>
          <w:sz w:val="16"/>
        </w:rPr>
        <w:t>__________________</w:t>
      </w:r>
    </w:p>
  </w:footnote>
  <w:footnote w:type="continuationSeparator" w:id="0">
    <w:p w14:paraId="12590FAD" w14:textId="77777777" w:rsidR="00942F3F" w:rsidRPr="007D4862" w:rsidRDefault="00942F3F" w:rsidP="007D4862">
      <w:pPr>
        <w:pStyle w:val="Footer"/>
        <w:spacing w:after="80"/>
        <w:ind w:left="792"/>
        <w:rPr>
          <w:sz w:val="16"/>
        </w:rPr>
      </w:pPr>
      <w:r w:rsidRPr="007D4862">
        <w:rPr>
          <w:sz w:val="16"/>
        </w:rPr>
        <w:t>__________________</w:t>
      </w:r>
    </w:p>
  </w:footnote>
  <w:footnote w:id="1">
    <w:p w14:paraId="58716785" w14:textId="010E3A29" w:rsidR="004C5B47" w:rsidRPr="003B1541" w:rsidRDefault="004C5B47" w:rsidP="007D4862">
      <w:pPr>
        <w:pStyle w:val="FootnoteText"/>
        <w:tabs>
          <w:tab w:val="right" w:pos="1195"/>
          <w:tab w:val="left" w:pos="1267"/>
          <w:tab w:val="left" w:pos="1742"/>
          <w:tab w:val="left" w:pos="2218"/>
          <w:tab w:val="left" w:pos="2693"/>
        </w:tabs>
        <w:ind w:left="1267" w:right="1260" w:hanging="576"/>
        <w:rPr>
          <w:lang w:val="fr-FR"/>
        </w:rPr>
      </w:pPr>
      <w:r>
        <w:rPr>
          <w:lang w:val="fr-FR" w:bidi="fr-FR"/>
        </w:rPr>
        <w:tab/>
      </w:r>
      <w:r w:rsidRPr="00CE06C7">
        <w:rPr>
          <w:rStyle w:val="FootnoteReference"/>
          <w:vertAlign w:val="baseline"/>
          <w:lang w:val="fr-FR" w:bidi="fr-FR"/>
        </w:rPr>
        <w:t>*</w:t>
      </w:r>
      <w:r w:rsidRPr="00CE06C7">
        <w:rPr>
          <w:szCs w:val="17"/>
          <w:lang w:val="fr-FR" w:bidi="fr-FR"/>
        </w:rPr>
        <w:tab/>
      </w:r>
      <w:r w:rsidRPr="00CE767B">
        <w:rPr>
          <w:lang w:val="fr-FR" w:bidi="fr-FR"/>
        </w:rPr>
        <w:t>La version originale du présent document n’a pas été revue par les services d’édition</w:t>
      </w:r>
      <w:r w:rsidRPr="007D4862">
        <w:rPr>
          <w:lang w:val="fr-FR" w:bidi="fr-FR"/>
        </w:rPr>
        <w:t>.</w:t>
      </w:r>
    </w:p>
  </w:footnote>
  <w:footnote w:id="2">
    <w:p w14:paraId="119D448B" w14:textId="77777777" w:rsidR="004C5B47" w:rsidRPr="003B1541" w:rsidRDefault="004C5B47" w:rsidP="007D4862">
      <w:pPr>
        <w:pStyle w:val="FootnoteText"/>
        <w:tabs>
          <w:tab w:val="right" w:pos="1195"/>
          <w:tab w:val="left" w:pos="1267"/>
          <w:tab w:val="left" w:pos="1742"/>
          <w:tab w:val="left" w:pos="2218"/>
          <w:tab w:val="left" w:pos="2693"/>
        </w:tabs>
        <w:ind w:left="1267" w:right="1260" w:hanging="576"/>
        <w:rPr>
          <w:lang w:val="fr-FR"/>
        </w:rPr>
      </w:pPr>
      <w:r w:rsidRPr="00CE06C7">
        <w:rPr>
          <w:rStyle w:val="FootnoteReference"/>
          <w:vertAlign w:val="baseline"/>
          <w:lang w:val="fr-FR" w:bidi="fr-FR"/>
        </w:rPr>
        <w:tab/>
        <w:t>*</w:t>
      </w:r>
      <w:r w:rsidRPr="00CE06C7">
        <w:rPr>
          <w:rStyle w:val="FootnoteReference"/>
          <w:spacing w:val="4"/>
          <w:vertAlign w:val="baseline"/>
          <w:lang w:val="fr-FR" w:bidi="fr-FR"/>
        </w:rPr>
        <w:t>*</w:t>
      </w:r>
      <w:r w:rsidRPr="007D4862">
        <w:rPr>
          <w:rStyle w:val="FootnoteReference"/>
          <w:spacing w:val="4"/>
          <w:lang w:val="fr-FR" w:bidi="fr-FR"/>
        </w:rPr>
        <w:tab/>
      </w:r>
      <w:r w:rsidRPr="007D4862">
        <w:rPr>
          <w:lang w:val="fr-FR" w:bidi="fr-FR"/>
        </w:rPr>
        <w:t>Les annexes au présent rapport peuvent être consultées sur la page Web du Comité</w:t>
      </w:r>
      <w:r w:rsidRPr="007D4862">
        <w:rPr>
          <w:rStyle w:val="FootnoteReference"/>
          <w:spacing w:val="4"/>
          <w:lang w:val="fr-FR" w:bidi="fr-FR"/>
        </w:rPr>
        <w:t>.</w:t>
      </w:r>
    </w:p>
  </w:footnote>
  <w:footnote w:id="3">
    <w:p w14:paraId="39E53C84" w14:textId="6DFBECD7" w:rsidR="004C5B47" w:rsidRPr="003B1541" w:rsidRDefault="004C5B47" w:rsidP="007D4862">
      <w:pPr>
        <w:pStyle w:val="FootnoteText"/>
        <w:tabs>
          <w:tab w:val="right" w:pos="1195"/>
          <w:tab w:val="left" w:pos="1267"/>
          <w:tab w:val="left" w:pos="1742"/>
          <w:tab w:val="left" w:pos="2218"/>
          <w:tab w:val="left" w:pos="2693"/>
        </w:tabs>
        <w:ind w:left="1267" w:right="1260" w:hanging="576"/>
        <w:rPr>
          <w:lang w:val="fr-FR"/>
        </w:rPr>
      </w:pPr>
      <w:r>
        <w:rPr>
          <w:lang w:val="fr-FR" w:bidi="fr-FR"/>
        </w:rPr>
        <w:tab/>
      </w:r>
      <w:r w:rsidRPr="00130BB3">
        <w:rPr>
          <w:rStyle w:val="FootnoteReference"/>
          <w:lang w:val="fr-FR" w:bidi="fr-FR"/>
        </w:rPr>
        <w:footnoteRef/>
      </w:r>
      <w:r>
        <w:rPr>
          <w:lang w:val="fr-FR" w:bidi="fr-FR"/>
        </w:rPr>
        <w:tab/>
      </w:r>
      <w:r w:rsidRPr="007D4862">
        <w:rPr>
          <w:lang w:val="fr-FR" w:bidi="fr-FR"/>
        </w:rPr>
        <w:t>Points de pourcentage.</w:t>
      </w:r>
    </w:p>
  </w:footnote>
  <w:footnote w:id="4">
    <w:p w14:paraId="2A4F75F6" w14:textId="523F48F4" w:rsidR="004C5B47" w:rsidRPr="007D4862" w:rsidRDefault="004C5B47" w:rsidP="007D4862">
      <w:pPr>
        <w:pStyle w:val="FootnoteText"/>
        <w:tabs>
          <w:tab w:val="right" w:pos="1195"/>
          <w:tab w:val="left" w:pos="1267"/>
          <w:tab w:val="left" w:pos="1742"/>
          <w:tab w:val="left" w:pos="2218"/>
          <w:tab w:val="left" w:pos="2693"/>
        </w:tabs>
        <w:ind w:left="1267" w:right="1260" w:hanging="576"/>
        <w:rPr>
          <w:rStyle w:val="Hyperlink"/>
          <w:color w:val="auto"/>
          <w:lang w:val="fr-FR"/>
        </w:rPr>
      </w:pPr>
      <w:r>
        <w:rPr>
          <w:rStyle w:val="Hyperlink"/>
          <w:lang w:val="fr-FR" w:bidi="fr-FR"/>
        </w:rPr>
        <w:tab/>
      </w:r>
      <w:r w:rsidRPr="007D4862">
        <w:rPr>
          <w:rStyle w:val="FootnoteReference"/>
          <w:spacing w:val="4"/>
          <w:lang w:val="fr-FR" w:bidi="fr-FR"/>
        </w:rPr>
        <w:footnoteRef/>
      </w:r>
      <w:r w:rsidRPr="007D4862">
        <w:rPr>
          <w:rStyle w:val="Hyperlink"/>
          <w:lang w:val="fr-FR" w:bidi="fr-FR"/>
        </w:rPr>
        <w:tab/>
      </w:r>
      <w:hyperlink r:id="rId1" w:history="1">
        <w:r w:rsidRPr="007D4862">
          <w:rPr>
            <w:rStyle w:val="Hyperlink"/>
            <w:lang w:val="fr-FR" w:bidi="fr-FR"/>
          </w:rPr>
          <w:t>https://www.cig.gov.pt/wp-content/uploads/2019/06/Relato%CC%81rio_Global_OIG.pdf</w:t>
        </w:r>
      </w:hyperlink>
      <w:r w:rsidRPr="007D4862">
        <w:rPr>
          <w:rStyle w:val="Hyperlink"/>
          <w:color w:val="auto"/>
          <w:lang w:val="fr-FR" w:bidi="fr-FR"/>
        </w:rPr>
        <w:t>.</w:t>
      </w:r>
    </w:p>
  </w:footnote>
  <w:footnote w:id="5">
    <w:p w14:paraId="456D2852" w14:textId="60DEA9DB" w:rsidR="004C5B47" w:rsidRPr="007D4862" w:rsidRDefault="004C5B47" w:rsidP="007D4862">
      <w:pPr>
        <w:pStyle w:val="FootnoteText"/>
        <w:tabs>
          <w:tab w:val="right" w:pos="1195"/>
          <w:tab w:val="left" w:pos="1267"/>
          <w:tab w:val="left" w:pos="1742"/>
          <w:tab w:val="left" w:pos="2218"/>
          <w:tab w:val="left" w:pos="2693"/>
        </w:tabs>
        <w:ind w:left="1267" w:right="1260" w:hanging="576"/>
        <w:rPr>
          <w:lang w:val="fr-FR"/>
        </w:rPr>
      </w:pPr>
      <w:r>
        <w:rPr>
          <w:lang w:val="fr-FR" w:bidi="fr-FR"/>
        </w:rPr>
        <w:tab/>
      </w:r>
      <w:r w:rsidRPr="007D4862">
        <w:rPr>
          <w:rStyle w:val="FootnoteReference"/>
          <w:spacing w:val="4"/>
          <w:lang w:val="fr-FR" w:bidi="fr-FR"/>
        </w:rPr>
        <w:footnoteRef/>
      </w:r>
      <w:r w:rsidRPr="007D4862">
        <w:rPr>
          <w:i/>
          <w:lang w:val="fr-FR" w:bidi="fr-FR"/>
        </w:rPr>
        <w:tab/>
      </w:r>
      <w:r w:rsidRPr="007D4862">
        <w:rPr>
          <w:lang w:val="fr-FR" w:bidi="fr-FR"/>
        </w:rPr>
        <w:t xml:space="preserve">Voir le programme de travail de la sous-commission à l’adresse suivante : </w:t>
      </w:r>
      <w:hyperlink r:id="rId2" w:history="1">
        <w:r w:rsidRPr="007D4862">
          <w:rPr>
            <w:rStyle w:val="Hyperlink"/>
            <w:lang w:val="fr-FR" w:bidi="fr-FR"/>
          </w:rPr>
          <w:t>https://www.parlamento.pt/sites/COM/XIIILeg/1CACDLG/SIND/Apresentacao/</w:t>
        </w:r>
        <w:r w:rsidRPr="007D4862">
          <w:rPr>
            <w:rStyle w:val="Hyperlink"/>
            <w:lang w:val="fr-FR" w:bidi="fr-FR"/>
          </w:rPr>
          <w:br/>
          <w:t>Paginas/PlanosActividade.aspx</w:t>
        </w:r>
      </w:hyperlink>
      <w:r w:rsidRPr="007D4862">
        <w:rPr>
          <w:lang w:val="fr-FR" w:bidi="fr-FR"/>
        </w:rPr>
        <w:t>.</w:t>
      </w:r>
    </w:p>
  </w:footnote>
  <w:footnote w:id="6">
    <w:p w14:paraId="07B0B659" w14:textId="59272201" w:rsidR="004C5B47" w:rsidRPr="003B1541" w:rsidRDefault="004C5B47" w:rsidP="007D4862">
      <w:pPr>
        <w:pStyle w:val="FootnoteText"/>
        <w:tabs>
          <w:tab w:val="right" w:pos="1195"/>
          <w:tab w:val="left" w:pos="1267"/>
          <w:tab w:val="left" w:pos="1742"/>
          <w:tab w:val="left" w:pos="2218"/>
          <w:tab w:val="left" w:pos="2693"/>
        </w:tabs>
        <w:ind w:left="1267" w:right="1260" w:hanging="576"/>
        <w:rPr>
          <w:lang w:val="fr-FR"/>
        </w:rPr>
      </w:pPr>
      <w:r>
        <w:rPr>
          <w:lang w:val="fr-FR" w:bidi="fr-FR"/>
        </w:rPr>
        <w:tab/>
      </w:r>
      <w:r w:rsidRPr="007D4862">
        <w:rPr>
          <w:rStyle w:val="FootnoteReference"/>
          <w:spacing w:val="4"/>
          <w:lang w:val="fr-FR" w:bidi="fr-FR"/>
        </w:rPr>
        <w:footnoteRef/>
      </w:r>
      <w:r w:rsidRPr="007D4862">
        <w:rPr>
          <w:lang w:val="fr-FR" w:bidi="fr-FR"/>
        </w:rPr>
        <w:tab/>
      </w:r>
      <w:hyperlink r:id="rId3" w:history="1">
        <w:r w:rsidRPr="007D4862">
          <w:rPr>
            <w:rStyle w:val="Hyperlink"/>
            <w:lang w:val="fr-FR" w:bidi="fr-FR"/>
          </w:rPr>
          <w:t>http://www.azores.gov.pt/Gra/Comiss%C3%A3o+Régional+para+a+Igualdade</w:t>
        </w:r>
        <w:r w:rsidRPr="007D4862">
          <w:rPr>
            <w:rStyle w:val="Hyperlink"/>
            <w:lang w:val="fr-FR" w:bidi="fr-FR"/>
          </w:rPr>
          <w:br/>
          <w:t>+no+Trabalho+e+no+Emprego+dos+A%C3%A7ores/menus/principal/o+que+fazemos/</w:t>
        </w:r>
      </w:hyperlink>
      <w:r>
        <w:rPr>
          <w:rStyle w:val="Hyperlink"/>
          <w:lang w:val="fr-FR" w:bidi="fr-FR"/>
        </w:rPr>
        <w:t>.</w:t>
      </w:r>
    </w:p>
  </w:footnote>
  <w:footnote w:id="7">
    <w:p w14:paraId="21501EAB" w14:textId="4D506C56" w:rsidR="004C5B47" w:rsidRPr="003B1541" w:rsidRDefault="004C5B47" w:rsidP="007D4862">
      <w:pPr>
        <w:pStyle w:val="FootnoteText"/>
        <w:tabs>
          <w:tab w:val="right" w:pos="1195"/>
          <w:tab w:val="left" w:pos="1267"/>
          <w:tab w:val="left" w:pos="1742"/>
          <w:tab w:val="left" w:pos="2218"/>
          <w:tab w:val="left" w:pos="2693"/>
        </w:tabs>
        <w:ind w:left="1267" w:right="1260" w:hanging="576"/>
        <w:rPr>
          <w:lang w:val="fr-FR"/>
        </w:rPr>
      </w:pPr>
      <w:r>
        <w:rPr>
          <w:lang w:val="fr-FR" w:bidi="fr-FR"/>
        </w:rPr>
        <w:tab/>
      </w:r>
      <w:r w:rsidRPr="007D4862">
        <w:rPr>
          <w:rStyle w:val="FootnoteReference"/>
          <w:spacing w:val="4"/>
          <w:lang w:val="fr-FR" w:bidi="fr-FR"/>
        </w:rPr>
        <w:footnoteRef/>
      </w:r>
      <w:r w:rsidRPr="007D4862">
        <w:rPr>
          <w:lang w:val="fr-FR" w:bidi="fr-FR"/>
        </w:rPr>
        <w:tab/>
      </w:r>
      <w:hyperlink r:id="rId4" w:history="1">
        <w:r w:rsidRPr="007D4862">
          <w:rPr>
            <w:rStyle w:val="Hyperlink"/>
            <w:lang w:val="fr-FR" w:bidi="fr-FR"/>
          </w:rPr>
          <w:t>http://www.cej.mj.pt/cej/recursos/ebooks/outros/eb_JulgarGenero2018.pdf</w:t>
        </w:r>
      </w:hyperlink>
      <w:r>
        <w:rPr>
          <w:rStyle w:val="Hyperlink"/>
          <w:lang w:val="fr-FR" w:bidi="fr-FR"/>
        </w:rPr>
        <w:t>.</w:t>
      </w:r>
    </w:p>
  </w:footnote>
  <w:footnote w:id="8">
    <w:p w14:paraId="19B551A7" w14:textId="2158EF45" w:rsidR="004C5B47" w:rsidRPr="003B1541" w:rsidRDefault="004C5B47" w:rsidP="007D4862">
      <w:pPr>
        <w:pStyle w:val="FootnoteText"/>
        <w:tabs>
          <w:tab w:val="right" w:pos="1195"/>
          <w:tab w:val="left" w:pos="1267"/>
          <w:tab w:val="left" w:pos="1742"/>
          <w:tab w:val="left" w:pos="2218"/>
          <w:tab w:val="left" w:pos="2693"/>
        </w:tabs>
        <w:ind w:left="1267" w:right="1260" w:hanging="576"/>
        <w:rPr>
          <w:lang w:val="fr-FR"/>
        </w:rPr>
      </w:pPr>
      <w:r>
        <w:rPr>
          <w:lang w:val="fr-FR" w:bidi="fr-FR"/>
        </w:rPr>
        <w:tab/>
      </w:r>
      <w:r w:rsidRPr="007D4862">
        <w:rPr>
          <w:rStyle w:val="FootnoteReference"/>
          <w:spacing w:val="4"/>
          <w:lang w:val="fr-FR" w:bidi="fr-FR"/>
        </w:rPr>
        <w:footnoteRef/>
      </w:r>
      <w:r w:rsidRPr="007D4862">
        <w:rPr>
          <w:lang w:val="fr-FR" w:bidi="fr-FR"/>
        </w:rPr>
        <w:tab/>
      </w:r>
      <w:hyperlink r:id="rId5" w:anchor="{%22itemid%22:[%22001-175659%22]}" w:history="1">
        <w:r w:rsidRPr="007D4862">
          <w:rPr>
            <w:rStyle w:val="Hyperlink"/>
            <w:lang w:val="fr-FR" w:bidi="fr-FR"/>
          </w:rPr>
          <w:t>https://hudoc.echr.coe.int/fre#{%22itemid%22:[%22001-176013%22]}</w:t>
        </w:r>
      </w:hyperlink>
      <w:r>
        <w:rPr>
          <w:rStyle w:val="Hyperlink"/>
          <w:lang w:val="fr-FR" w:bidi="fr-FR"/>
        </w:rPr>
        <w:t>.</w:t>
      </w:r>
    </w:p>
  </w:footnote>
  <w:footnote w:id="9">
    <w:p w14:paraId="5C0A2ABD" w14:textId="6BDFDD3D" w:rsidR="004C5B47" w:rsidRPr="003B1541" w:rsidRDefault="004C5B47" w:rsidP="007D4862">
      <w:pPr>
        <w:pStyle w:val="FootnoteText"/>
        <w:tabs>
          <w:tab w:val="right" w:pos="1195"/>
          <w:tab w:val="left" w:pos="1267"/>
          <w:tab w:val="left" w:pos="1742"/>
          <w:tab w:val="left" w:pos="2218"/>
          <w:tab w:val="left" w:pos="2693"/>
        </w:tabs>
        <w:ind w:left="1267" w:right="1260" w:hanging="576"/>
        <w:rPr>
          <w:lang w:val="fr-FR"/>
        </w:rPr>
      </w:pPr>
      <w:r>
        <w:rPr>
          <w:lang w:val="fr-FR" w:bidi="fr-FR"/>
        </w:rPr>
        <w:tab/>
      </w:r>
      <w:r w:rsidRPr="007D4862">
        <w:rPr>
          <w:rStyle w:val="FootnoteReference"/>
          <w:spacing w:val="4"/>
          <w:lang w:val="fr-FR" w:bidi="fr-FR"/>
        </w:rPr>
        <w:footnoteRef/>
      </w:r>
      <w:r w:rsidRPr="007D4862">
        <w:rPr>
          <w:lang w:val="fr-FR" w:bidi="fr-FR"/>
        </w:rPr>
        <w:tab/>
      </w:r>
      <w:hyperlink r:id="rId6" w:history="1">
        <w:r w:rsidRPr="007D4862">
          <w:rPr>
            <w:rStyle w:val="Hyperlink"/>
            <w:lang w:val="fr-FR" w:bidi="fr-FR"/>
          </w:rPr>
          <w:t>https://www.cenjor.pt/</w:t>
        </w:r>
      </w:hyperlink>
      <w:r>
        <w:rPr>
          <w:rStyle w:val="Hyperlink"/>
          <w:lang w:val="fr-FR" w:bidi="fr-FR"/>
        </w:rPr>
        <w:t>.</w:t>
      </w:r>
    </w:p>
  </w:footnote>
  <w:footnote w:id="10">
    <w:p w14:paraId="0D1681E9" w14:textId="6B95B5E8" w:rsidR="004C5B47" w:rsidRPr="007D4862" w:rsidRDefault="004C5B47" w:rsidP="007D4862">
      <w:pPr>
        <w:pStyle w:val="FootnoteText"/>
        <w:tabs>
          <w:tab w:val="right" w:pos="1195"/>
          <w:tab w:val="left" w:pos="1267"/>
          <w:tab w:val="left" w:pos="1742"/>
          <w:tab w:val="left" w:pos="2218"/>
          <w:tab w:val="left" w:pos="2693"/>
        </w:tabs>
        <w:ind w:left="1267" w:right="1260" w:hanging="576"/>
        <w:rPr>
          <w:lang w:val="fr-FR"/>
        </w:rPr>
      </w:pPr>
      <w:r>
        <w:rPr>
          <w:lang w:val="fr-FR" w:bidi="fr-FR"/>
        </w:rPr>
        <w:tab/>
      </w:r>
      <w:r w:rsidRPr="007D4862">
        <w:rPr>
          <w:rStyle w:val="FootnoteReference"/>
          <w:spacing w:val="4"/>
          <w:lang w:val="fr-FR" w:bidi="fr-FR"/>
        </w:rPr>
        <w:footnoteRef/>
      </w:r>
      <w:r w:rsidRPr="007D4862">
        <w:rPr>
          <w:lang w:val="fr-FR" w:bidi="fr-FR"/>
        </w:rPr>
        <w:tab/>
        <w:t>Loi nº 130/2015 établissant des normes minimales relatives aux droits, au soutien et à la protection des victimes de la criminalité, et remplaçant la décision-cadre 2001/220/JAI du Conseil du 15 mars 2001.</w:t>
      </w:r>
    </w:p>
  </w:footnote>
  <w:footnote w:id="11">
    <w:p w14:paraId="338274AD" w14:textId="06376FB0" w:rsidR="004C5B47" w:rsidRPr="003B1541" w:rsidRDefault="004C5B47" w:rsidP="007D4862">
      <w:pPr>
        <w:pStyle w:val="FootnoteText"/>
        <w:tabs>
          <w:tab w:val="right" w:pos="1195"/>
          <w:tab w:val="left" w:pos="1267"/>
          <w:tab w:val="left" w:pos="1742"/>
          <w:tab w:val="left" w:pos="2218"/>
          <w:tab w:val="left" w:pos="2693"/>
        </w:tabs>
        <w:ind w:left="1267" w:right="1260" w:hanging="576"/>
        <w:rPr>
          <w:lang w:val="fr-FR" w:bidi="fr-FR"/>
        </w:rPr>
      </w:pPr>
      <w:r w:rsidRPr="001E2128">
        <w:rPr>
          <w:lang w:val="fr-FR" w:bidi="fr-FR"/>
        </w:rPr>
        <w:tab/>
      </w:r>
      <w:r w:rsidRPr="007D4862">
        <w:rPr>
          <w:rStyle w:val="FootnoteReference"/>
          <w:spacing w:val="4"/>
          <w:lang w:val="fr-FR" w:bidi="fr-FR"/>
        </w:rPr>
        <w:footnoteRef/>
      </w:r>
      <w:r w:rsidRPr="007D4862">
        <w:rPr>
          <w:lang w:val="fr-FR" w:bidi="fr-FR"/>
        </w:rPr>
        <w:tab/>
      </w:r>
      <w:hyperlink r:id="rId7" w:history="1">
        <w:r w:rsidRPr="007D4862">
          <w:rPr>
            <w:rStyle w:val="Hyperlink"/>
            <w:lang w:val="fr-FR" w:bidi="fr-FR"/>
          </w:rPr>
          <w:t>https://www.cig.gov.pt/2019/03/7-marco-dia-luto-nacional-pelas-vitimas-violencia-domestica/</w:t>
        </w:r>
      </w:hyperlink>
      <w:r>
        <w:rPr>
          <w:lang w:val="fr-FR" w:bidi="fr-FR"/>
        </w:rPr>
        <w:t>.</w:t>
      </w:r>
    </w:p>
  </w:footnote>
  <w:footnote w:id="12">
    <w:p w14:paraId="2EC2F10F" w14:textId="17C4769A" w:rsidR="004C5B47" w:rsidRPr="007D4862" w:rsidRDefault="004C5B47" w:rsidP="007D4862">
      <w:pPr>
        <w:pStyle w:val="FootnoteText"/>
        <w:tabs>
          <w:tab w:val="right" w:pos="1195"/>
          <w:tab w:val="left" w:pos="1267"/>
          <w:tab w:val="left" w:pos="1742"/>
          <w:tab w:val="left" w:pos="2218"/>
          <w:tab w:val="left" w:pos="2693"/>
        </w:tabs>
        <w:ind w:left="1267" w:right="1260" w:hanging="576"/>
        <w:rPr>
          <w:lang w:val="fr-FR"/>
        </w:rPr>
      </w:pPr>
      <w:r>
        <w:rPr>
          <w:lang w:val="fr-FR" w:bidi="fr-FR"/>
        </w:rPr>
        <w:tab/>
      </w:r>
      <w:r w:rsidRPr="007D4862">
        <w:rPr>
          <w:rStyle w:val="FootnoteReference"/>
          <w:spacing w:val="4"/>
          <w:lang w:val="fr-FR" w:bidi="fr-FR"/>
        </w:rPr>
        <w:footnoteRef/>
      </w:r>
      <w:r w:rsidRPr="007D4862">
        <w:rPr>
          <w:lang w:val="fr-FR" w:bidi="fr-FR"/>
        </w:rPr>
        <w:tab/>
      </w:r>
      <w:hyperlink r:id="rId8" w:history="1">
        <w:r w:rsidRPr="007D4862">
          <w:rPr>
            <w:rStyle w:val="Hyperlink"/>
            <w:lang w:val="fr-FR" w:bidi="fr-FR"/>
          </w:rPr>
          <w:t>https://fra.europa.eu/sites/default/files/fra_uploads/fra-2014-vaw-survey-main-results-apr14_en.pdf</w:t>
        </w:r>
      </w:hyperlink>
      <w:r>
        <w:rPr>
          <w:rStyle w:val="Hyperlink"/>
          <w:color w:val="auto"/>
          <w:lang w:val="fr-FR" w:bidi="fr-FR"/>
        </w:rPr>
        <w:t>.</w:t>
      </w:r>
    </w:p>
  </w:footnote>
  <w:footnote w:id="13">
    <w:p w14:paraId="07A6889F" w14:textId="3BF207D1" w:rsidR="004C5B47" w:rsidRPr="007D4862" w:rsidRDefault="004C5B47" w:rsidP="007D4862">
      <w:pPr>
        <w:pStyle w:val="FootnoteText"/>
        <w:tabs>
          <w:tab w:val="right" w:pos="1195"/>
          <w:tab w:val="left" w:pos="1267"/>
          <w:tab w:val="left" w:pos="1742"/>
          <w:tab w:val="left" w:pos="2218"/>
          <w:tab w:val="left" w:pos="2693"/>
        </w:tabs>
        <w:ind w:left="1267" w:right="1260" w:hanging="576"/>
        <w:rPr>
          <w:lang w:val="fr-FR"/>
        </w:rPr>
      </w:pPr>
      <w:r>
        <w:rPr>
          <w:lang w:val="fr-FR" w:bidi="fr-FR"/>
        </w:rPr>
        <w:tab/>
      </w:r>
      <w:r w:rsidRPr="007D4862">
        <w:rPr>
          <w:rStyle w:val="FootnoteReference"/>
          <w:spacing w:val="4"/>
          <w:lang w:val="fr-FR" w:bidi="fr-FR"/>
        </w:rPr>
        <w:footnoteRef/>
      </w:r>
      <w:r w:rsidRPr="007D4862">
        <w:rPr>
          <w:lang w:val="fr-FR" w:bidi="fr-FR"/>
        </w:rPr>
        <w:tab/>
        <w:t xml:space="preserve">Comme le Comité en a déjà été informé, la loi nº 112/2009 du 16 septembre 2009 a défini le cadre juridique applicable à la prévention de la violence domestique ainsi qu’à la protection et au soutien des victimes de violence domestique. </w:t>
      </w:r>
      <w:r w:rsidRPr="007D4862">
        <w:rPr>
          <w:lang w:val="fr-FR" w:bidi="fr-FR"/>
        </w:rPr>
        <w:br/>
        <w:t>Le principal élément de cette loi est la création du réseau national d’aide aux victimes de la violence domestique.</w:t>
      </w:r>
    </w:p>
  </w:footnote>
  <w:footnote w:id="14">
    <w:p w14:paraId="1AD3E9C5" w14:textId="09392540" w:rsidR="004C5B47" w:rsidRPr="007D4862" w:rsidRDefault="004C5B47" w:rsidP="007D4862">
      <w:pPr>
        <w:pStyle w:val="FootnoteText"/>
        <w:tabs>
          <w:tab w:val="right" w:pos="1195"/>
          <w:tab w:val="left" w:pos="1267"/>
          <w:tab w:val="left" w:pos="1742"/>
          <w:tab w:val="left" w:pos="2218"/>
          <w:tab w:val="left" w:pos="2693"/>
        </w:tabs>
        <w:ind w:left="1267" w:right="1260" w:hanging="576"/>
        <w:rPr>
          <w:lang w:val="fr-FR"/>
        </w:rPr>
      </w:pPr>
      <w:r>
        <w:rPr>
          <w:lang w:val="fr-FR" w:bidi="fr-FR"/>
        </w:rPr>
        <w:tab/>
      </w:r>
      <w:r w:rsidRPr="007D4862">
        <w:rPr>
          <w:rStyle w:val="FootnoteReference"/>
          <w:spacing w:val="4"/>
          <w:lang w:val="fr-FR" w:bidi="fr-FR"/>
        </w:rPr>
        <w:footnoteRef/>
      </w:r>
      <w:r w:rsidRPr="007D4862">
        <w:rPr>
          <w:rFonts w:eastAsia="Tahoma"/>
          <w:color w:val="000000"/>
          <w:lang w:val="fr-FR" w:bidi="fr-FR"/>
        </w:rPr>
        <w:tab/>
        <w:t>Voir le règlement sur les frais de procédure (décret-loi nº 34/2008), article 4, paragraphe 1, point z.</w:t>
      </w:r>
    </w:p>
  </w:footnote>
  <w:footnote w:id="15">
    <w:p w14:paraId="6D97BF10" w14:textId="77777777" w:rsidR="004C5B47" w:rsidRPr="007D4862" w:rsidRDefault="004C5B47" w:rsidP="00770302">
      <w:pPr>
        <w:pStyle w:val="FootnoteText"/>
        <w:widowControl w:val="0"/>
        <w:tabs>
          <w:tab w:val="right" w:pos="1195"/>
          <w:tab w:val="left" w:pos="1267"/>
          <w:tab w:val="left" w:pos="1742"/>
          <w:tab w:val="left" w:pos="2218"/>
          <w:tab w:val="left" w:pos="2693"/>
        </w:tabs>
        <w:ind w:left="1267" w:right="1260" w:hanging="576"/>
        <w:rPr>
          <w:lang w:val="fr-FR"/>
        </w:rPr>
      </w:pPr>
      <w:r>
        <w:rPr>
          <w:lang w:val="fr-FR" w:bidi="fr-FR"/>
        </w:rPr>
        <w:tab/>
      </w:r>
      <w:r w:rsidRPr="007D4862">
        <w:rPr>
          <w:rStyle w:val="FootnoteReference"/>
          <w:spacing w:val="4"/>
          <w:lang w:val="fr-FR" w:bidi="fr-FR"/>
        </w:rPr>
        <w:footnoteRef/>
      </w:r>
      <w:r w:rsidRPr="007D4862">
        <w:rPr>
          <w:lang w:val="fr-FR" w:bidi="fr-FR"/>
        </w:rPr>
        <w:tab/>
        <w:t>Les informations concernant 2018 seront disponibles en octobre 2019.</w:t>
      </w:r>
    </w:p>
  </w:footnote>
  <w:footnote w:id="16">
    <w:p w14:paraId="6AE96F67" w14:textId="6706A63E" w:rsidR="004C5B47" w:rsidRPr="007D4862" w:rsidRDefault="004C5B47" w:rsidP="00BB0956">
      <w:pPr>
        <w:pStyle w:val="FootnoteText"/>
        <w:tabs>
          <w:tab w:val="right" w:pos="1195"/>
          <w:tab w:val="left" w:pos="1267"/>
          <w:tab w:val="left" w:pos="1742"/>
          <w:tab w:val="left" w:pos="2218"/>
          <w:tab w:val="left" w:pos="2693"/>
        </w:tabs>
        <w:ind w:left="1267" w:right="1260" w:hanging="576"/>
      </w:pPr>
      <w:r>
        <w:rPr>
          <w:lang w:val="fr-FR" w:bidi="fr-FR"/>
        </w:rPr>
        <w:tab/>
      </w:r>
      <w:r w:rsidRPr="007D4862">
        <w:rPr>
          <w:rStyle w:val="FootnoteReference"/>
          <w:spacing w:val="4"/>
          <w:lang w:val="fr-FR" w:bidi="fr-FR"/>
        </w:rPr>
        <w:footnoteRef/>
      </w:r>
      <w:r w:rsidRPr="007D4862">
        <w:rPr>
          <w:lang w:val="en-US" w:bidi="fr-FR"/>
        </w:rPr>
        <w:tab/>
        <w:t xml:space="preserve">Voir </w:t>
      </w:r>
      <w:hyperlink r:id="rId9" w:history="1">
        <w:r w:rsidRPr="007D4862">
          <w:rPr>
            <w:rStyle w:val="Hyperlink"/>
            <w:lang w:val="en-US" w:bidi="fr-FR"/>
          </w:rPr>
          <w:t>CEDAW/C/PRT/CO/8-9/Add.1</w:t>
        </w:r>
      </w:hyperlink>
      <w:r w:rsidRPr="007D4862">
        <w:rPr>
          <w:lang w:val="en-US" w:bidi="fr-FR"/>
        </w:rPr>
        <w:t>, paragraphes 1-5.</w:t>
      </w:r>
    </w:p>
  </w:footnote>
  <w:footnote w:id="17">
    <w:p w14:paraId="1863BB6E" w14:textId="77777777" w:rsidR="004C5B47" w:rsidRPr="007D4862" w:rsidRDefault="004C5B47" w:rsidP="00BB0956">
      <w:pPr>
        <w:pStyle w:val="FootnoteText"/>
        <w:tabs>
          <w:tab w:val="right" w:pos="1195"/>
          <w:tab w:val="left" w:pos="1267"/>
          <w:tab w:val="left" w:pos="1742"/>
          <w:tab w:val="left" w:pos="2218"/>
          <w:tab w:val="left" w:pos="2693"/>
        </w:tabs>
        <w:ind w:left="1267" w:right="1260" w:hanging="576"/>
        <w:rPr>
          <w:lang w:val="fr-FR"/>
        </w:rPr>
      </w:pPr>
      <w:r w:rsidRPr="003B1541">
        <w:rPr>
          <w:lang w:val="en-US" w:bidi="fr-FR"/>
        </w:rPr>
        <w:tab/>
      </w:r>
      <w:r w:rsidRPr="007D4862">
        <w:rPr>
          <w:rStyle w:val="FootnoteReference"/>
          <w:spacing w:val="4"/>
          <w:lang w:val="fr-FR" w:bidi="fr-FR"/>
        </w:rPr>
        <w:footnoteRef/>
      </w:r>
      <w:r w:rsidRPr="007D4862">
        <w:rPr>
          <w:lang w:val="fr-FR" w:bidi="fr-FR"/>
        </w:rPr>
        <w:tab/>
        <w:t>L’article 31, point 4, de la loi nº 112/2009 est désormais rédigé comme suit : « La ou les mesures de contrainte qui entraînent la restriction des contacts entre parents sont immédiatement communiquées au représentant du Ministère public du tribunal compétent afin qu’il engage sans tarder une procédure visant à fixer ou à modifier les modalités de l’exercice des responsabilités parentales. »</w:t>
      </w:r>
    </w:p>
  </w:footnote>
  <w:footnote w:id="18">
    <w:p w14:paraId="451A2BEC" w14:textId="77777777" w:rsidR="004C5B47" w:rsidRPr="007D4862" w:rsidRDefault="004C5B47" w:rsidP="00BB0956">
      <w:pPr>
        <w:pStyle w:val="FootnoteText"/>
        <w:tabs>
          <w:tab w:val="right" w:pos="1195"/>
          <w:tab w:val="left" w:pos="1267"/>
          <w:tab w:val="left" w:pos="1742"/>
          <w:tab w:val="left" w:pos="2218"/>
          <w:tab w:val="left" w:pos="2693"/>
        </w:tabs>
        <w:ind w:left="1267" w:right="1260" w:hanging="576"/>
        <w:rPr>
          <w:lang w:val="fr-FR"/>
        </w:rPr>
      </w:pPr>
      <w:r>
        <w:rPr>
          <w:lang w:val="fr-FR" w:bidi="fr-FR"/>
        </w:rPr>
        <w:tab/>
      </w:r>
      <w:r w:rsidRPr="007D4862">
        <w:rPr>
          <w:rStyle w:val="FootnoteReference"/>
          <w:spacing w:val="4"/>
          <w:lang w:val="fr-FR" w:bidi="fr-FR"/>
        </w:rPr>
        <w:footnoteRef/>
      </w:r>
      <w:r w:rsidRPr="007D4862">
        <w:rPr>
          <w:lang w:val="fr-FR" w:bidi="fr-FR"/>
        </w:rPr>
        <w:tab/>
        <w:t>Article 281 du Code de procédure pénale.</w:t>
      </w:r>
    </w:p>
  </w:footnote>
  <w:footnote w:id="19">
    <w:p w14:paraId="1813E915" w14:textId="77777777" w:rsidR="004C5B47" w:rsidRPr="007D4862" w:rsidRDefault="004C5B47" w:rsidP="00BB0956">
      <w:pPr>
        <w:pStyle w:val="FootnoteText"/>
        <w:tabs>
          <w:tab w:val="right" w:pos="1195"/>
          <w:tab w:val="left" w:pos="1267"/>
          <w:tab w:val="left" w:pos="1742"/>
          <w:tab w:val="left" w:pos="2218"/>
          <w:tab w:val="left" w:pos="2693"/>
        </w:tabs>
        <w:ind w:left="1267" w:right="1260" w:hanging="576"/>
        <w:rPr>
          <w:lang w:val="fr-FR"/>
        </w:rPr>
      </w:pPr>
      <w:r>
        <w:rPr>
          <w:lang w:val="fr-FR" w:bidi="fr-FR"/>
        </w:rPr>
        <w:tab/>
      </w:r>
      <w:r w:rsidRPr="007D4862">
        <w:rPr>
          <w:rStyle w:val="FootnoteReference"/>
          <w:spacing w:val="4"/>
          <w:lang w:val="fr-FR" w:bidi="fr-FR"/>
        </w:rPr>
        <w:footnoteRef/>
      </w:r>
      <w:r w:rsidRPr="007D4862">
        <w:rPr>
          <w:lang w:val="fr-FR" w:bidi="fr-FR"/>
        </w:rPr>
        <w:tab/>
        <w:t>Article 52 du Code pénal.</w:t>
      </w:r>
    </w:p>
  </w:footnote>
  <w:footnote w:id="20">
    <w:p w14:paraId="4EE19721" w14:textId="77777777" w:rsidR="004C5B47" w:rsidRPr="007D4862" w:rsidRDefault="004C5B47" w:rsidP="00BB0956">
      <w:pPr>
        <w:pStyle w:val="FootnoteText"/>
        <w:tabs>
          <w:tab w:val="right" w:pos="1195"/>
          <w:tab w:val="left" w:pos="1267"/>
          <w:tab w:val="left" w:pos="1742"/>
          <w:tab w:val="left" w:pos="2218"/>
          <w:tab w:val="left" w:pos="2693"/>
        </w:tabs>
        <w:ind w:left="1267" w:right="1260" w:hanging="576"/>
        <w:rPr>
          <w:lang w:val="fr-FR"/>
        </w:rPr>
      </w:pPr>
      <w:r>
        <w:rPr>
          <w:lang w:val="fr-FR" w:bidi="fr-FR"/>
        </w:rPr>
        <w:tab/>
      </w:r>
      <w:r w:rsidRPr="007D4862">
        <w:rPr>
          <w:rStyle w:val="FootnoteReference"/>
          <w:spacing w:val="4"/>
          <w:lang w:val="fr-FR" w:bidi="fr-FR"/>
        </w:rPr>
        <w:footnoteRef/>
      </w:r>
      <w:r w:rsidRPr="007D4862">
        <w:rPr>
          <w:lang w:val="fr-FR" w:bidi="fr-FR"/>
        </w:rPr>
        <w:tab/>
        <w:t>Article 4, paragraphe 1, point aa, du règlement sur les frais de procédure, tel qu’introduit par la loi nº 42/2016 du 28 décembre 2016.</w:t>
      </w:r>
    </w:p>
  </w:footnote>
  <w:footnote w:id="21">
    <w:p w14:paraId="3F6FB849" w14:textId="77777777" w:rsidR="004C5B47" w:rsidRPr="007D4862" w:rsidRDefault="004C5B47" w:rsidP="00BB0956">
      <w:pPr>
        <w:pStyle w:val="FootnoteText"/>
        <w:tabs>
          <w:tab w:val="right" w:pos="1195"/>
          <w:tab w:val="left" w:pos="1267"/>
          <w:tab w:val="left" w:pos="1742"/>
          <w:tab w:val="left" w:pos="2218"/>
          <w:tab w:val="left" w:pos="2693"/>
        </w:tabs>
        <w:ind w:left="1267" w:right="1260" w:hanging="576"/>
        <w:rPr>
          <w:lang w:val="fr-FR"/>
        </w:rPr>
      </w:pPr>
      <w:r>
        <w:rPr>
          <w:lang w:val="fr-FR" w:bidi="fr-FR"/>
        </w:rPr>
        <w:tab/>
      </w:r>
      <w:r w:rsidRPr="007D4862">
        <w:rPr>
          <w:rStyle w:val="FootnoteReference"/>
          <w:spacing w:val="4"/>
          <w:lang w:val="fr-FR" w:bidi="fr-FR"/>
        </w:rPr>
        <w:footnoteRef/>
      </w:r>
      <w:r w:rsidRPr="007D4862">
        <w:rPr>
          <w:lang w:val="fr-FR" w:bidi="fr-FR"/>
        </w:rPr>
        <w:tab/>
        <w:t>AMCV et UMAR.</w:t>
      </w:r>
    </w:p>
  </w:footnote>
  <w:footnote w:id="22">
    <w:p w14:paraId="3BFDA68E" w14:textId="77777777" w:rsidR="004C5B47" w:rsidRPr="007D4862" w:rsidRDefault="004C5B47" w:rsidP="00BB0956">
      <w:pPr>
        <w:pStyle w:val="FootnoteText"/>
        <w:tabs>
          <w:tab w:val="right" w:pos="1195"/>
          <w:tab w:val="left" w:pos="1267"/>
          <w:tab w:val="left" w:pos="1742"/>
          <w:tab w:val="left" w:pos="2218"/>
          <w:tab w:val="left" w:pos="2693"/>
        </w:tabs>
        <w:ind w:left="1267" w:right="1260" w:hanging="576"/>
        <w:rPr>
          <w:lang w:val="fr-FR"/>
        </w:rPr>
      </w:pPr>
      <w:r>
        <w:rPr>
          <w:lang w:val="fr-FR" w:bidi="fr-FR"/>
        </w:rPr>
        <w:tab/>
      </w:r>
      <w:r w:rsidRPr="007D4862">
        <w:rPr>
          <w:rStyle w:val="FootnoteReference"/>
          <w:spacing w:val="4"/>
          <w:lang w:val="fr-FR" w:bidi="fr-FR"/>
        </w:rPr>
        <w:footnoteRef/>
      </w:r>
      <w:r w:rsidRPr="007D4862">
        <w:rPr>
          <w:lang w:val="fr-FR" w:bidi="fr-FR"/>
        </w:rPr>
        <w:tab/>
        <w:t>Article 4, paragraphe 1, point aa, du règlement sur les frais de procédure, tel qu’introduit par la loi nº 42/2016 du 28 décembre 2016.</w:t>
      </w:r>
    </w:p>
  </w:footnote>
  <w:footnote w:id="23">
    <w:p w14:paraId="0CEB6DDB" w14:textId="77777777" w:rsidR="004C5B47" w:rsidRPr="007D4862" w:rsidRDefault="004C5B47" w:rsidP="00BB0956">
      <w:pPr>
        <w:pStyle w:val="FootnoteText"/>
        <w:tabs>
          <w:tab w:val="right" w:pos="1195"/>
          <w:tab w:val="left" w:pos="1267"/>
          <w:tab w:val="left" w:pos="1742"/>
          <w:tab w:val="left" w:pos="2218"/>
          <w:tab w:val="left" w:pos="2693"/>
        </w:tabs>
        <w:ind w:left="1267" w:right="1260" w:hanging="576"/>
        <w:rPr>
          <w:lang w:val="fr-FR"/>
        </w:rPr>
      </w:pPr>
      <w:r>
        <w:rPr>
          <w:lang w:val="fr-FR" w:bidi="fr-FR"/>
        </w:rPr>
        <w:tab/>
      </w:r>
      <w:r w:rsidRPr="007D4862">
        <w:rPr>
          <w:rStyle w:val="FootnoteReference"/>
          <w:spacing w:val="4"/>
          <w:lang w:val="fr-FR" w:bidi="fr-FR"/>
        </w:rPr>
        <w:footnoteRef/>
      </w:r>
      <w:r w:rsidRPr="007D4862">
        <w:rPr>
          <w:lang w:val="fr-FR" w:bidi="fr-FR"/>
        </w:rPr>
        <w:tab/>
        <w:t>Voir les services d’urgence pour les victimes de viol sous le point «Violence sexuelle » à la section 9 ci-dessus.</w:t>
      </w:r>
    </w:p>
  </w:footnote>
  <w:footnote w:id="24">
    <w:p w14:paraId="3EE21CFC" w14:textId="77777777" w:rsidR="004C5B47" w:rsidRPr="007D4862" w:rsidRDefault="004C5B47" w:rsidP="00BB0956">
      <w:pPr>
        <w:pStyle w:val="FootnoteText"/>
        <w:tabs>
          <w:tab w:val="right" w:pos="1195"/>
          <w:tab w:val="left" w:pos="1267"/>
          <w:tab w:val="left" w:pos="1742"/>
          <w:tab w:val="left" w:pos="2218"/>
          <w:tab w:val="left" w:pos="2693"/>
        </w:tabs>
        <w:ind w:left="1267" w:right="1260" w:hanging="576"/>
        <w:rPr>
          <w:lang w:val="fr-FR"/>
        </w:rPr>
      </w:pPr>
      <w:r w:rsidRPr="000B0CD8">
        <w:rPr>
          <w:lang w:val="fr-FR" w:bidi="fr-FR"/>
        </w:rPr>
        <w:tab/>
      </w:r>
      <w:r w:rsidRPr="007D4862">
        <w:rPr>
          <w:rStyle w:val="FootnoteReference"/>
          <w:spacing w:val="4"/>
          <w:lang w:val="fr-FR" w:bidi="fr-FR"/>
        </w:rPr>
        <w:footnoteRef/>
      </w:r>
      <w:r w:rsidRPr="007D4862">
        <w:rPr>
          <w:lang w:val="fr-FR" w:bidi="fr-FR"/>
        </w:rPr>
        <w:tab/>
        <w:t>Article 4, paragraphe 1, point aa, du règlement sur les frais de procédure, tel qu’introduit par la loi nº 42/2016 du 28 décembre 2016.</w:t>
      </w:r>
    </w:p>
  </w:footnote>
  <w:footnote w:id="25">
    <w:p w14:paraId="037ED2C2" w14:textId="77777777" w:rsidR="004C5B47" w:rsidRPr="007D4862" w:rsidRDefault="004C5B47" w:rsidP="00BB0956">
      <w:pPr>
        <w:pStyle w:val="FootnoteText"/>
        <w:tabs>
          <w:tab w:val="right" w:pos="1195"/>
          <w:tab w:val="left" w:pos="1267"/>
          <w:tab w:val="left" w:pos="1742"/>
          <w:tab w:val="left" w:pos="2218"/>
          <w:tab w:val="left" w:pos="2693"/>
        </w:tabs>
        <w:ind w:left="1267" w:right="1260" w:hanging="576"/>
        <w:rPr>
          <w:lang w:val="fr-FR"/>
        </w:rPr>
      </w:pPr>
      <w:r>
        <w:rPr>
          <w:lang w:val="fr-FR" w:bidi="fr-FR"/>
        </w:rPr>
        <w:tab/>
      </w:r>
      <w:r w:rsidRPr="007D4862">
        <w:rPr>
          <w:rStyle w:val="FootnoteReference"/>
          <w:spacing w:val="4"/>
          <w:lang w:val="fr-FR" w:bidi="fr-FR"/>
        </w:rPr>
        <w:footnoteRef/>
      </w:r>
      <w:r w:rsidRPr="007D4862">
        <w:rPr>
          <w:lang w:val="fr-FR" w:bidi="fr-FR"/>
        </w:rPr>
        <w:tab/>
        <w:t>Conformément à la loi nº 72/2015 et à la loi nº 96/2017 susmentionnées.</w:t>
      </w:r>
    </w:p>
  </w:footnote>
  <w:footnote w:id="26">
    <w:p w14:paraId="3367FC79" w14:textId="77777777" w:rsidR="004C5B47" w:rsidRPr="007D4862" w:rsidRDefault="004C5B47" w:rsidP="00BB0956">
      <w:pPr>
        <w:pStyle w:val="FootnoteText"/>
        <w:tabs>
          <w:tab w:val="right" w:pos="1195"/>
          <w:tab w:val="left" w:pos="1267"/>
          <w:tab w:val="left" w:pos="1742"/>
          <w:tab w:val="left" w:pos="2218"/>
          <w:tab w:val="left" w:pos="2693"/>
        </w:tabs>
        <w:ind w:left="1267" w:right="1260" w:hanging="576"/>
        <w:rPr>
          <w:lang w:val="fr-FR"/>
        </w:rPr>
      </w:pPr>
      <w:r>
        <w:rPr>
          <w:lang w:val="fr-FR" w:bidi="fr-FR"/>
        </w:rPr>
        <w:tab/>
      </w:r>
      <w:r w:rsidRPr="007D4862">
        <w:rPr>
          <w:rStyle w:val="FootnoteReference"/>
          <w:spacing w:val="4"/>
          <w:lang w:val="fr-FR" w:bidi="fr-FR"/>
        </w:rPr>
        <w:footnoteRef/>
      </w:r>
      <w:r w:rsidRPr="007D4862">
        <w:rPr>
          <w:lang w:val="fr-FR" w:bidi="fr-FR"/>
        </w:rPr>
        <w:tab/>
        <w:t>Ordonnance nº 84/2015 du 20 mars 2015 et ordonnance nº 34/2017 du 18 janvier 2017.</w:t>
      </w:r>
    </w:p>
  </w:footnote>
  <w:footnote w:id="27">
    <w:p w14:paraId="574C95BB" w14:textId="0524907D" w:rsidR="004C5B47" w:rsidRPr="0040455F" w:rsidRDefault="004C5B47" w:rsidP="00BB0956">
      <w:pPr>
        <w:pStyle w:val="FootnoteText"/>
        <w:tabs>
          <w:tab w:val="right" w:pos="1195"/>
          <w:tab w:val="left" w:pos="1267"/>
          <w:tab w:val="left" w:pos="1742"/>
          <w:tab w:val="left" w:pos="2218"/>
          <w:tab w:val="left" w:pos="2693"/>
        </w:tabs>
        <w:ind w:left="1267" w:right="1260" w:hanging="576"/>
        <w:rPr>
          <w:lang w:val="fr-FR"/>
        </w:rPr>
      </w:pPr>
      <w:r w:rsidRPr="0040455F">
        <w:rPr>
          <w:lang w:val="fr-FR" w:bidi="fr-FR"/>
        </w:rPr>
        <w:tab/>
      </w:r>
      <w:r w:rsidRPr="007D4862">
        <w:rPr>
          <w:rStyle w:val="FootnoteReference"/>
          <w:spacing w:val="4"/>
          <w:lang w:val="fr-FR" w:bidi="fr-FR"/>
        </w:rPr>
        <w:footnoteRef/>
      </w:r>
      <w:r w:rsidRPr="007D4862">
        <w:rPr>
          <w:lang w:val="fr-FR" w:bidi="fr-FR"/>
        </w:rPr>
        <w:tab/>
      </w:r>
      <w:hyperlink r:id="rId10" w:history="1">
        <w:r w:rsidRPr="00611AE5">
          <w:rPr>
            <w:rStyle w:val="Hyperlink"/>
            <w:lang w:val="fr-FR" w:bidi="fr-FR"/>
          </w:rPr>
          <w:t>http://www.act.gov.pt/(en-US)/Paginas/default.aspx</w:t>
        </w:r>
      </w:hyperlink>
      <w:r w:rsidRPr="007D4862">
        <w:rPr>
          <w:lang w:val="fr-FR" w:bidi="fr-FR"/>
        </w:rPr>
        <w:t xml:space="preserve"> </w:t>
      </w:r>
      <w:r>
        <w:rPr>
          <w:lang w:val="fr-FR" w:bidi="fr-FR"/>
        </w:rPr>
        <w:t>–</w:t>
      </w:r>
      <w:r w:rsidRPr="007D4862">
        <w:rPr>
          <w:lang w:val="fr-FR" w:bidi="fr-FR"/>
        </w:rPr>
        <w:t xml:space="preserve"> FAQ</w:t>
      </w:r>
      <w:r>
        <w:rPr>
          <w:lang w:val="fr-FR" w:bidi="fr-FR"/>
        </w:rPr>
        <w:t>.</w:t>
      </w:r>
    </w:p>
  </w:footnote>
  <w:footnote w:id="28">
    <w:p w14:paraId="3019142E" w14:textId="77777777" w:rsidR="004C5B47" w:rsidRPr="003B1541" w:rsidRDefault="004C5B47" w:rsidP="00BB0956">
      <w:pPr>
        <w:pStyle w:val="FootnoteText"/>
        <w:tabs>
          <w:tab w:val="right" w:pos="1195"/>
          <w:tab w:val="left" w:pos="1267"/>
          <w:tab w:val="left" w:pos="1742"/>
          <w:tab w:val="left" w:pos="2218"/>
          <w:tab w:val="left" w:pos="2693"/>
        </w:tabs>
        <w:ind w:left="1267" w:right="1260" w:hanging="576"/>
        <w:rPr>
          <w:lang w:val="fr-FR"/>
        </w:rPr>
      </w:pPr>
      <w:r w:rsidRPr="0040455F">
        <w:rPr>
          <w:lang w:val="fr-FR" w:bidi="fr-FR"/>
        </w:rPr>
        <w:tab/>
      </w:r>
      <w:r w:rsidRPr="007D4862">
        <w:rPr>
          <w:rStyle w:val="FootnoteReference"/>
          <w:spacing w:val="4"/>
          <w:lang w:val="fr-FR" w:bidi="fr-FR"/>
        </w:rPr>
        <w:footnoteRef/>
      </w:r>
      <w:r w:rsidRPr="007D4862">
        <w:rPr>
          <w:lang w:val="fr-FR" w:bidi="fr-FR"/>
        </w:rPr>
        <w:tab/>
        <w:t>Résolution du Conseil des ministres nº 154/2018.</w:t>
      </w:r>
    </w:p>
  </w:footnote>
  <w:footnote w:id="29">
    <w:p w14:paraId="4D27FC1B" w14:textId="66C7B777" w:rsidR="004C5B47" w:rsidRPr="003B1541" w:rsidRDefault="004C5B47" w:rsidP="00BB0956">
      <w:pPr>
        <w:pStyle w:val="FootnoteText"/>
        <w:tabs>
          <w:tab w:val="right" w:pos="1195"/>
          <w:tab w:val="left" w:pos="1267"/>
          <w:tab w:val="left" w:pos="1742"/>
          <w:tab w:val="left" w:pos="2218"/>
          <w:tab w:val="left" w:pos="2693"/>
        </w:tabs>
        <w:ind w:left="1267" w:right="1260" w:hanging="576"/>
        <w:rPr>
          <w:lang w:val="fr-FR"/>
        </w:rPr>
      </w:pPr>
      <w:r>
        <w:rPr>
          <w:lang w:val="fr-FR" w:bidi="fr-FR"/>
        </w:rPr>
        <w:tab/>
      </w:r>
      <w:r w:rsidRPr="007D4862">
        <w:rPr>
          <w:rStyle w:val="FootnoteReference"/>
          <w:spacing w:val="4"/>
          <w:lang w:val="fr-FR" w:bidi="fr-FR"/>
        </w:rPr>
        <w:footnoteRef/>
      </w:r>
      <w:r w:rsidRPr="007D4862">
        <w:rPr>
          <w:lang w:val="fr-FR" w:bidi="fr-FR"/>
        </w:rPr>
        <w:tab/>
      </w:r>
      <w:hyperlink r:id="rId11" w:history="1">
        <w:r w:rsidRPr="007D4862">
          <w:rPr>
            <w:rStyle w:val="Hyperlink"/>
            <w:lang w:val="fr-FR" w:bidi="fr-FR"/>
          </w:rPr>
          <w:t>https://www.unece.org/fileadmin/DAM/Gender/Beijing_20/Portugal.pdf</w:t>
        </w:r>
      </w:hyperlink>
      <w:r>
        <w:rPr>
          <w:rStyle w:val="Hyperlink"/>
          <w:lang w:val="fr-FR" w:bidi="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4C5B47" w14:paraId="0402E13E" w14:textId="77777777" w:rsidTr="00BD67EB">
      <w:trPr>
        <w:trHeight w:hRule="exact" w:val="864"/>
      </w:trPr>
      <w:tc>
        <w:tcPr>
          <w:tcW w:w="4920" w:type="dxa"/>
          <w:shd w:val="clear" w:color="auto" w:fill="auto"/>
          <w:vAlign w:val="bottom"/>
        </w:tcPr>
        <w:p w14:paraId="0BF27865" w14:textId="2555734A" w:rsidR="004C5B47" w:rsidRPr="00BD67EB" w:rsidRDefault="004C5B47" w:rsidP="00BD67EB">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615D3">
            <w:rPr>
              <w:b/>
              <w:color w:val="000000"/>
            </w:rPr>
            <w:t>CEDAW/C/PRT/10</w:t>
          </w:r>
          <w:r>
            <w:rPr>
              <w:b/>
              <w:color w:val="000000"/>
            </w:rPr>
            <w:fldChar w:fldCharType="end"/>
          </w:r>
        </w:p>
      </w:tc>
      <w:tc>
        <w:tcPr>
          <w:tcW w:w="4920" w:type="dxa"/>
          <w:shd w:val="clear" w:color="auto" w:fill="auto"/>
          <w:vAlign w:val="bottom"/>
        </w:tcPr>
        <w:p w14:paraId="70017C1A" w14:textId="77777777" w:rsidR="004C5B47" w:rsidRDefault="004C5B47" w:rsidP="00BD67EB">
          <w:pPr>
            <w:pStyle w:val="Header"/>
          </w:pPr>
        </w:p>
      </w:tc>
    </w:tr>
  </w:tbl>
  <w:p w14:paraId="7D87BB4C" w14:textId="77777777" w:rsidR="004C5B47" w:rsidRPr="00BD67EB" w:rsidRDefault="004C5B47" w:rsidP="00BD67EB">
    <w:pPr>
      <w:pStyle w:val="Header"/>
      <w:rPr>
        <w:sz w:val="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4C5B47" w14:paraId="110F4500" w14:textId="77777777" w:rsidTr="00BD67EB">
      <w:trPr>
        <w:trHeight w:hRule="exact" w:val="864"/>
      </w:trPr>
      <w:tc>
        <w:tcPr>
          <w:tcW w:w="4920" w:type="dxa"/>
          <w:shd w:val="clear" w:color="auto" w:fill="auto"/>
          <w:vAlign w:val="bottom"/>
        </w:tcPr>
        <w:p w14:paraId="5AA37F47" w14:textId="69310A7E" w:rsidR="004C5B47" w:rsidRPr="00BD67EB" w:rsidRDefault="004C5B47" w:rsidP="00BD67EB">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615D3">
            <w:rPr>
              <w:b/>
              <w:color w:val="000000"/>
            </w:rPr>
            <w:t>CEDAW/C/PRT/10</w:t>
          </w:r>
          <w:r>
            <w:rPr>
              <w:b/>
              <w:color w:val="000000"/>
            </w:rPr>
            <w:fldChar w:fldCharType="end"/>
          </w:r>
        </w:p>
      </w:tc>
      <w:tc>
        <w:tcPr>
          <w:tcW w:w="4920" w:type="dxa"/>
          <w:shd w:val="clear" w:color="auto" w:fill="auto"/>
          <w:vAlign w:val="bottom"/>
        </w:tcPr>
        <w:p w14:paraId="4D56ABF2" w14:textId="77777777" w:rsidR="004C5B47" w:rsidRDefault="004C5B47" w:rsidP="00BD67EB">
          <w:pPr>
            <w:pStyle w:val="Header"/>
          </w:pPr>
        </w:p>
      </w:tc>
    </w:tr>
  </w:tbl>
  <w:p w14:paraId="11D6BB90" w14:textId="77777777" w:rsidR="004C5B47" w:rsidRPr="00BD67EB" w:rsidRDefault="004C5B47" w:rsidP="00BD67EB">
    <w:pPr>
      <w:pStyle w:val="Header"/>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4C5B47" w14:paraId="2C220633" w14:textId="77777777" w:rsidTr="00BD67EB">
      <w:trPr>
        <w:trHeight w:hRule="exact" w:val="864"/>
      </w:trPr>
      <w:tc>
        <w:tcPr>
          <w:tcW w:w="4920" w:type="dxa"/>
          <w:shd w:val="clear" w:color="auto" w:fill="auto"/>
          <w:vAlign w:val="bottom"/>
        </w:tcPr>
        <w:p w14:paraId="522B82D1" w14:textId="77777777" w:rsidR="004C5B47" w:rsidRDefault="004C5B47" w:rsidP="00BD67EB">
          <w:pPr>
            <w:pStyle w:val="Header"/>
          </w:pPr>
        </w:p>
      </w:tc>
      <w:tc>
        <w:tcPr>
          <w:tcW w:w="4920" w:type="dxa"/>
          <w:shd w:val="clear" w:color="auto" w:fill="auto"/>
          <w:vAlign w:val="bottom"/>
        </w:tcPr>
        <w:p w14:paraId="6A4675CC" w14:textId="6DA65DD3" w:rsidR="004C5B47" w:rsidRPr="00BD67EB" w:rsidRDefault="004C5B47" w:rsidP="00BD67E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615D3">
            <w:rPr>
              <w:b/>
              <w:color w:val="000000"/>
            </w:rPr>
            <w:t>CEDAW/C/PRT/10</w:t>
          </w:r>
          <w:r>
            <w:rPr>
              <w:b/>
              <w:color w:val="000000"/>
            </w:rPr>
            <w:fldChar w:fldCharType="end"/>
          </w:r>
        </w:p>
      </w:tc>
    </w:tr>
  </w:tbl>
  <w:p w14:paraId="3054AC5E" w14:textId="77777777" w:rsidR="004C5B47" w:rsidRPr="00BD67EB" w:rsidRDefault="004C5B47" w:rsidP="00BD67EB">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4C5B47" w14:paraId="0F712AF5" w14:textId="77777777" w:rsidTr="00BD67EB">
      <w:trPr>
        <w:trHeight w:hRule="exact" w:val="864"/>
      </w:trPr>
      <w:tc>
        <w:tcPr>
          <w:tcW w:w="4920" w:type="dxa"/>
          <w:shd w:val="clear" w:color="auto" w:fill="auto"/>
          <w:vAlign w:val="bottom"/>
        </w:tcPr>
        <w:p w14:paraId="588F0796" w14:textId="77777777" w:rsidR="004C5B47" w:rsidRDefault="004C5B47" w:rsidP="00BD67EB">
          <w:pPr>
            <w:pStyle w:val="Header"/>
          </w:pPr>
        </w:p>
      </w:tc>
      <w:tc>
        <w:tcPr>
          <w:tcW w:w="4920" w:type="dxa"/>
          <w:shd w:val="clear" w:color="auto" w:fill="auto"/>
          <w:vAlign w:val="bottom"/>
        </w:tcPr>
        <w:p w14:paraId="0222E328" w14:textId="309926FD" w:rsidR="004C5B47" w:rsidRPr="00BD67EB" w:rsidRDefault="004C5B47" w:rsidP="00BD67E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615D3">
            <w:rPr>
              <w:b/>
              <w:color w:val="000000"/>
            </w:rPr>
            <w:t>CEDAW/C/PRT/10</w:t>
          </w:r>
          <w:r>
            <w:rPr>
              <w:b/>
              <w:color w:val="000000"/>
            </w:rPr>
            <w:fldChar w:fldCharType="end"/>
          </w:r>
        </w:p>
      </w:tc>
    </w:tr>
  </w:tbl>
  <w:p w14:paraId="0389C00B" w14:textId="77777777" w:rsidR="004C5B47" w:rsidRPr="00BD67EB" w:rsidRDefault="004C5B47" w:rsidP="00BD67EB">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4C5B47" w14:paraId="69086366" w14:textId="77777777" w:rsidTr="00BD67EB">
      <w:trPr>
        <w:trHeight w:hRule="exact" w:val="864"/>
      </w:trPr>
      <w:tc>
        <w:tcPr>
          <w:tcW w:w="1267" w:type="dxa"/>
          <w:tcBorders>
            <w:bottom w:val="single" w:sz="4" w:space="0" w:color="auto"/>
          </w:tcBorders>
          <w:shd w:val="clear" w:color="auto" w:fill="auto"/>
          <w:vAlign w:val="bottom"/>
        </w:tcPr>
        <w:p w14:paraId="20FA6C67" w14:textId="77777777" w:rsidR="004C5B47" w:rsidRDefault="004C5B47" w:rsidP="00BD67EB">
          <w:pPr>
            <w:pStyle w:val="Header"/>
            <w:spacing w:after="120"/>
          </w:pPr>
        </w:p>
      </w:tc>
      <w:tc>
        <w:tcPr>
          <w:tcW w:w="2059" w:type="dxa"/>
          <w:tcBorders>
            <w:bottom w:val="single" w:sz="4" w:space="0" w:color="auto"/>
          </w:tcBorders>
          <w:shd w:val="clear" w:color="auto" w:fill="auto"/>
          <w:vAlign w:val="bottom"/>
        </w:tcPr>
        <w:p w14:paraId="421D729A" w14:textId="77777777" w:rsidR="004C5B47" w:rsidRPr="00BD67EB" w:rsidRDefault="004C5B47" w:rsidP="00BD67EB">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7EC246D9" w14:textId="77777777" w:rsidR="004C5B47" w:rsidRDefault="004C5B47" w:rsidP="00BD67EB">
          <w:pPr>
            <w:pStyle w:val="Header"/>
            <w:spacing w:after="120"/>
          </w:pPr>
        </w:p>
      </w:tc>
      <w:tc>
        <w:tcPr>
          <w:tcW w:w="6466" w:type="dxa"/>
          <w:gridSpan w:val="3"/>
          <w:tcBorders>
            <w:bottom w:val="single" w:sz="4" w:space="0" w:color="auto"/>
          </w:tcBorders>
          <w:shd w:val="clear" w:color="auto" w:fill="auto"/>
          <w:vAlign w:val="bottom"/>
        </w:tcPr>
        <w:p w14:paraId="7E24E8EA" w14:textId="77777777" w:rsidR="004C5B47" w:rsidRPr="00BD67EB" w:rsidRDefault="004C5B47" w:rsidP="00BD67EB">
          <w:pPr>
            <w:spacing w:after="80" w:line="240" w:lineRule="auto"/>
            <w:jc w:val="right"/>
            <w:rPr>
              <w:position w:val="-4"/>
            </w:rPr>
          </w:pPr>
          <w:r>
            <w:rPr>
              <w:position w:val="-4"/>
              <w:sz w:val="40"/>
            </w:rPr>
            <w:t>CEDAW</w:t>
          </w:r>
          <w:r>
            <w:rPr>
              <w:position w:val="-4"/>
            </w:rPr>
            <w:t>/C/PRT/10</w:t>
          </w:r>
        </w:p>
      </w:tc>
    </w:tr>
    <w:tr w:rsidR="004C5B47" w:rsidRPr="00BD67EB" w14:paraId="44A27719" w14:textId="77777777" w:rsidTr="00BD67EB">
      <w:trPr>
        <w:trHeight w:hRule="exact" w:val="2880"/>
      </w:trPr>
      <w:tc>
        <w:tcPr>
          <w:tcW w:w="1267" w:type="dxa"/>
          <w:tcBorders>
            <w:top w:val="single" w:sz="4" w:space="0" w:color="auto"/>
            <w:bottom w:val="single" w:sz="12" w:space="0" w:color="auto"/>
          </w:tcBorders>
          <w:shd w:val="clear" w:color="auto" w:fill="auto"/>
        </w:tcPr>
        <w:p w14:paraId="01DA2CC8" w14:textId="77777777" w:rsidR="004C5B47" w:rsidRPr="00BD67EB" w:rsidRDefault="004C5B47" w:rsidP="00BD67EB">
          <w:pPr>
            <w:pStyle w:val="Header"/>
            <w:spacing w:before="120" w:line="240" w:lineRule="auto"/>
            <w:ind w:left="-72"/>
            <w:jc w:val="center"/>
          </w:pPr>
          <w:r>
            <w:t xml:space="preserve">  </w:t>
          </w:r>
          <w:r>
            <w:rPr>
              <w:noProof/>
            </w:rPr>
            <w:drawing>
              <wp:inline distT="0" distB="0" distL="0" distR="0" wp14:anchorId="6AB80CBD" wp14:editId="31CDA965">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9F49746" w14:textId="0C2833B0" w:rsidR="004C5B47" w:rsidRPr="00BD67EB" w:rsidRDefault="004C5B47" w:rsidP="00BD67EB">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275C2F20" w14:textId="77777777" w:rsidR="004C5B47" w:rsidRPr="00BD67EB" w:rsidRDefault="004C5B47" w:rsidP="00BD67EB">
          <w:pPr>
            <w:pStyle w:val="Header"/>
            <w:spacing w:before="109"/>
          </w:pPr>
        </w:p>
      </w:tc>
      <w:tc>
        <w:tcPr>
          <w:tcW w:w="3110" w:type="dxa"/>
          <w:tcBorders>
            <w:top w:val="single" w:sz="4" w:space="0" w:color="auto"/>
            <w:bottom w:val="single" w:sz="12" w:space="0" w:color="auto"/>
          </w:tcBorders>
          <w:shd w:val="clear" w:color="auto" w:fill="auto"/>
        </w:tcPr>
        <w:p w14:paraId="1688AF2D" w14:textId="77777777" w:rsidR="004C5B47" w:rsidRDefault="004C5B47" w:rsidP="00BD67EB">
          <w:pPr>
            <w:pStyle w:val="Distribution"/>
            <w:rPr>
              <w:color w:val="000000"/>
            </w:rPr>
          </w:pPr>
          <w:r>
            <w:rPr>
              <w:color w:val="000000"/>
            </w:rPr>
            <w:t>Distr. générale</w:t>
          </w:r>
        </w:p>
        <w:p w14:paraId="14B50EF1" w14:textId="77777777" w:rsidR="004C5B47" w:rsidRDefault="004C5B47" w:rsidP="00BD67EB">
          <w:pPr>
            <w:pStyle w:val="Publication"/>
            <w:rPr>
              <w:color w:val="000000"/>
            </w:rPr>
          </w:pPr>
          <w:r>
            <w:rPr>
              <w:color w:val="000000"/>
            </w:rPr>
            <w:t>18 septembre 2020</w:t>
          </w:r>
        </w:p>
        <w:p w14:paraId="010AF2DF" w14:textId="77777777" w:rsidR="004C5B47" w:rsidRDefault="004C5B47" w:rsidP="00BD67EB">
          <w:pPr>
            <w:rPr>
              <w:lang w:val="en-US"/>
            </w:rPr>
          </w:pPr>
          <w:r>
            <w:rPr>
              <w:lang w:val="en-US"/>
            </w:rPr>
            <w:t>Français</w:t>
          </w:r>
        </w:p>
        <w:p w14:paraId="72EF878F" w14:textId="1C956228" w:rsidR="004C5B47" w:rsidRDefault="004C5B47" w:rsidP="00BD67EB">
          <w:pPr>
            <w:pStyle w:val="Original"/>
            <w:rPr>
              <w:color w:val="000000"/>
            </w:rPr>
          </w:pPr>
          <w:r>
            <w:rPr>
              <w:color w:val="000000"/>
            </w:rPr>
            <w:t>Original : anglais</w:t>
          </w:r>
        </w:p>
        <w:p w14:paraId="1C13F4C9" w14:textId="79C6E10D" w:rsidR="004C5B47" w:rsidRPr="002B314F" w:rsidRDefault="004C5B47" w:rsidP="002B314F">
          <w:pPr>
            <w:rPr>
              <w:lang w:val="en-US"/>
            </w:rPr>
          </w:pPr>
          <w:r w:rsidRPr="002B314F">
            <w:rPr>
              <w:lang w:val="en-US"/>
            </w:rPr>
            <w:t>Anglais, français et espagnol uniquement</w:t>
          </w:r>
        </w:p>
      </w:tc>
    </w:tr>
  </w:tbl>
  <w:p w14:paraId="27BFC247" w14:textId="77777777" w:rsidR="004C5B47" w:rsidRPr="00BD67EB" w:rsidRDefault="004C5B47" w:rsidP="00BD67EB">
    <w:pPr>
      <w:pStyle w:val="Header"/>
      <w:spacing w:line="240"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674"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4C5B47" w:rsidRPr="00A920BE" w14:paraId="49DCD70C" w14:textId="77777777" w:rsidTr="00A920BE">
      <w:trPr>
        <w:cantSplit/>
        <w:trHeight w:val="4925"/>
      </w:trPr>
      <w:tc>
        <w:tcPr>
          <w:tcW w:w="9830" w:type="dxa"/>
          <w:shd w:val="clear" w:color="auto" w:fill="auto"/>
          <w:textDirection w:val="tbRl"/>
          <w:vAlign w:val="bottom"/>
        </w:tcPr>
        <w:p w14:paraId="640C6072" w14:textId="0BD86862" w:rsidR="004C5B47" w:rsidRPr="00A920BE" w:rsidRDefault="004C5B47" w:rsidP="00A920BE">
          <w:pPr>
            <w:pStyle w:val="Header"/>
            <w:spacing w:line="240" w:lineRule="auto"/>
            <w:ind w:left="14" w:right="14"/>
            <w:rPr>
              <w:b/>
              <w:w w:val="103"/>
            </w:rPr>
          </w:pPr>
          <w:r w:rsidRPr="00A920BE">
            <w:rPr>
              <w:b/>
              <w:w w:val="103"/>
            </w:rPr>
            <w:fldChar w:fldCharType="begin"/>
          </w:r>
          <w:r w:rsidRPr="00A920BE">
            <w:rPr>
              <w:b/>
              <w:w w:val="103"/>
            </w:rPr>
            <w:instrText xml:space="preserve"> DOCVARIABLE "sss1" \* MERGEFORMAT </w:instrText>
          </w:r>
          <w:r w:rsidRPr="00A920BE">
            <w:rPr>
              <w:b/>
              <w:w w:val="103"/>
            </w:rPr>
            <w:fldChar w:fldCharType="separate"/>
          </w:r>
          <w:r w:rsidR="004615D3">
            <w:rPr>
              <w:b/>
              <w:w w:val="103"/>
            </w:rPr>
            <w:t>CEDAW/C/PRT/10</w:t>
          </w:r>
          <w:r w:rsidRPr="00A920BE">
            <w:rPr>
              <w:b/>
              <w:w w:val="103"/>
            </w:rPr>
            <w:fldChar w:fldCharType="end"/>
          </w:r>
        </w:p>
      </w:tc>
    </w:tr>
    <w:tr w:rsidR="004C5B47" w:rsidRPr="00A920BE" w14:paraId="0C50488B" w14:textId="77777777" w:rsidTr="00A920BE">
      <w:trPr>
        <w:cantSplit/>
        <w:trHeight w:val="4925"/>
      </w:trPr>
      <w:tc>
        <w:tcPr>
          <w:tcW w:w="9830" w:type="dxa"/>
          <w:shd w:val="clear" w:color="auto" w:fill="auto"/>
          <w:textDirection w:val="tbRl"/>
          <w:vAlign w:val="bottom"/>
        </w:tcPr>
        <w:p w14:paraId="3832B4D6" w14:textId="77777777" w:rsidR="004C5B47" w:rsidRPr="00A920BE" w:rsidRDefault="004C5B47" w:rsidP="00A920BE">
          <w:pPr>
            <w:pStyle w:val="Header"/>
            <w:spacing w:line="240" w:lineRule="auto"/>
            <w:ind w:left="14" w:right="14"/>
            <w:rPr>
              <w:w w:val="103"/>
            </w:rPr>
          </w:pPr>
        </w:p>
      </w:tc>
    </w:tr>
  </w:tbl>
  <w:p w14:paraId="6FA50114" w14:textId="77777777" w:rsidR="004C5B47" w:rsidRPr="00A920BE" w:rsidRDefault="004C5B47" w:rsidP="00A920B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674"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4C5B47" w:rsidRPr="00A920BE" w14:paraId="152578B4" w14:textId="77777777" w:rsidTr="00A920BE">
      <w:trPr>
        <w:trHeight w:val="4925"/>
      </w:trPr>
      <w:tc>
        <w:tcPr>
          <w:tcW w:w="9830" w:type="dxa"/>
          <w:shd w:val="clear" w:color="auto" w:fill="auto"/>
          <w:vAlign w:val="bottom"/>
        </w:tcPr>
        <w:p w14:paraId="52AB6A9A" w14:textId="77777777" w:rsidR="004C5B47" w:rsidRPr="00A920BE" w:rsidRDefault="004C5B47" w:rsidP="00A920BE">
          <w:pPr>
            <w:pStyle w:val="Header"/>
            <w:spacing w:line="240" w:lineRule="auto"/>
            <w:ind w:left="14" w:right="14"/>
            <w:jc w:val="right"/>
            <w:rPr>
              <w:bCs/>
              <w:w w:val="103"/>
              <w:szCs w:val="26"/>
            </w:rPr>
          </w:pPr>
        </w:p>
      </w:tc>
    </w:tr>
    <w:tr w:rsidR="004C5B47" w:rsidRPr="00A920BE" w14:paraId="2A72EFAE" w14:textId="77777777" w:rsidTr="00A920BE">
      <w:trPr>
        <w:cantSplit/>
        <w:trHeight w:val="4925"/>
      </w:trPr>
      <w:tc>
        <w:tcPr>
          <w:tcW w:w="9830" w:type="dxa"/>
          <w:shd w:val="clear" w:color="auto" w:fill="auto"/>
          <w:textDirection w:val="tbRl"/>
          <w:vAlign w:val="bottom"/>
        </w:tcPr>
        <w:p w14:paraId="5994544D" w14:textId="2C97A4C3" w:rsidR="004C5B47" w:rsidRPr="00A920BE" w:rsidRDefault="004C5B47" w:rsidP="00A920BE">
          <w:pPr>
            <w:pStyle w:val="Header"/>
            <w:spacing w:line="240" w:lineRule="auto"/>
            <w:ind w:left="14" w:right="14"/>
            <w:jc w:val="right"/>
            <w:rPr>
              <w:b/>
              <w:bCs/>
              <w:w w:val="103"/>
              <w:szCs w:val="26"/>
            </w:rPr>
          </w:pPr>
          <w:r w:rsidRPr="00A920BE">
            <w:rPr>
              <w:b/>
              <w:bCs/>
              <w:w w:val="103"/>
              <w:szCs w:val="26"/>
            </w:rPr>
            <w:fldChar w:fldCharType="begin"/>
          </w:r>
          <w:r w:rsidRPr="00A920BE">
            <w:rPr>
              <w:b/>
              <w:bCs/>
              <w:w w:val="103"/>
              <w:szCs w:val="26"/>
            </w:rPr>
            <w:instrText xml:space="preserve"> DOCVARIABLE "sss1" \* MERGEFORMAT </w:instrText>
          </w:r>
          <w:r w:rsidRPr="00A920BE">
            <w:rPr>
              <w:b/>
              <w:bCs/>
              <w:w w:val="103"/>
              <w:szCs w:val="26"/>
            </w:rPr>
            <w:fldChar w:fldCharType="separate"/>
          </w:r>
          <w:r w:rsidR="004615D3">
            <w:rPr>
              <w:b/>
              <w:bCs/>
              <w:w w:val="103"/>
              <w:szCs w:val="26"/>
            </w:rPr>
            <w:t>CEDAW/C/PRT/10</w:t>
          </w:r>
          <w:r w:rsidRPr="00A920BE">
            <w:rPr>
              <w:b/>
              <w:bCs/>
              <w:w w:val="103"/>
              <w:szCs w:val="26"/>
            </w:rPr>
            <w:fldChar w:fldCharType="end"/>
          </w:r>
        </w:p>
      </w:tc>
    </w:tr>
  </w:tbl>
  <w:p w14:paraId="7455F534" w14:textId="77777777" w:rsidR="004C5B47" w:rsidRPr="00A920BE" w:rsidRDefault="004C5B47" w:rsidP="00A920B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4C5B47" w14:paraId="3346A289" w14:textId="77777777" w:rsidTr="00BD67EB">
      <w:trPr>
        <w:trHeight w:hRule="exact" w:val="864"/>
      </w:trPr>
      <w:tc>
        <w:tcPr>
          <w:tcW w:w="4920" w:type="dxa"/>
          <w:shd w:val="clear" w:color="auto" w:fill="auto"/>
          <w:vAlign w:val="bottom"/>
        </w:tcPr>
        <w:p w14:paraId="2DA9E4DE" w14:textId="42C3015F" w:rsidR="004C5B47" w:rsidRPr="00BD67EB" w:rsidRDefault="004C5B47" w:rsidP="00BD67EB">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615D3">
            <w:rPr>
              <w:b/>
              <w:color w:val="000000"/>
            </w:rPr>
            <w:t>CEDAW/C/PRT/10</w:t>
          </w:r>
          <w:r>
            <w:rPr>
              <w:b/>
              <w:color w:val="000000"/>
            </w:rPr>
            <w:fldChar w:fldCharType="end"/>
          </w:r>
        </w:p>
      </w:tc>
      <w:tc>
        <w:tcPr>
          <w:tcW w:w="4920" w:type="dxa"/>
          <w:shd w:val="clear" w:color="auto" w:fill="auto"/>
          <w:vAlign w:val="bottom"/>
        </w:tcPr>
        <w:p w14:paraId="69BDD94F" w14:textId="77777777" w:rsidR="004C5B47" w:rsidRDefault="004C5B47" w:rsidP="00BD67EB">
          <w:pPr>
            <w:pStyle w:val="Header"/>
          </w:pPr>
        </w:p>
      </w:tc>
    </w:tr>
  </w:tbl>
  <w:p w14:paraId="37D63EC2" w14:textId="77777777" w:rsidR="004C5B47" w:rsidRPr="00BD67EB" w:rsidRDefault="004C5B47" w:rsidP="00BD67EB">
    <w:pPr>
      <w:pStyle w:val="Header"/>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4C5B47" w14:paraId="01EC9FE9" w14:textId="77777777" w:rsidTr="00BD67EB">
      <w:trPr>
        <w:trHeight w:hRule="exact" w:val="864"/>
      </w:trPr>
      <w:tc>
        <w:tcPr>
          <w:tcW w:w="4920" w:type="dxa"/>
          <w:shd w:val="clear" w:color="auto" w:fill="auto"/>
          <w:vAlign w:val="bottom"/>
        </w:tcPr>
        <w:p w14:paraId="313BCF13" w14:textId="77777777" w:rsidR="004C5B47" w:rsidRDefault="004C5B47" w:rsidP="00BD67EB">
          <w:pPr>
            <w:pStyle w:val="Header"/>
          </w:pPr>
        </w:p>
      </w:tc>
      <w:tc>
        <w:tcPr>
          <w:tcW w:w="4920" w:type="dxa"/>
          <w:shd w:val="clear" w:color="auto" w:fill="auto"/>
          <w:vAlign w:val="bottom"/>
        </w:tcPr>
        <w:p w14:paraId="5E83D0C3" w14:textId="1CFF5EFF" w:rsidR="004C5B47" w:rsidRPr="00BD67EB" w:rsidRDefault="004C5B47" w:rsidP="00BD67E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615D3">
            <w:rPr>
              <w:b/>
              <w:color w:val="000000"/>
            </w:rPr>
            <w:t>CEDAW/C/PRT/10</w:t>
          </w:r>
          <w:r>
            <w:rPr>
              <w:b/>
              <w:color w:val="000000"/>
            </w:rPr>
            <w:fldChar w:fldCharType="end"/>
          </w:r>
        </w:p>
      </w:tc>
    </w:tr>
  </w:tbl>
  <w:p w14:paraId="6DBF63AA" w14:textId="77777777" w:rsidR="004C5B47" w:rsidRPr="00BD67EB" w:rsidRDefault="004C5B47" w:rsidP="00BD67EB">
    <w:pPr>
      <w:pStyle w:val="Header"/>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674"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4C5B47" w:rsidRPr="00BB0956" w14:paraId="6556A7B3" w14:textId="77777777" w:rsidTr="00BB0956">
      <w:trPr>
        <w:cantSplit/>
        <w:trHeight w:val="4925"/>
      </w:trPr>
      <w:tc>
        <w:tcPr>
          <w:tcW w:w="9830" w:type="dxa"/>
          <w:shd w:val="clear" w:color="auto" w:fill="auto"/>
          <w:textDirection w:val="tbRl"/>
          <w:vAlign w:val="bottom"/>
        </w:tcPr>
        <w:p w14:paraId="2934B028" w14:textId="1E22457D" w:rsidR="004C5B47" w:rsidRPr="00BB0956" w:rsidRDefault="004C5B47" w:rsidP="00BB0956">
          <w:pPr>
            <w:pStyle w:val="Header"/>
            <w:spacing w:line="240" w:lineRule="auto"/>
            <w:ind w:left="14" w:right="14"/>
            <w:rPr>
              <w:b/>
              <w:w w:val="103"/>
            </w:rPr>
          </w:pPr>
          <w:r w:rsidRPr="00BB0956">
            <w:rPr>
              <w:b/>
              <w:w w:val="103"/>
            </w:rPr>
            <w:fldChar w:fldCharType="begin"/>
          </w:r>
          <w:r w:rsidRPr="00BB0956">
            <w:rPr>
              <w:b/>
              <w:w w:val="103"/>
            </w:rPr>
            <w:instrText xml:space="preserve"> DOCVARIABLE "sss1" \* MERGEFORMAT </w:instrText>
          </w:r>
          <w:r w:rsidRPr="00BB0956">
            <w:rPr>
              <w:b/>
              <w:w w:val="103"/>
            </w:rPr>
            <w:fldChar w:fldCharType="separate"/>
          </w:r>
          <w:r w:rsidR="004615D3">
            <w:rPr>
              <w:b/>
              <w:w w:val="103"/>
            </w:rPr>
            <w:t>CEDAW/C/PRT/10</w:t>
          </w:r>
          <w:r w:rsidRPr="00BB0956">
            <w:rPr>
              <w:b/>
              <w:w w:val="103"/>
            </w:rPr>
            <w:fldChar w:fldCharType="end"/>
          </w:r>
        </w:p>
      </w:tc>
    </w:tr>
    <w:tr w:rsidR="004C5B47" w:rsidRPr="00BB0956" w14:paraId="02DAAA23" w14:textId="77777777" w:rsidTr="00BB0956">
      <w:trPr>
        <w:cantSplit/>
        <w:trHeight w:val="4925"/>
      </w:trPr>
      <w:tc>
        <w:tcPr>
          <w:tcW w:w="9830" w:type="dxa"/>
          <w:shd w:val="clear" w:color="auto" w:fill="auto"/>
          <w:textDirection w:val="tbRl"/>
          <w:vAlign w:val="bottom"/>
        </w:tcPr>
        <w:p w14:paraId="486C6E92" w14:textId="77777777" w:rsidR="004C5B47" w:rsidRPr="00BB0956" w:rsidRDefault="004C5B47" w:rsidP="00BB0956">
          <w:pPr>
            <w:pStyle w:val="Header"/>
            <w:spacing w:line="240" w:lineRule="auto"/>
            <w:ind w:left="14" w:right="14"/>
            <w:rPr>
              <w:w w:val="103"/>
            </w:rPr>
          </w:pPr>
        </w:p>
      </w:tc>
    </w:tr>
  </w:tbl>
  <w:p w14:paraId="5DD0AEF2" w14:textId="77777777" w:rsidR="004C5B47" w:rsidRPr="00BB0956" w:rsidRDefault="004C5B47" w:rsidP="00BB095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674"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4C5B47" w:rsidRPr="00BB0956" w14:paraId="5326795F" w14:textId="77777777" w:rsidTr="00BB0956">
      <w:trPr>
        <w:trHeight w:val="4925"/>
      </w:trPr>
      <w:tc>
        <w:tcPr>
          <w:tcW w:w="13238" w:type="dxa"/>
          <w:shd w:val="clear" w:color="auto" w:fill="auto"/>
          <w:vAlign w:val="bottom"/>
        </w:tcPr>
        <w:p w14:paraId="1D68A8F5" w14:textId="77777777" w:rsidR="004C5B47" w:rsidRPr="00BB0956" w:rsidRDefault="004C5B47" w:rsidP="00BB0956">
          <w:pPr>
            <w:pStyle w:val="Header"/>
            <w:spacing w:line="240" w:lineRule="auto"/>
            <w:ind w:left="14" w:right="14"/>
            <w:jc w:val="right"/>
            <w:rPr>
              <w:bCs/>
              <w:w w:val="103"/>
              <w:szCs w:val="26"/>
            </w:rPr>
          </w:pPr>
        </w:p>
      </w:tc>
    </w:tr>
    <w:tr w:rsidR="004C5B47" w:rsidRPr="00BB0956" w14:paraId="739C4C63" w14:textId="77777777" w:rsidTr="00BB0956">
      <w:trPr>
        <w:cantSplit/>
        <w:trHeight w:val="4925"/>
      </w:trPr>
      <w:tc>
        <w:tcPr>
          <w:tcW w:w="13238" w:type="dxa"/>
          <w:shd w:val="clear" w:color="auto" w:fill="auto"/>
          <w:textDirection w:val="tbRl"/>
          <w:vAlign w:val="bottom"/>
        </w:tcPr>
        <w:p w14:paraId="060B1E76" w14:textId="127625BE" w:rsidR="004C5B47" w:rsidRPr="00BB0956" w:rsidRDefault="004C5B47" w:rsidP="00BB0956">
          <w:pPr>
            <w:pStyle w:val="Header"/>
            <w:spacing w:line="240" w:lineRule="auto"/>
            <w:ind w:left="14" w:right="14"/>
            <w:jc w:val="right"/>
            <w:rPr>
              <w:b/>
              <w:bCs/>
              <w:w w:val="103"/>
              <w:szCs w:val="26"/>
            </w:rPr>
          </w:pPr>
          <w:r w:rsidRPr="00BB0956">
            <w:rPr>
              <w:b/>
              <w:bCs/>
              <w:w w:val="103"/>
              <w:szCs w:val="26"/>
            </w:rPr>
            <w:fldChar w:fldCharType="begin"/>
          </w:r>
          <w:r w:rsidRPr="00BB0956">
            <w:rPr>
              <w:b/>
              <w:bCs/>
              <w:w w:val="103"/>
              <w:szCs w:val="26"/>
            </w:rPr>
            <w:instrText xml:space="preserve"> DOCVARIABLE "sss1" \* MERGEFORMAT </w:instrText>
          </w:r>
          <w:r w:rsidRPr="00BB0956">
            <w:rPr>
              <w:b/>
              <w:bCs/>
              <w:w w:val="103"/>
              <w:szCs w:val="26"/>
            </w:rPr>
            <w:fldChar w:fldCharType="separate"/>
          </w:r>
          <w:r w:rsidR="004615D3">
            <w:rPr>
              <w:b/>
              <w:bCs/>
              <w:w w:val="103"/>
              <w:szCs w:val="26"/>
            </w:rPr>
            <w:t>CEDAW/C/PRT/10</w:t>
          </w:r>
          <w:r w:rsidRPr="00BB0956">
            <w:rPr>
              <w:b/>
              <w:bCs/>
              <w:w w:val="103"/>
              <w:szCs w:val="26"/>
            </w:rPr>
            <w:fldChar w:fldCharType="end"/>
          </w:r>
        </w:p>
      </w:tc>
    </w:tr>
  </w:tbl>
  <w:p w14:paraId="3F34B690" w14:textId="77777777" w:rsidR="004C5B47" w:rsidRPr="00BB0956" w:rsidRDefault="004C5B47" w:rsidP="00BB09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BB52C074"/>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FD5321"/>
    <w:multiLevelType w:val="singleLevel"/>
    <w:tmpl w:val="8FFC1BFA"/>
    <w:lvl w:ilvl="0">
      <w:start w:val="82"/>
      <w:numFmt w:val="decimal"/>
      <w:lvlRestart w:val="0"/>
      <w:lvlText w:val="%1."/>
      <w:lvlJc w:val="left"/>
      <w:pPr>
        <w:tabs>
          <w:tab w:val="num" w:pos="1742"/>
        </w:tabs>
        <w:ind w:left="1267" w:firstLine="0"/>
      </w:pPr>
      <w:rPr>
        <w:w w:val="100"/>
      </w:rPr>
    </w:lvl>
  </w:abstractNum>
  <w:abstractNum w:abstractNumId="5" w15:restartNumberingAfterBreak="0">
    <w:nsid w:val="6B2528A3"/>
    <w:multiLevelType w:val="singleLevel"/>
    <w:tmpl w:val="98988428"/>
    <w:lvl w:ilvl="0">
      <w:start w:val="1"/>
      <w:numFmt w:val="decimal"/>
      <w:lvlRestart w:val="0"/>
      <w:lvlText w:val="%1."/>
      <w:lvlJc w:val="left"/>
      <w:pPr>
        <w:tabs>
          <w:tab w:val="num" w:pos="475"/>
        </w:tabs>
        <w:ind w:left="0" w:firstLine="0"/>
      </w:pPr>
      <w:rPr>
        <w:w w:val="100"/>
      </w:rPr>
    </w:lvl>
  </w:abstractNum>
  <w:num w:numId="1">
    <w:abstractNumId w:val="2"/>
  </w:num>
  <w:num w:numId="2">
    <w:abstractNumId w:val="3"/>
  </w:num>
  <w:num w:numId="3">
    <w:abstractNumId w:val="0"/>
  </w:num>
  <w:num w:numId="4">
    <w:abstractNumId w:val="1"/>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gutterAtTop/>
  <w:hideSpellingErrors/>
  <w:revisionView w:markup="0"/>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2105*"/>
    <w:docVar w:name="CreationDt" w:val="16/11/2020 3:38: PM"/>
    <w:docVar w:name="DocCategory" w:val="Doc"/>
    <w:docVar w:name="DocType" w:val="Final"/>
    <w:docVar w:name="DutyStation" w:val="New York"/>
    <w:docVar w:name="FooterJN" w:val="20-12105"/>
    <w:docVar w:name="jobn" w:val="20-12105 (F)"/>
    <w:docVar w:name="jobnDT" w:val="20-12105 (F)   161120"/>
    <w:docVar w:name="jobnDTDT" w:val="20-12105 (F)   161120   161120"/>
    <w:docVar w:name="JobNo" w:val="2012105F"/>
    <w:docVar w:name="JobNo2" w:val="2024150F"/>
    <w:docVar w:name="LocalDrive" w:val="0"/>
    <w:docVar w:name="OandT" w:val="dll"/>
    <w:docVar w:name="sss1" w:val="CEDAW/C/PRT/10"/>
    <w:docVar w:name="sss2" w:val="-"/>
    <w:docVar w:name="Symbol1" w:val="CEDAW/C/PRT/10"/>
    <w:docVar w:name="Symbol2" w:val="-"/>
  </w:docVars>
  <w:rsids>
    <w:rsidRoot w:val="00AA6981"/>
    <w:rsid w:val="00001936"/>
    <w:rsid w:val="00002584"/>
    <w:rsid w:val="00004A4A"/>
    <w:rsid w:val="00007650"/>
    <w:rsid w:val="0001022E"/>
    <w:rsid w:val="00012BB9"/>
    <w:rsid w:val="0002140C"/>
    <w:rsid w:val="00021A24"/>
    <w:rsid w:val="000234BC"/>
    <w:rsid w:val="00031018"/>
    <w:rsid w:val="00043FE3"/>
    <w:rsid w:val="000637AE"/>
    <w:rsid w:val="0006491F"/>
    <w:rsid w:val="00066127"/>
    <w:rsid w:val="00070FFE"/>
    <w:rsid w:val="00071D43"/>
    <w:rsid w:val="00073898"/>
    <w:rsid w:val="0007535B"/>
    <w:rsid w:val="00076CE4"/>
    <w:rsid w:val="00080349"/>
    <w:rsid w:val="00080F5D"/>
    <w:rsid w:val="00082144"/>
    <w:rsid w:val="00085EEB"/>
    <w:rsid w:val="00086794"/>
    <w:rsid w:val="00092CB7"/>
    <w:rsid w:val="00097BDD"/>
    <w:rsid w:val="000B3C9C"/>
    <w:rsid w:val="000B586F"/>
    <w:rsid w:val="000B7C37"/>
    <w:rsid w:val="000C3864"/>
    <w:rsid w:val="000C5C1E"/>
    <w:rsid w:val="000D41E4"/>
    <w:rsid w:val="000D5822"/>
    <w:rsid w:val="000D73F4"/>
    <w:rsid w:val="000E41A5"/>
    <w:rsid w:val="000F3066"/>
    <w:rsid w:val="00101B18"/>
    <w:rsid w:val="00103025"/>
    <w:rsid w:val="001030AE"/>
    <w:rsid w:val="0011228E"/>
    <w:rsid w:val="00116571"/>
    <w:rsid w:val="001171F7"/>
    <w:rsid w:val="001177E1"/>
    <w:rsid w:val="0012108B"/>
    <w:rsid w:val="00122A56"/>
    <w:rsid w:val="001256D4"/>
    <w:rsid w:val="00127B53"/>
    <w:rsid w:val="0013083B"/>
    <w:rsid w:val="00130BB3"/>
    <w:rsid w:val="00134FEE"/>
    <w:rsid w:val="00135318"/>
    <w:rsid w:val="001449D0"/>
    <w:rsid w:val="00146C6A"/>
    <w:rsid w:val="0015398D"/>
    <w:rsid w:val="00154347"/>
    <w:rsid w:val="001543FD"/>
    <w:rsid w:val="0015505D"/>
    <w:rsid w:val="00160490"/>
    <w:rsid w:val="0016319D"/>
    <w:rsid w:val="00166A0D"/>
    <w:rsid w:val="0016762E"/>
    <w:rsid w:val="001717BE"/>
    <w:rsid w:val="001770A2"/>
    <w:rsid w:val="001934B5"/>
    <w:rsid w:val="0019638F"/>
    <w:rsid w:val="001A299E"/>
    <w:rsid w:val="001A4B19"/>
    <w:rsid w:val="001B0D20"/>
    <w:rsid w:val="001B4526"/>
    <w:rsid w:val="001B5585"/>
    <w:rsid w:val="001D5F53"/>
    <w:rsid w:val="001E0CA2"/>
    <w:rsid w:val="001E2379"/>
    <w:rsid w:val="001E2C6E"/>
    <w:rsid w:val="001E4B50"/>
    <w:rsid w:val="00202F6E"/>
    <w:rsid w:val="0020528A"/>
    <w:rsid w:val="002072F3"/>
    <w:rsid w:val="0021412C"/>
    <w:rsid w:val="00215425"/>
    <w:rsid w:val="00215745"/>
    <w:rsid w:val="00223D4C"/>
    <w:rsid w:val="002252CA"/>
    <w:rsid w:val="00236E19"/>
    <w:rsid w:val="00241E1C"/>
    <w:rsid w:val="00244C58"/>
    <w:rsid w:val="00245107"/>
    <w:rsid w:val="00245FDC"/>
    <w:rsid w:val="002478A0"/>
    <w:rsid w:val="00251DFC"/>
    <w:rsid w:val="00257BDE"/>
    <w:rsid w:val="002630E9"/>
    <w:rsid w:val="00264B0C"/>
    <w:rsid w:val="002655F9"/>
    <w:rsid w:val="0027695B"/>
    <w:rsid w:val="0028340A"/>
    <w:rsid w:val="00291B0A"/>
    <w:rsid w:val="00291DF9"/>
    <w:rsid w:val="00296005"/>
    <w:rsid w:val="002A1DB7"/>
    <w:rsid w:val="002A5E20"/>
    <w:rsid w:val="002B314F"/>
    <w:rsid w:val="002B4F74"/>
    <w:rsid w:val="002B575D"/>
    <w:rsid w:val="002B5877"/>
    <w:rsid w:val="002B5B5F"/>
    <w:rsid w:val="002B6DB3"/>
    <w:rsid w:val="002C1107"/>
    <w:rsid w:val="002C4AEF"/>
    <w:rsid w:val="002C6C92"/>
    <w:rsid w:val="002C7B00"/>
    <w:rsid w:val="002D3F98"/>
    <w:rsid w:val="002E04BE"/>
    <w:rsid w:val="002E4298"/>
    <w:rsid w:val="002E7138"/>
    <w:rsid w:val="00300A2C"/>
    <w:rsid w:val="003066CF"/>
    <w:rsid w:val="0030765E"/>
    <w:rsid w:val="003254E5"/>
    <w:rsid w:val="00336440"/>
    <w:rsid w:val="003373E3"/>
    <w:rsid w:val="00340E8D"/>
    <w:rsid w:val="00341502"/>
    <w:rsid w:val="003451A6"/>
    <w:rsid w:val="003531E2"/>
    <w:rsid w:val="003538B6"/>
    <w:rsid w:val="0035619D"/>
    <w:rsid w:val="0036397F"/>
    <w:rsid w:val="0036647A"/>
    <w:rsid w:val="00366D21"/>
    <w:rsid w:val="003670DC"/>
    <w:rsid w:val="00370026"/>
    <w:rsid w:val="00370F38"/>
    <w:rsid w:val="00373914"/>
    <w:rsid w:val="0037795D"/>
    <w:rsid w:val="0038581D"/>
    <w:rsid w:val="003910C9"/>
    <w:rsid w:val="00395642"/>
    <w:rsid w:val="00396CFD"/>
    <w:rsid w:val="003A675A"/>
    <w:rsid w:val="003B1425"/>
    <w:rsid w:val="003B598D"/>
    <w:rsid w:val="003C2566"/>
    <w:rsid w:val="003C371F"/>
    <w:rsid w:val="003C3A50"/>
    <w:rsid w:val="003C536A"/>
    <w:rsid w:val="003C7963"/>
    <w:rsid w:val="003D5A8F"/>
    <w:rsid w:val="003D6296"/>
    <w:rsid w:val="003D7F68"/>
    <w:rsid w:val="003E3DAD"/>
    <w:rsid w:val="003E4528"/>
    <w:rsid w:val="003E63DE"/>
    <w:rsid w:val="003E6A5D"/>
    <w:rsid w:val="003E7581"/>
    <w:rsid w:val="003F1A9F"/>
    <w:rsid w:val="003F61E1"/>
    <w:rsid w:val="003F7941"/>
    <w:rsid w:val="00403DFD"/>
    <w:rsid w:val="00406B5C"/>
    <w:rsid w:val="00410BE8"/>
    <w:rsid w:val="00416552"/>
    <w:rsid w:val="0042572F"/>
    <w:rsid w:val="00426A20"/>
    <w:rsid w:val="0042780B"/>
    <w:rsid w:val="00430A4D"/>
    <w:rsid w:val="004317D5"/>
    <w:rsid w:val="0043449C"/>
    <w:rsid w:val="00440C93"/>
    <w:rsid w:val="00444719"/>
    <w:rsid w:val="00452D41"/>
    <w:rsid w:val="00457511"/>
    <w:rsid w:val="004575C0"/>
    <w:rsid w:val="004615D3"/>
    <w:rsid w:val="004643F1"/>
    <w:rsid w:val="00472B7F"/>
    <w:rsid w:val="00480B84"/>
    <w:rsid w:val="004905C8"/>
    <w:rsid w:val="00490818"/>
    <w:rsid w:val="00490DCB"/>
    <w:rsid w:val="00491DD9"/>
    <w:rsid w:val="004B64F9"/>
    <w:rsid w:val="004C1A25"/>
    <w:rsid w:val="004C5B47"/>
    <w:rsid w:val="004D24D5"/>
    <w:rsid w:val="004D3F0A"/>
    <w:rsid w:val="004E0892"/>
    <w:rsid w:val="004E491B"/>
    <w:rsid w:val="004E51B9"/>
    <w:rsid w:val="004F15F8"/>
    <w:rsid w:val="00501BD0"/>
    <w:rsid w:val="00501EAE"/>
    <w:rsid w:val="00506AAA"/>
    <w:rsid w:val="00507E96"/>
    <w:rsid w:val="00511561"/>
    <w:rsid w:val="005139A6"/>
    <w:rsid w:val="0051527C"/>
    <w:rsid w:val="00515991"/>
    <w:rsid w:val="00520ECD"/>
    <w:rsid w:val="005225EC"/>
    <w:rsid w:val="00523A64"/>
    <w:rsid w:val="00524CC6"/>
    <w:rsid w:val="00525097"/>
    <w:rsid w:val="005363E7"/>
    <w:rsid w:val="0054640D"/>
    <w:rsid w:val="005509B6"/>
    <w:rsid w:val="00550EA0"/>
    <w:rsid w:val="0055179F"/>
    <w:rsid w:val="005519F3"/>
    <w:rsid w:val="005544BE"/>
    <w:rsid w:val="00556BC0"/>
    <w:rsid w:val="00562CFC"/>
    <w:rsid w:val="005709A6"/>
    <w:rsid w:val="00571235"/>
    <w:rsid w:val="00575CB4"/>
    <w:rsid w:val="00577A36"/>
    <w:rsid w:val="00580CF2"/>
    <w:rsid w:val="00582866"/>
    <w:rsid w:val="005872AE"/>
    <w:rsid w:val="00590865"/>
    <w:rsid w:val="0059466F"/>
    <w:rsid w:val="0059475C"/>
    <w:rsid w:val="00597925"/>
    <w:rsid w:val="005B398E"/>
    <w:rsid w:val="005C03A7"/>
    <w:rsid w:val="005C49B8"/>
    <w:rsid w:val="005C5330"/>
    <w:rsid w:val="005C632D"/>
    <w:rsid w:val="005D0CD7"/>
    <w:rsid w:val="005D60B5"/>
    <w:rsid w:val="005E2FF2"/>
    <w:rsid w:val="005F02EC"/>
    <w:rsid w:val="005F1F5F"/>
    <w:rsid w:val="005F3633"/>
    <w:rsid w:val="006064FE"/>
    <w:rsid w:val="00613E15"/>
    <w:rsid w:val="0061422C"/>
    <w:rsid w:val="0061735B"/>
    <w:rsid w:val="00624498"/>
    <w:rsid w:val="00632C10"/>
    <w:rsid w:val="006336C2"/>
    <w:rsid w:val="00637DF9"/>
    <w:rsid w:val="006421F1"/>
    <w:rsid w:val="006428C2"/>
    <w:rsid w:val="00650010"/>
    <w:rsid w:val="00661B96"/>
    <w:rsid w:val="00661DB6"/>
    <w:rsid w:val="00663CF9"/>
    <w:rsid w:val="00664E0D"/>
    <w:rsid w:val="00666391"/>
    <w:rsid w:val="006726A3"/>
    <w:rsid w:val="00680483"/>
    <w:rsid w:val="00690698"/>
    <w:rsid w:val="006A5676"/>
    <w:rsid w:val="006A6B33"/>
    <w:rsid w:val="006D0027"/>
    <w:rsid w:val="006D1C11"/>
    <w:rsid w:val="006D1F73"/>
    <w:rsid w:val="006D79F5"/>
    <w:rsid w:val="006E03DA"/>
    <w:rsid w:val="006E4A4B"/>
    <w:rsid w:val="006E5107"/>
    <w:rsid w:val="006E5315"/>
    <w:rsid w:val="006F370E"/>
    <w:rsid w:val="00703106"/>
    <w:rsid w:val="0070580C"/>
    <w:rsid w:val="00735FD3"/>
    <w:rsid w:val="0074049C"/>
    <w:rsid w:val="007435CA"/>
    <w:rsid w:val="0074398C"/>
    <w:rsid w:val="007459AE"/>
    <w:rsid w:val="007531A5"/>
    <w:rsid w:val="00761928"/>
    <w:rsid w:val="007632B4"/>
    <w:rsid w:val="00770302"/>
    <w:rsid w:val="0077050D"/>
    <w:rsid w:val="00771C9E"/>
    <w:rsid w:val="00774D9E"/>
    <w:rsid w:val="00780D43"/>
    <w:rsid w:val="0078560A"/>
    <w:rsid w:val="00787DBE"/>
    <w:rsid w:val="0079367D"/>
    <w:rsid w:val="007957D6"/>
    <w:rsid w:val="007A0D7D"/>
    <w:rsid w:val="007A3E90"/>
    <w:rsid w:val="007A7E54"/>
    <w:rsid w:val="007B25AA"/>
    <w:rsid w:val="007B3251"/>
    <w:rsid w:val="007B39C9"/>
    <w:rsid w:val="007B4B2F"/>
    <w:rsid w:val="007B53DC"/>
    <w:rsid w:val="007B770F"/>
    <w:rsid w:val="007C5A39"/>
    <w:rsid w:val="007D4862"/>
    <w:rsid w:val="007E224F"/>
    <w:rsid w:val="0081441E"/>
    <w:rsid w:val="008150DA"/>
    <w:rsid w:val="0082045E"/>
    <w:rsid w:val="00820C96"/>
    <w:rsid w:val="008222A3"/>
    <w:rsid w:val="00833EEC"/>
    <w:rsid w:val="008407F1"/>
    <w:rsid w:val="00840D12"/>
    <w:rsid w:val="008446A5"/>
    <w:rsid w:val="0085158E"/>
    <w:rsid w:val="008577D6"/>
    <w:rsid w:val="008613B3"/>
    <w:rsid w:val="00862BA0"/>
    <w:rsid w:val="00864C97"/>
    <w:rsid w:val="00870546"/>
    <w:rsid w:val="00870613"/>
    <w:rsid w:val="00870B24"/>
    <w:rsid w:val="00875C99"/>
    <w:rsid w:val="00876489"/>
    <w:rsid w:val="00883D3C"/>
    <w:rsid w:val="00884EC6"/>
    <w:rsid w:val="00886CF2"/>
    <w:rsid w:val="008C5DA4"/>
    <w:rsid w:val="008D3879"/>
    <w:rsid w:val="008E54A2"/>
    <w:rsid w:val="008F1218"/>
    <w:rsid w:val="008F19AC"/>
    <w:rsid w:val="008F3462"/>
    <w:rsid w:val="008F79DE"/>
    <w:rsid w:val="00901DBA"/>
    <w:rsid w:val="0090346B"/>
    <w:rsid w:val="009177A7"/>
    <w:rsid w:val="009237A6"/>
    <w:rsid w:val="00923C06"/>
    <w:rsid w:val="00924856"/>
    <w:rsid w:val="009248BF"/>
    <w:rsid w:val="00932F05"/>
    <w:rsid w:val="009351BE"/>
    <w:rsid w:val="00935432"/>
    <w:rsid w:val="00935932"/>
    <w:rsid w:val="00942F3F"/>
    <w:rsid w:val="009547DC"/>
    <w:rsid w:val="00957488"/>
    <w:rsid w:val="009574A2"/>
    <w:rsid w:val="00965424"/>
    <w:rsid w:val="00967689"/>
    <w:rsid w:val="00983B6C"/>
    <w:rsid w:val="009851A6"/>
    <w:rsid w:val="00991C6E"/>
    <w:rsid w:val="00993C36"/>
    <w:rsid w:val="00993CB7"/>
    <w:rsid w:val="00994877"/>
    <w:rsid w:val="009A2938"/>
    <w:rsid w:val="009A4644"/>
    <w:rsid w:val="009A5D53"/>
    <w:rsid w:val="009A663B"/>
    <w:rsid w:val="009B49FB"/>
    <w:rsid w:val="009C3BFE"/>
    <w:rsid w:val="009D0EE3"/>
    <w:rsid w:val="009D4F34"/>
    <w:rsid w:val="009E29DF"/>
    <w:rsid w:val="009E3220"/>
    <w:rsid w:val="009E3D71"/>
    <w:rsid w:val="009E5F30"/>
    <w:rsid w:val="009F0E81"/>
    <w:rsid w:val="009F40B9"/>
    <w:rsid w:val="009F4CD5"/>
    <w:rsid w:val="009F6E36"/>
    <w:rsid w:val="00A01EF1"/>
    <w:rsid w:val="00A07B6D"/>
    <w:rsid w:val="00A11713"/>
    <w:rsid w:val="00A11C35"/>
    <w:rsid w:val="00A126D7"/>
    <w:rsid w:val="00A15227"/>
    <w:rsid w:val="00A169D4"/>
    <w:rsid w:val="00A2494D"/>
    <w:rsid w:val="00A24FB8"/>
    <w:rsid w:val="00A32CA5"/>
    <w:rsid w:val="00A42A46"/>
    <w:rsid w:val="00A42B1C"/>
    <w:rsid w:val="00A47818"/>
    <w:rsid w:val="00A51A91"/>
    <w:rsid w:val="00A536A1"/>
    <w:rsid w:val="00A6292E"/>
    <w:rsid w:val="00A80DFB"/>
    <w:rsid w:val="00A831C8"/>
    <w:rsid w:val="00A920BE"/>
    <w:rsid w:val="00A94BF3"/>
    <w:rsid w:val="00A95567"/>
    <w:rsid w:val="00AA6981"/>
    <w:rsid w:val="00AB0B39"/>
    <w:rsid w:val="00AB0B7D"/>
    <w:rsid w:val="00AC16B7"/>
    <w:rsid w:val="00AD392D"/>
    <w:rsid w:val="00AD5F2F"/>
    <w:rsid w:val="00AE0CEB"/>
    <w:rsid w:val="00AE7872"/>
    <w:rsid w:val="00AF31AD"/>
    <w:rsid w:val="00AF5ECD"/>
    <w:rsid w:val="00B01526"/>
    <w:rsid w:val="00B10D8A"/>
    <w:rsid w:val="00B12E5B"/>
    <w:rsid w:val="00B15E70"/>
    <w:rsid w:val="00B23B6D"/>
    <w:rsid w:val="00B23E54"/>
    <w:rsid w:val="00B24AE5"/>
    <w:rsid w:val="00B277D2"/>
    <w:rsid w:val="00B30919"/>
    <w:rsid w:val="00B35935"/>
    <w:rsid w:val="00B3665A"/>
    <w:rsid w:val="00B41AA3"/>
    <w:rsid w:val="00B473F3"/>
    <w:rsid w:val="00B56553"/>
    <w:rsid w:val="00B5757B"/>
    <w:rsid w:val="00B645D4"/>
    <w:rsid w:val="00B6560D"/>
    <w:rsid w:val="00B71370"/>
    <w:rsid w:val="00B718CA"/>
    <w:rsid w:val="00B858D5"/>
    <w:rsid w:val="00B872A1"/>
    <w:rsid w:val="00B90E3E"/>
    <w:rsid w:val="00B91C4F"/>
    <w:rsid w:val="00B93FC1"/>
    <w:rsid w:val="00B9733E"/>
    <w:rsid w:val="00BA1F87"/>
    <w:rsid w:val="00BA2C89"/>
    <w:rsid w:val="00BA2D2D"/>
    <w:rsid w:val="00BA503B"/>
    <w:rsid w:val="00BA5BB0"/>
    <w:rsid w:val="00BB0956"/>
    <w:rsid w:val="00BB5D65"/>
    <w:rsid w:val="00BC729C"/>
    <w:rsid w:val="00BD6428"/>
    <w:rsid w:val="00BD67EB"/>
    <w:rsid w:val="00BE0C96"/>
    <w:rsid w:val="00BE2A24"/>
    <w:rsid w:val="00BF2097"/>
    <w:rsid w:val="00BF2EC7"/>
    <w:rsid w:val="00BF4841"/>
    <w:rsid w:val="00BF72C3"/>
    <w:rsid w:val="00C047E3"/>
    <w:rsid w:val="00C04FBA"/>
    <w:rsid w:val="00C06993"/>
    <w:rsid w:val="00C138C6"/>
    <w:rsid w:val="00C15FFE"/>
    <w:rsid w:val="00C22F4C"/>
    <w:rsid w:val="00C26A62"/>
    <w:rsid w:val="00C31EE2"/>
    <w:rsid w:val="00C40F08"/>
    <w:rsid w:val="00C41939"/>
    <w:rsid w:val="00C43046"/>
    <w:rsid w:val="00C556F2"/>
    <w:rsid w:val="00C57290"/>
    <w:rsid w:val="00C615C2"/>
    <w:rsid w:val="00C66195"/>
    <w:rsid w:val="00C67883"/>
    <w:rsid w:val="00C86C55"/>
    <w:rsid w:val="00C95DAE"/>
    <w:rsid w:val="00C95EA7"/>
    <w:rsid w:val="00CA06DA"/>
    <w:rsid w:val="00CA62DD"/>
    <w:rsid w:val="00CB06FB"/>
    <w:rsid w:val="00CB38C2"/>
    <w:rsid w:val="00CB62E7"/>
    <w:rsid w:val="00CB63C5"/>
    <w:rsid w:val="00CC0F60"/>
    <w:rsid w:val="00CC13CC"/>
    <w:rsid w:val="00CC4AD2"/>
    <w:rsid w:val="00CC7AE6"/>
    <w:rsid w:val="00CE06C7"/>
    <w:rsid w:val="00CE09BC"/>
    <w:rsid w:val="00CE2455"/>
    <w:rsid w:val="00CE2901"/>
    <w:rsid w:val="00CE2F25"/>
    <w:rsid w:val="00CE6A7B"/>
    <w:rsid w:val="00CE767B"/>
    <w:rsid w:val="00CF4534"/>
    <w:rsid w:val="00CF5710"/>
    <w:rsid w:val="00D0071C"/>
    <w:rsid w:val="00D05F14"/>
    <w:rsid w:val="00D14E6F"/>
    <w:rsid w:val="00D2005A"/>
    <w:rsid w:val="00D30EED"/>
    <w:rsid w:val="00D509E8"/>
    <w:rsid w:val="00D60B08"/>
    <w:rsid w:val="00D62814"/>
    <w:rsid w:val="00D66412"/>
    <w:rsid w:val="00D76CCF"/>
    <w:rsid w:val="00D85B1C"/>
    <w:rsid w:val="00D935AE"/>
    <w:rsid w:val="00DA0FA7"/>
    <w:rsid w:val="00DA41D5"/>
    <w:rsid w:val="00DB0280"/>
    <w:rsid w:val="00DB0699"/>
    <w:rsid w:val="00DC43BF"/>
    <w:rsid w:val="00DC7881"/>
    <w:rsid w:val="00DD0696"/>
    <w:rsid w:val="00DD11AE"/>
    <w:rsid w:val="00DD3953"/>
    <w:rsid w:val="00DD4BD7"/>
    <w:rsid w:val="00DE0625"/>
    <w:rsid w:val="00DE2A00"/>
    <w:rsid w:val="00DF1766"/>
    <w:rsid w:val="00DF621A"/>
    <w:rsid w:val="00E104B8"/>
    <w:rsid w:val="00E126C3"/>
    <w:rsid w:val="00E343A6"/>
    <w:rsid w:val="00E36B1F"/>
    <w:rsid w:val="00E443AC"/>
    <w:rsid w:val="00E47A1E"/>
    <w:rsid w:val="00E50854"/>
    <w:rsid w:val="00E7105F"/>
    <w:rsid w:val="00E71A14"/>
    <w:rsid w:val="00E745E3"/>
    <w:rsid w:val="00E7512F"/>
    <w:rsid w:val="00E7792F"/>
    <w:rsid w:val="00EA4FF0"/>
    <w:rsid w:val="00EA6571"/>
    <w:rsid w:val="00EA6AD9"/>
    <w:rsid w:val="00EA6C00"/>
    <w:rsid w:val="00EB758B"/>
    <w:rsid w:val="00EC2029"/>
    <w:rsid w:val="00EC5369"/>
    <w:rsid w:val="00EE37EC"/>
    <w:rsid w:val="00EE552F"/>
    <w:rsid w:val="00EE7FC4"/>
    <w:rsid w:val="00EF0BA3"/>
    <w:rsid w:val="00EF2DFA"/>
    <w:rsid w:val="00EF3D28"/>
    <w:rsid w:val="00F01EC0"/>
    <w:rsid w:val="00F246F6"/>
    <w:rsid w:val="00F27A9E"/>
    <w:rsid w:val="00F313F6"/>
    <w:rsid w:val="00F44B5A"/>
    <w:rsid w:val="00F4588C"/>
    <w:rsid w:val="00F5012D"/>
    <w:rsid w:val="00F55E84"/>
    <w:rsid w:val="00F608C8"/>
    <w:rsid w:val="00F62B8B"/>
    <w:rsid w:val="00F62BFF"/>
    <w:rsid w:val="00F7078D"/>
    <w:rsid w:val="00F71F8E"/>
    <w:rsid w:val="00F73093"/>
    <w:rsid w:val="00F752AB"/>
    <w:rsid w:val="00F7640F"/>
    <w:rsid w:val="00F767A3"/>
    <w:rsid w:val="00F80FA2"/>
    <w:rsid w:val="00F83514"/>
    <w:rsid w:val="00F83928"/>
    <w:rsid w:val="00F86B44"/>
    <w:rsid w:val="00F87E6A"/>
    <w:rsid w:val="00FA3D05"/>
    <w:rsid w:val="00FA5CC9"/>
    <w:rsid w:val="00FA63AB"/>
    <w:rsid w:val="00FB0A2C"/>
    <w:rsid w:val="00FB514F"/>
    <w:rsid w:val="00FB7276"/>
    <w:rsid w:val="00FC3A85"/>
    <w:rsid w:val="00FC59F1"/>
    <w:rsid w:val="00FD1BBD"/>
    <w:rsid w:val="00FE2FE9"/>
    <w:rsid w:val="00FE3C5A"/>
    <w:rsid w:val="00FF3445"/>
    <w:rsid w:val="00FF6FD5"/>
    <w:rsid w:val="00FF7B5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3E0F6E"/>
  <w15:chartTrackingRefBased/>
  <w15:docId w15:val="{CBB8323A-1AA1-4847-84F7-DECD54588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938"/>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9A2938"/>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9A2938"/>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9A2938"/>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9A2938"/>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9A2938"/>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9A2938"/>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9A2938"/>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9A2938"/>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9A2938"/>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A2938"/>
    <w:pPr>
      <w:keepNext/>
      <w:keepLines/>
      <w:suppressAutoHyphens/>
      <w:spacing w:line="270" w:lineRule="exact"/>
      <w:outlineLvl w:val="0"/>
    </w:pPr>
    <w:rPr>
      <w:b/>
      <w:sz w:val="24"/>
    </w:rPr>
  </w:style>
  <w:style w:type="paragraph" w:customStyle="1" w:styleId="HCH">
    <w:name w:val="_ H _CH"/>
    <w:basedOn w:val="H1"/>
    <w:next w:val="Normal"/>
    <w:qFormat/>
    <w:rsid w:val="009A2938"/>
    <w:pPr>
      <w:spacing w:line="300" w:lineRule="exact"/>
    </w:pPr>
    <w:rPr>
      <w:spacing w:val="-2"/>
      <w:sz w:val="28"/>
    </w:rPr>
  </w:style>
  <w:style w:type="paragraph" w:customStyle="1" w:styleId="HM">
    <w:name w:val="_ H __M"/>
    <w:basedOn w:val="HCH"/>
    <w:next w:val="Normal"/>
    <w:qFormat/>
    <w:rsid w:val="009A2938"/>
    <w:pPr>
      <w:spacing w:line="360" w:lineRule="exact"/>
    </w:pPr>
    <w:rPr>
      <w:spacing w:val="-3"/>
      <w:w w:val="99"/>
      <w:sz w:val="34"/>
    </w:rPr>
  </w:style>
  <w:style w:type="paragraph" w:customStyle="1" w:styleId="H23">
    <w:name w:val="_ H_2/3"/>
    <w:basedOn w:val="H1"/>
    <w:next w:val="SingleTxt"/>
    <w:qFormat/>
    <w:rsid w:val="009A2938"/>
    <w:pPr>
      <w:spacing w:line="240" w:lineRule="exact"/>
      <w:outlineLvl w:val="1"/>
    </w:pPr>
    <w:rPr>
      <w:spacing w:val="2"/>
      <w:sz w:val="20"/>
    </w:rPr>
  </w:style>
  <w:style w:type="paragraph" w:customStyle="1" w:styleId="H4">
    <w:name w:val="_ H_4"/>
    <w:basedOn w:val="Normal"/>
    <w:next w:val="SingleTxt"/>
    <w:qFormat/>
    <w:rsid w:val="009A2938"/>
    <w:pPr>
      <w:keepNext/>
      <w:keepLines/>
      <w:tabs>
        <w:tab w:val="right" w:pos="360"/>
      </w:tabs>
      <w:suppressAutoHyphens/>
      <w:outlineLvl w:val="3"/>
    </w:pPr>
    <w:rPr>
      <w:i/>
      <w:spacing w:val="3"/>
    </w:rPr>
  </w:style>
  <w:style w:type="paragraph" w:customStyle="1" w:styleId="H56">
    <w:name w:val="_ H_5/6"/>
    <w:basedOn w:val="Normal"/>
    <w:next w:val="SingleTxt"/>
    <w:qFormat/>
    <w:rsid w:val="009A2938"/>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9A2938"/>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A2938"/>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A2938"/>
    <w:pPr>
      <w:spacing w:line="540" w:lineRule="exact"/>
    </w:pPr>
    <w:rPr>
      <w:spacing w:val="-8"/>
      <w:w w:val="96"/>
      <w:sz w:val="57"/>
    </w:rPr>
  </w:style>
  <w:style w:type="paragraph" w:customStyle="1" w:styleId="SS">
    <w:name w:val="__S_S"/>
    <w:basedOn w:val="HCH"/>
    <w:next w:val="Normal"/>
    <w:qFormat/>
    <w:rsid w:val="009A2938"/>
    <w:pPr>
      <w:ind w:left="1267" w:right="1267"/>
    </w:pPr>
  </w:style>
  <w:style w:type="paragraph" w:customStyle="1" w:styleId="SingleTxt">
    <w:name w:val="__Single Txt"/>
    <w:basedOn w:val="Normal"/>
    <w:qFormat/>
    <w:rsid w:val="009A293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9A2938"/>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9A293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9A2938"/>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9A293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A2938"/>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9A2938"/>
    <w:pPr>
      <w:numPr>
        <w:numId w:val="1"/>
      </w:numPr>
      <w:spacing w:after="120"/>
      <w:ind w:right="1267"/>
      <w:jc w:val="both"/>
    </w:pPr>
  </w:style>
  <w:style w:type="paragraph" w:customStyle="1" w:styleId="Bullet2">
    <w:name w:val="Bullet 2"/>
    <w:basedOn w:val="Normal"/>
    <w:qFormat/>
    <w:rsid w:val="009A2938"/>
    <w:pPr>
      <w:numPr>
        <w:numId w:val="2"/>
      </w:numPr>
      <w:spacing w:after="120"/>
      <w:ind w:right="1264"/>
      <w:jc w:val="both"/>
    </w:pPr>
  </w:style>
  <w:style w:type="paragraph" w:customStyle="1" w:styleId="Bullet3">
    <w:name w:val="Bullet 3"/>
    <w:basedOn w:val="SingleTxt"/>
    <w:qFormat/>
    <w:rsid w:val="009A2938"/>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9A2938"/>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9A2938"/>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9A2938"/>
    <w:pPr>
      <w:spacing w:line="210" w:lineRule="exact"/>
    </w:pPr>
    <w:rPr>
      <w:sz w:val="17"/>
      <w:szCs w:val="20"/>
    </w:rPr>
  </w:style>
  <w:style w:type="character" w:customStyle="1" w:styleId="EndnoteTextChar">
    <w:name w:val="Endnote Text Char"/>
    <w:link w:val="EndnoteText"/>
    <w:uiPriority w:val="99"/>
    <w:semiHidden/>
    <w:rsid w:val="009A2938"/>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9A2938"/>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9A2938"/>
    <w:rPr>
      <w:rFonts w:ascii="Times New Roman" w:eastAsiaTheme="minorHAnsi" w:hAnsi="Times New Roman" w:cs="Times New Roman"/>
      <w:b/>
      <w:spacing w:val="3"/>
      <w:w w:val="105"/>
      <w:sz w:val="17"/>
      <w:lang w:val="en-US" w:eastAsia="en-US"/>
    </w:rPr>
  </w:style>
  <w:style w:type="character" w:styleId="FootnoteReference">
    <w:name w:val="footnote reference"/>
    <w:aliases w:val="4_G,Ref,de nota al pie,Footnote Reference Number,Carácter Carácter Carácter Char Char Carácter Carácter Carácter Char Char Carácter Char Char Carácter Carácter Carácter Char Char Carácter Carácter Carácter Carácter Carácter"/>
    <w:uiPriority w:val="99"/>
    <w:qFormat/>
    <w:rsid w:val="009A2938"/>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aliases w:val="5_G,Podrozdzial Carácter Carácter Carácter Char Char Carácter Carácter Carácter,Podrozdzial Carácter Carácter Carácter Char Char Carácter,RSC_WP (footnotes) Char Char,RSC_WP (footnotes),Footnote Text OCR,Footnote Text Char3"/>
    <w:basedOn w:val="Normal"/>
    <w:link w:val="FootnoteTextChar"/>
    <w:uiPriority w:val="99"/>
    <w:qFormat/>
    <w:rsid w:val="009A2938"/>
    <w:pPr>
      <w:spacing w:line="210" w:lineRule="exact"/>
    </w:pPr>
    <w:rPr>
      <w:sz w:val="17"/>
      <w:szCs w:val="20"/>
    </w:rPr>
  </w:style>
  <w:style w:type="character" w:customStyle="1" w:styleId="FootnoteTextChar">
    <w:name w:val="Footnote Text Char"/>
    <w:aliases w:val="5_G Char,Podrozdzial Carácter Carácter Carácter Char Char Carácter Carácter Carácter Char,Podrozdzial Carácter Carácter Carácter Char Char Carácter Char,RSC_WP (footnotes) Char Char Char,RSC_WP (footnotes) Char,Footnote Text OCR Char"/>
    <w:link w:val="FootnoteText"/>
    <w:uiPriority w:val="99"/>
    <w:rsid w:val="009A2938"/>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9A2938"/>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9A2938"/>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9A2938"/>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9A2938"/>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9A2938"/>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9A2938"/>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9A2938"/>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9A2938"/>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9A2938"/>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9A2938"/>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9A2938"/>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9A2938"/>
    <w:rPr>
      <w:sz w:val="14"/>
    </w:rPr>
  </w:style>
  <w:style w:type="paragraph" w:styleId="ListParagraph">
    <w:name w:val="List Paragraph"/>
    <w:basedOn w:val="Normal"/>
    <w:uiPriority w:val="34"/>
    <w:rsid w:val="009A2938"/>
    <w:pPr>
      <w:ind w:left="720"/>
      <w:contextualSpacing/>
    </w:pPr>
  </w:style>
  <w:style w:type="paragraph" w:styleId="NoSpacing">
    <w:name w:val="No Spacing"/>
    <w:uiPriority w:val="1"/>
    <w:rsid w:val="009A2938"/>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9A2938"/>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9A2938"/>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9A2938"/>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9A2938"/>
    <w:pPr>
      <w:tabs>
        <w:tab w:val="right" w:pos="9965"/>
      </w:tabs>
      <w:spacing w:line="210" w:lineRule="exact"/>
    </w:pPr>
    <w:rPr>
      <w:spacing w:val="5"/>
      <w:w w:val="104"/>
      <w:sz w:val="17"/>
    </w:rPr>
  </w:style>
  <w:style w:type="paragraph" w:customStyle="1" w:styleId="SmallX">
    <w:name w:val="SmallX"/>
    <w:basedOn w:val="Small"/>
    <w:next w:val="Normal"/>
    <w:qFormat/>
    <w:rsid w:val="009A2938"/>
    <w:pPr>
      <w:spacing w:line="180" w:lineRule="exact"/>
      <w:jc w:val="right"/>
    </w:pPr>
    <w:rPr>
      <w:spacing w:val="6"/>
      <w:w w:val="106"/>
      <w:sz w:val="14"/>
    </w:rPr>
  </w:style>
  <w:style w:type="character" w:styleId="Strong">
    <w:name w:val="Strong"/>
    <w:uiPriority w:val="22"/>
    <w:rsid w:val="009A2938"/>
    <w:rPr>
      <w:b/>
      <w:bCs/>
    </w:rPr>
  </w:style>
  <w:style w:type="paragraph" w:customStyle="1" w:styleId="Style1">
    <w:name w:val="Style1"/>
    <w:basedOn w:val="Normal"/>
    <w:qFormat/>
    <w:rsid w:val="009A2938"/>
  </w:style>
  <w:style w:type="paragraph" w:customStyle="1" w:styleId="Style2">
    <w:name w:val="Style2"/>
    <w:basedOn w:val="Normal"/>
    <w:autoRedefine/>
    <w:qFormat/>
    <w:rsid w:val="009A2938"/>
  </w:style>
  <w:style w:type="paragraph" w:customStyle="1" w:styleId="TitleHCH">
    <w:name w:val="Title_H_CH"/>
    <w:basedOn w:val="H1"/>
    <w:next w:val="SingleTxt"/>
    <w:qFormat/>
    <w:rsid w:val="009A293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9A293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9A2938"/>
    <w:pPr>
      <w:tabs>
        <w:tab w:val="right" w:pos="360"/>
      </w:tabs>
      <w:spacing w:line="390" w:lineRule="exact"/>
    </w:pPr>
    <w:rPr>
      <w:spacing w:val="-4"/>
      <w:w w:val="98"/>
      <w:sz w:val="40"/>
    </w:rPr>
  </w:style>
  <w:style w:type="paragraph" w:customStyle="1" w:styleId="Session">
    <w:name w:val="Session"/>
    <w:basedOn w:val="H23"/>
    <w:qFormat/>
    <w:rsid w:val="00472B7F"/>
  </w:style>
  <w:style w:type="paragraph" w:customStyle="1" w:styleId="Sponsors">
    <w:name w:val="Sponsors"/>
    <w:basedOn w:val="H1"/>
    <w:next w:val="Normal"/>
    <w:qFormat/>
    <w:rsid w:val="006F370E"/>
    <w:pPr>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BD67EB"/>
    <w:rPr>
      <w:sz w:val="16"/>
      <w:szCs w:val="16"/>
    </w:rPr>
  </w:style>
  <w:style w:type="paragraph" w:styleId="CommentText">
    <w:name w:val="annotation text"/>
    <w:basedOn w:val="Normal"/>
    <w:link w:val="CommentTextChar"/>
    <w:uiPriority w:val="99"/>
    <w:semiHidden/>
    <w:unhideWhenUsed/>
    <w:rsid w:val="00BD67EB"/>
    <w:pPr>
      <w:spacing w:line="240" w:lineRule="auto"/>
    </w:pPr>
    <w:rPr>
      <w:szCs w:val="20"/>
    </w:rPr>
  </w:style>
  <w:style w:type="character" w:customStyle="1" w:styleId="CommentTextChar">
    <w:name w:val="Comment Text Char"/>
    <w:basedOn w:val="DefaultParagraphFont"/>
    <w:link w:val="CommentText"/>
    <w:uiPriority w:val="99"/>
    <w:semiHidden/>
    <w:rsid w:val="00BD67EB"/>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BD67EB"/>
    <w:rPr>
      <w:b/>
      <w:bCs/>
    </w:rPr>
  </w:style>
  <w:style w:type="character" w:customStyle="1" w:styleId="CommentSubjectChar">
    <w:name w:val="Comment Subject Char"/>
    <w:basedOn w:val="CommentTextChar"/>
    <w:link w:val="CommentSubject"/>
    <w:uiPriority w:val="99"/>
    <w:semiHidden/>
    <w:rsid w:val="00BD67EB"/>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rsid w:val="002B314F"/>
    <w:rPr>
      <w:color w:val="0000FF"/>
      <w:u w:val="none"/>
    </w:rPr>
  </w:style>
  <w:style w:type="character" w:styleId="UnresolvedMention">
    <w:name w:val="Unresolved Mention"/>
    <w:basedOn w:val="DefaultParagraphFont"/>
    <w:uiPriority w:val="99"/>
    <w:semiHidden/>
    <w:unhideWhenUsed/>
    <w:rsid w:val="002B314F"/>
    <w:rPr>
      <w:color w:val="605E5C"/>
      <w:shd w:val="clear" w:color="auto" w:fill="E1DFDD"/>
    </w:rPr>
  </w:style>
  <w:style w:type="paragraph" w:customStyle="1" w:styleId="SingleTxtG">
    <w:name w:val="_ Single Txt_G"/>
    <w:basedOn w:val="Normal"/>
    <w:link w:val="SingleTxtGChar"/>
    <w:qFormat/>
    <w:rsid w:val="00BF2097"/>
    <w:pPr>
      <w:suppressAutoHyphens/>
      <w:kinsoku w:val="0"/>
      <w:overflowPunct w:val="0"/>
      <w:autoSpaceDE w:val="0"/>
      <w:autoSpaceDN w:val="0"/>
      <w:adjustRightInd w:val="0"/>
      <w:snapToGrid w:val="0"/>
      <w:spacing w:after="120" w:line="240" w:lineRule="atLeast"/>
      <w:ind w:left="1134" w:right="1134"/>
      <w:jc w:val="both"/>
    </w:pPr>
    <w:rPr>
      <w:spacing w:val="0"/>
      <w:w w:val="100"/>
      <w:kern w:val="0"/>
      <w:szCs w:val="20"/>
      <w:lang w:val="en-GB"/>
    </w:rPr>
  </w:style>
  <w:style w:type="character" w:customStyle="1" w:styleId="SingleTxtGChar">
    <w:name w:val="_ Single Txt_G Char"/>
    <w:link w:val="SingleTxtG"/>
    <w:locked/>
    <w:rsid w:val="00BF2097"/>
    <w:rPr>
      <w:rFonts w:ascii="Times New Roman" w:eastAsiaTheme="minorHAnsi" w:hAnsi="Times New Roman" w:cs="Times New Roman"/>
      <w:sz w:val="20"/>
      <w:szCs w:val="20"/>
      <w:lang w:eastAsia="en-US"/>
    </w:rPr>
  </w:style>
  <w:style w:type="table" w:styleId="TableGrid">
    <w:name w:val="Table Grid"/>
    <w:basedOn w:val="TableNormal"/>
    <w:rsid w:val="00BF2097"/>
    <w:pPr>
      <w:suppressAutoHyphens/>
      <w:spacing w:after="0" w:line="240" w:lineRule="atLeast"/>
    </w:pPr>
    <w:rPr>
      <w:rFonts w:ascii="Times New Roman" w:eastAsiaTheme="minorHAnsi" w:hAnsi="Times New Roman" w:cs="Times New Roman"/>
      <w:sz w:val="20"/>
      <w:szCs w:val="20"/>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dTable4-Accent1">
    <w:name w:val="Grid Table 4 Accent 1"/>
    <w:basedOn w:val="TableNormal"/>
    <w:uiPriority w:val="49"/>
    <w:rsid w:val="00BF2097"/>
    <w:pPr>
      <w:spacing w:after="0" w:line="240" w:lineRule="auto"/>
    </w:pPr>
    <w:rPr>
      <w:rFonts w:eastAsiaTheme="minorHAnsi"/>
      <w:lang w:val="pt-PT"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B23B6D"/>
    <w:pPr>
      <w:spacing w:after="0" w:line="240" w:lineRule="auto"/>
    </w:pPr>
    <w:rPr>
      <w:rFonts w:ascii="Times New Roman" w:eastAsiaTheme="minorHAnsi" w:hAnsi="Times New Roman" w:cs="Times New Roman"/>
      <w:spacing w:val="4"/>
      <w:w w:val="103"/>
      <w:kern w:val="14"/>
      <w:sz w:val="20"/>
      <w:lang w:val="fr-CA" w:eastAsia="en-US"/>
    </w:rPr>
  </w:style>
  <w:style w:type="character" w:styleId="FollowedHyperlink">
    <w:name w:val="FollowedHyperlink"/>
    <w:basedOn w:val="DefaultParagraphFont"/>
    <w:uiPriority w:val="99"/>
    <w:semiHidden/>
    <w:unhideWhenUsed/>
    <w:rsid w:val="000E41A5"/>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eader" Target="header5.xml"/><Relationship Id="rId26" Type="http://schemas.openxmlformats.org/officeDocument/2006/relationships/header" Target="header6.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4.png"/><Relationship Id="rId34" Type="http://schemas.openxmlformats.org/officeDocument/2006/relationships/hyperlink" Target="https://undocs.org/fr/A/2018"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image" Target="media/image7.png"/><Relationship Id="rId33" Type="http://schemas.openxmlformats.org/officeDocument/2006/relationships/footer" Target="footer9.xml"/><Relationship Id="rId38" Type="http://schemas.openxmlformats.org/officeDocument/2006/relationships/footer" Target="footer11.xml"/><Relationship Id="rId2" Type="http://schemas.openxmlformats.org/officeDocument/2006/relationships/styles" Target="styles.xml"/><Relationship Id="rId16" Type="http://schemas.openxmlformats.org/officeDocument/2006/relationships/hyperlink" Target="https://undocs.org/fr/CEDAW/C/PRT/10" TargetMode="External"/><Relationship Id="rId20" Type="http://schemas.openxmlformats.org/officeDocument/2006/relationships/footer" Target="footer5.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cite.gov.pt/pt/acite/campanhas005.html" TargetMode="External"/><Relationship Id="rId32" Type="http://schemas.openxmlformats.org/officeDocument/2006/relationships/footer" Target="footer8.xml"/><Relationship Id="rId37" Type="http://schemas.openxmlformats.org/officeDocument/2006/relationships/footer" Target="footer10.xml"/><Relationship Id="rId40"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image" Target="media/image6.png"/><Relationship Id="rId28" Type="http://schemas.openxmlformats.org/officeDocument/2006/relationships/footer" Target="footer6.xml"/><Relationship Id="rId36" Type="http://schemas.openxmlformats.org/officeDocument/2006/relationships/header" Target="header11.xml"/><Relationship Id="rId10" Type="http://schemas.openxmlformats.org/officeDocument/2006/relationships/footer" Target="footer2.xml"/><Relationship Id="rId19" Type="http://schemas.openxmlformats.org/officeDocument/2006/relationships/footer" Target="footer4.xml"/><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image" Target="media/image5.png"/><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header" Target="header10.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fra.europa.eu/sites/default/files/fra_uploads/fra-2014-vaw-survey-main-results-apr14_en.pdf" TargetMode="External"/><Relationship Id="rId3" Type="http://schemas.openxmlformats.org/officeDocument/2006/relationships/hyperlink" Target="http://www.azores.gov.pt/Gra/Comiss%C3%A3o+Regional+para+a+Igualdade+no+Trabalho+e+no+Emprego+dos+A%C3%A7ores/menus/principal/o+que+fazemos/" TargetMode="External"/><Relationship Id="rId7" Type="http://schemas.openxmlformats.org/officeDocument/2006/relationships/hyperlink" Target="https://www.cig.gov.pt/2019/03/7-marco-dia-luto-nacional-pelas-vitimas-violencia-domestica/" TargetMode="External"/><Relationship Id="rId2" Type="http://schemas.openxmlformats.org/officeDocument/2006/relationships/hyperlink" Target="https://www.parlamento.pt/sites/COM/XIIILeg/1CACDLG/SIND/Apresentacao/Paginas/PlanosActividade.aspx" TargetMode="External"/><Relationship Id="rId1" Type="http://schemas.openxmlformats.org/officeDocument/2006/relationships/hyperlink" Target="https://www.cig.gov.pt/wp-content/uploads/2019/06/Relato%CC%81rio_Global_OIG.pdf" TargetMode="External"/><Relationship Id="rId6" Type="http://schemas.openxmlformats.org/officeDocument/2006/relationships/hyperlink" Target="https://www.cenjor.pt/" TargetMode="External"/><Relationship Id="rId11" Type="http://schemas.openxmlformats.org/officeDocument/2006/relationships/hyperlink" Target="https://www.unece.org/fileadmin/DAM/Gender/Beijing_20/Portugal.pdf" TargetMode="External"/><Relationship Id="rId5" Type="http://schemas.openxmlformats.org/officeDocument/2006/relationships/hyperlink" Target="https://hudoc.echr.coe.int/eng" TargetMode="External"/><Relationship Id="rId10" Type="http://schemas.openxmlformats.org/officeDocument/2006/relationships/hyperlink" Target="http://www.act.gov.pt/(en-US)/Paginas/default.aspx" TargetMode="External"/><Relationship Id="rId4" Type="http://schemas.openxmlformats.org/officeDocument/2006/relationships/hyperlink" Target="http://www.cej.mj.pt/cej/recursos/ebooks/outros/eb_JulgarGenero2018.pdf" TargetMode="External"/><Relationship Id="rId9" Type="http://schemas.openxmlformats.org/officeDocument/2006/relationships/hyperlink" Target="https://undocs.org/fr/CEDAW/C/PRT/CO/8-9/Add.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25770</Words>
  <Characters>146889</Characters>
  <Application>Microsoft Office Word</Application>
  <DocSecurity>0</DocSecurity>
  <Lines>1224</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Leroy</dc:creator>
  <cp:keywords/>
  <dc:description/>
  <cp:lastModifiedBy>Dominique Leroy</cp:lastModifiedBy>
  <cp:revision>3</cp:revision>
  <cp:lastPrinted>2020-11-18T21:50:00Z</cp:lastPrinted>
  <dcterms:created xsi:type="dcterms:W3CDTF">2020-11-18T21:50:00Z</dcterms:created>
  <dcterms:modified xsi:type="dcterms:W3CDTF">2020-11-18T21:50:00Z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2012105F</vt:lpwstr>
  </property>
  <property fmtid="{D5CDD505-2E9C-101B-9397-08002B2CF9AE}" pid="3" name="ODSRefJobNo">
    <vt:lpwstr>2024150F</vt:lpwstr>
  </property>
  <property fmtid="{D5CDD505-2E9C-101B-9397-08002B2CF9AE}" pid="4" name="Symbol1">
    <vt:lpwstr>CEDAW/C/PRT/10</vt:lpwstr>
  </property>
  <property fmtid="{D5CDD505-2E9C-101B-9397-08002B2CF9AE}" pid="5" name="Symbol2">
    <vt:lpwstr/>
  </property>
  <property fmtid="{D5CDD505-2E9C-101B-9397-08002B2CF9AE}" pid="6" name="Translator">
    <vt:lpwstr/>
  </property>
  <property fmtid="{D5CDD505-2E9C-101B-9397-08002B2CF9AE}" pid="7" name="Operator">
    <vt:lpwstr>dll</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Title1">
    <vt:lpwstr>		Dixième rapport périodique soumis par le Portugal en application de l’article 18 de la Convention, attendu en 2019</vt:lpwstr>
  </property>
</Properties>
</file>