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D383" w14:textId="77777777" w:rsidR="00AF21D6" w:rsidRPr="003A2E06" w:rsidRDefault="00AF21D6" w:rsidP="00AF21D6">
      <w:pPr>
        <w:spacing w:line="240" w:lineRule="auto"/>
        <w:rPr>
          <w:sz w:val="2"/>
        </w:rPr>
        <w:sectPr w:rsidR="00AF21D6" w:rsidRPr="003A2E06" w:rsidSect="009C07DF">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3A2E06">
        <w:rPr>
          <w:rStyle w:val="CommentReference"/>
        </w:rPr>
        <w:commentReference w:id="0"/>
      </w:r>
    </w:p>
    <w:p w14:paraId="6CA69484" w14:textId="30BC7101" w:rsidR="009C07DF" w:rsidRPr="003A2E06" w:rsidRDefault="009C07DF" w:rsidP="009C07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pPr>
      <w:r w:rsidRPr="003A2E06">
        <w:t>Comité pour l</w:t>
      </w:r>
      <w:r w:rsidRPr="003A2E06">
        <w:t>’</w:t>
      </w:r>
      <w:r w:rsidRPr="003A2E06">
        <w:t>élimination de la discrimination à l</w:t>
      </w:r>
      <w:r w:rsidRPr="003A2E06">
        <w:t>’</w:t>
      </w:r>
      <w:r w:rsidRPr="003A2E06">
        <w:t xml:space="preserve">égard des femmes </w:t>
      </w:r>
    </w:p>
    <w:p w14:paraId="4D9C814A" w14:textId="77777777" w:rsidR="009C07DF" w:rsidRPr="003A2E06" w:rsidRDefault="009C07DF" w:rsidP="009C07D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A2E06">
        <w:t>Groupe de travail de présession</w:t>
      </w:r>
    </w:p>
    <w:p w14:paraId="0818DF1C" w14:textId="77777777" w:rsidR="009C07DF" w:rsidRPr="003A2E06" w:rsidRDefault="009C07DF" w:rsidP="009C07DF">
      <w:pPr>
        <w:pStyle w:val="Session"/>
      </w:pPr>
      <w:r w:rsidRPr="003A2E06">
        <w:t>Quatre-vingt-quatrième session</w:t>
      </w:r>
    </w:p>
    <w:p w14:paraId="3D33E5E0" w14:textId="77777777" w:rsidR="009C07DF" w:rsidRPr="003A2E06" w:rsidRDefault="009C07DF" w:rsidP="009C07DF">
      <w:r w:rsidRPr="003A2E06">
        <w:t>4-8 juillet 2022</w:t>
      </w:r>
    </w:p>
    <w:p w14:paraId="0B069EC4" w14:textId="77777777" w:rsidR="009C07DF" w:rsidRPr="003A2E06" w:rsidRDefault="009C07DF" w:rsidP="009C07DF">
      <w:pPr>
        <w:pStyle w:val="SingleTxt"/>
        <w:spacing w:after="0" w:line="120" w:lineRule="exact"/>
        <w:rPr>
          <w:sz w:val="10"/>
        </w:rPr>
      </w:pPr>
    </w:p>
    <w:p w14:paraId="18057742" w14:textId="77777777" w:rsidR="009C07DF" w:rsidRPr="003A2E06" w:rsidRDefault="009C07DF" w:rsidP="009C07DF">
      <w:pPr>
        <w:pStyle w:val="SingleTxt"/>
        <w:spacing w:after="0" w:line="120" w:lineRule="exact"/>
        <w:rPr>
          <w:sz w:val="10"/>
        </w:rPr>
      </w:pPr>
    </w:p>
    <w:p w14:paraId="24BCDF58" w14:textId="77777777" w:rsidR="009C07DF" w:rsidRPr="003A2E06" w:rsidRDefault="009C07DF" w:rsidP="009C07DF">
      <w:pPr>
        <w:pStyle w:val="SingleTxt"/>
        <w:spacing w:after="0" w:line="120" w:lineRule="exact"/>
        <w:rPr>
          <w:sz w:val="10"/>
        </w:rPr>
      </w:pPr>
    </w:p>
    <w:p w14:paraId="7CD0E791" w14:textId="6FF57F6A" w:rsidR="009C07DF" w:rsidRPr="003A2E06" w:rsidRDefault="009C07DF" w:rsidP="009C07DF">
      <w:pPr>
        <w:pStyle w:val="TitleHCH"/>
        <w:ind w:right="1260"/>
      </w:pPr>
      <w:r w:rsidRPr="003A2E06">
        <w:tab/>
      </w:r>
      <w:r w:rsidRPr="003A2E06">
        <w:tab/>
        <w:t>Examen des rapports soumis par les États parties</w:t>
      </w:r>
      <w:r w:rsidRPr="003A2E06">
        <w:t xml:space="preserve"> </w:t>
      </w:r>
      <w:r w:rsidRPr="003A2E06">
        <w:t>en application de l</w:t>
      </w:r>
      <w:r w:rsidRPr="003A2E06">
        <w:t>’</w:t>
      </w:r>
      <w:r w:rsidRPr="003A2E06">
        <w:t>article 18 de la Convention sur l</w:t>
      </w:r>
      <w:r w:rsidRPr="003A2E06">
        <w:t>’</w:t>
      </w:r>
      <w:r w:rsidRPr="003A2E06">
        <w:t>élimination de toutes les formes de discrimination</w:t>
      </w:r>
      <w:r w:rsidRPr="003A2E06">
        <w:t xml:space="preserve"> </w:t>
      </w:r>
      <w:r w:rsidRPr="003A2E06">
        <w:t> à l</w:t>
      </w:r>
      <w:r w:rsidRPr="003A2E06">
        <w:t>’</w:t>
      </w:r>
      <w:r w:rsidRPr="003A2E06">
        <w:t xml:space="preserve">égard des femmes </w:t>
      </w:r>
    </w:p>
    <w:p w14:paraId="75509325" w14:textId="77777777" w:rsidR="009C07DF" w:rsidRPr="003A2E06" w:rsidRDefault="009C07DF" w:rsidP="009C07DF">
      <w:pPr>
        <w:pStyle w:val="SingleTxt"/>
        <w:spacing w:after="0" w:line="120" w:lineRule="exact"/>
        <w:rPr>
          <w:sz w:val="10"/>
        </w:rPr>
      </w:pPr>
    </w:p>
    <w:p w14:paraId="2F29DAD1" w14:textId="77777777" w:rsidR="009C07DF" w:rsidRPr="003A2E06" w:rsidRDefault="009C07DF" w:rsidP="009C07DF">
      <w:pPr>
        <w:pStyle w:val="SingleTxt"/>
        <w:spacing w:after="0" w:line="120" w:lineRule="exact"/>
        <w:rPr>
          <w:sz w:val="10"/>
        </w:rPr>
      </w:pPr>
    </w:p>
    <w:p w14:paraId="73BC5ED0" w14:textId="77777777" w:rsidR="009C07DF" w:rsidRPr="003A2E06" w:rsidRDefault="009C07DF" w:rsidP="009C07DF">
      <w:pPr>
        <w:pStyle w:val="TitleH1"/>
        <w:ind w:right="1260"/>
      </w:pPr>
      <w:r w:rsidRPr="003A2E06">
        <w:tab/>
      </w:r>
      <w:r w:rsidRPr="003A2E06">
        <w:tab/>
        <w:t>Rapport du groupe de travail de présession</w:t>
      </w:r>
    </w:p>
    <w:p w14:paraId="1C8E3811" w14:textId="77777777" w:rsidR="009C07DF" w:rsidRPr="003A2E06" w:rsidRDefault="009C07DF" w:rsidP="009C07DF">
      <w:pPr>
        <w:pStyle w:val="SingleTxt"/>
        <w:spacing w:after="0" w:line="120" w:lineRule="exact"/>
        <w:rPr>
          <w:sz w:val="10"/>
        </w:rPr>
      </w:pPr>
    </w:p>
    <w:p w14:paraId="1709AA3D" w14:textId="77777777" w:rsidR="009C07DF" w:rsidRPr="003A2E06" w:rsidRDefault="009C07DF" w:rsidP="009C07DF">
      <w:pPr>
        <w:pStyle w:val="SingleTxt"/>
        <w:spacing w:after="0" w:line="120" w:lineRule="exact"/>
        <w:rPr>
          <w:sz w:val="10"/>
        </w:rPr>
      </w:pPr>
    </w:p>
    <w:p w14:paraId="68D49344" w14:textId="394EDF65" w:rsidR="009C07DF" w:rsidRPr="003A2E06" w:rsidRDefault="009C07DF" w:rsidP="005B3960">
      <w:pPr>
        <w:pStyle w:val="SingleTxt"/>
        <w:numPr>
          <w:ilvl w:val="0"/>
          <w:numId w:val="29"/>
        </w:numPr>
        <w:ind w:left="1267"/>
        <w:rPr>
          <w:szCs w:val="20"/>
        </w:rPr>
      </w:pPr>
      <w:r w:rsidRPr="003A2E06">
        <w:rPr>
          <w:szCs w:val="20"/>
        </w:rPr>
        <w:t>Le Comité pour l</w:t>
      </w:r>
      <w:r w:rsidRPr="003A2E06">
        <w:rPr>
          <w:szCs w:val="20"/>
        </w:rPr>
        <w:t>’</w:t>
      </w:r>
      <w:r w:rsidRPr="003A2E06">
        <w:rPr>
          <w:szCs w:val="20"/>
        </w:rPr>
        <w:t>élimination de la discrimination à l</w:t>
      </w:r>
      <w:r w:rsidRPr="003A2E06">
        <w:rPr>
          <w:szCs w:val="20"/>
        </w:rPr>
        <w:t>’</w:t>
      </w:r>
      <w:r w:rsidRPr="003A2E06">
        <w:rPr>
          <w:szCs w:val="20"/>
        </w:rPr>
        <w:t>égard des femmes a pour usage de réunir pour cinq jours un groupe de travail de présession chargé d</w:t>
      </w:r>
      <w:r w:rsidRPr="003A2E06">
        <w:rPr>
          <w:szCs w:val="20"/>
        </w:rPr>
        <w:t>’</w:t>
      </w:r>
      <w:r w:rsidRPr="003A2E06">
        <w:rPr>
          <w:szCs w:val="20"/>
        </w:rPr>
        <w:t>établir des listes de points et de questions concernant les rapports périodiques qu</w:t>
      </w:r>
      <w:r w:rsidRPr="003A2E06">
        <w:rPr>
          <w:szCs w:val="20"/>
        </w:rPr>
        <w:t>’</w:t>
      </w:r>
      <w:r w:rsidRPr="003A2E06">
        <w:rPr>
          <w:szCs w:val="20"/>
        </w:rPr>
        <w:t>il examinera à l</w:t>
      </w:r>
      <w:r w:rsidRPr="003A2E06">
        <w:rPr>
          <w:szCs w:val="20"/>
        </w:rPr>
        <w:t>’</w:t>
      </w:r>
      <w:r w:rsidRPr="003A2E06">
        <w:rPr>
          <w:szCs w:val="20"/>
        </w:rPr>
        <w:t>une de ses sessions futures.</w:t>
      </w:r>
    </w:p>
    <w:p w14:paraId="3E227EE1" w14:textId="77777777" w:rsidR="009C07DF" w:rsidRPr="003A2E06" w:rsidRDefault="009C07DF" w:rsidP="005B3960">
      <w:pPr>
        <w:pStyle w:val="SingleTxt"/>
        <w:numPr>
          <w:ilvl w:val="0"/>
          <w:numId w:val="29"/>
        </w:numPr>
        <w:ind w:left="1267"/>
        <w:rPr>
          <w:szCs w:val="20"/>
        </w:rPr>
      </w:pPr>
      <w:r w:rsidRPr="003A2E06">
        <w:rPr>
          <w:szCs w:val="20"/>
        </w:rPr>
        <w:t>Le Comité a décidé que, pour sa quatre-vingt-quatrième session, le groupe de travail de présession se réunirait du 4 au 8 juillet 2022, immédiatement après sa quatre-vingt-deuxième session, afin que les États parties disposent de suffisamment de temps pour soumettre par écrit leurs réponses aux listes de points et de questions et que ces réponses puissent être traduites en temps utile.</w:t>
      </w:r>
    </w:p>
    <w:p w14:paraId="4C6A5C26" w14:textId="77777777" w:rsidR="009C07DF" w:rsidRPr="003A2E06" w:rsidRDefault="009C07DF" w:rsidP="005B3960">
      <w:pPr>
        <w:pStyle w:val="SingleTxt"/>
        <w:numPr>
          <w:ilvl w:val="0"/>
          <w:numId w:val="29"/>
        </w:numPr>
        <w:ind w:left="1267"/>
        <w:rPr>
          <w:szCs w:val="20"/>
        </w:rPr>
      </w:pPr>
      <w:r w:rsidRPr="003A2E06">
        <w:rPr>
          <w:szCs w:val="20"/>
        </w:rPr>
        <w:t>Les expertes ci-après ont été nommées membres du groupe de travail de présession et ont participé au débat :</w:t>
      </w:r>
    </w:p>
    <w:p w14:paraId="5A2ECF68" w14:textId="77777777" w:rsidR="009C07DF" w:rsidRPr="003A2E06" w:rsidRDefault="009C07DF" w:rsidP="005B3960">
      <w:pPr>
        <w:pStyle w:val="SingleTxt"/>
        <w:spacing w:after="0"/>
        <w:ind w:left="1742"/>
        <w:rPr>
          <w:szCs w:val="20"/>
        </w:rPr>
      </w:pPr>
      <w:r w:rsidRPr="003A2E06">
        <w:rPr>
          <w:szCs w:val="20"/>
        </w:rPr>
        <w:t>Rosario G. Manalo</w:t>
      </w:r>
    </w:p>
    <w:p w14:paraId="50D7ADDC" w14:textId="77777777" w:rsidR="009C07DF" w:rsidRPr="003A2E06" w:rsidRDefault="009C07DF" w:rsidP="005B3960">
      <w:pPr>
        <w:pStyle w:val="SingleTxt"/>
        <w:spacing w:after="0"/>
        <w:ind w:left="1742"/>
        <w:rPr>
          <w:szCs w:val="20"/>
        </w:rPr>
      </w:pPr>
      <w:r w:rsidRPr="003A2E06">
        <w:rPr>
          <w:szCs w:val="20"/>
        </w:rPr>
        <w:t>Lia Nadaraia</w:t>
      </w:r>
    </w:p>
    <w:p w14:paraId="7D35AC08" w14:textId="77777777" w:rsidR="009C07DF" w:rsidRPr="003A2E06" w:rsidRDefault="009C07DF" w:rsidP="005B3960">
      <w:pPr>
        <w:pStyle w:val="SingleTxt"/>
        <w:spacing w:after="0"/>
        <w:ind w:left="1742"/>
        <w:rPr>
          <w:szCs w:val="20"/>
        </w:rPr>
      </w:pPr>
      <w:r w:rsidRPr="003A2E06">
        <w:rPr>
          <w:szCs w:val="20"/>
        </w:rPr>
        <w:t>Ana Peláez Narváez</w:t>
      </w:r>
    </w:p>
    <w:p w14:paraId="0F15AA51" w14:textId="77777777" w:rsidR="009C07DF" w:rsidRPr="003A2E06" w:rsidRDefault="009C07DF" w:rsidP="005B3960">
      <w:pPr>
        <w:pStyle w:val="SingleTxt"/>
        <w:spacing w:after="0"/>
        <w:ind w:left="1742"/>
        <w:rPr>
          <w:szCs w:val="20"/>
        </w:rPr>
      </w:pPr>
      <w:r w:rsidRPr="003A2E06">
        <w:rPr>
          <w:szCs w:val="20"/>
        </w:rPr>
        <w:t>Rhoda Reddock</w:t>
      </w:r>
    </w:p>
    <w:p w14:paraId="4D339F32" w14:textId="77777777" w:rsidR="009C07DF" w:rsidRPr="003A2E06" w:rsidRDefault="009C07DF" w:rsidP="005B3960">
      <w:pPr>
        <w:pStyle w:val="SingleTxt"/>
        <w:ind w:left="1742"/>
        <w:rPr>
          <w:szCs w:val="20"/>
        </w:rPr>
      </w:pPr>
      <w:r w:rsidRPr="003A2E06">
        <w:rPr>
          <w:szCs w:val="20"/>
        </w:rPr>
        <w:t>Franceline Toé-Bouda</w:t>
      </w:r>
    </w:p>
    <w:p w14:paraId="506F1CBA" w14:textId="77777777" w:rsidR="009C07DF" w:rsidRPr="003A2E06" w:rsidRDefault="009C07DF" w:rsidP="005B3960">
      <w:pPr>
        <w:pStyle w:val="SingleTxt"/>
        <w:numPr>
          <w:ilvl w:val="0"/>
          <w:numId w:val="29"/>
        </w:numPr>
        <w:ind w:left="1267"/>
        <w:rPr>
          <w:szCs w:val="20"/>
        </w:rPr>
      </w:pPr>
      <w:r w:rsidRPr="003A2E06">
        <w:rPr>
          <w:szCs w:val="20"/>
        </w:rPr>
        <w:t>Le groupe de travail de présession a élu M</w:t>
      </w:r>
      <w:r w:rsidRPr="003A2E06">
        <w:rPr>
          <w:szCs w:val="20"/>
          <w:vertAlign w:val="superscript"/>
        </w:rPr>
        <w:t>me</w:t>
      </w:r>
      <w:r w:rsidRPr="003A2E06">
        <w:rPr>
          <w:szCs w:val="20"/>
        </w:rPr>
        <w:t xml:space="preserve"> Toé-Bouda Présidente.</w:t>
      </w:r>
    </w:p>
    <w:p w14:paraId="51ADE40F" w14:textId="334DB55C" w:rsidR="009C07DF" w:rsidRPr="003A2E06" w:rsidRDefault="009C07DF" w:rsidP="005B3960">
      <w:pPr>
        <w:pStyle w:val="SingleTxt"/>
        <w:numPr>
          <w:ilvl w:val="0"/>
          <w:numId w:val="29"/>
        </w:numPr>
        <w:ind w:left="1267"/>
        <w:rPr>
          <w:szCs w:val="20"/>
        </w:rPr>
      </w:pPr>
      <w:r w:rsidRPr="003A2E06">
        <w:rPr>
          <w:szCs w:val="20"/>
        </w:rPr>
        <w:t>Le groupe de travail de présession a établi des listes de points et de questions concernant les rapports de</w:t>
      </w:r>
      <w:r w:rsidRPr="003A2E06">
        <w:rPr>
          <w:szCs w:val="20"/>
        </w:rPr>
        <w:t xml:space="preserve"> </w:t>
      </w:r>
      <w:r w:rsidRPr="003A2E06">
        <w:rPr>
          <w:szCs w:val="20"/>
          <w:shd w:val="clear" w:color="auto" w:fill="FFFFFF"/>
        </w:rPr>
        <w:t>l</w:t>
      </w:r>
      <w:r w:rsidRPr="003A2E06">
        <w:rPr>
          <w:szCs w:val="20"/>
          <w:shd w:val="clear" w:color="auto" w:fill="FFFFFF"/>
        </w:rPr>
        <w:t>’</w:t>
      </w:r>
      <w:r w:rsidRPr="003A2E06">
        <w:rPr>
          <w:szCs w:val="20"/>
          <w:shd w:val="clear" w:color="auto" w:fill="FFFFFF"/>
        </w:rPr>
        <w:t>Islande, du Monténégro, des Philippines, de la République centrafricaine, du Rwanda et du Venezuela (République bolivarienne du)</w:t>
      </w:r>
      <w:r w:rsidRPr="003A2E06">
        <w:rPr>
          <w:szCs w:val="20"/>
        </w:rPr>
        <w:t>, ainsi que des listes de points et de questions à traiter avant la soumission des rapports de Monaco et de la Nouvelle-Zélande, qui seront présentés selon la procédure simplifiée. Il s</w:t>
      </w:r>
      <w:r w:rsidRPr="003A2E06">
        <w:rPr>
          <w:szCs w:val="20"/>
        </w:rPr>
        <w:t>’</w:t>
      </w:r>
      <w:r w:rsidRPr="003A2E06">
        <w:rPr>
          <w:szCs w:val="20"/>
        </w:rPr>
        <w:t xml:space="preserve">est appuyé sur les décisions 49/IX, 59/IV et 64/II, dans lesquelles le </w:t>
      </w:r>
      <w:r w:rsidRPr="003A2E06">
        <w:rPr>
          <w:szCs w:val="20"/>
        </w:rPr>
        <w:lastRenderedPageBreak/>
        <w:t>Comité a décidé de limiter les listes de points et de questions à 20 paragraphes et les listes de points et de questions à traiter établies avant la soumission des rapports à 25</w:t>
      </w:r>
      <w:r w:rsidRPr="003A2E06">
        <w:rPr>
          <w:szCs w:val="20"/>
        </w:rPr>
        <w:t> </w:t>
      </w:r>
      <w:r w:rsidRPr="003A2E06">
        <w:rPr>
          <w:szCs w:val="20"/>
        </w:rPr>
        <w:t>paragraphes. Cela étant, en pratique, certaines listes de points et de questions contiennent exceptionnellement jusqu</w:t>
      </w:r>
      <w:r w:rsidRPr="003A2E06">
        <w:rPr>
          <w:szCs w:val="20"/>
        </w:rPr>
        <w:t>’</w:t>
      </w:r>
      <w:r w:rsidRPr="003A2E06">
        <w:rPr>
          <w:szCs w:val="20"/>
        </w:rPr>
        <w:t>à 23 paragraphes.</w:t>
      </w:r>
    </w:p>
    <w:p w14:paraId="17130126" w14:textId="0A2ED2F0" w:rsidR="009C07DF" w:rsidRPr="003A2E06" w:rsidRDefault="009C07DF" w:rsidP="005B3960">
      <w:pPr>
        <w:pStyle w:val="SingleTxt"/>
        <w:numPr>
          <w:ilvl w:val="0"/>
          <w:numId w:val="29"/>
        </w:numPr>
        <w:ind w:left="1267"/>
        <w:rPr>
          <w:szCs w:val="20"/>
        </w:rPr>
      </w:pPr>
      <w:r w:rsidRPr="003A2E06">
        <w:rPr>
          <w:szCs w:val="20"/>
        </w:rPr>
        <w:t>Pour établir les listes de points et de questions, le groupe de travail de présession disposait des versions électroniques des documents de base des États parties énumérés ci-dessus. Il disposait également des rapports de ces États parties, à l</w:t>
      </w:r>
      <w:r w:rsidRPr="003A2E06">
        <w:rPr>
          <w:szCs w:val="20"/>
        </w:rPr>
        <w:t>’</w:t>
      </w:r>
      <w:r w:rsidRPr="003A2E06">
        <w:rPr>
          <w:szCs w:val="20"/>
        </w:rPr>
        <w:t>exception de Monaco et de la Nouvelle-Zélande (qui soumettront leur rapport périodique en réponse à la liste préalable de points à traiter et de questions). Il a en outre été saisi des recommandations générales adoptées par le Comité, des projets de listes de points et de questions et de liste préalable de points et de questions à traiter établis par le secrétariat, et d</w:t>
      </w:r>
      <w:r w:rsidRPr="003A2E06">
        <w:rPr>
          <w:szCs w:val="20"/>
        </w:rPr>
        <w:t>’</w:t>
      </w:r>
      <w:r w:rsidRPr="003A2E06">
        <w:rPr>
          <w:szCs w:val="20"/>
        </w:rPr>
        <w:t>autres informations, y compris les observations finales du Comité et d</w:t>
      </w:r>
      <w:r w:rsidRPr="003A2E06">
        <w:rPr>
          <w:szCs w:val="20"/>
        </w:rPr>
        <w:t>’</w:t>
      </w:r>
      <w:r w:rsidRPr="003A2E06">
        <w:rPr>
          <w:szCs w:val="20"/>
        </w:rPr>
        <w:t>autres organes conventionnels, le cas échéant. En établissant ces listes, il a, par ailleurs, prêté une attention particulière à la suite donnée par les États parties aux observations finales formulées par le Comité au sujet de leurs rapports précédents.</w:t>
      </w:r>
    </w:p>
    <w:p w14:paraId="4F1FBF48" w14:textId="1D3B87F4" w:rsidR="009C07DF" w:rsidRPr="003A2E06" w:rsidRDefault="009C07DF" w:rsidP="005B3960">
      <w:pPr>
        <w:pStyle w:val="SingleTxt"/>
        <w:numPr>
          <w:ilvl w:val="0"/>
          <w:numId w:val="29"/>
        </w:numPr>
        <w:ind w:left="1267"/>
        <w:rPr>
          <w:szCs w:val="20"/>
        </w:rPr>
      </w:pPr>
      <w:r w:rsidRPr="003A2E06">
        <w:rPr>
          <w:szCs w:val="20"/>
        </w:rPr>
        <w:t>Pour les États parties énumérés ci-dessus, le groupe de travail de présession s</w:t>
      </w:r>
      <w:r w:rsidRPr="003A2E06">
        <w:rPr>
          <w:szCs w:val="20"/>
        </w:rPr>
        <w:t>’</w:t>
      </w:r>
      <w:r w:rsidRPr="003A2E06">
        <w:rPr>
          <w:szCs w:val="20"/>
        </w:rPr>
        <w:t>est appuyé sur des informations communiquées par écrit et oralement par des entités des Nations Unies et des organisations non gouvernementales, ainsi que par des institutions nationales pour la promotion et la protection des droits humains et d</w:t>
      </w:r>
      <w:r w:rsidRPr="003A2E06">
        <w:rPr>
          <w:szCs w:val="20"/>
        </w:rPr>
        <w:t>’</w:t>
      </w:r>
      <w:r w:rsidRPr="003A2E06">
        <w:rPr>
          <w:szCs w:val="20"/>
        </w:rPr>
        <w:t>autres organes nationaux ayant mandat dans le domaine des droits des femmes et de l</w:t>
      </w:r>
      <w:r w:rsidRPr="003A2E06">
        <w:rPr>
          <w:szCs w:val="20"/>
        </w:rPr>
        <w:t>’</w:t>
      </w:r>
      <w:r w:rsidRPr="003A2E06">
        <w:rPr>
          <w:szCs w:val="20"/>
        </w:rPr>
        <w:t>égalité des genres.</w:t>
      </w:r>
    </w:p>
    <w:p w14:paraId="0FFA1B01" w14:textId="5C517BD3" w:rsidR="009C07DF" w:rsidRPr="003A2E06" w:rsidRDefault="009C07DF" w:rsidP="005B3960">
      <w:pPr>
        <w:pStyle w:val="SingleTxt"/>
        <w:numPr>
          <w:ilvl w:val="0"/>
          <w:numId w:val="29"/>
        </w:numPr>
        <w:ind w:left="1267"/>
        <w:rPr>
          <w:szCs w:val="20"/>
        </w:rPr>
      </w:pPr>
      <w:r w:rsidRPr="003A2E06">
        <w:rPr>
          <w:szCs w:val="20"/>
        </w:rPr>
        <w:t>Les listes de points et de questions et les listes préalables de points à traiter et de questions adoptées par le groupe de travail de présession ont été communiquées aux États parties concernés dans les documents suivants :</w:t>
      </w:r>
    </w:p>
    <w:p w14:paraId="2D153300" w14:textId="7E3FB420" w:rsidR="005B3960" w:rsidRPr="005B3960" w:rsidRDefault="005B3960" w:rsidP="005B3960">
      <w:pPr>
        <w:pStyle w:val="SingleTxt"/>
        <w:rPr>
          <w:szCs w:val="20"/>
        </w:rPr>
      </w:pPr>
      <w:r w:rsidRPr="005B3960">
        <w:rPr>
          <w:szCs w:val="20"/>
        </w:rPr>
        <w:tab/>
        <w:t>a)</w:t>
      </w:r>
      <w:r w:rsidRPr="005B3960">
        <w:rPr>
          <w:szCs w:val="20"/>
        </w:rPr>
        <w:tab/>
        <w:t>Liste de points et de questions concernant le sixième rapport périodique de la République centrafricaine (</w:t>
      </w:r>
      <w:hyperlink r:id="rId17" w:history="1">
        <w:r w:rsidRPr="005B3960">
          <w:rPr>
            <w:rStyle w:val="Hyperlink"/>
            <w:szCs w:val="20"/>
          </w:rPr>
          <w:t>CEDAW/C/CAF/Q/6</w:t>
        </w:r>
      </w:hyperlink>
      <w:r w:rsidRPr="005B3960">
        <w:rPr>
          <w:szCs w:val="20"/>
        </w:rPr>
        <w:t>)</w:t>
      </w:r>
      <w:r w:rsidRPr="003A2E06">
        <w:rPr>
          <w:szCs w:val="20"/>
        </w:rPr>
        <w:t> ;</w:t>
      </w:r>
    </w:p>
    <w:p w14:paraId="21524EA2" w14:textId="05C80B22" w:rsidR="005B3960" w:rsidRPr="005B3960" w:rsidRDefault="005B3960" w:rsidP="005B3960">
      <w:pPr>
        <w:pStyle w:val="SingleTxt"/>
        <w:rPr>
          <w:szCs w:val="20"/>
        </w:rPr>
      </w:pPr>
      <w:r w:rsidRPr="005B3960">
        <w:rPr>
          <w:szCs w:val="20"/>
        </w:rPr>
        <w:tab/>
        <w:t>b)</w:t>
      </w:r>
      <w:r w:rsidRPr="005B3960">
        <w:rPr>
          <w:szCs w:val="20"/>
        </w:rPr>
        <w:tab/>
        <w:t>Liste de points et de questions concernant le neuvième rapport périodique de l’Islande (</w:t>
      </w:r>
      <w:hyperlink r:id="rId18" w:history="1">
        <w:r w:rsidRPr="005B3960">
          <w:rPr>
            <w:rStyle w:val="Hyperlink"/>
            <w:szCs w:val="20"/>
          </w:rPr>
          <w:t>CEDAW/C/ISL/Q/9</w:t>
        </w:r>
      </w:hyperlink>
      <w:r w:rsidRPr="005B3960">
        <w:rPr>
          <w:szCs w:val="20"/>
        </w:rPr>
        <w:t>)</w:t>
      </w:r>
      <w:r w:rsidRPr="003A2E06">
        <w:rPr>
          <w:szCs w:val="20"/>
        </w:rPr>
        <w:t> ;</w:t>
      </w:r>
    </w:p>
    <w:p w14:paraId="6D9F6933" w14:textId="034E4031" w:rsidR="005B3960" w:rsidRPr="005B3960" w:rsidRDefault="005B3960" w:rsidP="005B3960">
      <w:pPr>
        <w:pStyle w:val="SingleTxt"/>
        <w:rPr>
          <w:szCs w:val="20"/>
        </w:rPr>
      </w:pPr>
      <w:r w:rsidRPr="005B3960">
        <w:rPr>
          <w:szCs w:val="20"/>
        </w:rPr>
        <w:tab/>
        <w:t>c)</w:t>
      </w:r>
      <w:r w:rsidRPr="005B3960">
        <w:rPr>
          <w:szCs w:val="20"/>
        </w:rPr>
        <w:tab/>
        <w:t>Liste de points et de questions concernant le troisième rapport périodique du Monténégro (</w:t>
      </w:r>
      <w:hyperlink r:id="rId19" w:history="1">
        <w:r w:rsidRPr="005B3960">
          <w:rPr>
            <w:rStyle w:val="Hyperlink"/>
            <w:szCs w:val="20"/>
          </w:rPr>
          <w:t>CEDAW/C/MNE/Q/3</w:t>
        </w:r>
      </w:hyperlink>
      <w:r w:rsidRPr="005B3960">
        <w:rPr>
          <w:szCs w:val="20"/>
        </w:rPr>
        <w:t>)</w:t>
      </w:r>
      <w:r w:rsidRPr="003A2E06">
        <w:rPr>
          <w:szCs w:val="20"/>
        </w:rPr>
        <w:t> ;</w:t>
      </w:r>
    </w:p>
    <w:p w14:paraId="1793CD41" w14:textId="28069DE3" w:rsidR="005B3960" w:rsidRPr="005B3960" w:rsidRDefault="005B3960" w:rsidP="005B3960">
      <w:pPr>
        <w:pStyle w:val="SingleTxt"/>
        <w:rPr>
          <w:szCs w:val="20"/>
        </w:rPr>
      </w:pPr>
      <w:r w:rsidRPr="005B3960">
        <w:rPr>
          <w:szCs w:val="20"/>
        </w:rPr>
        <w:tab/>
        <w:t>d)</w:t>
      </w:r>
      <w:r w:rsidRPr="005B3960">
        <w:rPr>
          <w:szCs w:val="20"/>
        </w:rPr>
        <w:tab/>
        <w:t>Liste de points et de questions concernant le neuvième rapport périodique des Philippines (</w:t>
      </w:r>
      <w:hyperlink r:id="rId20" w:history="1">
        <w:r w:rsidRPr="005B3960">
          <w:rPr>
            <w:rStyle w:val="Hyperlink"/>
            <w:szCs w:val="20"/>
          </w:rPr>
          <w:t>CEDAW/C/PHL/Q/9</w:t>
        </w:r>
      </w:hyperlink>
      <w:r w:rsidRPr="005B3960">
        <w:rPr>
          <w:szCs w:val="20"/>
        </w:rPr>
        <w:t>)</w:t>
      </w:r>
      <w:r w:rsidRPr="003A2E06">
        <w:rPr>
          <w:szCs w:val="20"/>
        </w:rPr>
        <w:t> ;</w:t>
      </w:r>
    </w:p>
    <w:p w14:paraId="1C35F6AE" w14:textId="5EA6D59D" w:rsidR="005B3960" w:rsidRPr="005B3960" w:rsidRDefault="005B3960" w:rsidP="005B3960">
      <w:pPr>
        <w:pStyle w:val="SingleTxt"/>
        <w:rPr>
          <w:szCs w:val="20"/>
        </w:rPr>
      </w:pPr>
      <w:r w:rsidRPr="005B3960">
        <w:rPr>
          <w:szCs w:val="20"/>
        </w:rPr>
        <w:tab/>
        <w:t>e)</w:t>
      </w:r>
      <w:r w:rsidRPr="005B3960">
        <w:rPr>
          <w:szCs w:val="20"/>
        </w:rPr>
        <w:tab/>
        <w:t>Liste de points et de questions concernant le dixième rapport périodique du Rwanda (</w:t>
      </w:r>
      <w:hyperlink r:id="rId21" w:history="1">
        <w:r w:rsidRPr="005B3960">
          <w:rPr>
            <w:rStyle w:val="Hyperlink"/>
            <w:szCs w:val="20"/>
          </w:rPr>
          <w:t>CEDAW/C/RWA/Q/10</w:t>
        </w:r>
      </w:hyperlink>
      <w:r w:rsidRPr="005B3960">
        <w:rPr>
          <w:szCs w:val="20"/>
        </w:rPr>
        <w:t>)</w:t>
      </w:r>
      <w:r w:rsidRPr="003A2E06">
        <w:rPr>
          <w:szCs w:val="20"/>
        </w:rPr>
        <w:t> ;</w:t>
      </w:r>
    </w:p>
    <w:p w14:paraId="5D45304D" w14:textId="49055074" w:rsidR="005B3960" w:rsidRPr="005B3960" w:rsidRDefault="005B3960" w:rsidP="005B3960">
      <w:pPr>
        <w:pStyle w:val="SingleTxt"/>
        <w:rPr>
          <w:szCs w:val="20"/>
        </w:rPr>
      </w:pPr>
      <w:r w:rsidRPr="005B3960">
        <w:rPr>
          <w:szCs w:val="20"/>
        </w:rPr>
        <w:tab/>
        <w:t>f)</w:t>
      </w:r>
      <w:r w:rsidRPr="005B3960">
        <w:rPr>
          <w:szCs w:val="20"/>
        </w:rPr>
        <w:tab/>
        <w:t>Liste de points et de questions concernant le neuvième rapport périodique de la République bolivarienne du Venezuela (</w:t>
      </w:r>
      <w:hyperlink r:id="rId22" w:history="1">
        <w:r w:rsidRPr="005B3960">
          <w:rPr>
            <w:rStyle w:val="Hyperlink"/>
            <w:szCs w:val="20"/>
          </w:rPr>
          <w:t>CEDAW/C/VEN/Q/9</w:t>
        </w:r>
      </w:hyperlink>
      <w:r w:rsidRPr="005B3960">
        <w:rPr>
          <w:szCs w:val="20"/>
        </w:rPr>
        <w:t>)</w:t>
      </w:r>
      <w:r w:rsidRPr="003A2E06">
        <w:rPr>
          <w:szCs w:val="20"/>
        </w:rPr>
        <w:t> ;</w:t>
      </w:r>
    </w:p>
    <w:p w14:paraId="425AD190" w14:textId="65CC4F97" w:rsidR="005B3960" w:rsidRPr="005B3960" w:rsidRDefault="005B3960" w:rsidP="005B3960">
      <w:pPr>
        <w:pStyle w:val="SingleTxt"/>
        <w:rPr>
          <w:szCs w:val="20"/>
        </w:rPr>
      </w:pPr>
      <w:r w:rsidRPr="005B3960">
        <w:rPr>
          <w:szCs w:val="20"/>
        </w:rPr>
        <w:tab/>
        <w:t>g)</w:t>
      </w:r>
      <w:r w:rsidRPr="005B3960">
        <w:rPr>
          <w:szCs w:val="20"/>
        </w:rPr>
        <w:tab/>
        <w:t>Liste de points et de questions établie avant la soumission du quatrième rapport périodique de Monaco (</w:t>
      </w:r>
      <w:hyperlink r:id="rId23" w:history="1">
        <w:r w:rsidRPr="005B3960">
          <w:rPr>
            <w:rStyle w:val="Hyperlink"/>
            <w:szCs w:val="20"/>
          </w:rPr>
          <w:t>CEDAW/C/MCO/QPR/4</w:t>
        </w:r>
      </w:hyperlink>
      <w:r w:rsidRPr="005B3960">
        <w:rPr>
          <w:szCs w:val="20"/>
        </w:rPr>
        <w:t>)</w:t>
      </w:r>
      <w:r w:rsidRPr="003A2E06">
        <w:rPr>
          <w:szCs w:val="20"/>
        </w:rPr>
        <w:t> ;</w:t>
      </w:r>
    </w:p>
    <w:p w14:paraId="3126681E" w14:textId="2B97B162" w:rsidR="005B3960" w:rsidRPr="005B3960" w:rsidRDefault="005B3960" w:rsidP="005B3960">
      <w:pPr>
        <w:pStyle w:val="SingleTxt"/>
        <w:rPr>
          <w:szCs w:val="20"/>
        </w:rPr>
      </w:pPr>
      <w:r w:rsidRPr="005B3960">
        <w:rPr>
          <w:szCs w:val="20"/>
        </w:rPr>
        <w:tab/>
        <w:t>h)</w:t>
      </w:r>
      <w:r w:rsidRPr="005B3960">
        <w:rPr>
          <w:szCs w:val="20"/>
        </w:rPr>
        <w:tab/>
        <w:t>Liste de points et de questions établie avant la soumission du neuvième rapport périodique de la Nouvelle-Zélande (</w:t>
      </w:r>
      <w:hyperlink r:id="rId24" w:history="1">
        <w:r w:rsidRPr="005B3960">
          <w:rPr>
            <w:rStyle w:val="Hyperlink"/>
            <w:szCs w:val="20"/>
          </w:rPr>
          <w:t>CEDAW/C/NZL/QPR/9</w:t>
        </w:r>
      </w:hyperlink>
      <w:r w:rsidRPr="005B3960">
        <w:rPr>
          <w:szCs w:val="20"/>
        </w:rPr>
        <w:t>).</w:t>
      </w:r>
    </w:p>
    <w:p w14:paraId="2C1ABA67" w14:textId="5166EF24" w:rsidR="009C07DF" w:rsidRPr="003A2E06" w:rsidRDefault="009C07DF" w:rsidP="005B3960">
      <w:pPr>
        <w:pStyle w:val="SingleTxt"/>
        <w:numPr>
          <w:ilvl w:val="0"/>
          <w:numId w:val="29"/>
        </w:numPr>
        <w:ind w:left="1267"/>
        <w:rPr>
          <w:szCs w:val="20"/>
        </w:rPr>
      </w:pPr>
      <w:r w:rsidRPr="003A2E06">
        <w:rPr>
          <w:szCs w:val="20"/>
        </w:rPr>
        <w:t>Conformément aux décisions 22/IV, 25/II et 31/III du Comité, les listes de points et de questions portent essentiellement sur des thèmes traités dans la Convention, ainsi que sur les liens entre ces thèmes et les objectifs de développement durable. Ces thèmes sont les suivants : le cadre constitutionnel et législatif et la définition de la discrimination à l</w:t>
      </w:r>
      <w:r w:rsidRPr="003A2E06">
        <w:rPr>
          <w:szCs w:val="20"/>
        </w:rPr>
        <w:t>’</w:t>
      </w:r>
      <w:r w:rsidRPr="003A2E06">
        <w:rPr>
          <w:szCs w:val="20"/>
        </w:rPr>
        <w:t>égard des femmes</w:t>
      </w:r>
      <w:r w:rsidR="005B3960" w:rsidRPr="003A2E06">
        <w:rPr>
          <w:szCs w:val="20"/>
        </w:rPr>
        <w:t> ;</w:t>
      </w:r>
      <w:r w:rsidRPr="003A2E06">
        <w:rPr>
          <w:szCs w:val="20"/>
        </w:rPr>
        <w:t xml:space="preserve"> la visibilité de la Convention et du Protocole facultatif s</w:t>
      </w:r>
      <w:r w:rsidRPr="003A2E06">
        <w:rPr>
          <w:szCs w:val="20"/>
        </w:rPr>
        <w:t>’</w:t>
      </w:r>
      <w:r w:rsidRPr="003A2E06">
        <w:rPr>
          <w:szCs w:val="20"/>
        </w:rPr>
        <w:t>y rapportant</w:t>
      </w:r>
      <w:r w:rsidR="005B3960" w:rsidRPr="003A2E06">
        <w:rPr>
          <w:szCs w:val="20"/>
        </w:rPr>
        <w:t> ;</w:t>
      </w:r>
      <w:r w:rsidRPr="003A2E06">
        <w:rPr>
          <w:szCs w:val="20"/>
        </w:rPr>
        <w:t xml:space="preserve"> </w:t>
      </w:r>
      <w:r w:rsidRPr="003A2E06">
        <w:rPr>
          <w:szCs w:val="20"/>
          <w:shd w:val="clear" w:color="auto" w:fill="FFFFFF"/>
        </w:rPr>
        <w:t>les réserves à la Convention et au Protocole facultatif s</w:t>
      </w:r>
      <w:r w:rsidRPr="003A2E06">
        <w:rPr>
          <w:szCs w:val="20"/>
          <w:shd w:val="clear" w:color="auto" w:fill="FFFFFF"/>
        </w:rPr>
        <w:t>’</w:t>
      </w:r>
      <w:r w:rsidRPr="003A2E06">
        <w:rPr>
          <w:szCs w:val="20"/>
          <w:shd w:val="clear" w:color="auto" w:fill="FFFFFF"/>
        </w:rPr>
        <w:t>y rapportant</w:t>
      </w:r>
      <w:r w:rsidR="005B3960" w:rsidRPr="003A2E06">
        <w:rPr>
          <w:szCs w:val="20"/>
          <w:shd w:val="clear" w:color="auto" w:fill="FFFFFF"/>
        </w:rPr>
        <w:t> ;</w:t>
      </w:r>
      <w:r w:rsidRPr="003A2E06">
        <w:rPr>
          <w:szCs w:val="20"/>
          <w:shd w:val="clear" w:color="auto" w:fill="FFFFFF"/>
        </w:rPr>
        <w:t xml:space="preserve"> </w:t>
      </w:r>
      <w:r w:rsidRPr="003A2E06">
        <w:rPr>
          <w:szCs w:val="20"/>
        </w:rPr>
        <w:t>les droits des femmes et l</w:t>
      </w:r>
      <w:r w:rsidRPr="003A2E06">
        <w:rPr>
          <w:szCs w:val="20"/>
        </w:rPr>
        <w:t>’</w:t>
      </w:r>
      <w:r w:rsidRPr="003A2E06">
        <w:rPr>
          <w:szCs w:val="20"/>
        </w:rPr>
        <w:t>égalité des genres dans le contexte de la pandémie et des mesures de relèvement</w:t>
      </w:r>
      <w:r w:rsidR="005B3960" w:rsidRPr="003A2E06">
        <w:rPr>
          <w:szCs w:val="20"/>
        </w:rPr>
        <w:t> ;</w:t>
      </w:r>
      <w:r w:rsidRPr="003A2E06">
        <w:rPr>
          <w:szCs w:val="20"/>
        </w:rPr>
        <w:t xml:space="preserve"> l</w:t>
      </w:r>
      <w:r w:rsidRPr="003A2E06">
        <w:rPr>
          <w:szCs w:val="20"/>
        </w:rPr>
        <w:t>’</w:t>
      </w:r>
      <w:r w:rsidRPr="003A2E06">
        <w:rPr>
          <w:szCs w:val="20"/>
        </w:rPr>
        <w:t>accès des femmes à la justice</w:t>
      </w:r>
      <w:r w:rsidR="005B3960" w:rsidRPr="003A2E06">
        <w:rPr>
          <w:szCs w:val="20"/>
        </w:rPr>
        <w:t> ;</w:t>
      </w:r>
      <w:r w:rsidRPr="003A2E06">
        <w:rPr>
          <w:szCs w:val="20"/>
        </w:rPr>
        <w:t xml:space="preserve"> les femmes et la paix et la sécurité</w:t>
      </w:r>
      <w:r w:rsidR="005B3960" w:rsidRPr="003A2E06">
        <w:rPr>
          <w:szCs w:val="20"/>
        </w:rPr>
        <w:t> ;</w:t>
      </w:r>
      <w:r w:rsidRPr="003A2E06">
        <w:rPr>
          <w:szCs w:val="20"/>
        </w:rPr>
        <w:t xml:space="preserve"> les mécanismes nationaux de promotion des femmes</w:t>
      </w:r>
      <w:r w:rsidR="005B3960" w:rsidRPr="003A2E06">
        <w:rPr>
          <w:szCs w:val="20"/>
        </w:rPr>
        <w:t> ;</w:t>
      </w:r>
      <w:r w:rsidRPr="003A2E06">
        <w:rPr>
          <w:szCs w:val="20"/>
        </w:rPr>
        <w:t xml:space="preserve"> les institutions nationales des droits de l</w:t>
      </w:r>
      <w:r w:rsidRPr="003A2E06">
        <w:rPr>
          <w:szCs w:val="20"/>
        </w:rPr>
        <w:t>’</w:t>
      </w:r>
      <w:r w:rsidRPr="003A2E06">
        <w:rPr>
          <w:szCs w:val="20"/>
        </w:rPr>
        <w:t>homme</w:t>
      </w:r>
      <w:r w:rsidR="005B3960" w:rsidRPr="003A2E06">
        <w:rPr>
          <w:szCs w:val="20"/>
        </w:rPr>
        <w:t> ;</w:t>
      </w:r>
      <w:r w:rsidRPr="003A2E06">
        <w:rPr>
          <w:szCs w:val="20"/>
        </w:rPr>
        <w:t xml:space="preserve"> les mesures temporaires spéciales de promotion des femmes</w:t>
      </w:r>
      <w:r w:rsidR="005B3960" w:rsidRPr="003A2E06">
        <w:rPr>
          <w:szCs w:val="20"/>
        </w:rPr>
        <w:t> ;</w:t>
      </w:r>
      <w:r w:rsidRPr="003A2E06">
        <w:rPr>
          <w:szCs w:val="20"/>
        </w:rPr>
        <w:t xml:space="preserve"> les stéréotypes et les pratiques préjudiciables</w:t>
      </w:r>
      <w:r w:rsidR="005B3960" w:rsidRPr="003A2E06">
        <w:rPr>
          <w:szCs w:val="20"/>
        </w:rPr>
        <w:t> ;</w:t>
      </w:r>
      <w:r w:rsidRPr="003A2E06">
        <w:rPr>
          <w:szCs w:val="20"/>
        </w:rPr>
        <w:t xml:space="preserve"> la violence à l</w:t>
      </w:r>
      <w:r w:rsidRPr="003A2E06">
        <w:rPr>
          <w:szCs w:val="20"/>
        </w:rPr>
        <w:t>’</w:t>
      </w:r>
      <w:r w:rsidRPr="003A2E06">
        <w:rPr>
          <w:szCs w:val="20"/>
        </w:rPr>
        <w:t>égard des femmes et des filles fondée sur le genre</w:t>
      </w:r>
      <w:r w:rsidR="005B3960" w:rsidRPr="003A2E06">
        <w:rPr>
          <w:szCs w:val="20"/>
        </w:rPr>
        <w:t> ;</w:t>
      </w:r>
      <w:r w:rsidRPr="003A2E06">
        <w:rPr>
          <w:szCs w:val="20"/>
        </w:rPr>
        <w:t xml:space="preserve"> la violence sexuelle à l</w:t>
      </w:r>
      <w:r w:rsidRPr="003A2E06">
        <w:rPr>
          <w:szCs w:val="20"/>
        </w:rPr>
        <w:t>’</w:t>
      </w:r>
      <w:r w:rsidRPr="003A2E06">
        <w:rPr>
          <w:szCs w:val="20"/>
        </w:rPr>
        <w:t>égard des femmes dans les situations de conflit</w:t>
      </w:r>
      <w:r w:rsidR="005B3960" w:rsidRPr="003A2E06">
        <w:rPr>
          <w:szCs w:val="20"/>
        </w:rPr>
        <w:t> ;</w:t>
      </w:r>
      <w:r w:rsidRPr="003A2E06">
        <w:rPr>
          <w:szCs w:val="20"/>
        </w:rPr>
        <w:t xml:space="preserve"> la traite des femmes et des filles et l</w:t>
      </w:r>
      <w:r w:rsidRPr="003A2E06">
        <w:rPr>
          <w:szCs w:val="20"/>
        </w:rPr>
        <w:t>’</w:t>
      </w:r>
      <w:r w:rsidRPr="003A2E06">
        <w:rPr>
          <w:szCs w:val="20"/>
        </w:rPr>
        <w:t>exploitation de la prostitution</w:t>
      </w:r>
      <w:r w:rsidR="005B3960" w:rsidRPr="003A2E06">
        <w:rPr>
          <w:szCs w:val="20"/>
        </w:rPr>
        <w:t> ;</w:t>
      </w:r>
      <w:r w:rsidRPr="003A2E06">
        <w:rPr>
          <w:szCs w:val="20"/>
        </w:rPr>
        <w:t xml:space="preserve"> la participation des femmes à la vie politique et à la vie publique</w:t>
      </w:r>
      <w:r w:rsidR="005B3960" w:rsidRPr="003A2E06">
        <w:rPr>
          <w:szCs w:val="20"/>
        </w:rPr>
        <w:t> ;</w:t>
      </w:r>
      <w:r w:rsidRPr="003A2E06">
        <w:rPr>
          <w:szCs w:val="20"/>
        </w:rPr>
        <w:t xml:space="preserve"> la nationalité</w:t>
      </w:r>
      <w:r w:rsidR="005B3960" w:rsidRPr="003A2E06">
        <w:rPr>
          <w:szCs w:val="20"/>
        </w:rPr>
        <w:t> ;</w:t>
      </w:r>
      <w:r w:rsidRPr="003A2E06">
        <w:rPr>
          <w:szCs w:val="20"/>
        </w:rPr>
        <w:t xml:space="preserve"> l</w:t>
      </w:r>
      <w:r w:rsidRPr="003A2E06">
        <w:rPr>
          <w:szCs w:val="20"/>
        </w:rPr>
        <w:t>’</w:t>
      </w:r>
      <w:r w:rsidRPr="003A2E06">
        <w:rPr>
          <w:szCs w:val="20"/>
        </w:rPr>
        <w:t>éducation</w:t>
      </w:r>
      <w:r w:rsidR="005B3960" w:rsidRPr="003A2E06">
        <w:rPr>
          <w:szCs w:val="20"/>
        </w:rPr>
        <w:t> ;</w:t>
      </w:r>
      <w:r w:rsidRPr="003A2E06">
        <w:rPr>
          <w:szCs w:val="20"/>
        </w:rPr>
        <w:t xml:space="preserve"> l</w:t>
      </w:r>
      <w:r w:rsidRPr="003A2E06">
        <w:rPr>
          <w:szCs w:val="20"/>
        </w:rPr>
        <w:t>’</w:t>
      </w:r>
      <w:r w:rsidRPr="003A2E06">
        <w:rPr>
          <w:szCs w:val="20"/>
        </w:rPr>
        <w:t>emploi</w:t>
      </w:r>
      <w:r w:rsidR="005B3960" w:rsidRPr="003A2E06">
        <w:rPr>
          <w:szCs w:val="20"/>
        </w:rPr>
        <w:t> ;</w:t>
      </w:r>
      <w:r w:rsidRPr="003A2E06">
        <w:rPr>
          <w:szCs w:val="20"/>
        </w:rPr>
        <w:t xml:space="preserve"> le harcèlement sexuel sur le lieu de travail</w:t>
      </w:r>
      <w:r w:rsidR="005B3960" w:rsidRPr="003A2E06">
        <w:rPr>
          <w:szCs w:val="20"/>
        </w:rPr>
        <w:t> ;</w:t>
      </w:r>
      <w:r w:rsidRPr="003A2E06">
        <w:rPr>
          <w:szCs w:val="20"/>
        </w:rPr>
        <w:t xml:space="preserve"> la santé</w:t>
      </w:r>
      <w:r w:rsidR="005B3960" w:rsidRPr="003A2E06">
        <w:rPr>
          <w:szCs w:val="20"/>
        </w:rPr>
        <w:t> ;</w:t>
      </w:r>
      <w:r w:rsidRPr="003A2E06">
        <w:rPr>
          <w:szCs w:val="20"/>
        </w:rPr>
        <w:t xml:space="preserve"> l</w:t>
      </w:r>
      <w:r w:rsidRPr="003A2E06">
        <w:rPr>
          <w:szCs w:val="20"/>
        </w:rPr>
        <w:t>’</w:t>
      </w:r>
      <w:r w:rsidRPr="003A2E06">
        <w:rPr>
          <w:szCs w:val="20"/>
        </w:rPr>
        <w:t>autonomisation économique et les avantages sociaux</w:t>
      </w:r>
      <w:r w:rsidR="005B3960" w:rsidRPr="003A2E06">
        <w:rPr>
          <w:szCs w:val="20"/>
        </w:rPr>
        <w:t> ;</w:t>
      </w:r>
      <w:r w:rsidRPr="003A2E06">
        <w:rPr>
          <w:szCs w:val="20"/>
        </w:rPr>
        <w:t xml:space="preserve"> les changements climatiques et la réduction des risques de catastrophe</w:t>
      </w:r>
      <w:r w:rsidR="005B3960" w:rsidRPr="003A2E06">
        <w:rPr>
          <w:szCs w:val="20"/>
        </w:rPr>
        <w:t> ;</w:t>
      </w:r>
      <w:r w:rsidRPr="003A2E06">
        <w:rPr>
          <w:szCs w:val="20"/>
        </w:rPr>
        <w:t xml:space="preserve"> les femmes rurales</w:t>
      </w:r>
      <w:r w:rsidR="005B3960" w:rsidRPr="003A2E06">
        <w:rPr>
          <w:szCs w:val="20"/>
        </w:rPr>
        <w:t> ;</w:t>
      </w:r>
      <w:r w:rsidRPr="003A2E06">
        <w:rPr>
          <w:szCs w:val="20"/>
        </w:rPr>
        <w:t xml:space="preserve"> l</w:t>
      </w:r>
      <w:r w:rsidRPr="003A2E06">
        <w:rPr>
          <w:szCs w:val="20"/>
        </w:rPr>
        <w:t>’</w:t>
      </w:r>
      <w:r w:rsidRPr="003A2E06">
        <w:rPr>
          <w:szCs w:val="20"/>
        </w:rPr>
        <w:t>égalité dans le mariage et dans les rapports familiaux</w:t>
      </w:r>
      <w:r w:rsidR="005B3960" w:rsidRPr="003A2E06">
        <w:rPr>
          <w:szCs w:val="20"/>
        </w:rPr>
        <w:t> ;</w:t>
      </w:r>
      <w:r w:rsidRPr="003A2E06">
        <w:rPr>
          <w:szCs w:val="20"/>
        </w:rPr>
        <w:t xml:space="preserve"> les formes de discrimination croisées subies par les groupes de femmes défavorisés, notamment les femmes âgées, les femmes rurales, les femmes vivant dans la pauvreté, les femmes handicapées, les femmes autochtones, les femmes d</w:t>
      </w:r>
      <w:r w:rsidRPr="003A2E06">
        <w:rPr>
          <w:szCs w:val="20"/>
        </w:rPr>
        <w:t>’</w:t>
      </w:r>
      <w:r w:rsidRPr="003A2E06">
        <w:rPr>
          <w:szCs w:val="20"/>
        </w:rPr>
        <w:t>ascendance africaine, les femmes roms et égyptiennes au Monténégro, les femmes appartenant à d</w:t>
      </w:r>
      <w:r w:rsidRPr="003A2E06">
        <w:rPr>
          <w:szCs w:val="20"/>
        </w:rPr>
        <w:t>’</w:t>
      </w:r>
      <w:r w:rsidRPr="003A2E06">
        <w:rPr>
          <w:szCs w:val="20"/>
        </w:rPr>
        <w:t>autres groupes ethniques ou religieux minoritaires, les femmes en détention, les défenseuses des droits humains, les femmes</w:t>
      </w:r>
      <w:r w:rsidR="003A2E06" w:rsidRPr="003A2E06">
        <w:rPr>
          <w:szCs w:val="20"/>
        </w:rPr>
        <w:t xml:space="preserve"> migrantes</w:t>
      </w:r>
      <w:r w:rsidRPr="003A2E06">
        <w:rPr>
          <w:szCs w:val="20"/>
        </w:rPr>
        <w:t>, notamment les travailleuses domestiques migrantes, les femmes demandeuses d</w:t>
      </w:r>
      <w:r w:rsidRPr="003A2E06">
        <w:rPr>
          <w:szCs w:val="20"/>
        </w:rPr>
        <w:t>’</w:t>
      </w:r>
      <w:r w:rsidRPr="003A2E06">
        <w:rPr>
          <w:szCs w:val="20"/>
        </w:rPr>
        <w:t>asile, réfugiées et apatrides, les femmes d</w:t>
      </w:r>
      <w:r w:rsidRPr="003A2E06">
        <w:rPr>
          <w:szCs w:val="20"/>
        </w:rPr>
        <w:t>’</w:t>
      </w:r>
      <w:r w:rsidRPr="003A2E06">
        <w:rPr>
          <w:szCs w:val="20"/>
        </w:rPr>
        <w:t>origine étrangère et les femmes lesbiennes, bisexuelles, transgenres et intersexes.</w:t>
      </w:r>
    </w:p>
    <w:p w14:paraId="72B153D9" w14:textId="5F323713" w:rsidR="009C07DF" w:rsidRPr="003A2E06" w:rsidRDefault="003A2E06" w:rsidP="003A2E06">
      <w:pPr>
        <w:pStyle w:val="SingleTxt"/>
        <w:spacing w:after="0" w:line="240" w:lineRule="auto"/>
      </w:pPr>
      <w:r w:rsidRPr="003A2E06">
        <w:rPr>
          <w:noProof/>
          <w:w w:val="100"/>
        </w:rPr>
        <mc:AlternateContent>
          <mc:Choice Requires="wps">
            <w:drawing>
              <wp:anchor distT="0" distB="0" distL="114300" distR="114300" simplePos="0" relativeHeight="251659264" behindDoc="0" locked="0" layoutInCell="1" allowOverlap="1" wp14:anchorId="2477CE69" wp14:editId="3F2CB8C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8DD9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C07DF" w:rsidRPr="003A2E06" w:rsidSect="009C07DF">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7-20T15:41:00Z" w:initials="Start">
    <w:p w14:paraId="3919260B" w14:textId="77777777" w:rsidR="00AF21D6" w:rsidRPr="009C07DF" w:rsidRDefault="00AF21D6">
      <w:pPr>
        <w:pStyle w:val="CommentText"/>
        <w:rPr>
          <w:lang w:val="en-US"/>
        </w:rPr>
      </w:pPr>
      <w:r>
        <w:rPr>
          <w:rStyle w:val="CommentReference"/>
        </w:rPr>
        <w:annotationRef/>
      </w:r>
      <w:r w:rsidRPr="009C07DF">
        <w:rPr>
          <w:lang w:val="en-US"/>
        </w:rPr>
        <w:t>&lt;&lt;ODS JOB NO&gt;&gt;N2241766F&lt;&lt;ODS JOB NO&gt;&gt;</w:t>
      </w:r>
    </w:p>
    <w:p w14:paraId="54F86958" w14:textId="77777777" w:rsidR="00AF21D6" w:rsidRDefault="00AF21D6">
      <w:pPr>
        <w:pStyle w:val="CommentText"/>
      </w:pPr>
      <w:r>
        <w:t>&lt;&lt;ODS DOC SYMBOL1&gt;&gt;CEDAW/C/PSWG/84/1&lt;&lt;ODS DOC SYMBOL1&gt;&gt;</w:t>
      </w:r>
    </w:p>
    <w:p w14:paraId="42F58E50" w14:textId="58EE4AD4" w:rsidR="00AF21D6" w:rsidRDefault="00AF21D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F58E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A0A4" w16cex:dateUtc="2022-07-20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F58E50" w16cid:durableId="2682A0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A2C7" w14:textId="77777777" w:rsidR="00777027" w:rsidRDefault="00777027" w:rsidP="00101B18">
      <w:pPr>
        <w:spacing w:line="240" w:lineRule="auto"/>
      </w:pPr>
      <w:r>
        <w:separator/>
      </w:r>
    </w:p>
  </w:endnote>
  <w:endnote w:type="continuationSeparator" w:id="0">
    <w:p w14:paraId="6F234821" w14:textId="77777777" w:rsidR="00777027" w:rsidRDefault="0077702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F21D6" w14:paraId="3E8AD3DE" w14:textId="77777777" w:rsidTr="00AF21D6">
      <w:tblPrEx>
        <w:tblCellMar>
          <w:top w:w="0" w:type="dxa"/>
          <w:bottom w:w="0" w:type="dxa"/>
        </w:tblCellMar>
      </w:tblPrEx>
      <w:tc>
        <w:tcPr>
          <w:tcW w:w="4920" w:type="dxa"/>
          <w:shd w:val="clear" w:color="auto" w:fill="auto"/>
        </w:tcPr>
        <w:p w14:paraId="7073A626" w14:textId="479CA1BA" w:rsidR="00AF21D6" w:rsidRPr="00AF21D6" w:rsidRDefault="00AF21D6" w:rsidP="00AF21D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81191">
            <w:rPr>
              <w:b w:val="0"/>
              <w:w w:val="103"/>
              <w:sz w:val="14"/>
            </w:rPr>
            <w:t>22-10836</w:t>
          </w:r>
          <w:r>
            <w:rPr>
              <w:b w:val="0"/>
              <w:w w:val="103"/>
              <w:sz w:val="14"/>
            </w:rPr>
            <w:fldChar w:fldCharType="end"/>
          </w:r>
        </w:p>
      </w:tc>
      <w:tc>
        <w:tcPr>
          <w:tcW w:w="4920" w:type="dxa"/>
          <w:shd w:val="clear" w:color="auto" w:fill="auto"/>
        </w:tcPr>
        <w:p w14:paraId="1FBA0627" w14:textId="3E7ACFCF" w:rsidR="00AF21D6" w:rsidRPr="00AF21D6" w:rsidRDefault="00AF21D6" w:rsidP="00AF21D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8D571F6" w14:textId="77777777" w:rsidR="00AF21D6" w:rsidRPr="00AF21D6" w:rsidRDefault="00AF21D6" w:rsidP="00AF2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F21D6" w14:paraId="230F673B" w14:textId="77777777" w:rsidTr="00AF21D6">
      <w:tblPrEx>
        <w:tblCellMar>
          <w:top w:w="0" w:type="dxa"/>
          <w:bottom w:w="0" w:type="dxa"/>
        </w:tblCellMar>
      </w:tblPrEx>
      <w:tc>
        <w:tcPr>
          <w:tcW w:w="4920" w:type="dxa"/>
          <w:shd w:val="clear" w:color="auto" w:fill="auto"/>
        </w:tcPr>
        <w:p w14:paraId="075B4213" w14:textId="6F0892B3" w:rsidR="00AF21D6" w:rsidRPr="00AF21D6" w:rsidRDefault="00AF21D6" w:rsidP="00AF21D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302875A" w14:textId="7DC567E0" w:rsidR="00AF21D6" w:rsidRPr="00AF21D6" w:rsidRDefault="00AF21D6" w:rsidP="00AF21D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81191">
            <w:rPr>
              <w:b w:val="0"/>
              <w:w w:val="103"/>
              <w:sz w:val="14"/>
            </w:rPr>
            <w:t>22-10836</w:t>
          </w:r>
          <w:r>
            <w:rPr>
              <w:b w:val="0"/>
              <w:w w:val="103"/>
              <w:sz w:val="14"/>
            </w:rPr>
            <w:fldChar w:fldCharType="end"/>
          </w:r>
        </w:p>
      </w:tc>
    </w:tr>
  </w:tbl>
  <w:p w14:paraId="50371817" w14:textId="77777777" w:rsidR="00AF21D6" w:rsidRPr="00AF21D6" w:rsidRDefault="00AF21D6" w:rsidP="00AF2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B2C2" w14:textId="2B3AB32B" w:rsidR="00AF21D6" w:rsidRDefault="00AF21D6">
    <w:pPr>
      <w:pStyle w:val="Footer"/>
    </w:pPr>
    <w:r>
      <w:rPr>
        <w:noProof/>
      </w:rPr>
      <w:drawing>
        <wp:anchor distT="0" distB="0" distL="114300" distR="114300" simplePos="0" relativeHeight="251658240" behindDoc="0" locked="0" layoutInCell="1" allowOverlap="1" wp14:anchorId="271B04E8" wp14:editId="07DAA89C">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F21D6" w14:paraId="750BA1F9" w14:textId="77777777" w:rsidTr="00AF21D6">
      <w:tblPrEx>
        <w:tblCellMar>
          <w:top w:w="0" w:type="dxa"/>
          <w:bottom w:w="0" w:type="dxa"/>
        </w:tblCellMar>
      </w:tblPrEx>
      <w:tc>
        <w:tcPr>
          <w:tcW w:w="3758" w:type="dxa"/>
        </w:tcPr>
        <w:p w14:paraId="46C1E2AC" w14:textId="3C5457A7" w:rsidR="00AF21D6" w:rsidRDefault="00AF21D6" w:rsidP="00AF21D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81191">
            <w:rPr>
              <w:b w:val="0"/>
              <w:sz w:val="20"/>
            </w:rPr>
            <w:t>22-10836 (F)</w:t>
          </w:r>
          <w:r>
            <w:rPr>
              <w:b w:val="0"/>
              <w:sz w:val="20"/>
            </w:rPr>
            <w:fldChar w:fldCharType="end"/>
          </w:r>
          <w:r>
            <w:rPr>
              <w:b w:val="0"/>
              <w:sz w:val="20"/>
            </w:rPr>
            <w:t xml:space="preserve">    </w:t>
          </w:r>
          <w:r w:rsidR="009C07DF">
            <w:rPr>
              <w:b w:val="0"/>
              <w:sz w:val="20"/>
            </w:rPr>
            <w:t>15</w:t>
          </w:r>
          <w:r>
            <w:rPr>
              <w:b w:val="0"/>
              <w:sz w:val="20"/>
            </w:rPr>
            <w:t>0722    2</w:t>
          </w:r>
          <w:r w:rsidR="009C07DF">
            <w:rPr>
              <w:b w:val="0"/>
              <w:sz w:val="20"/>
            </w:rPr>
            <w:t>1</w:t>
          </w:r>
          <w:r>
            <w:rPr>
              <w:b w:val="0"/>
              <w:sz w:val="20"/>
            </w:rPr>
            <w:t>0722</w:t>
          </w:r>
        </w:p>
        <w:p w14:paraId="614C4B99" w14:textId="2003B984" w:rsidR="00AF21D6" w:rsidRPr="00AF21D6" w:rsidRDefault="00AF21D6" w:rsidP="00AF21D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781191">
            <w:rPr>
              <w:rFonts w:ascii="Barcode 3 of 9 by request" w:hAnsi="Barcode 3 of 9 by request"/>
              <w:spacing w:val="0"/>
              <w:w w:val="100"/>
              <w:sz w:val="24"/>
            </w:rPr>
            <w:t>*2210836*</w:t>
          </w:r>
          <w:r>
            <w:rPr>
              <w:rFonts w:ascii="Barcode 3 of 9 by request" w:hAnsi="Barcode 3 of 9 by request"/>
              <w:spacing w:val="0"/>
              <w:w w:val="100"/>
              <w:sz w:val="24"/>
            </w:rPr>
            <w:fldChar w:fldCharType="end"/>
          </w:r>
        </w:p>
      </w:tc>
      <w:tc>
        <w:tcPr>
          <w:tcW w:w="4920" w:type="dxa"/>
        </w:tcPr>
        <w:p w14:paraId="46FD0DEA" w14:textId="40D7D7D1" w:rsidR="00AF21D6" w:rsidRDefault="00AF21D6" w:rsidP="00AF21D6">
          <w:pPr>
            <w:pStyle w:val="Footer"/>
            <w:spacing w:line="240" w:lineRule="atLeast"/>
            <w:jc w:val="right"/>
            <w:rPr>
              <w:b w:val="0"/>
              <w:sz w:val="20"/>
            </w:rPr>
          </w:pPr>
          <w:r>
            <w:rPr>
              <w:b w:val="0"/>
              <w:noProof/>
              <w:sz w:val="20"/>
            </w:rPr>
            <w:drawing>
              <wp:inline distT="0" distB="0" distL="0" distR="0" wp14:anchorId="337F445E" wp14:editId="1370944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FC309E7" w14:textId="77777777" w:rsidR="00AF21D6" w:rsidRPr="00AF21D6" w:rsidRDefault="00AF21D6" w:rsidP="00AF21D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3405" w14:textId="77777777" w:rsidR="00777027" w:rsidRDefault="00777027" w:rsidP="00101B18">
      <w:pPr>
        <w:spacing w:line="240" w:lineRule="auto"/>
      </w:pPr>
      <w:r>
        <w:separator/>
      </w:r>
    </w:p>
  </w:footnote>
  <w:footnote w:type="continuationSeparator" w:id="0">
    <w:p w14:paraId="3943D77F" w14:textId="77777777" w:rsidR="00777027" w:rsidRDefault="00777027"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F21D6" w14:paraId="4E1195B7" w14:textId="77777777" w:rsidTr="00AF21D6">
      <w:tblPrEx>
        <w:tblCellMar>
          <w:top w:w="0" w:type="dxa"/>
          <w:bottom w:w="0" w:type="dxa"/>
        </w:tblCellMar>
      </w:tblPrEx>
      <w:trPr>
        <w:trHeight w:hRule="exact" w:val="864"/>
      </w:trPr>
      <w:tc>
        <w:tcPr>
          <w:tcW w:w="4920" w:type="dxa"/>
          <w:shd w:val="clear" w:color="auto" w:fill="auto"/>
          <w:vAlign w:val="bottom"/>
        </w:tcPr>
        <w:p w14:paraId="63719D69" w14:textId="5721E643" w:rsidR="00AF21D6" w:rsidRPr="00AF21D6" w:rsidRDefault="00AF21D6" w:rsidP="00AF21D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81191">
            <w:rPr>
              <w:b/>
              <w:color w:val="000000"/>
            </w:rPr>
            <w:t>CEDAW/C/PSWG/84/1</w:t>
          </w:r>
          <w:r>
            <w:rPr>
              <w:b/>
              <w:color w:val="000000"/>
            </w:rPr>
            <w:fldChar w:fldCharType="end"/>
          </w:r>
        </w:p>
      </w:tc>
      <w:tc>
        <w:tcPr>
          <w:tcW w:w="4920" w:type="dxa"/>
          <w:shd w:val="clear" w:color="auto" w:fill="auto"/>
          <w:vAlign w:val="bottom"/>
        </w:tcPr>
        <w:p w14:paraId="18B0B4B7" w14:textId="77777777" w:rsidR="00AF21D6" w:rsidRDefault="00AF21D6" w:rsidP="00AF21D6">
          <w:pPr>
            <w:pStyle w:val="Header"/>
          </w:pPr>
        </w:p>
      </w:tc>
    </w:tr>
  </w:tbl>
  <w:p w14:paraId="420216BC" w14:textId="77777777" w:rsidR="00AF21D6" w:rsidRPr="00AF21D6" w:rsidRDefault="00AF21D6" w:rsidP="00AF21D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F21D6" w14:paraId="1E6DA0E2" w14:textId="77777777" w:rsidTr="00AF21D6">
      <w:tblPrEx>
        <w:tblCellMar>
          <w:top w:w="0" w:type="dxa"/>
          <w:bottom w:w="0" w:type="dxa"/>
        </w:tblCellMar>
      </w:tblPrEx>
      <w:trPr>
        <w:trHeight w:hRule="exact" w:val="864"/>
      </w:trPr>
      <w:tc>
        <w:tcPr>
          <w:tcW w:w="4920" w:type="dxa"/>
          <w:shd w:val="clear" w:color="auto" w:fill="auto"/>
          <w:vAlign w:val="bottom"/>
        </w:tcPr>
        <w:p w14:paraId="7A905F2F" w14:textId="77777777" w:rsidR="00AF21D6" w:rsidRDefault="00AF21D6" w:rsidP="00AF21D6">
          <w:pPr>
            <w:pStyle w:val="Header"/>
          </w:pPr>
        </w:p>
      </w:tc>
      <w:tc>
        <w:tcPr>
          <w:tcW w:w="4920" w:type="dxa"/>
          <w:shd w:val="clear" w:color="auto" w:fill="auto"/>
          <w:vAlign w:val="bottom"/>
        </w:tcPr>
        <w:p w14:paraId="0FA09480" w14:textId="66D29067" w:rsidR="00AF21D6" w:rsidRPr="00AF21D6" w:rsidRDefault="00AF21D6" w:rsidP="00AF21D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81191">
            <w:rPr>
              <w:b/>
              <w:color w:val="000000"/>
            </w:rPr>
            <w:t>CEDAW/C/PSWG/84/1</w:t>
          </w:r>
          <w:r>
            <w:rPr>
              <w:b/>
              <w:color w:val="000000"/>
            </w:rPr>
            <w:fldChar w:fldCharType="end"/>
          </w:r>
        </w:p>
      </w:tc>
    </w:tr>
  </w:tbl>
  <w:p w14:paraId="559F3CD4" w14:textId="77777777" w:rsidR="00AF21D6" w:rsidRPr="00AF21D6" w:rsidRDefault="00AF21D6" w:rsidP="00AF21D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F21D6" w14:paraId="44136FAA" w14:textId="77777777" w:rsidTr="00AF21D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745AED1D" w14:textId="77777777" w:rsidR="00AF21D6" w:rsidRDefault="00AF21D6" w:rsidP="00AF21D6">
          <w:pPr>
            <w:pStyle w:val="Header"/>
            <w:spacing w:after="120"/>
          </w:pPr>
        </w:p>
      </w:tc>
      <w:tc>
        <w:tcPr>
          <w:tcW w:w="2059" w:type="dxa"/>
          <w:tcBorders>
            <w:bottom w:val="single" w:sz="4" w:space="0" w:color="auto"/>
          </w:tcBorders>
          <w:shd w:val="clear" w:color="auto" w:fill="auto"/>
          <w:vAlign w:val="bottom"/>
        </w:tcPr>
        <w:p w14:paraId="5F475B55" w14:textId="03B323B0" w:rsidR="00AF21D6" w:rsidRPr="00AF21D6" w:rsidRDefault="00AF21D6" w:rsidP="00AF21D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F87B800" w14:textId="77777777" w:rsidR="00AF21D6" w:rsidRDefault="00AF21D6" w:rsidP="00AF21D6">
          <w:pPr>
            <w:pStyle w:val="Header"/>
            <w:spacing w:after="120"/>
          </w:pPr>
        </w:p>
      </w:tc>
      <w:tc>
        <w:tcPr>
          <w:tcW w:w="6466" w:type="dxa"/>
          <w:gridSpan w:val="3"/>
          <w:tcBorders>
            <w:bottom w:val="single" w:sz="4" w:space="0" w:color="auto"/>
          </w:tcBorders>
          <w:shd w:val="clear" w:color="auto" w:fill="auto"/>
          <w:vAlign w:val="bottom"/>
        </w:tcPr>
        <w:p w14:paraId="24AAB5F6" w14:textId="0B111103" w:rsidR="00AF21D6" w:rsidRPr="00AF21D6" w:rsidRDefault="00AF21D6" w:rsidP="00AF21D6">
          <w:pPr>
            <w:spacing w:after="80" w:line="240" w:lineRule="auto"/>
            <w:jc w:val="right"/>
            <w:rPr>
              <w:position w:val="-4"/>
            </w:rPr>
          </w:pPr>
          <w:r>
            <w:rPr>
              <w:position w:val="-4"/>
              <w:sz w:val="40"/>
            </w:rPr>
            <w:t>CEDAW</w:t>
          </w:r>
          <w:r>
            <w:rPr>
              <w:position w:val="-4"/>
            </w:rPr>
            <w:t>/C/PSWG/84/1</w:t>
          </w:r>
        </w:p>
      </w:tc>
    </w:tr>
    <w:tr w:rsidR="00AF21D6" w:rsidRPr="00AF21D6" w14:paraId="1B255ED0" w14:textId="77777777" w:rsidTr="00AF21D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38AFA9AB" w14:textId="36BFA565" w:rsidR="00AF21D6" w:rsidRPr="00AF21D6" w:rsidRDefault="00AF21D6" w:rsidP="00AF21D6">
          <w:pPr>
            <w:pStyle w:val="Header"/>
            <w:spacing w:before="120" w:line="240" w:lineRule="auto"/>
            <w:ind w:left="-72"/>
            <w:jc w:val="center"/>
          </w:pPr>
          <w:r>
            <w:t xml:space="preserve">  </w:t>
          </w:r>
          <w:r>
            <w:rPr>
              <w:noProof/>
            </w:rPr>
            <w:drawing>
              <wp:inline distT="0" distB="0" distL="0" distR="0" wp14:anchorId="7138F2C6" wp14:editId="34E4F95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60CE7F4" w14:textId="3041D313" w:rsidR="00AF21D6" w:rsidRPr="00AF21D6" w:rsidRDefault="00AF21D6" w:rsidP="00AF21D6">
          <w:pPr>
            <w:pStyle w:val="XLarge"/>
            <w:spacing w:before="120" w:line="360" w:lineRule="exact"/>
            <w:rPr>
              <w:sz w:val="36"/>
            </w:rPr>
          </w:pPr>
          <w:r>
            <w:rPr>
              <w:sz w:val="36"/>
            </w:rPr>
            <w:t>Convention sur l</w:t>
          </w:r>
          <w:r w:rsidR="009C07DF">
            <w:rPr>
              <w:sz w:val="36"/>
            </w:rPr>
            <w:t>’</w:t>
          </w:r>
          <w:r>
            <w:rPr>
              <w:sz w:val="36"/>
            </w:rPr>
            <w:t>élimination</w:t>
          </w:r>
          <w:r>
            <w:rPr>
              <w:sz w:val="36"/>
            </w:rPr>
            <w:br/>
            <w:t>de toutes les formes</w:t>
          </w:r>
          <w:r>
            <w:rPr>
              <w:sz w:val="36"/>
            </w:rPr>
            <w:br/>
            <w:t>de discrimination à l</w:t>
          </w:r>
          <w:r w:rsidR="009C07DF">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782B4584" w14:textId="77777777" w:rsidR="00AF21D6" w:rsidRPr="009C07DF" w:rsidRDefault="00AF21D6" w:rsidP="00AF21D6">
          <w:pPr>
            <w:pStyle w:val="Header"/>
            <w:spacing w:before="109"/>
            <w:rPr>
              <w:lang w:val="fr-CA"/>
            </w:rPr>
          </w:pPr>
        </w:p>
      </w:tc>
      <w:tc>
        <w:tcPr>
          <w:tcW w:w="3110" w:type="dxa"/>
          <w:tcBorders>
            <w:top w:val="single" w:sz="4" w:space="0" w:color="auto"/>
            <w:bottom w:val="single" w:sz="12" w:space="0" w:color="auto"/>
          </w:tcBorders>
          <w:shd w:val="clear" w:color="auto" w:fill="auto"/>
        </w:tcPr>
        <w:p w14:paraId="6B14DE4A" w14:textId="77777777" w:rsidR="00AF21D6" w:rsidRPr="009C07DF" w:rsidRDefault="00AF21D6" w:rsidP="00AF21D6">
          <w:pPr>
            <w:pStyle w:val="Distribution"/>
            <w:rPr>
              <w:color w:val="000000"/>
              <w:lang w:val="fr-CA"/>
            </w:rPr>
          </w:pPr>
          <w:r w:rsidRPr="009C07DF">
            <w:rPr>
              <w:color w:val="000000"/>
              <w:lang w:val="fr-CA"/>
            </w:rPr>
            <w:t>Distr. générale</w:t>
          </w:r>
        </w:p>
        <w:p w14:paraId="2263E17F" w14:textId="77777777" w:rsidR="00AF21D6" w:rsidRPr="009C07DF" w:rsidRDefault="00AF21D6" w:rsidP="00AF21D6">
          <w:pPr>
            <w:pStyle w:val="Publication"/>
            <w:rPr>
              <w:color w:val="000000"/>
              <w:lang w:val="fr-CA"/>
            </w:rPr>
          </w:pPr>
          <w:r w:rsidRPr="009C07DF">
            <w:rPr>
              <w:color w:val="000000"/>
              <w:lang w:val="fr-CA"/>
            </w:rPr>
            <w:t>11 juillet 2022</w:t>
          </w:r>
        </w:p>
        <w:p w14:paraId="487D7F2F" w14:textId="77777777" w:rsidR="00AF21D6" w:rsidRPr="009C07DF" w:rsidRDefault="00AF21D6" w:rsidP="00AF21D6">
          <w:pPr>
            <w:rPr>
              <w:lang w:val="fr-CA"/>
            </w:rPr>
          </w:pPr>
          <w:r w:rsidRPr="009C07DF">
            <w:rPr>
              <w:lang w:val="fr-CA"/>
            </w:rPr>
            <w:t>Français</w:t>
          </w:r>
        </w:p>
        <w:p w14:paraId="220DC087" w14:textId="77777777" w:rsidR="00AF21D6" w:rsidRDefault="00AF21D6" w:rsidP="00AF21D6">
          <w:pPr>
            <w:pStyle w:val="Original"/>
            <w:rPr>
              <w:color w:val="000000"/>
              <w:lang w:val="fr-CA"/>
            </w:rPr>
          </w:pPr>
          <w:r w:rsidRPr="009C07DF">
            <w:rPr>
              <w:color w:val="000000"/>
              <w:lang w:val="fr-CA"/>
            </w:rPr>
            <w:t>Original : anglais</w:t>
          </w:r>
        </w:p>
        <w:p w14:paraId="2F16DCE7" w14:textId="049FC39C" w:rsidR="009C07DF" w:rsidRPr="009C07DF" w:rsidRDefault="009C07DF" w:rsidP="009C07DF">
          <w:pPr>
            <w:rPr>
              <w:lang w:val="fr-CA"/>
            </w:rPr>
          </w:pPr>
          <w:r>
            <w:rPr>
              <w:color w:val="000000"/>
            </w:rPr>
            <w:t>A</w:t>
          </w:r>
          <w:r w:rsidRPr="00BB678C">
            <w:rPr>
              <w:color w:val="000000"/>
            </w:rPr>
            <w:t>nglais</w:t>
          </w:r>
          <w:r>
            <w:rPr>
              <w:color w:val="000000"/>
            </w:rPr>
            <w:t xml:space="preserve">, </w:t>
          </w:r>
          <w:r w:rsidRPr="00BB678C">
            <w:rPr>
              <w:color w:val="000000"/>
            </w:rPr>
            <w:t>espagnol</w:t>
          </w:r>
          <w:r>
            <w:rPr>
              <w:color w:val="000000"/>
            </w:rPr>
            <w:t xml:space="preserve"> et fr</w:t>
          </w:r>
          <w:r w:rsidRPr="00BB678C">
            <w:t>ançais</w:t>
          </w:r>
          <w:r>
            <w:t xml:space="preserve"> seulement</w:t>
          </w:r>
        </w:p>
      </w:tc>
    </w:tr>
  </w:tbl>
  <w:p w14:paraId="272CBD3F" w14:textId="77777777" w:rsidR="00AF21D6" w:rsidRPr="009C07DF" w:rsidRDefault="00AF21D6" w:rsidP="00AF21D6">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1C38D0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B1571"/>
    <w:multiLevelType w:val="singleLevel"/>
    <w:tmpl w:val="975C2FDE"/>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revisionView w:markup="0"/>
  <w:defaultTabStop w:val="720"/>
  <w:hyphenationZone w:val="425"/>
  <w:doNotHyphenateCaps/>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836*"/>
    <w:docVar w:name="CreationDt" w:val="20/07/2022 3:41: PM"/>
    <w:docVar w:name="DocCategory" w:val="Doc"/>
    <w:docVar w:name="DocType" w:val="Final"/>
    <w:docVar w:name="DutyStation" w:val="New York"/>
    <w:docVar w:name="FooterJN" w:val="22-10836"/>
    <w:docVar w:name="jobn" w:val="22-10836 (F)"/>
    <w:docVar w:name="jobnDT" w:val="22-10836 (F)   200722"/>
    <w:docVar w:name="jobnDTDT" w:val="22-10836 (F)   200722   200722"/>
    <w:docVar w:name="JobNo" w:val="2210836F"/>
    <w:docVar w:name="JobNo2" w:val="2241766F"/>
    <w:docVar w:name="LocalDrive" w:val="0"/>
    <w:docVar w:name="OandT" w:val="cmd"/>
    <w:docVar w:name="Session1" w:val="Quatre-vingt-quatrième session_x000d_"/>
    <w:docVar w:name="sss1" w:val="CEDAW/C/PSWG/84/1"/>
    <w:docVar w:name="sss2" w:val="-"/>
    <w:docVar w:name="Symbol1" w:val="CEDAW/C/PSWG/84/1"/>
    <w:docVar w:name="Symbol2" w:val="-"/>
    <w:docVar w:name="Title1" w:val="_x0009__x0009_Examen des rapports soumis par les États parties en application de l’article 18 de la Convention sur l’élimination de toutes les formes de discrimination  à l’égard des femmes _x000d_"/>
    <w:docVar w:name="Title2" w:val="_x0009__x0009_Rapport du groupe de travail de présession_x000d_"/>
  </w:docVars>
  <w:rsids>
    <w:rsidRoot w:val="00777027"/>
    <w:rsid w:val="00002584"/>
    <w:rsid w:val="0006491F"/>
    <w:rsid w:val="00071D43"/>
    <w:rsid w:val="00082144"/>
    <w:rsid w:val="000B3E06"/>
    <w:rsid w:val="000D6208"/>
    <w:rsid w:val="00101B18"/>
    <w:rsid w:val="00122A56"/>
    <w:rsid w:val="00134FEE"/>
    <w:rsid w:val="00137FA0"/>
    <w:rsid w:val="001444EF"/>
    <w:rsid w:val="00146C6A"/>
    <w:rsid w:val="00166A0D"/>
    <w:rsid w:val="001B79E4"/>
    <w:rsid w:val="001C159C"/>
    <w:rsid w:val="001E2379"/>
    <w:rsid w:val="001E4B50"/>
    <w:rsid w:val="00245107"/>
    <w:rsid w:val="00245FDC"/>
    <w:rsid w:val="002478A0"/>
    <w:rsid w:val="00297042"/>
    <w:rsid w:val="002A5E20"/>
    <w:rsid w:val="00304057"/>
    <w:rsid w:val="0030765E"/>
    <w:rsid w:val="00360FC2"/>
    <w:rsid w:val="00365369"/>
    <w:rsid w:val="00366D21"/>
    <w:rsid w:val="003905FA"/>
    <w:rsid w:val="003A2E06"/>
    <w:rsid w:val="003A675A"/>
    <w:rsid w:val="003F61E1"/>
    <w:rsid w:val="00410BE8"/>
    <w:rsid w:val="00420DE1"/>
    <w:rsid w:val="004249E8"/>
    <w:rsid w:val="004251DB"/>
    <w:rsid w:val="00437720"/>
    <w:rsid w:val="00440C93"/>
    <w:rsid w:val="00472B7F"/>
    <w:rsid w:val="00480B84"/>
    <w:rsid w:val="004A3640"/>
    <w:rsid w:val="004B64F9"/>
    <w:rsid w:val="004C1A25"/>
    <w:rsid w:val="00515991"/>
    <w:rsid w:val="005225EC"/>
    <w:rsid w:val="00525097"/>
    <w:rsid w:val="005509B6"/>
    <w:rsid w:val="00571235"/>
    <w:rsid w:val="00577A36"/>
    <w:rsid w:val="00580CF2"/>
    <w:rsid w:val="005B3960"/>
    <w:rsid w:val="005B398E"/>
    <w:rsid w:val="005C03A7"/>
    <w:rsid w:val="005C0EE8"/>
    <w:rsid w:val="005C5330"/>
    <w:rsid w:val="005D1F37"/>
    <w:rsid w:val="005F1F5F"/>
    <w:rsid w:val="005F3B36"/>
    <w:rsid w:val="00612D2B"/>
    <w:rsid w:val="00632C10"/>
    <w:rsid w:val="00690698"/>
    <w:rsid w:val="006A5EE4"/>
    <w:rsid w:val="006A72AB"/>
    <w:rsid w:val="006C36AB"/>
    <w:rsid w:val="006D1564"/>
    <w:rsid w:val="006D72A1"/>
    <w:rsid w:val="006E445F"/>
    <w:rsid w:val="006E4A4B"/>
    <w:rsid w:val="006E5107"/>
    <w:rsid w:val="00703106"/>
    <w:rsid w:val="00703BA4"/>
    <w:rsid w:val="00703F28"/>
    <w:rsid w:val="00714C66"/>
    <w:rsid w:val="007459AE"/>
    <w:rsid w:val="007531A5"/>
    <w:rsid w:val="00771C9E"/>
    <w:rsid w:val="00777027"/>
    <w:rsid w:val="00781191"/>
    <w:rsid w:val="007B3B14"/>
    <w:rsid w:val="007C0669"/>
    <w:rsid w:val="007D3C92"/>
    <w:rsid w:val="007E1619"/>
    <w:rsid w:val="0082045E"/>
    <w:rsid w:val="008222A3"/>
    <w:rsid w:val="00883D3C"/>
    <w:rsid w:val="00886CF2"/>
    <w:rsid w:val="008F3462"/>
    <w:rsid w:val="0090104D"/>
    <w:rsid w:val="0090356B"/>
    <w:rsid w:val="009237A6"/>
    <w:rsid w:val="00924455"/>
    <w:rsid w:val="00935932"/>
    <w:rsid w:val="009547DC"/>
    <w:rsid w:val="00970151"/>
    <w:rsid w:val="00993CB7"/>
    <w:rsid w:val="00994877"/>
    <w:rsid w:val="009C07DF"/>
    <w:rsid w:val="009C3BFE"/>
    <w:rsid w:val="009D0EE3"/>
    <w:rsid w:val="009D1183"/>
    <w:rsid w:val="009E3220"/>
    <w:rsid w:val="009F40B9"/>
    <w:rsid w:val="00A13F4D"/>
    <w:rsid w:val="00A2494D"/>
    <w:rsid w:val="00A45065"/>
    <w:rsid w:val="00A536A1"/>
    <w:rsid w:val="00A84655"/>
    <w:rsid w:val="00A97F01"/>
    <w:rsid w:val="00AA5F87"/>
    <w:rsid w:val="00AB0B7D"/>
    <w:rsid w:val="00AD5F2F"/>
    <w:rsid w:val="00AF21D6"/>
    <w:rsid w:val="00B60E67"/>
    <w:rsid w:val="00B743B0"/>
    <w:rsid w:val="00B858D5"/>
    <w:rsid w:val="00C0061D"/>
    <w:rsid w:val="00C138C6"/>
    <w:rsid w:val="00C50390"/>
    <w:rsid w:val="00C51018"/>
    <w:rsid w:val="00C85E02"/>
    <w:rsid w:val="00C92AB9"/>
    <w:rsid w:val="00CB06FB"/>
    <w:rsid w:val="00CB1365"/>
    <w:rsid w:val="00CB63C5"/>
    <w:rsid w:val="00CF4B31"/>
    <w:rsid w:val="00D13E84"/>
    <w:rsid w:val="00D30EED"/>
    <w:rsid w:val="00D35ED0"/>
    <w:rsid w:val="00D42C0D"/>
    <w:rsid w:val="00DA3713"/>
    <w:rsid w:val="00DC7881"/>
    <w:rsid w:val="00E07459"/>
    <w:rsid w:val="00E074F5"/>
    <w:rsid w:val="00E126C3"/>
    <w:rsid w:val="00E1382C"/>
    <w:rsid w:val="00E343A6"/>
    <w:rsid w:val="00E37972"/>
    <w:rsid w:val="00E443AC"/>
    <w:rsid w:val="00E47A1E"/>
    <w:rsid w:val="00E7105F"/>
    <w:rsid w:val="00E7792F"/>
    <w:rsid w:val="00E95552"/>
    <w:rsid w:val="00EC14C6"/>
    <w:rsid w:val="00EE37EC"/>
    <w:rsid w:val="00EF2DFA"/>
    <w:rsid w:val="00F313F6"/>
    <w:rsid w:val="00F36F94"/>
    <w:rsid w:val="00F5012D"/>
    <w:rsid w:val="00F61651"/>
    <w:rsid w:val="00F65ABC"/>
    <w:rsid w:val="00F6626C"/>
    <w:rsid w:val="00F73093"/>
    <w:rsid w:val="00FA3D05"/>
    <w:rsid w:val="00FA5CC9"/>
    <w:rsid w:val="00FB0A2C"/>
    <w:rsid w:val="00FC59F1"/>
    <w:rsid w:val="00FE744C"/>
    <w:rsid w:val="00FF75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4EB95"/>
  <w15:chartTrackingRefBased/>
  <w15:docId w15:val="{71AD5C01-6C40-4FB8-9F04-CF661E9B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1DB"/>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4251DB"/>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251DB"/>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251DB"/>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251DB"/>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251DB"/>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251DB"/>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251DB"/>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251DB"/>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251DB"/>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251DB"/>
    <w:pPr>
      <w:keepNext/>
      <w:keepLines/>
      <w:suppressAutoHyphens/>
      <w:spacing w:line="270" w:lineRule="exact"/>
      <w:outlineLvl w:val="0"/>
    </w:pPr>
    <w:rPr>
      <w:b/>
      <w:sz w:val="24"/>
    </w:rPr>
  </w:style>
  <w:style w:type="paragraph" w:customStyle="1" w:styleId="HCH">
    <w:name w:val="_ H _CH"/>
    <w:basedOn w:val="H1"/>
    <w:next w:val="Normal"/>
    <w:qFormat/>
    <w:rsid w:val="004251DB"/>
    <w:pPr>
      <w:spacing w:line="300" w:lineRule="exact"/>
    </w:pPr>
    <w:rPr>
      <w:spacing w:val="-2"/>
      <w:sz w:val="28"/>
    </w:rPr>
  </w:style>
  <w:style w:type="paragraph" w:customStyle="1" w:styleId="HM">
    <w:name w:val="_ H __M"/>
    <w:basedOn w:val="HCH"/>
    <w:next w:val="Normal"/>
    <w:qFormat/>
    <w:rsid w:val="004251DB"/>
    <w:pPr>
      <w:spacing w:line="360" w:lineRule="exact"/>
    </w:pPr>
    <w:rPr>
      <w:spacing w:val="-3"/>
      <w:w w:val="99"/>
      <w:sz w:val="34"/>
    </w:rPr>
  </w:style>
  <w:style w:type="paragraph" w:customStyle="1" w:styleId="H23">
    <w:name w:val="_ H_2/3"/>
    <w:basedOn w:val="H1"/>
    <w:next w:val="Normal"/>
    <w:qFormat/>
    <w:rsid w:val="004251DB"/>
    <w:pPr>
      <w:spacing w:line="240" w:lineRule="exact"/>
      <w:outlineLvl w:val="1"/>
    </w:pPr>
    <w:rPr>
      <w:spacing w:val="2"/>
      <w:sz w:val="20"/>
    </w:rPr>
  </w:style>
  <w:style w:type="paragraph" w:customStyle="1" w:styleId="H4">
    <w:name w:val="_ H_4"/>
    <w:basedOn w:val="Normal"/>
    <w:next w:val="Normal"/>
    <w:qFormat/>
    <w:rsid w:val="004251DB"/>
    <w:pPr>
      <w:keepNext/>
      <w:keepLines/>
      <w:tabs>
        <w:tab w:val="right" w:pos="360"/>
      </w:tabs>
      <w:suppressAutoHyphens/>
      <w:outlineLvl w:val="3"/>
    </w:pPr>
    <w:rPr>
      <w:i/>
      <w:spacing w:val="3"/>
    </w:rPr>
  </w:style>
  <w:style w:type="paragraph" w:customStyle="1" w:styleId="H56">
    <w:name w:val="_ H_5/6"/>
    <w:basedOn w:val="Normal"/>
    <w:next w:val="Normal"/>
    <w:qFormat/>
    <w:rsid w:val="004251D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251D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251D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251DB"/>
    <w:pPr>
      <w:spacing w:line="540" w:lineRule="exact"/>
    </w:pPr>
    <w:rPr>
      <w:spacing w:val="-8"/>
      <w:w w:val="96"/>
      <w:sz w:val="57"/>
    </w:rPr>
  </w:style>
  <w:style w:type="paragraph" w:customStyle="1" w:styleId="SS">
    <w:name w:val="__S_S"/>
    <w:basedOn w:val="HCH"/>
    <w:next w:val="Normal"/>
    <w:qFormat/>
    <w:rsid w:val="004251DB"/>
    <w:pPr>
      <w:ind w:left="1267" w:right="1267"/>
    </w:pPr>
  </w:style>
  <w:style w:type="paragraph" w:customStyle="1" w:styleId="SingleTxt">
    <w:name w:val="__Single Txt"/>
    <w:basedOn w:val="Normal"/>
    <w:qFormat/>
    <w:rsid w:val="004251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251DB"/>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4251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251D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251D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251DB"/>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251DB"/>
    <w:pPr>
      <w:numPr>
        <w:numId w:val="17"/>
      </w:numPr>
      <w:spacing w:after="120"/>
      <w:ind w:right="1267"/>
      <w:jc w:val="both"/>
    </w:pPr>
  </w:style>
  <w:style w:type="paragraph" w:customStyle="1" w:styleId="Bullet2">
    <w:name w:val="Bullet 2"/>
    <w:basedOn w:val="Normal"/>
    <w:qFormat/>
    <w:rsid w:val="004251DB"/>
    <w:pPr>
      <w:numPr>
        <w:numId w:val="18"/>
      </w:numPr>
      <w:spacing w:after="120"/>
      <w:ind w:right="1264"/>
      <w:jc w:val="both"/>
    </w:pPr>
  </w:style>
  <w:style w:type="paragraph" w:customStyle="1" w:styleId="Bullet3">
    <w:name w:val="Bullet 3"/>
    <w:basedOn w:val="SingleTxt"/>
    <w:qFormat/>
    <w:rsid w:val="004251DB"/>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251DB"/>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251D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251DB"/>
    <w:pPr>
      <w:spacing w:line="210" w:lineRule="exact"/>
    </w:pPr>
    <w:rPr>
      <w:sz w:val="17"/>
      <w:szCs w:val="20"/>
    </w:rPr>
  </w:style>
  <w:style w:type="character" w:customStyle="1" w:styleId="EndnoteTextChar">
    <w:name w:val="Endnote Text Char"/>
    <w:link w:val="EndnoteText"/>
    <w:uiPriority w:val="99"/>
    <w:semiHidden/>
    <w:rsid w:val="004251DB"/>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4251DB"/>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4251DB"/>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4251DB"/>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251DB"/>
    <w:pPr>
      <w:spacing w:line="210" w:lineRule="exact"/>
    </w:pPr>
    <w:rPr>
      <w:sz w:val="17"/>
      <w:szCs w:val="20"/>
    </w:rPr>
  </w:style>
  <w:style w:type="character" w:customStyle="1" w:styleId="FootnoteTextChar">
    <w:name w:val="Footnote Text Char"/>
    <w:link w:val="FootnoteText"/>
    <w:uiPriority w:val="99"/>
    <w:rsid w:val="004251DB"/>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4251DB"/>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4251DB"/>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4251D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251D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251D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251D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251D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251D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251D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251D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251DB"/>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251DB"/>
    <w:rPr>
      <w:sz w:val="14"/>
    </w:rPr>
  </w:style>
  <w:style w:type="paragraph" w:styleId="ListParagraph">
    <w:name w:val="List Paragraph"/>
    <w:basedOn w:val="Normal"/>
    <w:uiPriority w:val="34"/>
    <w:rsid w:val="004251DB"/>
    <w:pPr>
      <w:ind w:left="720"/>
      <w:contextualSpacing/>
    </w:pPr>
  </w:style>
  <w:style w:type="paragraph" w:styleId="NoSpacing">
    <w:name w:val="No Spacing"/>
    <w:uiPriority w:val="1"/>
    <w:rsid w:val="004251DB"/>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251D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251D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251D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251DB"/>
    <w:pPr>
      <w:tabs>
        <w:tab w:val="right" w:pos="9965"/>
      </w:tabs>
      <w:spacing w:line="210" w:lineRule="exact"/>
    </w:pPr>
    <w:rPr>
      <w:spacing w:val="5"/>
      <w:w w:val="104"/>
      <w:sz w:val="17"/>
    </w:rPr>
  </w:style>
  <w:style w:type="paragraph" w:customStyle="1" w:styleId="SmallX">
    <w:name w:val="SmallX"/>
    <w:basedOn w:val="Small"/>
    <w:next w:val="Normal"/>
    <w:qFormat/>
    <w:rsid w:val="004251DB"/>
    <w:pPr>
      <w:spacing w:line="180" w:lineRule="exact"/>
      <w:jc w:val="right"/>
    </w:pPr>
    <w:rPr>
      <w:spacing w:val="6"/>
      <w:w w:val="106"/>
      <w:sz w:val="14"/>
    </w:rPr>
  </w:style>
  <w:style w:type="character" w:styleId="Strong">
    <w:name w:val="Strong"/>
    <w:uiPriority w:val="22"/>
    <w:rsid w:val="004251DB"/>
    <w:rPr>
      <w:b/>
      <w:bCs/>
    </w:rPr>
  </w:style>
  <w:style w:type="paragraph" w:customStyle="1" w:styleId="Style1">
    <w:name w:val="Style1"/>
    <w:basedOn w:val="Normal"/>
    <w:qFormat/>
    <w:rsid w:val="004251DB"/>
  </w:style>
  <w:style w:type="paragraph" w:customStyle="1" w:styleId="Style2">
    <w:name w:val="Style2"/>
    <w:basedOn w:val="Normal"/>
    <w:autoRedefine/>
    <w:qFormat/>
    <w:rsid w:val="004251DB"/>
  </w:style>
  <w:style w:type="paragraph" w:customStyle="1" w:styleId="TitleHCH">
    <w:name w:val="Title_H_CH"/>
    <w:basedOn w:val="H1"/>
    <w:next w:val="Normal"/>
    <w:qFormat/>
    <w:rsid w:val="004251D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251D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251DB"/>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AF21D6"/>
    <w:rPr>
      <w:sz w:val="16"/>
      <w:szCs w:val="16"/>
    </w:rPr>
  </w:style>
  <w:style w:type="paragraph" w:styleId="CommentText">
    <w:name w:val="annotation text"/>
    <w:basedOn w:val="Normal"/>
    <w:link w:val="CommentTextChar"/>
    <w:uiPriority w:val="99"/>
    <w:semiHidden/>
    <w:unhideWhenUsed/>
    <w:rsid w:val="00AF21D6"/>
    <w:pPr>
      <w:spacing w:line="240" w:lineRule="auto"/>
    </w:pPr>
    <w:rPr>
      <w:szCs w:val="20"/>
    </w:rPr>
  </w:style>
  <w:style w:type="character" w:customStyle="1" w:styleId="CommentTextChar">
    <w:name w:val="Comment Text Char"/>
    <w:basedOn w:val="DefaultParagraphFont"/>
    <w:link w:val="CommentText"/>
    <w:uiPriority w:val="99"/>
    <w:semiHidden/>
    <w:rsid w:val="00AF21D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F21D6"/>
    <w:rPr>
      <w:b/>
      <w:bCs/>
    </w:rPr>
  </w:style>
  <w:style w:type="character" w:customStyle="1" w:styleId="CommentSubjectChar">
    <w:name w:val="Comment Subject Char"/>
    <w:basedOn w:val="CommentTextChar"/>
    <w:link w:val="CommentSubject"/>
    <w:uiPriority w:val="99"/>
    <w:semiHidden/>
    <w:rsid w:val="00AF21D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5B3960"/>
    <w:rPr>
      <w:color w:val="0000FF"/>
      <w:u w:val="none"/>
    </w:rPr>
  </w:style>
  <w:style w:type="character" w:styleId="FollowedHyperlink">
    <w:name w:val="FollowedHyperlink"/>
    <w:basedOn w:val="DefaultParagraphFont"/>
    <w:uiPriority w:val="99"/>
    <w:semiHidden/>
    <w:unhideWhenUsed/>
    <w:rsid w:val="005B3960"/>
    <w:rPr>
      <w:color w:val="0000FF"/>
      <w:u w:val="none"/>
    </w:rPr>
  </w:style>
  <w:style w:type="character" w:styleId="UnresolvedMention">
    <w:name w:val="Unresolved Mention"/>
    <w:basedOn w:val="DefaultParagraphFont"/>
    <w:uiPriority w:val="99"/>
    <w:semiHidden/>
    <w:unhideWhenUsed/>
    <w:rsid w:val="005B3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ISL/Q/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fr/CEDAW/C/RWA/Q/1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CAF/Q/6" TargetMode="External"/><Relationship Id="rId25"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PHL/Q/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NZL/QPR/9"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MCO/QPR/4" TargetMode="External"/><Relationship Id="rId10" Type="http://schemas.openxmlformats.org/officeDocument/2006/relationships/footer" Target="footer2.xml"/><Relationship Id="rId19" Type="http://schemas.openxmlformats.org/officeDocument/2006/relationships/hyperlink" Target="https://undocs.org/fr/CEDAW/C/MNE/Q/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VEN/Q/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6242</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Comité pour l’élimination de la discrimination à l’égard des femmes </vt:lpstr>
      <vt:lpstr>    Groupe de travail de présession</vt:lpstr>
      <vt:lpstr>    Quatre-vingt-quatrième session</vt:lpstr>
      <vt:lpstr>Examen des rapports soumis par les États parties en application de l’article 1</vt:lpstr>
      <vt:lpstr>Rapport du groupe de travail de présession</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Carmel-Marie Demesmin</cp:lastModifiedBy>
  <cp:revision>3</cp:revision>
  <cp:lastPrinted>2022-07-20T20:14:00Z</cp:lastPrinted>
  <dcterms:created xsi:type="dcterms:W3CDTF">2022-07-20T20:14:00Z</dcterms:created>
  <dcterms:modified xsi:type="dcterms:W3CDTF">2022-07-20T20:14:00Z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2210836F</vt:lpwstr>
  </property>
  <property fmtid="{D5CDD505-2E9C-101B-9397-08002B2CF9AE}" pid="3" name="ODSRefJobNo">
    <vt:lpwstr>2241766F</vt:lpwstr>
  </property>
  <property fmtid="{D5CDD505-2E9C-101B-9397-08002B2CF9AE}" pid="4" name="Symbol1">
    <vt:lpwstr>CEDAW/C/PSWG/84/1</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Session1">
    <vt:lpwstr>Quatre-vingt-quatrième session_x000d_</vt:lpwstr>
  </property>
  <property fmtid="{D5CDD505-2E9C-101B-9397-08002B2CF9AE}" pid="14" name="Title1">
    <vt:lpwstr>		Examen des rapports soumis par les États parties en application de l’article 18 de la Convention sur l’élimination de toutes les formes de discrimination  à l’égard des femmes _x000d_</vt:lpwstr>
  </property>
  <property fmtid="{D5CDD505-2E9C-101B-9397-08002B2CF9AE}" pid="15" name="Title2">
    <vt:lpwstr>		Rapport du groupe de travail de présession_x000d_</vt:lpwstr>
  </property>
</Properties>
</file>