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F579" w14:textId="77777777" w:rsidR="00690A37" w:rsidRPr="001D106C" w:rsidRDefault="00690A37" w:rsidP="00690A37">
      <w:pPr>
        <w:spacing w:line="240" w:lineRule="auto"/>
        <w:rPr>
          <w:sz w:val="2"/>
        </w:rPr>
        <w:sectPr w:rsidR="00690A37" w:rsidRPr="001D106C" w:rsidSect="007B010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1D106C">
        <w:rPr>
          <w:rStyle w:val="CommentReference"/>
        </w:rPr>
        <w:commentReference w:id="0"/>
      </w:r>
    </w:p>
    <w:p w14:paraId="3D7E8C7E" w14:textId="32187AEE" w:rsidR="007B0100" w:rsidRDefault="007B0100" w:rsidP="00626BE5">
      <w:pPr>
        <w:pStyle w:val="H1"/>
        <w:ind w:left="0" w:right="4176" w:firstLine="0"/>
      </w:pPr>
      <w:r>
        <w:t>Committee on the Elimination of Discrimination against Women</w:t>
      </w:r>
    </w:p>
    <w:p w14:paraId="3AE095AA" w14:textId="77777777" w:rsidR="007B0100" w:rsidRDefault="007B0100" w:rsidP="007B01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Pre-sessional working group</w:t>
      </w:r>
    </w:p>
    <w:p w14:paraId="54DA7712" w14:textId="77777777" w:rsidR="007B0100" w:rsidRDefault="007B0100" w:rsidP="007B0100">
      <w:pPr>
        <w:pStyle w:val="Session"/>
      </w:pPr>
      <w:r>
        <w:t>Eighty-fourth session</w:t>
      </w:r>
    </w:p>
    <w:p w14:paraId="5C16BEFC" w14:textId="77777777" w:rsidR="007B0100" w:rsidRDefault="007B0100" w:rsidP="007B0100">
      <w:r>
        <w:t>4–8 July 2022</w:t>
      </w:r>
    </w:p>
    <w:p w14:paraId="6FA9B464" w14:textId="4155B376" w:rsidR="007B0100" w:rsidRPr="00626BE5" w:rsidRDefault="007B0100" w:rsidP="00626BE5">
      <w:pPr>
        <w:pStyle w:val="SingleTxt"/>
        <w:spacing w:after="0" w:line="120" w:lineRule="exact"/>
        <w:rPr>
          <w:sz w:val="10"/>
        </w:rPr>
      </w:pPr>
    </w:p>
    <w:p w14:paraId="0FD286DE" w14:textId="1A8CB3B0" w:rsidR="00626BE5" w:rsidRPr="00626BE5" w:rsidRDefault="00626BE5" w:rsidP="00626BE5">
      <w:pPr>
        <w:pStyle w:val="SingleTxt"/>
        <w:spacing w:after="0" w:line="120" w:lineRule="exact"/>
        <w:rPr>
          <w:sz w:val="10"/>
        </w:rPr>
      </w:pPr>
    </w:p>
    <w:p w14:paraId="22D633E4" w14:textId="0E917A36" w:rsidR="00626BE5" w:rsidRPr="00626BE5" w:rsidRDefault="00626BE5" w:rsidP="00626BE5">
      <w:pPr>
        <w:pStyle w:val="SingleTxt"/>
        <w:spacing w:after="0" w:line="120" w:lineRule="exact"/>
        <w:rPr>
          <w:sz w:val="10"/>
        </w:rPr>
      </w:pPr>
    </w:p>
    <w:p w14:paraId="4769C26F" w14:textId="02EA5C7C" w:rsidR="007B0100" w:rsidRDefault="007B0100" w:rsidP="00626BE5">
      <w:pPr>
        <w:pStyle w:val="TitleHCH"/>
        <w:ind w:left="1267" w:right="1267"/>
      </w:pPr>
      <w:r>
        <w:t>Consideration of reports submitted by States parties under article 18 of the Convention on the Elimination of All Forms of Discrimination against Women</w:t>
      </w:r>
    </w:p>
    <w:p w14:paraId="3F54EA2D" w14:textId="73EAA323" w:rsidR="007B0100" w:rsidRPr="00626BE5" w:rsidRDefault="007B0100" w:rsidP="00626BE5">
      <w:pPr>
        <w:pStyle w:val="SingleTxt"/>
        <w:spacing w:after="0" w:line="120" w:lineRule="exact"/>
        <w:rPr>
          <w:sz w:val="10"/>
        </w:rPr>
      </w:pPr>
    </w:p>
    <w:p w14:paraId="0B81685C" w14:textId="7E8D5886" w:rsidR="00626BE5" w:rsidRPr="00626BE5" w:rsidRDefault="00626BE5" w:rsidP="00626BE5">
      <w:pPr>
        <w:pStyle w:val="SingleTxt"/>
        <w:spacing w:after="0" w:line="120" w:lineRule="exact"/>
        <w:rPr>
          <w:sz w:val="10"/>
        </w:rPr>
      </w:pPr>
    </w:p>
    <w:p w14:paraId="589AA758" w14:textId="5A544B2C" w:rsidR="007B0100" w:rsidRDefault="007B0100" w:rsidP="00626BE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firstLine="0"/>
      </w:pPr>
      <w:r>
        <w:t>Report of the pre-sessional working group</w:t>
      </w:r>
    </w:p>
    <w:p w14:paraId="4012B9FA" w14:textId="6ED4C820" w:rsidR="007B0100" w:rsidRPr="00626BE5" w:rsidRDefault="007B0100" w:rsidP="00626BE5">
      <w:pPr>
        <w:pStyle w:val="SingleTxt"/>
        <w:spacing w:after="0" w:line="120" w:lineRule="exact"/>
        <w:rPr>
          <w:sz w:val="10"/>
        </w:rPr>
      </w:pPr>
    </w:p>
    <w:p w14:paraId="740E581A" w14:textId="6556CD9C" w:rsidR="00626BE5" w:rsidRPr="00626BE5" w:rsidRDefault="00626BE5" w:rsidP="00626BE5">
      <w:pPr>
        <w:pStyle w:val="SingleTxt"/>
        <w:spacing w:after="0" w:line="120" w:lineRule="exact"/>
        <w:rPr>
          <w:sz w:val="10"/>
        </w:rPr>
      </w:pPr>
    </w:p>
    <w:p w14:paraId="1E6CE0DC" w14:textId="77777777" w:rsidR="007B0100" w:rsidRDefault="007B0100" w:rsidP="007B0100">
      <w:pPr>
        <w:pStyle w:val="SingleTxt"/>
      </w:pPr>
      <w:r>
        <w:t>1.</w:t>
      </w:r>
      <w:r>
        <w:tab/>
        <w:t>It is the practice of the Committee on the Elimination of Discrimination against Women to convene a pre-sessional working group for five days to prepare lists of issues and questions relating to the periodic reports that will be considered by the Committee at an upcoming session.</w:t>
      </w:r>
    </w:p>
    <w:p w14:paraId="51FB19A2" w14:textId="77777777" w:rsidR="007B0100" w:rsidRDefault="007B0100" w:rsidP="007B0100">
      <w:pPr>
        <w:pStyle w:val="SingleTxt"/>
      </w:pPr>
      <w:r>
        <w:t>2.</w:t>
      </w:r>
      <w:r>
        <w:tab/>
        <w:t>The Committee decided that the pre-sessional working group for its eighty-fourth session would meet from 4 to 8 July 2022, immediately after the eighty-second session, in order to ensure that sufficient time would be available to States parties to submit their written replies to the list of issues and questions and to ensure their timely translation.</w:t>
      </w:r>
    </w:p>
    <w:p w14:paraId="29134128" w14:textId="77777777" w:rsidR="007B0100" w:rsidRDefault="007B0100" w:rsidP="007B0100">
      <w:pPr>
        <w:pStyle w:val="SingleTxt"/>
      </w:pPr>
      <w:r>
        <w:t>3.</w:t>
      </w:r>
      <w:r>
        <w:tab/>
        <w:t>The following experts were designated as members of the pre-sessional working group and attended the session:</w:t>
      </w:r>
    </w:p>
    <w:p w14:paraId="62B7652F" w14:textId="6565F50F" w:rsidR="007B0100" w:rsidRPr="007B0100" w:rsidRDefault="007B0100" w:rsidP="0009305F">
      <w:pPr>
        <w:pStyle w:val="SingleTxt"/>
        <w:spacing w:after="0"/>
        <w:ind w:left="1742"/>
        <w:rPr>
          <w:lang w:val="es-ES"/>
        </w:rPr>
      </w:pPr>
      <w:r w:rsidRPr="007B0100">
        <w:rPr>
          <w:lang w:val="es-ES"/>
        </w:rPr>
        <w:t>Rosario G. Manalo</w:t>
      </w:r>
    </w:p>
    <w:p w14:paraId="30B1AB1F" w14:textId="77777777" w:rsidR="007B0100" w:rsidRPr="007B0100" w:rsidRDefault="007B0100" w:rsidP="0009305F">
      <w:pPr>
        <w:pStyle w:val="SingleTxt"/>
        <w:spacing w:after="0"/>
        <w:ind w:left="1742"/>
        <w:rPr>
          <w:lang w:val="es-ES"/>
        </w:rPr>
      </w:pPr>
      <w:r w:rsidRPr="007B0100">
        <w:rPr>
          <w:lang w:val="es-ES"/>
        </w:rPr>
        <w:t>Lia Nadaraia</w:t>
      </w:r>
    </w:p>
    <w:p w14:paraId="2AFE7F15" w14:textId="77777777" w:rsidR="007B0100" w:rsidRPr="002744EC" w:rsidRDefault="007B0100" w:rsidP="0009305F">
      <w:pPr>
        <w:pStyle w:val="SingleTxt"/>
        <w:spacing w:after="0"/>
        <w:ind w:left="1742"/>
        <w:rPr>
          <w:lang w:val="es-ES"/>
        </w:rPr>
      </w:pPr>
      <w:r w:rsidRPr="002744EC">
        <w:rPr>
          <w:lang w:val="es-ES"/>
        </w:rPr>
        <w:t>Ana Peláez Narváez</w:t>
      </w:r>
    </w:p>
    <w:p w14:paraId="005E12AA" w14:textId="77777777" w:rsidR="007B0100" w:rsidRDefault="007B0100" w:rsidP="0009305F">
      <w:pPr>
        <w:pStyle w:val="SingleTxt"/>
        <w:spacing w:after="0"/>
        <w:ind w:left="1742"/>
      </w:pPr>
      <w:r>
        <w:t>Rhoda Reddock</w:t>
      </w:r>
    </w:p>
    <w:p w14:paraId="33FEA28E" w14:textId="77777777" w:rsidR="007B0100" w:rsidRDefault="007B0100" w:rsidP="0009305F">
      <w:pPr>
        <w:pStyle w:val="SingleTxt"/>
        <w:ind w:left="1742"/>
      </w:pPr>
      <w:r>
        <w:t>Franceline Toé-Bouda</w:t>
      </w:r>
    </w:p>
    <w:p w14:paraId="4AAEEE2A" w14:textId="77777777" w:rsidR="007B0100" w:rsidRDefault="007B0100" w:rsidP="007B0100">
      <w:pPr>
        <w:pStyle w:val="SingleTxt"/>
      </w:pPr>
      <w:r>
        <w:t>4.</w:t>
      </w:r>
      <w:r>
        <w:tab/>
        <w:t>The pre-sessional working group elected Ms. Toé-Bouda as its Chair.</w:t>
      </w:r>
    </w:p>
    <w:p w14:paraId="33F39B8C" w14:textId="2D100821" w:rsidR="007B0100" w:rsidRDefault="007B0100" w:rsidP="007B0100">
      <w:pPr>
        <w:pStyle w:val="SingleTxt"/>
      </w:pPr>
      <w:r>
        <w:t>5.</w:t>
      </w:r>
      <w:r>
        <w:tab/>
        <w:t>The pre-sessional working group prepared lists of issues and questions in relation to the reports of the Central African Republic, Iceland, Montenegro, the Philippines, Rwanda and Venezuela</w:t>
      </w:r>
      <w:r w:rsidR="00CE74F5">
        <w:t xml:space="preserve"> (</w:t>
      </w:r>
      <w:bookmarkStart w:id="1" w:name="BeginPage"/>
      <w:bookmarkEnd w:id="1"/>
      <w:r w:rsidR="00CE74F5">
        <w:t>Bolivarian Republic of)</w:t>
      </w:r>
      <w:r>
        <w:t xml:space="preserve">, in addition to lists of issues and questions prior to the submission of the reports of Monaco and New Zealand under the simplified reporting procedure. The pre-sessional working group was guided by Committee decisions 49/IX, 59/IV and 64/II, according to which the Committee decided to limit lists of issues and questions and lists of issues and </w:t>
      </w:r>
      <w:r>
        <w:lastRenderedPageBreak/>
        <w:t>questions prior to reporting to 20 and 25 paragraphs, respectively. However, in practice and exceptionally, some lists of issues and questions contain a maximum of 23 paragraphs.</w:t>
      </w:r>
    </w:p>
    <w:p w14:paraId="23A31EFB" w14:textId="167B4B32" w:rsidR="007B0100" w:rsidRDefault="007B0100" w:rsidP="007B0100">
      <w:pPr>
        <w:pStyle w:val="SingleTxt"/>
      </w:pPr>
      <w:r>
        <w:t>6.</w:t>
      </w:r>
      <w:r>
        <w:tab/>
        <w:t>To assist in the preparation of the lists of issues and questions, the pre-sessional working group had at its disposal electronic versions of the core documents of the States parties listed above. It also had at its disposal the reports of the States parties listed above, with the exception of Monaco and New Zealand, which will submit their periodic reports in response to the lists of issues and questions prior to reporting. It further had before it the general recommendations adopted by the Committee; draft lists of issues and questions and list of issues and questions prior to reporting prepared by the secretariat; and other pertinent information, including concluding observations of the Committee and other treaty bodies, as relevant. In preparing the lists, the pre</w:t>
      </w:r>
      <w:r w:rsidR="00FB09D8">
        <w:noBreakHyphen/>
      </w:r>
      <w:r>
        <w:t>sessional working group paid particular attention to the States parties’ follow-up to the concluding observations of the Committee on their previous reports.</w:t>
      </w:r>
    </w:p>
    <w:p w14:paraId="43E843D9" w14:textId="19A619E0" w:rsidR="007B0100" w:rsidRDefault="007B0100" w:rsidP="007B0100">
      <w:pPr>
        <w:pStyle w:val="SingleTxt"/>
      </w:pPr>
      <w:r>
        <w:t>7.</w:t>
      </w:r>
      <w:r>
        <w:tab/>
        <w:t>The pre-sessional working group benefited from written and oral information submitted by entities of the United Nations system and non-governmental organizations, as well as by national human rights institutions and other national bodies with a mandate to work on women’s rights and gender equality, with regard to the States parties listed above.</w:t>
      </w:r>
    </w:p>
    <w:p w14:paraId="407FAC4E" w14:textId="1242EB28" w:rsidR="007B0100" w:rsidRDefault="007B0100" w:rsidP="007B0100">
      <w:pPr>
        <w:pStyle w:val="SingleTxt"/>
      </w:pPr>
      <w:r>
        <w:t>8.</w:t>
      </w:r>
      <w:r>
        <w:tab/>
        <w:t>The lists of issues and questions and lists of issues and questions prior to reporting adopted by the pre-sessional working group were transmitted to the States parties concerned and are contained in the following documents:</w:t>
      </w:r>
    </w:p>
    <w:p w14:paraId="7D020952" w14:textId="13976B74" w:rsidR="007B0100" w:rsidRDefault="007B0100" w:rsidP="007B0100">
      <w:pPr>
        <w:pStyle w:val="SingleTxt"/>
      </w:pPr>
      <w:r>
        <w:tab/>
        <w:t>(a)</w:t>
      </w:r>
      <w:r>
        <w:tab/>
        <w:t>List of issues and questions in relation to the sixth periodic report of the Central African Republic (</w:t>
      </w:r>
      <w:hyperlink r:id="rId18" w:history="1">
        <w:r w:rsidRPr="009769A0">
          <w:rPr>
            <w:rStyle w:val="Hyperlink"/>
          </w:rPr>
          <w:t>CEDAW/C/CAF/Q/6</w:t>
        </w:r>
      </w:hyperlink>
      <w:r>
        <w:t>);</w:t>
      </w:r>
    </w:p>
    <w:p w14:paraId="522C7896" w14:textId="3302015B" w:rsidR="007B0100" w:rsidRDefault="007B0100" w:rsidP="007B0100">
      <w:pPr>
        <w:pStyle w:val="SingleTxt"/>
      </w:pPr>
      <w:r>
        <w:tab/>
        <w:t>(b)</w:t>
      </w:r>
      <w:r>
        <w:tab/>
        <w:t>List of issues and questions in relation to the ninth periodic report of Iceland (</w:t>
      </w:r>
      <w:hyperlink r:id="rId19" w:history="1">
        <w:r w:rsidRPr="009769A0">
          <w:rPr>
            <w:rStyle w:val="Hyperlink"/>
          </w:rPr>
          <w:t>CEDAW/C/ISL/Q/9</w:t>
        </w:r>
      </w:hyperlink>
      <w:r>
        <w:t>);</w:t>
      </w:r>
    </w:p>
    <w:p w14:paraId="0F1AFE9E" w14:textId="6EFACD15" w:rsidR="007B0100" w:rsidRDefault="007B0100" w:rsidP="007B0100">
      <w:pPr>
        <w:pStyle w:val="SingleTxt"/>
      </w:pPr>
      <w:r>
        <w:tab/>
        <w:t>(c)</w:t>
      </w:r>
      <w:r>
        <w:tab/>
        <w:t>List of issues and questions in relation to the third periodic report of Montenegro (</w:t>
      </w:r>
      <w:hyperlink r:id="rId20" w:history="1">
        <w:r w:rsidRPr="009769A0">
          <w:rPr>
            <w:rStyle w:val="Hyperlink"/>
          </w:rPr>
          <w:t>CEDAW/C/MNE/Q/3</w:t>
        </w:r>
      </w:hyperlink>
      <w:r>
        <w:t>);</w:t>
      </w:r>
    </w:p>
    <w:p w14:paraId="19A6AAFF" w14:textId="269A9458" w:rsidR="007B0100" w:rsidRDefault="007B0100" w:rsidP="007B0100">
      <w:pPr>
        <w:pStyle w:val="SingleTxt"/>
      </w:pPr>
      <w:r>
        <w:tab/>
        <w:t>(d)</w:t>
      </w:r>
      <w:r>
        <w:tab/>
        <w:t>List of issues and questions in relation to the ninth periodic report of the Philippines (</w:t>
      </w:r>
      <w:hyperlink r:id="rId21" w:history="1">
        <w:r w:rsidRPr="009769A0">
          <w:rPr>
            <w:rStyle w:val="Hyperlink"/>
          </w:rPr>
          <w:t>CEDAW/C/PHL/Q/9</w:t>
        </w:r>
      </w:hyperlink>
      <w:r>
        <w:t>);</w:t>
      </w:r>
    </w:p>
    <w:p w14:paraId="29FAC9F0" w14:textId="1339B53C" w:rsidR="007B0100" w:rsidRDefault="007B0100" w:rsidP="007B0100">
      <w:pPr>
        <w:pStyle w:val="SingleTxt"/>
      </w:pPr>
      <w:r>
        <w:tab/>
        <w:t>(e)</w:t>
      </w:r>
      <w:r>
        <w:tab/>
        <w:t>List of issues and questions in relation to the tenth periodic report of Rwanda (</w:t>
      </w:r>
      <w:hyperlink r:id="rId22" w:history="1">
        <w:r w:rsidRPr="009769A0">
          <w:rPr>
            <w:rStyle w:val="Hyperlink"/>
          </w:rPr>
          <w:t>CEDAW/C/RWA/Q/10</w:t>
        </w:r>
      </w:hyperlink>
      <w:r>
        <w:t>);</w:t>
      </w:r>
    </w:p>
    <w:p w14:paraId="1521B2BD" w14:textId="27EA7A4B" w:rsidR="007B0100" w:rsidRDefault="007B0100" w:rsidP="007B0100">
      <w:pPr>
        <w:pStyle w:val="SingleTxt"/>
      </w:pPr>
      <w:r>
        <w:tab/>
        <w:t>(f)</w:t>
      </w:r>
      <w:r>
        <w:tab/>
        <w:t>List of issues and questions in relation to the ninth periodic report of the Bolivarian Republic of Venezuela (</w:t>
      </w:r>
      <w:hyperlink r:id="rId23" w:history="1">
        <w:r w:rsidRPr="009769A0">
          <w:rPr>
            <w:rStyle w:val="Hyperlink"/>
          </w:rPr>
          <w:t>CEDAW/C/VEN/Q/9</w:t>
        </w:r>
      </w:hyperlink>
      <w:r>
        <w:t>);</w:t>
      </w:r>
    </w:p>
    <w:p w14:paraId="48D2B921" w14:textId="69624B43" w:rsidR="007B0100" w:rsidRDefault="007B0100" w:rsidP="007B0100">
      <w:pPr>
        <w:pStyle w:val="SingleTxt"/>
      </w:pPr>
      <w:r>
        <w:tab/>
        <w:t>(g)</w:t>
      </w:r>
      <w:r>
        <w:tab/>
        <w:t>List of issues and questions prior to the submission of the fourth periodic report of Monaco (</w:t>
      </w:r>
      <w:hyperlink r:id="rId24" w:history="1">
        <w:r w:rsidRPr="009769A0">
          <w:rPr>
            <w:rStyle w:val="Hyperlink"/>
          </w:rPr>
          <w:t>CEDAW/C/MCO/QPR/4</w:t>
        </w:r>
      </w:hyperlink>
      <w:r>
        <w:t>);</w:t>
      </w:r>
    </w:p>
    <w:p w14:paraId="5714F0DE" w14:textId="7AEE3622" w:rsidR="007B0100" w:rsidRDefault="007B0100" w:rsidP="007B0100">
      <w:pPr>
        <w:pStyle w:val="SingleTxt"/>
      </w:pPr>
      <w:r>
        <w:tab/>
        <w:t>(h)</w:t>
      </w:r>
      <w:r>
        <w:tab/>
        <w:t>List of issues and questions prior to the submission of the ninth periodic report of New Zealand (</w:t>
      </w:r>
      <w:hyperlink r:id="rId25" w:history="1">
        <w:r w:rsidRPr="009769A0">
          <w:rPr>
            <w:rStyle w:val="Hyperlink"/>
          </w:rPr>
          <w:t>CEDAW/C/NZL/QPR/9</w:t>
        </w:r>
      </w:hyperlink>
      <w:r>
        <w:t>).</w:t>
      </w:r>
    </w:p>
    <w:p w14:paraId="5969523C" w14:textId="30557C29" w:rsidR="007B0100" w:rsidRDefault="007B0100" w:rsidP="007B0100">
      <w:pPr>
        <w:pStyle w:val="SingleTxt"/>
      </w:pPr>
      <w:r>
        <w:t>9.</w:t>
      </w:r>
      <w:r>
        <w:tab/>
        <w:t>In accordance with Committee decisions 22/IV, 25/II and 31/III, the lists of issues and questions were focused on themes addressed by the Convention, as well as on the linkages between relevant themes and the Sustainable Development Goals. Those themes included the constitutional and legislative framework and the definition of discrimination against women; the visibility of the Convention and the Optional Protocol thereto; reservations to the Convention and the Optional Protocol thereto</w:t>
      </w:r>
      <w:r w:rsidR="00F26AD6">
        <w:t>;</w:t>
      </w:r>
      <w:r>
        <w:t xml:space="preserve"> women’s rights and gender equality in relation to the pandemic and recovery efforts; women’s access to justice; women and peace and security; national machineries for the advancement of women; national human rights institutions; temporary special measures for the advancement of women; stereotypes and harmful practices; gender-based violence against women and girls; sexual violence against women in conflict </w:t>
      </w:r>
      <w:r>
        <w:lastRenderedPageBreak/>
        <w:t>situations; trafficking in women and girls and exploitation of prostitution; the participation of women in political and public life; nationality; education; employment; sexual harassment in the workplace; health; economic empowerment and social benefits; climate change and disaster risk reduction; rural women; equality in marriage and family relations; and intersecting forms of discrimination faced by disadvantaged groups of women, such as older women, rural women, women living in poverty, women with disabilities, indigenous women, women of African descent, Roma and Egyptian women in Montenegro</w:t>
      </w:r>
      <w:r w:rsidR="00F26AD6">
        <w:t>,</w:t>
      </w:r>
      <w:r>
        <w:t xml:space="preserve"> women belonging to other ethnic or religious minority groups, women in detention, women human rights defenders, migrant women, including women migrant domestic workers, asylum-seeking, refugee and stateless women, women of foreign origin, and lesbian, bisexual, transgender and intersex women.</w:t>
      </w:r>
    </w:p>
    <w:p w14:paraId="1476770A" w14:textId="55E0C64E" w:rsidR="00690A37" w:rsidRPr="007B0100" w:rsidRDefault="00F26AD6" w:rsidP="00690A37">
      <w:pPr>
        <w:pStyle w:val="SingleTxt"/>
      </w:pPr>
      <w:r>
        <w:rPr>
          <w:noProof/>
          <w:w w:val="100"/>
        </w:rPr>
        <mc:AlternateContent>
          <mc:Choice Requires="wps">
            <w:drawing>
              <wp:anchor distT="0" distB="0" distL="114300" distR="114300" simplePos="0" relativeHeight="251659264" behindDoc="0" locked="0" layoutInCell="1" allowOverlap="1" wp14:anchorId="2B2481D8" wp14:editId="436A0F2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E825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90A37" w:rsidRPr="007B0100" w:rsidSect="007B010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19T16:34:00Z" w:initials="Start">
    <w:p w14:paraId="6B777F5B" w14:textId="77777777" w:rsidR="00690A37" w:rsidRDefault="00690A37">
      <w:pPr>
        <w:pStyle w:val="CommentText"/>
      </w:pPr>
      <w:r>
        <w:rPr>
          <w:rStyle w:val="CommentReference"/>
        </w:rPr>
        <w:annotationRef/>
      </w:r>
      <w:r>
        <w:t>&lt;&lt;ODS JOB NO&gt;&gt;N2241765E&lt;&lt;ODS JOB NO&gt;&gt;</w:t>
      </w:r>
    </w:p>
    <w:p w14:paraId="3F0AF270" w14:textId="77777777" w:rsidR="00690A37" w:rsidRDefault="00690A37">
      <w:pPr>
        <w:pStyle w:val="CommentText"/>
      </w:pPr>
      <w:r>
        <w:t>&lt;&lt;ODS DOC SYMBOL1&gt;&gt;CEDAW/C/PSWG/84/1&lt;&lt;ODS DOC SYMBOL1&gt;&gt;</w:t>
      </w:r>
    </w:p>
    <w:p w14:paraId="59669AEB" w14:textId="22038077" w:rsidR="00690A37" w:rsidRDefault="00690A3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69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5B89" w16cex:dateUtc="2022-07-19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69AEB" w16cid:durableId="26815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6990" w14:textId="77777777" w:rsidR="001E217F" w:rsidRDefault="001E217F" w:rsidP="00556720">
      <w:r>
        <w:separator/>
      </w:r>
    </w:p>
  </w:endnote>
  <w:endnote w:type="continuationSeparator" w:id="0">
    <w:p w14:paraId="7D4CF5E1" w14:textId="77777777" w:rsidR="001E217F" w:rsidRDefault="001E217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0A37" w14:paraId="075092A9" w14:textId="77777777" w:rsidTr="00690A37">
      <w:tc>
        <w:tcPr>
          <w:tcW w:w="4920" w:type="dxa"/>
          <w:shd w:val="clear" w:color="auto" w:fill="auto"/>
        </w:tcPr>
        <w:p w14:paraId="54DF0534" w14:textId="71718F81" w:rsidR="00690A37" w:rsidRPr="00690A37" w:rsidRDefault="00690A37" w:rsidP="00690A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1D78">
            <w:rPr>
              <w:b w:val="0"/>
              <w:w w:val="103"/>
              <w:sz w:val="14"/>
            </w:rPr>
            <w:t>22-10836</w:t>
          </w:r>
          <w:r>
            <w:rPr>
              <w:b w:val="0"/>
              <w:w w:val="103"/>
              <w:sz w:val="14"/>
            </w:rPr>
            <w:fldChar w:fldCharType="end"/>
          </w:r>
        </w:p>
      </w:tc>
      <w:tc>
        <w:tcPr>
          <w:tcW w:w="4920" w:type="dxa"/>
          <w:shd w:val="clear" w:color="auto" w:fill="auto"/>
        </w:tcPr>
        <w:p w14:paraId="0AD7792E" w14:textId="6E631B2B" w:rsidR="00690A37" w:rsidRPr="00690A37" w:rsidRDefault="00690A37" w:rsidP="00690A3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5E7B7BF" w14:textId="77777777" w:rsidR="00690A37" w:rsidRPr="00690A37" w:rsidRDefault="00690A37" w:rsidP="0069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0A37" w14:paraId="046A56BD" w14:textId="77777777" w:rsidTr="00690A37">
      <w:tc>
        <w:tcPr>
          <w:tcW w:w="4920" w:type="dxa"/>
          <w:shd w:val="clear" w:color="auto" w:fill="auto"/>
        </w:tcPr>
        <w:p w14:paraId="6C917D7A" w14:textId="197B4F31" w:rsidR="00690A37" w:rsidRPr="00690A37" w:rsidRDefault="00690A37" w:rsidP="00690A3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487AFA7" w14:textId="5D229ABF" w:rsidR="00690A37" w:rsidRPr="00690A37" w:rsidRDefault="00690A37" w:rsidP="00690A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1D78">
            <w:rPr>
              <w:b w:val="0"/>
              <w:w w:val="103"/>
              <w:sz w:val="14"/>
            </w:rPr>
            <w:t>22-10836</w:t>
          </w:r>
          <w:r>
            <w:rPr>
              <w:b w:val="0"/>
              <w:w w:val="103"/>
              <w:sz w:val="14"/>
            </w:rPr>
            <w:fldChar w:fldCharType="end"/>
          </w:r>
        </w:p>
      </w:tc>
    </w:tr>
  </w:tbl>
  <w:p w14:paraId="572ACD91" w14:textId="77777777" w:rsidR="00690A37" w:rsidRPr="00690A37" w:rsidRDefault="00690A37" w:rsidP="00690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690A37" w14:paraId="6BB9E7C6" w14:textId="77777777" w:rsidTr="00690A37">
      <w:tc>
        <w:tcPr>
          <w:tcW w:w="3801" w:type="dxa"/>
        </w:tcPr>
        <w:p w14:paraId="40364378" w14:textId="24680E82" w:rsidR="00690A37" w:rsidRDefault="00690A37" w:rsidP="00690A37">
          <w:pPr>
            <w:pStyle w:val="ReleaseDate0"/>
          </w:pPr>
          <w:r>
            <w:rPr>
              <w:noProof/>
            </w:rPr>
            <w:drawing>
              <wp:anchor distT="0" distB="0" distL="114300" distR="114300" simplePos="0" relativeHeight="251662848" behindDoc="0" locked="0" layoutInCell="1" allowOverlap="1" wp14:anchorId="2A332F5E" wp14:editId="0EA606B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22-10836 (E)    </w:t>
          </w:r>
          <w:r w:rsidR="007B0100">
            <w:t>20</w:t>
          </w:r>
          <w:r>
            <w:t xml:space="preserve">0722    </w:t>
          </w:r>
        </w:p>
        <w:p w14:paraId="4472C5B8" w14:textId="7CC72576" w:rsidR="00690A37" w:rsidRPr="00690A37" w:rsidRDefault="00690A37" w:rsidP="00690A3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*2210836*</w:t>
          </w:r>
        </w:p>
      </w:tc>
      <w:tc>
        <w:tcPr>
          <w:tcW w:w="4920" w:type="dxa"/>
        </w:tcPr>
        <w:p w14:paraId="0217F25F" w14:textId="1C40EB46" w:rsidR="00690A37" w:rsidRDefault="00690A37" w:rsidP="00690A37">
          <w:pPr>
            <w:pStyle w:val="Footer"/>
            <w:jc w:val="right"/>
            <w:rPr>
              <w:b w:val="0"/>
              <w:sz w:val="20"/>
            </w:rPr>
          </w:pPr>
          <w:r>
            <w:rPr>
              <w:b w:val="0"/>
              <w:sz w:val="20"/>
            </w:rPr>
            <w:drawing>
              <wp:inline distT="0" distB="0" distL="0" distR="0" wp14:anchorId="018E8EDC" wp14:editId="0C6EF3C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87752BF" w14:textId="77777777" w:rsidR="00690A37" w:rsidRPr="00690A37" w:rsidRDefault="00690A37" w:rsidP="00690A3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0373" w14:textId="77777777" w:rsidR="001E217F" w:rsidRDefault="001E217F" w:rsidP="00556720">
      <w:r>
        <w:separator/>
      </w:r>
    </w:p>
  </w:footnote>
  <w:footnote w:type="continuationSeparator" w:id="0">
    <w:p w14:paraId="1796A8C4" w14:textId="77777777" w:rsidR="001E217F" w:rsidRDefault="001E217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90A37" w14:paraId="665BA023" w14:textId="77777777" w:rsidTr="00690A37">
      <w:trPr>
        <w:trHeight w:hRule="exact" w:val="864"/>
      </w:trPr>
      <w:tc>
        <w:tcPr>
          <w:tcW w:w="4920" w:type="dxa"/>
          <w:shd w:val="clear" w:color="auto" w:fill="auto"/>
          <w:vAlign w:val="bottom"/>
        </w:tcPr>
        <w:p w14:paraId="49D89717" w14:textId="2211A9C1" w:rsidR="00690A37" w:rsidRPr="00690A37" w:rsidRDefault="00690A37" w:rsidP="00690A37">
          <w:pPr>
            <w:pStyle w:val="Header"/>
            <w:spacing w:after="80"/>
            <w:rPr>
              <w:b/>
            </w:rPr>
          </w:pPr>
          <w:r>
            <w:rPr>
              <w:b/>
            </w:rPr>
            <w:fldChar w:fldCharType="begin"/>
          </w:r>
          <w:r>
            <w:rPr>
              <w:b/>
            </w:rPr>
            <w:instrText xml:space="preserve"> DOCVARIABLE "sss1" \* MERGEFORMAT </w:instrText>
          </w:r>
          <w:r>
            <w:rPr>
              <w:b/>
            </w:rPr>
            <w:fldChar w:fldCharType="separate"/>
          </w:r>
          <w:r w:rsidR="00861D78">
            <w:rPr>
              <w:b/>
            </w:rPr>
            <w:t>CEDAW/C/PSWG/84/1</w:t>
          </w:r>
          <w:r>
            <w:rPr>
              <w:b/>
            </w:rPr>
            <w:fldChar w:fldCharType="end"/>
          </w:r>
        </w:p>
      </w:tc>
      <w:tc>
        <w:tcPr>
          <w:tcW w:w="4920" w:type="dxa"/>
          <w:shd w:val="clear" w:color="auto" w:fill="auto"/>
          <w:vAlign w:val="bottom"/>
        </w:tcPr>
        <w:p w14:paraId="15292420" w14:textId="77777777" w:rsidR="00690A37" w:rsidRDefault="00690A37" w:rsidP="00690A37">
          <w:pPr>
            <w:pStyle w:val="Header"/>
          </w:pPr>
        </w:p>
      </w:tc>
    </w:tr>
  </w:tbl>
  <w:p w14:paraId="17E94C83" w14:textId="77777777" w:rsidR="00690A37" w:rsidRPr="00690A37" w:rsidRDefault="00690A37" w:rsidP="00690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90A37" w14:paraId="00B70401" w14:textId="77777777" w:rsidTr="00690A37">
      <w:trPr>
        <w:trHeight w:hRule="exact" w:val="864"/>
      </w:trPr>
      <w:tc>
        <w:tcPr>
          <w:tcW w:w="4920" w:type="dxa"/>
          <w:shd w:val="clear" w:color="auto" w:fill="auto"/>
          <w:vAlign w:val="bottom"/>
        </w:tcPr>
        <w:p w14:paraId="18C594AF" w14:textId="77777777" w:rsidR="00690A37" w:rsidRDefault="00690A37" w:rsidP="00690A37">
          <w:pPr>
            <w:pStyle w:val="Header"/>
          </w:pPr>
        </w:p>
      </w:tc>
      <w:tc>
        <w:tcPr>
          <w:tcW w:w="4920" w:type="dxa"/>
          <w:shd w:val="clear" w:color="auto" w:fill="auto"/>
          <w:vAlign w:val="bottom"/>
        </w:tcPr>
        <w:p w14:paraId="6EE5CB59" w14:textId="0C335058" w:rsidR="00690A37" w:rsidRPr="00690A37" w:rsidRDefault="00690A37" w:rsidP="00690A37">
          <w:pPr>
            <w:pStyle w:val="Header"/>
            <w:spacing w:after="80"/>
            <w:jc w:val="right"/>
            <w:rPr>
              <w:b/>
            </w:rPr>
          </w:pPr>
          <w:r>
            <w:rPr>
              <w:b/>
            </w:rPr>
            <w:fldChar w:fldCharType="begin"/>
          </w:r>
          <w:r>
            <w:rPr>
              <w:b/>
            </w:rPr>
            <w:instrText xml:space="preserve"> DOCVARIABLE "sss1" \* MERGEFORMAT </w:instrText>
          </w:r>
          <w:r>
            <w:rPr>
              <w:b/>
            </w:rPr>
            <w:fldChar w:fldCharType="separate"/>
          </w:r>
          <w:r w:rsidR="00861D78">
            <w:rPr>
              <w:b/>
            </w:rPr>
            <w:t>CEDAW/C/PSWG/84/1</w:t>
          </w:r>
          <w:r>
            <w:rPr>
              <w:b/>
            </w:rPr>
            <w:fldChar w:fldCharType="end"/>
          </w:r>
        </w:p>
      </w:tc>
    </w:tr>
  </w:tbl>
  <w:p w14:paraId="15E99E66" w14:textId="77777777" w:rsidR="00690A37" w:rsidRPr="00690A37" w:rsidRDefault="00690A37" w:rsidP="0069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90A37" w14:paraId="785CCD7F" w14:textId="77777777" w:rsidTr="00690A37">
      <w:trPr>
        <w:trHeight w:hRule="exact" w:val="864"/>
      </w:trPr>
      <w:tc>
        <w:tcPr>
          <w:tcW w:w="1267" w:type="dxa"/>
          <w:tcBorders>
            <w:bottom w:val="single" w:sz="4" w:space="0" w:color="auto"/>
          </w:tcBorders>
          <w:shd w:val="clear" w:color="auto" w:fill="auto"/>
          <w:vAlign w:val="bottom"/>
        </w:tcPr>
        <w:p w14:paraId="37913A9E" w14:textId="77777777" w:rsidR="00690A37" w:rsidRDefault="00690A37" w:rsidP="00690A37">
          <w:pPr>
            <w:pStyle w:val="Header"/>
            <w:spacing w:after="120"/>
          </w:pPr>
        </w:p>
      </w:tc>
      <w:tc>
        <w:tcPr>
          <w:tcW w:w="1872" w:type="dxa"/>
          <w:tcBorders>
            <w:bottom w:val="single" w:sz="4" w:space="0" w:color="auto"/>
          </w:tcBorders>
          <w:shd w:val="clear" w:color="auto" w:fill="auto"/>
          <w:vAlign w:val="bottom"/>
        </w:tcPr>
        <w:p w14:paraId="59828BD3" w14:textId="0F47AEAE" w:rsidR="00690A37" w:rsidRPr="00690A37" w:rsidRDefault="00690A37" w:rsidP="00690A3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03B01FC" w14:textId="77777777" w:rsidR="00690A37" w:rsidRDefault="00690A37" w:rsidP="00690A37">
          <w:pPr>
            <w:pStyle w:val="Header"/>
            <w:spacing w:after="120"/>
          </w:pPr>
        </w:p>
      </w:tc>
      <w:tc>
        <w:tcPr>
          <w:tcW w:w="6466" w:type="dxa"/>
          <w:gridSpan w:val="4"/>
          <w:tcBorders>
            <w:bottom w:val="single" w:sz="4" w:space="0" w:color="auto"/>
          </w:tcBorders>
          <w:shd w:val="clear" w:color="auto" w:fill="auto"/>
          <w:vAlign w:val="bottom"/>
        </w:tcPr>
        <w:p w14:paraId="72C7DC56" w14:textId="748A32B0" w:rsidR="00690A37" w:rsidRPr="00690A37" w:rsidRDefault="00690A37" w:rsidP="00690A37">
          <w:pPr>
            <w:spacing w:after="80" w:line="240" w:lineRule="auto"/>
            <w:jc w:val="right"/>
            <w:rPr>
              <w:position w:val="-4"/>
            </w:rPr>
          </w:pPr>
          <w:r>
            <w:rPr>
              <w:position w:val="-4"/>
              <w:sz w:val="40"/>
            </w:rPr>
            <w:t>CEDAW</w:t>
          </w:r>
          <w:r>
            <w:rPr>
              <w:position w:val="-4"/>
            </w:rPr>
            <w:t>/C/PSWG/84/1</w:t>
          </w:r>
        </w:p>
      </w:tc>
    </w:tr>
    <w:tr w:rsidR="00690A37" w:rsidRPr="00690A37" w14:paraId="0D479C66" w14:textId="77777777" w:rsidTr="00690A37">
      <w:trPr>
        <w:gridAfter w:val="1"/>
        <w:wAfter w:w="15" w:type="dxa"/>
        <w:trHeight w:hRule="exact" w:val="2880"/>
      </w:trPr>
      <w:tc>
        <w:tcPr>
          <w:tcW w:w="1267" w:type="dxa"/>
          <w:tcBorders>
            <w:top w:val="single" w:sz="4" w:space="0" w:color="auto"/>
            <w:bottom w:val="single" w:sz="12" w:space="0" w:color="auto"/>
          </w:tcBorders>
          <w:shd w:val="clear" w:color="auto" w:fill="auto"/>
        </w:tcPr>
        <w:p w14:paraId="1B446BE9" w14:textId="67AE090E" w:rsidR="00690A37" w:rsidRPr="00690A37" w:rsidRDefault="00690A37" w:rsidP="00690A37">
          <w:pPr>
            <w:pStyle w:val="Header"/>
            <w:spacing w:before="120"/>
            <w:jc w:val="center"/>
          </w:pPr>
          <w:r>
            <w:t xml:space="preserve"> </w:t>
          </w:r>
          <w:r>
            <w:drawing>
              <wp:inline distT="0" distB="0" distL="0" distR="0" wp14:anchorId="1A9E3DD9" wp14:editId="15BDB7F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EC9D57" w14:textId="2A46498E" w:rsidR="00690A37" w:rsidRPr="00690A37" w:rsidRDefault="00690A37" w:rsidP="00690A3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25CE853" w14:textId="77777777" w:rsidR="00690A37" w:rsidRPr="00690A37" w:rsidRDefault="00690A37" w:rsidP="00690A37">
          <w:pPr>
            <w:pStyle w:val="Header"/>
            <w:spacing w:before="109"/>
          </w:pPr>
        </w:p>
      </w:tc>
      <w:tc>
        <w:tcPr>
          <w:tcW w:w="3096" w:type="dxa"/>
          <w:tcBorders>
            <w:top w:val="single" w:sz="4" w:space="0" w:color="auto"/>
            <w:bottom w:val="single" w:sz="12" w:space="0" w:color="auto"/>
          </w:tcBorders>
          <w:shd w:val="clear" w:color="auto" w:fill="auto"/>
        </w:tcPr>
        <w:p w14:paraId="3DF36E3C" w14:textId="77777777" w:rsidR="00690A37" w:rsidRDefault="00690A37" w:rsidP="00690A37">
          <w:pPr>
            <w:pStyle w:val="Publication"/>
            <w:spacing w:before="240"/>
            <w:rPr>
              <w:color w:val="010000"/>
            </w:rPr>
          </w:pPr>
          <w:r>
            <w:rPr>
              <w:color w:val="010000"/>
            </w:rPr>
            <w:t>Distr.: General</w:t>
          </w:r>
        </w:p>
        <w:p w14:paraId="78A54884" w14:textId="4F8755DE" w:rsidR="00690A37" w:rsidRDefault="00C82F39" w:rsidP="00690A37">
          <w:r>
            <w:t>11</w:t>
          </w:r>
          <w:r w:rsidR="00690A37">
            <w:t xml:space="preserve"> July 2022</w:t>
          </w:r>
        </w:p>
        <w:p w14:paraId="05326553" w14:textId="5EF09124" w:rsidR="00690A37" w:rsidRDefault="00690A37" w:rsidP="00690A37"/>
        <w:p w14:paraId="7D158F78" w14:textId="77777777" w:rsidR="00690A37" w:rsidRDefault="00690A37" w:rsidP="00690A37">
          <w:r>
            <w:t>Original: English</w:t>
          </w:r>
        </w:p>
        <w:p w14:paraId="51498A33" w14:textId="7402A08B" w:rsidR="007B0100" w:rsidRPr="00690A37" w:rsidRDefault="007B0100" w:rsidP="00690A37">
          <w:r>
            <w:t>English, French and Spanish only</w:t>
          </w:r>
        </w:p>
      </w:tc>
    </w:tr>
  </w:tbl>
  <w:p w14:paraId="08305A24" w14:textId="77777777" w:rsidR="00690A37" w:rsidRPr="00690A37" w:rsidRDefault="00690A37" w:rsidP="00690A3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059783734">
    <w:abstractNumId w:val="0"/>
  </w:num>
  <w:num w:numId="2" w16cid:durableId="1645810966">
    <w:abstractNumId w:val="2"/>
  </w:num>
  <w:num w:numId="3" w16cid:durableId="1049954502">
    <w:abstractNumId w:val="3"/>
  </w:num>
  <w:num w:numId="4" w16cid:durableId="1872186998">
    <w:abstractNumId w:val="1"/>
  </w:num>
  <w:num w:numId="5" w16cid:durableId="2062047433">
    <w:abstractNumId w:val="3"/>
  </w:num>
  <w:num w:numId="6" w16cid:durableId="280917780">
    <w:abstractNumId w:val="1"/>
  </w:num>
  <w:num w:numId="7" w16cid:durableId="72361503">
    <w:abstractNumId w:val="3"/>
  </w:num>
  <w:num w:numId="8" w16cid:durableId="1542355289">
    <w:abstractNumId w:val="1"/>
  </w:num>
  <w:num w:numId="9" w16cid:durableId="415977566">
    <w:abstractNumId w:val="3"/>
  </w:num>
  <w:num w:numId="10" w16cid:durableId="751271260">
    <w:abstractNumId w:val="1"/>
  </w:num>
  <w:num w:numId="11" w16cid:durableId="198711691">
    <w:abstractNumId w:val="3"/>
  </w:num>
  <w:num w:numId="12" w16cid:durableId="1039553929">
    <w:abstractNumId w:val="0"/>
  </w:num>
  <w:num w:numId="13" w16cid:durableId="1689603502">
    <w:abstractNumId w:val="1"/>
  </w:num>
  <w:num w:numId="14" w16cid:durableId="163126955">
    <w:abstractNumId w:val="2"/>
  </w:num>
  <w:num w:numId="15" w16cid:durableId="1393771268">
    <w:abstractNumId w:val="3"/>
  </w:num>
  <w:num w:numId="16" w16cid:durableId="1433165501">
    <w:abstractNumId w:val="0"/>
  </w:num>
  <w:num w:numId="17" w16cid:durableId="569316363">
    <w:abstractNumId w:val="1"/>
  </w:num>
  <w:num w:numId="18" w16cid:durableId="209540663">
    <w:abstractNumId w:val="2"/>
  </w:num>
  <w:num w:numId="19" w16cid:durableId="1034575820">
    <w:abstractNumId w:val="3"/>
  </w:num>
  <w:num w:numId="20" w16cid:durableId="41057285">
    <w:abstractNumId w:val="1"/>
  </w:num>
  <w:num w:numId="21" w16cid:durableId="1548490841">
    <w:abstractNumId w:val="3"/>
  </w:num>
  <w:num w:numId="22" w16cid:durableId="558632522">
    <w:abstractNumId w:val="1"/>
  </w:num>
  <w:num w:numId="23" w16cid:durableId="293944845">
    <w:abstractNumId w:val="3"/>
  </w:num>
  <w:num w:numId="24" w16cid:durableId="42345337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36*"/>
    <w:docVar w:name="CreationDt" w:val="19/07/2022 4:34: PM"/>
    <w:docVar w:name="DocCategory" w:val="Doc"/>
    <w:docVar w:name="DocType" w:val="Final"/>
    <w:docVar w:name="DutyStation" w:val="New York"/>
    <w:docVar w:name="FooterJN" w:val="22-10836"/>
    <w:docVar w:name="jobn" w:val="22-10836 (E)"/>
    <w:docVar w:name="jobnDT" w:val="22-10836 (E)   190722"/>
    <w:docVar w:name="jobnDTDT" w:val="22-10836 (E)   190722   190722"/>
    <w:docVar w:name="JobNo" w:val="2210836E"/>
    <w:docVar w:name="JobNo2" w:val="2241765E"/>
    <w:docVar w:name="LocalDrive" w:val="-1"/>
    <w:docVar w:name="OandT" w:val=" "/>
    <w:docVar w:name="Session1" w:val="Eighty-fourth session_x000d_"/>
    <w:docVar w:name="sss1" w:val="CEDAW/C/PSWG/84/1"/>
    <w:docVar w:name="sss2" w:val="-"/>
    <w:docVar w:name="Symbol1" w:val="CEDAW/C/PSWG/84/1"/>
    <w:docVar w:name="Symbol2" w:val="-"/>
    <w:docVar w:name="Title1" w:val="Consideration of reports submitted by States parties under article 18 of the Convention on the Elimination of All Forms of Discrimination against Women_x000d_"/>
    <w:docVar w:name="Title2" w:val="Report of the pre-sessional working group_x000d_"/>
  </w:docVars>
  <w:rsids>
    <w:rsidRoot w:val="001E217F"/>
    <w:rsid w:val="00012805"/>
    <w:rsid w:val="0001325F"/>
    <w:rsid w:val="00017FCF"/>
    <w:rsid w:val="00024D1E"/>
    <w:rsid w:val="000408AB"/>
    <w:rsid w:val="00046157"/>
    <w:rsid w:val="00067A88"/>
    <w:rsid w:val="00073C67"/>
    <w:rsid w:val="0009305F"/>
    <w:rsid w:val="000B3288"/>
    <w:rsid w:val="000B5AFB"/>
    <w:rsid w:val="000C4C9C"/>
    <w:rsid w:val="0011766D"/>
    <w:rsid w:val="00126F95"/>
    <w:rsid w:val="001A207A"/>
    <w:rsid w:val="001C22A4"/>
    <w:rsid w:val="001C66B8"/>
    <w:rsid w:val="001D106C"/>
    <w:rsid w:val="001D79B0"/>
    <w:rsid w:val="001E217F"/>
    <w:rsid w:val="002007C7"/>
    <w:rsid w:val="00200F9C"/>
    <w:rsid w:val="00201732"/>
    <w:rsid w:val="00214645"/>
    <w:rsid w:val="002706A2"/>
    <w:rsid w:val="002744EC"/>
    <w:rsid w:val="0027703B"/>
    <w:rsid w:val="002C633D"/>
    <w:rsid w:val="002D5AB8"/>
    <w:rsid w:val="002E09A8"/>
    <w:rsid w:val="00300B6A"/>
    <w:rsid w:val="00346E64"/>
    <w:rsid w:val="00371A3B"/>
    <w:rsid w:val="003A0A16"/>
    <w:rsid w:val="003D159A"/>
    <w:rsid w:val="003E3B08"/>
    <w:rsid w:val="003E723B"/>
    <w:rsid w:val="003F25BA"/>
    <w:rsid w:val="0044179B"/>
    <w:rsid w:val="004856CD"/>
    <w:rsid w:val="00492ED8"/>
    <w:rsid w:val="004A199E"/>
    <w:rsid w:val="004A6554"/>
    <w:rsid w:val="004B0B18"/>
    <w:rsid w:val="004B4C46"/>
    <w:rsid w:val="004D17DB"/>
    <w:rsid w:val="00525648"/>
    <w:rsid w:val="00530E8B"/>
    <w:rsid w:val="0054091E"/>
    <w:rsid w:val="00556720"/>
    <w:rsid w:val="00564E7E"/>
    <w:rsid w:val="005C49C8"/>
    <w:rsid w:val="005F2F1C"/>
    <w:rsid w:val="00612565"/>
    <w:rsid w:val="006137E4"/>
    <w:rsid w:val="00626BE5"/>
    <w:rsid w:val="00636929"/>
    <w:rsid w:val="0064252E"/>
    <w:rsid w:val="00651750"/>
    <w:rsid w:val="00674235"/>
    <w:rsid w:val="00690A37"/>
    <w:rsid w:val="006D6278"/>
    <w:rsid w:val="006E19F3"/>
    <w:rsid w:val="006E2FA3"/>
    <w:rsid w:val="00707CAD"/>
    <w:rsid w:val="00747697"/>
    <w:rsid w:val="00764DD9"/>
    <w:rsid w:val="00777887"/>
    <w:rsid w:val="0078579A"/>
    <w:rsid w:val="007A4C14"/>
    <w:rsid w:val="007A620C"/>
    <w:rsid w:val="007B0100"/>
    <w:rsid w:val="007D3805"/>
    <w:rsid w:val="007F1EE6"/>
    <w:rsid w:val="00811400"/>
    <w:rsid w:val="00846D29"/>
    <w:rsid w:val="00855FFA"/>
    <w:rsid w:val="00861D78"/>
    <w:rsid w:val="008723C3"/>
    <w:rsid w:val="00890662"/>
    <w:rsid w:val="0089085F"/>
    <w:rsid w:val="0089262E"/>
    <w:rsid w:val="008A156F"/>
    <w:rsid w:val="008F1C5D"/>
    <w:rsid w:val="00947922"/>
    <w:rsid w:val="009517EC"/>
    <w:rsid w:val="009769A0"/>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2072"/>
    <w:rsid w:val="00BB5C7D"/>
    <w:rsid w:val="00BE196B"/>
    <w:rsid w:val="00BF5B27"/>
    <w:rsid w:val="00BF6BE0"/>
    <w:rsid w:val="00C779E4"/>
    <w:rsid w:val="00C82F39"/>
    <w:rsid w:val="00CD4AC4"/>
    <w:rsid w:val="00CE74F5"/>
    <w:rsid w:val="00D526E8"/>
    <w:rsid w:val="00D94A42"/>
    <w:rsid w:val="00DC03FF"/>
    <w:rsid w:val="00DC7B16"/>
    <w:rsid w:val="00DD42F7"/>
    <w:rsid w:val="00E021F2"/>
    <w:rsid w:val="00E51864"/>
    <w:rsid w:val="00E8211E"/>
    <w:rsid w:val="00E870C2"/>
    <w:rsid w:val="00ED42F5"/>
    <w:rsid w:val="00ED5AA7"/>
    <w:rsid w:val="00F26AD6"/>
    <w:rsid w:val="00F27BF6"/>
    <w:rsid w:val="00F30184"/>
    <w:rsid w:val="00F5593E"/>
    <w:rsid w:val="00F7600D"/>
    <w:rsid w:val="00F8600E"/>
    <w:rsid w:val="00F94BC6"/>
    <w:rsid w:val="00FB09D8"/>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82768B"/>
  <w15:chartTrackingRefBased/>
  <w15:docId w15:val="{91F9EE6F-289E-4232-9421-7C9B2DD6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6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3C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73C67"/>
    <w:pPr>
      <w:spacing w:line="300" w:lineRule="exact"/>
      <w:ind w:left="0" w:right="0" w:firstLine="0"/>
    </w:pPr>
    <w:rPr>
      <w:spacing w:val="-2"/>
      <w:sz w:val="28"/>
    </w:rPr>
  </w:style>
  <w:style w:type="paragraph" w:customStyle="1" w:styleId="HM">
    <w:name w:val="_ H __M"/>
    <w:basedOn w:val="HCh"/>
    <w:next w:val="Normal"/>
    <w:rsid w:val="00073C67"/>
    <w:pPr>
      <w:spacing w:line="360" w:lineRule="exact"/>
    </w:pPr>
    <w:rPr>
      <w:spacing w:val="-3"/>
      <w:w w:val="99"/>
      <w:sz w:val="34"/>
    </w:rPr>
  </w:style>
  <w:style w:type="paragraph" w:customStyle="1" w:styleId="H23">
    <w:name w:val="_ H_2/3"/>
    <w:basedOn w:val="Normal"/>
    <w:next w:val="SingleTxt"/>
    <w:rsid w:val="00073C67"/>
    <w:pPr>
      <w:outlineLvl w:val="1"/>
    </w:pPr>
    <w:rPr>
      <w:b/>
      <w:lang w:val="en-US"/>
    </w:rPr>
  </w:style>
  <w:style w:type="paragraph" w:customStyle="1" w:styleId="H4">
    <w:name w:val="_ H_4"/>
    <w:basedOn w:val="Normal"/>
    <w:next w:val="Normal"/>
    <w:rsid w:val="00073C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3C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3C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3C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3C67"/>
    <w:pPr>
      <w:spacing w:line="540" w:lineRule="exact"/>
    </w:pPr>
    <w:rPr>
      <w:spacing w:val="-8"/>
      <w:w w:val="96"/>
      <w:sz w:val="57"/>
    </w:rPr>
  </w:style>
  <w:style w:type="paragraph" w:customStyle="1" w:styleId="SS">
    <w:name w:val="__S_S"/>
    <w:basedOn w:val="HCh"/>
    <w:next w:val="Normal"/>
    <w:rsid w:val="00073C67"/>
    <w:pPr>
      <w:ind w:left="1267" w:right="1267"/>
    </w:pPr>
  </w:style>
  <w:style w:type="paragraph" w:customStyle="1" w:styleId="SingleTxt">
    <w:name w:val="__Single Txt"/>
    <w:basedOn w:val="Normal"/>
    <w:rsid w:val="00073C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3C67"/>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73C6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3C67"/>
    <w:pPr>
      <w:spacing w:line="240" w:lineRule="exact"/>
      <w:ind w:left="0" w:right="5040" w:firstLine="0"/>
      <w:outlineLvl w:val="1"/>
    </w:pPr>
    <w:rPr>
      <w:sz w:val="20"/>
    </w:rPr>
  </w:style>
  <w:style w:type="paragraph" w:styleId="BalloonText">
    <w:name w:val="Balloon Text"/>
    <w:basedOn w:val="Normal"/>
    <w:link w:val="BalloonTextChar"/>
    <w:semiHidden/>
    <w:rsid w:val="00073C67"/>
    <w:rPr>
      <w:rFonts w:ascii="Tahoma" w:hAnsi="Tahoma" w:cs="Tahoma"/>
      <w:sz w:val="16"/>
      <w:szCs w:val="16"/>
    </w:rPr>
  </w:style>
  <w:style w:type="character" w:customStyle="1" w:styleId="BalloonTextChar">
    <w:name w:val="Balloon Text Char"/>
    <w:basedOn w:val="DefaultParagraphFont"/>
    <w:link w:val="BalloonText"/>
    <w:semiHidden/>
    <w:rsid w:val="00073C6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3C6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73C6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73C67"/>
    <w:rPr>
      <w:sz w:val="6"/>
    </w:rPr>
  </w:style>
  <w:style w:type="paragraph" w:customStyle="1" w:styleId="Distribution">
    <w:name w:val="Distribution"/>
    <w:next w:val="Normal"/>
    <w:rsid w:val="00073C6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3C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3C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3C6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3C67"/>
  </w:style>
  <w:style w:type="character" w:customStyle="1" w:styleId="EndnoteTextChar">
    <w:name w:val="Endnote Text Char"/>
    <w:basedOn w:val="DefaultParagraphFont"/>
    <w:link w:val="EndnoteText"/>
    <w:semiHidden/>
    <w:rsid w:val="00073C6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3C6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3C6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3C6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73C6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3C6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73C6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73C6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3C6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3C67"/>
    <w:pPr>
      <w:tabs>
        <w:tab w:val="right" w:pos="9965"/>
      </w:tabs>
      <w:spacing w:line="210" w:lineRule="exact"/>
    </w:pPr>
    <w:rPr>
      <w:spacing w:val="5"/>
      <w:w w:val="104"/>
      <w:sz w:val="17"/>
    </w:rPr>
  </w:style>
  <w:style w:type="paragraph" w:customStyle="1" w:styleId="SmallX">
    <w:name w:val="SmallX"/>
    <w:basedOn w:val="Small"/>
    <w:next w:val="Normal"/>
    <w:rsid w:val="00073C67"/>
    <w:pPr>
      <w:spacing w:line="180" w:lineRule="exact"/>
      <w:jc w:val="right"/>
    </w:pPr>
    <w:rPr>
      <w:spacing w:val="6"/>
      <w:w w:val="106"/>
      <w:sz w:val="14"/>
    </w:rPr>
  </w:style>
  <w:style w:type="paragraph" w:customStyle="1" w:styleId="TitleHCH">
    <w:name w:val="Title_H_CH"/>
    <w:basedOn w:val="H1"/>
    <w:next w:val="Normal"/>
    <w:qFormat/>
    <w:rsid w:val="00073C67"/>
    <w:pPr>
      <w:spacing w:line="300" w:lineRule="exact"/>
      <w:ind w:left="0" w:right="0" w:firstLine="0"/>
    </w:pPr>
    <w:rPr>
      <w:spacing w:val="-2"/>
      <w:sz w:val="28"/>
    </w:rPr>
  </w:style>
  <w:style w:type="paragraph" w:customStyle="1" w:styleId="TitleH2">
    <w:name w:val="Title_H2"/>
    <w:basedOn w:val="Normal"/>
    <w:next w:val="Normal"/>
    <w:qFormat/>
    <w:rsid w:val="00073C6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73C67"/>
    <w:pPr>
      <w:spacing w:line="390" w:lineRule="exact"/>
    </w:pPr>
    <w:rPr>
      <w:spacing w:val="-4"/>
      <w:w w:val="98"/>
      <w:sz w:val="40"/>
    </w:rPr>
  </w:style>
  <w:style w:type="character" w:styleId="Hyperlink">
    <w:name w:val="Hyperlink"/>
    <w:basedOn w:val="DefaultParagraphFont"/>
    <w:rsid w:val="00073C67"/>
    <w:rPr>
      <w:color w:val="0000FF"/>
      <w:u w:val="none"/>
    </w:rPr>
  </w:style>
  <w:style w:type="paragraph" w:styleId="PlainText">
    <w:name w:val="Plain Text"/>
    <w:basedOn w:val="Normal"/>
    <w:link w:val="PlainTextChar"/>
    <w:rsid w:val="00073C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3C67"/>
    <w:rPr>
      <w:rFonts w:ascii="Courier New" w:eastAsia="Times New Roman" w:hAnsi="Courier New" w:cs="Times New Roman"/>
      <w:sz w:val="20"/>
      <w:szCs w:val="20"/>
      <w:lang w:val="en-US" w:eastAsia="en-GB"/>
    </w:rPr>
  </w:style>
  <w:style w:type="paragraph" w:customStyle="1" w:styleId="ReleaseDate0">
    <w:name w:val="Release Date"/>
    <w:next w:val="Footer"/>
    <w:rsid w:val="00073C6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3C67"/>
  </w:style>
  <w:style w:type="table" w:styleId="TableGrid">
    <w:name w:val="Table Grid"/>
    <w:basedOn w:val="TableNormal"/>
    <w:rsid w:val="00073C6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90A37"/>
    <w:pPr>
      <w:spacing w:line="240" w:lineRule="auto"/>
    </w:pPr>
  </w:style>
  <w:style w:type="character" w:customStyle="1" w:styleId="CommentTextChar">
    <w:name w:val="Comment Text Char"/>
    <w:basedOn w:val="DefaultParagraphFont"/>
    <w:link w:val="CommentText"/>
    <w:uiPriority w:val="99"/>
    <w:semiHidden/>
    <w:rsid w:val="00690A3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90A37"/>
    <w:rPr>
      <w:b/>
      <w:bCs/>
    </w:rPr>
  </w:style>
  <w:style w:type="character" w:customStyle="1" w:styleId="CommentSubjectChar">
    <w:name w:val="Comment Subject Char"/>
    <w:basedOn w:val="CommentTextChar"/>
    <w:link w:val="CommentSubject"/>
    <w:uiPriority w:val="99"/>
    <w:semiHidden/>
    <w:rsid w:val="00690A37"/>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9769A0"/>
    <w:rPr>
      <w:color w:val="605E5C"/>
      <w:shd w:val="clear" w:color="auto" w:fill="E1DFDD"/>
    </w:rPr>
  </w:style>
  <w:style w:type="paragraph" w:styleId="Revision">
    <w:name w:val="Revision"/>
    <w:hidden/>
    <w:uiPriority w:val="99"/>
    <w:semiHidden/>
    <w:rsid w:val="00E5186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CAF/Q/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en/CEDAW/C/PHL/Q/9"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en/CEDAW/C/NZL/QPR/9"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MNE/Q/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CEDAW/C/MCO/QPR/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CEDAW/C/VEN/Q/9" TargetMode="External"/><Relationship Id="rId10" Type="http://schemas.openxmlformats.org/officeDocument/2006/relationships/footer" Target="footer1.xml"/><Relationship Id="rId19" Type="http://schemas.openxmlformats.org/officeDocument/2006/relationships/hyperlink" Target="https://undocs.org/en/CEDAW/C/ISL/Q/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RWA/Q/10"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9321-5459-49E8-816B-82E5353E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Ryan Hansen</cp:lastModifiedBy>
  <cp:revision>3</cp:revision>
  <cp:lastPrinted>2022-07-20T19:05:00Z</cp:lastPrinted>
  <dcterms:created xsi:type="dcterms:W3CDTF">2022-07-20T19:04:00Z</dcterms:created>
  <dcterms:modified xsi:type="dcterms:W3CDTF">2022-07-20T19:05:00Z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2210836</vt:lpwstr>
  </property>
  <property fmtid="{D5CDD505-2E9C-101B-9397-08002B2CF9AE}" pid="3" name="ODSRefJobNo">
    <vt:lpwstr>2241765E</vt:lpwstr>
  </property>
  <property fmtid="{D5CDD505-2E9C-101B-9397-08002B2CF9AE}" pid="4" name="Symbol1">
    <vt:lpwstr>CEDAW/C/PSWG/84/1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Eighty-fourth session_x000d_</vt:lpwstr>
  </property>
  <property fmtid="{D5CDD505-2E9C-101B-9397-08002B2CF9AE}" pid="16" name="Title1">
    <vt:lpwstr>Consideration of reports submitted by States parties under article 18 of the Convention on the Elimination of All Forms of Discrimination against Women_x000d_</vt:lpwstr>
  </property>
  <property fmtid="{D5CDD505-2E9C-101B-9397-08002B2CF9AE}" pid="17" name="Title2">
    <vt:lpwstr>Report of the pre-sessional working group_x000d_</vt:lpwstr>
  </property>
</Properties>
</file>