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A5FE72" w14:textId="77777777" w:rsidR="004E6B74" w:rsidRPr="00923975" w:rsidRDefault="004E6B74" w:rsidP="004E6B74">
      <w:pPr>
        <w:spacing w:line="240" w:lineRule="auto"/>
        <w:rPr>
          <w:sz w:val="2"/>
          <w:lang w:eastAsia="zh-CN"/>
        </w:rPr>
        <w:sectPr w:rsidR="004E6B74" w:rsidRPr="00923975" w:rsidSect="00923975">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r w:rsidRPr="00923975">
        <w:rPr>
          <w:rStyle w:val="CommentReference"/>
          <w:szCs w:val="20"/>
        </w:rPr>
        <w:commentReference w:id="0"/>
      </w:r>
    </w:p>
    <w:p w14:paraId="4FE4AACD" w14:textId="77777777" w:rsidR="00923975" w:rsidRPr="00923975" w:rsidRDefault="00923975" w:rsidP="0092397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5040"/>
        <w:rPr>
          <w:lang w:eastAsia="zh-CN"/>
        </w:rPr>
      </w:pPr>
      <w:r w:rsidRPr="00923975">
        <w:rPr>
          <w:lang w:eastAsia="zh-CN"/>
        </w:rPr>
        <w:t xml:space="preserve">Comité para la Eliminación de la Discriminación contra la Mujer </w:t>
      </w:r>
    </w:p>
    <w:p w14:paraId="1279487A" w14:textId="77777777" w:rsidR="00923975" w:rsidRPr="00923975" w:rsidRDefault="00923975" w:rsidP="0092397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zh-CN"/>
        </w:rPr>
      </w:pPr>
      <w:r w:rsidRPr="00923975">
        <w:rPr>
          <w:lang w:eastAsia="zh-CN"/>
        </w:rPr>
        <w:t>Grupo de trabajo anterior al período de sesiones</w:t>
      </w:r>
    </w:p>
    <w:p w14:paraId="51DE272B" w14:textId="77777777" w:rsidR="00923975" w:rsidRPr="00923975" w:rsidRDefault="00923975" w:rsidP="00923975">
      <w:pPr>
        <w:pStyle w:val="Session"/>
        <w:rPr>
          <w:lang w:eastAsia="zh-CN"/>
        </w:rPr>
      </w:pPr>
      <w:r w:rsidRPr="00923975">
        <w:rPr>
          <w:lang w:eastAsia="zh-CN"/>
        </w:rPr>
        <w:t>Septuagésimo cuarto período de sesiones</w:t>
      </w:r>
    </w:p>
    <w:p w14:paraId="529174F6" w14:textId="77777777" w:rsidR="00923975" w:rsidRPr="00923975" w:rsidRDefault="00923975" w:rsidP="00923975">
      <w:pPr>
        <w:rPr>
          <w:lang w:eastAsia="zh-CN"/>
        </w:rPr>
      </w:pPr>
      <w:r w:rsidRPr="00923975">
        <w:rPr>
          <w:lang w:eastAsia="zh-CN"/>
        </w:rPr>
        <w:t>11a 15 de marzo de 2019</w:t>
      </w:r>
    </w:p>
    <w:p w14:paraId="2A8E1DB0" w14:textId="77777777" w:rsidR="00923975" w:rsidRPr="00923975" w:rsidRDefault="00923975" w:rsidP="00923975">
      <w:pPr>
        <w:pStyle w:val="SingleTxt"/>
        <w:spacing w:after="0" w:line="120" w:lineRule="exact"/>
        <w:rPr>
          <w:b/>
          <w:sz w:val="10"/>
          <w:lang w:eastAsia="zh-CN"/>
        </w:rPr>
      </w:pPr>
    </w:p>
    <w:p w14:paraId="3EB0CE13" w14:textId="77777777" w:rsidR="00923975" w:rsidRPr="00923975" w:rsidRDefault="00923975" w:rsidP="00923975">
      <w:pPr>
        <w:pStyle w:val="SingleTxt"/>
        <w:spacing w:after="0" w:line="120" w:lineRule="exact"/>
        <w:rPr>
          <w:b/>
          <w:sz w:val="10"/>
          <w:lang w:eastAsia="zh-CN"/>
        </w:rPr>
      </w:pPr>
    </w:p>
    <w:p w14:paraId="36E5F60F" w14:textId="77777777" w:rsidR="00923975" w:rsidRPr="00923975" w:rsidRDefault="00923975" w:rsidP="00923975">
      <w:pPr>
        <w:pStyle w:val="SingleTxt"/>
        <w:spacing w:after="0" w:line="120" w:lineRule="exact"/>
        <w:rPr>
          <w:b/>
          <w:sz w:val="10"/>
          <w:lang w:eastAsia="zh-CN"/>
        </w:rPr>
      </w:pPr>
    </w:p>
    <w:p w14:paraId="3140E120" w14:textId="5442D46F" w:rsidR="00923975" w:rsidRPr="00923975" w:rsidRDefault="00923975" w:rsidP="00923975">
      <w:pPr>
        <w:pStyle w:val="TitleHCH"/>
        <w:ind w:right="1416"/>
        <w:rPr>
          <w:lang w:eastAsia="zh-CN"/>
        </w:rPr>
      </w:pPr>
      <w:r w:rsidRPr="00923975">
        <w:rPr>
          <w:lang w:eastAsia="zh-CN"/>
        </w:rPr>
        <w:tab/>
      </w:r>
      <w:r w:rsidRPr="00923975">
        <w:rPr>
          <w:lang w:eastAsia="zh-CN"/>
        </w:rPr>
        <w:tab/>
        <w:t>Examen de los informes presentados por los Estados partes</w:t>
      </w:r>
      <w:r>
        <w:rPr>
          <w:lang w:eastAsia="zh-CN"/>
        </w:rPr>
        <w:t> </w:t>
      </w:r>
      <w:r w:rsidRPr="00923975">
        <w:rPr>
          <w:lang w:eastAsia="zh-CN"/>
        </w:rPr>
        <w:t>en virtud del artículo 18 de la Convención sobre la</w:t>
      </w:r>
      <w:r>
        <w:rPr>
          <w:lang w:eastAsia="zh-CN"/>
        </w:rPr>
        <w:t> </w:t>
      </w:r>
      <w:r w:rsidRPr="00923975">
        <w:rPr>
          <w:lang w:eastAsia="zh-CN"/>
        </w:rPr>
        <w:t>Eliminación de Todas las Formas de Discriminación contra la Mujer</w:t>
      </w:r>
    </w:p>
    <w:p w14:paraId="00F9B3C0" w14:textId="77777777" w:rsidR="00923975" w:rsidRPr="00923975" w:rsidRDefault="00923975" w:rsidP="00923975">
      <w:pPr>
        <w:pStyle w:val="SingleTxt"/>
        <w:spacing w:after="0" w:line="120" w:lineRule="exact"/>
        <w:rPr>
          <w:b/>
          <w:sz w:val="10"/>
          <w:lang w:eastAsia="zh-CN"/>
        </w:rPr>
      </w:pPr>
    </w:p>
    <w:p w14:paraId="4D64CAD1" w14:textId="77777777" w:rsidR="00923975" w:rsidRPr="00923975" w:rsidRDefault="00923975" w:rsidP="00923975">
      <w:pPr>
        <w:pStyle w:val="SingleTxt"/>
        <w:spacing w:after="0" w:line="120" w:lineRule="exact"/>
        <w:rPr>
          <w:b/>
          <w:sz w:val="10"/>
          <w:lang w:eastAsia="zh-CN"/>
        </w:rPr>
      </w:pPr>
    </w:p>
    <w:p w14:paraId="210967B6" w14:textId="2EC59DAF" w:rsidR="00923975" w:rsidRDefault="00923975" w:rsidP="00923975">
      <w:pPr>
        <w:pStyle w:val="TitleH1"/>
        <w:ind w:right="1260"/>
        <w:rPr>
          <w:lang w:eastAsia="zh-CN"/>
        </w:rPr>
      </w:pPr>
      <w:r w:rsidRPr="00923975">
        <w:rPr>
          <w:lang w:eastAsia="zh-CN"/>
        </w:rPr>
        <w:tab/>
      </w:r>
      <w:r w:rsidRPr="00923975">
        <w:rPr>
          <w:lang w:eastAsia="zh-CN"/>
        </w:rPr>
        <w:tab/>
        <w:t>Informe del grupo de trabajo anterior al período de sesiones</w:t>
      </w:r>
    </w:p>
    <w:p w14:paraId="6E3F106C" w14:textId="0465F4E0" w:rsidR="00923975" w:rsidRPr="00923975" w:rsidRDefault="00923975" w:rsidP="00923975">
      <w:pPr>
        <w:pStyle w:val="SingleTxt"/>
        <w:spacing w:after="0" w:line="120" w:lineRule="exact"/>
        <w:rPr>
          <w:sz w:val="10"/>
          <w:lang w:eastAsia="zh-CN"/>
        </w:rPr>
      </w:pPr>
    </w:p>
    <w:p w14:paraId="566FEFBE" w14:textId="1F4D38F9" w:rsidR="00923975" w:rsidRPr="00923975" w:rsidRDefault="00923975" w:rsidP="00923975">
      <w:pPr>
        <w:pStyle w:val="SingleTxt"/>
        <w:spacing w:after="0" w:line="120" w:lineRule="exact"/>
        <w:rPr>
          <w:sz w:val="10"/>
          <w:lang w:eastAsia="zh-CN"/>
        </w:rPr>
      </w:pPr>
    </w:p>
    <w:p w14:paraId="00DC77DB" w14:textId="34E2AA38" w:rsidR="00923975" w:rsidRPr="00923975" w:rsidRDefault="00923975" w:rsidP="00923975">
      <w:pPr>
        <w:pStyle w:val="SingleTxt"/>
        <w:numPr>
          <w:ilvl w:val="0"/>
          <w:numId w:val="17"/>
        </w:numPr>
        <w:ind w:left="1267"/>
        <w:rPr>
          <w:lang w:eastAsia="zh-CN"/>
        </w:rPr>
      </w:pPr>
      <w:r w:rsidRPr="00923975">
        <w:rPr>
          <w:lang w:eastAsia="zh-CN"/>
        </w:rPr>
        <w:t>Es práctica del Comité para la Eliminación de la Discriminación contra la Mujer constituir un grupo de trabajo que se reúna antes de cada período de sesiones durante cinco días para preparar listas de cuestiones y preguntas relativas a los informes iniciales y periódicos que examinará el Comité en un período de sesiones subsiguiente.</w:t>
      </w:r>
    </w:p>
    <w:p w14:paraId="24EEABA8" w14:textId="1B98676B" w:rsidR="00923975" w:rsidRPr="00923975" w:rsidRDefault="00923975" w:rsidP="00923975">
      <w:pPr>
        <w:pStyle w:val="SingleTxt"/>
        <w:numPr>
          <w:ilvl w:val="0"/>
          <w:numId w:val="17"/>
        </w:numPr>
        <w:ind w:left="1267"/>
        <w:rPr>
          <w:lang w:eastAsia="zh-CN"/>
        </w:rPr>
      </w:pPr>
      <w:r w:rsidRPr="00923975">
        <w:rPr>
          <w:lang w:eastAsia="zh-CN"/>
        </w:rPr>
        <w:t>El Comité decidió que el grupo de trabajo anterior al 74º período de sesiones se reuniera del 11 al 15 de marzo de 2019, inmediatamente después de su 72º período de sesiones, para que los Estados partes tuvieran tiempo suficiente de presentar sus respuestas por escrito a las listas de cuestiones y preguntas y que esas respuestas se tradujeran oportunamente.</w:t>
      </w:r>
    </w:p>
    <w:p w14:paraId="733C0E1E" w14:textId="40C42699" w:rsidR="00923975" w:rsidRPr="00923975" w:rsidRDefault="00923975" w:rsidP="00923975">
      <w:pPr>
        <w:pStyle w:val="SingleTxt"/>
        <w:numPr>
          <w:ilvl w:val="0"/>
          <w:numId w:val="17"/>
        </w:numPr>
        <w:ind w:left="1267"/>
        <w:rPr>
          <w:lang w:eastAsia="zh-CN"/>
        </w:rPr>
      </w:pPr>
      <w:r w:rsidRPr="00923975">
        <w:rPr>
          <w:lang w:eastAsia="zh-CN"/>
        </w:rPr>
        <w:t>Se nombró a las siguientes expertas para formar parte del grupo de trabajo anterior al período de sesiones, quienes asistieron además a este:</w:t>
      </w:r>
    </w:p>
    <w:p w14:paraId="61F6822E" w14:textId="4009944C" w:rsidR="00923975" w:rsidRPr="00923975" w:rsidRDefault="00923975" w:rsidP="00923975">
      <w:pPr>
        <w:pStyle w:val="SingleTxt"/>
        <w:rPr>
          <w:lang w:eastAsia="zh-CN"/>
        </w:rPr>
      </w:pPr>
      <w:r>
        <w:rPr>
          <w:lang w:eastAsia="zh-CN"/>
        </w:rPr>
        <w:tab/>
      </w:r>
      <w:r w:rsidRPr="00923975">
        <w:rPr>
          <w:lang w:eastAsia="zh-CN"/>
        </w:rPr>
        <w:t xml:space="preserve">Nicole </w:t>
      </w:r>
      <w:proofErr w:type="spellStart"/>
      <w:r w:rsidRPr="00923975">
        <w:rPr>
          <w:lang w:eastAsia="zh-CN"/>
        </w:rPr>
        <w:t>Ameline</w:t>
      </w:r>
      <w:proofErr w:type="spellEnd"/>
    </w:p>
    <w:p w14:paraId="48ED08E2" w14:textId="77777777" w:rsidR="00923975" w:rsidRPr="00923975" w:rsidRDefault="00923975" w:rsidP="00923975">
      <w:pPr>
        <w:pStyle w:val="SingleTxt"/>
        <w:rPr>
          <w:lang w:eastAsia="zh-CN"/>
        </w:rPr>
      </w:pPr>
      <w:r w:rsidRPr="00923975">
        <w:rPr>
          <w:lang w:eastAsia="zh-CN"/>
        </w:rPr>
        <w:tab/>
        <w:t>Marion Bethel</w:t>
      </w:r>
    </w:p>
    <w:p w14:paraId="487AAEB4" w14:textId="77777777" w:rsidR="00923975" w:rsidRPr="00923975" w:rsidRDefault="00923975" w:rsidP="00923975">
      <w:pPr>
        <w:pStyle w:val="SingleTxt"/>
        <w:rPr>
          <w:lang w:eastAsia="zh-CN"/>
        </w:rPr>
      </w:pPr>
      <w:r w:rsidRPr="00923975">
        <w:rPr>
          <w:lang w:eastAsia="zh-CN"/>
        </w:rPr>
        <w:tab/>
      </w:r>
      <w:proofErr w:type="spellStart"/>
      <w:r w:rsidRPr="00923975">
        <w:rPr>
          <w:lang w:eastAsia="zh-CN"/>
        </w:rPr>
        <w:t>Nahla</w:t>
      </w:r>
      <w:proofErr w:type="spellEnd"/>
      <w:r w:rsidRPr="00923975">
        <w:rPr>
          <w:lang w:eastAsia="zh-CN"/>
        </w:rPr>
        <w:t xml:space="preserve"> </w:t>
      </w:r>
      <w:proofErr w:type="spellStart"/>
      <w:r w:rsidRPr="00923975">
        <w:rPr>
          <w:lang w:eastAsia="zh-CN"/>
        </w:rPr>
        <w:t>Haidar</w:t>
      </w:r>
      <w:proofErr w:type="spellEnd"/>
    </w:p>
    <w:p w14:paraId="258CF8BF" w14:textId="77777777" w:rsidR="00923975" w:rsidRPr="00923975" w:rsidRDefault="00923975" w:rsidP="00923975">
      <w:pPr>
        <w:pStyle w:val="SingleTxt"/>
        <w:rPr>
          <w:lang w:eastAsia="zh-CN"/>
        </w:rPr>
      </w:pPr>
      <w:r w:rsidRPr="00923975">
        <w:rPr>
          <w:lang w:eastAsia="zh-CN"/>
        </w:rPr>
        <w:tab/>
        <w:t xml:space="preserve">Dalia </w:t>
      </w:r>
      <w:proofErr w:type="spellStart"/>
      <w:r w:rsidRPr="00923975">
        <w:rPr>
          <w:lang w:eastAsia="zh-CN"/>
        </w:rPr>
        <w:t>Leinarte</w:t>
      </w:r>
      <w:proofErr w:type="spellEnd"/>
    </w:p>
    <w:p w14:paraId="2C2F8A8F" w14:textId="4A8B03D9" w:rsidR="00923975" w:rsidRPr="00923975" w:rsidRDefault="00923975" w:rsidP="00923975">
      <w:pPr>
        <w:pStyle w:val="SingleTxt"/>
        <w:rPr>
          <w:lang w:eastAsia="zh-CN"/>
        </w:rPr>
      </w:pPr>
      <w:r w:rsidRPr="00923975">
        <w:rPr>
          <w:lang w:eastAsia="zh-CN"/>
        </w:rPr>
        <w:tab/>
      </w:r>
      <w:proofErr w:type="spellStart"/>
      <w:r w:rsidRPr="00923975">
        <w:rPr>
          <w:lang w:eastAsia="zh-CN"/>
        </w:rPr>
        <w:t>Aruna</w:t>
      </w:r>
      <w:proofErr w:type="spellEnd"/>
      <w:r w:rsidRPr="00923975">
        <w:rPr>
          <w:lang w:eastAsia="zh-CN"/>
        </w:rPr>
        <w:t xml:space="preserve"> </w:t>
      </w:r>
      <w:proofErr w:type="spellStart"/>
      <w:r w:rsidRPr="00923975">
        <w:rPr>
          <w:lang w:eastAsia="zh-CN"/>
        </w:rPr>
        <w:t>Devi</w:t>
      </w:r>
      <w:proofErr w:type="spellEnd"/>
      <w:r w:rsidRPr="00923975">
        <w:rPr>
          <w:lang w:eastAsia="zh-CN"/>
        </w:rPr>
        <w:t xml:space="preserve"> Narain</w:t>
      </w:r>
    </w:p>
    <w:p w14:paraId="36E35B41" w14:textId="521F664F" w:rsidR="00923975" w:rsidRPr="00923975" w:rsidRDefault="00923975" w:rsidP="00923975">
      <w:pPr>
        <w:pStyle w:val="SingleTxt"/>
        <w:numPr>
          <w:ilvl w:val="0"/>
          <w:numId w:val="17"/>
        </w:numPr>
        <w:ind w:left="1267"/>
        <w:rPr>
          <w:lang w:eastAsia="zh-CN"/>
        </w:rPr>
      </w:pPr>
      <w:r w:rsidRPr="00923975">
        <w:rPr>
          <w:lang w:eastAsia="zh-CN"/>
        </w:rPr>
        <w:t xml:space="preserve">El grupo de trabajo anterior al período de sesiones eligió como </w:t>
      </w:r>
      <w:proofErr w:type="gramStart"/>
      <w:r w:rsidRPr="00923975">
        <w:rPr>
          <w:lang w:eastAsia="zh-CN"/>
        </w:rPr>
        <w:t>Presidenta</w:t>
      </w:r>
      <w:proofErr w:type="gramEnd"/>
      <w:r w:rsidRPr="00923975">
        <w:rPr>
          <w:lang w:eastAsia="zh-CN"/>
        </w:rPr>
        <w:t xml:space="preserve"> a la Sra. </w:t>
      </w:r>
      <w:proofErr w:type="spellStart"/>
      <w:r w:rsidRPr="00923975">
        <w:rPr>
          <w:lang w:eastAsia="zh-CN"/>
        </w:rPr>
        <w:t>Ameline</w:t>
      </w:r>
      <w:proofErr w:type="spellEnd"/>
      <w:r w:rsidRPr="00923975">
        <w:rPr>
          <w:lang w:eastAsia="zh-CN"/>
        </w:rPr>
        <w:t>.</w:t>
      </w:r>
    </w:p>
    <w:p w14:paraId="4B309525" w14:textId="25A816C5" w:rsidR="00923975" w:rsidRPr="00923975" w:rsidRDefault="00923975" w:rsidP="00923975">
      <w:pPr>
        <w:pStyle w:val="SingleTxt"/>
        <w:numPr>
          <w:ilvl w:val="0"/>
          <w:numId w:val="17"/>
        </w:numPr>
        <w:ind w:left="1267"/>
        <w:rPr>
          <w:lang w:eastAsia="zh-CN"/>
        </w:rPr>
      </w:pPr>
      <w:r w:rsidRPr="00923975">
        <w:rPr>
          <w:lang w:eastAsia="zh-CN"/>
        </w:rPr>
        <w:t xml:space="preserve">El grupo de trabajo anterior al período de sesiones preparó listas de cuestiones y preguntas relativas a los informes de Andorra, Bosnia y Herzegovina, Camboya, el Iraq, Kazajstán, Lituania y Seychelles, además de las listas de cuestiones previas a la </w:t>
      </w:r>
      <w:r w:rsidRPr="00923975">
        <w:rPr>
          <w:lang w:eastAsia="zh-CN"/>
        </w:rPr>
        <w:lastRenderedPageBreak/>
        <w:t xml:space="preserve">presentación de informes del Ecuador, Suecia y el Uruguay. A tal efecto, orientó su labor en función de las decisiones 49/IX, </w:t>
      </w:r>
      <w:hyperlink r:id="rId15" w:history="1">
        <w:r w:rsidRPr="00136B68">
          <w:rPr>
            <w:rStyle w:val="Hyperlink"/>
            <w:lang w:eastAsia="zh-CN"/>
          </w:rPr>
          <w:t>59/4</w:t>
        </w:r>
      </w:hyperlink>
      <w:r w:rsidRPr="00923975">
        <w:rPr>
          <w:lang w:eastAsia="zh-CN"/>
        </w:rPr>
        <w:t xml:space="preserve"> y </w:t>
      </w:r>
      <w:hyperlink r:id="rId16" w:history="1">
        <w:r w:rsidRPr="00136B68">
          <w:rPr>
            <w:rStyle w:val="Hyperlink"/>
            <w:lang w:eastAsia="zh-CN"/>
          </w:rPr>
          <w:t>64/2</w:t>
        </w:r>
      </w:hyperlink>
      <w:r w:rsidRPr="00923975">
        <w:rPr>
          <w:lang w:eastAsia="zh-CN"/>
        </w:rPr>
        <w:t xml:space="preserve"> del Comité, en virtud de las cuales el Comité decidió limitar las listas de cuestiones y preguntas y la lista de cuestiones previa a la presentación de informes a 20 y 25 párrafos, respectivamente. Sin embargo, en la práctica y de manera excepcional, algunas listas contienen un máximo de 23 párrafos.</w:t>
      </w:r>
    </w:p>
    <w:p w14:paraId="21D67FB0" w14:textId="63592155" w:rsidR="00923975" w:rsidRPr="00923975" w:rsidRDefault="00923975" w:rsidP="00923975">
      <w:pPr>
        <w:pStyle w:val="SingleTxt"/>
        <w:numPr>
          <w:ilvl w:val="0"/>
          <w:numId w:val="17"/>
        </w:numPr>
        <w:ind w:left="1267"/>
        <w:rPr>
          <w:lang w:eastAsia="zh-CN"/>
        </w:rPr>
      </w:pPr>
      <w:r w:rsidRPr="00923975">
        <w:rPr>
          <w:lang w:eastAsia="zh-CN"/>
        </w:rPr>
        <w:t>Como ayuda para la elaboración de las listas de cuestiones y preguntas, el grupo de trabajo anterior al período de sesiones tuvo a su disposición las versiones electrónicas de los informes de los Estados partes mencionados anteriormente, además de los documentos básicos presentados por ellos, con la excepción de los correspondientes al Iraq y Seychelles; las recomendaciones generales aprobadas por el Comité; los proyectos de listas de cuestiones y preguntas elaborados por la secretaría; y demás información pertinente, incluidas las observaciones finales del Comité y de otros órganos creados en virtud de tratados, en su caso. Al elaborar las listas, el grupo de trabajo prestó especial atención al seguimiento de la aplicación por los Estados partes de las observaciones finales formuladas por el Comité en sus informes anteriores.</w:t>
      </w:r>
    </w:p>
    <w:p w14:paraId="3CED5536" w14:textId="6D60AE64" w:rsidR="00923975" w:rsidRPr="00923975" w:rsidRDefault="00923975" w:rsidP="00923975">
      <w:pPr>
        <w:pStyle w:val="SingleTxt"/>
        <w:numPr>
          <w:ilvl w:val="0"/>
          <w:numId w:val="17"/>
        </w:numPr>
        <w:ind w:left="1267"/>
        <w:rPr>
          <w:lang w:eastAsia="zh-CN"/>
        </w:rPr>
      </w:pPr>
      <w:r w:rsidRPr="00923975">
        <w:rPr>
          <w:lang w:eastAsia="zh-CN"/>
        </w:rPr>
        <w:t>El grupo anterior al período de sesiones utilizó también la información presentada oralmente y por escrito por entidades del sistema de las Naciones Unidas, organizaciones no gubernamentales e instituciones nacionales de derechos humanos con respecto a los Estados partes mencionados anteriormente.</w:t>
      </w:r>
    </w:p>
    <w:p w14:paraId="77EABD06" w14:textId="310F1D7A" w:rsidR="00923975" w:rsidRPr="00923975" w:rsidRDefault="00923975" w:rsidP="00923975">
      <w:pPr>
        <w:pStyle w:val="SingleTxt"/>
        <w:numPr>
          <w:ilvl w:val="0"/>
          <w:numId w:val="17"/>
        </w:numPr>
        <w:ind w:left="1267"/>
        <w:rPr>
          <w:lang w:eastAsia="zh-CN"/>
        </w:rPr>
      </w:pPr>
      <w:r w:rsidRPr="00923975">
        <w:rPr>
          <w:lang w:eastAsia="zh-CN"/>
        </w:rPr>
        <w:t>Las listas de cuestiones y preguntas aprobadas por el grupo de trabajo anterior al período de sesiones se transmitieron a los correspondientes Estados partes y figuran en los siguientes documentos:</w:t>
      </w:r>
    </w:p>
    <w:p w14:paraId="0362892B" w14:textId="33E720C8" w:rsidR="00923975" w:rsidRPr="00923975" w:rsidRDefault="00923975" w:rsidP="00923975">
      <w:pPr>
        <w:pStyle w:val="SingleTxt"/>
        <w:rPr>
          <w:lang w:eastAsia="zh-CN"/>
        </w:rPr>
      </w:pPr>
      <w:r w:rsidRPr="00923975">
        <w:rPr>
          <w:lang w:eastAsia="zh-CN"/>
        </w:rPr>
        <w:tab/>
        <w:t>a)</w:t>
      </w:r>
      <w:r w:rsidRPr="00923975">
        <w:rPr>
          <w:lang w:eastAsia="zh-CN"/>
        </w:rPr>
        <w:tab/>
        <w:t>Lista de cuestiones y preguntas relativa al cuarto informe periódico de Andorra (</w:t>
      </w:r>
      <w:hyperlink r:id="rId17" w:history="1">
        <w:r w:rsidRPr="00136B68">
          <w:rPr>
            <w:rStyle w:val="Hyperlink"/>
            <w:lang w:eastAsia="zh-CN"/>
          </w:rPr>
          <w:t>CEDAW/C/AND/Q/4</w:t>
        </w:r>
      </w:hyperlink>
      <w:r w:rsidRPr="00923975">
        <w:rPr>
          <w:lang w:eastAsia="zh-CN"/>
        </w:rPr>
        <w:t>);</w:t>
      </w:r>
    </w:p>
    <w:p w14:paraId="7634DF01" w14:textId="20BB485B" w:rsidR="00923975" w:rsidRPr="00923975" w:rsidRDefault="00923975" w:rsidP="00923975">
      <w:pPr>
        <w:pStyle w:val="SingleTxt"/>
        <w:rPr>
          <w:lang w:eastAsia="zh-CN"/>
        </w:rPr>
      </w:pPr>
      <w:r w:rsidRPr="00923975">
        <w:rPr>
          <w:lang w:eastAsia="zh-CN"/>
        </w:rPr>
        <w:tab/>
        <w:t>b)</w:t>
      </w:r>
      <w:r w:rsidRPr="00923975">
        <w:rPr>
          <w:lang w:eastAsia="zh-CN"/>
        </w:rPr>
        <w:tab/>
        <w:t>Lista de cuestiones y preguntas relativa al sexto informe periódico de Bosnia y Herzegovina (</w:t>
      </w:r>
      <w:hyperlink r:id="rId18" w:history="1">
        <w:r w:rsidRPr="00136B68">
          <w:rPr>
            <w:rStyle w:val="Hyperlink"/>
            <w:lang w:eastAsia="zh-CN"/>
          </w:rPr>
          <w:t>CEDAW/C/BIH/Q/6</w:t>
        </w:r>
      </w:hyperlink>
      <w:r w:rsidRPr="00923975">
        <w:rPr>
          <w:lang w:eastAsia="zh-CN"/>
        </w:rPr>
        <w:t>);</w:t>
      </w:r>
    </w:p>
    <w:p w14:paraId="655C25E4" w14:textId="210573CF" w:rsidR="00923975" w:rsidRPr="00923975" w:rsidRDefault="00923975" w:rsidP="00923975">
      <w:pPr>
        <w:pStyle w:val="SingleTxt"/>
        <w:rPr>
          <w:lang w:eastAsia="zh-CN"/>
        </w:rPr>
      </w:pPr>
      <w:r w:rsidRPr="00923975">
        <w:rPr>
          <w:lang w:eastAsia="zh-CN"/>
        </w:rPr>
        <w:tab/>
        <w:t>c)</w:t>
      </w:r>
      <w:r w:rsidRPr="00923975">
        <w:rPr>
          <w:lang w:eastAsia="zh-CN"/>
        </w:rPr>
        <w:tab/>
        <w:t>Lista de cuestiones y preguntas relativa al sexto informe periódico de Camboya (</w:t>
      </w:r>
      <w:hyperlink r:id="rId19" w:history="1">
        <w:r w:rsidRPr="00136B68">
          <w:rPr>
            <w:rStyle w:val="Hyperlink"/>
            <w:lang w:eastAsia="zh-CN"/>
          </w:rPr>
          <w:t>CEDAW/C/KHM/Q/6</w:t>
        </w:r>
      </w:hyperlink>
      <w:r w:rsidRPr="00923975">
        <w:rPr>
          <w:lang w:eastAsia="zh-CN"/>
        </w:rPr>
        <w:t>);</w:t>
      </w:r>
    </w:p>
    <w:p w14:paraId="1B2697D6" w14:textId="7A59FB98" w:rsidR="00923975" w:rsidRPr="00923975" w:rsidRDefault="00923975" w:rsidP="00923975">
      <w:pPr>
        <w:pStyle w:val="SingleTxt"/>
        <w:rPr>
          <w:lang w:eastAsia="zh-CN"/>
        </w:rPr>
      </w:pPr>
      <w:r>
        <w:rPr>
          <w:lang w:eastAsia="zh-CN"/>
        </w:rPr>
        <w:tab/>
      </w:r>
      <w:r w:rsidRPr="00923975">
        <w:rPr>
          <w:lang w:eastAsia="zh-CN"/>
        </w:rPr>
        <w:t>d)</w:t>
      </w:r>
      <w:r w:rsidRPr="00923975">
        <w:rPr>
          <w:lang w:eastAsia="zh-CN"/>
        </w:rPr>
        <w:tab/>
        <w:t>Lista de cuestiones y preguntas relativa al séptimo informe periódico del Iraq (</w:t>
      </w:r>
      <w:hyperlink r:id="rId20" w:history="1">
        <w:r w:rsidRPr="00136B68">
          <w:rPr>
            <w:rStyle w:val="Hyperlink"/>
            <w:lang w:eastAsia="zh-CN"/>
          </w:rPr>
          <w:t>CEDAW/C/IRQ/Q/7</w:t>
        </w:r>
      </w:hyperlink>
      <w:r w:rsidRPr="00923975">
        <w:rPr>
          <w:lang w:eastAsia="zh-CN"/>
        </w:rPr>
        <w:t>);</w:t>
      </w:r>
    </w:p>
    <w:p w14:paraId="329BB7D2" w14:textId="243E1571" w:rsidR="00923975" w:rsidRPr="00923975" w:rsidRDefault="00923975" w:rsidP="00923975">
      <w:pPr>
        <w:pStyle w:val="SingleTxt"/>
        <w:rPr>
          <w:lang w:eastAsia="zh-CN"/>
        </w:rPr>
      </w:pPr>
      <w:r w:rsidRPr="00923975">
        <w:rPr>
          <w:lang w:eastAsia="zh-CN"/>
        </w:rPr>
        <w:tab/>
        <w:t>e)</w:t>
      </w:r>
      <w:r w:rsidRPr="00923975">
        <w:rPr>
          <w:lang w:eastAsia="zh-CN"/>
        </w:rPr>
        <w:tab/>
        <w:t>Lista de cuestiones y preguntas relativa al quinto informe periódico de Kazajstán (</w:t>
      </w:r>
      <w:hyperlink r:id="rId21" w:history="1">
        <w:r w:rsidRPr="00136B68">
          <w:rPr>
            <w:rStyle w:val="Hyperlink"/>
            <w:lang w:eastAsia="zh-CN"/>
          </w:rPr>
          <w:t>CEDAW/C/KAZ/Q/5</w:t>
        </w:r>
      </w:hyperlink>
      <w:r w:rsidRPr="00923975">
        <w:rPr>
          <w:lang w:eastAsia="zh-CN"/>
        </w:rPr>
        <w:t>);</w:t>
      </w:r>
    </w:p>
    <w:p w14:paraId="1AE7CD48" w14:textId="7E9B7B70" w:rsidR="00923975" w:rsidRPr="00923975" w:rsidRDefault="00923975" w:rsidP="00923975">
      <w:pPr>
        <w:pStyle w:val="SingleTxt"/>
        <w:rPr>
          <w:lang w:eastAsia="zh-CN"/>
        </w:rPr>
      </w:pPr>
      <w:r w:rsidRPr="00923975">
        <w:rPr>
          <w:lang w:eastAsia="zh-CN"/>
        </w:rPr>
        <w:tab/>
        <w:t>f)</w:t>
      </w:r>
      <w:r w:rsidRPr="00923975">
        <w:rPr>
          <w:lang w:eastAsia="zh-CN"/>
        </w:rPr>
        <w:tab/>
        <w:t>Lista de cuestiones y preguntas relativa al sexto informe periódico de Lituania (</w:t>
      </w:r>
      <w:hyperlink r:id="rId22" w:history="1">
        <w:r w:rsidRPr="00136B68">
          <w:rPr>
            <w:rStyle w:val="Hyperlink"/>
            <w:lang w:eastAsia="zh-CN"/>
          </w:rPr>
          <w:t>CEDAW/C/LTU/Q/6</w:t>
        </w:r>
      </w:hyperlink>
      <w:r w:rsidRPr="00923975">
        <w:rPr>
          <w:lang w:eastAsia="zh-CN"/>
        </w:rPr>
        <w:t>);</w:t>
      </w:r>
    </w:p>
    <w:p w14:paraId="49BAFC67" w14:textId="7228039F" w:rsidR="00923975" w:rsidRPr="00923975" w:rsidRDefault="00923975" w:rsidP="00923975">
      <w:pPr>
        <w:pStyle w:val="SingleTxt"/>
        <w:rPr>
          <w:lang w:eastAsia="zh-CN"/>
        </w:rPr>
      </w:pPr>
      <w:r w:rsidRPr="00923975">
        <w:rPr>
          <w:lang w:eastAsia="zh-CN"/>
        </w:rPr>
        <w:tab/>
        <w:t>g)</w:t>
      </w:r>
      <w:r w:rsidRPr="00923975">
        <w:rPr>
          <w:lang w:eastAsia="zh-CN"/>
        </w:rPr>
        <w:tab/>
        <w:t>Lista de cuestiones y preguntas relativa al sexto informe periódico de Seychelles (</w:t>
      </w:r>
      <w:hyperlink r:id="rId23" w:history="1">
        <w:r w:rsidRPr="00136B68">
          <w:rPr>
            <w:rStyle w:val="Hyperlink"/>
            <w:lang w:eastAsia="zh-CN"/>
          </w:rPr>
          <w:t>CEDAW/C/SYC/Q/6</w:t>
        </w:r>
      </w:hyperlink>
      <w:r w:rsidRPr="00923975">
        <w:rPr>
          <w:lang w:eastAsia="zh-CN"/>
        </w:rPr>
        <w:t>);</w:t>
      </w:r>
    </w:p>
    <w:p w14:paraId="2571CC91" w14:textId="4C00C4C9" w:rsidR="00923975" w:rsidRPr="00923975" w:rsidRDefault="00923975" w:rsidP="00923975">
      <w:pPr>
        <w:pStyle w:val="SingleTxt"/>
        <w:rPr>
          <w:lang w:eastAsia="zh-CN"/>
        </w:rPr>
      </w:pPr>
      <w:r>
        <w:rPr>
          <w:lang w:eastAsia="zh-CN"/>
        </w:rPr>
        <w:tab/>
      </w:r>
      <w:r w:rsidRPr="00923975">
        <w:rPr>
          <w:lang w:eastAsia="zh-CN"/>
        </w:rPr>
        <w:t>h)</w:t>
      </w:r>
      <w:r w:rsidRPr="00923975">
        <w:rPr>
          <w:lang w:eastAsia="zh-CN"/>
        </w:rPr>
        <w:tab/>
        <w:t>Lista de cuestiones y preguntas previa a la presentación del décimo informe periódico de Ecuador (</w:t>
      </w:r>
      <w:hyperlink r:id="rId24" w:history="1">
        <w:r w:rsidRPr="00136B68">
          <w:rPr>
            <w:rStyle w:val="Hyperlink"/>
            <w:lang w:eastAsia="zh-CN"/>
          </w:rPr>
          <w:t>CEDAW/C/ECU/QPR/10</w:t>
        </w:r>
      </w:hyperlink>
      <w:r w:rsidRPr="00923975">
        <w:rPr>
          <w:lang w:eastAsia="zh-CN"/>
        </w:rPr>
        <w:t>);</w:t>
      </w:r>
    </w:p>
    <w:p w14:paraId="19C1A5A7" w14:textId="588C114E" w:rsidR="00923975" w:rsidRPr="00923975" w:rsidRDefault="00923975" w:rsidP="00923975">
      <w:pPr>
        <w:pStyle w:val="SingleTxt"/>
        <w:rPr>
          <w:lang w:eastAsia="zh-CN"/>
        </w:rPr>
      </w:pPr>
      <w:r>
        <w:rPr>
          <w:lang w:eastAsia="zh-CN"/>
        </w:rPr>
        <w:tab/>
      </w:r>
      <w:r w:rsidRPr="00923975">
        <w:rPr>
          <w:lang w:eastAsia="zh-CN"/>
        </w:rPr>
        <w:t>i)</w:t>
      </w:r>
      <w:r w:rsidRPr="00923975">
        <w:rPr>
          <w:lang w:eastAsia="zh-CN"/>
        </w:rPr>
        <w:tab/>
        <w:t>Lista de cuestiones y preguntas previas a la presentación del décimo informe periódico de Suecia (</w:t>
      </w:r>
      <w:hyperlink r:id="rId25" w:history="1">
        <w:r w:rsidRPr="00136B68">
          <w:rPr>
            <w:rStyle w:val="Hyperlink"/>
            <w:lang w:eastAsia="zh-CN"/>
          </w:rPr>
          <w:t>CEDAW/C/SWE/QPR/10</w:t>
        </w:r>
      </w:hyperlink>
      <w:r w:rsidRPr="00923975">
        <w:rPr>
          <w:lang w:eastAsia="zh-CN"/>
        </w:rPr>
        <w:t>);</w:t>
      </w:r>
    </w:p>
    <w:p w14:paraId="34FCBC61" w14:textId="707C32F2" w:rsidR="00923975" w:rsidRPr="00923975" w:rsidRDefault="00923975" w:rsidP="00923975">
      <w:pPr>
        <w:pStyle w:val="SingleTxt"/>
        <w:rPr>
          <w:lang w:eastAsia="zh-CN"/>
        </w:rPr>
      </w:pPr>
      <w:r>
        <w:rPr>
          <w:lang w:eastAsia="zh-CN"/>
        </w:rPr>
        <w:tab/>
      </w:r>
      <w:r w:rsidRPr="00923975">
        <w:rPr>
          <w:lang w:eastAsia="zh-CN"/>
        </w:rPr>
        <w:t>j)</w:t>
      </w:r>
      <w:r w:rsidRPr="00923975">
        <w:rPr>
          <w:lang w:eastAsia="zh-CN"/>
        </w:rPr>
        <w:tab/>
        <w:t>Lista de cuestiones y preguntas previa a la presentación del décimo informe periódico del Uruguay (</w:t>
      </w:r>
      <w:hyperlink r:id="rId26" w:history="1">
        <w:r w:rsidRPr="00136B68">
          <w:rPr>
            <w:rStyle w:val="Hyperlink"/>
            <w:lang w:eastAsia="zh-CN"/>
          </w:rPr>
          <w:t>CEDAW/C/URY/QPR/10</w:t>
        </w:r>
      </w:hyperlink>
      <w:r w:rsidRPr="00923975">
        <w:rPr>
          <w:lang w:eastAsia="zh-CN"/>
        </w:rPr>
        <w:t>).</w:t>
      </w:r>
    </w:p>
    <w:p w14:paraId="093E8543" w14:textId="46C0D82D" w:rsidR="004E6B74" w:rsidRDefault="00923975" w:rsidP="00923975">
      <w:pPr>
        <w:pStyle w:val="SingleTxt"/>
        <w:numPr>
          <w:ilvl w:val="0"/>
          <w:numId w:val="17"/>
        </w:numPr>
        <w:ind w:left="1267"/>
        <w:rPr>
          <w:lang w:eastAsia="zh-CN"/>
        </w:rPr>
      </w:pPr>
      <w:r w:rsidRPr="00923975">
        <w:rPr>
          <w:lang w:eastAsia="zh-CN"/>
        </w:rPr>
        <w:t xml:space="preserve">De conformidad con las decisiones del Comité 22/IV, 25/II y 31/III, las listas de cuestiones y preguntas se centraron en los temas abordados en la Convención, así como en los vínculos existentes entre los correspondientes temas y la meta 5.1 de los Objetivos de Desarrollo Sostenible. Entre dichos temas, cabe mencionar los </w:t>
      </w:r>
      <w:r w:rsidRPr="00923975">
        <w:rPr>
          <w:lang w:eastAsia="zh-CN"/>
        </w:rPr>
        <w:lastRenderedPageBreak/>
        <w:t>siguientes: el marco constitucional y legislativo; el acceso a la justicia; las mujeres y la paz y la seguridad, cuando proceda; los mecanismos nacionales para el adelanto de la mujer; las instituciones nacionales de derechos humanos; las medidas especiales de carácter temporal para el adelanto de la mujer; los estereotipos y las prácticas tradicionales nocivas; la violencia de género contra las mujeres y las niñas, incluida la violencia doméstica; la trata de mujeres y niñas y la explotación de la prostitución la participación de las mujeres en la vida política y pública; la nacionalidad; la educación; el empleo; la salud; la vida económica y social; la reducción del riesgo de desastres y el cambio climático; las mujeres rurales; las formas concomitantes de discriminación que afrontan mujeres como las mujeres de edad, las mujeres con discapacidad, las mujeres detenidas, las mujeres indígenas, las mujeres pertenecientes a minorías étnicas, las mujeres refugiadas y migrantes, las mujeres solicitantes de asilo, las mujeres lesbianas, bisexuales y transgénero y las personas intersexuales; la igualdad ante la ley; y la igualdad en el matrimonio y las relaciones familiares.</w:t>
      </w:r>
    </w:p>
    <w:p w14:paraId="6F3222FE" w14:textId="3CF08531" w:rsidR="00923975" w:rsidRPr="00923975" w:rsidRDefault="00923975" w:rsidP="00923975">
      <w:pPr>
        <w:pStyle w:val="SingleTxt"/>
        <w:rPr>
          <w:lang w:eastAsia="zh-CN"/>
        </w:rPr>
      </w:pPr>
      <w:r>
        <w:rPr>
          <w:noProof/>
          <w:w w:val="100"/>
          <w:lang w:eastAsia="zh-CN"/>
        </w:rPr>
        <mc:AlternateContent>
          <mc:Choice Requires="wps">
            <w:drawing>
              <wp:anchor distT="0" distB="0" distL="114300" distR="114300" simplePos="0" relativeHeight="251659264" behindDoc="0" locked="0" layoutInCell="1" allowOverlap="1" wp14:anchorId="72328F60" wp14:editId="3CCE55C9">
                <wp:simplePos x="0" y="0"/>
                <wp:positionH relativeFrom="column">
                  <wp:posOffset>2669540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02E5BA5"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923975" w:rsidRPr="00923975" w:rsidSect="00923975">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9-03-25T18:54:00Z" w:initials="Start">
    <w:bookmarkStart w:id="1" w:name="_GoBack"/>
    <w:bookmarkEnd w:id="1"/>
    <w:p w14:paraId="47CB34EA" w14:textId="77777777" w:rsidR="004E6B74" w:rsidRPr="00923975" w:rsidRDefault="004E6B74">
      <w:pPr>
        <w:pStyle w:val="CommentText"/>
        <w:rPr>
          <w:lang w:val="en-US"/>
        </w:rPr>
      </w:pPr>
      <w:r>
        <w:fldChar w:fldCharType="begin"/>
      </w:r>
      <w:r w:rsidRPr="00923975">
        <w:rPr>
          <w:rStyle w:val="CommentReference"/>
          <w:lang w:val="en-US"/>
        </w:rPr>
        <w:instrText xml:space="preserve"> </w:instrText>
      </w:r>
      <w:r w:rsidRPr="00923975">
        <w:rPr>
          <w:lang w:val="en-US"/>
        </w:rPr>
        <w:instrText>PAGE \# "'Page: '#'</w:instrText>
      </w:r>
      <w:r w:rsidRPr="00923975">
        <w:rPr>
          <w:lang w:val="en-US"/>
        </w:rPr>
        <w:br/>
        <w:instrText>'"</w:instrText>
      </w:r>
      <w:r w:rsidRPr="00923975">
        <w:rPr>
          <w:rStyle w:val="CommentReference"/>
          <w:lang w:val="en-US"/>
        </w:rPr>
        <w:instrText xml:space="preserve"> </w:instrText>
      </w:r>
      <w:r>
        <w:fldChar w:fldCharType="end"/>
      </w:r>
      <w:r>
        <w:rPr>
          <w:rStyle w:val="CommentReference"/>
        </w:rPr>
        <w:annotationRef/>
      </w:r>
      <w:r w:rsidRPr="00923975">
        <w:rPr>
          <w:lang w:val="en-US"/>
        </w:rPr>
        <w:t>&lt;&lt;ODS JOB NO&gt;&gt;N1907925S&lt;&lt;ODS JOB NO&gt;&gt;</w:t>
      </w:r>
    </w:p>
    <w:p w14:paraId="59B9BD63" w14:textId="77777777" w:rsidR="004E6B74" w:rsidRDefault="004E6B74">
      <w:pPr>
        <w:pStyle w:val="CommentText"/>
      </w:pPr>
      <w:r>
        <w:t>&lt;&lt;ODS DOC SYMBOL1&gt;&gt;CEDAW/C/PSWG/74/1&lt;&lt;ODS DOC SYMBOL1&gt;&gt;</w:t>
      </w:r>
    </w:p>
    <w:p w14:paraId="45A36AA3" w14:textId="77777777" w:rsidR="004E6B74" w:rsidRDefault="004E6B74">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5A36AA3"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3EB91F" w14:textId="77777777" w:rsidR="00267EDD" w:rsidRDefault="00267EDD" w:rsidP="00556720">
      <w:r>
        <w:separator/>
      </w:r>
    </w:p>
  </w:endnote>
  <w:endnote w:type="continuationSeparator" w:id="0">
    <w:p w14:paraId="04AF11DE" w14:textId="77777777" w:rsidR="00267EDD" w:rsidRDefault="00267EDD"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4E6B74" w14:paraId="04707D54" w14:textId="77777777" w:rsidTr="004E6B74">
      <w:tc>
        <w:tcPr>
          <w:tcW w:w="4920" w:type="dxa"/>
          <w:shd w:val="clear" w:color="auto" w:fill="auto"/>
        </w:tcPr>
        <w:p w14:paraId="798C649A" w14:textId="77777777" w:rsidR="004E6B74" w:rsidRPr="004E6B74" w:rsidRDefault="004E6B74" w:rsidP="004E6B74">
          <w:pPr>
            <w:pStyle w:val="Footer"/>
            <w:jc w:val="right"/>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Pr>
              <w:b w:val="0"/>
              <w:color w:val="000000"/>
              <w:w w:val="103"/>
              <w:sz w:val="14"/>
            </w:rPr>
            <w:t>19-04707</w:t>
          </w:r>
          <w:r>
            <w:rPr>
              <w:b w:val="0"/>
              <w:color w:val="000000"/>
              <w:w w:val="103"/>
              <w:sz w:val="14"/>
            </w:rPr>
            <w:fldChar w:fldCharType="end"/>
          </w:r>
        </w:p>
      </w:tc>
      <w:tc>
        <w:tcPr>
          <w:tcW w:w="4920" w:type="dxa"/>
          <w:shd w:val="clear" w:color="auto" w:fill="auto"/>
        </w:tcPr>
        <w:p w14:paraId="19FC7064" w14:textId="77777777" w:rsidR="004E6B74" w:rsidRPr="004E6B74" w:rsidRDefault="004E6B74" w:rsidP="004E6B74">
          <w:pPr>
            <w:pStyle w:val="Footer"/>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Pr>
              <w:color w:val="000000"/>
              <w:w w:val="103"/>
            </w:rPr>
            <w:t>3</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Pr>
              <w:color w:val="000000"/>
              <w:w w:val="103"/>
            </w:rPr>
            <w:t>4</w:t>
          </w:r>
          <w:r>
            <w:rPr>
              <w:color w:val="000000"/>
              <w:w w:val="103"/>
            </w:rPr>
            <w:fldChar w:fldCharType="end"/>
          </w:r>
        </w:p>
      </w:tc>
    </w:tr>
  </w:tbl>
  <w:p w14:paraId="6A84C08D" w14:textId="77777777" w:rsidR="004E6B74" w:rsidRPr="004E6B74" w:rsidRDefault="004E6B74" w:rsidP="004E6B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4E6B74" w14:paraId="5926FEDB" w14:textId="77777777" w:rsidTr="004E6B74">
      <w:tc>
        <w:tcPr>
          <w:tcW w:w="4920" w:type="dxa"/>
          <w:shd w:val="clear" w:color="auto" w:fill="auto"/>
        </w:tcPr>
        <w:p w14:paraId="69757A83" w14:textId="77777777" w:rsidR="004E6B74" w:rsidRPr="004E6B74" w:rsidRDefault="004E6B74" w:rsidP="004E6B74">
          <w:pPr>
            <w:pStyle w:val="Footer"/>
            <w:jc w:val="right"/>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Pr>
              <w:color w:val="000000"/>
              <w:w w:val="103"/>
            </w:rPr>
            <w:t>2</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Pr>
              <w:color w:val="000000"/>
              <w:w w:val="103"/>
            </w:rPr>
            <w:t>4</w:t>
          </w:r>
          <w:r>
            <w:rPr>
              <w:color w:val="000000"/>
              <w:w w:val="103"/>
            </w:rPr>
            <w:fldChar w:fldCharType="end"/>
          </w:r>
        </w:p>
      </w:tc>
      <w:tc>
        <w:tcPr>
          <w:tcW w:w="4920" w:type="dxa"/>
          <w:shd w:val="clear" w:color="auto" w:fill="auto"/>
        </w:tcPr>
        <w:p w14:paraId="5AE9DF43" w14:textId="77777777" w:rsidR="004E6B74" w:rsidRPr="004E6B74" w:rsidRDefault="004E6B74" w:rsidP="004E6B74">
          <w:pPr>
            <w:pStyle w:val="Footer"/>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Pr>
              <w:b w:val="0"/>
              <w:color w:val="000000"/>
              <w:w w:val="103"/>
              <w:sz w:val="14"/>
            </w:rPr>
            <w:t>19-04707</w:t>
          </w:r>
          <w:r>
            <w:rPr>
              <w:b w:val="0"/>
              <w:color w:val="000000"/>
              <w:w w:val="103"/>
              <w:sz w:val="14"/>
            </w:rPr>
            <w:fldChar w:fldCharType="end"/>
          </w:r>
        </w:p>
      </w:tc>
    </w:tr>
  </w:tbl>
  <w:p w14:paraId="480BF884" w14:textId="77777777" w:rsidR="004E6B74" w:rsidRPr="004E6B74" w:rsidRDefault="004E6B74" w:rsidP="004E6B7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227EB5" w14:textId="77777777" w:rsidR="004E6B74" w:rsidRPr="004E6B74" w:rsidRDefault="004E6B74" w:rsidP="004E6B74">
    <w:pPr>
      <w:pStyle w:val="Footer"/>
      <w:spacing w:line="120" w:lineRule="exact"/>
      <w:rPr>
        <w:b w:val="0"/>
        <w:sz w:val="10"/>
      </w:rPr>
    </w:pPr>
    <w:r>
      <w:rPr>
        <w:b w:val="0"/>
        <w:sz w:val="10"/>
      </w:rPr>
      <w:drawing>
        <wp:anchor distT="0" distB="0" distL="114300" distR="114300" simplePos="0" relativeHeight="251658240" behindDoc="0" locked="0" layoutInCell="1" allowOverlap="1" wp14:anchorId="759550BD" wp14:editId="7C476BA0">
          <wp:simplePos x="0" y="0"/>
          <wp:positionH relativeFrom="column">
            <wp:posOffset>5568315</wp:posOffset>
          </wp:positionH>
          <wp:positionV relativeFrom="paragraph">
            <wp:posOffset>-283210</wp:posOffset>
          </wp:positionV>
          <wp:extent cx="694690" cy="694690"/>
          <wp:effectExtent l="0" t="0" r="0" b="0"/>
          <wp:wrapNone/>
          <wp:docPr id="3" name="Picture 3" descr="https://undocs.org/m2/QRCode2.ashx?DS=CEDAW/C/PSWG/74/1&amp;Size =1&amp;Lang =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PSWG/74/1&amp;Size =1&amp;Lang = 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830"/>
      <w:gridCol w:w="4920"/>
    </w:tblGrid>
    <w:tr w:rsidR="004E6B74" w14:paraId="66F4A7C3" w14:textId="77777777" w:rsidTr="004E6B74">
      <w:tc>
        <w:tcPr>
          <w:tcW w:w="3830" w:type="dxa"/>
          <w:shd w:val="clear" w:color="auto" w:fill="auto"/>
        </w:tcPr>
        <w:p w14:paraId="7063C4D6" w14:textId="3AE1DEF7" w:rsidR="004E6B74" w:rsidRDefault="004E6B74" w:rsidP="004E6B74">
          <w:pPr>
            <w:pStyle w:val="ReleaseDate"/>
          </w:pPr>
          <w:r>
            <w:t>19-04707 (</w:t>
          </w:r>
          <w:proofErr w:type="gramStart"/>
          <w:r>
            <w:t xml:space="preserve">S)   </w:t>
          </w:r>
          <w:proofErr w:type="gramEnd"/>
          <w:r>
            <w:t xml:space="preserve"> 250319    2</w:t>
          </w:r>
          <w:r w:rsidR="00953E63">
            <w:t>6</w:t>
          </w:r>
          <w:r>
            <w:t>0319</w:t>
          </w:r>
        </w:p>
        <w:p w14:paraId="3E8332D7" w14:textId="77777777" w:rsidR="004E6B74" w:rsidRPr="004E6B74" w:rsidRDefault="004E6B74" w:rsidP="004E6B74">
          <w:pPr>
            <w:pStyle w:val="Footer"/>
            <w:spacing w:before="80" w:line="210" w:lineRule="exact"/>
            <w:rPr>
              <w:rFonts w:ascii="Barcode 3 of 9 by request" w:hAnsi="Barcode 3 of 9 by request"/>
              <w:b w:val="0"/>
              <w:sz w:val="24"/>
              <w:lang w:val="es-ES"/>
            </w:rPr>
          </w:pPr>
          <w:r>
            <w:rPr>
              <w:rFonts w:ascii="Barcode 3 of 9 by request" w:hAnsi="Barcode 3 of 9 by request"/>
              <w:sz w:val="24"/>
              <w:lang w:val="es-ES"/>
            </w:rPr>
            <w:t>*1904707*</w:t>
          </w:r>
        </w:p>
      </w:tc>
      <w:tc>
        <w:tcPr>
          <w:tcW w:w="4920" w:type="dxa"/>
          <w:shd w:val="clear" w:color="auto" w:fill="auto"/>
        </w:tcPr>
        <w:p w14:paraId="4A422790" w14:textId="77777777" w:rsidR="004E6B74" w:rsidRDefault="004E6B74" w:rsidP="004E6B74">
          <w:pPr>
            <w:pStyle w:val="Footer"/>
            <w:jc w:val="right"/>
            <w:rPr>
              <w:b w:val="0"/>
              <w:sz w:val="20"/>
            </w:rPr>
          </w:pPr>
          <w:r>
            <w:rPr>
              <w:b w:val="0"/>
              <w:sz w:val="20"/>
            </w:rPr>
            <w:drawing>
              <wp:inline distT="0" distB="0" distL="0" distR="0" wp14:anchorId="5AF8DAD3" wp14:editId="17EFBAAE">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1082042" cy="231648"/>
                        </a:xfrm>
                        <a:prstGeom prst="rect">
                          <a:avLst/>
                        </a:prstGeom>
                      </pic:spPr>
                    </pic:pic>
                  </a:graphicData>
                </a:graphic>
              </wp:inline>
            </w:drawing>
          </w:r>
        </w:p>
      </w:tc>
    </w:tr>
  </w:tbl>
  <w:p w14:paraId="52D4C59F" w14:textId="77777777" w:rsidR="004E6B74" w:rsidRPr="004E6B74" w:rsidRDefault="004E6B74" w:rsidP="004E6B74">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CDCE97" w14:textId="77777777" w:rsidR="00267EDD" w:rsidRDefault="00267EDD" w:rsidP="00556720">
      <w:r>
        <w:separator/>
      </w:r>
    </w:p>
  </w:footnote>
  <w:footnote w:type="continuationSeparator" w:id="0">
    <w:p w14:paraId="2DB2EAB3" w14:textId="77777777" w:rsidR="00267EDD" w:rsidRDefault="00267EDD" w:rsidP="005567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9" w:type="dxa"/>
      <w:tblBorders>
        <w:bottom w:val="single" w:sz="2" w:space="0" w:color="010000"/>
      </w:tblBorders>
      <w:tblLayout w:type="fixed"/>
      <w:tblCellMar>
        <w:left w:w="0" w:type="dxa"/>
        <w:right w:w="0" w:type="dxa"/>
      </w:tblCellMar>
      <w:tblLook w:val="0000" w:firstRow="0" w:lastRow="0" w:firstColumn="0" w:lastColumn="0" w:noHBand="0" w:noVBand="0"/>
    </w:tblPr>
    <w:tblGrid>
      <w:gridCol w:w="4939"/>
      <w:gridCol w:w="4920"/>
    </w:tblGrid>
    <w:tr w:rsidR="004E6B74" w14:paraId="556F283B" w14:textId="77777777" w:rsidTr="004E6B74">
      <w:trPr>
        <w:trHeight w:hRule="exact" w:val="864"/>
      </w:trPr>
      <w:tc>
        <w:tcPr>
          <w:tcW w:w="4939" w:type="dxa"/>
          <w:shd w:val="clear" w:color="auto" w:fill="auto"/>
          <w:vAlign w:val="bottom"/>
        </w:tcPr>
        <w:p w14:paraId="67FB00CA" w14:textId="77777777" w:rsidR="004E6B74" w:rsidRPr="004E6B74" w:rsidRDefault="004E6B74" w:rsidP="004E6B74">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Pr>
              <w:b/>
              <w:color w:val="000000"/>
            </w:rPr>
            <w:t>CEDAW/C/PSWG/74/1</w:t>
          </w:r>
          <w:r>
            <w:rPr>
              <w:b/>
              <w:color w:val="000000"/>
            </w:rPr>
            <w:fldChar w:fldCharType="end"/>
          </w:r>
        </w:p>
      </w:tc>
      <w:tc>
        <w:tcPr>
          <w:tcW w:w="4920" w:type="dxa"/>
          <w:shd w:val="clear" w:color="auto" w:fill="auto"/>
          <w:vAlign w:val="bottom"/>
        </w:tcPr>
        <w:p w14:paraId="235A2CA3" w14:textId="77777777" w:rsidR="004E6B74" w:rsidRDefault="004E6B74" w:rsidP="004E6B74">
          <w:pPr>
            <w:pStyle w:val="Header"/>
          </w:pPr>
        </w:p>
      </w:tc>
    </w:tr>
  </w:tbl>
  <w:p w14:paraId="2467300F" w14:textId="77777777" w:rsidR="004E6B74" w:rsidRPr="004E6B74" w:rsidRDefault="004E6B74" w:rsidP="004E6B74">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9" w:type="dxa"/>
      <w:tblBorders>
        <w:bottom w:val="single" w:sz="2" w:space="0" w:color="010000"/>
      </w:tblBorders>
      <w:tblLayout w:type="fixed"/>
      <w:tblCellMar>
        <w:left w:w="0" w:type="dxa"/>
        <w:right w:w="0" w:type="dxa"/>
      </w:tblCellMar>
      <w:tblLook w:val="0000" w:firstRow="0" w:lastRow="0" w:firstColumn="0" w:lastColumn="0" w:noHBand="0" w:noVBand="0"/>
    </w:tblPr>
    <w:tblGrid>
      <w:gridCol w:w="4939"/>
      <w:gridCol w:w="4920"/>
    </w:tblGrid>
    <w:tr w:rsidR="004E6B74" w14:paraId="0D1DC077" w14:textId="77777777" w:rsidTr="004E6B74">
      <w:trPr>
        <w:trHeight w:hRule="exact" w:val="864"/>
      </w:trPr>
      <w:tc>
        <w:tcPr>
          <w:tcW w:w="4939" w:type="dxa"/>
          <w:shd w:val="clear" w:color="auto" w:fill="auto"/>
          <w:vAlign w:val="bottom"/>
        </w:tcPr>
        <w:p w14:paraId="3D8E5249" w14:textId="77777777" w:rsidR="004E6B74" w:rsidRDefault="004E6B74" w:rsidP="004E6B74">
          <w:pPr>
            <w:pStyle w:val="Header"/>
          </w:pPr>
        </w:p>
      </w:tc>
      <w:tc>
        <w:tcPr>
          <w:tcW w:w="4920" w:type="dxa"/>
          <w:shd w:val="clear" w:color="auto" w:fill="auto"/>
          <w:vAlign w:val="bottom"/>
        </w:tcPr>
        <w:p w14:paraId="17F78108" w14:textId="77777777" w:rsidR="004E6B74" w:rsidRPr="004E6B74" w:rsidRDefault="004E6B74" w:rsidP="004E6B74">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Pr>
              <w:b/>
              <w:color w:val="000000"/>
            </w:rPr>
            <w:t>CEDAW/C/PSWG/74/1</w:t>
          </w:r>
          <w:r>
            <w:rPr>
              <w:b/>
              <w:color w:val="000000"/>
            </w:rPr>
            <w:fldChar w:fldCharType="end"/>
          </w:r>
        </w:p>
      </w:tc>
    </w:tr>
  </w:tbl>
  <w:p w14:paraId="496D3D51" w14:textId="77777777" w:rsidR="004E6B74" w:rsidRPr="004E6B74" w:rsidRDefault="004E6B74" w:rsidP="004E6B74">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7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25"/>
      <w:gridCol w:w="15"/>
    </w:tblGrid>
    <w:tr w:rsidR="004E6B74" w14:paraId="47D1C9E1" w14:textId="77777777" w:rsidTr="004E6B74">
      <w:trPr>
        <w:gridAfter w:val="1"/>
        <w:wAfter w:w="15" w:type="dxa"/>
        <w:trHeight w:hRule="exact" w:val="864"/>
      </w:trPr>
      <w:tc>
        <w:tcPr>
          <w:tcW w:w="1267" w:type="dxa"/>
          <w:tcBorders>
            <w:bottom w:val="single" w:sz="4" w:space="0" w:color="auto"/>
          </w:tcBorders>
          <w:shd w:val="clear" w:color="auto" w:fill="auto"/>
          <w:vAlign w:val="bottom"/>
        </w:tcPr>
        <w:p w14:paraId="3DA8AF93" w14:textId="77777777" w:rsidR="004E6B74" w:rsidRDefault="004E6B74" w:rsidP="004E6B74">
          <w:pPr>
            <w:pStyle w:val="Header"/>
            <w:spacing w:after="120"/>
          </w:pPr>
        </w:p>
      </w:tc>
      <w:tc>
        <w:tcPr>
          <w:tcW w:w="2059" w:type="dxa"/>
          <w:tcBorders>
            <w:bottom w:val="single" w:sz="4" w:space="0" w:color="auto"/>
          </w:tcBorders>
          <w:shd w:val="clear" w:color="auto" w:fill="auto"/>
          <w:vAlign w:val="bottom"/>
        </w:tcPr>
        <w:p w14:paraId="0B6465DC" w14:textId="77777777" w:rsidR="004E6B74" w:rsidRPr="004E6B74" w:rsidRDefault="004E6B74" w:rsidP="004E6B74">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14:paraId="25A45907" w14:textId="77777777" w:rsidR="004E6B74" w:rsidRDefault="004E6B74" w:rsidP="004E6B74">
          <w:pPr>
            <w:pStyle w:val="Header"/>
            <w:spacing w:after="120"/>
          </w:pPr>
        </w:p>
      </w:tc>
      <w:tc>
        <w:tcPr>
          <w:tcW w:w="6480" w:type="dxa"/>
          <w:gridSpan w:val="3"/>
          <w:tcBorders>
            <w:bottom w:val="single" w:sz="4" w:space="0" w:color="auto"/>
          </w:tcBorders>
          <w:shd w:val="clear" w:color="auto" w:fill="auto"/>
          <w:vAlign w:val="bottom"/>
        </w:tcPr>
        <w:p w14:paraId="2CF82C8C" w14:textId="77777777" w:rsidR="004E6B74" w:rsidRPr="004E6B74" w:rsidRDefault="004E6B74" w:rsidP="004E6B74">
          <w:pPr>
            <w:spacing w:after="80" w:line="240" w:lineRule="auto"/>
            <w:jc w:val="right"/>
            <w:rPr>
              <w:position w:val="-4"/>
            </w:rPr>
          </w:pPr>
          <w:r>
            <w:rPr>
              <w:position w:val="-4"/>
              <w:sz w:val="40"/>
            </w:rPr>
            <w:t>CEDAW</w:t>
          </w:r>
          <w:r>
            <w:rPr>
              <w:position w:val="-4"/>
            </w:rPr>
            <w:t>/C/PSWG/74/1</w:t>
          </w:r>
        </w:p>
      </w:tc>
    </w:tr>
    <w:tr w:rsidR="004E6B74" w:rsidRPr="004E6B74" w14:paraId="6F759BDA" w14:textId="77777777" w:rsidTr="004E6B74">
      <w:trPr>
        <w:trHeight w:hRule="exact" w:val="2880"/>
      </w:trPr>
      <w:tc>
        <w:tcPr>
          <w:tcW w:w="1267" w:type="dxa"/>
          <w:tcBorders>
            <w:top w:val="single" w:sz="4" w:space="0" w:color="auto"/>
            <w:bottom w:val="single" w:sz="12" w:space="0" w:color="auto"/>
          </w:tcBorders>
          <w:shd w:val="clear" w:color="auto" w:fill="auto"/>
        </w:tcPr>
        <w:p w14:paraId="563AA078" w14:textId="77777777" w:rsidR="004E6B74" w:rsidRPr="004E6B74" w:rsidRDefault="004E6B74" w:rsidP="004E6B74">
          <w:pPr>
            <w:pStyle w:val="Header"/>
            <w:spacing w:before="120"/>
            <w:jc w:val="center"/>
          </w:pPr>
          <w:r>
            <w:t xml:space="preserve"> </w:t>
          </w:r>
          <w:r>
            <w:drawing>
              <wp:inline distT="0" distB="0" distL="0" distR="0" wp14:anchorId="16FF898F" wp14:editId="644CE90C">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222AEC5E" w14:textId="77777777" w:rsidR="004E6B74" w:rsidRPr="004E6B74" w:rsidRDefault="004E6B74" w:rsidP="004E6B74">
          <w:pPr>
            <w:pStyle w:val="XLarge"/>
            <w:spacing w:before="160"/>
            <w:rPr>
              <w:w w:val="103"/>
            </w:rPr>
          </w:pPr>
          <w:r>
            <w:rPr>
              <w:w w:val="103"/>
            </w:rPr>
            <w:t>Convención sobre la</w:t>
          </w:r>
          <w:r>
            <w:rPr>
              <w:w w:val="103"/>
            </w:rPr>
            <w:br/>
            <w:t>Eliminación de Todas las</w:t>
          </w:r>
          <w:r>
            <w:rPr>
              <w:w w:val="103"/>
            </w:rPr>
            <w:br/>
            <w:t>Formas de Discriminación</w:t>
          </w:r>
          <w:r>
            <w:rPr>
              <w:w w:val="103"/>
            </w:rPr>
            <w:br/>
            <w:t>contra la Mujer</w:t>
          </w:r>
        </w:p>
      </w:tc>
      <w:tc>
        <w:tcPr>
          <w:tcW w:w="245" w:type="dxa"/>
          <w:tcBorders>
            <w:top w:val="single" w:sz="4" w:space="0" w:color="auto"/>
            <w:bottom w:val="single" w:sz="12" w:space="0" w:color="auto"/>
          </w:tcBorders>
          <w:shd w:val="clear" w:color="auto" w:fill="auto"/>
        </w:tcPr>
        <w:p w14:paraId="63BAA4A5" w14:textId="77777777" w:rsidR="004E6B74" w:rsidRPr="00923975" w:rsidRDefault="004E6B74" w:rsidP="004E6B74">
          <w:pPr>
            <w:pStyle w:val="Header"/>
            <w:spacing w:before="109"/>
            <w:rPr>
              <w:lang w:val="es-ES"/>
            </w:rPr>
          </w:pPr>
        </w:p>
      </w:tc>
      <w:tc>
        <w:tcPr>
          <w:tcW w:w="3140" w:type="dxa"/>
          <w:gridSpan w:val="2"/>
          <w:tcBorders>
            <w:top w:val="single" w:sz="4" w:space="0" w:color="auto"/>
            <w:bottom w:val="single" w:sz="12" w:space="0" w:color="auto"/>
          </w:tcBorders>
          <w:shd w:val="clear" w:color="auto" w:fill="auto"/>
        </w:tcPr>
        <w:p w14:paraId="0A4B2742" w14:textId="77777777" w:rsidR="004E6B74" w:rsidRDefault="004E6B74" w:rsidP="004E6B74">
          <w:pPr>
            <w:pStyle w:val="Distribution"/>
            <w:spacing w:before="240"/>
          </w:pPr>
          <w:proofErr w:type="spellStart"/>
          <w:r>
            <w:t>Distr</w:t>
          </w:r>
          <w:proofErr w:type="spellEnd"/>
          <w:r>
            <w:t>. general</w:t>
          </w:r>
        </w:p>
        <w:p w14:paraId="002DD63D" w14:textId="77777777" w:rsidR="004E6B74" w:rsidRDefault="004E6B74" w:rsidP="004E6B74">
          <w:pPr>
            <w:pStyle w:val="Publication"/>
          </w:pPr>
          <w:r>
            <w:t>20 de marzo de 2019</w:t>
          </w:r>
        </w:p>
        <w:p w14:paraId="79808BAB" w14:textId="77777777" w:rsidR="004E6B74" w:rsidRDefault="004E6B74" w:rsidP="004E6B74">
          <w:r>
            <w:t>Español</w:t>
          </w:r>
        </w:p>
        <w:p w14:paraId="537B1116" w14:textId="77777777" w:rsidR="004E6B74" w:rsidRDefault="004E6B74" w:rsidP="004E6B74">
          <w:pPr>
            <w:pStyle w:val="Original"/>
          </w:pPr>
          <w:r>
            <w:t>Original: inglés</w:t>
          </w:r>
        </w:p>
        <w:p w14:paraId="334B6BDC" w14:textId="2616A792" w:rsidR="004E6B74" w:rsidRPr="004E6B74" w:rsidRDefault="00923975" w:rsidP="004E6B74">
          <w:r w:rsidRPr="00923975">
            <w:t>español</w:t>
          </w:r>
          <w:r w:rsidR="00AC7744">
            <w:t xml:space="preserve">, </w:t>
          </w:r>
          <w:r w:rsidRPr="00923975">
            <w:t>francés</w:t>
          </w:r>
          <w:r w:rsidR="00AC7744">
            <w:t xml:space="preserve"> e </w:t>
          </w:r>
          <w:r w:rsidRPr="00923975">
            <w:t>inglés únicamente</w:t>
          </w:r>
        </w:p>
      </w:tc>
    </w:tr>
  </w:tbl>
  <w:p w14:paraId="0DE8FE99" w14:textId="77777777" w:rsidR="004E6B74" w:rsidRPr="00923975" w:rsidRDefault="004E6B74" w:rsidP="004E6B74">
    <w:pPr>
      <w:pStyle w:val="Header"/>
      <w:rPr>
        <w:sz w:val="2"/>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30AD0"/>
    <w:multiLevelType w:val="hybridMultilevel"/>
    <w:tmpl w:val="3446DFCE"/>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4761126E"/>
    <w:multiLevelType w:val="singleLevel"/>
    <w:tmpl w:val="5DE0F060"/>
    <w:lvl w:ilvl="0">
      <w:start w:val="1"/>
      <w:numFmt w:val="decimal"/>
      <w:lvlRestart w:val="0"/>
      <w:lvlText w:val="%1."/>
      <w:lvlJc w:val="left"/>
      <w:pPr>
        <w:tabs>
          <w:tab w:val="num" w:pos="475"/>
        </w:tabs>
        <w:ind w:left="0" w:firstLine="0"/>
      </w:pPr>
      <w:rPr>
        <w:spacing w:val="0"/>
        <w:w w:val="100"/>
      </w:rPr>
    </w:lvl>
  </w:abstractNum>
  <w:abstractNum w:abstractNumId="2" w15:restartNumberingAfterBreak="0">
    <w:nsid w:val="4CE669A5"/>
    <w:multiLevelType w:val="multilevel"/>
    <w:tmpl w:val="B0961872"/>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51376339"/>
    <w:multiLevelType w:val="hybridMultilevel"/>
    <w:tmpl w:val="6492C7AC"/>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4" w15:restartNumberingAfterBreak="0">
    <w:nsid w:val="62022005"/>
    <w:multiLevelType w:val="hybridMultilevel"/>
    <w:tmpl w:val="4D4A7F8A"/>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5" w15:restartNumberingAfterBreak="0">
    <w:nsid w:val="76A84A9B"/>
    <w:multiLevelType w:val="hybridMultilevel"/>
    <w:tmpl w:val="9EE05E62"/>
    <w:lvl w:ilvl="0" w:tplc="70E8E12A">
      <w:start w:val="1"/>
      <w:numFmt w:val="decimal"/>
      <w:lvlText w:val="%1."/>
      <w:lvlJc w:val="left"/>
      <w:pPr>
        <w:ind w:left="1735" w:hanging="468"/>
      </w:pPr>
      <w:rPr>
        <w:rFonts w:hint="default"/>
      </w:rPr>
    </w:lvl>
    <w:lvl w:ilvl="1" w:tplc="0C0A0019" w:tentative="1">
      <w:start w:val="1"/>
      <w:numFmt w:val="lowerLetter"/>
      <w:lvlText w:val="%2."/>
      <w:lvlJc w:val="left"/>
      <w:pPr>
        <w:ind w:left="2347" w:hanging="360"/>
      </w:pPr>
    </w:lvl>
    <w:lvl w:ilvl="2" w:tplc="0C0A001B" w:tentative="1">
      <w:start w:val="1"/>
      <w:numFmt w:val="lowerRoman"/>
      <w:lvlText w:val="%3."/>
      <w:lvlJc w:val="right"/>
      <w:pPr>
        <w:ind w:left="3067" w:hanging="180"/>
      </w:pPr>
    </w:lvl>
    <w:lvl w:ilvl="3" w:tplc="0C0A000F" w:tentative="1">
      <w:start w:val="1"/>
      <w:numFmt w:val="decimal"/>
      <w:lvlText w:val="%4."/>
      <w:lvlJc w:val="left"/>
      <w:pPr>
        <w:ind w:left="3787" w:hanging="360"/>
      </w:pPr>
    </w:lvl>
    <w:lvl w:ilvl="4" w:tplc="0C0A0019" w:tentative="1">
      <w:start w:val="1"/>
      <w:numFmt w:val="lowerLetter"/>
      <w:lvlText w:val="%5."/>
      <w:lvlJc w:val="left"/>
      <w:pPr>
        <w:ind w:left="4507" w:hanging="360"/>
      </w:pPr>
    </w:lvl>
    <w:lvl w:ilvl="5" w:tplc="0C0A001B" w:tentative="1">
      <w:start w:val="1"/>
      <w:numFmt w:val="lowerRoman"/>
      <w:lvlText w:val="%6."/>
      <w:lvlJc w:val="right"/>
      <w:pPr>
        <w:ind w:left="5227" w:hanging="180"/>
      </w:pPr>
    </w:lvl>
    <w:lvl w:ilvl="6" w:tplc="0C0A000F" w:tentative="1">
      <w:start w:val="1"/>
      <w:numFmt w:val="decimal"/>
      <w:lvlText w:val="%7."/>
      <w:lvlJc w:val="left"/>
      <w:pPr>
        <w:ind w:left="5947" w:hanging="360"/>
      </w:pPr>
    </w:lvl>
    <w:lvl w:ilvl="7" w:tplc="0C0A0019" w:tentative="1">
      <w:start w:val="1"/>
      <w:numFmt w:val="lowerLetter"/>
      <w:lvlText w:val="%8."/>
      <w:lvlJc w:val="left"/>
      <w:pPr>
        <w:ind w:left="6667" w:hanging="360"/>
      </w:pPr>
    </w:lvl>
    <w:lvl w:ilvl="8" w:tplc="0C0A001B" w:tentative="1">
      <w:start w:val="1"/>
      <w:numFmt w:val="lowerRoman"/>
      <w:lvlText w:val="%9."/>
      <w:lvlJc w:val="right"/>
      <w:pPr>
        <w:ind w:left="7387" w:hanging="180"/>
      </w:pPr>
    </w:lvl>
  </w:abstractNum>
  <w:num w:numId="1">
    <w:abstractNumId w:val="4"/>
  </w:num>
  <w:num w:numId="2">
    <w:abstractNumId w:val="0"/>
  </w:num>
  <w:num w:numId="3">
    <w:abstractNumId w:val="3"/>
  </w:num>
  <w:num w:numId="4">
    <w:abstractNumId w:val="2"/>
  </w:num>
  <w:num w:numId="5">
    <w:abstractNumId w:val="4"/>
  </w:num>
  <w:num w:numId="6">
    <w:abstractNumId w:val="0"/>
  </w:num>
  <w:num w:numId="7">
    <w:abstractNumId w:val="3"/>
  </w:num>
  <w:num w:numId="8">
    <w:abstractNumId w:val="2"/>
  </w:num>
  <w:num w:numId="9">
    <w:abstractNumId w:val="4"/>
  </w:num>
  <w:num w:numId="10">
    <w:abstractNumId w:val="0"/>
  </w:num>
  <w:num w:numId="11">
    <w:abstractNumId w:val="3"/>
  </w:num>
  <w:num w:numId="12">
    <w:abstractNumId w:val="2"/>
  </w:num>
  <w:num w:numId="13">
    <w:abstractNumId w:val="4"/>
  </w:num>
  <w:num w:numId="14">
    <w:abstractNumId w:val="0"/>
  </w:num>
  <w:num w:numId="15">
    <w:abstractNumId w:val="3"/>
  </w:num>
  <w:num w:numId="16">
    <w:abstractNumId w:val="2"/>
  </w:num>
  <w:num w:numId="17">
    <w:abstractNumId w:val="1"/>
  </w:num>
  <w:num w:numId="18">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proofState w:spelling="clean" w:grammar="clean"/>
  <w:defaultTabStop w:val="475"/>
  <w:autoHyphenation/>
  <w:hyphenationZone w:val="20"/>
  <w:doNotHyphenateCaps/>
  <w:evenAndOddHeaders/>
  <w:characterSpacingControl w:val="doNotCompress"/>
  <w:hdrShapeDefaults>
    <o:shapedefaults v:ext="edit" spidmax="10241"/>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904707*"/>
    <w:docVar w:name="CreationDt" w:val="25/03/2019 6:54: PM"/>
    <w:docVar w:name="DocCategory" w:val="Doc"/>
    <w:docVar w:name="DocType" w:val="Final"/>
    <w:docVar w:name="DutyStation" w:val="New York"/>
    <w:docVar w:name="FooterJN" w:val="19-04707"/>
    <w:docVar w:name="jobn" w:val="19-04707 (S)"/>
    <w:docVar w:name="jobnDT" w:val="19-04707 (S)   250319"/>
    <w:docVar w:name="jobnDTDT" w:val="19-04707 (S)   250319   250319"/>
    <w:docVar w:name="JobNo" w:val="1904707S"/>
    <w:docVar w:name="JobNo2" w:val="19079256:54: PM"/>
    <w:docVar w:name="LocalDrive" w:val="0"/>
    <w:docVar w:name="OandT" w:val="MAGV/Larrea"/>
    <w:docVar w:name="sss1" w:val="CEDAW/C/PSWG/74/1"/>
    <w:docVar w:name="sss2" w:val="-"/>
    <w:docVar w:name="Symbol1" w:val="CEDAW/C/PSWG/74/1"/>
    <w:docVar w:name="Symbol2" w:val="-"/>
  </w:docVars>
  <w:rsids>
    <w:rsidRoot w:val="00267EDD"/>
    <w:rsid w:val="00017FCF"/>
    <w:rsid w:val="00024D1E"/>
    <w:rsid w:val="00065018"/>
    <w:rsid w:val="000B37F3"/>
    <w:rsid w:val="000C4C9C"/>
    <w:rsid w:val="000C7D5C"/>
    <w:rsid w:val="000F5173"/>
    <w:rsid w:val="0011115C"/>
    <w:rsid w:val="0012355B"/>
    <w:rsid w:val="00124640"/>
    <w:rsid w:val="001263EE"/>
    <w:rsid w:val="00136B68"/>
    <w:rsid w:val="00144718"/>
    <w:rsid w:val="001F0FB0"/>
    <w:rsid w:val="001F4F33"/>
    <w:rsid w:val="00214645"/>
    <w:rsid w:val="00222BAF"/>
    <w:rsid w:val="002540F2"/>
    <w:rsid w:val="00262329"/>
    <w:rsid w:val="00267EDD"/>
    <w:rsid w:val="002706A2"/>
    <w:rsid w:val="002A3C3A"/>
    <w:rsid w:val="002F0C29"/>
    <w:rsid w:val="00300BF5"/>
    <w:rsid w:val="00356C3D"/>
    <w:rsid w:val="003C5E36"/>
    <w:rsid w:val="003E3B08"/>
    <w:rsid w:val="003E723B"/>
    <w:rsid w:val="00420B10"/>
    <w:rsid w:val="00426D65"/>
    <w:rsid w:val="0044179B"/>
    <w:rsid w:val="00443DEB"/>
    <w:rsid w:val="004B4C46"/>
    <w:rsid w:val="004D0B77"/>
    <w:rsid w:val="004D17DB"/>
    <w:rsid w:val="004E6B74"/>
    <w:rsid w:val="0054233B"/>
    <w:rsid w:val="00556720"/>
    <w:rsid w:val="005832B1"/>
    <w:rsid w:val="00583D31"/>
    <w:rsid w:val="005B6F9A"/>
    <w:rsid w:val="005C49C8"/>
    <w:rsid w:val="005D089B"/>
    <w:rsid w:val="005E363E"/>
    <w:rsid w:val="00630929"/>
    <w:rsid w:val="0066432B"/>
    <w:rsid w:val="00674235"/>
    <w:rsid w:val="006B5BF0"/>
    <w:rsid w:val="006B63BE"/>
    <w:rsid w:val="006F7DBE"/>
    <w:rsid w:val="00736B0C"/>
    <w:rsid w:val="007443AE"/>
    <w:rsid w:val="007C325A"/>
    <w:rsid w:val="007C5E21"/>
    <w:rsid w:val="008350F0"/>
    <w:rsid w:val="00855FFA"/>
    <w:rsid w:val="00864A74"/>
    <w:rsid w:val="008723C3"/>
    <w:rsid w:val="008F3E1E"/>
    <w:rsid w:val="008F5C2D"/>
    <w:rsid w:val="00923975"/>
    <w:rsid w:val="00926813"/>
    <w:rsid w:val="009457D2"/>
    <w:rsid w:val="00953E63"/>
    <w:rsid w:val="009E1969"/>
    <w:rsid w:val="009E3D21"/>
    <w:rsid w:val="00A00624"/>
    <w:rsid w:val="00A02E91"/>
    <w:rsid w:val="00A20AC0"/>
    <w:rsid w:val="00A458DD"/>
    <w:rsid w:val="00A8524E"/>
    <w:rsid w:val="00A957D4"/>
    <w:rsid w:val="00A966CD"/>
    <w:rsid w:val="00AC7744"/>
    <w:rsid w:val="00AF38EB"/>
    <w:rsid w:val="00B40947"/>
    <w:rsid w:val="00B565FD"/>
    <w:rsid w:val="00B95B84"/>
    <w:rsid w:val="00B9620C"/>
    <w:rsid w:val="00BB778A"/>
    <w:rsid w:val="00BF5B27"/>
    <w:rsid w:val="00BF6485"/>
    <w:rsid w:val="00BF6BE0"/>
    <w:rsid w:val="00C02934"/>
    <w:rsid w:val="00C04769"/>
    <w:rsid w:val="00C779E4"/>
    <w:rsid w:val="00CA0E8B"/>
    <w:rsid w:val="00CC4EA0"/>
    <w:rsid w:val="00CF0C39"/>
    <w:rsid w:val="00D15D85"/>
    <w:rsid w:val="00DA119C"/>
    <w:rsid w:val="00DA1A92"/>
    <w:rsid w:val="00DC1104"/>
    <w:rsid w:val="00DC7B16"/>
    <w:rsid w:val="00DF34AE"/>
    <w:rsid w:val="00E00C06"/>
    <w:rsid w:val="00E33AEC"/>
    <w:rsid w:val="00E445F9"/>
    <w:rsid w:val="00E7541B"/>
    <w:rsid w:val="00EC6195"/>
    <w:rsid w:val="00F27BF6"/>
    <w:rsid w:val="00F30184"/>
    <w:rsid w:val="00F31052"/>
    <w:rsid w:val="00F32866"/>
    <w:rsid w:val="00F40BDC"/>
    <w:rsid w:val="00F41482"/>
    <w:rsid w:val="00F5593E"/>
    <w:rsid w:val="00F57296"/>
    <w:rsid w:val="00F9301B"/>
    <w:rsid w:val="00F94BC6"/>
    <w:rsid w:val="00FA0EFB"/>
    <w:rsid w:val="00FD3101"/>
    <w:rsid w:val="00FF2C3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2D95982"/>
  <w15:chartTrackingRefBased/>
  <w15:docId w15:val="{8B30AFF2-8B9C-4BF0-A7F1-1C5EF9F54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43AE"/>
    <w:pPr>
      <w:suppressAutoHyphens/>
      <w:spacing w:after="0" w:line="240" w:lineRule="exact"/>
    </w:pPr>
    <w:rPr>
      <w:rFonts w:ascii="Times New Roman" w:eastAsiaTheme="minorHAnsi" w:hAnsi="Times New Roman" w:cs="Times New Roman"/>
      <w:spacing w:val="4"/>
      <w:w w:val="103"/>
      <w:sz w:val="20"/>
      <w:lang w:val="es-ES" w:eastAsia="en-US"/>
    </w:rPr>
  </w:style>
  <w:style w:type="paragraph" w:styleId="Heading1">
    <w:name w:val="heading 1"/>
    <w:basedOn w:val="Normal"/>
    <w:next w:val="Normal"/>
    <w:link w:val="Heading1Char"/>
    <w:uiPriority w:val="9"/>
    <w:qFormat/>
    <w:rsid w:val="007443AE"/>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7443AE"/>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7443AE"/>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7443AE"/>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7443AE"/>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7443AE"/>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7443AE"/>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7443AE"/>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7443AE"/>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7443A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SingleTxt"/>
    <w:qFormat/>
    <w:rsid w:val="007443AE"/>
    <w:pPr>
      <w:keepNext/>
      <w:keepLines/>
      <w:spacing w:line="270" w:lineRule="exact"/>
      <w:outlineLvl w:val="0"/>
    </w:pPr>
    <w:rPr>
      <w:b/>
      <w:kern w:val="14"/>
      <w:sz w:val="24"/>
    </w:rPr>
  </w:style>
  <w:style w:type="paragraph" w:customStyle="1" w:styleId="HCh">
    <w:name w:val="_ H _Ch"/>
    <w:basedOn w:val="H1"/>
    <w:next w:val="Normal"/>
    <w:qFormat/>
    <w:rsid w:val="007443AE"/>
    <w:pPr>
      <w:spacing w:line="300" w:lineRule="exact"/>
    </w:pPr>
    <w:rPr>
      <w:spacing w:val="-2"/>
      <w:sz w:val="28"/>
    </w:rPr>
  </w:style>
  <w:style w:type="paragraph" w:customStyle="1" w:styleId="HM">
    <w:name w:val="_ H __M"/>
    <w:basedOn w:val="HCh"/>
    <w:next w:val="Normal"/>
    <w:qFormat/>
    <w:rsid w:val="007443AE"/>
    <w:pPr>
      <w:spacing w:line="360" w:lineRule="exact"/>
    </w:pPr>
    <w:rPr>
      <w:spacing w:val="-3"/>
      <w:w w:val="99"/>
      <w:sz w:val="34"/>
    </w:rPr>
  </w:style>
  <w:style w:type="paragraph" w:customStyle="1" w:styleId="H23">
    <w:name w:val="_ H_2/3"/>
    <w:basedOn w:val="H1"/>
    <w:next w:val="SingleTxt"/>
    <w:qFormat/>
    <w:rsid w:val="007443AE"/>
    <w:pPr>
      <w:spacing w:line="240" w:lineRule="exact"/>
      <w:outlineLvl w:val="1"/>
    </w:pPr>
    <w:rPr>
      <w:spacing w:val="2"/>
      <w:sz w:val="20"/>
    </w:rPr>
  </w:style>
  <w:style w:type="paragraph" w:customStyle="1" w:styleId="H4">
    <w:name w:val="_ H_4"/>
    <w:basedOn w:val="Normal"/>
    <w:next w:val="Normal"/>
    <w:qFormat/>
    <w:rsid w:val="007443AE"/>
    <w:pPr>
      <w:keepNext/>
      <w:keepLines/>
      <w:tabs>
        <w:tab w:val="right" w:pos="360"/>
      </w:tabs>
      <w:outlineLvl w:val="3"/>
    </w:pPr>
    <w:rPr>
      <w:i/>
      <w:spacing w:val="3"/>
      <w:kern w:val="14"/>
    </w:rPr>
  </w:style>
  <w:style w:type="paragraph" w:customStyle="1" w:styleId="H56">
    <w:name w:val="_ H_5/6"/>
    <w:basedOn w:val="Normal"/>
    <w:next w:val="Normal"/>
    <w:qFormat/>
    <w:rsid w:val="007443AE"/>
    <w:pPr>
      <w:keepNext/>
      <w:keepLines/>
      <w:tabs>
        <w:tab w:val="right" w:pos="360"/>
      </w:tabs>
      <w:outlineLvl w:val="4"/>
    </w:pPr>
    <w:rPr>
      <w:kern w:val="14"/>
    </w:rPr>
  </w:style>
  <w:style w:type="paragraph" w:customStyle="1" w:styleId="DualTxt">
    <w:name w:val="__Dual Txt"/>
    <w:basedOn w:val="Normal"/>
    <w:qFormat/>
    <w:rsid w:val="007443AE"/>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7443AE"/>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7443AE"/>
    <w:pPr>
      <w:spacing w:line="540" w:lineRule="exact"/>
    </w:pPr>
    <w:rPr>
      <w:spacing w:val="-8"/>
      <w:w w:val="96"/>
      <w:sz w:val="57"/>
    </w:rPr>
  </w:style>
  <w:style w:type="paragraph" w:customStyle="1" w:styleId="SS">
    <w:name w:val="__S_S"/>
    <w:basedOn w:val="HCh"/>
    <w:next w:val="Normal"/>
    <w:qFormat/>
    <w:rsid w:val="007443AE"/>
    <w:pPr>
      <w:ind w:left="1267" w:right="1267"/>
    </w:pPr>
  </w:style>
  <w:style w:type="paragraph" w:customStyle="1" w:styleId="SingleTxt">
    <w:name w:val="__Single Txt"/>
    <w:basedOn w:val="Normal"/>
    <w:qFormat/>
    <w:rsid w:val="007443A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customStyle="1" w:styleId="AgendaItemNormal">
    <w:name w:val="Agenda_Item_Normal"/>
    <w:next w:val="Normal"/>
    <w:qFormat/>
    <w:rsid w:val="007443AE"/>
    <w:pPr>
      <w:spacing w:after="0" w:line="240" w:lineRule="exact"/>
    </w:pPr>
    <w:rPr>
      <w:rFonts w:ascii="Times New Roman" w:eastAsiaTheme="minorHAnsi" w:hAnsi="Times New Roman" w:cs="Times New Roman"/>
      <w:snapToGrid w:val="0"/>
      <w:spacing w:val="4"/>
      <w:w w:val="103"/>
      <w:kern w:val="14"/>
      <w:sz w:val="20"/>
      <w:lang w:val="es-ES" w:eastAsia="en-US"/>
    </w:rPr>
  </w:style>
  <w:style w:type="paragraph" w:customStyle="1" w:styleId="TitleH1">
    <w:name w:val="Title_H1"/>
    <w:basedOn w:val="H1"/>
    <w:next w:val="SingleTxt"/>
    <w:qFormat/>
    <w:rsid w:val="007443AE"/>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napToGrid w:val="0"/>
    </w:rPr>
  </w:style>
  <w:style w:type="paragraph" w:customStyle="1" w:styleId="AgendaTitleH2">
    <w:name w:val="Agenda_Title_H2"/>
    <w:basedOn w:val="TitleH1"/>
    <w:next w:val="Normal"/>
    <w:autoRedefine/>
    <w:qFormat/>
    <w:rsid w:val="007443AE"/>
    <w:pPr>
      <w:keepNext/>
      <w:keepLines/>
      <w:spacing w:line="240" w:lineRule="exact"/>
      <w:ind w:left="0" w:right="5040" w:firstLine="0"/>
      <w:outlineLvl w:val="1"/>
    </w:pPr>
    <w:rPr>
      <w:sz w:val="20"/>
    </w:rPr>
  </w:style>
  <w:style w:type="paragraph" w:styleId="BalloonText">
    <w:name w:val="Balloon Text"/>
    <w:basedOn w:val="Normal"/>
    <w:link w:val="BalloonTextChar"/>
    <w:semiHidden/>
    <w:rsid w:val="007443AE"/>
    <w:rPr>
      <w:rFonts w:ascii="Tahoma" w:hAnsi="Tahoma" w:cs="Tahoma"/>
      <w:sz w:val="16"/>
      <w:szCs w:val="16"/>
    </w:rPr>
  </w:style>
  <w:style w:type="character" w:customStyle="1" w:styleId="BalloonTextChar">
    <w:name w:val="Balloon Text Char"/>
    <w:basedOn w:val="DefaultParagraphFont"/>
    <w:link w:val="BalloonText"/>
    <w:semiHidden/>
    <w:rsid w:val="007443AE"/>
    <w:rPr>
      <w:rFonts w:ascii="Tahoma" w:eastAsiaTheme="minorHAnsi" w:hAnsi="Tahoma" w:cs="Tahoma"/>
      <w:spacing w:val="4"/>
      <w:w w:val="103"/>
      <w:sz w:val="16"/>
      <w:szCs w:val="16"/>
      <w:lang w:val="es-ES" w:eastAsia="en-US"/>
    </w:rPr>
  </w:style>
  <w:style w:type="paragraph" w:customStyle="1" w:styleId="Bullet1">
    <w:name w:val="Bullet 1"/>
    <w:basedOn w:val="Normal"/>
    <w:qFormat/>
    <w:rsid w:val="007443AE"/>
    <w:pPr>
      <w:numPr>
        <w:numId w:val="13"/>
      </w:numPr>
      <w:spacing w:after="120"/>
      <w:ind w:right="1264"/>
      <w:jc w:val="both"/>
    </w:pPr>
  </w:style>
  <w:style w:type="paragraph" w:customStyle="1" w:styleId="Bullet2">
    <w:name w:val="Bullet 2"/>
    <w:basedOn w:val="Normal"/>
    <w:qFormat/>
    <w:rsid w:val="007443AE"/>
    <w:pPr>
      <w:numPr>
        <w:numId w:val="14"/>
      </w:numPr>
      <w:spacing w:after="120"/>
      <w:ind w:right="1264"/>
      <w:jc w:val="both"/>
    </w:pPr>
  </w:style>
  <w:style w:type="paragraph" w:customStyle="1" w:styleId="Bullet3">
    <w:name w:val="Bullet 3"/>
    <w:basedOn w:val="SingleTxt"/>
    <w:qFormat/>
    <w:rsid w:val="007443AE"/>
    <w:pPr>
      <w:numPr>
        <w:numId w:val="1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7443AE"/>
    <w:pPr>
      <w:spacing w:line="240" w:lineRule="auto"/>
    </w:pPr>
    <w:rPr>
      <w:b/>
      <w:bCs/>
      <w:color w:val="4F81BD"/>
      <w:sz w:val="18"/>
      <w:szCs w:val="18"/>
    </w:rPr>
  </w:style>
  <w:style w:type="character" w:styleId="CommentReference">
    <w:name w:val="annotation reference"/>
    <w:semiHidden/>
    <w:rsid w:val="007443AE"/>
    <w:rPr>
      <w:sz w:val="6"/>
    </w:rPr>
  </w:style>
  <w:style w:type="paragraph" w:customStyle="1" w:styleId="Distribution">
    <w:name w:val="Distribution"/>
    <w:next w:val="Normal"/>
    <w:autoRedefine/>
    <w:qFormat/>
    <w:rsid w:val="007443AE"/>
    <w:pPr>
      <w:spacing w:after="0" w:line="240" w:lineRule="auto"/>
    </w:pPr>
    <w:rPr>
      <w:rFonts w:ascii="Times New Roman" w:eastAsiaTheme="minorHAnsi" w:hAnsi="Times New Roman" w:cs="Times New Roman"/>
      <w:spacing w:val="4"/>
      <w:w w:val="103"/>
      <w:sz w:val="20"/>
      <w:lang w:val="es-ES" w:eastAsia="en-US"/>
    </w:rPr>
  </w:style>
  <w:style w:type="character" w:styleId="EndnoteReference">
    <w:name w:val="endnote reference"/>
    <w:semiHidden/>
    <w:rsid w:val="007443AE"/>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7443AE"/>
    <w:pPr>
      <w:tabs>
        <w:tab w:val="right" w:pos="418"/>
      </w:tabs>
      <w:spacing w:line="210" w:lineRule="exact"/>
      <w:ind w:left="475" w:hanging="475"/>
    </w:pPr>
    <w:rPr>
      <w:spacing w:val="5"/>
      <w:w w:val="104"/>
      <w:sz w:val="17"/>
    </w:rPr>
  </w:style>
  <w:style w:type="character" w:customStyle="1" w:styleId="FootnoteTextChar">
    <w:name w:val="Footnote Text Char"/>
    <w:basedOn w:val="DefaultParagraphFont"/>
    <w:link w:val="FootnoteText"/>
    <w:rsid w:val="007443AE"/>
    <w:rPr>
      <w:rFonts w:ascii="Times New Roman" w:eastAsiaTheme="minorHAnsi" w:hAnsi="Times New Roman" w:cs="Times New Roman"/>
      <w:spacing w:val="5"/>
      <w:w w:val="104"/>
      <w:sz w:val="17"/>
      <w:lang w:val="es-ES" w:eastAsia="en-US"/>
    </w:rPr>
  </w:style>
  <w:style w:type="paragraph" w:styleId="EndnoteText">
    <w:name w:val="endnote text"/>
    <w:basedOn w:val="FootnoteText"/>
    <w:link w:val="EndnoteTextChar"/>
    <w:semiHidden/>
    <w:rsid w:val="007443AE"/>
    <w:pPr>
      <w:spacing w:after="80"/>
    </w:pPr>
  </w:style>
  <w:style w:type="character" w:customStyle="1" w:styleId="EndnoteTextChar">
    <w:name w:val="Endnote Text Char"/>
    <w:basedOn w:val="DefaultParagraphFont"/>
    <w:link w:val="EndnoteText"/>
    <w:semiHidden/>
    <w:rsid w:val="007443AE"/>
    <w:rPr>
      <w:rFonts w:ascii="Times New Roman" w:eastAsiaTheme="minorHAnsi" w:hAnsi="Times New Roman" w:cs="Times New Roman"/>
      <w:spacing w:val="5"/>
      <w:w w:val="104"/>
      <w:sz w:val="17"/>
      <w:lang w:val="es-ES" w:eastAsia="en-US"/>
    </w:rPr>
  </w:style>
  <w:style w:type="paragraph" w:styleId="Footer">
    <w:name w:val="footer"/>
    <w:link w:val="FooterChar"/>
    <w:qFormat/>
    <w:rsid w:val="007443AE"/>
    <w:pPr>
      <w:tabs>
        <w:tab w:val="center" w:pos="4320"/>
        <w:tab w:val="right" w:pos="8640"/>
      </w:tabs>
      <w:spacing w:after="0" w:line="240" w:lineRule="auto"/>
    </w:pPr>
    <w:rPr>
      <w:rFonts w:ascii="Times New Roman" w:eastAsiaTheme="minorHAnsi" w:hAnsi="Times New Roman" w:cs="Times New Roman"/>
      <w:b/>
      <w:noProof/>
      <w:sz w:val="17"/>
      <w:lang w:val="en-US" w:eastAsia="en-US"/>
    </w:rPr>
  </w:style>
  <w:style w:type="character" w:customStyle="1" w:styleId="FooterChar">
    <w:name w:val="Footer Char"/>
    <w:basedOn w:val="DefaultParagraphFont"/>
    <w:link w:val="Footer"/>
    <w:rsid w:val="007443AE"/>
    <w:rPr>
      <w:rFonts w:ascii="Times New Roman" w:eastAsiaTheme="minorHAnsi" w:hAnsi="Times New Roman" w:cs="Times New Roman"/>
      <w:b/>
      <w:noProof/>
      <w:sz w:val="17"/>
      <w:lang w:val="en-US" w:eastAsia="en-US"/>
    </w:rPr>
  </w:style>
  <w:style w:type="character" w:styleId="FootnoteReference">
    <w:name w:val="footnote reference"/>
    <w:semiHidden/>
    <w:rsid w:val="007443AE"/>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7443AE"/>
    <w:pPr>
      <w:keepLines/>
      <w:shd w:val="pct10" w:color="auto" w:fill="FFFFFF"/>
      <w:tabs>
        <w:tab w:val="left" w:pos="2218"/>
      </w:tabs>
      <w:spacing w:line="360" w:lineRule="exact"/>
    </w:pPr>
    <w:rPr>
      <w:b/>
      <w:spacing w:val="1"/>
      <w:kern w:val="14"/>
      <w:position w:val="6"/>
      <w:sz w:val="24"/>
      <w:szCs w:val="24"/>
    </w:rPr>
  </w:style>
  <w:style w:type="paragraph" w:customStyle="1" w:styleId="HdChapterLt">
    <w:name w:val="Hd Chapter Lt"/>
    <w:basedOn w:val="Normal"/>
    <w:next w:val="Normal"/>
    <w:qFormat/>
    <w:rsid w:val="007443AE"/>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7443AE"/>
    <w:pPr>
      <w:spacing w:before="240"/>
    </w:pPr>
    <w:rPr>
      <w:b/>
      <w:spacing w:val="-2"/>
      <w:w w:val="100"/>
    </w:rPr>
  </w:style>
  <w:style w:type="paragraph" w:customStyle="1" w:styleId="HdChapterBdLg">
    <w:name w:val="Hd Chapter Bd Lg"/>
    <w:basedOn w:val="HdChapterBD"/>
    <w:next w:val="Normal"/>
    <w:qFormat/>
    <w:rsid w:val="007443AE"/>
    <w:rPr>
      <w:spacing w:val="-3"/>
      <w:w w:val="99"/>
      <w:kern w:val="14"/>
      <w:sz w:val="34"/>
      <w:szCs w:val="34"/>
    </w:rPr>
  </w:style>
  <w:style w:type="paragraph" w:styleId="Header">
    <w:name w:val="header"/>
    <w:link w:val="HeaderChar"/>
    <w:qFormat/>
    <w:rsid w:val="007443AE"/>
    <w:pPr>
      <w:tabs>
        <w:tab w:val="center" w:pos="4320"/>
        <w:tab w:val="right" w:pos="8640"/>
      </w:tabs>
      <w:spacing w:after="0" w:line="240" w:lineRule="auto"/>
    </w:pPr>
    <w:rPr>
      <w:rFonts w:ascii="Times New Roman" w:eastAsiaTheme="minorHAnsi" w:hAnsi="Times New Roman" w:cs="Times New Roman"/>
      <w:noProof/>
      <w:sz w:val="17"/>
      <w:lang w:val="en-US" w:eastAsia="en-US"/>
    </w:rPr>
  </w:style>
  <w:style w:type="character" w:customStyle="1" w:styleId="HeaderChar">
    <w:name w:val="Header Char"/>
    <w:basedOn w:val="DefaultParagraphFont"/>
    <w:link w:val="Header"/>
    <w:rsid w:val="007443AE"/>
    <w:rPr>
      <w:rFonts w:ascii="Times New Roman" w:eastAsiaTheme="minorHAnsi" w:hAnsi="Times New Roman" w:cs="Times New Roman"/>
      <w:noProof/>
      <w:sz w:val="17"/>
      <w:lang w:val="en-US" w:eastAsia="en-US"/>
    </w:rPr>
  </w:style>
  <w:style w:type="character" w:customStyle="1" w:styleId="Heading1Char">
    <w:name w:val="Heading 1 Char"/>
    <w:link w:val="Heading1"/>
    <w:uiPriority w:val="9"/>
    <w:rsid w:val="007443AE"/>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7443AE"/>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7443AE"/>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7443AE"/>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7443AE"/>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7443AE"/>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7443AE"/>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7443AE"/>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7443AE"/>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7443AE"/>
    <w:pPr>
      <w:keepNext/>
      <w:spacing w:before="190" w:line="270" w:lineRule="exact"/>
    </w:pPr>
    <w:rPr>
      <w:b/>
      <w:kern w:val="14"/>
      <w:sz w:val="24"/>
    </w:rPr>
  </w:style>
  <w:style w:type="paragraph" w:customStyle="1" w:styleId="JournalHeading2">
    <w:name w:val="Journal_Heading2"/>
    <w:basedOn w:val="Normal"/>
    <w:next w:val="Normal"/>
    <w:qFormat/>
    <w:rsid w:val="007443AE"/>
    <w:pPr>
      <w:keepNext/>
      <w:keepLines/>
      <w:spacing w:before="240"/>
      <w:outlineLvl w:val="1"/>
    </w:pPr>
    <w:rPr>
      <w:b/>
      <w:spacing w:val="2"/>
      <w:kern w:val="14"/>
    </w:rPr>
  </w:style>
  <w:style w:type="paragraph" w:customStyle="1" w:styleId="JournalHeading4">
    <w:name w:val="Journal_Heading4"/>
    <w:basedOn w:val="Normal"/>
    <w:next w:val="Normal"/>
    <w:qFormat/>
    <w:rsid w:val="007443AE"/>
    <w:pPr>
      <w:keepNext/>
      <w:keepLines/>
      <w:spacing w:before="240"/>
      <w:outlineLvl w:val="3"/>
    </w:pPr>
    <w:rPr>
      <w:i/>
      <w:kern w:val="14"/>
    </w:rPr>
  </w:style>
  <w:style w:type="character" w:styleId="LineNumber">
    <w:name w:val="line number"/>
    <w:qFormat/>
    <w:rsid w:val="007443AE"/>
    <w:rPr>
      <w:sz w:val="14"/>
    </w:rPr>
  </w:style>
  <w:style w:type="paragraph" w:styleId="NoSpacing">
    <w:name w:val="No Spacing"/>
    <w:basedOn w:val="Normal"/>
    <w:uiPriority w:val="1"/>
    <w:rsid w:val="007443AE"/>
    <w:pPr>
      <w:spacing w:line="240" w:lineRule="auto"/>
    </w:pPr>
  </w:style>
  <w:style w:type="paragraph" w:customStyle="1" w:styleId="NormalBullet">
    <w:name w:val="Normal Bullet"/>
    <w:basedOn w:val="Normal"/>
    <w:next w:val="Normal"/>
    <w:qFormat/>
    <w:rsid w:val="007443AE"/>
    <w:pPr>
      <w:keepLines/>
      <w:numPr>
        <w:numId w:val="16"/>
      </w:numPr>
      <w:tabs>
        <w:tab w:val="left" w:pos="2218"/>
      </w:tabs>
      <w:spacing w:before="40" w:after="80"/>
      <w:ind w:right="302"/>
    </w:pPr>
    <w:rPr>
      <w:kern w:val="14"/>
    </w:rPr>
  </w:style>
  <w:style w:type="paragraph" w:customStyle="1" w:styleId="NormalSchedule">
    <w:name w:val="Normal Schedule"/>
    <w:basedOn w:val="Normal"/>
    <w:next w:val="Normal"/>
    <w:qFormat/>
    <w:rsid w:val="007443AE"/>
    <w:pPr>
      <w:tabs>
        <w:tab w:val="left" w:leader="dot" w:pos="2218"/>
        <w:tab w:val="left" w:pos="2707"/>
        <w:tab w:val="right" w:leader="dot" w:pos="9835"/>
      </w:tabs>
    </w:pPr>
    <w:rPr>
      <w:kern w:val="14"/>
    </w:rPr>
  </w:style>
  <w:style w:type="paragraph" w:customStyle="1" w:styleId="Original">
    <w:name w:val="Original"/>
    <w:next w:val="Normal"/>
    <w:autoRedefine/>
    <w:qFormat/>
    <w:rsid w:val="007443AE"/>
    <w:pPr>
      <w:spacing w:after="0" w:line="240" w:lineRule="auto"/>
    </w:pPr>
    <w:rPr>
      <w:rFonts w:ascii="Times New Roman" w:eastAsiaTheme="minorHAnsi" w:hAnsi="Times New Roman" w:cs="Times New Roman"/>
      <w:spacing w:val="4"/>
      <w:w w:val="103"/>
      <w:sz w:val="20"/>
      <w:lang w:val="es-ES" w:eastAsia="en-US"/>
    </w:rPr>
  </w:style>
  <w:style w:type="paragraph" w:customStyle="1" w:styleId="Publication">
    <w:name w:val="Publication"/>
    <w:next w:val="Normal"/>
    <w:autoRedefine/>
    <w:qFormat/>
    <w:rsid w:val="007443AE"/>
    <w:pPr>
      <w:spacing w:after="0" w:line="240" w:lineRule="auto"/>
    </w:pPr>
    <w:rPr>
      <w:rFonts w:ascii="Times New Roman" w:eastAsiaTheme="minorHAnsi" w:hAnsi="Times New Roman" w:cs="Times New Roman"/>
      <w:spacing w:val="4"/>
      <w:w w:val="103"/>
      <w:sz w:val="20"/>
      <w:lang w:val="es-ES" w:eastAsia="en-US"/>
    </w:rPr>
  </w:style>
  <w:style w:type="paragraph" w:customStyle="1" w:styleId="ReleaseDate">
    <w:name w:val="ReleaseDate"/>
    <w:next w:val="Footer"/>
    <w:autoRedefine/>
    <w:qFormat/>
    <w:rsid w:val="007443AE"/>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qFormat/>
    <w:rsid w:val="007443AE"/>
    <w:pPr>
      <w:tabs>
        <w:tab w:val="right" w:pos="9965"/>
      </w:tabs>
      <w:spacing w:line="210" w:lineRule="exact"/>
    </w:pPr>
    <w:rPr>
      <w:spacing w:val="5"/>
      <w:w w:val="104"/>
      <w:kern w:val="14"/>
      <w:sz w:val="17"/>
    </w:rPr>
  </w:style>
  <w:style w:type="paragraph" w:customStyle="1" w:styleId="SmallX">
    <w:name w:val="SmallX"/>
    <w:basedOn w:val="Small"/>
    <w:next w:val="Normal"/>
    <w:qFormat/>
    <w:rsid w:val="007443AE"/>
    <w:pPr>
      <w:spacing w:line="180" w:lineRule="exact"/>
      <w:jc w:val="right"/>
    </w:pPr>
    <w:rPr>
      <w:spacing w:val="6"/>
      <w:w w:val="106"/>
      <w:sz w:val="14"/>
    </w:rPr>
  </w:style>
  <w:style w:type="paragraph" w:customStyle="1" w:styleId="TitleHCH">
    <w:name w:val="Title_H_CH"/>
    <w:basedOn w:val="HCh"/>
    <w:next w:val="SingleTxt"/>
    <w:qFormat/>
    <w:rsid w:val="007443A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7443A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styleId="TOCHeading">
    <w:name w:val="TOC Heading"/>
    <w:basedOn w:val="Heading1"/>
    <w:next w:val="Normal"/>
    <w:uiPriority w:val="39"/>
    <w:semiHidden/>
    <w:unhideWhenUsed/>
    <w:qFormat/>
    <w:rsid w:val="007443AE"/>
    <w:pPr>
      <w:outlineLvl w:val="9"/>
    </w:pPr>
    <w:rPr>
      <w:rFonts w:eastAsiaTheme="majorEastAsia" w:cstheme="majorBidi"/>
      <w:lang w:bidi="en-US"/>
    </w:rPr>
  </w:style>
  <w:style w:type="paragraph" w:customStyle="1" w:styleId="XLarge">
    <w:name w:val="XLarge"/>
    <w:basedOn w:val="HM"/>
    <w:qFormat/>
    <w:rsid w:val="007443AE"/>
    <w:pPr>
      <w:tabs>
        <w:tab w:val="right" w:leader="dot" w:pos="360"/>
      </w:tabs>
      <w:spacing w:line="390" w:lineRule="exact"/>
    </w:pPr>
    <w:rPr>
      <w:spacing w:val="-4"/>
      <w:w w:val="98"/>
      <w:sz w:val="40"/>
    </w:rPr>
  </w:style>
  <w:style w:type="paragraph" w:customStyle="1" w:styleId="Session">
    <w:name w:val="Session"/>
    <w:basedOn w:val="H23"/>
    <w:qFormat/>
    <w:rsid w:val="00300BF5"/>
  </w:style>
  <w:style w:type="paragraph" w:customStyle="1" w:styleId="Sponsors">
    <w:name w:val="Sponsors"/>
    <w:basedOn w:val="H1"/>
    <w:next w:val="Normal"/>
    <w:qFormat/>
    <w:rsid w:val="00A966C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outlineLvl w:val="1"/>
    </w:pPr>
    <w:rPr>
      <w:sz w:val="20"/>
    </w:rPr>
  </w:style>
  <w:style w:type="paragraph" w:customStyle="1" w:styleId="STitleM">
    <w:name w:val="S_Title_M"/>
    <w:basedOn w:val="Normal"/>
    <w:next w:val="Normal"/>
    <w:qFormat/>
    <w:rsid w:val="0054233B"/>
    <w:pPr>
      <w:keepNext/>
      <w:keepLines/>
      <w:tabs>
        <w:tab w:val="right" w:leader="dot" w:pos="360"/>
      </w:tabs>
      <w:spacing w:line="390" w:lineRule="exact"/>
      <w:ind w:left="1267" w:right="1267"/>
      <w:outlineLvl w:val="0"/>
    </w:pPr>
    <w:rPr>
      <w:b/>
      <w:spacing w:val="-4"/>
      <w:w w:val="98"/>
      <w:kern w:val="14"/>
      <w:sz w:val="40"/>
      <w:lang w:val="en-US"/>
    </w:rPr>
  </w:style>
  <w:style w:type="paragraph" w:customStyle="1" w:styleId="STitleS">
    <w:name w:val="S_Title_S"/>
    <w:basedOn w:val="HCh"/>
    <w:next w:val="Normal"/>
    <w:qFormat/>
    <w:rsid w:val="00F41482"/>
    <w:pPr>
      <w:ind w:left="1267" w:right="1267"/>
    </w:pPr>
  </w:style>
  <w:style w:type="paragraph" w:customStyle="1" w:styleId="STitleL">
    <w:name w:val="S_Title_L"/>
    <w:basedOn w:val="SM"/>
    <w:next w:val="Normal"/>
    <w:qFormat/>
    <w:rsid w:val="00583D31"/>
    <w:pPr>
      <w:spacing w:line="540" w:lineRule="exact"/>
    </w:pPr>
    <w:rPr>
      <w:spacing w:val="-8"/>
      <w:w w:val="96"/>
      <w:sz w:val="57"/>
    </w:rPr>
  </w:style>
  <w:style w:type="paragraph" w:styleId="CommentText">
    <w:name w:val="annotation text"/>
    <w:basedOn w:val="Normal"/>
    <w:link w:val="CommentTextChar"/>
    <w:uiPriority w:val="99"/>
    <w:semiHidden/>
    <w:unhideWhenUsed/>
    <w:rsid w:val="004E6B74"/>
    <w:pPr>
      <w:spacing w:line="240" w:lineRule="auto"/>
    </w:pPr>
    <w:rPr>
      <w:szCs w:val="20"/>
    </w:rPr>
  </w:style>
  <w:style w:type="character" w:customStyle="1" w:styleId="CommentTextChar">
    <w:name w:val="Comment Text Char"/>
    <w:basedOn w:val="DefaultParagraphFont"/>
    <w:link w:val="CommentText"/>
    <w:uiPriority w:val="99"/>
    <w:semiHidden/>
    <w:rsid w:val="004E6B74"/>
    <w:rPr>
      <w:rFonts w:ascii="Times New Roman" w:eastAsiaTheme="minorHAnsi" w:hAnsi="Times New Roman" w:cs="Times New Roman"/>
      <w:spacing w:val="4"/>
      <w:w w:val="103"/>
      <w:sz w:val="20"/>
      <w:szCs w:val="20"/>
      <w:lang w:val="es-ES" w:eastAsia="en-US"/>
    </w:rPr>
  </w:style>
  <w:style w:type="paragraph" w:styleId="CommentSubject">
    <w:name w:val="annotation subject"/>
    <w:basedOn w:val="CommentText"/>
    <w:next w:val="CommentText"/>
    <w:link w:val="CommentSubjectChar"/>
    <w:uiPriority w:val="99"/>
    <w:semiHidden/>
    <w:unhideWhenUsed/>
    <w:rsid w:val="004E6B74"/>
    <w:rPr>
      <w:b/>
      <w:bCs/>
    </w:rPr>
  </w:style>
  <w:style w:type="character" w:customStyle="1" w:styleId="CommentSubjectChar">
    <w:name w:val="Comment Subject Char"/>
    <w:basedOn w:val="CommentTextChar"/>
    <w:link w:val="CommentSubject"/>
    <w:uiPriority w:val="99"/>
    <w:semiHidden/>
    <w:rsid w:val="004E6B74"/>
    <w:rPr>
      <w:rFonts w:ascii="Times New Roman" w:eastAsiaTheme="minorHAnsi" w:hAnsi="Times New Roman" w:cs="Times New Roman"/>
      <w:b/>
      <w:bCs/>
      <w:spacing w:val="4"/>
      <w:w w:val="103"/>
      <w:sz w:val="20"/>
      <w:szCs w:val="20"/>
      <w:lang w:val="es-ES" w:eastAsia="en-US"/>
    </w:rPr>
  </w:style>
  <w:style w:type="character" w:styleId="Hyperlink">
    <w:name w:val="Hyperlink"/>
    <w:basedOn w:val="DefaultParagraphFont"/>
    <w:uiPriority w:val="99"/>
    <w:unhideWhenUsed/>
    <w:rsid w:val="00136B68"/>
    <w:rPr>
      <w:color w:val="0000FF"/>
      <w:u w:val="none"/>
    </w:rPr>
  </w:style>
  <w:style w:type="character" w:styleId="FollowedHyperlink">
    <w:name w:val="FollowedHyperlink"/>
    <w:basedOn w:val="DefaultParagraphFont"/>
    <w:uiPriority w:val="99"/>
    <w:semiHidden/>
    <w:unhideWhenUsed/>
    <w:rsid w:val="00136B68"/>
    <w:rPr>
      <w:color w:val="0000FF"/>
      <w:u w:val="none"/>
    </w:rPr>
  </w:style>
  <w:style w:type="character" w:styleId="UnresolvedMention">
    <w:name w:val="Unresolved Mention"/>
    <w:basedOn w:val="DefaultParagraphFont"/>
    <w:uiPriority w:val="99"/>
    <w:semiHidden/>
    <w:unhideWhenUsed/>
    <w:rsid w:val="00136B68"/>
    <w:rPr>
      <w:color w:val="605E5C"/>
      <w:shd w:val="clear" w:color="auto" w:fill="E1DFDD"/>
    </w:rPr>
  </w:style>
  <w:style w:type="paragraph" w:styleId="Revision">
    <w:name w:val="Revision"/>
    <w:hidden/>
    <w:uiPriority w:val="99"/>
    <w:semiHidden/>
    <w:rsid w:val="00144718"/>
    <w:pPr>
      <w:spacing w:after="0" w:line="240" w:lineRule="auto"/>
    </w:pPr>
    <w:rPr>
      <w:rFonts w:ascii="Times New Roman" w:eastAsiaTheme="minorHAnsi" w:hAnsi="Times New Roman" w:cs="Times New Roman"/>
      <w:spacing w:val="4"/>
      <w:w w:val="103"/>
      <w:sz w:val="20"/>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s://undocs.org/sp/CEDAW/C/BIH/Q/6" TargetMode="External"/><Relationship Id="rId26" Type="http://schemas.openxmlformats.org/officeDocument/2006/relationships/hyperlink" Target="https://undocs.org/sp/CEDAW/C/URY/QPR/10" TargetMode="External"/><Relationship Id="rId3" Type="http://schemas.openxmlformats.org/officeDocument/2006/relationships/settings" Target="settings.xml"/><Relationship Id="rId21" Type="http://schemas.openxmlformats.org/officeDocument/2006/relationships/hyperlink" Target="https://undocs.org/sp/CEDAW/C/KAZ/Q/5"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sp/CEDAW/C/AND/Q/4" TargetMode="External"/><Relationship Id="rId25" Type="http://schemas.openxmlformats.org/officeDocument/2006/relationships/hyperlink" Target="https://undocs.org/sp/CEDAW/C/SWE/QPR/10" TargetMode="External"/><Relationship Id="rId2" Type="http://schemas.openxmlformats.org/officeDocument/2006/relationships/styles" Target="styles.xml"/><Relationship Id="rId16" Type="http://schemas.openxmlformats.org/officeDocument/2006/relationships/hyperlink" Target="https://undocs.org/sp/A/RES/64/2" TargetMode="External"/><Relationship Id="rId20" Type="http://schemas.openxmlformats.org/officeDocument/2006/relationships/hyperlink" Target="https://undocs.org/sp/CEDAW/C/IRQ/Q/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s://undocs.org/sp/CEDAW/C/ECU/QPR/10" TargetMode="External"/><Relationship Id="rId5" Type="http://schemas.openxmlformats.org/officeDocument/2006/relationships/footnotes" Target="footnotes.xml"/><Relationship Id="rId15" Type="http://schemas.openxmlformats.org/officeDocument/2006/relationships/hyperlink" Target="https://undocs.org/sp/A/RES/59/4" TargetMode="External"/><Relationship Id="rId23" Type="http://schemas.openxmlformats.org/officeDocument/2006/relationships/hyperlink" Target="https://undocs.org/sp/CEDAW/C/SYC/Q/6" TargetMode="Externa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s://undocs.org/sp/CEDAW/C/KHM/Q/6" TargetMode="Externa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 Id="rId22" Type="http://schemas.openxmlformats.org/officeDocument/2006/relationships/hyperlink" Target="https://undocs.org/sp/CEDAW/C/LTU/Q/6" TargetMode="External"/><Relationship Id="rId27"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1005</Words>
  <Characters>5729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Angela Guzman Vargas</dc:creator>
  <cp:keywords/>
  <dc:description/>
  <cp:lastModifiedBy>Eduardo Alfaro</cp:lastModifiedBy>
  <cp:revision>2</cp:revision>
  <dcterms:created xsi:type="dcterms:W3CDTF">2019-03-26T19:38:00Z</dcterms:created>
  <dcterms:modified xsi:type="dcterms:W3CDTF">2019-03-26T19:38:00Z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1904707</vt:lpwstr>
  </property>
  <property fmtid="{D5CDD505-2E9C-101B-9397-08002B2CF9AE}" pid="3" name="ODSRefJobNo">
    <vt:lpwstr>1907925</vt:lpwstr>
  </property>
  <property fmtid="{D5CDD505-2E9C-101B-9397-08002B2CF9AE}" pid="4" name="Symbol1">
    <vt:lpwstr>CEDAW/C/PSWG/74/1</vt:lpwstr>
  </property>
  <property fmtid="{D5CDD505-2E9C-101B-9397-08002B2CF9AE}" pid="5" name="Symbol2">
    <vt:lpwstr/>
  </property>
  <property fmtid="{D5CDD505-2E9C-101B-9397-08002B2CF9AE}" pid="6" name="Category">
    <vt:lpwstr>Document</vt:lpwstr>
  </property>
  <property fmtid="{D5CDD505-2E9C-101B-9397-08002B2CF9AE}" pid="7" name="Language">
    <vt:lpwstr>Spanish</vt:lpwstr>
  </property>
  <property fmtid="{D5CDD505-2E9C-101B-9397-08002B2CF9AE}" pid="8" name="Comment">
    <vt:lpwstr>1904707.AL.EDT</vt:lpwstr>
  </property>
  <property fmtid="{D5CDD505-2E9C-101B-9397-08002B2CF9AE}" pid="9" name="DraftPages">
    <vt:lpwstr> </vt:lpwstr>
  </property>
  <property fmtid="{D5CDD505-2E9C-101B-9397-08002B2CF9AE}" pid="10" name="Operator">
    <vt:lpwstr>MAGV</vt:lpwstr>
  </property>
  <property fmtid="{D5CDD505-2E9C-101B-9397-08002B2CF9AE}" pid="11" name="Translator">
    <vt:lpwstr>Larrea</vt:lpwstr>
  </property>
  <property fmtid="{D5CDD505-2E9C-101B-9397-08002B2CF9AE}" pid="12" name="Release Date">
    <vt:lpwstr>250319</vt:lpwstr>
  </property>
  <property fmtid="{D5CDD505-2E9C-101B-9397-08002B2CF9AE}" pid="13" name="Session">
    <vt:lpwstr>Septuagésimo cuarto período de sesiones_x000d_</vt:lpwstr>
  </property>
  <property fmtid="{D5CDD505-2E9C-101B-9397-08002B2CF9AE}" pid="14" name="Title1">
    <vt:lpwstr>		Examen de los informes presentados por los Estados partes en virtud del artículo 18 de la Convención sobre la Eliminación de Todas las Formas de Discriminación contra la Mujer_x000d_</vt:lpwstr>
  </property>
  <property fmtid="{D5CDD505-2E9C-101B-9397-08002B2CF9AE}" pid="15" name="Title2">
    <vt:lpwstr>		Informe del grupo de trabajo anterior al período de sesiones_x000d_</vt:lpwstr>
  </property>
</Properties>
</file>