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bidiVisual/>
        <w:tblW w:w="9631" w:type="dxa"/>
        <w:tblBorders>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266"/>
        <w:gridCol w:w="4767"/>
        <w:gridCol w:w="3598"/>
      </w:tblGrid>
      <w:tr w:rsidR="006B3E27" w:rsidRPr="00CA35DF" w14:paraId="5D0E75A9" w14:textId="77777777" w:rsidTr="00B456A0">
        <w:trPr>
          <w:trHeight w:hRule="exact" w:val="810"/>
        </w:trPr>
        <w:tc>
          <w:tcPr>
            <w:tcW w:w="1266" w:type="dxa"/>
            <w:tcBorders>
              <w:top w:val="nil"/>
              <w:bottom w:val="single" w:sz="4" w:space="0" w:color="auto"/>
            </w:tcBorders>
            <w:shd w:val="clear" w:color="auto" w:fill="auto"/>
          </w:tcPr>
          <w:p w14:paraId="18DB6059" w14:textId="77777777" w:rsidR="00712059" w:rsidRPr="00CA35DF" w:rsidRDefault="00712059" w:rsidP="003E6CAE">
            <w:pPr>
              <w:kinsoku w:val="0"/>
              <w:overflowPunct w:val="0"/>
              <w:autoSpaceDE w:val="0"/>
              <w:autoSpaceDN w:val="0"/>
              <w:adjustRightInd w:val="0"/>
              <w:snapToGrid w:val="0"/>
              <w:spacing w:after="80" w:line="480" w:lineRule="exact"/>
              <w:rPr>
                <w:rFonts w:hint="cs"/>
                <w:szCs w:val="40"/>
              </w:rPr>
            </w:pPr>
          </w:p>
        </w:tc>
        <w:tc>
          <w:tcPr>
            <w:tcW w:w="4767" w:type="dxa"/>
            <w:tcBorders>
              <w:top w:val="nil"/>
              <w:bottom w:val="single" w:sz="4" w:space="0" w:color="auto"/>
            </w:tcBorders>
            <w:shd w:val="clear" w:color="auto" w:fill="auto"/>
            <w:vAlign w:val="bottom"/>
          </w:tcPr>
          <w:p w14:paraId="330BFE30" w14:textId="77777777" w:rsidR="006B3E27" w:rsidRPr="00CA35DF" w:rsidRDefault="006B3E27" w:rsidP="00E2697F">
            <w:pPr>
              <w:spacing w:after="80" w:line="480" w:lineRule="exact"/>
              <w:ind w:left="57"/>
              <w:rPr>
                <w:sz w:val="30"/>
                <w:szCs w:val="30"/>
                <w:rtl/>
              </w:rPr>
            </w:pPr>
            <w:r w:rsidRPr="00CA35DF">
              <w:rPr>
                <w:rFonts w:hint="cs"/>
                <w:sz w:val="30"/>
                <w:szCs w:val="30"/>
                <w:rtl/>
              </w:rPr>
              <w:t>الأمم المتحدة</w:t>
            </w:r>
          </w:p>
        </w:tc>
        <w:tc>
          <w:tcPr>
            <w:tcW w:w="3598" w:type="dxa"/>
            <w:tcBorders>
              <w:top w:val="nil"/>
              <w:bottom w:val="single" w:sz="4" w:space="0" w:color="auto"/>
            </w:tcBorders>
            <w:shd w:val="clear" w:color="auto" w:fill="auto"/>
            <w:vAlign w:val="bottom"/>
          </w:tcPr>
          <w:p w14:paraId="6E2358B1" w14:textId="08536270" w:rsidR="006B3E27" w:rsidRPr="00E20670" w:rsidRDefault="00E20670" w:rsidP="00E20670">
            <w:pPr>
              <w:bidi w:val="0"/>
              <w:rPr>
                <w:szCs w:val="20"/>
              </w:rPr>
            </w:pPr>
            <w:r w:rsidRPr="00667949">
              <w:rPr>
                <w:sz w:val="40"/>
                <w:szCs w:val="20"/>
              </w:rPr>
              <w:t>CAT</w:t>
            </w:r>
            <w:r w:rsidRPr="00667949">
              <w:rPr>
                <w:szCs w:val="20"/>
              </w:rPr>
              <w:t>/C/CUB/CO/</w:t>
            </w:r>
            <w:r w:rsidRPr="001A0537">
              <w:rPr>
                <w:szCs w:val="20"/>
              </w:rPr>
              <w:t>3</w:t>
            </w:r>
          </w:p>
        </w:tc>
      </w:tr>
      <w:tr w:rsidR="006B3E27" w:rsidRPr="00CA35DF" w14:paraId="0BD887AE" w14:textId="77777777" w:rsidTr="00B456A0">
        <w:trPr>
          <w:trHeight w:hRule="exact" w:val="2835"/>
        </w:trPr>
        <w:tc>
          <w:tcPr>
            <w:tcW w:w="1266" w:type="dxa"/>
            <w:tcBorders>
              <w:top w:val="nil"/>
              <w:bottom w:val="single" w:sz="12" w:space="0" w:color="auto"/>
            </w:tcBorders>
            <w:shd w:val="clear" w:color="auto" w:fill="auto"/>
          </w:tcPr>
          <w:p w14:paraId="0EC4BBE0" w14:textId="77777777" w:rsidR="006B3E27" w:rsidRPr="00CA35DF" w:rsidRDefault="00261289" w:rsidP="00CA35DF">
            <w:pPr>
              <w:jc w:val="center"/>
              <w:rPr>
                <w:rtl/>
              </w:rPr>
            </w:pPr>
            <w:r w:rsidRPr="00CA35DF">
              <w:rPr>
                <w:noProof/>
                <w:rtl/>
              </w:rPr>
              <w:drawing>
                <wp:inline distT="0" distB="0" distL="0" distR="0" wp14:anchorId="1AE0E387" wp14:editId="40856837">
                  <wp:extent cx="629920" cy="611505"/>
                  <wp:effectExtent l="0" t="0" r="0" b="0"/>
                  <wp:docPr id="2" name="Picture 1" descr="شعار الأمم المتحد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52" t="-1387" r="-52" b="-1387"/>
                          <a:stretch>
                            <a:fillRect/>
                          </a:stretch>
                        </pic:blipFill>
                        <pic:spPr bwMode="auto">
                          <a:xfrm>
                            <a:off x="0" y="0"/>
                            <a:ext cx="629920" cy="611505"/>
                          </a:xfrm>
                          <a:prstGeom prst="rect">
                            <a:avLst/>
                          </a:prstGeom>
                          <a:noFill/>
                        </pic:spPr>
                      </pic:pic>
                    </a:graphicData>
                  </a:graphic>
                </wp:inline>
              </w:drawing>
            </w:r>
          </w:p>
        </w:tc>
        <w:tc>
          <w:tcPr>
            <w:tcW w:w="4767" w:type="dxa"/>
            <w:tcBorders>
              <w:top w:val="nil"/>
              <w:bottom w:val="single" w:sz="12" w:space="0" w:color="auto"/>
            </w:tcBorders>
            <w:shd w:val="clear" w:color="auto" w:fill="auto"/>
          </w:tcPr>
          <w:p w14:paraId="2C682DEF" w14:textId="77777777" w:rsidR="00A67AF5" w:rsidRPr="001A0537" w:rsidRDefault="00817373" w:rsidP="00D3653E">
            <w:pPr>
              <w:spacing w:before="120" w:after="40" w:line="580" w:lineRule="exact"/>
              <w:ind w:left="57"/>
              <w:rPr>
                <w:b/>
                <w:bCs/>
                <w:sz w:val="42"/>
                <w:szCs w:val="42"/>
              </w:rPr>
            </w:pPr>
            <w:r w:rsidRPr="001A0537">
              <w:rPr>
                <w:rFonts w:hint="cs"/>
                <w:b/>
                <w:bCs/>
                <w:sz w:val="42"/>
                <w:szCs w:val="42"/>
                <w:rtl/>
              </w:rPr>
              <w:t xml:space="preserve">اتفاقية مناهضة التعذيب وغيره من ضروب </w:t>
            </w:r>
            <w:proofErr w:type="gramStart"/>
            <w:r w:rsidRPr="001A0537">
              <w:rPr>
                <w:rFonts w:hint="cs"/>
                <w:b/>
                <w:bCs/>
                <w:sz w:val="42"/>
                <w:szCs w:val="42"/>
                <w:rtl/>
              </w:rPr>
              <w:t>المعاملة</w:t>
            </w:r>
            <w:proofErr w:type="gramEnd"/>
            <w:r w:rsidRPr="001A0537">
              <w:rPr>
                <w:rFonts w:hint="cs"/>
                <w:b/>
                <w:bCs/>
                <w:sz w:val="42"/>
                <w:szCs w:val="42"/>
                <w:rtl/>
              </w:rPr>
              <w:t xml:space="preserve"> أو العقوبة القاسية أو اللاإنسانية أو المهينة</w:t>
            </w:r>
          </w:p>
        </w:tc>
        <w:tc>
          <w:tcPr>
            <w:tcW w:w="3598" w:type="dxa"/>
            <w:tcBorders>
              <w:top w:val="nil"/>
              <w:bottom w:val="single" w:sz="12" w:space="0" w:color="auto"/>
            </w:tcBorders>
            <w:shd w:val="clear" w:color="auto" w:fill="auto"/>
          </w:tcPr>
          <w:p w14:paraId="15558F60" w14:textId="15F9BCDE" w:rsidR="006B3E27" w:rsidRDefault="00E20670" w:rsidP="00EE56C3">
            <w:pPr>
              <w:bidi w:val="0"/>
              <w:spacing w:before="240"/>
              <w:rPr>
                <w:szCs w:val="20"/>
              </w:rPr>
            </w:pPr>
            <w:r>
              <w:rPr>
                <w:szCs w:val="20"/>
              </w:rPr>
              <w:t>Dist</w:t>
            </w:r>
            <w:r w:rsidR="00667949" w:rsidRPr="00667949">
              <w:rPr>
                <w:color w:val="000000"/>
                <w:szCs w:val="20"/>
              </w:rPr>
              <w:t>r.:</w:t>
            </w:r>
            <w:r>
              <w:rPr>
                <w:szCs w:val="20"/>
              </w:rPr>
              <w:t xml:space="preserve"> General</w:t>
            </w:r>
          </w:p>
          <w:p w14:paraId="13DB487E" w14:textId="59814769" w:rsidR="00E20670" w:rsidRDefault="00B86CE8" w:rsidP="00E20670">
            <w:pPr>
              <w:bidi w:val="0"/>
              <w:spacing w:line="240" w:lineRule="exact"/>
              <w:jc w:val="left"/>
              <w:rPr>
                <w:szCs w:val="20"/>
              </w:rPr>
            </w:pPr>
            <w:r w:rsidRPr="001A0537">
              <w:rPr>
                <w:szCs w:val="20"/>
              </w:rPr>
              <w:t xml:space="preserve">9 June </w:t>
            </w:r>
            <w:r w:rsidR="00E20670" w:rsidRPr="001A0537">
              <w:rPr>
                <w:szCs w:val="20"/>
              </w:rPr>
              <w:t>2022</w:t>
            </w:r>
          </w:p>
          <w:p w14:paraId="3493A8C4" w14:textId="77777777" w:rsidR="00E20670" w:rsidRDefault="00E20670" w:rsidP="00E20670">
            <w:pPr>
              <w:bidi w:val="0"/>
              <w:spacing w:line="240" w:lineRule="exact"/>
              <w:jc w:val="left"/>
              <w:rPr>
                <w:szCs w:val="20"/>
              </w:rPr>
            </w:pPr>
            <w:r>
              <w:rPr>
                <w:szCs w:val="20"/>
              </w:rPr>
              <w:t>Arabic</w:t>
            </w:r>
          </w:p>
          <w:p w14:paraId="33B6EE16" w14:textId="5E56A685" w:rsidR="00E20670" w:rsidRPr="00E20670" w:rsidRDefault="00E20670" w:rsidP="00E20670">
            <w:pPr>
              <w:bidi w:val="0"/>
              <w:spacing w:line="240" w:lineRule="exact"/>
              <w:jc w:val="left"/>
              <w:rPr>
                <w:szCs w:val="20"/>
              </w:rPr>
            </w:pPr>
            <w:r>
              <w:rPr>
                <w:szCs w:val="20"/>
              </w:rPr>
              <w:t>Origina</w:t>
            </w:r>
            <w:r w:rsidR="00667949" w:rsidRPr="00667949">
              <w:rPr>
                <w:color w:val="000000"/>
                <w:szCs w:val="20"/>
              </w:rPr>
              <w:t xml:space="preserve">l: </w:t>
            </w:r>
            <w:r w:rsidR="00B86CE8">
              <w:rPr>
                <w:szCs w:val="20"/>
              </w:rPr>
              <w:t>Spanish</w:t>
            </w:r>
          </w:p>
        </w:tc>
      </w:tr>
    </w:tbl>
    <w:p w14:paraId="024DF309" w14:textId="1CF601CD" w:rsidR="009C3BAB" w:rsidRPr="001A0537" w:rsidRDefault="009C3BAB" w:rsidP="009C3BAB">
      <w:pPr>
        <w:spacing w:before="120" w:line="360" w:lineRule="exact"/>
        <w:textDirection w:val="tbRlV"/>
        <w:rPr>
          <w:rFonts w:ascii="Simplified Arabic" w:hAnsi="Simplified Arabic"/>
          <w:b/>
          <w:sz w:val="26"/>
          <w:szCs w:val="26"/>
          <w:lang w:val="ar-SA" w:eastAsia="zh-TW" w:bidi="en-GB"/>
        </w:rPr>
      </w:pPr>
      <w:r w:rsidRPr="001A0537">
        <w:rPr>
          <w:rFonts w:ascii="Simplified Arabic" w:hAnsi="Simplified Arabic"/>
          <w:b/>
          <w:bCs/>
          <w:sz w:val="26"/>
          <w:szCs w:val="26"/>
          <w:rtl/>
        </w:rPr>
        <w:t>لجنة مناهضة التعذيب</w:t>
      </w:r>
    </w:p>
    <w:p w14:paraId="03713FBE" w14:textId="77777777" w:rsidR="009C3BAB" w:rsidRPr="001A0537" w:rsidRDefault="009C3BAB" w:rsidP="009C3BAB">
      <w:pPr>
        <w:pStyle w:val="HChGA"/>
        <w:rPr>
          <w:lang w:val="ar-SA" w:eastAsia="zh-TW" w:bidi="en-GB"/>
        </w:rPr>
      </w:pPr>
      <w:r w:rsidRPr="001A0537">
        <w:rPr>
          <w:rtl/>
        </w:rPr>
        <w:tab/>
      </w:r>
      <w:r w:rsidRPr="001A0537">
        <w:rPr>
          <w:rtl/>
        </w:rPr>
        <w:tab/>
        <w:t>الملاحظات الختامية بشأن التقرير الدوري الثالث لكوبا</w:t>
      </w:r>
      <w:r w:rsidRPr="001A0537">
        <w:rPr>
          <w:rStyle w:val="FootnoteReference"/>
          <w:rFonts w:eastAsiaTheme="minorEastAsia"/>
          <w:b w:val="0"/>
          <w:sz w:val="26"/>
          <w:szCs w:val="26"/>
          <w:vertAlign w:val="baseline"/>
          <w:rtl/>
        </w:rPr>
        <w:footnoteReference w:customMarkFollows="1" w:id="1"/>
        <w:t>*</w:t>
      </w:r>
    </w:p>
    <w:p w14:paraId="1EA43028" w14:textId="57739087" w:rsidR="00667949" w:rsidRPr="00667949" w:rsidRDefault="009C3BAB" w:rsidP="009C3BAB">
      <w:pPr>
        <w:pStyle w:val="SingleTxtGA"/>
        <w:rPr>
          <w:rFonts w:eastAsiaTheme="minorEastAsia"/>
          <w:color w:val="000000"/>
          <w:lang w:val="en-US" w:eastAsia="zh-TW" w:bidi="en-GB"/>
        </w:rPr>
      </w:pPr>
      <w:r w:rsidRPr="001A0537">
        <w:rPr>
          <w:rFonts w:eastAsiaTheme="minorEastAsia"/>
          <w:rtl/>
        </w:rPr>
        <w:t>1</w:t>
      </w:r>
      <w:r w:rsidRPr="009C3BAB">
        <w:rPr>
          <w:rFonts w:eastAsiaTheme="minorEastAsia"/>
          <w:rtl/>
        </w:rPr>
        <w:t>-</w:t>
      </w:r>
      <w:r w:rsidRPr="009C3BAB">
        <w:rPr>
          <w:rFonts w:eastAsiaTheme="minorEastAsia"/>
          <w:rtl/>
        </w:rPr>
        <w:tab/>
        <w:t>نظرت لجنة مناهضة التعذيب في التقرير الدوري الثالث لكوبا</w:t>
      </w:r>
      <w:r w:rsidR="00667949" w:rsidRPr="001A0537">
        <w:rPr>
          <w:rStyle w:val="FootnoteReference"/>
          <w:szCs w:val="22"/>
          <w:rtl/>
        </w:rPr>
        <w:t>(</w:t>
      </w:r>
      <w:r w:rsidR="00667949" w:rsidRPr="001A0537">
        <w:rPr>
          <w:rStyle w:val="FootnoteReference"/>
          <w:szCs w:val="22"/>
          <w:lang w:val="en-US"/>
        </w:rPr>
        <w:footnoteReference w:id="2"/>
      </w:r>
      <w:r w:rsidRPr="00F372B6">
        <w:rPr>
          <w:rStyle w:val="FootnoteReference"/>
          <w:szCs w:val="22"/>
          <w:rtl/>
        </w:rPr>
        <w:t>)</w:t>
      </w:r>
      <w:r w:rsidRPr="009C3BAB">
        <w:rPr>
          <w:rFonts w:eastAsiaTheme="minorEastAsia"/>
          <w:rtl/>
        </w:rPr>
        <w:t xml:space="preserve"> في جلستيها </w:t>
      </w:r>
      <w:r w:rsidRPr="001A0537">
        <w:rPr>
          <w:rFonts w:eastAsiaTheme="minorEastAsia"/>
          <w:rtl/>
        </w:rPr>
        <w:t>1881</w:t>
      </w:r>
      <w:r w:rsidRPr="009C3BAB">
        <w:rPr>
          <w:rFonts w:eastAsiaTheme="minorEastAsia"/>
          <w:rtl/>
        </w:rPr>
        <w:t xml:space="preserve"> و</w:t>
      </w:r>
      <w:r w:rsidRPr="001A0537">
        <w:rPr>
          <w:rFonts w:eastAsiaTheme="minorEastAsia"/>
          <w:rtl/>
        </w:rPr>
        <w:t>1893</w:t>
      </w:r>
      <w:r w:rsidR="00667949" w:rsidRPr="001A0537">
        <w:rPr>
          <w:rStyle w:val="FootnoteReference"/>
          <w:szCs w:val="22"/>
          <w:rtl/>
        </w:rPr>
        <w:t>(</w:t>
      </w:r>
      <w:r w:rsidR="00667949" w:rsidRPr="001A0537">
        <w:rPr>
          <w:rStyle w:val="FootnoteReference"/>
          <w:szCs w:val="22"/>
          <w:lang w:val="en-US"/>
        </w:rPr>
        <w:footnoteReference w:id="3"/>
      </w:r>
      <w:r w:rsidR="00667949" w:rsidRPr="00667949">
        <w:rPr>
          <w:rStyle w:val="FootnoteReference"/>
          <w:color w:val="000000"/>
          <w:szCs w:val="22"/>
          <w:rtl/>
        </w:rPr>
        <w:t>)</w:t>
      </w:r>
      <w:r w:rsidR="00667949" w:rsidRPr="00667949">
        <w:rPr>
          <w:rFonts w:eastAsiaTheme="minorEastAsia"/>
          <w:color w:val="000000"/>
          <w:rtl/>
        </w:rPr>
        <w:t>، </w:t>
      </w:r>
      <w:r w:rsidRPr="009C3BAB">
        <w:rPr>
          <w:rFonts w:eastAsiaTheme="minorEastAsia"/>
          <w:rtl/>
        </w:rPr>
        <w:t>المعق</w:t>
      </w:r>
      <w:r w:rsidR="001037DF">
        <w:rPr>
          <w:rFonts w:eastAsiaTheme="minorEastAsia" w:hint="cs"/>
          <w:rtl/>
        </w:rPr>
        <w:t>و</w:t>
      </w:r>
      <w:r w:rsidRPr="009C3BAB">
        <w:rPr>
          <w:rFonts w:eastAsiaTheme="minorEastAsia"/>
          <w:rtl/>
        </w:rPr>
        <w:t xml:space="preserve">دتين في </w:t>
      </w:r>
      <w:r w:rsidRPr="001A0537">
        <w:rPr>
          <w:rFonts w:eastAsiaTheme="minorEastAsia"/>
          <w:rtl/>
        </w:rPr>
        <w:t>21</w:t>
      </w:r>
      <w:r w:rsidRPr="009C3BAB">
        <w:rPr>
          <w:rFonts w:eastAsiaTheme="minorEastAsia"/>
          <w:rtl/>
        </w:rPr>
        <w:t xml:space="preserve"> و</w:t>
      </w:r>
      <w:r w:rsidRPr="001A0537">
        <w:rPr>
          <w:rFonts w:eastAsiaTheme="minorEastAsia"/>
          <w:rtl/>
        </w:rPr>
        <w:t>29</w:t>
      </w:r>
      <w:r w:rsidRPr="009C3BAB">
        <w:rPr>
          <w:rFonts w:eastAsiaTheme="minorEastAsia"/>
          <w:rtl/>
        </w:rPr>
        <w:t xml:space="preserve"> نيسان/أبريل </w:t>
      </w:r>
      <w:r w:rsidRPr="001A0537">
        <w:rPr>
          <w:rFonts w:eastAsiaTheme="minorEastAsia"/>
          <w:rtl/>
        </w:rPr>
        <w:t>2022</w:t>
      </w:r>
      <w:r w:rsidRPr="009C3BAB">
        <w:rPr>
          <w:rFonts w:eastAsiaTheme="minorEastAsia"/>
          <w:rtl/>
        </w:rPr>
        <w:t>، واعتمدت هذه الملاحظات الختامية في جلستها</w:t>
      </w:r>
      <w:r w:rsidR="00F372B6">
        <w:rPr>
          <w:rFonts w:eastAsiaTheme="minorEastAsia" w:hint="cs"/>
          <w:rtl/>
        </w:rPr>
        <w:t> </w:t>
      </w:r>
      <w:r w:rsidRPr="001A0537">
        <w:rPr>
          <w:rFonts w:eastAsiaTheme="minorEastAsia"/>
          <w:rtl/>
        </w:rPr>
        <w:t>1904</w:t>
      </w:r>
      <w:r w:rsidRPr="009C3BAB">
        <w:rPr>
          <w:rFonts w:eastAsiaTheme="minorEastAsia"/>
          <w:rtl/>
        </w:rPr>
        <w:t xml:space="preserve">، المعقودة في </w:t>
      </w:r>
      <w:r w:rsidRPr="001A0537">
        <w:rPr>
          <w:rFonts w:eastAsiaTheme="minorEastAsia"/>
          <w:rtl/>
        </w:rPr>
        <w:t>9</w:t>
      </w:r>
      <w:r w:rsidRPr="009C3BAB">
        <w:rPr>
          <w:rFonts w:eastAsiaTheme="minorEastAsia"/>
          <w:rtl/>
        </w:rPr>
        <w:t xml:space="preserve"> أيار/مايو </w:t>
      </w:r>
      <w:r w:rsidRPr="001A0537">
        <w:rPr>
          <w:rFonts w:eastAsiaTheme="minorEastAsia"/>
          <w:rtl/>
        </w:rPr>
        <w:t>202</w:t>
      </w:r>
      <w:r w:rsidR="00667949" w:rsidRPr="001A0537">
        <w:rPr>
          <w:rFonts w:eastAsiaTheme="minorEastAsia"/>
          <w:color w:val="000000"/>
          <w:rtl/>
        </w:rPr>
        <w:t>2</w:t>
      </w:r>
      <w:r w:rsidR="00667949" w:rsidRPr="00667949">
        <w:rPr>
          <w:rFonts w:eastAsiaTheme="minorEastAsia"/>
          <w:color w:val="000000"/>
          <w:rtl/>
        </w:rPr>
        <w:t>.</w:t>
      </w:r>
    </w:p>
    <w:p w14:paraId="67B3F706" w14:textId="1BD82B73" w:rsidR="009C3BAB" w:rsidRPr="001A0537" w:rsidRDefault="009C3BAB" w:rsidP="009C3BAB">
      <w:pPr>
        <w:pStyle w:val="H1GA"/>
        <w:rPr>
          <w:lang w:val="en-US" w:eastAsia="zh-TW" w:bidi="en-GB"/>
        </w:rPr>
      </w:pPr>
      <w:r w:rsidRPr="001A0537">
        <w:rPr>
          <w:rtl/>
        </w:rPr>
        <w:tab/>
        <w:t>ألف-</w:t>
      </w:r>
      <w:r w:rsidRPr="001A0537">
        <w:rPr>
          <w:rtl/>
        </w:rPr>
        <w:tab/>
        <w:t>مقدمة</w:t>
      </w:r>
    </w:p>
    <w:p w14:paraId="7E188C83" w14:textId="70EB8DF2" w:rsidR="009C3BAB" w:rsidRPr="009C3BAB" w:rsidRDefault="009C3BAB" w:rsidP="009C3BAB">
      <w:pPr>
        <w:pStyle w:val="SingleTxtGA"/>
        <w:rPr>
          <w:rFonts w:eastAsiaTheme="minorEastAsia"/>
          <w:lang w:val="ar-SA" w:eastAsia="zh-TW" w:bidi="en-GB"/>
        </w:rPr>
      </w:pPr>
      <w:r w:rsidRPr="001A0537">
        <w:rPr>
          <w:rFonts w:eastAsiaTheme="minorEastAsia"/>
          <w:rtl/>
        </w:rPr>
        <w:t>2</w:t>
      </w:r>
      <w:r w:rsidRPr="009C3BAB">
        <w:rPr>
          <w:rFonts w:eastAsiaTheme="minorEastAsia"/>
          <w:rtl/>
        </w:rPr>
        <w:t>-</w:t>
      </w:r>
      <w:r w:rsidRPr="009C3BAB">
        <w:rPr>
          <w:rFonts w:eastAsiaTheme="minorEastAsia"/>
          <w:rtl/>
        </w:rPr>
        <w:tab/>
        <w:t xml:space="preserve">ترحّب اللجنة بتقديم التقرير الدوري </w:t>
      </w:r>
      <w:r w:rsidRPr="009C3BAB">
        <w:rPr>
          <w:rFonts w:eastAsiaTheme="minorEastAsia"/>
          <w:rtl/>
          <w:lang w:val="fr-CH"/>
        </w:rPr>
        <w:t>و</w:t>
      </w:r>
      <w:r w:rsidRPr="009C3BAB">
        <w:rPr>
          <w:rFonts w:eastAsiaTheme="minorEastAsia"/>
          <w:rtl/>
        </w:rPr>
        <w:t>بردود</w:t>
      </w:r>
      <w:r w:rsidR="00667949" w:rsidRPr="001A0537">
        <w:rPr>
          <w:rStyle w:val="FootnoteReference"/>
          <w:szCs w:val="22"/>
          <w:rtl/>
        </w:rPr>
        <w:t>(</w:t>
      </w:r>
      <w:r w:rsidR="00667949" w:rsidRPr="001A0537">
        <w:rPr>
          <w:rStyle w:val="FootnoteReference"/>
          <w:szCs w:val="22"/>
          <w:lang w:val="en-US"/>
        </w:rPr>
        <w:footnoteReference w:id="4"/>
      </w:r>
      <w:r w:rsidRPr="00F372B6">
        <w:rPr>
          <w:rStyle w:val="FootnoteReference"/>
          <w:szCs w:val="22"/>
          <w:rtl/>
        </w:rPr>
        <w:t>)</w:t>
      </w:r>
      <w:r w:rsidRPr="009C3BAB">
        <w:rPr>
          <w:rFonts w:eastAsiaTheme="minorEastAsia"/>
          <w:rtl/>
        </w:rPr>
        <w:t> الدولة الطرف على قائمة المسائل</w:t>
      </w:r>
      <w:r w:rsidR="00667949" w:rsidRPr="001A0537">
        <w:rPr>
          <w:rStyle w:val="FootnoteReference"/>
          <w:szCs w:val="22"/>
          <w:rtl/>
        </w:rPr>
        <w:t>(</w:t>
      </w:r>
      <w:r w:rsidR="00667949" w:rsidRPr="001A0537">
        <w:rPr>
          <w:rStyle w:val="FootnoteReference"/>
          <w:szCs w:val="22"/>
          <w:lang w:val="en-US"/>
        </w:rPr>
        <w:footnoteReference w:id="5"/>
      </w:r>
      <w:r w:rsidR="00667949" w:rsidRPr="00667949">
        <w:rPr>
          <w:rStyle w:val="FootnoteReference"/>
          <w:color w:val="000000"/>
          <w:szCs w:val="22"/>
          <w:rtl/>
        </w:rPr>
        <w:t>)</w:t>
      </w:r>
      <w:r w:rsidR="00667949" w:rsidRPr="00667949">
        <w:rPr>
          <w:rFonts w:eastAsiaTheme="minorEastAsia"/>
          <w:color w:val="000000"/>
          <w:rtl/>
        </w:rPr>
        <w:t xml:space="preserve">. </w:t>
      </w:r>
      <w:r w:rsidRPr="009C3BAB">
        <w:rPr>
          <w:rFonts w:eastAsiaTheme="minorEastAsia"/>
          <w:rtl/>
        </w:rPr>
        <w:t xml:space="preserve">بيد أنها تعرب عن أسفها لأن التقرير قُدِّم متأخراً بأكثر من سنتين. </w:t>
      </w:r>
    </w:p>
    <w:p w14:paraId="0ED37255" w14:textId="77777777" w:rsidR="009C3BAB" w:rsidRPr="009C3BAB" w:rsidRDefault="009C3BAB" w:rsidP="009C3BAB">
      <w:pPr>
        <w:pStyle w:val="SingleTxtGA"/>
        <w:rPr>
          <w:rFonts w:eastAsiaTheme="minorEastAsia"/>
          <w:lang w:val="ar-SA" w:eastAsia="zh-TW" w:bidi="en-GB"/>
        </w:rPr>
      </w:pPr>
      <w:r w:rsidRPr="001A0537">
        <w:rPr>
          <w:rFonts w:eastAsiaTheme="minorEastAsia"/>
          <w:rtl/>
        </w:rPr>
        <w:t>3</w:t>
      </w:r>
      <w:r w:rsidRPr="009C3BAB">
        <w:rPr>
          <w:rFonts w:eastAsiaTheme="minorEastAsia"/>
          <w:rtl/>
        </w:rPr>
        <w:t>-</w:t>
      </w:r>
      <w:r w:rsidRPr="009C3BAB">
        <w:rPr>
          <w:rFonts w:eastAsiaTheme="minorEastAsia"/>
          <w:rtl/>
        </w:rPr>
        <w:tab/>
        <w:t>وتعرب اللجنة عن تقديرها للحوار الذي أجرته مع وفد الدولة الطرف وللمعلومات والتوضيحات الإضافية المقدمة رغم أن بعض الأسئلة التي طُرِحت على الوفد لم تلق أي جواب.</w:t>
      </w:r>
    </w:p>
    <w:p w14:paraId="60D5DA5A" w14:textId="77777777" w:rsidR="009C3BAB" w:rsidRPr="009C3BAB" w:rsidRDefault="009C3BAB" w:rsidP="009C3BAB">
      <w:pPr>
        <w:pStyle w:val="SingleTxtGA"/>
        <w:rPr>
          <w:rFonts w:eastAsiaTheme="minorEastAsia"/>
          <w:lang w:val="ar-SA" w:eastAsia="zh-TW" w:bidi="en-GB"/>
        </w:rPr>
      </w:pPr>
      <w:r w:rsidRPr="001A0537">
        <w:rPr>
          <w:rFonts w:eastAsiaTheme="minorEastAsia"/>
          <w:rtl/>
        </w:rPr>
        <w:t>4</w:t>
      </w:r>
      <w:r w:rsidRPr="009C3BAB">
        <w:rPr>
          <w:rFonts w:eastAsiaTheme="minorEastAsia"/>
          <w:rtl/>
        </w:rPr>
        <w:t>-</w:t>
      </w:r>
      <w:r w:rsidRPr="009C3BAB">
        <w:rPr>
          <w:rFonts w:eastAsiaTheme="minorEastAsia"/>
          <w:rtl/>
        </w:rPr>
        <w:tab/>
        <w:t xml:space="preserve">وإذ تشير اللجنة إلى التزاماتها بموجب الاتفاقية، فإنها تحيط علماً بحجج الدولة الطرف بشأن عواقب التدابير الانفرادية التي تؤثر على </w:t>
      </w:r>
      <w:proofErr w:type="gramStart"/>
      <w:r w:rsidRPr="009C3BAB">
        <w:rPr>
          <w:rFonts w:eastAsiaTheme="minorEastAsia"/>
          <w:rtl/>
        </w:rPr>
        <w:t>سيادتها</w:t>
      </w:r>
      <w:proofErr w:type="gramEnd"/>
      <w:r w:rsidRPr="009C3BAB">
        <w:rPr>
          <w:rFonts w:eastAsiaTheme="minorEastAsia"/>
          <w:rtl/>
        </w:rPr>
        <w:t xml:space="preserve"> واستقلالها وتنميتها الاقتصادية والاجتماعية.</w:t>
      </w:r>
    </w:p>
    <w:p w14:paraId="0726A6BC" w14:textId="7E63F46F" w:rsidR="009C3BAB" w:rsidRPr="001A0537" w:rsidRDefault="009C3BAB" w:rsidP="009C3BAB">
      <w:pPr>
        <w:pStyle w:val="H1GA"/>
        <w:rPr>
          <w:lang w:val="ar-SA" w:eastAsia="zh-TW" w:bidi="en-GB"/>
        </w:rPr>
      </w:pPr>
      <w:r w:rsidRPr="001A0537">
        <w:rPr>
          <w:rtl/>
        </w:rPr>
        <w:tab/>
        <w:t>باء-</w:t>
      </w:r>
      <w:r w:rsidRPr="001A0537">
        <w:rPr>
          <w:rtl/>
        </w:rPr>
        <w:tab/>
        <w:t xml:space="preserve">الجوانب الإيجابية </w:t>
      </w:r>
    </w:p>
    <w:p w14:paraId="70D72D52" w14:textId="70607B33" w:rsidR="009C3BAB" w:rsidRPr="00F372B6" w:rsidRDefault="009C3BAB" w:rsidP="009C3BAB">
      <w:pPr>
        <w:pStyle w:val="SingleTxtGA"/>
        <w:rPr>
          <w:rFonts w:eastAsiaTheme="minorEastAsia"/>
          <w:lang w:val="en-US" w:eastAsia="zh-TW" w:bidi="en-GB"/>
        </w:rPr>
      </w:pPr>
      <w:r w:rsidRPr="001A0537">
        <w:rPr>
          <w:rFonts w:eastAsiaTheme="minorEastAsia"/>
          <w:rtl/>
        </w:rPr>
        <w:t>5</w:t>
      </w:r>
      <w:r w:rsidRPr="009C3BAB">
        <w:rPr>
          <w:rFonts w:eastAsiaTheme="minorEastAsia"/>
          <w:rtl/>
        </w:rPr>
        <w:t>-</w:t>
      </w:r>
      <w:r w:rsidRPr="009C3BAB">
        <w:rPr>
          <w:rFonts w:eastAsiaTheme="minorEastAsia"/>
          <w:rtl/>
        </w:rPr>
        <w:tab/>
        <w:t xml:space="preserve">ترحب اللجنة بانضمام الدولة الطرف في </w:t>
      </w:r>
      <w:r w:rsidRPr="001A0537">
        <w:rPr>
          <w:rFonts w:eastAsiaTheme="minorEastAsia"/>
          <w:rtl/>
        </w:rPr>
        <w:t>20</w:t>
      </w:r>
      <w:r w:rsidRPr="009C3BAB">
        <w:rPr>
          <w:rFonts w:eastAsiaTheme="minorEastAsia"/>
          <w:rtl/>
        </w:rPr>
        <w:t xml:space="preserve"> حزيران/</w:t>
      </w:r>
      <w:proofErr w:type="gramStart"/>
      <w:r w:rsidRPr="009C3BAB">
        <w:rPr>
          <w:rFonts w:eastAsiaTheme="minorEastAsia"/>
          <w:rtl/>
        </w:rPr>
        <w:t>يونيه</w:t>
      </w:r>
      <w:proofErr w:type="gramEnd"/>
      <w:r w:rsidRPr="009C3BAB">
        <w:rPr>
          <w:rFonts w:eastAsiaTheme="minorEastAsia"/>
          <w:rtl/>
        </w:rPr>
        <w:t xml:space="preserve"> </w:t>
      </w:r>
      <w:r w:rsidRPr="001A0537">
        <w:rPr>
          <w:rFonts w:eastAsiaTheme="minorEastAsia"/>
          <w:rtl/>
        </w:rPr>
        <w:t>2013</w:t>
      </w:r>
      <w:r w:rsidRPr="009C3BAB">
        <w:rPr>
          <w:rFonts w:eastAsiaTheme="minorEastAsia"/>
          <w:rtl/>
        </w:rPr>
        <w:t xml:space="preserve"> إلى بروتوكول منع وقمع ومعاقبة الاتجار بالأشخاص، وبخاصة النساء والأطفال، المكمل لاتفاقية الأمم المتحدة لمكافحة الجريمة المنظمة عبر الوطنية</w:t>
      </w:r>
      <w:r w:rsidR="0085568A">
        <w:rPr>
          <w:rFonts w:eastAsiaTheme="minorEastAsia" w:hint="cs"/>
          <w:rtl/>
        </w:rPr>
        <w:t>.</w:t>
      </w:r>
    </w:p>
    <w:p w14:paraId="09F29762" w14:textId="77777777" w:rsidR="009C3BAB" w:rsidRPr="00AE35A2" w:rsidRDefault="009C3BAB" w:rsidP="009C3BAB">
      <w:pPr>
        <w:pStyle w:val="SingleTxtGA"/>
        <w:rPr>
          <w:rFonts w:eastAsiaTheme="minorEastAsia"/>
          <w:lang w:val="en-US" w:eastAsia="zh-TW" w:bidi="en-GB"/>
        </w:rPr>
      </w:pPr>
      <w:r w:rsidRPr="001A0537">
        <w:rPr>
          <w:rFonts w:eastAsiaTheme="minorEastAsia"/>
          <w:rtl/>
        </w:rPr>
        <w:t>6</w:t>
      </w:r>
      <w:r w:rsidRPr="009C3BAB">
        <w:rPr>
          <w:rFonts w:eastAsiaTheme="minorEastAsia"/>
          <w:rtl/>
        </w:rPr>
        <w:t>-</w:t>
      </w:r>
      <w:r w:rsidRPr="009C3BAB">
        <w:rPr>
          <w:rFonts w:eastAsiaTheme="minorEastAsia"/>
          <w:rtl/>
        </w:rPr>
        <w:tab/>
        <w:t>وترحب أيضاً بالمبادرات التي اتخذتها الدولة الطرف لتنقيح تشريعاتها في المجالات ذات الصلة بالاتفاقية، بما في ذلك:</w:t>
      </w:r>
    </w:p>
    <w:p w14:paraId="3AA62FFE" w14:textId="5BA53511" w:rsidR="009C3BAB" w:rsidRPr="009C3BAB" w:rsidRDefault="009C3BAB" w:rsidP="009C3BAB">
      <w:pPr>
        <w:pStyle w:val="SingleTxtGA"/>
        <w:rPr>
          <w:rFonts w:eastAsiaTheme="minorEastAsia"/>
          <w:lang w:val="ar-SA" w:eastAsia="zh-TW" w:bidi="en-GB"/>
        </w:rPr>
      </w:pPr>
      <w:r>
        <w:rPr>
          <w:rFonts w:eastAsiaTheme="minorEastAsia"/>
          <w:rtl/>
        </w:rPr>
        <w:lastRenderedPageBreak/>
        <w:tab/>
      </w:r>
      <w:r w:rsidRPr="009C3BAB">
        <w:rPr>
          <w:rFonts w:eastAsiaTheme="minorEastAsia"/>
          <w:rtl/>
        </w:rPr>
        <w:t>(أ)</w:t>
      </w:r>
      <w:r w:rsidRPr="009C3BAB">
        <w:rPr>
          <w:rFonts w:eastAsiaTheme="minorEastAsia"/>
          <w:rtl/>
        </w:rPr>
        <w:tab/>
        <w:t xml:space="preserve">الدستور، الذي تم التصديق عليه بموجب استفتاء شعبي في </w:t>
      </w:r>
      <w:r w:rsidRPr="001A0537">
        <w:rPr>
          <w:rFonts w:eastAsiaTheme="minorEastAsia"/>
          <w:rtl/>
        </w:rPr>
        <w:t>24</w:t>
      </w:r>
      <w:r w:rsidRPr="009C3BAB">
        <w:rPr>
          <w:rFonts w:eastAsiaTheme="minorEastAsia"/>
          <w:rtl/>
        </w:rPr>
        <w:t xml:space="preserve"> شباط/فبراير </w:t>
      </w:r>
      <w:r w:rsidRPr="001A0537">
        <w:rPr>
          <w:rFonts w:eastAsiaTheme="minorEastAsia"/>
          <w:rtl/>
        </w:rPr>
        <w:t>2019</w:t>
      </w:r>
      <w:r w:rsidRPr="009C3BAB">
        <w:rPr>
          <w:rFonts w:eastAsiaTheme="minorEastAsia"/>
          <w:rtl/>
        </w:rPr>
        <w:t xml:space="preserve"> وأُعلِن عنه في </w:t>
      </w:r>
      <w:r w:rsidRPr="001A0537">
        <w:rPr>
          <w:rFonts w:eastAsiaTheme="minorEastAsia"/>
          <w:rtl/>
        </w:rPr>
        <w:t>10</w:t>
      </w:r>
      <w:r w:rsidRPr="009C3BAB">
        <w:rPr>
          <w:rFonts w:eastAsiaTheme="minorEastAsia"/>
          <w:rtl/>
        </w:rPr>
        <w:t xml:space="preserve"> نيسان/أبريل </w:t>
      </w:r>
      <w:r w:rsidRPr="001A0537">
        <w:rPr>
          <w:rFonts w:eastAsiaTheme="minorEastAsia"/>
          <w:rtl/>
        </w:rPr>
        <w:t>2019</w:t>
      </w:r>
      <w:r w:rsidRPr="009C3BAB">
        <w:rPr>
          <w:rFonts w:eastAsiaTheme="minorEastAsia"/>
          <w:rtl/>
        </w:rPr>
        <w:t>؛</w:t>
      </w:r>
    </w:p>
    <w:p w14:paraId="148BEF41" w14:textId="4EF9CC7B" w:rsidR="009C3BAB" w:rsidRPr="009C3BAB" w:rsidRDefault="009C3BAB" w:rsidP="009C3BAB">
      <w:pPr>
        <w:pStyle w:val="SingleTxtGA"/>
        <w:rPr>
          <w:rFonts w:eastAsiaTheme="minorEastAsia"/>
          <w:lang w:val="ar-SA" w:eastAsia="zh-TW" w:bidi="en-GB"/>
        </w:rPr>
      </w:pPr>
      <w:r w:rsidRPr="0085568A">
        <w:rPr>
          <w:rFonts w:eastAsiaTheme="minorEastAsia"/>
          <w:spacing w:val="-6"/>
          <w:rtl/>
        </w:rPr>
        <w:tab/>
        <w:t>(ب)</w:t>
      </w:r>
      <w:r w:rsidRPr="0085568A">
        <w:rPr>
          <w:rFonts w:eastAsiaTheme="minorEastAsia"/>
          <w:spacing w:val="-6"/>
          <w:rtl/>
        </w:rPr>
        <w:tab/>
        <w:t xml:space="preserve">قانون الإجراءات الجنائية (رقم </w:t>
      </w:r>
      <w:r w:rsidRPr="001A0537">
        <w:rPr>
          <w:rFonts w:eastAsiaTheme="minorEastAsia"/>
          <w:spacing w:val="-6"/>
          <w:rtl/>
        </w:rPr>
        <w:t>143</w:t>
      </w:r>
      <w:r w:rsidRPr="0085568A">
        <w:rPr>
          <w:rFonts w:eastAsiaTheme="minorEastAsia"/>
          <w:spacing w:val="-6"/>
          <w:rtl/>
        </w:rPr>
        <w:t>/</w:t>
      </w:r>
      <w:r w:rsidRPr="001A0537">
        <w:rPr>
          <w:rFonts w:eastAsiaTheme="minorEastAsia"/>
          <w:spacing w:val="-6"/>
          <w:rtl/>
        </w:rPr>
        <w:t>2021</w:t>
      </w:r>
      <w:r w:rsidR="00667949" w:rsidRPr="00667949">
        <w:rPr>
          <w:rFonts w:eastAsiaTheme="minorEastAsia"/>
          <w:color w:val="000000"/>
          <w:spacing w:val="-6"/>
          <w:rtl/>
        </w:rPr>
        <w:t xml:space="preserve">)، </w:t>
      </w:r>
      <w:r w:rsidRPr="0085568A">
        <w:rPr>
          <w:rFonts w:eastAsiaTheme="minorEastAsia"/>
          <w:spacing w:val="-6"/>
          <w:rtl/>
        </w:rPr>
        <w:t xml:space="preserve">الذي نُشِر في </w:t>
      </w:r>
      <w:r w:rsidRPr="001A0537">
        <w:rPr>
          <w:rFonts w:eastAsiaTheme="minorEastAsia"/>
          <w:spacing w:val="-6"/>
          <w:rtl/>
        </w:rPr>
        <w:t>7</w:t>
      </w:r>
      <w:r w:rsidRPr="0085568A">
        <w:rPr>
          <w:rFonts w:eastAsiaTheme="minorEastAsia"/>
          <w:spacing w:val="-6"/>
          <w:rtl/>
        </w:rPr>
        <w:t xml:space="preserve"> كانون الأول/ديسمبر </w:t>
      </w:r>
      <w:r w:rsidRPr="001A0537">
        <w:rPr>
          <w:rFonts w:eastAsiaTheme="minorEastAsia"/>
          <w:spacing w:val="-6"/>
          <w:rtl/>
        </w:rPr>
        <w:t>2021</w:t>
      </w:r>
      <w:r w:rsidRPr="0085568A">
        <w:rPr>
          <w:rFonts w:eastAsiaTheme="minorEastAsia"/>
          <w:spacing w:val="-6"/>
          <w:rtl/>
        </w:rPr>
        <w:t>، بهدف</w:t>
      </w:r>
      <w:r w:rsidRPr="009C3BAB">
        <w:rPr>
          <w:rFonts w:eastAsiaTheme="minorEastAsia"/>
          <w:rtl/>
        </w:rPr>
        <w:t xml:space="preserve"> تعزيز ضمانات الإجراءات القانونية الواجبة.</w:t>
      </w:r>
    </w:p>
    <w:p w14:paraId="57664B22" w14:textId="77777777" w:rsidR="009C3BAB" w:rsidRPr="009C3BAB" w:rsidRDefault="009C3BAB" w:rsidP="009C3BAB">
      <w:pPr>
        <w:pStyle w:val="SingleTxtGA"/>
        <w:rPr>
          <w:rFonts w:eastAsiaTheme="minorEastAsia"/>
          <w:u w:color="000000"/>
          <w:bdr w:val="nil"/>
          <w:lang w:val="ar-SA" w:eastAsia="zh-TW" w:bidi="en-GB"/>
        </w:rPr>
      </w:pPr>
      <w:r w:rsidRPr="001A0537">
        <w:rPr>
          <w:rFonts w:eastAsiaTheme="minorEastAsia"/>
          <w:rtl/>
        </w:rPr>
        <w:t>7</w:t>
      </w:r>
      <w:r w:rsidRPr="009C3BAB">
        <w:rPr>
          <w:rFonts w:eastAsiaTheme="minorEastAsia"/>
          <w:rtl/>
        </w:rPr>
        <w:t>-</w:t>
      </w:r>
      <w:r w:rsidRPr="009C3BAB">
        <w:rPr>
          <w:rFonts w:eastAsiaTheme="minorEastAsia"/>
          <w:rtl/>
        </w:rPr>
        <w:tab/>
        <w:t>وترحب اللجنة أيضاً بجهود الدولة الطرف لتعديل سياساتها وإجراءاتها من أجل تحسين حماية حقوق الإنسان وتنفيذ الاتفاقية، خاصة عن طريق ما يلي:</w:t>
      </w:r>
    </w:p>
    <w:p w14:paraId="0A5D2BE0" w14:textId="3C884405" w:rsidR="009C3BAB" w:rsidRPr="009C3BAB" w:rsidRDefault="009C3BAB" w:rsidP="009C3BAB">
      <w:pPr>
        <w:pStyle w:val="SingleTxtGA"/>
        <w:rPr>
          <w:rFonts w:eastAsiaTheme="minorEastAsia"/>
          <w:u w:color="000000"/>
          <w:bdr w:val="nil"/>
          <w:lang w:val="ar-SA" w:eastAsia="zh-TW" w:bidi="en-GB"/>
        </w:rPr>
      </w:pPr>
      <w:r>
        <w:rPr>
          <w:rFonts w:eastAsiaTheme="minorEastAsia"/>
          <w:rtl/>
        </w:rPr>
        <w:tab/>
      </w:r>
      <w:r w:rsidRPr="009C3BAB">
        <w:rPr>
          <w:rFonts w:eastAsiaTheme="minorEastAsia"/>
          <w:rtl/>
        </w:rPr>
        <w:t>(أ)</w:t>
      </w:r>
      <w:r w:rsidRPr="009C3BAB">
        <w:rPr>
          <w:rFonts w:eastAsiaTheme="minorEastAsia"/>
          <w:rtl/>
        </w:rPr>
        <w:tab/>
        <w:t>إدخال نظام معلومات آلي لتسجيل الأشخاص مسلوبي الحرية في مرافق وزارة</w:t>
      </w:r>
      <w:r w:rsidR="00497EFB">
        <w:rPr>
          <w:rFonts w:eastAsiaTheme="minorEastAsia" w:hint="cs"/>
          <w:rtl/>
        </w:rPr>
        <w:t> </w:t>
      </w:r>
      <w:r w:rsidRPr="009C3BAB">
        <w:rPr>
          <w:rFonts w:eastAsiaTheme="minorEastAsia"/>
          <w:rtl/>
        </w:rPr>
        <w:t>الداخلية؛</w:t>
      </w:r>
    </w:p>
    <w:p w14:paraId="3368DFA8" w14:textId="10DDE8ED" w:rsidR="009C3BAB" w:rsidRPr="009C3BAB" w:rsidRDefault="009C3BAB" w:rsidP="009C3BAB">
      <w:pPr>
        <w:pStyle w:val="SingleTxtGA"/>
        <w:rPr>
          <w:rFonts w:eastAsiaTheme="minorEastAsia"/>
          <w:u w:color="000000"/>
          <w:bdr w:val="nil"/>
          <w:lang w:val="ar-SA" w:eastAsia="zh-TW" w:bidi="en-GB"/>
        </w:rPr>
      </w:pPr>
      <w:r>
        <w:rPr>
          <w:rFonts w:eastAsiaTheme="minorEastAsia"/>
          <w:rtl/>
        </w:rPr>
        <w:tab/>
      </w:r>
      <w:r w:rsidRPr="009C3BAB">
        <w:rPr>
          <w:rFonts w:eastAsiaTheme="minorEastAsia"/>
          <w:rtl/>
        </w:rPr>
        <w:t>(ب)</w:t>
      </w:r>
      <w:r w:rsidRPr="009C3BAB">
        <w:rPr>
          <w:rFonts w:eastAsiaTheme="minorEastAsia"/>
          <w:rtl/>
        </w:rPr>
        <w:tab/>
        <w:t xml:space="preserve">اعتماد البرنامج الوطني للنهوض بالمرأة في </w:t>
      </w:r>
      <w:r w:rsidRPr="001A0537">
        <w:rPr>
          <w:rFonts w:eastAsiaTheme="minorEastAsia"/>
          <w:rtl/>
        </w:rPr>
        <w:t>8</w:t>
      </w:r>
      <w:r w:rsidRPr="009C3BAB">
        <w:rPr>
          <w:rFonts w:eastAsiaTheme="minorEastAsia"/>
          <w:rtl/>
        </w:rPr>
        <w:t xml:space="preserve"> آذار/مارس </w:t>
      </w:r>
      <w:r w:rsidRPr="001A0537">
        <w:rPr>
          <w:rFonts w:eastAsiaTheme="minorEastAsia"/>
          <w:rtl/>
        </w:rPr>
        <w:t>2021</w:t>
      </w:r>
      <w:r w:rsidRPr="009C3BAB">
        <w:rPr>
          <w:rFonts w:eastAsiaTheme="minorEastAsia"/>
          <w:rtl/>
        </w:rPr>
        <w:t xml:space="preserve"> والاستراتيجية الشاملة للوقاية والدعم فيما يتعلق بالعنف </w:t>
      </w:r>
      <w:r w:rsidRPr="009C3BAB">
        <w:rPr>
          <w:rFonts w:eastAsiaTheme="minorEastAsia"/>
          <w:rtl/>
          <w:lang w:val="fr-CH"/>
        </w:rPr>
        <w:t>الجنساني</w:t>
      </w:r>
      <w:r w:rsidRPr="009C3BAB">
        <w:rPr>
          <w:rFonts w:eastAsiaTheme="minorEastAsia"/>
          <w:rtl/>
        </w:rPr>
        <w:t xml:space="preserve"> والعنف الأسري في </w:t>
      </w:r>
      <w:r w:rsidRPr="001A0537">
        <w:rPr>
          <w:rFonts w:eastAsiaTheme="minorEastAsia"/>
          <w:rtl/>
        </w:rPr>
        <w:t>9</w:t>
      </w:r>
      <w:r w:rsidRPr="009C3BAB">
        <w:rPr>
          <w:rFonts w:eastAsiaTheme="minorEastAsia"/>
          <w:rtl/>
        </w:rPr>
        <w:t xml:space="preserve"> كانون الأول/ديسمبر </w:t>
      </w:r>
      <w:r w:rsidRPr="001A0537">
        <w:rPr>
          <w:rFonts w:eastAsiaTheme="minorEastAsia"/>
          <w:rtl/>
        </w:rPr>
        <w:t>2021</w:t>
      </w:r>
      <w:r w:rsidRPr="009C3BAB">
        <w:rPr>
          <w:rFonts w:eastAsiaTheme="minorEastAsia"/>
          <w:rtl/>
        </w:rPr>
        <w:t>؛</w:t>
      </w:r>
    </w:p>
    <w:p w14:paraId="48C3FC75" w14:textId="70729406" w:rsidR="00667949" w:rsidRPr="00667949" w:rsidRDefault="009C3BAB" w:rsidP="009C3BAB">
      <w:pPr>
        <w:pStyle w:val="SingleTxtGA"/>
        <w:rPr>
          <w:rFonts w:eastAsiaTheme="minorEastAsia"/>
          <w:color w:val="000000"/>
          <w:lang w:val="ar-SA" w:eastAsia="zh-TW" w:bidi="en-GB"/>
        </w:rPr>
      </w:pPr>
      <w:r>
        <w:rPr>
          <w:rFonts w:eastAsiaTheme="minorEastAsia"/>
          <w:rtl/>
        </w:rPr>
        <w:tab/>
      </w:r>
      <w:r w:rsidRPr="009C3BAB">
        <w:rPr>
          <w:rFonts w:eastAsiaTheme="minorEastAsia"/>
          <w:rtl/>
        </w:rPr>
        <w:t>(ج)</w:t>
      </w:r>
      <w:r w:rsidRPr="009C3BAB">
        <w:rPr>
          <w:rFonts w:eastAsiaTheme="minorEastAsia"/>
          <w:rtl/>
        </w:rPr>
        <w:tab/>
        <w:t>اعتماد خطة العمل الوطنية لمنع الاتجار بالأشخاص ومكافحته وحماية الضحايا (</w:t>
      </w:r>
      <w:r w:rsidRPr="001A0537">
        <w:rPr>
          <w:rFonts w:eastAsiaTheme="minorEastAsia"/>
          <w:rtl/>
        </w:rPr>
        <w:t>2017</w:t>
      </w:r>
      <w:r w:rsidRPr="009C3BAB">
        <w:rPr>
          <w:rFonts w:eastAsiaTheme="minorEastAsia"/>
          <w:rtl/>
        </w:rPr>
        <w:t>-</w:t>
      </w:r>
      <w:r w:rsidRPr="001A0537">
        <w:rPr>
          <w:rFonts w:eastAsiaTheme="minorEastAsia"/>
          <w:rtl/>
        </w:rPr>
        <w:t>202</w:t>
      </w:r>
      <w:r w:rsidR="00667949" w:rsidRPr="001A0537">
        <w:rPr>
          <w:rFonts w:eastAsiaTheme="minorEastAsia"/>
          <w:color w:val="000000"/>
          <w:rtl/>
        </w:rPr>
        <w:t>0</w:t>
      </w:r>
      <w:r w:rsidR="00667949" w:rsidRPr="00667949">
        <w:rPr>
          <w:rFonts w:eastAsiaTheme="minorEastAsia"/>
          <w:color w:val="000000"/>
          <w:rtl/>
        </w:rPr>
        <w:t xml:space="preserve">) </w:t>
      </w:r>
      <w:r w:rsidRPr="009C3BAB">
        <w:rPr>
          <w:rFonts w:eastAsiaTheme="minorEastAsia"/>
          <w:rtl/>
        </w:rPr>
        <w:t xml:space="preserve">في </w:t>
      </w:r>
      <w:r w:rsidRPr="001A0537">
        <w:rPr>
          <w:rFonts w:eastAsiaTheme="minorEastAsia"/>
          <w:rtl/>
        </w:rPr>
        <w:t>2</w:t>
      </w:r>
      <w:r w:rsidRPr="009C3BAB">
        <w:rPr>
          <w:rFonts w:eastAsiaTheme="minorEastAsia"/>
          <w:rtl/>
        </w:rPr>
        <w:t xml:space="preserve"> آب/أغسطس </w:t>
      </w:r>
      <w:r w:rsidRPr="001A0537">
        <w:rPr>
          <w:rFonts w:eastAsiaTheme="minorEastAsia"/>
          <w:rtl/>
        </w:rPr>
        <w:t>201</w:t>
      </w:r>
      <w:r w:rsidR="00667949" w:rsidRPr="001A0537">
        <w:rPr>
          <w:rFonts w:eastAsiaTheme="minorEastAsia"/>
          <w:color w:val="000000"/>
          <w:rtl/>
        </w:rPr>
        <w:t>7</w:t>
      </w:r>
      <w:r w:rsidR="00667949" w:rsidRPr="00667949">
        <w:rPr>
          <w:rFonts w:eastAsiaTheme="minorEastAsia"/>
          <w:color w:val="000000"/>
          <w:rtl/>
        </w:rPr>
        <w:t>.</w:t>
      </w:r>
    </w:p>
    <w:p w14:paraId="6BD2E9BF" w14:textId="33516B74" w:rsidR="00667949" w:rsidRPr="00667949" w:rsidRDefault="009C3BAB" w:rsidP="009C3BAB">
      <w:pPr>
        <w:pStyle w:val="SingleTxtGA"/>
        <w:rPr>
          <w:rFonts w:eastAsiaTheme="minorEastAsia"/>
          <w:color w:val="000000"/>
          <w:lang w:val="ar-SA" w:eastAsia="zh-TW" w:bidi="en-GB"/>
        </w:rPr>
      </w:pPr>
      <w:r w:rsidRPr="001A0537">
        <w:rPr>
          <w:rFonts w:eastAsiaTheme="minorEastAsia"/>
          <w:rtl/>
        </w:rPr>
        <w:t>8</w:t>
      </w:r>
      <w:r w:rsidRPr="009C3BAB">
        <w:rPr>
          <w:rFonts w:eastAsiaTheme="minorEastAsia"/>
          <w:rtl/>
        </w:rPr>
        <w:t>-</w:t>
      </w:r>
      <w:r w:rsidRPr="009C3BAB">
        <w:rPr>
          <w:rFonts w:eastAsiaTheme="minorEastAsia"/>
          <w:rtl/>
        </w:rPr>
        <w:tab/>
        <w:t>وترحب اللجنة بتقديم الوثيقة الأساسية الموحدة المحدَّثة التي تشكل جزءاً من تقارير الدول</w:t>
      </w:r>
      <w:r w:rsidR="00497EFB">
        <w:rPr>
          <w:rFonts w:eastAsiaTheme="minorEastAsia" w:hint="cs"/>
          <w:rtl/>
        </w:rPr>
        <w:t> </w:t>
      </w:r>
      <w:r w:rsidRPr="009C3BAB">
        <w:rPr>
          <w:rFonts w:eastAsiaTheme="minorEastAsia"/>
          <w:rtl/>
        </w:rPr>
        <w:t>الأطراف</w:t>
      </w:r>
      <w:r w:rsidR="00667949" w:rsidRPr="001A0537">
        <w:rPr>
          <w:rStyle w:val="FootnoteReference"/>
          <w:szCs w:val="22"/>
          <w:rtl/>
        </w:rPr>
        <w:t>(</w:t>
      </w:r>
      <w:r w:rsidR="00667949" w:rsidRPr="001A0537">
        <w:rPr>
          <w:rStyle w:val="FootnoteReference"/>
          <w:szCs w:val="22"/>
          <w:lang w:val="en-US"/>
        </w:rPr>
        <w:footnoteReference w:id="6"/>
      </w:r>
      <w:r w:rsidR="00667949" w:rsidRPr="00667949">
        <w:rPr>
          <w:rStyle w:val="FootnoteReference"/>
          <w:color w:val="000000"/>
          <w:szCs w:val="22"/>
          <w:rtl/>
        </w:rPr>
        <w:t>)</w:t>
      </w:r>
      <w:r w:rsidR="00667949" w:rsidRPr="00667949">
        <w:rPr>
          <w:rFonts w:eastAsiaTheme="minorEastAsia"/>
          <w:color w:val="000000"/>
          <w:rtl/>
        </w:rPr>
        <w:t>.</w:t>
      </w:r>
    </w:p>
    <w:p w14:paraId="15387382" w14:textId="155E38D4" w:rsidR="009C3BAB" w:rsidRPr="001A0537" w:rsidRDefault="009C3BAB" w:rsidP="009C3BAB">
      <w:pPr>
        <w:pStyle w:val="H1GA"/>
        <w:rPr>
          <w:lang w:val="ar-SA" w:eastAsia="zh-TW" w:bidi="en-GB"/>
        </w:rPr>
      </w:pPr>
      <w:r w:rsidRPr="001A0537">
        <w:rPr>
          <w:rtl/>
        </w:rPr>
        <w:tab/>
        <w:t>جيم-</w:t>
      </w:r>
      <w:r w:rsidRPr="001A0537">
        <w:rPr>
          <w:rtl/>
        </w:rPr>
        <w:tab/>
        <w:t>دواعي القلق الرئيسية والتوصيات</w:t>
      </w:r>
    </w:p>
    <w:p w14:paraId="31B3ED03" w14:textId="0E2D7D34" w:rsidR="009C3BAB" w:rsidRPr="001A0537" w:rsidRDefault="009C3BAB" w:rsidP="0085568A">
      <w:pPr>
        <w:pStyle w:val="H23GA"/>
        <w:rPr>
          <w:lang w:val="en-US" w:eastAsia="zh-TW" w:bidi="en-GB"/>
        </w:rPr>
      </w:pPr>
      <w:r w:rsidRPr="001A0537">
        <w:rPr>
          <w:rtl/>
        </w:rPr>
        <w:tab/>
      </w:r>
      <w:r w:rsidRPr="001A0537">
        <w:rPr>
          <w:rtl/>
        </w:rPr>
        <w:tab/>
        <w:t>مسائل المتابعة المعلَّقة منذ الجولة السابقة لتقديم التقارير</w:t>
      </w:r>
    </w:p>
    <w:p w14:paraId="30BC3169" w14:textId="3309480B" w:rsidR="00667949" w:rsidRPr="00667949" w:rsidRDefault="009C3BAB" w:rsidP="009C3BAB">
      <w:pPr>
        <w:pStyle w:val="SingleTxtGA"/>
        <w:rPr>
          <w:rFonts w:eastAsiaTheme="minorEastAsia"/>
          <w:color w:val="000000"/>
          <w:lang w:val="ar-SA" w:eastAsia="zh-TW" w:bidi="en-GB"/>
        </w:rPr>
      </w:pPr>
      <w:r w:rsidRPr="001A0537">
        <w:rPr>
          <w:rFonts w:eastAsiaTheme="minorEastAsia"/>
          <w:rtl/>
        </w:rPr>
        <w:t>9</w:t>
      </w:r>
      <w:r w:rsidRPr="009C3BAB">
        <w:rPr>
          <w:rFonts w:eastAsiaTheme="minorEastAsia"/>
          <w:rtl/>
        </w:rPr>
        <w:t>-</w:t>
      </w:r>
      <w:r w:rsidRPr="009C3BAB">
        <w:rPr>
          <w:rFonts w:eastAsiaTheme="minorEastAsia"/>
          <w:rtl/>
        </w:rPr>
        <w:tab/>
        <w:t>التمست اللجنة من الدولة الطرف في ملاحظاتها الختامية السابقة</w:t>
      </w:r>
      <w:r w:rsidR="00667949" w:rsidRPr="001A0537">
        <w:rPr>
          <w:rStyle w:val="FootnoteReference"/>
          <w:szCs w:val="22"/>
          <w:rtl/>
        </w:rPr>
        <w:t>(</w:t>
      </w:r>
      <w:r w:rsidR="00667949" w:rsidRPr="001A0537">
        <w:rPr>
          <w:rStyle w:val="FootnoteReference"/>
          <w:szCs w:val="22"/>
          <w:lang w:val="en-US"/>
        </w:rPr>
        <w:footnoteReference w:id="7"/>
      </w:r>
      <w:r w:rsidRPr="00F372B6">
        <w:rPr>
          <w:rStyle w:val="FootnoteReference"/>
          <w:szCs w:val="22"/>
          <w:rtl/>
        </w:rPr>
        <w:t>)</w:t>
      </w:r>
      <w:r w:rsidRPr="009C3BAB">
        <w:rPr>
          <w:rFonts w:eastAsiaTheme="minorEastAsia"/>
          <w:rtl/>
        </w:rPr>
        <w:t xml:space="preserve"> أن تقدم معلومات عن متابعة عدد من التوصيات اعتبرت تنفيذها مسألة ذات أولوية. وتتعلق هذه التوصيات بحق جميع الأشخاص مسلوبي الحرية في الاتصال بأفراد أسرهم وممثليهم القانونيين (الفقرة </w:t>
      </w:r>
      <w:r w:rsidRPr="001A0537">
        <w:rPr>
          <w:rFonts w:eastAsiaTheme="minorEastAsia"/>
          <w:rtl/>
        </w:rPr>
        <w:t>10</w:t>
      </w:r>
      <w:r w:rsidRPr="009C3BAB">
        <w:rPr>
          <w:rFonts w:eastAsiaTheme="minorEastAsia"/>
          <w:rtl/>
        </w:rPr>
        <w:t>(ج)</w:t>
      </w:r>
      <w:r w:rsidR="00667949" w:rsidRPr="00667949">
        <w:rPr>
          <w:rFonts w:eastAsiaTheme="minorEastAsia"/>
          <w:color w:val="000000"/>
          <w:rtl/>
        </w:rPr>
        <w:t xml:space="preserve">)؛ </w:t>
      </w:r>
      <w:r w:rsidRPr="009C3BAB">
        <w:rPr>
          <w:rFonts w:eastAsiaTheme="minorEastAsia"/>
          <w:rtl/>
        </w:rPr>
        <w:t>وإنشاء سجل مركزي للشكاوى والتحقيقات والملاحقات القضائية والإدانات في حالات التعذيب وسوء المعاملة (الفقرة</w:t>
      </w:r>
      <w:r w:rsidR="00497EFB">
        <w:rPr>
          <w:rFonts w:eastAsiaTheme="minorEastAsia" w:hint="cs"/>
          <w:rtl/>
        </w:rPr>
        <w:t> </w:t>
      </w:r>
      <w:r w:rsidRPr="001A0537">
        <w:rPr>
          <w:rFonts w:eastAsiaTheme="minorEastAsia"/>
          <w:rtl/>
        </w:rPr>
        <w:t>16</w:t>
      </w:r>
      <w:r w:rsidRPr="009C3BAB">
        <w:rPr>
          <w:rFonts w:eastAsiaTheme="minorEastAsia"/>
          <w:rtl/>
        </w:rPr>
        <w:t>(ب)</w:t>
      </w:r>
      <w:r w:rsidR="00667949" w:rsidRPr="00667949">
        <w:rPr>
          <w:rFonts w:eastAsiaTheme="minorEastAsia"/>
          <w:color w:val="000000"/>
          <w:rtl/>
        </w:rPr>
        <w:t xml:space="preserve">)؛ </w:t>
      </w:r>
      <w:r w:rsidRPr="009C3BAB">
        <w:rPr>
          <w:rFonts w:eastAsiaTheme="minorEastAsia"/>
          <w:rtl/>
        </w:rPr>
        <w:t xml:space="preserve">ومؤسسات الطب النفسي (الفقرة </w:t>
      </w:r>
      <w:r w:rsidRPr="001A0537">
        <w:rPr>
          <w:rFonts w:eastAsiaTheme="minorEastAsia"/>
          <w:rtl/>
        </w:rPr>
        <w:t>19</w:t>
      </w:r>
      <w:r w:rsidR="00667949" w:rsidRPr="00667949">
        <w:rPr>
          <w:rFonts w:eastAsiaTheme="minorEastAsia"/>
          <w:color w:val="000000"/>
          <w:rtl/>
        </w:rPr>
        <w:t xml:space="preserve">)؛ </w:t>
      </w:r>
      <w:r w:rsidRPr="009C3BAB">
        <w:rPr>
          <w:rFonts w:eastAsiaTheme="minorEastAsia"/>
          <w:rtl/>
        </w:rPr>
        <w:t xml:space="preserve">والعنف القائم على النوع الاجتماعي (الفقرة </w:t>
      </w:r>
      <w:r w:rsidRPr="001A0537">
        <w:rPr>
          <w:rFonts w:eastAsiaTheme="minorEastAsia"/>
          <w:rtl/>
        </w:rPr>
        <w:t>2</w:t>
      </w:r>
      <w:r w:rsidR="00667949" w:rsidRPr="001A0537">
        <w:rPr>
          <w:rFonts w:eastAsiaTheme="minorEastAsia"/>
          <w:color w:val="000000"/>
          <w:rtl/>
        </w:rPr>
        <w:t>1</w:t>
      </w:r>
      <w:r w:rsidR="00667949" w:rsidRPr="00667949">
        <w:rPr>
          <w:rFonts w:eastAsiaTheme="minorEastAsia"/>
          <w:color w:val="000000"/>
          <w:rtl/>
        </w:rPr>
        <w:t xml:space="preserve">). </w:t>
      </w:r>
      <w:r w:rsidRPr="009C3BAB">
        <w:rPr>
          <w:rFonts w:eastAsiaTheme="minorEastAsia"/>
          <w:rtl/>
        </w:rPr>
        <w:t>وتعرب اللجنة عن أسفها لعدم تلقيها أي رد من الدولة الطرف في إطار إجراء متابعة الملاحظات الختامية، رغم أن المقرر المعني بمتابعة الملاحظات الختامية بعث إلى الدولة الطرف رسالة تذكيرية بهذا</w:t>
      </w:r>
      <w:r w:rsidR="0085568A">
        <w:rPr>
          <w:rFonts w:eastAsiaTheme="minorEastAsia" w:hint="cs"/>
          <w:rtl/>
        </w:rPr>
        <w:t> </w:t>
      </w:r>
      <w:r w:rsidRPr="009C3BAB">
        <w:rPr>
          <w:rFonts w:eastAsiaTheme="minorEastAsia"/>
          <w:rtl/>
        </w:rPr>
        <w:t xml:space="preserve">الشأن في </w:t>
      </w:r>
      <w:r w:rsidRPr="001A0537">
        <w:rPr>
          <w:rFonts w:eastAsiaTheme="minorEastAsia"/>
          <w:rtl/>
        </w:rPr>
        <w:t>7</w:t>
      </w:r>
      <w:r w:rsidRPr="009C3BAB">
        <w:rPr>
          <w:rFonts w:eastAsiaTheme="minorEastAsia"/>
          <w:rtl/>
        </w:rPr>
        <w:t xml:space="preserve"> تموز/يوليه </w:t>
      </w:r>
      <w:r w:rsidRPr="001A0537">
        <w:rPr>
          <w:rFonts w:eastAsiaTheme="minorEastAsia"/>
          <w:rtl/>
        </w:rPr>
        <w:t>201</w:t>
      </w:r>
      <w:r w:rsidR="00667949" w:rsidRPr="001A0537">
        <w:rPr>
          <w:rFonts w:eastAsiaTheme="minorEastAsia"/>
          <w:color w:val="000000"/>
          <w:rtl/>
        </w:rPr>
        <w:t>3</w:t>
      </w:r>
      <w:r w:rsidR="00667949" w:rsidRPr="00667949">
        <w:rPr>
          <w:rFonts w:eastAsiaTheme="minorEastAsia"/>
          <w:color w:val="000000"/>
          <w:rtl/>
        </w:rPr>
        <w:t xml:space="preserve">. </w:t>
      </w:r>
      <w:r w:rsidRPr="009C3BAB">
        <w:rPr>
          <w:rFonts w:eastAsiaTheme="minorEastAsia"/>
          <w:rtl/>
        </w:rPr>
        <w:t xml:space="preserve">واستناداً إلى المعلومات المقدمة في التقرير الدوري الثالث للدولة الطرف، ترى اللجنة أن التوصيات الواردة في الفقرات </w:t>
      </w:r>
      <w:r w:rsidRPr="001A0537">
        <w:rPr>
          <w:rFonts w:eastAsiaTheme="minorEastAsia"/>
          <w:rtl/>
        </w:rPr>
        <w:t>10</w:t>
      </w:r>
      <w:r w:rsidRPr="009C3BAB">
        <w:rPr>
          <w:rFonts w:eastAsiaTheme="minorEastAsia"/>
          <w:rtl/>
        </w:rPr>
        <w:t>(ج) و</w:t>
      </w:r>
      <w:r w:rsidRPr="001A0537">
        <w:rPr>
          <w:rFonts w:eastAsiaTheme="minorEastAsia"/>
          <w:rtl/>
        </w:rPr>
        <w:t>16</w:t>
      </w:r>
      <w:r w:rsidRPr="009C3BAB">
        <w:rPr>
          <w:rFonts w:eastAsiaTheme="minorEastAsia"/>
          <w:rtl/>
        </w:rPr>
        <w:t>(ب) و</w:t>
      </w:r>
      <w:r w:rsidRPr="001A0537">
        <w:rPr>
          <w:rFonts w:eastAsiaTheme="minorEastAsia"/>
          <w:rtl/>
        </w:rPr>
        <w:t>19</w:t>
      </w:r>
      <w:r w:rsidRPr="009C3BAB">
        <w:rPr>
          <w:rFonts w:eastAsiaTheme="minorEastAsia"/>
          <w:rtl/>
        </w:rPr>
        <w:t xml:space="preserve"> و</w:t>
      </w:r>
      <w:r w:rsidRPr="001A0537">
        <w:rPr>
          <w:rFonts w:eastAsiaTheme="minorEastAsia"/>
          <w:rtl/>
        </w:rPr>
        <w:t>21</w:t>
      </w:r>
      <w:r w:rsidRPr="009C3BAB">
        <w:rPr>
          <w:rFonts w:eastAsiaTheme="minorEastAsia"/>
          <w:rtl/>
        </w:rPr>
        <w:t xml:space="preserve"> لم تنفَّذ إلاَّ جزئياً (انظر الفقرات </w:t>
      </w:r>
      <w:r w:rsidRPr="001A0537">
        <w:rPr>
          <w:rFonts w:eastAsiaTheme="minorEastAsia"/>
          <w:rtl/>
        </w:rPr>
        <w:t>18</w:t>
      </w:r>
      <w:r w:rsidRPr="009C3BAB">
        <w:rPr>
          <w:rFonts w:eastAsiaTheme="minorEastAsia"/>
          <w:rtl/>
        </w:rPr>
        <w:t>(ج) و(د) و</w:t>
      </w:r>
      <w:r w:rsidRPr="001A0537">
        <w:rPr>
          <w:rFonts w:eastAsiaTheme="minorEastAsia"/>
          <w:rtl/>
        </w:rPr>
        <w:t>32</w:t>
      </w:r>
      <w:r w:rsidRPr="009C3BAB">
        <w:rPr>
          <w:rFonts w:eastAsiaTheme="minorEastAsia"/>
          <w:rtl/>
        </w:rPr>
        <w:t xml:space="preserve"> و</w:t>
      </w:r>
      <w:r w:rsidRPr="001A0537">
        <w:rPr>
          <w:rFonts w:eastAsiaTheme="minorEastAsia"/>
          <w:rtl/>
        </w:rPr>
        <w:t>36</w:t>
      </w:r>
      <w:r w:rsidRPr="009C3BAB">
        <w:rPr>
          <w:rFonts w:eastAsiaTheme="minorEastAsia"/>
          <w:rtl/>
        </w:rPr>
        <w:t xml:space="preserve"> و</w:t>
      </w:r>
      <w:r w:rsidRPr="001A0537">
        <w:rPr>
          <w:rFonts w:eastAsiaTheme="minorEastAsia"/>
          <w:rtl/>
        </w:rPr>
        <w:t>7</w:t>
      </w:r>
      <w:r w:rsidRPr="009C3BAB">
        <w:rPr>
          <w:rFonts w:eastAsiaTheme="minorEastAsia"/>
          <w:rtl/>
        </w:rPr>
        <w:t>(ب) و</w:t>
      </w:r>
      <w:r w:rsidRPr="001A0537">
        <w:rPr>
          <w:rFonts w:eastAsiaTheme="minorEastAsia"/>
          <w:rtl/>
        </w:rPr>
        <w:t>44</w:t>
      </w:r>
      <w:r w:rsidRPr="009C3BAB">
        <w:rPr>
          <w:rFonts w:eastAsiaTheme="minorEastAsia"/>
          <w:rtl/>
        </w:rPr>
        <w:t xml:space="preserve"> من هذه الوثيقة</w:t>
      </w:r>
      <w:r w:rsidR="00667949" w:rsidRPr="00667949">
        <w:rPr>
          <w:rFonts w:eastAsiaTheme="minorEastAsia"/>
          <w:color w:val="000000"/>
          <w:rtl/>
        </w:rPr>
        <w:t>).</w:t>
      </w:r>
    </w:p>
    <w:p w14:paraId="15EA5FE3" w14:textId="3EC058DE" w:rsidR="009C3BAB" w:rsidRPr="001A0537" w:rsidRDefault="009C3BAB" w:rsidP="009C3BAB">
      <w:pPr>
        <w:pStyle w:val="H23GA"/>
        <w:rPr>
          <w:u w:color="000000"/>
          <w:bdr w:val="nil"/>
          <w:lang w:val="en-US" w:eastAsia="zh-TW" w:bidi="en-GB"/>
        </w:rPr>
      </w:pPr>
      <w:r w:rsidRPr="001A0537">
        <w:rPr>
          <w:rtl/>
        </w:rPr>
        <w:tab/>
      </w:r>
      <w:r w:rsidRPr="001A0537">
        <w:rPr>
          <w:rtl/>
        </w:rPr>
        <w:tab/>
        <w:t xml:space="preserve">تعريف التعذيب وتجريمه </w:t>
      </w:r>
    </w:p>
    <w:p w14:paraId="5C602A57" w14:textId="2EC96337" w:rsidR="00667949" w:rsidRPr="00667949" w:rsidRDefault="009C3BAB" w:rsidP="009C3BAB">
      <w:pPr>
        <w:pStyle w:val="SingleTxtGA"/>
        <w:rPr>
          <w:rFonts w:eastAsiaTheme="minorEastAsia"/>
          <w:color w:val="000000"/>
          <w:lang w:val="ar-SA" w:eastAsia="zh-TW" w:bidi="en-GB"/>
        </w:rPr>
      </w:pPr>
      <w:r w:rsidRPr="001A0537">
        <w:rPr>
          <w:rFonts w:eastAsiaTheme="minorEastAsia"/>
          <w:rtl/>
        </w:rPr>
        <w:t>10</w:t>
      </w:r>
      <w:r w:rsidRPr="009C3BAB">
        <w:rPr>
          <w:rFonts w:eastAsiaTheme="minorEastAsia"/>
          <w:rtl/>
        </w:rPr>
        <w:t>-</w:t>
      </w:r>
      <w:r w:rsidRPr="009C3BAB">
        <w:rPr>
          <w:rFonts w:eastAsiaTheme="minorEastAsia"/>
          <w:rtl/>
        </w:rPr>
        <w:tab/>
        <w:t xml:space="preserve">ترحب اللجنة بحظر التعذيب وغيره من ضروب </w:t>
      </w:r>
      <w:proofErr w:type="gramStart"/>
      <w:r w:rsidRPr="009C3BAB">
        <w:rPr>
          <w:rFonts w:eastAsiaTheme="minorEastAsia"/>
          <w:rtl/>
        </w:rPr>
        <w:t>المعاملة</w:t>
      </w:r>
      <w:proofErr w:type="gramEnd"/>
      <w:r w:rsidRPr="009C3BAB">
        <w:rPr>
          <w:rFonts w:eastAsiaTheme="minorEastAsia"/>
          <w:rtl/>
        </w:rPr>
        <w:t xml:space="preserve"> أو العقوبة القاسية أو اللاإنسانية أو</w:t>
      </w:r>
      <w:r w:rsidR="00D9525A">
        <w:rPr>
          <w:rFonts w:eastAsiaTheme="minorEastAsia" w:hint="cs"/>
          <w:rtl/>
        </w:rPr>
        <w:t> </w:t>
      </w:r>
      <w:r w:rsidRPr="009C3BAB">
        <w:rPr>
          <w:rFonts w:eastAsiaTheme="minorEastAsia"/>
          <w:rtl/>
        </w:rPr>
        <w:t xml:space="preserve">المهينة بموجب المادة </w:t>
      </w:r>
      <w:r w:rsidRPr="001A0537">
        <w:rPr>
          <w:rFonts w:eastAsiaTheme="minorEastAsia"/>
          <w:rtl/>
        </w:rPr>
        <w:t>51</w:t>
      </w:r>
      <w:r w:rsidRPr="009C3BAB">
        <w:rPr>
          <w:rFonts w:eastAsiaTheme="minorEastAsia"/>
          <w:rtl/>
        </w:rPr>
        <w:t xml:space="preserve"> من الدستور، غير أنها تأسف لاضطرارها إلى إعادة تأكيد ما أعربت عنه في ملاحظاتها الختامية السابقة من قلق من أن التعذيب لا يزال غير مدون كجريمة محددة</w:t>
      </w:r>
      <w:r w:rsidR="00667949" w:rsidRPr="001A0537">
        <w:rPr>
          <w:rStyle w:val="FootnoteReference"/>
          <w:szCs w:val="22"/>
          <w:rtl/>
        </w:rPr>
        <w:t>(</w:t>
      </w:r>
      <w:r w:rsidR="00667949" w:rsidRPr="001A0537">
        <w:rPr>
          <w:rStyle w:val="FootnoteReference"/>
          <w:szCs w:val="22"/>
          <w:lang w:val="en-US"/>
        </w:rPr>
        <w:footnoteReference w:id="8"/>
      </w:r>
      <w:r w:rsidR="00667949" w:rsidRPr="00667949">
        <w:rPr>
          <w:rStyle w:val="FootnoteReference"/>
          <w:color w:val="000000"/>
          <w:szCs w:val="22"/>
          <w:rtl/>
        </w:rPr>
        <w:t>)</w:t>
      </w:r>
      <w:r w:rsidR="00667949" w:rsidRPr="00667949">
        <w:rPr>
          <w:rFonts w:eastAsiaTheme="minorEastAsia"/>
          <w:color w:val="000000"/>
          <w:rtl/>
        </w:rPr>
        <w:t xml:space="preserve">. </w:t>
      </w:r>
      <w:r w:rsidRPr="009C3BAB">
        <w:rPr>
          <w:rFonts w:eastAsiaTheme="minorEastAsia"/>
          <w:rtl/>
        </w:rPr>
        <w:t xml:space="preserve">وتلاحظ اللجنة أن هناك مشروع قانون جنائي سيجعل من التعذيب جريمة. ووفقاً للمعلومات المتاحة للجنة، فإن الصياغة </w:t>
      </w:r>
      <w:r w:rsidRPr="009C3BAB">
        <w:rPr>
          <w:rFonts w:eastAsiaTheme="minorEastAsia"/>
          <w:rtl/>
        </w:rPr>
        <w:lastRenderedPageBreak/>
        <w:t xml:space="preserve">الحالية للفعل الإجرامي المنصوص عليه في المادة </w:t>
      </w:r>
      <w:r w:rsidRPr="001A0537">
        <w:rPr>
          <w:rFonts w:eastAsiaTheme="minorEastAsia"/>
          <w:rtl/>
        </w:rPr>
        <w:t>368</w:t>
      </w:r>
      <w:r w:rsidRPr="009C3BAB">
        <w:rPr>
          <w:rFonts w:eastAsiaTheme="minorEastAsia"/>
          <w:rtl/>
        </w:rPr>
        <w:t>-</w:t>
      </w:r>
      <w:r w:rsidRPr="001A0537">
        <w:rPr>
          <w:rFonts w:eastAsiaTheme="minorEastAsia"/>
          <w:rtl/>
        </w:rPr>
        <w:t>1</w:t>
      </w:r>
      <w:r w:rsidRPr="009C3BAB">
        <w:rPr>
          <w:rFonts w:eastAsiaTheme="minorEastAsia"/>
          <w:rtl/>
        </w:rPr>
        <w:t xml:space="preserve"> من المشروع لن تشمل أعمال التعذيب غير تلك التي يرتكبها موظف عمومي أو شخص آخر يتصرف بصفة رسمية أو يحرض عليها أو يوافق عليها أو يسكت عنها. وفيما يتعلق بالجرائم الأخرى المماثلة للتعذيب في تشريعات الدولة الطرف، توجه اللجنة مرة أخرى انتباه الدولة الطرف إلى تعليقها العام رقم </w:t>
      </w:r>
      <w:r w:rsidRPr="001A0537">
        <w:rPr>
          <w:rFonts w:eastAsiaTheme="minorEastAsia"/>
          <w:rtl/>
        </w:rPr>
        <w:t>2</w:t>
      </w:r>
      <w:r w:rsidRPr="009C3BAB">
        <w:rPr>
          <w:rFonts w:eastAsiaTheme="minorEastAsia"/>
          <w:rtl/>
        </w:rPr>
        <w:t>(</w:t>
      </w:r>
      <w:r w:rsidRPr="001A0537">
        <w:rPr>
          <w:rFonts w:eastAsiaTheme="minorEastAsia"/>
          <w:rtl/>
        </w:rPr>
        <w:t>200</w:t>
      </w:r>
      <w:r w:rsidR="00667949" w:rsidRPr="001A0537">
        <w:rPr>
          <w:rFonts w:eastAsiaTheme="minorEastAsia"/>
          <w:color w:val="000000"/>
          <w:rtl/>
        </w:rPr>
        <w:t>7</w:t>
      </w:r>
      <w:r w:rsidR="00667949" w:rsidRPr="00667949">
        <w:rPr>
          <w:rFonts w:eastAsiaTheme="minorEastAsia"/>
          <w:color w:val="000000"/>
          <w:rtl/>
        </w:rPr>
        <w:t xml:space="preserve">) </w:t>
      </w:r>
      <w:r w:rsidRPr="009C3BAB">
        <w:rPr>
          <w:rFonts w:eastAsiaTheme="minorEastAsia"/>
          <w:rtl/>
        </w:rPr>
        <w:t xml:space="preserve">بشأن تنفيذ المادة </w:t>
      </w:r>
      <w:r w:rsidRPr="001A0537">
        <w:rPr>
          <w:rFonts w:eastAsiaTheme="minorEastAsia"/>
          <w:rtl/>
        </w:rPr>
        <w:t>2</w:t>
      </w:r>
      <w:r w:rsidRPr="009C3BAB">
        <w:rPr>
          <w:rFonts w:eastAsiaTheme="minorEastAsia"/>
          <w:rtl/>
        </w:rPr>
        <w:t xml:space="preserve">، الذي يشدد على الأثر الوقائي لتعريف جريمة التعذيب كجريمة قائمة بذاتها (الفقرة </w:t>
      </w:r>
      <w:r w:rsidRPr="001A0537">
        <w:rPr>
          <w:rFonts w:eastAsiaTheme="minorEastAsia"/>
          <w:rtl/>
        </w:rPr>
        <w:t>1</w:t>
      </w:r>
      <w:r w:rsidR="00667949" w:rsidRPr="001A0537">
        <w:rPr>
          <w:rFonts w:eastAsiaTheme="minorEastAsia"/>
          <w:color w:val="000000"/>
          <w:rtl/>
        </w:rPr>
        <w:t>1</w:t>
      </w:r>
      <w:r w:rsidR="00667949" w:rsidRPr="00667949">
        <w:rPr>
          <w:rFonts w:eastAsiaTheme="minorEastAsia"/>
          <w:color w:val="000000"/>
          <w:rtl/>
        </w:rPr>
        <w:t xml:space="preserve">) </w:t>
      </w:r>
      <w:r w:rsidRPr="009C3BAB">
        <w:rPr>
          <w:rFonts w:eastAsiaTheme="minorEastAsia"/>
          <w:rtl/>
        </w:rPr>
        <w:t xml:space="preserve">(المادتان </w:t>
      </w:r>
      <w:r w:rsidRPr="001A0537">
        <w:rPr>
          <w:rFonts w:eastAsiaTheme="minorEastAsia"/>
          <w:rtl/>
        </w:rPr>
        <w:t>1</w:t>
      </w:r>
      <w:r w:rsidRPr="009C3BAB">
        <w:rPr>
          <w:rFonts w:eastAsiaTheme="minorEastAsia"/>
          <w:rtl/>
        </w:rPr>
        <w:t xml:space="preserve"> و</w:t>
      </w:r>
      <w:r w:rsidR="00667949" w:rsidRPr="001A0537">
        <w:rPr>
          <w:rFonts w:eastAsiaTheme="minorEastAsia"/>
          <w:color w:val="000000"/>
          <w:rtl/>
        </w:rPr>
        <w:t>4</w:t>
      </w:r>
      <w:r w:rsidR="00667949" w:rsidRPr="00667949">
        <w:rPr>
          <w:rFonts w:eastAsiaTheme="minorEastAsia"/>
          <w:color w:val="000000"/>
          <w:rtl/>
        </w:rPr>
        <w:t>).</w:t>
      </w:r>
    </w:p>
    <w:p w14:paraId="0BB9BBDA" w14:textId="1C80D729" w:rsidR="009C3BAB" w:rsidRPr="001A0537" w:rsidRDefault="009C3BAB" w:rsidP="009C3BAB">
      <w:pPr>
        <w:pStyle w:val="SingleTxtGA"/>
        <w:rPr>
          <w:rFonts w:eastAsiaTheme="minorEastAsia"/>
          <w:b/>
          <w:bCs/>
          <w:shd w:val="clear" w:color="auto" w:fill="FFFFFF"/>
          <w:lang w:val="ar-SA" w:eastAsia="zh-TW" w:bidi="en-GB"/>
        </w:rPr>
      </w:pPr>
      <w:r w:rsidRPr="001A0537">
        <w:rPr>
          <w:rFonts w:eastAsiaTheme="minorEastAsia"/>
          <w:rtl/>
        </w:rPr>
        <w:t>11</w:t>
      </w:r>
      <w:r w:rsidRPr="009C3BAB">
        <w:rPr>
          <w:rFonts w:eastAsiaTheme="minorEastAsia"/>
          <w:rtl/>
        </w:rPr>
        <w:t>-</w:t>
      </w:r>
      <w:r w:rsidRPr="009C3BAB">
        <w:rPr>
          <w:rFonts w:eastAsiaTheme="minorEastAsia"/>
          <w:rtl/>
        </w:rPr>
        <w:tab/>
      </w:r>
      <w:r w:rsidRPr="0085568A">
        <w:rPr>
          <w:rFonts w:eastAsiaTheme="minorEastAsia"/>
          <w:b/>
          <w:bCs/>
          <w:rtl/>
        </w:rPr>
        <w:t xml:space="preserve">إن اللجنة، </w:t>
      </w:r>
      <w:r w:rsidRPr="001A0537">
        <w:rPr>
          <w:rFonts w:eastAsiaTheme="minorEastAsia"/>
          <w:b/>
          <w:bCs/>
          <w:rtl/>
        </w:rPr>
        <w:t>إذ تشير إلى توصياتها السابقة، تحث الدولة الطرف على تجريم التعذيب وفقاً للمادة</w:t>
      </w:r>
      <w:r w:rsidR="0085568A" w:rsidRPr="001A0537">
        <w:rPr>
          <w:rFonts w:eastAsiaTheme="minorEastAsia" w:hint="cs"/>
          <w:b/>
          <w:bCs/>
          <w:rtl/>
        </w:rPr>
        <w:t> </w:t>
      </w:r>
      <w:r w:rsidRPr="001A0537">
        <w:rPr>
          <w:rFonts w:eastAsiaTheme="minorEastAsia"/>
          <w:b/>
          <w:bCs/>
          <w:rtl/>
        </w:rPr>
        <w:t>1 من الاتفاقية وإخضاعه لعقوبات مناسبة تراعي طبيعته الخطيرة، على النحو المنصوص عليه في المادة 4(</w:t>
      </w:r>
      <w:r w:rsidR="00667949" w:rsidRPr="001A0537">
        <w:rPr>
          <w:rFonts w:eastAsiaTheme="minorEastAsia"/>
          <w:b/>
          <w:bCs/>
          <w:color w:val="000000"/>
          <w:rtl/>
        </w:rPr>
        <w:t>2).</w:t>
      </w:r>
      <w:r w:rsidR="00667949" w:rsidRPr="00667949">
        <w:rPr>
          <w:rFonts w:eastAsiaTheme="minorEastAsia"/>
          <w:b/>
          <w:bCs/>
          <w:color w:val="000000"/>
          <w:rtl/>
        </w:rPr>
        <w:t xml:space="preserve"> </w:t>
      </w:r>
      <w:r w:rsidRPr="001A0537">
        <w:rPr>
          <w:rFonts w:eastAsiaTheme="minorEastAsia"/>
          <w:b/>
          <w:bCs/>
          <w:rtl/>
        </w:rPr>
        <w:t>وينبغي للدولة الطرف أيضاً أن تكفل استحالة تقادم جريمة التعذيب واستبعادها من قرارات</w:t>
      </w:r>
      <w:r w:rsidR="0085568A" w:rsidRPr="001A0537">
        <w:rPr>
          <w:rFonts w:eastAsiaTheme="minorEastAsia" w:hint="cs"/>
          <w:b/>
          <w:bCs/>
          <w:rtl/>
        </w:rPr>
        <w:t> </w:t>
      </w:r>
      <w:r w:rsidRPr="001A0537">
        <w:rPr>
          <w:rFonts w:eastAsiaTheme="minorEastAsia"/>
          <w:b/>
          <w:bCs/>
          <w:rtl/>
        </w:rPr>
        <w:t>العفو.</w:t>
      </w:r>
      <w:r w:rsidRPr="0085568A">
        <w:rPr>
          <w:rFonts w:eastAsiaTheme="minorEastAsia"/>
          <w:b/>
          <w:bCs/>
          <w:rtl/>
        </w:rPr>
        <w:t xml:space="preserve"> </w:t>
      </w:r>
    </w:p>
    <w:p w14:paraId="6F684B7F" w14:textId="77777777" w:rsidR="009C3BAB" w:rsidRPr="001A0537" w:rsidRDefault="009C3BAB" w:rsidP="009C3BAB">
      <w:pPr>
        <w:pStyle w:val="H23GA"/>
        <w:rPr>
          <w:lang w:val="ar-SA" w:eastAsia="zh-TW" w:bidi="en-GB"/>
        </w:rPr>
      </w:pPr>
      <w:r w:rsidRPr="001A0537">
        <w:rPr>
          <w:rtl/>
        </w:rPr>
        <w:tab/>
      </w:r>
      <w:r w:rsidRPr="001A0537">
        <w:rPr>
          <w:rtl/>
        </w:rPr>
        <w:tab/>
        <w:t>المؤسّسة الوطنية لحقوق الإنسان</w:t>
      </w:r>
    </w:p>
    <w:p w14:paraId="2A9D706D" w14:textId="24F6E041" w:rsidR="00667949" w:rsidRPr="00667949" w:rsidRDefault="009C3BAB" w:rsidP="009C3BAB">
      <w:pPr>
        <w:pStyle w:val="SingleTxtGA"/>
        <w:rPr>
          <w:rFonts w:eastAsiaTheme="minorEastAsia"/>
          <w:color w:val="000000"/>
          <w:lang w:val="ar-SA" w:eastAsia="zh-TW" w:bidi="en-GB"/>
        </w:rPr>
      </w:pPr>
      <w:r w:rsidRPr="001A0537">
        <w:rPr>
          <w:rFonts w:eastAsiaTheme="minorEastAsia"/>
          <w:rtl/>
        </w:rPr>
        <w:t>12</w:t>
      </w:r>
      <w:r w:rsidRPr="009C3BAB">
        <w:rPr>
          <w:rFonts w:eastAsiaTheme="minorEastAsia"/>
          <w:rtl/>
        </w:rPr>
        <w:t>-</w:t>
      </w:r>
      <w:r w:rsidRPr="009C3BAB">
        <w:rPr>
          <w:rFonts w:eastAsiaTheme="minorEastAsia"/>
          <w:rtl/>
        </w:rPr>
        <w:tab/>
        <w:t xml:space="preserve">تحيط اللجنة علماً بالمعلومات التي قدمتها الدولة الطرف في تقريرها الدوري وأثناء الحوار والتي تفيد بأن كوبا لديها نظام وطني شامل لحماية حقوق الإنسان، بيد أنها تعرب عن أسفها لعدم إنشاء مؤسسة وطنية لحقوق الإنسان بعد وفقاً للمبادئ المتعلقة بمركز المؤسسات الوطنية لتعزيز وحماية حقوق الإنسان (مبادئ باريس) (المادة </w:t>
      </w:r>
      <w:r w:rsidR="00667949" w:rsidRPr="001A0537">
        <w:rPr>
          <w:rFonts w:eastAsiaTheme="minorEastAsia"/>
          <w:color w:val="000000"/>
          <w:rtl/>
        </w:rPr>
        <w:t>2</w:t>
      </w:r>
      <w:r w:rsidR="00667949" w:rsidRPr="00667949">
        <w:rPr>
          <w:rFonts w:eastAsiaTheme="minorEastAsia"/>
          <w:color w:val="000000"/>
          <w:rtl/>
        </w:rPr>
        <w:t>).</w:t>
      </w:r>
    </w:p>
    <w:p w14:paraId="216B862B" w14:textId="74EED684" w:rsidR="009C3BAB" w:rsidRPr="001A0537" w:rsidRDefault="009C3BAB" w:rsidP="009C3BAB">
      <w:pPr>
        <w:pStyle w:val="SingleTxtGA"/>
        <w:rPr>
          <w:rFonts w:eastAsiaTheme="minorEastAsia"/>
          <w:bCs/>
          <w:lang w:val="ar-SA" w:eastAsia="zh-TW" w:bidi="en-GB"/>
        </w:rPr>
      </w:pPr>
      <w:r w:rsidRPr="001A0537">
        <w:rPr>
          <w:rFonts w:eastAsiaTheme="minorEastAsia"/>
          <w:rtl/>
        </w:rPr>
        <w:t>13</w:t>
      </w:r>
      <w:r w:rsidRPr="009C3BAB">
        <w:rPr>
          <w:rFonts w:eastAsiaTheme="minorEastAsia"/>
          <w:rtl/>
        </w:rPr>
        <w:t>-</w:t>
      </w:r>
      <w:r w:rsidRPr="009C3BAB">
        <w:rPr>
          <w:rFonts w:eastAsiaTheme="minorEastAsia"/>
          <w:rtl/>
        </w:rPr>
        <w:tab/>
      </w:r>
      <w:r w:rsidRPr="001A0537">
        <w:rPr>
          <w:rFonts w:eastAsiaTheme="minorEastAsia"/>
          <w:bCs/>
          <w:rtl/>
        </w:rPr>
        <w:t>تدعو اللجنة الدولة الطرف إلى النظر في إنشاء مؤسسة وطنية مستقلة لحقوق الإنسان، وفقاً لمبادئ باريس، يكون ضمن ولايتها تعزيز وحماية الحقوق المكرسة في الاتفاقية.</w:t>
      </w:r>
    </w:p>
    <w:p w14:paraId="3506E9F3" w14:textId="77777777" w:rsidR="009C3BAB" w:rsidRPr="001A0537" w:rsidRDefault="009C3BAB" w:rsidP="009C3BAB">
      <w:pPr>
        <w:pStyle w:val="H23GA"/>
        <w:rPr>
          <w:lang w:val="ar-SA" w:eastAsia="zh-TW" w:bidi="en-GB"/>
        </w:rPr>
      </w:pPr>
      <w:r w:rsidRPr="001A0537">
        <w:rPr>
          <w:rtl/>
        </w:rPr>
        <w:tab/>
      </w:r>
      <w:r w:rsidRPr="001A0537">
        <w:rPr>
          <w:rtl/>
        </w:rPr>
        <w:tab/>
        <w:t>استقلال النظام القضائي ودور المحامين</w:t>
      </w:r>
    </w:p>
    <w:p w14:paraId="79F39C5E" w14:textId="006A5C98" w:rsidR="00667949" w:rsidRPr="00667949" w:rsidRDefault="009C3BAB" w:rsidP="009C3BAB">
      <w:pPr>
        <w:pStyle w:val="SingleTxtGA"/>
        <w:rPr>
          <w:rFonts w:eastAsiaTheme="minorEastAsia"/>
          <w:color w:val="000000"/>
          <w:lang w:val="ar-SA" w:eastAsia="zh-TW" w:bidi="en-GB"/>
        </w:rPr>
      </w:pPr>
      <w:r w:rsidRPr="001A0537">
        <w:rPr>
          <w:rFonts w:eastAsiaTheme="minorEastAsia"/>
          <w:rtl/>
        </w:rPr>
        <w:t>14</w:t>
      </w:r>
      <w:r w:rsidRPr="009C3BAB">
        <w:rPr>
          <w:rFonts w:eastAsiaTheme="minorEastAsia"/>
          <w:rtl/>
        </w:rPr>
        <w:t>-</w:t>
      </w:r>
      <w:r w:rsidRPr="009C3BAB">
        <w:rPr>
          <w:rFonts w:eastAsiaTheme="minorEastAsia"/>
          <w:rtl/>
        </w:rPr>
        <w:tab/>
        <w:t xml:space="preserve">تحيط اللجنة علماً بالأحكام الدستورية المتعلقة باستقلال السلطة القضائية (المواد </w:t>
      </w:r>
      <w:r w:rsidRPr="001A0537">
        <w:rPr>
          <w:rFonts w:eastAsiaTheme="minorEastAsia"/>
          <w:rtl/>
        </w:rPr>
        <w:t>147</w:t>
      </w:r>
      <w:r w:rsidRPr="009C3BAB">
        <w:rPr>
          <w:rFonts w:eastAsiaTheme="minorEastAsia"/>
          <w:rtl/>
        </w:rPr>
        <w:t>-</w:t>
      </w:r>
      <w:r w:rsidRPr="001A0537">
        <w:rPr>
          <w:rFonts w:eastAsiaTheme="minorEastAsia"/>
          <w:rtl/>
        </w:rPr>
        <w:t>155</w:t>
      </w:r>
      <w:r w:rsidR="00667949" w:rsidRPr="00667949">
        <w:rPr>
          <w:rFonts w:eastAsiaTheme="minorEastAsia"/>
          <w:color w:val="000000"/>
          <w:rtl/>
        </w:rPr>
        <w:t xml:space="preserve">)، </w:t>
      </w:r>
      <w:r w:rsidRPr="009C3BAB">
        <w:rPr>
          <w:rFonts w:eastAsiaTheme="minorEastAsia"/>
          <w:rtl/>
        </w:rPr>
        <w:t xml:space="preserve">بيد أنها تشعر بالقلق لأن مكتب المدعي العام تابع لرئيس الجمهورية، حسبما هو منصوص عليه في المادة </w:t>
      </w:r>
      <w:r w:rsidRPr="001A0537">
        <w:rPr>
          <w:rFonts w:eastAsiaTheme="minorEastAsia"/>
          <w:rtl/>
        </w:rPr>
        <w:t>157</w:t>
      </w:r>
      <w:r w:rsidRPr="009C3BAB">
        <w:rPr>
          <w:rFonts w:eastAsiaTheme="minorEastAsia"/>
          <w:rtl/>
        </w:rPr>
        <w:t xml:space="preserve"> من الدستور. وتعرب عن أسفها لأن الدولة الطرف لم تقدم معلومات كافية عن شروط تعيين القضاة وأسباب عزلهم. وبالإضافة إلى ذلك، يساور اللجنة القلق إزاء القيود المفروضة على الممارسة المستقلة للقانون، حيث لا يجوز أن يمارسه في الدولة الطرف إلا أعضاء المنظمة الوطنية للممارسات القانونية الجماعية، وإن كان يجوز للمحامين غير الأعضاء أن يقدموا خدمات التمثيل والدفاع عن قضاياهم أو قضايا أفراد أسرهم على أساس استثنائي. ويساور اللجنة القلق بوجه خاص إزاء التقارير التي تشكك في استقلالية المنظمة الوطنية للممارسات القانونية الجماعية، التي لا يمكن الطعن في قراراتها المتعلقة بقبول الأعضاء أو استبعادهم إلا أمام وزير العدل، الذي يكون قراره نهائياً (المادتان </w:t>
      </w:r>
      <w:r w:rsidRPr="001A0537">
        <w:rPr>
          <w:rFonts w:eastAsiaTheme="minorEastAsia"/>
          <w:rtl/>
        </w:rPr>
        <w:t>4</w:t>
      </w:r>
      <w:r w:rsidRPr="009C3BAB">
        <w:rPr>
          <w:rFonts w:eastAsiaTheme="minorEastAsia"/>
          <w:rtl/>
        </w:rPr>
        <w:t xml:space="preserve"> و</w:t>
      </w:r>
      <w:r w:rsidRPr="001A0537">
        <w:rPr>
          <w:rFonts w:eastAsiaTheme="minorEastAsia"/>
          <w:rtl/>
        </w:rPr>
        <w:t>29</w:t>
      </w:r>
      <w:r w:rsidRPr="009C3BAB">
        <w:rPr>
          <w:rFonts w:eastAsiaTheme="minorEastAsia"/>
          <w:rtl/>
        </w:rPr>
        <w:t xml:space="preserve"> من مرسوم القانون رقم </w:t>
      </w:r>
      <w:r w:rsidRPr="001A0537">
        <w:rPr>
          <w:rFonts w:eastAsiaTheme="minorEastAsia"/>
          <w:rtl/>
        </w:rPr>
        <w:t>81</w:t>
      </w:r>
      <w:r w:rsidRPr="009C3BAB">
        <w:rPr>
          <w:rFonts w:eastAsiaTheme="minorEastAsia"/>
          <w:rtl/>
        </w:rPr>
        <w:t xml:space="preserve"> بشأن ممارسة القانون والمنظمة الوطنية للممارسات القانونية الجماعية) (المواد</w:t>
      </w:r>
      <w:r w:rsidR="00497EFB">
        <w:rPr>
          <w:rFonts w:eastAsiaTheme="minorEastAsia" w:hint="cs"/>
          <w:rtl/>
        </w:rPr>
        <w:t> </w:t>
      </w:r>
      <w:r w:rsidRPr="001A0537">
        <w:rPr>
          <w:rFonts w:eastAsiaTheme="minorEastAsia"/>
          <w:rtl/>
        </w:rPr>
        <w:t>2</w:t>
      </w:r>
      <w:r w:rsidRPr="009C3BAB">
        <w:rPr>
          <w:rFonts w:eastAsiaTheme="minorEastAsia"/>
          <w:rtl/>
        </w:rPr>
        <w:t>(</w:t>
      </w:r>
      <w:r w:rsidR="00667949" w:rsidRPr="001A0537">
        <w:rPr>
          <w:rFonts w:eastAsiaTheme="minorEastAsia"/>
          <w:color w:val="000000"/>
          <w:rtl/>
        </w:rPr>
        <w:t>1</w:t>
      </w:r>
      <w:r w:rsidR="00667949" w:rsidRPr="00667949">
        <w:rPr>
          <w:rFonts w:eastAsiaTheme="minorEastAsia"/>
          <w:color w:val="000000"/>
          <w:rtl/>
        </w:rPr>
        <w:t xml:space="preserve">) </w:t>
      </w:r>
      <w:r w:rsidRPr="009C3BAB">
        <w:rPr>
          <w:rFonts w:eastAsiaTheme="minorEastAsia"/>
          <w:rtl/>
        </w:rPr>
        <w:t>و</w:t>
      </w:r>
      <w:r w:rsidRPr="001A0537">
        <w:rPr>
          <w:rFonts w:eastAsiaTheme="minorEastAsia"/>
          <w:rtl/>
        </w:rPr>
        <w:t>12</w:t>
      </w:r>
      <w:r w:rsidRPr="009C3BAB">
        <w:rPr>
          <w:rFonts w:eastAsiaTheme="minorEastAsia"/>
          <w:rtl/>
        </w:rPr>
        <w:t xml:space="preserve"> و</w:t>
      </w:r>
      <w:r w:rsidRPr="001A0537">
        <w:rPr>
          <w:rFonts w:eastAsiaTheme="minorEastAsia"/>
          <w:rtl/>
        </w:rPr>
        <w:t>1</w:t>
      </w:r>
      <w:r w:rsidR="00667949" w:rsidRPr="001A0537">
        <w:rPr>
          <w:rFonts w:eastAsiaTheme="minorEastAsia"/>
          <w:color w:val="000000"/>
          <w:rtl/>
        </w:rPr>
        <w:t>3</w:t>
      </w:r>
      <w:r w:rsidR="00667949" w:rsidRPr="00667949">
        <w:rPr>
          <w:rFonts w:eastAsiaTheme="minorEastAsia"/>
          <w:color w:val="000000"/>
          <w:rtl/>
        </w:rPr>
        <w:t>).</w:t>
      </w:r>
    </w:p>
    <w:p w14:paraId="6094E927" w14:textId="11C2C8F3" w:rsidR="009C3BAB" w:rsidRPr="0085568A" w:rsidRDefault="009C3BAB" w:rsidP="009C3BAB">
      <w:pPr>
        <w:pStyle w:val="SingleTxtGA"/>
        <w:rPr>
          <w:rFonts w:eastAsiaTheme="minorEastAsia"/>
          <w:bCs/>
          <w:lang w:val="ar-SA" w:eastAsia="zh-TW" w:bidi="en-GB"/>
        </w:rPr>
      </w:pPr>
      <w:r w:rsidRPr="001A0537">
        <w:rPr>
          <w:rFonts w:eastAsiaTheme="minorEastAsia"/>
          <w:rtl/>
        </w:rPr>
        <w:t>15</w:t>
      </w:r>
      <w:r w:rsidRPr="009C3BAB">
        <w:rPr>
          <w:rFonts w:eastAsiaTheme="minorEastAsia"/>
          <w:rtl/>
        </w:rPr>
        <w:t>-</w:t>
      </w:r>
      <w:r w:rsidRPr="009C3BAB">
        <w:rPr>
          <w:rFonts w:eastAsiaTheme="minorEastAsia"/>
          <w:rtl/>
        </w:rPr>
        <w:tab/>
      </w:r>
      <w:r w:rsidRPr="001A0537">
        <w:rPr>
          <w:rFonts w:eastAsiaTheme="minorEastAsia"/>
          <w:bCs/>
          <w:rtl/>
        </w:rPr>
        <w:t>ينبغي للدولة الطرف أن تكفل الاستقلال التام والنزاهة والفعالية لمكتب المدعي العام والسلطة القضائية، بطرق منها ضمان موافقة تعيين القضاة للمعايير الدولية ذات الصلة، بما فيها المبادئ الأساسية لاستقلال السلطة القضائية.</w:t>
      </w:r>
      <w:r w:rsidRPr="0085568A">
        <w:rPr>
          <w:rFonts w:eastAsiaTheme="minorEastAsia"/>
          <w:bCs/>
          <w:rtl/>
        </w:rPr>
        <w:t xml:space="preserve"> </w:t>
      </w:r>
      <w:r w:rsidRPr="001A0537">
        <w:rPr>
          <w:rFonts w:eastAsiaTheme="minorEastAsia"/>
          <w:bCs/>
          <w:rtl/>
        </w:rPr>
        <w:t>وينبغي لها أيضاً أن تكفل احترام الحق في حرية تكوين الجمعيات والممارسة المستقلة للقانون، وفقاً للمبادئ الأساسية المتعلقة بدور المحامين.</w:t>
      </w:r>
    </w:p>
    <w:p w14:paraId="4BC170EF" w14:textId="77777777" w:rsidR="009C3BAB" w:rsidRPr="001A0537" w:rsidRDefault="009C3BAB" w:rsidP="009C3BAB">
      <w:pPr>
        <w:pStyle w:val="H23GA"/>
        <w:rPr>
          <w:lang w:val="ar-SA" w:eastAsia="zh-TW" w:bidi="en-GB"/>
        </w:rPr>
      </w:pPr>
      <w:r w:rsidRPr="001A0537">
        <w:rPr>
          <w:rtl/>
        </w:rPr>
        <w:tab/>
      </w:r>
      <w:r w:rsidRPr="001A0537">
        <w:rPr>
          <w:rtl/>
        </w:rPr>
        <w:tab/>
        <w:t>الولاية القضائية العسكرية</w:t>
      </w:r>
    </w:p>
    <w:p w14:paraId="57BA0E67" w14:textId="2F609163" w:rsidR="00667949" w:rsidRPr="00667949" w:rsidRDefault="009C3BAB" w:rsidP="009C3BAB">
      <w:pPr>
        <w:pStyle w:val="SingleTxtGA"/>
        <w:rPr>
          <w:rFonts w:eastAsiaTheme="minorEastAsia"/>
          <w:color w:val="000000"/>
          <w:lang w:val="ar-SA" w:eastAsia="zh-TW" w:bidi="en-GB"/>
        </w:rPr>
      </w:pPr>
      <w:r w:rsidRPr="001A0537">
        <w:rPr>
          <w:rFonts w:eastAsiaTheme="minorEastAsia"/>
          <w:rtl/>
        </w:rPr>
        <w:t>16</w:t>
      </w:r>
      <w:r w:rsidRPr="009C3BAB">
        <w:rPr>
          <w:rFonts w:eastAsiaTheme="minorEastAsia"/>
          <w:rtl/>
        </w:rPr>
        <w:t>-</w:t>
      </w:r>
      <w:r w:rsidRPr="009C3BAB">
        <w:rPr>
          <w:rFonts w:eastAsiaTheme="minorEastAsia"/>
          <w:rtl/>
        </w:rPr>
        <w:tab/>
        <w:t xml:space="preserve">تلاحظ اللجنة بقلق أن المحاكم العسكرية تختص، بموجب المادة </w:t>
      </w:r>
      <w:r w:rsidRPr="001A0537">
        <w:rPr>
          <w:rFonts w:eastAsiaTheme="minorEastAsia"/>
          <w:rtl/>
        </w:rPr>
        <w:t>92</w:t>
      </w:r>
      <w:r w:rsidRPr="009C3BAB">
        <w:rPr>
          <w:rFonts w:eastAsiaTheme="minorEastAsia"/>
          <w:rtl/>
        </w:rPr>
        <w:t xml:space="preserve"> من قانون الإجراءات الجنائية العسكرية (رقم </w:t>
      </w:r>
      <w:r w:rsidRPr="001A0537">
        <w:rPr>
          <w:rFonts w:eastAsiaTheme="minorEastAsia"/>
          <w:rtl/>
        </w:rPr>
        <w:t>147</w:t>
      </w:r>
      <w:r w:rsidRPr="009C3BAB">
        <w:rPr>
          <w:rFonts w:eastAsiaTheme="minorEastAsia"/>
          <w:rtl/>
        </w:rPr>
        <w:t>/</w:t>
      </w:r>
      <w:r w:rsidRPr="001A0537">
        <w:rPr>
          <w:rFonts w:eastAsiaTheme="minorEastAsia"/>
          <w:rtl/>
        </w:rPr>
        <w:t>2021</w:t>
      </w:r>
      <w:r w:rsidR="00667949" w:rsidRPr="00667949">
        <w:rPr>
          <w:rFonts w:eastAsiaTheme="minorEastAsia"/>
          <w:color w:val="000000"/>
          <w:rtl/>
        </w:rPr>
        <w:t xml:space="preserve">)، </w:t>
      </w:r>
      <w:r w:rsidRPr="009C3BAB">
        <w:rPr>
          <w:rFonts w:eastAsiaTheme="minorEastAsia"/>
          <w:rtl/>
        </w:rPr>
        <w:t xml:space="preserve">بمقاضاة المدعى عليهم والأطراف الثالثة المسؤولة مدنياً وإثبات </w:t>
      </w:r>
      <w:r w:rsidRPr="009C3BAB">
        <w:rPr>
          <w:rFonts w:eastAsiaTheme="minorEastAsia"/>
          <w:rtl/>
        </w:rPr>
        <w:lastRenderedPageBreak/>
        <w:t xml:space="preserve">مسؤوليتهم في الإجراءات الجنائية الناشئة عن ارتكاب أفعال يعاقب عليها القانون ويكون فيها المتهم عضواً في الجيش، والنظر في الإجراءات الجنائية المتعلقة بالأفعال المرتكبة في المناطق العسكرية، بغض النظر عن الوضع المدني للأشخاص المعنيين. وتلاحظ اللجنة أن المحاكم العسكرية تتمتع بسلطة رفض الاختصاص لصالح المحاكم العادية، بيد أنها ترى أن المحاكم العسكرية لا توفر ضمانات الاستقلال والحياد التي تتطلبها الاتفاقية (المادة </w:t>
      </w:r>
      <w:r w:rsidRPr="001A0537">
        <w:rPr>
          <w:rFonts w:eastAsiaTheme="minorEastAsia"/>
          <w:rtl/>
        </w:rPr>
        <w:t>2</w:t>
      </w:r>
      <w:r w:rsidRPr="009C3BAB">
        <w:rPr>
          <w:rFonts w:eastAsiaTheme="minorEastAsia"/>
          <w:rtl/>
        </w:rPr>
        <w:t>(</w:t>
      </w:r>
      <w:r w:rsidRPr="001A0537">
        <w:rPr>
          <w:rFonts w:eastAsiaTheme="minorEastAsia"/>
          <w:rtl/>
        </w:rPr>
        <w:t>1</w:t>
      </w:r>
      <w:r w:rsidRPr="009C3BAB">
        <w:rPr>
          <w:rFonts w:eastAsiaTheme="minorEastAsia"/>
          <w:rtl/>
        </w:rPr>
        <w:t>)</w:t>
      </w:r>
      <w:r w:rsidR="00667949" w:rsidRPr="00667949">
        <w:rPr>
          <w:rFonts w:eastAsiaTheme="minorEastAsia"/>
          <w:color w:val="000000"/>
          <w:rtl/>
        </w:rPr>
        <w:t>).</w:t>
      </w:r>
    </w:p>
    <w:p w14:paraId="0D87759E" w14:textId="17C75E10" w:rsidR="009C3BAB" w:rsidRPr="001A0537" w:rsidRDefault="009C3BAB" w:rsidP="009C3BAB">
      <w:pPr>
        <w:pStyle w:val="SingleTxtGA"/>
        <w:rPr>
          <w:rFonts w:eastAsiaTheme="minorEastAsia"/>
          <w:bCs/>
          <w:lang w:val="ar-SA" w:eastAsia="zh-TW" w:bidi="en-GB"/>
        </w:rPr>
      </w:pPr>
      <w:r w:rsidRPr="001A0537">
        <w:rPr>
          <w:rFonts w:eastAsiaTheme="minorEastAsia"/>
          <w:rtl/>
        </w:rPr>
        <w:t>17</w:t>
      </w:r>
      <w:r w:rsidR="00D9525A">
        <w:rPr>
          <w:rFonts w:eastAsiaTheme="minorEastAsia" w:hint="cs"/>
          <w:rtl/>
        </w:rPr>
        <w:t>-</w:t>
      </w:r>
      <w:r w:rsidRPr="009C3BAB">
        <w:rPr>
          <w:rFonts w:eastAsiaTheme="minorEastAsia"/>
          <w:rtl/>
        </w:rPr>
        <w:tab/>
      </w:r>
      <w:r w:rsidRPr="001A0537">
        <w:rPr>
          <w:rFonts w:eastAsiaTheme="minorEastAsia"/>
          <w:bCs/>
          <w:rtl/>
        </w:rPr>
        <w:t>ينبغي للدولة الطرف أن تجري التعديلات التشريعية اللازمة لإلغاء اختصاص المحاكم العسكرية في قضايا المدنيين،</w:t>
      </w:r>
      <w:r w:rsidRPr="001A0537">
        <w:rPr>
          <w:rFonts w:eastAsiaTheme="minorEastAsia"/>
          <w:bCs/>
          <w:rtl/>
          <w:lang w:val="fr-CH"/>
        </w:rPr>
        <w:t xml:space="preserve"> وتضمن </w:t>
      </w:r>
      <w:r w:rsidRPr="001A0537">
        <w:rPr>
          <w:rFonts w:eastAsiaTheme="minorEastAsia"/>
          <w:bCs/>
          <w:rtl/>
        </w:rPr>
        <w:t>أن المحاكم العادية وحدها مختصة للنظر في القضايا المتعلقة بالانتهاكات الخطيرة لحقوق الإنسان المرتكبة ضد المدنيين، بما في ذلك أعمال التعذيب.</w:t>
      </w:r>
    </w:p>
    <w:p w14:paraId="20B7E4CC" w14:textId="77777777" w:rsidR="009C3BAB" w:rsidRPr="001A0537" w:rsidRDefault="009C3BAB" w:rsidP="009C3BAB">
      <w:pPr>
        <w:pStyle w:val="H23GA"/>
        <w:rPr>
          <w:lang w:val="ar-SA" w:eastAsia="zh-TW" w:bidi="en-GB"/>
        </w:rPr>
      </w:pPr>
      <w:r w:rsidRPr="001A0537">
        <w:rPr>
          <w:rtl/>
        </w:rPr>
        <w:tab/>
      </w:r>
      <w:r w:rsidRPr="001A0537">
        <w:rPr>
          <w:rtl/>
        </w:rPr>
        <w:tab/>
        <w:t xml:space="preserve">الضمانات القانونية الأساسية </w:t>
      </w:r>
    </w:p>
    <w:p w14:paraId="49D13B01" w14:textId="7130431E" w:rsidR="009C3BAB" w:rsidRPr="009C3BAB" w:rsidRDefault="009C3BAB" w:rsidP="009C3BAB">
      <w:pPr>
        <w:pStyle w:val="SingleTxtGA"/>
        <w:rPr>
          <w:rFonts w:eastAsiaTheme="minorEastAsia"/>
          <w:lang w:val="ar-SA" w:eastAsia="zh-TW" w:bidi="en-GB"/>
        </w:rPr>
      </w:pPr>
      <w:r w:rsidRPr="001A0537">
        <w:rPr>
          <w:rFonts w:eastAsiaTheme="minorEastAsia"/>
          <w:rtl/>
        </w:rPr>
        <w:t>18</w:t>
      </w:r>
      <w:r w:rsidRPr="009C3BAB">
        <w:rPr>
          <w:rFonts w:eastAsiaTheme="minorEastAsia"/>
          <w:rtl/>
        </w:rPr>
        <w:t>-</w:t>
      </w:r>
      <w:r w:rsidRPr="009C3BAB">
        <w:rPr>
          <w:rFonts w:eastAsiaTheme="minorEastAsia"/>
          <w:rtl/>
        </w:rPr>
        <w:tab/>
        <w:t>تحيط اللجنة علم</w:t>
      </w:r>
      <w:r w:rsidR="00D9525A">
        <w:rPr>
          <w:rFonts w:eastAsiaTheme="minorEastAsia"/>
          <w:rtl/>
        </w:rPr>
        <w:t xml:space="preserve">اً </w:t>
      </w:r>
      <w:r w:rsidRPr="009C3BAB">
        <w:rPr>
          <w:rFonts w:eastAsiaTheme="minorEastAsia"/>
          <w:rtl/>
        </w:rPr>
        <w:t xml:space="preserve">بأحكام المادة </w:t>
      </w:r>
      <w:r w:rsidRPr="001A0537">
        <w:rPr>
          <w:rFonts w:eastAsiaTheme="minorEastAsia"/>
          <w:rtl/>
        </w:rPr>
        <w:t>95</w:t>
      </w:r>
      <w:r w:rsidRPr="009C3BAB">
        <w:rPr>
          <w:rFonts w:eastAsiaTheme="minorEastAsia"/>
          <w:rtl/>
        </w:rPr>
        <w:t xml:space="preserve"> من الدستور وقانون الإجراءات الجنائية، بيد أنها لا تزال تشعر بالقلق إزاء التقارير المستمرة التي تفيد بأن الضمانات الإجرائية المنصوص عليها في التشريع الكوبي لا تطبق تطبيقاً فعالاً في الممارسة العملية، ولا سيما في حالة الأشخاص الذين يدعى أنهم سُلِبوا حريتهم لأسباب سياسية. وعلى الرغم من التوضيحات التي قدمها الوفد، الذي نفى حدوث حالات احتجاز تعسفي في الدولة الطرف خلال الفترة قيد الاستعراض، فإن القلق يساور اللجنة إزاء ما يلي</w:t>
      </w:r>
      <w:r w:rsidRPr="009C3BAB">
        <w:rPr>
          <w:rFonts w:eastAsiaTheme="minorEastAsia"/>
        </w:rPr>
        <w:t>:</w:t>
      </w:r>
      <w:r w:rsidRPr="009C3BAB">
        <w:rPr>
          <w:rFonts w:eastAsiaTheme="minorEastAsia"/>
          <w:rtl/>
        </w:rPr>
        <w:t xml:space="preserve"> </w:t>
      </w:r>
    </w:p>
    <w:p w14:paraId="7AD1677B" w14:textId="0F951DE1" w:rsidR="009C3BAB" w:rsidRPr="009C3BAB" w:rsidRDefault="009C3BAB" w:rsidP="009C3BAB">
      <w:pPr>
        <w:pStyle w:val="SingleTxtGA"/>
        <w:rPr>
          <w:rFonts w:eastAsiaTheme="minorEastAsia"/>
          <w:lang w:val="ar-SA" w:eastAsia="zh-TW" w:bidi="en-GB"/>
        </w:rPr>
      </w:pPr>
      <w:r>
        <w:rPr>
          <w:rFonts w:eastAsiaTheme="minorEastAsia"/>
          <w:rtl/>
        </w:rPr>
        <w:tab/>
      </w:r>
      <w:r w:rsidRPr="009C3BAB">
        <w:rPr>
          <w:rFonts w:eastAsiaTheme="minorEastAsia"/>
          <w:rtl/>
        </w:rPr>
        <w:t>(أ)</w:t>
      </w:r>
      <w:r w:rsidRPr="009C3BAB">
        <w:rPr>
          <w:rFonts w:eastAsiaTheme="minorEastAsia"/>
          <w:rtl/>
        </w:rPr>
        <w:tab/>
        <w:t>الشكاوى الواردة بشأن حالات الاحتجاز قصير الأجل دون أمر من المحكمة وبشأن الحرمان من المثول أمام القضاء؛</w:t>
      </w:r>
    </w:p>
    <w:p w14:paraId="4E7BDCE2" w14:textId="39AABD27" w:rsidR="009C3BAB" w:rsidRPr="009C3BAB" w:rsidRDefault="009C3BAB" w:rsidP="009C3BAB">
      <w:pPr>
        <w:pStyle w:val="SingleTxtGA"/>
        <w:rPr>
          <w:rFonts w:eastAsiaTheme="minorEastAsia"/>
          <w:lang w:val="ar-SA" w:eastAsia="zh-TW" w:bidi="en-GB"/>
        </w:rPr>
      </w:pPr>
      <w:r>
        <w:rPr>
          <w:rFonts w:eastAsiaTheme="minorEastAsia"/>
          <w:rtl/>
        </w:rPr>
        <w:tab/>
      </w:r>
      <w:r w:rsidRPr="009C3BAB">
        <w:rPr>
          <w:rFonts w:eastAsiaTheme="minorEastAsia"/>
          <w:rtl/>
        </w:rPr>
        <w:t>(ب)</w:t>
      </w:r>
      <w:r w:rsidRPr="009C3BAB">
        <w:rPr>
          <w:rFonts w:eastAsiaTheme="minorEastAsia"/>
          <w:rtl/>
        </w:rPr>
        <w:tab/>
        <w:t xml:space="preserve">عدم وضوح أحكام قانون الإجراءات الجنائية فيما يتعلق باللحظة التي يُحسَب انطلاقاً منها وقت الاحتجاز؛ وأحكام المادتين </w:t>
      </w:r>
      <w:r w:rsidRPr="001A0537">
        <w:rPr>
          <w:rFonts w:eastAsiaTheme="minorEastAsia"/>
          <w:rtl/>
        </w:rPr>
        <w:t>342</w:t>
      </w:r>
      <w:r w:rsidRPr="009C3BAB">
        <w:rPr>
          <w:rFonts w:eastAsiaTheme="minorEastAsia"/>
          <w:rtl/>
        </w:rPr>
        <w:t>(</w:t>
      </w:r>
      <w:r w:rsidR="00667949" w:rsidRPr="001A0537">
        <w:rPr>
          <w:rFonts w:eastAsiaTheme="minorEastAsia"/>
          <w:color w:val="000000"/>
          <w:rtl/>
        </w:rPr>
        <w:t>1</w:t>
      </w:r>
      <w:r w:rsidR="00667949" w:rsidRPr="00667949">
        <w:rPr>
          <w:rFonts w:eastAsiaTheme="minorEastAsia"/>
          <w:color w:val="000000"/>
          <w:rtl/>
        </w:rPr>
        <w:t xml:space="preserve">) </w:t>
      </w:r>
      <w:r w:rsidRPr="009C3BAB">
        <w:rPr>
          <w:rFonts w:eastAsiaTheme="minorEastAsia"/>
          <w:rtl/>
        </w:rPr>
        <w:t>و</w:t>
      </w:r>
      <w:r w:rsidRPr="001A0537">
        <w:rPr>
          <w:rFonts w:eastAsiaTheme="minorEastAsia"/>
          <w:rtl/>
        </w:rPr>
        <w:t>343</w:t>
      </w:r>
      <w:r w:rsidRPr="009C3BAB">
        <w:rPr>
          <w:rFonts w:eastAsiaTheme="minorEastAsia"/>
          <w:rtl/>
        </w:rPr>
        <w:t xml:space="preserve"> من القانون، اللتين تأذنان، على التوالي، للشرطة باحتجاز أي شخص لمدة تصل إلى </w:t>
      </w:r>
      <w:r w:rsidRPr="001A0537">
        <w:rPr>
          <w:rFonts w:eastAsiaTheme="minorEastAsia"/>
          <w:rtl/>
        </w:rPr>
        <w:t>24</w:t>
      </w:r>
      <w:r w:rsidRPr="009C3BAB">
        <w:rPr>
          <w:rFonts w:eastAsiaTheme="minorEastAsia"/>
          <w:rtl/>
        </w:rPr>
        <w:t xml:space="preserve"> ساعة دون إشراف قضائي ولأي شخص بالقيام بعملية اعتقال؛ </w:t>
      </w:r>
    </w:p>
    <w:p w14:paraId="5FB1D317" w14:textId="3D234344" w:rsidR="00667949" w:rsidRPr="00667949" w:rsidRDefault="009C3BAB" w:rsidP="009C3BAB">
      <w:pPr>
        <w:pStyle w:val="SingleTxtGA"/>
        <w:rPr>
          <w:rFonts w:eastAsiaTheme="minorEastAsia"/>
          <w:color w:val="000000"/>
          <w:lang w:val="ar-SA" w:eastAsia="zh-TW" w:bidi="en-GB"/>
        </w:rPr>
      </w:pPr>
      <w:r>
        <w:rPr>
          <w:rFonts w:eastAsiaTheme="minorEastAsia"/>
          <w:rtl/>
        </w:rPr>
        <w:tab/>
      </w:r>
      <w:r w:rsidRPr="009C3BAB">
        <w:rPr>
          <w:rFonts w:eastAsiaTheme="minorEastAsia"/>
          <w:rtl/>
        </w:rPr>
        <w:t>(ج)</w:t>
      </w:r>
      <w:r w:rsidRPr="009C3BAB">
        <w:rPr>
          <w:rFonts w:eastAsiaTheme="minorEastAsia"/>
          <w:rtl/>
        </w:rPr>
        <w:tab/>
        <w:t xml:space="preserve">عدم السماح للمحتجزين بالاتصال بمحام إلا بعد توجيه تهم رسمية إليهم (المادة </w:t>
      </w:r>
      <w:r w:rsidRPr="001A0537">
        <w:rPr>
          <w:rFonts w:eastAsiaTheme="minorEastAsia"/>
          <w:rtl/>
        </w:rPr>
        <w:t>129</w:t>
      </w:r>
      <w:r w:rsidRPr="009C3BAB">
        <w:rPr>
          <w:rFonts w:eastAsiaTheme="minorEastAsia"/>
          <w:rtl/>
        </w:rPr>
        <w:t xml:space="preserve"> من قانون الإجراءات الجنائية</w:t>
      </w:r>
      <w:r w:rsidR="00667949" w:rsidRPr="00667949">
        <w:rPr>
          <w:rFonts w:eastAsiaTheme="minorEastAsia"/>
          <w:color w:val="000000"/>
          <w:rtl/>
        </w:rPr>
        <w:t>)؛</w:t>
      </w:r>
    </w:p>
    <w:p w14:paraId="1F4FA29B" w14:textId="3497A155" w:rsidR="009C3BAB" w:rsidRPr="009C3BAB" w:rsidRDefault="009C3BAB" w:rsidP="009C3BAB">
      <w:pPr>
        <w:pStyle w:val="SingleTxtGA"/>
        <w:rPr>
          <w:rFonts w:eastAsiaTheme="minorEastAsia"/>
          <w:lang w:val="ar-SA" w:eastAsia="zh-TW" w:bidi="en-GB"/>
        </w:rPr>
      </w:pPr>
      <w:r>
        <w:rPr>
          <w:rFonts w:eastAsiaTheme="minorEastAsia"/>
          <w:rtl/>
        </w:rPr>
        <w:tab/>
      </w:r>
      <w:r w:rsidRPr="009C3BAB">
        <w:rPr>
          <w:rFonts w:eastAsiaTheme="minorEastAsia"/>
          <w:rtl/>
        </w:rPr>
        <w:t>(د)</w:t>
      </w:r>
      <w:r w:rsidRPr="009C3BAB">
        <w:rPr>
          <w:rFonts w:eastAsiaTheme="minorEastAsia"/>
          <w:rtl/>
        </w:rPr>
        <w:tab/>
        <w:t>المعلومات المستمدة من مصادر مختلفة، بما في ذلك آراء الفريق العامل المعني بالاحتجاز التعسفي</w:t>
      </w:r>
      <w:r w:rsidR="00667949" w:rsidRPr="001A0537">
        <w:rPr>
          <w:rStyle w:val="FootnoteReference"/>
          <w:szCs w:val="22"/>
          <w:rtl/>
        </w:rPr>
        <w:t>(</w:t>
      </w:r>
      <w:r w:rsidR="00667949" w:rsidRPr="001A0537">
        <w:rPr>
          <w:rStyle w:val="FootnoteReference"/>
          <w:szCs w:val="22"/>
          <w:lang w:val="en-US"/>
        </w:rPr>
        <w:footnoteReference w:id="9"/>
      </w:r>
      <w:r w:rsidR="00667949" w:rsidRPr="00667949">
        <w:rPr>
          <w:rStyle w:val="FootnoteReference"/>
          <w:color w:val="000000"/>
          <w:szCs w:val="22"/>
          <w:rtl/>
        </w:rPr>
        <w:t>)</w:t>
      </w:r>
      <w:r w:rsidR="00667949" w:rsidRPr="00667949">
        <w:rPr>
          <w:rFonts w:eastAsiaTheme="minorEastAsia"/>
          <w:color w:val="000000"/>
          <w:rtl/>
        </w:rPr>
        <w:t xml:space="preserve">، </w:t>
      </w:r>
      <w:r w:rsidRPr="009C3BAB">
        <w:rPr>
          <w:rFonts w:eastAsiaTheme="minorEastAsia"/>
          <w:rtl/>
        </w:rPr>
        <w:t>التي تشير إلى حالات سوء معاملة مزعومة للمحتجزين على أيدي الشرطة، وإلى الصعوبات التي يواجهها المحتجزون في الحصول على اتصال فوري بمحام وإجراء فحص طبي مستقل، وفي إخطار أحد أفراد الأسرة أو أي شخص آخر من اختيارهم بأنهم قد احتجزوا، وفي الطعن في قانونية</w:t>
      </w:r>
      <w:r>
        <w:rPr>
          <w:rFonts w:eastAsiaTheme="minorEastAsia" w:hint="cs"/>
          <w:rtl/>
        </w:rPr>
        <w:t> </w:t>
      </w:r>
      <w:r w:rsidRPr="009C3BAB">
        <w:rPr>
          <w:rFonts w:eastAsiaTheme="minorEastAsia"/>
          <w:rtl/>
        </w:rPr>
        <w:t>احتجازهم؛</w:t>
      </w:r>
    </w:p>
    <w:p w14:paraId="3F5750D5" w14:textId="7563F5CB" w:rsidR="00667949" w:rsidRPr="00667949" w:rsidRDefault="009C3BAB" w:rsidP="009C3BAB">
      <w:pPr>
        <w:pStyle w:val="SingleTxtGA"/>
        <w:rPr>
          <w:rFonts w:eastAsiaTheme="minorEastAsia"/>
          <w:color w:val="000000"/>
          <w:lang w:val="ar-SA" w:eastAsia="zh-TW" w:bidi="en-GB"/>
        </w:rPr>
      </w:pPr>
      <w:r>
        <w:rPr>
          <w:rFonts w:eastAsiaTheme="minorEastAsia"/>
          <w:rtl/>
        </w:rPr>
        <w:tab/>
      </w:r>
      <w:r w:rsidRPr="009C3BAB">
        <w:rPr>
          <w:rFonts w:eastAsiaTheme="minorEastAsia"/>
          <w:rtl/>
        </w:rPr>
        <w:t>(هـ)</w:t>
      </w:r>
      <w:r w:rsidRPr="009C3BAB">
        <w:rPr>
          <w:rFonts w:eastAsiaTheme="minorEastAsia"/>
          <w:rtl/>
        </w:rPr>
        <w:tab/>
        <w:t xml:space="preserve">عدم توافر معلومات عن التدابير التأديبية المتخذة خلال الفترة قيد الاستعراض ضد الموظفين المكلفين بإنفاذ القوانين الذين لم يسمحوا فوراً للأشخاص مسلوبي الحرية بالاستفادة من الضمانات القانونية الأساسية (المادتان </w:t>
      </w:r>
      <w:r w:rsidRPr="001A0537">
        <w:rPr>
          <w:rFonts w:eastAsiaTheme="minorEastAsia"/>
          <w:rtl/>
        </w:rPr>
        <w:t>2</w:t>
      </w:r>
      <w:r w:rsidRPr="009C3BAB">
        <w:rPr>
          <w:rFonts w:eastAsiaTheme="minorEastAsia"/>
          <w:rtl/>
        </w:rPr>
        <w:t xml:space="preserve"> و</w:t>
      </w:r>
      <w:r w:rsidRPr="001A0537">
        <w:rPr>
          <w:rFonts w:eastAsiaTheme="minorEastAsia"/>
          <w:rtl/>
        </w:rPr>
        <w:t>1</w:t>
      </w:r>
      <w:r w:rsidR="00667949" w:rsidRPr="001A0537">
        <w:rPr>
          <w:rFonts w:eastAsiaTheme="minorEastAsia"/>
          <w:color w:val="000000"/>
          <w:rtl/>
        </w:rPr>
        <w:t>6</w:t>
      </w:r>
      <w:r w:rsidR="00667949" w:rsidRPr="00667949">
        <w:rPr>
          <w:rFonts w:eastAsiaTheme="minorEastAsia"/>
          <w:color w:val="000000"/>
          <w:rtl/>
        </w:rPr>
        <w:t>).</w:t>
      </w:r>
    </w:p>
    <w:p w14:paraId="0A69887D" w14:textId="13C4C736" w:rsidR="009C3BAB" w:rsidRPr="001A0537" w:rsidRDefault="009C3BAB" w:rsidP="009C3BAB">
      <w:pPr>
        <w:pStyle w:val="SingleTxtGA"/>
        <w:rPr>
          <w:rFonts w:eastAsiaTheme="minorEastAsia"/>
          <w:bCs/>
          <w:shd w:val="clear" w:color="auto" w:fill="FFFFFF"/>
          <w:lang w:val="ar-SA" w:eastAsia="zh-TW" w:bidi="en-GB"/>
        </w:rPr>
      </w:pPr>
      <w:r w:rsidRPr="001A0537">
        <w:rPr>
          <w:rFonts w:eastAsiaTheme="minorEastAsia"/>
          <w:rtl/>
        </w:rPr>
        <w:t>19</w:t>
      </w:r>
      <w:r w:rsidRPr="009C3BAB">
        <w:rPr>
          <w:rFonts w:eastAsiaTheme="minorEastAsia"/>
          <w:rtl/>
        </w:rPr>
        <w:t>-</w:t>
      </w:r>
      <w:r w:rsidRPr="009C3BAB">
        <w:rPr>
          <w:rFonts w:eastAsiaTheme="minorEastAsia"/>
          <w:rtl/>
        </w:rPr>
        <w:tab/>
      </w:r>
      <w:r w:rsidRPr="001A0537">
        <w:rPr>
          <w:rFonts w:eastAsiaTheme="minorEastAsia"/>
          <w:bCs/>
          <w:rtl/>
        </w:rPr>
        <w:t>ينبغي للدولة الطرف أن تضمن حصول جميع الأشخاص الموقوفين، في القانون والممارسة العملية، ومنذ اللحظة الأولى لسلب حريتهم، على جميع الضمانات القانونية الأساسية ضد التعذيب، بما</w:t>
      </w:r>
      <w:r w:rsidR="00D9525A" w:rsidRPr="001A0537">
        <w:rPr>
          <w:rFonts w:eastAsiaTheme="minorEastAsia" w:hint="cs"/>
          <w:bCs/>
          <w:rtl/>
        </w:rPr>
        <w:t> </w:t>
      </w:r>
      <w:r w:rsidRPr="001A0537">
        <w:rPr>
          <w:rFonts w:eastAsiaTheme="minorEastAsia"/>
          <w:bCs/>
          <w:rtl/>
        </w:rPr>
        <w:t>في ذلك الحق في الاستعانة بمحام دون تأخير، وعلى وجه الخصوص خلال مرحلتي التحقيق والاستجواب؛</w:t>
      </w:r>
      <w:r w:rsidRPr="0085568A">
        <w:rPr>
          <w:rFonts w:eastAsiaTheme="minorEastAsia"/>
          <w:bCs/>
          <w:rtl/>
        </w:rPr>
        <w:t xml:space="preserve"> </w:t>
      </w:r>
      <w:r w:rsidRPr="001A0537">
        <w:rPr>
          <w:rFonts w:eastAsiaTheme="minorEastAsia"/>
          <w:bCs/>
          <w:rtl/>
        </w:rPr>
        <w:t>وفي طلب وتلقي فحص طبي مستقل؛</w:t>
      </w:r>
      <w:r w:rsidRPr="0085568A">
        <w:rPr>
          <w:rFonts w:eastAsiaTheme="minorEastAsia"/>
          <w:bCs/>
          <w:rtl/>
        </w:rPr>
        <w:t xml:space="preserve"> </w:t>
      </w:r>
      <w:r w:rsidRPr="001A0537">
        <w:rPr>
          <w:rFonts w:eastAsiaTheme="minorEastAsia"/>
          <w:bCs/>
          <w:rtl/>
        </w:rPr>
        <w:t>وفي الاطلاع على حقوقهم وسبب اعتقالهم والتهم الموجهة إليهم؛</w:t>
      </w:r>
      <w:r w:rsidRPr="0085568A">
        <w:rPr>
          <w:rFonts w:eastAsiaTheme="minorEastAsia"/>
          <w:bCs/>
          <w:rtl/>
        </w:rPr>
        <w:t xml:space="preserve"> </w:t>
      </w:r>
      <w:r w:rsidRPr="001A0537">
        <w:rPr>
          <w:rFonts w:eastAsiaTheme="minorEastAsia"/>
          <w:bCs/>
          <w:rtl/>
        </w:rPr>
        <w:t>وفي أن يُسجَّلوا في مكان الاحتجاز؛</w:t>
      </w:r>
      <w:r w:rsidRPr="0085568A">
        <w:rPr>
          <w:rFonts w:eastAsiaTheme="minorEastAsia"/>
          <w:bCs/>
          <w:rtl/>
        </w:rPr>
        <w:t xml:space="preserve"> </w:t>
      </w:r>
      <w:r w:rsidRPr="001A0537">
        <w:rPr>
          <w:rFonts w:eastAsiaTheme="minorEastAsia"/>
          <w:bCs/>
          <w:rtl/>
        </w:rPr>
        <w:t xml:space="preserve">وفي أن يقوموا، فور اعتقالهم، بإخبار أحد أفراد </w:t>
      </w:r>
      <w:r w:rsidRPr="001A0537">
        <w:rPr>
          <w:rFonts w:eastAsiaTheme="minorEastAsia"/>
          <w:bCs/>
          <w:rtl/>
        </w:rPr>
        <w:lastRenderedPageBreak/>
        <w:t>أسرهم أو أي شخص آخر يختارونه باحتجازهم وبمكان وجودهم؛</w:t>
      </w:r>
      <w:r w:rsidRPr="0085568A">
        <w:rPr>
          <w:rFonts w:eastAsiaTheme="minorEastAsia"/>
          <w:bCs/>
          <w:rtl/>
        </w:rPr>
        <w:t xml:space="preserve"> </w:t>
      </w:r>
      <w:r w:rsidRPr="001A0537">
        <w:rPr>
          <w:rFonts w:eastAsiaTheme="minorEastAsia"/>
          <w:bCs/>
          <w:rtl/>
        </w:rPr>
        <w:t>وفي المثول أمام قاض دون تأخير؛</w:t>
      </w:r>
      <w:r w:rsidRPr="0085568A">
        <w:rPr>
          <w:rFonts w:eastAsiaTheme="minorEastAsia"/>
          <w:bCs/>
          <w:rtl/>
        </w:rPr>
        <w:t xml:space="preserve"> </w:t>
      </w:r>
      <w:r w:rsidRPr="001A0537">
        <w:rPr>
          <w:rFonts w:eastAsiaTheme="minorEastAsia"/>
          <w:bCs/>
          <w:rtl/>
        </w:rPr>
        <w:t>وفي</w:t>
      </w:r>
      <w:r w:rsidR="00D9525A" w:rsidRPr="001A0537">
        <w:rPr>
          <w:rFonts w:eastAsiaTheme="minorEastAsia" w:hint="cs"/>
          <w:bCs/>
          <w:rtl/>
        </w:rPr>
        <w:t> </w:t>
      </w:r>
      <w:r w:rsidRPr="001A0537">
        <w:rPr>
          <w:rFonts w:eastAsiaTheme="minorEastAsia"/>
          <w:bCs/>
          <w:rtl/>
        </w:rPr>
        <w:t>الحصول على سبل انتصاف فعالة للطعن في قانونية احتجازهم.</w:t>
      </w:r>
      <w:r w:rsidRPr="0085568A">
        <w:rPr>
          <w:rFonts w:eastAsiaTheme="minorEastAsia"/>
          <w:bCs/>
          <w:rtl/>
        </w:rPr>
        <w:t xml:space="preserve"> </w:t>
      </w:r>
      <w:r w:rsidRPr="001A0537">
        <w:rPr>
          <w:rFonts w:eastAsiaTheme="minorEastAsia"/>
          <w:bCs/>
          <w:rtl/>
        </w:rPr>
        <w:t>وينبغي للدولة الطرف أيضاً أن</w:t>
      </w:r>
      <w:r w:rsidR="0085568A" w:rsidRPr="001A0537">
        <w:rPr>
          <w:rFonts w:eastAsiaTheme="minorEastAsia" w:hint="cs"/>
          <w:bCs/>
          <w:rtl/>
        </w:rPr>
        <w:t> </w:t>
      </w:r>
      <w:r w:rsidRPr="001A0537">
        <w:rPr>
          <w:rFonts w:eastAsiaTheme="minorEastAsia"/>
          <w:bCs/>
          <w:rtl/>
        </w:rPr>
        <w:t>تكفل معاقبة المسؤولين الذين لا يسمحون للأشخاص مسلوبي الحرية بالاستفادة من هذه الضمانات</w:t>
      </w:r>
      <w:r w:rsidR="0085568A" w:rsidRPr="001A0537">
        <w:rPr>
          <w:rFonts w:eastAsiaTheme="minorEastAsia" w:hint="cs"/>
          <w:bCs/>
          <w:rtl/>
        </w:rPr>
        <w:t> </w:t>
      </w:r>
      <w:r w:rsidRPr="001A0537">
        <w:rPr>
          <w:rFonts w:eastAsiaTheme="minorEastAsia"/>
          <w:bCs/>
          <w:rtl/>
        </w:rPr>
        <w:t>الأساسية.</w:t>
      </w:r>
      <w:r w:rsidRPr="0085568A">
        <w:rPr>
          <w:rFonts w:eastAsiaTheme="minorEastAsia"/>
          <w:bCs/>
          <w:rtl/>
        </w:rPr>
        <w:t xml:space="preserve"> </w:t>
      </w:r>
    </w:p>
    <w:p w14:paraId="0DA5E7E6" w14:textId="77777777" w:rsidR="009C3BAB" w:rsidRPr="001A0537" w:rsidRDefault="009C3BAB" w:rsidP="009C3BAB">
      <w:pPr>
        <w:pStyle w:val="H23GA"/>
        <w:rPr>
          <w:lang w:val="ar-SA" w:eastAsia="zh-TW" w:bidi="en-GB"/>
        </w:rPr>
      </w:pPr>
      <w:r w:rsidRPr="001A0537">
        <w:rPr>
          <w:rtl/>
        </w:rPr>
        <w:tab/>
      </w:r>
      <w:r w:rsidRPr="001A0537">
        <w:rPr>
          <w:rtl/>
        </w:rPr>
        <w:tab/>
        <w:t>حق اللجوء وانعدام الجنسية</w:t>
      </w:r>
    </w:p>
    <w:p w14:paraId="0BD75DFB" w14:textId="1341231B" w:rsidR="00667949" w:rsidRPr="00667949" w:rsidRDefault="009C3BAB" w:rsidP="009C3BAB">
      <w:pPr>
        <w:pStyle w:val="SingleTxtGA"/>
        <w:rPr>
          <w:rFonts w:eastAsiaTheme="minorEastAsia"/>
          <w:color w:val="000000"/>
          <w:lang w:val="ar-SA" w:eastAsia="zh-TW" w:bidi="en-GB"/>
        </w:rPr>
      </w:pPr>
      <w:r w:rsidRPr="001A0537">
        <w:rPr>
          <w:rFonts w:eastAsiaTheme="minorEastAsia"/>
          <w:rtl/>
        </w:rPr>
        <w:t>20</w:t>
      </w:r>
      <w:r w:rsidRPr="009C3BAB">
        <w:rPr>
          <w:rFonts w:eastAsiaTheme="minorEastAsia"/>
          <w:rtl/>
        </w:rPr>
        <w:t>-</w:t>
      </w:r>
      <w:r w:rsidRPr="009C3BAB">
        <w:rPr>
          <w:rFonts w:eastAsiaTheme="minorEastAsia"/>
          <w:rtl/>
        </w:rPr>
        <w:tab/>
        <w:t xml:space="preserve">تلاحظ اللجنة أن الدولة الطرف لا تزال توفر الحماية المؤقتة بحكم الواقع للأشخاص الذين تعرفهم مفوضية الأمم المتحدة لشؤون اللاجئين على أنهم لاجئون وتسمح لهم بالبقاء في البلد ريثما يتم ترتيب إعادة توطينهم. وتلاحظ أيضاً أن هؤلاء الأشخاص ما زالوا غير قادرين على الحصول على تصريح عمل، على الرغم من حصولهم على الخدمات الصحية والتعليم. وتحيط اللجنة علماً بتشريعات الهجرة السارية منذ عام </w:t>
      </w:r>
      <w:r w:rsidRPr="001A0537">
        <w:rPr>
          <w:rFonts w:eastAsiaTheme="minorEastAsia"/>
          <w:rtl/>
        </w:rPr>
        <w:t>2013</w:t>
      </w:r>
      <w:r w:rsidRPr="009C3BAB">
        <w:rPr>
          <w:rFonts w:eastAsiaTheme="minorEastAsia"/>
          <w:rtl/>
        </w:rPr>
        <w:t xml:space="preserve"> وبأحكام المادة </w:t>
      </w:r>
      <w:r w:rsidRPr="001A0537">
        <w:rPr>
          <w:rFonts w:eastAsiaTheme="minorEastAsia"/>
          <w:rtl/>
        </w:rPr>
        <w:t>723</w:t>
      </w:r>
      <w:r w:rsidRPr="009C3BAB">
        <w:rPr>
          <w:rFonts w:eastAsiaTheme="minorEastAsia"/>
          <w:rtl/>
        </w:rPr>
        <w:t xml:space="preserve"> من قانون الإجراءات الجنائية المتعلقة بتسليم المجرمين. ويساور اللجنة القلق إزاء عدم وجود سبل انتصاف للطعن في إعادة أو "إعادة إركاب" المهاجرين الهايتيين وإعادتهم إلى أوطانهم (المادة </w:t>
      </w:r>
      <w:r w:rsidR="00667949" w:rsidRPr="001A0537">
        <w:rPr>
          <w:rFonts w:eastAsiaTheme="minorEastAsia"/>
          <w:color w:val="000000"/>
          <w:rtl/>
        </w:rPr>
        <w:t>3</w:t>
      </w:r>
      <w:r w:rsidR="00667949" w:rsidRPr="00667949">
        <w:rPr>
          <w:rFonts w:eastAsiaTheme="minorEastAsia"/>
          <w:color w:val="000000"/>
          <w:rtl/>
        </w:rPr>
        <w:t>).</w:t>
      </w:r>
    </w:p>
    <w:p w14:paraId="077CC14A" w14:textId="603D24E6" w:rsidR="009C3BAB" w:rsidRPr="009C3BAB" w:rsidRDefault="009C3BAB" w:rsidP="009C3BAB">
      <w:pPr>
        <w:pStyle w:val="SingleTxtGA"/>
        <w:rPr>
          <w:rFonts w:eastAsiaTheme="minorEastAsia"/>
          <w:lang w:val="ar-SA" w:eastAsia="zh-TW" w:bidi="en-GB"/>
        </w:rPr>
      </w:pPr>
      <w:r w:rsidRPr="001A0537">
        <w:rPr>
          <w:rFonts w:eastAsiaTheme="minorEastAsia"/>
          <w:rtl/>
        </w:rPr>
        <w:t>21</w:t>
      </w:r>
      <w:r w:rsidRPr="009C3BAB">
        <w:rPr>
          <w:rFonts w:eastAsiaTheme="minorEastAsia"/>
          <w:rtl/>
        </w:rPr>
        <w:t>-</w:t>
      </w:r>
      <w:r w:rsidRPr="009C3BAB">
        <w:rPr>
          <w:rFonts w:eastAsiaTheme="minorEastAsia"/>
          <w:rtl/>
        </w:rPr>
        <w:tab/>
      </w:r>
      <w:r w:rsidRPr="001A0537">
        <w:rPr>
          <w:rFonts w:eastAsiaTheme="minorEastAsia"/>
          <w:bCs/>
          <w:rtl/>
        </w:rPr>
        <w:t>توصي اللجنة الدول الأطراف بما يلي:</w:t>
      </w:r>
      <w:r w:rsidRPr="009C3BAB">
        <w:rPr>
          <w:rFonts w:eastAsiaTheme="minorEastAsia"/>
          <w:rtl/>
        </w:rPr>
        <w:t xml:space="preserve"> </w:t>
      </w:r>
    </w:p>
    <w:p w14:paraId="580FE410" w14:textId="2250180F" w:rsidR="009C3BAB" w:rsidRPr="001A0537" w:rsidRDefault="009C3BAB" w:rsidP="009C3BAB">
      <w:pPr>
        <w:pStyle w:val="SingleTxtGA"/>
        <w:rPr>
          <w:rFonts w:eastAsiaTheme="minorEastAsia"/>
          <w:bCs/>
          <w:lang w:val="ar-SA" w:eastAsia="zh-TW" w:bidi="en-GB"/>
        </w:rPr>
      </w:pPr>
      <w:r w:rsidRPr="001A0537">
        <w:rPr>
          <w:rFonts w:eastAsiaTheme="minorEastAsia"/>
          <w:b/>
          <w:rtl/>
        </w:rPr>
        <w:tab/>
        <w:t>(</w:t>
      </w:r>
      <w:r w:rsidRPr="009C3BAB">
        <w:rPr>
          <w:rFonts w:eastAsiaTheme="minorEastAsia"/>
          <w:rtl/>
        </w:rPr>
        <w:t>أ)</w:t>
      </w:r>
      <w:r w:rsidRPr="009C3BAB">
        <w:rPr>
          <w:rFonts w:eastAsiaTheme="minorEastAsia"/>
          <w:rtl/>
        </w:rPr>
        <w:tab/>
      </w:r>
      <w:r w:rsidRPr="001A0537">
        <w:rPr>
          <w:rFonts w:eastAsiaTheme="minorEastAsia"/>
          <w:bCs/>
          <w:rtl/>
        </w:rPr>
        <w:t>ضمان ألا يجوز، في القانون والممارسة العملية، طرد أيّ شخص أو إعادته أو</w:t>
      </w:r>
      <w:r w:rsidR="0085568A" w:rsidRPr="001A0537">
        <w:rPr>
          <w:rFonts w:eastAsiaTheme="minorEastAsia" w:hint="cs"/>
          <w:bCs/>
          <w:rtl/>
        </w:rPr>
        <w:t> </w:t>
      </w:r>
      <w:r w:rsidRPr="001A0537">
        <w:rPr>
          <w:rFonts w:eastAsiaTheme="minorEastAsia"/>
          <w:bCs/>
          <w:rtl/>
        </w:rPr>
        <w:t>تسليمه إلى دولة أخرى تكون فيها أسباب موضوعية تدعو إلى الاعتقاد بأنه سيكون عرضة بصورة</w:t>
      </w:r>
      <w:r w:rsidR="0085568A" w:rsidRPr="001A0537">
        <w:rPr>
          <w:rFonts w:eastAsiaTheme="minorEastAsia" w:hint="cs"/>
          <w:bCs/>
          <w:rtl/>
        </w:rPr>
        <w:t> </w:t>
      </w:r>
      <w:r w:rsidRPr="001A0537">
        <w:rPr>
          <w:rFonts w:eastAsiaTheme="minorEastAsia"/>
          <w:bCs/>
          <w:rtl/>
        </w:rPr>
        <w:t>شخصية ومتوقعة لخطر التعذيب وسوء المعاملة؛</w:t>
      </w:r>
      <w:r w:rsidRPr="0085568A">
        <w:rPr>
          <w:rFonts w:eastAsiaTheme="minorEastAsia"/>
          <w:bCs/>
          <w:rtl/>
        </w:rPr>
        <w:t xml:space="preserve"> </w:t>
      </w:r>
      <w:r w:rsidRPr="001A0537">
        <w:rPr>
          <w:rFonts w:eastAsiaTheme="minorEastAsia"/>
          <w:bCs/>
          <w:rtl/>
        </w:rPr>
        <w:t>وضمان الامتثال للضمانات الإجرائية ضد الإعادة القسرية؛</w:t>
      </w:r>
    </w:p>
    <w:p w14:paraId="74AD0BC8" w14:textId="532D0AF4" w:rsidR="009C3BAB" w:rsidRPr="001A0537" w:rsidRDefault="009C3BAB" w:rsidP="009C3BAB">
      <w:pPr>
        <w:pStyle w:val="SingleTxtGA"/>
        <w:rPr>
          <w:rFonts w:eastAsiaTheme="minorEastAsia"/>
          <w:bCs/>
          <w:lang w:val="ar-SA" w:eastAsia="zh-TW" w:bidi="en-GB"/>
        </w:rPr>
      </w:pPr>
      <w:r w:rsidRPr="001A0537">
        <w:rPr>
          <w:rFonts w:eastAsiaTheme="minorEastAsia"/>
          <w:b/>
          <w:rtl/>
        </w:rPr>
        <w:tab/>
        <w:t>(</w:t>
      </w:r>
      <w:r w:rsidRPr="009C3BAB">
        <w:rPr>
          <w:rFonts w:eastAsiaTheme="minorEastAsia"/>
          <w:rtl/>
        </w:rPr>
        <w:t>ب)</w:t>
      </w:r>
      <w:r w:rsidRPr="009C3BAB">
        <w:rPr>
          <w:rFonts w:eastAsiaTheme="minorEastAsia"/>
          <w:rtl/>
        </w:rPr>
        <w:tab/>
      </w:r>
      <w:r w:rsidRPr="001A0537">
        <w:rPr>
          <w:rFonts w:eastAsiaTheme="minorEastAsia"/>
          <w:bCs/>
          <w:rtl/>
        </w:rPr>
        <w:t>النظر في التصديق على اتفاقية عام 1951 الخاصة بوضع اللاجئين وبروتوكول عام</w:t>
      </w:r>
      <w:r w:rsidR="00497EFB" w:rsidRPr="001A0537">
        <w:rPr>
          <w:rFonts w:eastAsiaTheme="minorEastAsia" w:hint="cs"/>
          <w:bCs/>
          <w:rtl/>
        </w:rPr>
        <w:t> </w:t>
      </w:r>
      <w:r w:rsidRPr="001A0537">
        <w:rPr>
          <w:rFonts w:eastAsiaTheme="minorEastAsia"/>
          <w:bCs/>
          <w:rtl/>
        </w:rPr>
        <w:t>1967 الملحق بها، واتفاقية عام 1954 بشأن وضع الأشخاص عديمي الجنسية، واتفاقية 1961 المتعلقة بخفض حالات انعدام الجنسية؛</w:t>
      </w:r>
    </w:p>
    <w:p w14:paraId="2DA9ECEC" w14:textId="7A63B4E9" w:rsidR="009C3BAB" w:rsidRPr="001A0537" w:rsidRDefault="009C3BAB" w:rsidP="009C3BAB">
      <w:pPr>
        <w:pStyle w:val="SingleTxtGA"/>
        <w:rPr>
          <w:rFonts w:eastAsiaTheme="minorEastAsia"/>
          <w:bCs/>
          <w:lang w:val="ar-SA" w:eastAsia="zh-TW" w:bidi="en-GB"/>
        </w:rPr>
      </w:pPr>
      <w:r w:rsidRPr="001A0537">
        <w:rPr>
          <w:rFonts w:eastAsiaTheme="minorEastAsia"/>
          <w:b/>
          <w:rtl/>
        </w:rPr>
        <w:tab/>
        <w:t>(</w:t>
      </w:r>
      <w:r w:rsidRPr="009C3BAB">
        <w:rPr>
          <w:rFonts w:eastAsiaTheme="minorEastAsia"/>
          <w:rtl/>
        </w:rPr>
        <w:t>ج)</w:t>
      </w:r>
      <w:r w:rsidRPr="009C3BAB">
        <w:rPr>
          <w:rFonts w:eastAsiaTheme="minorEastAsia"/>
          <w:rtl/>
        </w:rPr>
        <w:tab/>
      </w:r>
      <w:r w:rsidRPr="001A0537">
        <w:rPr>
          <w:rFonts w:eastAsiaTheme="minorEastAsia"/>
          <w:bCs/>
          <w:rtl/>
        </w:rPr>
        <w:t>مضاعفة الجهود الرامية إلى تسهيل إدماج اللاجئين في المجتمعات المحلية بالتعاون مع المفوضية السامية لشؤون اللاجئين، وضمان حصولهم على الحقوق والخدمات الأساسية، بما في ذلك الحق في العمل.</w:t>
      </w:r>
    </w:p>
    <w:p w14:paraId="6AF2D78C" w14:textId="77777777" w:rsidR="009C3BAB" w:rsidRPr="001A0537" w:rsidRDefault="009C3BAB" w:rsidP="009C3BAB">
      <w:pPr>
        <w:pStyle w:val="H23GA"/>
        <w:rPr>
          <w:lang w:val="ar-SA" w:eastAsia="zh-TW" w:bidi="en-GB"/>
        </w:rPr>
      </w:pPr>
      <w:r w:rsidRPr="001A0537">
        <w:rPr>
          <w:rtl/>
        </w:rPr>
        <w:tab/>
      </w:r>
      <w:r w:rsidRPr="001A0537">
        <w:rPr>
          <w:rtl/>
        </w:rPr>
        <w:tab/>
        <w:t xml:space="preserve">ظروف الاحتجاز </w:t>
      </w:r>
    </w:p>
    <w:p w14:paraId="559C50CA" w14:textId="6E9ABEF1" w:rsidR="00667949" w:rsidRPr="00667949" w:rsidRDefault="009C3BAB" w:rsidP="009C3BAB">
      <w:pPr>
        <w:pStyle w:val="SingleTxtGA"/>
        <w:rPr>
          <w:rFonts w:eastAsiaTheme="minorEastAsia"/>
          <w:color w:val="000000"/>
          <w:lang w:val="ar-SA" w:eastAsia="zh-TW" w:bidi="en-GB"/>
        </w:rPr>
      </w:pPr>
      <w:r w:rsidRPr="001A0537">
        <w:rPr>
          <w:rFonts w:eastAsiaTheme="minorEastAsia"/>
          <w:rtl/>
        </w:rPr>
        <w:t>22</w:t>
      </w:r>
      <w:r w:rsidRPr="009C3BAB">
        <w:rPr>
          <w:rFonts w:eastAsiaTheme="minorEastAsia"/>
          <w:rtl/>
        </w:rPr>
        <w:t>-</w:t>
      </w:r>
      <w:r w:rsidRPr="009C3BAB">
        <w:rPr>
          <w:rFonts w:eastAsiaTheme="minorEastAsia"/>
          <w:rtl/>
        </w:rPr>
        <w:tab/>
        <w:t>تحيط اللجنة علماً بالتدابير التي اتخذتها الدولة الطرف لتحسين ظروف الاحتجاز وخفض مستويات الإشغال في السجون، بما في ذلك تطبيق بدائل غير احتجازية، وترتيبات الإفراج المبكر، والاستثمار في الهياكل الأساسية. ووفقاً للمعلومات التي قدمتها الدولة الطرف، تبلغ نسبة إشغال السجون</w:t>
      </w:r>
      <w:r w:rsidR="00497EFB">
        <w:rPr>
          <w:rFonts w:eastAsiaTheme="minorEastAsia" w:hint="cs"/>
          <w:rtl/>
        </w:rPr>
        <w:t> </w:t>
      </w:r>
      <w:r w:rsidRPr="001A0537">
        <w:rPr>
          <w:rFonts w:eastAsiaTheme="minorEastAsia"/>
          <w:rtl/>
        </w:rPr>
        <w:t>81</w:t>
      </w:r>
      <w:r w:rsidRPr="009C3BAB">
        <w:rPr>
          <w:rFonts w:eastAsiaTheme="minorEastAsia"/>
          <w:rtl/>
        </w:rPr>
        <w:t xml:space="preserve"> في </w:t>
      </w:r>
      <w:proofErr w:type="gramStart"/>
      <w:r w:rsidRPr="009C3BAB">
        <w:rPr>
          <w:rFonts w:eastAsiaTheme="minorEastAsia"/>
          <w:rtl/>
        </w:rPr>
        <w:t>المائة</w:t>
      </w:r>
      <w:proofErr w:type="gramEnd"/>
      <w:r w:rsidRPr="009C3BAB">
        <w:rPr>
          <w:rFonts w:eastAsiaTheme="minorEastAsia"/>
          <w:rtl/>
        </w:rPr>
        <w:t xml:space="preserve"> من طاقتها الاستيعابية، ولكن لا توجد إحصاءات رسمية محدثة عن نزلاء السجون. وخلال الحوار، ذُكِر أن مكتب النائب العام أجرى </w:t>
      </w:r>
      <w:r w:rsidRPr="001A0537">
        <w:rPr>
          <w:rFonts w:eastAsiaTheme="minorEastAsia"/>
          <w:rtl/>
        </w:rPr>
        <w:t>160</w:t>
      </w:r>
      <w:r w:rsidRPr="009C3BAB">
        <w:rPr>
          <w:rFonts w:eastAsiaTheme="minorEastAsia"/>
          <w:rtl/>
        </w:rPr>
        <w:t xml:space="preserve"> </w:t>
      </w:r>
      <w:r w:rsidRPr="001A0537">
        <w:rPr>
          <w:rFonts w:eastAsiaTheme="minorEastAsia"/>
          <w:rtl/>
        </w:rPr>
        <w:t>39</w:t>
      </w:r>
      <w:r w:rsidRPr="009C3BAB">
        <w:rPr>
          <w:rFonts w:eastAsiaTheme="minorEastAsia"/>
          <w:rtl/>
        </w:rPr>
        <w:t xml:space="preserve"> عملية تفتيش للسجون ومرافق الاحتجاز بين عامي </w:t>
      </w:r>
      <w:r w:rsidRPr="001A0537">
        <w:rPr>
          <w:rFonts w:eastAsiaTheme="minorEastAsia"/>
          <w:rtl/>
        </w:rPr>
        <w:t>2017</w:t>
      </w:r>
      <w:r w:rsidRPr="009C3BAB">
        <w:rPr>
          <w:rFonts w:eastAsiaTheme="minorEastAsia"/>
          <w:rtl/>
        </w:rPr>
        <w:t xml:space="preserve"> و</w:t>
      </w:r>
      <w:r w:rsidRPr="001A0537">
        <w:rPr>
          <w:rFonts w:eastAsiaTheme="minorEastAsia"/>
          <w:rtl/>
        </w:rPr>
        <w:t>202</w:t>
      </w:r>
      <w:r w:rsidR="00667949" w:rsidRPr="001A0537">
        <w:rPr>
          <w:rFonts w:eastAsiaTheme="minorEastAsia"/>
          <w:color w:val="000000"/>
          <w:rtl/>
        </w:rPr>
        <w:t>1</w:t>
      </w:r>
      <w:r w:rsidR="00667949" w:rsidRPr="00667949">
        <w:rPr>
          <w:rFonts w:eastAsiaTheme="minorEastAsia"/>
          <w:color w:val="000000"/>
          <w:rtl/>
        </w:rPr>
        <w:t xml:space="preserve">. </w:t>
      </w:r>
      <w:r w:rsidRPr="009C3BAB">
        <w:rPr>
          <w:rFonts w:eastAsiaTheme="minorEastAsia"/>
          <w:rtl/>
        </w:rPr>
        <w:t xml:space="preserve">بيد أن اللجنة لا تزال تشعر بقلق بالغ إزاء التقارير التي تفيد بأن ظروف الاحتجاز غير ملائمة، كما هو الحال في سجن لا </w:t>
      </w:r>
      <w:proofErr w:type="spellStart"/>
      <w:r w:rsidRPr="009C3BAB">
        <w:rPr>
          <w:rFonts w:eastAsiaTheme="minorEastAsia"/>
          <w:rtl/>
        </w:rPr>
        <w:t>كونديسا</w:t>
      </w:r>
      <w:proofErr w:type="spellEnd"/>
      <w:r w:rsidRPr="009C3BAB">
        <w:rPr>
          <w:rFonts w:eastAsiaTheme="minorEastAsia"/>
          <w:rtl/>
        </w:rPr>
        <w:t xml:space="preserve"> في </w:t>
      </w:r>
      <w:proofErr w:type="spellStart"/>
      <w:r w:rsidRPr="009C3BAB">
        <w:rPr>
          <w:rFonts w:eastAsiaTheme="minorEastAsia"/>
          <w:rtl/>
        </w:rPr>
        <w:t>مايابيكي</w:t>
      </w:r>
      <w:proofErr w:type="spellEnd"/>
      <w:r w:rsidRPr="009C3BAB">
        <w:rPr>
          <w:rFonts w:eastAsiaTheme="minorEastAsia"/>
          <w:rtl/>
        </w:rPr>
        <w:t xml:space="preserve">. ومما يثير القلق بوجه خاص التقارير المتعلقة بالاكتظاظ والظروف غير الصحية ونقص التهوية ونقص الرعاية الطبية وسوء التغذية وعدم كفاية مياه الشرب والأدوية؛ والتقارير المتعلقة بعدد كبير من الإضرابات عن الطعام؛ والادعاءات المتعلقة بممارسة سوء المعاملة والتعذيب بصورة منهجية ضد السجناء، بما في ذلك الإساءة البدنية واللفظية، </w:t>
      </w:r>
      <w:r w:rsidRPr="009C3BAB">
        <w:rPr>
          <w:rFonts w:eastAsiaTheme="minorEastAsia"/>
          <w:rtl/>
        </w:rPr>
        <w:lastRenderedPageBreak/>
        <w:t xml:space="preserve">والقيود غير المبررة المفروضة على الزيارة، والنقل إلى سجون بعيدة عن أسرة السجين، والحبس الانفرادي المطول (المادتان </w:t>
      </w:r>
      <w:r w:rsidRPr="001A0537">
        <w:rPr>
          <w:rFonts w:eastAsiaTheme="minorEastAsia"/>
          <w:rtl/>
        </w:rPr>
        <w:t>11</w:t>
      </w:r>
      <w:r w:rsidRPr="009C3BAB">
        <w:rPr>
          <w:rFonts w:eastAsiaTheme="minorEastAsia"/>
          <w:rtl/>
        </w:rPr>
        <w:t xml:space="preserve"> و</w:t>
      </w:r>
      <w:r w:rsidRPr="001A0537">
        <w:rPr>
          <w:rFonts w:eastAsiaTheme="minorEastAsia"/>
          <w:rtl/>
        </w:rPr>
        <w:t>16</w:t>
      </w:r>
      <w:r w:rsidRPr="009C3BAB">
        <w:rPr>
          <w:rFonts w:eastAsiaTheme="minorEastAsia"/>
          <w:rtl/>
        </w:rPr>
        <w:t>)</w:t>
      </w:r>
      <w:r w:rsidR="00667949" w:rsidRPr="001A0537">
        <w:rPr>
          <w:rStyle w:val="FootnoteReference"/>
          <w:szCs w:val="22"/>
          <w:rtl/>
        </w:rPr>
        <w:t>(</w:t>
      </w:r>
      <w:r w:rsidR="00667949" w:rsidRPr="001A0537">
        <w:rPr>
          <w:rStyle w:val="FootnoteReference"/>
          <w:szCs w:val="22"/>
          <w:lang w:val="en-US"/>
        </w:rPr>
        <w:footnoteReference w:id="10"/>
      </w:r>
      <w:r w:rsidR="00667949" w:rsidRPr="00667949">
        <w:rPr>
          <w:rStyle w:val="FootnoteReference"/>
          <w:color w:val="000000"/>
          <w:szCs w:val="22"/>
          <w:rtl/>
        </w:rPr>
        <w:t>)</w:t>
      </w:r>
      <w:r w:rsidR="00667949" w:rsidRPr="00667949">
        <w:rPr>
          <w:rFonts w:eastAsiaTheme="minorEastAsia"/>
          <w:color w:val="000000"/>
          <w:rtl/>
        </w:rPr>
        <w:t>.</w:t>
      </w:r>
    </w:p>
    <w:p w14:paraId="2B379F2F" w14:textId="68D42BA0" w:rsidR="009C3BAB" w:rsidRPr="001A0537" w:rsidRDefault="009C3BAB" w:rsidP="009C3BAB">
      <w:pPr>
        <w:pStyle w:val="SingleTxtGA"/>
        <w:rPr>
          <w:rFonts w:eastAsiaTheme="minorEastAsia"/>
          <w:bCs/>
          <w:lang w:val="ar-SA" w:eastAsia="zh-TW" w:bidi="en-GB"/>
        </w:rPr>
      </w:pPr>
      <w:r w:rsidRPr="001A0537">
        <w:rPr>
          <w:rFonts w:eastAsiaTheme="minorEastAsia"/>
          <w:rtl/>
        </w:rPr>
        <w:t>23</w:t>
      </w:r>
      <w:r w:rsidRPr="009C3BAB">
        <w:rPr>
          <w:rFonts w:eastAsiaTheme="minorEastAsia"/>
          <w:rtl/>
        </w:rPr>
        <w:t>-</w:t>
      </w:r>
      <w:r w:rsidRPr="0085568A">
        <w:rPr>
          <w:rFonts w:eastAsiaTheme="minorEastAsia"/>
          <w:bCs/>
          <w:rtl/>
        </w:rPr>
        <w:tab/>
      </w:r>
      <w:r w:rsidRPr="001A0537">
        <w:rPr>
          <w:rFonts w:eastAsiaTheme="minorEastAsia"/>
          <w:bCs/>
          <w:rtl/>
        </w:rPr>
        <w:t>تحث اللجنة الدولة الطرف على ما يلي:</w:t>
      </w:r>
    </w:p>
    <w:p w14:paraId="2FA2ED66" w14:textId="7EE43068" w:rsidR="00667949" w:rsidRPr="001A0537" w:rsidRDefault="009C3BAB" w:rsidP="009C3BAB">
      <w:pPr>
        <w:pStyle w:val="SingleTxtGA"/>
        <w:rPr>
          <w:rFonts w:eastAsiaTheme="minorEastAsia"/>
          <w:bCs/>
          <w:color w:val="000000"/>
          <w:lang w:val="ar-SA" w:eastAsia="zh-TW" w:bidi="en-GB"/>
        </w:rPr>
      </w:pPr>
      <w:r w:rsidRPr="001A0537">
        <w:rPr>
          <w:rFonts w:eastAsiaTheme="minorEastAsia"/>
          <w:b/>
          <w:rtl/>
        </w:rPr>
        <w:tab/>
        <w:t>(</w:t>
      </w:r>
      <w:r w:rsidRPr="009C3BAB">
        <w:rPr>
          <w:rFonts w:eastAsiaTheme="minorEastAsia"/>
          <w:rtl/>
        </w:rPr>
        <w:t>أ)</w:t>
      </w:r>
      <w:r w:rsidRPr="009C3BAB">
        <w:rPr>
          <w:rFonts w:eastAsiaTheme="minorEastAsia"/>
          <w:rtl/>
        </w:rPr>
        <w:tab/>
      </w:r>
      <w:r w:rsidRPr="001A0537">
        <w:rPr>
          <w:rFonts w:eastAsiaTheme="minorEastAsia"/>
          <w:bCs/>
          <w:rtl/>
        </w:rPr>
        <w:t>الاستمرار في تحسين ظروف الاحتجاز، ولا سيما من خلال تطبيق تدابير غير احتجازية.</w:t>
      </w:r>
      <w:r w:rsidRPr="0085568A">
        <w:rPr>
          <w:rFonts w:eastAsiaTheme="minorEastAsia"/>
          <w:bCs/>
          <w:rtl/>
        </w:rPr>
        <w:t xml:space="preserve"> </w:t>
      </w:r>
      <w:r w:rsidRPr="001A0537">
        <w:rPr>
          <w:rFonts w:eastAsiaTheme="minorEastAsia"/>
          <w:bCs/>
          <w:rtl/>
        </w:rPr>
        <w:t xml:space="preserve">وتوجه اللجنة في هذا الصدد انتباه الدولة الطرف إلى قواعد الأمم المتحدة الدنيا النموذجية للتدابير غير </w:t>
      </w:r>
      <w:proofErr w:type="spellStart"/>
      <w:r w:rsidRPr="001A0537">
        <w:rPr>
          <w:rFonts w:eastAsiaTheme="minorEastAsia"/>
          <w:bCs/>
          <w:rtl/>
        </w:rPr>
        <w:t>الاحتجازية</w:t>
      </w:r>
      <w:proofErr w:type="spellEnd"/>
      <w:r w:rsidRPr="001A0537">
        <w:rPr>
          <w:rFonts w:eastAsiaTheme="minorEastAsia"/>
          <w:bCs/>
          <w:rtl/>
        </w:rPr>
        <w:t xml:space="preserve"> (قواعد طوكيو) وقواعد الأمم المتحدة لمعاملة السجينات والتدابير غير </w:t>
      </w:r>
      <w:proofErr w:type="spellStart"/>
      <w:r w:rsidRPr="001A0537">
        <w:rPr>
          <w:rFonts w:eastAsiaTheme="minorEastAsia"/>
          <w:bCs/>
          <w:rtl/>
        </w:rPr>
        <w:t>الاحتجازية</w:t>
      </w:r>
      <w:proofErr w:type="spellEnd"/>
      <w:r w:rsidRPr="001A0537">
        <w:rPr>
          <w:rFonts w:eastAsiaTheme="minorEastAsia"/>
          <w:bCs/>
          <w:rtl/>
        </w:rPr>
        <w:t xml:space="preserve"> للمجرمات (قواعد بانكوك</w:t>
      </w:r>
      <w:r w:rsidR="00667949" w:rsidRPr="001A0537">
        <w:rPr>
          <w:rFonts w:eastAsiaTheme="minorEastAsia"/>
          <w:bCs/>
          <w:color w:val="000000"/>
          <w:rtl/>
        </w:rPr>
        <w:t>)؛</w:t>
      </w:r>
    </w:p>
    <w:p w14:paraId="0592B636" w14:textId="187A37C7" w:rsidR="009C3BAB" w:rsidRPr="001A0537" w:rsidRDefault="009C3BAB" w:rsidP="009C3BAB">
      <w:pPr>
        <w:pStyle w:val="SingleTxtGA"/>
        <w:rPr>
          <w:rFonts w:eastAsiaTheme="minorEastAsia"/>
          <w:bCs/>
          <w:lang w:val="ar-SA" w:eastAsia="zh-TW" w:bidi="en-GB"/>
        </w:rPr>
      </w:pPr>
      <w:r w:rsidRPr="001A0537">
        <w:rPr>
          <w:rFonts w:eastAsiaTheme="minorEastAsia"/>
          <w:b/>
          <w:rtl/>
        </w:rPr>
        <w:tab/>
        <w:t>(</w:t>
      </w:r>
      <w:r w:rsidRPr="00371B6F">
        <w:rPr>
          <w:rFonts w:eastAsiaTheme="minorEastAsia"/>
          <w:b/>
          <w:rtl/>
        </w:rPr>
        <w:t>ب)</w:t>
      </w:r>
      <w:r w:rsidRPr="009C3BAB">
        <w:rPr>
          <w:rFonts w:eastAsiaTheme="minorEastAsia"/>
          <w:rtl/>
        </w:rPr>
        <w:tab/>
      </w:r>
      <w:r w:rsidRPr="001A0537">
        <w:rPr>
          <w:rFonts w:eastAsiaTheme="minorEastAsia"/>
          <w:bCs/>
          <w:rtl/>
        </w:rPr>
        <w:t>تخصيص الموارد اللازمة لمواصلة برامج تجديد السجون وإعادة تأهيلها، وضمان حصول السجناء على الوجبات المناسبة، ومياه الشرب، والرعاية الطبية والصحية، وتحسين ظروف النظافة والصرف الصحي في مراكز الاحتجاز؛</w:t>
      </w:r>
    </w:p>
    <w:p w14:paraId="08F0A91E" w14:textId="5FA6453A" w:rsidR="00667949" w:rsidRPr="001A0537" w:rsidRDefault="009C3BAB" w:rsidP="009C3BAB">
      <w:pPr>
        <w:pStyle w:val="SingleTxtGA"/>
        <w:rPr>
          <w:rFonts w:eastAsiaTheme="minorEastAsia"/>
          <w:bCs/>
          <w:color w:val="000000"/>
          <w:lang w:val="ar-SA" w:eastAsia="zh-TW" w:bidi="en-GB"/>
        </w:rPr>
      </w:pPr>
      <w:r w:rsidRPr="001A0537">
        <w:rPr>
          <w:rFonts w:eastAsiaTheme="minorEastAsia"/>
          <w:b/>
          <w:rtl/>
        </w:rPr>
        <w:tab/>
        <w:t>(</w:t>
      </w:r>
      <w:r w:rsidRPr="00371B6F">
        <w:rPr>
          <w:rFonts w:eastAsiaTheme="minorEastAsia"/>
          <w:b/>
          <w:rtl/>
        </w:rPr>
        <w:t>ج)</w:t>
      </w:r>
      <w:r w:rsidRPr="009C3BAB">
        <w:rPr>
          <w:rFonts w:eastAsiaTheme="minorEastAsia"/>
          <w:rtl/>
        </w:rPr>
        <w:tab/>
      </w:r>
      <w:r w:rsidRPr="001A0537">
        <w:rPr>
          <w:rFonts w:eastAsiaTheme="minorEastAsia"/>
          <w:bCs/>
          <w:rtl/>
        </w:rPr>
        <w:t>مواءمة تشريعاتها وممارساتها المتعلقة بالحبس الانفرادي مع المعايير الدولية، ولا</w:t>
      </w:r>
      <w:r w:rsidR="009A7F5B">
        <w:rPr>
          <w:rFonts w:eastAsiaTheme="minorEastAsia" w:hint="cs"/>
          <w:bCs/>
          <w:rtl/>
        </w:rPr>
        <w:t> </w:t>
      </w:r>
      <w:r w:rsidRPr="001A0537">
        <w:rPr>
          <w:rFonts w:eastAsiaTheme="minorEastAsia"/>
          <w:bCs/>
          <w:rtl/>
        </w:rPr>
        <w:t>سيما مع القواعد من 43 إلى 46 من قواعد الأمم المتحدة النموذجية الدنيا لمعاملة السجناء (قواعد</w:t>
      </w:r>
      <w:r w:rsidR="00D9525A" w:rsidRPr="001A0537">
        <w:rPr>
          <w:rFonts w:eastAsiaTheme="minorEastAsia" w:hint="cs"/>
          <w:bCs/>
          <w:rtl/>
        </w:rPr>
        <w:t> </w:t>
      </w:r>
      <w:r w:rsidRPr="001A0537">
        <w:rPr>
          <w:rFonts w:eastAsiaTheme="minorEastAsia"/>
          <w:bCs/>
          <w:rtl/>
        </w:rPr>
        <w:t>نيلسون</w:t>
      </w:r>
      <w:r w:rsidR="00497EFB" w:rsidRPr="001A0537">
        <w:rPr>
          <w:rFonts w:eastAsiaTheme="minorEastAsia" w:hint="cs"/>
          <w:bCs/>
          <w:rtl/>
        </w:rPr>
        <w:t> </w:t>
      </w:r>
      <w:r w:rsidRPr="001A0537">
        <w:rPr>
          <w:rFonts w:eastAsiaTheme="minorEastAsia"/>
          <w:bCs/>
          <w:rtl/>
        </w:rPr>
        <w:t>مانديلا</w:t>
      </w:r>
      <w:r w:rsidR="00667949" w:rsidRPr="001A0537">
        <w:rPr>
          <w:rFonts w:eastAsiaTheme="minorEastAsia"/>
          <w:bCs/>
          <w:color w:val="000000"/>
          <w:rtl/>
        </w:rPr>
        <w:t>).</w:t>
      </w:r>
    </w:p>
    <w:p w14:paraId="01BB060E" w14:textId="13949B6C" w:rsidR="009C3BAB" w:rsidRPr="001A0537" w:rsidRDefault="009C3BAB" w:rsidP="009C3BAB">
      <w:pPr>
        <w:pStyle w:val="SingleTxtGA"/>
        <w:rPr>
          <w:rFonts w:eastAsiaTheme="minorEastAsia"/>
          <w:bCs/>
          <w:lang w:val="ar-SA" w:eastAsia="zh-TW" w:bidi="en-GB"/>
        </w:rPr>
      </w:pPr>
      <w:r w:rsidRPr="001A0537">
        <w:rPr>
          <w:rFonts w:eastAsiaTheme="minorEastAsia"/>
          <w:b/>
          <w:rtl/>
        </w:rPr>
        <w:tab/>
        <w:t>(</w:t>
      </w:r>
      <w:r w:rsidRPr="009C3BAB">
        <w:rPr>
          <w:rFonts w:eastAsiaTheme="minorEastAsia"/>
          <w:rtl/>
        </w:rPr>
        <w:t>د)</w:t>
      </w:r>
      <w:r w:rsidRPr="009C3BAB">
        <w:rPr>
          <w:rFonts w:eastAsiaTheme="minorEastAsia"/>
          <w:rtl/>
        </w:rPr>
        <w:tab/>
      </w:r>
      <w:r w:rsidRPr="001A0537">
        <w:rPr>
          <w:rFonts w:eastAsiaTheme="minorEastAsia"/>
          <w:bCs/>
          <w:rtl/>
        </w:rPr>
        <w:t>ضمان فتح تحقيق كلما كانت هناك أسباب معقولة للاعتقاد بأن عملاً من أعمال التعذيب أو سوء المعاملة قد ارتُكِب، والتحقيق في القيود التعسفية أو غير المبررة المفروضة على حقوق</w:t>
      </w:r>
      <w:r w:rsidRPr="001A0537">
        <w:rPr>
          <w:rFonts w:eastAsiaTheme="minorEastAsia" w:hint="cs"/>
          <w:bCs/>
          <w:rtl/>
        </w:rPr>
        <w:t> </w:t>
      </w:r>
      <w:r w:rsidRPr="001A0537">
        <w:rPr>
          <w:rFonts w:eastAsiaTheme="minorEastAsia"/>
          <w:bCs/>
          <w:rtl/>
        </w:rPr>
        <w:t>المحتجزين.</w:t>
      </w:r>
    </w:p>
    <w:p w14:paraId="7EE3FB62" w14:textId="77777777" w:rsidR="009C3BAB" w:rsidRPr="001A0537" w:rsidRDefault="009C3BAB" w:rsidP="009C3BAB">
      <w:pPr>
        <w:pStyle w:val="H23GA"/>
        <w:rPr>
          <w:lang w:val="ar-SA" w:eastAsia="zh-TW" w:bidi="en-GB"/>
        </w:rPr>
      </w:pPr>
      <w:r w:rsidRPr="001A0537">
        <w:rPr>
          <w:rtl/>
        </w:rPr>
        <w:tab/>
      </w:r>
      <w:r w:rsidRPr="001A0537">
        <w:rPr>
          <w:rtl/>
        </w:rPr>
        <w:tab/>
        <w:t>الاحتجاز السابق للمحاكمة</w:t>
      </w:r>
    </w:p>
    <w:p w14:paraId="48B88BB1" w14:textId="3B7210A6" w:rsidR="00667949" w:rsidRPr="00371B6F" w:rsidRDefault="009C3BAB" w:rsidP="009C3BAB">
      <w:pPr>
        <w:pStyle w:val="SingleTxtGA"/>
        <w:rPr>
          <w:rFonts w:eastAsiaTheme="minorEastAsia"/>
          <w:color w:val="000000"/>
          <w:spacing w:val="-4"/>
          <w:lang w:val="ar-SA" w:eastAsia="zh-TW" w:bidi="en-GB"/>
        </w:rPr>
      </w:pPr>
      <w:r w:rsidRPr="001A0537">
        <w:rPr>
          <w:rFonts w:eastAsiaTheme="minorEastAsia"/>
          <w:rtl/>
        </w:rPr>
        <w:t>24</w:t>
      </w:r>
      <w:r w:rsidRPr="009C3BAB">
        <w:rPr>
          <w:rFonts w:eastAsiaTheme="minorEastAsia"/>
          <w:rtl/>
        </w:rPr>
        <w:t>-</w:t>
      </w:r>
      <w:r w:rsidRPr="009C3BAB">
        <w:rPr>
          <w:rFonts w:eastAsiaTheme="minorEastAsia"/>
          <w:rtl/>
        </w:rPr>
        <w:tab/>
      </w:r>
      <w:r w:rsidRPr="00371B6F">
        <w:rPr>
          <w:rFonts w:eastAsiaTheme="minorEastAsia"/>
          <w:spacing w:val="-4"/>
          <w:rtl/>
        </w:rPr>
        <w:t xml:space="preserve">يساور اللجنة القلق إزاء التقارير المتعلقة بالاحتجاز المطول قبل المحاكمة، ولا سيما في حالة الأشخاص الذين يدعى أنهم سُلِبوا حريتهم لأسباب سياسية، على الرغم من الطابع الاستثنائي لهذا التدبير الاحترازي (المادة </w:t>
      </w:r>
      <w:r w:rsidRPr="001A0537">
        <w:rPr>
          <w:rFonts w:eastAsiaTheme="minorEastAsia"/>
          <w:spacing w:val="-4"/>
          <w:rtl/>
        </w:rPr>
        <w:t>356</w:t>
      </w:r>
      <w:r w:rsidRPr="00371B6F">
        <w:rPr>
          <w:rFonts w:eastAsiaTheme="minorEastAsia"/>
          <w:spacing w:val="-4"/>
          <w:rtl/>
        </w:rPr>
        <w:t xml:space="preserve"> من قانون الإجراءات الجنائية</w:t>
      </w:r>
      <w:r w:rsidR="00667949" w:rsidRPr="00371B6F">
        <w:rPr>
          <w:rFonts w:eastAsiaTheme="minorEastAsia"/>
          <w:color w:val="000000"/>
          <w:spacing w:val="-4"/>
          <w:rtl/>
        </w:rPr>
        <w:t xml:space="preserve">). </w:t>
      </w:r>
      <w:r w:rsidRPr="00371B6F">
        <w:rPr>
          <w:rFonts w:eastAsiaTheme="minorEastAsia"/>
          <w:spacing w:val="-4"/>
          <w:rtl/>
        </w:rPr>
        <w:t xml:space="preserve">وتحيط اللجنة علماً بالمعلومات التي قدمتها الدولة الطرف بأن نحو </w:t>
      </w:r>
      <w:r w:rsidRPr="001A0537">
        <w:rPr>
          <w:rFonts w:eastAsiaTheme="minorEastAsia"/>
          <w:spacing w:val="-4"/>
          <w:rtl/>
        </w:rPr>
        <w:t>12</w:t>
      </w:r>
      <w:r w:rsidRPr="00371B6F">
        <w:rPr>
          <w:rFonts w:eastAsiaTheme="minorEastAsia"/>
          <w:spacing w:val="-4"/>
          <w:rtl/>
        </w:rPr>
        <w:t xml:space="preserve"> في </w:t>
      </w:r>
      <w:proofErr w:type="gramStart"/>
      <w:r w:rsidRPr="00371B6F">
        <w:rPr>
          <w:rFonts w:eastAsiaTheme="minorEastAsia"/>
          <w:spacing w:val="-4"/>
          <w:rtl/>
        </w:rPr>
        <w:t>المائة</w:t>
      </w:r>
      <w:proofErr w:type="gramEnd"/>
      <w:r w:rsidRPr="00371B6F">
        <w:rPr>
          <w:rFonts w:eastAsiaTheme="minorEastAsia"/>
          <w:spacing w:val="-4"/>
          <w:rtl/>
        </w:rPr>
        <w:t xml:space="preserve"> من السجناء محتجزون في إطار الاحتجاز السابق للمحاكمة وأن تحسينات أُدخِلت على رصد معالجة المدعين العامين لملفات القضايا الأولية وفي تسجيل الأشخاص مسلوبي الحرية</w:t>
      </w:r>
      <w:r w:rsidR="00497EFB" w:rsidRPr="00371B6F">
        <w:rPr>
          <w:rFonts w:eastAsiaTheme="minorEastAsia" w:hint="cs"/>
          <w:spacing w:val="-4"/>
          <w:rtl/>
        </w:rPr>
        <w:t> </w:t>
      </w:r>
      <w:r w:rsidRPr="00371B6F">
        <w:rPr>
          <w:rFonts w:eastAsiaTheme="minorEastAsia"/>
          <w:spacing w:val="-4"/>
          <w:rtl/>
        </w:rPr>
        <w:t xml:space="preserve">في مرافق وزارة الداخلية، بيد أنها تأسف لعدم وجود بيانات إحصائية مفصلة عن عدد الأشخاص مسلوبي الحرية، بمن فيهم المحتجزون في إطار الاحتجاز السابق للمحاكمة، ولعدم شفافية نظام السجون (المواد </w:t>
      </w:r>
      <w:r w:rsidRPr="001A0537">
        <w:rPr>
          <w:rFonts w:eastAsiaTheme="minorEastAsia"/>
          <w:spacing w:val="-4"/>
          <w:rtl/>
        </w:rPr>
        <w:t>2</w:t>
      </w:r>
      <w:r w:rsidRPr="00371B6F">
        <w:rPr>
          <w:rFonts w:eastAsiaTheme="minorEastAsia"/>
          <w:spacing w:val="-4"/>
          <w:rtl/>
        </w:rPr>
        <w:t xml:space="preserve"> و</w:t>
      </w:r>
      <w:r w:rsidRPr="001A0537">
        <w:rPr>
          <w:rFonts w:eastAsiaTheme="minorEastAsia"/>
          <w:spacing w:val="-4"/>
          <w:rtl/>
        </w:rPr>
        <w:t>11</w:t>
      </w:r>
      <w:r w:rsidRPr="00371B6F">
        <w:rPr>
          <w:rFonts w:eastAsiaTheme="minorEastAsia"/>
          <w:spacing w:val="-4"/>
          <w:rtl/>
        </w:rPr>
        <w:t xml:space="preserve"> و</w:t>
      </w:r>
      <w:r w:rsidRPr="001A0537">
        <w:rPr>
          <w:rFonts w:eastAsiaTheme="minorEastAsia"/>
          <w:spacing w:val="-4"/>
          <w:rtl/>
        </w:rPr>
        <w:t>1</w:t>
      </w:r>
      <w:r w:rsidR="00667949" w:rsidRPr="001A0537">
        <w:rPr>
          <w:rFonts w:eastAsiaTheme="minorEastAsia"/>
          <w:color w:val="000000"/>
          <w:spacing w:val="-4"/>
          <w:rtl/>
        </w:rPr>
        <w:t>6</w:t>
      </w:r>
      <w:r w:rsidR="00667949" w:rsidRPr="00371B6F">
        <w:rPr>
          <w:rFonts w:eastAsiaTheme="minorEastAsia"/>
          <w:color w:val="000000"/>
          <w:spacing w:val="-4"/>
          <w:rtl/>
        </w:rPr>
        <w:t>).</w:t>
      </w:r>
    </w:p>
    <w:p w14:paraId="45473BBD" w14:textId="6AD3EE33" w:rsidR="009C3BAB" w:rsidRPr="001A0537" w:rsidRDefault="009C3BAB" w:rsidP="009C3BAB">
      <w:pPr>
        <w:pStyle w:val="SingleTxtGA"/>
        <w:rPr>
          <w:rFonts w:eastAsiaTheme="minorEastAsia"/>
          <w:bCs/>
          <w:lang w:val="ar-SA" w:eastAsia="zh-TW" w:bidi="en-GB"/>
        </w:rPr>
      </w:pPr>
      <w:r w:rsidRPr="001A0537">
        <w:rPr>
          <w:rFonts w:eastAsiaTheme="minorEastAsia"/>
          <w:rtl/>
        </w:rPr>
        <w:t>25</w:t>
      </w:r>
      <w:r w:rsidRPr="009C3BAB">
        <w:rPr>
          <w:rFonts w:eastAsiaTheme="minorEastAsia"/>
          <w:rtl/>
        </w:rPr>
        <w:t>-</w:t>
      </w:r>
      <w:r w:rsidRPr="009C3BAB">
        <w:rPr>
          <w:rFonts w:eastAsiaTheme="minorEastAsia"/>
          <w:rtl/>
        </w:rPr>
        <w:tab/>
      </w:r>
      <w:r w:rsidRPr="001A0537">
        <w:rPr>
          <w:rFonts w:eastAsiaTheme="minorEastAsia"/>
          <w:bCs/>
          <w:rtl/>
        </w:rPr>
        <w:t>توصي اللجنة الدولة الطرف باتخاذ التدابير اللازمة لضمان عدم استخدام الاحتجاز السابق للمحاكمة إلا بصورة استثنائية ولأقصر فترة ممكنة ولفترة لا تتجاوز الفترة التي ينص عليها القانون.</w:t>
      </w:r>
      <w:r w:rsidRPr="0085568A">
        <w:rPr>
          <w:rFonts w:eastAsiaTheme="minorEastAsia"/>
          <w:bCs/>
          <w:rtl/>
        </w:rPr>
        <w:t xml:space="preserve"> </w:t>
      </w:r>
      <w:r w:rsidRPr="001A0537">
        <w:rPr>
          <w:rFonts w:eastAsiaTheme="minorEastAsia"/>
          <w:bCs/>
          <w:rtl/>
        </w:rPr>
        <w:t>وينبغي للدولة أيضاً أن تحتفظ بسجل محدَّث للأشخاص مسلوبي الحرية مصنف حسب الاسم والجنس والسن والإثنية أو الجنسية وحالة الإعاقة والوضع الإجرائي ومكان الاحتجاز.</w:t>
      </w:r>
    </w:p>
    <w:p w14:paraId="58CB8AF0" w14:textId="77777777" w:rsidR="009C3BAB" w:rsidRPr="001A0537" w:rsidRDefault="009C3BAB" w:rsidP="009C3BAB">
      <w:pPr>
        <w:pStyle w:val="H23GA"/>
        <w:rPr>
          <w:lang w:val="ar-SA" w:eastAsia="zh-TW" w:bidi="en-GB"/>
        </w:rPr>
      </w:pPr>
      <w:r w:rsidRPr="001A0537">
        <w:rPr>
          <w:rtl/>
        </w:rPr>
        <w:tab/>
      </w:r>
      <w:r w:rsidRPr="001A0537">
        <w:rPr>
          <w:rtl/>
        </w:rPr>
        <w:tab/>
        <w:t>تشكيل خطر على المجتمع والتحذيرات الرسمية وإجراءات الأمن الوقائي والتحريض على الفتن</w:t>
      </w:r>
    </w:p>
    <w:p w14:paraId="755E3D10" w14:textId="1E322BAB" w:rsidR="00667949" w:rsidRPr="00371B6F" w:rsidRDefault="009C3BAB" w:rsidP="009C3BAB">
      <w:pPr>
        <w:pStyle w:val="SingleTxtGA"/>
        <w:rPr>
          <w:rFonts w:eastAsiaTheme="minorEastAsia"/>
          <w:color w:val="000000"/>
          <w:spacing w:val="-4"/>
          <w:lang w:val="ar-SA" w:eastAsia="zh-TW" w:bidi="en-GB"/>
        </w:rPr>
      </w:pPr>
      <w:r w:rsidRPr="001A0537">
        <w:rPr>
          <w:rFonts w:eastAsiaTheme="minorEastAsia"/>
          <w:rtl/>
        </w:rPr>
        <w:t>26</w:t>
      </w:r>
      <w:r w:rsidRPr="009C3BAB">
        <w:rPr>
          <w:rFonts w:eastAsiaTheme="minorEastAsia"/>
          <w:rtl/>
        </w:rPr>
        <w:t>-</w:t>
      </w:r>
      <w:r w:rsidRPr="009C3BAB">
        <w:rPr>
          <w:rFonts w:eastAsiaTheme="minorEastAsia"/>
          <w:rtl/>
        </w:rPr>
        <w:tab/>
      </w:r>
      <w:r w:rsidRPr="00371B6F">
        <w:rPr>
          <w:rFonts w:eastAsiaTheme="minorEastAsia"/>
          <w:spacing w:val="-4"/>
          <w:rtl/>
        </w:rPr>
        <w:t>تعرب اللجنة عن أسفها لأن القانون الجنائي يبقي جرائم جنائية قائمة على مفاهيم ذاتية مثل</w:t>
      </w:r>
      <w:r w:rsidR="00A5352C" w:rsidRPr="00371B6F">
        <w:rPr>
          <w:rFonts w:eastAsiaTheme="minorEastAsia" w:hint="cs"/>
          <w:spacing w:val="-4"/>
          <w:rtl/>
        </w:rPr>
        <w:t> </w:t>
      </w:r>
      <w:r w:rsidRPr="00371B6F">
        <w:rPr>
          <w:rFonts w:eastAsiaTheme="minorEastAsia"/>
          <w:spacing w:val="-4"/>
          <w:rtl/>
        </w:rPr>
        <w:t xml:space="preserve">"تشكيل خطر على المجتمع" (المواد </w:t>
      </w:r>
      <w:r w:rsidRPr="001A0537">
        <w:rPr>
          <w:rFonts w:eastAsiaTheme="minorEastAsia"/>
          <w:spacing w:val="-4"/>
          <w:rtl/>
        </w:rPr>
        <w:t>72</w:t>
      </w:r>
      <w:r w:rsidRPr="00371B6F">
        <w:rPr>
          <w:rFonts w:eastAsiaTheme="minorEastAsia"/>
          <w:spacing w:val="-4"/>
          <w:rtl/>
        </w:rPr>
        <w:t>-</w:t>
      </w:r>
      <w:r w:rsidRPr="001A0537">
        <w:rPr>
          <w:rFonts w:eastAsiaTheme="minorEastAsia"/>
          <w:spacing w:val="-4"/>
          <w:rtl/>
        </w:rPr>
        <w:t>7</w:t>
      </w:r>
      <w:r w:rsidR="00667949" w:rsidRPr="001A0537">
        <w:rPr>
          <w:rFonts w:eastAsiaTheme="minorEastAsia"/>
          <w:color w:val="000000"/>
          <w:spacing w:val="-4"/>
          <w:rtl/>
        </w:rPr>
        <w:t>4</w:t>
      </w:r>
      <w:r w:rsidR="00667949" w:rsidRPr="00371B6F">
        <w:rPr>
          <w:rFonts w:eastAsiaTheme="minorEastAsia"/>
          <w:color w:val="000000"/>
          <w:spacing w:val="-4"/>
          <w:rtl/>
        </w:rPr>
        <w:t xml:space="preserve">) </w:t>
      </w:r>
      <w:r w:rsidRPr="00371B6F">
        <w:rPr>
          <w:rFonts w:eastAsiaTheme="minorEastAsia"/>
          <w:spacing w:val="-4"/>
          <w:rtl/>
        </w:rPr>
        <w:t>- وهو مفهوم يستخدم لتبرير التحذيرات الرسمية (المادة</w:t>
      </w:r>
      <w:r w:rsidR="00497EFB" w:rsidRPr="00371B6F">
        <w:rPr>
          <w:rFonts w:eastAsiaTheme="minorEastAsia" w:hint="cs"/>
          <w:spacing w:val="-4"/>
          <w:rtl/>
        </w:rPr>
        <w:t> </w:t>
      </w:r>
      <w:r w:rsidRPr="001A0537">
        <w:rPr>
          <w:rFonts w:eastAsiaTheme="minorEastAsia"/>
          <w:spacing w:val="-4"/>
          <w:rtl/>
        </w:rPr>
        <w:t>7</w:t>
      </w:r>
      <w:r w:rsidR="00667949" w:rsidRPr="001A0537">
        <w:rPr>
          <w:rFonts w:eastAsiaTheme="minorEastAsia"/>
          <w:color w:val="000000"/>
          <w:spacing w:val="-4"/>
          <w:rtl/>
        </w:rPr>
        <w:t>5</w:t>
      </w:r>
      <w:r w:rsidR="00667949" w:rsidRPr="00371B6F">
        <w:rPr>
          <w:rFonts w:eastAsiaTheme="minorEastAsia"/>
          <w:color w:val="000000"/>
          <w:spacing w:val="-4"/>
          <w:rtl/>
        </w:rPr>
        <w:t xml:space="preserve">) </w:t>
      </w:r>
      <w:r w:rsidRPr="00371B6F">
        <w:rPr>
          <w:rFonts w:eastAsiaTheme="minorEastAsia"/>
          <w:spacing w:val="-4"/>
          <w:rtl/>
        </w:rPr>
        <w:t>ومعاقبة الأفراد على ميلهم المزعوم إلى ارتكاب جريمة - وجريمة التحريض على الفتن</w:t>
      </w:r>
      <w:r w:rsidRPr="009C3BAB">
        <w:rPr>
          <w:rFonts w:eastAsiaTheme="minorEastAsia"/>
          <w:rtl/>
        </w:rPr>
        <w:t xml:space="preserve"> (المادة</w:t>
      </w:r>
      <w:r w:rsidR="00497EFB">
        <w:rPr>
          <w:rFonts w:eastAsiaTheme="minorEastAsia" w:hint="cs"/>
          <w:rtl/>
        </w:rPr>
        <w:t> </w:t>
      </w:r>
      <w:r w:rsidRPr="001A0537">
        <w:rPr>
          <w:rFonts w:eastAsiaTheme="minorEastAsia"/>
          <w:rtl/>
        </w:rPr>
        <w:t>100</w:t>
      </w:r>
      <w:r w:rsidR="00667949" w:rsidRPr="00667949">
        <w:rPr>
          <w:rFonts w:eastAsiaTheme="minorEastAsia"/>
          <w:color w:val="000000"/>
          <w:rtl/>
        </w:rPr>
        <w:t xml:space="preserve">)، </w:t>
      </w:r>
      <w:r w:rsidRPr="009C3BAB">
        <w:rPr>
          <w:rFonts w:eastAsiaTheme="minorEastAsia"/>
          <w:rtl/>
        </w:rPr>
        <w:t xml:space="preserve">التي تجرم طائفة واسعة من السلوكيات، بما فيها تلك التي تخل بالنظام العام. وتكرر اللجنة الإعراب عن قلقها </w:t>
      </w:r>
      <w:r w:rsidRPr="009C3BAB">
        <w:rPr>
          <w:rFonts w:eastAsiaTheme="minorEastAsia"/>
          <w:rtl/>
        </w:rPr>
        <w:lastRenderedPageBreak/>
        <w:t xml:space="preserve">السابق من أن الأشخاص الذين يعتبرون "خطراً على المجتمع" يخضعون لتدابير تأهيلية وعلاجية وإشرافية يمكن أن تستتبع احتجازهم في مؤسسات متخصصة في </w:t>
      </w:r>
      <w:proofErr w:type="gramStart"/>
      <w:r w:rsidRPr="009C3BAB">
        <w:rPr>
          <w:rFonts w:eastAsiaTheme="minorEastAsia"/>
          <w:rtl/>
        </w:rPr>
        <w:t>العمل</w:t>
      </w:r>
      <w:proofErr w:type="gramEnd"/>
      <w:r w:rsidRPr="009C3BAB">
        <w:rPr>
          <w:rFonts w:eastAsiaTheme="minorEastAsia"/>
          <w:rtl/>
        </w:rPr>
        <w:t xml:space="preserve"> أو التعليم أو</w:t>
      </w:r>
      <w:r w:rsidR="00497EFB">
        <w:rPr>
          <w:rFonts w:eastAsiaTheme="minorEastAsia" w:hint="cs"/>
          <w:rtl/>
        </w:rPr>
        <w:t> </w:t>
      </w:r>
      <w:r w:rsidRPr="009C3BAB">
        <w:rPr>
          <w:rFonts w:eastAsiaTheme="minorEastAsia"/>
          <w:rtl/>
        </w:rPr>
        <w:t>الرعاية أو الطب النفسي أو تطهير الجسم من السموم لمدة تتراوح بين سنة واحدة و</w:t>
      </w:r>
      <w:r w:rsidRPr="001A0537">
        <w:rPr>
          <w:rFonts w:eastAsiaTheme="minorEastAsia"/>
          <w:rtl/>
        </w:rPr>
        <w:t>4</w:t>
      </w:r>
      <w:r w:rsidRPr="009C3BAB">
        <w:rPr>
          <w:rFonts w:eastAsiaTheme="minorEastAsia"/>
          <w:rtl/>
        </w:rPr>
        <w:t xml:space="preserve"> سنوات، وتعرب</w:t>
      </w:r>
      <w:r w:rsidR="00497EFB">
        <w:rPr>
          <w:rFonts w:eastAsiaTheme="minorEastAsia" w:hint="cs"/>
          <w:rtl/>
        </w:rPr>
        <w:t> </w:t>
      </w:r>
      <w:r w:rsidRPr="009C3BAB">
        <w:rPr>
          <w:rFonts w:eastAsiaTheme="minorEastAsia"/>
          <w:rtl/>
        </w:rPr>
        <w:t>عن أسفها مرة أخرى لأنها لم تتلق أي معلومات عن ظروف الاحتجاز في هذه المؤسسات</w:t>
      </w:r>
      <w:r w:rsidR="00667949" w:rsidRPr="001A0537">
        <w:rPr>
          <w:rStyle w:val="FootnoteReference"/>
          <w:szCs w:val="22"/>
          <w:rtl/>
        </w:rPr>
        <w:t>(</w:t>
      </w:r>
      <w:r w:rsidR="00667949" w:rsidRPr="001A0537">
        <w:rPr>
          <w:rStyle w:val="FootnoteReference"/>
          <w:szCs w:val="22"/>
          <w:lang w:val="en-US"/>
        </w:rPr>
        <w:footnoteReference w:id="11"/>
      </w:r>
      <w:r w:rsidR="00667949" w:rsidRPr="00667949">
        <w:rPr>
          <w:rStyle w:val="FootnoteReference"/>
          <w:color w:val="000000"/>
          <w:szCs w:val="22"/>
          <w:rtl/>
        </w:rPr>
        <w:t>)</w:t>
      </w:r>
      <w:r w:rsidR="00667949" w:rsidRPr="00667949">
        <w:rPr>
          <w:rFonts w:eastAsiaTheme="minorEastAsia"/>
          <w:color w:val="000000"/>
          <w:rtl/>
        </w:rPr>
        <w:t xml:space="preserve">. </w:t>
      </w:r>
      <w:r w:rsidRPr="009C3BAB">
        <w:rPr>
          <w:rFonts w:eastAsiaTheme="minorEastAsia"/>
          <w:rtl/>
        </w:rPr>
        <w:t xml:space="preserve">ويساور اللجنة القلق بوجه خاص لأن تدابير علاجية تُفرَض على أشخاص ذوي إعاقات نفسية - اجتماعية أو ذهنية يعلن أنهم يشكلون "خطراً على المجتمع" (المادة </w:t>
      </w:r>
      <w:r w:rsidRPr="001A0537">
        <w:rPr>
          <w:rFonts w:eastAsiaTheme="minorEastAsia"/>
          <w:rtl/>
        </w:rPr>
        <w:t>7</w:t>
      </w:r>
      <w:r w:rsidR="00667949" w:rsidRPr="001A0537">
        <w:rPr>
          <w:rFonts w:eastAsiaTheme="minorEastAsia"/>
          <w:color w:val="000000"/>
          <w:rtl/>
        </w:rPr>
        <w:t>9</w:t>
      </w:r>
      <w:r w:rsidR="00667949" w:rsidRPr="00667949">
        <w:rPr>
          <w:rFonts w:eastAsiaTheme="minorEastAsia"/>
          <w:color w:val="000000"/>
          <w:rtl/>
        </w:rPr>
        <w:t xml:space="preserve">) </w:t>
      </w:r>
      <w:r w:rsidRPr="009C3BAB">
        <w:rPr>
          <w:rFonts w:eastAsiaTheme="minorEastAsia"/>
          <w:rtl/>
        </w:rPr>
        <w:t xml:space="preserve">دون تطبيق ضمانات إجرائية </w:t>
      </w:r>
      <w:r w:rsidRPr="00371B6F">
        <w:rPr>
          <w:rFonts w:eastAsiaTheme="minorEastAsia"/>
          <w:spacing w:val="-2"/>
          <w:rtl/>
        </w:rPr>
        <w:t xml:space="preserve">مثل الاستعراض الدوري لضرورة التدابير وتناسبها ودون إتاحة سبل انتصاف للطعن فيها. وتلاحظ اللجنة أن القانون الجنائي المقترح سيلغي إجراءات إعلان أن الشخص الذي لم يرتكب أي جريمة يشكل خطراً على </w:t>
      </w:r>
      <w:r w:rsidRPr="00371B6F">
        <w:rPr>
          <w:rFonts w:eastAsiaTheme="minorEastAsia"/>
          <w:spacing w:val="-4"/>
          <w:rtl/>
        </w:rPr>
        <w:t xml:space="preserve">المجتمع والتدابير الأمنية ذات الصلة، ولكنه سيبقي التدابير العلاجية والتحذيرات الرسمية (المواد </w:t>
      </w:r>
      <w:r w:rsidRPr="001A0537">
        <w:rPr>
          <w:rFonts w:eastAsiaTheme="minorEastAsia"/>
          <w:spacing w:val="-4"/>
          <w:rtl/>
        </w:rPr>
        <w:t>2</w:t>
      </w:r>
      <w:r w:rsidRPr="00371B6F">
        <w:rPr>
          <w:rFonts w:eastAsiaTheme="minorEastAsia"/>
          <w:spacing w:val="-4"/>
          <w:rtl/>
        </w:rPr>
        <w:t xml:space="preserve"> و</w:t>
      </w:r>
      <w:r w:rsidRPr="001A0537">
        <w:rPr>
          <w:rFonts w:eastAsiaTheme="minorEastAsia"/>
          <w:spacing w:val="-4"/>
          <w:rtl/>
        </w:rPr>
        <w:t>11</w:t>
      </w:r>
      <w:r w:rsidRPr="00371B6F">
        <w:rPr>
          <w:rFonts w:eastAsiaTheme="minorEastAsia"/>
          <w:spacing w:val="-4"/>
          <w:rtl/>
        </w:rPr>
        <w:t xml:space="preserve"> و</w:t>
      </w:r>
      <w:r w:rsidRPr="001A0537">
        <w:rPr>
          <w:rFonts w:eastAsiaTheme="minorEastAsia"/>
          <w:spacing w:val="-4"/>
          <w:rtl/>
        </w:rPr>
        <w:t>1</w:t>
      </w:r>
      <w:r w:rsidR="00667949" w:rsidRPr="001A0537">
        <w:rPr>
          <w:rFonts w:eastAsiaTheme="minorEastAsia"/>
          <w:color w:val="000000"/>
          <w:spacing w:val="-4"/>
          <w:rtl/>
        </w:rPr>
        <w:t>6</w:t>
      </w:r>
      <w:r w:rsidR="00667949" w:rsidRPr="00371B6F">
        <w:rPr>
          <w:rFonts w:eastAsiaTheme="minorEastAsia"/>
          <w:color w:val="000000"/>
          <w:spacing w:val="-4"/>
          <w:rtl/>
        </w:rPr>
        <w:t>).</w:t>
      </w:r>
    </w:p>
    <w:p w14:paraId="3135BA8A" w14:textId="6AA09485" w:rsidR="009C3BAB" w:rsidRPr="001A0537" w:rsidRDefault="009C3BAB" w:rsidP="009C3BAB">
      <w:pPr>
        <w:pStyle w:val="SingleTxtGA"/>
        <w:rPr>
          <w:rFonts w:eastAsiaTheme="minorEastAsia"/>
          <w:bCs/>
          <w:lang w:val="ar-SA" w:eastAsia="zh-TW" w:bidi="en-GB"/>
        </w:rPr>
      </w:pPr>
      <w:r w:rsidRPr="001A0537">
        <w:rPr>
          <w:rFonts w:eastAsiaTheme="minorEastAsia"/>
          <w:rtl/>
        </w:rPr>
        <w:t>27</w:t>
      </w:r>
      <w:r w:rsidRPr="009C3BAB">
        <w:rPr>
          <w:rFonts w:eastAsiaTheme="minorEastAsia"/>
          <w:rtl/>
        </w:rPr>
        <w:t>-</w:t>
      </w:r>
      <w:r w:rsidRPr="009C3BAB">
        <w:rPr>
          <w:rFonts w:eastAsiaTheme="minorEastAsia"/>
          <w:rtl/>
        </w:rPr>
        <w:tab/>
      </w:r>
      <w:r w:rsidRPr="001A0537">
        <w:rPr>
          <w:rFonts w:eastAsiaTheme="minorEastAsia"/>
          <w:bCs/>
          <w:rtl/>
        </w:rPr>
        <w:t>تكرر اللجنة توصيتها السابقة</w:t>
      </w:r>
      <w:r w:rsidR="00667949" w:rsidRPr="001A0537">
        <w:rPr>
          <w:rStyle w:val="FootnoteReference"/>
          <w:b/>
          <w:szCs w:val="22"/>
          <w:rtl/>
        </w:rPr>
        <w:t>(</w:t>
      </w:r>
      <w:r w:rsidR="00667949" w:rsidRPr="001A0537">
        <w:rPr>
          <w:rStyle w:val="FootnoteReference"/>
          <w:b/>
          <w:szCs w:val="22"/>
          <w:lang w:val="en-US"/>
        </w:rPr>
        <w:footnoteReference w:id="12"/>
      </w:r>
      <w:r w:rsidRPr="001A0537">
        <w:rPr>
          <w:rStyle w:val="FootnoteReference"/>
          <w:b/>
          <w:szCs w:val="22"/>
          <w:rtl/>
        </w:rPr>
        <w:t>)</w:t>
      </w:r>
      <w:r w:rsidRPr="001A0537">
        <w:rPr>
          <w:rFonts w:eastAsiaTheme="minorEastAsia"/>
          <w:b/>
          <w:rtl/>
        </w:rPr>
        <w:t> </w:t>
      </w:r>
      <w:r w:rsidRPr="001A0537">
        <w:rPr>
          <w:rFonts w:eastAsiaTheme="minorEastAsia"/>
          <w:bCs/>
          <w:rtl/>
        </w:rPr>
        <w:t>بأن تعدل الدولة الطرف الأحكام المذكورة أعلاه من القانون الجنائي بغية إنهاء الاحتجاز على أساس مفاهيم جنائية ذاتية وغامضة وغير دقيقة من قبيل تشكيل خطر على المجتمع دون ارتكاب فعل إجرامي والتحريض على الفتن.</w:t>
      </w:r>
      <w:bookmarkStart w:id="0" w:name="_Hlk107845961"/>
      <w:bookmarkStart w:id="1" w:name="_Hlk107916623"/>
      <w:bookmarkEnd w:id="0"/>
      <w:bookmarkEnd w:id="1"/>
    </w:p>
    <w:p w14:paraId="75420849" w14:textId="77777777" w:rsidR="009C3BAB" w:rsidRPr="001A0537" w:rsidRDefault="009C3BAB" w:rsidP="009C3BAB">
      <w:pPr>
        <w:pStyle w:val="H23GA"/>
        <w:rPr>
          <w:lang w:val="ar-SA" w:eastAsia="zh-TW" w:bidi="en-GB"/>
        </w:rPr>
      </w:pPr>
      <w:r w:rsidRPr="001A0537">
        <w:rPr>
          <w:rtl/>
        </w:rPr>
        <w:tab/>
      </w:r>
      <w:r w:rsidRPr="001A0537">
        <w:rPr>
          <w:rtl/>
        </w:rPr>
        <w:tab/>
        <w:t>الرصد المستقل لأماكن الاحتجاز</w:t>
      </w:r>
    </w:p>
    <w:p w14:paraId="38E85C62" w14:textId="29D5F819" w:rsidR="00667949" w:rsidRPr="00667949" w:rsidRDefault="009C3BAB" w:rsidP="009C3BAB">
      <w:pPr>
        <w:pStyle w:val="SingleTxtGA"/>
        <w:rPr>
          <w:rFonts w:eastAsiaTheme="minorEastAsia"/>
          <w:color w:val="000000"/>
          <w:lang w:val="ar-SA" w:eastAsia="zh-TW" w:bidi="en-GB"/>
        </w:rPr>
      </w:pPr>
      <w:r w:rsidRPr="001A0537">
        <w:rPr>
          <w:rFonts w:eastAsiaTheme="minorEastAsia"/>
          <w:rtl/>
        </w:rPr>
        <w:t>28</w:t>
      </w:r>
      <w:r w:rsidRPr="009C3BAB">
        <w:rPr>
          <w:rFonts w:eastAsiaTheme="minorEastAsia"/>
          <w:rtl/>
        </w:rPr>
        <w:t>-</w:t>
      </w:r>
      <w:r w:rsidRPr="009C3BAB">
        <w:rPr>
          <w:rFonts w:eastAsiaTheme="minorEastAsia"/>
          <w:rtl/>
        </w:rPr>
        <w:tab/>
        <w:t xml:space="preserve">تحيط اللجنة علماً بالمعلومات التي قدمتها الدولة الطرف والتي تشير إلى أن القضاة والمدعين العامين، فضلاً عن بعض الجهات الفاعلة من غير الدول، يمكنهم الدخول إلى السجون وغيرها من مرافق الاحتجاز. ووفقاً للدولة الطرف، أجرى المدعون العامون </w:t>
      </w:r>
      <w:r w:rsidRPr="001A0537">
        <w:rPr>
          <w:rFonts w:eastAsiaTheme="minorEastAsia"/>
          <w:rtl/>
        </w:rPr>
        <w:t>113</w:t>
      </w:r>
      <w:r w:rsidRPr="009C3BAB">
        <w:rPr>
          <w:rFonts w:eastAsiaTheme="minorEastAsia"/>
          <w:rtl/>
        </w:rPr>
        <w:t xml:space="preserve"> </w:t>
      </w:r>
      <w:r w:rsidRPr="001A0537">
        <w:rPr>
          <w:rFonts w:eastAsiaTheme="minorEastAsia"/>
          <w:rtl/>
        </w:rPr>
        <w:t>105</w:t>
      </w:r>
      <w:r w:rsidRPr="009C3BAB">
        <w:rPr>
          <w:rFonts w:eastAsiaTheme="minorEastAsia"/>
          <w:rtl/>
        </w:rPr>
        <w:t xml:space="preserve"> عملية تفتيش من هذا القبيل بين عامي </w:t>
      </w:r>
      <w:r w:rsidRPr="001A0537">
        <w:rPr>
          <w:rFonts w:eastAsiaTheme="minorEastAsia"/>
          <w:rtl/>
        </w:rPr>
        <w:t>2012</w:t>
      </w:r>
      <w:r w:rsidRPr="009C3BAB">
        <w:rPr>
          <w:rFonts w:eastAsiaTheme="minorEastAsia"/>
          <w:rtl/>
        </w:rPr>
        <w:t xml:space="preserve"> و</w:t>
      </w:r>
      <w:r w:rsidRPr="001A0537">
        <w:rPr>
          <w:rFonts w:eastAsiaTheme="minorEastAsia"/>
          <w:rtl/>
        </w:rPr>
        <w:t>2019</w:t>
      </w:r>
      <w:r w:rsidR="00667949" w:rsidRPr="001A0537">
        <w:rPr>
          <w:rStyle w:val="FootnoteReference"/>
          <w:szCs w:val="22"/>
          <w:rtl/>
        </w:rPr>
        <w:t>(</w:t>
      </w:r>
      <w:r w:rsidR="00667949" w:rsidRPr="001A0537">
        <w:rPr>
          <w:rStyle w:val="FootnoteReference"/>
          <w:szCs w:val="22"/>
          <w:lang w:val="en-US"/>
        </w:rPr>
        <w:footnoteReference w:id="13"/>
      </w:r>
      <w:r w:rsidR="00667949" w:rsidRPr="00667949">
        <w:rPr>
          <w:rStyle w:val="FootnoteReference"/>
          <w:color w:val="000000"/>
          <w:szCs w:val="22"/>
          <w:rtl/>
        </w:rPr>
        <w:t>)</w:t>
      </w:r>
      <w:r w:rsidR="00667949" w:rsidRPr="00667949">
        <w:rPr>
          <w:rFonts w:eastAsiaTheme="minorEastAsia"/>
          <w:color w:val="000000"/>
          <w:rtl/>
        </w:rPr>
        <w:t xml:space="preserve">. </w:t>
      </w:r>
      <w:r w:rsidRPr="009C3BAB">
        <w:rPr>
          <w:rFonts w:eastAsiaTheme="minorEastAsia"/>
          <w:rtl/>
        </w:rPr>
        <w:t xml:space="preserve">بيد أن اللجنة تلاحظ بقلق عدم وجود آلية مستقلة مكرسة للقيام بزيارات دورية إلى جميع الأماكن التي قد يُسلَب فيها الأشخاص حريتهم (المادتان </w:t>
      </w:r>
      <w:r w:rsidRPr="001A0537">
        <w:rPr>
          <w:rFonts w:eastAsiaTheme="minorEastAsia"/>
          <w:rtl/>
        </w:rPr>
        <w:t>11</w:t>
      </w:r>
      <w:r w:rsidRPr="009C3BAB">
        <w:rPr>
          <w:rFonts w:eastAsiaTheme="minorEastAsia"/>
          <w:rtl/>
        </w:rPr>
        <w:t xml:space="preserve"> و</w:t>
      </w:r>
      <w:r w:rsidRPr="001A0537">
        <w:rPr>
          <w:rFonts w:eastAsiaTheme="minorEastAsia"/>
          <w:rtl/>
        </w:rPr>
        <w:t>1</w:t>
      </w:r>
      <w:r w:rsidR="00667949" w:rsidRPr="001A0537">
        <w:rPr>
          <w:rFonts w:eastAsiaTheme="minorEastAsia"/>
          <w:color w:val="000000"/>
          <w:rtl/>
        </w:rPr>
        <w:t>2</w:t>
      </w:r>
      <w:r w:rsidR="00667949" w:rsidRPr="00667949">
        <w:rPr>
          <w:rFonts w:eastAsiaTheme="minorEastAsia"/>
          <w:color w:val="000000"/>
          <w:rtl/>
        </w:rPr>
        <w:t>).</w:t>
      </w:r>
    </w:p>
    <w:p w14:paraId="48C52855" w14:textId="53D242DB" w:rsidR="009C3BAB" w:rsidRPr="001A0537" w:rsidRDefault="009C3BAB" w:rsidP="009C3BAB">
      <w:pPr>
        <w:pStyle w:val="SingleTxtGA"/>
        <w:rPr>
          <w:rFonts w:eastAsiaTheme="minorEastAsia"/>
          <w:bCs/>
          <w:lang w:val="ar-SA" w:eastAsia="zh-TW" w:bidi="en-GB"/>
        </w:rPr>
      </w:pPr>
      <w:r w:rsidRPr="001A0537">
        <w:rPr>
          <w:rFonts w:eastAsiaTheme="minorEastAsia"/>
          <w:rtl/>
        </w:rPr>
        <w:t>29</w:t>
      </w:r>
      <w:r w:rsidRPr="009C3BAB">
        <w:rPr>
          <w:rFonts w:eastAsiaTheme="minorEastAsia"/>
          <w:rtl/>
        </w:rPr>
        <w:t>-</w:t>
      </w:r>
      <w:r w:rsidRPr="009C3BAB">
        <w:rPr>
          <w:rFonts w:eastAsiaTheme="minorEastAsia"/>
          <w:rtl/>
        </w:rPr>
        <w:tab/>
      </w:r>
      <w:r w:rsidRPr="001A0537">
        <w:rPr>
          <w:rFonts w:eastAsiaTheme="minorEastAsia"/>
          <w:bCs/>
          <w:rtl/>
        </w:rPr>
        <w:t>تذكّر اللجنةُ بتوصياتها السابقة</w:t>
      </w:r>
      <w:r w:rsidR="00667949" w:rsidRPr="001A0537">
        <w:rPr>
          <w:rStyle w:val="FootnoteReference"/>
          <w:b/>
          <w:szCs w:val="22"/>
          <w:rtl/>
        </w:rPr>
        <w:t>(</w:t>
      </w:r>
      <w:r w:rsidR="00667949" w:rsidRPr="001A0537">
        <w:rPr>
          <w:rStyle w:val="FootnoteReference"/>
          <w:b/>
          <w:szCs w:val="22"/>
          <w:lang w:val="en-US"/>
        </w:rPr>
        <w:footnoteReference w:id="14"/>
      </w:r>
      <w:r w:rsidRPr="001A0537">
        <w:rPr>
          <w:rStyle w:val="FootnoteReference"/>
          <w:b/>
          <w:szCs w:val="22"/>
          <w:rtl/>
        </w:rPr>
        <w:t>)</w:t>
      </w:r>
      <w:r w:rsidRPr="001A0537">
        <w:rPr>
          <w:rFonts w:eastAsiaTheme="minorEastAsia"/>
          <w:bCs/>
          <w:rtl/>
        </w:rPr>
        <w:t> وتحث الدولةَ الطرف على القيام بما يلي:</w:t>
      </w:r>
    </w:p>
    <w:p w14:paraId="4EA9155A" w14:textId="338CE440" w:rsidR="009C3BAB" w:rsidRPr="001A0537" w:rsidRDefault="009C3BAB" w:rsidP="009C3BAB">
      <w:pPr>
        <w:pStyle w:val="SingleTxtGA"/>
        <w:rPr>
          <w:rFonts w:eastAsiaTheme="minorEastAsia"/>
          <w:bCs/>
          <w:lang w:val="ar-SA" w:eastAsia="zh-TW" w:bidi="en-GB"/>
        </w:rPr>
      </w:pPr>
      <w:r>
        <w:rPr>
          <w:rFonts w:eastAsiaTheme="minorEastAsia"/>
          <w:rtl/>
        </w:rPr>
        <w:tab/>
      </w:r>
      <w:r w:rsidRPr="009C3BAB">
        <w:rPr>
          <w:rFonts w:eastAsiaTheme="minorEastAsia"/>
          <w:rtl/>
        </w:rPr>
        <w:t>(أ)</w:t>
      </w:r>
      <w:r w:rsidRPr="009C3BAB">
        <w:rPr>
          <w:rFonts w:eastAsiaTheme="minorEastAsia"/>
          <w:rtl/>
        </w:rPr>
        <w:tab/>
      </w:r>
      <w:r w:rsidRPr="001A0537">
        <w:rPr>
          <w:rFonts w:eastAsiaTheme="minorEastAsia"/>
          <w:bCs/>
          <w:rtl/>
        </w:rPr>
        <w:t>إنشاء آلية مستقلة مكرسة يمكنها القيام بزيارات منتظمة غير معلنة إلى أي مكان يُسلَب فيه الأشخاص حريتهم ومتابعة نتائج هذا الرصد؛</w:t>
      </w:r>
      <w:r w:rsidRPr="00627932">
        <w:rPr>
          <w:rFonts w:eastAsiaTheme="minorEastAsia"/>
          <w:bCs/>
          <w:rtl/>
        </w:rPr>
        <w:t xml:space="preserve"> </w:t>
      </w:r>
    </w:p>
    <w:p w14:paraId="47A50625" w14:textId="3F1D320F" w:rsidR="009C3BAB" w:rsidRPr="001A0537" w:rsidRDefault="009C3BAB" w:rsidP="009C3BAB">
      <w:pPr>
        <w:pStyle w:val="SingleTxtGA"/>
        <w:rPr>
          <w:rFonts w:eastAsiaTheme="minorEastAsia"/>
          <w:bCs/>
        </w:rPr>
      </w:pPr>
      <w:r>
        <w:rPr>
          <w:rFonts w:eastAsiaTheme="minorEastAsia"/>
          <w:rtl/>
        </w:rPr>
        <w:tab/>
      </w:r>
      <w:r w:rsidRPr="009C3BAB">
        <w:rPr>
          <w:rFonts w:eastAsiaTheme="minorEastAsia"/>
          <w:rtl/>
        </w:rPr>
        <w:t>(ب)</w:t>
      </w:r>
      <w:r w:rsidRPr="001A0537">
        <w:rPr>
          <w:rFonts w:eastAsiaTheme="minorEastAsia"/>
          <w:bCs/>
          <w:rtl/>
        </w:rPr>
        <w:tab/>
        <w:t xml:space="preserve">النظر في التصديق على البروتوكول الاختياري لاتفاقية مناهضة التعذيب وغيره من ضروب </w:t>
      </w:r>
      <w:proofErr w:type="gramStart"/>
      <w:r w:rsidRPr="001A0537">
        <w:rPr>
          <w:rFonts w:eastAsiaTheme="minorEastAsia"/>
          <w:bCs/>
          <w:rtl/>
        </w:rPr>
        <w:t>المعاملة</w:t>
      </w:r>
      <w:proofErr w:type="gramEnd"/>
      <w:r w:rsidRPr="001A0537">
        <w:rPr>
          <w:rFonts w:eastAsiaTheme="minorEastAsia"/>
          <w:bCs/>
          <w:rtl/>
        </w:rPr>
        <w:t xml:space="preserve"> أو العقوبة القاسية أو اللاإنسانية أو المهينة بهدف إرساء نظام زيارات غير معلنة منتظمة من أجل منع التعذيب وغيره من ضروب المعاملة أو العقوبة القاسية أو اللاإنسانية أو المهينة.</w:t>
      </w:r>
    </w:p>
    <w:p w14:paraId="20E99B3A" w14:textId="77777777" w:rsidR="009C3BAB" w:rsidRPr="009A7F5B" w:rsidRDefault="009C3BAB" w:rsidP="009C3BAB">
      <w:pPr>
        <w:pStyle w:val="H23GA"/>
        <w:rPr>
          <w:u w:color="000000"/>
          <w:bdr w:val="nil"/>
          <w:lang w:val="en-US" w:eastAsia="zh-TW" w:bidi="en-GB"/>
        </w:rPr>
      </w:pPr>
      <w:r w:rsidRPr="001A0537">
        <w:rPr>
          <w:rtl/>
        </w:rPr>
        <w:tab/>
      </w:r>
      <w:r w:rsidRPr="001A0537">
        <w:rPr>
          <w:rtl/>
        </w:rPr>
        <w:tab/>
        <w:t>الوفيات أثناء الاحتجاز</w:t>
      </w:r>
    </w:p>
    <w:p w14:paraId="3CF4B51F" w14:textId="2AFE12CC" w:rsidR="009C3BAB" w:rsidRPr="009C3BAB" w:rsidRDefault="009C3BAB" w:rsidP="009C3BAB">
      <w:pPr>
        <w:pStyle w:val="SingleTxtGA"/>
        <w:rPr>
          <w:rFonts w:eastAsiaTheme="minorEastAsia"/>
          <w:lang w:val="ar-SA" w:eastAsia="zh-TW" w:bidi="en-GB"/>
        </w:rPr>
      </w:pPr>
      <w:r w:rsidRPr="001A0537">
        <w:rPr>
          <w:rFonts w:eastAsiaTheme="minorEastAsia"/>
          <w:rtl/>
        </w:rPr>
        <w:t>30</w:t>
      </w:r>
      <w:r w:rsidRPr="009C3BAB">
        <w:rPr>
          <w:rFonts w:eastAsiaTheme="minorEastAsia"/>
          <w:rtl/>
        </w:rPr>
        <w:t>-</w:t>
      </w:r>
      <w:r w:rsidRPr="009C3BAB">
        <w:rPr>
          <w:rFonts w:eastAsiaTheme="minorEastAsia"/>
          <w:rtl/>
        </w:rPr>
        <w:tab/>
        <w:t xml:space="preserve">تعرب اللجنة عن أسفها لأن الدولة الطرف لم تقدم بيانات إحصائية شاملة عن الوفيات أثناء الاحتجاز خلال الفترة قيد الاستعراض. ووفقاً للمعلومات الواردة في التقرير الدوري، تمثل أمراض القلب السبب الرئيسي للوفاة بين نزلاء السجون. وخلال الفترة المشمولة بالتقرير، سجلت الدولة الطرف </w:t>
      </w:r>
      <w:r w:rsidRPr="00627932">
        <w:rPr>
          <w:rFonts w:eastAsiaTheme="minorEastAsia"/>
          <w:spacing w:val="-4"/>
          <w:rtl/>
        </w:rPr>
        <w:t>ما</w:t>
      </w:r>
      <w:r w:rsidR="00D9525A" w:rsidRPr="00627932">
        <w:rPr>
          <w:rFonts w:eastAsiaTheme="minorEastAsia" w:hint="cs"/>
          <w:spacing w:val="-4"/>
          <w:rtl/>
        </w:rPr>
        <w:t> </w:t>
      </w:r>
      <w:r w:rsidRPr="00627932">
        <w:rPr>
          <w:rFonts w:eastAsiaTheme="minorEastAsia"/>
          <w:spacing w:val="-4"/>
          <w:rtl/>
        </w:rPr>
        <w:t xml:space="preserve">متوسطه حوالي </w:t>
      </w:r>
      <w:r w:rsidRPr="001A0537">
        <w:rPr>
          <w:rFonts w:eastAsiaTheme="minorEastAsia"/>
          <w:spacing w:val="-4"/>
          <w:rtl/>
        </w:rPr>
        <w:t>100</w:t>
      </w:r>
      <w:r w:rsidRPr="00627932">
        <w:rPr>
          <w:rFonts w:eastAsiaTheme="minorEastAsia"/>
          <w:spacing w:val="-4"/>
          <w:rtl/>
        </w:rPr>
        <w:t xml:space="preserve"> حالة وفاة أثناء الاحتجاز سنوياً، دون أن تقرر أن السلطات مسؤولة عن أي منها،</w:t>
      </w:r>
      <w:r w:rsidRPr="009C3BAB">
        <w:rPr>
          <w:rFonts w:eastAsiaTheme="minorEastAsia"/>
          <w:rtl/>
        </w:rPr>
        <w:t xml:space="preserve"> ودون أن يعثر تشريح الجثث على أي علامات للعنف البدني</w:t>
      </w:r>
      <w:r w:rsidR="00667949" w:rsidRPr="001A0537">
        <w:rPr>
          <w:rStyle w:val="FootnoteReference"/>
          <w:szCs w:val="22"/>
          <w:rtl/>
        </w:rPr>
        <w:t>(</w:t>
      </w:r>
      <w:r w:rsidR="00667949" w:rsidRPr="001A0537">
        <w:rPr>
          <w:rStyle w:val="FootnoteReference"/>
          <w:szCs w:val="22"/>
          <w:lang w:val="en-US"/>
        </w:rPr>
        <w:footnoteReference w:id="15"/>
      </w:r>
      <w:r w:rsidR="00667949" w:rsidRPr="00667949">
        <w:rPr>
          <w:rStyle w:val="FootnoteReference"/>
          <w:color w:val="000000"/>
          <w:szCs w:val="22"/>
          <w:rtl/>
        </w:rPr>
        <w:t>)</w:t>
      </w:r>
      <w:r w:rsidR="00667949" w:rsidRPr="00667949">
        <w:rPr>
          <w:rFonts w:eastAsiaTheme="minorEastAsia"/>
          <w:color w:val="000000"/>
          <w:rtl/>
        </w:rPr>
        <w:t xml:space="preserve">. </w:t>
      </w:r>
      <w:r w:rsidRPr="009C3BAB">
        <w:rPr>
          <w:rFonts w:eastAsiaTheme="minorEastAsia"/>
          <w:rtl/>
        </w:rPr>
        <w:t xml:space="preserve">وأشارت الدولة الطرف إلى أن مكتب </w:t>
      </w:r>
      <w:r w:rsidRPr="009C3BAB">
        <w:rPr>
          <w:rFonts w:eastAsiaTheme="minorEastAsia"/>
          <w:rtl/>
        </w:rPr>
        <w:lastRenderedPageBreak/>
        <w:t xml:space="preserve">المدعي العام العسكري حقق بين عامي </w:t>
      </w:r>
      <w:r w:rsidRPr="001A0537">
        <w:rPr>
          <w:rFonts w:eastAsiaTheme="minorEastAsia"/>
          <w:rtl/>
        </w:rPr>
        <w:t>2016</w:t>
      </w:r>
      <w:r w:rsidRPr="009C3BAB">
        <w:rPr>
          <w:rFonts w:eastAsiaTheme="minorEastAsia"/>
          <w:rtl/>
        </w:rPr>
        <w:t xml:space="preserve"> و</w:t>
      </w:r>
      <w:r w:rsidRPr="001A0537">
        <w:rPr>
          <w:rFonts w:eastAsiaTheme="minorEastAsia"/>
          <w:rtl/>
        </w:rPr>
        <w:t>2019</w:t>
      </w:r>
      <w:r w:rsidRPr="009C3BAB">
        <w:rPr>
          <w:rFonts w:eastAsiaTheme="minorEastAsia"/>
          <w:rtl/>
        </w:rPr>
        <w:t xml:space="preserve"> في ثماني شكاوى قدمت فيما يتعلق بوفيات أشخاص مسلوبي الحرية، وأنه نتيجة لتلك التحقيقات، لوحظت انتهاكات في ثلاث حالات واتخذت إجراءات تأديبية غير محددة ضد ثلاثة موظفين</w:t>
      </w:r>
      <w:r w:rsidR="00667949" w:rsidRPr="001A0537">
        <w:rPr>
          <w:rStyle w:val="FootnoteReference"/>
          <w:szCs w:val="22"/>
          <w:rtl/>
        </w:rPr>
        <w:t>(</w:t>
      </w:r>
      <w:r w:rsidR="00667949" w:rsidRPr="001A0537">
        <w:rPr>
          <w:rStyle w:val="FootnoteReference"/>
          <w:szCs w:val="22"/>
          <w:lang w:val="en-US"/>
        </w:rPr>
        <w:footnoteReference w:id="16"/>
      </w:r>
      <w:r w:rsidR="00667949" w:rsidRPr="00667949">
        <w:rPr>
          <w:rStyle w:val="FootnoteReference"/>
          <w:color w:val="000000"/>
          <w:szCs w:val="22"/>
          <w:rtl/>
        </w:rPr>
        <w:t>)</w:t>
      </w:r>
      <w:r w:rsidR="00667949" w:rsidRPr="00667949">
        <w:rPr>
          <w:rFonts w:eastAsiaTheme="minorEastAsia"/>
          <w:color w:val="000000"/>
          <w:rtl/>
        </w:rPr>
        <w:t xml:space="preserve">. </w:t>
      </w:r>
      <w:r w:rsidRPr="009C3BAB">
        <w:rPr>
          <w:rFonts w:eastAsiaTheme="minorEastAsia"/>
          <w:rtl/>
        </w:rPr>
        <w:t>وتعرب اللجنة عن أسفها أيضاً لأن الدولة الطرف</w:t>
      </w:r>
      <w:r w:rsidR="00497EFB">
        <w:rPr>
          <w:rFonts w:eastAsiaTheme="minorEastAsia" w:hint="cs"/>
          <w:rtl/>
        </w:rPr>
        <w:t> </w:t>
      </w:r>
      <w:r w:rsidRPr="009C3BAB">
        <w:rPr>
          <w:rFonts w:eastAsiaTheme="minorEastAsia"/>
          <w:rtl/>
        </w:rPr>
        <w:t>لم</w:t>
      </w:r>
      <w:r w:rsidR="00497EFB">
        <w:rPr>
          <w:rFonts w:eastAsiaTheme="minorEastAsia" w:hint="cs"/>
          <w:rtl/>
        </w:rPr>
        <w:t> </w:t>
      </w:r>
      <w:r w:rsidRPr="009C3BAB">
        <w:rPr>
          <w:rFonts w:eastAsiaTheme="minorEastAsia"/>
          <w:rtl/>
        </w:rPr>
        <w:t xml:space="preserve">تقدم المعلومات المطلوبة عن وفاة أليخاندرو بوبو </w:t>
      </w:r>
      <w:proofErr w:type="spellStart"/>
      <w:r w:rsidRPr="009C3BAB">
        <w:rPr>
          <w:rFonts w:eastAsiaTheme="minorEastAsia"/>
          <w:rtl/>
        </w:rPr>
        <w:t>إيخيمينديا</w:t>
      </w:r>
      <w:proofErr w:type="spellEnd"/>
      <w:r w:rsidRPr="009C3BAB">
        <w:rPr>
          <w:rFonts w:eastAsiaTheme="minorEastAsia"/>
          <w:rtl/>
        </w:rPr>
        <w:t>، الذي أفيد بأنه توفي أثناء احتجازه</w:t>
      </w:r>
      <w:r w:rsidR="00497EFB">
        <w:rPr>
          <w:rFonts w:eastAsiaTheme="minorEastAsia" w:hint="cs"/>
          <w:rtl/>
        </w:rPr>
        <w:t> </w:t>
      </w:r>
      <w:r w:rsidRPr="009C3BAB">
        <w:rPr>
          <w:rFonts w:eastAsiaTheme="minorEastAsia"/>
          <w:rtl/>
        </w:rPr>
        <w:t xml:space="preserve">لدى الشرطة في </w:t>
      </w:r>
      <w:proofErr w:type="spellStart"/>
      <w:r w:rsidRPr="009C3BAB">
        <w:rPr>
          <w:rFonts w:eastAsiaTheme="minorEastAsia"/>
          <w:rtl/>
        </w:rPr>
        <w:t>بلاسيتاس</w:t>
      </w:r>
      <w:proofErr w:type="spellEnd"/>
      <w:r w:rsidRPr="009C3BAB">
        <w:rPr>
          <w:rFonts w:eastAsiaTheme="minorEastAsia"/>
          <w:rtl/>
        </w:rPr>
        <w:t xml:space="preserve">، بيلا كلارا، </w:t>
      </w:r>
      <w:proofErr w:type="spellStart"/>
      <w:r w:rsidRPr="009C3BAB">
        <w:rPr>
          <w:rFonts w:eastAsiaTheme="minorEastAsia"/>
          <w:rtl/>
        </w:rPr>
        <w:t>وريدل</w:t>
      </w:r>
      <w:proofErr w:type="spellEnd"/>
      <w:r w:rsidRPr="009C3BAB">
        <w:rPr>
          <w:rFonts w:eastAsiaTheme="minorEastAsia"/>
          <w:rtl/>
        </w:rPr>
        <w:t xml:space="preserve"> غارسيا </w:t>
      </w:r>
      <w:proofErr w:type="spellStart"/>
      <w:r w:rsidRPr="009C3BAB">
        <w:rPr>
          <w:rFonts w:eastAsiaTheme="minorEastAsia"/>
          <w:rtl/>
        </w:rPr>
        <w:t>أوتيرو</w:t>
      </w:r>
      <w:proofErr w:type="spellEnd"/>
      <w:r w:rsidRPr="009C3BAB">
        <w:rPr>
          <w:rFonts w:eastAsiaTheme="minorEastAsia"/>
          <w:rtl/>
        </w:rPr>
        <w:t xml:space="preserve">، وهو نزيل في سجن بالي </w:t>
      </w:r>
      <w:proofErr w:type="spellStart"/>
      <w:r w:rsidRPr="009C3BAB">
        <w:rPr>
          <w:rFonts w:eastAsiaTheme="minorEastAsia"/>
          <w:rtl/>
        </w:rPr>
        <w:t>غراندي</w:t>
      </w:r>
      <w:proofErr w:type="spellEnd"/>
      <w:r w:rsidRPr="009C3BAB">
        <w:rPr>
          <w:rFonts w:eastAsiaTheme="minorEastAsia"/>
          <w:rtl/>
        </w:rPr>
        <w:t xml:space="preserve"> (المواد </w:t>
      </w:r>
      <w:r w:rsidRPr="001A0537">
        <w:rPr>
          <w:rFonts w:eastAsiaTheme="minorEastAsia"/>
          <w:rtl/>
        </w:rPr>
        <w:t>2</w:t>
      </w:r>
      <w:r w:rsidRPr="009C3BAB">
        <w:rPr>
          <w:rFonts w:eastAsiaTheme="minorEastAsia"/>
          <w:rtl/>
        </w:rPr>
        <w:t xml:space="preserve"> </w:t>
      </w:r>
      <w:proofErr w:type="spellStart"/>
      <w:r w:rsidRPr="009C3BAB">
        <w:rPr>
          <w:rFonts w:eastAsiaTheme="minorEastAsia"/>
          <w:rtl/>
        </w:rPr>
        <w:t>و</w:t>
      </w:r>
      <w:r w:rsidRPr="001A0537">
        <w:rPr>
          <w:rFonts w:eastAsiaTheme="minorEastAsia"/>
          <w:rtl/>
        </w:rPr>
        <w:t>11</w:t>
      </w:r>
      <w:proofErr w:type="spellEnd"/>
      <w:r w:rsidRPr="009C3BAB">
        <w:rPr>
          <w:rFonts w:eastAsiaTheme="minorEastAsia"/>
          <w:rtl/>
        </w:rPr>
        <w:t xml:space="preserve"> و</w:t>
      </w:r>
      <w:r w:rsidRPr="001A0537">
        <w:rPr>
          <w:rFonts w:eastAsiaTheme="minorEastAsia"/>
          <w:rtl/>
        </w:rPr>
        <w:t>14</w:t>
      </w:r>
      <w:r w:rsidRPr="009C3BAB">
        <w:rPr>
          <w:rFonts w:eastAsiaTheme="minorEastAsia"/>
          <w:rtl/>
        </w:rPr>
        <w:t xml:space="preserve"> و</w:t>
      </w:r>
      <w:r w:rsidRPr="001A0537">
        <w:rPr>
          <w:rFonts w:eastAsiaTheme="minorEastAsia"/>
          <w:rtl/>
        </w:rPr>
        <w:t>1</w:t>
      </w:r>
      <w:r w:rsidR="00667949" w:rsidRPr="001A0537">
        <w:rPr>
          <w:rFonts w:eastAsiaTheme="minorEastAsia"/>
          <w:color w:val="000000"/>
          <w:rtl/>
        </w:rPr>
        <w:t>6</w:t>
      </w:r>
      <w:r w:rsidR="00667949" w:rsidRPr="00667949">
        <w:rPr>
          <w:rFonts w:eastAsiaTheme="minorEastAsia"/>
          <w:color w:val="000000"/>
          <w:rtl/>
        </w:rPr>
        <w:t xml:space="preserve">). </w:t>
      </w:r>
    </w:p>
    <w:p w14:paraId="12D530D2" w14:textId="77777777" w:rsidR="009C3BAB" w:rsidRPr="001A0537" w:rsidRDefault="009C3BAB" w:rsidP="009C3BAB">
      <w:pPr>
        <w:pStyle w:val="SingleTxtGA"/>
        <w:rPr>
          <w:rFonts w:eastAsiaTheme="minorEastAsia"/>
          <w:bCs/>
          <w:lang w:val="ar-SA" w:eastAsia="zh-TW" w:bidi="en-GB"/>
        </w:rPr>
      </w:pPr>
      <w:r w:rsidRPr="001A0537">
        <w:rPr>
          <w:rFonts w:eastAsiaTheme="minorEastAsia"/>
          <w:rtl/>
        </w:rPr>
        <w:t>31</w:t>
      </w:r>
      <w:r w:rsidRPr="009C3BAB">
        <w:rPr>
          <w:rFonts w:eastAsiaTheme="minorEastAsia"/>
          <w:rtl/>
        </w:rPr>
        <w:t>-</w:t>
      </w:r>
      <w:r w:rsidRPr="009C3BAB">
        <w:rPr>
          <w:rFonts w:eastAsiaTheme="minorEastAsia"/>
          <w:rtl/>
        </w:rPr>
        <w:tab/>
      </w:r>
      <w:r w:rsidRPr="001A0537">
        <w:rPr>
          <w:rFonts w:eastAsiaTheme="minorEastAsia"/>
          <w:bCs/>
          <w:rtl/>
        </w:rPr>
        <w:t>ينبغي للدولة الطرف القيام بما يلي:</w:t>
      </w:r>
    </w:p>
    <w:p w14:paraId="17BE9181" w14:textId="5E1635E0" w:rsidR="009C3BAB" w:rsidRPr="001A0537" w:rsidRDefault="009C3BAB" w:rsidP="009C3BAB">
      <w:pPr>
        <w:pStyle w:val="SingleTxtGA"/>
        <w:rPr>
          <w:rFonts w:eastAsiaTheme="minorEastAsia"/>
          <w:bCs/>
          <w:lang w:val="en-US" w:eastAsia="zh-TW" w:bidi="en-GB"/>
        </w:rPr>
      </w:pPr>
      <w:r>
        <w:rPr>
          <w:rFonts w:eastAsiaTheme="minorEastAsia"/>
          <w:rtl/>
        </w:rPr>
        <w:tab/>
      </w:r>
      <w:r w:rsidRPr="009C3BAB">
        <w:rPr>
          <w:rFonts w:eastAsiaTheme="minorEastAsia"/>
          <w:rtl/>
        </w:rPr>
        <w:t>(أ)</w:t>
      </w:r>
      <w:r w:rsidRPr="009C3BAB">
        <w:rPr>
          <w:rFonts w:eastAsiaTheme="minorEastAsia"/>
          <w:rtl/>
        </w:rPr>
        <w:tab/>
      </w:r>
      <w:r w:rsidRPr="001A0537">
        <w:rPr>
          <w:rFonts w:eastAsiaTheme="minorEastAsia"/>
          <w:bCs/>
          <w:rtl/>
        </w:rPr>
        <w:t>ضمان أن تجري هيئة مستقلة تحقيقات فورية ونزيهة في جميع حالات الوفاة أثناء سلب الحرية، مع إيلاء الاعتبار الواجب لبروتوكول مينيسوتا المتعلق بالتحقيق في حالات الوفاة التي يُحتمل أن تكون غير مشروعة؛</w:t>
      </w:r>
    </w:p>
    <w:p w14:paraId="04E0B199" w14:textId="151DB6B5" w:rsidR="009C3BAB" w:rsidRPr="001A0537" w:rsidRDefault="009C3BAB" w:rsidP="009C3BAB">
      <w:pPr>
        <w:pStyle w:val="SingleTxtGA"/>
        <w:rPr>
          <w:rFonts w:eastAsiaTheme="minorEastAsia"/>
          <w:bCs/>
          <w:lang w:val="ar-SA" w:eastAsia="zh-TW" w:bidi="en-GB"/>
        </w:rPr>
      </w:pPr>
      <w:r>
        <w:rPr>
          <w:rFonts w:eastAsiaTheme="minorEastAsia"/>
          <w:rtl/>
        </w:rPr>
        <w:tab/>
      </w:r>
      <w:r w:rsidRPr="009C3BAB">
        <w:rPr>
          <w:rFonts w:eastAsiaTheme="minorEastAsia"/>
          <w:rtl/>
        </w:rPr>
        <w:t>(ب)</w:t>
      </w:r>
      <w:r w:rsidRPr="009C3BAB">
        <w:rPr>
          <w:rFonts w:eastAsiaTheme="minorEastAsia"/>
          <w:rtl/>
        </w:rPr>
        <w:tab/>
      </w:r>
      <w:r w:rsidRPr="001A0537">
        <w:rPr>
          <w:rFonts w:eastAsiaTheme="minorEastAsia"/>
          <w:bCs/>
          <w:rtl/>
        </w:rPr>
        <w:t>التحقيق في أي مسؤولية محتملة للموظفين العامين عن حالات الوفاة أثناء الاحتجاز، وعند الاقتضاء معاقبة المسؤولين عنها كما ينبغي وتقديم تعويض عادل وكافٍ لأفراد الأسرة؛</w:t>
      </w:r>
    </w:p>
    <w:p w14:paraId="3B09E2BF" w14:textId="2FF6F98C" w:rsidR="009C3BAB" w:rsidRPr="001A0537" w:rsidRDefault="009C3BAB" w:rsidP="009C3BAB">
      <w:pPr>
        <w:pStyle w:val="SingleTxtGA"/>
        <w:rPr>
          <w:rFonts w:eastAsiaTheme="minorEastAsia"/>
          <w:bCs/>
          <w:lang w:val="ar-SA" w:eastAsia="zh-TW" w:bidi="en-GB"/>
        </w:rPr>
      </w:pPr>
      <w:r w:rsidRPr="00371B6F">
        <w:rPr>
          <w:rFonts w:eastAsiaTheme="minorEastAsia"/>
          <w:rtl/>
        </w:rPr>
        <w:tab/>
        <w:t>(ج)</w:t>
      </w:r>
      <w:r w:rsidRPr="009C3BAB">
        <w:rPr>
          <w:rFonts w:eastAsiaTheme="minorEastAsia"/>
          <w:rtl/>
        </w:rPr>
        <w:tab/>
      </w:r>
      <w:r w:rsidRPr="001A0537">
        <w:rPr>
          <w:rFonts w:eastAsiaTheme="minorEastAsia"/>
          <w:bCs/>
          <w:rtl/>
        </w:rPr>
        <w:t>تجميع ونشر معلومات مفصلة عن الوفيات في الحجز وأسبابها؛</w:t>
      </w:r>
    </w:p>
    <w:p w14:paraId="054C7AA7" w14:textId="30D047C0" w:rsidR="009C3BAB" w:rsidRPr="001A0537" w:rsidRDefault="009C3BAB" w:rsidP="009C3BAB">
      <w:pPr>
        <w:pStyle w:val="SingleTxtGA"/>
        <w:rPr>
          <w:rFonts w:eastAsiaTheme="minorEastAsia"/>
          <w:bCs/>
          <w:lang w:val="ar-SA" w:eastAsia="zh-TW" w:bidi="en-GB"/>
        </w:rPr>
      </w:pPr>
      <w:r>
        <w:rPr>
          <w:rFonts w:eastAsiaTheme="minorEastAsia"/>
          <w:rtl/>
        </w:rPr>
        <w:tab/>
      </w:r>
      <w:r w:rsidRPr="009C3BAB">
        <w:rPr>
          <w:rFonts w:eastAsiaTheme="minorEastAsia"/>
          <w:rtl/>
        </w:rPr>
        <w:t>(د)</w:t>
      </w:r>
      <w:r w:rsidRPr="009C3BAB">
        <w:rPr>
          <w:rFonts w:eastAsiaTheme="minorEastAsia"/>
          <w:rtl/>
        </w:rPr>
        <w:tab/>
      </w:r>
      <w:r w:rsidRPr="001A0537">
        <w:rPr>
          <w:rFonts w:eastAsiaTheme="minorEastAsia"/>
          <w:bCs/>
          <w:rtl/>
        </w:rPr>
        <w:t xml:space="preserve">تعزيز التدابير الرامية إلى تحسين نوعية الرعاية الطبية والصحية المقدمة للأشخاص مسلوبي الحرية، واستعراض فعالية الاستراتيجيات والبرامج الرامية إلى منع الانتحار والعنف بين السجناء، وتقييم البرامج القائمة للوقاية من الأمراض المزمنة </w:t>
      </w:r>
      <w:proofErr w:type="spellStart"/>
      <w:r w:rsidRPr="001A0537">
        <w:rPr>
          <w:rFonts w:eastAsiaTheme="minorEastAsia"/>
          <w:bCs/>
          <w:rtl/>
        </w:rPr>
        <w:t>والتنكسية</w:t>
      </w:r>
      <w:proofErr w:type="spellEnd"/>
      <w:r w:rsidRPr="001A0537">
        <w:rPr>
          <w:rFonts w:eastAsiaTheme="minorEastAsia"/>
          <w:bCs/>
          <w:rtl/>
        </w:rPr>
        <w:t xml:space="preserve"> والمعدية في السجون والكشف عنها وعلاجها.</w:t>
      </w:r>
      <w:r w:rsidRPr="00627932">
        <w:rPr>
          <w:rFonts w:eastAsiaTheme="minorEastAsia"/>
          <w:bCs/>
          <w:rtl/>
        </w:rPr>
        <w:t xml:space="preserve"> </w:t>
      </w:r>
    </w:p>
    <w:p w14:paraId="620A1429" w14:textId="77777777" w:rsidR="009C3BAB" w:rsidRPr="001A0537" w:rsidRDefault="009C3BAB" w:rsidP="009C3BAB">
      <w:pPr>
        <w:pStyle w:val="H23GA"/>
        <w:rPr>
          <w:lang w:val="ar-SA" w:eastAsia="zh-TW" w:bidi="en-GB"/>
        </w:rPr>
      </w:pPr>
      <w:r w:rsidRPr="001A0537">
        <w:rPr>
          <w:rtl/>
        </w:rPr>
        <w:tab/>
      </w:r>
      <w:r w:rsidRPr="001A0537">
        <w:rPr>
          <w:rtl/>
        </w:rPr>
        <w:tab/>
        <w:t>آلية الشكوى والتحقيق والانتصاف</w:t>
      </w:r>
    </w:p>
    <w:p w14:paraId="346D1DCF" w14:textId="5324EE32" w:rsidR="00667949" w:rsidRPr="00667949" w:rsidRDefault="009C3BAB" w:rsidP="009C3BAB">
      <w:pPr>
        <w:pStyle w:val="SingleTxtGA"/>
        <w:rPr>
          <w:rFonts w:eastAsiaTheme="minorEastAsia"/>
          <w:color w:val="000000"/>
          <w:lang w:val="ar-SA" w:eastAsia="zh-TW" w:bidi="en-GB"/>
        </w:rPr>
      </w:pPr>
      <w:r w:rsidRPr="001A0537">
        <w:rPr>
          <w:rFonts w:eastAsiaTheme="minorEastAsia"/>
          <w:rtl/>
        </w:rPr>
        <w:t>32</w:t>
      </w:r>
      <w:r w:rsidRPr="009C3BAB">
        <w:rPr>
          <w:rFonts w:eastAsiaTheme="minorEastAsia"/>
          <w:rtl/>
        </w:rPr>
        <w:t>-</w:t>
      </w:r>
      <w:r w:rsidRPr="009C3BAB">
        <w:rPr>
          <w:rFonts w:eastAsiaTheme="minorEastAsia"/>
          <w:rtl/>
        </w:rPr>
        <w:tab/>
        <w:t xml:space="preserve">تعرب اللجنة عن أسفها لأن الدولة الطرف لم تنشئ بعد آلية مستقلة لتلقي الشكاوى المتعلقة بالتعذيب وسوء المعاملة والتحقيق فيها. ووفقاً للمعلومات التي قدمتها الدولة الطرف أثناء الحوار، تلقى مكتب المدعي العام </w:t>
      </w:r>
      <w:r w:rsidRPr="001A0537">
        <w:rPr>
          <w:rFonts w:eastAsiaTheme="minorEastAsia"/>
          <w:rtl/>
        </w:rPr>
        <w:t>151</w:t>
      </w:r>
      <w:r w:rsidRPr="009C3BAB">
        <w:rPr>
          <w:rFonts w:eastAsiaTheme="minorEastAsia"/>
          <w:rtl/>
        </w:rPr>
        <w:t xml:space="preserve"> </w:t>
      </w:r>
      <w:r w:rsidRPr="001A0537">
        <w:rPr>
          <w:rFonts w:eastAsiaTheme="minorEastAsia"/>
          <w:rtl/>
        </w:rPr>
        <w:t>11</w:t>
      </w:r>
      <w:r w:rsidRPr="009C3BAB">
        <w:rPr>
          <w:rFonts w:eastAsiaTheme="minorEastAsia"/>
          <w:rtl/>
        </w:rPr>
        <w:t xml:space="preserve"> شكوى من أشخاص مسلوبي الحرية وأفراد أسرهم في الفترة </w:t>
      </w:r>
      <w:r w:rsidRPr="001A0537">
        <w:rPr>
          <w:rFonts w:eastAsiaTheme="minorEastAsia"/>
          <w:rtl/>
        </w:rPr>
        <w:t>2017</w:t>
      </w:r>
      <w:r w:rsidRPr="009C3BAB">
        <w:rPr>
          <w:rFonts w:eastAsiaTheme="minorEastAsia"/>
          <w:rtl/>
        </w:rPr>
        <w:t>-</w:t>
      </w:r>
      <w:r w:rsidRPr="001A0537">
        <w:rPr>
          <w:rFonts w:eastAsiaTheme="minorEastAsia"/>
          <w:rtl/>
        </w:rPr>
        <w:t>2021</w:t>
      </w:r>
      <w:r w:rsidRPr="009C3BAB">
        <w:rPr>
          <w:rFonts w:eastAsiaTheme="minorEastAsia"/>
          <w:rtl/>
        </w:rPr>
        <w:t xml:space="preserve">، ولم تسفر سوى </w:t>
      </w:r>
      <w:r w:rsidRPr="001A0537">
        <w:rPr>
          <w:rFonts w:eastAsiaTheme="minorEastAsia"/>
          <w:rtl/>
        </w:rPr>
        <w:t>7</w:t>
      </w:r>
      <w:r w:rsidRPr="009C3BAB">
        <w:rPr>
          <w:rFonts w:eastAsiaTheme="minorEastAsia"/>
          <w:rtl/>
        </w:rPr>
        <w:t xml:space="preserve"> في </w:t>
      </w:r>
      <w:proofErr w:type="gramStart"/>
      <w:r w:rsidRPr="009C3BAB">
        <w:rPr>
          <w:rFonts w:eastAsiaTheme="minorEastAsia"/>
          <w:rtl/>
        </w:rPr>
        <w:t>المائة</w:t>
      </w:r>
      <w:proofErr w:type="gramEnd"/>
      <w:r w:rsidRPr="009C3BAB">
        <w:rPr>
          <w:rFonts w:eastAsiaTheme="minorEastAsia"/>
          <w:rtl/>
        </w:rPr>
        <w:t xml:space="preserve"> منها عن نتيجة إيجابية لأصحاب الشكوى. وبين عامي </w:t>
      </w:r>
      <w:r w:rsidRPr="001A0537">
        <w:rPr>
          <w:rFonts w:eastAsiaTheme="minorEastAsia"/>
          <w:rtl/>
        </w:rPr>
        <w:t>2012</w:t>
      </w:r>
      <w:r w:rsidRPr="009C3BAB">
        <w:rPr>
          <w:rFonts w:eastAsiaTheme="minorEastAsia"/>
          <w:rtl/>
        </w:rPr>
        <w:t xml:space="preserve"> و</w:t>
      </w:r>
      <w:r w:rsidRPr="001A0537">
        <w:rPr>
          <w:rFonts w:eastAsiaTheme="minorEastAsia"/>
          <w:rtl/>
        </w:rPr>
        <w:t>2019</w:t>
      </w:r>
      <w:r w:rsidRPr="009C3BAB">
        <w:rPr>
          <w:rFonts w:eastAsiaTheme="minorEastAsia"/>
          <w:rtl/>
        </w:rPr>
        <w:t xml:space="preserve">، حقق مكتب المدعي العام العسكري في </w:t>
      </w:r>
      <w:r w:rsidRPr="001A0537">
        <w:rPr>
          <w:rFonts w:eastAsiaTheme="minorEastAsia"/>
          <w:rtl/>
        </w:rPr>
        <w:t>076</w:t>
      </w:r>
      <w:r w:rsidRPr="009C3BAB">
        <w:rPr>
          <w:rFonts w:eastAsiaTheme="minorEastAsia"/>
          <w:rtl/>
        </w:rPr>
        <w:t xml:space="preserve"> </w:t>
      </w:r>
      <w:r w:rsidRPr="001A0537">
        <w:rPr>
          <w:rFonts w:eastAsiaTheme="minorEastAsia"/>
          <w:rtl/>
        </w:rPr>
        <w:t>2</w:t>
      </w:r>
      <w:r w:rsidRPr="009C3BAB">
        <w:rPr>
          <w:rFonts w:eastAsiaTheme="minorEastAsia"/>
          <w:rtl/>
        </w:rPr>
        <w:t xml:space="preserve"> شكوى سوء معاملة مزعومة من قبل ضباط الأمن الداخلي، مما أدى إلى تطبيق </w:t>
      </w:r>
      <w:r w:rsidRPr="001A0537">
        <w:rPr>
          <w:rFonts w:eastAsiaTheme="minorEastAsia"/>
          <w:rtl/>
        </w:rPr>
        <w:t>293</w:t>
      </w:r>
      <w:r w:rsidRPr="009C3BAB">
        <w:rPr>
          <w:rFonts w:eastAsiaTheme="minorEastAsia"/>
          <w:rtl/>
        </w:rPr>
        <w:t xml:space="preserve"> إجراءً تأديبياً، و</w:t>
      </w:r>
      <w:r w:rsidRPr="001A0537">
        <w:rPr>
          <w:rFonts w:eastAsiaTheme="minorEastAsia"/>
          <w:rtl/>
        </w:rPr>
        <w:t>37</w:t>
      </w:r>
      <w:r w:rsidRPr="009C3BAB">
        <w:rPr>
          <w:rFonts w:eastAsiaTheme="minorEastAsia"/>
          <w:rtl/>
        </w:rPr>
        <w:t xml:space="preserve"> عقوبة جنائية، و</w:t>
      </w:r>
      <w:r w:rsidRPr="001A0537">
        <w:rPr>
          <w:rFonts w:eastAsiaTheme="minorEastAsia"/>
          <w:rtl/>
        </w:rPr>
        <w:t>3</w:t>
      </w:r>
      <w:r w:rsidRPr="009C3BAB">
        <w:rPr>
          <w:rFonts w:eastAsiaTheme="minorEastAsia"/>
          <w:rtl/>
        </w:rPr>
        <w:t xml:space="preserve"> تدابير إدارية</w:t>
      </w:r>
      <w:r w:rsidR="00667949" w:rsidRPr="001A0537">
        <w:rPr>
          <w:rStyle w:val="FootnoteReference"/>
          <w:szCs w:val="22"/>
          <w:rtl/>
        </w:rPr>
        <w:t>(</w:t>
      </w:r>
      <w:r w:rsidR="00667949" w:rsidRPr="001A0537">
        <w:rPr>
          <w:rStyle w:val="FootnoteReference"/>
          <w:szCs w:val="22"/>
          <w:lang w:val="en-US"/>
        </w:rPr>
        <w:footnoteReference w:id="17"/>
      </w:r>
      <w:r w:rsidR="00667949" w:rsidRPr="00667949">
        <w:rPr>
          <w:rStyle w:val="FootnoteReference"/>
          <w:color w:val="000000"/>
          <w:szCs w:val="22"/>
          <w:rtl/>
        </w:rPr>
        <w:t>)</w:t>
      </w:r>
      <w:r w:rsidR="00667949" w:rsidRPr="00667949">
        <w:rPr>
          <w:rFonts w:eastAsiaTheme="minorEastAsia"/>
          <w:color w:val="000000"/>
          <w:rtl/>
        </w:rPr>
        <w:t xml:space="preserve">. </w:t>
      </w:r>
      <w:r w:rsidRPr="009C3BAB">
        <w:rPr>
          <w:rFonts w:eastAsiaTheme="minorEastAsia"/>
          <w:rtl/>
        </w:rPr>
        <w:t xml:space="preserve">ولذلك شعرت اللجنة بالدهشة من تأكيد الوفد أثناء الحوار أنه لم تسجل أي حالات تعذيب خلال الفترة قيد الاستعراض. وعلاوة على ذلك، يساور اللجنة القلق إزاء انخفاض عدد الجزاءات المفروضة بسبب سوء المعاملة وعدم تقديم الدولة الطرف معلومات مفصلة في هذا الصدد (المواد </w:t>
      </w:r>
      <w:r w:rsidRPr="001A0537">
        <w:rPr>
          <w:rFonts w:eastAsiaTheme="minorEastAsia"/>
          <w:rtl/>
        </w:rPr>
        <w:t>2</w:t>
      </w:r>
      <w:r w:rsidRPr="009C3BAB">
        <w:rPr>
          <w:rFonts w:eastAsiaTheme="minorEastAsia"/>
          <w:rtl/>
        </w:rPr>
        <w:t xml:space="preserve"> و</w:t>
      </w:r>
      <w:r w:rsidRPr="001A0537">
        <w:rPr>
          <w:rFonts w:eastAsiaTheme="minorEastAsia"/>
          <w:rtl/>
        </w:rPr>
        <w:t>12</w:t>
      </w:r>
      <w:r w:rsidRPr="009C3BAB">
        <w:rPr>
          <w:rFonts w:eastAsiaTheme="minorEastAsia"/>
          <w:rtl/>
        </w:rPr>
        <w:t xml:space="preserve"> و</w:t>
      </w:r>
      <w:r w:rsidRPr="001A0537">
        <w:rPr>
          <w:rFonts w:eastAsiaTheme="minorEastAsia"/>
          <w:rtl/>
        </w:rPr>
        <w:t>13</w:t>
      </w:r>
      <w:r w:rsidRPr="009C3BAB">
        <w:rPr>
          <w:rFonts w:eastAsiaTheme="minorEastAsia"/>
          <w:rtl/>
        </w:rPr>
        <w:t xml:space="preserve"> و</w:t>
      </w:r>
      <w:r w:rsidRPr="001A0537">
        <w:rPr>
          <w:rFonts w:eastAsiaTheme="minorEastAsia"/>
          <w:rtl/>
        </w:rPr>
        <w:t>14</w:t>
      </w:r>
      <w:r w:rsidRPr="009C3BAB">
        <w:rPr>
          <w:rFonts w:eastAsiaTheme="minorEastAsia"/>
          <w:rtl/>
        </w:rPr>
        <w:t xml:space="preserve"> و</w:t>
      </w:r>
      <w:r w:rsidRPr="001A0537">
        <w:rPr>
          <w:rFonts w:eastAsiaTheme="minorEastAsia"/>
          <w:rtl/>
        </w:rPr>
        <w:t>1</w:t>
      </w:r>
      <w:r w:rsidR="00667949" w:rsidRPr="001A0537">
        <w:rPr>
          <w:rFonts w:eastAsiaTheme="minorEastAsia"/>
          <w:color w:val="000000"/>
          <w:rtl/>
        </w:rPr>
        <w:t>6</w:t>
      </w:r>
      <w:r w:rsidR="00667949" w:rsidRPr="00667949">
        <w:rPr>
          <w:rFonts w:eastAsiaTheme="minorEastAsia"/>
          <w:color w:val="000000"/>
          <w:rtl/>
        </w:rPr>
        <w:t>).</w:t>
      </w:r>
    </w:p>
    <w:p w14:paraId="1AB8A93A" w14:textId="7C24C72D" w:rsidR="009C3BAB" w:rsidRPr="001A0537" w:rsidRDefault="009C3BAB" w:rsidP="009C3BAB">
      <w:pPr>
        <w:pStyle w:val="SingleTxtGA"/>
        <w:rPr>
          <w:rFonts w:eastAsiaTheme="minorEastAsia"/>
          <w:b/>
          <w:bCs/>
          <w:lang w:val="ar-SA" w:eastAsia="zh-TW" w:bidi="en-GB"/>
        </w:rPr>
      </w:pPr>
      <w:r w:rsidRPr="001A0537">
        <w:rPr>
          <w:rFonts w:eastAsiaTheme="minorEastAsia"/>
          <w:rtl/>
        </w:rPr>
        <w:t>33</w:t>
      </w:r>
      <w:r w:rsidRPr="009C3BAB">
        <w:rPr>
          <w:rFonts w:eastAsiaTheme="minorEastAsia"/>
          <w:rtl/>
        </w:rPr>
        <w:t>-</w:t>
      </w:r>
      <w:r w:rsidRPr="00627932">
        <w:rPr>
          <w:rFonts w:eastAsiaTheme="minorEastAsia"/>
          <w:b/>
          <w:bCs/>
          <w:rtl/>
        </w:rPr>
        <w:tab/>
      </w:r>
      <w:r w:rsidRPr="001A0537">
        <w:rPr>
          <w:rFonts w:eastAsiaTheme="minorEastAsia"/>
          <w:b/>
          <w:bCs/>
          <w:rtl/>
        </w:rPr>
        <w:t>تكرر اللجنةُ توصياتها السابقة</w:t>
      </w:r>
      <w:r w:rsidR="00667949" w:rsidRPr="001A0537">
        <w:rPr>
          <w:rStyle w:val="FootnoteReference"/>
          <w:szCs w:val="22"/>
          <w:rtl/>
        </w:rPr>
        <w:t>(</w:t>
      </w:r>
      <w:r w:rsidR="00667949" w:rsidRPr="001A0537">
        <w:rPr>
          <w:rStyle w:val="FootnoteReference"/>
          <w:szCs w:val="22"/>
          <w:lang w:val="en-US"/>
        </w:rPr>
        <w:footnoteReference w:id="18"/>
      </w:r>
      <w:r w:rsidRPr="001A0537">
        <w:rPr>
          <w:rStyle w:val="FootnoteReference"/>
          <w:szCs w:val="22"/>
          <w:rtl/>
        </w:rPr>
        <w:t>)</w:t>
      </w:r>
      <w:r w:rsidRPr="001A0537">
        <w:rPr>
          <w:rFonts w:eastAsiaTheme="minorEastAsia"/>
          <w:b/>
          <w:bCs/>
          <w:rtl/>
        </w:rPr>
        <w:t> وتحث الدولةَ الطرف على القيام بما يلي:</w:t>
      </w:r>
    </w:p>
    <w:p w14:paraId="3940E605" w14:textId="415D6D10" w:rsidR="009C3BAB" w:rsidRPr="001A0537" w:rsidRDefault="009C3BAB" w:rsidP="009C3BAB">
      <w:pPr>
        <w:pStyle w:val="SingleTxtGA"/>
        <w:rPr>
          <w:rFonts w:eastAsiaTheme="minorEastAsia"/>
          <w:bCs/>
          <w:lang w:val="ar-SA" w:eastAsia="zh-TW" w:bidi="en-GB"/>
        </w:rPr>
      </w:pPr>
      <w:r>
        <w:rPr>
          <w:rFonts w:eastAsiaTheme="minorEastAsia"/>
          <w:rtl/>
        </w:rPr>
        <w:tab/>
      </w:r>
      <w:r w:rsidRPr="009C3BAB">
        <w:rPr>
          <w:rFonts w:eastAsiaTheme="minorEastAsia"/>
          <w:rtl/>
        </w:rPr>
        <w:t>(أ)</w:t>
      </w:r>
      <w:r w:rsidRPr="009C3BAB">
        <w:rPr>
          <w:rFonts w:eastAsiaTheme="minorEastAsia"/>
          <w:rtl/>
        </w:rPr>
        <w:tab/>
      </w:r>
      <w:r w:rsidRPr="001A0537">
        <w:rPr>
          <w:rFonts w:eastAsiaTheme="minorEastAsia"/>
          <w:bCs/>
          <w:rtl/>
        </w:rPr>
        <w:t>إنشاء آلية مكرسة ومستقلة لتلقي الشكاوى المتعلقة بالتعذيب وسوء المعاملة، وضمان التحقيق في جميع هذه الأفعال فوراً وبنزاهة، ومعاقبة المسؤولين عنها على النحو المناسب، وتوفير الإنصاف الكامل للضحايا، بما في ذلك التعويض الكافي وإعادة التأهيل؛</w:t>
      </w:r>
    </w:p>
    <w:p w14:paraId="09C52064" w14:textId="382DD043" w:rsidR="009C3BAB" w:rsidRPr="001A0537" w:rsidRDefault="009C3BAB" w:rsidP="009C3BAB">
      <w:pPr>
        <w:pStyle w:val="SingleTxtGA"/>
        <w:rPr>
          <w:rFonts w:eastAsiaTheme="minorEastAsia"/>
          <w:bCs/>
        </w:rPr>
      </w:pPr>
      <w:r>
        <w:rPr>
          <w:rFonts w:eastAsiaTheme="minorEastAsia"/>
          <w:rtl/>
        </w:rPr>
        <w:lastRenderedPageBreak/>
        <w:tab/>
      </w:r>
      <w:r w:rsidRPr="009C3BAB">
        <w:rPr>
          <w:rFonts w:eastAsiaTheme="minorEastAsia"/>
          <w:rtl/>
        </w:rPr>
        <w:t>(ب)</w:t>
      </w:r>
      <w:r w:rsidRPr="009C3BAB">
        <w:rPr>
          <w:rFonts w:eastAsiaTheme="minorEastAsia"/>
          <w:rtl/>
        </w:rPr>
        <w:tab/>
      </w:r>
      <w:r w:rsidRPr="001A0537">
        <w:rPr>
          <w:rFonts w:eastAsiaTheme="minorEastAsia"/>
          <w:bCs/>
          <w:rtl/>
        </w:rPr>
        <w:t xml:space="preserve">في حالات ادعاء التعذيب أو سوء المعاملة، ضمان توقيف المشتبه فيهم عن العمل فوراً طوال مدة التحقيق، لا سيما عندما يكون استمرارهم في العمل قد يسمح لهم بتكرار الفعل المدعى ارتكابه أو عرقلة التحقيق أو عندما يكون هناك خطر الانتقام؛ </w:t>
      </w:r>
    </w:p>
    <w:p w14:paraId="6A78563F" w14:textId="509B5ED3" w:rsidR="009C3BAB" w:rsidRPr="001A0537" w:rsidRDefault="009C3BAB" w:rsidP="009C3BAB">
      <w:pPr>
        <w:pStyle w:val="SingleTxtGA"/>
        <w:rPr>
          <w:rFonts w:eastAsiaTheme="minorEastAsia"/>
          <w:bCs/>
        </w:rPr>
      </w:pPr>
      <w:r>
        <w:rPr>
          <w:rFonts w:eastAsiaTheme="minorEastAsia"/>
          <w:rtl/>
        </w:rPr>
        <w:tab/>
      </w:r>
      <w:r w:rsidRPr="009C3BAB">
        <w:rPr>
          <w:rFonts w:eastAsiaTheme="minorEastAsia"/>
          <w:rtl/>
        </w:rPr>
        <w:t>(ج)</w:t>
      </w:r>
      <w:r w:rsidRPr="009C3BAB">
        <w:rPr>
          <w:rFonts w:eastAsiaTheme="minorEastAsia"/>
          <w:rtl/>
        </w:rPr>
        <w:tab/>
      </w:r>
      <w:r w:rsidRPr="001A0537">
        <w:rPr>
          <w:rFonts w:eastAsiaTheme="minorEastAsia"/>
          <w:bCs/>
          <w:rtl/>
        </w:rPr>
        <w:t>ضمان حصول المشتكين وشهود التعذيب على الحماية والمساعدة اللازمتين؛</w:t>
      </w:r>
    </w:p>
    <w:p w14:paraId="25919863" w14:textId="73919F3D" w:rsidR="009C3BAB" w:rsidRPr="001A0537" w:rsidRDefault="009C3BAB" w:rsidP="009C3BAB">
      <w:pPr>
        <w:pStyle w:val="SingleTxtGA"/>
        <w:rPr>
          <w:rFonts w:eastAsiaTheme="minorEastAsia"/>
          <w:bCs/>
        </w:rPr>
      </w:pPr>
      <w:r>
        <w:rPr>
          <w:rFonts w:eastAsiaTheme="minorEastAsia"/>
          <w:rtl/>
        </w:rPr>
        <w:tab/>
      </w:r>
      <w:r w:rsidRPr="009C3BAB">
        <w:rPr>
          <w:rFonts w:eastAsiaTheme="minorEastAsia"/>
          <w:rtl/>
        </w:rPr>
        <w:t>(د)</w:t>
      </w:r>
      <w:r w:rsidRPr="009C3BAB">
        <w:rPr>
          <w:rFonts w:eastAsiaTheme="minorEastAsia"/>
          <w:rtl/>
        </w:rPr>
        <w:tab/>
      </w:r>
      <w:r w:rsidRPr="001A0537">
        <w:rPr>
          <w:rFonts w:eastAsiaTheme="minorEastAsia"/>
          <w:bCs/>
          <w:rtl/>
        </w:rPr>
        <w:t>إنشاء سجل عام مركزي للشكاوى والتحقيقات والملاحقات القضائية والعقوبات والإدانات فيما يتعلق بحالات التعذيب وسوء المعاملة.</w:t>
      </w:r>
    </w:p>
    <w:p w14:paraId="5D8FDE36" w14:textId="77777777" w:rsidR="009C3BAB" w:rsidRPr="001A0537" w:rsidRDefault="009C3BAB" w:rsidP="009C3BAB">
      <w:pPr>
        <w:pStyle w:val="H23GA"/>
        <w:rPr>
          <w:lang w:val="ar-SA" w:eastAsia="zh-TW" w:bidi="en-GB"/>
        </w:rPr>
      </w:pPr>
      <w:r w:rsidRPr="001A0537">
        <w:rPr>
          <w:rtl/>
        </w:rPr>
        <w:tab/>
      </w:r>
      <w:r w:rsidRPr="001A0537">
        <w:rPr>
          <w:rtl/>
        </w:rPr>
        <w:tab/>
        <w:t>الاعترافات المنتزعة بالإكراه</w:t>
      </w:r>
    </w:p>
    <w:p w14:paraId="170D2698" w14:textId="00753A16" w:rsidR="00667949" w:rsidRPr="00667949" w:rsidRDefault="009C3BAB" w:rsidP="009C3BAB">
      <w:pPr>
        <w:pStyle w:val="SingleTxtGA"/>
        <w:rPr>
          <w:rFonts w:eastAsiaTheme="minorEastAsia"/>
          <w:color w:val="000000"/>
          <w:lang w:val="ar-SA" w:eastAsia="zh-TW" w:bidi="en-GB"/>
        </w:rPr>
      </w:pPr>
      <w:r w:rsidRPr="001A0537">
        <w:rPr>
          <w:rFonts w:eastAsiaTheme="minorEastAsia"/>
          <w:rtl/>
        </w:rPr>
        <w:t>34</w:t>
      </w:r>
      <w:r w:rsidRPr="009C3BAB">
        <w:rPr>
          <w:rFonts w:eastAsiaTheme="minorEastAsia"/>
          <w:rtl/>
        </w:rPr>
        <w:t>-</w:t>
      </w:r>
      <w:r w:rsidRPr="009C3BAB">
        <w:rPr>
          <w:rFonts w:eastAsiaTheme="minorEastAsia"/>
          <w:rtl/>
        </w:rPr>
        <w:tab/>
        <w:t>تحيط اللجنة علماً بالضمانات الدستورية المتصلة بإجراءات المحاكمة الشفوية وبأحكام قانون الإجراءات الجنائية التي تنص على عدم مقبولية الأدلة المنتزعة عن طريق التعذيب، فضلاً عن المعلومات المقدمة من الدولة الطرف التي تشير إلى أنه، خلال الفترة قيد الاستعراض، لم تُرفَض أي قضايا لأن الأدلة أو الشهادات المقدمة انتُزِعت عن طريق التعذيب. بيد أن اللجنة تشعر بالقلق إزاء التقارير المتسقة</w:t>
      </w:r>
      <w:r w:rsidR="00497EFB">
        <w:rPr>
          <w:rFonts w:eastAsiaTheme="minorEastAsia" w:hint="cs"/>
          <w:rtl/>
        </w:rPr>
        <w:t> </w:t>
      </w:r>
      <w:r w:rsidRPr="009C3BAB">
        <w:rPr>
          <w:rFonts w:eastAsiaTheme="minorEastAsia"/>
          <w:rtl/>
        </w:rPr>
        <w:t xml:space="preserve">التي تفيد بأن أساليب إكراهية تُستخدَم أثناء الاستجواب، ولا سيما الاعتداء البدني، والاحتجاز المطول مع منع الاتصال، والحبس الانفرادي، والتعريض لتغيرات مفاجئة في درجات الحرارة، والتهديدات (المواد </w:t>
      </w:r>
      <w:r w:rsidRPr="001A0537">
        <w:rPr>
          <w:rFonts w:eastAsiaTheme="minorEastAsia"/>
          <w:rtl/>
        </w:rPr>
        <w:t>2</w:t>
      </w:r>
      <w:r w:rsidRPr="009C3BAB">
        <w:rPr>
          <w:rFonts w:eastAsiaTheme="minorEastAsia"/>
          <w:rtl/>
        </w:rPr>
        <w:t xml:space="preserve"> و</w:t>
      </w:r>
      <w:r w:rsidRPr="001A0537">
        <w:rPr>
          <w:rFonts w:eastAsiaTheme="minorEastAsia"/>
          <w:rtl/>
        </w:rPr>
        <w:t>11</w:t>
      </w:r>
      <w:r w:rsidRPr="009C3BAB">
        <w:rPr>
          <w:rFonts w:eastAsiaTheme="minorEastAsia"/>
          <w:rtl/>
        </w:rPr>
        <w:t xml:space="preserve"> و</w:t>
      </w:r>
      <w:r w:rsidRPr="001A0537">
        <w:rPr>
          <w:rFonts w:eastAsiaTheme="minorEastAsia"/>
          <w:rtl/>
        </w:rPr>
        <w:t>15</w:t>
      </w:r>
      <w:r w:rsidRPr="009C3BAB">
        <w:rPr>
          <w:rFonts w:eastAsiaTheme="minorEastAsia"/>
          <w:rtl/>
        </w:rPr>
        <w:t xml:space="preserve"> و</w:t>
      </w:r>
      <w:r w:rsidRPr="001A0537">
        <w:rPr>
          <w:rFonts w:eastAsiaTheme="minorEastAsia"/>
          <w:rtl/>
        </w:rPr>
        <w:t>1</w:t>
      </w:r>
      <w:r w:rsidR="00667949" w:rsidRPr="001A0537">
        <w:rPr>
          <w:rFonts w:eastAsiaTheme="minorEastAsia"/>
          <w:color w:val="000000"/>
          <w:rtl/>
        </w:rPr>
        <w:t>6</w:t>
      </w:r>
      <w:r w:rsidR="00667949" w:rsidRPr="00667949">
        <w:rPr>
          <w:rFonts w:eastAsiaTheme="minorEastAsia"/>
          <w:color w:val="000000"/>
          <w:rtl/>
        </w:rPr>
        <w:t>).</w:t>
      </w:r>
    </w:p>
    <w:p w14:paraId="5F71B19C" w14:textId="6E8E5D72" w:rsidR="009C3BAB" w:rsidRPr="001A0537" w:rsidRDefault="009C3BAB" w:rsidP="009C3BAB">
      <w:pPr>
        <w:pStyle w:val="SingleTxtGA"/>
        <w:rPr>
          <w:rFonts w:eastAsiaTheme="minorEastAsia"/>
          <w:bCs/>
        </w:rPr>
      </w:pPr>
      <w:r w:rsidRPr="001A0537">
        <w:rPr>
          <w:rFonts w:eastAsiaTheme="minorEastAsia"/>
          <w:rtl/>
        </w:rPr>
        <w:t>35</w:t>
      </w:r>
      <w:r w:rsidRPr="009C3BAB">
        <w:rPr>
          <w:rFonts w:eastAsiaTheme="minorEastAsia"/>
          <w:rtl/>
        </w:rPr>
        <w:t>-</w:t>
      </w:r>
      <w:r w:rsidRPr="001A0537">
        <w:rPr>
          <w:rFonts w:eastAsiaTheme="minorEastAsia"/>
          <w:bCs/>
          <w:rtl/>
        </w:rPr>
        <w:tab/>
        <w:t>ينبغي للدولة الطرف القيام بما يلي:</w:t>
      </w:r>
    </w:p>
    <w:p w14:paraId="27B798BF" w14:textId="3496D827" w:rsidR="009C3BAB" w:rsidRPr="001A0537" w:rsidRDefault="009C3BAB" w:rsidP="009C3BAB">
      <w:pPr>
        <w:pStyle w:val="SingleTxtGA"/>
        <w:rPr>
          <w:rFonts w:eastAsiaTheme="minorEastAsia"/>
          <w:bCs/>
        </w:rPr>
      </w:pPr>
      <w:r w:rsidRPr="001A0537">
        <w:rPr>
          <w:rFonts w:eastAsiaTheme="minorEastAsia"/>
          <w:b/>
          <w:rtl/>
        </w:rPr>
        <w:tab/>
        <w:t>(</w:t>
      </w:r>
      <w:r w:rsidRPr="009C3BAB">
        <w:rPr>
          <w:rFonts w:eastAsiaTheme="minorEastAsia"/>
          <w:rtl/>
        </w:rPr>
        <w:t>أ)</w:t>
      </w:r>
      <w:r w:rsidRPr="009C3BAB">
        <w:rPr>
          <w:rFonts w:eastAsiaTheme="minorEastAsia"/>
          <w:rtl/>
        </w:rPr>
        <w:tab/>
      </w:r>
      <w:r w:rsidRPr="001A0537">
        <w:rPr>
          <w:rFonts w:eastAsiaTheme="minorEastAsia"/>
          <w:bCs/>
          <w:rtl/>
        </w:rPr>
        <w:t>اتخاذ خطوات فورية لوضع حد للممارسات القسرية أثناء الاستجواب، بما في ذلك العدوان، والاحتجاز المطول مع منع الاتصال، والحبس الانفرادي، والتعريض لتغيرات مفاجئة في درجات الحرارة، والتهديدات؛</w:t>
      </w:r>
    </w:p>
    <w:p w14:paraId="496BA084" w14:textId="19EF26B6" w:rsidR="009C3BAB" w:rsidRPr="001A0537" w:rsidRDefault="009C3BAB" w:rsidP="009C3BAB">
      <w:pPr>
        <w:pStyle w:val="SingleTxtGA"/>
        <w:rPr>
          <w:rFonts w:eastAsiaTheme="minorEastAsia"/>
          <w:bCs/>
        </w:rPr>
      </w:pPr>
      <w:r w:rsidRPr="001A0537">
        <w:rPr>
          <w:rFonts w:eastAsiaTheme="minorEastAsia"/>
          <w:b/>
          <w:rtl/>
        </w:rPr>
        <w:tab/>
        <w:t>(</w:t>
      </w:r>
      <w:r w:rsidRPr="009C3BAB">
        <w:rPr>
          <w:rFonts w:eastAsiaTheme="minorEastAsia"/>
          <w:rtl/>
        </w:rPr>
        <w:t>ب)</w:t>
      </w:r>
      <w:r w:rsidRPr="001A0537">
        <w:rPr>
          <w:rFonts w:eastAsiaTheme="minorEastAsia"/>
          <w:bCs/>
          <w:rtl/>
        </w:rPr>
        <w:tab/>
        <w:t>اعتماد جميع التدابير اللازمة لضمان ألا تُقبَل كدليل في الممارسة العملية أي أقوال يتم الحصول عليها عن طريق التعذيب، إلا إذا كان ذلك ضد شخص متهم بارتكاب التعذيب، كدليل على الإدلاء بهذه الأقوال؛</w:t>
      </w:r>
    </w:p>
    <w:p w14:paraId="40F9CC95" w14:textId="1450F1F9" w:rsidR="009C3BAB" w:rsidRPr="001A0537" w:rsidRDefault="009C3BAB" w:rsidP="009C3BAB">
      <w:pPr>
        <w:pStyle w:val="SingleTxtGA"/>
        <w:rPr>
          <w:rFonts w:eastAsiaTheme="minorEastAsia"/>
          <w:bCs/>
        </w:rPr>
      </w:pPr>
      <w:r>
        <w:rPr>
          <w:rFonts w:eastAsiaTheme="minorEastAsia"/>
          <w:rtl/>
        </w:rPr>
        <w:tab/>
      </w:r>
      <w:r w:rsidRPr="009C3BAB">
        <w:rPr>
          <w:rFonts w:eastAsiaTheme="minorEastAsia"/>
          <w:rtl/>
        </w:rPr>
        <w:t>(ج)</w:t>
      </w:r>
      <w:r w:rsidRPr="009C3BAB">
        <w:rPr>
          <w:rFonts w:eastAsiaTheme="minorEastAsia"/>
          <w:rtl/>
        </w:rPr>
        <w:tab/>
      </w:r>
      <w:r w:rsidRPr="001A0537">
        <w:rPr>
          <w:rFonts w:eastAsiaTheme="minorEastAsia"/>
          <w:bCs/>
          <w:rtl/>
        </w:rPr>
        <w:t>ضمان إجراء تحقيق فوري عندما يُدَّعى أن أقوالاً قد انتزعت عن طريق التعذيب، ولا</w:t>
      </w:r>
      <w:r w:rsidR="00D9525A" w:rsidRPr="001A0537">
        <w:rPr>
          <w:rFonts w:eastAsiaTheme="minorEastAsia" w:hint="cs"/>
          <w:bCs/>
          <w:rtl/>
        </w:rPr>
        <w:t> </w:t>
      </w:r>
      <w:r w:rsidRPr="001A0537">
        <w:rPr>
          <w:rFonts w:eastAsiaTheme="minorEastAsia"/>
          <w:bCs/>
          <w:rtl/>
        </w:rPr>
        <w:t xml:space="preserve">يقع عبء الإثبات على عاتق </w:t>
      </w:r>
      <w:proofErr w:type="gramStart"/>
      <w:r w:rsidRPr="001A0537">
        <w:rPr>
          <w:rFonts w:eastAsiaTheme="minorEastAsia"/>
          <w:bCs/>
          <w:rtl/>
        </w:rPr>
        <w:t>الضحية</w:t>
      </w:r>
      <w:proofErr w:type="gramEnd"/>
      <w:r w:rsidRPr="001A0537">
        <w:rPr>
          <w:rFonts w:eastAsiaTheme="minorEastAsia"/>
          <w:bCs/>
          <w:rtl/>
        </w:rPr>
        <w:t xml:space="preserve"> بل على عاتق الدولة؛ </w:t>
      </w:r>
    </w:p>
    <w:p w14:paraId="4A2A47CB" w14:textId="3203CF42" w:rsidR="009C3BAB" w:rsidRPr="001A0537" w:rsidRDefault="009C3BAB" w:rsidP="009C3BAB">
      <w:pPr>
        <w:pStyle w:val="SingleTxtGA"/>
        <w:rPr>
          <w:rFonts w:eastAsiaTheme="minorEastAsia"/>
          <w:bCs/>
          <w:lang w:val="ar-SA" w:eastAsia="zh-TW" w:bidi="en-GB"/>
        </w:rPr>
      </w:pPr>
      <w:r>
        <w:rPr>
          <w:rFonts w:eastAsiaTheme="minorEastAsia"/>
          <w:rtl/>
        </w:rPr>
        <w:tab/>
      </w:r>
      <w:r w:rsidRPr="009C3BAB">
        <w:rPr>
          <w:rFonts w:eastAsiaTheme="minorEastAsia"/>
          <w:rtl/>
        </w:rPr>
        <w:t>(د)</w:t>
      </w:r>
      <w:r w:rsidRPr="009C3BAB">
        <w:rPr>
          <w:rFonts w:eastAsiaTheme="minorEastAsia"/>
          <w:rtl/>
        </w:rPr>
        <w:tab/>
      </w:r>
      <w:r w:rsidRPr="001A0537">
        <w:rPr>
          <w:rFonts w:eastAsiaTheme="minorEastAsia"/>
          <w:bCs/>
          <w:rtl/>
        </w:rPr>
        <w:t>توسيع نطاق برامج التدريب للقضاة والمدعين العامين من أجل تزويدهم بالمهارات اللازمة للكشف عن جميع الشكاوى المتعلقة بالتعذيب وسوء المعاملة والتحقيق فيها بفعالية، باستخدام تقنيات استجواب غير إكراهية.</w:t>
      </w:r>
    </w:p>
    <w:p w14:paraId="53112484" w14:textId="77777777" w:rsidR="009C3BAB" w:rsidRPr="001A0537" w:rsidRDefault="009C3BAB" w:rsidP="009C3BAB">
      <w:pPr>
        <w:pStyle w:val="H23GA"/>
        <w:rPr>
          <w:lang w:val="ar-SA" w:eastAsia="zh-TW" w:bidi="en-GB"/>
        </w:rPr>
      </w:pPr>
      <w:r w:rsidRPr="001A0537">
        <w:rPr>
          <w:rtl/>
        </w:rPr>
        <w:tab/>
      </w:r>
      <w:r w:rsidRPr="001A0537">
        <w:rPr>
          <w:rtl/>
        </w:rPr>
        <w:tab/>
        <w:t>مؤسسات الطب النفسي</w:t>
      </w:r>
    </w:p>
    <w:p w14:paraId="53B2B9C3" w14:textId="6FA7E1AB" w:rsidR="009C3BAB" w:rsidRPr="009C3BAB" w:rsidRDefault="009C3BAB" w:rsidP="009C3BAB">
      <w:pPr>
        <w:pStyle w:val="SingleTxtGA"/>
        <w:rPr>
          <w:rFonts w:eastAsiaTheme="minorEastAsia"/>
          <w:shd w:val="clear" w:color="auto" w:fill="FFFFFF"/>
          <w:lang w:val="ar-SA" w:eastAsia="zh-TW" w:bidi="en-GB"/>
        </w:rPr>
      </w:pPr>
      <w:r w:rsidRPr="001A0537">
        <w:rPr>
          <w:rFonts w:eastAsiaTheme="minorEastAsia"/>
          <w:rtl/>
        </w:rPr>
        <w:t>36</w:t>
      </w:r>
      <w:r w:rsidRPr="009C3BAB">
        <w:rPr>
          <w:rFonts w:eastAsiaTheme="minorEastAsia"/>
          <w:rtl/>
        </w:rPr>
        <w:t>-</w:t>
      </w:r>
      <w:r w:rsidRPr="009C3BAB">
        <w:rPr>
          <w:rFonts w:eastAsiaTheme="minorEastAsia"/>
          <w:rtl/>
        </w:rPr>
        <w:tab/>
        <w:t xml:space="preserve">وفقاً للمعلومات التي قدمتها الدولة الطرف، لا تُسلَب حرية أحد في مستشفيات الأمراض النفسية في البلد. بيد أن اللجنة تلاحظ مع القلق استمرار عدم التماس الموافقة المستنيرة من الأشخاص ذوي الإعاقات الذهنية أو النفسية - الاجتماعية على علاجهم وعدم وجود ضمانات قانونية فيما يتعلق بالإيداع </w:t>
      </w:r>
      <w:r w:rsidRPr="00627932">
        <w:rPr>
          <w:rFonts w:eastAsiaTheme="minorEastAsia"/>
          <w:spacing w:val="-4"/>
          <w:rtl/>
        </w:rPr>
        <w:t xml:space="preserve">غير الطوعي في المستشفيات والعلاج الطبي غير الطوعي في مؤسسات الطب النفسي. وتعرب اللجنة عن أسفها أيضاً لعدم تلقيها المعلومات المطلوبة عن تدابير الانتصاف الممنوحة فيما يتعلق بوفاة </w:t>
      </w:r>
      <w:r w:rsidRPr="001A0537">
        <w:rPr>
          <w:rFonts w:eastAsiaTheme="minorEastAsia"/>
          <w:spacing w:val="-4"/>
          <w:rtl/>
        </w:rPr>
        <w:t>26</w:t>
      </w:r>
      <w:r w:rsidRPr="009C3BAB">
        <w:rPr>
          <w:rFonts w:eastAsiaTheme="minorEastAsia"/>
          <w:rtl/>
        </w:rPr>
        <w:t xml:space="preserve"> شخصاً في</w:t>
      </w:r>
      <w:r w:rsidR="00627932">
        <w:rPr>
          <w:rFonts w:eastAsiaTheme="minorEastAsia" w:hint="cs"/>
          <w:rtl/>
        </w:rPr>
        <w:t> </w:t>
      </w:r>
      <w:r w:rsidRPr="009C3BAB">
        <w:rPr>
          <w:rFonts w:eastAsiaTheme="minorEastAsia"/>
          <w:rtl/>
        </w:rPr>
        <w:t xml:space="preserve">مستشفى هافانا للأمراض النفسية في عام </w:t>
      </w:r>
      <w:r w:rsidRPr="001A0537">
        <w:rPr>
          <w:rFonts w:eastAsiaTheme="minorEastAsia"/>
          <w:rtl/>
        </w:rPr>
        <w:t>2010</w:t>
      </w:r>
      <w:r w:rsidRPr="009C3BAB">
        <w:rPr>
          <w:rFonts w:eastAsiaTheme="minorEastAsia"/>
          <w:rtl/>
        </w:rPr>
        <w:t>، رغم أنها تحيط علماً بالمعلومات التي قدمتها الدولة</w:t>
      </w:r>
      <w:r w:rsidR="00371B6F">
        <w:rPr>
          <w:rFonts w:eastAsiaTheme="minorEastAsia" w:hint="cs"/>
          <w:rtl/>
        </w:rPr>
        <w:t xml:space="preserve"> </w:t>
      </w:r>
      <w:r w:rsidRPr="009C3BAB">
        <w:rPr>
          <w:rFonts w:eastAsiaTheme="minorEastAsia"/>
          <w:rtl/>
        </w:rPr>
        <w:t xml:space="preserve">الطرف بشأن العقوبات المفروضة على المسؤولين، بما في ذلك الأحكام بالسجن لمدة تتراوح بين </w:t>
      </w:r>
      <w:r w:rsidRPr="001A0537">
        <w:rPr>
          <w:rFonts w:eastAsiaTheme="minorEastAsia"/>
          <w:rtl/>
        </w:rPr>
        <w:t>5</w:t>
      </w:r>
      <w:r w:rsidRPr="009C3BAB">
        <w:rPr>
          <w:rFonts w:eastAsiaTheme="minorEastAsia"/>
          <w:rtl/>
        </w:rPr>
        <w:t xml:space="preserve"> سنوات و</w:t>
      </w:r>
      <w:r w:rsidRPr="001A0537">
        <w:rPr>
          <w:rFonts w:eastAsiaTheme="minorEastAsia"/>
          <w:rtl/>
        </w:rPr>
        <w:t>15</w:t>
      </w:r>
      <w:r w:rsidRPr="009C3BAB">
        <w:rPr>
          <w:rFonts w:eastAsiaTheme="minorEastAsia"/>
          <w:rtl/>
        </w:rPr>
        <w:t xml:space="preserve"> سنة (المادة </w:t>
      </w:r>
      <w:r w:rsidRPr="001A0537">
        <w:rPr>
          <w:rFonts w:eastAsiaTheme="minorEastAsia"/>
          <w:rtl/>
        </w:rPr>
        <w:t>1</w:t>
      </w:r>
      <w:r w:rsidR="00667949" w:rsidRPr="001A0537">
        <w:rPr>
          <w:rFonts w:eastAsiaTheme="minorEastAsia"/>
          <w:color w:val="000000"/>
          <w:rtl/>
        </w:rPr>
        <w:t>6</w:t>
      </w:r>
      <w:r w:rsidR="00667949" w:rsidRPr="00667949">
        <w:rPr>
          <w:rFonts w:eastAsiaTheme="minorEastAsia"/>
          <w:color w:val="000000"/>
          <w:rtl/>
        </w:rPr>
        <w:t xml:space="preserve">). </w:t>
      </w:r>
    </w:p>
    <w:p w14:paraId="0A8D5791" w14:textId="7A8B2C6D" w:rsidR="009C3BAB" w:rsidRPr="001A0537" w:rsidRDefault="009C3BAB" w:rsidP="009C3BAB">
      <w:pPr>
        <w:pStyle w:val="SingleTxtGA"/>
        <w:rPr>
          <w:rFonts w:eastAsiaTheme="minorEastAsia"/>
          <w:bCs/>
          <w:lang w:val="en-US" w:eastAsia="zh-TW" w:bidi="en-GB"/>
        </w:rPr>
      </w:pPr>
      <w:r w:rsidRPr="001A0537">
        <w:rPr>
          <w:rFonts w:eastAsiaTheme="minorEastAsia"/>
          <w:rtl/>
        </w:rPr>
        <w:lastRenderedPageBreak/>
        <w:t>37</w:t>
      </w:r>
      <w:r w:rsidRPr="009C3BAB">
        <w:rPr>
          <w:rFonts w:eastAsiaTheme="minorEastAsia"/>
          <w:rtl/>
        </w:rPr>
        <w:t>-</w:t>
      </w:r>
      <w:r w:rsidRPr="009C3BAB">
        <w:rPr>
          <w:rFonts w:eastAsiaTheme="minorEastAsia"/>
          <w:rtl/>
        </w:rPr>
        <w:tab/>
      </w:r>
      <w:r w:rsidRPr="001A0537">
        <w:rPr>
          <w:rFonts w:eastAsiaTheme="minorEastAsia"/>
          <w:bCs/>
          <w:rtl/>
        </w:rPr>
        <w:t>ينبغي للدولة الطرف أن تكفل احترام الضمانات القانونية لمنع التعذيب وسوء المعاملة في مؤسسات الطب النفسي، بما في ذلك إمكانية الوصول إلى آلية لتقديم الشكاوى وإجراء مراجعة قضائية مستقلة وفعالة.</w:t>
      </w:r>
      <w:r w:rsidRPr="00627932">
        <w:rPr>
          <w:rFonts w:eastAsiaTheme="minorEastAsia"/>
          <w:bCs/>
          <w:rtl/>
        </w:rPr>
        <w:t xml:space="preserve"> </w:t>
      </w:r>
      <w:r w:rsidRPr="001A0537">
        <w:rPr>
          <w:rFonts w:eastAsiaTheme="minorEastAsia"/>
          <w:bCs/>
          <w:rtl/>
        </w:rPr>
        <w:t>وينبغي لها أيضاً أن تكفل تمويل خدمات الصحة العقلية في المجتمع المحلي تمويلاً</w:t>
      </w:r>
      <w:r w:rsidR="00627932" w:rsidRPr="001A0537">
        <w:rPr>
          <w:rFonts w:eastAsiaTheme="minorEastAsia" w:hint="cs"/>
          <w:bCs/>
          <w:rtl/>
        </w:rPr>
        <w:t> </w:t>
      </w:r>
      <w:r w:rsidRPr="001A0537">
        <w:rPr>
          <w:rFonts w:eastAsiaTheme="minorEastAsia"/>
          <w:bCs/>
          <w:rtl/>
        </w:rPr>
        <w:t>كافياً.</w:t>
      </w:r>
      <w:r w:rsidRPr="00627932">
        <w:rPr>
          <w:rFonts w:eastAsiaTheme="minorEastAsia"/>
          <w:bCs/>
          <w:rtl/>
        </w:rPr>
        <w:t xml:space="preserve"> </w:t>
      </w:r>
    </w:p>
    <w:p w14:paraId="6B651477" w14:textId="77777777" w:rsidR="009C3BAB" w:rsidRPr="001A0537" w:rsidRDefault="009C3BAB" w:rsidP="009C3BAB">
      <w:pPr>
        <w:pStyle w:val="H23GA"/>
        <w:rPr>
          <w:lang w:val="ar-SA" w:eastAsia="zh-TW" w:bidi="en-GB"/>
        </w:rPr>
      </w:pPr>
      <w:r w:rsidRPr="001A0537">
        <w:rPr>
          <w:rtl/>
        </w:rPr>
        <w:tab/>
      </w:r>
      <w:r w:rsidRPr="001A0537">
        <w:rPr>
          <w:rtl/>
        </w:rPr>
        <w:tab/>
        <w:t>عقوبة الإعدام</w:t>
      </w:r>
    </w:p>
    <w:p w14:paraId="1AB199FE" w14:textId="2CC85084" w:rsidR="00667949" w:rsidRPr="00667949" w:rsidRDefault="009C3BAB" w:rsidP="009C3BAB">
      <w:pPr>
        <w:pStyle w:val="SingleTxtGA"/>
        <w:rPr>
          <w:rFonts w:eastAsiaTheme="minorEastAsia"/>
          <w:color w:val="000000"/>
          <w:shd w:val="clear" w:color="auto" w:fill="FFFFFF"/>
          <w:lang w:val="ar-SA" w:eastAsia="zh-TW" w:bidi="en-GB"/>
        </w:rPr>
      </w:pPr>
      <w:r w:rsidRPr="001A0537">
        <w:rPr>
          <w:rFonts w:eastAsiaTheme="minorEastAsia"/>
          <w:rtl/>
        </w:rPr>
        <w:t>38</w:t>
      </w:r>
      <w:r w:rsidRPr="009C3BAB">
        <w:rPr>
          <w:rFonts w:eastAsiaTheme="minorEastAsia"/>
          <w:rtl/>
        </w:rPr>
        <w:t>-</w:t>
      </w:r>
      <w:r w:rsidRPr="009C3BAB">
        <w:rPr>
          <w:rFonts w:eastAsiaTheme="minorEastAsia"/>
          <w:rtl/>
        </w:rPr>
        <w:tab/>
        <w:t xml:space="preserve">تلاحظ اللجنة أن هناك وقفاً اختيارياً بحكم الواقع لعقوبة الإعدام منذ آخر عملية إعدام مسجلة في عام </w:t>
      </w:r>
      <w:r w:rsidRPr="001A0537">
        <w:rPr>
          <w:rFonts w:eastAsiaTheme="minorEastAsia"/>
          <w:rtl/>
        </w:rPr>
        <w:t>2003</w:t>
      </w:r>
      <w:r w:rsidRPr="009C3BAB">
        <w:rPr>
          <w:rFonts w:eastAsiaTheme="minorEastAsia"/>
          <w:rtl/>
        </w:rPr>
        <w:t xml:space="preserve">، وأن الدولة الطرف تؤكد أن لا أحد يواجه حالياً عقوبة الإعدام. بيد أن اللجنة تعرب عن أسفها لأن التشريعات لا تزال تنص على عقوبة الإعدام، التي يمكن تطبيقها على الجرائم العادية وفئات واسعة من الجرائم المتصلة بأمن الدولة. ووفقاً للمعلومات التي قدمتها الدولة الطرف، سينص مشروع القانون الجنائي قيد الإعداد على إلغاء عقوبة الإعدام بالنسبة لأربع جرائم عادية (المادتان </w:t>
      </w:r>
      <w:r w:rsidRPr="001A0537">
        <w:rPr>
          <w:rFonts w:eastAsiaTheme="minorEastAsia"/>
          <w:rtl/>
        </w:rPr>
        <w:t>2</w:t>
      </w:r>
      <w:r w:rsidRPr="009C3BAB">
        <w:rPr>
          <w:rFonts w:eastAsiaTheme="minorEastAsia"/>
          <w:rtl/>
        </w:rPr>
        <w:t xml:space="preserve"> و</w:t>
      </w:r>
      <w:r w:rsidRPr="001A0537">
        <w:rPr>
          <w:rFonts w:eastAsiaTheme="minorEastAsia"/>
          <w:rtl/>
        </w:rPr>
        <w:t>1</w:t>
      </w:r>
      <w:r w:rsidR="00667949" w:rsidRPr="001A0537">
        <w:rPr>
          <w:rFonts w:eastAsiaTheme="minorEastAsia"/>
          <w:color w:val="000000"/>
          <w:rtl/>
        </w:rPr>
        <w:t>6</w:t>
      </w:r>
      <w:r w:rsidR="00667949" w:rsidRPr="00667949">
        <w:rPr>
          <w:rFonts w:eastAsiaTheme="minorEastAsia"/>
          <w:color w:val="000000"/>
          <w:rtl/>
        </w:rPr>
        <w:t>).</w:t>
      </w:r>
    </w:p>
    <w:p w14:paraId="628BFD0F" w14:textId="2A6D67E3" w:rsidR="009C3BAB" w:rsidRPr="001A0537" w:rsidRDefault="009C3BAB" w:rsidP="009C3BAB">
      <w:pPr>
        <w:pStyle w:val="SingleTxtGA"/>
        <w:rPr>
          <w:rFonts w:eastAsiaTheme="minorEastAsia"/>
          <w:bCs/>
          <w:shd w:val="clear" w:color="auto" w:fill="FFFFFF"/>
          <w:lang w:val="ar-SA" w:eastAsia="zh-TW" w:bidi="en-GB"/>
        </w:rPr>
      </w:pPr>
      <w:r w:rsidRPr="001A0537">
        <w:rPr>
          <w:rFonts w:eastAsiaTheme="minorEastAsia"/>
          <w:rtl/>
        </w:rPr>
        <w:t>39</w:t>
      </w:r>
      <w:r w:rsidRPr="009C3BAB">
        <w:rPr>
          <w:rFonts w:eastAsiaTheme="minorEastAsia"/>
          <w:rtl/>
        </w:rPr>
        <w:t>-</w:t>
      </w:r>
      <w:r w:rsidRPr="009C3BAB">
        <w:rPr>
          <w:rFonts w:eastAsiaTheme="minorEastAsia"/>
          <w:rtl/>
        </w:rPr>
        <w:tab/>
      </w:r>
      <w:r w:rsidRPr="001A0537">
        <w:rPr>
          <w:rFonts w:eastAsiaTheme="minorEastAsia"/>
          <w:bCs/>
          <w:rtl/>
        </w:rPr>
        <w:t>تدعو اللجنة الدولة الطرف إلى النظر في إعلان وقف اختياري رسمي لعقوبة الإعدام بغية إلغائها في المستقبل.</w:t>
      </w:r>
    </w:p>
    <w:p w14:paraId="2F780FDA" w14:textId="77777777" w:rsidR="009C3BAB" w:rsidRPr="001A0537" w:rsidRDefault="009C3BAB" w:rsidP="009C3BAB">
      <w:pPr>
        <w:pStyle w:val="H23GA"/>
        <w:rPr>
          <w:lang w:val="ar-SA" w:eastAsia="zh-TW" w:bidi="en-GB"/>
        </w:rPr>
      </w:pPr>
      <w:r w:rsidRPr="001A0537">
        <w:rPr>
          <w:rtl/>
        </w:rPr>
        <w:tab/>
      </w:r>
      <w:r w:rsidRPr="001A0537">
        <w:rPr>
          <w:rtl/>
        </w:rPr>
        <w:tab/>
        <w:t>المدافعون عن حقوق الإنسان والصحفيون والفنانون</w:t>
      </w:r>
    </w:p>
    <w:p w14:paraId="294E2D2B" w14:textId="1D4F0FD0" w:rsidR="00667949" w:rsidRPr="00667949" w:rsidRDefault="009C3BAB" w:rsidP="009C3BAB">
      <w:pPr>
        <w:pStyle w:val="SingleTxtGA"/>
        <w:rPr>
          <w:rFonts w:eastAsiaTheme="minorEastAsia"/>
          <w:color w:val="000000"/>
          <w:lang w:val="ar-SA" w:eastAsia="zh-TW" w:bidi="en-GB"/>
        </w:rPr>
      </w:pPr>
      <w:r w:rsidRPr="001A0537">
        <w:rPr>
          <w:rFonts w:eastAsiaTheme="minorEastAsia"/>
          <w:rtl/>
        </w:rPr>
        <w:t>40</w:t>
      </w:r>
      <w:r w:rsidRPr="009C3BAB">
        <w:rPr>
          <w:rFonts w:eastAsiaTheme="minorEastAsia"/>
          <w:rtl/>
        </w:rPr>
        <w:t>-</w:t>
      </w:r>
      <w:r w:rsidRPr="009C3BAB">
        <w:rPr>
          <w:rFonts w:eastAsiaTheme="minorEastAsia"/>
          <w:rtl/>
        </w:rPr>
        <w:tab/>
        <w:t>تكرر اللجنة الإعراب عن قلقها إزاء تقارير الأمم المتحدة</w:t>
      </w:r>
      <w:r w:rsidR="00667949" w:rsidRPr="001A0537">
        <w:rPr>
          <w:rStyle w:val="FootnoteReference"/>
          <w:szCs w:val="22"/>
          <w:rtl/>
        </w:rPr>
        <w:t>(</w:t>
      </w:r>
      <w:r w:rsidR="00667949" w:rsidRPr="001A0537">
        <w:rPr>
          <w:rStyle w:val="FootnoteReference"/>
          <w:szCs w:val="22"/>
          <w:lang w:val="en-US"/>
        </w:rPr>
        <w:footnoteReference w:id="19"/>
      </w:r>
      <w:r w:rsidRPr="00F372B6">
        <w:rPr>
          <w:rStyle w:val="FootnoteReference"/>
          <w:szCs w:val="22"/>
          <w:rtl/>
        </w:rPr>
        <w:t>)</w:t>
      </w:r>
      <w:r w:rsidRPr="009C3BAB">
        <w:rPr>
          <w:rFonts w:eastAsiaTheme="minorEastAsia"/>
          <w:rtl/>
        </w:rPr>
        <w:t> التي توثق حالات المضايقة والهجمات والاعتقالات التعسفية والسجن والأعمال الانتقامية ضد المدافعين عن حقوق الإنسان والصحفيين والفنانين، ولا سيما أولئك الذين يُعتبرَون معارضين سياسيين</w:t>
      </w:r>
      <w:r w:rsidR="00667949" w:rsidRPr="001A0537">
        <w:rPr>
          <w:rStyle w:val="FootnoteReference"/>
          <w:szCs w:val="22"/>
          <w:rtl/>
        </w:rPr>
        <w:t>(</w:t>
      </w:r>
      <w:r w:rsidR="00667949" w:rsidRPr="001A0537">
        <w:rPr>
          <w:rStyle w:val="FootnoteReference"/>
          <w:szCs w:val="22"/>
          <w:lang w:val="en-US"/>
        </w:rPr>
        <w:footnoteReference w:id="20"/>
      </w:r>
      <w:r w:rsidR="00667949" w:rsidRPr="00667949">
        <w:rPr>
          <w:rStyle w:val="FootnoteReference"/>
          <w:color w:val="000000"/>
          <w:szCs w:val="22"/>
          <w:rtl/>
        </w:rPr>
        <w:t>)</w:t>
      </w:r>
      <w:r w:rsidR="00667949" w:rsidRPr="00667949">
        <w:rPr>
          <w:rFonts w:eastAsiaTheme="minorEastAsia" w:hint="cs"/>
          <w:color w:val="000000"/>
          <w:rtl/>
        </w:rPr>
        <w:t xml:space="preserve">. </w:t>
      </w:r>
      <w:r w:rsidRPr="009C3BAB">
        <w:rPr>
          <w:rFonts w:eastAsiaTheme="minorEastAsia"/>
          <w:rtl/>
        </w:rPr>
        <w:t xml:space="preserve"> وبينما تلاحظ اللجنة أن الدولة الطرف ترفض هذه الادعاءات، فإنها لا تزال تشعر بالقلق إزاء تقارير الاحتجاز التعسفي لفترات قصيرة من الوقت، والقيود المفروضة على حرية التنقل، وعمليات المراقبة بغرض التخويف، والاعتداء البدني، "وأعمال نبذ" المعارضين السياسيين خارج البيوت أو أماكن العمل أو الدراسة، والنفي القسري، وغير ذلك من أعمال التخويف والمضايقة التي يرتكبها حسب الادعاءات ضباط الشرطة الثورية الوطنية وضباط أمن الدولة. وتعرب اللجنة عن أسفها لأن الدولة الطرف لم تقدم معلومات عن التحقيقات والملاحقات القضائية فيما يتعلق بهذه الشكاوى (المواد </w:t>
      </w:r>
      <w:r w:rsidRPr="001A0537">
        <w:rPr>
          <w:rFonts w:eastAsiaTheme="minorEastAsia"/>
          <w:rtl/>
        </w:rPr>
        <w:t>2</w:t>
      </w:r>
      <w:r w:rsidRPr="009C3BAB">
        <w:rPr>
          <w:rFonts w:eastAsiaTheme="minorEastAsia"/>
          <w:rtl/>
        </w:rPr>
        <w:t xml:space="preserve"> و</w:t>
      </w:r>
      <w:r w:rsidRPr="001A0537">
        <w:rPr>
          <w:rFonts w:eastAsiaTheme="minorEastAsia"/>
          <w:rtl/>
        </w:rPr>
        <w:t>12</w:t>
      </w:r>
      <w:r w:rsidRPr="009C3BAB">
        <w:rPr>
          <w:rFonts w:eastAsiaTheme="minorEastAsia"/>
          <w:rtl/>
        </w:rPr>
        <w:t xml:space="preserve"> و</w:t>
      </w:r>
      <w:r w:rsidRPr="001A0537">
        <w:rPr>
          <w:rFonts w:eastAsiaTheme="minorEastAsia"/>
          <w:rtl/>
        </w:rPr>
        <w:t>13</w:t>
      </w:r>
      <w:r w:rsidRPr="009C3BAB">
        <w:rPr>
          <w:rFonts w:eastAsiaTheme="minorEastAsia"/>
          <w:rtl/>
        </w:rPr>
        <w:t xml:space="preserve"> و</w:t>
      </w:r>
      <w:r w:rsidRPr="001A0537">
        <w:rPr>
          <w:rFonts w:eastAsiaTheme="minorEastAsia"/>
          <w:rtl/>
        </w:rPr>
        <w:t>1</w:t>
      </w:r>
      <w:r w:rsidR="00667949" w:rsidRPr="001A0537">
        <w:rPr>
          <w:rFonts w:eastAsiaTheme="minorEastAsia"/>
          <w:color w:val="000000"/>
          <w:rtl/>
        </w:rPr>
        <w:t>6</w:t>
      </w:r>
      <w:r w:rsidR="00667949" w:rsidRPr="00667949">
        <w:rPr>
          <w:rFonts w:eastAsiaTheme="minorEastAsia"/>
          <w:color w:val="000000"/>
          <w:rtl/>
        </w:rPr>
        <w:t>).</w:t>
      </w:r>
    </w:p>
    <w:p w14:paraId="53BDD92F" w14:textId="00909C16" w:rsidR="009C3BAB" w:rsidRPr="001A0537" w:rsidRDefault="009C3BAB" w:rsidP="009C3BAB">
      <w:pPr>
        <w:pStyle w:val="SingleTxtGA"/>
        <w:rPr>
          <w:rFonts w:eastAsiaTheme="minorEastAsia"/>
          <w:bCs/>
          <w:lang w:val="ar-SA" w:eastAsia="zh-TW" w:bidi="en-GB"/>
        </w:rPr>
      </w:pPr>
      <w:r w:rsidRPr="001A0537">
        <w:rPr>
          <w:rFonts w:eastAsiaTheme="minorEastAsia"/>
          <w:rtl/>
        </w:rPr>
        <w:t>41</w:t>
      </w:r>
      <w:r w:rsidRPr="009C3BAB">
        <w:rPr>
          <w:rFonts w:eastAsiaTheme="minorEastAsia"/>
          <w:rtl/>
        </w:rPr>
        <w:t>-</w:t>
      </w:r>
      <w:r w:rsidRPr="009C3BAB">
        <w:rPr>
          <w:rFonts w:eastAsiaTheme="minorEastAsia"/>
          <w:rtl/>
        </w:rPr>
        <w:tab/>
      </w:r>
      <w:r w:rsidRPr="001A0537">
        <w:rPr>
          <w:rFonts w:eastAsiaTheme="minorEastAsia"/>
          <w:bCs/>
          <w:rtl/>
        </w:rPr>
        <w:t>تكرر اللجنةُ توصياتها السابقة</w:t>
      </w:r>
      <w:r w:rsidR="00667949" w:rsidRPr="001A0537">
        <w:rPr>
          <w:rStyle w:val="FootnoteReference"/>
          <w:b/>
          <w:szCs w:val="22"/>
          <w:rtl/>
        </w:rPr>
        <w:t>(</w:t>
      </w:r>
      <w:r w:rsidR="00667949" w:rsidRPr="001A0537">
        <w:rPr>
          <w:rStyle w:val="FootnoteReference"/>
          <w:b/>
          <w:szCs w:val="22"/>
          <w:lang w:val="en-US"/>
        </w:rPr>
        <w:footnoteReference w:id="21"/>
      </w:r>
      <w:r w:rsidRPr="001A0537">
        <w:rPr>
          <w:rStyle w:val="FootnoteReference"/>
          <w:bCs/>
          <w:szCs w:val="22"/>
          <w:rtl/>
        </w:rPr>
        <w:t>)</w:t>
      </w:r>
      <w:r w:rsidRPr="001A0537">
        <w:rPr>
          <w:rFonts w:eastAsiaTheme="minorEastAsia"/>
          <w:bCs/>
          <w:rtl/>
        </w:rPr>
        <w:t> وتحث الدولةَ الطرف على القيام بما يلي:</w:t>
      </w:r>
    </w:p>
    <w:p w14:paraId="3541CBBF" w14:textId="2067D0FA" w:rsidR="009C3BAB" w:rsidRPr="001A0537" w:rsidRDefault="009C3BAB" w:rsidP="009C3BAB">
      <w:pPr>
        <w:pStyle w:val="SingleTxtGA"/>
        <w:rPr>
          <w:rFonts w:eastAsiaTheme="minorEastAsia"/>
          <w:bCs/>
          <w:lang w:val="ar-SA" w:eastAsia="zh-TW" w:bidi="en-GB"/>
        </w:rPr>
      </w:pPr>
      <w:r w:rsidRPr="001A0537">
        <w:rPr>
          <w:rFonts w:eastAsiaTheme="minorEastAsia"/>
          <w:b/>
          <w:rtl/>
        </w:rPr>
        <w:tab/>
        <w:t>(</w:t>
      </w:r>
      <w:r w:rsidRPr="009C3BAB">
        <w:rPr>
          <w:rFonts w:eastAsiaTheme="minorEastAsia"/>
          <w:rtl/>
        </w:rPr>
        <w:t>أ)</w:t>
      </w:r>
      <w:r w:rsidRPr="009C3BAB">
        <w:rPr>
          <w:rFonts w:eastAsiaTheme="minorEastAsia"/>
          <w:rtl/>
        </w:rPr>
        <w:tab/>
      </w:r>
      <w:r w:rsidRPr="001A0537">
        <w:rPr>
          <w:rFonts w:eastAsiaTheme="minorEastAsia"/>
          <w:bCs/>
          <w:rtl/>
        </w:rPr>
        <w:t>اعتماد التدابير اللازمة لمنع تعرض المدافعين عن حقوق الإنسان والصحفيين والفنانين وأسرهم للاحتجاز التعسفي والمضايقة والتخويف والتهديد وتشويه السمعة ووضع حد لذلك؛</w:t>
      </w:r>
      <w:r w:rsidRPr="00627932">
        <w:rPr>
          <w:rFonts w:eastAsiaTheme="minorEastAsia"/>
          <w:bCs/>
          <w:rtl/>
        </w:rPr>
        <w:t xml:space="preserve"> </w:t>
      </w:r>
    </w:p>
    <w:p w14:paraId="383238E7" w14:textId="26F81F63" w:rsidR="009C3BAB" w:rsidRPr="001A0537" w:rsidRDefault="009C3BAB" w:rsidP="009C3BAB">
      <w:pPr>
        <w:pStyle w:val="SingleTxtGA"/>
        <w:rPr>
          <w:rFonts w:eastAsiaTheme="minorEastAsia"/>
          <w:bCs/>
          <w:lang w:val="ar-SA" w:eastAsia="zh-TW" w:bidi="en-GB"/>
        </w:rPr>
      </w:pPr>
      <w:r w:rsidRPr="001A0537">
        <w:rPr>
          <w:rFonts w:eastAsiaTheme="minorEastAsia"/>
          <w:b/>
          <w:rtl/>
        </w:rPr>
        <w:lastRenderedPageBreak/>
        <w:tab/>
        <w:t>(</w:t>
      </w:r>
      <w:r w:rsidRPr="009C3BAB">
        <w:rPr>
          <w:rFonts w:eastAsiaTheme="minorEastAsia"/>
          <w:rtl/>
        </w:rPr>
        <w:t>ب)</w:t>
      </w:r>
      <w:r w:rsidRPr="009C3BAB">
        <w:rPr>
          <w:rFonts w:eastAsiaTheme="minorEastAsia"/>
          <w:rtl/>
        </w:rPr>
        <w:tab/>
      </w:r>
      <w:r w:rsidRPr="001A0537">
        <w:rPr>
          <w:rFonts w:eastAsiaTheme="minorEastAsia"/>
          <w:bCs/>
          <w:rtl/>
        </w:rPr>
        <w:t>ضمان التحقيق على النحو الواجب في أعمال المضايقة والقمع والتخويف ومعاقبة</w:t>
      </w:r>
      <w:r w:rsidRPr="001A0537">
        <w:rPr>
          <w:rFonts w:eastAsiaTheme="minorEastAsia" w:hint="cs"/>
          <w:bCs/>
          <w:rtl/>
        </w:rPr>
        <w:t> </w:t>
      </w:r>
      <w:r w:rsidRPr="001A0537">
        <w:rPr>
          <w:rFonts w:eastAsiaTheme="minorEastAsia"/>
          <w:bCs/>
          <w:rtl/>
        </w:rPr>
        <w:t>مرتكبيها؛</w:t>
      </w:r>
    </w:p>
    <w:p w14:paraId="79BDB993" w14:textId="1B2A2C1A" w:rsidR="009C3BAB" w:rsidRPr="001A0537" w:rsidRDefault="009C3BAB" w:rsidP="009C3BAB">
      <w:pPr>
        <w:pStyle w:val="SingleTxtGA"/>
        <w:rPr>
          <w:rFonts w:eastAsiaTheme="minorEastAsia"/>
          <w:bCs/>
          <w:lang w:val="ar-SA" w:eastAsia="zh-TW" w:bidi="en-GB"/>
        </w:rPr>
      </w:pPr>
      <w:r w:rsidRPr="001A0537">
        <w:rPr>
          <w:rFonts w:eastAsiaTheme="minorEastAsia"/>
          <w:b/>
          <w:rtl/>
        </w:rPr>
        <w:tab/>
        <w:t>(</w:t>
      </w:r>
      <w:r w:rsidRPr="009C3BAB">
        <w:rPr>
          <w:rFonts w:eastAsiaTheme="minorEastAsia"/>
          <w:rtl/>
        </w:rPr>
        <w:t>ج)</w:t>
      </w:r>
      <w:r w:rsidRPr="009C3BAB">
        <w:rPr>
          <w:rFonts w:eastAsiaTheme="minorEastAsia"/>
          <w:rtl/>
        </w:rPr>
        <w:tab/>
      </w:r>
      <w:r w:rsidRPr="001A0537">
        <w:rPr>
          <w:rFonts w:eastAsiaTheme="minorEastAsia"/>
          <w:bCs/>
          <w:rtl/>
        </w:rPr>
        <w:t>ضمان حماية جميع الأشخاص من التخويف والعنف اللذين قد يتعرضون لهما نتيجة لأنشطتهم أو ممارستهم لحريتهم في الرأي والتعبير والتنقل وحقهم في تكوين الجمعيات والتجمع</w:t>
      </w:r>
      <w:r w:rsidR="00627932" w:rsidRPr="001A0537">
        <w:rPr>
          <w:rFonts w:eastAsiaTheme="minorEastAsia" w:hint="cs"/>
          <w:bCs/>
          <w:rtl/>
        </w:rPr>
        <w:t> </w:t>
      </w:r>
      <w:r w:rsidRPr="001A0537">
        <w:rPr>
          <w:rFonts w:eastAsiaTheme="minorEastAsia"/>
          <w:bCs/>
          <w:rtl/>
        </w:rPr>
        <w:t>السلمي؛</w:t>
      </w:r>
    </w:p>
    <w:p w14:paraId="7E853D6D" w14:textId="30FB57EF" w:rsidR="009C3BAB" w:rsidRPr="001A0537" w:rsidRDefault="009C3BAB" w:rsidP="009C3BAB">
      <w:pPr>
        <w:pStyle w:val="SingleTxtGA"/>
        <w:rPr>
          <w:rFonts w:eastAsiaTheme="minorEastAsia"/>
          <w:bCs/>
          <w:lang w:val="ar-SA" w:eastAsia="zh-TW" w:bidi="en-GB"/>
        </w:rPr>
      </w:pPr>
      <w:r>
        <w:rPr>
          <w:rFonts w:eastAsiaTheme="minorEastAsia"/>
          <w:rtl/>
        </w:rPr>
        <w:tab/>
      </w:r>
      <w:r w:rsidRPr="009C3BAB">
        <w:rPr>
          <w:rFonts w:eastAsiaTheme="minorEastAsia"/>
          <w:rtl/>
        </w:rPr>
        <w:t>(د)</w:t>
      </w:r>
      <w:r w:rsidRPr="009C3BAB">
        <w:rPr>
          <w:rFonts w:eastAsiaTheme="minorEastAsia"/>
          <w:rtl/>
        </w:rPr>
        <w:tab/>
      </w:r>
      <w:r w:rsidRPr="001A0537">
        <w:rPr>
          <w:rFonts w:eastAsiaTheme="minorEastAsia"/>
          <w:bCs/>
          <w:rtl/>
        </w:rPr>
        <w:t>إنشاء آلية وطنية مستقلة لحماية المدافعين عن حقوق الإنسان والصحفيين وغيرهم من</w:t>
      </w:r>
      <w:r w:rsidR="00627932" w:rsidRPr="001A0537">
        <w:rPr>
          <w:rFonts w:eastAsiaTheme="minorEastAsia" w:hint="cs"/>
          <w:bCs/>
          <w:rtl/>
        </w:rPr>
        <w:t> </w:t>
      </w:r>
      <w:r w:rsidRPr="001A0537">
        <w:rPr>
          <w:rFonts w:eastAsiaTheme="minorEastAsia"/>
          <w:bCs/>
          <w:rtl/>
        </w:rPr>
        <w:t>الجهات الفاعلة في المجتمع المدني.</w:t>
      </w:r>
    </w:p>
    <w:p w14:paraId="589276B5" w14:textId="77777777" w:rsidR="009C3BAB" w:rsidRPr="001A0537" w:rsidRDefault="009C3BAB" w:rsidP="009C3BAB">
      <w:pPr>
        <w:pStyle w:val="H23GA"/>
        <w:rPr>
          <w:lang w:val="ar-SA" w:eastAsia="zh-TW" w:bidi="en-GB"/>
        </w:rPr>
      </w:pPr>
      <w:r w:rsidRPr="001A0537">
        <w:rPr>
          <w:rtl/>
        </w:rPr>
        <w:tab/>
      </w:r>
      <w:r w:rsidRPr="001A0537">
        <w:rPr>
          <w:rtl/>
        </w:rPr>
        <w:tab/>
        <w:t xml:space="preserve">أحداث 11 تموز/يوليه 2021 </w:t>
      </w:r>
    </w:p>
    <w:p w14:paraId="7F177B1D" w14:textId="1CBD5D31" w:rsidR="00667949" w:rsidRPr="00667949" w:rsidRDefault="009C3BAB" w:rsidP="009C3BAB">
      <w:pPr>
        <w:pStyle w:val="SingleTxtGA"/>
        <w:rPr>
          <w:rFonts w:eastAsiaTheme="minorEastAsia"/>
          <w:color w:val="000000"/>
          <w:spacing w:val="-4"/>
          <w:lang w:val="ar-SA" w:eastAsia="zh-TW" w:bidi="en-GB"/>
        </w:rPr>
      </w:pPr>
      <w:r w:rsidRPr="001A0537">
        <w:rPr>
          <w:rFonts w:eastAsiaTheme="minorEastAsia"/>
          <w:rtl/>
        </w:rPr>
        <w:t>42</w:t>
      </w:r>
      <w:r w:rsidRPr="009C3BAB">
        <w:rPr>
          <w:rFonts w:eastAsiaTheme="minorEastAsia"/>
          <w:rtl/>
        </w:rPr>
        <w:t>-</w:t>
      </w:r>
      <w:r w:rsidRPr="009C3BAB">
        <w:rPr>
          <w:rFonts w:eastAsiaTheme="minorEastAsia"/>
          <w:rtl/>
        </w:rPr>
        <w:tab/>
        <w:t xml:space="preserve">تعرب اللجنة عن قلقها إزاء تقارير الأمم المتحدة عن الاعتقالات التعسفية المزعومة والاستخدام المفرط للقوة وسوء المعاملة خلال الاحتجاجات الاجتماعية في </w:t>
      </w:r>
      <w:r w:rsidRPr="001A0537">
        <w:rPr>
          <w:rFonts w:eastAsiaTheme="minorEastAsia"/>
          <w:rtl/>
        </w:rPr>
        <w:t>11</w:t>
      </w:r>
      <w:r w:rsidRPr="009C3BAB">
        <w:rPr>
          <w:rFonts w:eastAsiaTheme="minorEastAsia"/>
          <w:rtl/>
        </w:rPr>
        <w:t xml:space="preserve"> تموز/يوليه </w:t>
      </w:r>
      <w:r w:rsidRPr="001A0537">
        <w:rPr>
          <w:rFonts w:eastAsiaTheme="minorEastAsia"/>
          <w:rtl/>
        </w:rPr>
        <w:t>2021</w:t>
      </w:r>
      <w:r w:rsidR="00667949" w:rsidRPr="001A0537">
        <w:rPr>
          <w:rStyle w:val="FootnoteReference"/>
          <w:szCs w:val="22"/>
          <w:rtl/>
        </w:rPr>
        <w:t>(</w:t>
      </w:r>
      <w:r w:rsidR="00667949" w:rsidRPr="001A0537">
        <w:rPr>
          <w:rStyle w:val="FootnoteReference"/>
          <w:szCs w:val="22"/>
          <w:lang w:val="en-US"/>
        </w:rPr>
        <w:footnoteReference w:id="22"/>
      </w:r>
      <w:r w:rsidR="00667949" w:rsidRPr="00667949">
        <w:rPr>
          <w:rStyle w:val="FootnoteReference"/>
          <w:color w:val="000000"/>
          <w:szCs w:val="22"/>
          <w:rtl/>
        </w:rPr>
        <w:t>)</w:t>
      </w:r>
      <w:r w:rsidR="00667949" w:rsidRPr="00667949">
        <w:rPr>
          <w:rFonts w:eastAsiaTheme="minorEastAsia"/>
          <w:color w:val="000000"/>
          <w:rtl/>
        </w:rPr>
        <w:t xml:space="preserve">، </w:t>
      </w:r>
      <w:r w:rsidRPr="009C3BAB">
        <w:rPr>
          <w:rFonts w:eastAsiaTheme="minorEastAsia"/>
          <w:rtl/>
        </w:rPr>
        <w:t xml:space="preserve">رغم أنها تلاحظ أن الدولة الطرف ترفض هذه الادعاءات. ويساور اللجنة القلق أيضاً إزاء أعمال القمع التي تفيد التقارير بأنها ارتُكِبَت ضد المدافعين عن حقوق الإنسان والفنانين والصحفيين. وتوثق التقارير سوء المعاملة مثل الضرب والإهانات والتهديدات ذات الطبيعة الجنسية والتفتيش الكامل للجسم والحبس الانفرادي في زنازين مظلمة واستخدام رذاذ الفلفل والتعريض لدرجات حرارة عالية في سيارات الشرطة والتخلي عن الأشخاص في مناطق نائية. ويساور اللجنة القلق كذلك إزاء تقارير تتحدث عن محاكمات موجزة دون ضمانات المحاكمة وفق الأصول القانونية، وقيود مفروضة على التنقل، وقيود مفروضة على الوصول إلى </w:t>
      </w:r>
      <w:r w:rsidRPr="00497EFB">
        <w:rPr>
          <w:rFonts w:eastAsiaTheme="minorEastAsia"/>
          <w:spacing w:val="-4"/>
          <w:rtl/>
        </w:rPr>
        <w:t xml:space="preserve">الإنترنت، و"أعمال النبذ". وتعرب اللجنة عن أسفها لأن الدولة الطرف قدمت معلومات غير كافية عن التحقيقات والملاحقات القضائية المتعلقة بالانتهاكات المرتكبة في هذا السياق (المواد </w:t>
      </w:r>
      <w:r w:rsidRPr="001A0537">
        <w:rPr>
          <w:rFonts w:eastAsiaTheme="minorEastAsia"/>
          <w:spacing w:val="-4"/>
          <w:rtl/>
        </w:rPr>
        <w:t>2</w:t>
      </w:r>
      <w:r w:rsidRPr="00497EFB">
        <w:rPr>
          <w:rFonts w:eastAsiaTheme="minorEastAsia"/>
          <w:spacing w:val="-4"/>
          <w:rtl/>
        </w:rPr>
        <w:t xml:space="preserve"> و</w:t>
      </w:r>
      <w:r w:rsidRPr="001A0537">
        <w:rPr>
          <w:rFonts w:eastAsiaTheme="minorEastAsia"/>
          <w:spacing w:val="-4"/>
          <w:rtl/>
        </w:rPr>
        <w:t>12</w:t>
      </w:r>
      <w:r w:rsidRPr="00497EFB">
        <w:rPr>
          <w:rFonts w:eastAsiaTheme="minorEastAsia"/>
          <w:spacing w:val="-4"/>
          <w:rtl/>
        </w:rPr>
        <w:t xml:space="preserve"> و</w:t>
      </w:r>
      <w:r w:rsidRPr="001A0537">
        <w:rPr>
          <w:rFonts w:eastAsiaTheme="minorEastAsia"/>
          <w:spacing w:val="-4"/>
          <w:rtl/>
        </w:rPr>
        <w:t>13</w:t>
      </w:r>
      <w:r w:rsidRPr="00497EFB">
        <w:rPr>
          <w:rFonts w:eastAsiaTheme="minorEastAsia"/>
          <w:spacing w:val="-4"/>
          <w:rtl/>
        </w:rPr>
        <w:t xml:space="preserve"> و</w:t>
      </w:r>
      <w:r w:rsidRPr="001A0537">
        <w:rPr>
          <w:rFonts w:eastAsiaTheme="minorEastAsia"/>
          <w:spacing w:val="-4"/>
          <w:rtl/>
        </w:rPr>
        <w:t>14</w:t>
      </w:r>
      <w:r w:rsidRPr="00497EFB">
        <w:rPr>
          <w:rFonts w:eastAsiaTheme="minorEastAsia"/>
          <w:spacing w:val="-4"/>
          <w:rtl/>
        </w:rPr>
        <w:t xml:space="preserve"> و</w:t>
      </w:r>
      <w:r w:rsidRPr="001A0537">
        <w:rPr>
          <w:rFonts w:eastAsiaTheme="minorEastAsia"/>
          <w:spacing w:val="-4"/>
          <w:rtl/>
        </w:rPr>
        <w:t>1</w:t>
      </w:r>
      <w:r w:rsidR="00667949" w:rsidRPr="001A0537">
        <w:rPr>
          <w:rFonts w:eastAsiaTheme="minorEastAsia"/>
          <w:color w:val="000000"/>
          <w:spacing w:val="-4"/>
          <w:rtl/>
        </w:rPr>
        <w:t>6</w:t>
      </w:r>
      <w:r w:rsidR="00667949" w:rsidRPr="00667949">
        <w:rPr>
          <w:rFonts w:eastAsiaTheme="minorEastAsia"/>
          <w:color w:val="000000"/>
          <w:spacing w:val="-4"/>
          <w:rtl/>
        </w:rPr>
        <w:t>).</w:t>
      </w:r>
    </w:p>
    <w:p w14:paraId="1EB8A883" w14:textId="42DB02CB" w:rsidR="009C3BAB" w:rsidRPr="001A0537" w:rsidRDefault="009C3BAB" w:rsidP="009C3BAB">
      <w:pPr>
        <w:pStyle w:val="SingleTxtGA"/>
        <w:rPr>
          <w:rFonts w:eastAsiaTheme="minorEastAsia"/>
          <w:bCs/>
          <w:lang w:val="en-US" w:eastAsia="zh-TW" w:bidi="en-GB"/>
        </w:rPr>
      </w:pPr>
      <w:r w:rsidRPr="001A0537">
        <w:rPr>
          <w:rFonts w:eastAsiaTheme="minorEastAsia"/>
          <w:rtl/>
        </w:rPr>
        <w:t>43</w:t>
      </w:r>
      <w:r>
        <w:rPr>
          <w:rFonts w:eastAsiaTheme="minorEastAsia" w:hint="cs"/>
          <w:rtl/>
        </w:rPr>
        <w:t>-</w:t>
      </w:r>
      <w:r w:rsidRPr="00627932">
        <w:rPr>
          <w:rFonts w:eastAsiaTheme="minorEastAsia"/>
          <w:bCs/>
          <w:rtl/>
        </w:rPr>
        <w:tab/>
      </w:r>
      <w:r w:rsidRPr="001A0537">
        <w:rPr>
          <w:rFonts w:eastAsiaTheme="minorEastAsia"/>
          <w:bCs/>
          <w:rtl/>
        </w:rPr>
        <w:t>ينبغي للدولة الطرف القيام بما يلي:</w:t>
      </w:r>
    </w:p>
    <w:p w14:paraId="2D257199" w14:textId="78BF5C51" w:rsidR="009C3BAB" w:rsidRPr="001A0537" w:rsidRDefault="009C3BAB" w:rsidP="009C3BAB">
      <w:pPr>
        <w:pStyle w:val="SingleTxtGA"/>
        <w:rPr>
          <w:rFonts w:eastAsiaTheme="minorEastAsia"/>
          <w:bCs/>
          <w:lang w:val="ar-SA" w:eastAsia="zh-TW" w:bidi="en-GB"/>
        </w:rPr>
      </w:pPr>
      <w:r w:rsidRPr="001A0537">
        <w:rPr>
          <w:rFonts w:eastAsiaTheme="minorEastAsia"/>
          <w:b/>
          <w:rtl/>
        </w:rPr>
        <w:tab/>
        <w:t>(</w:t>
      </w:r>
      <w:r w:rsidRPr="009C3BAB">
        <w:rPr>
          <w:rFonts w:eastAsiaTheme="minorEastAsia"/>
          <w:rtl/>
        </w:rPr>
        <w:t>أ)</w:t>
      </w:r>
      <w:r w:rsidRPr="009C3BAB">
        <w:rPr>
          <w:rFonts w:eastAsiaTheme="minorEastAsia"/>
          <w:rtl/>
        </w:rPr>
        <w:tab/>
      </w:r>
      <w:r w:rsidRPr="001A0537">
        <w:rPr>
          <w:rFonts w:eastAsiaTheme="minorEastAsia"/>
          <w:bCs/>
          <w:rtl/>
        </w:rPr>
        <w:t>إجراء تحقيق فوري ومستقل وشامل في أفعال التعذيب وسوء المعاملة والاستخدام المفرط للقوة التي وقعت خلال الاحتجاجات الاجتماعية في 11 تموز/يوليه 2021، وملاحقة المسؤولين عنها ومعاقبتهم، عند الاقتضاء؛ وكفالة حصول الضحايا على تعويضات كافية وشاملة؛</w:t>
      </w:r>
      <w:r w:rsidRPr="00627932">
        <w:rPr>
          <w:rFonts w:eastAsiaTheme="minorEastAsia"/>
          <w:bCs/>
          <w:rtl/>
        </w:rPr>
        <w:t xml:space="preserve"> </w:t>
      </w:r>
    </w:p>
    <w:p w14:paraId="1083C36A" w14:textId="17D8F1C2" w:rsidR="009C3BAB" w:rsidRPr="001A0537" w:rsidRDefault="009C3BAB" w:rsidP="009C3BAB">
      <w:pPr>
        <w:pStyle w:val="SingleTxtGA"/>
        <w:rPr>
          <w:rFonts w:eastAsiaTheme="minorEastAsia"/>
          <w:bCs/>
          <w:lang w:val="ar-SA" w:eastAsia="zh-TW" w:bidi="en-GB"/>
        </w:rPr>
      </w:pPr>
      <w:r w:rsidRPr="001A0537">
        <w:rPr>
          <w:rFonts w:eastAsiaTheme="minorEastAsia"/>
          <w:b/>
          <w:rtl/>
        </w:rPr>
        <w:tab/>
        <w:t>(</w:t>
      </w:r>
      <w:r w:rsidRPr="009C3BAB">
        <w:rPr>
          <w:rFonts w:eastAsiaTheme="minorEastAsia"/>
          <w:rtl/>
        </w:rPr>
        <w:t>ب)</w:t>
      </w:r>
      <w:r w:rsidRPr="009C3BAB">
        <w:rPr>
          <w:rFonts w:eastAsiaTheme="minorEastAsia"/>
          <w:rtl/>
        </w:rPr>
        <w:tab/>
      </w:r>
      <w:r w:rsidRPr="001A0537">
        <w:rPr>
          <w:rFonts w:eastAsiaTheme="minorEastAsia"/>
          <w:bCs/>
          <w:rtl/>
        </w:rPr>
        <w:t>وضع بروتوكولات تنظم سلوك الموظفين المكلفين بإنفاذ القوانين أثناء الاحتجاجات الاجتماعية، بما يتفق مع المعايير الدولية لحماية حقوق الإنسان.</w:t>
      </w:r>
    </w:p>
    <w:p w14:paraId="29EC8244" w14:textId="77777777" w:rsidR="009C3BAB" w:rsidRPr="001A0537" w:rsidRDefault="009C3BAB" w:rsidP="009C3BAB">
      <w:pPr>
        <w:pStyle w:val="H23GA"/>
        <w:rPr>
          <w:lang w:val="ar-SA" w:eastAsia="zh-TW" w:bidi="en-GB"/>
        </w:rPr>
      </w:pPr>
      <w:r w:rsidRPr="001A0537">
        <w:rPr>
          <w:rtl/>
        </w:rPr>
        <w:tab/>
      </w:r>
      <w:r w:rsidRPr="001A0537">
        <w:rPr>
          <w:rtl/>
        </w:rPr>
        <w:tab/>
        <w:t xml:space="preserve">العنف الجنساني </w:t>
      </w:r>
    </w:p>
    <w:p w14:paraId="714E2C7D" w14:textId="1E088592" w:rsidR="009C3BAB" w:rsidRPr="009C3BAB" w:rsidRDefault="009C3BAB" w:rsidP="009C3BAB">
      <w:pPr>
        <w:pStyle w:val="SingleTxtGA"/>
        <w:rPr>
          <w:rFonts w:eastAsiaTheme="minorEastAsia"/>
          <w:lang w:val="ar-SA" w:eastAsia="zh-TW" w:bidi="en-GB"/>
        </w:rPr>
      </w:pPr>
      <w:r w:rsidRPr="001A0537">
        <w:rPr>
          <w:rFonts w:eastAsiaTheme="minorEastAsia"/>
          <w:rtl/>
        </w:rPr>
        <w:t>44</w:t>
      </w:r>
      <w:r w:rsidRPr="009C3BAB">
        <w:rPr>
          <w:rFonts w:eastAsiaTheme="minorEastAsia"/>
          <w:rtl/>
        </w:rPr>
        <w:t>-</w:t>
      </w:r>
      <w:r w:rsidRPr="009C3BAB">
        <w:rPr>
          <w:rFonts w:eastAsiaTheme="minorEastAsia"/>
          <w:rtl/>
        </w:rPr>
        <w:tab/>
        <w:t xml:space="preserve">تعرب اللجنة عن تقديرها للمعلومات التي قدمتها الدولة الطرف عن الدورات الدراسية المتعلقة بالعنف الجنساني التي تديرها مدرسة التدريب القضائي، ووجود مراكز لتقديم المشورة للمرأة والأسرة في كل بلدية، ونشر تقرير وطني سنوي عن منع الاتجار ومكافحته، بيد أنها تلاحظ بقلق استمرار العنف الجنساني، ومواطن الضعف في آلية الشكاوى، وعدم كفاية عدد الملاجئ. ويساور اللجنة القلق أيضاً إزاء عدم وجود تشريعات محددة بشأن العنف الجنساني وإزاء تساهل العقوبات المفروضة على الاعتداء الجنسي المنصوص عليها في القانون الجنائي. غير أنها تلاحظ أن مشروع القانون الجنائي سيعامل </w:t>
      </w:r>
      <w:r w:rsidRPr="009C3BAB">
        <w:rPr>
          <w:rFonts w:eastAsiaTheme="minorEastAsia"/>
          <w:rtl/>
        </w:rPr>
        <w:lastRenderedPageBreak/>
        <w:t xml:space="preserve">العنف الجنساني كظرف مشدد للجرائم المرتكبة. ويساور اللجنة القلق كذلك إزاء عدم وجود بيانات إحصائية مصنفة عن العنف الجنساني بجميع أشكاله (المواد </w:t>
      </w:r>
      <w:r w:rsidRPr="001A0537">
        <w:rPr>
          <w:rFonts w:eastAsiaTheme="minorEastAsia"/>
          <w:rtl/>
        </w:rPr>
        <w:t>2</w:t>
      </w:r>
      <w:r w:rsidRPr="009C3BAB">
        <w:rPr>
          <w:rFonts w:eastAsiaTheme="minorEastAsia"/>
          <w:rtl/>
        </w:rPr>
        <w:t xml:space="preserve"> و</w:t>
      </w:r>
      <w:r w:rsidRPr="001A0537">
        <w:rPr>
          <w:rFonts w:eastAsiaTheme="minorEastAsia"/>
          <w:rtl/>
        </w:rPr>
        <w:t>14</w:t>
      </w:r>
      <w:r w:rsidRPr="009C3BAB">
        <w:rPr>
          <w:rFonts w:eastAsiaTheme="minorEastAsia"/>
          <w:rtl/>
        </w:rPr>
        <w:t xml:space="preserve"> و</w:t>
      </w:r>
      <w:r w:rsidRPr="001A0537">
        <w:rPr>
          <w:rFonts w:eastAsiaTheme="minorEastAsia"/>
          <w:rtl/>
        </w:rPr>
        <w:t>1</w:t>
      </w:r>
      <w:r w:rsidR="00667949" w:rsidRPr="001A0537">
        <w:rPr>
          <w:rFonts w:eastAsiaTheme="minorEastAsia"/>
          <w:color w:val="000000"/>
          <w:rtl/>
        </w:rPr>
        <w:t>6</w:t>
      </w:r>
      <w:r w:rsidR="00667949" w:rsidRPr="00667949">
        <w:rPr>
          <w:rFonts w:eastAsiaTheme="minorEastAsia"/>
          <w:color w:val="000000"/>
          <w:rtl/>
        </w:rPr>
        <w:t xml:space="preserve">). </w:t>
      </w:r>
    </w:p>
    <w:p w14:paraId="5F0DA3AE" w14:textId="77777777" w:rsidR="009C3BAB" w:rsidRPr="001A0537" w:rsidRDefault="009C3BAB" w:rsidP="009C3BAB">
      <w:pPr>
        <w:pStyle w:val="SingleTxtGA"/>
        <w:rPr>
          <w:rFonts w:eastAsiaTheme="minorEastAsia"/>
          <w:bCs/>
          <w:lang w:val="ar-SA" w:eastAsia="zh-TW" w:bidi="en-GB"/>
        </w:rPr>
      </w:pPr>
      <w:r w:rsidRPr="001A0537">
        <w:rPr>
          <w:rFonts w:eastAsiaTheme="minorEastAsia"/>
          <w:rtl/>
        </w:rPr>
        <w:t>45</w:t>
      </w:r>
      <w:r w:rsidRPr="009C3BAB">
        <w:rPr>
          <w:rFonts w:eastAsiaTheme="minorEastAsia"/>
          <w:rtl/>
        </w:rPr>
        <w:t>-</w:t>
      </w:r>
      <w:r w:rsidRPr="009C3BAB">
        <w:rPr>
          <w:rFonts w:eastAsiaTheme="minorEastAsia"/>
          <w:rtl/>
        </w:rPr>
        <w:tab/>
      </w:r>
      <w:r w:rsidRPr="001A0537">
        <w:rPr>
          <w:rFonts w:eastAsiaTheme="minorEastAsia"/>
          <w:bCs/>
          <w:rtl/>
        </w:rPr>
        <w:t>ينبغي للدولة الطرف القيام بما يلي:</w:t>
      </w:r>
    </w:p>
    <w:p w14:paraId="294D362F" w14:textId="1236C6EB" w:rsidR="009C3BAB" w:rsidRPr="001A0537" w:rsidRDefault="009C3BAB" w:rsidP="009C3BAB">
      <w:pPr>
        <w:pStyle w:val="SingleTxtGA"/>
        <w:rPr>
          <w:rFonts w:eastAsiaTheme="minorEastAsia"/>
          <w:bCs/>
          <w:lang w:val="ar-SA" w:eastAsia="zh-TW" w:bidi="en-GB"/>
        </w:rPr>
      </w:pPr>
      <w:r w:rsidRPr="001A0537">
        <w:rPr>
          <w:rFonts w:eastAsiaTheme="minorEastAsia"/>
          <w:b/>
          <w:rtl/>
        </w:rPr>
        <w:tab/>
        <w:t>(</w:t>
      </w:r>
      <w:r w:rsidRPr="009C3BAB">
        <w:rPr>
          <w:rFonts w:eastAsiaTheme="minorEastAsia"/>
          <w:rtl/>
        </w:rPr>
        <w:t>أ)</w:t>
      </w:r>
      <w:r w:rsidRPr="009C3BAB">
        <w:rPr>
          <w:rFonts w:eastAsiaTheme="minorEastAsia"/>
          <w:rtl/>
        </w:rPr>
        <w:tab/>
      </w:r>
      <w:r w:rsidRPr="001A0537">
        <w:rPr>
          <w:rFonts w:eastAsiaTheme="minorEastAsia"/>
          <w:bCs/>
          <w:rtl/>
        </w:rPr>
        <w:t>ضمان إجراء تحقيق شامل في جميع حالات العنف الجنساني، ولا سيما تلك التي اتخذت فيها سلطات الدولة إجراءات أو امتنعت فيها عن اتخاذ إجراءات تلزم المسؤولية الدولية للدولة الطرف بموجب الاتفاقية، وملاحقة من يُدَّعى أنهم ارتكبوا تلك الأفعال ومعاقبتهم على النحو المناسب في حال إدانتهم، وتلقي الضحايا تعويضات شاملة؛</w:t>
      </w:r>
    </w:p>
    <w:p w14:paraId="1224791A" w14:textId="5A79EC67" w:rsidR="009C3BAB" w:rsidRPr="001A0537" w:rsidRDefault="009C3BAB" w:rsidP="009C3BAB">
      <w:pPr>
        <w:pStyle w:val="SingleTxtGA"/>
        <w:rPr>
          <w:rFonts w:eastAsiaTheme="minorEastAsia"/>
          <w:bCs/>
          <w:lang w:val="ar-SA" w:eastAsia="zh-TW" w:bidi="en-GB"/>
        </w:rPr>
      </w:pPr>
      <w:r w:rsidRPr="001A0537">
        <w:rPr>
          <w:rFonts w:eastAsiaTheme="minorEastAsia"/>
          <w:b/>
          <w:rtl/>
        </w:rPr>
        <w:tab/>
        <w:t>(</w:t>
      </w:r>
      <w:r w:rsidRPr="009C3BAB">
        <w:rPr>
          <w:rFonts w:eastAsiaTheme="minorEastAsia"/>
          <w:rtl/>
        </w:rPr>
        <w:t>ب)</w:t>
      </w:r>
      <w:r w:rsidRPr="009C3BAB">
        <w:rPr>
          <w:rFonts w:eastAsiaTheme="minorEastAsia"/>
          <w:rtl/>
        </w:rPr>
        <w:tab/>
      </w:r>
      <w:r w:rsidRPr="001A0537">
        <w:rPr>
          <w:rFonts w:eastAsiaTheme="minorEastAsia"/>
          <w:bCs/>
          <w:rtl/>
        </w:rPr>
        <w:t>تعزيز قدرات خدمات الحماية والدعم للنساء اللاتي يتعرضن للعنف من خلال توفير البنية التحتية والمعدات والموظفين المتخصصين ووضع ميزانية مناسبة؛</w:t>
      </w:r>
    </w:p>
    <w:p w14:paraId="1C468DA0" w14:textId="126F0CC1" w:rsidR="009C3BAB" w:rsidRPr="001A0537" w:rsidRDefault="009C3BAB" w:rsidP="009C3BAB">
      <w:pPr>
        <w:pStyle w:val="SingleTxtGA"/>
        <w:rPr>
          <w:rFonts w:eastAsiaTheme="minorEastAsia"/>
          <w:bCs/>
          <w:lang w:val="ar-SA" w:eastAsia="zh-TW" w:bidi="en-GB"/>
        </w:rPr>
      </w:pPr>
      <w:r w:rsidRPr="001A0537">
        <w:rPr>
          <w:rFonts w:eastAsiaTheme="minorEastAsia"/>
          <w:b/>
          <w:rtl/>
        </w:rPr>
        <w:tab/>
        <w:t>(</w:t>
      </w:r>
      <w:r w:rsidRPr="009C3BAB">
        <w:rPr>
          <w:rFonts w:eastAsiaTheme="minorEastAsia"/>
          <w:rtl/>
        </w:rPr>
        <w:t>ج)</w:t>
      </w:r>
      <w:r w:rsidRPr="009C3BAB">
        <w:rPr>
          <w:rFonts w:eastAsiaTheme="minorEastAsia"/>
          <w:rtl/>
        </w:rPr>
        <w:tab/>
      </w:r>
      <w:r w:rsidRPr="001A0537">
        <w:rPr>
          <w:rFonts w:eastAsiaTheme="minorEastAsia"/>
          <w:bCs/>
          <w:rtl/>
        </w:rPr>
        <w:t>النظر في سن قانون شامل بشأن العنف الجنساني وضمان معاقبة جميع أشكال العنف ضد المرأة على النحو المناسب؛</w:t>
      </w:r>
    </w:p>
    <w:p w14:paraId="59B3E8EC" w14:textId="4948F9B7" w:rsidR="009C3BAB" w:rsidRPr="001A0537" w:rsidRDefault="009C3BAB" w:rsidP="009C3BAB">
      <w:pPr>
        <w:pStyle w:val="SingleTxtGA"/>
        <w:rPr>
          <w:rFonts w:eastAsiaTheme="minorEastAsia"/>
          <w:bCs/>
          <w:lang w:val="ar-SA" w:eastAsia="zh-TW" w:bidi="en-GB"/>
        </w:rPr>
      </w:pPr>
      <w:r w:rsidRPr="001A0537">
        <w:rPr>
          <w:rFonts w:eastAsiaTheme="minorEastAsia"/>
          <w:b/>
          <w:rtl/>
        </w:rPr>
        <w:tab/>
        <w:t>(</w:t>
      </w:r>
      <w:r w:rsidRPr="009C3BAB">
        <w:rPr>
          <w:rFonts w:eastAsiaTheme="minorEastAsia"/>
          <w:rtl/>
        </w:rPr>
        <w:t>د)</w:t>
      </w:r>
      <w:r w:rsidRPr="009C3BAB">
        <w:rPr>
          <w:rFonts w:eastAsiaTheme="minorEastAsia"/>
          <w:rtl/>
        </w:rPr>
        <w:tab/>
      </w:r>
      <w:r w:rsidRPr="001A0537">
        <w:rPr>
          <w:rFonts w:eastAsiaTheme="minorEastAsia"/>
          <w:bCs/>
          <w:rtl/>
        </w:rPr>
        <w:t>تعزيز التدريب الإلزامي على العنف الجنساني للشرطة والمدعين العامين والقضاة، وحملات التوعية العامة وتقييمها؛</w:t>
      </w:r>
    </w:p>
    <w:p w14:paraId="65FB8F9B" w14:textId="0FA0C4C4" w:rsidR="009C3BAB" w:rsidRPr="001A0537" w:rsidRDefault="009C3BAB" w:rsidP="009C3BAB">
      <w:pPr>
        <w:pStyle w:val="SingleTxtGA"/>
        <w:rPr>
          <w:rFonts w:eastAsiaTheme="minorEastAsia"/>
          <w:bCs/>
          <w:lang w:val="ar-SA" w:eastAsia="zh-TW" w:bidi="en-GB"/>
        </w:rPr>
      </w:pPr>
      <w:r w:rsidRPr="001A0537">
        <w:rPr>
          <w:rFonts w:eastAsiaTheme="minorEastAsia"/>
          <w:b/>
          <w:rtl/>
        </w:rPr>
        <w:tab/>
        <w:t>(</w:t>
      </w:r>
      <w:r w:rsidRPr="009C3BAB">
        <w:rPr>
          <w:rFonts w:eastAsiaTheme="minorEastAsia"/>
          <w:rtl/>
        </w:rPr>
        <w:t>هـ)</w:t>
      </w:r>
      <w:r w:rsidRPr="009C3BAB">
        <w:rPr>
          <w:rFonts w:eastAsiaTheme="minorEastAsia"/>
          <w:rtl/>
        </w:rPr>
        <w:tab/>
      </w:r>
      <w:r w:rsidRPr="001A0537">
        <w:rPr>
          <w:rFonts w:eastAsiaTheme="minorEastAsia"/>
          <w:bCs/>
          <w:rtl/>
        </w:rPr>
        <w:t>الاحتفاظ بإحصاءات مصنفة حسب سن الضحية وأصلها الإثني أو جنسيتها عن الشكاوى والتحقيقات والملاحقات القضائية والإدانات والأحكام المتعلقة بالعنف الجنساني.</w:t>
      </w:r>
    </w:p>
    <w:p w14:paraId="7EC12065" w14:textId="77777777" w:rsidR="009C3BAB" w:rsidRPr="001A0537" w:rsidRDefault="009C3BAB" w:rsidP="009C3BAB">
      <w:pPr>
        <w:pStyle w:val="H23GA"/>
        <w:rPr>
          <w:lang w:val="ar-SA" w:eastAsia="zh-TW" w:bidi="en-GB"/>
        </w:rPr>
      </w:pPr>
      <w:r w:rsidRPr="001A0537">
        <w:rPr>
          <w:rtl/>
        </w:rPr>
        <w:tab/>
      </w:r>
      <w:r w:rsidRPr="001A0537">
        <w:rPr>
          <w:rtl/>
        </w:rPr>
        <w:tab/>
        <w:t xml:space="preserve">التدريب </w:t>
      </w:r>
    </w:p>
    <w:p w14:paraId="4B7D26DF" w14:textId="6B897D3E" w:rsidR="00667949" w:rsidRPr="00667949" w:rsidRDefault="009C3BAB" w:rsidP="009C3BAB">
      <w:pPr>
        <w:pStyle w:val="SingleTxtGA"/>
        <w:rPr>
          <w:rFonts w:eastAsiaTheme="minorEastAsia"/>
          <w:color w:val="000000"/>
          <w:shd w:val="clear" w:color="auto" w:fill="FFFFFF"/>
          <w:lang w:val="ar-SA" w:eastAsia="zh-TW" w:bidi="en-GB"/>
        </w:rPr>
      </w:pPr>
      <w:r w:rsidRPr="001A0537">
        <w:rPr>
          <w:rFonts w:eastAsiaTheme="minorEastAsia"/>
          <w:rtl/>
        </w:rPr>
        <w:t>46</w:t>
      </w:r>
      <w:r w:rsidRPr="009C3BAB">
        <w:rPr>
          <w:rFonts w:eastAsiaTheme="minorEastAsia"/>
          <w:rtl/>
        </w:rPr>
        <w:t>-</w:t>
      </w:r>
      <w:r w:rsidRPr="009C3BAB">
        <w:rPr>
          <w:rFonts w:eastAsiaTheme="minorEastAsia"/>
          <w:rtl/>
        </w:rPr>
        <w:tab/>
        <w:t>تحيط اللجنة علماً بالمعلومات التي قدمتها الدولة الطرف والتي تفيد بأن التدريب في مجال حقوق الإنسان والاتفاقية يُقدَّم إلى القضاة والمدعين العامين وموظفي وزارة الداخلية المسؤولين عن تجهيز المحتجزين ورعايتهم والموظفين الطبيين ذوي الصلة، ولكنها تشعر بالقلق إزاء قلة المعلومات المتاحة عن</w:t>
      </w:r>
      <w:r w:rsidR="000700EC">
        <w:rPr>
          <w:rFonts w:eastAsiaTheme="minorEastAsia" w:hint="cs"/>
          <w:rtl/>
        </w:rPr>
        <w:t> </w:t>
      </w:r>
      <w:r w:rsidRPr="009C3BAB">
        <w:rPr>
          <w:rFonts w:eastAsiaTheme="minorEastAsia"/>
          <w:rtl/>
        </w:rPr>
        <w:t xml:space="preserve">نطاق هذه البرامج وأثرها، وإزاء عدم كفاية المعلومات المقدمة بشأن التدريب على دليل التقصي والتوثيق الفعالين للتعذيب وغيره من ضروب المعاملة أو العقوبة القاسية أو اللاإنسانية أو المهينة (بروتوكول اسطنبول) (المادة </w:t>
      </w:r>
      <w:r w:rsidRPr="001A0537">
        <w:rPr>
          <w:rFonts w:eastAsiaTheme="minorEastAsia"/>
          <w:rtl/>
        </w:rPr>
        <w:t>1</w:t>
      </w:r>
      <w:r w:rsidR="00667949" w:rsidRPr="001A0537">
        <w:rPr>
          <w:rFonts w:eastAsiaTheme="minorEastAsia"/>
          <w:color w:val="000000"/>
          <w:rtl/>
        </w:rPr>
        <w:t>0</w:t>
      </w:r>
      <w:r w:rsidR="00667949" w:rsidRPr="00667949">
        <w:rPr>
          <w:rFonts w:eastAsiaTheme="minorEastAsia"/>
          <w:color w:val="000000"/>
          <w:rtl/>
        </w:rPr>
        <w:t>).</w:t>
      </w:r>
    </w:p>
    <w:p w14:paraId="1BB59CF1" w14:textId="1B4913C1" w:rsidR="009C3BAB" w:rsidRPr="001A0537" w:rsidRDefault="009C3BAB" w:rsidP="009C3BAB">
      <w:pPr>
        <w:pStyle w:val="SingleTxtGA"/>
        <w:rPr>
          <w:rFonts w:eastAsiaTheme="minorEastAsia"/>
          <w:bCs/>
          <w:lang w:val="ar-SA" w:eastAsia="zh-TW" w:bidi="en-GB"/>
        </w:rPr>
      </w:pPr>
      <w:r w:rsidRPr="001A0537">
        <w:rPr>
          <w:rFonts w:eastAsiaTheme="minorEastAsia"/>
          <w:rtl/>
        </w:rPr>
        <w:t>47</w:t>
      </w:r>
      <w:r w:rsidRPr="009C3BAB">
        <w:rPr>
          <w:rFonts w:eastAsiaTheme="minorEastAsia"/>
          <w:rtl/>
        </w:rPr>
        <w:t>-</w:t>
      </w:r>
      <w:r w:rsidRPr="009C3BAB">
        <w:rPr>
          <w:rFonts w:eastAsiaTheme="minorEastAsia"/>
          <w:rtl/>
        </w:rPr>
        <w:tab/>
      </w:r>
      <w:r w:rsidRPr="001A0537">
        <w:rPr>
          <w:rFonts w:eastAsiaTheme="minorEastAsia"/>
          <w:bCs/>
          <w:rtl/>
        </w:rPr>
        <w:t>ينبغي للدولة الطرف القيام بما يلي:</w:t>
      </w:r>
    </w:p>
    <w:p w14:paraId="2152838C" w14:textId="25A93A2B" w:rsidR="009C3BAB" w:rsidRPr="001A0537" w:rsidRDefault="009C3BAB" w:rsidP="009C3BAB">
      <w:pPr>
        <w:pStyle w:val="SingleTxtGA"/>
        <w:rPr>
          <w:rFonts w:eastAsiaTheme="minorEastAsia"/>
          <w:bCs/>
          <w:lang w:val="ar-SA" w:eastAsia="zh-TW" w:bidi="en-GB"/>
        </w:rPr>
      </w:pPr>
      <w:r>
        <w:rPr>
          <w:rFonts w:eastAsiaTheme="minorEastAsia"/>
          <w:rtl/>
        </w:rPr>
        <w:tab/>
      </w:r>
      <w:r w:rsidRPr="009C3BAB">
        <w:rPr>
          <w:rFonts w:eastAsiaTheme="minorEastAsia"/>
          <w:rtl/>
        </w:rPr>
        <w:t>(أ)</w:t>
      </w:r>
      <w:r w:rsidRPr="009C3BAB">
        <w:rPr>
          <w:rFonts w:eastAsiaTheme="minorEastAsia"/>
          <w:rtl/>
        </w:rPr>
        <w:tab/>
      </w:r>
      <w:r w:rsidRPr="001A0537">
        <w:rPr>
          <w:rFonts w:eastAsiaTheme="minorEastAsia"/>
          <w:bCs/>
          <w:rtl/>
        </w:rPr>
        <w:t>ضمان حصول جميع الموظفين العامين، ولا سيما أفراد قوات الأمن والقوات المسلحة وضباط السجون وموظفي العدالة، على تدريب إلزامي بشأن الاتفاقية والحظر المطلق للتعذيب، وتلقي جميع المهنيين الطبيين وغيرهم من الموظفين العامين ذوي الصلة التدريب على بروتوكول اسطنبول؛</w:t>
      </w:r>
    </w:p>
    <w:p w14:paraId="758D5BF6" w14:textId="6829487A" w:rsidR="009C3BAB" w:rsidRPr="001A0537" w:rsidRDefault="009C3BAB" w:rsidP="009C3BAB">
      <w:pPr>
        <w:pStyle w:val="SingleTxtGA"/>
        <w:rPr>
          <w:rFonts w:eastAsiaTheme="minorEastAsia"/>
          <w:bCs/>
          <w:lang w:val="ar-SA" w:eastAsia="zh-TW" w:bidi="en-GB"/>
        </w:rPr>
      </w:pPr>
      <w:r>
        <w:rPr>
          <w:rFonts w:eastAsiaTheme="minorEastAsia"/>
          <w:rtl/>
        </w:rPr>
        <w:tab/>
      </w:r>
      <w:r w:rsidRPr="009C3BAB">
        <w:rPr>
          <w:rFonts w:eastAsiaTheme="minorEastAsia"/>
          <w:rtl/>
        </w:rPr>
        <w:t>(ب)</w:t>
      </w:r>
      <w:r w:rsidRPr="009C3BAB">
        <w:rPr>
          <w:rFonts w:eastAsiaTheme="minorEastAsia"/>
          <w:rtl/>
        </w:rPr>
        <w:tab/>
      </w:r>
      <w:r w:rsidRPr="001A0537">
        <w:rPr>
          <w:rFonts w:eastAsiaTheme="minorEastAsia"/>
          <w:bCs/>
          <w:rtl/>
        </w:rPr>
        <w:t>وضع وتنفيذ تدابير لتقييم مدى فعالية برامج التدريب المقدمة للموظفين المكلفين بإنفاذ القوانين ولغيرهم من الموظفين العامين بشأن الاتفاقية؛</w:t>
      </w:r>
    </w:p>
    <w:p w14:paraId="4B0DDEDB" w14:textId="02748833" w:rsidR="009C3BAB" w:rsidRPr="002F3FC6" w:rsidRDefault="009C3BAB" w:rsidP="009C3BAB">
      <w:pPr>
        <w:pStyle w:val="SingleTxtGA"/>
        <w:rPr>
          <w:rFonts w:eastAsiaTheme="minorEastAsia"/>
          <w:bCs/>
          <w:lang w:val="en-US" w:eastAsia="zh-TW" w:bidi="en-GB"/>
        </w:rPr>
      </w:pPr>
      <w:r>
        <w:rPr>
          <w:rFonts w:eastAsiaTheme="minorEastAsia"/>
          <w:rtl/>
        </w:rPr>
        <w:tab/>
      </w:r>
      <w:r w:rsidRPr="009C3BAB">
        <w:rPr>
          <w:rFonts w:eastAsiaTheme="minorEastAsia"/>
          <w:rtl/>
        </w:rPr>
        <w:t>(ج)</w:t>
      </w:r>
      <w:r w:rsidRPr="00627932">
        <w:rPr>
          <w:rFonts w:eastAsiaTheme="minorEastAsia"/>
          <w:bCs/>
          <w:rtl/>
        </w:rPr>
        <w:tab/>
      </w:r>
      <w:r w:rsidRPr="001A0537">
        <w:rPr>
          <w:rFonts w:eastAsiaTheme="minorEastAsia"/>
          <w:bCs/>
          <w:rtl/>
        </w:rPr>
        <w:t>ضمان إصدار قواعد وتعليمات بشأن حظر التعذيب خلال تدريب جميع الموظفين الذين قد يشاركون في احتجاز أو استجواب أو معالجة أي فرد يخضع لأي شكل من أشكال الاعتقال أو</w:t>
      </w:r>
      <w:r w:rsidR="00627932" w:rsidRPr="001A0537">
        <w:rPr>
          <w:rFonts w:eastAsiaTheme="minorEastAsia" w:hint="cs"/>
          <w:bCs/>
          <w:rtl/>
        </w:rPr>
        <w:t> </w:t>
      </w:r>
      <w:r w:rsidRPr="001A0537">
        <w:rPr>
          <w:rFonts w:eastAsiaTheme="minorEastAsia"/>
          <w:bCs/>
          <w:rtl/>
        </w:rPr>
        <w:t>الاحتجاز أو السجن</w:t>
      </w:r>
      <w:r w:rsidR="002F3FC6">
        <w:rPr>
          <w:rFonts w:eastAsiaTheme="minorEastAsia" w:hint="cs"/>
          <w:bCs/>
          <w:rtl/>
        </w:rPr>
        <w:t>.</w:t>
      </w:r>
    </w:p>
    <w:p w14:paraId="6E2B6660" w14:textId="14553B24" w:rsidR="009C3BAB" w:rsidRPr="001A0537" w:rsidRDefault="009C3BAB" w:rsidP="009C3BAB">
      <w:pPr>
        <w:pStyle w:val="H23GA"/>
        <w:rPr>
          <w:lang w:val="en-US" w:eastAsia="zh-TW" w:bidi="en-GB"/>
        </w:rPr>
      </w:pPr>
      <w:r w:rsidRPr="001A0537">
        <w:rPr>
          <w:rtl/>
        </w:rPr>
        <w:tab/>
      </w:r>
      <w:r w:rsidRPr="001A0537">
        <w:rPr>
          <w:rtl/>
        </w:rPr>
        <w:tab/>
        <w:t>إجراء المتابعة</w:t>
      </w:r>
    </w:p>
    <w:p w14:paraId="12036385" w14:textId="65A93F2D" w:rsidR="009C3BAB" w:rsidRPr="001A0537" w:rsidRDefault="009C3BAB" w:rsidP="009C3BAB">
      <w:pPr>
        <w:pStyle w:val="SingleTxtGA"/>
        <w:rPr>
          <w:rFonts w:eastAsiaTheme="minorEastAsia"/>
          <w:bCs/>
          <w:rtl/>
          <w:lang w:eastAsia="zh-TW"/>
        </w:rPr>
      </w:pPr>
      <w:r w:rsidRPr="001A0537">
        <w:rPr>
          <w:rFonts w:eastAsiaTheme="minorEastAsia"/>
          <w:rtl/>
        </w:rPr>
        <w:t>48</w:t>
      </w:r>
      <w:r w:rsidRPr="009C3BAB">
        <w:rPr>
          <w:rFonts w:eastAsiaTheme="minorEastAsia"/>
          <w:rtl/>
        </w:rPr>
        <w:t>-</w:t>
      </w:r>
      <w:r w:rsidRPr="009C3BAB">
        <w:rPr>
          <w:rFonts w:eastAsiaTheme="minorEastAsia"/>
          <w:rtl/>
        </w:rPr>
        <w:tab/>
      </w:r>
      <w:r w:rsidRPr="001A0537">
        <w:rPr>
          <w:rFonts w:eastAsiaTheme="minorEastAsia"/>
          <w:bCs/>
          <w:rtl/>
        </w:rPr>
        <w:t>تطلب اللجنة إلى الدولة الطرف أن تقدم، بحلول 13 أيار/مايو 2023، معلومات عن متابعة توصيات اللجنة بشأن الرصد المستقل لأماكن الاحتجاز؛</w:t>
      </w:r>
      <w:r w:rsidRPr="00627932">
        <w:rPr>
          <w:rFonts w:eastAsiaTheme="minorEastAsia"/>
          <w:bCs/>
          <w:rtl/>
        </w:rPr>
        <w:t xml:space="preserve"> </w:t>
      </w:r>
      <w:r w:rsidRPr="001A0537">
        <w:rPr>
          <w:rFonts w:eastAsiaTheme="minorEastAsia"/>
          <w:bCs/>
          <w:rtl/>
        </w:rPr>
        <w:t xml:space="preserve">والمدافعين عن حقوق الإنسان والصحفيين </w:t>
      </w:r>
      <w:r w:rsidRPr="001A0537">
        <w:rPr>
          <w:rFonts w:eastAsiaTheme="minorEastAsia"/>
          <w:bCs/>
          <w:rtl/>
        </w:rPr>
        <w:lastRenderedPageBreak/>
        <w:t>والفنانين؛</w:t>
      </w:r>
      <w:r w:rsidRPr="00627932">
        <w:rPr>
          <w:rFonts w:eastAsiaTheme="minorEastAsia"/>
          <w:bCs/>
          <w:rtl/>
        </w:rPr>
        <w:t xml:space="preserve"> </w:t>
      </w:r>
      <w:r w:rsidRPr="001A0537">
        <w:rPr>
          <w:rFonts w:eastAsiaTheme="minorEastAsia"/>
          <w:bCs/>
          <w:rtl/>
        </w:rPr>
        <w:t>وأحداث 11 تموز/يوليه 2021 (انظر الفقرات 29(أ) و(ب) و41(أ) و43(أ) أعلاه</w:t>
      </w:r>
      <w:r w:rsidR="00667949" w:rsidRPr="001A0537">
        <w:rPr>
          <w:rFonts w:eastAsiaTheme="minorEastAsia"/>
          <w:bCs/>
          <w:color w:val="000000"/>
          <w:rtl/>
        </w:rPr>
        <w:t>).</w:t>
      </w:r>
      <w:r w:rsidR="00667949" w:rsidRPr="00667949">
        <w:rPr>
          <w:rFonts w:eastAsiaTheme="minorEastAsia"/>
          <w:bCs/>
          <w:color w:val="000000"/>
          <w:rtl/>
        </w:rPr>
        <w:t xml:space="preserve"> </w:t>
      </w:r>
      <w:r w:rsidRPr="001A0537">
        <w:rPr>
          <w:rFonts w:eastAsiaTheme="minorEastAsia"/>
          <w:bCs/>
          <w:rtl/>
        </w:rPr>
        <w:t>وفي</w:t>
      </w:r>
      <w:r w:rsidR="005E0567" w:rsidRPr="001A0537">
        <w:rPr>
          <w:rFonts w:eastAsiaTheme="minorEastAsia" w:hint="cs"/>
          <w:bCs/>
          <w:rtl/>
        </w:rPr>
        <w:t> </w:t>
      </w:r>
      <w:r w:rsidRPr="001A0537">
        <w:rPr>
          <w:rFonts w:eastAsiaTheme="minorEastAsia"/>
          <w:bCs/>
          <w:rtl/>
        </w:rPr>
        <w:t>هذا السياق، دعت اللجنة الدولة الطرف إلى إعلامها، خلال فترة تقديم التقارير المقبلة، بما لديها من خطط لتنفيذ بعض التوصيات المتبقية الواردة في الملاحظات الختامية أو جميعها</w:t>
      </w:r>
      <w:r w:rsidRPr="001A0537">
        <w:rPr>
          <w:rFonts w:eastAsiaTheme="minorEastAsia" w:hint="cs"/>
          <w:bCs/>
          <w:rtl/>
          <w:lang w:eastAsia="zh-TW"/>
        </w:rPr>
        <w:t>.</w:t>
      </w:r>
    </w:p>
    <w:p w14:paraId="270D957F" w14:textId="77777777" w:rsidR="009C3BAB" w:rsidRPr="001A0537" w:rsidRDefault="009C3BAB" w:rsidP="009C3BAB">
      <w:pPr>
        <w:pStyle w:val="H23GA"/>
        <w:rPr>
          <w:lang w:val="en-US" w:eastAsia="zh-TW" w:bidi="en-GB"/>
        </w:rPr>
      </w:pPr>
      <w:r w:rsidRPr="001A0537">
        <w:rPr>
          <w:rtl/>
        </w:rPr>
        <w:tab/>
      </w:r>
      <w:r w:rsidRPr="001A0537">
        <w:rPr>
          <w:rtl/>
        </w:rPr>
        <w:tab/>
        <w:t>مسائل أخرى</w:t>
      </w:r>
    </w:p>
    <w:p w14:paraId="4F2CFB1C" w14:textId="0F9221ED" w:rsidR="009C3BAB" w:rsidRPr="001A0537" w:rsidRDefault="009C3BAB" w:rsidP="009C3BAB">
      <w:pPr>
        <w:pStyle w:val="SingleTxtGA"/>
        <w:rPr>
          <w:rFonts w:eastAsiaTheme="minorEastAsia"/>
          <w:b/>
          <w:bCs/>
          <w:lang w:val="ar-SA" w:eastAsia="zh-TW" w:bidi="en-GB"/>
        </w:rPr>
      </w:pPr>
      <w:r w:rsidRPr="001A0537">
        <w:rPr>
          <w:rFonts w:eastAsiaTheme="minorEastAsia"/>
          <w:rtl/>
        </w:rPr>
        <w:t>49</w:t>
      </w:r>
      <w:r w:rsidRPr="009C3BAB">
        <w:rPr>
          <w:rFonts w:eastAsiaTheme="minorEastAsia"/>
          <w:rtl/>
        </w:rPr>
        <w:t>-</w:t>
      </w:r>
      <w:r w:rsidRPr="00627932">
        <w:rPr>
          <w:rFonts w:eastAsiaTheme="minorEastAsia"/>
          <w:b/>
          <w:bCs/>
          <w:rtl/>
        </w:rPr>
        <w:tab/>
      </w:r>
      <w:r w:rsidRPr="001A0537">
        <w:rPr>
          <w:rFonts w:eastAsiaTheme="minorEastAsia"/>
          <w:b/>
          <w:bCs/>
          <w:rtl/>
        </w:rPr>
        <w:t>تشجّع اللجنة الدولة الطرف على النظر في إصدار الإعلانين المنصوص عليهما في المادة</w:t>
      </w:r>
      <w:r w:rsidR="00627932" w:rsidRPr="001A0537">
        <w:rPr>
          <w:rFonts w:eastAsiaTheme="minorEastAsia" w:hint="cs"/>
          <w:b/>
          <w:bCs/>
          <w:rtl/>
        </w:rPr>
        <w:t> </w:t>
      </w:r>
      <w:r w:rsidRPr="001A0537">
        <w:rPr>
          <w:rFonts w:eastAsiaTheme="minorEastAsia"/>
          <w:b/>
          <w:bCs/>
          <w:rtl/>
        </w:rPr>
        <w:t>22 من الاتفاقية، والاعتراف بذلك باختصاص اللجنة في تلقي البلاغات الواردة من الأفراد الخاضعين لولايتها القضائية والنظر فيها</w:t>
      </w:r>
      <w:r w:rsidRPr="00627932">
        <w:rPr>
          <w:rFonts w:eastAsiaTheme="minorEastAsia" w:hint="cs"/>
          <w:b/>
          <w:bCs/>
          <w:rtl/>
        </w:rPr>
        <w:t>.</w:t>
      </w:r>
      <w:r w:rsidRPr="00627932">
        <w:rPr>
          <w:rFonts w:eastAsiaTheme="minorEastAsia"/>
          <w:b/>
          <w:bCs/>
          <w:rtl/>
        </w:rPr>
        <w:t xml:space="preserve"> </w:t>
      </w:r>
    </w:p>
    <w:p w14:paraId="0BAA3013" w14:textId="77777777" w:rsidR="009C3BAB" w:rsidRPr="001A0537" w:rsidRDefault="009C3BAB" w:rsidP="009C3BAB">
      <w:pPr>
        <w:pStyle w:val="SingleTxtGA"/>
        <w:rPr>
          <w:rFonts w:eastAsiaTheme="minorEastAsia"/>
          <w:b/>
          <w:bCs/>
          <w:lang w:val="ar-SA" w:eastAsia="zh-TW" w:bidi="en-GB"/>
        </w:rPr>
      </w:pPr>
      <w:r w:rsidRPr="001A0537">
        <w:rPr>
          <w:rFonts w:eastAsiaTheme="minorEastAsia"/>
          <w:rtl/>
        </w:rPr>
        <w:t>50</w:t>
      </w:r>
      <w:r w:rsidRPr="009C3BAB">
        <w:rPr>
          <w:rFonts w:eastAsiaTheme="minorEastAsia"/>
          <w:rtl/>
        </w:rPr>
        <w:t>-</w:t>
      </w:r>
      <w:r w:rsidRPr="009C3BAB">
        <w:rPr>
          <w:rFonts w:eastAsiaTheme="minorEastAsia"/>
          <w:rtl/>
        </w:rPr>
        <w:tab/>
      </w:r>
      <w:r w:rsidRPr="00ED5406">
        <w:rPr>
          <w:rFonts w:eastAsiaTheme="minorEastAsia"/>
          <w:b/>
          <w:bCs/>
          <w:rtl/>
        </w:rPr>
        <w:t>و</w:t>
      </w:r>
      <w:r w:rsidRPr="001A0537">
        <w:rPr>
          <w:rFonts w:eastAsiaTheme="minorEastAsia"/>
          <w:b/>
          <w:bCs/>
          <w:rtl/>
        </w:rPr>
        <w:t>يُطلب إلى الدولة الطرف أن تنشر على نطاق واسع التقرير المقدّم إلى اللجنة وهذه الملاحظات الختامية، باللغات المناسبة، عن طريق المواقع الشبكية الرسمية ووسائط الإعلام والمنظمات غير الحكومية، وأن تبلغ اللجنة بما بذلته من جهود لنشرها.</w:t>
      </w:r>
      <w:bookmarkStart w:id="2" w:name="_Hlk90374576"/>
      <w:bookmarkEnd w:id="2"/>
    </w:p>
    <w:p w14:paraId="1B0306A5" w14:textId="291F1026" w:rsidR="009C3BAB" w:rsidRPr="00ED5406" w:rsidRDefault="009C3BAB" w:rsidP="009C3BAB">
      <w:pPr>
        <w:pStyle w:val="SingleTxtGA"/>
        <w:rPr>
          <w:rFonts w:eastAsiaTheme="minorEastAsia"/>
          <w:bCs/>
          <w:u w:val="single"/>
          <w:lang w:val="ar-SA" w:eastAsia="zh-TW" w:bidi="en-GB"/>
        </w:rPr>
      </w:pPr>
      <w:r w:rsidRPr="001A0537">
        <w:rPr>
          <w:rFonts w:eastAsiaTheme="minorEastAsia"/>
          <w:rtl/>
        </w:rPr>
        <w:t>51</w:t>
      </w:r>
      <w:r w:rsidRPr="009C3BAB">
        <w:rPr>
          <w:rFonts w:eastAsiaTheme="minorEastAsia"/>
          <w:rtl/>
        </w:rPr>
        <w:t>-</w:t>
      </w:r>
      <w:r w:rsidRPr="009C3BAB">
        <w:rPr>
          <w:rFonts w:eastAsiaTheme="minorEastAsia"/>
          <w:rtl/>
        </w:rPr>
        <w:tab/>
      </w:r>
      <w:r w:rsidRPr="001A0537">
        <w:rPr>
          <w:rFonts w:eastAsiaTheme="minorEastAsia"/>
          <w:bCs/>
          <w:rtl/>
        </w:rPr>
        <w:t>وتطلب اللجنة إلى الدولة الطرف أن تقدّم تقريرها الدوري المقبل، الذي سيكون تقريرها الرابع، بحلول 13 أيار/مايو 202</w:t>
      </w:r>
      <w:r w:rsidR="00667949" w:rsidRPr="001A0537">
        <w:rPr>
          <w:rFonts w:eastAsiaTheme="minorEastAsia"/>
          <w:bCs/>
          <w:color w:val="000000"/>
          <w:rtl/>
        </w:rPr>
        <w:t>6.</w:t>
      </w:r>
      <w:r w:rsidR="00667949" w:rsidRPr="00667949">
        <w:rPr>
          <w:rFonts w:eastAsiaTheme="minorEastAsia"/>
          <w:bCs/>
          <w:color w:val="000000"/>
          <w:rtl/>
        </w:rPr>
        <w:t xml:space="preserve"> </w:t>
      </w:r>
      <w:r w:rsidRPr="001A0537">
        <w:rPr>
          <w:rFonts w:eastAsiaTheme="minorEastAsia"/>
          <w:bCs/>
          <w:rtl/>
        </w:rPr>
        <w:t>ولهذا الغرض، تدعو اللجنة الدولة الطرف إلى الموافقة، بحلول 13 أيار/مايو 2024، على الإجراء المبسط لتقديم التقارير، الذي تحيل اللجنة بموجبه إلى الدولة الطرف قائمة من المسائل قبل تقديم التقرير.</w:t>
      </w:r>
      <w:r w:rsidRPr="00ED5406">
        <w:rPr>
          <w:rFonts w:eastAsiaTheme="minorEastAsia"/>
          <w:bCs/>
          <w:rtl/>
        </w:rPr>
        <w:t xml:space="preserve"> </w:t>
      </w:r>
      <w:r w:rsidRPr="001A0537">
        <w:rPr>
          <w:rFonts w:eastAsiaTheme="minorEastAsia"/>
          <w:bCs/>
          <w:rtl/>
        </w:rPr>
        <w:t>وستشكّل ردود الدولة الطرف على قائمة المسائل هذه تقريرها الدوري الرابع بموجب المادة 19 من الاتفاقية.</w:t>
      </w:r>
    </w:p>
    <w:p w14:paraId="66FD3CDA" w14:textId="50DFAF4E" w:rsidR="00761849" w:rsidRPr="009C3BAB" w:rsidRDefault="009C3BAB" w:rsidP="009C3BAB">
      <w:pPr>
        <w:pStyle w:val="SingleTxtGA"/>
        <w:jc w:val="center"/>
        <w:rPr>
          <w:u w:val="single"/>
          <w:rtl/>
        </w:rPr>
      </w:pPr>
      <w:r>
        <w:rPr>
          <w:u w:val="single"/>
          <w:rtl/>
        </w:rPr>
        <w:tab/>
      </w:r>
      <w:r>
        <w:rPr>
          <w:u w:val="single"/>
          <w:rtl/>
        </w:rPr>
        <w:tab/>
      </w:r>
      <w:r>
        <w:rPr>
          <w:u w:val="single"/>
          <w:rtl/>
        </w:rPr>
        <w:tab/>
      </w:r>
    </w:p>
    <w:sectPr w:rsidR="00761849" w:rsidRPr="009C3BAB" w:rsidSect="00E20670">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361"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005C5" w14:textId="77777777" w:rsidR="00AD612C" w:rsidRPr="002901D9" w:rsidRDefault="00AD612C" w:rsidP="00874514">
      <w:pPr>
        <w:spacing w:after="60" w:line="240" w:lineRule="auto"/>
        <w:ind w:left="57"/>
        <w:rPr>
          <w:i/>
          <w:iCs/>
        </w:rPr>
      </w:pPr>
      <w:r>
        <w:rPr>
          <w:rFonts w:hint="cs"/>
          <w:i/>
          <w:iCs/>
          <w:rtl/>
        </w:rPr>
        <w:t>الحواشي</w:t>
      </w:r>
    </w:p>
  </w:endnote>
  <w:endnote w:type="continuationSeparator" w:id="0">
    <w:p w14:paraId="6CE9DD8C" w14:textId="77777777" w:rsidR="00AD612C" w:rsidRDefault="00AD612C"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Bold">
    <w:altName w:val="Times New Roman"/>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FF59D" w14:textId="7B59CCE7" w:rsidR="003E6CAE" w:rsidRPr="003E6CAE" w:rsidRDefault="003E6CAE" w:rsidP="003E6CAE">
    <w:pPr>
      <w:pStyle w:val="Footer"/>
      <w:tabs>
        <w:tab w:val="right" w:pos="9638"/>
      </w:tabs>
      <w:rPr>
        <w:b/>
        <w:sz w:val="18"/>
        <w:lang w:val="en-US"/>
      </w:rPr>
    </w:pPr>
    <w:r>
      <w:rPr>
        <w:lang w:val="en-US"/>
      </w:rPr>
      <w:t>GE.22-08857</w:t>
    </w:r>
    <w:r>
      <w:rPr>
        <w:lang w:val="en-US"/>
      </w:rPr>
      <w:tab/>
    </w:r>
    <w:r w:rsidRPr="003E6CAE">
      <w:rPr>
        <w:b/>
        <w:sz w:val="18"/>
        <w:lang w:val="en-US"/>
      </w:rPr>
      <w:fldChar w:fldCharType="begin"/>
    </w:r>
    <w:r w:rsidRPr="003E6CAE">
      <w:rPr>
        <w:b/>
        <w:sz w:val="18"/>
        <w:lang w:val="en-US"/>
      </w:rPr>
      <w:instrText xml:space="preserve"> PAGE  \* MERGEFORMAT </w:instrText>
    </w:r>
    <w:r w:rsidRPr="003E6CAE">
      <w:rPr>
        <w:b/>
        <w:sz w:val="18"/>
        <w:lang w:val="en-US"/>
      </w:rPr>
      <w:fldChar w:fldCharType="separate"/>
    </w:r>
    <w:r w:rsidRPr="003E6CAE">
      <w:rPr>
        <w:b/>
        <w:noProof/>
        <w:sz w:val="18"/>
        <w:lang w:val="en-US"/>
      </w:rPr>
      <w:t>2</w:t>
    </w:r>
    <w:r w:rsidRPr="003E6CAE">
      <w:rPr>
        <w:b/>
        <w:sz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A182F" w14:textId="4DD5D5E5" w:rsidR="006959B0" w:rsidRPr="003E6CAE" w:rsidRDefault="003E6CAE" w:rsidP="003E6CAE">
    <w:pPr>
      <w:pStyle w:val="Footer"/>
      <w:tabs>
        <w:tab w:val="right" w:pos="9638"/>
      </w:tabs>
      <w:rPr>
        <w:lang w:val="en-US"/>
      </w:rPr>
    </w:pPr>
    <w:r>
      <w:rPr>
        <w:b/>
        <w:sz w:val="18"/>
        <w:lang w:val="en-US"/>
      </w:rPr>
      <w:fldChar w:fldCharType="begin"/>
    </w:r>
    <w:r>
      <w:rPr>
        <w:b/>
        <w:sz w:val="18"/>
        <w:lang w:val="en-US"/>
      </w:rPr>
      <w:instrText xml:space="preserve"> PAGE  \* MERGEFORMAT </w:instrText>
    </w:r>
    <w:r>
      <w:rPr>
        <w:b/>
        <w:sz w:val="18"/>
        <w:lang w:val="en-US"/>
      </w:rPr>
      <w:fldChar w:fldCharType="separate"/>
    </w:r>
    <w:r>
      <w:rPr>
        <w:b/>
        <w:noProof/>
        <w:sz w:val="18"/>
        <w:lang w:val="en-US"/>
      </w:rPr>
      <w:t>3</w:t>
    </w:r>
    <w:r>
      <w:rPr>
        <w:b/>
        <w:sz w:val="18"/>
        <w:lang w:val="en-US"/>
      </w:rPr>
      <w:fldChar w:fldCharType="end"/>
    </w:r>
    <w:r>
      <w:rPr>
        <w:b/>
        <w:sz w:val="18"/>
        <w:lang w:val="en-US"/>
      </w:rPr>
      <w:tab/>
    </w:r>
    <w:r>
      <w:rPr>
        <w:lang w:val="en-US"/>
      </w:rPr>
      <w:t>GE.22-08857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A0CA2" w14:textId="3E2D1C94" w:rsidR="00261289" w:rsidRPr="003E6CAE" w:rsidRDefault="003E6CAE" w:rsidP="003E6CAE">
    <w:pPr>
      <w:pStyle w:val="Footer"/>
      <w:spacing w:before="600"/>
      <w:ind w:left="567"/>
      <w:jc w:val="right"/>
      <w:rPr>
        <w:sz w:val="20"/>
        <w:lang w:val="en-US"/>
      </w:rPr>
    </w:pPr>
    <w:r>
      <w:rPr>
        <w:sz w:val="20"/>
        <w:lang w:val="en-US"/>
      </w:rPr>
      <w:t>GE.</w:t>
    </w:r>
    <w:r w:rsidR="00F62057">
      <w:rPr>
        <w:noProof/>
      </w:rPr>
      <w:drawing>
        <wp:anchor distT="0" distB="0" distL="114300" distR="114300" simplePos="0" relativeHeight="251658240" behindDoc="1" locked="1" layoutInCell="0" allowOverlap="1" wp14:anchorId="062459F3" wp14:editId="081E7396">
          <wp:simplePos x="0" y="0"/>
          <wp:positionH relativeFrom="margin">
            <wp:posOffset>719455</wp:posOffset>
          </wp:positionH>
          <wp:positionV relativeFrom="margin">
            <wp:posOffset>9144000</wp:posOffset>
          </wp:positionV>
          <wp:extent cx="1162685" cy="325120"/>
          <wp:effectExtent l="0" t="0" r="0" b="0"/>
          <wp:wrapTight wrapText="bothSides">
            <wp:wrapPolygon edited="0">
              <wp:start x="0" y="0"/>
              <wp:lineTo x="0" y="20250"/>
              <wp:lineTo x="21234" y="20250"/>
              <wp:lineTo x="21234" y="0"/>
              <wp:lineTo x="0" y="0"/>
            </wp:wrapPolygon>
          </wp:wrapTight>
          <wp:docPr id="1" name="Picture 1" descr="يُرجى إعادة التدوي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رجاء_إعادة_التدوير"/>
                  <pic:cNvPicPr>
                    <a:picLocks noChangeAspect="1" noChangeArrowheads="1"/>
                  </pic:cNvPicPr>
                </pic:nvPicPr>
                <pic:blipFill>
                  <a:blip r:embed="rId1">
                    <a:extLst>
                      <a:ext uri="{28A0092B-C50C-407E-A947-70E740481C1C}">
                        <a14:useLocalDpi xmlns:a14="http://schemas.microsoft.com/office/drawing/2010/main" val="0"/>
                      </a:ext>
                    </a:extLst>
                  </a:blip>
                  <a:srcRect t="4395" b="4395"/>
                  <a:stretch>
                    <a:fillRect/>
                  </a:stretch>
                </pic:blipFill>
                <pic:spPr bwMode="auto">
                  <a:xfrm>
                    <a:off x="0" y="0"/>
                    <a:ext cx="1162685" cy="325120"/>
                  </a:xfrm>
                  <a:prstGeom prst="rect">
                    <a:avLst/>
                  </a:prstGeom>
                  <a:noFill/>
                </pic:spPr>
              </pic:pic>
            </a:graphicData>
          </a:graphic>
          <wp14:sizeRelH relativeFrom="page">
            <wp14:pctWidth>0</wp14:pctWidth>
          </wp14:sizeRelH>
          <wp14:sizeRelV relativeFrom="page">
            <wp14:pctHeight>0</wp14:pctHeight>
          </wp14:sizeRelV>
        </wp:anchor>
      </w:drawing>
    </w:r>
    <w:r>
      <w:rPr>
        <w:sz w:val="20"/>
        <w:lang w:val="en-US"/>
      </w:rPr>
      <w:t>22-08857 (A)</w:t>
    </w:r>
    <w:r>
      <w:rPr>
        <w:noProof/>
        <w:sz w:val="20"/>
        <w:lang w:val="en-US"/>
      </w:rPr>
      <w:drawing>
        <wp:anchor distT="0" distB="0" distL="114300" distR="114300" simplePos="0" relativeHeight="251659264" behindDoc="0" locked="0" layoutInCell="1" allowOverlap="1" wp14:anchorId="258705D6" wp14:editId="405358EB">
          <wp:simplePos x="0" y="0"/>
          <wp:positionH relativeFrom="margin">
            <wp:posOffset>0</wp:posOffset>
          </wp:positionH>
          <wp:positionV relativeFrom="margin">
            <wp:posOffset>8891905</wp:posOffset>
          </wp:positionV>
          <wp:extent cx="561975" cy="561975"/>
          <wp:effectExtent l="0" t="0" r="9525" b="9525"/>
          <wp:wrapNone/>
          <wp:docPr id="3" name="Picture 1" descr="امسح الرمز لتصفح الوثيقة أو تحميل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امسح الرمز لتصفح الوثيقة أو تحميلها"/>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BEC55" w14:textId="77777777" w:rsidR="00AD612C" w:rsidRPr="00C111C6" w:rsidRDefault="00AD612C" w:rsidP="00C111C6">
      <w:pPr>
        <w:pStyle w:val="Footer"/>
        <w:tabs>
          <w:tab w:val="left" w:pos="2154"/>
        </w:tabs>
        <w:bidi/>
        <w:spacing w:after="80"/>
        <w:ind w:left="680"/>
        <w:rPr>
          <w:rFonts w:cs="Times New Roman"/>
          <w:sz w:val="20"/>
          <w:szCs w:val="20"/>
          <w:u w:val="single"/>
        </w:rPr>
      </w:pPr>
      <w:r>
        <w:rPr>
          <w:rFonts w:cs="Times New Roman"/>
          <w:sz w:val="20"/>
          <w:szCs w:val="20"/>
          <w:u w:val="single"/>
          <w:rtl/>
        </w:rPr>
        <w:tab/>
      </w:r>
    </w:p>
  </w:footnote>
  <w:footnote w:type="continuationSeparator" w:id="0">
    <w:p w14:paraId="2F726680" w14:textId="77777777" w:rsidR="00AD612C" w:rsidRDefault="00AD612C" w:rsidP="00656392">
      <w:pPr>
        <w:spacing w:line="240" w:lineRule="auto"/>
      </w:pPr>
      <w:r>
        <w:continuationSeparator/>
      </w:r>
    </w:p>
  </w:footnote>
  <w:footnote w:id="1">
    <w:p w14:paraId="0631DD47" w14:textId="5C8C96A2" w:rsidR="009C3BAB" w:rsidRPr="00F372B6" w:rsidRDefault="009C3BAB" w:rsidP="00F372B6">
      <w:pPr>
        <w:pStyle w:val="FootnoteText1"/>
        <w:textDirection w:val="tbRlV"/>
        <w:rPr>
          <w:rFonts w:eastAsiaTheme="minorEastAsia"/>
          <w:lang w:val="ar-SA" w:eastAsia="zh-TW" w:bidi="en-GB"/>
        </w:rPr>
      </w:pPr>
      <w:r w:rsidRPr="00F372B6">
        <w:rPr>
          <w:rFonts w:eastAsiaTheme="minorEastAsia"/>
          <w:sz w:val="22"/>
          <w:szCs w:val="22"/>
          <w:rtl/>
        </w:rPr>
        <w:t>*</w:t>
      </w:r>
      <w:r w:rsidRPr="00F372B6">
        <w:rPr>
          <w:rFonts w:eastAsiaTheme="minorEastAsia"/>
          <w:rtl/>
        </w:rPr>
        <w:tab/>
        <w:t>اعتمدتها اللجنة في دورتها الثالثة والسبعين (</w:t>
      </w:r>
      <w:r w:rsidRPr="001A0537">
        <w:rPr>
          <w:rFonts w:eastAsiaTheme="minorEastAsia"/>
          <w:rtl/>
        </w:rPr>
        <w:t>19</w:t>
      </w:r>
      <w:r w:rsidRPr="00F372B6">
        <w:rPr>
          <w:rFonts w:eastAsiaTheme="minorEastAsia"/>
          <w:rtl/>
        </w:rPr>
        <w:t xml:space="preserve"> نيسان/أبريل</w:t>
      </w:r>
      <w:r w:rsidR="00AE35A2">
        <w:rPr>
          <w:rFonts w:eastAsiaTheme="minorEastAsia" w:hint="cs"/>
          <w:rtl/>
        </w:rPr>
        <w:t xml:space="preserve"> </w:t>
      </w:r>
      <w:r w:rsidRPr="00F372B6">
        <w:rPr>
          <w:rFonts w:eastAsiaTheme="minorEastAsia"/>
          <w:rtl/>
        </w:rPr>
        <w:t>-</w:t>
      </w:r>
      <w:r w:rsidR="00AE35A2">
        <w:rPr>
          <w:rFonts w:eastAsiaTheme="minorEastAsia" w:hint="cs"/>
          <w:rtl/>
        </w:rPr>
        <w:t xml:space="preserve"> </w:t>
      </w:r>
      <w:r w:rsidRPr="001A0537">
        <w:rPr>
          <w:rFonts w:eastAsiaTheme="minorEastAsia"/>
          <w:rtl/>
        </w:rPr>
        <w:t>13</w:t>
      </w:r>
      <w:r w:rsidRPr="00F372B6">
        <w:rPr>
          <w:rFonts w:eastAsiaTheme="minorEastAsia"/>
          <w:rtl/>
        </w:rPr>
        <w:t xml:space="preserve"> أيار/مايو </w:t>
      </w:r>
      <w:r w:rsidRPr="001A0537">
        <w:rPr>
          <w:rFonts w:eastAsiaTheme="minorEastAsia"/>
          <w:rtl/>
        </w:rPr>
        <w:t>2022</w:t>
      </w:r>
      <w:r w:rsidR="00667949" w:rsidRPr="00667949">
        <w:rPr>
          <w:rFonts w:eastAsiaTheme="minorEastAsia"/>
          <w:color w:val="000000"/>
          <w:rtl/>
        </w:rPr>
        <w:t xml:space="preserve">). </w:t>
      </w:r>
    </w:p>
  </w:footnote>
  <w:footnote w:id="2">
    <w:p w14:paraId="439C46BA" w14:textId="77777777" w:rsidR="00667949" w:rsidRPr="00F372B6" w:rsidRDefault="00667949" w:rsidP="00667949">
      <w:pPr>
        <w:pStyle w:val="FootnoteText1"/>
        <w:textDirection w:val="tbRlV"/>
        <w:rPr>
          <w:rFonts w:eastAsiaTheme="minorEastAsia"/>
          <w:lang w:val="ar-SA" w:eastAsia="zh-TW" w:bidi="en-GB"/>
        </w:rPr>
      </w:pPr>
      <w:r w:rsidRPr="00F372B6">
        <w:rPr>
          <w:rFonts w:eastAsiaTheme="minorEastAsia"/>
          <w:rtl/>
        </w:rPr>
        <w:t>(</w:t>
      </w:r>
      <w:r w:rsidRPr="001A0537">
        <w:rPr>
          <w:rStyle w:val="FootnoteReference"/>
          <w:rFonts w:eastAsiaTheme="minorEastAsia"/>
          <w:vertAlign w:val="baseline"/>
        </w:rPr>
        <w:footnoteRef/>
      </w:r>
      <w:r w:rsidRPr="00F372B6">
        <w:rPr>
          <w:rStyle w:val="FootnoteReference"/>
          <w:rFonts w:eastAsiaTheme="minorEastAsia"/>
          <w:vertAlign w:val="baseline"/>
          <w:rtl/>
        </w:rPr>
        <w:t>)</w:t>
      </w:r>
      <w:r w:rsidRPr="00F372B6">
        <w:rPr>
          <w:rFonts w:eastAsiaTheme="minorEastAsia"/>
          <w:rtl/>
        </w:rPr>
        <w:tab/>
      </w:r>
      <w:hyperlink r:id="rId1" w:history="1">
        <w:r w:rsidRPr="00667949">
          <w:rPr>
            <w:rStyle w:val="Hyperlink"/>
            <w:lang w:val="en-AU"/>
          </w:rPr>
          <w:t>CAT/C/CUB/</w:t>
        </w:r>
        <w:r w:rsidRPr="001A0537">
          <w:rPr>
            <w:rStyle w:val="Hyperlink"/>
            <w:lang w:val="en-AU"/>
          </w:rPr>
          <w:t>3</w:t>
        </w:r>
      </w:hyperlink>
      <w:r w:rsidRPr="00667949">
        <w:rPr>
          <w:rFonts w:eastAsiaTheme="minorEastAsia"/>
          <w:color w:val="000000"/>
          <w:rtl/>
        </w:rPr>
        <w:t xml:space="preserve">. </w:t>
      </w:r>
    </w:p>
  </w:footnote>
  <w:footnote w:id="3">
    <w:p w14:paraId="600C9FE3" w14:textId="77777777" w:rsidR="00667949" w:rsidRPr="00F372B6" w:rsidRDefault="00667949" w:rsidP="00667949">
      <w:pPr>
        <w:pStyle w:val="FootnoteText1"/>
        <w:textDirection w:val="tbRlV"/>
        <w:rPr>
          <w:rFonts w:eastAsiaTheme="minorEastAsia"/>
          <w:lang w:val="ar-SA" w:eastAsia="zh-TW" w:bidi="en-GB"/>
        </w:rPr>
      </w:pPr>
      <w:r w:rsidRPr="00F372B6">
        <w:rPr>
          <w:rFonts w:eastAsiaTheme="minorEastAsia"/>
          <w:rtl/>
        </w:rPr>
        <w:t>(</w:t>
      </w:r>
      <w:r w:rsidRPr="001A0537">
        <w:rPr>
          <w:rStyle w:val="FootnoteReference"/>
          <w:rFonts w:eastAsiaTheme="minorEastAsia"/>
          <w:vertAlign w:val="baseline"/>
        </w:rPr>
        <w:footnoteRef/>
      </w:r>
      <w:r w:rsidRPr="00F372B6">
        <w:rPr>
          <w:rStyle w:val="FootnoteReference"/>
          <w:rFonts w:eastAsiaTheme="minorEastAsia"/>
          <w:vertAlign w:val="baseline"/>
          <w:rtl/>
        </w:rPr>
        <w:t>)</w:t>
      </w:r>
      <w:r w:rsidRPr="00F372B6">
        <w:rPr>
          <w:rFonts w:eastAsiaTheme="minorEastAsia"/>
          <w:rtl/>
        </w:rPr>
        <w:tab/>
      </w:r>
      <w:hyperlink r:id="rId2" w:history="1">
        <w:r w:rsidRPr="00667949">
          <w:rPr>
            <w:rStyle w:val="Hyperlink"/>
            <w:lang w:val="en-AU"/>
          </w:rPr>
          <w:t>CAT/C/SR.</w:t>
        </w:r>
        <w:r w:rsidRPr="001A0537">
          <w:rPr>
            <w:rStyle w:val="Hyperlink"/>
            <w:lang w:val="en-AU"/>
          </w:rPr>
          <w:t>1881</w:t>
        </w:r>
      </w:hyperlink>
      <w:r w:rsidRPr="00F372B6">
        <w:rPr>
          <w:rFonts w:eastAsiaTheme="minorEastAsia"/>
          <w:rtl/>
        </w:rPr>
        <w:t xml:space="preserve"> و</w:t>
      </w:r>
      <w:hyperlink r:id="rId3" w:history="1">
        <w:r w:rsidRPr="00667949">
          <w:rPr>
            <w:rStyle w:val="Hyperlink"/>
            <w:lang w:val="en-AU"/>
          </w:rPr>
          <w:t>CAT/C/SR.</w:t>
        </w:r>
        <w:r w:rsidRPr="001A0537">
          <w:rPr>
            <w:rStyle w:val="Hyperlink"/>
            <w:lang w:val="en-AU"/>
          </w:rPr>
          <w:t>1893</w:t>
        </w:r>
      </w:hyperlink>
      <w:r w:rsidRPr="00667949">
        <w:rPr>
          <w:rFonts w:eastAsiaTheme="minorEastAsia"/>
          <w:color w:val="000000"/>
          <w:rtl/>
        </w:rPr>
        <w:t xml:space="preserve">. </w:t>
      </w:r>
    </w:p>
  </w:footnote>
  <w:footnote w:id="4">
    <w:p w14:paraId="55F0590D" w14:textId="77777777" w:rsidR="00667949" w:rsidRPr="00F372B6" w:rsidRDefault="00667949" w:rsidP="00667949">
      <w:pPr>
        <w:pStyle w:val="FootnoteText1"/>
        <w:textDirection w:val="tbRlV"/>
        <w:rPr>
          <w:rFonts w:eastAsiaTheme="minorEastAsia"/>
          <w:lang w:val="ar-SA" w:eastAsia="zh-TW" w:bidi="en-GB"/>
        </w:rPr>
      </w:pPr>
      <w:r w:rsidRPr="00F372B6">
        <w:rPr>
          <w:rFonts w:eastAsiaTheme="minorEastAsia"/>
          <w:rtl/>
        </w:rPr>
        <w:t>(</w:t>
      </w:r>
      <w:r w:rsidRPr="001A0537">
        <w:rPr>
          <w:rStyle w:val="FootnoteReference"/>
          <w:rFonts w:eastAsiaTheme="minorEastAsia"/>
          <w:vertAlign w:val="baseline"/>
        </w:rPr>
        <w:footnoteRef/>
      </w:r>
      <w:r w:rsidRPr="00F372B6">
        <w:rPr>
          <w:rStyle w:val="FootnoteReference"/>
          <w:rFonts w:eastAsiaTheme="minorEastAsia"/>
          <w:vertAlign w:val="baseline"/>
          <w:rtl/>
        </w:rPr>
        <w:t>)</w:t>
      </w:r>
      <w:r w:rsidRPr="00F372B6">
        <w:rPr>
          <w:rFonts w:eastAsiaTheme="minorEastAsia"/>
          <w:rtl/>
        </w:rPr>
        <w:tab/>
      </w:r>
      <w:hyperlink r:id="rId4" w:history="1">
        <w:r w:rsidRPr="00667949">
          <w:rPr>
            <w:rStyle w:val="Hyperlink"/>
            <w:lang w:val="en-AU"/>
          </w:rPr>
          <w:t>CAT/C/CUB/RQ/</w:t>
        </w:r>
        <w:r w:rsidRPr="001A0537">
          <w:rPr>
            <w:rStyle w:val="Hyperlink"/>
            <w:lang w:val="en-AU"/>
          </w:rPr>
          <w:t>3</w:t>
        </w:r>
      </w:hyperlink>
      <w:r w:rsidRPr="00667949">
        <w:rPr>
          <w:rFonts w:eastAsiaTheme="minorEastAsia"/>
          <w:color w:val="000000"/>
          <w:rtl/>
        </w:rPr>
        <w:t xml:space="preserve">. </w:t>
      </w:r>
    </w:p>
  </w:footnote>
  <w:footnote w:id="5">
    <w:p w14:paraId="17B18297" w14:textId="77777777" w:rsidR="00667949" w:rsidRPr="00F372B6" w:rsidRDefault="00667949" w:rsidP="00667949">
      <w:pPr>
        <w:pStyle w:val="FootnoteText1"/>
        <w:textDirection w:val="tbRlV"/>
        <w:rPr>
          <w:rFonts w:eastAsiaTheme="minorEastAsia"/>
          <w:lang w:val="ar-SA" w:eastAsia="zh-TW" w:bidi="en-GB"/>
        </w:rPr>
      </w:pPr>
      <w:r w:rsidRPr="00F372B6">
        <w:rPr>
          <w:rFonts w:eastAsiaTheme="minorEastAsia"/>
          <w:rtl/>
        </w:rPr>
        <w:t>(</w:t>
      </w:r>
      <w:r w:rsidRPr="001A0537">
        <w:rPr>
          <w:rStyle w:val="FootnoteReference"/>
          <w:rFonts w:eastAsiaTheme="minorEastAsia"/>
          <w:vertAlign w:val="baseline"/>
        </w:rPr>
        <w:footnoteRef/>
      </w:r>
      <w:r w:rsidRPr="00F372B6">
        <w:rPr>
          <w:rStyle w:val="FootnoteReference"/>
          <w:rFonts w:eastAsiaTheme="minorEastAsia"/>
          <w:vertAlign w:val="baseline"/>
          <w:rtl/>
        </w:rPr>
        <w:t>)</w:t>
      </w:r>
      <w:r w:rsidRPr="00F372B6">
        <w:rPr>
          <w:rFonts w:eastAsiaTheme="minorEastAsia"/>
          <w:rtl/>
        </w:rPr>
        <w:tab/>
      </w:r>
      <w:hyperlink r:id="rId5" w:history="1">
        <w:r w:rsidRPr="00667949">
          <w:rPr>
            <w:rStyle w:val="Hyperlink"/>
            <w:lang w:val="en-AU"/>
          </w:rPr>
          <w:t>CAT/C/CUB/Q/</w:t>
        </w:r>
        <w:r w:rsidRPr="001A0537">
          <w:rPr>
            <w:rStyle w:val="Hyperlink"/>
            <w:lang w:val="en-AU"/>
          </w:rPr>
          <w:t>3</w:t>
        </w:r>
      </w:hyperlink>
      <w:r w:rsidRPr="00667949">
        <w:rPr>
          <w:rFonts w:eastAsiaTheme="minorEastAsia"/>
          <w:color w:val="000000"/>
          <w:rtl/>
        </w:rPr>
        <w:t xml:space="preserve">. </w:t>
      </w:r>
    </w:p>
  </w:footnote>
  <w:footnote w:id="6">
    <w:p w14:paraId="55940267" w14:textId="77777777" w:rsidR="00667949" w:rsidRPr="00F372B6" w:rsidRDefault="00667949" w:rsidP="00667949">
      <w:pPr>
        <w:pStyle w:val="FootnoteText1"/>
        <w:textDirection w:val="tbRlV"/>
        <w:rPr>
          <w:rFonts w:eastAsiaTheme="minorEastAsia"/>
          <w:lang w:val="ar-SA" w:eastAsia="zh-TW" w:bidi="en-GB"/>
        </w:rPr>
      </w:pPr>
      <w:r w:rsidRPr="00F372B6">
        <w:rPr>
          <w:rFonts w:eastAsiaTheme="minorEastAsia"/>
          <w:rtl/>
        </w:rPr>
        <w:t>(</w:t>
      </w:r>
      <w:r w:rsidRPr="001A0537">
        <w:rPr>
          <w:rStyle w:val="FootnoteReference"/>
          <w:rFonts w:eastAsiaTheme="minorEastAsia"/>
          <w:vertAlign w:val="baseline"/>
        </w:rPr>
        <w:footnoteRef/>
      </w:r>
      <w:r w:rsidRPr="00F372B6">
        <w:rPr>
          <w:rStyle w:val="FootnoteReference"/>
          <w:rFonts w:eastAsiaTheme="minorEastAsia"/>
          <w:vertAlign w:val="baseline"/>
          <w:rtl/>
        </w:rPr>
        <w:t>)</w:t>
      </w:r>
      <w:r w:rsidRPr="00F372B6">
        <w:rPr>
          <w:rStyle w:val="FootnoteReference"/>
          <w:rFonts w:eastAsiaTheme="minorEastAsia"/>
          <w:vertAlign w:val="baseline"/>
          <w:rtl/>
        </w:rPr>
        <w:tab/>
      </w:r>
      <w:hyperlink r:id="rId6" w:history="1">
        <w:r w:rsidRPr="00667949">
          <w:rPr>
            <w:rStyle w:val="Hyperlink"/>
            <w:lang w:val="en-AU"/>
          </w:rPr>
          <w:t>HRI/CORE/CUB/</w:t>
        </w:r>
        <w:r w:rsidRPr="001A0537">
          <w:rPr>
            <w:rStyle w:val="Hyperlink"/>
            <w:lang w:val="en-AU"/>
          </w:rPr>
          <w:t>2016</w:t>
        </w:r>
      </w:hyperlink>
      <w:r w:rsidRPr="00667949">
        <w:rPr>
          <w:rFonts w:eastAsiaTheme="minorEastAsia"/>
          <w:color w:val="000000"/>
          <w:rtl/>
        </w:rPr>
        <w:t xml:space="preserve">. </w:t>
      </w:r>
    </w:p>
  </w:footnote>
  <w:footnote w:id="7">
    <w:p w14:paraId="061D93FC" w14:textId="77777777" w:rsidR="00667949" w:rsidRPr="00F372B6" w:rsidRDefault="00667949" w:rsidP="00667949">
      <w:pPr>
        <w:pStyle w:val="FootnoteText1"/>
        <w:textDirection w:val="tbRlV"/>
        <w:rPr>
          <w:rFonts w:eastAsiaTheme="minorEastAsia"/>
          <w:lang w:val="ar-SA" w:eastAsia="zh-TW" w:bidi="en-GB"/>
        </w:rPr>
      </w:pPr>
      <w:r w:rsidRPr="00F372B6">
        <w:rPr>
          <w:rFonts w:eastAsiaTheme="minorEastAsia"/>
          <w:rtl/>
        </w:rPr>
        <w:t>(</w:t>
      </w:r>
      <w:r w:rsidRPr="001A0537">
        <w:rPr>
          <w:rStyle w:val="FootnoteReference"/>
          <w:rFonts w:eastAsiaTheme="minorEastAsia"/>
          <w:vertAlign w:val="baseline"/>
        </w:rPr>
        <w:footnoteRef/>
      </w:r>
      <w:r w:rsidRPr="00F372B6">
        <w:rPr>
          <w:rStyle w:val="FootnoteReference"/>
          <w:rFonts w:eastAsiaTheme="minorEastAsia"/>
          <w:vertAlign w:val="baseline"/>
          <w:rtl/>
        </w:rPr>
        <w:t>)</w:t>
      </w:r>
      <w:r w:rsidRPr="00F372B6">
        <w:rPr>
          <w:rFonts w:eastAsiaTheme="minorEastAsia"/>
          <w:rtl/>
        </w:rPr>
        <w:tab/>
      </w:r>
      <w:hyperlink r:id="rId7" w:history="1">
        <w:r w:rsidRPr="00667949">
          <w:rPr>
            <w:rStyle w:val="Hyperlink"/>
            <w:lang w:val="en-AU"/>
          </w:rPr>
          <w:t>CAT/C/CUB/CO/</w:t>
        </w:r>
        <w:r w:rsidRPr="001A0537">
          <w:rPr>
            <w:rStyle w:val="Hyperlink"/>
            <w:lang w:val="en-AU"/>
          </w:rPr>
          <w:t>2</w:t>
        </w:r>
      </w:hyperlink>
      <w:r w:rsidRPr="00F372B6">
        <w:rPr>
          <w:rFonts w:eastAsiaTheme="minorEastAsia"/>
          <w:rtl/>
        </w:rPr>
        <w:t xml:space="preserve">، الفقرة </w:t>
      </w:r>
      <w:r w:rsidRPr="001A0537">
        <w:rPr>
          <w:rFonts w:eastAsiaTheme="minorEastAsia"/>
          <w:rtl/>
        </w:rPr>
        <w:t>3</w:t>
      </w:r>
      <w:r w:rsidRPr="001A0537">
        <w:rPr>
          <w:rFonts w:eastAsiaTheme="minorEastAsia"/>
          <w:color w:val="000000"/>
          <w:rtl/>
        </w:rPr>
        <w:t>2</w:t>
      </w:r>
      <w:r w:rsidRPr="00667949">
        <w:rPr>
          <w:rFonts w:eastAsiaTheme="minorEastAsia"/>
          <w:color w:val="000000"/>
          <w:rtl/>
        </w:rPr>
        <w:t xml:space="preserve">. </w:t>
      </w:r>
    </w:p>
  </w:footnote>
  <w:footnote w:id="8">
    <w:p w14:paraId="7EEFFB56" w14:textId="21ADC23C" w:rsidR="00667949" w:rsidRPr="00F372B6" w:rsidRDefault="00667949" w:rsidP="00667949">
      <w:pPr>
        <w:pStyle w:val="FootnoteText1"/>
        <w:textDirection w:val="tbRlV"/>
        <w:rPr>
          <w:rFonts w:eastAsiaTheme="minorEastAsia"/>
          <w:lang w:val="ar-SA" w:eastAsia="zh-TW" w:bidi="en-GB"/>
        </w:rPr>
      </w:pPr>
      <w:r w:rsidRPr="00F372B6">
        <w:rPr>
          <w:rFonts w:eastAsiaTheme="minorEastAsia"/>
          <w:rtl/>
        </w:rPr>
        <w:t>(</w:t>
      </w:r>
      <w:r w:rsidRPr="001A0537">
        <w:rPr>
          <w:rStyle w:val="FootnoteReference"/>
          <w:rFonts w:eastAsiaTheme="minorEastAsia"/>
          <w:vertAlign w:val="baseline"/>
        </w:rPr>
        <w:footnoteRef/>
      </w:r>
      <w:r w:rsidRPr="00F372B6">
        <w:rPr>
          <w:rStyle w:val="FootnoteReference"/>
          <w:rFonts w:eastAsiaTheme="minorEastAsia"/>
          <w:vertAlign w:val="baseline"/>
          <w:rtl/>
        </w:rPr>
        <w:t>)</w:t>
      </w:r>
      <w:r w:rsidRPr="00F372B6">
        <w:rPr>
          <w:rFonts w:eastAsiaTheme="minorEastAsia"/>
          <w:rtl/>
        </w:rPr>
        <w:tab/>
      </w:r>
      <w:hyperlink r:id="rId8" w:history="1">
        <w:r w:rsidRPr="00667949">
          <w:rPr>
            <w:rStyle w:val="Hyperlink"/>
            <w:lang w:val="en-AU"/>
          </w:rPr>
          <w:t>A/</w:t>
        </w:r>
        <w:r w:rsidRPr="001A0537">
          <w:rPr>
            <w:rStyle w:val="Hyperlink"/>
            <w:lang w:val="en-AU"/>
          </w:rPr>
          <w:t>53</w:t>
        </w:r>
        <w:r w:rsidRPr="00667949">
          <w:rPr>
            <w:rStyle w:val="Hyperlink"/>
            <w:lang w:val="en-AU"/>
          </w:rPr>
          <w:t>/</w:t>
        </w:r>
        <w:r w:rsidRPr="001A0537">
          <w:rPr>
            <w:rStyle w:val="Hyperlink"/>
            <w:lang w:val="en-AU"/>
          </w:rPr>
          <w:t>44</w:t>
        </w:r>
      </w:hyperlink>
      <w:r w:rsidRPr="00F372B6">
        <w:rPr>
          <w:rFonts w:eastAsiaTheme="minorEastAsia"/>
          <w:rtl/>
        </w:rPr>
        <w:t xml:space="preserve">، الفقرة </w:t>
      </w:r>
      <w:r w:rsidRPr="001A0537">
        <w:rPr>
          <w:rFonts w:eastAsiaTheme="minorEastAsia"/>
          <w:rtl/>
        </w:rPr>
        <w:t>118</w:t>
      </w:r>
      <w:r w:rsidRPr="00F372B6">
        <w:rPr>
          <w:rFonts w:eastAsiaTheme="minorEastAsia"/>
          <w:rtl/>
        </w:rPr>
        <w:t>(أ</w:t>
      </w:r>
      <w:r w:rsidRPr="00667949">
        <w:rPr>
          <w:rFonts w:eastAsiaTheme="minorEastAsia"/>
          <w:color w:val="000000"/>
          <w:rtl/>
        </w:rPr>
        <w:t xml:space="preserve">)، </w:t>
      </w:r>
      <w:r w:rsidRPr="00F372B6">
        <w:rPr>
          <w:rFonts w:eastAsiaTheme="minorEastAsia"/>
          <w:rtl/>
        </w:rPr>
        <w:t>و</w:t>
      </w:r>
      <w:hyperlink r:id="rId9" w:history="1">
        <w:r w:rsidRPr="00667949">
          <w:rPr>
            <w:rStyle w:val="Hyperlink"/>
            <w:lang w:val="en-AU"/>
          </w:rPr>
          <w:t>A/</w:t>
        </w:r>
        <w:r w:rsidRPr="001A0537">
          <w:rPr>
            <w:rStyle w:val="Hyperlink"/>
            <w:lang w:val="en-AU"/>
          </w:rPr>
          <w:t>53</w:t>
        </w:r>
        <w:r w:rsidRPr="00667949">
          <w:rPr>
            <w:rStyle w:val="Hyperlink"/>
            <w:lang w:val="en-AU"/>
          </w:rPr>
          <w:t>/</w:t>
        </w:r>
        <w:r w:rsidRPr="001A0537">
          <w:rPr>
            <w:rStyle w:val="Hyperlink"/>
            <w:lang w:val="en-AU"/>
          </w:rPr>
          <w:t>44</w:t>
        </w:r>
        <w:r w:rsidRPr="00667949">
          <w:rPr>
            <w:rStyle w:val="Hyperlink"/>
            <w:lang w:val="en-AU"/>
          </w:rPr>
          <w:t>/Corr.</w:t>
        </w:r>
        <w:r w:rsidRPr="001A0537">
          <w:rPr>
            <w:rStyle w:val="Hyperlink"/>
            <w:lang w:val="en-AU"/>
          </w:rPr>
          <w:t>1</w:t>
        </w:r>
      </w:hyperlink>
      <w:r w:rsidRPr="00F372B6">
        <w:rPr>
          <w:rFonts w:eastAsiaTheme="minorEastAsia"/>
          <w:rtl/>
        </w:rPr>
        <w:t>، و</w:t>
      </w:r>
      <w:hyperlink r:id="rId10" w:history="1">
        <w:r w:rsidRPr="00667949">
          <w:rPr>
            <w:rStyle w:val="Hyperlink"/>
            <w:lang w:val="en-AU"/>
          </w:rPr>
          <w:t>CAT/C/CUB/</w:t>
        </w:r>
        <w:r w:rsidRPr="001A0537">
          <w:rPr>
            <w:rStyle w:val="Hyperlink"/>
            <w:lang w:val="en-AU"/>
          </w:rPr>
          <w:t>2</w:t>
        </w:r>
      </w:hyperlink>
      <w:r w:rsidRPr="00F372B6">
        <w:rPr>
          <w:rFonts w:eastAsiaTheme="minorEastAsia"/>
          <w:rtl/>
        </w:rPr>
        <w:t xml:space="preserve">، الفقرة </w:t>
      </w:r>
      <w:r w:rsidRPr="001A0537">
        <w:rPr>
          <w:rFonts w:eastAsiaTheme="minorEastAsia"/>
          <w:color w:val="000000"/>
          <w:rtl/>
        </w:rPr>
        <w:t>7</w:t>
      </w:r>
      <w:r w:rsidRPr="00667949">
        <w:rPr>
          <w:rFonts w:eastAsiaTheme="minorEastAsia"/>
          <w:color w:val="000000"/>
          <w:rtl/>
        </w:rPr>
        <w:t xml:space="preserve">. </w:t>
      </w:r>
    </w:p>
  </w:footnote>
  <w:footnote w:id="9">
    <w:p w14:paraId="38151870" w14:textId="77777777" w:rsidR="00667949" w:rsidRPr="00F372B6" w:rsidRDefault="00667949" w:rsidP="00F372B6">
      <w:pPr>
        <w:pStyle w:val="FootnoteText1"/>
        <w:textDirection w:val="tbRlV"/>
        <w:rPr>
          <w:rFonts w:eastAsiaTheme="minorEastAsia"/>
          <w:lang w:val="ar-SA" w:eastAsia="zh-TW" w:bidi="en-GB"/>
        </w:rPr>
      </w:pPr>
      <w:r w:rsidRPr="00F372B6">
        <w:rPr>
          <w:rFonts w:eastAsiaTheme="minorEastAsia"/>
          <w:rtl/>
        </w:rPr>
        <w:t>(</w:t>
      </w:r>
      <w:r w:rsidRPr="001A0537">
        <w:rPr>
          <w:rStyle w:val="FootnoteReference"/>
          <w:rFonts w:eastAsiaTheme="minorEastAsia"/>
          <w:vertAlign w:val="baseline"/>
        </w:rPr>
        <w:footnoteRef/>
      </w:r>
      <w:r w:rsidRPr="00F372B6">
        <w:rPr>
          <w:rStyle w:val="FootnoteReference"/>
          <w:rFonts w:eastAsiaTheme="minorEastAsia"/>
          <w:vertAlign w:val="baseline"/>
          <w:rtl/>
        </w:rPr>
        <w:t>)</w:t>
      </w:r>
      <w:r w:rsidRPr="00F372B6">
        <w:rPr>
          <w:rStyle w:val="FootnoteReference"/>
          <w:rFonts w:eastAsiaTheme="minorEastAsia"/>
          <w:vertAlign w:val="baseline"/>
          <w:rtl/>
        </w:rPr>
        <w:tab/>
      </w:r>
      <w:r w:rsidRPr="00F372B6">
        <w:rPr>
          <w:rFonts w:eastAsiaTheme="minorEastAsia"/>
          <w:rtl/>
        </w:rPr>
        <w:t xml:space="preserve">الآراء رقم </w:t>
      </w:r>
      <w:r w:rsidRPr="001A0537">
        <w:rPr>
          <w:rFonts w:eastAsiaTheme="minorEastAsia"/>
          <w:rtl/>
        </w:rPr>
        <w:t>12</w:t>
      </w:r>
      <w:r w:rsidRPr="00F372B6">
        <w:rPr>
          <w:rFonts w:eastAsiaTheme="minorEastAsia"/>
          <w:rtl/>
        </w:rPr>
        <w:t>/</w:t>
      </w:r>
      <w:r w:rsidRPr="001A0537">
        <w:rPr>
          <w:rFonts w:eastAsiaTheme="minorEastAsia"/>
          <w:rtl/>
        </w:rPr>
        <w:t>2017</w:t>
      </w:r>
      <w:r w:rsidRPr="00F372B6">
        <w:rPr>
          <w:rFonts w:eastAsiaTheme="minorEastAsia"/>
          <w:rtl/>
        </w:rPr>
        <w:t>، و</w:t>
      </w:r>
      <w:r w:rsidRPr="001A0537">
        <w:rPr>
          <w:rFonts w:eastAsiaTheme="minorEastAsia"/>
          <w:rtl/>
        </w:rPr>
        <w:t>55</w:t>
      </w:r>
      <w:r w:rsidRPr="00F372B6">
        <w:rPr>
          <w:rFonts w:eastAsiaTheme="minorEastAsia"/>
          <w:rtl/>
        </w:rPr>
        <w:t>/</w:t>
      </w:r>
      <w:r w:rsidRPr="001A0537">
        <w:rPr>
          <w:rFonts w:eastAsiaTheme="minorEastAsia"/>
          <w:rtl/>
        </w:rPr>
        <w:t>2017</w:t>
      </w:r>
      <w:r w:rsidRPr="00F372B6">
        <w:rPr>
          <w:rFonts w:eastAsiaTheme="minorEastAsia"/>
          <w:rtl/>
        </w:rPr>
        <w:t>، و</w:t>
      </w:r>
      <w:r w:rsidRPr="001A0537">
        <w:rPr>
          <w:rFonts w:eastAsiaTheme="minorEastAsia"/>
          <w:rtl/>
        </w:rPr>
        <w:t>64</w:t>
      </w:r>
      <w:r w:rsidRPr="00F372B6">
        <w:rPr>
          <w:rFonts w:eastAsiaTheme="minorEastAsia"/>
          <w:rtl/>
        </w:rPr>
        <w:t>/</w:t>
      </w:r>
      <w:r w:rsidRPr="001A0537">
        <w:rPr>
          <w:rFonts w:eastAsiaTheme="minorEastAsia"/>
          <w:rtl/>
        </w:rPr>
        <w:t>2017</w:t>
      </w:r>
      <w:r w:rsidRPr="00F372B6">
        <w:rPr>
          <w:rFonts w:eastAsiaTheme="minorEastAsia"/>
          <w:rtl/>
        </w:rPr>
        <w:t>، و</w:t>
      </w:r>
      <w:r w:rsidRPr="001A0537">
        <w:rPr>
          <w:rFonts w:eastAsiaTheme="minorEastAsia"/>
          <w:rtl/>
        </w:rPr>
        <w:t>63</w:t>
      </w:r>
      <w:r w:rsidRPr="00F372B6">
        <w:rPr>
          <w:rFonts w:eastAsiaTheme="minorEastAsia"/>
          <w:rtl/>
        </w:rPr>
        <w:t>/</w:t>
      </w:r>
      <w:r w:rsidRPr="001A0537">
        <w:rPr>
          <w:rFonts w:eastAsiaTheme="minorEastAsia"/>
          <w:rtl/>
        </w:rPr>
        <w:t>2019</w:t>
      </w:r>
      <w:r w:rsidRPr="00F372B6">
        <w:rPr>
          <w:rFonts w:eastAsiaTheme="minorEastAsia"/>
          <w:rtl/>
        </w:rPr>
        <w:t>، و</w:t>
      </w:r>
      <w:r w:rsidRPr="001A0537">
        <w:rPr>
          <w:rFonts w:eastAsiaTheme="minorEastAsia"/>
          <w:rtl/>
        </w:rPr>
        <w:t>13</w:t>
      </w:r>
      <w:r w:rsidRPr="00F372B6">
        <w:rPr>
          <w:rFonts w:eastAsiaTheme="minorEastAsia"/>
          <w:rtl/>
        </w:rPr>
        <w:t>/</w:t>
      </w:r>
      <w:r w:rsidRPr="001A0537">
        <w:rPr>
          <w:rFonts w:eastAsiaTheme="minorEastAsia"/>
          <w:rtl/>
        </w:rPr>
        <w:t>202</w:t>
      </w:r>
      <w:r w:rsidRPr="001A0537">
        <w:rPr>
          <w:rFonts w:eastAsiaTheme="minorEastAsia"/>
          <w:color w:val="000000"/>
          <w:rtl/>
        </w:rPr>
        <w:t>1</w:t>
      </w:r>
      <w:r w:rsidRPr="00667949">
        <w:rPr>
          <w:rFonts w:eastAsiaTheme="minorEastAsia"/>
          <w:color w:val="000000"/>
          <w:rtl/>
        </w:rPr>
        <w:t xml:space="preserve">. </w:t>
      </w:r>
    </w:p>
  </w:footnote>
  <w:footnote w:id="10">
    <w:p w14:paraId="419C21A8" w14:textId="5FD9D30A" w:rsidR="00667949" w:rsidRPr="00A5352C" w:rsidRDefault="00667949" w:rsidP="00F372B6">
      <w:pPr>
        <w:pStyle w:val="FootnoteText1"/>
        <w:textDirection w:val="tbRlV"/>
        <w:rPr>
          <w:rFonts w:eastAsiaTheme="minorEastAsia"/>
          <w:spacing w:val="4"/>
          <w:lang w:eastAsia="zh-TW" w:bidi="en-GB"/>
        </w:rPr>
      </w:pPr>
      <w:r w:rsidRPr="009A7F5B">
        <w:rPr>
          <w:rFonts w:eastAsiaTheme="minorEastAsia"/>
          <w:rtl/>
        </w:rPr>
        <w:t>(</w:t>
      </w:r>
      <w:r w:rsidRPr="009A7F5B">
        <w:rPr>
          <w:rStyle w:val="FootnoteReference"/>
          <w:rFonts w:eastAsiaTheme="minorEastAsia"/>
          <w:vertAlign w:val="baseline"/>
        </w:rPr>
        <w:footnoteRef/>
      </w:r>
      <w:r w:rsidRPr="009A7F5B">
        <w:rPr>
          <w:rStyle w:val="FootnoteReference"/>
          <w:rFonts w:eastAsiaTheme="minorEastAsia"/>
          <w:vertAlign w:val="baseline"/>
          <w:rtl/>
        </w:rPr>
        <w:t>)</w:t>
      </w:r>
      <w:r w:rsidRPr="009A7F5B">
        <w:rPr>
          <w:rStyle w:val="FootnoteReference"/>
          <w:rFonts w:eastAsiaTheme="minorEastAsia"/>
          <w:vertAlign w:val="baseline"/>
          <w:rtl/>
        </w:rPr>
        <w:tab/>
      </w:r>
      <w:r w:rsidRPr="009A7F5B">
        <w:rPr>
          <w:rFonts w:eastAsiaTheme="minorEastAsia"/>
          <w:spacing w:val="4"/>
          <w:rtl/>
        </w:rPr>
        <w:t xml:space="preserve">لجنة البلدان الأمريكية لحقوق الإنسان، </w:t>
      </w:r>
      <w:r w:rsidRPr="009A7F5B">
        <w:rPr>
          <w:rFonts w:eastAsiaTheme="minorEastAsia"/>
          <w:i/>
          <w:iCs/>
          <w:spacing w:val="4"/>
          <w:rtl/>
        </w:rPr>
        <w:t>حالة حقوق الإنسان في كوبا</w:t>
      </w:r>
      <w:r w:rsidRPr="009A7F5B">
        <w:rPr>
          <w:rFonts w:eastAsiaTheme="minorEastAsia"/>
          <w:spacing w:val="4"/>
          <w:rtl/>
        </w:rPr>
        <w:t xml:space="preserve"> (</w:t>
      </w:r>
      <w:r w:rsidRPr="009A7F5B">
        <w:rPr>
          <w:rFonts w:eastAsiaTheme="minorEastAsia"/>
          <w:spacing w:val="4"/>
        </w:rPr>
        <w:t>OEA/</w:t>
      </w:r>
      <w:proofErr w:type="spellStart"/>
      <w:r w:rsidRPr="009A7F5B">
        <w:rPr>
          <w:rFonts w:eastAsiaTheme="minorEastAsia"/>
          <w:spacing w:val="4"/>
        </w:rPr>
        <w:t>Ser.L</w:t>
      </w:r>
      <w:proofErr w:type="spellEnd"/>
      <w:r w:rsidRPr="009A7F5B">
        <w:rPr>
          <w:rFonts w:eastAsiaTheme="minorEastAsia"/>
          <w:spacing w:val="4"/>
        </w:rPr>
        <w:t>/V/I</w:t>
      </w:r>
      <w:r w:rsidRPr="009A7F5B">
        <w:rPr>
          <w:rFonts w:eastAsiaTheme="minorEastAsia"/>
          <w:color w:val="000000"/>
          <w:spacing w:val="4"/>
        </w:rPr>
        <w:t>I</w:t>
      </w:r>
      <w:r w:rsidRPr="009A7F5B">
        <w:rPr>
          <w:rFonts w:eastAsiaTheme="minorEastAsia"/>
          <w:color w:val="000000"/>
          <w:spacing w:val="4"/>
          <w:rtl/>
        </w:rPr>
        <w:t xml:space="preserve">. </w:t>
      </w:r>
      <w:r w:rsidRPr="009A7F5B">
        <w:rPr>
          <w:rFonts w:eastAsiaTheme="minorEastAsia"/>
          <w:spacing w:val="4"/>
          <w:rtl/>
        </w:rPr>
        <w:t>الوثيقة 2</w:t>
      </w:r>
      <w:r w:rsidRPr="009A7F5B">
        <w:rPr>
          <w:rFonts w:eastAsiaTheme="minorEastAsia"/>
          <w:color w:val="000000"/>
          <w:spacing w:val="4"/>
          <w:rtl/>
        </w:rPr>
        <w:t>)</w:t>
      </w:r>
      <w:r w:rsidR="00A5352C" w:rsidRPr="009A7F5B">
        <w:rPr>
          <w:rFonts w:eastAsiaTheme="minorEastAsia" w:hint="cs"/>
          <w:color w:val="000000"/>
          <w:spacing w:val="4"/>
          <w:rtl/>
        </w:rPr>
        <w:t xml:space="preserve"> (2020)</w:t>
      </w:r>
      <w:r w:rsidRPr="009A7F5B">
        <w:rPr>
          <w:rFonts w:eastAsiaTheme="minorEastAsia"/>
          <w:color w:val="000000"/>
          <w:spacing w:val="4"/>
          <w:rtl/>
        </w:rPr>
        <w:t xml:space="preserve">، </w:t>
      </w:r>
      <w:r w:rsidRPr="009A7F5B">
        <w:rPr>
          <w:rFonts w:eastAsiaTheme="minorEastAsia"/>
          <w:spacing w:val="4"/>
          <w:rtl/>
        </w:rPr>
        <w:t>الفقرات</w:t>
      </w:r>
      <w:r w:rsidR="00A5352C" w:rsidRPr="009A7F5B">
        <w:rPr>
          <w:rFonts w:eastAsiaTheme="minorEastAsia" w:hint="cs"/>
          <w:spacing w:val="4"/>
          <w:rtl/>
        </w:rPr>
        <w:t> </w:t>
      </w:r>
      <w:r w:rsidR="009A7F5B" w:rsidRPr="009A7F5B">
        <w:rPr>
          <w:rFonts w:eastAsiaTheme="minorEastAsia" w:hint="cs"/>
          <w:spacing w:val="4"/>
          <w:rtl/>
        </w:rPr>
        <w:t>371</w:t>
      </w:r>
      <w:r w:rsidRPr="009A7F5B">
        <w:rPr>
          <w:rFonts w:eastAsiaTheme="minorEastAsia"/>
          <w:spacing w:val="4"/>
          <w:rtl/>
        </w:rPr>
        <w:t>-</w:t>
      </w:r>
      <w:r w:rsidR="009A7F5B" w:rsidRPr="009A7F5B">
        <w:rPr>
          <w:rFonts w:eastAsiaTheme="minorEastAsia" w:hint="cs"/>
          <w:spacing w:val="4"/>
          <w:rtl/>
        </w:rPr>
        <w:t>382</w:t>
      </w:r>
      <w:r w:rsidRPr="009A7F5B">
        <w:rPr>
          <w:rFonts w:eastAsiaTheme="minorEastAsia"/>
          <w:color w:val="000000"/>
          <w:spacing w:val="4"/>
          <w:rtl/>
        </w:rPr>
        <w:t>.</w:t>
      </w:r>
      <w:r w:rsidRPr="00A5352C">
        <w:rPr>
          <w:rFonts w:eastAsiaTheme="minorEastAsia"/>
          <w:color w:val="000000"/>
          <w:spacing w:val="4"/>
          <w:rtl/>
        </w:rPr>
        <w:t xml:space="preserve"> </w:t>
      </w:r>
    </w:p>
  </w:footnote>
  <w:footnote w:id="11">
    <w:p w14:paraId="38167DFB" w14:textId="77777777" w:rsidR="00667949" w:rsidRPr="00F372B6" w:rsidRDefault="00667949" w:rsidP="00667949">
      <w:pPr>
        <w:pStyle w:val="FootnoteText1"/>
        <w:textDirection w:val="tbRlV"/>
        <w:rPr>
          <w:rFonts w:eastAsiaTheme="minorEastAsia"/>
          <w:lang w:val="ar-SA" w:eastAsia="zh-TW" w:bidi="en-GB"/>
        </w:rPr>
      </w:pPr>
      <w:r w:rsidRPr="00F372B6">
        <w:rPr>
          <w:rFonts w:eastAsiaTheme="minorEastAsia"/>
          <w:rtl/>
        </w:rPr>
        <w:t>(</w:t>
      </w:r>
      <w:r w:rsidRPr="001A0537">
        <w:rPr>
          <w:rStyle w:val="FootnoteReference"/>
          <w:rFonts w:eastAsiaTheme="minorEastAsia"/>
          <w:vertAlign w:val="baseline"/>
        </w:rPr>
        <w:footnoteRef/>
      </w:r>
      <w:r w:rsidRPr="00F372B6">
        <w:rPr>
          <w:rStyle w:val="FootnoteReference"/>
          <w:rFonts w:eastAsiaTheme="minorEastAsia"/>
          <w:vertAlign w:val="baseline"/>
          <w:rtl/>
        </w:rPr>
        <w:t>)</w:t>
      </w:r>
      <w:r w:rsidRPr="00F372B6">
        <w:rPr>
          <w:rStyle w:val="FootnoteReference"/>
          <w:rFonts w:eastAsiaTheme="minorEastAsia"/>
          <w:vertAlign w:val="baseline"/>
          <w:rtl/>
        </w:rPr>
        <w:tab/>
      </w:r>
      <w:hyperlink r:id="rId11" w:history="1">
        <w:r w:rsidRPr="00667949">
          <w:rPr>
            <w:rStyle w:val="Hyperlink"/>
            <w:lang w:val="en-AU"/>
          </w:rPr>
          <w:t>CAT/C/CUB/CO/</w:t>
        </w:r>
        <w:r w:rsidRPr="001A0537">
          <w:rPr>
            <w:rStyle w:val="Hyperlink"/>
            <w:lang w:val="en-AU"/>
          </w:rPr>
          <w:t>2</w:t>
        </w:r>
      </w:hyperlink>
      <w:r w:rsidRPr="00F372B6">
        <w:rPr>
          <w:rFonts w:eastAsiaTheme="minorEastAsia"/>
          <w:rtl/>
        </w:rPr>
        <w:t xml:space="preserve">، الفقرة </w:t>
      </w:r>
      <w:r w:rsidRPr="001A0537">
        <w:rPr>
          <w:rFonts w:eastAsiaTheme="minorEastAsia"/>
          <w:rtl/>
        </w:rPr>
        <w:t>1</w:t>
      </w:r>
      <w:r w:rsidRPr="001A0537">
        <w:rPr>
          <w:rFonts w:eastAsiaTheme="minorEastAsia"/>
          <w:color w:val="000000"/>
          <w:rtl/>
        </w:rPr>
        <w:t>2</w:t>
      </w:r>
      <w:r w:rsidRPr="00667949">
        <w:rPr>
          <w:rFonts w:eastAsiaTheme="minorEastAsia"/>
          <w:color w:val="000000"/>
          <w:rtl/>
        </w:rPr>
        <w:t xml:space="preserve">. </w:t>
      </w:r>
    </w:p>
  </w:footnote>
  <w:footnote w:id="12">
    <w:p w14:paraId="2D6EAB2D" w14:textId="77777777" w:rsidR="00667949" w:rsidRPr="001A0537" w:rsidRDefault="00667949" w:rsidP="00F372B6">
      <w:pPr>
        <w:pStyle w:val="FootnoteText1"/>
        <w:textDirection w:val="tbRlV"/>
        <w:rPr>
          <w:rFonts w:eastAsiaTheme="minorEastAsia"/>
          <w:i/>
          <w:lang w:val="ar-SA" w:eastAsia="zh-TW" w:bidi="en-GB"/>
        </w:rPr>
      </w:pPr>
      <w:r w:rsidRPr="00F372B6">
        <w:rPr>
          <w:rFonts w:eastAsiaTheme="minorEastAsia"/>
          <w:rtl/>
        </w:rPr>
        <w:t>(</w:t>
      </w:r>
      <w:r w:rsidRPr="001A0537">
        <w:rPr>
          <w:rStyle w:val="FootnoteReference"/>
          <w:rFonts w:eastAsiaTheme="minorEastAsia"/>
          <w:vertAlign w:val="baseline"/>
        </w:rPr>
        <w:footnoteRef/>
      </w:r>
      <w:r w:rsidRPr="00F372B6">
        <w:rPr>
          <w:rStyle w:val="FootnoteReference"/>
          <w:rFonts w:eastAsiaTheme="minorEastAsia"/>
          <w:vertAlign w:val="baseline"/>
          <w:rtl/>
        </w:rPr>
        <w:t>)</w:t>
      </w:r>
      <w:r w:rsidRPr="00F372B6">
        <w:rPr>
          <w:rStyle w:val="FootnoteReference"/>
          <w:rFonts w:eastAsiaTheme="minorEastAsia"/>
          <w:vertAlign w:val="baseline"/>
          <w:rtl/>
        </w:rPr>
        <w:tab/>
      </w:r>
      <w:r w:rsidRPr="00F372B6">
        <w:rPr>
          <w:rFonts w:eastAsiaTheme="minorEastAsia"/>
          <w:rtl/>
        </w:rPr>
        <w:t>المرجع نفسه</w:t>
      </w:r>
      <w:r>
        <w:rPr>
          <w:rFonts w:eastAsiaTheme="minorEastAsia"/>
          <w:rtl/>
        </w:rPr>
        <w:t xml:space="preserve">. </w:t>
      </w:r>
    </w:p>
  </w:footnote>
  <w:footnote w:id="13">
    <w:p w14:paraId="109BAADB" w14:textId="77777777" w:rsidR="00667949" w:rsidRPr="00371B6F" w:rsidRDefault="00667949" w:rsidP="00667949">
      <w:pPr>
        <w:pStyle w:val="FootnoteText1"/>
        <w:textDirection w:val="tbRlV"/>
        <w:rPr>
          <w:rFonts w:eastAsiaTheme="minorEastAsia"/>
          <w:lang w:eastAsia="zh-TW" w:bidi="en-GB"/>
        </w:rPr>
      </w:pPr>
      <w:r w:rsidRPr="00F372B6">
        <w:rPr>
          <w:rFonts w:eastAsiaTheme="minorEastAsia"/>
          <w:rtl/>
        </w:rPr>
        <w:t>(</w:t>
      </w:r>
      <w:r w:rsidRPr="001A0537">
        <w:rPr>
          <w:rStyle w:val="FootnoteReference"/>
          <w:rFonts w:eastAsiaTheme="minorEastAsia"/>
          <w:vertAlign w:val="baseline"/>
        </w:rPr>
        <w:footnoteRef/>
      </w:r>
      <w:r w:rsidRPr="00F372B6">
        <w:rPr>
          <w:rStyle w:val="FootnoteReference"/>
          <w:rFonts w:eastAsiaTheme="minorEastAsia"/>
          <w:vertAlign w:val="baseline"/>
          <w:rtl/>
        </w:rPr>
        <w:t>)</w:t>
      </w:r>
      <w:r w:rsidRPr="00F372B6">
        <w:rPr>
          <w:rStyle w:val="FootnoteReference"/>
          <w:rFonts w:eastAsiaTheme="minorEastAsia"/>
          <w:vertAlign w:val="baseline"/>
          <w:rtl/>
        </w:rPr>
        <w:tab/>
      </w:r>
      <w:hyperlink r:id="rId12" w:history="1">
        <w:r w:rsidRPr="00667949">
          <w:rPr>
            <w:rStyle w:val="Hyperlink"/>
            <w:lang w:val="en-AU"/>
          </w:rPr>
          <w:t>CAT/C/CUB/</w:t>
        </w:r>
        <w:r w:rsidRPr="001A0537">
          <w:rPr>
            <w:rStyle w:val="Hyperlink"/>
            <w:lang w:val="en-AU"/>
          </w:rPr>
          <w:t>3</w:t>
        </w:r>
      </w:hyperlink>
      <w:r w:rsidRPr="00F372B6">
        <w:rPr>
          <w:rFonts w:eastAsiaTheme="minorEastAsia"/>
          <w:rtl/>
        </w:rPr>
        <w:t xml:space="preserve">، الفقرة </w:t>
      </w:r>
      <w:r w:rsidRPr="001A0537">
        <w:rPr>
          <w:rFonts w:eastAsiaTheme="minorEastAsia"/>
          <w:rtl/>
        </w:rPr>
        <w:t>184</w:t>
      </w:r>
      <w:r w:rsidRPr="00F372B6">
        <w:rPr>
          <w:rFonts w:eastAsiaTheme="minorEastAsia"/>
          <w:rtl/>
        </w:rPr>
        <w:t>، و</w:t>
      </w:r>
      <w:hyperlink r:id="rId13" w:history="1">
        <w:r w:rsidRPr="00667949">
          <w:rPr>
            <w:rStyle w:val="Hyperlink"/>
            <w:lang w:val="en-AU"/>
          </w:rPr>
          <w:t>CAT/C/CUB/RQ/</w:t>
        </w:r>
        <w:r w:rsidRPr="001A0537">
          <w:rPr>
            <w:rStyle w:val="Hyperlink"/>
            <w:lang w:val="en-AU"/>
          </w:rPr>
          <w:t>3</w:t>
        </w:r>
      </w:hyperlink>
      <w:r w:rsidRPr="00F372B6">
        <w:rPr>
          <w:rFonts w:eastAsiaTheme="minorEastAsia"/>
          <w:rtl/>
        </w:rPr>
        <w:t xml:space="preserve">، الفقرة </w:t>
      </w:r>
      <w:r w:rsidRPr="001A0537">
        <w:rPr>
          <w:rFonts w:eastAsiaTheme="minorEastAsia"/>
          <w:rtl/>
        </w:rPr>
        <w:t>12</w:t>
      </w:r>
      <w:r w:rsidRPr="001A0537">
        <w:rPr>
          <w:rFonts w:eastAsiaTheme="minorEastAsia"/>
          <w:color w:val="000000"/>
          <w:rtl/>
        </w:rPr>
        <w:t>7</w:t>
      </w:r>
      <w:r w:rsidRPr="00667949">
        <w:rPr>
          <w:rFonts w:eastAsiaTheme="minorEastAsia"/>
          <w:color w:val="000000"/>
          <w:rtl/>
        </w:rPr>
        <w:t xml:space="preserve">. </w:t>
      </w:r>
    </w:p>
  </w:footnote>
  <w:footnote w:id="14">
    <w:p w14:paraId="445BADDD" w14:textId="08F08782" w:rsidR="00667949" w:rsidRPr="00F372B6" w:rsidRDefault="00667949" w:rsidP="00667949">
      <w:pPr>
        <w:pStyle w:val="FootnoteText1"/>
        <w:textDirection w:val="tbRlV"/>
        <w:rPr>
          <w:rFonts w:eastAsiaTheme="minorEastAsia"/>
          <w:lang w:val="ar-SA" w:eastAsia="zh-TW" w:bidi="en-GB"/>
        </w:rPr>
      </w:pPr>
      <w:r w:rsidRPr="00F372B6">
        <w:rPr>
          <w:rFonts w:eastAsiaTheme="minorEastAsia"/>
          <w:rtl/>
        </w:rPr>
        <w:t>(</w:t>
      </w:r>
      <w:r w:rsidRPr="001A0537">
        <w:rPr>
          <w:rStyle w:val="FootnoteReference"/>
          <w:rFonts w:eastAsiaTheme="minorEastAsia"/>
          <w:vertAlign w:val="baseline"/>
        </w:rPr>
        <w:footnoteRef/>
      </w:r>
      <w:r w:rsidRPr="00F372B6">
        <w:rPr>
          <w:rStyle w:val="FootnoteReference"/>
          <w:rFonts w:eastAsiaTheme="minorEastAsia"/>
          <w:vertAlign w:val="baseline"/>
          <w:rtl/>
        </w:rPr>
        <w:t>)</w:t>
      </w:r>
      <w:r w:rsidRPr="00F372B6">
        <w:rPr>
          <w:rStyle w:val="FootnoteReference"/>
          <w:rFonts w:eastAsiaTheme="minorEastAsia"/>
          <w:vertAlign w:val="baseline"/>
          <w:rtl/>
        </w:rPr>
        <w:tab/>
      </w:r>
      <w:hyperlink r:id="rId14" w:history="1">
        <w:r w:rsidRPr="00667949">
          <w:rPr>
            <w:rStyle w:val="Hyperlink"/>
            <w:lang w:val="en-AU"/>
          </w:rPr>
          <w:t>A/</w:t>
        </w:r>
        <w:r w:rsidRPr="001A0537">
          <w:rPr>
            <w:rStyle w:val="Hyperlink"/>
            <w:lang w:val="en-AU"/>
          </w:rPr>
          <w:t>53</w:t>
        </w:r>
        <w:r w:rsidRPr="00667949">
          <w:rPr>
            <w:rStyle w:val="Hyperlink"/>
            <w:lang w:val="en-AU"/>
          </w:rPr>
          <w:t>/</w:t>
        </w:r>
        <w:r w:rsidRPr="001A0537">
          <w:rPr>
            <w:rStyle w:val="Hyperlink"/>
            <w:lang w:val="en-AU"/>
          </w:rPr>
          <w:t>44</w:t>
        </w:r>
      </w:hyperlink>
      <w:r w:rsidRPr="00F372B6">
        <w:rPr>
          <w:rFonts w:eastAsiaTheme="minorEastAsia"/>
          <w:rtl/>
        </w:rPr>
        <w:t xml:space="preserve">، الفقرة </w:t>
      </w:r>
      <w:r w:rsidRPr="001A0537">
        <w:rPr>
          <w:rFonts w:eastAsiaTheme="minorEastAsia"/>
          <w:rtl/>
        </w:rPr>
        <w:t>118</w:t>
      </w:r>
      <w:r w:rsidRPr="00F372B6">
        <w:rPr>
          <w:rFonts w:eastAsiaTheme="minorEastAsia"/>
          <w:rtl/>
        </w:rPr>
        <w:t>(د</w:t>
      </w:r>
      <w:r w:rsidRPr="00667949">
        <w:rPr>
          <w:rFonts w:eastAsiaTheme="minorEastAsia"/>
          <w:color w:val="000000"/>
          <w:rtl/>
        </w:rPr>
        <w:t xml:space="preserve">)، </w:t>
      </w:r>
      <w:r w:rsidRPr="00F372B6">
        <w:rPr>
          <w:rFonts w:eastAsiaTheme="minorEastAsia"/>
          <w:rtl/>
        </w:rPr>
        <w:t>و</w:t>
      </w:r>
      <w:hyperlink r:id="rId15" w:history="1">
        <w:r w:rsidRPr="00667949">
          <w:rPr>
            <w:rStyle w:val="Hyperlink"/>
            <w:lang w:val="en-AU"/>
          </w:rPr>
          <w:t>A/</w:t>
        </w:r>
        <w:r w:rsidRPr="001A0537">
          <w:rPr>
            <w:rStyle w:val="Hyperlink"/>
            <w:lang w:val="en-AU"/>
          </w:rPr>
          <w:t>53</w:t>
        </w:r>
        <w:r w:rsidRPr="00667949">
          <w:rPr>
            <w:rStyle w:val="Hyperlink"/>
            <w:lang w:val="en-AU"/>
          </w:rPr>
          <w:t>/</w:t>
        </w:r>
        <w:r w:rsidRPr="001A0537">
          <w:rPr>
            <w:rStyle w:val="Hyperlink"/>
            <w:lang w:val="en-AU"/>
          </w:rPr>
          <w:t>44</w:t>
        </w:r>
        <w:r w:rsidRPr="00667949">
          <w:rPr>
            <w:rStyle w:val="Hyperlink"/>
            <w:lang w:val="en-AU"/>
          </w:rPr>
          <w:t>/Corr.</w:t>
        </w:r>
        <w:r w:rsidRPr="001A0537">
          <w:rPr>
            <w:rStyle w:val="Hyperlink"/>
            <w:lang w:val="en-AU"/>
          </w:rPr>
          <w:t>1</w:t>
        </w:r>
      </w:hyperlink>
      <w:r w:rsidRPr="00F372B6">
        <w:rPr>
          <w:rFonts w:eastAsiaTheme="minorEastAsia"/>
          <w:rtl/>
        </w:rPr>
        <w:t>، و</w:t>
      </w:r>
      <w:hyperlink r:id="rId16" w:history="1">
        <w:r w:rsidRPr="00667949">
          <w:rPr>
            <w:rStyle w:val="Hyperlink"/>
            <w:lang w:val="en-AU"/>
          </w:rPr>
          <w:t>CAT/C/CUB/CO/</w:t>
        </w:r>
        <w:r w:rsidRPr="001A0537">
          <w:rPr>
            <w:rStyle w:val="Hyperlink"/>
            <w:lang w:val="en-AU"/>
          </w:rPr>
          <w:t>2</w:t>
        </w:r>
      </w:hyperlink>
      <w:r w:rsidRPr="00F372B6">
        <w:rPr>
          <w:rFonts w:eastAsiaTheme="minorEastAsia"/>
          <w:rtl/>
        </w:rPr>
        <w:t xml:space="preserve">، الفقرة </w:t>
      </w:r>
      <w:r w:rsidRPr="001A0537">
        <w:rPr>
          <w:rFonts w:eastAsiaTheme="minorEastAsia"/>
          <w:rtl/>
        </w:rPr>
        <w:t>1</w:t>
      </w:r>
      <w:r w:rsidRPr="001A0537">
        <w:rPr>
          <w:rFonts w:eastAsiaTheme="minorEastAsia"/>
          <w:color w:val="000000"/>
          <w:rtl/>
        </w:rPr>
        <w:t>3</w:t>
      </w:r>
      <w:r w:rsidRPr="00667949">
        <w:rPr>
          <w:rFonts w:eastAsiaTheme="minorEastAsia"/>
          <w:color w:val="000000"/>
          <w:rtl/>
        </w:rPr>
        <w:t xml:space="preserve">. </w:t>
      </w:r>
    </w:p>
  </w:footnote>
  <w:footnote w:id="15">
    <w:p w14:paraId="686A8D15" w14:textId="77777777" w:rsidR="00667949" w:rsidRPr="00F372B6" w:rsidRDefault="00667949" w:rsidP="00667949">
      <w:pPr>
        <w:pStyle w:val="FootnoteText1"/>
        <w:textDirection w:val="tbRlV"/>
        <w:rPr>
          <w:rFonts w:eastAsiaTheme="minorEastAsia"/>
          <w:lang w:val="ar-SA" w:eastAsia="zh-TW" w:bidi="en-GB"/>
        </w:rPr>
      </w:pPr>
      <w:r w:rsidRPr="00F372B6">
        <w:rPr>
          <w:rFonts w:eastAsiaTheme="minorEastAsia"/>
          <w:rtl/>
        </w:rPr>
        <w:t>(</w:t>
      </w:r>
      <w:r w:rsidRPr="001A0537">
        <w:rPr>
          <w:rStyle w:val="FootnoteReference"/>
          <w:rFonts w:eastAsiaTheme="minorEastAsia"/>
          <w:vertAlign w:val="baseline"/>
        </w:rPr>
        <w:footnoteRef/>
      </w:r>
      <w:r w:rsidRPr="00F372B6">
        <w:rPr>
          <w:rStyle w:val="FootnoteReference"/>
          <w:rFonts w:eastAsiaTheme="minorEastAsia"/>
          <w:vertAlign w:val="baseline"/>
          <w:rtl/>
        </w:rPr>
        <w:t>)</w:t>
      </w:r>
      <w:r w:rsidRPr="00F372B6">
        <w:rPr>
          <w:rStyle w:val="FootnoteReference"/>
          <w:rFonts w:eastAsiaTheme="minorEastAsia"/>
          <w:vertAlign w:val="baseline"/>
          <w:rtl/>
        </w:rPr>
        <w:tab/>
      </w:r>
      <w:hyperlink r:id="rId17" w:history="1">
        <w:r w:rsidRPr="00667949">
          <w:rPr>
            <w:rStyle w:val="Hyperlink"/>
            <w:lang w:val="en-AU"/>
          </w:rPr>
          <w:t>CAT/C/CUB/</w:t>
        </w:r>
        <w:r w:rsidRPr="001A0537">
          <w:rPr>
            <w:rStyle w:val="Hyperlink"/>
            <w:lang w:val="en-AU"/>
          </w:rPr>
          <w:t>3</w:t>
        </w:r>
      </w:hyperlink>
      <w:r w:rsidRPr="00F372B6">
        <w:rPr>
          <w:rFonts w:eastAsiaTheme="minorEastAsia"/>
          <w:rtl/>
        </w:rPr>
        <w:t xml:space="preserve">، الفقرات </w:t>
      </w:r>
      <w:r w:rsidRPr="001A0537">
        <w:rPr>
          <w:rFonts w:eastAsiaTheme="minorEastAsia"/>
          <w:rtl/>
        </w:rPr>
        <w:t>202</w:t>
      </w:r>
      <w:r w:rsidRPr="00F372B6">
        <w:rPr>
          <w:rFonts w:eastAsiaTheme="minorEastAsia"/>
          <w:rtl/>
        </w:rPr>
        <w:t>-</w:t>
      </w:r>
      <w:r w:rsidRPr="001A0537">
        <w:rPr>
          <w:rFonts w:eastAsiaTheme="minorEastAsia"/>
          <w:rtl/>
        </w:rPr>
        <w:t>20</w:t>
      </w:r>
      <w:r w:rsidRPr="001A0537">
        <w:rPr>
          <w:rFonts w:eastAsiaTheme="minorEastAsia"/>
          <w:color w:val="000000"/>
          <w:rtl/>
        </w:rPr>
        <w:t>4</w:t>
      </w:r>
      <w:r w:rsidRPr="00667949">
        <w:rPr>
          <w:rFonts w:eastAsiaTheme="minorEastAsia"/>
          <w:color w:val="000000"/>
          <w:rtl/>
        </w:rPr>
        <w:t xml:space="preserve">. </w:t>
      </w:r>
    </w:p>
  </w:footnote>
  <w:footnote w:id="16">
    <w:p w14:paraId="7023ED8E" w14:textId="77777777" w:rsidR="00667949" w:rsidRPr="00F372B6" w:rsidRDefault="00667949" w:rsidP="00667949">
      <w:pPr>
        <w:pStyle w:val="FootnoteText1"/>
        <w:textDirection w:val="tbRlV"/>
        <w:rPr>
          <w:rFonts w:eastAsiaTheme="minorEastAsia"/>
          <w:lang w:val="ar-SA" w:eastAsia="zh-TW" w:bidi="en-GB"/>
        </w:rPr>
      </w:pPr>
      <w:r w:rsidRPr="00F372B6">
        <w:rPr>
          <w:rFonts w:eastAsiaTheme="minorEastAsia"/>
          <w:rtl/>
        </w:rPr>
        <w:t>(</w:t>
      </w:r>
      <w:r w:rsidRPr="001A0537">
        <w:rPr>
          <w:rStyle w:val="FootnoteReference"/>
          <w:rFonts w:eastAsiaTheme="minorEastAsia"/>
          <w:vertAlign w:val="baseline"/>
        </w:rPr>
        <w:footnoteRef/>
      </w:r>
      <w:r w:rsidRPr="00F372B6">
        <w:rPr>
          <w:rStyle w:val="FootnoteReference"/>
          <w:rFonts w:eastAsiaTheme="minorEastAsia"/>
          <w:vertAlign w:val="baseline"/>
          <w:rtl/>
        </w:rPr>
        <w:t>)</w:t>
      </w:r>
      <w:r w:rsidRPr="00F372B6">
        <w:rPr>
          <w:rStyle w:val="FootnoteReference"/>
          <w:rFonts w:eastAsiaTheme="minorEastAsia"/>
          <w:vertAlign w:val="baseline"/>
          <w:rtl/>
        </w:rPr>
        <w:tab/>
      </w:r>
      <w:hyperlink r:id="rId18" w:history="1">
        <w:r w:rsidRPr="00667949">
          <w:rPr>
            <w:rStyle w:val="Hyperlink"/>
            <w:lang w:val="en-AU"/>
          </w:rPr>
          <w:t>CAT/C/CUB/RQ/</w:t>
        </w:r>
        <w:r w:rsidRPr="001A0537">
          <w:rPr>
            <w:rStyle w:val="Hyperlink"/>
            <w:lang w:val="en-AU"/>
          </w:rPr>
          <w:t>3</w:t>
        </w:r>
      </w:hyperlink>
      <w:r w:rsidRPr="00F372B6">
        <w:rPr>
          <w:rFonts w:eastAsiaTheme="minorEastAsia"/>
          <w:rtl/>
        </w:rPr>
        <w:t xml:space="preserve">، الفقرتان </w:t>
      </w:r>
      <w:r w:rsidRPr="001A0537">
        <w:rPr>
          <w:rFonts w:eastAsiaTheme="minorEastAsia"/>
          <w:rtl/>
        </w:rPr>
        <w:t>125</w:t>
      </w:r>
      <w:r w:rsidRPr="00F372B6">
        <w:rPr>
          <w:rFonts w:eastAsiaTheme="minorEastAsia"/>
          <w:rtl/>
        </w:rPr>
        <w:t xml:space="preserve"> و</w:t>
      </w:r>
      <w:r w:rsidRPr="001A0537">
        <w:rPr>
          <w:rFonts w:eastAsiaTheme="minorEastAsia"/>
          <w:rtl/>
        </w:rPr>
        <w:t>12</w:t>
      </w:r>
      <w:r w:rsidRPr="001A0537">
        <w:rPr>
          <w:rFonts w:eastAsiaTheme="minorEastAsia"/>
          <w:color w:val="000000"/>
          <w:rtl/>
        </w:rPr>
        <w:t>6</w:t>
      </w:r>
      <w:r w:rsidRPr="00667949">
        <w:rPr>
          <w:rFonts w:eastAsiaTheme="minorEastAsia"/>
          <w:color w:val="000000"/>
          <w:rtl/>
        </w:rPr>
        <w:t xml:space="preserve">. </w:t>
      </w:r>
    </w:p>
  </w:footnote>
  <w:footnote w:id="17">
    <w:p w14:paraId="4AD2D62C" w14:textId="77777777" w:rsidR="00667949" w:rsidRPr="00F372B6" w:rsidRDefault="00667949" w:rsidP="00667949">
      <w:pPr>
        <w:pStyle w:val="FootnoteText1"/>
        <w:textDirection w:val="tbRlV"/>
        <w:rPr>
          <w:rFonts w:eastAsiaTheme="minorEastAsia"/>
          <w:lang w:val="ar-SA" w:eastAsia="zh-TW" w:bidi="en-GB"/>
        </w:rPr>
      </w:pPr>
      <w:r w:rsidRPr="00F372B6">
        <w:rPr>
          <w:rFonts w:eastAsiaTheme="minorEastAsia"/>
          <w:rtl/>
        </w:rPr>
        <w:t>(</w:t>
      </w:r>
      <w:r w:rsidRPr="001A0537">
        <w:rPr>
          <w:rStyle w:val="FootnoteReference"/>
          <w:rFonts w:eastAsiaTheme="minorEastAsia"/>
          <w:vertAlign w:val="baseline"/>
        </w:rPr>
        <w:footnoteRef/>
      </w:r>
      <w:r w:rsidRPr="00F372B6">
        <w:rPr>
          <w:rStyle w:val="FootnoteReference"/>
          <w:rFonts w:eastAsiaTheme="minorEastAsia"/>
          <w:vertAlign w:val="baseline"/>
          <w:rtl/>
        </w:rPr>
        <w:t>)</w:t>
      </w:r>
      <w:r w:rsidRPr="00F372B6">
        <w:rPr>
          <w:rStyle w:val="FootnoteReference"/>
          <w:rFonts w:eastAsiaTheme="minorEastAsia"/>
          <w:vertAlign w:val="baseline"/>
          <w:rtl/>
        </w:rPr>
        <w:tab/>
      </w:r>
      <w:hyperlink r:id="rId19" w:history="1">
        <w:r w:rsidRPr="00667949">
          <w:rPr>
            <w:rStyle w:val="Hyperlink"/>
            <w:lang w:val="en-AU"/>
          </w:rPr>
          <w:t>CAT/C/CUB/</w:t>
        </w:r>
        <w:r w:rsidRPr="001A0537">
          <w:rPr>
            <w:rStyle w:val="Hyperlink"/>
            <w:lang w:val="en-AU"/>
          </w:rPr>
          <w:t>3</w:t>
        </w:r>
      </w:hyperlink>
      <w:r w:rsidRPr="00F372B6">
        <w:rPr>
          <w:rFonts w:eastAsiaTheme="minorEastAsia"/>
          <w:rtl/>
        </w:rPr>
        <w:t xml:space="preserve">، الفقرة </w:t>
      </w:r>
      <w:r w:rsidRPr="001A0537">
        <w:rPr>
          <w:rFonts w:eastAsiaTheme="minorEastAsia"/>
          <w:rtl/>
        </w:rPr>
        <w:t>174</w:t>
      </w:r>
      <w:r w:rsidRPr="00F372B6">
        <w:rPr>
          <w:rFonts w:eastAsiaTheme="minorEastAsia"/>
          <w:rtl/>
        </w:rPr>
        <w:t>، و</w:t>
      </w:r>
      <w:hyperlink r:id="rId20" w:history="1">
        <w:r w:rsidRPr="00667949">
          <w:rPr>
            <w:rStyle w:val="Hyperlink"/>
            <w:lang w:val="en-AU"/>
          </w:rPr>
          <w:t>CAT/C/CUB/RQ/</w:t>
        </w:r>
        <w:r w:rsidRPr="001A0537">
          <w:rPr>
            <w:rStyle w:val="Hyperlink"/>
            <w:lang w:val="en-AU"/>
          </w:rPr>
          <w:t>3</w:t>
        </w:r>
      </w:hyperlink>
      <w:r w:rsidRPr="00F372B6">
        <w:rPr>
          <w:rFonts w:eastAsiaTheme="minorEastAsia"/>
          <w:rtl/>
        </w:rPr>
        <w:t xml:space="preserve">، الفقرة </w:t>
      </w:r>
      <w:r w:rsidRPr="001A0537">
        <w:rPr>
          <w:rFonts w:eastAsiaTheme="minorEastAsia"/>
          <w:rtl/>
        </w:rPr>
        <w:t>13</w:t>
      </w:r>
      <w:r w:rsidRPr="001A0537">
        <w:rPr>
          <w:rFonts w:eastAsiaTheme="minorEastAsia"/>
          <w:color w:val="000000"/>
          <w:rtl/>
        </w:rPr>
        <w:t>7</w:t>
      </w:r>
      <w:r w:rsidRPr="00667949">
        <w:rPr>
          <w:rFonts w:eastAsiaTheme="minorEastAsia"/>
          <w:color w:val="000000"/>
          <w:rtl/>
        </w:rPr>
        <w:t xml:space="preserve">. </w:t>
      </w:r>
    </w:p>
  </w:footnote>
  <w:footnote w:id="18">
    <w:p w14:paraId="29FA031C" w14:textId="7889083E" w:rsidR="00667949" w:rsidRPr="00F372B6" w:rsidRDefault="00667949" w:rsidP="00667949">
      <w:pPr>
        <w:pStyle w:val="FootnoteText1"/>
        <w:textDirection w:val="tbRlV"/>
        <w:rPr>
          <w:rFonts w:eastAsiaTheme="minorEastAsia"/>
          <w:lang w:val="ar-SA" w:eastAsia="zh-TW" w:bidi="en-GB"/>
        </w:rPr>
      </w:pPr>
      <w:r w:rsidRPr="00F372B6">
        <w:rPr>
          <w:rFonts w:eastAsiaTheme="minorEastAsia"/>
          <w:rtl/>
        </w:rPr>
        <w:t>(</w:t>
      </w:r>
      <w:r w:rsidRPr="001A0537">
        <w:rPr>
          <w:rStyle w:val="FootnoteReference"/>
          <w:rFonts w:eastAsiaTheme="minorEastAsia"/>
          <w:vertAlign w:val="baseline"/>
        </w:rPr>
        <w:footnoteRef/>
      </w:r>
      <w:r w:rsidRPr="00F372B6">
        <w:rPr>
          <w:rStyle w:val="FootnoteReference"/>
          <w:rFonts w:eastAsiaTheme="minorEastAsia"/>
          <w:vertAlign w:val="baseline"/>
          <w:rtl/>
        </w:rPr>
        <w:t>)</w:t>
      </w:r>
      <w:r w:rsidRPr="00F372B6">
        <w:rPr>
          <w:rStyle w:val="FootnoteReference"/>
          <w:rFonts w:eastAsiaTheme="minorEastAsia"/>
          <w:vertAlign w:val="baseline"/>
          <w:rtl/>
        </w:rPr>
        <w:tab/>
      </w:r>
      <w:hyperlink r:id="rId21" w:history="1">
        <w:r w:rsidRPr="00667949">
          <w:rPr>
            <w:rStyle w:val="Hyperlink"/>
            <w:lang w:val="en-AU"/>
          </w:rPr>
          <w:t>A/</w:t>
        </w:r>
        <w:r w:rsidRPr="001A0537">
          <w:rPr>
            <w:rStyle w:val="Hyperlink"/>
            <w:lang w:val="en-AU"/>
          </w:rPr>
          <w:t>53</w:t>
        </w:r>
        <w:r w:rsidRPr="00667949">
          <w:rPr>
            <w:rStyle w:val="Hyperlink"/>
            <w:lang w:val="en-AU"/>
          </w:rPr>
          <w:t>/</w:t>
        </w:r>
        <w:r w:rsidRPr="001A0537">
          <w:rPr>
            <w:rStyle w:val="Hyperlink"/>
            <w:lang w:val="en-AU"/>
          </w:rPr>
          <w:t>44</w:t>
        </w:r>
      </w:hyperlink>
      <w:r w:rsidRPr="00F372B6">
        <w:rPr>
          <w:rFonts w:eastAsiaTheme="minorEastAsia"/>
          <w:rtl/>
        </w:rPr>
        <w:t xml:space="preserve">، الفقرة </w:t>
      </w:r>
      <w:r w:rsidRPr="001A0537">
        <w:rPr>
          <w:rFonts w:eastAsiaTheme="minorEastAsia"/>
          <w:rtl/>
        </w:rPr>
        <w:t>118</w:t>
      </w:r>
      <w:r w:rsidRPr="00F372B6">
        <w:rPr>
          <w:rFonts w:eastAsiaTheme="minorEastAsia"/>
          <w:rtl/>
        </w:rPr>
        <w:t>(ب) و(ز</w:t>
      </w:r>
      <w:r w:rsidRPr="00667949">
        <w:rPr>
          <w:rFonts w:eastAsiaTheme="minorEastAsia"/>
          <w:color w:val="000000"/>
          <w:rtl/>
        </w:rPr>
        <w:t xml:space="preserve">)، </w:t>
      </w:r>
      <w:r w:rsidRPr="00F372B6">
        <w:rPr>
          <w:rFonts w:eastAsiaTheme="minorEastAsia"/>
          <w:rtl/>
        </w:rPr>
        <w:t>و</w:t>
      </w:r>
      <w:hyperlink r:id="rId22" w:history="1">
        <w:r w:rsidRPr="00667949">
          <w:rPr>
            <w:rStyle w:val="Hyperlink"/>
            <w:lang w:val="en-AU"/>
          </w:rPr>
          <w:t>A/</w:t>
        </w:r>
        <w:r w:rsidRPr="001A0537">
          <w:rPr>
            <w:rStyle w:val="Hyperlink"/>
            <w:lang w:val="en-AU"/>
          </w:rPr>
          <w:t>53</w:t>
        </w:r>
        <w:r w:rsidRPr="00667949">
          <w:rPr>
            <w:rStyle w:val="Hyperlink"/>
            <w:lang w:val="en-AU"/>
          </w:rPr>
          <w:t>/</w:t>
        </w:r>
        <w:r w:rsidRPr="001A0537">
          <w:rPr>
            <w:rStyle w:val="Hyperlink"/>
            <w:lang w:val="en-AU"/>
          </w:rPr>
          <w:t>44</w:t>
        </w:r>
        <w:r w:rsidRPr="00667949">
          <w:rPr>
            <w:rStyle w:val="Hyperlink"/>
            <w:lang w:val="en-AU"/>
          </w:rPr>
          <w:t>/Corr.</w:t>
        </w:r>
        <w:r w:rsidRPr="001A0537">
          <w:rPr>
            <w:rStyle w:val="Hyperlink"/>
            <w:lang w:val="en-AU"/>
          </w:rPr>
          <w:t>1</w:t>
        </w:r>
      </w:hyperlink>
      <w:r w:rsidRPr="00F372B6">
        <w:rPr>
          <w:rFonts w:eastAsiaTheme="minorEastAsia"/>
          <w:rtl/>
        </w:rPr>
        <w:t>، و</w:t>
      </w:r>
      <w:hyperlink r:id="rId23" w:history="1">
        <w:r w:rsidRPr="00667949">
          <w:rPr>
            <w:rStyle w:val="Hyperlink"/>
            <w:lang w:val="en-AU"/>
          </w:rPr>
          <w:t>CAT/C/CUB/CO/</w:t>
        </w:r>
        <w:r w:rsidRPr="001A0537">
          <w:rPr>
            <w:rStyle w:val="Hyperlink"/>
            <w:lang w:val="en-AU"/>
          </w:rPr>
          <w:t>2</w:t>
        </w:r>
      </w:hyperlink>
      <w:r w:rsidRPr="00F372B6">
        <w:rPr>
          <w:rFonts w:eastAsiaTheme="minorEastAsia"/>
          <w:rtl/>
        </w:rPr>
        <w:t xml:space="preserve">، الفقرة </w:t>
      </w:r>
      <w:r w:rsidRPr="001A0537">
        <w:rPr>
          <w:rFonts w:eastAsiaTheme="minorEastAsia"/>
          <w:rtl/>
        </w:rPr>
        <w:t>1</w:t>
      </w:r>
      <w:r w:rsidRPr="001A0537">
        <w:rPr>
          <w:rFonts w:eastAsiaTheme="minorEastAsia"/>
          <w:color w:val="000000"/>
          <w:rtl/>
        </w:rPr>
        <w:t>6</w:t>
      </w:r>
      <w:r w:rsidRPr="00667949">
        <w:rPr>
          <w:rFonts w:eastAsiaTheme="minorEastAsia"/>
          <w:color w:val="000000"/>
          <w:rtl/>
        </w:rPr>
        <w:t xml:space="preserve">. </w:t>
      </w:r>
    </w:p>
  </w:footnote>
  <w:footnote w:id="19">
    <w:p w14:paraId="13B9019D" w14:textId="77777777" w:rsidR="00667949" w:rsidRPr="00F372B6" w:rsidRDefault="00667949" w:rsidP="00667949">
      <w:pPr>
        <w:pStyle w:val="FootnoteText1"/>
        <w:textDirection w:val="tbRlV"/>
        <w:rPr>
          <w:rFonts w:eastAsiaTheme="minorEastAsia"/>
          <w:lang w:val="ar-SA" w:eastAsia="zh-TW" w:bidi="en-GB"/>
        </w:rPr>
      </w:pPr>
      <w:r w:rsidRPr="00F372B6">
        <w:rPr>
          <w:rFonts w:eastAsiaTheme="minorEastAsia"/>
          <w:rtl/>
        </w:rPr>
        <w:t>(</w:t>
      </w:r>
      <w:r w:rsidRPr="001A0537">
        <w:rPr>
          <w:rStyle w:val="FootnoteReference"/>
          <w:rFonts w:eastAsiaTheme="minorEastAsia"/>
          <w:vertAlign w:val="baseline"/>
        </w:rPr>
        <w:footnoteRef/>
      </w:r>
      <w:r w:rsidRPr="00F372B6">
        <w:rPr>
          <w:rStyle w:val="FootnoteReference"/>
          <w:rFonts w:eastAsiaTheme="minorEastAsia"/>
          <w:vertAlign w:val="baseline"/>
          <w:rtl/>
        </w:rPr>
        <w:t>)</w:t>
      </w:r>
      <w:r w:rsidRPr="00F372B6">
        <w:rPr>
          <w:rStyle w:val="FootnoteReference"/>
          <w:rFonts w:eastAsiaTheme="minorEastAsia"/>
          <w:vertAlign w:val="baseline"/>
          <w:rtl/>
        </w:rPr>
        <w:tab/>
      </w:r>
      <w:hyperlink r:id="rId24" w:history="1">
        <w:r w:rsidRPr="00667949">
          <w:rPr>
            <w:rStyle w:val="Hyperlink"/>
            <w:lang w:val="en-AU"/>
          </w:rPr>
          <w:t>CERD/C/CUB/CO/</w:t>
        </w:r>
        <w:r w:rsidRPr="001A0537">
          <w:rPr>
            <w:rStyle w:val="Hyperlink"/>
            <w:lang w:val="en-AU"/>
          </w:rPr>
          <w:t>19</w:t>
        </w:r>
        <w:r w:rsidRPr="00667949">
          <w:rPr>
            <w:rStyle w:val="Hyperlink"/>
            <w:lang w:val="en-AU"/>
          </w:rPr>
          <w:t>-</w:t>
        </w:r>
        <w:r w:rsidRPr="001A0537">
          <w:rPr>
            <w:rStyle w:val="Hyperlink"/>
            <w:lang w:val="en-AU"/>
          </w:rPr>
          <w:t>21</w:t>
        </w:r>
      </w:hyperlink>
      <w:r w:rsidRPr="00F372B6">
        <w:rPr>
          <w:rFonts w:eastAsiaTheme="minorEastAsia"/>
          <w:rtl/>
        </w:rPr>
        <w:t xml:space="preserve">، الفقرة </w:t>
      </w:r>
      <w:r w:rsidRPr="001A0537">
        <w:rPr>
          <w:rFonts w:eastAsiaTheme="minorEastAsia"/>
          <w:rtl/>
        </w:rPr>
        <w:t>13</w:t>
      </w:r>
      <w:r w:rsidRPr="00F372B6">
        <w:rPr>
          <w:rFonts w:eastAsiaTheme="minorEastAsia"/>
          <w:rtl/>
        </w:rPr>
        <w:t>، و</w:t>
      </w:r>
      <w:hyperlink r:id="rId25" w:history="1">
        <w:r w:rsidRPr="00667949">
          <w:rPr>
            <w:rStyle w:val="Hyperlink"/>
            <w:lang w:val="en-AU"/>
          </w:rPr>
          <w:t>A/HRC/</w:t>
        </w:r>
        <w:r w:rsidRPr="001A0537">
          <w:rPr>
            <w:rStyle w:val="Hyperlink"/>
            <w:lang w:val="en-AU"/>
          </w:rPr>
          <w:t>39</w:t>
        </w:r>
        <w:r w:rsidRPr="00667949">
          <w:rPr>
            <w:rStyle w:val="Hyperlink"/>
            <w:lang w:val="en-AU"/>
          </w:rPr>
          <w:t>/</w:t>
        </w:r>
        <w:r w:rsidRPr="001A0537">
          <w:rPr>
            <w:rStyle w:val="Hyperlink"/>
            <w:lang w:val="en-AU"/>
          </w:rPr>
          <w:t>41</w:t>
        </w:r>
      </w:hyperlink>
      <w:r w:rsidRPr="00F372B6">
        <w:rPr>
          <w:rFonts w:eastAsiaTheme="minorEastAsia"/>
          <w:rtl/>
        </w:rPr>
        <w:t xml:space="preserve">، الفقرتان </w:t>
      </w:r>
      <w:r w:rsidRPr="001A0537">
        <w:rPr>
          <w:rFonts w:eastAsiaTheme="minorEastAsia"/>
          <w:rtl/>
        </w:rPr>
        <w:t>34</w:t>
      </w:r>
      <w:r w:rsidRPr="00F372B6">
        <w:rPr>
          <w:rFonts w:eastAsiaTheme="minorEastAsia"/>
          <w:rtl/>
        </w:rPr>
        <w:t xml:space="preserve"> و</w:t>
      </w:r>
      <w:r w:rsidRPr="001A0537">
        <w:rPr>
          <w:rFonts w:eastAsiaTheme="minorEastAsia"/>
          <w:rtl/>
        </w:rPr>
        <w:t>35</w:t>
      </w:r>
      <w:r w:rsidRPr="00F372B6">
        <w:rPr>
          <w:rFonts w:eastAsiaTheme="minorEastAsia"/>
          <w:rtl/>
        </w:rPr>
        <w:t xml:space="preserve"> والمرفق (الفقرات </w:t>
      </w:r>
      <w:r w:rsidRPr="001A0537">
        <w:rPr>
          <w:rFonts w:eastAsiaTheme="minorEastAsia"/>
          <w:rtl/>
        </w:rPr>
        <w:t>19</w:t>
      </w:r>
      <w:r w:rsidRPr="00F372B6">
        <w:rPr>
          <w:rFonts w:eastAsiaTheme="minorEastAsia"/>
          <w:rtl/>
        </w:rPr>
        <w:t>-</w:t>
      </w:r>
      <w:r w:rsidRPr="001A0537">
        <w:rPr>
          <w:rFonts w:eastAsiaTheme="minorEastAsia"/>
          <w:rtl/>
        </w:rPr>
        <w:t>26</w:t>
      </w:r>
      <w:r w:rsidRPr="00667949">
        <w:rPr>
          <w:rFonts w:eastAsiaTheme="minorEastAsia"/>
          <w:color w:val="000000"/>
          <w:rtl/>
        </w:rPr>
        <w:t xml:space="preserve">)، </w:t>
      </w:r>
      <w:r w:rsidRPr="00F372B6">
        <w:rPr>
          <w:rFonts w:eastAsiaTheme="minorEastAsia"/>
          <w:rtl/>
        </w:rPr>
        <w:t xml:space="preserve">وآراء الفريق العامل المعني بالاحتجاز التعسفي رقم </w:t>
      </w:r>
      <w:r w:rsidRPr="001A0537">
        <w:rPr>
          <w:rFonts w:eastAsiaTheme="minorEastAsia"/>
          <w:rtl/>
        </w:rPr>
        <w:t>66</w:t>
      </w:r>
      <w:r w:rsidRPr="00F372B6">
        <w:rPr>
          <w:rFonts w:eastAsiaTheme="minorEastAsia"/>
          <w:rtl/>
        </w:rPr>
        <w:t>/</w:t>
      </w:r>
      <w:r w:rsidRPr="001A0537">
        <w:rPr>
          <w:rFonts w:eastAsiaTheme="minorEastAsia"/>
          <w:rtl/>
        </w:rPr>
        <w:t>2018</w:t>
      </w:r>
      <w:r w:rsidRPr="00F372B6">
        <w:rPr>
          <w:rFonts w:eastAsiaTheme="minorEastAsia"/>
          <w:rtl/>
        </w:rPr>
        <w:t xml:space="preserve"> و</w:t>
      </w:r>
      <w:r w:rsidRPr="001A0537">
        <w:rPr>
          <w:rFonts w:eastAsiaTheme="minorEastAsia"/>
          <w:rtl/>
        </w:rPr>
        <w:t>4</w:t>
      </w:r>
      <w:r w:rsidRPr="00F372B6">
        <w:rPr>
          <w:rFonts w:eastAsiaTheme="minorEastAsia"/>
          <w:rtl/>
        </w:rPr>
        <w:t>/</w:t>
      </w:r>
      <w:r w:rsidRPr="001A0537">
        <w:rPr>
          <w:rFonts w:eastAsiaTheme="minorEastAsia"/>
          <w:rtl/>
        </w:rPr>
        <w:t>2020</w:t>
      </w:r>
      <w:r w:rsidRPr="00F372B6">
        <w:rPr>
          <w:rFonts w:eastAsiaTheme="minorEastAsia"/>
          <w:rtl/>
        </w:rPr>
        <w:t xml:space="preserve"> و</w:t>
      </w:r>
      <w:r w:rsidRPr="001A0537">
        <w:rPr>
          <w:rFonts w:eastAsiaTheme="minorEastAsia"/>
          <w:rtl/>
        </w:rPr>
        <w:t>50</w:t>
      </w:r>
      <w:r w:rsidRPr="00F372B6">
        <w:rPr>
          <w:rFonts w:eastAsiaTheme="minorEastAsia"/>
          <w:rtl/>
        </w:rPr>
        <w:t>/</w:t>
      </w:r>
      <w:r w:rsidRPr="001A0537">
        <w:rPr>
          <w:rFonts w:eastAsiaTheme="minorEastAsia"/>
          <w:rtl/>
        </w:rPr>
        <w:t>2020</w:t>
      </w:r>
      <w:r w:rsidRPr="00F372B6">
        <w:rPr>
          <w:rFonts w:eastAsiaTheme="minorEastAsia"/>
          <w:rtl/>
        </w:rPr>
        <w:t xml:space="preserve"> و</w:t>
      </w:r>
      <w:r w:rsidRPr="001A0537">
        <w:rPr>
          <w:rFonts w:eastAsiaTheme="minorEastAsia"/>
          <w:rtl/>
        </w:rPr>
        <w:t>65</w:t>
      </w:r>
      <w:r w:rsidRPr="00F372B6">
        <w:rPr>
          <w:rFonts w:eastAsiaTheme="minorEastAsia"/>
          <w:rtl/>
        </w:rPr>
        <w:t>/</w:t>
      </w:r>
      <w:r w:rsidRPr="001A0537">
        <w:rPr>
          <w:rFonts w:eastAsiaTheme="minorEastAsia"/>
          <w:rtl/>
        </w:rPr>
        <w:t>2020</w:t>
      </w:r>
      <w:r w:rsidRPr="00F372B6">
        <w:rPr>
          <w:rFonts w:eastAsiaTheme="minorEastAsia"/>
          <w:rtl/>
        </w:rPr>
        <w:t xml:space="preserve"> و</w:t>
      </w:r>
      <w:r w:rsidRPr="001A0537">
        <w:rPr>
          <w:rFonts w:eastAsiaTheme="minorEastAsia"/>
          <w:rtl/>
        </w:rPr>
        <w:t>41</w:t>
      </w:r>
      <w:r w:rsidRPr="00F372B6">
        <w:rPr>
          <w:rFonts w:eastAsiaTheme="minorEastAsia"/>
          <w:rtl/>
        </w:rPr>
        <w:t>/</w:t>
      </w:r>
      <w:r w:rsidRPr="001A0537">
        <w:rPr>
          <w:rFonts w:eastAsiaTheme="minorEastAsia"/>
          <w:rtl/>
        </w:rPr>
        <w:t>2021</w:t>
      </w:r>
      <w:r w:rsidRPr="00F372B6">
        <w:rPr>
          <w:rFonts w:eastAsiaTheme="minorEastAsia"/>
          <w:rtl/>
        </w:rPr>
        <w:t xml:space="preserve"> و</w:t>
      </w:r>
      <w:r w:rsidRPr="001A0537">
        <w:rPr>
          <w:rFonts w:eastAsiaTheme="minorEastAsia"/>
          <w:rtl/>
        </w:rPr>
        <w:t>63</w:t>
      </w:r>
      <w:r w:rsidRPr="00F372B6">
        <w:rPr>
          <w:rFonts w:eastAsiaTheme="minorEastAsia"/>
          <w:rtl/>
        </w:rPr>
        <w:t>/</w:t>
      </w:r>
      <w:r w:rsidRPr="001A0537">
        <w:rPr>
          <w:rFonts w:eastAsiaTheme="minorEastAsia"/>
          <w:rtl/>
        </w:rPr>
        <w:t>202</w:t>
      </w:r>
      <w:r w:rsidRPr="001A0537">
        <w:rPr>
          <w:rFonts w:eastAsiaTheme="minorEastAsia"/>
          <w:color w:val="000000"/>
          <w:rtl/>
        </w:rPr>
        <w:t>1</w:t>
      </w:r>
      <w:r w:rsidRPr="00667949">
        <w:rPr>
          <w:rFonts w:eastAsiaTheme="minorEastAsia"/>
          <w:color w:val="000000"/>
          <w:rtl/>
        </w:rPr>
        <w:t xml:space="preserve">. </w:t>
      </w:r>
      <w:r w:rsidRPr="00F372B6">
        <w:rPr>
          <w:rFonts w:eastAsiaTheme="minorEastAsia"/>
          <w:rtl/>
        </w:rPr>
        <w:t xml:space="preserve">وانظر أيضاً مفوّضية الأمم المتحدة السامية لحقوق الإنسان، كوبا: يجب دعم المدافعين عن حقوق الإنسان، حسب خبير الأمم المتحدة، بيان صحفي، </w:t>
      </w:r>
      <w:r w:rsidRPr="001A0537">
        <w:rPr>
          <w:rFonts w:eastAsiaTheme="minorEastAsia"/>
          <w:rtl/>
        </w:rPr>
        <w:t>11</w:t>
      </w:r>
      <w:r w:rsidRPr="00F372B6">
        <w:rPr>
          <w:rFonts w:eastAsiaTheme="minorEastAsia"/>
          <w:rtl/>
        </w:rPr>
        <w:t xml:space="preserve"> آذار/مارس </w:t>
      </w:r>
      <w:r w:rsidRPr="001A0537">
        <w:rPr>
          <w:rFonts w:eastAsiaTheme="minorEastAsia"/>
          <w:rtl/>
        </w:rPr>
        <w:t>2021</w:t>
      </w:r>
      <w:r w:rsidRPr="00F372B6">
        <w:rPr>
          <w:rFonts w:eastAsiaTheme="minorEastAsia"/>
          <w:rtl/>
        </w:rPr>
        <w:t xml:space="preserve">؛ "مذكرة إحاطة صحفية بشأن اليمن وكمبوديا وكوبا ونيكاراغوا والجبل الأسود"، </w:t>
      </w:r>
      <w:r w:rsidRPr="001A0537">
        <w:rPr>
          <w:rFonts w:eastAsiaTheme="minorEastAsia"/>
          <w:rtl/>
        </w:rPr>
        <w:t>11</w:t>
      </w:r>
      <w:r w:rsidRPr="00F372B6">
        <w:rPr>
          <w:rFonts w:eastAsiaTheme="minorEastAsia"/>
          <w:rtl/>
        </w:rPr>
        <w:t xml:space="preserve"> أيار/</w:t>
      </w:r>
      <w:r>
        <w:rPr>
          <w:rFonts w:eastAsiaTheme="minorEastAsia" w:hint="cs"/>
          <w:rtl/>
        </w:rPr>
        <w:t xml:space="preserve">      </w:t>
      </w:r>
      <w:r w:rsidRPr="00F372B6">
        <w:rPr>
          <w:rFonts w:eastAsiaTheme="minorEastAsia"/>
          <w:rtl/>
        </w:rPr>
        <w:t xml:space="preserve">مايو </w:t>
      </w:r>
      <w:r w:rsidRPr="001A0537">
        <w:rPr>
          <w:rFonts w:eastAsiaTheme="minorEastAsia"/>
          <w:rtl/>
        </w:rPr>
        <w:t>2018</w:t>
      </w:r>
      <w:r w:rsidRPr="00F372B6">
        <w:rPr>
          <w:rFonts w:eastAsiaTheme="minorEastAsia"/>
          <w:rtl/>
        </w:rPr>
        <w:t xml:space="preserve">؛ و"مفوضة الأمم المتحدة السامية لحقوق الإنسان تحث كوبا على وقف مضايقة نشطاء المجتمع المدني"، بيان صحفي، </w:t>
      </w:r>
      <w:r w:rsidRPr="001A0537">
        <w:rPr>
          <w:rFonts w:eastAsiaTheme="minorEastAsia"/>
          <w:rtl/>
        </w:rPr>
        <w:t>15</w:t>
      </w:r>
      <w:r w:rsidRPr="00F372B6">
        <w:rPr>
          <w:rFonts w:eastAsiaTheme="minorEastAsia"/>
          <w:rtl/>
        </w:rPr>
        <w:t xml:space="preserve"> كانون الأول/ديسمبر </w:t>
      </w:r>
      <w:r w:rsidRPr="001A0537">
        <w:rPr>
          <w:rFonts w:eastAsiaTheme="minorEastAsia"/>
          <w:rtl/>
        </w:rPr>
        <w:t>201</w:t>
      </w:r>
      <w:r w:rsidRPr="001A0537">
        <w:rPr>
          <w:rFonts w:eastAsiaTheme="minorEastAsia"/>
          <w:color w:val="000000"/>
          <w:rtl/>
        </w:rPr>
        <w:t>5</w:t>
      </w:r>
      <w:r w:rsidRPr="00667949">
        <w:rPr>
          <w:rFonts w:eastAsiaTheme="minorEastAsia"/>
          <w:color w:val="000000"/>
          <w:rtl/>
        </w:rPr>
        <w:t xml:space="preserve">. </w:t>
      </w:r>
      <w:r w:rsidRPr="00F372B6">
        <w:rPr>
          <w:rFonts w:eastAsiaTheme="minorEastAsia"/>
          <w:rtl/>
        </w:rPr>
        <w:t xml:space="preserve">وانظر كذلك لجنة البلدان الأمريكية لحقوق الإنسان، </w:t>
      </w:r>
      <w:r w:rsidRPr="00A021D4">
        <w:rPr>
          <w:rFonts w:eastAsiaTheme="minorEastAsia"/>
          <w:i/>
          <w:iCs/>
          <w:rtl/>
        </w:rPr>
        <w:t>حالة حقوق الإنسان في كوبا</w:t>
      </w:r>
      <w:r w:rsidRPr="00F372B6">
        <w:rPr>
          <w:rFonts w:eastAsiaTheme="minorEastAsia"/>
          <w:rtl/>
        </w:rPr>
        <w:t xml:space="preserve"> (</w:t>
      </w:r>
      <w:r w:rsidRPr="00F372B6">
        <w:rPr>
          <w:rFonts w:eastAsiaTheme="minorEastAsia"/>
        </w:rPr>
        <w:t>OEA/</w:t>
      </w:r>
      <w:proofErr w:type="spellStart"/>
      <w:r w:rsidRPr="00F372B6">
        <w:rPr>
          <w:rFonts w:eastAsiaTheme="minorEastAsia"/>
        </w:rPr>
        <w:t>Ser.L</w:t>
      </w:r>
      <w:proofErr w:type="spellEnd"/>
      <w:r w:rsidRPr="00F372B6">
        <w:rPr>
          <w:rFonts w:eastAsiaTheme="minorEastAsia"/>
        </w:rPr>
        <w:t>/V/I</w:t>
      </w:r>
      <w:r w:rsidRPr="00667949">
        <w:rPr>
          <w:rFonts w:eastAsiaTheme="minorEastAsia"/>
          <w:color w:val="000000"/>
        </w:rPr>
        <w:t>I</w:t>
      </w:r>
      <w:r w:rsidRPr="00667949">
        <w:rPr>
          <w:rFonts w:eastAsiaTheme="minorEastAsia"/>
          <w:color w:val="000000"/>
          <w:rtl/>
        </w:rPr>
        <w:t xml:space="preserve">. </w:t>
      </w:r>
      <w:r w:rsidRPr="00F372B6">
        <w:rPr>
          <w:rFonts w:eastAsiaTheme="minorEastAsia"/>
          <w:rtl/>
        </w:rPr>
        <w:t xml:space="preserve">الوثيقة </w:t>
      </w:r>
      <w:r w:rsidRPr="001A0537">
        <w:rPr>
          <w:rFonts w:eastAsiaTheme="minorEastAsia"/>
          <w:rtl/>
        </w:rPr>
        <w:t>2</w:t>
      </w:r>
      <w:r w:rsidRPr="00667949">
        <w:rPr>
          <w:rFonts w:eastAsiaTheme="minorEastAsia"/>
          <w:color w:val="000000"/>
          <w:rtl/>
        </w:rPr>
        <w:t xml:space="preserve">)، </w:t>
      </w:r>
      <w:r w:rsidRPr="00F372B6">
        <w:rPr>
          <w:rFonts w:eastAsiaTheme="minorEastAsia"/>
          <w:rtl/>
        </w:rPr>
        <w:t xml:space="preserve">الفقرات </w:t>
      </w:r>
      <w:r w:rsidRPr="001A0537">
        <w:rPr>
          <w:rFonts w:eastAsiaTheme="minorEastAsia"/>
          <w:rtl/>
        </w:rPr>
        <w:t>172</w:t>
      </w:r>
      <w:r w:rsidRPr="00F372B6">
        <w:rPr>
          <w:rFonts w:eastAsiaTheme="minorEastAsia"/>
          <w:rtl/>
        </w:rPr>
        <w:t>-</w:t>
      </w:r>
      <w:r w:rsidRPr="001A0537">
        <w:rPr>
          <w:rFonts w:eastAsiaTheme="minorEastAsia"/>
          <w:rtl/>
        </w:rPr>
        <w:t>19</w:t>
      </w:r>
      <w:r w:rsidRPr="001A0537">
        <w:rPr>
          <w:rFonts w:eastAsiaTheme="minorEastAsia"/>
          <w:color w:val="000000"/>
          <w:rtl/>
        </w:rPr>
        <w:t>4</w:t>
      </w:r>
      <w:r w:rsidRPr="00667949">
        <w:rPr>
          <w:rFonts w:eastAsiaTheme="minorEastAsia"/>
          <w:color w:val="000000"/>
          <w:rtl/>
        </w:rPr>
        <w:t xml:space="preserve">. </w:t>
      </w:r>
    </w:p>
  </w:footnote>
  <w:footnote w:id="20">
    <w:p w14:paraId="7D1E5A47" w14:textId="77777777" w:rsidR="00667949" w:rsidRPr="00F372B6" w:rsidRDefault="00667949" w:rsidP="00F372B6">
      <w:pPr>
        <w:pStyle w:val="FootnoteText1"/>
        <w:textDirection w:val="tbRlV"/>
        <w:rPr>
          <w:rFonts w:eastAsiaTheme="minorEastAsia"/>
          <w:lang w:val="ar-SA" w:eastAsia="zh-TW" w:bidi="en-GB"/>
        </w:rPr>
      </w:pPr>
      <w:r w:rsidRPr="00F372B6">
        <w:rPr>
          <w:rFonts w:eastAsiaTheme="minorEastAsia"/>
          <w:rtl/>
        </w:rPr>
        <w:t>(</w:t>
      </w:r>
      <w:r w:rsidRPr="001A0537">
        <w:rPr>
          <w:rStyle w:val="FootnoteReference"/>
          <w:rFonts w:eastAsiaTheme="minorEastAsia"/>
          <w:vertAlign w:val="baseline"/>
        </w:rPr>
        <w:footnoteRef/>
      </w:r>
      <w:r w:rsidRPr="00F372B6">
        <w:rPr>
          <w:rStyle w:val="FootnoteReference"/>
          <w:rFonts w:eastAsiaTheme="minorEastAsia"/>
          <w:vertAlign w:val="baseline"/>
          <w:rtl/>
        </w:rPr>
        <w:t>)</w:t>
      </w:r>
      <w:r w:rsidRPr="00F372B6">
        <w:rPr>
          <w:rStyle w:val="FootnoteReference"/>
          <w:rFonts w:eastAsiaTheme="minorEastAsia"/>
          <w:vertAlign w:val="baseline"/>
          <w:rtl/>
        </w:rPr>
        <w:tab/>
      </w:r>
      <w:r w:rsidRPr="00F372B6">
        <w:rPr>
          <w:rFonts w:eastAsiaTheme="minorEastAsia"/>
          <w:rtl/>
        </w:rPr>
        <w:t xml:space="preserve">تشير التقارير إلى المنظمات التالية: داماس دي </w:t>
      </w:r>
      <w:proofErr w:type="spellStart"/>
      <w:r w:rsidRPr="00F372B6">
        <w:rPr>
          <w:rFonts w:eastAsiaTheme="minorEastAsia"/>
          <w:rtl/>
        </w:rPr>
        <w:t>بلانكو</w:t>
      </w:r>
      <w:proofErr w:type="spellEnd"/>
      <w:r w:rsidRPr="00F372B6">
        <w:rPr>
          <w:rFonts w:eastAsiaTheme="minorEastAsia"/>
          <w:rtl/>
        </w:rPr>
        <w:t xml:space="preserve"> (سيدات باللون الأبيض</w:t>
      </w:r>
      <w:r w:rsidRPr="00667949">
        <w:rPr>
          <w:rFonts w:eastAsiaTheme="minorEastAsia"/>
          <w:color w:val="000000"/>
          <w:rtl/>
        </w:rPr>
        <w:t xml:space="preserve">)، </w:t>
      </w:r>
      <w:r w:rsidRPr="00F372B6">
        <w:rPr>
          <w:rFonts w:eastAsiaTheme="minorEastAsia"/>
          <w:rtl/>
        </w:rPr>
        <w:t xml:space="preserve">والاتحاد الوطني الكوبي، وحركة سان </w:t>
      </w:r>
      <w:proofErr w:type="spellStart"/>
      <w:r w:rsidRPr="00F372B6">
        <w:rPr>
          <w:rFonts w:eastAsiaTheme="minorEastAsia"/>
          <w:rtl/>
        </w:rPr>
        <w:t>إيسيدرو</w:t>
      </w:r>
      <w:proofErr w:type="spellEnd"/>
      <w:r w:rsidRPr="00F372B6">
        <w:rPr>
          <w:rFonts w:eastAsiaTheme="minorEastAsia"/>
          <w:rtl/>
        </w:rPr>
        <w:t xml:space="preserve">، </w:t>
      </w:r>
      <w:proofErr w:type="spellStart"/>
      <w:r w:rsidRPr="00F372B6">
        <w:rPr>
          <w:rFonts w:eastAsiaTheme="minorEastAsia"/>
          <w:rtl/>
        </w:rPr>
        <w:t>وكوليكتيفو</w:t>
      </w:r>
      <w:proofErr w:type="spellEnd"/>
      <w:r w:rsidRPr="00F372B6">
        <w:rPr>
          <w:rFonts w:eastAsiaTheme="minorEastAsia"/>
          <w:rtl/>
        </w:rPr>
        <w:t xml:space="preserve"> ديل </w:t>
      </w:r>
      <w:r w:rsidRPr="001A0537">
        <w:rPr>
          <w:rFonts w:eastAsiaTheme="minorEastAsia"/>
          <w:rtl/>
        </w:rPr>
        <w:t>27</w:t>
      </w:r>
      <w:r w:rsidRPr="00667949">
        <w:rPr>
          <w:rFonts w:eastAsiaTheme="minorEastAsia"/>
          <w:color w:val="000000"/>
        </w:rPr>
        <w:t>N</w:t>
      </w:r>
      <w:r w:rsidRPr="00667949">
        <w:rPr>
          <w:rFonts w:eastAsiaTheme="minorEastAsia"/>
          <w:color w:val="000000"/>
          <w:rtl/>
        </w:rPr>
        <w:t xml:space="preserve">. </w:t>
      </w:r>
    </w:p>
  </w:footnote>
  <w:footnote w:id="21">
    <w:p w14:paraId="46C0B5A8" w14:textId="77777777" w:rsidR="00667949" w:rsidRPr="00F372B6" w:rsidRDefault="00667949" w:rsidP="00667949">
      <w:pPr>
        <w:pStyle w:val="FootnoteText1"/>
        <w:textDirection w:val="tbRlV"/>
        <w:rPr>
          <w:rFonts w:eastAsiaTheme="minorEastAsia"/>
          <w:lang w:val="ar-SA" w:eastAsia="zh-TW" w:bidi="en-GB"/>
        </w:rPr>
      </w:pPr>
      <w:r w:rsidRPr="00F372B6">
        <w:rPr>
          <w:rFonts w:eastAsiaTheme="minorEastAsia"/>
          <w:rtl/>
        </w:rPr>
        <w:t>(</w:t>
      </w:r>
      <w:r w:rsidRPr="001A0537">
        <w:rPr>
          <w:rStyle w:val="FootnoteReference"/>
          <w:rFonts w:eastAsiaTheme="minorEastAsia"/>
          <w:vertAlign w:val="baseline"/>
        </w:rPr>
        <w:footnoteRef/>
      </w:r>
      <w:r w:rsidRPr="00F372B6">
        <w:rPr>
          <w:rStyle w:val="FootnoteReference"/>
          <w:rFonts w:eastAsiaTheme="minorEastAsia"/>
          <w:vertAlign w:val="baseline"/>
          <w:rtl/>
        </w:rPr>
        <w:t>)</w:t>
      </w:r>
      <w:r w:rsidRPr="00F372B6">
        <w:rPr>
          <w:rFonts w:eastAsiaTheme="minorEastAsia"/>
          <w:rtl/>
        </w:rPr>
        <w:tab/>
      </w:r>
      <w:hyperlink r:id="rId26" w:history="1">
        <w:r w:rsidRPr="00667949">
          <w:rPr>
            <w:rStyle w:val="Hyperlink"/>
            <w:lang w:val="en-AU"/>
          </w:rPr>
          <w:t>A/</w:t>
        </w:r>
        <w:r w:rsidRPr="001A0537">
          <w:rPr>
            <w:rStyle w:val="Hyperlink"/>
            <w:lang w:val="en-AU"/>
          </w:rPr>
          <w:t>53</w:t>
        </w:r>
        <w:r w:rsidRPr="00667949">
          <w:rPr>
            <w:rStyle w:val="Hyperlink"/>
            <w:lang w:val="en-AU"/>
          </w:rPr>
          <w:t>/</w:t>
        </w:r>
        <w:r w:rsidRPr="001A0537">
          <w:rPr>
            <w:rStyle w:val="Hyperlink"/>
            <w:lang w:val="en-AU"/>
          </w:rPr>
          <w:t>44</w:t>
        </w:r>
      </w:hyperlink>
      <w:r w:rsidRPr="00F372B6">
        <w:rPr>
          <w:rFonts w:eastAsiaTheme="minorEastAsia"/>
          <w:rtl/>
        </w:rPr>
        <w:t xml:space="preserve">، الفقرة </w:t>
      </w:r>
      <w:r w:rsidRPr="001A0537">
        <w:rPr>
          <w:rFonts w:eastAsiaTheme="minorEastAsia"/>
          <w:rtl/>
        </w:rPr>
        <w:t>114</w:t>
      </w:r>
      <w:r w:rsidRPr="00F372B6">
        <w:rPr>
          <w:rFonts w:eastAsiaTheme="minorEastAsia"/>
          <w:rtl/>
        </w:rPr>
        <w:t>، و</w:t>
      </w:r>
      <w:hyperlink r:id="rId27" w:history="1">
        <w:r w:rsidRPr="00667949">
          <w:rPr>
            <w:rStyle w:val="Hyperlink"/>
            <w:lang w:val="en-AU"/>
          </w:rPr>
          <w:t>A/</w:t>
        </w:r>
        <w:r w:rsidRPr="001A0537">
          <w:rPr>
            <w:rStyle w:val="Hyperlink"/>
            <w:lang w:val="en-AU"/>
          </w:rPr>
          <w:t>53</w:t>
        </w:r>
        <w:r w:rsidRPr="00667949">
          <w:rPr>
            <w:rStyle w:val="Hyperlink"/>
            <w:lang w:val="en-AU"/>
          </w:rPr>
          <w:t>/</w:t>
        </w:r>
        <w:r w:rsidRPr="001A0537">
          <w:rPr>
            <w:rStyle w:val="Hyperlink"/>
            <w:lang w:val="en-AU"/>
          </w:rPr>
          <w:t>44</w:t>
        </w:r>
        <w:r w:rsidRPr="00667949">
          <w:rPr>
            <w:rStyle w:val="Hyperlink"/>
            <w:lang w:val="en-AU"/>
          </w:rPr>
          <w:t>/Corr.</w:t>
        </w:r>
        <w:r w:rsidRPr="001A0537">
          <w:rPr>
            <w:rStyle w:val="Hyperlink"/>
            <w:lang w:val="en-AU"/>
          </w:rPr>
          <w:t>1</w:t>
        </w:r>
      </w:hyperlink>
      <w:r w:rsidRPr="00F372B6">
        <w:rPr>
          <w:rFonts w:eastAsiaTheme="minorEastAsia"/>
          <w:rtl/>
        </w:rPr>
        <w:t>، و</w:t>
      </w:r>
      <w:hyperlink r:id="rId28" w:history="1">
        <w:r w:rsidRPr="00667949">
          <w:rPr>
            <w:rStyle w:val="Hyperlink"/>
            <w:lang w:val="en-AU"/>
          </w:rPr>
          <w:t>CAT/C/CUB/CO/</w:t>
        </w:r>
        <w:r w:rsidRPr="001A0537">
          <w:rPr>
            <w:rStyle w:val="Hyperlink"/>
            <w:lang w:val="en-AU"/>
          </w:rPr>
          <w:t>2</w:t>
        </w:r>
      </w:hyperlink>
      <w:r w:rsidRPr="00F372B6">
        <w:rPr>
          <w:rFonts w:eastAsiaTheme="minorEastAsia"/>
          <w:rtl/>
        </w:rPr>
        <w:t xml:space="preserve">، الفقرة </w:t>
      </w:r>
      <w:r w:rsidRPr="001A0537">
        <w:rPr>
          <w:rFonts w:eastAsiaTheme="minorEastAsia"/>
          <w:rtl/>
        </w:rPr>
        <w:t>2</w:t>
      </w:r>
      <w:r w:rsidRPr="001A0537">
        <w:rPr>
          <w:rFonts w:eastAsiaTheme="minorEastAsia"/>
          <w:color w:val="000000"/>
          <w:rtl/>
        </w:rPr>
        <w:t>0</w:t>
      </w:r>
      <w:r w:rsidRPr="00667949">
        <w:rPr>
          <w:rFonts w:eastAsiaTheme="minorEastAsia"/>
          <w:color w:val="000000"/>
          <w:rtl/>
        </w:rPr>
        <w:t xml:space="preserve">. </w:t>
      </w:r>
    </w:p>
  </w:footnote>
  <w:footnote w:id="22">
    <w:p w14:paraId="27ACDA93" w14:textId="77777777" w:rsidR="00667949" w:rsidRPr="005E0567" w:rsidRDefault="00667949" w:rsidP="00F372B6">
      <w:pPr>
        <w:pStyle w:val="FootnoteText1"/>
        <w:textDirection w:val="tbRlV"/>
        <w:rPr>
          <w:rFonts w:eastAsiaTheme="minorEastAsia"/>
          <w:lang w:eastAsia="zh-TW" w:bidi="en-GB"/>
        </w:rPr>
      </w:pPr>
      <w:r w:rsidRPr="00F372B6">
        <w:rPr>
          <w:rFonts w:eastAsiaTheme="minorEastAsia"/>
          <w:rtl/>
        </w:rPr>
        <w:t>(</w:t>
      </w:r>
      <w:r w:rsidRPr="001A0537">
        <w:rPr>
          <w:rStyle w:val="FootnoteReference"/>
          <w:rFonts w:eastAsiaTheme="minorEastAsia"/>
          <w:vertAlign w:val="baseline"/>
        </w:rPr>
        <w:footnoteRef/>
      </w:r>
      <w:r w:rsidRPr="00F372B6">
        <w:rPr>
          <w:rStyle w:val="FootnoteReference"/>
          <w:rFonts w:eastAsiaTheme="minorEastAsia"/>
          <w:vertAlign w:val="baseline"/>
          <w:rtl/>
        </w:rPr>
        <w:t>)</w:t>
      </w:r>
      <w:r w:rsidRPr="00F372B6">
        <w:rPr>
          <w:rStyle w:val="FootnoteReference"/>
          <w:rFonts w:eastAsiaTheme="minorEastAsia"/>
          <w:vertAlign w:val="baseline"/>
          <w:rtl/>
        </w:rPr>
        <w:tab/>
      </w:r>
      <w:r w:rsidRPr="00F372B6">
        <w:rPr>
          <w:rFonts w:eastAsiaTheme="minorEastAsia"/>
          <w:rtl/>
        </w:rPr>
        <w:t xml:space="preserve">انظر مفوضية الأمم المتحدة السامية لحقوق الإنسان، "كوبا: </w:t>
      </w:r>
      <w:proofErr w:type="spellStart"/>
      <w:r w:rsidRPr="00F372B6">
        <w:rPr>
          <w:rFonts w:eastAsiaTheme="minorEastAsia"/>
          <w:rtl/>
        </w:rPr>
        <w:t>باشيليت</w:t>
      </w:r>
      <w:proofErr w:type="spellEnd"/>
      <w:r w:rsidRPr="00F372B6">
        <w:rPr>
          <w:rFonts w:eastAsiaTheme="minorEastAsia"/>
          <w:rtl/>
        </w:rPr>
        <w:t xml:space="preserve"> تحث على الحوار، وتدعو إلى إطلاق سراح المتظاهرين المحتجزين"، بيان، </w:t>
      </w:r>
      <w:r w:rsidRPr="001A0537">
        <w:rPr>
          <w:rFonts w:eastAsiaTheme="minorEastAsia"/>
          <w:rtl/>
        </w:rPr>
        <w:t>16</w:t>
      </w:r>
      <w:r w:rsidRPr="00F372B6">
        <w:rPr>
          <w:rFonts w:eastAsiaTheme="minorEastAsia"/>
          <w:rtl/>
        </w:rPr>
        <w:t xml:space="preserve"> تموز/يولي</w:t>
      </w:r>
      <w:r>
        <w:rPr>
          <w:rFonts w:eastAsiaTheme="minorEastAsia" w:hint="cs"/>
          <w:rtl/>
        </w:rPr>
        <w:t>ه</w:t>
      </w:r>
      <w:r w:rsidRPr="00F372B6">
        <w:rPr>
          <w:rFonts w:eastAsiaTheme="minorEastAsia"/>
          <w:rtl/>
        </w:rPr>
        <w:t xml:space="preserve"> </w:t>
      </w:r>
      <w:r w:rsidRPr="001A0537">
        <w:rPr>
          <w:rFonts w:eastAsiaTheme="minorEastAsia"/>
          <w:rtl/>
        </w:rPr>
        <w:t>202</w:t>
      </w:r>
      <w:r w:rsidRPr="001A0537">
        <w:rPr>
          <w:rFonts w:eastAsiaTheme="minorEastAsia"/>
          <w:color w:val="000000"/>
          <w:rtl/>
        </w:rPr>
        <w:t>1</w:t>
      </w:r>
      <w:r w:rsidRPr="00667949">
        <w:rPr>
          <w:rFonts w:eastAsiaTheme="minorEastAsia"/>
          <w:color w:val="000000"/>
          <w:rtl/>
        </w:rPr>
        <w:t xml:space="preserve">. </w:t>
      </w:r>
      <w:r w:rsidRPr="00F372B6">
        <w:rPr>
          <w:rFonts w:eastAsiaTheme="minorEastAsia"/>
          <w:rtl/>
        </w:rPr>
        <w:t>وانظر أيضاً لجنة البلدان الأمريكية لحقوق الإنسان، "لجنة البلدان الأمريكية لحقوق الإنسان والمقررون الخاصون يعربون عن قلقهم إزاء التقارير عن حالات الاحتجاز التعسفي والاحتجاز مع منع الاتصال والافتقار</w:t>
      </w:r>
      <w:r>
        <w:rPr>
          <w:rFonts w:eastAsiaTheme="minorEastAsia" w:hint="cs"/>
          <w:rtl/>
        </w:rPr>
        <w:t> </w:t>
      </w:r>
      <w:r w:rsidRPr="00F372B6">
        <w:rPr>
          <w:rFonts w:eastAsiaTheme="minorEastAsia"/>
          <w:rtl/>
        </w:rPr>
        <w:t xml:space="preserve">إلى الدفاع القانوني وغيرها من انتهاكات الإجراءات القانونية الواجبة خلال احتجاجات </w:t>
      </w:r>
      <w:r w:rsidRPr="001A0537">
        <w:rPr>
          <w:rFonts w:eastAsiaTheme="minorEastAsia"/>
          <w:rtl/>
        </w:rPr>
        <w:t>11</w:t>
      </w:r>
      <w:r w:rsidRPr="00F372B6">
        <w:rPr>
          <w:rFonts w:eastAsiaTheme="minorEastAsia"/>
          <w:rtl/>
        </w:rPr>
        <w:t xml:space="preserve"> تموز/يوليه في كوبا"، بيان</w:t>
      </w:r>
      <w:r>
        <w:rPr>
          <w:rFonts w:eastAsiaTheme="minorEastAsia" w:hint="cs"/>
          <w:rtl/>
        </w:rPr>
        <w:t> </w:t>
      </w:r>
      <w:r w:rsidRPr="00F372B6">
        <w:rPr>
          <w:rFonts w:eastAsiaTheme="minorEastAsia"/>
          <w:rtl/>
        </w:rPr>
        <w:t xml:space="preserve">صحفي، </w:t>
      </w:r>
      <w:r w:rsidRPr="001A0537">
        <w:rPr>
          <w:rFonts w:eastAsiaTheme="minorEastAsia"/>
          <w:rtl/>
        </w:rPr>
        <w:t>12</w:t>
      </w:r>
      <w:r w:rsidRPr="00F372B6">
        <w:rPr>
          <w:rFonts w:eastAsiaTheme="minorEastAsia"/>
          <w:rtl/>
        </w:rPr>
        <w:t xml:space="preserve"> آب/أغسطس </w:t>
      </w:r>
      <w:r w:rsidRPr="001A0537">
        <w:rPr>
          <w:rFonts w:eastAsiaTheme="minorEastAsia"/>
          <w:rtl/>
        </w:rPr>
        <w:t>202</w:t>
      </w:r>
      <w:r w:rsidRPr="001A0537">
        <w:rPr>
          <w:rFonts w:eastAsiaTheme="minorEastAsia"/>
          <w:color w:val="000000"/>
          <w:rtl/>
        </w:rPr>
        <w:t>1</w:t>
      </w:r>
      <w:r w:rsidRPr="00667949">
        <w:rPr>
          <w:rFonts w:eastAsiaTheme="minorEastAsia"/>
          <w:color w:val="000000"/>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67B12" w14:textId="2C95AB0F" w:rsidR="003E6CAE" w:rsidRPr="003E6CAE" w:rsidRDefault="003E6CAE" w:rsidP="003E6CAE">
    <w:pPr>
      <w:pStyle w:val="Header"/>
      <w:jc w:val="left"/>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79016F">
      <w:t>CAT/C/CUB/CO/3</w:t>
    </w:r>
    <w:r>
      <w:rPr>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FF328" w14:textId="3ED3712E" w:rsidR="003E6CAE" w:rsidRPr="003E6CAE" w:rsidRDefault="003E6CAE" w:rsidP="003E6CAE">
    <w:pPr>
      <w:pStyle w:val="Header"/>
      <w:bidi w:val="0"/>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79016F">
      <w:t>CAT/C/CUB/CO/3</w:t>
    </w:r>
    <w:r>
      <w:rPr>
        <w:rt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68006" w14:textId="77777777" w:rsidR="00143C39" w:rsidRDefault="00143C39" w:rsidP="00143C39">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51AF4"/>
    <w:multiLevelType w:val="hybridMultilevel"/>
    <w:tmpl w:val="462EC7C6"/>
    <w:lvl w:ilvl="0" w:tplc="7A2C7C9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515502"/>
    <w:multiLevelType w:val="hybridMultilevel"/>
    <w:tmpl w:val="B66A8766"/>
    <w:lvl w:ilvl="0" w:tplc="A1667854">
      <w:start w:val="1"/>
      <w:numFmt w:val="arabicAlpha"/>
      <w:lvlText w:val="(%1)"/>
      <w:lvlJc w:val="left"/>
      <w:pPr>
        <w:ind w:left="2612" w:hanging="682"/>
      </w:pPr>
      <w:rPr>
        <w:rFonts w:hint="default"/>
      </w:rPr>
    </w:lvl>
    <w:lvl w:ilvl="1" w:tplc="04090019" w:tentative="1">
      <w:start w:val="1"/>
      <w:numFmt w:val="lowerLetter"/>
      <w:lvlText w:val="%2."/>
      <w:lvlJc w:val="left"/>
      <w:pPr>
        <w:ind w:left="3010" w:hanging="360"/>
      </w:pPr>
    </w:lvl>
    <w:lvl w:ilvl="2" w:tplc="0409001B" w:tentative="1">
      <w:start w:val="1"/>
      <w:numFmt w:val="lowerRoman"/>
      <w:lvlText w:val="%3."/>
      <w:lvlJc w:val="right"/>
      <w:pPr>
        <w:ind w:left="3730" w:hanging="180"/>
      </w:pPr>
    </w:lvl>
    <w:lvl w:ilvl="3" w:tplc="0409000F" w:tentative="1">
      <w:start w:val="1"/>
      <w:numFmt w:val="decimal"/>
      <w:lvlText w:val="%4."/>
      <w:lvlJc w:val="left"/>
      <w:pPr>
        <w:ind w:left="4450" w:hanging="360"/>
      </w:pPr>
    </w:lvl>
    <w:lvl w:ilvl="4" w:tplc="04090019" w:tentative="1">
      <w:start w:val="1"/>
      <w:numFmt w:val="lowerLetter"/>
      <w:lvlText w:val="%5."/>
      <w:lvlJc w:val="left"/>
      <w:pPr>
        <w:ind w:left="5170" w:hanging="360"/>
      </w:pPr>
    </w:lvl>
    <w:lvl w:ilvl="5" w:tplc="0409001B" w:tentative="1">
      <w:start w:val="1"/>
      <w:numFmt w:val="lowerRoman"/>
      <w:lvlText w:val="%6."/>
      <w:lvlJc w:val="right"/>
      <w:pPr>
        <w:ind w:left="5890" w:hanging="180"/>
      </w:pPr>
    </w:lvl>
    <w:lvl w:ilvl="6" w:tplc="0409000F" w:tentative="1">
      <w:start w:val="1"/>
      <w:numFmt w:val="decimal"/>
      <w:lvlText w:val="%7."/>
      <w:lvlJc w:val="left"/>
      <w:pPr>
        <w:ind w:left="6610" w:hanging="360"/>
      </w:pPr>
    </w:lvl>
    <w:lvl w:ilvl="7" w:tplc="04090019" w:tentative="1">
      <w:start w:val="1"/>
      <w:numFmt w:val="lowerLetter"/>
      <w:lvlText w:val="%8."/>
      <w:lvlJc w:val="left"/>
      <w:pPr>
        <w:ind w:left="7330" w:hanging="360"/>
      </w:pPr>
    </w:lvl>
    <w:lvl w:ilvl="8" w:tplc="0409001B" w:tentative="1">
      <w:start w:val="1"/>
      <w:numFmt w:val="lowerRoman"/>
      <w:lvlText w:val="%9."/>
      <w:lvlJc w:val="right"/>
      <w:pPr>
        <w:ind w:left="8050" w:hanging="180"/>
      </w:pPr>
    </w:lvl>
  </w:abstractNum>
  <w:abstractNum w:abstractNumId="5" w15:restartNumberingAfterBreak="0">
    <w:nsid w:val="25F272F0"/>
    <w:multiLevelType w:val="hybridMultilevel"/>
    <w:tmpl w:val="639E4496"/>
    <w:lvl w:ilvl="0" w:tplc="9AA29D80">
      <w:start w:val="1"/>
      <w:numFmt w:val="decimal"/>
      <w:pStyle w:val="Roman1GA"/>
      <w:lvlText w:val="'%1'"/>
      <w:lvlJc w:val="right"/>
      <w:pPr>
        <w:tabs>
          <w:tab w:val="num" w:pos="2310"/>
        </w:tabs>
        <w:ind w:left="2310" w:hanging="360"/>
      </w:p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6" w15:restartNumberingAfterBreak="0">
    <w:nsid w:val="2E7D2AC6"/>
    <w:multiLevelType w:val="hybridMultilevel"/>
    <w:tmpl w:val="3D12582C"/>
    <w:lvl w:ilvl="0" w:tplc="CB588E8E">
      <w:start w:val="1"/>
      <w:numFmt w:val="bullet"/>
      <w:lvlText w:val="o"/>
      <w:lvlJc w:val="left"/>
      <w:pPr>
        <w:ind w:left="720" w:hanging="360"/>
      </w:pPr>
      <w:rPr>
        <w:rFonts w:ascii="Courier New" w:hAnsi="Courier New" w:cs="Courier New"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B4774D"/>
    <w:multiLevelType w:val="hybridMultilevel"/>
    <w:tmpl w:val="06BA8590"/>
    <w:lvl w:ilvl="0" w:tplc="0809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32A75D52"/>
    <w:multiLevelType w:val="hybridMultilevel"/>
    <w:tmpl w:val="B622CBCC"/>
    <w:lvl w:ilvl="0" w:tplc="EF10EA04">
      <w:start w:val="1"/>
      <w:numFmt w:val="decimal"/>
      <w:pStyle w:val="ParaNoGA"/>
      <w:lvlText w:val="%1-"/>
      <w:lvlJc w:val="left"/>
      <w:pPr>
        <w:tabs>
          <w:tab w:val="num" w:pos="1361"/>
        </w:tabs>
        <w:ind w:left="1247" w:firstLine="0"/>
      </w:pPr>
      <w:rPr>
        <w:rFonts w:cs="Simplified Arabic"/>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CF4EB2"/>
    <w:multiLevelType w:val="hybridMultilevel"/>
    <w:tmpl w:val="BE9AB9A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0" w15:restartNumberingAfterBreak="0">
    <w:nsid w:val="3ADF34DA"/>
    <w:multiLevelType w:val="hybridMultilevel"/>
    <w:tmpl w:val="21FC2716"/>
    <w:lvl w:ilvl="0" w:tplc="6E5892B2">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54B2370"/>
    <w:multiLevelType w:val="hybridMultilevel"/>
    <w:tmpl w:val="7720856A"/>
    <w:lvl w:ilvl="0" w:tplc="D090D7F2">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2"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4" w15:restartNumberingAfterBreak="0">
    <w:nsid w:val="68AD07B2"/>
    <w:multiLevelType w:val="hybridMultilevel"/>
    <w:tmpl w:val="6EDEC56E"/>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6"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E32A09"/>
    <w:multiLevelType w:val="hybridMultilevel"/>
    <w:tmpl w:val="B8DC87A6"/>
    <w:lvl w:ilvl="0" w:tplc="72A485D8">
      <w:start w:val="1"/>
      <w:numFmt w:val="decimal"/>
      <w:pStyle w:val="Roman2GA"/>
      <w:lvlText w:val="'%1'"/>
      <w:lvlJc w:val="right"/>
      <w:pPr>
        <w:tabs>
          <w:tab w:val="num" w:pos="2877"/>
        </w:tabs>
        <w:ind w:left="2877" w:hanging="360"/>
      </w:p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5"/>
  </w:num>
  <w:num w:numId="2">
    <w:abstractNumId w:val="12"/>
  </w:num>
  <w:num w:numId="3">
    <w:abstractNumId w:val="2"/>
  </w:num>
  <w:num w:numId="4">
    <w:abstractNumId w:val="11"/>
  </w:num>
  <w:num w:numId="5">
    <w:abstractNumId w:val="8"/>
  </w:num>
  <w:num w:numId="6">
    <w:abstractNumId w:val="5"/>
  </w:num>
  <w:num w:numId="7">
    <w:abstractNumId w:val="17"/>
  </w:num>
  <w:num w:numId="8">
    <w:abstractNumId w:val="2"/>
  </w:num>
  <w:num w:numId="9">
    <w:abstractNumId w:val="11"/>
  </w:num>
  <w:num w:numId="10">
    <w:abstractNumId w:val="5"/>
  </w:num>
  <w:num w:numId="11">
    <w:abstractNumId w:val="17"/>
  </w:num>
  <w:num w:numId="12">
    <w:abstractNumId w:val="2"/>
  </w:num>
  <w:num w:numId="13">
    <w:abstractNumId w:val="11"/>
  </w:num>
  <w:num w:numId="14">
    <w:abstractNumId w:val="8"/>
  </w:num>
  <w:num w:numId="15">
    <w:abstractNumId w:val="5"/>
  </w:num>
  <w:num w:numId="16">
    <w:abstractNumId w:val="17"/>
  </w:num>
  <w:num w:numId="17">
    <w:abstractNumId w:val="4"/>
  </w:num>
  <w:num w:numId="18">
    <w:abstractNumId w:val="3"/>
  </w:num>
  <w:num w:numId="19">
    <w:abstractNumId w:val="16"/>
  </w:num>
  <w:num w:numId="20">
    <w:abstractNumId w:val="13"/>
  </w:num>
  <w:num w:numId="21">
    <w:abstractNumId w:val="1"/>
  </w:num>
  <w:num w:numId="22">
    <w:abstractNumId w:val="14"/>
  </w:num>
  <w:num w:numId="23">
    <w:abstractNumId w:val="0"/>
  </w:num>
  <w:num w:numId="24">
    <w:abstractNumId w:val="9"/>
  </w:num>
  <w:num w:numId="25">
    <w:abstractNumId w:val="14"/>
    <w:lvlOverride w:ilvl="0">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8">
    <w:abstractNumId w:val="0"/>
    <w:lvlOverride w:ilvl="0">
      <w:startOverride w:val="153"/>
      <w:lvl w:ilvl="0" w:tplc="2FB47626">
        <w:start w:val="153"/>
        <w:numFmt w:val="decimal"/>
        <w:pStyle w:val="ParaNoG"/>
        <w:lvlText w:val="%1-"/>
        <w:lvlJc w:val="left"/>
        <w:pPr>
          <w:tabs>
            <w:tab w:val="num" w:pos="0"/>
          </w:tabs>
          <w:ind w:left="1134" w:firstLine="0"/>
        </w:pPr>
        <w:rPr>
          <w:rFonts w:ascii="Times New Roman" w:hAnsi="Times New Roman" w:hint="default"/>
          <w:b w:val="0"/>
          <w:i w:val="0"/>
          <w:sz w:val="20"/>
        </w:rPr>
      </w:lvl>
    </w:lvlOverride>
  </w:num>
  <w:num w:numId="29">
    <w:abstractNumId w:val="0"/>
    <w:lvlOverride w:ilvl="0">
      <w:startOverride w:val="151"/>
      <w:lvl w:ilvl="0" w:tplc="2FB47626">
        <w:start w:val="151"/>
        <w:numFmt w:val="decimal"/>
        <w:pStyle w:val="ParaNoG"/>
        <w:lvlText w:val="%1-"/>
        <w:lvlJc w:val="left"/>
        <w:pPr>
          <w:tabs>
            <w:tab w:val="num" w:pos="0"/>
          </w:tabs>
          <w:ind w:left="1134" w:firstLine="0"/>
        </w:pPr>
        <w:rPr>
          <w:rFonts w:ascii="Times New Roman" w:hAnsi="Times New Roman" w:hint="default"/>
          <w:b w:val="0"/>
          <w:i w:val="0"/>
          <w:sz w:val="20"/>
        </w:rPr>
      </w:lvl>
    </w:lvlOverride>
  </w:num>
  <w:num w:numId="30">
    <w:abstractNumId w:val="7"/>
  </w:num>
  <w:num w:numId="31">
    <w:abstractNumId w:val="6"/>
    <w:lvlOverride w:ilvl="0">
      <w:lvl w:ilvl="0" w:tplc="CB588E8E">
        <w:start w:val="1"/>
        <w:numFmt w:val="bullet"/>
        <w:lvlText w:val="o"/>
        <w:lvlJc w:val="left"/>
        <w:pPr>
          <w:ind w:left="720" w:hanging="360"/>
        </w:pPr>
        <w:rPr>
          <w:rFonts w:ascii="Courier New" w:hAnsi="Courier New" w:cs="Courier New" w:hint="default"/>
          <w:spacing w:val="-20"/>
        </w:rPr>
      </w:lvl>
    </w:lvlOverride>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attachedTemplate r:id="rId1"/>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12C"/>
    <w:rsid w:val="000076D5"/>
    <w:rsid w:val="00043663"/>
    <w:rsid w:val="000456F3"/>
    <w:rsid w:val="000505CF"/>
    <w:rsid w:val="000700EC"/>
    <w:rsid w:val="000A2113"/>
    <w:rsid w:val="000D701C"/>
    <w:rsid w:val="000E11D4"/>
    <w:rsid w:val="000E2A71"/>
    <w:rsid w:val="000F71D2"/>
    <w:rsid w:val="001037DF"/>
    <w:rsid w:val="00143C39"/>
    <w:rsid w:val="00160263"/>
    <w:rsid w:val="00166BD2"/>
    <w:rsid w:val="00167825"/>
    <w:rsid w:val="00170EB3"/>
    <w:rsid w:val="00181F96"/>
    <w:rsid w:val="0018798F"/>
    <w:rsid w:val="001A0537"/>
    <w:rsid w:val="001A1371"/>
    <w:rsid w:val="001B346A"/>
    <w:rsid w:val="001D6F7B"/>
    <w:rsid w:val="001E1CAD"/>
    <w:rsid w:val="001E290D"/>
    <w:rsid w:val="001E7AA7"/>
    <w:rsid w:val="00210DD4"/>
    <w:rsid w:val="002144FA"/>
    <w:rsid w:val="0023469A"/>
    <w:rsid w:val="00243C8A"/>
    <w:rsid w:val="00261289"/>
    <w:rsid w:val="00266034"/>
    <w:rsid w:val="0026755E"/>
    <w:rsid w:val="00267A0E"/>
    <w:rsid w:val="002901D9"/>
    <w:rsid w:val="002976C2"/>
    <w:rsid w:val="002F3FC6"/>
    <w:rsid w:val="00323EC8"/>
    <w:rsid w:val="003260FF"/>
    <w:rsid w:val="00343D95"/>
    <w:rsid w:val="00362E33"/>
    <w:rsid w:val="00371B6F"/>
    <w:rsid w:val="00374341"/>
    <w:rsid w:val="00384DA7"/>
    <w:rsid w:val="003D1062"/>
    <w:rsid w:val="003E6CAE"/>
    <w:rsid w:val="00420D7B"/>
    <w:rsid w:val="00450B21"/>
    <w:rsid w:val="00453B63"/>
    <w:rsid w:val="00455780"/>
    <w:rsid w:val="00462F28"/>
    <w:rsid w:val="00472BE8"/>
    <w:rsid w:val="004811D5"/>
    <w:rsid w:val="004956DC"/>
    <w:rsid w:val="00497EFB"/>
    <w:rsid w:val="004B0A1C"/>
    <w:rsid w:val="004D2177"/>
    <w:rsid w:val="004D298E"/>
    <w:rsid w:val="00531DEA"/>
    <w:rsid w:val="0054472E"/>
    <w:rsid w:val="005662A9"/>
    <w:rsid w:val="00575E9A"/>
    <w:rsid w:val="005827D4"/>
    <w:rsid w:val="0059622A"/>
    <w:rsid w:val="005A3015"/>
    <w:rsid w:val="005C5878"/>
    <w:rsid w:val="005C7CEA"/>
    <w:rsid w:val="005D3C0B"/>
    <w:rsid w:val="005E0567"/>
    <w:rsid w:val="005E23DF"/>
    <w:rsid w:val="005E5217"/>
    <w:rsid w:val="005F0FA4"/>
    <w:rsid w:val="005F30EE"/>
    <w:rsid w:val="0060473A"/>
    <w:rsid w:val="00627932"/>
    <w:rsid w:val="00656392"/>
    <w:rsid w:val="006646E9"/>
    <w:rsid w:val="00667949"/>
    <w:rsid w:val="0068781D"/>
    <w:rsid w:val="006959B0"/>
    <w:rsid w:val="006B2A7F"/>
    <w:rsid w:val="006B3E27"/>
    <w:rsid w:val="006B6507"/>
    <w:rsid w:val="006C104C"/>
    <w:rsid w:val="006D05CB"/>
    <w:rsid w:val="00706DFD"/>
    <w:rsid w:val="00712059"/>
    <w:rsid w:val="00733704"/>
    <w:rsid w:val="0074737D"/>
    <w:rsid w:val="00761849"/>
    <w:rsid w:val="0078071A"/>
    <w:rsid w:val="0079016F"/>
    <w:rsid w:val="007A3847"/>
    <w:rsid w:val="007D56C1"/>
    <w:rsid w:val="00817373"/>
    <w:rsid w:val="00852A9A"/>
    <w:rsid w:val="0085568A"/>
    <w:rsid w:val="00860491"/>
    <w:rsid w:val="00874514"/>
    <w:rsid w:val="00893A8A"/>
    <w:rsid w:val="00897AA1"/>
    <w:rsid w:val="008C0B37"/>
    <w:rsid w:val="008F49E1"/>
    <w:rsid w:val="009032FB"/>
    <w:rsid w:val="0090370F"/>
    <w:rsid w:val="00906A57"/>
    <w:rsid w:val="009269D2"/>
    <w:rsid w:val="00942135"/>
    <w:rsid w:val="009521B0"/>
    <w:rsid w:val="00972676"/>
    <w:rsid w:val="00981C12"/>
    <w:rsid w:val="009A7E9F"/>
    <w:rsid w:val="009A7F5B"/>
    <w:rsid w:val="009B645D"/>
    <w:rsid w:val="009C3BAB"/>
    <w:rsid w:val="009E4397"/>
    <w:rsid w:val="009E5018"/>
    <w:rsid w:val="009F09F5"/>
    <w:rsid w:val="00A021D4"/>
    <w:rsid w:val="00A12B37"/>
    <w:rsid w:val="00A34EA8"/>
    <w:rsid w:val="00A44D86"/>
    <w:rsid w:val="00A5352C"/>
    <w:rsid w:val="00A57CAF"/>
    <w:rsid w:val="00A67AF5"/>
    <w:rsid w:val="00A94CA3"/>
    <w:rsid w:val="00AB2C0B"/>
    <w:rsid w:val="00AB6758"/>
    <w:rsid w:val="00AD612C"/>
    <w:rsid w:val="00AE35A2"/>
    <w:rsid w:val="00B07715"/>
    <w:rsid w:val="00B13763"/>
    <w:rsid w:val="00B456A0"/>
    <w:rsid w:val="00B477A4"/>
    <w:rsid w:val="00B54045"/>
    <w:rsid w:val="00B5526C"/>
    <w:rsid w:val="00B82677"/>
    <w:rsid w:val="00B86CE8"/>
    <w:rsid w:val="00BA39D4"/>
    <w:rsid w:val="00BD0805"/>
    <w:rsid w:val="00C111C6"/>
    <w:rsid w:val="00C438D7"/>
    <w:rsid w:val="00C62476"/>
    <w:rsid w:val="00C64C7B"/>
    <w:rsid w:val="00C81B50"/>
    <w:rsid w:val="00C87F1F"/>
    <w:rsid w:val="00C96AFF"/>
    <w:rsid w:val="00CA2103"/>
    <w:rsid w:val="00CA35DF"/>
    <w:rsid w:val="00CD1801"/>
    <w:rsid w:val="00CF25FC"/>
    <w:rsid w:val="00D10EF1"/>
    <w:rsid w:val="00D317F1"/>
    <w:rsid w:val="00D3653E"/>
    <w:rsid w:val="00D42810"/>
    <w:rsid w:val="00D914A7"/>
    <w:rsid w:val="00D9525A"/>
    <w:rsid w:val="00DB712F"/>
    <w:rsid w:val="00DC1D29"/>
    <w:rsid w:val="00DD13C3"/>
    <w:rsid w:val="00DD596E"/>
    <w:rsid w:val="00DD621E"/>
    <w:rsid w:val="00DF0575"/>
    <w:rsid w:val="00E20670"/>
    <w:rsid w:val="00E2697F"/>
    <w:rsid w:val="00E50A6F"/>
    <w:rsid w:val="00E51F6C"/>
    <w:rsid w:val="00E64B72"/>
    <w:rsid w:val="00E70E04"/>
    <w:rsid w:val="00E76499"/>
    <w:rsid w:val="00EC05A7"/>
    <w:rsid w:val="00EC4B6B"/>
    <w:rsid w:val="00ED5406"/>
    <w:rsid w:val="00EE56C3"/>
    <w:rsid w:val="00EF1EE5"/>
    <w:rsid w:val="00F142A0"/>
    <w:rsid w:val="00F158EB"/>
    <w:rsid w:val="00F1695F"/>
    <w:rsid w:val="00F372B6"/>
    <w:rsid w:val="00F62057"/>
    <w:rsid w:val="00F763B4"/>
    <w:rsid w:val="00F81AF1"/>
    <w:rsid w:val="00F900C3"/>
    <w:rsid w:val="00FF2AB2"/>
    <w:rsid w:val="00FF324E"/>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BFC7BE6"/>
  <w15:docId w15:val="{AC49A816-40BA-4E6A-82A0-F6FC2B0F8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Arial"/>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iPriority="0" w:unhideWhenUsed="1" w:qFormat="1"/>
    <w:lsdException w:name="page number" w:semiHidden="1" w:uiPriority="0" w:unhideWhenUsed="1" w:qFormat="1"/>
    <w:lsdException w:name="endnote reference" w:semiHidden="1" w:uiPriority="0"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58EB"/>
    <w:pPr>
      <w:bidi/>
      <w:spacing w:line="240" w:lineRule="atLeast"/>
      <w:jc w:val="lowKashida"/>
    </w:pPr>
    <w:rPr>
      <w:rFonts w:ascii="Times New Roman" w:eastAsia="PMingLiU" w:hAnsi="Times New Roman" w:cs="Simplified Arabic"/>
      <w:szCs w:val="22"/>
      <w:lang w:eastAsia="en-US"/>
    </w:rPr>
  </w:style>
  <w:style w:type="paragraph" w:styleId="Heading1">
    <w:name w:val="heading 1"/>
    <w:aliases w:val="Table_GA,Table_G"/>
    <w:basedOn w:val="SingleTxtGA"/>
    <w:next w:val="Normal"/>
    <w:link w:val="Heading1Char"/>
    <w:qFormat/>
    <w:rsid w:val="00F158EB"/>
    <w:pPr>
      <w:bidi w:val="0"/>
      <w:outlineLvl w:val="0"/>
    </w:pPr>
  </w:style>
  <w:style w:type="paragraph" w:styleId="Heading2">
    <w:name w:val="heading 2"/>
    <w:basedOn w:val="Normal"/>
    <w:next w:val="Normal"/>
    <w:link w:val="Heading2Char"/>
    <w:uiPriority w:val="9"/>
    <w:unhideWhenUsed/>
    <w:rsid w:val="00F158EB"/>
    <w:pPr>
      <w:keepNext/>
      <w:keepLines/>
      <w:spacing w:before="200"/>
      <w:outlineLvl w:val="1"/>
    </w:pPr>
    <w:rPr>
      <w:b/>
      <w:bCs/>
      <w:color w:val="4F81BD"/>
      <w:sz w:val="26"/>
      <w:szCs w:val="26"/>
    </w:rPr>
  </w:style>
  <w:style w:type="paragraph" w:styleId="Heading3">
    <w:name w:val="heading 3"/>
    <w:basedOn w:val="Normal"/>
    <w:next w:val="Normal"/>
    <w:link w:val="Heading3Char"/>
    <w:uiPriority w:val="9"/>
    <w:unhideWhenUsed/>
    <w:rsid w:val="00F158EB"/>
    <w:pPr>
      <w:keepNext/>
      <w:keepLines/>
      <w:spacing w:before="200"/>
      <w:outlineLvl w:val="2"/>
    </w:pPr>
    <w:rPr>
      <w:b/>
      <w:bCs/>
      <w:color w:val="4F81BD"/>
    </w:rPr>
  </w:style>
  <w:style w:type="paragraph" w:styleId="Heading4">
    <w:name w:val="heading 4"/>
    <w:basedOn w:val="Normal"/>
    <w:next w:val="Normal"/>
    <w:link w:val="Heading4Char"/>
    <w:uiPriority w:val="9"/>
    <w:unhideWhenUsed/>
    <w:rsid w:val="00F158EB"/>
    <w:pPr>
      <w:keepNext/>
      <w:keepLines/>
      <w:spacing w:before="200"/>
      <w:outlineLvl w:val="3"/>
    </w:pPr>
    <w:rPr>
      <w:b/>
      <w:bCs/>
      <w:i/>
      <w:iCs/>
      <w:color w:val="4F81BD"/>
    </w:rPr>
  </w:style>
  <w:style w:type="paragraph" w:styleId="Heading5">
    <w:name w:val="heading 5"/>
    <w:basedOn w:val="Normal"/>
    <w:next w:val="Normal"/>
    <w:link w:val="Heading5Char"/>
    <w:uiPriority w:val="9"/>
    <w:unhideWhenUsed/>
    <w:rsid w:val="00F158EB"/>
    <w:pPr>
      <w:keepNext/>
      <w:keepLines/>
      <w:spacing w:before="200"/>
      <w:outlineLvl w:val="4"/>
    </w:pPr>
    <w:rPr>
      <w:color w:val="243F60"/>
    </w:rPr>
  </w:style>
  <w:style w:type="paragraph" w:styleId="Heading6">
    <w:name w:val="heading 6"/>
    <w:basedOn w:val="Normal"/>
    <w:next w:val="Normal"/>
    <w:link w:val="Heading6Char"/>
    <w:uiPriority w:val="9"/>
    <w:unhideWhenUsed/>
    <w:rsid w:val="00F158EB"/>
    <w:pPr>
      <w:keepNext/>
      <w:keepLines/>
      <w:spacing w:before="200"/>
      <w:outlineLvl w:val="5"/>
    </w:pPr>
    <w:rPr>
      <w:i/>
      <w:iCs/>
      <w:color w:val="243F60"/>
    </w:rPr>
  </w:style>
  <w:style w:type="paragraph" w:styleId="Heading7">
    <w:name w:val="heading 7"/>
    <w:basedOn w:val="Normal"/>
    <w:next w:val="Normal"/>
    <w:link w:val="Heading7Char"/>
    <w:uiPriority w:val="9"/>
    <w:unhideWhenUsed/>
    <w:rsid w:val="00F158EB"/>
    <w:pPr>
      <w:keepNext/>
      <w:keepLines/>
      <w:spacing w:before="200"/>
      <w:outlineLvl w:val="6"/>
    </w:pPr>
    <w:rPr>
      <w:i/>
      <w:iCs/>
      <w:color w:val="404040"/>
    </w:rPr>
  </w:style>
  <w:style w:type="paragraph" w:styleId="Heading8">
    <w:name w:val="heading 8"/>
    <w:basedOn w:val="Normal"/>
    <w:next w:val="Normal"/>
    <w:link w:val="Heading8Char"/>
    <w:uiPriority w:val="9"/>
    <w:unhideWhenUsed/>
    <w:rsid w:val="00F158EB"/>
    <w:pPr>
      <w:keepNext/>
      <w:keepLines/>
      <w:spacing w:before="200"/>
      <w:outlineLvl w:val="7"/>
    </w:pPr>
    <w:rPr>
      <w:color w:val="404040"/>
      <w:szCs w:val="20"/>
    </w:rPr>
  </w:style>
  <w:style w:type="paragraph" w:styleId="Heading9">
    <w:name w:val="heading 9"/>
    <w:basedOn w:val="Normal"/>
    <w:next w:val="Normal"/>
    <w:link w:val="Heading9Char"/>
    <w:uiPriority w:val="9"/>
    <w:unhideWhenUsed/>
    <w:rsid w:val="00F158EB"/>
    <w:pPr>
      <w:keepNext/>
      <w:keepLines/>
      <w:spacing w:before="200"/>
      <w:outlineLvl w:val="8"/>
    </w:pPr>
    <w:rPr>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Quote,Footnote Quote1,Footnote Quote2,Footnote Quote3,Footnote Quote4,Footnote Quote5,Footnote Quote6,Footnote Quote7,Footnote Quote8,Footnote Quote9,Footnote Quote10,Footnote Quote11,Footnote Quote12,Footnote Quote13,Footnote"/>
    <w:basedOn w:val="Normal"/>
    <w:link w:val="FootnoteTextChar"/>
    <w:unhideWhenUsed/>
    <w:qFormat/>
    <w:rsid w:val="00F158EB"/>
    <w:pPr>
      <w:tabs>
        <w:tab w:val="right" w:pos="1021"/>
      </w:tabs>
      <w:suppressAutoHyphens/>
      <w:bidi w:val="0"/>
      <w:spacing w:line="220" w:lineRule="exact"/>
      <w:ind w:left="1134" w:right="1134" w:hanging="1134"/>
      <w:jc w:val="both"/>
    </w:pPr>
    <w:rPr>
      <w:sz w:val="18"/>
      <w:szCs w:val="20"/>
    </w:rPr>
  </w:style>
  <w:style w:type="character" w:customStyle="1" w:styleId="FootnoteTextChar">
    <w:name w:val="Footnote Text Char"/>
    <w:aliases w:val="5_G Char,Footnote Quote Char,Footnote Quote1 Char,Footnote Quote2 Char,Footnote Quote3 Char,Footnote Quote4 Char,Footnote Quote5 Char,Footnote Quote6 Char,Footnote Quote7 Char,Footnote Quote8 Char,Footnote Quote9 Char,Footnote Char"/>
    <w:link w:val="FootnoteText"/>
    <w:rsid w:val="00F158EB"/>
    <w:rPr>
      <w:rFonts w:ascii="Times New Roman" w:eastAsia="PMingLiU" w:hAnsi="Times New Roman" w:cs="Simplified Arabic"/>
      <w:sz w:val="18"/>
      <w:lang w:eastAsia="en-US"/>
    </w:rPr>
  </w:style>
  <w:style w:type="character" w:styleId="FootnoteReference">
    <w:name w:val="footnote reference"/>
    <w:aliases w:val="4_GA,4_G,ftref,footnote ref,16 Point,Superscript 6 Point,Fußnotenzeichen DISS,fr,BVI fnr,(NECG) Footnote Reference,Char Char Char Char Car Char,ب"/>
    <w:link w:val="Char2"/>
    <w:qFormat/>
    <w:rsid w:val="00F158EB"/>
    <w:rPr>
      <w:szCs w:val="18"/>
      <w:vertAlign w:val="superscript"/>
    </w:rPr>
  </w:style>
  <w:style w:type="paragraph" w:customStyle="1" w:styleId="HMGA">
    <w:name w:val="_ H __M_GA"/>
    <w:basedOn w:val="Normal"/>
    <w:next w:val="SingleTxtGA"/>
    <w:qFormat/>
    <w:rsid w:val="00F158EB"/>
    <w:pPr>
      <w:keepNext/>
      <w:keepLines/>
      <w:tabs>
        <w:tab w:val="right" w:pos="1021"/>
      </w:tabs>
      <w:suppressAutoHyphens/>
      <w:spacing w:before="360" w:after="240" w:line="480" w:lineRule="exact"/>
      <w:ind w:left="1247" w:right="1247" w:hanging="1247"/>
      <w:outlineLvl w:val="0"/>
    </w:pPr>
    <w:rPr>
      <w:b/>
      <w:bCs/>
      <w:sz w:val="36"/>
      <w:szCs w:val="36"/>
      <w:lang w:val="en-GB"/>
    </w:rPr>
  </w:style>
  <w:style w:type="paragraph" w:customStyle="1" w:styleId="HChGA">
    <w:name w:val="_ H _Ch_GA"/>
    <w:basedOn w:val="Normal"/>
    <w:next w:val="SingleTxtGA"/>
    <w:qFormat/>
    <w:rsid w:val="00F158EB"/>
    <w:pPr>
      <w:keepNext/>
      <w:keepLines/>
      <w:tabs>
        <w:tab w:val="right" w:pos="1021"/>
      </w:tabs>
      <w:suppressAutoHyphens/>
      <w:spacing w:before="360" w:after="240" w:line="440" w:lineRule="exact"/>
      <w:ind w:left="1247" w:right="1247" w:hanging="1247"/>
      <w:outlineLvl w:val="1"/>
    </w:pPr>
    <w:rPr>
      <w:b/>
      <w:bCs/>
      <w:sz w:val="30"/>
      <w:szCs w:val="30"/>
      <w:lang w:val="en-GB"/>
    </w:rPr>
  </w:style>
  <w:style w:type="paragraph" w:customStyle="1" w:styleId="H1GA">
    <w:name w:val="_ H_1_GA"/>
    <w:basedOn w:val="Normal"/>
    <w:next w:val="SingleTxtGA"/>
    <w:qFormat/>
    <w:rsid w:val="00F158EB"/>
    <w:pPr>
      <w:keepNext/>
      <w:keepLines/>
      <w:tabs>
        <w:tab w:val="right" w:pos="1021"/>
      </w:tabs>
      <w:suppressAutoHyphens/>
      <w:spacing w:before="240" w:after="240" w:line="400" w:lineRule="exact"/>
      <w:ind w:left="1247" w:right="1247" w:hanging="1247"/>
      <w:outlineLvl w:val="2"/>
    </w:pPr>
    <w:rPr>
      <w:b/>
      <w:bCs/>
      <w:sz w:val="26"/>
      <w:szCs w:val="26"/>
      <w:lang w:val="en-GB"/>
    </w:rPr>
  </w:style>
  <w:style w:type="paragraph" w:customStyle="1" w:styleId="H23GA">
    <w:name w:val="_ H_2/3_GA"/>
    <w:basedOn w:val="Normal"/>
    <w:next w:val="SingleTxtGA"/>
    <w:qFormat/>
    <w:rsid w:val="00F158EB"/>
    <w:pPr>
      <w:keepNext/>
      <w:keepLines/>
      <w:tabs>
        <w:tab w:val="right" w:pos="1021"/>
      </w:tabs>
      <w:suppressAutoHyphens/>
      <w:spacing w:before="240" w:after="120" w:line="380" w:lineRule="exact"/>
      <w:ind w:left="1247" w:right="1247" w:hanging="1247"/>
      <w:outlineLvl w:val="3"/>
    </w:pPr>
    <w:rPr>
      <w:b/>
      <w:bCs/>
      <w:sz w:val="22"/>
      <w:lang w:val="en-GB" w:eastAsia="ar-SA"/>
    </w:rPr>
  </w:style>
  <w:style w:type="paragraph" w:customStyle="1" w:styleId="H4GA">
    <w:name w:val="_ H_4_GA"/>
    <w:basedOn w:val="Normal"/>
    <w:next w:val="SingleTxtGA"/>
    <w:qFormat/>
    <w:rsid w:val="00F158EB"/>
    <w:pPr>
      <w:keepNext/>
      <w:keepLines/>
      <w:tabs>
        <w:tab w:val="right" w:pos="1021"/>
      </w:tabs>
      <w:suppressAutoHyphens/>
      <w:spacing w:before="240" w:after="120" w:line="380" w:lineRule="exact"/>
      <w:ind w:left="1247" w:right="1247" w:hanging="1247"/>
      <w:outlineLvl w:val="4"/>
    </w:pPr>
    <w:rPr>
      <w:i/>
      <w:iCs/>
      <w:sz w:val="22"/>
      <w:lang w:val="en-GB"/>
    </w:rPr>
  </w:style>
  <w:style w:type="paragraph" w:customStyle="1" w:styleId="H56GA">
    <w:name w:val="_ H_5/6_GA"/>
    <w:basedOn w:val="Normal"/>
    <w:next w:val="SingleTxtGA"/>
    <w:qFormat/>
    <w:rsid w:val="00F158EB"/>
    <w:pPr>
      <w:keepNext/>
      <w:keepLines/>
      <w:tabs>
        <w:tab w:val="right" w:pos="1021"/>
      </w:tabs>
      <w:suppressAutoHyphens/>
      <w:spacing w:before="240" w:after="120" w:line="380" w:lineRule="exact"/>
      <w:ind w:left="1247" w:right="1247" w:hanging="1247"/>
      <w:outlineLvl w:val="5"/>
    </w:pPr>
    <w:rPr>
      <w:sz w:val="22"/>
      <w:lang w:val="en-GB"/>
    </w:rPr>
  </w:style>
  <w:style w:type="paragraph" w:customStyle="1" w:styleId="SingleTxtGA">
    <w:name w:val="_ Single Txt_GA"/>
    <w:basedOn w:val="Normal"/>
    <w:link w:val="SingleTxtGAChar"/>
    <w:qFormat/>
    <w:rsid w:val="00F158EB"/>
    <w:pPr>
      <w:tabs>
        <w:tab w:val="left" w:pos="1928"/>
        <w:tab w:val="left" w:pos="2608"/>
        <w:tab w:val="left" w:pos="3289"/>
        <w:tab w:val="left" w:pos="3969"/>
        <w:tab w:val="left" w:pos="4649"/>
        <w:tab w:val="left" w:pos="5330"/>
      </w:tabs>
      <w:suppressAutoHyphens/>
      <w:spacing w:after="120" w:line="360" w:lineRule="exact"/>
      <w:ind w:left="1247" w:right="1247"/>
    </w:pPr>
    <w:rPr>
      <w:sz w:val="22"/>
      <w:lang w:val="en-GB"/>
    </w:rPr>
  </w:style>
  <w:style w:type="paragraph" w:customStyle="1" w:styleId="SLGA">
    <w:name w:val="__S_L_GA"/>
    <w:basedOn w:val="Normal"/>
    <w:next w:val="SingleTxtGA"/>
    <w:qFormat/>
    <w:rsid w:val="00F158EB"/>
    <w:pPr>
      <w:keepNext/>
      <w:keepLines/>
      <w:suppressAutoHyphens/>
      <w:spacing w:before="240" w:after="240" w:line="800" w:lineRule="exact"/>
      <w:ind w:left="1247" w:right="1247"/>
    </w:pPr>
    <w:rPr>
      <w:b/>
      <w:bCs/>
      <w:sz w:val="56"/>
      <w:szCs w:val="56"/>
      <w:lang w:val="en-GB"/>
    </w:rPr>
  </w:style>
  <w:style w:type="paragraph" w:customStyle="1" w:styleId="SMGA">
    <w:name w:val="__S_M_GA"/>
    <w:basedOn w:val="Normal"/>
    <w:next w:val="SingleTxtGA"/>
    <w:qFormat/>
    <w:rsid w:val="00F158EB"/>
    <w:pPr>
      <w:keepNext/>
      <w:keepLines/>
      <w:suppressAutoHyphens/>
      <w:spacing w:before="240" w:after="240" w:line="560" w:lineRule="exact"/>
      <w:ind w:left="1247" w:right="1247"/>
    </w:pPr>
    <w:rPr>
      <w:b/>
      <w:bCs/>
      <w:sz w:val="40"/>
      <w:szCs w:val="40"/>
      <w:lang w:val="en-GB"/>
    </w:rPr>
  </w:style>
  <w:style w:type="paragraph" w:customStyle="1" w:styleId="SSGA">
    <w:name w:val="__S_S_GA"/>
    <w:basedOn w:val="Normal"/>
    <w:next w:val="SingleTxtGA"/>
    <w:qFormat/>
    <w:rsid w:val="00F158EB"/>
    <w:pPr>
      <w:keepNext/>
      <w:keepLines/>
      <w:suppressAutoHyphens/>
      <w:spacing w:before="240" w:after="240" w:line="440" w:lineRule="exact"/>
      <w:ind w:left="1134" w:right="1134"/>
    </w:pPr>
    <w:rPr>
      <w:b/>
      <w:bCs/>
      <w:sz w:val="34"/>
      <w:szCs w:val="34"/>
      <w:lang w:val="en-GB"/>
    </w:rPr>
  </w:style>
  <w:style w:type="paragraph" w:customStyle="1" w:styleId="XLargeGA">
    <w:name w:val="__XLarge_GA"/>
    <w:basedOn w:val="Normal"/>
    <w:next w:val="SingleTxtGA"/>
    <w:qFormat/>
    <w:rsid w:val="00F158EB"/>
    <w:pPr>
      <w:keepNext/>
      <w:keepLines/>
      <w:tabs>
        <w:tab w:val="right" w:leader="dot" w:pos="360"/>
      </w:tabs>
      <w:suppressAutoHyphens/>
      <w:spacing w:before="240" w:after="240" w:line="580" w:lineRule="exact"/>
      <w:ind w:left="1247" w:right="1247"/>
    </w:pPr>
    <w:rPr>
      <w:b/>
      <w:bCs/>
      <w:sz w:val="40"/>
      <w:szCs w:val="40"/>
      <w:lang w:val="en-GB"/>
    </w:rPr>
  </w:style>
  <w:style w:type="paragraph" w:customStyle="1" w:styleId="Bullet1GA">
    <w:name w:val="_Bullet 1_GA"/>
    <w:basedOn w:val="NormalA"/>
    <w:qFormat/>
    <w:rsid w:val="00F158EB"/>
    <w:pPr>
      <w:numPr>
        <w:numId w:val="3"/>
      </w:numPr>
      <w:suppressAutoHyphens/>
      <w:spacing w:after="120" w:line="360" w:lineRule="exact"/>
      <w:ind w:right="1247"/>
    </w:pPr>
    <w:rPr>
      <w:sz w:val="22"/>
      <w:lang w:eastAsia="zh-TW"/>
    </w:rPr>
  </w:style>
  <w:style w:type="paragraph" w:customStyle="1" w:styleId="Bullet2GA">
    <w:name w:val="_Bullet 2_GA"/>
    <w:basedOn w:val="Normal"/>
    <w:qFormat/>
    <w:rsid w:val="00F158EB"/>
    <w:pPr>
      <w:numPr>
        <w:numId w:val="4"/>
      </w:numPr>
      <w:tabs>
        <w:tab w:val="clear" w:pos="3215"/>
        <w:tab w:val="left" w:pos="3062"/>
      </w:tabs>
      <w:suppressAutoHyphens/>
      <w:spacing w:after="120" w:line="360" w:lineRule="exact"/>
      <w:ind w:left="3062" w:right="1247" w:hanging="590"/>
    </w:pPr>
    <w:rPr>
      <w:sz w:val="22"/>
      <w:lang w:eastAsia="zh-TW"/>
    </w:rPr>
  </w:style>
  <w:style w:type="paragraph" w:customStyle="1" w:styleId="ParaNoGA">
    <w:name w:val="_ParaNo._GA"/>
    <w:basedOn w:val="SingleTxtGA"/>
    <w:qFormat/>
    <w:rsid w:val="00F158EB"/>
    <w:pPr>
      <w:numPr>
        <w:numId w:val="5"/>
      </w:numPr>
      <w:bidi w:val="0"/>
    </w:pPr>
    <w:rPr>
      <w:lang w:val="en-US"/>
    </w:rPr>
  </w:style>
  <w:style w:type="paragraph" w:customStyle="1" w:styleId="Roman1GA">
    <w:name w:val="_Roman 1_GA"/>
    <w:basedOn w:val="Bullet1GA"/>
    <w:qFormat/>
    <w:rsid w:val="00F158EB"/>
    <w:pPr>
      <w:numPr>
        <w:numId w:val="6"/>
      </w:numPr>
      <w:tabs>
        <w:tab w:val="clear" w:pos="2310"/>
        <w:tab w:val="left" w:pos="2486"/>
      </w:tabs>
      <w:ind w:left="2486" w:hanging="378"/>
    </w:pPr>
  </w:style>
  <w:style w:type="paragraph" w:customStyle="1" w:styleId="Roman2GA">
    <w:name w:val="_Roman 2_GA"/>
    <w:basedOn w:val="Bullet2GA"/>
    <w:qFormat/>
    <w:rsid w:val="00F158EB"/>
    <w:pPr>
      <w:numPr>
        <w:numId w:val="7"/>
      </w:numPr>
      <w:tabs>
        <w:tab w:val="clear" w:pos="2877"/>
        <w:tab w:val="clear" w:pos="3062"/>
        <w:tab w:val="left" w:pos="3060"/>
      </w:tabs>
      <w:ind w:left="3060" w:hanging="392"/>
    </w:pPr>
  </w:style>
  <w:style w:type="paragraph" w:styleId="EndnoteText">
    <w:name w:val="endnote text"/>
    <w:aliases w:val="2_ GA,2_G"/>
    <w:basedOn w:val="Normal"/>
    <w:link w:val="EndnoteTextChar"/>
    <w:uiPriority w:val="99"/>
    <w:qFormat/>
    <w:rsid w:val="00F158EB"/>
    <w:pPr>
      <w:widowControl w:val="0"/>
      <w:tabs>
        <w:tab w:val="right" w:pos="1020"/>
      </w:tabs>
      <w:suppressAutoHyphens/>
      <w:bidi w:val="0"/>
      <w:spacing w:line="220" w:lineRule="exact"/>
      <w:ind w:left="1134" w:right="1134" w:hanging="1134"/>
      <w:jc w:val="left"/>
    </w:pPr>
    <w:rPr>
      <w:sz w:val="18"/>
      <w:szCs w:val="20"/>
      <w:lang w:val="en-GB"/>
    </w:rPr>
  </w:style>
  <w:style w:type="character" w:customStyle="1" w:styleId="EndnoteTextChar">
    <w:name w:val="Endnote Text Char"/>
    <w:aliases w:val="2_ GA Char,2_G Char"/>
    <w:link w:val="EndnoteText"/>
    <w:uiPriority w:val="99"/>
    <w:rsid w:val="00F158EB"/>
    <w:rPr>
      <w:rFonts w:ascii="Times New Roman" w:eastAsia="PMingLiU" w:hAnsi="Times New Roman" w:cs="Simplified Arabic"/>
      <w:sz w:val="18"/>
      <w:lang w:val="en-GB" w:eastAsia="en-US"/>
    </w:rPr>
  </w:style>
  <w:style w:type="character" w:customStyle="1" w:styleId="EndtnoteReference">
    <w:name w:val="Endtnote Reference"/>
    <w:aliases w:val="1_GA"/>
    <w:qFormat/>
    <w:rsid w:val="00F158EB"/>
    <w:rPr>
      <w:rFonts w:ascii="Times New Roman Bold" w:hAnsi="Times New Roman Bold" w:cs="Traditional Arabic"/>
      <w:b/>
      <w:i w:val="0"/>
      <w:kern w:val="0"/>
      <w:sz w:val="18"/>
      <w:szCs w:val="18"/>
      <w:vertAlign w:val="superscript"/>
    </w:rPr>
  </w:style>
  <w:style w:type="paragraph" w:styleId="Footer">
    <w:name w:val="footer"/>
    <w:aliases w:val="3_GA,3_G"/>
    <w:basedOn w:val="Normal"/>
    <w:link w:val="FooterChar"/>
    <w:qFormat/>
    <w:rsid w:val="00F158EB"/>
    <w:pPr>
      <w:suppressAutoHyphens/>
      <w:bidi w:val="0"/>
      <w:spacing w:line="240" w:lineRule="auto"/>
    </w:pPr>
    <w:rPr>
      <w:sz w:val="16"/>
      <w:lang w:val="en-GB"/>
    </w:rPr>
  </w:style>
  <w:style w:type="character" w:customStyle="1" w:styleId="FooterChar">
    <w:name w:val="Footer Char"/>
    <w:aliases w:val="3_GA Char,3_G Char"/>
    <w:link w:val="Footer"/>
    <w:rsid w:val="00F158EB"/>
    <w:rPr>
      <w:rFonts w:ascii="Times New Roman" w:eastAsia="PMingLiU" w:hAnsi="Times New Roman" w:cs="Simplified Arabic"/>
      <w:sz w:val="16"/>
      <w:szCs w:val="22"/>
      <w:lang w:val="en-GB" w:eastAsia="en-US"/>
    </w:rPr>
  </w:style>
  <w:style w:type="paragraph" w:customStyle="1" w:styleId="FootnoteText1">
    <w:name w:val="Footnote Text1"/>
    <w:aliases w:val="5_GA"/>
    <w:basedOn w:val="Normal"/>
    <w:qFormat/>
    <w:rsid w:val="00F158EB"/>
    <w:pPr>
      <w:spacing w:after="60" w:line="280" w:lineRule="exact"/>
      <w:ind w:left="1247" w:right="1247" w:hanging="567"/>
    </w:pPr>
    <w:rPr>
      <w:sz w:val="18"/>
      <w:szCs w:val="18"/>
    </w:rPr>
  </w:style>
  <w:style w:type="paragraph" w:styleId="Header">
    <w:name w:val="header"/>
    <w:aliases w:val="6_GA,6_G"/>
    <w:basedOn w:val="Normal"/>
    <w:link w:val="HeaderChar"/>
    <w:uiPriority w:val="99"/>
    <w:qFormat/>
    <w:rsid w:val="00F158EB"/>
    <w:pPr>
      <w:pBdr>
        <w:bottom w:val="single" w:sz="4" w:space="4" w:color="auto"/>
      </w:pBdr>
      <w:suppressAutoHyphens/>
      <w:spacing w:line="240" w:lineRule="auto"/>
    </w:pPr>
    <w:rPr>
      <w:b/>
      <w:bCs/>
      <w:sz w:val="18"/>
      <w:szCs w:val="18"/>
    </w:rPr>
  </w:style>
  <w:style w:type="character" w:customStyle="1" w:styleId="HeaderChar">
    <w:name w:val="Header Char"/>
    <w:aliases w:val="6_GA Char,6_G Char"/>
    <w:link w:val="Header"/>
    <w:uiPriority w:val="99"/>
    <w:rsid w:val="00F158EB"/>
    <w:rPr>
      <w:rFonts w:ascii="Times New Roman" w:eastAsia="PMingLiU" w:hAnsi="Times New Roman" w:cs="Simplified Arabic"/>
      <w:b/>
      <w:bCs/>
      <w:sz w:val="18"/>
      <w:szCs w:val="18"/>
      <w:lang w:eastAsia="en-US"/>
    </w:rPr>
  </w:style>
  <w:style w:type="character" w:customStyle="1" w:styleId="Heading1Char">
    <w:name w:val="Heading 1 Char"/>
    <w:aliases w:val="Table_GA Char,Table_G Char"/>
    <w:link w:val="Heading1"/>
    <w:rsid w:val="00F158EB"/>
    <w:rPr>
      <w:rFonts w:ascii="Times New Roman" w:eastAsia="PMingLiU" w:hAnsi="Times New Roman" w:cs="Simplified Arabic"/>
      <w:sz w:val="22"/>
      <w:szCs w:val="22"/>
      <w:lang w:val="en-GB" w:eastAsia="en-US"/>
    </w:rPr>
  </w:style>
  <w:style w:type="character" w:styleId="PageNumber">
    <w:name w:val="page number"/>
    <w:aliases w:val="7_GA,7_G"/>
    <w:qFormat/>
    <w:rsid w:val="00F158EB"/>
    <w:rPr>
      <w:rFonts w:ascii="Times New Roman Bold" w:hAnsi="Times New Roman Bold"/>
      <w:b/>
      <w:i w:val="0"/>
      <w:sz w:val="18"/>
      <w:szCs w:val="18"/>
    </w:rPr>
  </w:style>
  <w:style w:type="paragraph" w:customStyle="1" w:styleId="XXLargeGA">
    <w:name w:val="XXLarge_GA"/>
    <w:basedOn w:val="Normal"/>
    <w:next w:val="SingleTxtGA"/>
    <w:qFormat/>
    <w:rsid w:val="00F158EB"/>
    <w:pPr>
      <w:suppressAutoHyphens/>
      <w:spacing w:line="820" w:lineRule="exact"/>
    </w:pPr>
    <w:rPr>
      <w:spacing w:val="-8"/>
      <w:w w:val="96"/>
      <w:sz w:val="57"/>
      <w:szCs w:val="86"/>
      <w:lang w:val="en-GB"/>
    </w:rPr>
  </w:style>
  <w:style w:type="character" w:customStyle="1" w:styleId="Heading2Char">
    <w:name w:val="Heading 2 Char"/>
    <w:link w:val="Heading2"/>
    <w:uiPriority w:val="9"/>
    <w:rsid w:val="00F158EB"/>
    <w:rPr>
      <w:rFonts w:ascii="Times New Roman" w:eastAsia="PMingLiU" w:hAnsi="Times New Roman" w:cs="Simplified Arabic"/>
      <w:b/>
      <w:bCs/>
      <w:color w:val="4F81BD"/>
      <w:sz w:val="26"/>
      <w:szCs w:val="26"/>
      <w:lang w:eastAsia="en-US"/>
    </w:rPr>
  </w:style>
  <w:style w:type="character" w:styleId="BookTitle">
    <w:name w:val="Book Title"/>
    <w:uiPriority w:val="33"/>
    <w:rsid w:val="00F158EB"/>
    <w:rPr>
      <w:b/>
      <w:bCs/>
      <w:smallCaps/>
      <w:spacing w:val="5"/>
    </w:rPr>
  </w:style>
  <w:style w:type="character" w:customStyle="1" w:styleId="Heading3Char">
    <w:name w:val="Heading 3 Char"/>
    <w:link w:val="Heading3"/>
    <w:uiPriority w:val="9"/>
    <w:rsid w:val="00F158EB"/>
    <w:rPr>
      <w:rFonts w:ascii="Times New Roman" w:eastAsia="PMingLiU" w:hAnsi="Times New Roman" w:cs="Simplified Arabic"/>
      <w:b/>
      <w:bCs/>
      <w:color w:val="4F81BD"/>
      <w:szCs w:val="22"/>
      <w:lang w:eastAsia="en-US"/>
    </w:rPr>
  </w:style>
  <w:style w:type="character" w:customStyle="1" w:styleId="Heading4Char">
    <w:name w:val="Heading 4 Char"/>
    <w:link w:val="Heading4"/>
    <w:uiPriority w:val="9"/>
    <w:rsid w:val="00F158EB"/>
    <w:rPr>
      <w:rFonts w:ascii="Times New Roman" w:eastAsia="PMingLiU" w:hAnsi="Times New Roman" w:cs="Simplified Arabic"/>
      <w:b/>
      <w:bCs/>
      <w:i/>
      <w:iCs/>
      <w:color w:val="4F81BD"/>
      <w:szCs w:val="22"/>
      <w:lang w:eastAsia="en-US"/>
    </w:rPr>
  </w:style>
  <w:style w:type="character" w:customStyle="1" w:styleId="Heading5Char">
    <w:name w:val="Heading 5 Char"/>
    <w:link w:val="Heading5"/>
    <w:uiPriority w:val="9"/>
    <w:rsid w:val="00F158EB"/>
    <w:rPr>
      <w:rFonts w:ascii="Times New Roman" w:eastAsia="PMingLiU" w:hAnsi="Times New Roman" w:cs="Simplified Arabic"/>
      <w:color w:val="243F60"/>
      <w:szCs w:val="22"/>
      <w:lang w:eastAsia="en-US"/>
    </w:rPr>
  </w:style>
  <w:style w:type="character" w:customStyle="1" w:styleId="Heading6Char">
    <w:name w:val="Heading 6 Char"/>
    <w:link w:val="Heading6"/>
    <w:uiPriority w:val="9"/>
    <w:rsid w:val="00F158EB"/>
    <w:rPr>
      <w:rFonts w:ascii="Times New Roman" w:eastAsia="PMingLiU" w:hAnsi="Times New Roman" w:cs="Simplified Arabic"/>
      <w:i/>
      <w:iCs/>
      <w:color w:val="243F60"/>
      <w:szCs w:val="22"/>
      <w:lang w:eastAsia="en-US"/>
    </w:rPr>
  </w:style>
  <w:style w:type="character" w:customStyle="1" w:styleId="Heading7Char">
    <w:name w:val="Heading 7 Char"/>
    <w:link w:val="Heading7"/>
    <w:uiPriority w:val="9"/>
    <w:rsid w:val="00F158EB"/>
    <w:rPr>
      <w:rFonts w:ascii="Times New Roman" w:eastAsia="PMingLiU" w:hAnsi="Times New Roman" w:cs="Simplified Arabic"/>
      <w:i/>
      <w:iCs/>
      <w:color w:val="404040"/>
      <w:szCs w:val="22"/>
      <w:lang w:eastAsia="en-US"/>
    </w:rPr>
  </w:style>
  <w:style w:type="character" w:customStyle="1" w:styleId="Heading8Char">
    <w:name w:val="Heading 8 Char"/>
    <w:link w:val="Heading8"/>
    <w:uiPriority w:val="9"/>
    <w:rsid w:val="00F158EB"/>
    <w:rPr>
      <w:rFonts w:ascii="Times New Roman" w:eastAsia="PMingLiU" w:hAnsi="Times New Roman" w:cs="Simplified Arabic"/>
      <w:color w:val="404040"/>
      <w:lang w:eastAsia="en-US"/>
    </w:rPr>
  </w:style>
  <w:style w:type="character" w:customStyle="1" w:styleId="Heading9Char">
    <w:name w:val="Heading 9 Char"/>
    <w:link w:val="Heading9"/>
    <w:uiPriority w:val="9"/>
    <w:rsid w:val="00F158EB"/>
    <w:rPr>
      <w:rFonts w:ascii="Times New Roman" w:eastAsia="PMingLiU" w:hAnsi="Times New Roman" w:cs="Simplified Arabic"/>
      <w:i/>
      <w:iCs/>
      <w:color w:val="404040"/>
      <w:lang w:eastAsia="en-US"/>
    </w:rPr>
  </w:style>
  <w:style w:type="paragraph" w:styleId="Title">
    <w:name w:val="Title"/>
    <w:basedOn w:val="Normal"/>
    <w:next w:val="Normal"/>
    <w:link w:val="TitleChar"/>
    <w:uiPriority w:val="10"/>
    <w:rsid w:val="00F158EB"/>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rsid w:val="00F158EB"/>
    <w:rPr>
      <w:rFonts w:ascii="Times New Roman" w:eastAsia="PMingLiU" w:hAnsi="Times New Roman" w:cs="Simplified Arabic"/>
      <w:color w:val="17365D"/>
      <w:spacing w:val="5"/>
      <w:kern w:val="28"/>
      <w:sz w:val="52"/>
      <w:szCs w:val="52"/>
      <w:lang w:eastAsia="en-US"/>
    </w:rPr>
  </w:style>
  <w:style w:type="paragraph" w:styleId="Subtitle">
    <w:name w:val="Subtitle"/>
    <w:basedOn w:val="Normal"/>
    <w:next w:val="Normal"/>
    <w:link w:val="SubtitleChar"/>
    <w:uiPriority w:val="11"/>
    <w:rsid w:val="00F158EB"/>
    <w:pPr>
      <w:numPr>
        <w:ilvl w:val="1"/>
      </w:numPr>
    </w:pPr>
    <w:rPr>
      <w:i/>
      <w:iCs/>
      <w:color w:val="4F81BD"/>
      <w:spacing w:val="15"/>
      <w:sz w:val="24"/>
      <w:szCs w:val="24"/>
    </w:rPr>
  </w:style>
  <w:style w:type="character" w:customStyle="1" w:styleId="SubtitleChar">
    <w:name w:val="Subtitle Char"/>
    <w:link w:val="Subtitle"/>
    <w:uiPriority w:val="11"/>
    <w:rsid w:val="00F158EB"/>
    <w:rPr>
      <w:rFonts w:ascii="Times New Roman" w:eastAsia="PMingLiU" w:hAnsi="Times New Roman" w:cs="Simplified Arabic"/>
      <w:i/>
      <w:iCs/>
      <w:color w:val="4F81BD"/>
      <w:spacing w:val="15"/>
      <w:sz w:val="24"/>
      <w:szCs w:val="24"/>
      <w:lang w:eastAsia="en-US"/>
    </w:rPr>
  </w:style>
  <w:style w:type="character" w:styleId="SubtleEmphasis">
    <w:name w:val="Subtle Emphasis"/>
    <w:uiPriority w:val="19"/>
    <w:rsid w:val="00F158EB"/>
    <w:rPr>
      <w:i/>
      <w:iCs/>
      <w:color w:val="808080"/>
    </w:rPr>
  </w:style>
  <w:style w:type="table" w:styleId="ColorfulGrid-Accent6">
    <w:name w:val="Colorful Grid Accent 6"/>
    <w:basedOn w:val="TableNormal"/>
    <w:uiPriority w:val="73"/>
    <w:rsid w:val="00F158EB"/>
    <w:rPr>
      <w:rFonts w:eastAsia="PMingLiU"/>
      <w:color w:val="000000"/>
      <w:lang w:eastAsia="zh-CN"/>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F158EB"/>
    <w:rPr>
      <w:i/>
      <w:iCs/>
    </w:rPr>
  </w:style>
  <w:style w:type="character" w:styleId="IntenseEmphasis">
    <w:name w:val="Intense Emphasis"/>
    <w:uiPriority w:val="21"/>
    <w:rsid w:val="00F158EB"/>
    <w:rPr>
      <w:b/>
      <w:bCs/>
      <w:i/>
      <w:iCs/>
      <w:color w:val="4F81BD"/>
    </w:rPr>
  </w:style>
  <w:style w:type="character" w:styleId="Strong">
    <w:name w:val="Strong"/>
    <w:uiPriority w:val="22"/>
    <w:rsid w:val="00F158EB"/>
    <w:rPr>
      <w:b/>
      <w:bCs/>
    </w:rPr>
  </w:style>
  <w:style w:type="paragraph" w:styleId="Quote">
    <w:name w:val="Quote"/>
    <w:basedOn w:val="Normal"/>
    <w:next w:val="Normal"/>
    <w:link w:val="QuoteChar"/>
    <w:uiPriority w:val="29"/>
    <w:rsid w:val="00F158EB"/>
    <w:rPr>
      <w:i/>
      <w:iCs/>
      <w:color w:val="000000"/>
    </w:rPr>
  </w:style>
  <w:style w:type="character" w:customStyle="1" w:styleId="QuoteChar">
    <w:name w:val="Quote Char"/>
    <w:link w:val="Quote"/>
    <w:uiPriority w:val="29"/>
    <w:rsid w:val="00F158EB"/>
    <w:rPr>
      <w:rFonts w:ascii="Times New Roman" w:eastAsia="PMingLiU" w:hAnsi="Times New Roman" w:cs="Simplified Arabic"/>
      <w:i/>
      <w:iCs/>
      <w:color w:val="000000"/>
      <w:szCs w:val="22"/>
      <w:lang w:eastAsia="en-US"/>
    </w:rPr>
  </w:style>
  <w:style w:type="paragraph" w:styleId="IntenseQuote">
    <w:name w:val="Intense Quote"/>
    <w:basedOn w:val="Normal"/>
    <w:next w:val="Normal"/>
    <w:link w:val="IntenseQuoteChar"/>
    <w:uiPriority w:val="30"/>
    <w:rsid w:val="00F158EB"/>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F158EB"/>
    <w:rPr>
      <w:rFonts w:ascii="Times New Roman" w:eastAsia="PMingLiU" w:hAnsi="Times New Roman" w:cs="Simplified Arabic"/>
      <w:b/>
      <w:bCs/>
      <w:i/>
      <w:iCs/>
      <w:color w:val="4F81BD"/>
      <w:szCs w:val="22"/>
      <w:lang w:eastAsia="en-US"/>
    </w:rPr>
  </w:style>
  <w:style w:type="character" w:styleId="SubtleReference">
    <w:name w:val="Subtle Reference"/>
    <w:uiPriority w:val="31"/>
    <w:rsid w:val="00F158EB"/>
    <w:rPr>
      <w:smallCaps/>
      <w:color w:val="C0504D"/>
      <w:u w:val="single"/>
    </w:rPr>
  </w:style>
  <w:style w:type="character" w:styleId="IntenseReference">
    <w:name w:val="Intense Reference"/>
    <w:uiPriority w:val="32"/>
    <w:rsid w:val="00F158EB"/>
    <w:rPr>
      <w:b/>
      <w:bCs/>
      <w:smallCaps/>
      <w:color w:val="C0504D"/>
      <w:spacing w:val="5"/>
      <w:u w:val="single"/>
    </w:rPr>
  </w:style>
  <w:style w:type="paragraph" w:styleId="ListParagraph">
    <w:name w:val="List Paragraph"/>
    <w:aliases w:val="Evidence on Demand bullet points,CEIL PEAKS bullet points,Scriptoria bullet points,Dot pt,F5 List Paragraph,List Paragraph1,No Spacing1,List Paragraph Char Char Char,Indicator Text,Numbered Para 1,MAIN CONTENT,Bullets,Lapis Bulleted List"/>
    <w:basedOn w:val="Normal"/>
    <w:link w:val="ListParagraphChar"/>
    <w:uiPriority w:val="34"/>
    <w:qFormat/>
    <w:rsid w:val="00F158EB"/>
    <w:pPr>
      <w:ind w:left="720"/>
    </w:pPr>
  </w:style>
  <w:style w:type="table" w:styleId="MediumShading1-Accent4">
    <w:name w:val="Medium Shading 1 Accent 4"/>
    <w:basedOn w:val="TableNormal"/>
    <w:uiPriority w:val="63"/>
    <w:rsid w:val="00F158EB"/>
    <w:rPr>
      <w:rFonts w:eastAsia="PMingLiU"/>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aliases w:val="1_G"/>
    <w:unhideWhenUsed/>
    <w:qFormat/>
    <w:rsid w:val="00F158EB"/>
    <w:rPr>
      <w:rFonts w:eastAsia="MS Mincho"/>
      <w:sz w:val="18"/>
      <w:vertAlign w:val="superscript"/>
    </w:rPr>
  </w:style>
  <w:style w:type="table" w:styleId="TableGrid">
    <w:name w:val="Table Grid"/>
    <w:basedOn w:val="TableNormal"/>
    <w:rsid w:val="00F158EB"/>
    <w:pPr>
      <w:bidi/>
      <w:jc w:val="lowKashida"/>
    </w:pPr>
    <w:rPr>
      <w:rFonts w:ascii="Times New Roman" w:eastAsia="PMingLiU"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158EB"/>
    <w:pPr>
      <w:spacing w:line="240" w:lineRule="auto"/>
    </w:pPr>
    <w:rPr>
      <w:sz w:val="16"/>
      <w:szCs w:val="16"/>
    </w:rPr>
  </w:style>
  <w:style w:type="character" w:customStyle="1" w:styleId="BalloonTextChar">
    <w:name w:val="Balloon Text Char"/>
    <w:link w:val="BalloonText"/>
    <w:uiPriority w:val="99"/>
    <w:semiHidden/>
    <w:rsid w:val="00F158EB"/>
    <w:rPr>
      <w:rFonts w:ascii="Times New Roman" w:eastAsia="PMingLiU" w:hAnsi="Times New Roman" w:cs="Simplified Arabic"/>
      <w:sz w:val="16"/>
      <w:szCs w:val="16"/>
      <w:lang w:eastAsia="en-US"/>
    </w:rPr>
  </w:style>
  <w:style w:type="character" w:styleId="Hyperlink">
    <w:name w:val="Hyperlink"/>
    <w:uiPriority w:val="99"/>
    <w:unhideWhenUsed/>
    <w:rsid w:val="00F158EB"/>
    <w:rPr>
      <w:color w:val="0000FF"/>
      <w:u w:val="none"/>
    </w:rPr>
  </w:style>
  <w:style w:type="paragraph" w:styleId="TOC1">
    <w:name w:val="toc 1"/>
    <w:basedOn w:val="Normal"/>
    <w:link w:val="TOC1Char"/>
    <w:autoRedefine/>
    <w:uiPriority w:val="39"/>
    <w:unhideWhenUsed/>
    <w:rsid w:val="00F158EB"/>
    <w:pPr>
      <w:tabs>
        <w:tab w:val="right" w:pos="1021"/>
        <w:tab w:val="left" w:pos="1077"/>
        <w:tab w:val="left" w:pos="1525"/>
        <w:tab w:val="left" w:leader="dot" w:pos="7467"/>
        <w:tab w:val="left" w:pos="7972"/>
        <w:tab w:val="right" w:pos="9639"/>
      </w:tabs>
      <w:suppressAutoHyphens/>
      <w:spacing w:before="120" w:line="340" w:lineRule="exact"/>
      <w:ind w:left="1525" w:right="2211" w:hanging="1525"/>
    </w:pPr>
    <w:rPr>
      <w:noProof/>
      <w:szCs w:val="20"/>
      <w:lang w:val="fr-CH" w:eastAsia="zh-TW" w:bidi="ar-EG"/>
    </w:rPr>
  </w:style>
  <w:style w:type="paragraph" w:styleId="TOC2">
    <w:name w:val="toc 2"/>
    <w:basedOn w:val="Normal"/>
    <w:link w:val="TOC2Char"/>
    <w:autoRedefine/>
    <w:uiPriority w:val="39"/>
    <w:unhideWhenUsed/>
    <w:rsid w:val="00F158EB"/>
    <w:pPr>
      <w:tabs>
        <w:tab w:val="left" w:pos="1843"/>
        <w:tab w:val="left" w:pos="2206"/>
        <w:tab w:val="left" w:leader="dot" w:pos="7467"/>
        <w:tab w:val="left" w:pos="7972"/>
        <w:tab w:val="right" w:pos="9639"/>
      </w:tabs>
      <w:suppressAutoHyphens/>
      <w:spacing w:line="340" w:lineRule="exact"/>
      <w:ind w:left="2205" w:right="2206" w:hanging="680"/>
    </w:pPr>
    <w:rPr>
      <w:noProof/>
      <w:szCs w:val="20"/>
      <w:lang w:val="fr-CH"/>
    </w:rPr>
  </w:style>
  <w:style w:type="paragraph" w:styleId="TOC3">
    <w:name w:val="toc 3"/>
    <w:basedOn w:val="TOC2"/>
    <w:next w:val="Normal"/>
    <w:link w:val="TOC3Char"/>
    <w:autoRedefine/>
    <w:uiPriority w:val="39"/>
    <w:unhideWhenUsed/>
    <w:rsid w:val="00F158EB"/>
    <w:pPr>
      <w:tabs>
        <w:tab w:val="clear" w:pos="1843"/>
        <w:tab w:val="clear" w:pos="2206"/>
        <w:tab w:val="left" w:pos="2325"/>
      </w:tabs>
      <w:suppressAutoHyphens w:val="0"/>
      <w:ind w:left="2886"/>
    </w:pPr>
    <w:rPr>
      <w:lang w:bidi="ar-EG"/>
    </w:rPr>
  </w:style>
  <w:style w:type="character" w:customStyle="1" w:styleId="PagesNumbers">
    <w:name w:val="Pages Numbers"/>
    <w:uiPriority w:val="1"/>
    <w:qFormat/>
    <w:rsid w:val="00F158EB"/>
    <w:rPr>
      <w:rFonts w:eastAsia="DengXian"/>
      <w:color w:val="auto"/>
      <w:sz w:val="20"/>
      <w:szCs w:val="20"/>
      <w:u w:val="none"/>
      <w:lang w:eastAsia="zh-CN" w:bidi="ar-EG"/>
    </w:rPr>
  </w:style>
  <w:style w:type="paragraph" w:styleId="TOC4">
    <w:name w:val="toc 4"/>
    <w:basedOn w:val="Normal"/>
    <w:link w:val="TOC4Char"/>
    <w:autoRedefine/>
    <w:uiPriority w:val="39"/>
    <w:unhideWhenUsed/>
    <w:rsid w:val="00F158EB"/>
    <w:pPr>
      <w:tabs>
        <w:tab w:val="right" w:pos="1021"/>
        <w:tab w:val="left" w:pos="1077"/>
        <w:tab w:val="left" w:pos="1525"/>
        <w:tab w:val="left" w:leader="dot" w:pos="9065"/>
        <w:tab w:val="right" w:pos="9639"/>
      </w:tabs>
      <w:suppressAutoHyphens/>
      <w:spacing w:before="120" w:line="340" w:lineRule="exact"/>
      <w:ind w:left="1525" w:right="567" w:hanging="1525"/>
    </w:pPr>
    <w:rPr>
      <w:noProof/>
      <w:szCs w:val="20"/>
      <w:lang w:val="en-GB"/>
    </w:rPr>
  </w:style>
  <w:style w:type="paragraph" w:styleId="TOC5">
    <w:name w:val="toc 5"/>
    <w:basedOn w:val="Normal"/>
    <w:link w:val="TOC5Char"/>
    <w:autoRedefine/>
    <w:uiPriority w:val="39"/>
    <w:unhideWhenUsed/>
    <w:rsid w:val="00F158EB"/>
    <w:pPr>
      <w:tabs>
        <w:tab w:val="left" w:pos="1843"/>
        <w:tab w:val="left" w:pos="2206"/>
        <w:tab w:val="left" w:leader="dot" w:pos="9065"/>
        <w:tab w:val="right" w:pos="9639"/>
      </w:tabs>
      <w:suppressAutoHyphens/>
      <w:spacing w:line="340" w:lineRule="exact"/>
      <w:ind w:left="2205" w:right="567" w:hanging="680"/>
    </w:pPr>
    <w:rPr>
      <w:noProof/>
      <w:szCs w:val="20"/>
      <w:lang w:val="en-GB"/>
    </w:rPr>
  </w:style>
  <w:style w:type="paragraph" w:styleId="TOC6">
    <w:name w:val="toc 6"/>
    <w:basedOn w:val="Normal"/>
    <w:link w:val="TOC6Char"/>
    <w:autoRedefine/>
    <w:uiPriority w:val="39"/>
    <w:unhideWhenUsed/>
    <w:rsid w:val="00F158EB"/>
    <w:pPr>
      <w:tabs>
        <w:tab w:val="left" w:pos="2325"/>
        <w:tab w:val="left" w:leader="dot" w:pos="9065"/>
        <w:tab w:val="right" w:pos="9639"/>
      </w:tabs>
      <w:suppressAutoHyphens/>
      <w:spacing w:line="340" w:lineRule="exact"/>
      <w:ind w:left="2886" w:right="567" w:hanging="680"/>
    </w:pPr>
    <w:rPr>
      <w:szCs w:val="20"/>
      <w:lang w:val="en-GB"/>
    </w:rPr>
  </w:style>
  <w:style w:type="paragraph" w:customStyle="1" w:styleId="a">
    <w:name w:val="المحتويات_بلا_فقرات"/>
    <w:rsid w:val="00F158EB"/>
    <w:pPr>
      <w:tabs>
        <w:tab w:val="left" w:pos="1928"/>
        <w:tab w:val="left" w:pos="2608"/>
        <w:tab w:val="left" w:pos="3289"/>
        <w:tab w:val="left" w:pos="3969"/>
        <w:tab w:val="left" w:pos="4649"/>
        <w:tab w:val="left" w:pos="5330"/>
      </w:tabs>
      <w:bidi/>
      <w:spacing w:after="120" w:line="360" w:lineRule="exact"/>
      <w:ind w:left="1247" w:right="1247"/>
      <w:jc w:val="lowKashida"/>
    </w:pPr>
    <w:rPr>
      <w:rFonts w:ascii="Times New Roman" w:eastAsia="PMingLiU" w:hAnsi="Times New Roman" w:cs="Simplified Arabic"/>
      <w:szCs w:val="28"/>
      <w:lang w:eastAsia="en-US"/>
    </w:rPr>
  </w:style>
  <w:style w:type="table" w:customStyle="1" w:styleId="TABLEA">
    <w:name w:val="TABLE_A"/>
    <w:basedOn w:val="TableNormal"/>
    <w:uiPriority w:val="99"/>
    <w:rsid w:val="00F158EB"/>
    <w:pPr>
      <w:bidi/>
      <w:spacing w:before="80" w:after="80" w:line="320" w:lineRule="exact"/>
      <w:ind w:left="113" w:right="113"/>
      <w:jc w:val="lowKashida"/>
    </w:pPr>
    <w:rPr>
      <w:rFonts w:ascii="Times New Roman" w:eastAsiaTheme="minorEastAsia" w:hAnsi="Times New Roman" w:cs="Traditional Arabic"/>
      <w:sz w:val="18"/>
      <w:szCs w:val="28"/>
      <w:lang w:eastAsia="zh-CN"/>
    </w:rPr>
    <w:tblPr>
      <w:jc w:val="right"/>
    </w:tblPr>
    <w:trPr>
      <w:jc w:val="right"/>
    </w:trPr>
    <w:tcPr>
      <w:tcMar>
        <w:left w:w="0" w:type="dxa"/>
        <w:right w:w="0" w:type="dxa"/>
      </w:tcMar>
    </w:tcPr>
    <w:tblStylePr w:type="firstRow">
      <w:tblPr/>
      <w:tcPr>
        <w:tcBorders>
          <w:top w:val="single" w:sz="4" w:space="0" w:color="auto"/>
          <w:left w:val="nil"/>
          <w:bottom w:val="single" w:sz="12" w:space="0" w:color="auto"/>
          <w:right w:val="nil"/>
          <w:insideH w:val="nil"/>
          <w:insideV w:val="nil"/>
          <w:tl2br w:val="nil"/>
          <w:tr2bl w:val="nil"/>
        </w:tcBorders>
      </w:tcPr>
    </w:tblStylePr>
    <w:tblStylePr w:type="lastRow">
      <w:pPr>
        <w:wordWrap/>
        <w:spacing w:beforeLines="0" w:before="80" w:beforeAutospacing="0" w:afterLines="0" w:after="80" w:afterAutospacing="0" w:line="320" w:lineRule="exact"/>
        <w:ind w:leftChars="0" w:left="113" w:rightChars="0" w:right="113" w:firstLineChars="0" w:firstLine="0"/>
        <w:jc w:val="lowKashida"/>
      </w:pPr>
      <w:tblPr/>
      <w:tcPr>
        <w:tcBorders>
          <w:top w:val="nil"/>
          <w:left w:val="nil"/>
          <w:bottom w:val="single" w:sz="12" w:space="0" w:color="auto"/>
          <w:right w:val="nil"/>
          <w:insideH w:val="nil"/>
          <w:insideV w:val="nil"/>
          <w:tl2br w:val="nil"/>
          <w:tr2bl w:val="nil"/>
        </w:tcBorders>
      </w:tcPr>
    </w:tblStylePr>
  </w:style>
  <w:style w:type="character" w:customStyle="1" w:styleId="SingleTxtGAChar">
    <w:name w:val="_ Single Txt_GA Char"/>
    <w:basedOn w:val="DefaultParagraphFont"/>
    <w:link w:val="SingleTxtGA"/>
    <w:locked/>
    <w:rsid w:val="00F158EB"/>
    <w:rPr>
      <w:rFonts w:ascii="Times New Roman" w:eastAsia="PMingLiU" w:hAnsi="Times New Roman" w:cs="Simplified Arabic"/>
      <w:sz w:val="22"/>
      <w:szCs w:val="22"/>
      <w:lang w:val="en-GB" w:eastAsia="en-US"/>
    </w:rPr>
  </w:style>
  <w:style w:type="character" w:styleId="UnresolvedMention">
    <w:name w:val="Unresolved Mention"/>
    <w:basedOn w:val="DefaultParagraphFont"/>
    <w:uiPriority w:val="99"/>
    <w:semiHidden/>
    <w:unhideWhenUsed/>
    <w:rsid w:val="00F158EB"/>
    <w:rPr>
      <w:color w:val="605E5C"/>
      <w:shd w:val="clear" w:color="auto" w:fill="E1DFDD"/>
    </w:rPr>
  </w:style>
  <w:style w:type="character" w:customStyle="1" w:styleId="TOC1Char">
    <w:name w:val="TOC 1 Char"/>
    <w:basedOn w:val="DefaultParagraphFont"/>
    <w:link w:val="TOC1"/>
    <w:uiPriority w:val="39"/>
    <w:rsid w:val="00F158EB"/>
    <w:rPr>
      <w:rFonts w:ascii="Times New Roman" w:eastAsia="PMingLiU" w:hAnsi="Times New Roman" w:cs="Simplified Arabic"/>
      <w:noProof/>
      <w:lang w:val="fr-CH" w:bidi="ar-EG"/>
    </w:rPr>
  </w:style>
  <w:style w:type="character" w:customStyle="1" w:styleId="TOC2Char">
    <w:name w:val="TOC 2 Char"/>
    <w:basedOn w:val="DefaultParagraphFont"/>
    <w:link w:val="TOC2"/>
    <w:uiPriority w:val="39"/>
    <w:rsid w:val="00F158EB"/>
    <w:rPr>
      <w:rFonts w:ascii="Times New Roman" w:eastAsia="PMingLiU" w:hAnsi="Times New Roman" w:cs="Simplified Arabic"/>
      <w:noProof/>
      <w:lang w:val="fr-CH" w:eastAsia="en-US"/>
    </w:rPr>
  </w:style>
  <w:style w:type="character" w:customStyle="1" w:styleId="TOC3Char">
    <w:name w:val="TOC 3 Char"/>
    <w:basedOn w:val="TOC2Char"/>
    <w:link w:val="TOC3"/>
    <w:uiPriority w:val="39"/>
    <w:rsid w:val="00F158EB"/>
    <w:rPr>
      <w:rFonts w:ascii="Times New Roman" w:eastAsia="PMingLiU" w:hAnsi="Times New Roman" w:cs="Simplified Arabic"/>
      <w:noProof/>
      <w:lang w:val="fr-CH" w:eastAsia="en-US" w:bidi="ar-EG"/>
    </w:rPr>
  </w:style>
  <w:style w:type="character" w:customStyle="1" w:styleId="TOC4Char">
    <w:name w:val="TOC 4 Char"/>
    <w:basedOn w:val="DefaultParagraphFont"/>
    <w:link w:val="TOC4"/>
    <w:uiPriority w:val="39"/>
    <w:rsid w:val="00F158EB"/>
    <w:rPr>
      <w:rFonts w:ascii="Times New Roman" w:eastAsia="PMingLiU" w:hAnsi="Times New Roman" w:cs="Simplified Arabic"/>
      <w:noProof/>
      <w:lang w:val="en-GB" w:eastAsia="en-US"/>
    </w:rPr>
  </w:style>
  <w:style w:type="character" w:customStyle="1" w:styleId="TOC5Char">
    <w:name w:val="TOC 5 Char"/>
    <w:basedOn w:val="DefaultParagraphFont"/>
    <w:link w:val="TOC5"/>
    <w:uiPriority w:val="39"/>
    <w:rsid w:val="00F158EB"/>
    <w:rPr>
      <w:rFonts w:ascii="Times New Roman" w:eastAsia="PMingLiU" w:hAnsi="Times New Roman" w:cs="Simplified Arabic"/>
      <w:noProof/>
      <w:lang w:val="en-GB" w:eastAsia="en-US"/>
    </w:rPr>
  </w:style>
  <w:style w:type="character" w:customStyle="1" w:styleId="TOC6Char">
    <w:name w:val="TOC 6 Char"/>
    <w:basedOn w:val="DefaultParagraphFont"/>
    <w:link w:val="TOC6"/>
    <w:uiPriority w:val="39"/>
    <w:rsid w:val="00F158EB"/>
    <w:rPr>
      <w:rFonts w:ascii="Times New Roman" w:eastAsia="PMingLiU" w:hAnsi="Times New Roman" w:cs="Simplified Arabic"/>
      <w:lang w:val="en-GB" w:eastAsia="en-US"/>
    </w:rPr>
  </w:style>
  <w:style w:type="paragraph" w:customStyle="1" w:styleId="SessionDate">
    <w:name w:val="Session_Date"/>
    <w:basedOn w:val="Normal"/>
    <w:qFormat/>
    <w:rsid w:val="00F158EB"/>
    <w:pPr>
      <w:spacing w:before="240" w:after="240" w:line="460" w:lineRule="exact"/>
      <w:ind w:left="1247"/>
    </w:pPr>
    <w:rPr>
      <w:b/>
      <w:bCs/>
      <w:sz w:val="32"/>
      <w:szCs w:val="44"/>
    </w:rPr>
  </w:style>
  <w:style w:type="paragraph" w:customStyle="1" w:styleId="SessionNumber">
    <w:name w:val="Session_Number"/>
    <w:basedOn w:val="Normal"/>
    <w:qFormat/>
    <w:rsid w:val="00F158EB"/>
    <w:pPr>
      <w:spacing w:line="480" w:lineRule="exact"/>
      <w:ind w:left="1247"/>
    </w:pPr>
    <w:rPr>
      <w:b/>
      <w:bCs/>
      <w:sz w:val="28"/>
      <w:szCs w:val="38"/>
    </w:rPr>
  </w:style>
  <w:style w:type="paragraph" w:customStyle="1" w:styleId="CityandYear">
    <w:name w:val="City and Year"/>
    <w:basedOn w:val="SingleTxtGA"/>
    <w:qFormat/>
    <w:rsid w:val="00F158EB"/>
    <w:pPr>
      <w:spacing w:line="480" w:lineRule="exact"/>
    </w:pPr>
    <w:rPr>
      <w:b/>
      <w:bCs/>
      <w:sz w:val="30"/>
      <w:szCs w:val="38"/>
      <w:lang w:eastAsia="ar-SA"/>
    </w:rPr>
  </w:style>
  <w:style w:type="paragraph" w:customStyle="1" w:styleId="NormalA">
    <w:name w:val="Normal_A"/>
    <w:basedOn w:val="Normal"/>
    <w:qFormat/>
    <w:rsid w:val="00F158EB"/>
  </w:style>
  <w:style w:type="paragraph" w:customStyle="1" w:styleId="H1G">
    <w:name w:val="_ H_1_G"/>
    <w:basedOn w:val="Normal"/>
    <w:next w:val="Normal"/>
    <w:qFormat/>
    <w:rsid w:val="00F158EB"/>
    <w:pPr>
      <w:keepNext/>
      <w:keepLines/>
      <w:tabs>
        <w:tab w:val="right" w:pos="851"/>
      </w:tabs>
      <w:suppressAutoHyphens/>
      <w:bidi w:val="0"/>
      <w:spacing w:before="360" w:after="240" w:line="270" w:lineRule="exact"/>
      <w:ind w:left="1134" w:right="1134" w:hanging="1134"/>
      <w:jc w:val="left"/>
    </w:pPr>
    <w:rPr>
      <w:b/>
      <w:sz w:val="24"/>
      <w:szCs w:val="20"/>
      <w:lang w:val="en-GB"/>
    </w:rPr>
  </w:style>
  <w:style w:type="paragraph" w:customStyle="1" w:styleId="SingleTxtG">
    <w:name w:val="_ Single Txt_G"/>
    <w:basedOn w:val="Normal"/>
    <w:link w:val="SingleTxtGChar"/>
    <w:qFormat/>
    <w:rsid w:val="00F158EB"/>
    <w:pPr>
      <w:tabs>
        <w:tab w:val="left" w:pos="1701"/>
        <w:tab w:val="left" w:pos="2268"/>
      </w:tabs>
      <w:suppressAutoHyphens/>
      <w:bidi w:val="0"/>
      <w:spacing w:after="120"/>
      <w:ind w:left="1134" w:right="1134"/>
      <w:jc w:val="both"/>
    </w:pPr>
    <w:rPr>
      <w:szCs w:val="20"/>
      <w:lang w:val="en-GB"/>
    </w:rPr>
  </w:style>
  <w:style w:type="paragraph" w:customStyle="1" w:styleId="HChG">
    <w:name w:val="_ H _Ch_G"/>
    <w:basedOn w:val="Normal"/>
    <w:next w:val="Normal"/>
    <w:link w:val="HChGChar"/>
    <w:qFormat/>
    <w:rsid w:val="00F158EB"/>
    <w:pPr>
      <w:keepNext/>
      <w:keepLines/>
      <w:tabs>
        <w:tab w:val="right" w:pos="851"/>
      </w:tabs>
      <w:suppressAutoHyphens/>
      <w:bidi w:val="0"/>
      <w:spacing w:before="360" w:after="240" w:line="300" w:lineRule="exact"/>
      <w:ind w:left="1134" w:right="1134" w:hanging="1134"/>
      <w:jc w:val="left"/>
    </w:pPr>
    <w:rPr>
      <w:b/>
      <w:sz w:val="28"/>
      <w:szCs w:val="20"/>
      <w:lang w:val="en-GB"/>
    </w:rPr>
  </w:style>
  <w:style w:type="paragraph" w:customStyle="1" w:styleId="H23G">
    <w:name w:val="_ H_2/3_G"/>
    <w:basedOn w:val="Normal"/>
    <w:next w:val="Normal"/>
    <w:link w:val="H23GChar"/>
    <w:qFormat/>
    <w:rsid w:val="00F158EB"/>
    <w:pPr>
      <w:keepNext/>
      <w:keepLines/>
      <w:tabs>
        <w:tab w:val="right" w:pos="851"/>
      </w:tabs>
      <w:suppressAutoHyphens/>
      <w:bidi w:val="0"/>
      <w:spacing w:before="240" w:after="120" w:line="240" w:lineRule="exact"/>
      <w:ind w:left="1134" w:right="1134" w:hanging="1134"/>
      <w:jc w:val="left"/>
    </w:pPr>
    <w:rPr>
      <w:b/>
      <w:szCs w:val="20"/>
      <w:lang w:val="en-GB"/>
    </w:rPr>
  </w:style>
  <w:style w:type="paragraph" w:customStyle="1" w:styleId="H4G">
    <w:name w:val="_ H_4_G"/>
    <w:basedOn w:val="Normal"/>
    <w:next w:val="Normal"/>
    <w:qFormat/>
    <w:rsid w:val="00F158EB"/>
    <w:pPr>
      <w:keepNext/>
      <w:keepLines/>
      <w:tabs>
        <w:tab w:val="right" w:pos="851"/>
      </w:tabs>
      <w:suppressAutoHyphens/>
      <w:bidi w:val="0"/>
      <w:spacing w:before="240" w:after="120" w:line="240" w:lineRule="exact"/>
      <w:ind w:left="1134" w:right="1134" w:hanging="1134"/>
      <w:jc w:val="left"/>
    </w:pPr>
    <w:rPr>
      <w:i/>
      <w:szCs w:val="20"/>
      <w:lang w:val="en-GB"/>
    </w:rPr>
  </w:style>
  <w:style w:type="paragraph" w:customStyle="1" w:styleId="FootnoteGA">
    <w:name w:val="_Footnote_GA"/>
    <w:basedOn w:val="Normal"/>
    <w:qFormat/>
    <w:rsid w:val="00F158EB"/>
    <w:pPr>
      <w:suppressAutoHyphens/>
      <w:spacing w:after="60" w:line="280" w:lineRule="exact"/>
      <w:ind w:left="1247" w:right="1247" w:hanging="567"/>
    </w:pPr>
    <w:rPr>
      <w:sz w:val="18"/>
      <w:szCs w:val="18"/>
      <w:lang w:val="es-ES_tradnl" w:eastAsia="zh-TW"/>
    </w:rPr>
  </w:style>
  <w:style w:type="paragraph" w:customStyle="1" w:styleId="ReportCHGA">
    <w:name w:val="Report_CH_GA"/>
    <w:basedOn w:val="HChGA"/>
    <w:qFormat/>
    <w:rsid w:val="00F158EB"/>
    <w:rPr>
      <w:sz w:val="44"/>
      <w:szCs w:val="44"/>
      <w:lang w:val="en-US" w:bidi="ar-DZ"/>
    </w:rPr>
  </w:style>
  <w:style w:type="paragraph" w:customStyle="1" w:styleId="FootnoteGA0">
    <w:name w:val="Footnote_GA"/>
    <w:basedOn w:val="Normal"/>
    <w:qFormat/>
    <w:rsid w:val="00F158EB"/>
    <w:pPr>
      <w:spacing w:after="60" w:line="280" w:lineRule="exact"/>
      <w:ind w:left="1247" w:right="1247" w:hanging="567"/>
    </w:pPr>
    <w:rPr>
      <w:sz w:val="18"/>
      <w:szCs w:val="18"/>
      <w:lang w:val="es-ES_tradnl" w:eastAsia="zh-TW"/>
    </w:rPr>
  </w:style>
  <w:style w:type="paragraph" w:customStyle="1" w:styleId="H1">
    <w:name w:val="_ H_1"/>
    <w:basedOn w:val="Normal"/>
    <w:next w:val="SingleTxt"/>
    <w:qFormat/>
    <w:rsid w:val="00F158EB"/>
    <w:pPr>
      <w:keepNext/>
      <w:keepLines/>
      <w:spacing w:after="120" w:line="400" w:lineRule="exact"/>
      <w:outlineLvl w:val="0"/>
    </w:pPr>
    <w:rPr>
      <w:b/>
      <w:bCs/>
      <w:kern w:val="14"/>
      <w:sz w:val="24"/>
      <w:szCs w:val="32"/>
    </w:rPr>
  </w:style>
  <w:style w:type="paragraph" w:customStyle="1" w:styleId="HCh">
    <w:name w:val="_ H _Ch"/>
    <w:basedOn w:val="H1"/>
    <w:next w:val="SingleTxt"/>
    <w:qFormat/>
    <w:rsid w:val="00F158EB"/>
    <w:pPr>
      <w:spacing w:line="440" w:lineRule="exact"/>
    </w:pPr>
    <w:rPr>
      <w:spacing w:val="-2"/>
      <w:sz w:val="28"/>
      <w:szCs w:val="36"/>
    </w:rPr>
  </w:style>
  <w:style w:type="character" w:styleId="CommentReference">
    <w:name w:val="annotation reference"/>
    <w:uiPriority w:val="99"/>
    <w:semiHidden/>
    <w:rsid w:val="00F158EB"/>
    <w:rPr>
      <w:sz w:val="6"/>
      <w:szCs w:val="9"/>
    </w:rPr>
  </w:style>
  <w:style w:type="paragraph" w:customStyle="1" w:styleId="HM">
    <w:name w:val="_ H __M"/>
    <w:basedOn w:val="HCh"/>
    <w:next w:val="Normal"/>
    <w:qFormat/>
    <w:rsid w:val="00F158EB"/>
    <w:pPr>
      <w:suppressAutoHyphens/>
      <w:spacing w:line="520" w:lineRule="exact"/>
    </w:pPr>
    <w:rPr>
      <w:spacing w:val="-3"/>
      <w:sz w:val="34"/>
      <w:szCs w:val="48"/>
    </w:rPr>
  </w:style>
  <w:style w:type="paragraph" w:customStyle="1" w:styleId="SingleTxt">
    <w:name w:val="__Single Txt"/>
    <w:basedOn w:val="SingleTxtG"/>
    <w:qFormat/>
    <w:rsid w:val="00F158EB"/>
  </w:style>
  <w:style w:type="paragraph" w:customStyle="1" w:styleId="H23">
    <w:name w:val="_ H_2/3"/>
    <w:basedOn w:val="H1"/>
    <w:next w:val="Normal"/>
    <w:qFormat/>
    <w:rsid w:val="00F158EB"/>
    <w:pPr>
      <w:suppressAutoHyphens/>
      <w:spacing w:line="360" w:lineRule="exact"/>
      <w:outlineLvl w:val="1"/>
    </w:pPr>
    <w:rPr>
      <w:spacing w:val="2"/>
      <w:sz w:val="20"/>
      <w:szCs w:val="28"/>
    </w:rPr>
  </w:style>
  <w:style w:type="paragraph" w:customStyle="1" w:styleId="H4">
    <w:name w:val="_ H_4"/>
    <w:basedOn w:val="Normal"/>
    <w:next w:val="Normal"/>
    <w:qFormat/>
    <w:rsid w:val="00F158EB"/>
    <w:pPr>
      <w:keepNext/>
      <w:keepLines/>
      <w:spacing w:after="120" w:line="360" w:lineRule="exact"/>
      <w:outlineLvl w:val="3"/>
    </w:pPr>
    <w:rPr>
      <w:i/>
      <w:iCs/>
      <w:kern w:val="14"/>
      <w:szCs w:val="28"/>
    </w:rPr>
  </w:style>
  <w:style w:type="paragraph" w:customStyle="1" w:styleId="H56">
    <w:name w:val="_ H_5/6"/>
    <w:basedOn w:val="Normal"/>
    <w:next w:val="Normal"/>
    <w:qFormat/>
    <w:rsid w:val="00F158EB"/>
    <w:pPr>
      <w:keepNext/>
      <w:keepLines/>
      <w:spacing w:after="120" w:line="360" w:lineRule="exact"/>
      <w:outlineLvl w:val="4"/>
    </w:pPr>
    <w:rPr>
      <w:kern w:val="14"/>
      <w:szCs w:val="28"/>
    </w:rPr>
  </w:style>
  <w:style w:type="paragraph" w:customStyle="1" w:styleId="DualTxt">
    <w:name w:val="__Dual Txt"/>
    <w:basedOn w:val="Normal"/>
    <w:qFormat/>
    <w:rsid w:val="00F158EB"/>
    <w:pPr>
      <w:tabs>
        <w:tab w:val="left" w:pos="662"/>
        <w:tab w:val="left" w:pos="1325"/>
        <w:tab w:val="left" w:pos="1987"/>
        <w:tab w:val="left" w:pos="2650"/>
        <w:tab w:val="left" w:pos="3312"/>
        <w:tab w:val="left" w:pos="3974"/>
        <w:tab w:val="left" w:pos="4637"/>
      </w:tabs>
      <w:spacing w:after="120" w:line="360" w:lineRule="exact"/>
    </w:pPr>
    <w:rPr>
      <w:kern w:val="14"/>
      <w:szCs w:val="28"/>
    </w:rPr>
  </w:style>
  <w:style w:type="paragraph" w:customStyle="1" w:styleId="JDualTxt">
    <w:name w:val="J__Dual Txt"/>
    <w:basedOn w:val="Normal"/>
    <w:qFormat/>
    <w:rsid w:val="00F158EB"/>
    <w:pPr>
      <w:keepNext/>
      <w:tabs>
        <w:tab w:val="left" w:pos="475"/>
        <w:tab w:val="left" w:pos="950"/>
        <w:tab w:val="left" w:pos="1426"/>
        <w:tab w:val="left" w:pos="1901"/>
        <w:tab w:val="center" w:pos="2563"/>
        <w:tab w:val="right" w:pos="5040"/>
      </w:tabs>
      <w:spacing w:after="80" w:line="300" w:lineRule="exact"/>
    </w:pPr>
    <w:rPr>
      <w:kern w:val="14"/>
      <w:sz w:val="17"/>
      <w:szCs w:val="26"/>
    </w:rPr>
  </w:style>
  <w:style w:type="paragraph" w:customStyle="1" w:styleId="JSingleTxt">
    <w:name w:val="J__Single Txt"/>
    <w:basedOn w:val="Normal"/>
    <w:qFormat/>
    <w:rsid w:val="00F158EB"/>
    <w:pPr>
      <w:keepNext/>
      <w:tabs>
        <w:tab w:val="left" w:pos="1843"/>
        <w:tab w:val="left" w:pos="2419"/>
        <w:tab w:val="left" w:pos="2995"/>
        <w:tab w:val="left" w:pos="3571"/>
        <w:tab w:val="left" w:pos="4147"/>
        <w:tab w:val="left" w:pos="4723"/>
        <w:tab w:val="center" w:pos="5486"/>
        <w:tab w:val="right" w:pos="9547"/>
      </w:tabs>
      <w:spacing w:after="80" w:line="300" w:lineRule="exact"/>
    </w:pPr>
    <w:rPr>
      <w:kern w:val="14"/>
      <w:sz w:val="17"/>
      <w:szCs w:val="26"/>
    </w:rPr>
  </w:style>
  <w:style w:type="paragraph" w:customStyle="1" w:styleId="JCH">
    <w:name w:val="J_C_H"/>
    <w:basedOn w:val="JSingleTxt"/>
    <w:qFormat/>
    <w:rsid w:val="00F158EB"/>
    <w:pPr>
      <w:spacing w:after="120" w:line="440" w:lineRule="exact"/>
      <w:jc w:val="center"/>
    </w:pPr>
    <w:rPr>
      <w:b/>
      <w:bCs/>
      <w:sz w:val="25"/>
      <w:szCs w:val="38"/>
    </w:rPr>
  </w:style>
  <w:style w:type="paragraph" w:customStyle="1" w:styleId="JH1">
    <w:name w:val="J_H_1"/>
    <w:basedOn w:val="JCH"/>
    <w:qFormat/>
    <w:rsid w:val="00F158EB"/>
    <w:pPr>
      <w:spacing w:line="420" w:lineRule="exact"/>
    </w:pPr>
    <w:rPr>
      <w:sz w:val="23"/>
      <w:szCs w:val="34"/>
    </w:rPr>
  </w:style>
  <w:style w:type="paragraph" w:customStyle="1" w:styleId="JH2">
    <w:name w:val="J_H_2"/>
    <w:basedOn w:val="JH1"/>
    <w:qFormat/>
    <w:rsid w:val="00F158EB"/>
    <w:pPr>
      <w:spacing w:line="400" w:lineRule="exact"/>
    </w:pPr>
    <w:rPr>
      <w:sz w:val="20"/>
      <w:szCs w:val="30"/>
    </w:rPr>
  </w:style>
  <w:style w:type="paragraph" w:customStyle="1" w:styleId="JSmall">
    <w:name w:val="J_Small"/>
    <w:basedOn w:val="JSingleTxt"/>
    <w:next w:val="JSingleTxt"/>
    <w:qFormat/>
    <w:rsid w:val="00F158EB"/>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F158EB"/>
    <w:pPr>
      <w:tabs>
        <w:tab w:val="right" w:leader="dot" w:pos="360"/>
      </w:tabs>
      <w:spacing w:line="310" w:lineRule="exact"/>
      <w:jc w:val="right"/>
    </w:pPr>
    <w:rPr>
      <w:spacing w:val="5"/>
      <w:w w:val="104"/>
      <w:kern w:val="14"/>
      <w:sz w:val="17"/>
      <w:szCs w:val="25"/>
    </w:rPr>
  </w:style>
  <w:style w:type="character" w:styleId="LineNumber">
    <w:name w:val="line number"/>
    <w:qFormat/>
    <w:rsid w:val="00F158EB"/>
    <w:rPr>
      <w:sz w:val="14"/>
      <w:szCs w:val="16"/>
    </w:rPr>
  </w:style>
  <w:style w:type="paragraph" w:customStyle="1" w:styleId="SmallX">
    <w:name w:val="SmallX"/>
    <w:basedOn w:val="Small"/>
    <w:next w:val="Normal"/>
    <w:qFormat/>
    <w:rsid w:val="00F158EB"/>
    <w:pPr>
      <w:spacing w:line="240" w:lineRule="exact"/>
    </w:pPr>
    <w:rPr>
      <w:spacing w:val="6"/>
      <w:w w:val="106"/>
      <w:sz w:val="14"/>
      <w:szCs w:val="21"/>
    </w:rPr>
  </w:style>
  <w:style w:type="paragraph" w:customStyle="1" w:styleId="XLarge">
    <w:name w:val="XLarge"/>
    <w:basedOn w:val="HM"/>
    <w:qFormat/>
    <w:rsid w:val="00F158EB"/>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F158EB"/>
    <w:pPr>
      <w:spacing w:line="820" w:lineRule="exact"/>
    </w:pPr>
    <w:rPr>
      <w:spacing w:val="-8"/>
      <w:w w:val="96"/>
      <w:sz w:val="57"/>
      <w:szCs w:val="86"/>
    </w:rPr>
  </w:style>
  <w:style w:type="paragraph" w:customStyle="1" w:styleId="Distribution">
    <w:name w:val="Distribution"/>
    <w:basedOn w:val="Normal"/>
    <w:next w:val="Normal"/>
    <w:qFormat/>
    <w:rsid w:val="00F158EB"/>
    <w:pPr>
      <w:tabs>
        <w:tab w:val="left" w:pos="662"/>
        <w:tab w:val="left" w:pos="1267"/>
        <w:tab w:val="left" w:pos="1987"/>
        <w:tab w:val="left" w:pos="2650"/>
      </w:tabs>
      <w:spacing w:line="240" w:lineRule="exact"/>
    </w:pPr>
    <w:rPr>
      <w:kern w:val="14"/>
      <w:szCs w:val="28"/>
    </w:rPr>
  </w:style>
  <w:style w:type="paragraph" w:customStyle="1" w:styleId="Publication">
    <w:name w:val="Publication"/>
    <w:basedOn w:val="Normal"/>
    <w:next w:val="Normal"/>
    <w:qFormat/>
    <w:rsid w:val="00F158EB"/>
    <w:pPr>
      <w:tabs>
        <w:tab w:val="left" w:pos="662"/>
        <w:tab w:val="left" w:pos="1267"/>
        <w:tab w:val="left" w:pos="1987"/>
        <w:tab w:val="left" w:pos="2650"/>
      </w:tabs>
      <w:spacing w:line="240" w:lineRule="exact"/>
    </w:pPr>
    <w:rPr>
      <w:kern w:val="14"/>
      <w:szCs w:val="28"/>
    </w:rPr>
  </w:style>
  <w:style w:type="paragraph" w:customStyle="1" w:styleId="Original">
    <w:name w:val="Original"/>
    <w:basedOn w:val="Normal"/>
    <w:next w:val="Normal"/>
    <w:qFormat/>
    <w:rsid w:val="00F158EB"/>
    <w:pPr>
      <w:tabs>
        <w:tab w:val="left" w:pos="662"/>
        <w:tab w:val="left" w:pos="1267"/>
        <w:tab w:val="left" w:pos="1987"/>
        <w:tab w:val="left" w:pos="2650"/>
      </w:tabs>
      <w:spacing w:line="240" w:lineRule="exact"/>
    </w:pPr>
    <w:rPr>
      <w:kern w:val="14"/>
      <w:szCs w:val="28"/>
    </w:rPr>
  </w:style>
  <w:style w:type="paragraph" w:customStyle="1" w:styleId="ReleaseDate">
    <w:name w:val="Release Date"/>
    <w:next w:val="Footer"/>
    <w:qFormat/>
    <w:rsid w:val="00F158EB"/>
    <w:pPr>
      <w:tabs>
        <w:tab w:val="center" w:pos="4320"/>
        <w:tab w:val="right" w:pos="8640"/>
      </w:tabs>
      <w:spacing w:line="210" w:lineRule="exact"/>
      <w:jc w:val="right"/>
    </w:pPr>
    <w:rPr>
      <w:rFonts w:ascii="Times New Roman" w:eastAsia="PMingLiU" w:hAnsi="Times New Roman" w:cs="Simplified Arabic"/>
      <w:w w:val="103"/>
      <w:kern w:val="14"/>
      <w:szCs w:val="30"/>
      <w:lang w:eastAsia="en-US"/>
    </w:rPr>
  </w:style>
  <w:style w:type="paragraph" w:customStyle="1" w:styleId="Session">
    <w:name w:val="Session"/>
    <w:basedOn w:val="H23"/>
    <w:qFormat/>
    <w:rsid w:val="00F158EB"/>
    <w:pPr>
      <w:tabs>
        <w:tab w:val="left" w:pos="662"/>
        <w:tab w:val="left" w:pos="1267"/>
        <w:tab w:val="left" w:pos="1987"/>
        <w:tab w:val="left" w:pos="2650"/>
      </w:tabs>
      <w:spacing w:after="0"/>
      <w:ind w:left="662" w:hanging="662"/>
    </w:pPr>
  </w:style>
  <w:style w:type="paragraph" w:customStyle="1" w:styleId="Committee">
    <w:name w:val="Committee"/>
    <w:basedOn w:val="H1"/>
    <w:qFormat/>
    <w:rsid w:val="00F158EB"/>
    <w:pPr>
      <w:tabs>
        <w:tab w:val="left" w:pos="662"/>
        <w:tab w:val="left" w:pos="1267"/>
        <w:tab w:val="left" w:pos="1987"/>
        <w:tab w:val="left" w:pos="2650"/>
      </w:tabs>
      <w:ind w:right="1264"/>
    </w:pPr>
  </w:style>
  <w:style w:type="paragraph" w:customStyle="1" w:styleId="AgendaItemNormal">
    <w:name w:val="Agenda_Item_Normal"/>
    <w:next w:val="Normal"/>
    <w:qFormat/>
    <w:rsid w:val="00F158EB"/>
    <w:pPr>
      <w:spacing w:line="360" w:lineRule="exact"/>
      <w:jc w:val="both"/>
    </w:pPr>
    <w:rPr>
      <w:rFonts w:ascii="Times New Roman" w:eastAsia="PMingLiU" w:hAnsi="Times New Roman" w:cs="Simplified Arabic"/>
      <w:w w:val="103"/>
      <w:kern w:val="14"/>
      <w:szCs w:val="28"/>
      <w:lang w:eastAsia="en-US"/>
    </w:rPr>
  </w:style>
  <w:style w:type="paragraph" w:customStyle="1" w:styleId="Sponsors">
    <w:name w:val="Sponsors"/>
    <w:basedOn w:val="H23"/>
    <w:next w:val="Normal"/>
    <w:qFormat/>
    <w:rsid w:val="00F158EB"/>
    <w:pPr>
      <w:tabs>
        <w:tab w:val="right" w:pos="1022"/>
        <w:tab w:val="left" w:pos="1267"/>
        <w:tab w:val="left" w:pos="1930"/>
        <w:tab w:val="left" w:pos="2592"/>
        <w:tab w:val="left" w:pos="3254"/>
      </w:tabs>
      <w:ind w:left="1267" w:right="1267" w:hanging="1267"/>
    </w:pPr>
  </w:style>
  <w:style w:type="paragraph" w:customStyle="1" w:styleId="TitleHCH">
    <w:name w:val="Title_H_CH"/>
    <w:basedOn w:val="H1"/>
    <w:next w:val="SingleTxt"/>
    <w:qFormat/>
    <w:rsid w:val="00F158EB"/>
    <w:pPr>
      <w:tabs>
        <w:tab w:val="right" w:pos="1022"/>
        <w:tab w:val="left" w:pos="1267"/>
        <w:tab w:val="left" w:pos="1930"/>
        <w:tab w:val="left" w:pos="2592"/>
        <w:tab w:val="left" w:pos="3254"/>
        <w:tab w:val="left" w:pos="3917"/>
        <w:tab w:val="left" w:pos="4579"/>
        <w:tab w:val="left" w:pos="5242"/>
        <w:tab w:val="left" w:pos="5904"/>
        <w:tab w:val="left" w:pos="6566"/>
      </w:tabs>
      <w:spacing w:line="440" w:lineRule="exact"/>
      <w:ind w:left="1267" w:right="1267" w:hanging="1267"/>
    </w:pPr>
    <w:rPr>
      <w:spacing w:val="-2"/>
      <w:sz w:val="28"/>
      <w:szCs w:val="36"/>
    </w:rPr>
  </w:style>
  <w:style w:type="paragraph" w:customStyle="1" w:styleId="TitleH1">
    <w:name w:val="Title_H1"/>
    <w:basedOn w:val="Normal"/>
    <w:next w:val="Normal"/>
    <w:qFormat/>
    <w:rsid w:val="00F158EB"/>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Cs/>
      <w:kern w:val="14"/>
      <w:sz w:val="24"/>
      <w:szCs w:val="32"/>
    </w:rPr>
  </w:style>
  <w:style w:type="paragraph" w:customStyle="1" w:styleId="TitleH2">
    <w:name w:val="Title_H2"/>
    <w:basedOn w:val="H1"/>
    <w:next w:val="Normal"/>
    <w:qFormat/>
    <w:rsid w:val="00F158EB"/>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outlineLvl w:val="1"/>
    </w:pPr>
    <w:rPr>
      <w:spacing w:val="2"/>
      <w:sz w:val="20"/>
      <w:szCs w:val="28"/>
    </w:rPr>
  </w:style>
  <w:style w:type="character" w:styleId="FollowedHyperlink">
    <w:name w:val="FollowedHyperlink"/>
    <w:uiPriority w:val="99"/>
    <w:rsid w:val="00F158EB"/>
    <w:rPr>
      <w:i w:val="0"/>
      <w:color w:val="0000FF"/>
      <w:u w:val="none"/>
    </w:rPr>
  </w:style>
  <w:style w:type="paragraph" w:customStyle="1" w:styleId="Bullet1">
    <w:name w:val="Bullet 1"/>
    <w:basedOn w:val="Normal"/>
    <w:qFormat/>
    <w:rsid w:val="00F158EB"/>
    <w:pPr>
      <w:numPr>
        <w:numId w:val="18"/>
      </w:numPr>
      <w:tabs>
        <w:tab w:val="num" w:pos="1292"/>
      </w:tabs>
      <w:spacing w:after="120" w:line="360" w:lineRule="exact"/>
      <w:ind w:left="1292" w:right="1264" w:hanging="227"/>
    </w:pPr>
    <w:rPr>
      <w:kern w:val="14"/>
      <w:szCs w:val="28"/>
    </w:rPr>
  </w:style>
  <w:style w:type="paragraph" w:customStyle="1" w:styleId="Bullet2">
    <w:name w:val="Bullet 2"/>
    <w:basedOn w:val="Normal"/>
    <w:qFormat/>
    <w:rsid w:val="00F158EB"/>
    <w:pPr>
      <w:numPr>
        <w:numId w:val="19"/>
      </w:numPr>
      <w:spacing w:after="120" w:line="360" w:lineRule="exact"/>
      <w:ind w:right="1264"/>
    </w:pPr>
    <w:rPr>
      <w:kern w:val="14"/>
      <w:szCs w:val="28"/>
    </w:rPr>
  </w:style>
  <w:style w:type="paragraph" w:customStyle="1" w:styleId="Bullet3">
    <w:name w:val="Bullet 3"/>
    <w:basedOn w:val="SingleTxt"/>
    <w:qFormat/>
    <w:rsid w:val="00F158EB"/>
    <w:pPr>
      <w:numPr>
        <w:numId w:val="20"/>
      </w:numPr>
      <w:tabs>
        <w:tab w:val="num" w:pos="2495"/>
      </w:tabs>
      <w:ind w:left="2495" w:hanging="545"/>
    </w:pPr>
  </w:style>
  <w:style w:type="paragraph" w:customStyle="1" w:styleId="AgendaTitleH2">
    <w:name w:val="Agenda_Title_H2"/>
    <w:basedOn w:val="H1"/>
    <w:next w:val="Normal"/>
    <w:qFormat/>
    <w:rsid w:val="00F158EB"/>
    <w:pPr>
      <w:ind w:right="5760"/>
      <w:outlineLvl w:val="1"/>
    </w:pPr>
    <w:rPr>
      <w:spacing w:val="2"/>
      <w:sz w:val="20"/>
      <w:szCs w:val="28"/>
    </w:rPr>
  </w:style>
  <w:style w:type="paragraph" w:customStyle="1" w:styleId="STitleM">
    <w:name w:val="S_Title_M"/>
    <w:basedOn w:val="Normal"/>
    <w:next w:val="Normal"/>
    <w:qFormat/>
    <w:rsid w:val="00F158EB"/>
    <w:pPr>
      <w:keepNext/>
      <w:keepLines/>
      <w:tabs>
        <w:tab w:val="left" w:leader="dot" w:pos="360"/>
      </w:tabs>
      <w:spacing w:line="600" w:lineRule="exact"/>
      <w:ind w:left="1267" w:right="1267"/>
      <w:outlineLvl w:val="0"/>
    </w:pPr>
    <w:rPr>
      <w:b/>
      <w:bCs/>
      <w:spacing w:val="-4"/>
      <w:w w:val="98"/>
      <w:kern w:val="14"/>
      <w:sz w:val="60"/>
      <w:szCs w:val="60"/>
    </w:rPr>
  </w:style>
  <w:style w:type="paragraph" w:customStyle="1" w:styleId="STitleS">
    <w:name w:val="S_Title_S"/>
    <w:basedOn w:val="HCh"/>
    <w:next w:val="Normal"/>
    <w:qFormat/>
    <w:rsid w:val="00F158EB"/>
    <w:pPr>
      <w:spacing w:line="600" w:lineRule="exact"/>
      <w:ind w:left="1267" w:right="1267"/>
    </w:pPr>
    <w:rPr>
      <w:w w:val="103"/>
      <w:sz w:val="60"/>
      <w:szCs w:val="60"/>
    </w:rPr>
  </w:style>
  <w:style w:type="paragraph" w:customStyle="1" w:styleId="STitleL">
    <w:name w:val="S_Title_L"/>
    <w:basedOn w:val="XLarge"/>
    <w:next w:val="Normal"/>
    <w:qFormat/>
    <w:rsid w:val="00F158EB"/>
    <w:rPr>
      <w:spacing w:val="-8"/>
      <w:w w:val="96"/>
      <w:sz w:val="57"/>
    </w:rPr>
  </w:style>
  <w:style w:type="paragraph" w:styleId="CommentText">
    <w:name w:val="annotation text"/>
    <w:basedOn w:val="Normal"/>
    <w:link w:val="CommentTextChar"/>
    <w:uiPriority w:val="99"/>
    <w:semiHidden/>
    <w:unhideWhenUsed/>
    <w:rsid w:val="00F158EB"/>
    <w:pPr>
      <w:spacing w:line="240" w:lineRule="auto"/>
    </w:pPr>
    <w:rPr>
      <w:kern w:val="14"/>
    </w:rPr>
  </w:style>
  <w:style w:type="character" w:customStyle="1" w:styleId="CommentTextChar">
    <w:name w:val="Comment Text Char"/>
    <w:basedOn w:val="DefaultParagraphFont"/>
    <w:link w:val="CommentText"/>
    <w:uiPriority w:val="99"/>
    <w:semiHidden/>
    <w:rsid w:val="00F158EB"/>
    <w:rPr>
      <w:rFonts w:ascii="Times New Roman" w:eastAsia="PMingLiU" w:hAnsi="Times New Roman" w:cs="Simplified Arabic"/>
      <w:kern w:val="14"/>
      <w:szCs w:val="22"/>
      <w:lang w:eastAsia="en-US"/>
    </w:rPr>
  </w:style>
  <w:style w:type="paragraph" w:styleId="CommentSubject">
    <w:name w:val="annotation subject"/>
    <w:basedOn w:val="CommentText"/>
    <w:next w:val="CommentText"/>
    <w:link w:val="CommentSubjectChar"/>
    <w:uiPriority w:val="99"/>
    <w:semiHidden/>
    <w:unhideWhenUsed/>
    <w:rsid w:val="00F158EB"/>
    <w:rPr>
      <w:b/>
      <w:bCs/>
    </w:rPr>
  </w:style>
  <w:style w:type="character" w:customStyle="1" w:styleId="CommentSubjectChar">
    <w:name w:val="Comment Subject Char"/>
    <w:basedOn w:val="CommentTextChar"/>
    <w:link w:val="CommentSubject"/>
    <w:uiPriority w:val="99"/>
    <w:semiHidden/>
    <w:rsid w:val="00F158EB"/>
    <w:rPr>
      <w:rFonts w:ascii="Times New Roman" w:eastAsia="PMingLiU" w:hAnsi="Times New Roman" w:cs="Simplified Arabic"/>
      <w:b/>
      <w:bCs/>
      <w:kern w:val="14"/>
      <w:szCs w:val="22"/>
      <w:lang w:eastAsia="en-US"/>
    </w:rPr>
  </w:style>
  <w:style w:type="paragraph" w:customStyle="1" w:styleId="Bullet1G">
    <w:name w:val="_Bullet 1_G"/>
    <w:basedOn w:val="Normal"/>
    <w:qFormat/>
    <w:rsid w:val="00F158EB"/>
    <w:pPr>
      <w:numPr>
        <w:numId w:val="21"/>
      </w:numPr>
      <w:bidi w:val="0"/>
      <w:spacing w:after="120"/>
      <w:ind w:right="1134"/>
      <w:jc w:val="both"/>
    </w:pPr>
    <w:rPr>
      <w:sz w:val="22"/>
    </w:rPr>
  </w:style>
  <w:style w:type="character" w:customStyle="1" w:styleId="SingleTxtGChar">
    <w:name w:val="_ Single Txt_G Char"/>
    <w:link w:val="SingleTxtG"/>
    <w:rsid w:val="00F158EB"/>
    <w:rPr>
      <w:rFonts w:ascii="Times New Roman" w:eastAsia="PMingLiU" w:hAnsi="Times New Roman" w:cs="Simplified Arabic"/>
      <w:lang w:val="en-GB" w:eastAsia="en-US"/>
    </w:rPr>
  </w:style>
  <w:style w:type="paragraph" w:customStyle="1" w:styleId="Preparedby">
    <w:name w:val="Prepared by:"/>
    <w:basedOn w:val="H23GA"/>
    <w:qFormat/>
    <w:rsid w:val="00F158EB"/>
    <w:rPr>
      <w:sz w:val="32"/>
      <w:szCs w:val="32"/>
    </w:rPr>
  </w:style>
  <w:style w:type="paragraph" w:customStyle="1" w:styleId="ParaNoG">
    <w:name w:val="_ParaNo._G"/>
    <w:basedOn w:val="SingleTxtG"/>
    <w:rsid w:val="00F158EB"/>
    <w:pPr>
      <w:numPr>
        <w:numId w:val="28"/>
      </w:numPr>
      <w:tabs>
        <w:tab w:val="left" w:pos="1134"/>
        <w:tab w:val="left" w:pos="2835"/>
      </w:tabs>
      <w:suppressAutoHyphens w:val="0"/>
    </w:pPr>
    <w:rPr>
      <w:rFonts w:hint="cs"/>
      <w:szCs w:val="30"/>
      <w:lang w:val="fr-FR" w:eastAsia="fr-FR"/>
    </w:rPr>
  </w:style>
  <w:style w:type="paragraph" w:customStyle="1" w:styleId="HMG">
    <w:name w:val="_ H __M_G"/>
    <w:basedOn w:val="Normal"/>
    <w:next w:val="Normal"/>
    <w:qFormat/>
    <w:rsid w:val="00F158EB"/>
    <w:pPr>
      <w:keepNext/>
      <w:keepLines/>
      <w:tabs>
        <w:tab w:val="right" w:pos="851"/>
      </w:tabs>
      <w:kinsoku w:val="0"/>
      <w:overflowPunct w:val="0"/>
      <w:autoSpaceDE w:val="0"/>
      <w:autoSpaceDN w:val="0"/>
      <w:bidi w:val="0"/>
      <w:adjustRightInd w:val="0"/>
      <w:snapToGrid w:val="0"/>
      <w:spacing w:before="240" w:after="240" w:line="360" w:lineRule="exact"/>
      <w:ind w:left="1134" w:right="1134" w:hanging="1134"/>
      <w:jc w:val="left"/>
    </w:pPr>
    <w:rPr>
      <w:rFonts w:hint="cs"/>
      <w:b/>
      <w:sz w:val="34"/>
      <w:szCs w:val="30"/>
      <w:lang w:val="fr-FR" w:eastAsia="fr-FR"/>
    </w:rPr>
  </w:style>
  <w:style w:type="paragraph" w:customStyle="1" w:styleId="H56G">
    <w:name w:val="_ H_5/6_G"/>
    <w:basedOn w:val="Normal"/>
    <w:next w:val="Normal"/>
    <w:qFormat/>
    <w:rsid w:val="00F158EB"/>
    <w:pPr>
      <w:keepNext/>
      <w:keepLines/>
      <w:tabs>
        <w:tab w:val="right" w:pos="851"/>
      </w:tabs>
      <w:kinsoku w:val="0"/>
      <w:overflowPunct w:val="0"/>
      <w:autoSpaceDE w:val="0"/>
      <w:autoSpaceDN w:val="0"/>
      <w:bidi w:val="0"/>
      <w:adjustRightInd w:val="0"/>
      <w:snapToGrid w:val="0"/>
      <w:spacing w:before="240" w:after="120" w:line="240" w:lineRule="exact"/>
      <w:ind w:left="1134" w:right="1134" w:hanging="1134"/>
      <w:jc w:val="left"/>
    </w:pPr>
    <w:rPr>
      <w:rFonts w:hint="cs"/>
      <w:szCs w:val="30"/>
      <w:lang w:val="fr-FR" w:eastAsia="fr-FR"/>
    </w:rPr>
  </w:style>
  <w:style w:type="paragraph" w:customStyle="1" w:styleId="SLG">
    <w:name w:val="__S_L_G"/>
    <w:basedOn w:val="Normal"/>
    <w:next w:val="Normal"/>
    <w:rsid w:val="00F158EB"/>
    <w:pPr>
      <w:keepNext/>
      <w:keepLines/>
      <w:kinsoku w:val="0"/>
      <w:overflowPunct w:val="0"/>
      <w:autoSpaceDE w:val="0"/>
      <w:autoSpaceDN w:val="0"/>
      <w:bidi w:val="0"/>
      <w:adjustRightInd w:val="0"/>
      <w:snapToGrid w:val="0"/>
      <w:spacing w:before="240" w:after="240" w:line="580" w:lineRule="exact"/>
      <w:ind w:left="1134" w:right="1134"/>
      <w:jc w:val="left"/>
    </w:pPr>
    <w:rPr>
      <w:rFonts w:hint="cs"/>
      <w:b/>
      <w:sz w:val="56"/>
      <w:szCs w:val="30"/>
      <w:lang w:val="fr-FR" w:eastAsia="fr-FR"/>
    </w:rPr>
  </w:style>
  <w:style w:type="paragraph" w:customStyle="1" w:styleId="SMG">
    <w:name w:val="__S_M_G"/>
    <w:basedOn w:val="Normal"/>
    <w:next w:val="Normal"/>
    <w:rsid w:val="00F158EB"/>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SSG">
    <w:name w:val="__S_S_G"/>
    <w:basedOn w:val="Normal"/>
    <w:next w:val="Normal"/>
    <w:rsid w:val="00F158EB"/>
    <w:pPr>
      <w:keepNext/>
      <w:keepLines/>
      <w:kinsoku w:val="0"/>
      <w:overflowPunct w:val="0"/>
      <w:autoSpaceDE w:val="0"/>
      <w:autoSpaceDN w:val="0"/>
      <w:bidi w:val="0"/>
      <w:adjustRightInd w:val="0"/>
      <w:snapToGrid w:val="0"/>
      <w:spacing w:before="240" w:after="240" w:line="300" w:lineRule="exact"/>
      <w:ind w:left="1134" w:right="1134"/>
      <w:jc w:val="left"/>
    </w:pPr>
    <w:rPr>
      <w:rFonts w:hint="cs"/>
      <w:b/>
      <w:sz w:val="28"/>
      <w:szCs w:val="30"/>
      <w:lang w:val="fr-FR" w:eastAsia="fr-FR"/>
    </w:rPr>
  </w:style>
  <w:style w:type="paragraph" w:customStyle="1" w:styleId="XLargeG">
    <w:name w:val="__XLarge_G"/>
    <w:basedOn w:val="Normal"/>
    <w:next w:val="Normal"/>
    <w:rsid w:val="00F158EB"/>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Bullet2G">
    <w:name w:val="_Bullet 2_G"/>
    <w:basedOn w:val="Normal"/>
    <w:qFormat/>
    <w:rsid w:val="00F158EB"/>
    <w:pPr>
      <w:numPr>
        <w:numId w:val="24"/>
      </w:numPr>
      <w:kinsoku w:val="0"/>
      <w:overflowPunct w:val="0"/>
      <w:autoSpaceDE w:val="0"/>
      <w:autoSpaceDN w:val="0"/>
      <w:bidi w:val="0"/>
      <w:adjustRightInd w:val="0"/>
      <w:snapToGrid w:val="0"/>
      <w:spacing w:after="120"/>
      <w:ind w:right="1134"/>
      <w:jc w:val="both"/>
    </w:pPr>
    <w:rPr>
      <w:rFonts w:hint="cs"/>
      <w:szCs w:val="30"/>
      <w:lang w:val="fr-FR" w:eastAsia="fr-FR"/>
    </w:rPr>
  </w:style>
  <w:style w:type="paragraph" w:styleId="Revision">
    <w:name w:val="Revision"/>
    <w:hidden/>
    <w:uiPriority w:val="99"/>
    <w:semiHidden/>
    <w:rsid w:val="00F158EB"/>
    <w:rPr>
      <w:rFonts w:asciiTheme="minorHAnsi" w:eastAsiaTheme="minorEastAsia" w:hAnsiTheme="minorHAnsi" w:cstheme="minorBidi"/>
      <w:sz w:val="24"/>
      <w:szCs w:val="24"/>
      <w:lang w:val="fr-FR" w:eastAsia="fr-FR"/>
    </w:rPr>
  </w:style>
  <w:style w:type="paragraph" w:customStyle="1" w:styleId="Default">
    <w:name w:val="Default"/>
    <w:semiHidden/>
    <w:rsid w:val="00F158EB"/>
    <w:pPr>
      <w:autoSpaceDE w:val="0"/>
      <w:autoSpaceDN w:val="0"/>
      <w:adjustRightInd w:val="0"/>
    </w:pPr>
    <w:rPr>
      <w:rFonts w:ascii="Times New Roman" w:eastAsia="PMingLiU" w:hAnsi="Times New Roman" w:cs="Simplified Arabic"/>
      <w:color w:val="000000"/>
      <w:sz w:val="24"/>
      <w:szCs w:val="24"/>
      <w:lang w:val="fr-FR" w:eastAsia="fr-FR"/>
    </w:rPr>
  </w:style>
  <w:style w:type="character" w:customStyle="1" w:styleId="terminologypart">
    <w:name w:val="terminologypart"/>
    <w:basedOn w:val="DefaultParagraphFont"/>
    <w:rsid w:val="00F158EB"/>
  </w:style>
  <w:style w:type="character" w:customStyle="1" w:styleId="preferred">
    <w:name w:val="preferred"/>
    <w:basedOn w:val="DefaultParagraphFont"/>
    <w:rsid w:val="00F158EB"/>
  </w:style>
  <w:style w:type="character" w:customStyle="1" w:styleId="admitted">
    <w:name w:val="admitted"/>
    <w:basedOn w:val="DefaultParagraphFont"/>
    <w:rsid w:val="00F158EB"/>
  </w:style>
  <w:style w:type="paragraph" w:styleId="TOC7">
    <w:name w:val="toc 7"/>
    <w:basedOn w:val="Normal"/>
    <w:next w:val="Normal"/>
    <w:autoRedefine/>
    <w:uiPriority w:val="39"/>
    <w:unhideWhenUsed/>
    <w:rsid w:val="00C64C7B"/>
    <w:pPr>
      <w:spacing w:after="100" w:line="259" w:lineRule="auto"/>
      <w:ind w:left="1320"/>
      <w:jc w:val="left"/>
    </w:pPr>
    <w:rPr>
      <w:rFonts w:asciiTheme="minorHAnsi" w:eastAsiaTheme="minorEastAsia" w:hAnsiTheme="minorHAnsi" w:cstheme="minorBidi"/>
      <w:sz w:val="22"/>
      <w:lang w:eastAsia="zh-CN"/>
    </w:rPr>
  </w:style>
  <w:style w:type="paragraph" w:styleId="TOC8">
    <w:name w:val="toc 8"/>
    <w:basedOn w:val="Normal"/>
    <w:next w:val="Normal"/>
    <w:autoRedefine/>
    <w:uiPriority w:val="39"/>
    <w:unhideWhenUsed/>
    <w:rsid w:val="00C64C7B"/>
    <w:pPr>
      <w:spacing w:after="100" w:line="259" w:lineRule="auto"/>
      <w:ind w:left="1540"/>
      <w:jc w:val="left"/>
    </w:pPr>
    <w:rPr>
      <w:rFonts w:asciiTheme="minorHAnsi" w:eastAsiaTheme="minorEastAsia" w:hAnsiTheme="minorHAnsi" w:cstheme="minorBidi"/>
      <w:sz w:val="22"/>
      <w:lang w:eastAsia="zh-CN"/>
    </w:rPr>
  </w:style>
  <w:style w:type="paragraph" w:styleId="TOC9">
    <w:name w:val="toc 9"/>
    <w:basedOn w:val="Normal"/>
    <w:next w:val="Normal"/>
    <w:autoRedefine/>
    <w:uiPriority w:val="39"/>
    <w:unhideWhenUsed/>
    <w:rsid w:val="00C64C7B"/>
    <w:pPr>
      <w:spacing w:after="100" w:line="259" w:lineRule="auto"/>
      <w:ind w:left="1760"/>
      <w:jc w:val="left"/>
    </w:pPr>
    <w:rPr>
      <w:rFonts w:asciiTheme="minorHAnsi" w:eastAsiaTheme="minorEastAsia" w:hAnsiTheme="minorHAnsi" w:cstheme="minorBidi"/>
      <w:sz w:val="22"/>
      <w:lang w:eastAsia="zh-CN"/>
    </w:rPr>
  </w:style>
  <w:style w:type="paragraph" w:customStyle="1" w:styleId="Char2">
    <w:name w:val="Char2"/>
    <w:basedOn w:val="Normal"/>
    <w:link w:val="FootnoteReference"/>
    <w:uiPriority w:val="99"/>
    <w:rsid w:val="00F158EB"/>
    <w:pPr>
      <w:bidi w:val="0"/>
      <w:spacing w:after="160" w:line="240" w:lineRule="exact"/>
      <w:jc w:val="both"/>
    </w:pPr>
    <w:rPr>
      <w:rFonts w:ascii="Calibri" w:eastAsia="Times New Roman" w:hAnsi="Calibri" w:cs="Arial"/>
      <w:szCs w:val="18"/>
      <w:vertAlign w:val="superscript"/>
      <w:lang w:eastAsia="zh-TW"/>
    </w:rPr>
  </w:style>
  <w:style w:type="character" w:customStyle="1" w:styleId="ListParagraphChar">
    <w:name w:val="List Paragraph Char"/>
    <w:aliases w:val="Evidence on Demand bullet points Char,CEIL PEAKS bullet points Char,Scriptoria bullet points Char,Dot pt Char,F5 List Paragraph Char,List Paragraph1 Char,No Spacing1 Char,List Paragraph Char Char Char Char,Indicator Text Char"/>
    <w:link w:val="ListParagraph"/>
    <w:uiPriority w:val="34"/>
    <w:qFormat/>
    <w:locked/>
    <w:rsid w:val="00F158EB"/>
    <w:rPr>
      <w:rFonts w:ascii="Times New Roman" w:eastAsia="PMingLiU" w:hAnsi="Times New Roman" w:cs="Simplified Arabic"/>
      <w:szCs w:val="22"/>
      <w:lang w:eastAsia="en-US"/>
    </w:rPr>
  </w:style>
  <w:style w:type="character" w:customStyle="1" w:styleId="HChGChar">
    <w:name w:val="_ H _Ch_G Char"/>
    <w:link w:val="HChG"/>
    <w:rsid w:val="009C3BAB"/>
    <w:rPr>
      <w:rFonts w:ascii="Times New Roman" w:eastAsia="PMingLiU" w:hAnsi="Times New Roman" w:cs="Simplified Arabic"/>
      <w:b/>
      <w:sz w:val="28"/>
      <w:lang w:val="en-GB" w:eastAsia="en-US"/>
    </w:rPr>
  </w:style>
  <w:style w:type="character" w:customStyle="1" w:styleId="H23GChar">
    <w:name w:val="_ H_2/3_G Char"/>
    <w:link w:val="H23G"/>
    <w:locked/>
    <w:rsid w:val="009C3BAB"/>
    <w:rPr>
      <w:rFonts w:ascii="Times New Roman" w:eastAsia="PMingLiU" w:hAnsi="Times New Roman" w:cs="Simplified Arabic"/>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653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undocs.org/ar/A/53/44" TargetMode="External"/><Relationship Id="rId13" Type="http://schemas.openxmlformats.org/officeDocument/2006/relationships/hyperlink" Target="https://undocs.org/ar/CAT/C/CUB/RQ/3" TargetMode="External"/><Relationship Id="rId18" Type="http://schemas.openxmlformats.org/officeDocument/2006/relationships/hyperlink" Target="https://undocs.org/ar/CAT/C/CUB/RQ/3" TargetMode="External"/><Relationship Id="rId26" Type="http://schemas.openxmlformats.org/officeDocument/2006/relationships/hyperlink" Target="https://undocs.org/ar/A/53/44" TargetMode="External"/><Relationship Id="rId3" Type="http://schemas.openxmlformats.org/officeDocument/2006/relationships/hyperlink" Target="https://undocs.org/ar/CAT/C/SR.1893" TargetMode="External"/><Relationship Id="rId21" Type="http://schemas.openxmlformats.org/officeDocument/2006/relationships/hyperlink" Target="https://undocs.org/ar/A/53/44" TargetMode="External"/><Relationship Id="rId7" Type="http://schemas.openxmlformats.org/officeDocument/2006/relationships/hyperlink" Target="https://undocs.org/ar/CAT/C/CUB/CO/2" TargetMode="External"/><Relationship Id="rId12" Type="http://schemas.openxmlformats.org/officeDocument/2006/relationships/hyperlink" Target="https://undocs.org/ar/CAT/C/CUB/3" TargetMode="External"/><Relationship Id="rId17" Type="http://schemas.openxmlformats.org/officeDocument/2006/relationships/hyperlink" Target="https://undocs.org/ar/CAT/C/CUB/3" TargetMode="External"/><Relationship Id="rId25" Type="http://schemas.openxmlformats.org/officeDocument/2006/relationships/hyperlink" Target="https://undocs.org/ar/A/HRC/39/41" TargetMode="External"/><Relationship Id="rId2" Type="http://schemas.openxmlformats.org/officeDocument/2006/relationships/hyperlink" Target="https://undocs.org/ar/CAT/C/SR.1881" TargetMode="External"/><Relationship Id="rId16" Type="http://schemas.openxmlformats.org/officeDocument/2006/relationships/hyperlink" Target="https://undocs.org/ar/CAT/C/CUB/CO/2" TargetMode="External"/><Relationship Id="rId20" Type="http://schemas.openxmlformats.org/officeDocument/2006/relationships/hyperlink" Target="https://undocs.org/ar/CAT/C/CUB/RQ/3" TargetMode="External"/><Relationship Id="rId1" Type="http://schemas.openxmlformats.org/officeDocument/2006/relationships/hyperlink" Target="https://undocs.org/ar/CAT/C/CUB/3" TargetMode="External"/><Relationship Id="rId6" Type="http://schemas.openxmlformats.org/officeDocument/2006/relationships/hyperlink" Target="https://undocs.org/ar/HRI/CORE/CUB/2016" TargetMode="External"/><Relationship Id="rId11" Type="http://schemas.openxmlformats.org/officeDocument/2006/relationships/hyperlink" Target="https://undocs.org/ar/CAT/C/CUB/CO/2" TargetMode="External"/><Relationship Id="rId24" Type="http://schemas.openxmlformats.org/officeDocument/2006/relationships/hyperlink" Target="https://undocs.org/ar/CERD/C/CUB/CO/19-21" TargetMode="External"/><Relationship Id="rId5" Type="http://schemas.openxmlformats.org/officeDocument/2006/relationships/hyperlink" Target="https://undocs.org/ar/CAT/C/CUB/Q/3" TargetMode="External"/><Relationship Id="rId15" Type="http://schemas.openxmlformats.org/officeDocument/2006/relationships/hyperlink" Target="https://undocs.org/ar/A/53/44/Corr.1" TargetMode="External"/><Relationship Id="rId23" Type="http://schemas.openxmlformats.org/officeDocument/2006/relationships/hyperlink" Target="https://undocs.org/ar/CAT/C/CUB/CO/2" TargetMode="External"/><Relationship Id="rId28" Type="http://schemas.openxmlformats.org/officeDocument/2006/relationships/hyperlink" Target="https://undocs.org/ar/CAT/C/CUB/CO/2" TargetMode="External"/><Relationship Id="rId10" Type="http://schemas.openxmlformats.org/officeDocument/2006/relationships/hyperlink" Target="https://undocs.org/ar/CAT/C/CUB/2" TargetMode="External"/><Relationship Id="rId19" Type="http://schemas.openxmlformats.org/officeDocument/2006/relationships/hyperlink" Target="https://undocs.org/ar/CAT/C/CUB/3" TargetMode="External"/><Relationship Id="rId4" Type="http://schemas.openxmlformats.org/officeDocument/2006/relationships/hyperlink" Target="https://undocs.org/ar/CAT/C/CUB/RQ/3" TargetMode="External"/><Relationship Id="rId9" Type="http://schemas.openxmlformats.org/officeDocument/2006/relationships/hyperlink" Target="https://undocs.org/ar/A/53/44/Corr.1" TargetMode="External"/><Relationship Id="rId14" Type="http://schemas.openxmlformats.org/officeDocument/2006/relationships/hyperlink" Target="https://undocs.org/ar/A/53/44" TargetMode="External"/><Relationship Id="rId22" Type="http://schemas.openxmlformats.org/officeDocument/2006/relationships/hyperlink" Target="https://undocs.org/ar/A/53/44/Corr.1" TargetMode="External"/><Relationship Id="rId27" Type="http://schemas.openxmlformats.org/officeDocument/2006/relationships/hyperlink" Target="https://undocs.org/ar/A/53/44/Corr.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uhnam\Document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734A9-C71D-4C53-9B5B-07590E8FE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1</TotalTime>
  <Pages>13</Pages>
  <Words>4621</Words>
  <Characters>24382</Characters>
  <Application>Microsoft Office Word</Application>
  <DocSecurity>0</DocSecurity>
  <Lines>398</Lines>
  <Paragraphs>130</Paragraphs>
  <ScaleCrop>false</ScaleCrop>
  <HeadingPairs>
    <vt:vector size="2" baseType="variant">
      <vt:variant>
        <vt:lpstr>Title</vt:lpstr>
      </vt:variant>
      <vt:variant>
        <vt:i4>1</vt:i4>
      </vt:variant>
    </vt:vector>
  </HeadingPairs>
  <TitlesOfParts>
    <vt:vector size="1" baseType="lpstr">
      <vt:lpstr>CAT/C/CUB/CO/3</vt:lpstr>
    </vt:vector>
  </TitlesOfParts>
  <Company>DCM</Company>
  <LinksUpToDate>false</LinksUpToDate>
  <CharactersWithSpaces>28974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CAT/C/CUB/CO/3</dc:title>
  <dc:subject>GE.2208857(A)</dc:subject>
  <dc:creator>Muntaha BUHNAM - ASE</dc:creator>
  <cp:keywords>GE.2237455(A)</cp:keywords>
  <dc:description>Distr.: General
9 June 2022
Arabic
Original: Spanish</dc:description>
  <cp:lastModifiedBy>Ibrahim Balan</cp:lastModifiedBy>
  <cp:revision>3</cp:revision>
  <cp:lastPrinted>2022-07-18T10:43:00Z</cp:lastPrinted>
  <dcterms:created xsi:type="dcterms:W3CDTF">2022-07-18T10:43:00Z</dcterms:created>
  <dcterms:modified xsi:type="dcterms:W3CDTF">2022-07-18T10:44:00Z</dcterms:modified>
  <cp:category>Final</cp:category>
</cp:coreProperties>
</file>