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F22398" w14:paraId="729EA601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DBD9DD" w14:textId="77777777" w:rsidR="002D5AAC" w:rsidRDefault="002D5AAC" w:rsidP="00CF18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41DB83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8EFD77" w14:textId="77777777" w:rsidR="002D5AAC" w:rsidRPr="00CF18F0" w:rsidRDefault="00CF18F0" w:rsidP="00CF18F0">
            <w:pPr>
              <w:jc w:val="right"/>
              <w:rPr>
                <w:lang w:val="en-US"/>
              </w:rPr>
            </w:pPr>
            <w:r w:rsidRPr="00CF18F0">
              <w:rPr>
                <w:sz w:val="40"/>
                <w:lang w:val="en-US"/>
              </w:rPr>
              <w:t>CRPD</w:t>
            </w:r>
            <w:r w:rsidRPr="00CF18F0">
              <w:rPr>
                <w:lang w:val="en-US"/>
              </w:rPr>
              <w:t>/C/MNE/CO/1/Add.2</w:t>
            </w:r>
          </w:p>
        </w:tc>
      </w:tr>
      <w:tr w:rsidR="002D5AAC" w:rsidRPr="00F22398" w14:paraId="58055107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53643B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25022B" wp14:editId="4ED0FB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390C9D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CA5D36D" w14:textId="77777777" w:rsidR="002D5AAC" w:rsidRDefault="00CF18F0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ACE820" w14:textId="77777777" w:rsidR="00CF18F0" w:rsidRDefault="00CF18F0" w:rsidP="00CF18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2020</w:t>
            </w:r>
          </w:p>
          <w:p w14:paraId="0451B9EB" w14:textId="77777777" w:rsidR="00CF18F0" w:rsidRDefault="00CF18F0" w:rsidP="00CF18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5618E1" w14:textId="77777777" w:rsidR="00CF18F0" w:rsidRPr="008934D2" w:rsidRDefault="00CF18F0" w:rsidP="00CF18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  <w:t>English, Russian and Spanish only</w:t>
            </w:r>
          </w:p>
        </w:tc>
      </w:tr>
    </w:tbl>
    <w:p w14:paraId="5F025999" w14:textId="77777777" w:rsidR="001268D3" w:rsidRPr="001268D3" w:rsidRDefault="001268D3" w:rsidP="001268D3">
      <w:pPr>
        <w:spacing w:before="120"/>
        <w:rPr>
          <w:b/>
          <w:sz w:val="24"/>
          <w:szCs w:val="24"/>
        </w:rPr>
      </w:pPr>
      <w:r w:rsidRPr="001268D3">
        <w:rPr>
          <w:b/>
          <w:bCs/>
          <w:sz w:val="24"/>
          <w:szCs w:val="24"/>
        </w:rPr>
        <w:t>Ком</w:t>
      </w:r>
      <w:bookmarkStart w:id="0" w:name="_GoBack"/>
      <w:bookmarkEnd w:id="0"/>
      <w:r w:rsidRPr="001268D3">
        <w:rPr>
          <w:b/>
          <w:bCs/>
          <w:sz w:val="24"/>
          <w:szCs w:val="24"/>
        </w:rPr>
        <w:t>итет по правам инвалидов</w:t>
      </w:r>
    </w:p>
    <w:p w14:paraId="78343D89" w14:textId="77777777" w:rsidR="001268D3" w:rsidRPr="008248D7" w:rsidRDefault="001268D3" w:rsidP="001268D3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первоначальному докладу Черногории</w:t>
      </w:r>
    </w:p>
    <w:p w14:paraId="0729B3BF" w14:textId="77777777" w:rsidR="001268D3" w:rsidRPr="008248D7" w:rsidRDefault="001268D3" w:rsidP="001268D3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65E16D58" w14:textId="77777777" w:rsidR="001268D3" w:rsidRPr="008248D7" w:rsidRDefault="001268D3" w:rsidP="001268D3">
      <w:pPr>
        <w:pStyle w:val="HChG"/>
      </w:pPr>
      <w:r>
        <w:tab/>
      </w:r>
      <w:r>
        <w:tab/>
      </w:r>
      <w:r>
        <w:rPr>
          <w:bCs/>
        </w:rPr>
        <w:t>Информация, полученная от Черногории в отношении последующей деятельности в связи с заключительными замечаниями</w:t>
      </w:r>
      <w:r>
        <w:rPr>
          <w:b w:val="0"/>
          <w:sz w:val="20"/>
        </w:rPr>
        <w:footnoteReference w:customMarkFollows="1" w:id="1"/>
        <w:t>*</w:t>
      </w:r>
    </w:p>
    <w:p w14:paraId="142CA356" w14:textId="77777777" w:rsidR="001268D3" w:rsidRPr="008248D7" w:rsidRDefault="001268D3" w:rsidP="001268D3">
      <w:pPr>
        <w:pStyle w:val="SingleTxtG"/>
        <w:jc w:val="right"/>
      </w:pPr>
      <w:r>
        <w:t>[Дата получения: 5 сентября 2019 года]</w:t>
      </w:r>
    </w:p>
    <w:p w14:paraId="0F82CFF8" w14:textId="77777777" w:rsidR="001268D3" w:rsidRPr="008248D7" w:rsidRDefault="001268D3" w:rsidP="001268D3">
      <w:pPr>
        <w:pStyle w:val="SingleTxtG"/>
      </w:pPr>
      <w:r w:rsidRPr="008248D7">
        <w:br w:type="page"/>
      </w:r>
    </w:p>
    <w:p w14:paraId="287119A3" w14:textId="77777777" w:rsidR="001268D3" w:rsidRPr="008248D7" w:rsidRDefault="001268D3" w:rsidP="001268D3">
      <w:pPr>
        <w:pStyle w:val="HChG"/>
      </w:pPr>
      <w:r>
        <w:lastRenderedPageBreak/>
        <w:tab/>
      </w:r>
      <w:r>
        <w:tab/>
      </w:r>
      <w:r>
        <w:rPr>
          <w:bCs/>
        </w:rPr>
        <w:t>Информация о последующих мерах (CRPD/C/MNE/CO/1)</w:t>
      </w:r>
    </w:p>
    <w:p w14:paraId="15F15311" w14:textId="77777777" w:rsidR="001268D3" w:rsidRPr="008248D7" w:rsidRDefault="001268D3" w:rsidP="001268D3">
      <w:pPr>
        <w:pStyle w:val="H1G"/>
      </w:pPr>
      <w:r>
        <w:tab/>
        <w:t>A.</w:t>
      </w:r>
      <w:r>
        <w:tab/>
      </w:r>
      <w:r>
        <w:rPr>
          <w:bCs/>
        </w:rPr>
        <w:t>Информация о последующих мерах в связи с пунктом 11 заключительных замечаний</w:t>
      </w:r>
      <w:r>
        <w:t xml:space="preserve"> </w:t>
      </w:r>
    </w:p>
    <w:p w14:paraId="660C6646" w14:textId="77777777" w:rsidR="001268D3" w:rsidRPr="008248D7" w:rsidRDefault="001268D3" w:rsidP="001268D3">
      <w:pPr>
        <w:pStyle w:val="SingleTxtG"/>
      </w:pPr>
      <w:r>
        <w:t>1.</w:t>
      </w:r>
      <w:r>
        <w:tab/>
        <w:t xml:space="preserve">Правительство не упоминает о каких-либо законодательных поправках, внесенных для обеспечения того, чтобы все лица с инвалидностью были в равной степени и в полной мере защищены от всех форм дискриминации. </w:t>
      </w:r>
    </w:p>
    <w:p w14:paraId="04BC86FE" w14:textId="77777777" w:rsidR="001268D3" w:rsidRPr="008248D7" w:rsidRDefault="001268D3" w:rsidP="001268D3">
      <w:pPr>
        <w:pStyle w:val="H1G"/>
      </w:pPr>
      <w:r>
        <w:tab/>
        <w:t>B.</w:t>
      </w:r>
      <w:r>
        <w:tab/>
      </w:r>
      <w:r>
        <w:rPr>
          <w:bCs/>
        </w:rPr>
        <w:t>Информация о последующих мерах в связи с подпунктом 11 а) заключительных замечаний</w:t>
      </w:r>
      <w:r>
        <w:t xml:space="preserve"> </w:t>
      </w:r>
    </w:p>
    <w:p w14:paraId="4F935F8A" w14:textId="77777777" w:rsidR="001268D3" w:rsidRPr="008248D7" w:rsidRDefault="001268D3" w:rsidP="001268D3">
      <w:pPr>
        <w:pStyle w:val="SingleTxtG"/>
      </w:pPr>
      <w:r>
        <w:t>2.</w:t>
      </w:r>
      <w:r>
        <w:tab/>
        <w:t>Государство упоминает информационно-просветительские мероприятия по борьбе с дискриминацией, проводимые с 2011 года. Конкретная кампания по поощрению лиц с инвалидностью к тому, чтобы они сообщали о дискриминации, не проводится. Защитник организовал День Защитника (Защитник является институциональным механизмом защиты от дискриминации, который в соответствии со своей юрисдикцией действует по жалобам лиц с инвалидностью в связи с дискриминацией и/или нарушением их прав). Правительство уточняет, что «наблюдается тенденция роста числа жалоб, поданных Защитнику (18 в 2017 году</w:t>
      </w:r>
      <w:r>
        <w:br/>
        <w:t>и 7 в 2018 году в целом)».</w:t>
      </w:r>
    </w:p>
    <w:p w14:paraId="63C523D9" w14:textId="77777777" w:rsidR="001268D3" w:rsidRPr="008248D7" w:rsidRDefault="001268D3" w:rsidP="001268D3">
      <w:pPr>
        <w:pStyle w:val="SingleTxtG"/>
      </w:pPr>
      <w:r>
        <w:t>3.</w:t>
      </w:r>
      <w:r>
        <w:tab/>
        <w:t xml:space="preserve">Пункт 13 неясен: «Учреждения социальной защиты и защиты детей предоставляют своим бенефициарам, заинтересованным гражданам, органам и организациям информацию об условиях и порядке предоставления услуг и осуществления деятельности, направленной на удовлетворение их потребностей, по их письменному запросу, который опускается в специальный ящик, расположенный в вестибюле учреждения. Таким же образом можно подавать жалобы». Представляется, что жалобы можно подавать в ящиках в вестибюле учреждения, что не соответствует надлежащей процедуре подачи жалоб, предусмотренной Конвенцией. </w:t>
      </w:r>
    </w:p>
    <w:p w14:paraId="1CFD1932" w14:textId="77777777" w:rsidR="001268D3" w:rsidRPr="008248D7" w:rsidRDefault="001268D3" w:rsidP="001268D3">
      <w:pPr>
        <w:pStyle w:val="H1G"/>
      </w:pPr>
      <w:r>
        <w:tab/>
        <w:t>C.</w:t>
      </w:r>
      <w:r>
        <w:tab/>
      </w:r>
      <w:r>
        <w:rPr>
          <w:bCs/>
        </w:rPr>
        <w:t>Информация о последующих мерах в связи с подпунктом 11 b) заключительных замечаний</w:t>
      </w:r>
      <w:r>
        <w:t xml:space="preserve"> </w:t>
      </w:r>
    </w:p>
    <w:p w14:paraId="34BC5314" w14:textId="77777777" w:rsidR="001268D3" w:rsidRPr="008248D7" w:rsidRDefault="001268D3" w:rsidP="001268D3">
      <w:pPr>
        <w:pStyle w:val="SingleTxtG"/>
      </w:pPr>
      <w:r>
        <w:t>4.</w:t>
      </w:r>
      <w:r>
        <w:tab/>
        <w:t>Правительство описывает «План образования по подготовке государственных служащих, работников судебных органов и других органов, организаций и учреждений, занимающихся делами о дискриминации», осуществляемый с 2011 года. Уточняется, что «конкретная часть этой сложной системы подготовки посвящена защите от дискриминации лиц с инвалидностью», однако она не содержит конкретной подготовки по Конвенции или по вопросу о том, как надлежащим образом рассматривать жалобы на дискриминацию по признаку инвалидности.</w:t>
      </w:r>
    </w:p>
    <w:p w14:paraId="37CBFDC8" w14:textId="77777777" w:rsidR="001268D3" w:rsidRPr="008248D7" w:rsidRDefault="001268D3" w:rsidP="001268D3">
      <w:pPr>
        <w:pStyle w:val="SingleTxtG"/>
      </w:pPr>
      <w:r>
        <w:t>5.</w:t>
      </w:r>
      <w:r>
        <w:tab/>
        <w:t xml:space="preserve">Учебными мероприятиями, отвечающими на рекомендацию 11 b), являются </w:t>
      </w:r>
      <w:r w:rsidR="00F22398">
        <w:t>«</w:t>
      </w:r>
      <w:r>
        <w:t xml:space="preserve">подготовка инструкторов для представителей судебных органов, организованная в рамках проекта СЕ и ЕС </w:t>
      </w:r>
      <w:r w:rsidR="00F22398">
        <w:t>"</w:t>
      </w:r>
      <w:r>
        <w:t>Поддержка национальных учреждений по предупреждению дискриминации в Черногории (ПРЕДИМ)</w:t>
      </w:r>
      <w:r w:rsidR="00F22398">
        <w:t>"</w:t>
      </w:r>
      <w:r>
        <w:t xml:space="preserve">», а также учебная программа по вопросам борьбы с дискриминацией для лиц, выполняющих судебные функции. Однако правительство не упоминает, содержат ли эти тренинги конкретные модули по КПИ. </w:t>
      </w:r>
    </w:p>
    <w:p w14:paraId="27D3C17E" w14:textId="77777777" w:rsidR="001268D3" w:rsidRPr="008248D7" w:rsidRDefault="001268D3" w:rsidP="001268D3">
      <w:pPr>
        <w:pStyle w:val="H1G"/>
      </w:pPr>
      <w:r>
        <w:tab/>
        <w:t>D.</w:t>
      </w:r>
      <w:r>
        <w:tab/>
      </w:r>
      <w:r>
        <w:rPr>
          <w:bCs/>
        </w:rPr>
        <w:t>Информация о последующих мерах в связи с подпунктом 11 с) заключительных замечаний</w:t>
      </w:r>
      <w:r>
        <w:t xml:space="preserve"> </w:t>
      </w:r>
    </w:p>
    <w:p w14:paraId="01B2BE77" w14:textId="77777777" w:rsidR="001268D3" w:rsidRPr="008248D7" w:rsidRDefault="001268D3" w:rsidP="001268D3">
      <w:pPr>
        <w:pStyle w:val="SingleTxtG"/>
      </w:pPr>
      <w:r>
        <w:t>6.</w:t>
      </w:r>
      <w:r>
        <w:tab/>
        <w:t xml:space="preserve">Правительство упоминает о содействии осуществлению КПИ в рамках информационно-просветительских мероприятий, ориентированных на детей с интеллектуальной инвалидностью. </w:t>
      </w:r>
    </w:p>
    <w:p w14:paraId="41419DD8" w14:textId="77777777" w:rsidR="001268D3" w:rsidRPr="008248D7" w:rsidRDefault="001268D3" w:rsidP="001268D3">
      <w:pPr>
        <w:pStyle w:val="SingleTxtG"/>
      </w:pPr>
      <w:r>
        <w:lastRenderedPageBreak/>
        <w:t>7.</w:t>
      </w:r>
      <w:r>
        <w:tab/>
        <w:t>Далее в нем лишь упоминается о том, что правительство в сотрудничестве с Министерством по правам человека и национальных меньшинств и НПО планирует включить проблематику лиц с инвалидностью в программы/планы ГР (гендерное равенство).</w:t>
      </w:r>
    </w:p>
    <w:p w14:paraId="0D512D4F" w14:textId="77777777" w:rsidR="001268D3" w:rsidRPr="008248D7" w:rsidRDefault="001268D3" w:rsidP="001268D3">
      <w:pPr>
        <w:pStyle w:val="SingleTxtG"/>
      </w:pPr>
      <w:r>
        <w:t>8.</w:t>
      </w:r>
      <w:r>
        <w:tab/>
        <w:t>И наконец, правительство заявляет, что «национальная законодательная база в системе здравоохранения основана на принципах равенства со специальными мерами в отношении лиц с инвалидностью, детей с ограниченными возможностями и представителей групп меньшинств». В нем не упоминается о каких-либо конкретных мерах, принимаемых в интересах лиц с инвалидностью из числа групп меньшинств.</w:t>
      </w:r>
    </w:p>
    <w:p w14:paraId="7E43DEE7" w14:textId="77777777" w:rsidR="001268D3" w:rsidRPr="008248D7" w:rsidRDefault="001268D3" w:rsidP="001268D3">
      <w:pPr>
        <w:pStyle w:val="H1G"/>
      </w:pPr>
      <w:r>
        <w:tab/>
        <w:t>E.</w:t>
      </w:r>
      <w:r>
        <w:tab/>
      </w:r>
      <w:r>
        <w:rPr>
          <w:bCs/>
        </w:rPr>
        <w:t>Информация о последующих мерах в связи с подпунктом 11 d) заключительных замечаний</w:t>
      </w:r>
      <w:r>
        <w:t xml:space="preserve"> </w:t>
      </w:r>
    </w:p>
    <w:p w14:paraId="0CCB2E65" w14:textId="77777777" w:rsidR="001268D3" w:rsidRPr="008248D7" w:rsidRDefault="001268D3" w:rsidP="001268D3">
      <w:pPr>
        <w:pStyle w:val="SingleTxtG"/>
      </w:pPr>
      <w:r>
        <w:t>9.</w:t>
      </w:r>
      <w:r>
        <w:tab/>
        <w:t xml:space="preserve">В 2019 году при поддержке ПРООН и Европейской комиссии будет проведена реформа, направленная на создание уникальной методологии процедур оценки: «переход от медицинской к социальной модели определения инвалидности на основе Международной классификации функционирования, инвалидности и здоровья (МКФ) ВОЗ». Затем государство описывает некоторые меры, принятые для внедрения инклюзивного образования. </w:t>
      </w:r>
    </w:p>
    <w:p w14:paraId="69BF9083" w14:textId="77777777" w:rsidR="001268D3" w:rsidRPr="008248D7" w:rsidRDefault="001268D3" w:rsidP="001268D3">
      <w:pPr>
        <w:pStyle w:val="SingleTxtG"/>
      </w:pPr>
      <w:r>
        <w:t>10.</w:t>
      </w:r>
      <w:r>
        <w:tab/>
        <w:t xml:space="preserve">В нем не упоминается об отмене использования различных определений инвалидности и уничижительной терминологии. </w:t>
      </w:r>
    </w:p>
    <w:p w14:paraId="7517D7CA" w14:textId="77777777" w:rsidR="001268D3" w:rsidRPr="008248D7" w:rsidRDefault="001268D3" w:rsidP="001268D3">
      <w:pPr>
        <w:pStyle w:val="H1G"/>
      </w:pPr>
      <w:r>
        <w:tab/>
        <w:t>F.</w:t>
      </w:r>
      <w:r>
        <w:tab/>
      </w:r>
      <w:r>
        <w:rPr>
          <w:bCs/>
        </w:rPr>
        <w:t>Информация о последующих мерах в связи с подпунктом 11 е) заключительных замечаний</w:t>
      </w:r>
      <w:r>
        <w:t xml:space="preserve"> </w:t>
      </w:r>
    </w:p>
    <w:p w14:paraId="2EBE574C" w14:textId="77777777" w:rsidR="001268D3" w:rsidRPr="001402CF" w:rsidRDefault="001268D3" w:rsidP="001268D3">
      <w:pPr>
        <w:pStyle w:val="SingleTxtG"/>
      </w:pPr>
      <w:r>
        <w:t>11.</w:t>
      </w:r>
      <w:r>
        <w:tab/>
        <w:t xml:space="preserve">В соответствии с «Законом о внесении изменений в Закон о запрещении дискриминации», принятым в июне 2017 года, правительство принимает концепцию разумного приспособления для «входа в помещения/помещения и зоны общественного пользования, недоступные для лиц с ограниченной подвижностью и с инвалидностью». Оно также вводит санкции, «когда не принимаются специальные меры по исправлению ограничений или неравного положения, с которыми сталкиваются эти лица». </w:t>
      </w:r>
    </w:p>
    <w:p w14:paraId="5727BC46" w14:textId="77777777" w:rsidR="001268D3" w:rsidRPr="008248D7" w:rsidRDefault="001268D3" w:rsidP="001268D3">
      <w:pPr>
        <w:pStyle w:val="SingleTxtG"/>
      </w:pPr>
      <w:r>
        <w:t>12.</w:t>
      </w:r>
      <w:r>
        <w:tab/>
        <w:t xml:space="preserve">Представляется, что отказ в разумном размещении в этом законе ограничивается физической доступностью и общественными зонами. </w:t>
      </w:r>
    </w:p>
    <w:p w14:paraId="2A6EB614" w14:textId="77777777" w:rsidR="001268D3" w:rsidRPr="008248D7" w:rsidRDefault="001268D3" w:rsidP="001268D3">
      <w:pPr>
        <w:pStyle w:val="H1G"/>
      </w:pPr>
      <w:r>
        <w:tab/>
        <w:t>G.</w:t>
      </w:r>
      <w:r>
        <w:tab/>
      </w:r>
      <w:r>
        <w:rPr>
          <w:bCs/>
        </w:rPr>
        <w:t>Информация о последующих мерах в связи с подпунктом 19 а) заключительных замечаний</w:t>
      </w:r>
      <w:r>
        <w:t xml:space="preserve"> </w:t>
      </w:r>
    </w:p>
    <w:p w14:paraId="744BDF46" w14:textId="77777777" w:rsidR="001268D3" w:rsidRPr="008248D7" w:rsidRDefault="001268D3" w:rsidP="001268D3">
      <w:pPr>
        <w:pStyle w:val="SingleTxtG"/>
      </w:pPr>
      <w:r>
        <w:t>13.</w:t>
      </w:r>
      <w:r>
        <w:tab/>
        <w:t xml:space="preserve">Правительство не дает подробной информации о планах действий, упомянутых в ответе; в нем не упоминается об эффективном механизме мониторинга, контрольных показателях или разумных сроках. «Во всех муниципалитетах Черногории были организованы посещения центров социальной работы и их региональных отделений. В связи с этим были разработаны меры по соответствующей адаптации зданий и их приведению в соответствие с действующими нормами и правилами». Государство не упоминает о каких-либо сроках, бюджете или эффективном механизме контроля за этими необходимыми изменениями. </w:t>
      </w:r>
    </w:p>
    <w:p w14:paraId="1DC1819C" w14:textId="77777777" w:rsidR="001268D3" w:rsidRPr="008248D7" w:rsidRDefault="001268D3" w:rsidP="001268D3">
      <w:pPr>
        <w:pStyle w:val="SingleTxtG"/>
      </w:pPr>
      <w:r>
        <w:t>14.</w:t>
      </w:r>
      <w:r>
        <w:tab/>
        <w:t xml:space="preserve">Государство упоминает о мерах, принимаемых для улучшения доступности информации для лиц с инвалидностью и доступа к учреждениям культуры. Оно не упоминает о каких-либо стратегии, планах действий или санкциях за несоблюдение. </w:t>
      </w:r>
    </w:p>
    <w:p w14:paraId="2395F6D8" w14:textId="77777777" w:rsidR="001268D3" w:rsidRPr="008248D7" w:rsidRDefault="001268D3" w:rsidP="001268D3">
      <w:pPr>
        <w:pStyle w:val="H1G"/>
      </w:pPr>
      <w:r>
        <w:lastRenderedPageBreak/>
        <w:tab/>
        <w:t>H.</w:t>
      </w:r>
      <w:r>
        <w:tab/>
      </w:r>
      <w:r>
        <w:rPr>
          <w:bCs/>
        </w:rPr>
        <w:t>Информация о последующих мерах в связи с подпунктом 19 b) заключительных замечаний</w:t>
      </w:r>
      <w:r>
        <w:t xml:space="preserve"> </w:t>
      </w:r>
    </w:p>
    <w:p w14:paraId="4B2B86A6" w14:textId="77777777" w:rsidR="001268D3" w:rsidRPr="008248D7" w:rsidRDefault="001268D3" w:rsidP="001268D3">
      <w:pPr>
        <w:pStyle w:val="SingleTxtG"/>
      </w:pPr>
      <w:r>
        <w:t>15.</w:t>
      </w:r>
      <w:r>
        <w:tab/>
        <w:t xml:space="preserve">Правительство заявляет: «Номер 112 доступен для всех граждан Черногории»; «лица с нарушениями слуха могут пользоваться номером 112, отправляя на этот номер SMS-сообщения и получая ответные сообщения». Оно указывает, что операторы мобильной связи должны предоставлять слепым или слабовидящим людям необходимые устройства для доступа к номеру 112. В нем не упоминается о каком-либо законе или обязательстве операторов мобильной связи предоставлять это оборудование, а также о том, является ли оно доступным по цене для всех лиц с инвалидностью. Из фразы «В настоящее время гражданам, т. е. инвалидам, доступно 30 телефонных линий на номер 112», непонятно, что это за телефонные линии. </w:t>
      </w:r>
    </w:p>
    <w:p w14:paraId="5FD96166" w14:textId="77777777" w:rsidR="001268D3" w:rsidRPr="008248D7" w:rsidRDefault="001268D3" w:rsidP="001268D3">
      <w:pPr>
        <w:pStyle w:val="H1G"/>
      </w:pPr>
      <w:r>
        <w:tab/>
        <w:t>I.</w:t>
      </w:r>
      <w:r>
        <w:tab/>
      </w:r>
      <w:r>
        <w:rPr>
          <w:bCs/>
        </w:rPr>
        <w:t>Информация о последующих мерах в связи с подпунктом 19 с) заключительных замечаний</w:t>
      </w:r>
      <w:r>
        <w:t xml:space="preserve"> </w:t>
      </w:r>
    </w:p>
    <w:p w14:paraId="317A70C1" w14:textId="77777777" w:rsidR="001268D3" w:rsidRPr="008248D7" w:rsidRDefault="001268D3" w:rsidP="001268D3">
      <w:pPr>
        <w:pStyle w:val="SingleTxtG"/>
      </w:pPr>
      <w:r>
        <w:t>16.</w:t>
      </w:r>
      <w:r>
        <w:tab/>
        <w:t xml:space="preserve">Государство лишь отвечает на вопрос о принятых мерах в области транспорта и не упоминает о каких-либо мерах в отношении общественных служб, в то время как оно упомянуло о мерах, принятых с целью улучшения доступа к зданиям в подпункте а). Что касается транспорта, правительство приняло новый Закон о транспорте в дорожном движении, который предусматривает больше мер, связанных с доступностью, но в нем упоминается только: определение «минимального количества такси, приспособленных для перевозки лиц с ограниченными возможностями», или конкретные меры по перевозке лиц с ограниченными возможностями, нуждающихся в особом медицинском обслуживании. </w:t>
      </w:r>
    </w:p>
    <w:p w14:paraId="414468C4" w14:textId="77777777" w:rsidR="001268D3" w:rsidRPr="008248D7" w:rsidRDefault="001268D3" w:rsidP="001268D3">
      <w:pPr>
        <w:pStyle w:val="SingleTxtG"/>
      </w:pPr>
      <w:r>
        <w:t>17.</w:t>
      </w:r>
      <w:r>
        <w:tab/>
        <w:t xml:space="preserve">Оно также приняло новый Закон о железных дорогах, «предусматривающий, что потребности лиц с инвалидностью также будут учитываться при проектировании станций и закупке поездов». </w:t>
      </w:r>
    </w:p>
    <w:p w14:paraId="7873FA12" w14:textId="77777777" w:rsidR="001268D3" w:rsidRPr="008248D7" w:rsidRDefault="001268D3" w:rsidP="001268D3">
      <w:pPr>
        <w:pStyle w:val="SingleTxtG"/>
      </w:pPr>
      <w:r>
        <w:t>18.</w:t>
      </w:r>
      <w:r>
        <w:tab/>
        <w:t xml:space="preserve">Предполагалось, что в конце 2018 года будет принят новый свод правил об особых условиях использования транспортных средств общественного транспорта в дорожном и личном транспорте, в котором будут определены «технические стандарты, которым должны соответствовать транспортные средства в общественном транспорте, а также транспортные средства, используемые инвалидами в общественном транспорте (такси, автобусы)». </w:t>
      </w:r>
    </w:p>
    <w:p w14:paraId="144D80B3" w14:textId="77777777" w:rsidR="001268D3" w:rsidRPr="008248D7" w:rsidRDefault="001268D3" w:rsidP="001268D3">
      <w:pPr>
        <w:pStyle w:val="SingleTxtG"/>
      </w:pPr>
      <w:r>
        <w:t>19.</w:t>
      </w:r>
      <w:r>
        <w:tab/>
        <w:t xml:space="preserve">Государство не упоминает, уделяется ли в этих законах особое внимание применимым решениям в области информационно-коммуникационных технологий. </w:t>
      </w:r>
    </w:p>
    <w:p w14:paraId="7C4F05C0" w14:textId="77777777" w:rsidR="001268D3" w:rsidRPr="008248D7" w:rsidRDefault="001268D3" w:rsidP="001268D3">
      <w:pPr>
        <w:pStyle w:val="SingleTxtG"/>
      </w:pPr>
      <w:r>
        <w:t>20.</w:t>
      </w:r>
      <w:r>
        <w:tab/>
        <w:t>Также не упоминается о каком-либо участии или консультациях с лицами с инвалидностью и представляющей их организацией для разработки этих законов и мер.</w:t>
      </w:r>
    </w:p>
    <w:p w14:paraId="7E9C95D3" w14:textId="77777777" w:rsidR="001268D3" w:rsidRPr="008248D7" w:rsidRDefault="001268D3" w:rsidP="001268D3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240" w:after="0"/>
        <w:jc w:val="center"/>
        <w:rPr>
          <w:u w:val="single"/>
        </w:rPr>
      </w:pPr>
      <w:r w:rsidRPr="008248D7">
        <w:rPr>
          <w:u w:val="single"/>
        </w:rPr>
        <w:tab/>
      </w:r>
      <w:r w:rsidRPr="008248D7">
        <w:rPr>
          <w:u w:val="single"/>
        </w:rPr>
        <w:tab/>
      </w:r>
      <w:r w:rsidRPr="008248D7">
        <w:rPr>
          <w:u w:val="single"/>
        </w:rPr>
        <w:tab/>
      </w:r>
      <w:r>
        <w:rPr>
          <w:u w:val="single"/>
        </w:rPr>
        <w:tab/>
      </w:r>
    </w:p>
    <w:p w14:paraId="582CC240" w14:textId="77777777" w:rsidR="00381C24" w:rsidRPr="001268D3" w:rsidRDefault="00381C24" w:rsidP="00983128"/>
    <w:sectPr w:rsidR="00381C24" w:rsidRPr="001268D3" w:rsidSect="00CF18F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5B6D" w14:textId="77777777" w:rsidR="00F5531C" w:rsidRPr="00A312BC" w:rsidRDefault="00F5531C" w:rsidP="00A312BC"/>
  </w:endnote>
  <w:endnote w:type="continuationSeparator" w:id="0">
    <w:p w14:paraId="7748D3A0" w14:textId="77777777" w:rsidR="00F5531C" w:rsidRPr="00A312BC" w:rsidRDefault="00F553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370D" w14:textId="77777777" w:rsidR="00CF18F0" w:rsidRPr="00CF18F0" w:rsidRDefault="00CF18F0">
    <w:pPr>
      <w:pStyle w:val="a8"/>
    </w:pPr>
    <w:r w:rsidRPr="00CF18F0">
      <w:rPr>
        <w:b/>
        <w:sz w:val="18"/>
      </w:rPr>
      <w:fldChar w:fldCharType="begin"/>
    </w:r>
    <w:r w:rsidRPr="00CF18F0">
      <w:rPr>
        <w:b/>
        <w:sz w:val="18"/>
      </w:rPr>
      <w:instrText xml:space="preserve"> PAGE  \* MERGEFORMAT </w:instrText>
    </w:r>
    <w:r w:rsidRPr="00CF18F0">
      <w:rPr>
        <w:b/>
        <w:sz w:val="18"/>
      </w:rPr>
      <w:fldChar w:fldCharType="separate"/>
    </w:r>
    <w:r w:rsidRPr="00CF18F0">
      <w:rPr>
        <w:b/>
        <w:noProof/>
        <w:sz w:val="18"/>
      </w:rPr>
      <w:t>2</w:t>
    </w:r>
    <w:r w:rsidRPr="00CF18F0">
      <w:rPr>
        <w:b/>
        <w:sz w:val="18"/>
      </w:rPr>
      <w:fldChar w:fldCharType="end"/>
    </w:r>
    <w:r>
      <w:rPr>
        <w:b/>
        <w:sz w:val="18"/>
      </w:rPr>
      <w:tab/>
    </w:r>
    <w:r>
      <w:t>GE.20-07574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4E88" w14:textId="77777777" w:rsidR="00CF18F0" w:rsidRPr="00CF18F0" w:rsidRDefault="00CF18F0" w:rsidP="00CF18F0">
    <w:pPr>
      <w:pStyle w:val="a8"/>
      <w:tabs>
        <w:tab w:val="clear" w:pos="9639"/>
        <w:tab w:val="right" w:pos="9638"/>
      </w:tabs>
      <w:rPr>
        <w:b/>
        <w:sz w:val="18"/>
      </w:rPr>
    </w:pPr>
    <w:r>
      <w:t>GE.20-07574</w:t>
    </w:r>
    <w:r>
      <w:tab/>
    </w:r>
    <w:r w:rsidRPr="00CF18F0">
      <w:rPr>
        <w:b/>
        <w:sz w:val="18"/>
      </w:rPr>
      <w:fldChar w:fldCharType="begin"/>
    </w:r>
    <w:r w:rsidRPr="00CF18F0">
      <w:rPr>
        <w:b/>
        <w:sz w:val="18"/>
      </w:rPr>
      <w:instrText xml:space="preserve"> PAGE  \* MERGEFORMAT </w:instrText>
    </w:r>
    <w:r w:rsidRPr="00CF18F0">
      <w:rPr>
        <w:b/>
        <w:sz w:val="18"/>
      </w:rPr>
      <w:fldChar w:fldCharType="separate"/>
    </w:r>
    <w:r w:rsidRPr="00CF18F0">
      <w:rPr>
        <w:b/>
        <w:noProof/>
        <w:sz w:val="18"/>
      </w:rPr>
      <w:t>3</w:t>
    </w:r>
    <w:r w:rsidRPr="00CF18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9545" w14:textId="77777777" w:rsidR="00042B72" w:rsidRPr="00CF18F0" w:rsidRDefault="00CF18F0" w:rsidP="00CF18F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1CDF3E" wp14:editId="08AD4A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20-07574  (R)</w:t>
    </w:r>
    <w:r w:rsidR="001268D3">
      <w:rPr>
        <w:lang w:val="en-US"/>
      </w:rPr>
      <w:t xml:space="preserve">  110620  110620</w:t>
    </w:r>
    <w:r>
      <w:br/>
    </w:r>
    <w:r w:rsidRPr="00CF18F0">
      <w:rPr>
        <w:rFonts w:ascii="C39T30Lfz" w:hAnsi="C39T30Lfz"/>
        <w:kern w:val="14"/>
        <w:sz w:val="56"/>
      </w:rPr>
      <w:t></w:t>
    </w:r>
    <w:r w:rsidRPr="00CF18F0">
      <w:rPr>
        <w:rFonts w:ascii="C39T30Lfz" w:hAnsi="C39T30Lfz"/>
        <w:kern w:val="14"/>
        <w:sz w:val="56"/>
      </w:rPr>
      <w:t></w:t>
    </w:r>
    <w:r w:rsidRPr="00CF18F0">
      <w:rPr>
        <w:rFonts w:ascii="C39T30Lfz" w:hAnsi="C39T30Lfz"/>
        <w:kern w:val="14"/>
        <w:sz w:val="56"/>
      </w:rPr>
      <w:t></w:t>
    </w:r>
    <w:r w:rsidRPr="00CF18F0">
      <w:rPr>
        <w:rFonts w:ascii="C39T30Lfz" w:hAnsi="C39T30Lfz"/>
        <w:kern w:val="14"/>
        <w:sz w:val="56"/>
      </w:rPr>
      <w:t></w:t>
    </w:r>
    <w:r w:rsidRPr="00CF18F0">
      <w:rPr>
        <w:rFonts w:ascii="C39T30Lfz" w:hAnsi="C39T30Lfz"/>
        <w:kern w:val="14"/>
        <w:sz w:val="56"/>
      </w:rPr>
      <w:t></w:t>
    </w:r>
    <w:r w:rsidRPr="00CF18F0">
      <w:rPr>
        <w:rFonts w:ascii="C39T30Lfz" w:hAnsi="C39T30Lfz"/>
        <w:kern w:val="14"/>
        <w:sz w:val="56"/>
      </w:rPr>
      <w:t></w:t>
    </w:r>
    <w:r w:rsidRPr="00CF18F0">
      <w:rPr>
        <w:rFonts w:ascii="C39T30Lfz" w:hAnsi="C39T30Lfz"/>
        <w:kern w:val="14"/>
        <w:sz w:val="56"/>
      </w:rPr>
      <w:t></w:t>
    </w:r>
    <w:r w:rsidRPr="00CF18F0">
      <w:rPr>
        <w:rFonts w:ascii="C39T30Lfz" w:hAnsi="C39T30Lfz"/>
        <w:kern w:val="14"/>
        <w:sz w:val="56"/>
      </w:rPr>
      <w:t></w:t>
    </w:r>
    <w:r w:rsidRPr="00CF18F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FED093" wp14:editId="1C94A1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4980" w14:textId="77777777" w:rsidR="00F5531C" w:rsidRPr="001075E9" w:rsidRDefault="00F553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D8FC7A" w14:textId="77777777" w:rsidR="00F5531C" w:rsidRDefault="00F553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FBB64D" w14:textId="77777777" w:rsidR="001268D3" w:rsidRPr="008248D7" w:rsidRDefault="001268D3" w:rsidP="001268D3">
      <w:pPr>
        <w:pStyle w:val="ad"/>
      </w:pPr>
      <w:r>
        <w:tab/>
      </w:r>
      <w:r w:rsidRPr="001268D3">
        <w:rPr>
          <w:sz w:val="20"/>
        </w:rPr>
        <w:t>*</w:t>
      </w:r>
      <w:r>
        <w:tab/>
        <w:t>Настоящий документ до его публикации не редактировался.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4593" w14:textId="081BB0E7" w:rsidR="00CF18F0" w:rsidRPr="00CF18F0" w:rsidRDefault="00237E7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CRPD/C/MNE/CO/1/Add.2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11A3" w14:textId="21ABEC79" w:rsidR="00CF18F0" w:rsidRPr="00CF18F0" w:rsidRDefault="00237E7E" w:rsidP="00CF18F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CRPD/C/MNE/CO/1/Add.2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1C"/>
    <w:rsid w:val="00011089"/>
    <w:rsid w:val="00026643"/>
    <w:rsid w:val="00033EE1"/>
    <w:rsid w:val="00042B72"/>
    <w:rsid w:val="000558BD"/>
    <w:rsid w:val="000B57E7"/>
    <w:rsid w:val="000B6373"/>
    <w:rsid w:val="000B732B"/>
    <w:rsid w:val="000E31B6"/>
    <w:rsid w:val="000F09DF"/>
    <w:rsid w:val="000F61B2"/>
    <w:rsid w:val="001075E9"/>
    <w:rsid w:val="001268D3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37E7E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18F0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22398"/>
    <w:rsid w:val="00F43903"/>
    <w:rsid w:val="00F5531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8FF7D7"/>
  <w15:docId w15:val="{85B61E64-DF90-41C4-8231-C4F2B8D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1268D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CE1E-32D1-4014-8325-4458AD1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4</Pages>
  <Words>1120</Words>
  <Characters>7487</Characters>
  <Application>Microsoft Office Word</Application>
  <DocSecurity>0</DocSecurity>
  <Lines>1069</Lines>
  <Paragraphs>318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CRPD/C/MNE/CO/1/Add.2</vt:lpstr>
      <vt:lpstr>A/</vt:lpstr>
      <vt:lpstr>A/</vt:lpstr>
    </vt:vector>
  </TitlesOfParts>
  <Company>DCM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CRPD/C/MNE/CO/1/Add.2</dc:title>
  <dc:subject/>
  <dc:creator>Uliana ANTIPOVA</dc:creator>
  <cp:keywords/>
  <cp:lastModifiedBy>Uliana Antipova</cp:lastModifiedBy>
  <cp:revision>3</cp:revision>
  <cp:lastPrinted>2020-06-11T07:59:00Z</cp:lastPrinted>
  <dcterms:created xsi:type="dcterms:W3CDTF">2020-06-11T07:59:00Z</dcterms:created>
  <dcterms:modified xsi:type="dcterms:W3CDTF">2020-06-11T07:59:00Z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