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2B57928A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E126113" w14:textId="77777777" w:rsidR="002D5AAC" w:rsidRDefault="002D5AAC" w:rsidP="0017771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222F177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71963AB8" w14:textId="77777777" w:rsidR="002D5AAC" w:rsidRDefault="0017771E" w:rsidP="0017771E">
            <w:pPr>
              <w:jc w:val="right"/>
            </w:pPr>
            <w:r w:rsidRPr="0017771E">
              <w:rPr>
                <w:sz w:val="40"/>
              </w:rPr>
              <w:t>CERD</w:t>
            </w:r>
            <w:r>
              <w:t>/C/POL/CO/22-24</w:t>
            </w:r>
          </w:p>
        </w:tc>
      </w:tr>
      <w:tr w:rsidR="002D5AAC" w:rsidRPr="001039E2" w14:paraId="79EF9361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9D8EF9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B1596B" wp14:editId="78C03A2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82D44E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21772C1" w14:textId="77777777" w:rsidR="002D5AAC" w:rsidRPr="0017771E" w:rsidRDefault="0017771E" w:rsidP="008D2AAD">
            <w:pPr>
              <w:spacing w:before="240"/>
              <w:rPr>
                <w:lang w:val="en-US"/>
              </w:rPr>
            </w:pPr>
            <w:r w:rsidRPr="0017771E">
              <w:rPr>
                <w:lang w:val="en-US"/>
              </w:rPr>
              <w:t>Distr.: General</w:t>
            </w:r>
          </w:p>
          <w:p w14:paraId="289A155B" w14:textId="77777777" w:rsidR="0017771E" w:rsidRPr="0017771E" w:rsidRDefault="0017771E" w:rsidP="0017771E">
            <w:pPr>
              <w:spacing w:line="240" w:lineRule="exact"/>
              <w:rPr>
                <w:lang w:val="en-US"/>
              </w:rPr>
            </w:pPr>
            <w:r w:rsidRPr="0017771E">
              <w:rPr>
                <w:lang w:val="en-US"/>
              </w:rPr>
              <w:t>24 September 2019</w:t>
            </w:r>
          </w:p>
          <w:p w14:paraId="3A320339" w14:textId="77777777" w:rsidR="0017771E" w:rsidRPr="0017771E" w:rsidRDefault="0017771E" w:rsidP="0017771E">
            <w:pPr>
              <w:spacing w:line="240" w:lineRule="exact"/>
              <w:rPr>
                <w:lang w:val="en-US"/>
              </w:rPr>
            </w:pPr>
            <w:r w:rsidRPr="0017771E">
              <w:rPr>
                <w:lang w:val="en-US"/>
              </w:rPr>
              <w:t>Russian</w:t>
            </w:r>
          </w:p>
          <w:p w14:paraId="2BB28045" w14:textId="77777777" w:rsidR="0017771E" w:rsidRPr="0017771E" w:rsidRDefault="0017771E" w:rsidP="0017771E">
            <w:pPr>
              <w:spacing w:line="240" w:lineRule="exact"/>
              <w:rPr>
                <w:lang w:val="en-US"/>
              </w:rPr>
            </w:pPr>
            <w:r w:rsidRPr="0017771E">
              <w:rPr>
                <w:lang w:val="en-US"/>
              </w:rPr>
              <w:t>Original: English</w:t>
            </w:r>
          </w:p>
        </w:tc>
      </w:tr>
    </w:tbl>
    <w:p w14:paraId="76F5F8E8" w14:textId="77777777" w:rsidR="0017771E" w:rsidRPr="006114C3" w:rsidRDefault="0017771E" w:rsidP="0017771E">
      <w:pPr>
        <w:spacing w:before="120"/>
        <w:rPr>
          <w:b/>
          <w:bCs/>
          <w:sz w:val="24"/>
          <w:szCs w:val="24"/>
        </w:rPr>
      </w:pPr>
      <w:r w:rsidRPr="006114C3">
        <w:rPr>
          <w:b/>
          <w:bCs/>
          <w:sz w:val="24"/>
          <w:szCs w:val="24"/>
        </w:rPr>
        <w:t>Комитет по ликвидации</w:t>
      </w:r>
      <w:r w:rsidR="006114C3">
        <w:rPr>
          <w:b/>
          <w:bCs/>
          <w:sz w:val="24"/>
          <w:szCs w:val="24"/>
        </w:rPr>
        <w:br/>
      </w:r>
      <w:r w:rsidRPr="006114C3">
        <w:rPr>
          <w:b/>
          <w:bCs/>
          <w:sz w:val="24"/>
          <w:szCs w:val="24"/>
        </w:rPr>
        <w:t>расовой дискриминации</w:t>
      </w:r>
    </w:p>
    <w:p w14:paraId="555AC21C" w14:textId="77777777" w:rsidR="0017771E" w:rsidRPr="00707A85" w:rsidRDefault="0017771E" w:rsidP="0017771E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объединенным двадцать второму – двадцать четвертому периодическим докладам Польши</w:t>
      </w:r>
      <w:r w:rsidRPr="00396811">
        <w:rPr>
          <w:b w:val="0"/>
          <w:bCs/>
          <w:position w:val="6"/>
          <w:sz w:val="18"/>
          <w:szCs w:val="18"/>
        </w:rPr>
        <w:footnoteReference w:customMarkFollows="1" w:id="1"/>
        <w:t>*</w:t>
      </w:r>
    </w:p>
    <w:p w14:paraId="15D58052" w14:textId="77777777" w:rsidR="0017771E" w:rsidRPr="00707A85" w:rsidRDefault="0017771E" w:rsidP="0017771E">
      <w:pPr>
        <w:pStyle w:val="SingleTxtG"/>
      </w:pPr>
      <w:r>
        <w:t>1.</w:t>
      </w:r>
      <w:r>
        <w:tab/>
        <w:t>Комитет рассмотрел объединенные двадцать второй – двадцать четвертый периодические доклады Польши (CERD/C/POL/22-24), представленные в одном документе, на своих 2741-м и 2742-м заседаниях (см. CERD/C/SR.2741 и 2742), состоявшихся 6 и 7 августа 2019 года. На своем 2758-м заседании, состоявшемся</w:t>
      </w:r>
      <w:r w:rsidR="007C6FBB">
        <w:br/>
      </w:r>
      <w:r>
        <w:t>20 августа 2019 года, он принял настоящие заключительные замечания.</w:t>
      </w:r>
      <w:bookmarkStart w:id="1" w:name="_Hlk19262477"/>
      <w:bookmarkEnd w:id="1"/>
    </w:p>
    <w:p w14:paraId="3AA87C97" w14:textId="77777777" w:rsidR="0017771E" w:rsidRPr="00707A85" w:rsidRDefault="00396811" w:rsidP="0017771E">
      <w:pPr>
        <w:pStyle w:val="H1G"/>
      </w:pPr>
      <w:r>
        <w:tab/>
      </w:r>
      <w:r w:rsidR="0017771E">
        <w:t>A.</w:t>
      </w:r>
      <w:r w:rsidR="0017771E">
        <w:tab/>
      </w:r>
      <w:r w:rsidR="0017771E">
        <w:rPr>
          <w:bCs/>
        </w:rPr>
        <w:t>Введение</w:t>
      </w:r>
    </w:p>
    <w:p w14:paraId="6CC08C89" w14:textId="77777777" w:rsidR="0017771E" w:rsidRPr="00707A85" w:rsidRDefault="0017771E" w:rsidP="0017771E">
      <w:pPr>
        <w:pStyle w:val="SingleTxtG"/>
      </w:pPr>
      <w:r>
        <w:t>2.</w:t>
      </w:r>
      <w:r>
        <w:tab/>
        <w:t xml:space="preserve">Комитет приветствует представление объединенных двадцать второго </w:t>
      </w:r>
      <w:r w:rsidR="00331DF6">
        <w:t>–</w:t>
      </w:r>
      <w:r>
        <w:t xml:space="preserve"> двадцать четвертого периодических докладов государства-участника и выражает признательность за откровенный и конструктивный диалог, состоявшийся с делегацией государства-участника. Он благодарит делегацию за информацию, представленную в ходе рассмотрения доклада, а также за дополнительные сведения, направленные в письменном виде после диалога. Комитет с удовлетворением отмечает также активное участие представителей Уполномоченного по правам человека Польши в рассмотрении объединенных двадцать второго </w:t>
      </w:r>
      <w:r w:rsidR="00396811" w:rsidRPr="00396811">
        <w:t>–</w:t>
      </w:r>
      <w:r>
        <w:t xml:space="preserve"> двадцать четвертого периодических докладов государства-участника. Комитет призывает государство-участник укрепить сотрудничество с Уполномоченным по правам человека Польши.</w:t>
      </w:r>
    </w:p>
    <w:p w14:paraId="31DC6240" w14:textId="77777777" w:rsidR="0017771E" w:rsidRPr="00707A85" w:rsidRDefault="00396811" w:rsidP="0017771E">
      <w:pPr>
        <w:pStyle w:val="H1G"/>
      </w:pPr>
      <w:r>
        <w:tab/>
      </w:r>
      <w:r w:rsidR="0017771E">
        <w:t>B.</w:t>
      </w:r>
      <w:r w:rsidR="0017771E">
        <w:tab/>
      </w:r>
      <w:r w:rsidR="0017771E">
        <w:rPr>
          <w:bCs/>
        </w:rPr>
        <w:t>Позитивные аспекты</w:t>
      </w:r>
    </w:p>
    <w:p w14:paraId="6EB1FC1A" w14:textId="77777777" w:rsidR="0017771E" w:rsidRPr="00707A85" w:rsidRDefault="0017771E" w:rsidP="0017771E">
      <w:pPr>
        <w:pStyle w:val="SingleTxtG"/>
      </w:pPr>
      <w:r>
        <w:t>3.</w:t>
      </w:r>
      <w:r>
        <w:tab/>
        <w:t xml:space="preserve">Комитет приветствует ратификацию государством-участником следующих международных договоров по правам человека или его присоединение к следующим международным договорам по правам человека: </w:t>
      </w:r>
    </w:p>
    <w:p w14:paraId="3D215CE5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a)</w:t>
      </w:r>
      <w:r w:rsidR="0017771E">
        <w:tab/>
        <w:t>Дополнительный протокол к Конвенции о киберпреступности, касающийся уголовной ответственности за деяния расистского и ксенофобского характера, совершаемые через компьютерные системы, 20 февраля 2015 года;</w:t>
      </w:r>
    </w:p>
    <w:p w14:paraId="43F582F3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b)</w:t>
      </w:r>
      <w:r w:rsidR="0017771E">
        <w:tab/>
        <w:t>второй Факультативный протокол к Международному пакту о гражданских и политических правах, направленный на отмену смертной казни,</w:t>
      </w:r>
      <w:r w:rsidR="00875E64">
        <w:br/>
      </w:r>
      <w:r w:rsidR="0017771E">
        <w:t>25 апреля 2014 года.</w:t>
      </w:r>
    </w:p>
    <w:p w14:paraId="3CAD823D" w14:textId="77777777" w:rsidR="0017771E" w:rsidRPr="00707A85" w:rsidRDefault="0017771E" w:rsidP="00396811">
      <w:pPr>
        <w:pStyle w:val="SingleTxtG"/>
        <w:pageBreakBefore/>
      </w:pPr>
      <w:r>
        <w:lastRenderedPageBreak/>
        <w:t>4.</w:t>
      </w:r>
      <w:r>
        <w:tab/>
        <w:t>Комитет приветствует также принятые государством-участником следующие законодательные, институциональные и политические меры:</w:t>
      </w:r>
    </w:p>
    <w:p w14:paraId="676A2F75" w14:textId="77777777" w:rsidR="0017771E" w:rsidRPr="00707A85" w:rsidRDefault="0017771E" w:rsidP="0017771E">
      <w:pPr>
        <w:pStyle w:val="SingleTxtG"/>
      </w:pPr>
      <w:r>
        <w:tab/>
      </w:r>
      <w:r w:rsidR="00396811">
        <w:tab/>
      </w:r>
      <w:r>
        <w:t>a)</w:t>
      </w:r>
      <w:r>
        <w:tab/>
        <w:t>принятие в 2014 и 2015 годах поправок к Закону о предоставлении защиты иностранцам на территории Республики Польша и ряду других законов;</w:t>
      </w:r>
    </w:p>
    <w:p w14:paraId="6FAB786A" w14:textId="77777777" w:rsidR="0017771E" w:rsidRPr="00707A85" w:rsidRDefault="0017771E" w:rsidP="0017771E">
      <w:pPr>
        <w:pStyle w:val="SingleTxtG"/>
      </w:pPr>
      <w:r>
        <w:tab/>
      </w:r>
      <w:r w:rsidR="00396811">
        <w:tab/>
      </w:r>
      <w:r>
        <w:t>b)</w:t>
      </w:r>
      <w:r>
        <w:tab/>
        <w:t>принятие нового Национального плана действий по борьбе с торговлей людьми на 2019</w:t>
      </w:r>
      <w:r w:rsidR="00396811" w:rsidRPr="00396811">
        <w:t>–</w:t>
      </w:r>
      <w:r>
        <w:t>2021 годы;</w:t>
      </w:r>
    </w:p>
    <w:p w14:paraId="20375D57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с)</w:t>
      </w:r>
      <w:r w:rsidR="0017771E">
        <w:tab/>
        <w:t>создание в 2018 году межведомственной группы по предупреждению пропаганды фашизма и других тоталитарных систем и преступлений, связанных с разжиганием ненависти на почве национальных, этнических, расовых или религиозных различий либо по причине отсутствия какого-либо вероисповедания;</w:t>
      </w:r>
    </w:p>
    <w:p w14:paraId="07049C90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d)</w:t>
      </w:r>
      <w:r w:rsidR="0017771E">
        <w:tab/>
        <w:t>учреждение в 2016 году Главного управления национальной полиции по борьбе с киберпреступностью и назначение координаторов по борьбе с преступлениями на почве ненависти в киберпространстве;</w:t>
      </w:r>
    </w:p>
    <w:p w14:paraId="56F6FE80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e)</w:t>
      </w:r>
      <w:r w:rsidR="0017771E">
        <w:tab/>
        <w:t>принятие Национальной стратегии регулирования вещания</w:t>
      </w:r>
      <w:r w:rsidR="00875E64">
        <w:br/>
      </w:r>
      <w:r w:rsidR="0017771E">
        <w:t>на 2014</w:t>
      </w:r>
      <w:r w:rsidR="00875E64">
        <w:t>–</w:t>
      </w:r>
      <w:r w:rsidR="0017771E">
        <w:t>2016 годы.</w:t>
      </w:r>
    </w:p>
    <w:p w14:paraId="5C8E6B8F" w14:textId="77777777" w:rsidR="0017771E" w:rsidRPr="00707A85" w:rsidRDefault="00396811" w:rsidP="0017771E">
      <w:pPr>
        <w:pStyle w:val="H1G"/>
      </w:pPr>
      <w:r>
        <w:tab/>
      </w:r>
      <w:r w:rsidR="0017771E">
        <w:t>C.</w:t>
      </w:r>
      <w:r w:rsidR="0017771E">
        <w:tab/>
      </w:r>
      <w:r w:rsidR="0017771E">
        <w:rPr>
          <w:bCs/>
        </w:rPr>
        <w:t>Вопросы, вызывающие обеспокоенность, и рекомендации</w:t>
      </w:r>
    </w:p>
    <w:p w14:paraId="5EC13ED7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Статистические данные</w:t>
      </w:r>
    </w:p>
    <w:p w14:paraId="36949B8B" w14:textId="77777777" w:rsidR="0017771E" w:rsidRPr="00707A85" w:rsidRDefault="0017771E" w:rsidP="0017771E">
      <w:pPr>
        <w:pStyle w:val="SingleTxtG"/>
      </w:pPr>
      <w:r>
        <w:t>5.</w:t>
      </w:r>
      <w:r>
        <w:tab/>
        <w:t>Комитет выражает сожаление по поводу того, что государство-участник не представило обновленную информацию об этническом составе населения после проведения общенациональной переписи населения в 2011 году, а также по поводу отсутствия статистических данных о мигрантах, беженцах и просителях убежища.</w:t>
      </w:r>
      <w:r w:rsidR="00875E64">
        <w:br/>
      </w:r>
      <w:r>
        <w:t xml:space="preserve">Он сожалеет также об отсутствии статистических данных и всеобъемлющей информации о политике сбора социально-экономических показателей в отношении различных этнических групп, проживающих на территории государства-участника (статья 2). </w:t>
      </w:r>
    </w:p>
    <w:p w14:paraId="7E1FEA60" w14:textId="77777777" w:rsidR="0017771E" w:rsidRPr="00707A85" w:rsidRDefault="0017771E" w:rsidP="0017771E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Ссылаясь на свои руководящие принципы подготовки докладов (CERD/C/2007/1) и свою общую рекомендацию № 8 (1990), касающуюся толкования и применения пунктов 1 и 4 статьи 1 Конвенции, Комитет рекомендует государству-участнику собирать и представлять Комитету обновленные статистические данные об этническом составе своего населения в разбивке по этнической принадлежности, национальному происхождению и используемым языкам, с учетом принципа самоидентификации, а также статистические данные о мигрантах, беженцах и просителях убежища.</w:t>
      </w:r>
      <w:r w:rsidR="00875E64">
        <w:br/>
      </w:r>
      <w:r>
        <w:rPr>
          <w:b/>
          <w:bCs/>
        </w:rPr>
        <w:t>Он рекомендует также государству-участнику разработать социально-экономические показатели осуществления прав, защищаемых Конвенцией, различными этническими группами, проживающими на территории государства-участника, в разбивке по полу, возрасту и этнической принадлежности, в том числе на основе диалога с этническими меньшинствами.</w:t>
      </w:r>
    </w:p>
    <w:p w14:paraId="296F5EA3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Антидискриминационное законодательство</w:t>
      </w:r>
    </w:p>
    <w:p w14:paraId="308E4D23" w14:textId="77777777" w:rsidR="0017771E" w:rsidRPr="00707A85" w:rsidRDefault="0017771E" w:rsidP="0017771E">
      <w:pPr>
        <w:pStyle w:val="SingleTxtG"/>
      </w:pPr>
      <w:r>
        <w:t>7.</w:t>
      </w:r>
      <w:r>
        <w:tab/>
        <w:t>Комитет обеспокоен следующим:</w:t>
      </w:r>
    </w:p>
    <w:p w14:paraId="5E31FAD9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a)</w:t>
      </w:r>
      <w:r w:rsidR="0017771E">
        <w:tab/>
        <w:t xml:space="preserve">тем, что в Законе о равном обращении 2010 года не содержится прямого запрета на дискриминацию по признакам </w:t>
      </w:r>
      <w:r>
        <w:t>«</w:t>
      </w:r>
      <w:r w:rsidR="0017771E">
        <w:t>национального происхождения</w:t>
      </w:r>
      <w:r>
        <w:t>»</w:t>
      </w:r>
      <w:r w:rsidR="0017771E">
        <w:t xml:space="preserve">, </w:t>
      </w:r>
      <w:r>
        <w:t>«</w:t>
      </w:r>
      <w:r w:rsidR="0017771E">
        <w:t>цвета кожи</w:t>
      </w:r>
      <w:r>
        <w:t>»</w:t>
      </w:r>
      <w:r w:rsidR="0017771E">
        <w:t xml:space="preserve"> и </w:t>
      </w:r>
      <w:r>
        <w:t>«</w:t>
      </w:r>
      <w:r w:rsidR="0017771E">
        <w:t>родового происхождения</w:t>
      </w:r>
      <w:r>
        <w:t>»</w:t>
      </w:r>
      <w:r w:rsidR="0017771E">
        <w:t xml:space="preserve"> и, следовательно, он не в полной мере соответствует статье 1 Конвенции;</w:t>
      </w:r>
    </w:p>
    <w:p w14:paraId="3E714D72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b)</w:t>
      </w:r>
      <w:r w:rsidR="0017771E">
        <w:tab/>
        <w:t>тем, что действующие правовые положения, запрещающие расовую дискриминацию, не выполняются в полном объеме и последовательным образом;</w:t>
      </w:r>
    </w:p>
    <w:p w14:paraId="1BB4D67F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с)</w:t>
      </w:r>
      <w:r w:rsidR="0017771E">
        <w:tab/>
        <w:t>отсутствием подробной информации о случаях конкретных отсылок к этим правовым положениям в судах и в рамках других соответствующих механизмов подачи жалоб (статьи 1 и 2).</w:t>
      </w:r>
    </w:p>
    <w:p w14:paraId="039595F0" w14:textId="77777777" w:rsidR="0017771E" w:rsidRPr="00707A85" w:rsidRDefault="0017771E" w:rsidP="00396811">
      <w:pPr>
        <w:pStyle w:val="SingleTxtG"/>
        <w:pageBreakBefore/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CA5DCD3" w14:textId="77777777" w:rsidR="0017771E" w:rsidRPr="00396811" w:rsidRDefault="00396811" w:rsidP="0017771E">
      <w:pPr>
        <w:pStyle w:val="SingleTxtG"/>
        <w:rPr>
          <w:b/>
          <w:bCs/>
        </w:rPr>
      </w:pPr>
      <w:r>
        <w:tab/>
      </w:r>
      <w:r w:rsidR="0017771E">
        <w:tab/>
      </w:r>
      <w:r w:rsidR="0017771E" w:rsidRPr="00396811">
        <w:rPr>
          <w:b/>
        </w:rPr>
        <w:t>a)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 xml:space="preserve">включить в Закон о равном обращении </w:t>
      </w:r>
      <w:r>
        <w:rPr>
          <w:b/>
          <w:bCs/>
        </w:rPr>
        <w:t>«</w:t>
      </w:r>
      <w:r w:rsidR="0017771E" w:rsidRPr="00396811">
        <w:rPr>
          <w:b/>
          <w:bCs/>
        </w:rPr>
        <w:t>национальное происхождение</w:t>
      </w:r>
      <w:r>
        <w:rPr>
          <w:b/>
          <w:bCs/>
        </w:rPr>
        <w:t>»</w:t>
      </w:r>
      <w:r w:rsidR="0017771E" w:rsidRPr="00396811">
        <w:rPr>
          <w:b/>
          <w:bCs/>
        </w:rPr>
        <w:t xml:space="preserve">, </w:t>
      </w:r>
      <w:r>
        <w:rPr>
          <w:b/>
          <w:bCs/>
        </w:rPr>
        <w:t>«</w:t>
      </w:r>
      <w:r w:rsidR="0017771E" w:rsidRPr="00396811">
        <w:rPr>
          <w:b/>
          <w:bCs/>
        </w:rPr>
        <w:t>цвет кожи</w:t>
      </w:r>
      <w:r>
        <w:rPr>
          <w:b/>
          <w:bCs/>
        </w:rPr>
        <w:t>»</w:t>
      </w:r>
      <w:r w:rsidR="0017771E" w:rsidRPr="00396811">
        <w:rPr>
          <w:b/>
          <w:bCs/>
        </w:rPr>
        <w:t xml:space="preserve"> и </w:t>
      </w:r>
      <w:r>
        <w:rPr>
          <w:b/>
          <w:bCs/>
        </w:rPr>
        <w:t>«</w:t>
      </w:r>
      <w:r w:rsidR="0017771E" w:rsidRPr="00396811">
        <w:rPr>
          <w:b/>
          <w:bCs/>
        </w:rPr>
        <w:t>родовое происхождение</w:t>
      </w:r>
      <w:r>
        <w:rPr>
          <w:b/>
          <w:bCs/>
        </w:rPr>
        <w:t>»</w:t>
      </w:r>
      <w:r w:rsidR="0017771E" w:rsidRPr="00396811">
        <w:rPr>
          <w:b/>
          <w:bCs/>
        </w:rPr>
        <w:t xml:space="preserve"> в качестве запрещенных признаков дискриминации, с тем чтобы привести его в соответствие с пунктом 1 статьи 1 Конвенции;</w:t>
      </w:r>
    </w:p>
    <w:p w14:paraId="22154CD1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b)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обеспечить полное осуществление на практике действующих правовых положений, запрещающих расовую дискриминацию, и упростить на практике доступ к правосудию для всех жертв расовой дискриминации;</w:t>
      </w:r>
    </w:p>
    <w:p w14:paraId="2630B050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с)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активизировать подготовку сотрудников судебных органов по положениям Конвенции и представить подробные сведения о делах о расовой дискриминации, рассмотренных судебными органами и другими соответствующими механизмами подачи жалоб.</w:t>
      </w:r>
    </w:p>
    <w:p w14:paraId="34E8C45B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Национальное правозащитное учреждение</w:t>
      </w:r>
    </w:p>
    <w:p w14:paraId="60C1A1FC" w14:textId="77777777" w:rsidR="0017771E" w:rsidRPr="00707A85" w:rsidRDefault="0017771E" w:rsidP="0017771E">
      <w:pPr>
        <w:pStyle w:val="SingleTxtG"/>
      </w:pPr>
      <w:r>
        <w:t>9.</w:t>
      </w:r>
      <w:r>
        <w:tab/>
        <w:t xml:space="preserve">С удовлетворением отмечая, что в 2017 году Глобальный альянс национальных правозащитных учреждений вновь присвоил Уполномоченному по правам человека Польши статус </w:t>
      </w:r>
      <w:r w:rsidR="00396811">
        <w:t>«</w:t>
      </w:r>
      <w:r>
        <w:t>А</w:t>
      </w:r>
      <w:r w:rsidR="00396811">
        <w:t>»</w:t>
      </w:r>
      <w:r>
        <w:t>, Комитет выражает сохраняющуюся обеспокоенность по поводу того, что Уполномоченному, в частности его Департаменту по вопросам равного обращения, не выделяются достаточные кадровые и финансовые ресурсы, что подрывает его способность выполнять свои полномочия. Кроме того, Комитет по-прежнему обеспокоен тем, что Уполномоченный не имеет закрепленных в законодательстве полномочий рассматривать жалобы жертв, касающиеся случаев расовой дискриминации в частной сфере.</w:t>
      </w:r>
    </w:p>
    <w:p w14:paraId="7F7032F5" w14:textId="77777777" w:rsidR="0017771E" w:rsidRPr="00707A85" w:rsidRDefault="0017771E" w:rsidP="0017771E">
      <w:pPr>
        <w:pStyle w:val="SingleTxtG"/>
      </w:pPr>
      <w:r>
        <w:t>10.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0E5FEF39" w14:textId="77777777" w:rsidR="0017771E" w:rsidRPr="00396811" w:rsidRDefault="00396811" w:rsidP="0017771E">
      <w:pPr>
        <w:pStyle w:val="SingleTxtG"/>
        <w:rPr>
          <w:b/>
          <w:bCs/>
        </w:rPr>
      </w:pPr>
      <w:r>
        <w:rPr>
          <w:b/>
        </w:rPr>
        <w:tab/>
      </w:r>
      <w:r w:rsidR="0017771E" w:rsidRPr="00396811">
        <w:rPr>
          <w:b/>
        </w:rPr>
        <w:tab/>
        <w:t>a)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выделять Уполномоченному по правам человека Польши,</w:t>
      </w:r>
      <w:r w:rsidR="00331DF6">
        <w:rPr>
          <w:b/>
          <w:bCs/>
        </w:rPr>
        <w:br/>
      </w:r>
      <w:r w:rsidR="0017771E" w:rsidRPr="00396811">
        <w:rPr>
          <w:b/>
          <w:bCs/>
        </w:rPr>
        <w:t>в частности его Департаменту по вопросам равного обращения, необходимые кадровые и финансовые ресурсы, чтобы он мог выполнять свои полномочия в полном объеме и независимым и беспристрастным образом в соответствии с Принципами, касающимися статуса национальных учреждений, занимающихся поощрением и защитой прав человека (Парижские принципы);</w:t>
      </w:r>
    </w:p>
    <w:p w14:paraId="116907E5" w14:textId="77777777" w:rsidR="0017771E" w:rsidRPr="00396811" w:rsidRDefault="0017771E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396811">
        <w:rPr>
          <w:b/>
        </w:rPr>
        <w:tab/>
      </w:r>
      <w:r w:rsidRPr="00396811">
        <w:rPr>
          <w:b/>
        </w:rPr>
        <w:t>b)</w:t>
      </w:r>
      <w:r w:rsidRPr="00396811">
        <w:rPr>
          <w:b/>
        </w:rPr>
        <w:tab/>
      </w:r>
      <w:r w:rsidRPr="00396811">
        <w:rPr>
          <w:b/>
          <w:bCs/>
        </w:rPr>
        <w:t>внести в законодательство</w:t>
      </w:r>
      <w:r w:rsidRPr="00396811">
        <w:rPr>
          <w:b/>
        </w:rPr>
        <w:t xml:space="preserve"> </w:t>
      </w:r>
      <w:r w:rsidRPr="00396811">
        <w:rPr>
          <w:b/>
          <w:bCs/>
        </w:rPr>
        <w:t>поправки, закрепляющие полномочия Уполномоченного рассматривать дела, касающиеся случаев расовой дискриминации как в государственном, так и в частном секторах;</w:t>
      </w:r>
    </w:p>
    <w:p w14:paraId="056099C9" w14:textId="77777777" w:rsidR="0017771E" w:rsidRPr="00396811" w:rsidRDefault="00396811" w:rsidP="0017771E">
      <w:pPr>
        <w:pStyle w:val="SingleTxtG"/>
        <w:rPr>
          <w:b/>
          <w:bCs/>
        </w:rPr>
      </w:pPr>
      <w:r>
        <w:rPr>
          <w:b/>
        </w:rPr>
        <w:tab/>
      </w:r>
      <w:r w:rsidR="0017771E" w:rsidRPr="00396811">
        <w:rPr>
          <w:b/>
        </w:rPr>
        <w:tab/>
        <w:t>с)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обеспечить полное признание и соблюдение уставленных законом полномочий Уполномоченного, в частности обеспечить, чтобы по ходатайству Уполномоченного о возбуждении судебного преследования по делам, предполагающим публичное предъявление обвинения, включая дела о преступлениях, совершенных по расовым мотивам, незамедлительно проводились расследования Государственной прокуратурой или соответствующими находящимися в ее подчинении прокурорами, как того требует пункт 5 статьи 14 Закона об Уполномоченном по правам человека.</w:t>
      </w:r>
    </w:p>
    <w:p w14:paraId="65F87355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Институциональная основа</w:t>
      </w:r>
      <w:r>
        <w:t xml:space="preserve"> </w:t>
      </w:r>
    </w:p>
    <w:p w14:paraId="076D7061" w14:textId="77777777" w:rsidR="0017771E" w:rsidRPr="00707A85" w:rsidRDefault="0017771E" w:rsidP="0017771E">
      <w:pPr>
        <w:pStyle w:val="SingleTxtG"/>
      </w:pPr>
      <w:r>
        <w:t>11.</w:t>
      </w:r>
      <w:r>
        <w:tab/>
        <w:t>Комитет отмечает, что Полномочный представитель правительства по вопросам равного обращения вместе с Полномочными представителями по вопросам равного обращения в воеводствах и Координаторами по вопросам равного обращения во всех министерствах совместно выполняют функции национального механизма по обеспечению равного обращения и ликвидации расовой дискриминации. Тем не менее он обеспокоен следующим:</w:t>
      </w:r>
    </w:p>
    <w:p w14:paraId="0C7CED51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a)</w:t>
      </w:r>
      <w:r w:rsidR="0017771E">
        <w:tab/>
        <w:t>сообщениями об отсутствии у Полномочного представителя достаточных ресурсов и полномочий для координации действий правительства в области борьбы с расовой дискриминацией;</w:t>
      </w:r>
    </w:p>
    <w:p w14:paraId="2FA8F91E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b)</w:t>
      </w:r>
      <w:r w:rsidR="0017771E">
        <w:tab/>
        <w:t>роспуском в 2016 году Совета по предупреждению расовой дискриминации, ксенофобии и связанной с ними нетерпимости без замены его другим учреждением, наделенным аналогичными полномочиями;</w:t>
      </w:r>
    </w:p>
    <w:p w14:paraId="0069D2B0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с)</w:t>
      </w:r>
      <w:r w:rsidR="0017771E">
        <w:tab/>
        <w:t>внесением в 2015 году в институциональные рамки изменений, которые могут подрывать независимость судебной власти и Государственной прокуроры, что порождает опасения относительно благонадежности механизмов обеспечения применения предусмотренных законом гарантий равенства.</w:t>
      </w:r>
    </w:p>
    <w:p w14:paraId="76C454CB" w14:textId="77777777" w:rsidR="0017771E" w:rsidRPr="00707A85" w:rsidRDefault="0017771E" w:rsidP="0017771E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4F5EC0D" w14:textId="77777777" w:rsidR="0017771E" w:rsidRPr="00396811" w:rsidRDefault="00396811" w:rsidP="0017771E">
      <w:pPr>
        <w:pStyle w:val="SingleTxtG"/>
        <w:rPr>
          <w:b/>
          <w:bCs/>
        </w:rPr>
      </w:pPr>
      <w:r>
        <w:tab/>
      </w:r>
      <w:r w:rsidR="0017771E" w:rsidRPr="00396811">
        <w:rPr>
          <w:b/>
        </w:rPr>
        <w:tab/>
        <w:t>a)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укрепить мандат и полномочия Полномочного представителя правительства по вопросам равного обращения и увеличить объем выделяемых ему финансовых и кадровых ресурсов для обеспечения эффективной координации государственных стратегий по борьбе с расовой дискриминацией;</w:t>
      </w:r>
      <w:r w:rsidR="0017771E" w:rsidRPr="00396811">
        <w:rPr>
          <w:b/>
        </w:rPr>
        <w:t xml:space="preserve"> </w:t>
      </w:r>
    </w:p>
    <w:p w14:paraId="496DA423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b)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воссоздать Совет по предупреждению расовой дискриминации, ксенофобии и связанной с ними нетерпимости или создать альтернативное учреждение с участием многочисленных заинтересованных сторон, наделенное аналогичными полномочиями;</w:t>
      </w:r>
      <w:r w:rsidR="0017771E" w:rsidRPr="00396811">
        <w:rPr>
          <w:b/>
        </w:rPr>
        <w:t xml:space="preserve"> </w:t>
      </w:r>
    </w:p>
    <w:p w14:paraId="0E3E9E65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с)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принять эффективные меры для обеспечения независимости судебных органов и Государственного прокурора и их защиты от политического вмешательства.</w:t>
      </w:r>
    </w:p>
    <w:p w14:paraId="134F4DB4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Нормативная основа</w:t>
      </w:r>
    </w:p>
    <w:p w14:paraId="6464B107" w14:textId="77777777" w:rsidR="0017771E" w:rsidRPr="00707A85" w:rsidRDefault="0017771E" w:rsidP="0017771E">
      <w:pPr>
        <w:pStyle w:val="SingleTxtG"/>
      </w:pPr>
      <w:r>
        <w:t>13.</w:t>
      </w:r>
      <w:r>
        <w:tab/>
        <w:t>Комитет обеспокоен тем, что результаты оценки воздействия Национальной программы действий по обеспечению равного обращения на 2013</w:t>
      </w:r>
      <w:r w:rsidR="00331DF6">
        <w:t>–</w:t>
      </w:r>
      <w:r>
        <w:t>2016 годы не были обнародованы, что Национальная программа действий не была продлена на последующие годы и что она была разработана без участия населения и даже без проведения консультаций с представителями различных государственных структур,</w:t>
      </w:r>
      <w:r w:rsidR="009A6D69">
        <w:br/>
      </w:r>
      <w:r>
        <w:t>за исключением представителей правящей партии.</w:t>
      </w:r>
    </w:p>
    <w:p w14:paraId="05E8540E" w14:textId="77777777" w:rsidR="0017771E" w:rsidRPr="00707A85" w:rsidRDefault="0017771E" w:rsidP="0017771E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рекомендует государству-участнику представить подробную информацию об оценках воздействия и результатах осуществления предыдущей Национальной программы действий по обеспечению равного обращения</w:t>
      </w:r>
      <w:r w:rsidR="00875E64">
        <w:rPr>
          <w:b/>
          <w:bCs/>
        </w:rPr>
        <w:br/>
      </w:r>
      <w:r>
        <w:rPr>
          <w:b/>
          <w:bCs/>
        </w:rPr>
        <w:t>на 2013</w:t>
      </w:r>
      <w:r w:rsidR="00875E64">
        <w:rPr>
          <w:b/>
          <w:bCs/>
        </w:rPr>
        <w:t>–</w:t>
      </w:r>
      <w:r>
        <w:rPr>
          <w:b/>
          <w:bCs/>
        </w:rPr>
        <w:t>2016 годы, а также принять новую национальную программу действий по обеспечению равного обращения на основе консультаций с организациями гражданского общества и Уполномоченным по правам человека.</w:t>
      </w:r>
    </w:p>
    <w:p w14:paraId="3CED4FE3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Ненавистнические высказывания расистского толка и преступления на почве расовой ненависти</w:t>
      </w:r>
    </w:p>
    <w:p w14:paraId="771E9725" w14:textId="77777777" w:rsidR="0017771E" w:rsidRPr="00707A85" w:rsidRDefault="0017771E" w:rsidP="0017771E">
      <w:pPr>
        <w:pStyle w:val="SingleTxtG"/>
      </w:pPr>
      <w:r>
        <w:t>15.</w:t>
      </w:r>
      <w:r>
        <w:tab/>
        <w:t>Отмечая, что положения статей 119, 256 и 257 Уголовного кодекса предусматривают уголовную ответственность за преступления на почве ненависти и ненавистнические высказывания, Комитет в то же время выражает глубокую обеспокоенность по поводу:</w:t>
      </w:r>
    </w:p>
    <w:p w14:paraId="6B9964EB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a)</w:t>
      </w:r>
      <w:r w:rsidR="0017771E">
        <w:tab/>
        <w:t xml:space="preserve">отсутствия в определении вышеуказанных понятий таких оснований для разжигания ненависти, как </w:t>
      </w:r>
      <w:r>
        <w:t>«</w:t>
      </w:r>
      <w:r w:rsidR="0017771E">
        <w:t>цвет кожи</w:t>
      </w:r>
      <w:r>
        <w:t>»</w:t>
      </w:r>
      <w:r w:rsidR="0017771E">
        <w:t xml:space="preserve"> и </w:t>
      </w:r>
      <w:r>
        <w:t>«</w:t>
      </w:r>
      <w:r w:rsidR="0017771E">
        <w:t>родовое происхождение</w:t>
      </w:r>
      <w:r>
        <w:t>»</w:t>
      </w:r>
      <w:r w:rsidR="0017771E">
        <w:t>;</w:t>
      </w:r>
    </w:p>
    <w:p w14:paraId="76C17C96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b)</w:t>
      </w:r>
      <w:r w:rsidR="0017771E">
        <w:tab/>
        <w:t>распространения ненавистнических высказываний расистского толка в отношении групп меньшинств, в частности мусульман, рома, украинцев, лиц африканского и азиатского происхождения, евреев и мигрантов, беженцев и просителей убежища, которые разжигают ненависть и нетерпимость и подстрекают к насилию в отношении этих групп;</w:t>
      </w:r>
    </w:p>
    <w:p w14:paraId="77D57203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с)</w:t>
      </w:r>
      <w:r w:rsidR="0017771E">
        <w:tab/>
        <w:t>того, что ведущие общественные деятели, включая политиков и представителей средств массовой информации, часто являются источником таких оскорбительных заявлений или не выполняют свою обязанность решительно осуждать ненавистнические высказывания;</w:t>
      </w:r>
    </w:p>
    <w:p w14:paraId="5283D01B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d)</w:t>
      </w:r>
      <w:r w:rsidR="0017771E">
        <w:tab/>
        <w:t>того, что в Уголовном кодексе по-прежнему отсутствует положение,</w:t>
      </w:r>
      <w:r w:rsidR="00331DF6">
        <w:br/>
      </w:r>
      <w:r w:rsidR="0017771E">
        <w:t>в котором было бы прямо прописано, что совершение преступления по расистским мотивам является обстоятельством, отягчающим наказание (статьи 4 и 6).</w:t>
      </w:r>
    </w:p>
    <w:p w14:paraId="25D36EC2" w14:textId="77777777" w:rsidR="0017771E" w:rsidRPr="00707A85" w:rsidRDefault="0017771E" w:rsidP="0017771E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Ссылаясь на свои общие рекомендации № 15 (1993) по статье 4 Конвенции и № 35 (2013) о борьбе с ненавистническими высказываниями расистского толка, Комитет рекомендует государству-участнику:</w:t>
      </w:r>
    </w:p>
    <w:p w14:paraId="3B4CBEE0" w14:textId="77777777" w:rsidR="0017771E" w:rsidRPr="00396811" w:rsidRDefault="00396811" w:rsidP="0017771E">
      <w:pPr>
        <w:pStyle w:val="SingleTxtG"/>
        <w:rPr>
          <w:b/>
          <w:bCs/>
        </w:rPr>
      </w:pPr>
      <w:r>
        <w:tab/>
      </w:r>
      <w:r w:rsidR="0017771E" w:rsidRPr="00396811">
        <w:rPr>
          <w:b/>
        </w:rPr>
        <w:tab/>
        <w:t>a)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обеспечить, чтобы определение ненавистнических высказываний, закрепленное в Уголовном кодексе, полностью соответствовало статье 4 Конвенции и чтобы оно включало все признаки дискриминации, закрепленные в статье 1 Конвенции, а также в рекомендации № R 97 (20) Комитета министров Совета Европы;</w:t>
      </w:r>
    </w:p>
    <w:p w14:paraId="0A436C46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b)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принять все необходимые меры для решительной борьбы с ненавистническими высказываниями расистского толка и подстрекательством к насилию, в том числе в Интернете, и публично осуждать ненавистнические высказывания расистского толка со стороны государственных деятелей, включая политиков и представителей средств массовой информации,</w:t>
      </w:r>
      <w:r w:rsidR="00331DF6">
        <w:rPr>
          <w:b/>
          <w:bCs/>
        </w:rPr>
        <w:br/>
      </w:r>
      <w:r w:rsidR="0017771E" w:rsidRPr="00396811">
        <w:rPr>
          <w:b/>
          <w:bCs/>
        </w:rPr>
        <w:t>и дистанцироваться от этих высказываний;</w:t>
      </w:r>
    </w:p>
    <w:p w14:paraId="579D6530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с)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активизировать свои общественные кампании по борьбе с ненавистническими высказываниями, разжиганием ненависти и преступлениями на почве ненависти, по искоренению предрассудков и негативного отношения к национальным и этническим меньшинствам, мигрантам, беженцам и просителям убежища, а также по поощрению терпимости и взаимопонимания по отношению к этим группам;</w:t>
      </w:r>
    </w:p>
    <w:p w14:paraId="4C3FBF46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d)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решительным образом дать понять журналистам и вещательным компаниям, что они обязаны избегать использования ненавистнических высказываний и стереотипов при описании общин меньшинств, принимать меры в отношении веб-сайтов, пропагандирующих расовую ненависть,</w:t>
      </w:r>
      <w:r w:rsidR="00331DF6">
        <w:rPr>
          <w:b/>
          <w:bCs/>
        </w:rPr>
        <w:br/>
      </w:r>
      <w:r w:rsidR="0017771E" w:rsidRPr="00396811">
        <w:rPr>
          <w:b/>
          <w:bCs/>
        </w:rPr>
        <w:t>в частности в контексте избирательных кампаний, тщательно проверять вещательные компании на предмет наличия материалов, подстрекающих к ненависти или усиливающих ксенофобские настроения;</w:t>
      </w:r>
    </w:p>
    <w:p w14:paraId="4499BC4B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e)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внести в пункт 2 статьи 53 Уголовного кодекса</w:t>
      </w:r>
      <w:r w:rsidR="0017771E" w:rsidRPr="00396811">
        <w:rPr>
          <w:b/>
        </w:rPr>
        <w:t xml:space="preserve"> </w:t>
      </w:r>
      <w:r w:rsidR="0017771E" w:rsidRPr="00396811">
        <w:rPr>
          <w:b/>
          <w:bCs/>
        </w:rPr>
        <w:t>поправку, прямо ква</w:t>
      </w:r>
      <w:bookmarkStart w:id="2" w:name="_GoBack"/>
      <w:bookmarkEnd w:id="2"/>
      <w:r w:rsidR="0017771E" w:rsidRPr="00396811">
        <w:rPr>
          <w:b/>
          <w:bCs/>
        </w:rPr>
        <w:t>лифицирующую расистский мотив преступления в качестве отягчающего обстоятельства и предусматривающую возможность назначения более сурового наказания для недопущения повторения таких деяний.</w:t>
      </w:r>
    </w:p>
    <w:p w14:paraId="58D9573F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Запрещение организаций, поощряющих расовую дискриминацию</w:t>
      </w:r>
    </w:p>
    <w:p w14:paraId="24F4E919" w14:textId="77777777" w:rsidR="0017771E" w:rsidRPr="00707A85" w:rsidRDefault="0017771E" w:rsidP="0017771E">
      <w:pPr>
        <w:pStyle w:val="SingleTxtG"/>
      </w:pPr>
      <w:r>
        <w:t>17.</w:t>
      </w:r>
      <w:r>
        <w:tab/>
        <w:t xml:space="preserve">Комитет отмечает, что согласно статье 13 Конституции запрещены </w:t>
      </w:r>
      <w:r w:rsidR="00396811">
        <w:t>«</w:t>
      </w:r>
      <w:r>
        <w:t>политические партии и другие организации, ...программы или мероприятия которых поощряют расовую или национальную ненависть</w:t>
      </w:r>
      <w:r w:rsidR="00396811">
        <w:t>»</w:t>
      </w:r>
      <w:r>
        <w:t>. Вместе с тем Комитет обеспокоен тем, что участие в деятельности таких организаций еще не запрещено законом. Комитет встревожен тем, что в стране по-прежнему существуют и открыто осуществляют свою деятельность организации, пропагандирующие расовую ненависть в государстве-участнике, в частности организации, открыто проявляющие приверженность идеологии и публично демонстрирующие символы нацизма, фашизма или тоталитаризма (статья 4).</w:t>
      </w:r>
    </w:p>
    <w:p w14:paraId="629F3C6C" w14:textId="77777777" w:rsidR="0017771E" w:rsidRPr="00396811" w:rsidRDefault="0017771E" w:rsidP="0017771E">
      <w:pPr>
        <w:pStyle w:val="SingleTxtG"/>
        <w:rPr>
          <w:b/>
          <w:bCs/>
        </w:rPr>
      </w:pPr>
      <w:r>
        <w:t>18</w:t>
      </w:r>
      <w:r w:rsidRPr="001039E2">
        <w:t>.</w:t>
      </w:r>
      <w:r w:rsidRPr="00396811">
        <w:rPr>
          <w:b/>
        </w:rPr>
        <w:tab/>
      </w:r>
      <w:r w:rsidRPr="00396811">
        <w:rPr>
          <w:b/>
          <w:bCs/>
        </w:rPr>
        <w:t>Комитет настоятельно призывает государство-участник:</w:t>
      </w:r>
    </w:p>
    <w:p w14:paraId="11DDDAFF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a)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 xml:space="preserve">обеспечить эффективное применение законов, объявляющих незаконными партии или организации, поощряющие расовую дискриминацию или подстрекающие к ней, такие как </w:t>
      </w:r>
      <w:r>
        <w:rPr>
          <w:b/>
          <w:bCs/>
        </w:rPr>
        <w:t>«</w:t>
      </w:r>
      <w:r w:rsidR="0017771E" w:rsidRPr="00396811">
        <w:rPr>
          <w:b/>
          <w:bCs/>
        </w:rPr>
        <w:t>Национальное движение</w:t>
      </w:r>
      <w:r>
        <w:rPr>
          <w:b/>
          <w:bCs/>
        </w:rPr>
        <w:t>»</w:t>
      </w:r>
      <w:r w:rsidR="0017771E" w:rsidRPr="00396811">
        <w:rPr>
          <w:b/>
          <w:bCs/>
        </w:rPr>
        <w:t xml:space="preserve">, </w:t>
      </w:r>
      <w:r>
        <w:rPr>
          <w:b/>
          <w:bCs/>
        </w:rPr>
        <w:t>«</w:t>
      </w:r>
      <w:r w:rsidR="0017771E" w:rsidRPr="00396811">
        <w:rPr>
          <w:b/>
          <w:bCs/>
        </w:rPr>
        <w:t>Национально-радикальный лагерь</w:t>
      </w:r>
      <w:r>
        <w:rPr>
          <w:b/>
          <w:bCs/>
        </w:rPr>
        <w:t>»</w:t>
      </w:r>
      <w:r w:rsidR="0017771E" w:rsidRPr="00396811">
        <w:rPr>
          <w:b/>
          <w:bCs/>
        </w:rPr>
        <w:t xml:space="preserve">, </w:t>
      </w:r>
      <w:r>
        <w:rPr>
          <w:b/>
          <w:bCs/>
        </w:rPr>
        <w:t>«</w:t>
      </w:r>
      <w:r w:rsidR="0017771E" w:rsidRPr="00396811">
        <w:rPr>
          <w:b/>
          <w:bCs/>
        </w:rPr>
        <w:t>Общепольская молодежь</w:t>
      </w:r>
      <w:r>
        <w:rPr>
          <w:b/>
          <w:bCs/>
        </w:rPr>
        <w:t>»</w:t>
      </w:r>
      <w:r w:rsidR="0017771E" w:rsidRPr="00396811">
        <w:rPr>
          <w:b/>
          <w:bCs/>
        </w:rPr>
        <w:t xml:space="preserve">, </w:t>
      </w:r>
      <w:r>
        <w:rPr>
          <w:b/>
          <w:bCs/>
        </w:rPr>
        <w:t>«</w:t>
      </w:r>
      <w:r w:rsidR="0017771E" w:rsidRPr="00396811">
        <w:rPr>
          <w:b/>
          <w:bCs/>
        </w:rPr>
        <w:t>Фаланга</w:t>
      </w:r>
      <w:r>
        <w:rPr>
          <w:b/>
          <w:bCs/>
        </w:rPr>
        <w:t>»</w:t>
      </w:r>
      <w:r w:rsidR="0017771E" w:rsidRPr="00396811">
        <w:rPr>
          <w:b/>
          <w:bCs/>
        </w:rPr>
        <w:t xml:space="preserve">, </w:t>
      </w:r>
      <w:r>
        <w:rPr>
          <w:b/>
          <w:bCs/>
        </w:rPr>
        <w:t>«</w:t>
      </w:r>
      <w:r w:rsidR="0017771E" w:rsidRPr="00396811">
        <w:rPr>
          <w:b/>
          <w:bCs/>
        </w:rPr>
        <w:t>Штурмовики</w:t>
      </w:r>
      <w:r>
        <w:rPr>
          <w:b/>
          <w:bCs/>
        </w:rPr>
        <w:t>»</w:t>
      </w:r>
      <w:r w:rsidR="0017771E" w:rsidRPr="00396811">
        <w:rPr>
          <w:b/>
          <w:bCs/>
        </w:rPr>
        <w:t xml:space="preserve">, </w:t>
      </w:r>
      <w:r>
        <w:rPr>
          <w:b/>
          <w:bCs/>
        </w:rPr>
        <w:t>«</w:t>
      </w:r>
      <w:r w:rsidR="0017771E" w:rsidRPr="00396811">
        <w:rPr>
          <w:b/>
          <w:bCs/>
        </w:rPr>
        <w:t>Никлот</w:t>
      </w:r>
      <w:r>
        <w:rPr>
          <w:b/>
          <w:bCs/>
        </w:rPr>
        <w:t>»</w:t>
      </w:r>
      <w:r w:rsidR="0017771E" w:rsidRPr="00396811">
        <w:rPr>
          <w:b/>
          <w:bCs/>
        </w:rPr>
        <w:t xml:space="preserve">, </w:t>
      </w:r>
      <w:r>
        <w:rPr>
          <w:b/>
          <w:bCs/>
        </w:rPr>
        <w:t>«</w:t>
      </w:r>
      <w:r w:rsidR="0017771E" w:rsidRPr="00396811">
        <w:rPr>
          <w:b/>
          <w:bCs/>
        </w:rPr>
        <w:t>Национально-социальный конгресс</w:t>
      </w:r>
      <w:r>
        <w:rPr>
          <w:b/>
          <w:bCs/>
        </w:rPr>
        <w:t>»</w:t>
      </w:r>
      <w:r w:rsidR="0017771E" w:rsidRPr="00396811">
        <w:rPr>
          <w:b/>
          <w:bCs/>
        </w:rPr>
        <w:t xml:space="preserve">, </w:t>
      </w:r>
      <w:r>
        <w:rPr>
          <w:b/>
          <w:bCs/>
        </w:rPr>
        <w:t>«</w:t>
      </w:r>
      <w:r w:rsidR="0017771E" w:rsidRPr="00396811">
        <w:rPr>
          <w:b/>
          <w:bCs/>
        </w:rPr>
        <w:t>Автономные националисты</w:t>
      </w:r>
      <w:r>
        <w:rPr>
          <w:b/>
          <w:bCs/>
        </w:rPr>
        <w:t>»</w:t>
      </w:r>
      <w:r w:rsidR="0017771E" w:rsidRPr="00396811">
        <w:rPr>
          <w:b/>
          <w:bCs/>
        </w:rPr>
        <w:t xml:space="preserve">, ассоциация </w:t>
      </w:r>
      <w:r>
        <w:rPr>
          <w:b/>
          <w:bCs/>
        </w:rPr>
        <w:t>«</w:t>
      </w:r>
      <w:r w:rsidR="0017771E" w:rsidRPr="00396811">
        <w:rPr>
          <w:b/>
          <w:bCs/>
        </w:rPr>
        <w:t>Гордость и современность</w:t>
      </w:r>
      <w:r>
        <w:rPr>
          <w:b/>
          <w:bCs/>
        </w:rPr>
        <w:t>»</w:t>
      </w:r>
      <w:r w:rsidR="0017771E" w:rsidRPr="00396811">
        <w:rPr>
          <w:b/>
          <w:bCs/>
        </w:rPr>
        <w:t xml:space="preserve"> и местное подразделение организации </w:t>
      </w:r>
      <w:r>
        <w:rPr>
          <w:b/>
          <w:bCs/>
        </w:rPr>
        <w:t>«</w:t>
      </w:r>
      <w:r w:rsidR="0017771E" w:rsidRPr="00396811">
        <w:rPr>
          <w:b/>
          <w:bCs/>
        </w:rPr>
        <w:t>Кровь и честь</w:t>
      </w:r>
      <w:r>
        <w:rPr>
          <w:b/>
          <w:bCs/>
        </w:rPr>
        <w:t>»</w:t>
      </w:r>
      <w:r w:rsidR="0017771E" w:rsidRPr="00396811">
        <w:rPr>
          <w:b/>
          <w:bCs/>
        </w:rPr>
        <w:t>;</w:t>
      </w:r>
    </w:p>
    <w:p w14:paraId="0727215C" w14:textId="77777777" w:rsidR="0017771E" w:rsidRPr="00396811" w:rsidRDefault="0017771E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396811" w:rsidRPr="00396811">
        <w:rPr>
          <w:b/>
        </w:rPr>
        <w:tab/>
      </w:r>
      <w:r w:rsidRPr="00396811">
        <w:rPr>
          <w:b/>
        </w:rPr>
        <w:t>b)</w:t>
      </w:r>
      <w:r w:rsidRPr="00396811">
        <w:rPr>
          <w:b/>
        </w:rPr>
        <w:tab/>
      </w:r>
      <w:r w:rsidRPr="00396811">
        <w:rPr>
          <w:b/>
          <w:bCs/>
        </w:rPr>
        <w:t>внести в Уголовный кодекс</w:t>
      </w:r>
      <w:r w:rsidRPr="00396811">
        <w:rPr>
          <w:b/>
        </w:rPr>
        <w:t xml:space="preserve"> </w:t>
      </w:r>
      <w:r w:rsidRPr="00396811">
        <w:rPr>
          <w:b/>
          <w:bCs/>
        </w:rPr>
        <w:t>поправки, устанавливающие уголовную ответственность за участие в деятельности таких организаций в соответствии с пунктом b) статьи 4 Конвенции и общей рекомендацией № 35.</w:t>
      </w:r>
    </w:p>
    <w:p w14:paraId="03378D29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Судебное преследование за преступления, совершенные по расовым мотивам</w:t>
      </w:r>
      <w:r>
        <w:t xml:space="preserve"> </w:t>
      </w:r>
    </w:p>
    <w:p w14:paraId="052EFCFE" w14:textId="77777777" w:rsidR="0017771E" w:rsidRPr="00707A85" w:rsidRDefault="0017771E" w:rsidP="0017771E">
      <w:pPr>
        <w:pStyle w:val="SingleTxtG"/>
      </w:pPr>
      <w:r>
        <w:t>19.</w:t>
      </w:r>
      <w:r>
        <w:tab/>
        <w:t>Комитет приветствует усилия государства-участника по подготовке сотрудников правоохранительных органов, прокуратуры и судебных органов по вопросам расовой дискриминации, ненавистнических высказываний и преступлений на почве ненависти. Он также отмечает издание в 2014 году Генеральным прокурором руководящих принципов проведения прокурорами разбирательств по делам, связанным с ненавистническими высказываниями и преступлениями на почве ненависти. Тем не менее он обеспокоен следующим:</w:t>
      </w:r>
    </w:p>
    <w:p w14:paraId="76AC5E5C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a)</w:t>
      </w:r>
      <w:r w:rsidR="0017771E">
        <w:tab/>
        <w:t>тем, что преступления, связанные с ненавистническими высказываниями, и преступления на почве ненависти крайне редко доносятся до сведения компетентных органов, несмотря на зарегистрированный рост количества таких преступлений;</w:t>
      </w:r>
    </w:p>
    <w:p w14:paraId="4DACE832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b)</w:t>
      </w:r>
      <w:r w:rsidR="0017771E">
        <w:tab/>
        <w:t>тем, что некоторые преступления по расовым мотивам, доведенные до сведения компетентных органов, не регистрируются и как таковые не расследуются;</w:t>
      </w:r>
    </w:p>
    <w:p w14:paraId="7D54AFBC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с)</w:t>
      </w:r>
      <w:r w:rsidR="0017771E">
        <w:tab/>
        <w:t xml:space="preserve">тем, что увеличение количества проводимых предварительных следствий и </w:t>
      </w:r>
      <w:r>
        <w:tab/>
      </w:r>
      <w:r w:rsidR="0017771E">
        <w:t>предъявляемых обвинений лицам, совершившим преступления на почве расизма, не привело к существенному увеличению количества осуждений;</w:t>
      </w:r>
    </w:p>
    <w:p w14:paraId="34E6BCE1" w14:textId="77777777" w:rsidR="0017771E" w:rsidRPr="00707A85" w:rsidRDefault="0017771E" w:rsidP="0017771E">
      <w:pPr>
        <w:pStyle w:val="SingleTxtG"/>
      </w:pPr>
      <w:r>
        <w:tab/>
      </w:r>
      <w:r w:rsidR="00396811">
        <w:tab/>
      </w:r>
      <w:r>
        <w:t>d)</w:t>
      </w:r>
      <w:r>
        <w:tab/>
        <w:t xml:space="preserve">отсутствием подробной информации о проведенных расследованиях и судебных преследованиях, а также вынесенных обвинительных приговорах в связи с актами ненавистнических высказываний расистского толка и преступлениями на почве расовой ненависти, в частности совершенными государственными деятелями и политиками (статьи 4, 6 и 7). </w:t>
      </w:r>
    </w:p>
    <w:p w14:paraId="12E8C7B4" w14:textId="77777777" w:rsidR="0017771E" w:rsidRPr="00707A85" w:rsidRDefault="0017771E" w:rsidP="0017771E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Комитет напоминает, что в соответствии с его общей рекомендацией № 31 (2005) о предупреждении расовой дискриминации в процессе отправления и функционирования системы уголовного правосудия наличие небольшого количества жалоб может свидетельствовать о существовании барьеров на пути реализации жертвами своих прав, в частности об отсутствии доверия жертв к судебным органам и властям государства-участника.</w:t>
      </w:r>
      <w:r>
        <w:t xml:space="preserve"> </w:t>
      </w:r>
      <w:r>
        <w:rPr>
          <w:b/>
          <w:bCs/>
        </w:rPr>
        <w:t>Комитет рекомендует государству-участнику:</w:t>
      </w:r>
    </w:p>
    <w:p w14:paraId="0741EE34" w14:textId="77777777" w:rsidR="0017771E" w:rsidRPr="00396811" w:rsidRDefault="00396811" w:rsidP="0017771E">
      <w:pPr>
        <w:pStyle w:val="SingleTxtG"/>
        <w:rPr>
          <w:b/>
          <w:bCs/>
        </w:rPr>
      </w:pPr>
      <w:r>
        <w:tab/>
      </w:r>
      <w:r w:rsidR="0017771E" w:rsidRPr="00396811">
        <w:rPr>
          <w:b/>
        </w:rPr>
        <w:tab/>
        <w:t>a)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принимать меры, направленные на поощрение и упрощение представления информации о ненавистнических высказываниях и преступлениях на почве ненависти, в том числе путем повышения уровня осведомленности населения о доступе к юридической помощи и имеющихся средствах правовой защиты, а также путем обеспечения регистрирования всех сообщений о подобных случаях, проведения надлежащих расследований и судебных преследований, а также назначения соразмерного наказания виновным;</w:t>
      </w:r>
    </w:p>
    <w:p w14:paraId="075C0202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b)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поручить независимому исследовательскому институту проводить ежегодную оценку количества преступлений на почве ненависти, которые не были доведены до сведения компетентных органов, а также анализировать причины такой ситуации и выносить соответствующие рекомендации;</w:t>
      </w:r>
    </w:p>
    <w:p w14:paraId="6FC5B448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с)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нанимать лиц, принадлежащих к группам меньшинств, в состав полиции и судебных органов, а также в качестве прокуроров и адвокатов и продолжать организовывать подготовку по вопросам надлежащих процедур выявления, регистрации и расследования  актов ненавистнических высказываний расистского толка и преступлений на почве расовой ненависти</w:t>
      </w:r>
      <w:r w:rsidR="0017771E" w:rsidRPr="00396811">
        <w:rPr>
          <w:b/>
        </w:rPr>
        <w:t xml:space="preserve"> </w:t>
      </w:r>
      <w:r w:rsidR="0017771E" w:rsidRPr="00396811">
        <w:rPr>
          <w:b/>
          <w:bCs/>
        </w:rPr>
        <w:t>и судебного преследования виновных;</w:t>
      </w:r>
    </w:p>
    <w:p w14:paraId="0EA218C8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d)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предоставлять подробную информацию о проведенных расследованиях и судебных преследованиях, а также вынесенных обвинительных приговорах в связи с актами ненавистнических высказываний расистского толка и преступлениями на почве расовой ненависти, в частности совершенными государственными деятелями и политиками.</w:t>
      </w:r>
    </w:p>
    <w:p w14:paraId="7B9D7669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Положение рома</w:t>
      </w:r>
    </w:p>
    <w:p w14:paraId="62D49E77" w14:textId="77777777" w:rsidR="0017771E" w:rsidRPr="00707A85" w:rsidRDefault="0017771E" w:rsidP="0017771E">
      <w:pPr>
        <w:pStyle w:val="SingleTxtG"/>
      </w:pPr>
      <w:r>
        <w:t>21.</w:t>
      </w:r>
      <w:r>
        <w:tab/>
        <w:t>Принимая к сведению представленную информацию о мерах, принятых для улучшения положения рома, в том числе в рамках Программы интеграции общины рома в Польше на 2014</w:t>
      </w:r>
      <w:r w:rsidR="00331DF6">
        <w:t>–</w:t>
      </w:r>
      <w:r>
        <w:t>2020 годы, Комитет выражает сохраняющуюся серьезную обеспокоенность по поводу:</w:t>
      </w:r>
    </w:p>
    <w:p w14:paraId="11D0330B" w14:textId="77777777" w:rsidR="0017771E" w:rsidRPr="00707A85" w:rsidRDefault="0017771E" w:rsidP="0017771E">
      <w:pPr>
        <w:pStyle w:val="SingleTxtG"/>
      </w:pPr>
      <w:r>
        <w:tab/>
      </w:r>
      <w:r w:rsidR="00396811">
        <w:tab/>
      </w:r>
      <w:r>
        <w:t>a)</w:t>
      </w:r>
      <w:r>
        <w:tab/>
        <w:t>продолжающейся структурной дискриминации в отношении рома;</w:t>
      </w:r>
    </w:p>
    <w:p w14:paraId="7B42F17A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b)</w:t>
      </w:r>
      <w:r w:rsidR="0017771E">
        <w:tab/>
        <w:t>того, что дети рома редко посещают начальную школу, часто отчисляются из средней школы, по-прежнему чрезмерно представлены в специальных школах и вместе с тем недостаточно представлены в системе среднего и высшего образования;</w:t>
      </w:r>
    </w:p>
    <w:p w14:paraId="5236D645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с)</w:t>
      </w:r>
      <w:r w:rsidR="0017771E">
        <w:tab/>
        <w:t>того, что рома живут в крайней нищете и неудовлетворительных условиях в сегрегированных кварталах, где отсутствует надлежащая инфраструктура и базовые услуги и где им угрожает опасность выселения;</w:t>
      </w:r>
    </w:p>
    <w:p w14:paraId="1CC70623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d)</w:t>
      </w:r>
      <w:r w:rsidR="0017771E">
        <w:tab/>
        <w:t>высокого уровня безработицы среди рома и большого разрыва в заработной плате между рома и остальной частью общества;</w:t>
      </w:r>
      <w:bookmarkStart w:id="3" w:name="_Hlk18595927"/>
      <w:bookmarkEnd w:id="3"/>
    </w:p>
    <w:p w14:paraId="1A4323DD" w14:textId="77777777" w:rsidR="0017771E" w:rsidRPr="00707A85" w:rsidRDefault="0017771E" w:rsidP="0017771E">
      <w:pPr>
        <w:pStyle w:val="SingleTxtG"/>
      </w:pPr>
      <w:r>
        <w:tab/>
      </w:r>
      <w:r w:rsidR="00396811">
        <w:tab/>
      </w:r>
      <w:r>
        <w:t>e)</w:t>
      </w:r>
      <w:r>
        <w:tab/>
        <w:t>сообщений о том, что рома часто становятся объектами ненавистнических высказываний и преступлений на почве ненависти и часто не получают надлежащую защиту;</w:t>
      </w:r>
    </w:p>
    <w:p w14:paraId="1CC3A323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f)</w:t>
      </w:r>
      <w:r w:rsidR="0017771E">
        <w:tab/>
        <w:t>сообщений о том, что рома подвергаются этническому профилированию со стороны сотрудников правоохранительных органов</w:t>
      </w:r>
      <w:r w:rsidR="009A6D69">
        <w:t>.</w:t>
      </w:r>
    </w:p>
    <w:p w14:paraId="185644FE" w14:textId="77777777" w:rsidR="0017771E" w:rsidRPr="00707A85" w:rsidRDefault="0017771E" w:rsidP="0017771E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Ссылаясь на свою общую рекомендацию № 27 (2000) о дискриминации в отношении рома, Комитет настоятельно призывает государство-участник улучшить положение рома, в том числе посредством координации действий на всех уровнях государственного управления и вовлечения общин рома в разработку, осуществление и оценку политики и планов действий</w:t>
      </w:r>
      <w:r>
        <w:t xml:space="preserve"> </w:t>
      </w:r>
      <w:r>
        <w:rPr>
          <w:b/>
          <w:bCs/>
        </w:rPr>
        <w:t>по вопросам интеграции.</w:t>
      </w:r>
      <w:r>
        <w:t xml:space="preserve"> </w:t>
      </w:r>
      <w:r>
        <w:rPr>
          <w:b/>
          <w:bCs/>
        </w:rPr>
        <w:t>Комитет рекомендует государству-участнику:</w:t>
      </w:r>
    </w:p>
    <w:p w14:paraId="40A17E7E" w14:textId="77777777" w:rsidR="0017771E" w:rsidRPr="00396811" w:rsidRDefault="0017771E" w:rsidP="0017771E">
      <w:pPr>
        <w:pStyle w:val="SingleTxtG"/>
        <w:rPr>
          <w:b/>
        </w:rPr>
      </w:pPr>
      <w:r>
        <w:tab/>
      </w:r>
      <w:r w:rsidR="00396811" w:rsidRPr="00396811">
        <w:rPr>
          <w:b/>
        </w:rPr>
        <w:tab/>
      </w:r>
      <w:r w:rsidRPr="00396811">
        <w:rPr>
          <w:b/>
        </w:rPr>
        <w:t>a)</w:t>
      </w:r>
      <w:r w:rsidRPr="00396811">
        <w:rPr>
          <w:b/>
        </w:rPr>
        <w:tab/>
      </w:r>
      <w:r w:rsidRPr="00396811">
        <w:rPr>
          <w:b/>
          <w:bCs/>
        </w:rPr>
        <w:t>принять все необходимые меры для ликвидации структурной дискриминации в отношении рома;</w:t>
      </w:r>
    </w:p>
    <w:p w14:paraId="0E7E86C9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b)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продолжить усилия по прекращению любой сегрегации в сфере образования, с которой сталкиваются дети рома, и принять эффективные меры, включая специальные меры, для улучшения показателей посещаемости школы, а также высших учебных заведений, и показателей завершения школьного образования среди детей рома;</w:t>
      </w:r>
    </w:p>
    <w:p w14:paraId="27058CC9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с)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принять меры по искоренению крайней нищеты среди рома, найти действенные решения их жилищных проблем, в том числе путем развития инфраструктуры и базовых услуг в кварталах, где проживают рома,</w:t>
      </w:r>
      <w:r w:rsidR="00331DF6">
        <w:rPr>
          <w:b/>
          <w:bCs/>
        </w:rPr>
        <w:br/>
      </w:r>
      <w:r w:rsidR="0017771E" w:rsidRPr="00396811">
        <w:rPr>
          <w:b/>
          <w:bCs/>
        </w:rPr>
        <w:t>с привлечением к этим процессам их общин, и прекратить принудительное выселение рома и снос их домов;</w:t>
      </w:r>
    </w:p>
    <w:p w14:paraId="1AF6C49A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d)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принять эффективные меры для искоренения безработицы среди рома и устранения разрыва в заработной плате;</w:t>
      </w:r>
    </w:p>
    <w:p w14:paraId="07E109A9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e)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принять меры для пресечения ненавистнических высказываний и преступлений на почве ненависти, жертвами которых становятся рома, обеспечить им защиту от преступлений и насилия на почве ненависти, а также обеспечить надлежащее регистрирование и расследование любых актов ненавистнических высказываний и преступлений на почве ненависти, а также судебное преследование и привлечение к ответственности виновных;</w:t>
      </w:r>
    </w:p>
    <w:p w14:paraId="5F3C5755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f)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не допускать никакого этнического профилирования со стороны правоохранительных органов и проводить обучение, призванное предупредить применение этой практики.</w:t>
      </w:r>
    </w:p>
    <w:p w14:paraId="28EF47E6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Положение мигрантов, беженцев и просителей убежища</w:t>
      </w:r>
    </w:p>
    <w:p w14:paraId="7EA60B3B" w14:textId="77777777" w:rsidR="0017771E" w:rsidRPr="00707A85" w:rsidRDefault="0017771E" w:rsidP="0017771E">
      <w:pPr>
        <w:pStyle w:val="SingleTxtG"/>
      </w:pPr>
      <w:r>
        <w:t>23.</w:t>
      </w:r>
      <w:r>
        <w:tab/>
        <w:t>Комитет принимает к сведению меры, принятые для облегчения доступа к бесплатному государственному образованию и вспомогательным услугам в области образования для иностранных детей, включая детей-беженцев и детей-просителей убежища. Тем не менее Комитет по-прежнему обеспокоен следующим:</w:t>
      </w:r>
    </w:p>
    <w:p w14:paraId="4309DDFB" w14:textId="77777777" w:rsidR="0017771E" w:rsidRPr="00707A85" w:rsidRDefault="0017771E" w:rsidP="0017771E">
      <w:pPr>
        <w:pStyle w:val="SingleTxtG"/>
      </w:pPr>
      <w:r>
        <w:tab/>
      </w:r>
      <w:r w:rsidR="00396811">
        <w:tab/>
      </w:r>
      <w:r>
        <w:t>a)</w:t>
      </w:r>
      <w:r>
        <w:tab/>
        <w:t>продолжающейся практикой содержания под стражей детей вместе с родителями, а также несопровождаемых или разлученных детей в охраняемых центрах тюремного типа для иностранцев, что наносит травму детям и лишает их возможности получать очное образование;</w:t>
      </w:r>
    </w:p>
    <w:p w14:paraId="6C95B049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b)</w:t>
      </w:r>
      <w:r w:rsidR="0017771E">
        <w:tab/>
        <w:t>сообщениями о том, что сотрудники пограничной службы не допускают просителей убежища на территорию государства-участника или лишают их доступа к процедурам ходатайствования о предоставлении убежища;</w:t>
      </w:r>
    </w:p>
    <w:p w14:paraId="4598D303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с)</w:t>
      </w:r>
      <w:r w:rsidR="0017771E">
        <w:tab/>
        <w:t>неэффективностью индивидуальных программ интеграции беженцев и лиц, получающих дополнительную защиту;</w:t>
      </w:r>
    </w:p>
    <w:p w14:paraId="12E3E28C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d)</w:t>
      </w:r>
      <w:r w:rsidR="0017771E">
        <w:tab/>
        <w:t>многочисленными и перекрестными формами дискриминации, которой подвергаются женщины из числа нелегальных мигрантов при попытке получить доступ к услугам по охране материнского здоровья;</w:t>
      </w:r>
    </w:p>
    <w:p w14:paraId="4B76E123" w14:textId="77777777" w:rsidR="0017771E" w:rsidRPr="00707A85" w:rsidRDefault="00396811" w:rsidP="0017771E">
      <w:pPr>
        <w:pStyle w:val="SingleTxtG"/>
      </w:pPr>
      <w:r>
        <w:tab/>
      </w:r>
      <w:r w:rsidR="0017771E">
        <w:tab/>
        <w:t>e)</w:t>
      </w:r>
      <w:r w:rsidR="0017771E">
        <w:tab/>
        <w:t>сообщениями о продолжающихся случаях ненавистнических высказываний и преступлениях на почве ненависти в отношении мигрантов, беженцев и просителей убежища.</w:t>
      </w:r>
    </w:p>
    <w:p w14:paraId="2AA7D21C" w14:textId="77777777" w:rsidR="0017771E" w:rsidRPr="00707A85" w:rsidRDefault="0017771E" w:rsidP="0017771E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Ссылаясь на свои общие рекомендации № 22 (1996) по статье 5 Конвенции применительно к беженцам и перемещенным лицам и № 30 (2004)</w:t>
      </w:r>
      <w:r w:rsidR="00331DF6">
        <w:rPr>
          <w:b/>
          <w:bCs/>
        </w:rPr>
        <w:br/>
      </w:r>
      <w:r>
        <w:rPr>
          <w:b/>
          <w:bCs/>
        </w:rPr>
        <w:t>о дискриминации неграждан, Комитет рекомендует государству-участнику:</w:t>
      </w:r>
    </w:p>
    <w:p w14:paraId="03344036" w14:textId="77777777" w:rsidR="0017771E" w:rsidRPr="00396811" w:rsidRDefault="00396811" w:rsidP="0017771E">
      <w:pPr>
        <w:pStyle w:val="SingleTxtG"/>
        <w:rPr>
          <w:b/>
          <w:bCs/>
        </w:rPr>
      </w:pPr>
      <w:r>
        <w:tab/>
      </w:r>
      <w:r w:rsidR="0017771E" w:rsidRPr="00396811">
        <w:rPr>
          <w:b/>
        </w:rPr>
        <w:tab/>
        <w:t>a)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воздерживаться от содержания под стражей детей и семей с детьми из числа мигрантов и просителей убежища</w:t>
      </w:r>
      <w:r w:rsidR="0017771E" w:rsidRPr="00396811">
        <w:rPr>
          <w:b/>
        </w:rPr>
        <w:t xml:space="preserve"> </w:t>
      </w:r>
      <w:r w:rsidR="0017771E" w:rsidRPr="00396811">
        <w:rPr>
          <w:b/>
          <w:bCs/>
        </w:rPr>
        <w:t>и использовать альтернативы,</w:t>
      </w:r>
      <w:r w:rsidR="00331DF6">
        <w:rPr>
          <w:b/>
          <w:bCs/>
        </w:rPr>
        <w:br/>
      </w:r>
      <w:r w:rsidR="0017771E" w:rsidRPr="00396811">
        <w:rPr>
          <w:b/>
          <w:bCs/>
        </w:rPr>
        <w:t>не связанные с лишением свободы, как это предусмотрено в Законе об иностранцах;</w:t>
      </w:r>
    </w:p>
    <w:p w14:paraId="06900866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b)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обеспечить, чтобы просители убежища должным образом регистрировались сотрудниками пограничной службы и незамедлительно направлялись в органы по предоставлению убежища и чтобы им</w:t>
      </w:r>
      <w:r w:rsidR="0017771E" w:rsidRPr="00396811">
        <w:rPr>
          <w:b/>
        </w:rPr>
        <w:t xml:space="preserve"> </w:t>
      </w:r>
      <w:r w:rsidR="0017771E" w:rsidRPr="00396811">
        <w:rPr>
          <w:b/>
          <w:bCs/>
        </w:rPr>
        <w:t>предоставлялся доступ к адвокату по их просьбе;</w:t>
      </w:r>
    </w:p>
    <w:p w14:paraId="5E9EEE0C" w14:textId="77777777" w:rsidR="0017771E" w:rsidRPr="00396811" w:rsidRDefault="0017771E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396811" w:rsidRPr="00396811">
        <w:rPr>
          <w:b/>
        </w:rPr>
        <w:tab/>
      </w:r>
      <w:r w:rsidRPr="00396811">
        <w:rPr>
          <w:b/>
        </w:rPr>
        <w:t>с)</w:t>
      </w:r>
      <w:r w:rsidRPr="00396811">
        <w:rPr>
          <w:b/>
        </w:rPr>
        <w:tab/>
      </w:r>
      <w:r w:rsidRPr="00396811">
        <w:rPr>
          <w:b/>
          <w:bCs/>
        </w:rPr>
        <w:t>увеличить продолжительность и объем финансовой поддержки, предоставляемой беженцам и лицам, получающим дополнительную защиту,</w:t>
      </w:r>
      <w:r w:rsidR="00331DF6">
        <w:rPr>
          <w:b/>
          <w:bCs/>
        </w:rPr>
        <w:br/>
      </w:r>
      <w:r w:rsidRPr="00396811">
        <w:rPr>
          <w:b/>
          <w:bCs/>
        </w:rPr>
        <w:t>с целью содействия их полной интеграции в общество;</w:t>
      </w:r>
    </w:p>
    <w:p w14:paraId="121F2DA7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d)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устранить все финансовые, а также юридические, административные, языковые и культурные барьеры, препятствующие доступу женщин из числа нелегальных мигрантов к недорогостоящим услугам по охране материнского здоровья на протяжении всей беременности, в том числе путем введения для медицинских учреждений и медицинских работников запрета на запрос у пациентов информации об их иммиграционном статусе;</w:t>
      </w:r>
    </w:p>
    <w:p w14:paraId="5127080E" w14:textId="77777777" w:rsidR="0017771E" w:rsidRPr="00396811" w:rsidRDefault="00396811" w:rsidP="0017771E">
      <w:pPr>
        <w:pStyle w:val="SingleTxtG"/>
        <w:rPr>
          <w:b/>
          <w:bCs/>
        </w:rPr>
      </w:pPr>
      <w:r w:rsidRPr="00396811">
        <w:rPr>
          <w:b/>
        </w:rPr>
        <w:tab/>
      </w:r>
      <w:r w:rsidR="0017771E" w:rsidRPr="00396811">
        <w:rPr>
          <w:b/>
        </w:rPr>
        <w:tab/>
        <w:t>e)</w:t>
      </w:r>
      <w:r w:rsidR="0017771E" w:rsidRPr="00396811">
        <w:rPr>
          <w:b/>
        </w:rPr>
        <w:tab/>
      </w:r>
      <w:r w:rsidR="0017771E" w:rsidRPr="00396811">
        <w:rPr>
          <w:b/>
          <w:bCs/>
        </w:rPr>
        <w:t>не допускать ненавистнических высказываний и преступлений на почве ненависти в отношении мигрантов, беженцев и просителей убежища, в том числе путем проведения просветительских кампаний по вопросам терпимости и искоренения существующих в обществе предрассудков и стереотипов, а также путем надлежащего регистрирования и расследования случаев, связанных с ненавистническими высказываниями, и преступлений на почве ненависти,</w:t>
      </w:r>
      <w:r>
        <w:rPr>
          <w:b/>
          <w:bCs/>
        </w:rPr>
        <w:br/>
      </w:r>
      <w:r w:rsidR="0017771E" w:rsidRPr="00396811">
        <w:rPr>
          <w:b/>
          <w:bCs/>
        </w:rPr>
        <w:t>а также судебного преследования и привлечения к ответственности виновных.</w:t>
      </w:r>
    </w:p>
    <w:p w14:paraId="616CD740" w14:textId="77777777" w:rsidR="0017771E" w:rsidRPr="00707A85" w:rsidRDefault="00396811" w:rsidP="0017771E">
      <w:pPr>
        <w:pStyle w:val="H1G"/>
      </w:pPr>
      <w:r>
        <w:tab/>
      </w:r>
      <w:r w:rsidR="0017771E">
        <w:t>D.</w:t>
      </w:r>
      <w:r w:rsidR="0017771E">
        <w:tab/>
      </w:r>
      <w:r w:rsidR="0017771E">
        <w:rPr>
          <w:bCs/>
        </w:rPr>
        <w:t>Прочие рекомендации</w:t>
      </w:r>
    </w:p>
    <w:p w14:paraId="278AAE1C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Ратификация других договоров</w:t>
      </w:r>
    </w:p>
    <w:p w14:paraId="0E462551" w14:textId="77777777" w:rsidR="0017771E" w:rsidRPr="00707A85" w:rsidRDefault="0017771E" w:rsidP="0017771E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Учитывая неделимость всех прав человека, Комитет призывает государство-участник рассмотреть возможность ратификации тех международных договоров по правам человека, которые оно еще не ратифицировало, в частности договоров, положения которых непосредственно касаются общин, которые могут подвергаться расовой дискриминации, в том числе Международной конвенции о защите прав всех трудящихся-мигрантов и членов их семей и Международной конвенции для защиты всех лиц от насильственных исчезновений, а также Конвенции (№ 189) Международной организации труда о достойном труде домашних работников 2011 года.</w:t>
      </w:r>
      <w:r>
        <w:t xml:space="preserve"> </w:t>
      </w:r>
      <w:r>
        <w:rPr>
          <w:b/>
          <w:bCs/>
        </w:rPr>
        <w:t>Комитет призывает государство-участник присоединиться к Конвенции о статусе апатридов и к Конвенции о сокращении безгражданства.</w:t>
      </w:r>
    </w:p>
    <w:p w14:paraId="3412504B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Последующие меры в связи с Дурбанской декларацией и Программой действий</w:t>
      </w:r>
    </w:p>
    <w:p w14:paraId="3D9F2C1B" w14:textId="77777777" w:rsidR="0017771E" w:rsidRPr="00707A85" w:rsidRDefault="0017771E" w:rsidP="0017771E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В свете своей общей рекомендации № 33 (2009) о последующих мерах в связи с Конференцией по обзору Дурбанского процесса Комитет рекомендует государству-участнику при осуществлении Конвенции в рамках своего внутреннего законодательства предпринять шаги по выполнению Дурбанской декларации и Программы действий, принятой в сентябре 2001 года Всемирной конференцией по борьбе против расизма, расовой дискриминации, ксенофобии и связанной с ними нетерпимости, с учетом итогового документа Конференции по обзору Дурбанского процесса, состоявшейся в апреле 2009 года в Женеве.</w:t>
      </w:r>
      <w:r>
        <w:t xml:space="preserve"> </w:t>
      </w:r>
      <w:r>
        <w:rPr>
          <w:b/>
          <w:bCs/>
        </w:rPr>
        <w:t>Комитет просит государство-участник включить в свой следующий периодический доклад конкретную информацию об утвержденных планах действий и о принятых других мерах с целью осуществления Дурбанской декларации и Программы действий на национальном уровне.</w:t>
      </w:r>
    </w:p>
    <w:p w14:paraId="1E6BE000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Международное десятилетие лиц африканского происхождения</w:t>
      </w:r>
    </w:p>
    <w:p w14:paraId="2B7D31D3" w14:textId="77777777" w:rsidR="0017771E" w:rsidRPr="00707A85" w:rsidRDefault="0017771E" w:rsidP="0017771E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В свете резолюции 68/237 Генеральной Ассамблеи о провозглашении периода 2015–2024 годов Международным десятилетием лиц африканского происхождения, а также резолюции 69/16 Генеральной Ассамблеи, касающейся программы мероприятий по проведению этого Десятилетия, Комитет рекомендует государству-участнику разработать и осуществить приемлемую программу соответствующих мер и стратегий в сотрудничестве с африканскими организациями и народами.</w:t>
      </w:r>
      <w:r>
        <w:t xml:space="preserve"> </w:t>
      </w:r>
      <w:r>
        <w:rPr>
          <w:b/>
          <w:bCs/>
        </w:rPr>
        <w:t>Комитет просит государство-участник включить в свой следующий доклад точные сведения о принятых им в этой связи конкретных мерах с учетом общей рекомендации № 34 (2011) о расовой дискриминации в отношении лиц африканского происхождения.</w:t>
      </w:r>
    </w:p>
    <w:p w14:paraId="7CED2C9D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Консультации с гражданским обществом</w:t>
      </w:r>
    </w:p>
    <w:p w14:paraId="31D56F62" w14:textId="77777777" w:rsidR="0017771E" w:rsidRPr="00707A85" w:rsidRDefault="0017771E" w:rsidP="0017771E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Комитет рекомендует государству-участнику продолжать и расширять диалог с организациями гражданского общества, осуществляющими деятельность в области защиты прав человека, в частности с организациями, ведущими борьбу против расовой дискриминации, в рамках составления следующего периодического доклада и принятия последующих мер по настоящим заключительным замечаниям.</w:t>
      </w:r>
    </w:p>
    <w:p w14:paraId="641ECF40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Распространение информации</w:t>
      </w:r>
      <w:r>
        <w:t xml:space="preserve"> </w:t>
      </w:r>
    </w:p>
    <w:p w14:paraId="0D01C37D" w14:textId="77777777" w:rsidR="0017771E" w:rsidRPr="00707A85" w:rsidRDefault="0017771E" w:rsidP="0017771E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Комитет рекомендует, чтобы доклады государства-участника носили открытый характер и были доступны общественности на момент их представления и чтобы заключительные замечания Комитета по этим докладам также предоставлялись всем государственным органам, занимающимся осуществлением Конвенции, включая муниципалитеты, на официальных языках, а при необходимости – и на других широко используемых языках.</w:t>
      </w:r>
    </w:p>
    <w:p w14:paraId="17B541D8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Общий базовый документ</w:t>
      </w:r>
    </w:p>
    <w:p w14:paraId="1FABAE1F" w14:textId="77777777" w:rsidR="0017771E" w:rsidRPr="00707A85" w:rsidRDefault="0017771E" w:rsidP="0017771E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Комитет призывает государство-участник обновить свой общий базовый документ от 19 сентября 2014 года в соответствии с согласованными руководящими принципами представления докладов согласно международным договорам о правах человека, в частности руководящими принципами подготовки общего базового документа, принятыми на пятом межкомитетском совещании договорных органов по правам человека в июне 2006 года (HRI/GEN/2/Rev.6, глава I).</w:t>
      </w:r>
      <w:r>
        <w:t xml:space="preserve"> </w:t>
      </w:r>
      <w:r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таких документов ограничение в 42 400 слов.</w:t>
      </w:r>
    </w:p>
    <w:p w14:paraId="1843AD03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Последующая деятельность по выполнению настоящих заключительных замечаний</w:t>
      </w:r>
    </w:p>
    <w:p w14:paraId="77510615" w14:textId="77777777" w:rsidR="0017771E" w:rsidRPr="00707A85" w:rsidRDefault="0017771E" w:rsidP="0017771E">
      <w:pPr>
        <w:pStyle w:val="SingleTxtG"/>
        <w:rPr>
          <w:b/>
          <w:bCs/>
        </w:rPr>
      </w:pPr>
      <w:bookmarkStart w:id="4" w:name="_Hlk19267326"/>
      <w:r>
        <w:t>31.</w:t>
      </w:r>
      <w:r>
        <w:tab/>
      </w:r>
      <w:r>
        <w:rPr>
          <w:b/>
          <w:bCs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замечаний информацию о выполнении им рекомендаций, содержащихся в пунктах 10 a) (национальное правозащитное учреждение), 12 (институциональная основа),</w:t>
      </w:r>
      <w:r w:rsidR="00331DF6">
        <w:rPr>
          <w:b/>
          <w:bCs/>
        </w:rPr>
        <w:br/>
      </w:r>
      <w:r>
        <w:rPr>
          <w:b/>
          <w:bCs/>
        </w:rPr>
        <w:t>16 b), c) и d) (ненавистнические высказывания расистского толка и преступления на почве расовой ненависти) и 18 a) (запрещение организаций, поощряющих расовую дискриминацию) выше.</w:t>
      </w:r>
    </w:p>
    <w:p w14:paraId="7A634418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Пункты, имеющие особое значение</w:t>
      </w:r>
    </w:p>
    <w:p w14:paraId="4D383F49" w14:textId="77777777" w:rsidR="0017771E" w:rsidRPr="00707A85" w:rsidRDefault="0017771E" w:rsidP="0017771E">
      <w:pPr>
        <w:pStyle w:val="SingleTxtG"/>
        <w:rPr>
          <w:b/>
        </w:rPr>
      </w:pPr>
      <w:r>
        <w:t>32.</w:t>
      </w:r>
      <w:r>
        <w:tab/>
      </w:r>
      <w:r>
        <w:rPr>
          <w:b/>
          <w:bCs/>
        </w:rPr>
        <w:t>Комитет хотел бы обратить внимание государства-участника на особое значение рекомендаций, содержащихся в пунктах 8 (антидискриминационное законодательство), 14 (нормативная основа), 20 (судебное преследование за преступления, совершенные по расовым мотивам) и 24 (положение мигрантов, беженцев и просителей убежища) выше, и просит государство-участник представить в своем следующем периодическом докладе подробную информацию о конкретных мерах, принятых с целью выполнения этих рекомендаций.</w:t>
      </w:r>
      <w:bookmarkEnd w:id="4"/>
    </w:p>
    <w:p w14:paraId="01E0A306" w14:textId="77777777" w:rsidR="0017771E" w:rsidRPr="00707A85" w:rsidRDefault="0017771E" w:rsidP="0017771E">
      <w:pPr>
        <w:pStyle w:val="H23G"/>
      </w:pPr>
      <w:r>
        <w:tab/>
      </w:r>
      <w:r>
        <w:tab/>
      </w:r>
      <w:r>
        <w:rPr>
          <w:bCs/>
        </w:rPr>
        <w:t>Подготовка следующего периодического доклада</w:t>
      </w:r>
    </w:p>
    <w:p w14:paraId="21DAC5F1" w14:textId="77777777" w:rsidR="0017771E" w:rsidRPr="00707A85" w:rsidRDefault="0017771E" w:rsidP="0017771E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Комитет рекомендует государству-участнику представить не позднее</w:t>
      </w:r>
      <w:r w:rsidR="00331DF6">
        <w:rPr>
          <w:b/>
          <w:bCs/>
        </w:rPr>
        <w:br/>
      </w:r>
      <w:r>
        <w:rPr>
          <w:b/>
          <w:bCs/>
        </w:rPr>
        <w:t>4 января 2022 года свои объединенные двадцать пятый</w:t>
      </w:r>
      <w:r w:rsidR="00331DF6">
        <w:rPr>
          <w:b/>
          <w:bCs/>
        </w:rPr>
        <w:t xml:space="preserve"> </w:t>
      </w:r>
      <w:r>
        <w:rPr>
          <w:b/>
          <w:bCs/>
        </w:rPr>
        <w:t>–</w:t>
      </w:r>
      <w:r w:rsidR="00331DF6">
        <w:rPr>
          <w:b/>
          <w:bCs/>
        </w:rPr>
        <w:t xml:space="preserve"> </w:t>
      </w:r>
      <w:r>
        <w:rPr>
          <w:b/>
          <w:bCs/>
        </w:rPr>
        <w:t>двадцать седьмой периодические доклады в одном документе, подготовленные с учетом руководящих принципов подготовки документов по данной Конвенции, принятых Комитетом на его семьдесят первой сессии (CERD/C/2007/1),</w:t>
      </w:r>
      <w:r w:rsidR="00331DF6">
        <w:rPr>
          <w:b/>
          <w:bCs/>
        </w:rPr>
        <w:br/>
      </w:r>
      <w:r>
        <w:rPr>
          <w:b/>
          <w:bCs/>
        </w:rPr>
        <w:t>и охватывающие все вопросы, затронутые в настоящих заключительных замечаниях.</w:t>
      </w:r>
      <w:r>
        <w:t xml:space="preserve"> </w:t>
      </w:r>
      <w:r>
        <w:rPr>
          <w:b/>
          <w:bCs/>
        </w:rPr>
        <w:t>В свете резолюции 68/268 Генеральной Ассамблеи Комитет настоятельно призывает государство-участник соблюдать установленное для объема периодических докладов ограничение в 21 200 слов.</w:t>
      </w:r>
    </w:p>
    <w:p w14:paraId="60E88133" w14:textId="77777777" w:rsidR="0017771E" w:rsidRPr="00707A85" w:rsidRDefault="0017771E" w:rsidP="0017771E">
      <w:pPr>
        <w:pStyle w:val="SingleTxtG"/>
        <w:spacing w:before="240" w:after="0"/>
        <w:jc w:val="center"/>
      </w:pPr>
      <w:r w:rsidRPr="00707A85">
        <w:rPr>
          <w:u w:val="single"/>
        </w:rPr>
        <w:tab/>
      </w:r>
      <w:r w:rsidRPr="00707A85">
        <w:rPr>
          <w:u w:val="single"/>
        </w:rPr>
        <w:tab/>
      </w:r>
      <w:r w:rsidRPr="00707A85">
        <w:rPr>
          <w:u w:val="single"/>
        </w:rPr>
        <w:tab/>
      </w:r>
      <w:r w:rsidR="00396811">
        <w:rPr>
          <w:u w:val="single"/>
        </w:rPr>
        <w:tab/>
      </w:r>
    </w:p>
    <w:sectPr w:rsidR="0017771E" w:rsidRPr="00707A85" w:rsidSect="0017771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A2FBC" w14:textId="77777777" w:rsidR="003332C3" w:rsidRPr="00A312BC" w:rsidRDefault="003332C3" w:rsidP="00A312BC"/>
  </w:endnote>
  <w:endnote w:type="continuationSeparator" w:id="0">
    <w:p w14:paraId="687A83D6" w14:textId="77777777" w:rsidR="003332C3" w:rsidRPr="00A312BC" w:rsidRDefault="003332C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6A71" w14:textId="77777777" w:rsidR="0017771E" w:rsidRPr="0017771E" w:rsidRDefault="0017771E">
    <w:pPr>
      <w:pStyle w:val="Pieddepage"/>
    </w:pPr>
    <w:r w:rsidRPr="0017771E">
      <w:rPr>
        <w:b/>
        <w:sz w:val="18"/>
      </w:rPr>
      <w:fldChar w:fldCharType="begin"/>
    </w:r>
    <w:r w:rsidRPr="0017771E">
      <w:rPr>
        <w:b/>
        <w:sz w:val="18"/>
      </w:rPr>
      <w:instrText xml:space="preserve"> PAGE  \* MERGEFORMAT </w:instrText>
    </w:r>
    <w:r w:rsidRPr="0017771E">
      <w:rPr>
        <w:b/>
        <w:sz w:val="18"/>
      </w:rPr>
      <w:fldChar w:fldCharType="separate"/>
    </w:r>
    <w:r w:rsidRPr="0017771E">
      <w:rPr>
        <w:b/>
        <w:noProof/>
        <w:sz w:val="18"/>
      </w:rPr>
      <w:t>2</w:t>
    </w:r>
    <w:r w:rsidRPr="0017771E">
      <w:rPr>
        <w:b/>
        <w:sz w:val="18"/>
      </w:rPr>
      <w:fldChar w:fldCharType="end"/>
    </w:r>
    <w:r>
      <w:rPr>
        <w:b/>
        <w:sz w:val="18"/>
      </w:rPr>
      <w:tab/>
    </w:r>
    <w:r>
      <w:t>GE.19-16428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0B2C" w14:textId="77777777" w:rsidR="0017771E" w:rsidRPr="0017771E" w:rsidRDefault="0017771E" w:rsidP="0017771E">
    <w:pPr>
      <w:pStyle w:val="Pieddepage"/>
      <w:tabs>
        <w:tab w:val="clear" w:pos="9639"/>
        <w:tab w:val="right" w:pos="9638"/>
      </w:tabs>
      <w:rPr>
        <w:b/>
        <w:sz w:val="18"/>
      </w:rPr>
    </w:pPr>
    <w:r>
      <w:t>GE.19-16428</w:t>
    </w:r>
    <w:r>
      <w:tab/>
    </w:r>
    <w:r w:rsidRPr="0017771E">
      <w:rPr>
        <w:b/>
        <w:sz w:val="18"/>
      </w:rPr>
      <w:fldChar w:fldCharType="begin"/>
    </w:r>
    <w:r w:rsidRPr="0017771E">
      <w:rPr>
        <w:b/>
        <w:sz w:val="18"/>
      </w:rPr>
      <w:instrText xml:space="preserve"> PAGE  \* MERGEFORMAT </w:instrText>
    </w:r>
    <w:r w:rsidRPr="0017771E">
      <w:rPr>
        <w:b/>
        <w:sz w:val="18"/>
      </w:rPr>
      <w:fldChar w:fldCharType="separate"/>
    </w:r>
    <w:r w:rsidRPr="0017771E">
      <w:rPr>
        <w:b/>
        <w:noProof/>
        <w:sz w:val="18"/>
      </w:rPr>
      <w:t>3</w:t>
    </w:r>
    <w:r w:rsidRPr="001777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8A16" w14:textId="77777777" w:rsidR="00042B72" w:rsidRPr="0017771E" w:rsidRDefault="0017771E" w:rsidP="0017771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5C45E1A" wp14:editId="695AEF1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19-16428  (R)</w:t>
    </w:r>
    <w:r>
      <w:rPr>
        <w:lang w:val="en-US"/>
      </w:rPr>
      <w:t xml:space="preserve">  141019  141019</w:t>
    </w:r>
    <w:r>
      <w:br/>
    </w:r>
    <w:r w:rsidRPr="0017771E">
      <w:rPr>
        <w:rFonts w:ascii="C39T30Lfz" w:hAnsi="C39T30Lfz"/>
        <w:kern w:val="14"/>
        <w:sz w:val="56"/>
      </w:rPr>
      <w:t></w:t>
    </w:r>
    <w:r w:rsidRPr="0017771E">
      <w:rPr>
        <w:rFonts w:ascii="C39T30Lfz" w:hAnsi="C39T30Lfz"/>
        <w:kern w:val="14"/>
        <w:sz w:val="56"/>
      </w:rPr>
      <w:t></w:t>
    </w:r>
    <w:r w:rsidRPr="0017771E">
      <w:rPr>
        <w:rFonts w:ascii="C39T30Lfz" w:hAnsi="C39T30Lfz"/>
        <w:kern w:val="14"/>
        <w:sz w:val="56"/>
      </w:rPr>
      <w:t></w:t>
    </w:r>
    <w:r w:rsidRPr="0017771E">
      <w:rPr>
        <w:rFonts w:ascii="C39T30Lfz" w:hAnsi="C39T30Lfz"/>
        <w:kern w:val="14"/>
        <w:sz w:val="56"/>
      </w:rPr>
      <w:t></w:t>
    </w:r>
    <w:r w:rsidRPr="0017771E">
      <w:rPr>
        <w:rFonts w:ascii="C39T30Lfz" w:hAnsi="C39T30Lfz"/>
        <w:kern w:val="14"/>
        <w:sz w:val="56"/>
      </w:rPr>
      <w:t></w:t>
    </w:r>
    <w:r w:rsidRPr="0017771E">
      <w:rPr>
        <w:rFonts w:ascii="C39T30Lfz" w:hAnsi="C39T30Lfz"/>
        <w:kern w:val="14"/>
        <w:sz w:val="56"/>
      </w:rPr>
      <w:t></w:t>
    </w:r>
    <w:r w:rsidRPr="0017771E">
      <w:rPr>
        <w:rFonts w:ascii="C39T30Lfz" w:hAnsi="C39T30Lfz"/>
        <w:kern w:val="14"/>
        <w:sz w:val="56"/>
      </w:rPr>
      <w:t></w:t>
    </w:r>
    <w:r w:rsidRPr="0017771E">
      <w:rPr>
        <w:rFonts w:ascii="C39T30Lfz" w:hAnsi="C39T30Lfz"/>
        <w:kern w:val="14"/>
        <w:sz w:val="56"/>
      </w:rPr>
      <w:t></w:t>
    </w:r>
    <w:r w:rsidRPr="0017771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DAE0B1" wp14:editId="6FEAA98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ERD/C/POL/CO/22-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POL/CO/22-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1AB3F" w14:textId="77777777" w:rsidR="003332C3" w:rsidRPr="001075E9" w:rsidRDefault="003332C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A99E42" w14:textId="77777777" w:rsidR="003332C3" w:rsidRDefault="003332C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875DDCF" w14:textId="77777777" w:rsidR="0017771E" w:rsidRPr="00707A85" w:rsidRDefault="0017771E" w:rsidP="00396811">
      <w:pPr>
        <w:pStyle w:val="Notedebasdepage"/>
        <w:spacing w:after="240"/>
      </w:pPr>
      <w:r>
        <w:tab/>
        <w:t>*</w:t>
      </w:r>
      <w:r>
        <w:tab/>
        <w:t>Приняты Комитетом на его девяносто девятой сессии (5–29 августа 2019 года).</w:t>
      </w:r>
      <w:bookmarkStart w:id="0" w:name="_Hlk18926330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EFE4" w14:textId="54C45E82" w:rsidR="0017771E" w:rsidRPr="0017771E" w:rsidRDefault="0017771E">
    <w:pPr>
      <w:pStyle w:val="En-tte"/>
    </w:pPr>
    <w:fldSimple w:instr=" TITLE  \* MERGEFORMAT ">
      <w:r w:rsidR="00205BFF">
        <w:t>CERD/C/POL/CO/22-24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B974" w14:textId="6E27F404" w:rsidR="0017771E" w:rsidRPr="0017771E" w:rsidRDefault="0017771E" w:rsidP="0017771E">
    <w:pPr>
      <w:pStyle w:val="En-tte"/>
      <w:jc w:val="right"/>
    </w:pPr>
    <w:fldSimple w:instr=" TITLE  \* MERGEFORMAT ">
      <w:r w:rsidR="00205BFF">
        <w:t>CERD/C/POL/CO/22-24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C3"/>
    <w:rsid w:val="00033EE1"/>
    <w:rsid w:val="00042B72"/>
    <w:rsid w:val="000558BD"/>
    <w:rsid w:val="000B57E7"/>
    <w:rsid w:val="000B6373"/>
    <w:rsid w:val="000F09DF"/>
    <w:rsid w:val="000F61B2"/>
    <w:rsid w:val="001039E2"/>
    <w:rsid w:val="001075E9"/>
    <w:rsid w:val="0017771E"/>
    <w:rsid w:val="00180183"/>
    <w:rsid w:val="0018024D"/>
    <w:rsid w:val="0018649F"/>
    <w:rsid w:val="00196389"/>
    <w:rsid w:val="001B3EF6"/>
    <w:rsid w:val="001C7A89"/>
    <w:rsid w:val="00205BFF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1DF6"/>
    <w:rsid w:val="003332C3"/>
    <w:rsid w:val="003402C2"/>
    <w:rsid w:val="00381C24"/>
    <w:rsid w:val="003958D0"/>
    <w:rsid w:val="00396811"/>
    <w:rsid w:val="003B00E5"/>
    <w:rsid w:val="003B6A1B"/>
    <w:rsid w:val="003D11EA"/>
    <w:rsid w:val="004055E9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03601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114C3"/>
    <w:rsid w:val="00627C61"/>
    <w:rsid w:val="006306AC"/>
    <w:rsid w:val="00641A8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C46C9"/>
    <w:rsid w:val="007C49AB"/>
    <w:rsid w:val="007C6FBB"/>
    <w:rsid w:val="00825F8D"/>
    <w:rsid w:val="00834B71"/>
    <w:rsid w:val="0086445C"/>
    <w:rsid w:val="00875E64"/>
    <w:rsid w:val="00894693"/>
    <w:rsid w:val="008A08D7"/>
    <w:rsid w:val="008A3166"/>
    <w:rsid w:val="008B227E"/>
    <w:rsid w:val="008B360C"/>
    <w:rsid w:val="008B6909"/>
    <w:rsid w:val="008D2AAD"/>
    <w:rsid w:val="008F2638"/>
    <w:rsid w:val="0090054A"/>
    <w:rsid w:val="00906890"/>
    <w:rsid w:val="00911BE4"/>
    <w:rsid w:val="00951972"/>
    <w:rsid w:val="009608F3"/>
    <w:rsid w:val="009A24AC"/>
    <w:rsid w:val="009A6D69"/>
    <w:rsid w:val="009D5FCE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67B12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6127C"/>
  <w15:docId w15:val="{F780093E-32DB-4424-AEFF-A3C0D398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Titre1">
    <w:name w:val="heading 1"/>
    <w:aliases w:val="Table_G"/>
    <w:basedOn w:val="Normal"/>
    <w:next w:val="Normal"/>
    <w:link w:val="Titre1Car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Titre2">
    <w:name w:val="heading 2"/>
    <w:basedOn w:val="Normal"/>
    <w:next w:val="Normal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627C6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auNormal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"/>
    <w:basedOn w:val="Normal"/>
    <w:next w:val="Normal"/>
    <w:link w:val="En-tteCar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En-tteCar">
    <w:name w:val="En-tête Car"/>
    <w:aliases w:val="6_G Car"/>
    <w:basedOn w:val="Policepardfaut"/>
    <w:link w:val="En-tte"/>
    <w:rsid w:val="006306AC"/>
    <w:rPr>
      <w:b/>
      <w:sz w:val="18"/>
      <w:lang w:val="en-GB" w:eastAsia="ru-RU"/>
    </w:rPr>
  </w:style>
  <w:style w:type="character" w:styleId="Numrodepage">
    <w:name w:val="page number"/>
    <w:aliases w:val="7_G"/>
    <w:basedOn w:val="Policepardfaut"/>
    <w:qFormat/>
    <w:rsid w:val="006306AC"/>
    <w:rPr>
      <w:rFonts w:ascii="Times New Roman" w:hAnsi="Times New Roman"/>
      <w:b/>
      <w:sz w:val="18"/>
    </w:rPr>
  </w:style>
  <w:style w:type="paragraph" w:styleId="Pieddepage">
    <w:name w:val="footer"/>
    <w:aliases w:val="3_G"/>
    <w:basedOn w:val="Normal"/>
    <w:link w:val="PieddepageCar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PieddepageCar">
    <w:name w:val="Pied de page Car"/>
    <w:aliases w:val="3_G Car"/>
    <w:basedOn w:val="Policepardfaut"/>
    <w:link w:val="Pieddepage"/>
    <w:rsid w:val="006306AC"/>
    <w:rPr>
      <w:sz w:val="16"/>
      <w:lang w:val="en-GB" w:eastAsia="ru-RU"/>
    </w:rPr>
  </w:style>
  <w:style w:type="character" w:styleId="Appelnotedebasdep">
    <w:name w:val="footnote reference"/>
    <w:aliases w:val="4_G"/>
    <w:basedOn w:val="Policepardfaut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ppeldenotedefin">
    <w:name w:val="endnote reference"/>
    <w:aliases w:val="1_G"/>
    <w:basedOn w:val="Appelnotedebasdep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Grilledutableau">
    <w:name w:val="Table Grid"/>
    <w:basedOn w:val="TableauNormal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tedebasdepage">
    <w:name w:val="footnote text"/>
    <w:aliases w:val="5_G"/>
    <w:basedOn w:val="Normal"/>
    <w:link w:val="NotedebasdepageCar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6306AC"/>
    <w:rPr>
      <w:sz w:val="18"/>
      <w:lang w:val="ru-RU" w:eastAsia="ru-RU"/>
    </w:rPr>
  </w:style>
  <w:style w:type="paragraph" w:styleId="Notedefin">
    <w:name w:val="endnote text"/>
    <w:aliases w:val="2_G"/>
    <w:basedOn w:val="Notedebasdepage"/>
    <w:link w:val="NotedefinCar"/>
    <w:qFormat/>
    <w:rsid w:val="006306AC"/>
  </w:style>
  <w:style w:type="character" w:customStyle="1" w:styleId="NotedefinCar">
    <w:name w:val="Note de fin Car"/>
    <w:aliases w:val="2_G Car"/>
    <w:basedOn w:val="Policepardfaut"/>
    <w:link w:val="Notedefin"/>
    <w:rsid w:val="006306AC"/>
    <w:rPr>
      <w:sz w:val="18"/>
      <w:lang w:val="ru-RU" w:eastAsia="ru-RU"/>
    </w:rPr>
  </w:style>
  <w:style w:type="character" w:customStyle="1" w:styleId="Titre1Car">
    <w:name w:val="Titre 1 Car"/>
    <w:aliases w:val="Table_G Car"/>
    <w:basedOn w:val="Policepardfaut"/>
    <w:link w:val="Titre1"/>
    <w:rsid w:val="006306AC"/>
    <w:rPr>
      <w:rFonts w:cs="Arial"/>
      <w:b/>
      <w:bCs/>
      <w:szCs w:val="32"/>
      <w:lang w:val="ru-RU" w:eastAsia="ru-RU"/>
    </w:rPr>
  </w:style>
  <w:style w:type="character" w:styleId="Lienhypertexte">
    <w:name w:val="Hyperlink"/>
    <w:basedOn w:val="Policepardfaut"/>
    <w:rsid w:val="006306AC"/>
    <w:rPr>
      <w:color w:val="0000FF" w:themeColor="hyperlink"/>
      <w:u w:val="none"/>
    </w:rPr>
  </w:style>
  <w:style w:type="character" w:styleId="Lienhypertextesuivivisit">
    <w:name w:val="FollowedHyperlink"/>
    <w:basedOn w:val="Policepardfaut"/>
    <w:rsid w:val="006306AC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2</TotalTime>
  <Pages>10</Pages>
  <Words>4607</Words>
  <Characters>25340</Characters>
  <Application>Microsoft Office Word</Application>
  <DocSecurity>0</DocSecurity>
  <Lines>211</Lines>
  <Paragraphs>59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CERD/C/POL/CO/22-24</vt:lpstr>
      <vt:lpstr>CERD/C/POL/CO/22-24</vt:lpstr>
      <vt:lpstr>A/</vt:lpstr>
      <vt:lpstr>A/</vt:lpstr>
    </vt:vector>
  </TitlesOfParts>
  <Company>DCM</Company>
  <LinksUpToDate>false</LinksUpToDate>
  <CharactersWithSpaces>29888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CERD/C/POL/CO/22-24</dc:title>
  <dc:subject/>
  <dc:creator>Anna KISSELEVA</dc:creator>
  <cp:keywords/>
  <cp:lastModifiedBy>Anna PETELINA</cp:lastModifiedBy>
  <cp:revision>5</cp:revision>
  <cp:lastPrinted>2019-10-14T09:49:00Z</cp:lastPrinted>
  <dcterms:created xsi:type="dcterms:W3CDTF">2019-10-14T09:01:00Z</dcterms:created>
  <dcterms:modified xsi:type="dcterms:W3CDTF">2019-10-14T09:49:00Z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