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29DD0A9" w14:textId="77777777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ADF689" w14:textId="77777777" w:rsidR="002D5AAC" w:rsidRDefault="002D5AAC" w:rsidP="008D7B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6D78AA2" w14:textId="77777777"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5EE50C7" w14:textId="3CD8FF75" w:rsidR="002D5AAC" w:rsidRDefault="008D7B19" w:rsidP="008D7B19">
            <w:pPr>
              <w:jc w:val="right"/>
            </w:pPr>
            <w:r w:rsidRPr="008D7B19">
              <w:rPr>
                <w:sz w:val="40"/>
              </w:rPr>
              <w:t>CMW</w:t>
            </w:r>
            <w:r>
              <w:t>/C/BFA/CO/2</w:t>
            </w:r>
          </w:p>
        </w:tc>
      </w:tr>
      <w:tr w:rsidR="002D5AAC" w:rsidRPr="001F043B" w14:paraId="6A7F67C3" w14:textId="7777777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5AD2AB" w14:textId="77777777"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5BF4CB" wp14:editId="22CAEF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50937C" w14:textId="77777777"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948B6A7" w14:textId="77777777" w:rsidR="002D5AAC" w:rsidRPr="001750C2" w:rsidRDefault="008D7B19" w:rsidP="007A2AE0">
            <w:pPr>
              <w:spacing w:before="240"/>
              <w:rPr>
                <w:lang w:val="en-US"/>
              </w:rPr>
            </w:pPr>
            <w:r w:rsidRPr="001750C2">
              <w:rPr>
                <w:lang w:val="en-US"/>
              </w:rPr>
              <w:t>Distr.: General</w:t>
            </w:r>
          </w:p>
          <w:p w14:paraId="36745D57" w14:textId="77777777" w:rsidR="008D7B19" w:rsidRPr="001750C2" w:rsidRDefault="008D7B19" w:rsidP="008D7B19">
            <w:pPr>
              <w:spacing w:line="240" w:lineRule="exact"/>
              <w:rPr>
                <w:lang w:val="en-US"/>
              </w:rPr>
            </w:pPr>
            <w:r w:rsidRPr="001750C2">
              <w:rPr>
                <w:lang w:val="en-US"/>
              </w:rPr>
              <w:t>19 May 2022</w:t>
            </w:r>
          </w:p>
          <w:p w14:paraId="6595635D" w14:textId="77777777" w:rsidR="008D7B19" w:rsidRPr="001750C2" w:rsidRDefault="008D7B19" w:rsidP="008D7B19">
            <w:pPr>
              <w:spacing w:line="240" w:lineRule="exact"/>
              <w:rPr>
                <w:lang w:val="en-US"/>
              </w:rPr>
            </w:pPr>
            <w:r w:rsidRPr="001750C2">
              <w:rPr>
                <w:lang w:val="en-US"/>
              </w:rPr>
              <w:t>Russian</w:t>
            </w:r>
          </w:p>
          <w:p w14:paraId="4C36B9B6" w14:textId="5A986372" w:rsidR="008D7B19" w:rsidRPr="001750C2" w:rsidRDefault="008D7B19" w:rsidP="008D7B19">
            <w:pPr>
              <w:spacing w:line="240" w:lineRule="exact"/>
              <w:rPr>
                <w:lang w:val="en-US"/>
              </w:rPr>
            </w:pPr>
            <w:r w:rsidRPr="001750C2">
              <w:rPr>
                <w:lang w:val="en-US"/>
              </w:rPr>
              <w:t>Original: French</w:t>
            </w:r>
          </w:p>
        </w:tc>
      </w:tr>
    </w:tbl>
    <w:p w14:paraId="5F635E45" w14:textId="3D5539CD" w:rsidR="008D7B19" w:rsidRPr="008D7B19" w:rsidRDefault="008D7B19" w:rsidP="008D7B19">
      <w:pPr>
        <w:spacing w:before="120"/>
        <w:rPr>
          <w:b/>
          <w:bCs/>
          <w:sz w:val="24"/>
          <w:szCs w:val="24"/>
        </w:rPr>
      </w:pPr>
      <w:r w:rsidRPr="008D7B19">
        <w:rPr>
          <w:b/>
          <w:bCs/>
          <w:sz w:val="24"/>
          <w:szCs w:val="24"/>
        </w:rPr>
        <w:t xml:space="preserve">Комитет по защите прав всех трудящихся-мигрантов </w:t>
      </w:r>
      <w:r>
        <w:rPr>
          <w:b/>
          <w:bCs/>
          <w:sz w:val="24"/>
          <w:szCs w:val="24"/>
        </w:rPr>
        <w:br/>
      </w:r>
      <w:r w:rsidRPr="008D7B19">
        <w:rPr>
          <w:b/>
          <w:bCs/>
          <w:sz w:val="24"/>
          <w:szCs w:val="24"/>
        </w:rPr>
        <w:t>и членов их семей</w:t>
      </w:r>
    </w:p>
    <w:p w14:paraId="02246D3D" w14:textId="454CD33B" w:rsidR="008D7B19" w:rsidRPr="00E13804" w:rsidRDefault="008D7B19" w:rsidP="008D7B19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второму периодическому докладу Буркина-Фасо</w:t>
      </w:r>
      <w:r w:rsidR="0028186A" w:rsidRPr="00FD741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A7F6D6A" w14:textId="4F91CE57" w:rsidR="008D7B19" w:rsidRPr="00E13804" w:rsidRDefault="0028186A" w:rsidP="008D7B19">
      <w:pPr>
        <w:pStyle w:val="SingleTxtG"/>
      </w:pPr>
      <w:r w:rsidRPr="0028186A">
        <w:t>1</w:t>
      </w:r>
      <w:r w:rsidR="008D7B19">
        <w:t>.</w:t>
      </w:r>
      <w:r w:rsidR="008D7B19">
        <w:tab/>
        <w:t>Комитет рассмотрел второй периодический доклад Буркина-Фасо</w:t>
      </w:r>
      <w:r w:rsidR="008D7B19" w:rsidRPr="00357A64">
        <w:rPr>
          <w:rStyle w:val="aa"/>
        </w:rPr>
        <w:footnoteReference w:id="2"/>
      </w:r>
      <w:r w:rsidR="008D7B19">
        <w:t xml:space="preserve"> на своих 478-м и 479-м заседаниях</w:t>
      </w:r>
      <w:r w:rsidR="008D7B19" w:rsidRPr="00357A64">
        <w:rPr>
          <w:rStyle w:val="aa"/>
        </w:rPr>
        <w:footnoteReference w:id="3"/>
      </w:r>
      <w:r w:rsidR="008D7B19">
        <w:t>, состоявшихся 30 и 31 марта 2022 года. На своем 492</w:t>
      </w:r>
      <w:r w:rsidR="008D7B19">
        <w:noBreakHyphen/>
        <w:t>м</w:t>
      </w:r>
      <w:r w:rsidR="008D7B19">
        <w:rPr>
          <w:lang w:val="en-US"/>
        </w:rPr>
        <w:t> </w:t>
      </w:r>
      <w:r w:rsidR="008D7B19">
        <w:t>заседании 8 апреля 2022 года он принял настоящие заключительные замечания.</w:t>
      </w:r>
    </w:p>
    <w:p w14:paraId="15955474" w14:textId="433E8D25" w:rsidR="008D7B19" w:rsidRPr="00331E68" w:rsidRDefault="008D7B19" w:rsidP="008D7B19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1CD5A190" w14:textId="72169A54" w:rsidR="008D7B19" w:rsidRPr="00C021A0" w:rsidRDefault="008D7B19" w:rsidP="008D7B19">
      <w:pPr>
        <w:pStyle w:val="SingleTxtG"/>
      </w:pPr>
      <w:r>
        <w:t>2.</w:t>
      </w:r>
      <w:r>
        <w:tab/>
        <w:t>Комитет приветствует представление</w:t>
      </w:r>
      <w:r w:rsidRPr="00331E68">
        <w:t xml:space="preserve"> </w:t>
      </w:r>
      <w:r>
        <w:t>государством-участником второго периодического доклада, который был подготовлен в ответ на перечень вопросов, препровождаемых до представления доклада</w:t>
      </w:r>
      <w:r w:rsidRPr="00357A64">
        <w:rPr>
          <w:rStyle w:val="aa"/>
        </w:rPr>
        <w:footnoteReference w:id="4"/>
      </w:r>
      <w:r>
        <w:t xml:space="preserve">. Он также приветствует дополнительную информацию, которую делегация во главе с министром юстиции и прав человека, отвечающим за отношения с учреждениями, Бартелеми </w:t>
      </w:r>
      <w:proofErr w:type="spellStart"/>
      <w:r>
        <w:t>Кере</w:t>
      </w:r>
      <w:proofErr w:type="spellEnd"/>
      <w:r>
        <w:t>, предоставил</w:t>
      </w:r>
      <w:r w:rsidR="003402F2">
        <w:t>а</w:t>
      </w:r>
      <w:r>
        <w:t xml:space="preserve"> в ходе диалога.</w:t>
      </w:r>
    </w:p>
    <w:p w14:paraId="4AA3C65D" w14:textId="77777777" w:rsidR="008D7B19" w:rsidRPr="00E13804" w:rsidRDefault="008D7B19" w:rsidP="008D7B19">
      <w:pPr>
        <w:pStyle w:val="SingleTxtG"/>
      </w:pPr>
      <w:r>
        <w:t>3.</w:t>
      </w:r>
      <w:r>
        <w:tab/>
        <w:t>Комитет высоко оценивает диалог, состоявшийся с делегацией высокого уровня, и благодарит представителей государства-участника за предоставленную ему информацию и проявленный конструктивный подход, что позволило провести совместный анализ и разбор ситуации. Он также благодарит государство-участник за ответы и дополнительную информацию, представленные в течение 24 часов после диалога.</w:t>
      </w:r>
    </w:p>
    <w:p w14:paraId="07FDA858" w14:textId="77777777" w:rsidR="008D7B19" w:rsidRPr="00C021A0" w:rsidRDefault="008D7B19" w:rsidP="008D7B19">
      <w:pPr>
        <w:pStyle w:val="SingleTxtG"/>
      </w:pPr>
      <w:r>
        <w:t>4.</w:t>
      </w:r>
      <w:r>
        <w:tab/>
        <w:t>Комитет признает, что Буркина-Фасо в качестве страны происхождения трудящихся-мигрантов добилась прогресса в защите прав своих граждан, работающих за рубежом. В то же время он отмечает, что в качестве страны происхождения, транзита и назначения государство-участник сталкивается с рядом проблем в том, что касается защиты прав трудящихся-мигрантов и членов их семей.</w:t>
      </w:r>
    </w:p>
    <w:p w14:paraId="292FE12E" w14:textId="51B9A972" w:rsidR="008D7B19" w:rsidRPr="00E13804" w:rsidRDefault="008D7B19" w:rsidP="008D7B19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2CDE77CE" w14:textId="77777777" w:rsidR="008D7B19" w:rsidRPr="00E13804" w:rsidRDefault="008D7B19" w:rsidP="008D7B19">
      <w:pPr>
        <w:pStyle w:val="SingleTxtG"/>
      </w:pPr>
      <w:r>
        <w:t>5.</w:t>
      </w:r>
      <w:r>
        <w:tab/>
        <w:t>Комитет с удовлетворением отмечает ратификацию государством-участником следующих международных договоров или присоединение к ним:</w:t>
      </w:r>
    </w:p>
    <w:p w14:paraId="6DA6E85C" w14:textId="77777777" w:rsidR="008D7B19" w:rsidRPr="00E13804" w:rsidRDefault="008D7B19" w:rsidP="008D7B19">
      <w:pPr>
        <w:pStyle w:val="SingleTxtG"/>
        <w:ind w:firstLine="567"/>
      </w:pPr>
      <w:r>
        <w:t>a)</w:t>
      </w:r>
      <w:r>
        <w:tab/>
        <w:t>Конвенции об основах, содействующих безопасности и гигиене труда, 2006 года (№ 187) Международной организации труда (МОТ), июль 2016 года;</w:t>
      </w:r>
    </w:p>
    <w:p w14:paraId="372CF90C" w14:textId="77777777" w:rsidR="008D7B19" w:rsidRPr="00E13804" w:rsidRDefault="008D7B19" w:rsidP="008D7B19">
      <w:pPr>
        <w:pStyle w:val="SingleTxtG"/>
        <w:ind w:firstLine="567"/>
      </w:pPr>
      <w:r>
        <w:lastRenderedPageBreak/>
        <w:t>b)</w:t>
      </w:r>
      <w:r>
        <w:tab/>
        <w:t>соглашения о сотрудничестве между Нигерией и Буркина-Фасо по предотвращению и наказанию за торговлю людьми, особенно женщинами и детьми, 12 декабря 2021 года;</w:t>
      </w:r>
    </w:p>
    <w:p w14:paraId="535B234A" w14:textId="1542305C" w:rsidR="008D7B19" w:rsidRPr="00E13804" w:rsidRDefault="008D7B19" w:rsidP="008D7B19">
      <w:pPr>
        <w:pStyle w:val="SingleTxtG"/>
        <w:ind w:firstLine="567"/>
      </w:pPr>
      <w:r>
        <w:t>c)</w:t>
      </w:r>
      <w:r>
        <w:tab/>
        <w:t>трехстороннего соглашения о сотрудничестве в области защиты детей</w:t>
      </w:r>
      <w:r w:rsidR="00EE6954">
        <w:t xml:space="preserve"> — </w:t>
      </w:r>
      <w:r>
        <w:t xml:space="preserve">жертв торговли </w:t>
      </w:r>
      <w:r w:rsidR="003402F2">
        <w:t>л</w:t>
      </w:r>
      <w:r>
        <w:t>юдьми и детей в ситуациях трансграничной мобильности с Бенином и Того, декабрь 2019 года;</w:t>
      </w:r>
    </w:p>
    <w:p w14:paraId="6A65B73B" w14:textId="77777777" w:rsidR="008D7B19" w:rsidRPr="00E13804" w:rsidRDefault="008D7B19" w:rsidP="008D7B19">
      <w:pPr>
        <w:pStyle w:val="SingleTxtG"/>
        <w:ind w:firstLine="567"/>
      </w:pPr>
      <w:r>
        <w:t>d)</w:t>
      </w:r>
      <w:r>
        <w:tab/>
        <w:t>соглашения о сотрудничестве с правительством Кот-д'Ивуар в области защиты детей в ситуациях трансграничной мобильности, 31 июля 2019 года.</w:t>
      </w:r>
    </w:p>
    <w:p w14:paraId="5B333B1B" w14:textId="77777777" w:rsidR="008D7B19" w:rsidRPr="00E13804" w:rsidRDefault="008D7B19" w:rsidP="008D7B19">
      <w:pPr>
        <w:pStyle w:val="SingleTxtG"/>
      </w:pPr>
      <w:r>
        <w:t>6.</w:t>
      </w:r>
      <w:r>
        <w:tab/>
        <w:t>Комитет приветствует принятие следующих законодательных мер:</w:t>
      </w:r>
    </w:p>
    <w:p w14:paraId="576F717E" w14:textId="77777777" w:rsidR="008D7B19" w:rsidRPr="00E13804" w:rsidRDefault="008D7B19" w:rsidP="008D7B19">
      <w:pPr>
        <w:pStyle w:val="SingleTxtG"/>
        <w:ind w:firstLine="567"/>
      </w:pPr>
      <w:r>
        <w:t>a)</w:t>
      </w:r>
      <w:r>
        <w:tab/>
        <w:t>Декрета № 2022–0065/PRES/PM/MAECBE/MEFP о полномочиях, составе, организации и функционировании Национальной комиссии по делам беженцев, 21 января 2022 года;</w:t>
      </w:r>
      <w:bookmarkStart w:id="0" w:name="_Hlk99684515"/>
      <w:bookmarkEnd w:id="0"/>
    </w:p>
    <w:p w14:paraId="6961E42F" w14:textId="77777777" w:rsidR="008D7B19" w:rsidRPr="00E13804" w:rsidRDefault="008D7B19" w:rsidP="008D7B19">
      <w:pPr>
        <w:pStyle w:val="SingleTxtG"/>
        <w:ind w:firstLine="567"/>
      </w:pPr>
      <w:r>
        <w:t>b)</w:t>
      </w:r>
      <w:r>
        <w:tab/>
        <w:t>Закона, устанавливающего режим, применимый ко всем наемным и приравниваемым к ним работникам, в котором подтверждается принцип недискриминации по признаку гражданства, в 2021 году;</w:t>
      </w:r>
    </w:p>
    <w:p w14:paraId="6B7BD11D" w14:textId="5E6DCF95" w:rsidR="008D7B19" w:rsidRPr="00E13804" w:rsidRDefault="008D7B19" w:rsidP="008D7B19">
      <w:pPr>
        <w:pStyle w:val="SingleTxtG"/>
        <w:ind w:firstLine="567"/>
      </w:pPr>
      <w:r>
        <w:t>c)</w:t>
      </w:r>
      <w:r>
        <w:tab/>
        <w:t>Закона № 001-2016/AN о создании национальной комиссии по правам человека, который расширяет ее полномочия, включая поощрение, защиту и отстаивание прав человека и рассмотрение жалоб, был принят 24 марта 2016 года, после чего 9 марта 2017 года был принят Декрет № 2017-0209/PRES/PM/</w:t>
      </w:r>
      <w:r w:rsidRPr="008D7B19">
        <w:t xml:space="preserve"> </w:t>
      </w:r>
      <w:r>
        <w:t>MJDHPC/MINEFID об организации и функционировании Комиссии;</w:t>
      </w:r>
    </w:p>
    <w:p w14:paraId="081230E9" w14:textId="0C50A367" w:rsidR="008D7B19" w:rsidRPr="00E13804" w:rsidRDefault="008D7B19" w:rsidP="008D7B19">
      <w:pPr>
        <w:pStyle w:val="SingleTxtG"/>
        <w:ind w:firstLine="567"/>
      </w:pPr>
      <w:r>
        <w:t>d)</w:t>
      </w:r>
      <w:r>
        <w:tab/>
        <w:t xml:space="preserve">Декрета </w:t>
      </w:r>
      <w:proofErr w:type="gramStart"/>
      <w:r>
        <w:t>№</w:t>
      </w:r>
      <w:r w:rsidR="001916AD">
        <w:t> </w:t>
      </w:r>
      <w:r>
        <w:t>2016-504</w:t>
      </w:r>
      <w:proofErr w:type="gramEnd"/>
      <w:r>
        <w:t>/PRES/PM/MFPTPS/MS/MFSNF, определяющ</w:t>
      </w:r>
      <w:r w:rsidR="001916AD">
        <w:t>его</w:t>
      </w:r>
      <w:r>
        <w:t xml:space="preserve"> перечень опасных работ, запрещенных для детей, 9 июня 2016 года.</w:t>
      </w:r>
    </w:p>
    <w:p w14:paraId="3CEB195C" w14:textId="77777777" w:rsidR="008D7B19" w:rsidRPr="00E13804" w:rsidRDefault="008D7B19" w:rsidP="008D7B19">
      <w:pPr>
        <w:pStyle w:val="SingleTxtG"/>
      </w:pPr>
      <w:r>
        <w:t>7.</w:t>
      </w:r>
      <w:r>
        <w:tab/>
        <w:t>Комитет с удовлетворением отмечает принятие следующих институциональных и политических мер:</w:t>
      </w:r>
    </w:p>
    <w:p w14:paraId="2238B989" w14:textId="0EA35C29" w:rsidR="008D7B19" w:rsidRPr="00E13804" w:rsidRDefault="008D7B19" w:rsidP="008D7B19">
      <w:pPr>
        <w:pStyle w:val="SingleTxtG"/>
        <w:ind w:firstLine="567"/>
      </w:pPr>
      <w:r>
        <w:t>a)</w:t>
      </w:r>
      <w:r>
        <w:tab/>
        <w:t>Национальной стратегии в области миграции на период 2014–2025 годов, которая обеспечивает политическую основу, а также защиту мигрантов и гарантию их прав, 8 февраля 2017 года, и План действий на период 2019</w:t>
      </w:r>
      <w:r w:rsidR="006569B2">
        <w:t>–</w:t>
      </w:r>
      <w:r>
        <w:t>2023 годов, 27 ноября 2020</w:t>
      </w:r>
      <w:r w:rsidR="002E75EB">
        <w:rPr>
          <w:lang w:val="en-US"/>
        </w:rPr>
        <w:t> </w:t>
      </w:r>
      <w:r>
        <w:t>года;</w:t>
      </w:r>
    </w:p>
    <w:p w14:paraId="753291CF" w14:textId="77777777" w:rsidR="008D7B19" w:rsidRPr="00E13804" w:rsidRDefault="008D7B19" w:rsidP="008D7B19">
      <w:pPr>
        <w:pStyle w:val="SingleTxtG"/>
        <w:ind w:firstLine="567"/>
      </w:pPr>
      <w:r>
        <w:t>b)</w:t>
      </w:r>
      <w:r>
        <w:tab/>
        <w:t>создание национального механизма учета уязвимых мигрантов в Буркина-Фасо для обеспечения их защиты и оказания им помощи, в октябре 2019 года;</w:t>
      </w:r>
    </w:p>
    <w:p w14:paraId="3010B89F" w14:textId="77777777" w:rsidR="008D7B19" w:rsidRPr="00C021A0" w:rsidRDefault="008D7B19" w:rsidP="008D7B19">
      <w:pPr>
        <w:pStyle w:val="SingleTxtG"/>
        <w:ind w:firstLine="567"/>
      </w:pPr>
      <w:r>
        <w:t>c)</w:t>
      </w:r>
      <w:r>
        <w:tab/>
        <w:t xml:space="preserve">создание в январе 2018 года министерства африканской интеграции и по делам </w:t>
      </w:r>
      <w:proofErr w:type="spellStart"/>
      <w:r>
        <w:t>буркинийцев</w:t>
      </w:r>
      <w:proofErr w:type="spellEnd"/>
      <w:r>
        <w:t xml:space="preserve">, проживающих за рубежом, которое занимается всеми вопросами, связанными с защитой и повышением роли </w:t>
      </w:r>
      <w:proofErr w:type="spellStart"/>
      <w:r>
        <w:t>буркинийцев</w:t>
      </w:r>
      <w:proofErr w:type="spellEnd"/>
      <w:r>
        <w:t>, проживающих за рубежом.</w:t>
      </w:r>
    </w:p>
    <w:p w14:paraId="0C878082" w14:textId="65C15FF2" w:rsidR="008D7B19" w:rsidRPr="00E13804" w:rsidRDefault="002E75EB" w:rsidP="008D7B19">
      <w:pPr>
        <w:pStyle w:val="H1G"/>
      </w:pPr>
      <w:r>
        <w:rPr>
          <w:bCs/>
        </w:rPr>
        <w:tab/>
      </w:r>
      <w:r w:rsidR="008D7B19">
        <w:rPr>
          <w:bCs/>
        </w:rPr>
        <w:t>C.</w:t>
      </w:r>
      <w:r w:rsidR="008D7B19">
        <w:tab/>
      </w:r>
      <w:r w:rsidR="008D7B19">
        <w:rPr>
          <w:bCs/>
        </w:rPr>
        <w:t>Факторы и трудности, препятствующие осуществлению Конвенции</w:t>
      </w:r>
    </w:p>
    <w:p w14:paraId="4559BF69" w14:textId="2C134BF1" w:rsidR="008D7B19" w:rsidRPr="00E13804" w:rsidRDefault="008D7B19" w:rsidP="008D7B19">
      <w:pPr>
        <w:pStyle w:val="SingleTxtG"/>
      </w:pPr>
      <w:r>
        <w:t>8.</w:t>
      </w:r>
      <w:r>
        <w:tab/>
        <w:t>Комитет признает сложность нынешнего политического кризиса в государстве-участнике и серьезные нарушения прав человека, которые он влечет за собой, в</w:t>
      </w:r>
      <w:r w:rsidR="002E75EB">
        <w:rPr>
          <w:lang w:val="en-US"/>
        </w:rPr>
        <w:t> </w:t>
      </w:r>
      <w:r>
        <w:t>частности совершаемые различными вооруженными террористическими группами. Он также осознает сохраняющуюся угрозу изменения климата, способного нанести вред выживанию страны, а также влияние этой угрозы на реализацию соответствующего законодательства, политики и программ в интересах трудящихся-мигрантов и членов их семей. Комитет признает политическую нестабильность, отсутствие безопасности, а также финансовые, кадровые и потенциальные ограничения, с которыми сталкивается государство-участник. Однако он напоминает государству-участнику, что права, изложенные в Конвенции, применимы во все времена и что государство-участник несет главную ответственность за принятие всех необходимых мер для их соблюдения и обеспечения, независимо от политических волнений.</w:t>
      </w:r>
    </w:p>
    <w:p w14:paraId="1F11043A" w14:textId="70655587" w:rsidR="008D7B19" w:rsidRPr="00E13804" w:rsidRDefault="002E75EB" w:rsidP="008D7B19">
      <w:pPr>
        <w:pStyle w:val="H1G"/>
      </w:pPr>
      <w:r>
        <w:rPr>
          <w:bCs/>
        </w:rPr>
        <w:lastRenderedPageBreak/>
        <w:tab/>
      </w:r>
      <w:r w:rsidR="008D7B19">
        <w:rPr>
          <w:bCs/>
        </w:rPr>
        <w:t>D.</w:t>
      </w:r>
      <w:r w:rsidR="008D7B19">
        <w:tab/>
      </w:r>
      <w:r w:rsidR="008D7B19">
        <w:rPr>
          <w:bCs/>
        </w:rPr>
        <w:t>Основные вопросы, вызывающие обеспокоенность, и</w:t>
      </w:r>
      <w:r w:rsidR="005F1D6B">
        <w:rPr>
          <w:bCs/>
        </w:rPr>
        <w:t> </w:t>
      </w:r>
      <w:r w:rsidR="008D7B19">
        <w:rPr>
          <w:bCs/>
        </w:rPr>
        <w:t>рекомендации</w:t>
      </w:r>
    </w:p>
    <w:p w14:paraId="6ADBD9D1" w14:textId="37834408" w:rsidR="008D7B19" w:rsidRPr="00E13804" w:rsidRDefault="002E75EB" w:rsidP="008D7B19">
      <w:pPr>
        <w:pStyle w:val="H23G"/>
      </w:pPr>
      <w:r>
        <w:rPr>
          <w:bCs/>
        </w:rPr>
        <w:tab/>
      </w:r>
      <w:r w:rsidR="008D7B19">
        <w:rPr>
          <w:bCs/>
        </w:rPr>
        <w:t>1.</w:t>
      </w:r>
      <w:r w:rsidR="008D7B19">
        <w:tab/>
      </w:r>
      <w:r w:rsidR="008D7B19">
        <w:rPr>
          <w:bCs/>
        </w:rPr>
        <w:t>Общие меры по осуществлению (ст</w:t>
      </w:r>
      <w:r w:rsidR="005F1D6B">
        <w:rPr>
          <w:bCs/>
        </w:rPr>
        <w:t>.</w:t>
      </w:r>
      <w:r w:rsidR="008D7B19">
        <w:rPr>
          <w:bCs/>
        </w:rPr>
        <w:t xml:space="preserve"> 73 и 84)</w:t>
      </w:r>
    </w:p>
    <w:p w14:paraId="0F402256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Нынешний контекст</w:t>
      </w:r>
    </w:p>
    <w:p w14:paraId="2A71F703" w14:textId="5CA3BB7A" w:rsidR="008D7B19" w:rsidRPr="00E13804" w:rsidRDefault="008D7B19" w:rsidP="008D7B19">
      <w:pPr>
        <w:pStyle w:val="SingleTxtG"/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защищать права мигрантов и членов их семей, в частности их право на здоровье, и смягчать в рамках международного сотрудничества негативные последствия пандемии коронавирусного заболевания (COVID-19) с учетом совместного руководства по вопросу о воздействии пандемии COVID-19 на права человека мигрантов, подготовленного Комитетом и Специальным докладчиком по правам человека мигрантов.</w:t>
      </w:r>
      <w:r>
        <w:t xml:space="preserve"> </w:t>
      </w:r>
      <w:r>
        <w:rPr>
          <w:b/>
          <w:bCs/>
        </w:rPr>
        <w:t>В частности, Комитет рекомендует государству-участнику гарантировать равный доступ к вакцинации против COVID-19 всем мигрантам и членам их семей независимо от их гражданства, миграционного статуса или других запрещенных оснований дискриминации в соответствии с рекомендациями настоящего Комитета и других региональных механизмов по правам человека, изложенными в вышеупомянутом совместном руководстве.</w:t>
      </w:r>
    </w:p>
    <w:p w14:paraId="711E09A6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Законодательство и применение</w:t>
      </w:r>
    </w:p>
    <w:p w14:paraId="28652429" w14:textId="6126F931" w:rsidR="008D7B19" w:rsidRPr="00E13804" w:rsidRDefault="008D7B19" w:rsidP="008D7B19">
      <w:pPr>
        <w:pStyle w:val="SingleTxtG"/>
      </w:pPr>
      <w:r>
        <w:t>10.</w:t>
      </w:r>
      <w:r>
        <w:tab/>
        <w:t xml:space="preserve">Комитет принимает к сведению разработку предварительного законопроекта в 2020 году и создание в 2021 году комитета по пересмотру постановления </w:t>
      </w:r>
      <w:proofErr w:type="gramStart"/>
      <w:r>
        <w:t>№ 84</w:t>
      </w:r>
      <w:r w:rsidR="009C416A">
        <w:t>-</w:t>
      </w:r>
      <w:r>
        <w:t>49</w:t>
      </w:r>
      <w:proofErr w:type="gramEnd"/>
      <w:r>
        <w:t xml:space="preserve"> от 4</w:t>
      </w:r>
      <w:r w:rsidR="009C416A">
        <w:t> </w:t>
      </w:r>
      <w:r>
        <w:t>августа 1984 года о праве въезда на национальную территорию и выезда с не</w:t>
      </w:r>
      <w:r w:rsidR="002E75EB">
        <w:t>е</w:t>
      </w:r>
      <w:r>
        <w:t>. Однако он по-прежнему обеспокоен тем, что новый законопроект еще не внесен в Совет министров.</w:t>
      </w:r>
    </w:p>
    <w:p w14:paraId="4B29004D" w14:textId="77777777" w:rsidR="008D7B19" w:rsidRPr="00E13804" w:rsidRDefault="008D7B19" w:rsidP="008D7B19">
      <w:pPr>
        <w:pStyle w:val="SingleTxtG"/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в срочном порядке сосредоточить свои усилия на разработке закона о миграции в соответствии с положениями Конвенции и других соответствующих международных документов.</w:t>
      </w:r>
    </w:p>
    <w:p w14:paraId="7EFD67C8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Статьи 76 и 77</w:t>
      </w:r>
    </w:p>
    <w:p w14:paraId="5A834D61" w14:textId="2F32AFC8" w:rsidR="008D7B19" w:rsidRPr="00E13804" w:rsidRDefault="008D7B19" w:rsidP="008D7B19">
      <w:pPr>
        <w:pStyle w:val="SingleTxtG"/>
      </w:pPr>
      <w:r>
        <w:t>12.</w:t>
      </w:r>
      <w:r>
        <w:tab/>
        <w:t>Комитет приветствует заявления делегации, сделанные в ходе диалога о том, что национальный консультативный семинар вынес рекомендации о принятии заявлений по статьям 76 и 77 Конвенции с целью признания компетенции Комитета получать сообщения от государств-участников или частных лиц. Вместе с тем он отмечает, что государство-участник еще не сделало таких заявлений.</w:t>
      </w:r>
    </w:p>
    <w:p w14:paraId="7A3C6777" w14:textId="77777777" w:rsidR="008D7B19" w:rsidRPr="00E13804" w:rsidRDefault="008D7B19" w:rsidP="008D7B19">
      <w:pPr>
        <w:pStyle w:val="SingleTxtG"/>
      </w:pPr>
      <w:r>
        <w:t>13.</w:t>
      </w:r>
      <w:r>
        <w:tab/>
      </w:r>
      <w:r>
        <w:rPr>
          <w:b/>
          <w:bCs/>
        </w:rPr>
        <w:t>Комитет повторяет свою рекомендацию, сформулированную в его предыдущих заключительных замечаниях, и призывает государство-участник сделать заявления, предусмотренные статьями 76 и 77 Конвенции</w:t>
      </w:r>
      <w:r w:rsidRPr="00357A64">
        <w:rPr>
          <w:rStyle w:val="aa"/>
        </w:rPr>
        <w:footnoteReference w:id="5"/>
      </w:r>
      <w:r>
        <w:rPr>
          <w:b/>
          <w:bCs/>
        </w:rPr>
        <w:t>.</w:t>
      </w:r>
    </w:p>
    <w:p w14:paraId="7A5A2947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Ратификация соответствующих договоров</w:t>
      </w:r>
    </w:p>
    <w:p w14:paraId="6FEE7C1B" w14:textId="468E6379" w:rsidR="008D7B19" w:rsidRPr="00E13804" w:rsidRDefault="008D7B19" w:rsidP="008D7B19">
      <w:pPr>
        <w:pStyle w:val="SingleTxtG"/>
      </w:pPr>
      <w:r>
        <w:t>14.</w:t>
      </w:r>
      <w:r>
        <w:tab/>
      </w:r>
      <w:r>
        <w:rPr>
          <w:b/>
          <w:bCs/>
        </w:rPr>
        <w:t>Комитет повторяет свою рекомендацию государству-участнику как можно скорее ратифицировать Конвенцию МОТ 2011 года о достойном труде домашних работников (№</w:t>
      </w:r>
      <w:r w:rsidR="009C416A">
        <w:rPr>
          <w:b/>
          <w:bCs/>
        </w:rPr>
        <w:t xml:space="preserve"> </w:t>
      </w:r>
      <w:r>
        <w:rPr>
          <w:b/>
          <w:bCs/>
        </w:rPr>
        <w:t>189).</w:t>
      </w:r>
    </w:p>
    <w:p w14:paraId="2B1C06A1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Комплексная политика и стратегия</w:t>
      </w:r>
    </w:p>
    <w:p w14:paraId="6D371AD6" w14:textId="2452AF86" w:rsidR="008D7B19" w:rsidRPr="00C021A0" w:rsidRDefault="008D7B19" w:rsidP="008D7B19">
      <w:pPr>
        <w:pStyle w:val="SingleTxtG"/>
      </w:pPr>
      <w:r>
        <w:t>15.</w:t>
      </w:r>
      <w:r>
        <w:tab/>
        <w:t xml:space="preserve">Комитет приветствует принятие Национальной стратегии в области </w:t>
      </w:r>
      <w:r w:rsidR="002E75EB">
        <w:br/>
      </w:r>
      <w:r>
        <w:t>миграции на период 2014–2025 годов и планов действий на периоды 2016</w:t>
      </w:r>
      <w:r w:rsidR="002E75EB">
        <w:t>–</w:t>
      </w:r>
      <w:r>
        <w:t>2018 и 2019</w:t>
      </w:r>
      <w:r w:rsidR="002E75EB">
        <w:t>–</w:t>
      </w:r>
      <w:r>
        <w:t xml:space="preserve">2023 годов, а также создание в 2018 году министерства африканской интеграции и по делам </w:t>
      </w:r>
      <w:proofErr w:type="spellStart"/>
      <w:r>
        <w:t>буркинийцев</w:t>
      </w:r>
      <w:proofErr w:type="spellEnd"/>
      <w:r>
        <w:t>, проживающих за рубежом. Однако он сожалеет, что до сих пор не создан Генеральный комиссариат по миграции, отвечающий за мониторинг и оценку реализации национальной политики в области миграции. Он также обеспокоен множеством структур, занимающихся вопросами миграции, и их координацией.</w:t>
      </w:r>
    </w:p>
    <w:p w14:paraId="760D8777" w14:textId="77777777" w:rsidR="008D7B19" w:rsidRPr="00C021A0" w:rsidRDefault="008D7B19" w:rsidP="008D7B19">
      <w:pPr>
        <w:pStyle w:val="SingleTxtG"/>
      </w:pPr>
      <w:r>
        <w:lastRenderedPageBreak/>
        <w:t>16.</w:t>
      </w:r>
      <w:r>
        <w:tab/>
      </w:r>
      <w:r>
        <w:rPr>
          <w:b/>
          <w:bCs/>
        </w:rPr>
        <w:t>Комитет призывает государство-участник создать независимый механизм оценки для определения воздействия своей миграционной политики, проинформировать Комитет о достигнутых результатах в своем следующем периодическом докладе и обеспечить эффективную координацию действий всех заинтересованных субъектов.</w:t>
      </w:r>
      <w:r>
        <w:t xml:space="preserve"> </w:t>
      </w:r>
      <w:r>
        <w:rPr>
          <w:b/>
          <w:bCs/>
        </w:rPr>
        <w:t xml:space="preserve">Он также предлагает ему повысить уровень осведомленности о министерстве африканской интеграции и по делам </w:t>
      </w:r>
      <w:proofErr w:type="spellStart"/>
      <w:r>
        <w:rPr>
          <w:b/>
          <w:bCs/>
        </w:rPr>
        <w:t>буркинийцев</w:t>
      </w:r>
      <w:proofErr w:type="spellEnd"/>
      <w:r>
        <w:rPr>
          <w:b/>
          <w:bCs/>
        </w:rPr>
        <w:t>, проживающих за рубежом, во всех принимающих странах, особенно своей диаспоры.</w:t>
      </w:r>
      <w:r>
        <w:t xml:space="preserve"> </w:t>
      </w:r>
      <w:r>
        <w:rPr>
          <w:b/>
          <w:bCs/>
        </w:rPr>
        <w:t>Комитет отмечает существование ряда структур в области миграции и рекомендует создать механизм координации между ними.</w:t>
      </w:r>
    </w:p>
    <w:p w14:paraId="0012C6A9" w14:textId="77777777" w:rsidR="008D7B19" w:rsidRPr="00E13804" w:rsidRDefault="008D7B19" w:rsidP="008D7B19">
      <w:pPr>
        <w:pStyle w:val="H4G"/>
      </w:pPr>
      <w:r>
        <w:tab/>
      </w:r>
      <w:r>
        <w:tab/>
      </w:r>
      <w:r>
        <w:tab/>
      </w:r>
      <w:r>
        <w:rPr>
          <w:iCs/>
        </w:rPr>
        <w:t>Сбор данных</w:t>
      </w:r>
    </w:p>
    <w:p w14:paraId="6B5C008F" w14:textId="77777777" w:rsidR="008D7B19" w:rsidRPr="00E13804" w:rsidRDefault="008D7B19" w:rsidP="008D7B19">
      <w:pPr>
        <w:pStyle w:val="SingleTxtG"/>
      </w:pPr>
      <w:r>
        <w:t>17.</w:t>
      </w:r>
      <w:r>
        <w:tab/>
        <w:t>Комитет приветствует сделанное делегацией в ходе диалога заявление о том, что государство-участник планирует создать национальный центр по наблюдению за миграцией. Однако он обеспокоен отсутствием дезагрегированных данных и статистики, в том числе об условиях найма трудящихся-мигрантов и о мигрантах с неурегулированным статусом в целом, которые могли бы служить более эффективным информационным подспорьем для мер миграционной политики в государстве-участнике.</w:t>
      </w:r>
    </w:p>
    <w:p w14:paraId="438E4C83" w14:textId="2054CB54" w:rsidR="008D7B19" w:rsidRPr="00E13804" w:rsidRDefault="008D7B19" w:rsidP="008D7B19">
      <w:pPr>
        <w:pStyle w:val="SingleTxtG"/>
      </w:pPr>
      <w:r>
        <w:t>18.</w:t>
      </w:r>
      <w:r>
        <w:tab/>
      </w:r>
      <w:r>
        <w:rPr>
          <w:b/>
          <w:bCs/>
        </w:rPr>
        <w:t>Ссылаясь на свои предыдущие заключительные замечания</w:t>
      </w:r>
      <w:r w:rsidR="009C416A" w:rsidRPr="00357A64">
        <w:rPr>
          <w:rStyle w:val="aa"/>
        </w:rPr>
        <w:footnoteReference w:id="6"/>
      </w:r>
      <w:r>
        <w:rPr>
          <w:b/>
          <w:bCs/>
        </w:rPr>
        <w:t>, Комитет рекомендует государству-участнику</w:t>
      </w:r>
      <w:r w:rsidRPr="007727E7">
        <w:rPr>
          <w:b/>
          <w:bCs/>
        </w:rPr>
        <w:t xml:space="preserve"> </w:t>
      </w:r>
      <w:r>
        <w:rPr>
          <w:b/>
          <w:bCs/>
        </w:rPr>
        <w:t>создать в рамках Национальной стратегии в области миграции централизованную базу данных, включая статистические данные в разбивке по полу, возрасту и происхождению, с целью лучшего понимания миграционного контекста и положения трудящихся-мигрантов в стране, включая мигрантов с неурегулированным статусом, для эффективного осуществления миграционной политики и контроля за выполнением положений Конвенции.</w:t>
      </w:r>
    </w:p>
    <w:p w14:paraId="451A07B2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Независимый механизм мониторинга</w:t>
      </w:r>
    </w:p>
    <w:p w14:paraId="12A603CB" w14:textId="33B61B01" w:rsidR="008D7B19" w:rsidRPr="00E13804" w:rsidRDefault="008D7B19" w:rsidP="008D7B19">
      <w:pPr>
        <w:pStyle w:val="SingleTxtG"/>
      </w:pPr>
      <w:r>
        <w:t>19.</w:t>
      </w:r>
      <w:r>
        <w:tab/>
        <w:t xml:space="preserve">Комитет с интересом отмечает принятие 24 марта 2016 года </w:t>
      </w:r>
      <w:r w:rsidR="002E75EB">
        <w:br/>
      </w:r>
      <w:r>
        <w:t xml:space="preserve">Закона </w:t>
      </w:r>
      <w:proofErr w:type="gramStart"/>
      <w:r>
        <w:t>№ 001</w:t>
      </w:r>
      <w:r w:rsidR="00B76CDE">
        <w:t>-</w:t>
      </w:r>
      <w:r>
        <w:t>2016</w:t>
      </w:r>
      <w:proofErr w:type="gramEnd"/>
      <w:r>
        <w:t>/AN о создании национальной комиссии по правам человека, который расширяет ее мандат, а также предоставленную делегацией в ходе диалога информацию о том, что в настоящее время предпринимаются шаги для получения ею аккредитации в Глобальном альянсе национальных правозащитных учреждений. Вместе с тем Комитет обеспокоен отсутствием информации об информационно-просветительских мероприятиях, проводимых среди трудящихся-мигрантов с целью информирования их об услугах, предлагаемых этим учреждением, о количестве жалоб, полученных от трудящихся-мигрантов, и об их рассмотрении.</w:t>
      </w:r>
    </w:p>
    <w:p w14:paraId="05EC4B35" w14:textId="77777777" w:rsidR="008D7B19" w:rsidRPr="00E13804" w:rsidRDefault="008D7B19" w:rsidP="008D7B19">
      <w:pPr>
        <w:pStyle w:val="SingleTxtG"/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позволить Национальной комиссии по правам человека выполнять свой мандат в полном соответствии с Принципами, касающимися статуса национальных учреждений, занимающихся поощрением и защитой прав человека (Парижские принципы), обеспечить распространение информации об этом учреждении среди трудящихся-мигрантов и предоставить в своем следующем периодическом докладе информацию о количестве жалоб, полученных от трудящихся-мигрантов, и об их рассмотрении.</w:t>
      </w:r>
    </w:p>
    <w:p w14:paraId="550DD62B" w14:textId="66B462F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Подготовка по вопросам, касающимся Конвенции, и распространение информации о</w:t>
      </w:r>
      <w:r w:rsidR="002E75EB">
        <w:rPr>
          <w:iCs/>
        </w:rPr>
        <w:t> </w:t>
      </w:r>
      <w:r>
        <w:rPr>
          <w:iCs/>
        </w:rPr>
        <w:t>ней</w:t>
      </w:r>
    </w:p>
    <w:p w14:paraId="0EDE0604" w14:textId="53A3CFB5" w:rsidR="008D7B19" w:rsidRPr="00E13804" w:rsidRDefault="008D7B19" w:rsidP="008D7B19">
      <w:pPr>
        <w:pStyle w:val="SingleTxtG"/>
      </w:pPr>
      <w:r>
        <w:t>21.</w:t>
      </w:r>
      <w:r>
        <w:tab/>
        <w:t>Комитет с интересом отмечает усилия государства-участника в области обучения и повышения уровня информированности по вопросам прав мигрантов, описанные в его втором периодическом докладе, в частности подготовку инструкторов по защите мигрантов, находящихся в уязвимом положении. Вместе с тем он отмечает, что такое обучение не предлагается на систематической основе всем должностным лицам, имеющим дело с трудящимися-мигрантами.</w:t>
      </w:r>
    </w:p>
    <w:p w14:paraId="76998B7C" w14:textId="77777777" w:rsidR="008D7B19" w:rsidRPr="00E13804" w:rsidRDefault="008D7B19" w:rsidP="008D7B19">
      <w:pPr>
        <w:pStyle w:val="SingleTxtG"/>
      </w:pPr>
      <w:r>
        <w:lastRenderedPageBreak/>
        <w:t>22.</w:t>
      </w:r>
      <w:r>
        <w:tab/>
      </w:r>
      <w:r>
        <w:rPr>
          <w:b/>
          <w:bCs/>
        </w:rPr>
        <w:t>Комитет рекомендует государству-участнику обеспечить систематическую реализацию таких программ для всех государственных должностных лиц и персонала, занимающихся вопросами миграции, в частности сотрудников правоохранительных органов и пограничного контроля, судей, прокуроров, консульских работников, членов парламента, гражданских служащих национального, регионального и местного уровней, сотрудников иммиграционной службы, инспекторов труда, социальных работников и членов организаций гражданского общества.</w:t>
      </w:r>
    </w:p>
    <w:p w14:paraId="7B89118C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Участие гражданского общества</w:t>
      </w:r>
    </w:p>
    <w:p w14:paraId="547331A7" w14:textId="77777777" w:rsidR="008D7B19" w:rsidRPr="00E13804" w:rsidRDefault="008D7B19" w:rsidP="008D7B19">
      <w:pPr>
        <w:pStyle w:val="SingleTxtG"/>
      </w:pPr>
      <w:r>
        <w:t>23.</w:t>
      </w:r>
      <w:r>
        <w:tab/>
        <w:t>Комитет обеспокоен ограниченным участием гражданского общества в осуществлении Конвенции.</w:t>
      </w:r>
    </w:p>
    <w:p w14:paraId="6244AF01" w14:textId="77777777" w:rsidR="008D7B19" w:rsidRPr="00E13804" w:rsidRDefault="008D7B19" w:rsidP="008D7B19">
      <w:pPr>
        <w:pStyle w:val="SingleTxtG"/>
      </w:pPr>
      <w:r>
        <w:t>24.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FFAA34F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a)</w:t>
      </w:r>
      <w:r>
        <w:tab/>
      </w:r>
      <w:r>
        <w:rPr>
          <w:b/>
          <w:bCs/>
        </w:rPr>
        <w:t>предоставить организациям гражданского общества, работающим с трудящимися-мигрантами и членами их семей, необходимые средства для эффективного участия в осуществлении Конвенции и в последующей деятельности по выполнению рекомендаций, содержащихся в настоящих заключительных замечаниях;</w:t>
      </w:r>
    </w:p>
    <w:p w14:paraId="4D5807C2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укреплять диалог с организациями гражданского общества.</w:t>
      </w:r>
    </w:p>
    <w:p w14:paraId="452E7345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Коррупция</w:t>
      </w:r>
    </w:p>
    <w:p w14:paraId="2208F715" w14:textId="77777777" w:rsidR="008D7B19" w:rsidRPr="00E13804" w:rsidRDefault="008D7B19" w:rsidP="008D7B19">
      <w:pPr>
        <w:pStyle w:val="SingleTxtG"/>
      </w:pPr>
      <w:r>
        <w:t>25.</w:t>
      </w:r>
      <w:r>
        <w:tab/>
        <w:t>Комитет обеспокоен скудной информацией о трудящихся-мигрантах и членах их семей, которые предположительно являются жертвами преследований, коррупции или злоупотребления властью со стороны сотрудников правоохранительных органов, а также вымогательства и произвольного содержания под стражей.</w:t>
      </w:r>
    </w:p>
    <w:p w14:paraId="4CFBB260" w14:textId="77777777" w:rsidR="008D7B19" w:rsidRPr="00E13804" w:rsidRDefault="008D7B19" w:rsidP="008D7B19">
      <w:pPr>
        <w:pStyle w:val="SingleTxtG"/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собирать информацию об этих явлениях, в том числе о количестве и типе полученных жалоб и вынесенных санкциях, и предоставить информацию об этом в своем следующем периодическом докладе.</w:t>
      </w:r>
      <w:r>
        <w:t xml:space="preserve"> </w:t>
      </w:r>
      <w:r>
        <w:rPr>
          <w:b/>
          <w:bCs/>
        </w:rPr>
        <w:t>Он также рекомендует создать безопасные и учитывающие гендерные аспекты механизмы для защиты заявителей от репрессий.</w:t>
      </w:r>
    </w:p>
    <w:p w14:paraId="6EF6ED3B" w14:textId="6E6D5935" w:rsidR="008D7B19" w:rsidRPr="00E13804" w:rsidRDefault="00297262" w:rsidP="008D7B19">
      <w:pPr>
        <w:pStyle w:val="H23G"/>
      </w:pPr>
      <w:r>
        <w:rPr>
          <w:bCs/>
        </w:rPr>
        <w:tab/>
      </w:r>
      <w:r w:rsidR="008D7B19">
        <w:rPr>
          <w:bCs/>
        </w:rPr>
        <w:t>2.</w:t>
      </w:r>
      <w:r w:rsidR="008D7B19">
        <w:tab/>
      </w:r>
      <w:r w:rsidR="008D7B19">
        <w:rPr>
          <w:bCs/>
        </w:rPr>
        <w:t>Общие принципы (ст. 7 и 83)</w:t>
      </w:r>
    </w:p>
    <w:p w14:paraId="11F7E0E7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Принцип недискриминации</w:t>
      </w:r>
    </w:p>
    <w:p w14:paraId="6D7BCA1E" w14:textId="77777777" w:rsidR="008D7B19" w:rsidRPr="00E13804" w:rsidRDefault="008D7B19" w:rsidP="008D7B19">
      <w:pPr>
        <w:pStyle w:val="SingleTxtG"/>
      </w:pPr>
      <w:r>
        <w:t>27.</w:t>
      </w:r>
      <w:r>
        <w:tab/>
        <w:t>Комитет отмечает, что принцип равенства и недискриминации закреплен в Конституции, а Трудовой кодекс предусматривает, что дискриминация в сфере труда и выбора профессии запрещена, и предоставляет равную защиту мигрантам как с урегулированным, так и неурегулированным статусом. Однако Комитет считает достойным сожаления факт непредоставления ему информации о реальной практике и примерах, которые позволили бы оценить реализацию права на недискриминацию в соответствии с Конвенцией в отношении трудящихся-мигрантов как с урегулированным, так и неурегулированным статусом.</w:t>
      </w:r>
    </w:p>
    <w:p w14:paraId="4105D6B0" w14:textId="77777777" w:rsidR="008D7B19" w:rsidRPr="00E13804" w:rsidRDefault="008D7B19" w:rsidP="008D7B19">
      <w:pPr>
        <w:pStyle w:val="SingleTxtG"/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 предоставить в своем следующем периодическом докладе информацию о количестве полученных жалоб и мерах, принятых в целях обеспечения применения законодательных норм, касающихся недопущения дискриминации в отношении прав трудящихся-мигрантов и членов их семей, независимо от их статуса.</w:t>
      </w:r>
    </w:p>
    <w:p w14:paraId="1809E619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Право на эффективное средство правовой защиты</w:t>
      </w:r>
    </w:p>
    <w:p w14:paraId="4ECCFD7C" w14:textId="2BD3893E" w:rsidR="008D7B19" w:rsidRPr="00E13804" w:rsidRDefault="008D7B19" w:rsidP="008D7B19">
      <w:pPr>
        <w:pStyle w:val="SingleTxtG"/>
      </w:pPr>
      <w:r>
        <w:t>29.</w:t>
      </w:r>
      <w:r>
        <w:tab/>
        <w:t xml:space="preserve">Комитет отмечает, что трудящиеся-мигранты и члены их семей, в том числе с неурегулированным статусом, имеют право подавать жалобы на нарушения своих прав, а также имеют доступ к судам и Национальной комиссии по правам человека. Однако Комитет обеспокоен отсутствием дезагрегированных данных о жалобах трудящихся-мигрантов, зарегистрированных в трудовых инспекциях, включая в том </w:t>
      </w:r>
      <w:r>
        <w:lastRenderedPageBreak/>
        <w:t>числе</w:t>
      </w:r>
      <w:r w:rsidRPr="003B4301">
        <w:t xml:space="preserve"> </w:t>
      </w:r>
      <w:r>
        <w:t>жалоб</w:t>
      </w:r>
      <w:r w:rsidR="00296728">
        <w:t>ы</w:t>
      </w:r>
      <w:r>
        <w:t xml:space="preserve"> мигрантов с неурегулированным статусом, и отсутствием информации о делах или разбирательствах, возбужденных трудящимися-мигрантами или членами их семей в связи с нарушениями прав, признанных в Конвенции.</w:t>
      </w:r>
    </w:p>
    <w:p w14:paraId="292564ED" w14:textId="77777777" w:rsidR="008D7B19" w:rsidRPr="00E13804" w:rsidRDefault="008D7B19" w:rsidP="008D7B19">
      <w:pPr>
        <w:pStyle w:val="SingleTxtG"/>
      </w:pPr>
      <w:r>
        <w:t>30.</w:t>
      </w:r>
      <w:r>
        <w:tab/>
      </w:r>
      <w:r>
        <w:rPr>
          <w:b/>
          <w:bCs/>
        </w:rPr>
        <w:t xml:space="preserve">Комитет рекомендует государству-участнику обеспечить </w:t>
      </w:r>
      <w:proofErr w:type="spellStart"/>
      <w:r>
        <w:rPr>
          <w:b/>
          <w:bCs/>
        </w:rPr>
        <w:t>дезагрегирование</w:t>
      </w:r>
      <w:proofErr w:type="spellEnd"/>
      <w:r>
        <w:rPr>
          <w:b/>
          <w:bCs/>
        </w:rPr>
        <w:t xml:space="preserve"> данных на уровне трудовых инспекций с целью выделения данных, касающихся трудящихся-мигрантов, и принять меры по информированию трудящихся-мигрантов и членов их семей о средствах правовой защиты, доступных им в случае нарушения прав, признаваемых Конвенцией.</w:t>
      </w:r>
      <w:r>
        <w:t xml:space="preserve"> </w:t>
      </w:r>
      <w:r>
        <w:rPr>
          <w:b/>
          <w:bCs/>
        </w:rPr>
        <w:t>Он также предлагает государству-участнику представить в своем следующем периодическом докладе информацию о применении Конвенции и замечаний общего порядка Комитета национальными судами и Национальной комиссией по правам человека.</w:t>
      </w:r>
    </w:p>
    <w:p w14:paraId="1A9D9AA3" w14:textId="74042A94" w:rsidR="008D7B19" w:rsidRPr="00E13804" w:rsidRDefault="00297262" w:rsidP="008D7B19">
      <w:pPr>
        <w:pStyle w:val="H23G"/>
      </w:pPr>
      <w:r>
        <w:rPr>
          <w:bCs/>
        </w:rPr>
        <w:tab/>
      </w:r>
      <w:r w:rsidR="008D7B19">
        <w:rPr>
          <w:bCs/>
        </w:rPr>
        <w:t>3.</w:t>
      </w:r>
      <w:r w:rsidR="008D7B19">
        <w:tab/>
      </w:r>
      <w:r w:rsidR="008D7B19">
        <w:rPr>
          <w:bCs/>
        </w:rPr>
        <w:t>Права человека всех трудящихся-мигрантов и членов их семей (ст. 8–35)</w:t>
      </w:r>
    </w:p>
    <w:p w14:paraId="2B421E15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Эксплуатация труда и другие формы жестокого обращения</w:t>
      </w:r>
    </w:p>
    <w:p w14:paraId="2288CE51" w14:textId="77777777" w:rsidR="008D7B19" w:rsidRPr="00E13804" w:rsidRDefault="008D7B19" w:rsidP="008D7B19">
      <w:pPr>
        <w:pStyle w:val="SingleTxtG"/>
      </w:pPr>
      <w:r>
        <w:t>31.</w:t>
      </w:r>
      <w:r>
        <w:tab/>
        <w:t>Комитет отмечает наличие правовой базы для предотвращения и борьбы со всеми формами эксплуатации или злоупотреблений в отношении трудящихся-мигрантов, а также принудительного труда, но обеспокоен отсутствием информации об этих явлениях.</w:t>
      </w:r>
    </w:p>
    <w:p w14:paraId="755FC639" w14:textId="77777777" w:rsidR="008D7B19" w:rsidRPr="00E13804" w:rsidRDefault="008D7B19" w:rsidP="008D7B19">
      <w:pPr>
        <w:pStyle w:val="SingleTxtG"/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 собирать информацию о явлениях эксплуатации трудящихся-мигрантов и членов их семей как с урегулированным, так и неурегулированным статусом, в частности в сельском хозяйстве, горнодобывающей промышленности, в сфере домашнего труда и туризма.</w:t>
      </w:r>
      <w:r>
        <w:t xml:space="preserve"> </w:t>
      </w:r>
      <w:r>
        <w:rPr>
          <w:b/>
          <w:bCs/>
        </w:rPr>
        <w:t>Кроме того, он предлагает государству-участнику представить Комитету эту информацию в своем следующем периодическом докладе.</w:t>
      </w:r>
    </w:p>
    <w:p w14:paraId="76447FE0" w14:textId="7DEC533C" w:rsidR="008D7B19" w:rsidRPr="00E13804" w:rsidRDefault="008D7B19" w:rsidP="008D7B19">
      <w:pPr>
        <w:pStyle w:val="SingleTxtG"/>
      </w:pPr>
      <w:r>
        <w:t>33.</w:t>
      </w:r>
      <w:r>
        <w:tab/>
        <w:t>Комитет отмечает усилия государства-участника, предпринятые для предотвращения детского труда и борьбы с ним, а также программы по выявлению, опеке и реинтеграции детей в ситуациях улицы. В частности, он отмечает подписание соглашений о сотрудничестве в области защиты детей-жертв торговли людьми или в ситуациях трансграничной мобильности с Бенином, Того, Кот-д'Ивуаром и Нигерией. Тем не менее он по-прежнему обеспокоен сохранением такого явления, как труд детей</w:t>
      </w:r>
      <w:r w:rsidR="00451D6F">
        <w:noBreakHyphen/>
      </w:r>
      <w:r>
        <w:t>мигрантов, включая наихудшие формы детского труда.</w:t>
      </w:r>
    </w:p>
    <w:p w14:paraId="3CEAA84A" w14:textId="77777777" w:rsidR="008D7B19" w:rsidRPr="00E13804" w:rsidRDefault="008D7B19" w:rsidP="008D7B19">
      <w:pPr>
        <w:pStyle w:val="SingleTxtG"/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в соответствии с задачей 8.5 Целей в области устойчивого развития:</w:t>
      </w:r>
    </w:p>
    <w:p w14:paraId="1146F8BA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a)</w:t>
      </w:r>
      <w:r>
        <w:tab/>
      </w:r>
      <w:r>
        <w:rPr>
          <w:b/>
          <w:bCs/>
        </w:rPr>
        <w:t>активизировать деятельность трудовых инспекций и преследовать, наказывать и санкционировать отдельных лиц или группы лиц, которые эксплуатируют детей-мигрантов или подвергают их принудительному труду и жестокому обращению, особенно в неформальном секторе экономики;</w:t>
      </w:r>
    </w:p>
    <w:p w14:paraId="6AC0A2E0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разработать национальную стратегию и программу действий по искоренению наихудших форм детского труда среди детей-мигрантов;</w:t>
      </w:r>
    </w:p>
    <w:p w14:paraId="7B356B20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c)</w:t>
      </w:r>
      <w:r>
        <w:tab/>
      </w:r>
      <w:r>
        <w:rPr>
          <w:b/>
          <w:bCs/>
        </w:rPr>
        <w:t>продолжать свои усилия по оказанию помощи, защите и реабилитации детей-мигрантов, ставших жертвами трудовой эксплуатации.</w:t>
      </w:r>
    </w:p>
    <w:p w14:paraId="4B5B9F37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Надлежащая правовая процедура, задержание и равенство перед судом</w:t>
      </w:r>
    </w:p>
    <w:p w14:paraId="14F7CCBC" w14:textId="0AC45211" w:rsidR="008D7B19" w:rsidRPr="00E13804" w:rsidRDefault="008D7B19" w:rsidP="008D7B19">
      <w:pPr>
        <w:pStyle w:val="SingleTxtG"/>
      </w:pPr>
      <w:r>
        <w:t>35.</w:t>
      </w:r>
      <w:r>
        <w:tab/>
        <w:t xml:space="preserve">Комитет принимает к сведению заявления государства-участника о том, что в нем не применяется мера в виде содержания под стражей за нарушения иммиграционного законодательства, что в стране нет мест содержания под стражей мигрантов и что власти не принимали никаких мер по возвращению или высылке мигрантов или просителей убежища. Он также отмечает, что принцип </w:t>
      </w:r>
      <w:proofErr w:type="spellStart"/>
      <w:r>
        <w:t>невыдворения</w:t>
      </w:r>
      <w:proofErr w:type="spellEnd"/>
      <w:r>
        <w:t xml:space="preserve"> подтвержден в национальном законодательстве Законом </w:t>
      </w:r>
      <w:proofErr w:type="gramStart"/>
      <w:r>
        <w:t>№ 042-2008</w:t>
      </w:r>
      <w:proofErr w:type="gramEnd"/>
      <w:r>
        <w:t>/AN от 23 октября 2008 года о статусе беженцев в Буркина-Фасо и что государство-участник работает над сохранением пространства убежища. Комитет далее отмечает, что ни одно распоряжение о высылке или депортации в отношении лица, ищущего убежище, не</w:t>
      </w:r>
      <w:r w:rsidR="00A10AA3">
        <w:t> </w:t>
      </w:r>
      <w:r>
        <w:t xml:space="preserve">может быть приведено в исполнение до принятия Национальной комиссией по делам беженцев решения по его делу и что в любом случае такие распоряжения о </w:t>
      </w:r>
      <w:r>
        <w:lastRenderedPageBreak/>
        <w:t>высылке или депортации не могут иметь своим следствием принуждение лица, ищущего убежище, вернуться или остаться в стране, где его свобода будет под находиться угрозой. Однако он обеспокоен тем, что в 2021 году Национальная комиссия по делам беженцев не проводила последующих мероприятий по мониторингу границ.</w:t>
      </w:r>
    </w:p>
    <w:p w14:paraId="01761447" w14:textId="77777777" w:rsidR="008D7B19" w:rsidRPr="00E13804" w:rsidRDefault="008D7B19" w:rsidP="008D7B19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активизировать свои усилия через Национальную комиссию по делам беженцев для обеспечения последующей деятельности по мониторингу границ.</w:t>
      </w:r>
    </w:p>
    <w:p w14:paraId="29F4A250" w14:textId="77777777" w:rsidR="008D7B19" w:rsidRPr="00C11034" w:rsidRDefault="008D7B19" w:rsidP="008D7B19">
      <w:pPr>
        <w:pStyle w:val="H4G"/>
      </w:pPr>
      <w:r>
        <w:tab/>
      </w:r>
      <w:r>
        <w:tab/>
      </w:r>
      <w:r>
        <w:rPr>
          <w:iCs/>
        </w:rPr>
        <w:t>Консульская помощь</w:t>
      </w:r>
    </w:p>
    <w:p w14:paraId="2903AB96" w14:textId="5EE2785C" w:rsidR="008D7B19" w:rsidRPr="00C021A0" w:rsidRDefault="008D7B19" w:rsidP="008D7B19">
      <w:pPr>
        <w:pStyle w:val="SingleTxtG"/>
      </w:pPr>
      <w:r>
        <w:t>37.</w:t>
      </w:r>
      <w:r>
        <w:tab/>
        <w:t xml:space="preserve">Комитет отмечает, что дипломатические и консульские представительства Буркина-Фасо обязаны оказывать консульскую помощь </w:t>
      </w:r>
      <w:proofErr w:type="spellStart"/>
      <w:r>
        <w:t>буркинийцам</w:t>
      </w:r>
      <w:proofErr w:type="spellEnd"/>
      <w:r>
        <w:t xml:space="preserve"> за рубежом и что Уголовно-процессуальный кодекс обязывает судебные органы, задержавшие иностранца, информировать об этом</w:t>
      </w:r>
      <w:r w:rsidR="00297262">
        <w:t xml:space="preserve"> </w:t>
      </w:r>
      <w:r>
        <w:t>дипломатическое или консульское представительство страны его происхождения. Он с интересом отмечает содержащуюся во втором периодическом докладе государства-участника информацию о регулярной организации консульских миссий в страны, принимающие трудящихся-</w:t>
      </w:r>
      <w:proofErr w:type="spellStart"/>
      <w:r>
        <w:t>буркинийцев</w:t>
      </w:r>
      <w:proofErr w:type="spellEnd"/>
      <w:r>
        <w:t>, для информирования об их правах по Конвенции.</w:t>
      </w:r>
    </w:p>
    <w:p w14:paraId="0CDA5447" w14:textId="77777777" w:rsidR="008D7B19" w:rsidRPr="00E13804" w:rsidRDefault="008D7B19" w:rsidP="008D7B19">
      <w:pPr>
        <w:pStyle w:val="SingleTxtG"/>
        <w:rPr>
          <w:spacing w:val="-1"/>
        </w:rPr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 продолжать укреплять потенциал своих консульств и посольств по предоставлению консультаций, помощи и услуг в целях защиты трудящихся-</w:t>
      </w:r>
      <w:proofErr w:type="spellStart"/>
      <w:r>
        <w:rPr>
          <w:b/>
          <w:bCs/>
        </w:rPr>
        <w:t>буркинийцев</w:t>
      </w:r>
      <w:proofErr w:type="spellEnd"/>
      <w:r>
        <w:rPr>
          <w:b/>
          <w:bCs/>
        </w:rPr>
        <w:t xml:space="preserve"> и членов их семей, проживающих за рубежом.</w:t>
      </w:r>
    </w:p>
    <w:p w14:paraId="2EDFDB28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Оплата и условия труда</w:t>
      </w:r>
    </w:p>
    <w:p w14:paraId="5CE767EE" w14:textId="77777777" w:rsidR="008D7B19" w:rsidRPr="00E13804" w:rsidRDefault="008D7B19" w:rsidP="008D7B19">
      <w:pPr>
        <w:pStyle w:val="SingleTxtG"/>
      </w:pPr>
      <w:r>
        <w:t>39.</w:t>
      </w:r>
      <w:r>
        <w:tab/>
        <w:t>Комитет принимает к сведению Трудовой кодекс, который запрещает дискриминацию в сфере занятости и защищает трудящихся-мигрантов, и распространяется на работников не только формального, но и неформального сектора. Он отмечает, что обязанности и полномочия инспекторов труда также распространяются на неформальный сектор, но они не имеют особого статуса в соответствии с Конвенцией МОТ об инспекции труда 1947 года (№ 81), гарантирующего их независимость. Он также обеспокоен тем, что неформальная занятость по-прежнему широко распространена в горнодобывающей промышленности, сельском хозяйстве и в сфере домашнего труда.</w:t>
      </w:r>
    </w:p>
    <w:p w14:paraId="348B0837" w14:textId="77777777" w:rsidR="008D7B19" w:rsidRPr="00E13804" w:rsidRDefault="008D7B19" w:rsidP="008D7B19">
      <w:pPr>
        <w:pStyle w:val="SingleTxtG"/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4C6F39B" w14:textId="288CFD71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обеспечить строгое применение Трудового кодекса путем проведения регулярных и необъявленных инспекций в секторах, где заняты трудящиеся-мигранты, независимо от того, относятся ли эти сектора к формальной или неформальной экономике, и обеспечить, чтобы в ходе этих инспекций проводились беседы с самими </w:t>
      </w:r>
      <w:proofErr w:type="gramStart"/>
      <w:r>
        <w:rPr>
          <w:b/>
          <w:bCs/>
        </w:rPr>
        <w:t>трудящимися-мигрантами</w:t>
      </w:r>
      <w:proofErr w:type="gramEnd"/>
      <w:r>
        <w:rPr>
          <w:b/>
          <w:bCs/>
        </w:rPr>
        <w:t xml:space="preserve"> и чтобы такие беседы были конфиденциальными;</w:t>
      </w:r>
    </w:p>
    <w:p w14:paraId="6F7C620A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укреплять потенциал служб трудовой инспекции для эффективного мониторинга условий труда на официальных и неофициальных шахтах, в сфере сельскохозяйственных работ и домашнего труда трудящихся-мигрантов, а также для получения, расследования и рассмотрения жалоб на предполагаемые нарушения;</w:t>
      </w:r>
    </w:p>
    <w:p w14:paraId="11CA0695" w14:textId="77777777" w:rsidR="008D7B19" w:rsidRPr="00E13804" w:rsidRDefault="008D7B19" w:rsidP="008D7B19">
      <w:pPr>
        <w:pStyle w:val="SingleTxtG"/>
        <w:ind w:firstLine="567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обеспечить сотрудникам инспекции труда статус и условия службы, которые будут гарантировать их независимость от любой смены правительства и чрезмерного внешнего влияния, в соответствии с Конвенцией МОТ об инспекции труда 1947 года (№ 81), ратифицированной государством-участником 21 мая 1974 года.</w:t>
      </w:r>
    </w:p>
    <w:p w14:paraId="0E6B39CE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Социальное обеспечение</w:t>
      </w:r>
    </w:p>
    <w:p w14:paraId="429545BD" w14:textId="77777777" w:rsidR="008D7B19" w:rsidRPr="00E13804" w:rsidRDefault="008D7B19" w:rsidP="008D7B19">
      <w:pPr>
        <w:pStyle w:val="SingleTxtG"/>
      </w:pPr>
      <w:r>
        <w:t>41.</w:t>
      </w:r>
      <w:r>
        <w:tab/>
        <w:t xml:space="preserve">Комитет принимает к сведению соглашения о сотрудничестве в области труда и социального обеспечения с Кот-д'Ивуаром от 25 апреля 2017 года и Того от 8 октября 2019 года, а также соглашения о выплатах, заключенные между Национальными </w:t>
      </w:r>
      <w:r>
        <w:lastRenderedPageBreak/>
        <w:t>фондами социального страхования Буркина-Фасо и Габона от 5 февраля 2019 года. Отмечая, что государство-участник подписало двусторонние соглашения о социальном обеспечении с несколькими граничащими с ним странами, которые облегчают перевод пенсий, Комитет тем не менее обеспокоен отсутствием информации о возможности для мигрантов из стран, с которыми такие соглашения отсутствуют, переводить свои пенсионные выплаты.</w:t>
      </w:r>
    </w:p>
    <w:p w14:paraId="73A13C73" w14:textId="72FD5073" w:rsidR="008D7B19" w:rsidRPr="00E13804" w:rsidRDefault="008D7B19" w:rsidP="008D7B19">
      <w:pPr>
        <w:pStyle w:val="SingleTxtG"/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 обеспечить, чтобы трудящиеся-мигранты, вносившие взносы в систему социального обеспечения, могли переводить свои пенсионные выплаты в страну по своему выбору, и</w:t>
      </w:r>
      <w:r w:rsidR="00857251">
        <w:rPr>
          <w:b/>
          <w:bCs/>
        </w:rPr>
        <w:t> </w:t>
      </w:r>
      <w:r>
        <w:rPr>
          <w:b/>
          <w:bCs/>
        </w:rPr>
        <w:t>включить информацию по этому вопросу в свой следующий периодический доклад.</w:t>
      </w:r>
    </w:p>
    <w:p w14:paraId="0B98EAFC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Медицинское обслуживание</w:t>
      </w:r>
    </w:p>
    <w:p w14:paraId="047B8BE9" w14:textId="77777777" w:rsidR="008D7B19" w:rsidRPr="00E13804" w:rsidRDefault="008D7B19" w:rsidP="008D7B19">
      <w:pPr>
        <w:pStyle w:val="SingleTxtG"/>
      </w:pPr>
      <w:r>
        <w:t>43.</w:t>
      </w:r>
      <w:r>
        <w:tab/>
        <w:t>Комитет отмечает, что касательно доступа к медицинскому обслуживанию в целом и неотложной помощи в частности между национальными трудящимися и трудящимися-мигрантами никакого различия не проводится. Однако он обеспокоен отсутствием информации о доступе к медицинскому обслуживанию для трудящихся-мигрантов и членов их семей с неурегулированным статусом.</w:t>
      </w:r>
    </w:p>
    <w:p w14:paraId="12B30C44" w14:textId="6E11D772" w:rsidR="008D7B19" w:rsidRPr="00E13804" w:rsidRDefault="008D7B19" w:rsidP="008D7B19">
      <w:pPr>
        <w:pStyle w:val="SingleTxtG"/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обеспечить, чтобы все трудящиеся-мигранты и члены их семей, включая трудящихся-мигрантов с неурегулированным статусом, имели доступ к системе здравоохранения, и</w:t>
      </w:r>
      <w:r w:rsidR="00857251">
        <w:rPr>
          <w:b/>
          <w:bCs/>
        </w:rPr>
        <w:t> </w:t>
      </w:r>
      <w:r>
        <w:rPr>
          <w:b/>
          <w:bCs/>
        </w:rPr>
        <w:t>предоставить информацию по этому вопросу в своем следующем периодическом докладе;</w:t>
      </w:r>
    </w:p>
    <w:p w14:paraId="79EA3D07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Регистрация рождения и гражданство</w:t>
      </w:r>
    </w:p>
    <w:p w14:paraId="2A343BD1" w14:textId="2321C238" w:rsidR="008D7B19" w:rsidRPr="00E13804" w:rsidRDefault="008D7B19" w:rsidP="008D7B19">
      <w:pPr>
        <w:pStyle w:val="SingleTxtG"/>
      </w:pPr>
      <w:r>
        <w:t>45.</w:t>
      </w:r>
      <w:r>
        <w:tab/>
        <w:t>Комитет с удовлетворением отмечает, что услуги по регистрации актов гражданского состояния были приближены к населению благодаря созданию с 2019</w:t>
      </w:r>
      <w:r w:rsidR="00297262">
        <w:t> </w:t>
      </w:r>
      <w:r>
        <w:t xml:space="preserve">года 967 вспомогательных центров регистрации актов гражданского состояния. Он также отмечает, что дети, родившиеся в государстве-участнике, регистрируются независимо от статуса их родителей. Комитет, однако, сожалеет об отсутствии конкретной информации о мерах, принятых для обеспечения прав на </w:t>
      </w:r>
      <w:proofErr w:type="spellStart"/>
      <w:r>
        <w:t>буркинийское</w:t>
      </w:r>
      <w:proofErr w:type="spellEnd"/>
      <w:r>
        <w:t xml:space="preserve"> гражданство детей трудящихся-мигрантов, родившихся за рубежом, а также сведений о мерах по предотвращению </w:t>
      </w:r>
      <w:proofErr w:type="spellStart"/>
      <w:r>
        <w:t>безгражданства</w:t>
      </w:r>
      <w:proofErr w:type="spellEnd"/>
      <w:r>
        <w:t xml:space="preserve">. Он также отмечает отсутствие четкой процедуры определения </w:t>
      </w:r>
      <w:proofErr w:type="spellStart"/>
      <w:r>
        <w:t>безгражданства</w:t>
      </w:r>
      <w:proofErr w:type="spellEnd"/>
      <w:r>
        <w:t xml:space="preserve"> трудящихся-мигрантов, как это рекомендовано Конвенцией о статусе апатридов.</w:t>
      </w:r>
    </w:p>
    <w:p w14:paraId="30E78796" w14:textId="77777777" w:rsidR="008D7B19" w:rsidRPr="00E13804" w:rsidRDefault="008D7B19" w:rsidP="008D7B19">
      <w:pPr>
        <w:pStyle w:val="SingleTxtG"/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D4943FC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обеспечить, чтобы все дети </w:t>
      </w:r>
      <w:proofErr w:type="spellStart"/>
      <w:r>
        <w:rPr>
          <w:b/>
          <w:bCs/>
        </w:rPr>
        <w:t>буркинийских</w:t>
      </w:r>
      <w:proofErr w:type="spellEnd"/>
      <w:r>
        <w:rPr>
          <w:b/>
          <w:bCs/>
        </w:rPr>
        <w:t xml:space="preserve"> трудящихся-мигрантов, рожденные за рубежом, регистрировались при рождении и получали документы, удостоверяющие их личность, в консульских </w:t>
      </w:r>
      <w:proofErr w:type="gramStart"/>
      <w:r>
        <w:rPr>
          <w:b/>
          <w:bCs/>
        </w:rPr>
        <w:t>службах</w:t>
      </w:r>
      <w:proofErr w:type="gramEnd"/>
      <w:r>
        <w:rPr>
          <w:b/>
          <w:bCs/>
        </w:rPr>
        <w:t xml:space="preserve"> и чтобы регистрация рождений осуществлялась в льготном порядке, бесплатно, повсеместно и при любых обстоятельствах, как это предусмотрено задачей 16.9 Целей в области устойчивого развития;</w:t>
      </w:r>
    </w:p>
    <w:p w14:paraId="3EC1E0C1" w14:textId="77777777" w:rsidR="008D7B19" w:rsidRPr="00E13804" w:rsidRDefault="008D7B19" w:rsidP="008D7B19">
      <w:pPr>
        <w:pStyle w:val="SingleTxtG"/>
        <w:ind w:firstLine="567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повысить уровень информированности трудящихся-мигрантов и членов их семей, особенно с неурегулированным статусом, о важности регистрации рождений;</w:t>
      </w:r>
    </w:p>
    <w:p w14:paraId="2ED82D85" w14:textId="77777777" w:rsidR="008D7B19" w:rsidRPr="00E13804" w:rsidRDefault="008D7B19" w:rsidP="008D7B19">
      <w:pPr>
        <w:pStyle w:val="SingleTxtG"/>
        <w:ind w:firstLine="567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 xml:space="preserve">установить четкие процедуры определения </w:t>
      </w:r>
      <w:proofErr w:type="spellStart"/>
      <w:r>
        <w:rPr>
          <w:b/>
          <w:bCs/>
        </w:rPr>
        <w:t>безгражданства</w:t>
      </w:r>
      <w:proofErr w:type="spellEnd"/>
      <w:r>
        <w:rPr>
          <w:b/>
          <w:bCs/>
        </w:rPr>
        <w:t xml:space="preserve"> и облегчить доступ к гражданству, учитывая важнейшую роль гражданства в обращении со всеми людьми, особенно с трудящимися-мигрантами.</w:t>
      </w:r>
    </w:p>
    <w:p w14:paraId="36572640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Образование</w:t>
      </w:r>
    </w:p>
    <w:p w14:paraId="48634469" w14:textId="77777777" w:rsidR="008D7B19" w:rsidRPr="00E13804" w:rsidRDefault="008D7B19" w:rsidP="008D7B19">
      <w:pPr>
        <w:pStyle w:val="SingleTxtG"/>
      </w:pPr>
      <w:r>
        <w:t>47.</w:t>
      </w:r>
      <w:r>
        <w:tab/>
        <w:t>Комитет с озабоченностью отмечает низкий уровень охвата школьным образованием детей трудящихся-мигрантов, в особенности мигрантов с неурегулированным статусом.</w:t>
      </w:r>
    </w:p>
    <w:p w14:paraId="23443DD9" w14:textId="77777777" w:rsidR="008D7B19" w:rsidRPr="00E13804" w:rsidRDefault="008D7B19" w:rsidP="00297262">
      <w:pPr>
        <w:pStyle w:val="SingleTxtG"/>
        <w:keepNext/>
        <w:keepLines/>
        <w:rPr>
          <w:b/>
        </w:rPr>
      </w:pPr>
      <w:r>
        <w:lastRenderedPageBreak/>
        <w:t>48.</w:t>
      </w:r>
      <w:r>
        <w:tab/>
      </w:r>
      <w:r>
        <w:rPr>
          <w:b/>
          <w:bCs/>
        </w:rPr>
        <w:t xml:space="preserve">С учетом совместными замечаниями общего порядка № 3 и № 4 (2017) Комитета по защите прав всех трудящихся-мигрантов и членов их семей и </w:t>
      </w:r>
      <w:proofErr w:type="gramStart"/>
      <w:r>
        <w:rPr>
          <w:b/>
          <w:bCs/>
        </w:rPr>
        <w:t>№ 22</w:t>
      </w:r>
      <w:proofErr w:type="gramEnd"/>
      <w:r>
        <w:rPr>
          <w:b/>
          <w:bCs/>
        </w:rPr>
        <w:t xml:space="preserve"> и № 23 (2017) Комитета по правам ребенка, а также в соответствии с задачей 4.1 Целей в области устойчивого развития Комитет рекомендует государству-участнику:</w:t>
      </w:r>
    </w:p>
    <w:p w14:paraId="0C056F2C" w14:textId="77777777" w:rsidR="008D7B19" w:rsidRPr="00E13804" w:rsidRDefault="008D7B19" w:rsidP="008D7B19">
      <w:pPr>
        <w:pStyle w:val="SingleTxtG"/>
        <w:ind w:firstLine="567"/>
        <w:rPr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обеспечить, чтобы все дети трудящихся-мигрантов, независимо от их статуса, имели доступ к дошкольному, начальному и среднему образованию на основе принципа равного с гражданами государства-участника</w:t>
      </w:r>
      <w:r w:rsidRPr="00BA3701">
        <w:rPr>
          <w:b/>
          <w:bCs/>
        </w:rPr>
        <w:t xml:space="preserve"> </w:t>
      </w:r>
      <w:r>
        <w:rPr>
          <w:b/>
          <w:bCs/>
        </w:rPr>
        <w:t>обращения, как это предусмотрено статьей 30 Конвенции;</w:t>
      </w:r>
    </w:p>
    <w:p w14:paraId="4786AD72" w14:textId="11D8A5AD" w:rsidR="008D7B19" w:rsidRPr="00E13804" w:rsidRDefault="008D7B19" w:rsidP="008D7B19">
      <w:pPr>
        <w:pStyle w:val="SingleTxtG"/>
        <w:ind w:firstLine="567"/>
        <w:rPr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включить в свой следующий периодический доклад всеобъемлющую информацию, включая статистические данные, о принятых в этой связи мерах, а</w:t>
      </w:r>
      <w:r w:rsidR="00297262">
        <w:rPr>
          <w:b/>
          <w:bCs/>
        </w:rPr>
        <w:t> </w:t>
      </w:r>
      <w:r>
        <w:rPr>
          <w:b/>
          <w:bCs/>
        </w:rPr>
        <w:t>также о степени охвата образованием детей трудящихся-мигрантов с неурегулированным статусом.</w:t>
      </w:r>
    </w:p>
    <w:p w14:paraId="14B8CCAD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Право быть информированным и распространение информации</w:t>
      </w:r>
    </w:p>
    <w:p w14:paraId="1090CFA8" w14:textId="77777777" w:rsidR="008D7B19" w:rsidRPr="00C021A0" w:rsidRDefault="008D7B19" w:rsidP="008D7B19">
      <w:pPr>
        <w:pStyle w:val="SingleTxtG"/>
      </w:pPr>
      <w:r>
        <w:t>49.</w:t>
      </w:r>
      <w:r>
        <w:tab/>
        <w:t xml:space="preserve">Комитет отмечает разработку учебных модулей по вопросам миграции, выпуск брошюры о возможностях, предоставляемых легальной миграцией, и организацию информационно-просветительских мероприятий в основных пунктах отправления мигрантов. Однако он отмечает недостаток информации для </w:t>
      </w:r>
      <w:proofErr w:type="spellStart"/>
      <w:r>
        <w:t>буркинийцев</w:t>
      </w:r>
      <w:proofErr w:type="spellEnd"/>
      <w:r>
        <w:t>, намеревающихся работать за границей.</w:t>
      </w:r>
    </w:p>
    <w:p w14:paraId="1E7B2C76" w14:textId="4504BEFA" w:rsidR="008D7B19" w:rsidRPr="00C021A0" w:rsidRDefault="008D7B19" w:rsidP="008D7B19">
      <w:pPr>
        <w:pStyle w:val="SingleTxtG"/>
      </w:pPr>
      <w:r>
        <w:t>50.</w:t>
      </w:r>
      <w:r>
        <w:tab/>
      </w:r>
      <w:r>
        <w:rPr>
          <w:b/>
          <w:bCs/>
        </w:rPr>
        <w:t xml:space="preserve">Комитет рекомендует государству-участнику создать в крупных городах страны центры по вопросам миграции для предоставления </w:t>
      </w:r>
      <w:proofErr w:type="spellStart"/>
      <w:r>
        <w:rPr>
          <w:b/>
          <w:bCs/>
        </w:rPr>
        <w:t>буркинийцам</w:t>
      </w:r>
      <w:proofErr w:type="spellEnd"/>
      <w:r>
        <w:rPr>
          <w:b/>
          <w:bCs/>
        </w:rPr>
        <w:t>, намеревающимся работать за рубежом, информации о правах трудящихся-мигрантов в соответствии с Конвенцией, условиях приема и трудоустройства, а</w:t>
      </w:r>
      <w:r w:rsidR="00173D95">
        <w:rPr>
          <w:b/>
          <w:bCs/>
        </w:rPr>
        <w:t> </w:t>
      </w:r>
      <w:r>
        <w:rPr>
          <w:b/>
          <w:bCs/>
        </w:rPr>
        <w:t>также о правах и обязанностях в соответствии с законодательством государства трудоустройства.</w:t>
      </w:r>
    </w:p>
    <w:p w14:paraId="766568D4" w14:textId="35F1201F" w:rsidR="008D7B19" w:rsidRPr="00E13804" w:rsidRDefault="00173D95" w:rsidP="008D7B19">
      <w:pPr>
        <w:pStyle w:val="H23G"/>
      </w:pPr>
      <w:r>
        <w:rPr>
          <w:bCs/>
        </w:rPr>
        <w:tab/>
      </w:r>
      <w:r w:rsidR="008D7B19">
        <w:rPr>
          <w:bCs/>
        </w:rPr>
        <w:t>4.</w:t>
      </w:r>
      <w:r w:rsidR="008D7B19">
        <w:tab/>
      </w:r>
      <w:r w:rsidR="008D7B19">
        <w:rPr>
          <w:bCs/>
        </w:rPr>
        <w:t>Другие права трудящихся-мигрантов и членов их семей, имеющих документы или урегулированный статус (ст. 36–56)</w:t>
      </w:r>
    </w:p>
    <w:p w14:paraId="2B739589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Право на создание профсоюзов</w:t>
      </w:r>
    </w:p>
    <w:p w14:paraId="0C3C80D0" w14:textId="52F52931" w:rsidR="008D7B19" w:rsidRPr="00E13804" w:rsidRDefault="008D7B19" w:rsidP="008D7B19">
      <w:pPr>
        <w:pStyle w:val="SingleTxtG"/>
      </w:pPr>
      <w:r>
        <w:t>51.</w:t>
      </w:r>
      <w:r>
        <w:tab/>
        <w:t>Комитет с обеспокоенностью отмечает, что статья 281 Трудового кодекса предусматривает, что членами, отвечающими за руководство и управление профсоюзом, могут быть только граждане Буркина-Фасо или граждане государства, с</w:t>
      </w:r>
      <w:r w:rsidR="004C2167">
        <w:t> </w:t>
      </w:r>
      <w:r>
        <w:t>которым заключены взаимные соглашения о правах профсоюзов, и что работники, не являющиеся гражданами страны, могут выполнять функции профсоюзного лидера после непрерывного проживания в Буркина-Фасо в течение не менее пяти лет.</w:t>
      </w:r>
    </w:p>
    <w:p w14:paraId="08266F74" w14:textId="77777777" w:rsidR="008D7B19" w:rsidRPr="00E13804" w:rsidRDefault="008D7B19" w:rsidP="008D7B19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меры, включая внесение поправок в законодательство, для обеспечения всем трудящимся-мигрантам права на создание профсоюзов и членство в их исполнительных органах в целях поощрения и защиты своих экономических, социальных, культурных и других интересов в соответствии со статьей 40 Конвенции и Конвенцией МОТ 1948 года о свободе объединений и защите права объединяться в профсоюзы (№ 87).</w:t>
      </w:r>
    </w:p>
    <w:p w14:paraId="458E57FB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Право голосовать и быть избранным в государстве происхождения</w:t>
      </w:r>
    </w:p>
    <w:p w14:paraId="00D223C9" w14:textId="77777777" w:rsidR="008D7B19" w:rsidRPr="00C021A0" w:rsidRDefault="008D7B19" w:rsidP="008D7B19">
      <w:pPr>
        <w:pStyle w:val="SingleTxtG"/>
      </w:pPr>
      <w:r>
        <w:t>53.</w:t>
      </w:r>
      <w:r>
        <w:tab/>
        <w:t xml:space="preserve">Комитет приветствует пересмотр Избирательного кодекса в 2015 и 2018 годах, который гарантирует эффективное осуществление права голоса </w:t>
      </w:r>
      <w:proofErr w:type="spellStart"/>
      <w:r>
        <w:t>буркинийцами</w:t>
      </w:r>
      <w:proofErr w:type="spellEnd"/>
      <w:r>
        <w:t xml:space="preserve">, проживающими за рубежом. Однако он сожалеет, что </w:t>
      </w:r>
      <w:proofErr w:type="spellStart"/>
      <w:r>
        <w:t>буркинийцы</w:t>
      </w:r>
      <w:proofErr w:type="spellEnd"/>
      <w:r>
        <w:t>, проживающие за рубежом, не могут быть избраны на государственные должности в государстве-участнике.</w:t>
      </w:r>
    </w:p>
    <w:p w14:paraId="18B38334" w14:textId="77777777" w:rsidR="008D7B19" w:rsidRPr="00C021A0" w:rsidRDefault="008D7B19" w:rsidP="008D7B19">
      <w:pPr>
        <w:pStyle w:val="SingleTxtG"/>
      </w:pPr>
      <w:r>
        <w:t>54.</w:t>
      </w:r>
      <w:r>
        <w:tab/>
      </w:r>
      <w:r>
        <w:rPr>
          <w:b/>
          <w:bCs/>
        </w:rPr>
        <w:t xml:space="preserve">Комитет рекомендует государству-участнику принять меры, в том числе законодательные, для обеспечения полного осуществления прав </w:t>
      </w:r>
      <w:proofErr w:type="spellStart"/>
      <w:r>
        <w:rPr>
          <w:b/>
          <w:bCs/>
        </w:rPr>
        <w:t>буркинийских</w:t>
      </w:r>
      <w:proofErr w:type="spellEnd"/>
      <w:r>
        <w:rPr>
          <w:b/>
          <w:bCs/>
        </w:rPr>
        <w:t xml:space="preserve"> трудящихся-мигрантов, проживающих за рубежом, включая право быть избранным в государстве-участнике в соответствии с Конвенцией.</w:t>
      </w:r>
      <w:r>
        <w:t xml:space="preserve"> </w:t>
      </w:r>
      <w:r>
        <w:rPr>
          <w:b/>
          <w:bCs/>
        </w:rPr>
        <w:t xml:space="preserve">Он также </w:t>
      </w:r>
      <w:r>
        <w:rPr>
          <w:b/>
          <w:bCs/>
        </w:rPr>
        <w:lastRenderedPageBreak/>
        <w:t xml:space="preserve">предлагает государству-участнику представить в своем следующем периодическом докладе информацию о доле участия в президентских и парламентских выборах </w:t>
      </w:r>
      <w:proofErr w:type="spellStart"/>
      <w:r>
        <w:rPr>
          <w:b/>
          <w:bCs/>
        </w:rPr>
        <w:t>буркинийцев</w:t>
      </w:r>
      <w:proofErr w:type="spellEnd"/>
      <w:r>
        <w:rPr>
          <w:b/>
          <w:bCs/>
        </w:rPr>
        <w:t>, проживающих за рубежом.</w:t>
      </w:r>
    </w:p>
    <w:p w14:paraId="39BD29AC" w14:textId="77777777" w:rsidR="008D7B19" w:rsidRPr="002B06AC" w:rsidRDefault="008D7B19" w:rsidP="008D7B19">
      <w:pPr>
        <w:pStyle w:val="H4G"/>
      </w:pPr>
      <w:r>
        <w:tab/>
      </w:r>
      <w:r>
        <w:tab/>
      </w:r>
      <w:r>
        <w:tab/>
      </w:r>
      <w:r>
        <w:rPr>
          <w:iCs/>
        </w:rPr>
        <w:t>Перевод заработанных средств и сбережений</w:t>
      </w:r>
    </w:p>
    <w:p w14:paraId="28F49147" w14:textId="77777777" w:rsidR="008D7B19" w:rsidRPr="00C021A0" w:rsidRDefault="008D7B19" w:rsidP="008D7B19">
      <w:pPr>
        <w:pStyle w:val="SingleTxtG"/>
      </w:pPr>
      <w:r>
        <w:t>55.</w:t>
      </w:r>
      <w:r>
        <w:tab/>
        <w:t>Комитет с интересом отмечает предоставленную делегацией в ходе диалога информацию о политике поощрения денежных переводов диаспорой и о создании в министерстве иностранных дел Управления по поощрению экономического развития и инвестиций диаспоры. Вместе с тем он сожалеет об отсутствии механизма поощрения инвестиций в производственные сектора государства-участника, а также об отсутствии конкретных партнерских отношений с финансовыми учреждениями, направленных на облегчение денежных переводов в Буркина-Фасо трудящихся-экспатриантов из Буркина-Фасо и переводов</w:t>
      </w:r>
      <w:r w:rsidRPr="004452BF">
        <w:t xml:space="preserve"> </w:t>
      </w:r>
      <w:r>
        <w:t>мигрантов, работающих в Буркина-Фасо, в страны их происхождения. В этой связи Комитет отмечает представленную государством-участником информацию о механизмах перевода денежных средств диаспоры.</w:t>
      </w:r>
    </w:p>
    <w:p w14:paraId="49760E3C" w14:textId="77777777" w:rsidR="008D7B19" w:rsidRPr="00E13804" w:rsidRDefault="008D7B19" w:rsidP="008D7B19">
      <w:pPr>
        <w:pStyle w:val="SingleTxtG"/>
      </w:pPr>
      <w:r>
        <w:t>56.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10CEB8A" w14:textId="2C8E6034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a)</w:t>
      </w:r>
      <w:r>
        <w:tab/>
      </w:r>
      <w:r>
        <w:rPr>
          <w:b/>
          <w:bCs/>
        </w:rPr>
        <w:t>повысить осведомленность диаспор мигрантов о возможностях вносить вклад в процесс национального развития посредством своих инвестиций, а также разработать к</w:t>
      </w:r>
      <w:r w:rsidR="004C2167">
        <w:rPr>
          <w:b/>
          <w:bCs/>
        </w:rPr>
        <w:t>о</w:t>
      </w:r>
      <w:r>
        <w:rPr>
          <w:b/>
          <w:bCs/>
        </w:rPr>
        <w:t>нкретную политику, способствующую переводу средств и улучшению условий инвестирования, и привлечению их инвестиций в производственные секторы, способные улучшить экономическую ситуацию;</w:t>
      </w:r>
    </w:p>
    <w:p w14:paraId="77B4DB81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оперативно принять меры в целях облегчения перевода денежных средств трудящимися-мигрантами, работающими в Буркина-Фасо, в страны их происхождения путем установления преференциальных тарифов для отправки и получения денежных средств в соответствие с задачей 10.3 Целей в области устойчивого развития, а также сделать накопленные за рубежом сбережения более доступными для трудящихся-мигрантов и членов их семей в государстве-участнике.</w:t>
      </w:r>
    </w:p>
    <w:p w14:paraId="7055E3EA" w14:textId="2748E334" w:rsidR="008D7B19" w:rsidRPr="00E13804" w:rsidRDefault="00F07B90" w:rsidP="008D7B19">
      <w:pPr>
        <w:pStyle w:val="H23G"/>
      </w:pPr>
      <w:r>
        <w:rPr>
          <w:bCs/>
        </w:rPr>
        <w:tab/>
      </w:r>
      <w:r w:rsidR="008D7B19">
        <w:rPr>
          <w:bCs/>
        </w:rPr>
        <w:t>5.</w:t>
      </w:r>
      <w:r w:rsidR="008D7B19">
        <w:tab/>
      </w:r>
      <w:r w:rsidR="008D7B19">
        <w:rPr>
          <w:bCs/>
        </w:rPr>
        <w:t>Содействие созданию нормальных, справедливых, гуманных и законных условий в связи с международной миграцией трудящихся и членов их семей (ст.</w:t>
      </w:r>
      <w:r>
        <w:rPr>
          <w:bCs/>
        </w:rPr>
        <w:t> </w:t>
      </w:r>
      <w:r w:rsidR="008D7B19">
        <w:rPr>
          <w:bCs/>
        </w:rPr>
        <w:t>64–71)</w:t>
      </w:r>
    </w:p>
    <w:p w14:paraId="2A15722F" w14:textId="77777777" w:rsidR="008D7B19" w:rsidRPr="00E13804" w:rsidRDefault="008D7B19" w:rsidP="008D7B19">
      <w:pPr>
        <w:pStyle w:val="H4G"/>
      </w:pPr>
      <w:r>
        <w:tab/>
      </w:r>
      <w:r>
        <w:tab/>
        <w:t>Услуги и политика в сфере миграции</w:t>
      </w:r>
    </w:p>
    <w:p w14:paraId="13CA3764" w14:textId="03E0887E" w:rsidR="008D7B19" w:rsidRPr="00E13804" w:rsidRDefault="008D7B19" w:rsidP="008D7B19">
      <w:pPr>
        <w:pStyle w:val="SingleTxtG"/>
      </w:pPr>
      <w:r>
        <w:t>57.</w:t>
      </w:r>
      <w:r>
        <w:tab/>
        <w:t>Комитет принимает к сведению усилия, предпринятые государством-участником для решения проблемы нелегальной миграции своих граждан, такие как создание национальных фондов развития для поддержки создания рабочих мест для молодежи, поддержка создания молодыми людьми предприятий и организация информационно-просветительских кампаний для молодежи с целью привлечения внимания к опасностям нелегальной миграции. Он отмечает подписание 18 декабря 2017 года Совместной инициативы Буркина-Фасо, Европейского союза и Международной организации по миграции по защите и реинтеграции мигрантов в Буркина-Фасо, направленной на защиту, возвращение и устойчивую реинтеграцию нелегальных мигрантов. Комитет также отмечает, что Национальная стратегия в области миграции на период 2014</w:t>
      </w:r>
      <w:r w:rsidR="00F07B90">
        <w:t>–</w:t>
      </w:r>
      <w:r>
        <w:t>2025 годов предусматривает механизм реинтеграции мигрантов, которые были принудительно или добровольно репатриированы, а также механизм учета и назначение координаторов во всех соответствующих министерствах. Однако Комитет обеспокоен отсутствием конкретной информации о механизмах реинтеграции мигрантов.</w:t>
      </w:r>
    </w:p>
    <w:p w14:paraId="4FBBA14A" w14:textId="77777777" w:rsidR="008D7B19" w:rsidRPr="00E13804" w:rsidRDefault="008D7B19" w:rsidP="008D7B19">
      <w:pPr>
        <w:pStyle w:val="SingleTxtG"/>
      </w:pPr>
      <w:r>
        <w:t>58.</w:t>
      </w:r>
      <w:r>
        <w:tab/>
      </w:r>
      <w:r>
        <w:rPr>
          <w:b/>
          <w:bCs/>
        </w:rPr>
        <w:t>Комитет рекомендует государству-участнику обеспечить устойчивую реинтеграцию трудящихся-мигрантов, которые были принудительно или добровольно репатриированы, и проинформировать Комитет о мерах, принятых в этой связи, в своем следующем периодическом докладе.</w:t>
      </w:r>
    </w:p>
    <w:p w14:paraId="6C2762EE" w14:textId="77777777" w:rsidR="008D7B19" w:rsidRPr="00E13804" w:rsidRDefault="008D7B19" w:rsidP="008D7B19">
      <w:pPr>
        <w:pStyle w:val="H4G"/>
      </w:pPr>
      <w:r>
        <w:lastRenderedPageBreak/>
        <w:tab/>
      </w:r>
      <w:r>
        <w:tab/>
      </w:r>
      <w:r>
        <w:rPr>
          <w:iCs/>
        </w:rPr>
        <w:t>Агентства по найму</w:t>
      </w:r>
    </w:p>
    <w:p w14:paraId="3E0B3681" w14:textId="77777777" w:rsidR="008D7B19" w:rsidRPr="00E13804" w:rsidRDefault="008D7B19" w:rsidP="008D7B19">
      <w:pPr>
        <w:pStyle w:val="SingleTxtG"/>
      </w:pPr>
      <w:r>
        <w:t>59.</w:t>
      </w:r>
      <w:r>
        <w:tab/>
        <w:t>Комитет принимает к сведению представленную государством-участником в его втором периодическом докладе информацию о нормативно-правовой базе и системе лицензирования частных агентств по трудоустройству, действующих в государстве-участнике. Однако он обеспокоен очень большим количеством жалоб работников, зарегистрированных трудовой инспекцией, и отсутствием ясности в отношении того, сколько из них касаются агентств по трудоустройству. Он также обеспокоен сообщениями о том, что компетентные надзорные органы вмешиваются только тогда, когда они получают жалобы на нарушения.</w:t>
      </w:r>
    </w:p>
    <w:p w14:paraId="4F36B806" w14:textId="57E10258" w:rsidR="008D7B19" w:rsidRPr="00E13804" w:rsidRDefault="008D7B19" w:rsidP="008D7B19">
      <w:pPr>
        <w:pStyle w:val="SingleTxtG"/>
      </w:pPr>
      <w:r>
        <w:t>60.</w:t>
      </w:r>
      <w:r>
        <w:tab/>
      </w:r>
      <w:r>
        <w:rPr>
          <w:b/>
          <w:bCs/>
        </w:rPr>
        <w:t>Комитет рекомендует государству-участнику усилить режим регулирования деятельности частных агентств по трудоустройству, укрепить существующую систему их лицензирования, а также повысить эффективность мониторинга и инспекции таких агентств для обеспечения осуществления прав трудящихся-мигрантов в соответствии с Конвенцией.</w:t>
      </w:r>
      <w:r>
        <w:t xml:space="preserve"> </w:t>
      </w:r>
      <w:r>
        <w:rPr>
          <w:b/>
          <w:bCs/>
        </w:rPr>
        <w:t>Он также рекомендует расследовать случаи незаконной практики агентств по трудоустройству и наказывать их в случае необходимости.</w:t>
      </w:r>
    </w:p>
    <w:p w14:paraId="013E8AC3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Торговля людьми</w:t>
      </w:r>
    </w:p>
    <w:p w14:paraId="575E0061" w14:textId="6D0D8002" w:rsidR="008D7B19" w:rsidRPr="00E13804" w:rsidRDefault="008D7B19" w:rsidP="008D7B19">
      <w:pPr>
        <w:pStyle w:val="SingleTxtG"/>
      </w:pPr>
      <w:r>
        <w:t>61.</w:t>
      </w:r>
      <w:r>
        <w:tab/>
        <w:t>Комитет с удовлетворением отмечает создание региональных бригад по защите детства, которые борются с торговлей людьми, в том числе детьми. Он отмечает усилия государства-участника по борьбе с торговлей людьми посредством, с одной стороны, превентивных мер, в результате которых в 2016 году было зарегистрировано 240 сообщений или заявлений о случаях торговли людьми, и, с другой стороны, мер защиты, которые были приняты в отношении 1099 предполагаемых жертв в 2015 году, 1442 предполагаемых жертв, включая 127 иностранцев, в 2016 году и 1739</w:t>
      </w:r>
      <w:r w:rsidR="00F07B90">
        <w:t> </w:t>
      </w:r>
      <w:r>
        <w:t>предполагаемых жертв, включая 121 иностранца, в 2017 году. Он также с интересом отмечает, что жертвы торговли людьми и предполагаемые жертвы размещаются в транзитных центрах, созданных в 34 населенных пунктах по всей стране,</w:t>
      </w:r>
      <w:r w:rsidR="00F07B90">
        <w:t xml:space="preserve"> </w:t>
      </w:r>
      <w:r>
        <w:t>с целью их возвращения в свои семьи. Тем не менее Комитет обеспокоен низким числом судебных преследований и вынесенных обвинительных приговоров по делам о торговле людьми, а также отсутствием информации о разработке нового национального плана действий по борьбе с торговлей людьми.</w:t>
      </w:r>
    </w:p>
    <w:p w14:paraId="4C416327" w14:textId="77777777" w:rsidR="008D7B19" w:rsidRPr="00E13804" w:rsidRDefault="008D7B19" w:rsidP="008D7B19">
      <w:pPr>
        <w:pStyle w:val="SingleTxtG"/>
      </w:pPr>
      <w:r>
        <w:t>62.</w:t>
      </w:r>
      <w:r>
        <w:tab/>
      </w:r>
      <w:r>
        <w:rPr>
          <w:b/>
          <w:bCs/>
        </w:rPr>
        <w:t>В соответствии с замечанием общего порядка № 2 (2013) и рекомендованными принципами и руководящими положениями по вопросу о правах человека и торговле людьми, подготовленными Управлением Верховного комиссара Организации Объединенных Наций по правам человека, Комитет повторяет следующие рекомендации государству-участнику:</w:t>
      </w:r>
    </w:p>
    <w:p w14:paraId="0385B347" w14:textId="77777777" w:rsidR="008D7B19" w:rsidRPr="00E13804" w:rsidRDefault="008D7B19" w:rsidP="008D7B19">
      <w:pPr>
        <w:pStyle w:val="SingleTxtG"/>
        <w:ind w:firstLine="567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разработать и реализовать новый национальный план действий по борьбе с торговлей людьми, особенно женщинами и детьми, с поддающимися измерению показателями и целями, включая систематический сбор дезагрегированных данных о торговле людьми;</w:t>
      </w:r>
    </w:p>
    <w:p w14:paraId="3B3B51AE" w14:textId="60364FED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активизировать профилактические кампании, особенно в приграничных районах, где число жертв торговли людьми наиболее велико, и</w:t>
      </w:r>
      <w:r w:rsidR="007E6255">
        <w:rPr>
          <w:b/>
          <w:bCs/>
        </w:rPr>
        <w:t> </w:t>
      </w:r>
      <w:r>
        <w:rPr>
          <w:b/>
          <w:bCs/>
        </w:rPr>
        <w:t>предоставить Национальному комитету по профилактике и мониторингу достаточные финансовые и людские ресурсы для выполнения его мандата;</w:t>
      </w:r>
    </w:p>
    <w:p w14:paraId="6DB96476" w14:textId="77777777" w:rsidR="008D7B19" w:rsidRPr="00E13804" w:rsidRDefault="008D7B19" w:rsidP="008D7B19">
      <w:pPr>
        <w:pStyle w:val="SingleTxtG"/>
        <w:ind w:firstLine="567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укреплять существующие и принимать новые законодательные или иные меры для целей судебного преследования путем строгого применения своей правовой базы, чтобы обеспечить привлечение к ответственности и надлежащее наказание лиц, ответственных за контрабанду и торговлю людьми, с целью гарантирования борьбы с торговлей людьми и повышения эффективности судебного преследования виновных;</w:t>
      </w:r>
    </w:p>
    <w:p w14:paraId="7C50046A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d)</w:t>
      </w:r>
      <w:r>
        <w:tab/>
      </w:r>
      <w:r>
        <w:rPr>
          <w:b/>
          <w:bCs/>
        </w:rPr>
        <w:t>разработать гендерно-ориентированную и учитывающую интересы детей программу подготовки для сотрудников правоохранительных органов, судей, прокуроров, инспекторов труда, учителей, медицинских работников и сотрудников посольств и консульств государства-участника;</w:t>
      </w:r>
    </w:p>
    <w:p w14:paraId="24C658F6" w14:textId="77777777" w:rsidR="008D7B19" w:rsidRPr="00E13804" w:rsidRDefault="008D7B19" w:rsidP="008D7B19">
      <w:pPr>
        <w:pStyle w:val="SingleTxtG"/>
        <w:ind w:firstLine="567"/>
        <w:rPr>
          <w:b/>
          <w:bCs/>
        </w:rPr>
      </w:pPr>
      <w:r>
        <w:rPr>
          <w:b/>
          <w:bCs/>
        </w:rPr>
        <w:lastRenderedPageBreak/>
        <w:t>e)</w:t>
      </w:r>
      <w:r>
        <w:tab/>
      </w:r>
      <w:r>
        <w:rPr>
          <w:b/>
          <w:bCs/>
        </w:rPr>
        <w:t>укреплять международное, региональное и двустороннее сотрудничество путем заключения новых и полного выполнения существующих соглашений со странами происхождения, транзита и назначения в целях предотвращения торговли людьми.</w:t>
      </w:r>
    </w:p>
    <w:p w14:paraId="684F91FB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Меры по решению проблем трудящихся-мигрантов с неурегулированным статусом</w:t>
      </w:r>
    </w:p>
    <w:p w14:paraId="4FA0485D" w14:textId="77777777" w:rsidR="008D7B19" w:rsidRPr="00E13804" w:rsidRDefault="008D7B19" w:rsidP="008D7B19">
      <w:pPr>
        <w:pStyle w:val="SingleTxtG"/>
      </w:pPr>
      <w:r>
        <w:t>63.</w:t>
      </w:r>
      <w:r>
        <w:tab/>
        <w:t>Комитет обеспокоен отсутствием информации о механизмах урегулирования статуса и данных о мигрантах с неурегулированным статусом.</w:t>
      </w:r>
    </w:p>
    <w:p w14:paraId="5304ED21" w14:textId="77777777" w:rsidR="008D7B19" w:rsidRPr="00E13804" w:rsidRDefault="008D7B19" w:rsidP="008D7B19">
      <w:pPr>
        <w:pStyle w:val="SingleTxtG"/>
      </w:pPr>
      <w:r>
        <w:t>64.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F09E08E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a)</w:t>
      </w:r>
      <w:r>
        <w:tab/>
      </w:r>
      <w:r>
        <w:rPr>
          <w:b/>
          <w:bCs/>
        </w:rPr>
        <w:t>сообщать данные о трудящихся-мигрантах с неурегулированным статусом и информацию о доступных для них процедурах легализации;</w:t>
      </w:r>
    </w:p>
    <w:p w14:paraId="38F8920F" w14:textId="77777777" w:rsidR="008D7B19" w:rsidRPr="00E13804" w:rsidRDefault="008D7B19" w:rsidP="008D7B19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обеспечить, чтобы трудящиеся-мигранты и члены их семей с неурегулированным статусом имели эффективный доступ к информации о действующих процедурах по урегулированию их положения.</w:t>
      </w:r>
    </w:p>
    <w:p w14:paraId="330827A3" w14:textId="44DA3454" w:rsidR="008D7B19" w:rsidRPr="00E13804" w:rsidRDefault="0028186A" w:rsidP="008D7B19">
      <w:pPr>
        <w:pStyle w:val="H23G"/>
      </w:pPr>
      <w:r>
        <w:rPr>
          <w:bCs/>
        </w:rPr>
        <w:tab/>
      </w:r>
      <w:r w:rsidR="008D7B19">
        <w:rPr>
          <w:bCs/>
        </w:rPr>
        <w:t>6.</w:t>
      </w:r>
      <w:r w:rsidR="008D7B19">
        <w:tab/>
      </w:r>
      <w:r w:rsidR="008D7B19">
        <w:rPr>
          <w:bCs/>
        </w:rPr>
        <w:t>Распространение информации и последующая деятельность</w:t>
      </w:r>
    </w:p>
    <w:p w14:paraId="5AE5580D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Распространение информации</w:t>
      </w:r>
    </w:p>
    <w:p w14:paraId="2B6FE1A3" w14:textId="77777777" w:rsidR="008D7B19" w:rsidRPr="00E13804" w:rsidRDefault="008D7B19" w:rsidP="008D7B19">
      <w:pPr>
        <w:pStyle w:val="SingleTxtG"/>
      </w:pPr>
      <w:r>
        <w:t>65.</w:t>
      </w:r>
      <w:r>
        <w:tab/>
      </w:r>
      <w:r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официальных языках государства-участника среди соответствующих государственных учреждений на всех уровнях, в том числе среди правительственных министерств, законодательных органов, судебных органов и соответствующих местных органов власти, а также неправительственных организаций и других членов гражданского общества.</w:t>
      </w:r>
    </w:p>
    <w:p w14:paraId="7E2FE7CD" w14:textId="5117BB41" w:rsidR="008D7B19" w:rsidRPr="00E13804" w:rsidRDefault="008D7B19" w:rsidP="008D7B19">
      <w:pPr>
        <w:pStyle w:val="SingleTxtG"/>
      </w:pPr>
      <w:r>
        <w:t>66.</w:t>
      </w:r>
      <w:r>
        <w:tab/>
      </w:r>
      <w:r>
        <w:rPr>
          <w:b/>
          <w:bCs/>
        </w:rPr>
        <w:t>Комитет рекомендует, чтобы подход к осуществлению Конвенции, в</w:t>
      </w:r>
      <w:r w:rsidR="007E6255">
        <w:rPr>
          <w:b/>
          <w:bCs/>
        </w:rPr>
        <w:t> </w:t>
      </w:r>
      <w:r>
        <w:rPr>
          <w:b/>
          <w:bCs/>
        </w:rPr>
        <w:t xml:space="preserve">частности к действиям по выполнению настоящих заключительных замечаний, реализовывался совместно с организациями гражданского </w:t>
      </w:r>
      <w:proofErr w:type="gramStart"/>
      <w:r>
        <w:rPr>
          <w:b/>
          <w:bCs/>
        </w:rPr>
        <w:t>общества</w:t>
      </w:r>
      <w:proofErr w:type="gramEnd"/>
      <w:r>
        <w:rPr>
          <w:b/>
          <w:bCs/>
        </w:rPr>
        <w:t xml:space="preserve"> и чтобы предложения этих организаций по конкретным проблемам миграции в Буркина-Фасо изучались с учетом глубокого понимания ими реальности повседневной жизни мигрантов.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 создать механизм для мониторинга и последующих действий в связи с выполнением рекомендаций договорных органов по правам человека, в</w:t>
      </w:r>
      <w:r w:rsidR="007E6255">
        <w:rPr>
          <w:b/>
          <w:bCs/>
        </w:rPr>
        <w:t> </w:t>
      </w:r>
      <w:r>
        <w:rPr>
          <w:b/>
          <w:bCs/>
        </w:rPr>
        <w:t>частности рекомендаций Комитета, в координации с компетентными органами и гражданским обществом, а для регулярной оценки их осуществления — при поддержке со стороны учреждений Организации Объединенных Наций и Национального института по правам человека.</w:t>
      </w:r>
    </w:p>
    <w:p w14:paraId="0EDCAF84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Последующие меры в связи с заключительными замечаниями</w:t>
      </w:r>
    </w:p>
    <w:p w14:paraId="43462129" w14:textId="04DDA5C1" w:rsidR="008D7B19" w:rsidRPr="00E13804" w:rsidRDefault="008D7B19" w:rsidP="008D7B19">
      <w:pPr>
        <w:pStyle w:val="SingleTxtG"/>
      </w:pPr>
      <w:r>
        <w:t>67.</w:t>
      </w:r>
      <w:r>
        <w:tab/>
      </w:r>
      <w:r>
        <w:rPr>
          <w:b/>
          <w:bCs/>
        </w:rPr>
        <w:t>Комитет предлагает государству-участнику представить в течение двух</w:t>
      </w:r>
      <w:r w:rsidR="007E6255">
        <w:rPr>
          <w:b/>
          <w:bCs/>
        </w:rPr>
        <w:t> </w:t>
      </w:r>
      <w:r>
        <w:rPr>
          <w:b/>
          <w:bCs/>
        </w:rPr>
        <w:t>лет (т.</w:t>
      </w:r>
      <w:r w:rsidR="0028186A">
        <w:rPr>
          <w:b/>
          <w:bCs/>
        </w:rPr>
        <w:t> </w:t>
      </w:r>
      <w:r>
        <w:rPr>
          <w:b/>
          <w:bCs/>
        </w:rPr>
        <w:t>е. к 1 мая 2024 года) письменную информацию о выполнении рекомендаций, содержащихся в пунктах 11 (законодательство и применение), 26</w:t>
      </w:r>
      <w:r w:rsidR="0028186A">
        <w:rPr>
          <w:b/>
          <w:bCs/>
        </w:rPr>
        <w:t> </w:t>
      </w:r>
      <w:r>
        <w:rPr>
          <w:b/>
          <w:bCs/>
        </w:rPr>
        <w:t>(коррупция), 32 (эксплуатация) и 40 (оплата и условия труда) выше.</w:t>
      </w:r>
    </w:p>
    <w:p w14:paraId="7473034C" w14:textId="77777777" w:rsidR="008D7B19" w:rsidRPr="00E13804" w:rsidRDefault="008D7B19" w:rsidP="008D7B19">
      <w:pPr>
        <w:pStyle w:val="H4G"/>
      </w:pPr>
      <w:r>
        <w:tab/>
      </w:r>
      <w:r>
        <w:tab/>
      </w:r>
      <w:r>
        <w:rPr>
          <w:iCs/>
        </w:rPr>
        <w:t>Следующий периодический доклад</w:t>
      </w:r>
    </w:p>
    <w:p w14:paraId="7B527FE7" w14:textId="77777777" w:rsidR="008D7B19" w:rsidRPr="00E13804" w:rsidRDefault="008D7B19" w:rsidP="008D7B19">
      <w:pPr>
        <w:pStyle w:val="SingleTxtG"/>
        <w:rPr>
          <w:b/>
          <w:bCs/>
        </w:rPr>
      </w:pPr>
      <w:r>
        <w:t>68.</w:t>
      </w:r>
      <w:r>
        <w:tab/>
      </w:r>
      <w:r>
        <w:rPr>
          <w:b/>
          <w:bCs/>
        </w:rPr>
        <w:t>Комитет просит государство-участник представить свой третий периодический доклад не позднее 1 мая 2027 года.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свои согласованные руководящие принципы подготовки документов по конкретным договорам</w:t>
      </w:r>
      <w:r w:rsidRPr="00357A64">
        <w:rPr>
          <w:rStyle w:val="aa"/>
        </w:rPr>
        <w:footnoteReference w:id="7"/>
      </w:r>
      <w:r>
        <w:rPr>
          <w:b/>
          <w:bCs/>
        </w:rPr>
        <w:t>.</w:t>
      </w:r>
    </w:p>
    <w:p w14:paraId="2701C684" w14:textId="77777777" w:rsidR="008D7B19" w:rsidRPr="001750C2" w:rsidRDefault="008D7B19" w:rsidP="008D7B19">
      <w:pPr>
        <w:pStyle w:val="SingleTxtG"/>
        <w:spacing w:before="240" w:after="0"/>
        <w:jc w:val="center"/>
        <w:rPr>
          <w:u w:val="single"/>
        </w:rPr>
      </w:pPr>
      <w:r w:rsidRPr="00E13804">
        <w:rPr>
          <w:u w:val="single"/>
        </w:rPr>
        <w:tab/>
      </w:r>
      <w:r w:rsidRPr="00E13804">
        <w:rPr>
          <w:u w:val="single"/>
        </w:rPr>
        <w:tab/>
      </w:r>
      <w:r w:rsidRPr="00E13804">
        <w:rPr>
          <w:u w:val="single"/>
        </w:rPr>
        <w:tab/>
      </w:r>
    </w:p>
    <w:sectPr w:rsidR="008D7B19" w:rsidRPr="001750C2" w:rsidSect="008D7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39C2" w14:textId="77777777" w:rsidR="0029093F" w:rsidRPr="00A312BC" w:rsidRDefault="0029093F" w:rsidP="00A312BC"/>
  </w:endnote>
  <w:endnote w:type="continuationSeparator" w:id="0">
    <w:p w14:paraId="6C51F6F0" w14:textId="77777777" w:rsidR="0029093F" w:rsidRPr="00A312BC" w:rsidRDefault="002909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E46" w14:textId="5994ED5E" w:rsidR="008D7B19" w:rsidRPr="008D7B19" w:rsidRDefault="008D7B19">
    <w:pPr>
      <w:pStyle w:val="a8"/>
    </w:pPr>
    <w:r w:rsidRPr="008D7B19">
      <w:rPr>
        <w:b/>
        <w:sz w:val="18"/>
      </w:rPr>
      <w:fldChar w:fldCharType="begin"/>
    </w:r>
    <w:r w:rsidRPr="008D7B19">
      <w:rPr>
        <w:b/>
        <w:sz w:val="18"/>
      </w:rPr>
      <w:instrText xml:space="preserve"> PAGE  \* MERGEFORMAT </w:instrText>
    </w:r>
    <w:r w:rsidRPr="008D7B19">
      <w:rPr>
        <w:b/>
        <w:sz w:val="18"/>
      </w:rPr>
      <w:fldChar w:fldCharType="separate"/>
    </w:r>
    <w:r w:rsidRPr="008D7B19">
      <w:rPr>
        <w:b/>
        <w:noProof/>
        <w:sz w:val="18"/>
      </w:rPr>
      <w:t>2</w:t>
    </w:r>
    <w:r w:rsidRPr="008D7B19">
      <w:rPr>
        <w:b/>
        <w:sz w:val="18"/>
      </w:rPr>
      <w:fldChar w:fldCharType="end"/>
    </w:r>
    <w:r>
      <w:rPr>
        <w:b/>
        <w:sz w:val="18"/>
      </w:rPr>
      <w:tab/>
    </w:r>
    <w:r>
      <w:t>GE.22-07570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1D76" w14:textId="5140CA14" w:rsidR="008D7B19" w:rsidRPr="008D7B19" w:rsidRDefault="008D7B19" w:rsidP="008D7B19">
    <w:pPr>
      <w:pStyle w:val="a8"/>
      <w:tabs>
        <w:tab w:val="clear" w:pos="9639"/>
        <w:tab w:val="right" w:pos="9638"/>
      </w:tabs>
      <w:rPr>
        <w:b/>
        <w:sz w:val="18"/>
      </w:rPr>
    </w:pPr>
    <w:r>
      <w:t>GE.22-07570</w:t>
    </w:r>
    <w:r>
      <w:tab/>
    </w:r>
    <w:r w:rsidRPr="008D7B19">
      <w:rPr>
        <w:b/>
        <w:sz w:val="18"/>
      </w:rPr>
      <w:fldChar w:fldCharType="begin"/>
    </w:r>
    <w:r w:rsidRPr="008D7B19">
      <w:rPr>
        <w:b/>
        <w:sz w:val="18"/>
      </w:rPr>
      <w:instrText xml:space="preserve"> PAGE  \* MERGEFORMAT </w:instrText>
    </w:r>
    <w:r w:rsidRPr="008D7B19">
      <w:rPr>
        <w:b/>
        <w:sz w:val="18"/>
      </w:rPr>
      <w:fldChar w:fldCharType="separate"/>
    </w:r>
    <w:r w:rsidRPr="008D7B19">
      <w:rPr>
        <w:b/>
        <w:noProof/>
        <w:sz w:val="18"/>
      </w:rPr>
      <w:t>3</w:t>
    </w:r>
    <w:r w:rsidRPr="008D7B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90F0" w14:textId="40ED3A49" w:rsidR="00042B72" w:rsidRPr="008D7B19" w:rsidRDefault="008D7B19" w:rsidP="008D7B1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73A2CE" wp14:editId="2E47E0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07570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FA8B39" wp14:editId="57F4CD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300522  010722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6755" w14:textId="77777777" w:rsidR="0029093F" w:rsidRPr="001075E9" w:rsidRDefault="002909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EACAF1" w14:textId="77777777" w:rsidR="0029093F" w:rsidRDefault="002909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505BCC" w14:textId="765B5CA9" w:rsidR="0028186A" w:rsidRPr="0028186A" w:rsidRDefault="0028186A">
      <w:pPr>
        <w:pStyle w:val="ad"/>
        <w:rPr>
          <w:sz w:val="20"/>
        </w:rPr>
      </w:pPr>
      <w:r>
        <w:tab/>
      </w:r>
      <w:r w:rsidRPr="0028186A">
        <w:rPr>
          <w:rStyle w:val="aa"/>
          <w:sz w:val="20"/>
          <w:vertAlign w:val="baseline"/>
        </w:rPr>
        <w:t>*</w:t>
      </w:r>
      <w:r w:rsidRPr="0028186A">
        <w:rPr>
          <w:rStyle w:val="aa"/>
          <w:vertAlign w:val="baseline"/>
        </w:rPr>
        <w:tab/>
      </w:r>
      <w:r>
        <w:t>Принят Комитетом на его тридцать четвертой сессии (28 марта — 8 апреля 2022 года).</w:t>
      </w:r>
    </w:p>
  </w:footnote>
  <w:footnote w:id="2">
    <w:p w14:paraId="76BAB936" w14:textId="07A6F36B" w:rsidR="008D7B19" w:rsidRDefault="008D7B19" w:rsidP="008D7B19">
      <w:pPr>
        <w:pStyle w:val="ad"/>
      </w:pPr>
      <w:r>
        <w:tab/>
      </w:r>
      <w:r w:rsidRPr="00357A64">
        <w:rPr>
          <w:rStyle w:val="aa"/>
        </w:rPr>
        <w:footnoteRef/>
      </w:r>
      <w:r>
        <w:tab/>
      </w:r>
      <w:hyperlink r:id="rId1" w:history="1">
        <w:r w:rsidRPr="004E2444">
          <w:rPr>
            <w:rStyle w:val="af1"/>
          </w:rPr>
          <w:t>CMW/C/BFA/2</w:t>
        </w:r>
      </w:hyperlink>
      <w:r>
        <w:t>.</w:t>
      </w:r>
    </w:p>
  </w:footnote>
  <w:footnote w:id="3">
    <w:p w14:paraId="746031B1" w14:textId="4599A107" w:rsidR="008D7B19" w:rsidRPr="00E13804" w:rsidRDefault="008D7B19" w:rsidP="008D7B19">
      <w:pPr>
        <w:pStyle w:val="ad"/>
      </w:pPr>
      <w:r>
        <w:tab/>
      </w:r>
      <w:r w:rsidRPr="00357A64">
        <w:rPr>
          <w:rStyle w:val="aa"/>
        </w:rPr>
        <w:footnoteRef/>
      </w:r>
      <w:r>
        <w:tab/>
        <w:t xml:space="preserve">См. </w:t>
      </w:r>
      <w:hyperlink r:id="rId2" w:history="1">
        <w:r w:rsidRPr="004E2444">
          <w:rPr>
            <w:rStyle w:val="af1"/>
          </w:rPr>
          <w:t>CMW/C/SR.478</w:t>
        </w:r>
      </w:hyperlink>
      <w:r>
        <w:t xml:space="preserve"> и </w:t>
      </w:r>
      <w:hyperlink r:id="rId3" w:history="1">
        <w:r w:rsidRPr="004E2444">
          <w:rPr>
            <w:rStyle w:val="af1"/>
          </w:rPr>
          <w:t>CMW/C/SR.479</w:t>
        </w:r>
      </w:hyperlink>
      <w:r>
        <w:t>.</w:t>
      </w:r>
    </w:p>
  </w:footnote>
  <w:footnote w:id="4">
    <w:p w14:paraId="295F54DA" w14:textId="41FEA6F1" w:rsidR="008D7B19" w:rsidRPr="001F043B" w:rsidRDefault="008D7B19" w:rsidP="008D7B19">
      <w:pPr>
        <w:pStyle w:val="ad"/>
        <w:rPr>
          <w:lang w:val="en-US"/>
        </w:rPr>
      </w:pPr>
      <w:r>
        <w:tab/>
      </w:r>
      <w:r w:rsidRPr="00357A64">
        <w:rPr>
          <w:rStyle w:val="aa"/>
        </w:rPr>
        <w:footnoteRef/>
      </w:r>
      <w:r w:rsidRPr="001F043B">
        <w:rPr>
          <w:lang w:val="en-US"/>
        </w:rPr>
        <w:tab/>
      </w:r>
      <w:hyperlink r:id="rId4" w:history="1">
        <w:r w:rsidRPr="004E2444">
          <w:rPr>
            <w:rStyle w:val="af1"/>
            <w:lang w:val="en-US"/>
          </w:rPr>
          <w:t>CMW</w:t>
        </w:r>
        <w:r w:rsidRPr="001F043B">
          <w:rPr>
            <w:rStyle w:val="af1"/>
            <w:lang w:val="en-US"/>
          </w:rPr>
          <w:t>/</w:t>
        </w:r>
        <w:r w:rsidRPr="004E2444">
          <w:rPr>
            <w:rStyle w:val="af1"/>
            <w:lang w:val="en-US"/>
          </w:rPr>
          <w:t>C</w:t>
        </w:r>
        <w:r w:rsidRPr="001F043B">
          <w:rPr>
            <w:rStyle w:val="af1"/>
            <w:lang w:val="en-US"/>
          </w:rPr>
          <w:t>/</w:t>
        </w:r>
        <w:r w:rsidRPr="004E2444">
          <w:rPr>
            <w:rStyle w:val="af1"/>
            <w:lang w:val="en-US"/>
          </w:rPr>
          <w:t>BFA</w:t>
        </w:r>
        <w:r w:rsidRPr="001F043B">
          <w:rPr>
            <w:rStyle w:val="af1"/>
            <w:lang w:val="en-US"/>
          </w:rPr>
          <w:t>/</w:t>
        </w:r>
        <w:r w:rsidRPr="004E2444">
          <w:rPr>
            <w:rStyle w:val="af1"/>
            <w:lang w:val="en-US"/>
          </w:rPr>
          <w:t>QPR</w:t>
        </w:r>
        <w:r w:rsidRPr="001F043B">
          <w:rPr>
            <w:rStyle w:val="af1"/>
            <w:lang w:val="en-US"/>
          </w:rPr>
          <w:t>/2</w:t>
        </w:r>
      </w:hyperlink>
      <w:r w:rsidRPr="001F043B">
        <w:rPr>
          <w:lang w:val="en-US"/>
        </w:rPr>
        <w:t>.</w:t>
      </w:r>
    </w:p>
  </w:footnote>
  <w:footnote w:id="5">
    <w:p w14:paraId="49470B48" w14:textId="31CEDC10" w:rsidR="008D7B19" w:rsidRPr="00E13804" w:rsidRDefault="008D7B19" w:rsidP="008D7B19">
      <w:pPr>
        <w:pStyle w:val="ad"/>
        <w:rPr>
          <w:lang w:val="en-US"/>
        </w:rPr>
      </w:pPr>
      <w:r w:rsidRPr="001F043B">
        <w:rPr>
          <w:lang w:val="en-US"/>
        </w:rPr>
        <w:tab/>
      </w:r>
      <w:r w:rsidRPr="00357A64">
        <w:rPr>
          <w:rStyle w:val="aa"/>
        </w:rPr>
        <w:footnoteRef/>
      </w:r>
      <w:r w:rsidRPr="00E13804">
        <w:rPr>
          <w:lang w:val="en-US"/>
        </w:rPr>
        <w:tab/>
      </w:r>
      <w:hyperlink r:id="rId5" w:history="1">
        <w:r w:rsidRPr="001750C2">
          <w:rPr>
            <w:rStyle w:val="af1"/>
            <w:lang w:val="en-US"/>
          </w:rPr>
          <w:t>CMW/C/BFA/CO/1</w:t>
        </w:r>
      </w:hyperlink>
      <w:r w:rsidRPr="00E13804">
        <w:rPr>
          <w:lang w:val="en-US"/>
        </w:rPr>
        <w:t xml:space="preserve">, </w:t>
      </w:r>
      <w:r>
        <w:t>п</w:t>
      </w:r>
      <w:r w:rsidRPr="00E13804">
        <w:rPr>
          <w:lang w:val="en-US"/>
        </w:rPr>
        <w:t>. 9.</w:t>
      </w:r>
    </w:p>
  </w:footnote>
  <w:footnote w:id="6">
    <w:p w14:paraId="70091A13" w14:textId="77777777" w:rsidR="009C416A" w:rsidRDefault="009C416A" w:rsidP="009C416A">
      <w:pPr>
        <w:pStyle w:val="ad"/>
      </w:pPr>
      <w:r w:rsidRPr="00E13804">
        <w:rPr>
          <w:lang w:val="en-US"/>
        </w:rPr>
        <w:tab/>
      </w:r>
      <w:r w:rsidRPr="00357A64">
        <w:rPr>
          <w:rStyle w:val="aa"/>
        </w:rPr>
        <w:footnoteRef/>
      </w:r>
      <w:r>
        <w:tab/>
        <w:t>Там же, п. 15.</w:t>
      </w:r>
    </w:p>
  </w:footnote>
  <w:footnote w:id="7">
    <w:p w14:paraId="273DB2A9" w14:textId="2391A01D" w:rsidR="008D7B19" w:rsidRPr="00D50CCE" w:rsidRDefault="008D7B19" w:rsidP="008D7B19">
      <w:pPr>
        <w:pStyle w:val="ad"/>
      </w:pPr>
      <w:r>
        <w:tab/>
      </w:r>
      <w:r w:rsidRPr="00357A64">
        <w:rPr>
          <w:rStyle w:val="aa"/>
        </w:rPr>
        <w:footnoteRef/>
      </w:r>
      <w:r>
        <w:tab/>
      </w:r>
      <w:hyperlink r:id="rId6" w:history="1">
        <w:r w:rsidRPr="0028186A">
          <w:rPr>
            <w:rStyle w:val="af1"/>
          </w:rPr>
          <w:t>HRI/GEN.2/Rev.6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884D" w14:textId="2BB81583" w:rsidR="008D7B19" w:rsidRPr="008D7B19" w:rsidRDefault="004E2444">
    <w:pPr>
      <w:pStyle w:val="a5"/>
    </w:pPr>
    <w:fldSimple w:instr=" TITLE  \* MERGEFORMAT ">
      <w:r w:rsidR="00ED33AB">
        <w:t>CMW/C/BFA/CO/2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1BF0" w14:textId="2D44047F" w:rsidR="008D7B19" w:rsidRPr="008D7B19" w:rsidRDefault="004E2444" w:rsidP="008D7B19">
    <w:pPr>
      <w:pStyle w:val="a5"/>
      <w:jc w:val="right"/>
    </w:pPr>
    <w:fldSimple w:instr=" TITLE  \* MERGEFORMAT ">
      <w:r w:rsidR="00ED33AB">
        <w:t>CMW/C/BFA/CO/2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65B8" w14:textId="77777777" w:rsidR="008D7B19" w:rsidRDefault="008D7B19" w:rsidP="008D7B1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3F"/>
    <w:rsid w:val="00033EE1"/>
    <w:rsid w:val="00042B72"/>
    <w:rsid w:val="000558BD"/>
    <w:rsid w:val="000B57E7"/>
    <w:rsid w:val="000B6373"/>
    <w:rsid w:val="000F09DF"/>
    <w:rsid w:val="000F61B2"/>
    <w:rsid w:val="001075E9"/>
    <w:rsid w:val="00173D95"/>
    <w:rsid w:val="001750C2"/>
    <w:rsid w:val="00180183"/>
    <w:rsid w:val="0018024D"/>
    <w:rsid w:val="0018649F"/>
    <w:rsid w:val="001916AD"/>
    <w:rsid w:val="00196389"/>
    <w:rsid w:val="001B3EF6"/>
    <w:rsid w:val="001C6847"/>
    <w:rsid w:val="001C7A89"/>
    <w:rsid w:val="001F043B"/>
    <w:rsid w:val="0028186A"/>
    <w:rsid w:val="0029093F"/>
    <w:rsid w:val="00296728"/>
    <w:rsid w:val="00297262"/>
    <w:rsid w:val="002A2EFC"/>
    <w:rsid w:val="002B74B1"/>
    <w:rsid w:val="002C0E18"/>
    <w:rsid w:val="002D5AAC"/>
    <w:rsid w:val="002E5067"/>
    <w:rsid w:val="002E75EB"/>
    <w:rsid w:val="002F405F"/>
    <w:rsid w:val="002F7EEC"/>
    <w:rsid w:val="00301299"/>
    <w:rsid w:val="00305C08"/>
    <w:rsid w:val="00307FB6"/>
    <w:rsid w:val="00311A81"/>
    <w:rsid w:val="00317339"/>
    <w:rsid w:val="00322004"/>
    <w:rsid w:val="003402C2"/>
    <w:rsid w:val="003402F2"/>
    <w:rsid w:val="003414A1"/>
    <w:rsid w:val="00381C24"/>
    <w:rsid w:val="003958D0"/>
    <w:rsid w:val="003B00E5"/>
    <w:rsid w:val="00407B78"/>
    <w:rsid w:val="004102E9"/>
    <w:rsid w:val="00424203"/>
    <w:rsid w:val="00451D6F"/>
    <w:rsid w:val="00452493"/>
    <w:rsid w:val="00453318"/>
    <w:rsid w:val="00454E07"/>
    <w:rsid w:val="00472C5C"/>
    <w:rsid w:val="004B3A26"/>
    <w:rsid w:val="004C0210"/>
    <w:rsid w:val="004C2167"/>
    <w:rsid w:val="004E2444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5F1D6B"/>
    <w:rsid w:val="00636A7C"/>
    <w:rsid w:val="006569B2"/>
    <w:rsid w:val="00681A10"/>
    <w:rsid w:val="00690B89"/>
    <w:rsid w:val="006A1ED8"/>
    <w:rsid w:val="006C2031"/>
    <w:rsid w:val="006C6846"/>
    <w:rsid w:val="006D461A"/>
    <w:rsid w:val="006D479F"/>
    <w:rsid w:val="006E6002"/>
    <w:rsid w:val="006F35EE"/>
    <w:rsid w:val="007021FF"/>
    <w:rsid w:val="00712895"/>
    <w:rsid w:val="00734ACB"/>
    <w:rsid w:val="00757357"/>
    <w:rsid w:val="007A2AE0"/>
    <w:rsid w:val="007E6255"/>
    <w:rsid w:val="00803323"/>
    <w:rsid w:val="00806737"/>
    <w:rsid w:val="00825F8D"/>
    <w:rsid w:val="00834B71"/>
    <w:rsid w:val="00837F45"/>
    <w:rsid w:val="00857251"/>
    <w:rsid w:val="0086445C"/>
    <w:rsid w:val="00894693"/>
    <w:rsid w:val="008A08D7"/>
    <w:rsid w:val="008B6909"/>
    <w:rsid w:val="008D7B19"/>
    <w:rsid w:val="00900A96"/>
    <w:rsid w:val="00906890"/>
    <w:rsid w:val="00911BE4"/>
    <w:rsid w:val="0093403D"/>
    <w:rsid w:val="00951972"/>
    <w:rsid w:val="00953A1C"/>
    <w:rsid w:val="009608F3"/>
    <w:rsid w:val="0098262B"/>
    <w:rsid w:val="009A24AC"/>
    <w:rsid w:val="009C416A"/>
    <w:rsid w:val="009D78CB"/>
    <w:rsid w:val="00A10AA3"/>
    <w:rsid w:val="00A14DA8"/>
    <w:rsid w:val="00A312BC"/>
    <w:rsid w:val="00A543C6"/>
    <w:rsid w:val="00A81A6E"/>
    <w:rsid w:val="00A84021"/>
    <w:rsid w:val="00A84D35"/>
    <w:rsid w:val="00A917B3"/>
    <w:rsid w:val="00AB4B51"/>
    <w:rsid w:val="00B10CC7"/>
    <w:rsid w:val="00B36DF7"/>
    <w:rsid w:val="00B539E7"/>
    <w:rsid w:val="00B62458"/>
    <w:rsid w:val="00B76CDE"/>
    <w:rsid w:val="00BC18B2"/>
    <w:rsid w:val="00BD33EE"/>
    <w:rsid w:val="00BD3AA6"/>
    <w:rsid w:val="00C106D6"/>
    <w:rsid w:val="00C60F0C"/>
    <w:rsid w:val="00C805C9"/>
    <w:rsid w:val="00C92939"/>
    <w:rsid w:val="00CA1679"/>
    <w:rsid w:val="00CB151C"/>
    <w:rsid w:val="00CE5A1A"/>
    <w:rsid w:val="00CF55F6"/>
    <w:rsid w:val="00D04117"/>
    <w:rsid w:val="00D33D63"/>
    <w:rsid w:val="00D40EFD"/>
    <w:rsid w:val="00D90028"/>
    <w:rsid w:val="00D90138"/>
    <w:rsid w:val="00DA7285"/>
    <w:rsid w:val="00DD78D1"/>
    <w:rsid w:val="00DE32CD"/>
    <w:rsid w:val="00DF71B9"/>
    <w:rsid w:val="00E73F76"/>
    <w:rsid w:val="00EA2C9F"/>
    <w:rsid w:val="00EA420E"/>
    <w:rsid w:val="00EA5E41"/>
    <w:rsid w:val="00ED0BDA"/>
    <w:rsid w:val="00ED33AB"/>
    <w:rsid w:val="00EE6954"/>
    <w:rsid w:val="00EE7AC6"/>
    <w:rsid w:val="00EF1360"/>
    <w:rsid w:val="00EF3220"/>
    <w:rsid w:val="00F07B90"/>
    <w:rsid w:val="00F43903"/>
    <w:rsid w:val="00F93FFB"/>
    <w:rsid w:val="00F94155"/>
    <w:rsid w:val="00F9783F"/>
    <w:rsid w:val="00FC261C"/>
    <w:rsid w:val="00FD2EF7"/>
    <w:rsid w:val="00FD741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CE8C3"/>
  <w15:docId w15:val="{7CA50F0D-BBEB-44D8-8056-AA390BC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61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C6846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C684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C6846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,4_G,16 Point,BVI fnr,Footnote,Footnote Refernece,Footnote symbol,Fußnotenzeichen_Raxen,Superscript 6 Point,Texto de nota al pie,ftref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C261C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D40EFD"/>
    <w:rPr>
      <w:color w:val="0000FF" w:themeColor="hyperlink"/>
      <w:u w:val="none"/>
    </w:rPr>
  </w:style>
  <w:style w:type="character" w:styleId="af2">
    <w:name w:val="FollowedHyperlink"/>
    <w:basedOn w:val="a0"/>
    <w:rsid w:val="00D40EFD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8D7B1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8D7B19"/>
    <w:rPr>
      <w:lang w:val="ru-RU" w:eastAsia="en-US"/>
    </w:rPr>
  </w:style>
  <w:style w:type="character" w:customStyle="1" w:styleId="H1GChar">
    <w:name w:val="_ H_1_G Char"/>
    <w:link w:val="H1G"/>
    <w:locked/>
    <w:rsid w:val="008D7B19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8D7B19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8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MW/C/SR.479" TargetMode="External"/><Relationship Id="rId2" Type="http://schemas.openxmlformats.org/officeDocument/2006/relationships/hyperlink" Target="http://undocs.org/en/CMW/C/SR.478" TargetMode="External"/><Relationship Id="rId1" Type="http://schemas.openxmlformats.org/officeDocument/2006/relationships/hyperlink" Target="http://undocs.org/fr/CMW/C/BFA/2" TargetMode="External"/><Relationship Id="rId6" Type="http://schemas.openxmlformats.org/officeDocument/2006/relationships/hyperlink" Target="http://undocs.org/ru/HRI/GEN.2/Rev.6" TargetMode="External"/><Relationship Id="rId5" Type="http://schemas.openxmlformats.org/officeDocument/2006/relationships/hyperlink" Target="http://undocs.org/fr/CMW/C/BFA/CO/1" TargetMode="External"/><Relationship Id="rId4" Type="http://schemas.openxmlformats.org/officeDocument/2006/relationships/hyperlink" Target="http://undocs.org/fr/CMW/C/BFA/QPR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2</TotalTime>
  <Pages>12</Pages>
  <Words>4606</Words>
  <Characters>32633</Characters>
  <Application>Microsoft Office Word</Application>
  <DocSecurity>0</DocSecurity>
  <Lines>592</Lines>
  <Paragraphs>151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CMW/C/BFA/CO/2</vt:lpstr>
      <vt:lpstr>A/</vt:lpstr>
      <vt:lpstr>A/</vt:lpstr>
      <vt:lpstr>A/</vt:lpstr>
    </vt:vector>
  </TitlesOfParts>
  <Company>DCM</Company>
  <LinksUpToDate>false</LinksUpToDate>
  <CharactersWithSpaces>37157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CMW/C/BFA/CO/2</dc:title>
  <dc:subject/>
  <dc:creator>Shuvalova NATALIA</dc:creator>
  <cp:keywords/>
  <cp:lastModifiedBy>Natalia Shuvalova</cp:lastModifiedBy>
  <cp:revision>3</cp:revision>
  <cp:lastPrinted>2022-07-01T13:29:00Z</cp:lastPrinted>
  <dcterms:created xsi:type="dcterms:W3CDTF">2022-07-01T13:29:00Z</dcterms:created>
  <dcterms:modified xsi:type="dcterms:W3CDTF">2022-07-01T13:29:00Z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