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004BC0" w14:paraId="61F43E53" w14:textId="77777777" w:rsidTr="00981901">
        <w:trPr>
          <w:cantSplit/>
          <w:trHeight w:hRule="exact" w:val="851"/>
        </w:trPr>
        <w:tc>
          <w:tcPr>
            <w:tcW w:w="1276" w:type="dxa"/>
            <w:tcBorders>
              <w:bottom w:val="single" w:sz="4" w:space="0" w:color="auto"/>
            </w:tcBorders>
            <w:vAlign w:val="bottom"/>
          </w:tcPr>
          <w:p w14:paraId="7B4F1041" w14:textId="77777777" w:rsidR="001E498C" w:rsidRPr="00F43810" w:rsidRDefault="001E498C" w:rsidP="00981901">
            <w:pPr>
              <w:spacing w:after="80"/>
            </w:pPr>
          </w:p>
        </w:tc>
        <w:tc>
          <w:tcPr>
            <w:tcW w:w="2268" w:type="dxa"/>
            <w:tcBorders>
              <w:bottom w:val="single" w:sz="4" w:space="0" w:color="auto"/>
            </w:tcBorders>
            <w:vAlign w:val="bottom"/>
          </w:tcPr>
          <w:p w14:paraId="232F94F0" w14:textId="77777777" w:rsidR="001E498C" w:rsidRPr="00004BC0" w:rsidRDefault="00F43810" w:rsidP="00981901">
            <w:pPr>
              <w:spacing w:after="80" w:line="300" w:lineRule="exact"/>
              <w:rPr>
                <w:b/>
                <w:sz w:val="24"/>
                <w:szCs w:val="24"/>
              </w:rPr>
            </w:pPr>
            <w:r w:rsidRPr="00004BC0">
              <w:rPr>
                <w:sz w:val="28"/>
              </w:rPr>
              <w:t>Nations Unies</w:t>
            </w:r>
          </w:p>
        </w:tc>
        <w:tc>
          <w:tcPr>
            <w:tcW w:w="6095" w:type="dxa"/>
            <w:gridSpan w:val="2"/>
            <w:tcBorders>
              <w:bottom w:val="single" w:sz="4" w:space="0" w:color="auto"/>
            </w:tcBorders>
            <w:vAlign w:val="bottom"/>
          </w:tcPr>
          <w:p w14:paraId="73717075" w14:textId="169448C4" w:rsidR="001E498C" w:rsidRPr="00D62FF9" w:rsidRDefault="00D62FF9" w:rsidP="00D62FF9">
            <w:pPr>
              <w:suppressAutoHyphens w:val="0"/>
              <w:jc w:val="right"/>
              <w:rPr>
                <w:lang w:val="en-GB"/>
              </w:rPr>
            </w:pPr>
            <w:r w:rsidRPr="00D62FF9">
              <w:rPr>
                <w:sz w:val="40"/>
                <w:lang w:val="en-GB"/>
              </w:rPr>
              <w:t>CCPR</w:t>
            </w:r>
            <w:r>
              <w:rPr>
                <w:lang w:val="en-GB"/>
              </w:rPr>
              <w:t>/C/SEN/CO/5</w:t>
            </w:r>
          </w:p>
        </w:tc>
      </w:tr>
      <w:tr w:rsidR="001E498C" w:rsidRPr="00004BC0" w14:paraId="048B58C2" w14:textId="77777777" w:rsidTr="00981901">
        <w:trPr>
          <w:cantSplit/>
          <w:trHeight w:hRule="exact" w:val="2835"/>
        </w:trPr>
        <w:tc>
          <w:tcPr>
            <w:tcW w:w="1276" w:type="dxa"/>
            <w:tcBorders>
              <w:top w:val="single" w:sz="4" w:space="0" w:color="auto"/>
              <w:bottom w:val="single" w:sz="12" w:space="0" w:color="auto"/>
            </w:tcBorders>
          </w:tcPr>
          <w:p w14:paraId="7207DFE0" w14:textId="77777777" w:rsidR="001E498C" w:rsidRPr="00004BC0" w:rsidRDefault="001E498C" w:rsidP="00981901">
            <w:pPr>
              <w:spacing w:before="120"/>
              <w:jc w:val="center"/>
            </w:pPr>
            <w:r w:rsidRPr="00004BC0">
              <w:rPr>
                <w:noProof/>
                <w:lang w:val="en-GB" w:eastAsia="en-GB"/>
              </w:rPr>
              <w:drawing>
                <wp:inline distT="0" distB="0" distL="0" distR="0" wp14:anchorId="5C5429FB" wp14:editId="23DB6A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247988" w14:textId="77777777" w:rsidR="001E498C" w:rsidRPr="00004BC0" w:rsidRDefault="00B002C4" w:rsidP="00684555">
            <w:pPr>
              <w:spacing w:before="120" w:line="380" w:lineRule="exact"/>
            </w:pPr>
            <w:r w:rsidRPr="00004BC0">
              <w:rPr>
                <w:b/>
                <w:sz w:val="34"/>
                <w:szCs w:val="34"/>
              </w:rPr>
              <w:t>Pacte international relatif</w:t>
            </w:r>
            <w:r w:rsidRPr="00004BC0">
              <w:rPr>
                <w:b/>
                <w:sz w:val="34"/>
                <w:szCs w:val="34"/>
              </w:rPr>
              <w:br/>
              <w:t>aux droits civils et politiques</w:t>
            </w:r>
          </w:p>
        </w:tc>
        <w:tc>
          <w:tcPr>
            <w:tcW w:w="2835" w:type="dxa"/>
            <w:tcBorders>
              <w:top w:val="single" w:sz="4" w:space="0" w:color="auto"/>
              <w:bottom w:val="single" w:sz="12" w:space="0" w:color="auto"/>
            </w:tcBorders>
          </w:tcPr>
          <w:p w14:paraId="19571247" w14:textId="7942A7F6" w:rsidR="001E498C" w:rsidRPr="00004BC0" w:rsidRDefault="000D6818" w:rsidP="00B15B73">
            <w:pPr>
              <w:suppressAutoHyphens w:val="0"/>
              <w:spacing w:before="240" w:line="240" w:lineRule="exact"/>
            </w:pPr>
            <w:proofErr w:type="spellStart"/>
            <w:r w:rsidRPr="00004BC0">
              <w:t>Distr</w:t>
            </w:r>
            <w:proofErr w:type="spellEnd"/>
            <w:r w:rsidRPr="00004BC0">
              <w:t>.</w:t>
            </w:r>
            <w:r w:rsidR="006E47F8" w:rsidRPr="00004BC0">
              <w:t xml:space="preserve"> g</w:t>
            </w:r>
            <w:r w:rsidR="00B15B73" w:rsidRPr="00004BC0">
              <w:t>é</w:t>
            </w:r>
            <w:r w:rsidR="006E47F8" w:rsidRPr="00004BC0">
              <w:t>n</w:t>
            </w:r>
            <w:r w:rsidR="00B15B73" w:rsidRPr="00004BC0">
              <w:t>é</w:t>
            </w:r>
            <w:r w:rsidR="006E47F8" w:rsidRPr="00004BC0">
              <w:t>rale</w:t>
            </w:r>
          </w:p>
          <w:p w14:paraId="3C64E64A" w14:textId="4ACED7F6" w:rsidR="001E498C" w:rsidRPr="00004BC0" w:rsidRDefault="00E51EE1" w:rsidP="00435FB2">
            <w:pPr>
              <w:suppressAutoHyphens w:val="0"/>
            </w:pPr>
            <w:r>
              <w:t>1</w:t>
            </w:r>
            <w:r w:rsidR="007038DA">
              <w:t>1</w:t>
            </w:r>
            <w:r w:rsidR="00004BC0">
              <w:t> décembre </w:t>
            </w:r>
            <w:r w:rsidR="00E82DD9" w:rsidRPr="00004BC0">
              <w:t>2019</w:t>
            </w:r>
          </w:p>
          <w:p w14:paraId="05E37D14" w14:textId="19BE06B8" w:rsidR="006056E0" w:rsidRPr="00004BC0" w:rsidRDefault="009803E2" w:rsidP="00981901">
            <w:pPr>
              <w:suppressAutoHyphens w:val="0"/>
            </w:pPr>
            <w:r w:rsidRPr="00004BC0">
              <w:fldChar w:fldCharType="begin"/>
            </w:r>
            <w:r w:rsidRPr="00004BC0">
              <w:instrText xml:space="preserve"> DOCPROPERTY  tlang  \* MERGEFORMAT </w:instrText>
            </w:r>
            <w:r w:rsidRPr="00004BC0">
              <w:fldChar w:fldCharType="end"/>
            </w:r>
          </w:p>
          <w:p w14:paraId="034213BA" w14:textId="77777777" w:rsidR="009803E2" w:rsidRPr="00004BC0" w:rsidRDefault="009803E2" w:rsidP="00981901">
            <w:pPr>
              <w:suppressAutoHyphens w:val="0"/>
            </w:pPr>
            <w:r w:rsidRPr="00004BC0">
              <w:t xml:space="preserve">Original : français </w:t>
            </w:r>
          </w:p>
          <w:p w14:paraId="18FB8789" w14:textId="7228ECA2" w:rsidR="006056E0" w:rsidRPr="00004BC0" w:rsidRDefault="005A23F3" w:rsidP="006E47F8">
            <w:pPr>
              <w:suppressAutoHyphens w:val="0"/>
            </w:pPr>
            <w:r>
              <w:fldChar w:fldCharType="begin"/>
            </w:r>
            <w:r>
              <w:instrText xml:space="preserve"> DOCPROPERTY  virs  \* MERGEFORMAT </w:instrText>
            </w:r>
            <w:r>
              <w:fldChar w:fldCharType="separate"/>
            </w:r>
            <w:r>
              <w:t>Anglais, espagnol et français seulement</w:t>
            </w:r>
            <w:r>
              <w:fldChar w:fldCharType="end"/>
            </w:r>
          </w:p>
        </w:tc>
      </w:tr>
    </w:tbl>
    <w:p w14:paraId="70D8C79E" w14:textId="77777777" w:rsidR="00B002C4" w:rsidRPr="00004BC0" w:rsidRDefault="00B002C4" w:rsidP="00B002C4">
      <w:pPr>
        <w:spacing w:before="120"/>
        <w:rPr>
          <w:b/>
          <w:sz w:val="24"/>
          <w:szCs w:val="24"/>
        </w:rPr>
      </w:pPr>
      <w:r w:rsidRPr="00004BC0">
        <w:rPr>
          <w:b/>
          <w:sz w:val="24"/>
          <w:szCs w:val="24"/>
        </w:rPr>
        <w:t>Comité des droits de l’homme</w:t>
      </w:r>
    </w:p>
    <w:p w14:paraId="102F1E07" w14:textId="3844C112" w:rsidR="00561DFB" w:rsidRPr="00004BC0" w:rsidRDefault="00561DFB" w:rsidP="00561DFB">
      <w:pPr>
        <w:pStyle w:val="HChG"/>
      </w:pPr>
      <w:r w:rsidRPr="00004BC0">
        <w:tab/>
      </w:r>
      <w:r w:rsidRPr="00004BC0">
        <w:tab/>
      </w:r>
      <w:r w:rsidR="008B3B03" w:rsidRPr="00004BC0">
        <w:t>Observations finales</w:t>
      </w:r>
      <w:r w:rsidRPr="00004BC0">
        <w:t xml:space="preserve"> concernant le cinquième rapport périodique du Sénégal</w:t>
      </w:r>
      <w:r w:rsidR="006E47F8" w:rsidRPr="00004BC0">
        <w:rPr>
          <w:rStyle w:val="Appelnotedebasdep"/>
          <w:b w:val="0"/>
          <w:sz w:val="20"/>
          <w:vertAlign w:val="baseline"/>
        </w:rPr>
        <w:footnoteReference w:customMarkFollows="1" w:id="2"/>
        <w:t>*</w:t>
      </w:r>
    </w:p>
    <w:p w14:paraId="58498FA7" w14:textId="59320F78" w:rsidR="00E16D66" w:rsidRPr="00004BC0" w:rsidRDefault="00E16D66" w:rsidP="00E16D66">
      <w:pPr>
        <w:pStyle w:val="SingleTxtG"/>
      </w:pPr>
      <w:r w:rsidRPr="00004BC0">
        <w:t>1.</w:t>
      </w:r>
      <w:r w:rsidRPr="00004BC0">
        <w:tab/>
        <w:t>Le Comité des droits de l’homme a examiné le cinquième rapport périodique du Sénégal (CCPR/C/SEN/5) à ses 3649</w:t>
      </w:r>
      <w:r w:rsidRPr="00600E2D">
        <w:rPr>
          <w:vertAlign w:val="superscript"/>
        </w:rPr>
        <w:t>e</w:t>
      </w:r>
      <w:r w:rsidRPr="00004BC0">
        <w:t xml:space="preserve"> et 3650</w:t>
      </w:r>
      <w:r w:rsidRPr="00600E2D">
        <w:rPr>
          <w:vertAlign w:val="superscript"/>
        </w:rPr>
        <w:t>e</w:t>
      </w:r>
      <w:r w:rsidRPr="00004BC0">
        <w:t xml:space="preserve"> séances (voir CCPR/C/SR.3649 et 3650)</w:t>
      </w:r>
      <w:r w:rsidR="007E6128" w:rsidRPr="00004BC0">
        <w:t>,</w:t>
      </w:r>
      <w:r w:rsidRPr="00004BC0">
        <w:t xml:space="preserve"> les 14 et 15 octobre 2019. À sa 3675</w:t>
      </w:r>
      <w:r w:rsidRPr="00600E2D">
        <w:rPr>
          <w:vertAlign w:val="superscript"/>
        </w:rPr>
        <w:t>e</w:t>
      </w:r>
      <w:r w:rsidRPr="00004BC0">
        <w:t xml:space="preserve"> séance, le 31 octobre 2019, il a adopté les observations finales ci-après.</w:t>
      </w:r>
    </w:p>
    <w:p w14:paraId="1918E38B" w14:textId="77777777" w:rsidR="00E16D66" w:rsidRPr="00004BC0" w:rsidRDefault="00E16D66" w:rsidP="00E16D66">
      <w:pPr>
        <w:pStyle w:val="H1G"/>
      </w:pPr>
      <w:r w:rsidRPr="00004BC0">
        <w:tab/>
        <w:t>A.</w:t>
      </w:r>
      <w:r w:rsidRPr="00004BC0">
        <w:tab/>
        <w:t>Introduction</w:t>
      </w:r>
    </w:p>
    <w:p w14:paraId="6ADE1838" w14:textId="1964C77F" w:rsidR="00E16D66" w:rsidRPr="00004BC0" w:rsidRDefault="00E16D66" w:rsidP="007E6128">
      <w:pPr>
        <w:pStyle w:val="SingleTxtG"/>
      </w:pPr>
      <w:r w:rsidRPr="00004BC0">
        <w:t>2.</w:t>
      </w:r>
      <w:r w:rsidRPr="00004BC0">
        <w:tab/>
        <w:t xml:space="preserve">Le Comité sait gré à l’État partie de lui avoir soumis, quoiqu’avec un retard considérable, son cinquième rapport périodique. </w:t>
      </w:r>
      <w:r w:rsidR="007E6128" w:rsidRPr="00004BC0">
        <w:t>Il</w:t>
      </w:r>
      <w:r w:rsidRPr="00004BC0">
        <w:t xml:space="preserve"> apprécie l’occasion qui lui a été donnée d’engager un dialogue</w:t>
      </w:r>
      <w:r w:rsidR="006601BC" w:rsidRPr="00004BC0">
        <w:t xml:space="preserve"> constructif avec la délégation</w:t>
      </w:r>
      <w:r w:rsidR="005C5638" w:rsidRPr="00600E2D">
        <w:t xml:space="preserve"> </w:t>
      </w:r>
      <w:r w:rsidRPr="00004BC0">
        <w:t xml:space="preserve">de l’État partie sur les mesures prises par celui-ci pour donner effet aux dispositions du Pacte. Il remercie également l’État partie pour les réponses écrites (CCPR/C/SEN/Q/5/Add.1) </w:t>
      </w:r>
      <w:r w:rsidR="007E6128" w:rsidRPr="00004BC0">
        <w:t xml:space="preserve">apportées </w:t>
      </w:r>
      <w:r w:rsidRPr="00004BC0">
        <w:t>à sa liste de points (CCPR/C/SEN/Q/5</w:t>
      </w:r>
      <w:r w:rsidR="000A6509" w:rsidRPr="00004BC0">
        <w:t>)</w:t>
      </w:r>
      <w:r w:rsidRPr="00004BC0">
        <w:t xml:space="preserve">. </w:t>
      </w:r>
    </w:p>
    <w:p w14:paraId="65541C8B" w14:textId="77777777" w:rsidR="00E16D66" w:rsidRPr="00004BC0" w:rsidRDefault="00E16D66" w:rsidP="00E16D66">
      <w:pPr>
        <w:pStyle w:val="H1G"/>
      </w:pPr>
      <w:r w:rsidRPr="00004BC0">
        <w:tab/>
        <w:t>B.</w:t>
      </w:r>
      <w:r w:rsidRPr="00004BC0">
        <w:tab/>
        <w:t xml:space="preserve">Aspects positifs </w:t>
      </w:r>
    </w:p>
    <w:p w14:paraId="66D7F89B" w14:textId="1530A715" w:rsidR="000C1293" w:rsidRPr="00004BC0" w:rsidRDefault="00E16D66" w:rsidP="00E16D66">
      <w:pPr>
        <w:pStyle w:val="SingleTxtG"/>
      </w:pPr>
      <w:r w:rsidRPr="00004BC0">
        <w:t>3.</w:t>
      </w:r>
      <w:r w:rsidRPr="00004BC0">
        <w:tab/>
      </w:r>
      <w:r w:rsidR="00541E18" w:rsidRPr="00004BC0">
        <w:t>Le Comité salue l’adoption par l’État partie des mesures législatives et institutionnelles ci-après</w:t>
      </w:r>
      <w:r w:rsidR="007E6128" w:rsidRPr="00004BC0">
        <w:t> </w:t>
      </w:r>
      <w:r w:rsidRPr="00004BC0">
        <w:t>:</w:t>
      </w:r>
    </w:p>
    <w:p w14:paraId="43DABA37" w14:textId="512486C8" w:rsidR="00F01051" w:rsidRPr="00004BC0" w:rsidRDefault="00F01051" w:rsidP="007038DA">
      <w:pPr>
        <w:pStyle w:val="SingleTxtG"/>
        <w:ind w:firstLine="567"/>
        <w:rPr>
          <w:lang w:val="fr-FR"/>
        </w:rPr>
      </w:pPr>
      <w:r w:rsidRPr="00004BC0">
        <w:rPr>
          <w:lang w:val="fr-FR"/>
        </w:rPr>
        <w:t>a)</w:t>
      </w:r>
      <w:r w:rsidRPr="00004BC0">
        <w:rPr>
          <w:lang w:val="fr-FR"/>
        </w:rPr>
        <w:tab/>
        <w:t xml:space="preserve">La loi </w:t>
      </w:r>
      <w:r w:rsidR="007038DA" w:rsidRPr="00004BC0">
        <w:t>n</w:t>
      </w:r>
      <w:r w:rsidR="007038DA" w:rsidRPr="009648D4">
        <w:rPr>
          <w:vertAlign w:val="superscript"/>
        </w:rPr>
        <w:t>o</w:t>
      </w:r>
      <w:r w:rsidR="007038DA">
        <w:t> </w:t>
      </w:r>
      <w:r w:rsidRPr="00004BC0">
        <w:rPr>
          <w:lang w:val="fr-FR"/>
        </w:rPr>
        <w:t xml:space="preserve">2004-38 du 28 décembre 2004 </w:t>
      </w:r>
      <w:r w:rsidR="00C91AE6" w:rsidRPr="00004BC0">
        <w:rPr>
          <w:lang w:val="fr-FR"/>
        </w:rPr>
        <w:t>portant abolition de</w:t>
      </w:r>
      <w:r w:rsidRPr="00004BC0">
        <w:rPr>
          <w:lang w:val="fr-FR"/>
        </w:rPr>
        <w:t xml:space="preserve"> la peine de mort ;</w:t>
      </w:r>
    </w:p>
    <w:p w14:paraId="2C484133" w14:textId="5C5CF443" w:rsidR="00A0220E" w:rsidRPr="00004BC0" w:rsidRDefault="0081596B" w:rsidP="007038DA">
      <w:pPr>
        <w:pStyle w:val="SingleTxtG"/>
        <w:ind w:firstLine="567"/>
      </w:pPr>
      <w:r w:rsidRPr="00004BC0">
        <w:t>b</w:t>
      </w:r>
      <w:r w:rsidR="005C5638" w:rsidRPr="00004BC0">
        <w:t>)</w:t>
      </w:r>
      <w:r w:rsidR="005C5638" w:rsidRPr="00004BC0">
        <w:tab/>
        <w:t xml:space="preserve">La loi </w:t>
      </w:r>
      <w:r w:rsidR="007038DA" w:rsidRPr="00004BC0">
        <w:t>n</w:t>
      </w:r>
      <w:r w:rsidR="007038DA" w:rsidRPr="009648D4">
        <w:rPr>
          <w:vertAlign w:val="superscript"/>
        </w:rPr>
        <w:t>o</w:t>
      </w:r>
      <w:r w:rsidR="007038DA">
        <w:t> </w:t>
      </w:r>
      <w:r w:rsidR="005C5638" w:rsidRPr="00004BC0">
        <w:t xml:space="preserve">2010-11 du 28 mai 2010 instituant la parité absolue </w:t>
      </w:r>
      <w:r w:rsidR="00A46B77" w:rsidRPr="00004BC0">
        <w:t>h</w:t>
      </w:r>
      <w:r w:rsidR="005C5638" w:rsidRPr="00004BC0">
        <w:t>omme-</w:t>
      </w:r>
      <w:r w:rsidR="00A46B77" w:rsidRPr="00004BC0">
        <w:t>f</w:t>
      </w:r>
      <w:r w:rsidR="005C5638" w:rsidRPr="00004BC0">
        <w:t>emme dans toutes les institutions totalement ou partiellement électives</w:t>
      </w:r>
      <w:r w:rsidR="00A46B77" w:rsidRPr="00004BC0">
        <w:t>,</w:t>
      </w:r>
      <w:r w:rsidR="005C5638" w:rsidRPr="00004BC0">
        <w:t xml:space="preserve"> dont la mise en œuvre est suivie par </w:t>
      </w:r>
      <w:r w:rsidR="00A46B77" w:rsidRPr="00004BC0">
        <w:t>l’</w:t>
      </w:r>
      <w:r w:rsidR="005C5638" w:rsidRPr="00004BC0">
        <w:t>Observatoire national de la parité ;</w:t>
      </w:r>
      <w:r w:rsidR="008D3F2E" w:rsidRPr="00004BC0" w:rsidDel="008D3F2E">
        <w:t xml:space="preserve"> </w:t>
      </w:r>
    </w:p>
    <w:p w14:paraId="6AFA09FB" w14:textId="53683323" w:rsidR="005C5638" w:rsidRPr="00004BC0" w:rsidRDefault="0081596B" w:rsidP="007038DA">
      <w:pPr>
        <w:pStyle w:val="SingleTxtG"/>
        <w:ind w:firstLine="567"/>
      </w:pPr>
      <w:r w:rsidRPr="00004BC0">
        <w:t>c</w:t>
      </w:r>
      <w:r w:rsidR="005C5638" w:rsidRPr="00004BC0">
        <w:t>)</w:t>
      </w:r>
      <w:r w:rsidR="005C5638" w:rsidRPr="00004BC0">
        <w:tab/>
        <w:t xml:space="preserve">La loi </w:t>
      </w:r>
      <w:r w:rsidR="007038DA" w:rsidRPr="00004BC0">
        <w:t>n</w:t>
      </w:r>
      <w:r w:rsidR="007038DA" w:rsidRPr="009648D4">
        <w:rPr>
          <w:vertAlign w:val="superscript"/>
        </w:rPr>
        <w:t>o</w:t>
      </w:r>
      <w:r w:rsidR="007038DA">
        <w:t> </w:t>
      </w:r>
      <w:r w:rsidR="005C5638" w:rsidRPr="00004BC0">
        <w:t xml:space="preserve">2013-05 </w:t>
      </w:r>
      <w:r w:rsidR="00A46B77" w:rsidRPr="00004BC0">
        <w:t xml:space="preserve">du 8 juillet 2013 </w:t>
      </w:r>
      <w:r w:rsidR="005C5638" w:rsidRPr="00004BC0">
        <w:t xml:space="preserve">portant modification de la loi </w:t>
      </w:r>
      <w:r w:rsidR="007038DA" w:rsidRPr="00004BC0">
        <w:t>n</w:t>
      </w:r>
      <w:r w:rsidR="007038DA" w:rsidRPr="009648D4">
        <w:rPr>
          <w:vertAlign w:val="superscript"/>
        </w:rPr>
        <w:t>o</w:t>
      </w:r>
      <w:r w:rsidR="007038DA">
        <w:t> </w:t>
      </w:r>
      <w:r w:rsidR="005C5638" w:rsidRPr="00004BC0">
        <w:t>61-10 du 7</w:t>
      </w:r>
      <w:r w:rsidR="007038DA">
        <w:t> </w:t>
      </w:r>
      <w:r w:rsidR="005C5638" w:rsidRPr="00004BC0">
        <w:t xml:space="preserve">mars 1961 </w:t>
      </w:r>
      <w:r w:rsidR="00A46B77" w:rsidRPr="00004BC0">
        <w:t>déterminant</w:t>
      </w:r>
      <w:r w:rsidR="005C5638" w:rsidRPr="00004BC0">
        <w:t xml:space="preserve"> la nationalité, </w:t>
      </w:r>
      <w:r w:rsidR="00231E82" w:rsidRPr="00004BC0">
        <w:t xml:space="preserve">qui </w:t>
      </w:r>
      <w:r w:rsidR="005C5638" w:rsidRPr="00004BC0">
        <w:t>permet à l’époux étranger d’une femme sénégalaise et à leurs enfants d’acquérir la nationalité ;</w:t>
      </w:r>
    </w:p>
    <w:p w14:paraId="155DD4D4" w14:textId="7232B0E8" w:rsidR="005C5638" w:rsidRPr="00004BC0" w:rsidRDefault="0081596B" w:rsidP="007038DA">
      <w:pPr>
        <w:pStyle w:val="SingleTxtG"/>
        <w:ind w:firstLine="567"/>
      </w:pPr>
      <w:r w:rsidRPr="00004BC0">
        <w:t>d</w:t>
      </w:r>
      <w:r w:rsidR="005C5638" w:rsidRPr="00004BC0">
        <w:t>)</w:t>
      </w:r>
      <w:r w:rsidR="005C5638" w:rsidRPr="00004BC0">
        <w:tab/>
        <w:t>L</w:t>
      </w:r>
      <w:r w:rsidR="00BB7A00" w:rsidRPr="00004BC0">
        <w:t>a</w:t>
      </w:r>
      <w:r w:rsidR="005C5638" w:rsidRPr="00004BC0">
        <w:t xml:space="preserve"> loi </w:t>
      </w:r>
      <w:r w:rsidR="007038DA" w:rsidRPr="00004BC0">
        <w:t>n</w:t>
      </w:r>
      <w:r w:rsidR="007038DA" w:rsidRPr="009648D4">
        <w:rPr>
          <w:vertAlign w:val="superscript"/>
        </w:rPr>
        <w:t>o</w:t>
      </w:r>
      <w:r w:rsidR="007038DA">
        <w:t> </w:t>
      </w:r>
      <w:r w:rsidR="005C5638" w:rsidRPr="00004BC0">
        <w:t xml:space="preserve">2014-26 du 3 novembre 2014 fixant l’organisation judiciaire </w:t>
      </w:r>
      <w:r w:rsidR="006601BC" w:rsidRPr="00004BC0">
        <w:t>et son</w:t>
      </w:r>
      <w:r w:rsidR="005C5638" w:rsidRPr="00004BC0">
        <w:t xml:space="preserve"> décret </w:t>
      </w:r>
      <w:r w:rsidR="007038DA" w:rsidRPr="00004BC0">
        <w:t>n</w:t>
      </w:r>
      <w:r w:rsidR="007038DA" w:rsidRPr="009648D4">
        <w:rPr>
          <w:vertAlign w:val="superscript"/>
        </w:rPr>
        <w:t>o</w:t>
      </w:r>
      <w:r w:rsidR="007038DA">
        <w:t> </w:t>
      </w:r>
      <w:r w:rsidR="005C5638" w:rsidRPr="00004BC0">
        <w:t>2015-1039</w:t>
      </w:r>
      <w:r w:rsidR="00C91AE6" w:rsidRPr="00004BC0">
        <w:t xml:space="preserve"> du 20 juillet 2015,</w:t>
      </w:r>
      <w:r w:rsidR="005C5638" w:rsidRPr="00004BC0">
        <w:t xml:space="preserve"> </w:t>
      </w:r>
      <w:r w:rsidR="00231E82" w:rsidRPr="00004BC0">
        <w:t xml:space="preserve">qui </w:t>
      </w:r>
      <w:r w:rsidR="00C91AE6" w:rsidRPr="00004BC0">
        <w:t>cré</w:t>
      </w:r>
      <w:r w:rsidR="00231E82" w:rsidRPr="00004BC0">
        <w:t>e</w:t>
      </w:r>
      <w:r w:rsidR="00C91AE6" w:rsidRPr="00004BC0">
        <w:t>nt</w:t>
      </w:r>
      <w:r w:rsidR="006601BC" w:rsidRPr="00004BC0">
        <w:t xml:space="preserve"> des tribunaux de grande instance et des tribunaux d’instance, des chambres criminelles à la place des </w:t>
      </w:r>
      <w:r w:rsidR="00C91AE6" w:rsidRPr="00004BC0">
        <w:t>c</w:t>
      </w:r>
      <w:r w:rsidR="006601BC" w:rsidRPr="00004BC0">
        <w:t>ours d’assises</w:t>
      </w:r>
      <w:r w:rsidR="00231E82" w:rsidRPr="00004BC0">
        <w:t>,</w:t>
      </w:r>
      <w:r w:rsidR="006601BC" w:rsidRPr="00004BC0">
        <w:t xml:space="preserve"> et </w:t>
      </w:r>
      <w:r w:rsidR="00231E82" w:rsidRPr="00004BC0">
        <w:t>prennent</w:t>
      </w:r>
      <w:r w:rsidR="006601BC" w:rsidRPr="00004BC0">
        <w:t xml:space="preserve"> en compte une justice de proximité ;</w:t>
      </w:r>
    </w:p>
    <w:p w14:paraId="4BBA7932" w14:textId="0C7BBF72" w:rsidR="0082329B" w:rsidRPr="00004BC0" w:rsidRDefault="0081596B" w:rsidP="007038DA">
      <w:pPr>
        <w:pStyle w:val="SingleTxtG"/>
        <w:ind w:firstLine="567"/>
      </w:pPr>
      <w:r w:rsidRPr="00004BC0">
        <w:t>e</w:t>
      </w:r>
      <w:r w:rsidR="0082329B" w:rsidRPr="00004BC0">
        <w:t>)</w:t>
      </w:r>
      <w:r w:rsidR="0082329B" w:rsidRPr="00004BC0">
        <w:tab/>
      </w:r>
      <w:r w:rsidR="00BB7A00" w:rsidRPr="00004BC0">
        <w:t xml:space="preserve">La </w:t>
      </w:r>
      <w:r w:rsidR="00231E82" w:rsidRPr="00004BC0">
        <w:t>l</w:t>
      </w:r>
      <w:r w:rsidR="0082329B" w:rsidRPr="00004BC0">
        <w:t xml:space="preserve">oi </w:t>
      </w:r>
      <w:r w:rsidR="007038DA" w:rsidRPr="00004BC0">
        <w:t>n</w:t>
      </w:r>
      <w:r w:rsidR="007038DA" w:rsidRPr="009648D4">
        <w:rPr>
          <w:vertAlign w:val="superscript"/>
        </w:rPr>
        <w:t>o</w:t>
      </w:r>
      <w:r w:rsidR="007038DA">
        <w:t> </w:t>
      </w:r>
      <w:r w:rsidR="0082329B" w:rsidRPr="00004BC0">
        <w:t>2016-29</w:t>
      </w:r>
      <w:bookmarkStart w:id="0" w:name="_GoBack"/>
      <w:bookmarkEnd w:id="0"/>
      <w:r w:rsidR="0082329B" w:rsidRPr="00004BC0">
        <w:t xml:space="preserve"> du 8 novembre 2016 </w:t>
      </w:r>
      <w:r w:rsidR="00231E82" w:rsidRPr="00004BC0">
        <w:t>modifiant la loi n</w:t>
      </w:r>
      <w:r w:rsidR="00231E82" w:rsidRPr="00600E2D">
        <w:rPr>
          <w:vertAlign w:val="superscript"/>
        </w:rPr>
        <w:t>o</w:t>
      </w:r>
      <w:r w:rsidR="00231E82" w:rsidRPr="00004BC0">
        <w:t xml:space="preserve"> 65-60 du 21 juillet 1965 </w:t>
      </w:r>
      <w:r w:rsidR="0082329B" w:rsidRPr="00004BC0">
        <w:t>portant Code pénal</w:t>
      </w:r>
      <w:r w:rsidR="00231E82" w:rsidRPr="00004BC0">
        <w:t>,</w:t>
      </w:r>
      <w:r w:rsidR="0082329B" w:rsidRPr="00004BC0">
        <w:t xml:space="preserve"> </w:t>
      </w:r>
      <w:r w:rsidR="00231E82" w:rsidRPr="00004BC0">
        <w:t xml:space="preserve">qui </w:t>
      </w:r>
      <w:r w:rsidR="0082329B" w:rsidRPr="00004BC0">
        <w:t xml:space="preserve">introduit des peines </w:t>
      </w:r>
      <w:r w:rsidR="00231E82" w:rsidRPr="00004BC0">
        <w:t>de substitution</w:t>
      </w:r>
      <w:r w:rsidR="0082329B" w:rsidRPr="00004BC0">
        <w:t xml:space="preserve"> à l’incarcération du condamné ;</w:t>
      </w:r>
    </w:p>
    <w:p w14:paraId="4BC84523" w14:textId="3C7A9F8A" w:rsidR="00A0220E" w:rsidRPr="00004BC0" w:rsidRDefault="0081596B" w:rsidP="007038DA">
      <w:pPr>
        <w:pStyle w:val="SingleTxtG"/>
        <w:ind w:firstLine="567"/>
      </w:pPr>
      <w:r w:rsidRPr="00004BC0">
        <w:lastRenderedPageBreak/>
        <w:t>f</w:t>
      </w:r>
      <w:r w:rsidR="00A0220E" w:rsidRPr="00004BC0">
        <w:t>)</w:t>
      </w:r>
      <w:r w:rsidR="00A0220E" w:rsidRPr="00004BC0">
        <w:tab/>
        <w:t xml:space="preserve">La </w:t>
      </w:r>
      <w:r w:rsidR="00231E82" w:rsidRPr="00004BC0">
        <w:t>l</w:t>
      </w:r>
      <w:r w:rsidR="00A0220E" w:rsidRPr="00004BC0">
        <w:t xml:space="preserve">oi </w:t>
      </w:r>
      <w:r w:rsidR="007038DA" w:rsidRPr="00004BC0">
        <w:t>n</w:t>
      </w:r>
      <w:r w:rsidR="007038DA" w:rsidRPr="009648D4">
        <w:rPr>
          <w:vertAlign w:val="superscript"/>
        </w:rPr>
        <w:t>o</w:t>
      </w:r>
      <w:r w:rsidR="007038DA">
        <w:t> </w:t>
      </w:r>
      <w:r w:rsidR="00A0220E" w:rsidRPr="00004BC0">
        <w:t xml:space="preserve">2016-30 </w:t>
      </w:r>
      <w:r w:rsidR="00231E82" w:rsidRPr="00004BC0">
        <w:t>du 8 novembre</w:t>
      </w:r>
      <w:r w:rsidR="00A0220E" w:rsidRPr="00004BC0">
        <w:t xml:space="preserve"> 2016 modifiant la loi n</w:t>
      </w:r>
      <w:r w:rsidR="007038DA" w:rsidRPr="00600E2D">
        <w:rPr>
          <w:vertAlign w:val="superscript"/>
        </w:rPr>
        <w:t>o</w:t>
      </w:r>
      <w:r w:rsidR="007038DA">
        <w:t> </w:t>
      </w:r>
      <w:r w:rsidR="00A0220E" w:rsidRPr="00004BC0">
        <w:t xml:space="preserve">65-61 du 21 juillet 1965 portant Code de procédure pénale, qui renforce, entre autres, les garanties juridiques fondamentales et institue la tenue permanente des audiences des chambres </w:t>
      </w:r>
      <w:r w:rsidR="00C33E8E" w:rsidRPr="00004BC0">
        <w:t>criminelles ;</w:t>
      </w:r>
    </w:p>
    <w:p w14:paraId="76C59F54" w14:textId="549C4B48" w:rsidR="00485DCB" w:rsidRPr="00004BC0" w:rsidRDefault="0081596B" w:rsidP="007038DA">
      <w:pPr>
        <w:pStyle w:val="SingleTxtG"/>
        <w:ind w:firstLine="567"/>
      </w:pPr>
      <w:r w:rsidRPr="00004BC0">
        <w:t>g</w:t>
      </w:r>
      <w:r w:rsidR="00BB7A00" w:rsidRPr="00004BC0">
        <w:t>)</w:t>
      </w:r>
      <w:r w:rsidR="00BB7A00" w:rsidRPr="00004BC0">
        <w:tab/>
      </w:r>
      <w:r w:rsidR="00A0220E" w:rsidRPr="00004BC0">
        <w:t xml:space="preserve">La </w:t>
      </w:r>
      <w:r w:rsidR="00231E82" w:rsidRPr="00004BC0">
        <w:t>l</w:t>
      </w:r>
      <w:r w:rsidR="00A0220E" w:rsidRPr="00004BC0">
        <w:t xml:space="preserve">oi organique </w:t>
      </w:r>
      <w:r w:rsidR="007038DA" w:rsidRPr="00004BC0">
        <w:t>n</w:t>
      </w:r>
      <w:r w:rsidR="007038DA" w:rsidRPr="009648D4">
        <w:rPr>
          <w:vertAlign w:val="superscript"/>
        </w:rPr>
        <w:t>o</w:t>
      </w:r>
      <w:r w:rsidR="007038DA">
        <w:t> </w:t>
      </w:r>
      <w:r w:rsidR="00A0220E" w:rsidRPr="00004BC0">
        <w:t xml:space="preserve">2017-09 </w:t>
      </w:r>
      <w:r w:rsidR="00231E82" w:rsidRPr="00004BC0">
        <w:t>du 17 janvier</w:t>
      </w:r>
      <w:r w:rsidR="00A0220E" w:rsidRPr="00004BC0">
        <w:t xml:space="preserve"> 2017 abrogeant et remplaçant la loi organique </w:t>
      </w:r>
      <w:r w:rsidR="007038DA" w:rsidRPr="00004BC0">
        <w:t>n</w:t>
      </w:r>
      <w:r w:rsidR="007038DA" w:rsidRPr="009648D4">
        <w:rPr>
          <w:vertAlign w:val="superscript"/>
        </w:rPr>
        <w:t>o</w:t>
      </w:r>
      <w:r w:rsidR="007038DA">
        <w:t> </w:t>
      </w:r>
      <w:r w:rsidR="00A0220E" w:rsidRPr="00004BC0">
        <w:t xml:space="preserve">2008-35 </w:t>
      </w:r>
      <w:r w:rsidR="00231E82" w:rsidRPr="00004BC0">
        <w:t>du 8 août</w:t>
      </w:r>
      <w:r w:rsidR="00A0220E" w:rsidRPr="00004BC0">
        <w:t xml:space="preserve"> 2008 sur la Cour suprême, </w:t>
      </w:r>
      <w:r w:rsidR="00231E82" w:rsidRPr="00004BC0">
        <w:t>qui prévoit</w:t>
      </w:r>
      <w:r w:rsidR="00C33E8E" w:rsidRPr="00004BC0">
        <w:t xml:space="preserve"> </w:t>
      </w:r>
      <w:r w:rsidR="00A0220E" w:rsidRPr="00004BC0">
        <w:t>une procédure d’indemnisation des victim</w:t>
      </w:r>
      <w:r w:rsidR="001038A0" w:rsidRPr="00004BC0">
        <w:t>es de détention de longue durée ;</w:t>
      </w:r>
    </w:p>
    <w:p w14:paraId="167E3DD9" w14:textId="72E77472" w:rsidR="00485DCB" w:rsidRPr="00004BC0" w:rsidRDefault="0081596B" w:rsidP="007038DA">
      <w:pPr>
        <w:pStyle w:val="SingleTxtG"/>
        <w:ind w:firstLine="567"/>
      </w:pPr>
      <w:r w:rsidRPr="00004BC0">
        <w:t>h</w:t>
      </w:r>
      <w:r w:rsidR="00BB7A00" w:rsidRPr="00004BC0">
        <w:t>)</w:t>
      </w:r>
      <w:r w:rsidR="00BB7A00" w:rsidRPr="00004BC0">
        <w:tab/>
      </w:r>
      <w:r w:rsidR="00485DCB" w:rsidRPr="00004BC0">
        <w:t xml:space="preserve">La </w:t>
      </w:r>
      <w:r w:rsidR="00231E82" w:rsidRPr="00004BC0">
        <w:t>l</w:t>
      </w:r>
      <w:r w:rsidR="00485DCB" w:rsidRPr="00004BC0">
        <w:t xml:space="preserve">oi organique </w:t>
      </w:r>
      <w:r w:rsidR="007038DA" w:rsidRPr="00004BC0">
        <w:t>n</w:t>
      </w:r>
      <w:r w:rsidR="007038DA" w:rsidRPr="009648D4">
        <w:rPr>
          <w:vertAlign w:val="superscript"/>
        </w:rPr>
        <w:t>o</w:t>
      </w:r>
      <w:r w:rsidR="007038DA">
        <w:t> </w:t>
      </w:r>
      <w:r w:rsidR="00485DCB" w:rsidRPr="00004BC0">
        <w:t xml:space="preserve">2017-11 </w:t>
      </w:r>
      <w:r w:rsidR="00231E82" w:rsidRPr="00004BC0">
        <w:t>du 17 janvier</w:t>
      </w:r>
      <w:r w:rsidR="00485DCB" w:rsidRPr="00004BC0">
        <w:t xml:space="preserve"> 2017 portant organisation et fonctionnement du Conseil </w:t>
      </w:r>
      <w:r w:rsidR="00231E82" w:rsidRPr="00004BC0">
        <w:t>s</w:t>
      </w:r>
      <w:r w:rsidR="00485DCB" w:rsidRPr="00004BC0">
        <w:t xml:space="preserve">upérieur de la </w:t>
      </w:r>
      <w:r w:rsidR="00231E82" w:rsidRPr="00004BC0">
        <w:t>m</w:t>
      </w:r>
      <w:r w:rsidR="00485DCB" w:rsidRPr="00004BC0">
        <w:t xml:space="preserve">agistrature, qui introduit, entre autres, un droit de recours en matière disciplinaire et exige le vote de la majorité des membres </w:t>
      </w:r>
      <w:r w:rsidR="00C16DBB" w:rsidRPr="00004BC0">
        <w:t xml:space="preserve">magistrats </w:t>
      </w:r>
      <w:r w:rsidR="00485DCB" w:rsidRPr="00004BC0">
        <w:t>dans les décisions de r</w:t>
      </w:r>
      <w:r w:rsidR="001038A0" w:rsidRPr="00004BC0">
        <w:t xml:space="preserve">évocation ou </w:t>
      </w:r>
      <w:r w:rsidR="00231E82" w:rsidRPr="00004BC0">
        <w:t xml:space="preserve">de </w:t>
      </w:r>
      <w:r w:rsidR="001038A0" w:rsidRPr="00004BC0">
        <w:t>mise à la retraite ;</w:t>
      </w:r>
    </w:p>
    <w:p w14:paraId="1EFAEF02" w14:textId="346B24B6" w:rsidR="008D3F2E" w:rsidRPr="00004BC0" w:rsidRDefault="0081596B" w:rsidP="00231E82">
      <w:pPr>
        <w:pStyle w:val="SingleTxtG"/>
        <w:ind w:firstLine="567"/>
      </w:pPr>
      <w:r w:rsidRPr="00004BC0">
        <w:t>i</w:t>
      </w:r>
      <w:r w:rsidR="008D3F2E" w:rsidRPr="00004BC0">
        <w:t>)</w:t>
      </w:r>
      <w:r w:rsidR="008D3F2E" w:rsidRPr="00004BC0">
        <w:tab/>
        <w:t xml:space="preserve">La création des </w:t>
      </w:r>
      <w:r w:rsidR="00231E82" w:rsidRPr="00004BC0">
        <w:t>C</w:t>
      </w:r>
      <w:r w:rsidR="008D3F2E" w:rsidRPr="00004BC0">
        <w:t xml:space="preserve">hambres africaines extraordinaires au sein des juridictions sénégalaises pour juger </w:t>
      </w:r>
      <w:proofErr w:type="spellStart"/>
      <w:r w:rsidR="008D3F2E" w:rsidRPr="00004BC0">
        <w:t>Hissène</w:t>
      </w:r>
      <w:proofErr w:type="spellEnd"/>
      <w:r w:rsidR="008D3F2E" w:rsidRPr="00004BC0">
        <w:t xml:space="preserve"> Habré, condamné en 2016 pour crimes contre l’humanité, crimes de guerre et torture</w:t>
      </w:r>
      <w:r w:rsidR="001038A0" w:rsidRPr="00004BC0">
        <w:t xml:space="preserve"> commis au Tchad de 1982 à 1990 ;</w:t>
      </w:r>
    </w:p>
    <w:p w14:paraId="40751E74" w14:textId="6E57631D" w:rsidR="008D3F2E" w:rsidRPr="00004BC0" w:rsidRDefault="0081596B" w:rsidP="00683FBF">
      <w:pPr>
        <w:pStyle w:val="SingleTxtG"/>
        <w:ind w:firstLine="567"/>
      </w:pPr>
      <w:r w:rsidRPr="00004BC0">
        <w:t>j</w:t>
      </w:r>
      <w:r w:rsidR="008D3F2E" w:rsidRPr="00004BC0">
        <w:t>)</w:t>
      </w:r>
      <w:r w:rsidR="008D3F2E" w:rsidRPr="00004BC0">
        <w:tab/>
        <w:t>Le Plan d’</w:t>
      </w:r>
      <w:r w:rsidR="00392EF4" w:rsidRPr="00004BC0">
        <w:t>a</w:t>
      </w:r>
      <w:r w:rsidR="008D3F2E" w:rsidRPr="00004BC0">
        <w:t xml:space="preserve">ction </w:t>
      </w:r>
      <w:r w:rsidR="00392EF4" w:rsidRPr="00004BC0">
        <w:t>n</w:t>
      </w:r>
      <w:r w:rsidR="008D3F2E" w:rsidRPr="00004BC0">
        <w:t>ational pour l’éradication des violences basées sur le genre et la promotion des droits humains (2017-2021) et la mise en place des plans d’action régionaux ;</w:t>
      </w:r>
    </w:p>
    <w:p w14:paraId="041769B4" w14:textId="011441F9" w:rsidR="00485DCB" w:rsidRPr="00004BC0" w:rsidRDefault="0081596B" w:rsidP="00E82DD9">
      <w:pPr>
        <w:pStyle w:val="SingleTxtG"/>
        <w:ind w:firstLine="567"/>
      </w:pPr>
      <w:r w:rsidRPr="00004BC0">
        <w:t>k</w:t>
      </w:r>
      <w:r w:rsidR="00BB7A00" w:rsidRPr="00004BC0">
        <w:t>)</w:t>
      </w:r>
      <w:r w:rsidR="00BB7A00" w:rsidRPr="00004BC0">
        <w:tab/>
      </w:r>
      <w:r w:rsidR="00485DCB" w:rsidRPr="00004BC0">
        <w:t xml:space="preserve">La mise en place d’un registre informatisé </w:t>
      </w:r>
      <w:r w:rsidR="00BB7A00" w:rsidRPr="00004BC0">
        <w:t>dans les centres pénitentiaires.</w:t>
      </w:r>
    </w:p>
    <w:p w14:paraId="113ED6E4" w14:textId="77777777" w:rsidR="00CF0FE8" w:rsidRPr="00004BC0" w:rsidRDefault="00CF0FE8" w:rsidP="00CF0FE8">
      <w:pPr>
        <w:pStyle w:val="H1G"/>
      </w:pPr>
      <w:r w:rsidRPr="00004BC0">
        <w:tab/>
        <w:t>C.</w:t>
      </w:r>
      <w:r w:rsidRPr="00004BC0">
        <w:tab/>
        <w:t xml:space="preserve">Principaux sujets de préoccupation et recommandations </w:t>
      </w:r>
    </w:p>
    <w:p w14:paraId="32C69AA8" w14:textId="2F163121" w:rsidR="00CF0FE8" w:rsidRPr="00004BC0" w:rsidRDefault="00CF0FE8" w:rsidP="00E82DD9">
      <w:pPr>
        <w:pStyle w:val="H23G"/>
      </w:pPr>
      <w:r w:rsidRPr="00004BC0">
        <w:tab/>
      </w:r>
      <w:r w:rsidRPr="00004BC0">
        <w:tab/>
        <w:t>Applicabilité du Pacte dans l’ordre juridique interne et suite</w:t>
      </w:r>
      <w:r w:rsidR="00767FA2" w:rsidRPr="00004BC0">
        <w:t>s</w:t>
      </w:r>
      <w:r w:rsidRPr="00004BC0">
        <w:t xml:space="preserve"> donnée</w:t>
      </w:r>
      <w:r w:rsidR="00767FA2" w:rsidRPr="00004BC0">
        <w:t>s</w:t>
      </w:r>
      <w:r w:rsidR="00D270E5">
        <w:t xml:space="preserve"> aux </w:t>
      </w:r>
      <w:r w:rsidRPr="00004BC0">
        <w:t>constatations du Comité</w:t>
      </w:r>
    </w:p>
    <w:p w14:paraId="0827F0DB" w14:textId="2E1C7A78" w:rsidR="00CF0FE8" w:rsidRPr="009F2CCE" w:rsidRDefault="00BD493B" w:rsidP="007B19EA">
      <w:pPr>
        <w:pStyle w:val="SingleTxtG"/>
      </w:pPr>
      <w:r w:rsidRPr="00004BC0">
        <w:t>4</w:t>
      </w:r>
      <w:r w:rsidR="00CF0FE8" w:rsidRPr="00004BC0">
        <w:t>.</w:t>
      </w:r>
      <w:r w:rsidR="00CF0FE8" w:rsidRPr="00004BC0">
        <w:tab/>
        <w:t>Le Comité prend note de l’article 98 de la Constitution du Sénégal, qui consacre la primauté des traités internatio</w:t>
      </w:r>
      <w:r w:rsidR="000A6509" w:rsidRPr="00004BC0">
        <w:t>naux sur la législation interne</w:t>
      </w:r>
      <w:r w:rsidR="00BB7A00" w:rsidRPr="00004BC0">
        <w:t xml:space="preserve"> et l’attachement affiché par l’</w:t>
      </w:r>
      <w:r w:rsidR="00A46B77" w:rsidRPr="00004BC0">
        <w:t>État</w:t>
      </w:r>
      <w:r w:rsidR="00BB7A00" w:rsidRPr="00004BC0">
        <w:t xml:space="preserve"> partie à ce principe</w:t>
      </w:r>
      <w:r w:rsidR="00CF0FE8" w:rsidRPr="00004BC0">
        <w:t xml:space="preserve">. </w:t>
      </w:r>
      <w:r w:rsidR="00BB7A00" w:rsidRPr="00004BC0">
        <w:t>Il</w:t>
      </w:r>
      <w:r w:rsidR="00CF0FE8" w:rsidRPr="00004BC0">
        <w:t xml:space="preserve"> regrette toutefois l’absence d’exemples </w:t>
      </w:r>
      <w:r w:rsidR="000A6509" w:rsidRPr="00004BC0">
        <w:t xml:space="preserve">concrets </w:t>
      </w:r>
      <w:r w:rsidR="00CF0FE8" w:rsidRPr="00004BC0">
        <w:t>d’application du Pact</w:t>
      </w:r>
      <w:r w:rsidR="00426496" w:rsidRPr="00004BC0">
        <w:t>e par des juridictions internes</w:t>
      </w:r>
      <w:r w:rsidR="00BB7A00" w:rsidRPr="00004BC0">
        <w:t xml:space="preserve"> et les messages contradictoires envoyés par l’</w:t>
      </w:r>
      <w:r w:rsidR="00A46B77" w:rsidRPr="00004BC0">
        <w:t>État</w:t>
      </w:r>
      <w:r w:rsidR="00BB7A00" w:rsidRPr="00004BC0">
        <w:t xml:space="preserve"> partie</w:t>
      </w:r>
      <w:r w:rsidR="00674F20" w:rsidRPr="00004BC0">
        <w:t>,</w:t>
      </w:r>
      <w:r w:rsidR="00BB7A00" w:rsidRPr="00004BC0">
        <w:t xml:space="preserve"> notamment s’agissant des constatations du Comité dans des affaires individuelles. Le Comité se réfère en particulier aux réactions de l’</w:t>
      </w:r>
      <w:r w:rsidR="00A46B77" w:rsidRPr="00004BC0">
        <w:t>État</w:t>
      </w:r>
      <w:r w:rsidR="00BB7A00" w:rsidRPr="00004BC0">
        <w:t xml:space="preserve"> partie suite aux constatations du Comité </w:t>
      </w:r>
      <w:r w:rsidR="00674F20" w:rsidRPr="00004BC0">
        <w:t xml:space="preserve">en date </w:t>
      </w:r>
      <w:r w:rsidR="001B665B" w:rsidRPr="00004BC0">
        <w:t>du 2</w:t>
      </w:r>
      <w:r w:rsidR="00887328" w:rsidRPr="00004BC0">
        <w:t>3</w:t>
      </w:r>
      <w:r w:rsidR="001B665B" w:rsidRPr="00004BC0">
        <w:t xml:space="preserve"> octobre </w:t>
      </w:r>
      <w:r w:rsidR="00BB7A00" w:rsidRPr="00004BC0">
        <w:t xml:space="preserve">2018 dans la communication </w:t>
      </w:r>
      <w:r w:rsidR="00674F20" w:rsidRPr="00600E2D">
        <w:rPr>
          <w:i/>
          <w:iCs/>
        </w:rPr>
        <w:t>Wade c. Sénégal</w:t>
      </w:r>
      <w:r w:rsidR="00674F20" w:rsidRPr="00004BC0">
        <w:t xml:space="preserve"> (CCPR/C/124/D/</w:t>
      </w:r>
      <w:r w:rsidR="00BB7A00" w:rsidRPr="00004BC0">
        <w:t>2783/2016</w:t>
      </w:r>
      <w:r w:rsidR="00674F20" w:rsidRPr="00004BC0">
        <w:t>)</w:t>
      </w:r>
      <w:r w:rsidR="00BB7A00" w:rsidRPr="00004BC0">
        <w:t>, dans laquelle le Comité a conclu à la violation par l’</w:t>
      </w:r>
      <w:r w:rsidR="00A46B77" w:rsidRPr="00004BC0">
        <w:t>État</w:t>
      </w:r>
      <w:r w:rsidR="00BB7A00" w:rsidRPr="00004BC0">
        <w:t xml:space="preserve"> partie de l’article 14</w:t>
      </w:r>
      <w:r w:rsidR="00674F20" w:rsidRPr="00004BC0">
        <w:t>,</w:t>
      </w:r>
      <w:r w:rsidR="00BB7A00" w:rsidRPr="00004BC0">
        <w:t xml:space="preserve"> paragraphe 5</w:t>
      </w:r>
      <w:r w:rsidR="00674F20" w:rsidRPr="00004BC0">
        <w:t>,</w:t>
      </w:r>
      <w:r w:rsidR="00BB7A00" w:rsidRPr="00004BC0">
        <w:t xml:space="preserve"> du Pacte. Le Comité est préoccupé par le fait que la décision du </w:t>
      </w:r>
      <w:r w:rsidR="00F87945" w:rsidRPr="00004BC0">
        <w:t xml:space="preserve">Conseil constitutionnel </w:t>
      </w:r>
      <w:r w:rsidR="00BB7A00" w:rsidRPr="00004BC0">
        <w:t>intervenue le</w:t>
      </w:r>
      <w:r w:rsidR="00F87945" w:rsidRPr="00004BC0">
        <w:t xml:space="preserve"> 20</w:t>
      </w:r>
      <w:r w:rsidR="002061B8" w:rsidRPr="00004BC0">
        <w:t> </w:t>
      </w:r>
      <w:r w:rsidR="00F87945" w:rsidRPr="00004BC0">
        <w:t>janvier 2019</w:t>
      </w:r>
      <w:r w:rsidR="00BB7A00" w:rsidRPr="00004BC0">
        <w:t xml:space="preserve"> </w:t>
      </w:r>
      <w:r w:rsidR="00D72318" w:rsidRPr="00004BC0">
        <w:t xml:space="preserve">n’a pas </w:t>
      </w:r>
      <w:r w:rsidR="00F50CCA" w:rsidRPr="00004BC0">
        <w:t>tenu</w:t>
      </w:r>
      <w:r w:rsidR="00D72318" w:rsidRPr="00004BC0">
        <w:t xml:space="preserve"> compte</w:t>
      </w:r>
      <w:r w:rsidR="00BB7A00" w:rsidRPr="00004BC0">
        <w:t xml:space="preserve"> </w:t>
      </w:r>
      <w:r w:rsidR="0089347D" w:rsidRPr="00004BC0">
        <w:t>d</w:t>
      </w:r>
      <w:r w:rsidR="00BB7A00" w:rsidRPr="00004BC0">
        <w:t>e</w:t>
      </w:r>
      <w:r w:rsidR="00674F20" w:rsidRPr="00004BC0">
        <w:t xml:space="preserve"> ce</w:t>
      </w:r>
      <w:r w:rsidR="00BB7A00" w:rsidRPr="00004BC0">
        <w:t xml:space="preserve">s </w:t>
      </w:r>
      <w:r w:rsidR="00F87945" w:rsidRPr="00004BC0">
        <w:t xml:space="preserve">constatations </w:t>
      </w:r>
      <w:r w:rsidR="0089347D" w:rsidRPr="00004BC0">
        <w:t xml:space="preserve">et </w:t>
      </w:r>
      <w:r w:rsidR="00F87945" w:rsidRPr="00004BC0">
        <w:t xml:space="preserve">a invalidé la candidature de </w:t>
      </w:r>
      <w:r w:rsidR="00674F20" w:rsidRPr="00004BC0">
        <w:t>M. Wade</w:t>
      </w:r>
      <w:r w:rsidR="00F87945" w:rsidRPr="00004BC0">
        <w:t xml:space="preserve"> au motif qu’il avait été condamné</w:t>
      </w:r>
      <w:r w:rsidR="00426496" w:rsidRPr="00004BC0">
        <w:t xml:space="preserve"> </w:t>
      </w:r>
      <w:r w:rsidR="00CF0FE8" w:rsidRPr="009F2CCE">
        <w:t>(art.</w:t>
      </w:r>
      <w:r w:rsidR="00691E90">
        <w:t> </w:t>
      </w:r>
      <w:r w:rsidR="00CF0FE8" w:rsidRPr="009F2CCE">
        <w:t>2).</w:t>
      </w:r>
    </w:p>
    <w:p w14:paraId="54315A44" w14:textId="77777777" w:rsidR="00674F20" w:rsidRPr="00004BC0" w:rsidRDefault="00BD493B" w:rsidP="00753FB1">
      <w:pPr>
        <w:pStyle w:val="SingleTxtG"/>
      </w:pPr>
      <w:r w:rsidRPr="009F2CCE">
        <w:t>5</w:t>
      </w:r>
      <w:r w:rsidR="00CF0FE8" w:rsidRPr="009F2CCE">
        <w:t>.</w:t>
      </w:r>
      <w:r w:rsidR="00CF0FE8" w:rsidRPr="009F2CCE">
        <w:tab/>
      </w:r>
      <w:r w:rsidR="00CF0FE8" w:rsidRPr="00753FB1">
        <w:rPr>
          <w:b/>
          <w:bCs/>
        </w:rPr>
        <w:t>L’État partie devrait :</w:t>
      </w:r>
      <w:r w:rsidR="00CF0FE8" w:rsidRPr="00004BC0">
        <w:t xml:space="preserve"> </w:t>
      </w:r>
    </w:p>
    <w:p w14:paraId="3AA13CE0" w14:textId="1B3D2DEE" w:rsidR="00674F20" w:rsidRPr="00753FB1" w:rsidRDefault="00CF0FE8" w:rsidP="00753FB1">
      <w:pPr>
        <w:pStyle w:val="SingleTxtG"/>
        <w:ind w:firstLine="567"/>
        <w:rPr>
          <w:b/>
          <w:bCs/>
        </w:rPr>
      </w:pPr>
      <w:r w:rsidRPr="00753FB1">
        <w:rPr>
          <w:b/>
          <w:bCs/>
        </w:rPr>
        <w:t>a)</w:t>
      </w:r>
      <w:r w:rsidR="009F2CCE" w:rsidRPr="00753FB1">
        <w:rPr>
          <w:b/>
          <w:bCs/>
        </w:rPr>
        <w:tab/>
      </w:r>
      <w:r w:rsidR="00674F20" w:rsidRPr="00753FB1">
        <w:rPr>
          <w:b/>
          <w:bCs/>
        </w:rPr>
        <w:t>G</w:t>
      </w:r>
      <w:r w:rsidRPr="00753FB1">
        <w:rPr>
          <w:b/>
          <w:bCs/>
        </w:rPr>
        <w:t>arantir, en pratique, la primauté du Pacte sur le droit national, ainsi qu’un recours utile aux justiciables en cas de violation du Pacte</w:t>
      </w:r>
      <w:r w:rsidR="00674F20" w:rsidRPr="00753FB1">
        <w:rPr>
          <w:b/>
          <w:bCs/>
        </w:rPr>
        <w:t> </w:t>
      </w:r>
      <w:r w:rsidRPr="00753FB1">
        <w:rPr>
          <w:b/>
          <w:bCs/>
        </w:rPr>
        <w:t xml:space="preserve">; </w:t>
      </w:r>
    </w:p>
    <w:p w14:paraId="5CD6A605" w14:textId="6B4B69CB" w:rsidR="00674F20" w:rsidRPr="00753FB1" w:rsidRDefault="00CF0FE8" w:rsidP="00753FB1">
      <w:pPr>
        <w:pStyle w:val="SingleTxtG"/>
        <w:ind w:firstLine="567"/>
        <w:rPr>
          <w:b/>
          <w:bCs/>
        </w:rPr>
      </w:pPr>
      <w:r w:rsidRPr="00753FB1">
        <w:rPr>
          <w:b/>
          <w:bCs/>
        </w:rPr>
        <w:t>b)</w:t>
      </w:r>
      <w:r w:rsidR="009F2CCE" w:rsidRPr="00753FB1">
        <w:rPr>
          <w:b/>
          <w:bCs/>
        </w:rPr>
        <w:tab/>
      </w:r>
      <w:r w:rsidR="00674F20" w:rsidRPr="00753FB1">
        <w:rPr>
          <w:b/>
          <w:bCs/>
        </w:rPr>
        <w:t>S</w:t>
      </w:r>
      <w:r w:rsidRPr="00753FB1">
        <w:rPr>
          <w:b/>
          <w:bCs/>
        </w:rPr>
        <w:t xml:space="preserve">ensibiliser les juges, les avocats et les procureurs aux dispositions du Pacte, de sorte que celles-ci soient </w:t>
      </w:r>
      <w:r w:rsidR="00F42A64" w:rsidRPr="00753FB1">
        <w:rPr>
          <w:b/>
          <w:bCs/>
        </w:rPr>
        <w:t xml:space="preserve">invoquées devant les tribunaux nationaux et </w:t>
      </w:r>
      <w:r w:rsidRPr="00753FB1">
        <w:rPr>
          <w:b/>
          <w:bCs/>
        </w:rPr>
        <w:t xml:space="preserve">prises en compte </w:t>
      </w:r>
      <w:r w:rsidR="00674F20" w:rsidRPr="00753FB1">
        <w:rPr>
          <w:b/>
          <w:bCs/>
        </w:rPr>
        <w:t>dans</w:t>
      </w:r>
      <w:r w:rsidR="00C33E8E" w:rsidRPr="00753FB1">
        <w:rPr>
          <w:b/>
          <w:bCs/>
        </w:rPr>
        <w:t xml:space="preserve"> leurs décisions</w:t>
      </w:r>
      <w:r w:rsidR="00BD3A90" w:rsidRPr="00753FB1">
        <w:rPr>
          <w:b/>
          <w:bCs/>
        </w:rPr>
        <w:t xml:space="preserve"> ; </w:t>
      </w:r>
    </w:p>
    <w:p w14:paraId="7F4FC285" w14:textId="7D6AB9E5" w:rsidR="00CF0FE8" w:rsidRPr="00753FB1" w:rsidRDefault="00BD3A90" w:rsidP="00753FB1">
      <w:pPr>
        <w:pStyle w:val="SingleTxtG"/>
        <w:ind w:firstLine="567"/>
        <w:rPr>
          <w:b/>
          <w:bCs/>
        </w:rPr>
      </w:pPr>
      <w:r w:rsidRPr="00753FB1">
        <w:rPr>
          <w:b/>
          <w:bCs/>
        </w:rPr>
        <w:t>c)</w:t>
      </w:r>
      <w:r w:rsidR="009F2CCE" w:rsidRPr="00753FB1">
        <w:rPr>
          <w:b/>
          <w:bCs/>
        </w:rPr>
        <w:tab/>
      </w:r>
      <w:r w:rsidR="00674F20" w:rsidRPr="00753FB1">
        <w:rPr>
          <w:b/>
          <w:bCs/>
        </w:rPr>
        <w:t>V</w:t>
      </w:r>
      <w:r w:rsidRPr="00753FB1">
        <w:rPr>
          <w:b/>
          <w:bCs/>
        </w:rPr>
        <w:t>eiller à la bonne exécution des constatations adoptées par le Comité.</w:t>
      </w:r>
    </w:p>
    <w:p w14:paraId="31E654AA" w14:textId="77777777" w:rsidR="00CF0FE8" w:rsidRPr="00004BC0" w:rsidRDefault="00CF0FE8" w:rsidP="00CF0FE8">
      <w:pPr>
        <w:pStyle w:val="H23G"/>
      </w:pPr>
      <w:r w:rsidRPr="00004BC0">
        <w:tab/>
      </w:r>
      <w:r w:rsidRPr="00004BC0">
        <w:tab/>
      </w:r>
      <w:r w:rsidR="000A6509" w:rsidRPr="00004BC0">
        <w:t>Institution nationale des droits de l’homme</w:t>
      </w:r>
    </w:p>
    <w:p w14:paraId="6C4ACA68" w14:textId="4749C17E" w:rsidR="00CF0FE8" w:rsidRPr="00004BC0" w:rsidRDefault="00BD493B" w:rsidP="007B19EA">
      <w:pPr>
        <w:pStyle w:val="SingleTxtG"/>
      </w:pPr>
      <w:r w:rsidRPr="00004BC0">
        <w:t>6</w:t>
      </w:r>
      <w:r w:rsidR="00CF0FE8" w:rsidRPr="00004BC0">
        <w:t>.</w:t>
      </w:r>
      <w:r w:rsidR="00CF0FE8" w:rsidRPr="00004BC0">
        <w:tab/>
        <w:t>Tout en saluant l’</w:t>
      </w:r>
      <w:r w:rsidR="000A6509" w:rsidRPr="00004BC0">
        <w:t xml:space="preserve">intention affichée </w:t>
      </w:r>
      <w:r w:rsidR="00C87DEA" w:rsidRPr="00004BC0">
        <w:t xml:space="preserve">par l’État partie </w:t>
      </w:r>
      <w:r w:rsidR="000A6509" w:rsidRPr="00004BC0">
        <w:t>de réformer le Comité sénégalais des droits de l’homme pour lui permettre d’être à nouveau accrédité</w:t>
      </w:r>
      <w:r w:rsidR="00CF0FE8" w:rsidRPr="00004BC0">
        <w:t xml:space="preserve"> </w:t>
      </w:r>
      <w:r w:rsidR="00C87DEA" w:rsidRPr="00004BC0">
        <w:t>au</w:t>
      </w:r>
      <w:r w:rsidR="00CF0FE8" w:rsidRPr="00004BC0">
        <w:t xml:space="preserve"> statut A </w:t>
      </w:r>
      <w:r w:rsidR="00F42A64" w:rsidRPr="00004BC0">
        <w:t xml:space="preserve">par l’Alliance globale des institutions nationales des droits de l’homme </w:t>
      </w:r>
      <w:r w:rsidR="00CF0FE8" w:rsidRPr="00004BC0">
        <w:t>en vertu des Principes concernant le statut des institutions nationales</w:t>
      </w:r>
      <w:r w:rsidR="00C87DEA" w:rsidRPr="00004BC0">
        <w:t xml:space="preserve"> pour la promotion et la protection des droits de l’homme</w:t>
      </w:r>
      <w:r w:rsidR="00CF0FE8" w:rsidRPr="00004BC0">
        <w:t xml:space="preserve"> (Principes de Paris), le Comité </w:t>
      </w:r>
      <w:r w:rsidR="000A6509" w:rsidRPr="00004BC0">
        <w:t>regrette que l</w:t>
      </w:r>
      <w:r w:rsidR="006B6E41" w:rsidRPr="00004BC0">
        <w:t xml:space="preserve">a révision de la loi </w:t>
      </w:r>
      <w:r w:rsidR="000A6509" w:rsidRPr="00004BC0">
        <w:t>et son contenu ne s</w:t>
      </w:r>
      <w:r w:rsidR="006A48C8" w:rsidRPr="00004BC0">
        <w:t>oien</w:t>
      </w:r>
      <w:r w:rsidR="000A6509" w:rsidRPr="00004BC0">
        <w:t>t</w:t>
      </w:r>
      <w:r w:rsidR="00717869" w:rsidRPr="00004BC0">
        <w:t xml:space="preserve"> </w:t>
      </w:r>
      <w:r w:rsidR="000A6509" w:rsidRPr="00004BC0">
        <w:t>pas connus</w:t>
      </w:r>
      <w:r w:rsidR="00C87DEA" w:rsidRPr="00004BC0">
        <w:t>,</w:t>
      </w:r>
      <w:r w:rsidR="000A6509" w:rsidRPr="00004BC0">
        <w:t xml:space="preserve"> et que les préoccupations</w:t>
      </w:r>
      <w:r w:rsidR="006A48C8" w:rsidRPr="00004BC0">
        <w:t xml:space="preserve"> concernant</w:t>
      </w:r>
      <w:r w:rsidR="000A6509" w:rsidRPr="00004BC0">
        <w:t xml:space="preserve"> </w:t>
      </w:r>
      <w:r w:rsidR="006A48C8" w:rsidRPr="00004BC0">
        <w:t xml:space="preserve">les </w:t>
      </w:r>
      <w:r w:rsidR="000A6509" w:rsidRPr="00004BC0">
        <w:t>ressources financières allouées</w:t>
      </w:r>
      <w:r w:rsidR="00C87DEA" w:rsidRPr="00004BC0">
        <w:t xml:space="preserve"> à cette institution</w:t>
      </w:r>
      <w:r w:rsidR="000A6509" w:rsidRPr="00004BC0">
        <w:t xml:space="preserve">, </w:t>
      </w:r>
      <w:r w:rsidR="00C87DEA" w:rsidRPr="00004BC0">
        <w:t>son</w:t>
      </w:r>
      <w:r w:rsidR="006A48C8" w:rsidRPr="00004BC0">
        <w:t xml:space="preserve"> </w:t>
      </w:r>
      <w:r w:rsidR="000A6509" w:rsidRPr="00004BC0">
        <w:t xml:space="preserve">mandat précis </w:t>
      </w:r>
      <w:r w:rsidR="00C87DEA" w:rsidRPr="00004BC0">
        <w:t>ainsi que</w:t>
      </w:r>
      <w:r w:rsidR="000A6509" w:rsidRPr="00004BC0">
        <w:t xml:space="preserve"> </w:t>
      </w:r>
      <w:r w:rsidR="006A48C8" w:rsidRPr="00004BC0">
        <w:t xml:space="preserve">le </w:t>
      </w:r>
      <w:r w:rsidR="000A6509" w:rsidRPr="00004BC0">
        <w:t xml:space="preserve">mode de désignation de son </w:t>
      </w:r>
      <w:r w:rsidR="00C87DEA" w:rsidRPr="00004BC0">
        <w:t>p</w:t>
      </w:r>
      <w:r w:rsidR="000A6509" w:rsidRPr="00004BC0">
        <w:t>résident et de ses membres n’</w:t>
      </w:r>
      <w:r w:rsidR="006A48C8" w:rsidRPr="00004BC0">
        <w:t>aient pas été clarifié</w:t>
      </w:r>
      <w:r w:rsidR="00C87DEA" w:rsidRPr="00004BC0">
        <w:t>e</w:t>
      </w:r>
      <w:r w:rsidR="006A48C8" w:rsidRPr="00004BC0">
        <w:t xml:space="preserve">s </w:t>
      </w:r>
      <w:r w:rsidR="000A6509" w:rsidRPr="00004BC0">
        <w:t xml:space="preserve">durant le dialogue </w:t>
      </w:r>
      <w:r w:rsidR="00CF0FE8" w:rsidRPr="00004BC0">
        <w:t>(art.</w:t>
      </w:r>
      <w:r w:rsidR="00691E90">
        <w:t> </w:t>
      </w:r>
      <w:r w:rsidR="00CF0FE8" w:rsidRPr="00004BC0">
        <w:t>2).</w:t>
      </w:r>
    </w:p>
    <w:p w14:paraId="0C43F105" w14:textId="4F4FADF6" w:rsidR="00CF0FE8" w:rsidRPr="001F6FB3" w:rsidRDefault="00BD493B" w:rsidP="001F6FB3">
      <w:pPr>
        <w:pStyle w:val="SingleTxtG"/>
        <w:rPr>
          <w:b/>
          <w:bCs/>
        </w:rPr>
      </w:pPr>
      <w:r w:rsidRPr="00004BC0">
        <w:lastRenderedPageBreak/>
        <w:t>7</w:t>
      </w:r>
      <w:r w:rsidR="00CF0FE8" w:rsidRPr="00004BC0">
        <w:t>.</w:t>
      </w:r>
      <w:r w:rsidR="00CF0FE8" w:rsidRPr="00004BC0">
        <w:tab/>
      </w:r>
      <w:r w:rsidR="000A6509" w:rsidRPr="001F6FB3">
        <w:rPr>
          <w:b/>
          <w:bCs/>
        </w:rPr>
        <w:t>L’É</w:t>
      </w:r>
      <w:r w:rsidR="000D24AC" w:rsidRPr="001F6FB3">
        <w:rPr>
          <w:b/>
          <w:bCs/>
        </w:rPr>
        <w:t xml:space="preserve">tat partie </w:t>
      </w:r>
      <w:r w:rsidR="00B21B53" w:rsidRPr="001F6FB3">
        <w:rPr>
          <w:b/>
          <w:bCs/>
        </w:rPr>
        <w:t>devrait</w:t>
      </w:r>
      <w:r w:rsidR="000D24AC" w:rsidRPr="001F6FB3">
        <w:rPr>
          <w:b/>
          <w:bCs/>
        </w:rPr>
        <w:t xml:space="preserve"> </w:t>
      </w:r>
      <w:r w:rsidR="000A6509" w:rsidRPr="001F6FB3">
        <w:rPr>
          <w:b/>
          <w:bCs/>
        </w:rPr>
        <w:t xml:space="preserve">adopter </w:t>
      </w:r>
      <w:r w:rsidR="00362AB0" w:rsidRPr="001F6FB3">
        <w:rPr>
          <w:b/>
          <w:bCs/>
        </w:rPr>
        <w:t>un cadre législatif et réglementaire</w:t>
      </w:r>
      <w:r w:rsidR="000A6509" w:rsidRPr="001F6FB3">
        <w:rPr>
          <w:b/>
          <w:bCs/>
        </w:rPr>
        <w:t xml:space="preserve"> </w:t>
      </w:r>
      <w:r w:rsidR="00B21B53" w:rsidRPr="001F6FB3">
        <w:rPr>
          <w:b/>
          <w:bCs/>
        </w:rPr>
        <w:t xml:space="preserve">qui permette à l’institution nationale des droits de l’homme de se conformer aux Principes de Paris. </w:t>
      </w:r>
      <w:r w:rsidR="00C87DEA" w:rsidRPr="001F6FB3">
        <w:rPr>
          <w:b/>
          <w:bCs/>
        </w:rPr>
        <w:t>À</w:t>
      </w:r>
      <w:r w:rsidR="00B21B53" w:rsidRPr="001F6FB3">
        <w:rPr>
          <w:b/>
          <w:bCs/>
        </w:rPr>
        <w:t xml:space="preserve"> ce titre, il devrait lui octroyer</w:t>
      </w:r>
      <w:r w:rsidR="000A6509" w:rsidRPr="001F6FB3">
        <w:rPr>
          <w:b/>
          <w:bCs/>
        </w:rPr>
        <w:t xml:space="preserve"> un budget autonome et suffisant lui permettant d’accomplir pleinement son mandat</w:t>
      </w:r>
      <w:r w:rsidR="00C85EDC" w:rsidRPr="001F6FB3">
        <w:rPr>
          <w:b/>
          <w:bCs/>
        </w:rPr>
        <w:t>,</w:t>
      </w:r>
      <w:r w:rsidR="000A6509" w:rsidRPr="001F6FB3">
        <w:rPr>
          <w:b/>
          <w:bCs/>
        </w:rPr>
        <w:t> </w:t>
      </w:r>
      <w:r w:rsidR="00B21B53" w:rsidRPr="001F6FB3">
        <w:rPr>
          <w:b/>
          <w:bCs/>
        </w:rPr>
        <w:t>et prévoir un</w:t>
      </w:r>
      <w:r w:rsidR="000A6509" w:rsidRPr="001F6FB3">
        <w:rPr>
          <w:b/>
          <w:bCs/>
        </w:rPr>
        <w:t xml:space="preserve"> proce</w:t>
      </w:r>
      <w:r w:rsidR="00B21B53" w:rsidRPr="001F6FB3">
        <w:rPr>
          <w:b/>
          <w:bCs/>
        </w:rPr>
        <w:t xml:space="preserve">ssus de désignation </w:t>
      </w:r>
      <w:r w:rsidR="00C85EDC" w:rsidRPr="001F6FB3">
        <w:rPr>
          <w:b/>
          <w:bCs/>
        </w:rPr>
        <w:t>de son</w:t>
      </w:r>
      <w:r w:rsidR="00B21B53" w:rsidRPr="001F6FB3">
        <w:rPr>
          <w:b/>
          <w:bCs/>
        </w:rPr>
        <w:t xml:space="preserve"> </w:t>
      </w:r>
      <w:r w:rsidR="00C85EDC" w:rsidRPr="001F6FB3">
        <w:rPr>
          <w:b/>
          <w:bCs/>
        </w:rPr>
        <w:t>p</w:t>
      </w:r>
      <w:r w:rsidR="00B21B53" w:rsidRPr="001F6FB3">
        <w:rPr>
          <w:b/>
          <w:bCs/>
        </w:rPr>
        <w:t>résident</w:t>
      </w:r>
      <w:r w:rsidR="00C85EDC" w:rsidRPr="001F6FB3">
        <w:rPr>
          <w:b/>
          <w:bCs/>
        </w:rPr>
        <w:t xml:space="preserve"> ou </w:t>
      </w:r>
      <w:r w:rsidR="000A6509" w:rsidRPr="001F6FB3">
        <w:rPr>
          <w:b/>
          <w:bCs/>
        </w:rPr>
        <w:t xml:space="preserve">de </w:t>
      </w:r>
      <w:r w:rsidR="00C85EDC" w:rsidRPr="001F6FB3">
        <w:rPr>
          <w:b/>
          <w:bCs/>
        </w:rPr>
        <w:t>s</w:t>
      </w:r>
      <w:r w:rsidR="000A6509" w:rsidRPr="001F6FB3">
        <w:rPr>
          <w:b/>
          <w:bCs/>
        </w:rPr>
        <w:t xml:space="preserve">a </w:t>
      </w:r>
      <w:r w:rsidR="00C85EDC" w:rsidRPr="001F6FB3">
        <w:rPr>
          <w:b/>
          <w:bCs/>
        </w:rPr>
        <w:t>p</w:t>
      </w:r>
      <w:r w:rsidR="000A6509" w:rsidRPr="001F6FB3">
        <w:rPr>
          <w:b/>
          <w:bCs/>
        </w:rPr>
        <w:t xml:space="preserve">résidente et de ses membres </w:t>
      </w:r>
      <w:r w:rsidR="00B21B53" w:rsidRPr="001F6FB3">
        <w:rPr>
          <w:b/>
          <w:bCs/>
        </w:rPr>
        <w:t xml:space="preserve">garantissant </w:t>
      </w:r>
      <w:r w:rsidR="00C85EDC" w:rsidRPr="001F6FB3">
        <w:rPr>
          <w:b/>
          <w:bCs/>
        </w:rPr>
        <w:t>son</w:t>
      </w:r>
      <w:r w:rsidR="000D24AC" w:rsidRPr="001F6FB3">
        <w:rPr>
          <w:b/>
          <w:bCs/>
        </w:rPr>
        <w:t xml:space="preserve"> indé</w:t>
      </w:r>
      <w:r w:rsidR="00B21B53" w:rsidRPr="001F6FB3">
        <w:rPr>
          <w:b/>
          <w:bCs/>
        </w:rPr>
        <w:t>pendance.</w:t>
      </w:r>
    </w:p>
    <w:p w14:paraId="2581FC66" w14:textId="3ED190E2" w:rsidR="00426496" w:rsidRPr="00004BC0" w:rsidRDefault="00426496" w:rsidP="00C85EDC">
      <w:pPr>
        <w:pStyle w:val="H23G"/>
      </w:pPr>
      <w:r w:rsidRPr="00004BC0">
        <w:tab/>
      </w:r>
      <w:r w:rsidRPr="00004BC0">
        <w:tab/>
        <w:t>Lutte contre l’impunité et violations passées des droits de l’homme</w:t>
      </w:r>
    </w:p>
    <w:p w14:paraId="06BC95A6" w14:textId="60DAA080" w:rsidR="00426496" w:rsidRPr="00004BC0" w:rsidRDefault="00BD493B" w:rsidP="007B19EA">
      <w:pPr>
        <w:pStyle w:val="SingleTxtG"/>
      </w:pPr>
      <w:r w:rsidRPr="00004BC0">
        <w:t>8.</w:t>
      </w:r>
      <w:r w:rsidRPr="00004BC0">
        <w:tab/>
      </w:r>
      <w:r w:rsidR="007F04C2" w:rsidRPr="00004BC0">
        <w:t>Le Comité regrette que l’</w:t>
      </w:r>
      <w:r w:rsidR="00A46B77" w:rsidRPr="00004BC0">
        <w:t>État</w:t>
      </w:r>
      <w:r w:rsidR="007F04C2" w:rsidRPr="00004BC0">
        <w:t xml:space="preserve"> partie continue à justifier l</w:t>
      </w:r>
      <w:r w:rsidR="00AE55B9" w:rsidRPr="00004BC0">
        <w:t>a</w:t>
      </w:r>
      <w:r w:rsidR="007F04C2" w:rsidRPr="00004BC0">
        <w:t xml:space="preserve"> loi d’amnistie en </w:t>
      </w:r>
      <w:r w:rsidR="00C85EDC" w:rsidRPr="00004BC0">
        <w:t>lien</w:t>
      </w:r>
      <w:r w:rsidR="007F04C2" w:rsidRPr="00004BC0">
        <w:t xml:space="preserve"> avec toutes les infractions commises dans le cadre du conflit en Casamance pour « taire les rancœurs, apaiser les esprits et ass</w:t>
      </w:r>
      <w:r w:rsidR="00C85EDC" w:rsidRPr="00004BC0">
        <w:t>e</w:t>
      </w:r>
      <w:r w:rsidR="007F04C2" w:rsidRPr="00004BC0">
        <w:t xml:space="preserve">oir un dialogue durable » </w:t>
      </w:r>
      <w:r w:rsidR="00426496" w:rsidRPr="00004BC0">
        <w:t>(art. 2, 6, 7 et 14)</w:t>
      </w:r>
      <w:r w:rsidR="007F04C2" w:rsidRPr="00004BC0">
        <w:t xml:space="preserve">. </w:t>
      </w:r>
    </w:p>
    <w:p w14:paraId="0BC5A473" w14:textId="3E4C4676" w:rsidR="007F04C2" w:rsidRPr="001F6FB3" w:rsidRDefault="00BD493B" w:rsidP="001F6FB3">
      <w:pPr>
        <w:pStyle w:val="SingleTxtG"/>
        <w:rPr>
          <w:b/>
          <w:bCs/>
        </w:rPr>
      </w:pPr>
      <w:r w:rsidRPr="00004BC0">
        <w:t>9.</w:t>
      </w:r>
      <w:r w:rsidRPr="00004BC0">
        <w:tab/>
      </w:r>
      <w:r w:rsidR="005C4E96" w:rsidRPr="001F6FB3">
        <w:rPr>
          <w:b/>
          <w:bCs/>
        </w:rPr>
        <w:t>L</w:t>
      </w:r>
      <w:r w:rsidR="007F04C2" w:rsidRPr="001F6FB3">
        <w:rPr>
          <w:b/>
          <w:bCs/>
        </w:rPr>
        <w:t>’</w:t>
      </w:r>
      <w:r w:rsidR="00A46B77" w:rsidRPr="001F6FB3">
        <w:rPr>
          <w:b/>
          <w:bCs/>
        </w:rPr>
        <w:t>État</w:t>
      </w:r>
      <w:r w:rsidR="007F04C2" w:rsidRPr="001F6FB3">
        <w:rPr>
          <w:b/>
          <w:bCs/>
        </w:rPr>
        <w:t xml:space="preserve"> partie devrait</w:t>
      </w:r>
      <w:r w:rsidR="00C85EDC" w:rsidRPr="001F6FB3">
        <w:rPr>
          <w:b/>
          <w:bCs/>
        </w:rPr>
        <w:t> </w:t>
      </w:r>
      <w:r w:rsidR="007F04C2" w:rsidRPr="001F6FB3">
        <w:rPr>
          <w:b/>
          <w:bCs/>
        </w:rPr>
        <w:t>:</w:t>
      </w:r>
    </w:p>
    <w:p w14:paraId="38428A86" w14:textId="6FE3BC3A" w:rsidR="007F04C2" w:rsidRPr="001F6FB3" w:rsidRDefault="009D45BB" w:rsidP="001F6FB3">
      <w:pPr>
        <w:pStyle w:val="SingleTxtG"/>
        <w:ind w:firstLine="567"/>
        <w:rPr>
          <w:b/>
          <w:bCs/>
        </w:rPr>
      </w:pPr>
      <w:r w:rsidRPr="001F6FB3">
        <w:rPr>
          <w:b/>
          <w:bCs/>
        </w:rPr>
        <w:t>a)</w:t>
      </w:r>
      <w:r w:rsidRPr="001F6FB3">
        <w:rPr>
          <w:b/>
          <w:bCs/>
        </w:rPr>
        <w:tab/>
      </w:r>
      <w:r w:rsidR="00AE55B9" w:rsidRPr="001F6FB3">
        <w:rPr>
          <w:b/>
          <w:bCs/>
        </w:rPr>
        <w:t>S</w:t>
      </w:r>
      <w:r w:rsidR="007F04C2" w:rsidRPr="001F6FB3">
        <w:rPr>
          <w:b/>
          <w:bCs/>
        </w:rPr>
        <w:t xml:space="preserve">upprimer toute amnistie pour </w:t>
      </w:r>
      <w:r w:rsidR="006A48C8" w:rsidRPr="001F6FB3">
        <w:rPr>
          <w:b/>
          <w:bCs/>
        </w:rPr>
        <w:t xml:space="preserve">les crimes </w:t>
      </w:r>
      <w:r w:rsidR="00362AB0" w:rsidRPr="001F6FB3">
        <w:rPr>
          <w:b/>
          <w:bCs/>
        </w:rPr>
        <w:t>internationaux</w:t>
      </w:r>
      <w:r w:rsidR="007F04C2" w:rsidRPr="001F6FB3">
        <w:rPr>
          <w:b/>
          <w:bCs/>
        </w:rPr>
        <w:t xml:space="preserve"> commis par </w:t>
      </w:r>
      <w:r w:rsidR="00AE55B9" w:rsidRPr="001F6FB3">
        <w:rPr>
          <w:b/>
          <w:bCs/>
        </w:rPr>
        <w:t>chacune des parties au conflit</w:t>
      </w:r>
      <w:r w:rsidR="00C85EDC" w:rsidRPr="001F6FB3">
        <w:rPr>
          <w:b/>
          <w:bCs/>
        </w:rPr>
        <w:t>,</w:t>
      </w:r>
      <w:r w:rsidR="00AE55B9" w:rsidRPr="001F6FB3">
        <w:rPr>
          <w:b/>
          <w:bCs/>
        </w:rPr>
        <w:t xml:space="preserve"> </w:t>
      </w:r>
      <w:r w:rsidR="007F04C2" w:rsidRPr="001F6FB3">
        <w:rPr>
          <w:b/>
          <w:bCs/>
        </w:rPr>
        <w:t xml:space="preserve">afin de pouvoir mener des enquêtes et </w:t>
      </w:r>
      <w:r w:rsidR="00C85EDC" w:rsidRPr="001F6FB3">
        <w:rPr>
          <w:b/>
          <w:bCs/>
        </w:rPr>
        <w:t>punir</w:t>
      </w:r>
      <w:r w:rsidR="007F04C2" w:rsidRPr="001F6FB3">
        <w:rPr>
          <w:b/>
          <w:bCs/>
        </w:rPr>
        <w:t xml:space="preserve"> les responsables</w:t>
      </w:r>
      <w:r w:rsidR="001038A0" w:rsidRPr="001F6FB3">
        <w:rPr>
          <w:b/>
          <w:bCs/>
        </w:rPr>
        <w:t> </w:t>
      </w:r>
      <w:r w:rsidR="007F04C2" w:rsidRPr="001F6FB3">
        <w:rPr>
          <w:b/>
          <w:bCs/>
        </w:rPr>
        <w:t>;</w:t>
      </w:r>
    </w:p>
    <w:p w14:paraId="6BC8F9BD" w14:textId="70732801" w:rsidR="007F04C2" w:rsidRPr="001F6FB3" w:rsidRDefault="005C4E96" w:rsidP="001F6FB3">
      <w:pPr>
        <w:pStyle w:val="SingleTxtG"/>
        <w:ind w:firstLine="567"/>
        <w:rPr>
          <w:b/>
          <w:bCs/>
        </w:rPr>
      </w:pPr>
      <w:r w:rsidRPr="001F6FB3">
        <w:rPr>
          <w:b/>
          <w:bCs/>
        </w:rPr>
        <w:t>b</w:t>
      </w:r>
      <w:r w:rsidR="009D45BB" w:rsidRPr="001F6FB3">
        <w:rPr>
          <w:b/>
          <w:bCs/>
        </w:rPr>
        <w:t>)</w:t>
      </w:r>
      <w:r w:rsidR="009D45BB" w:rsidRPr="001F6FB3">
        <w:rPr>
          <w:b/>
          <w:bCs/>
        </w:rPr>
        <w:tab/>
      </w:r>
      <w:r w:rsidR="00AE55B9" w:rsidRPr="001F6FB3">
        <w:rPr>
          <w:b/>
          <w:bCs/>
        </w:rPr>
        <w:t>F</w:t>
      </w:r>
      <w:r w:rsidR="007F04C2" w:rsidRPr="001F6FB3">
        <w:rPr>
          <w:b/>
          <w:bCs/>
        </w:rPr>
        <w:t xml:space="preserve">ournir une réparation </w:t>
      </w:r>
      <w:r w:rsidR="00AE55B9" w:rsidRPr="001F6FB3">
        <w:rPr>
          <w:b/>
          <w:bCs/>
        </w:rPr>
        <w:t>aux</w:t>
      </w:r>
      <w:r w:rsidR="007F04C2" w:rsidRPr="001F6FB3">
        <w:rPr>
          <w:b/>
          <w:bCs/>
        </w:rPr>
        <w:t xml:space="preserve"> </w:t>
      </w:r>
      <w:r w:rsidRPr="001F6FB3">
        <w:rPr>
          <w:b/>
          <w:bCs/>
        </w:rPr>
        <w:t xml:space="preserve">victimes et </w:t>
      </w:r>
      <w:r w:rsidR="00C85EDC" w:rsidRPr="001F6FB3">
        <w:rPr>
          <w:b/>
          <w:bCs/>
        </w:rPr>
        <w:t xml:space="preserve">à </w:t>
      </w:r>
      <w:r w:rsidRPr="001F6FB3">
        <w:rPr>
          <w:b/>
          <w:bCs/>
        </w:rPr>
        <w:t>leurs ayants droit.</w:t>
      </w:r>
    </w:p>
    <w:p w14:paraId="1821B74E" w14:textId="43130A97" w:rsidR="003A2AFF" w:rsidRPr="00004BC0" w:rsidRDefault="00E82DD9" w:rsidP="00E82DD9">
      <w:pPr>
        <w:pStyle w:val="H23G"/>
      </w:pPr>
      <w:r w:rsidRPr="00004BC0">
        <w:tab/>
      </w:r>
      <w:r w:rsidRPr="00004BC0">
        <w:tab/>
      </w:r>
      <w:r w:rsidR="003A2AFF" w:rsidRPr="00004BC0">
        <w:t>Non-discrimination</w:t>
      </w:r>
    </w:p>
    <w:p w14:paraId="6081F7B0" w14:textId="0E5F3A9E" w:rsidR="005C4E96" w:rsidRPr="00004BC0" w:rsidRDefault="00BD493B" w:rsidP="007B19EA">
      <w:pPr>
        <w:pStyle w:val="SingleTxtG"/>
      </w:pPr>
      <w:r w:rsidRPr="00004BC0">
        <w:t>10.</w:t>
      </w:r>
      <w:r w:rsidRPr="00004BC0">
        <w:tab/>
      </w:r>
      <w:r w:rsidR="005C4E96" w:rsidRPr="00004BC0">
        <w:t xml:space="preserve">Tout en notant l’existence de l’article 3 de la loi </w:t>
      </w:r>
      <w:r w:rsidR="00C85EDC" w:rsidRPr="00004BC0">
        <w:t>n</w:t>
      </w:r>
      <w:r w:rsidR="00C85EDC" w:rsidRPr="00600E2D">
        <w:rPr>
          <w:vertAlign w:val="superscript"/>
        </w:rPr>
        <w:t>o</w:t>
      </w:r>
      <w:r w:rsidR="00C85EDC" w:rsidRPr="00004BC0">
        <w:t> </w:t>
      </w:r>
      <w:r w:rsidR="005C4E96" w:rsidRPr="00004BC0">
        <w:t>81-77 du 10 décembre 1981 réprimant les actes discriminatoires, le Comité note que cette loi ne porte que sur la discrimination raciale, ethnique et religieuse</w:t>
      </w:r>
      <w:r w:rsidR="006B26B5" w:rsidRPr="00004BC0">
        <w:t xml:space="preserve">, sans égard </w:t>
      </w:r>
      <w:r w:rsidR="005C4E96" w:rsidRPr="00004BC0">
        <w:t>à la discrimin</w:t>
      </w:r>
      <w:r w:rsidR="00AE55B9" w:rsidRPr="00004BC0">
        <w:t>ation tant directe qu’indirecte.</w:t>
      </w:r>
      <w:r w:rsidR="005C4E96" w:rsidRPr="00004BC0">
        <w:t xml:space="preserve"> Le Comité note avec préoccupation l’absence de plaintes enregistrées dans l’</w:t>
      </w:r>
      <w:r w:rsidR="00A46B77" w:rsidRPr="00004BC0">
        <w:t>État</w:t>
      </w:r>
      <w:r w:rsidR="005C4E96" w:rsidRPr="00004BC0">
        <w:t xml:space="preserve"> partie pour des faits de discrimination</w:t>
      </w:r>
      <w:r w:rsidR="00A03A81" w:rsidRPr="00004BC0">
        <w:t>,</w:t>
      </w:r>
      <w:r w:rsidR="005C4E96" w:rsidRPr="00004BC0">
        <w:t xml:space="preserve"> malgré les allégations de faits discriminatoires</w:t>
      </w:r>
      <w:r w:rsidR="00A5344A" w:rsidRPr="00004BC0">
        <w:t xml:space="preserve"> </w:t>
      </w:r>
      <w:r w:rsidR="006B26B5" w:rsidRPr="00004BC0">
        <w:t xml:space="preserve">portées devant le Comité, </w:t>
      </w:r>
      <w:r w:rsidR="00A5344A" w:rsidRPr="00004BC0">
        <w:t>notamment</w:t>
      </w:r>
      <w:r w:rsidR="005C4E96" w:rsidRPr="00004BC0">
        <w:t xml:space="preserve"> contre les personnes </w:t>
      </w:r>
      <w:r w:rsidR="00A5344A" w:rsidRPr="00004BC0">
        <w:t xml:space="preserve">atteintes d’albinisme, les personnes appartenant à des minorités sexuelles ou de genre ou encore les femmes </w:t>
      </w:r>
      <w:r w:rsidR="005C4E96" w:rsidRPr="00004BC0">
        <w:t>(art.</w:t>
      </w:r>
      <w:r w:rsidR="00691E90">
        <w:t> </w:t>
      </w:r>
      <w:r w:rsidR="005C4E96" w:rsidRPr="00004BC0">
        <w:t>2, 7, 24, 25 et 26)</w:t>
      </w:r>
      <w:r w:rsidR="00496F19" w:rsidRPr="00004BC0">
        <w:t>.</w:t>
      </w:r>
    </w:p>
    <w:p w14:paraId="7507F84C" w14:textId="76588108" w:rsidR="00AE55B9" w:rsidRPr="00DD657B" w:rsidRDefault="00BD493B" w:rsidP="00DD657B">
      <w:pPr>
        <w:pStyle w:val="SingleTxtG"/>
        <w:rPr>
          <w:b/>
          <w:bCs/>
        </w:rPr>
      </w:pPr>
      <w:r w:rsidRPr="00004BC0">
        <w:t>11.</w:t>
      </w:r>
      <w:r w:rsidRPr="00004BC0">
        <w:tab/>
      </w:r>
      <w:r w:rsidR="00496F19" w:rsidRPr="00DD657B">
        <w:rPr>
          <w:b/>
          <w:bCs/>
        </w:rPr>
        <w:t xml:space="preserve">L’État partie devrait adopter une </w:t>
      </w:r>
      <w:r w:rsidR="00A67E01" w:rsidRPr="00DD657B">
        <w:rPr>
          <w:b/>
          <w:bCs/>
        </w:rPr>
        <w:t>législation</w:t>
      </w:r>
      <w:r w:rsidR="00496F19" w:rsidRPr="00DD657B">
        <w:rPr>
          <w:b/>
          <w:bCs/>
        </w:rPr>
        <w:t xml:space="preserve"> </w:t>
      </w:r>
      <w:r w:rsidR="00A67E01" w:rsidRPr="00DD657B">
        <w:rPr>
          <w:b/>
          <w:bCs/>
        </w:rPr>
        <w:t xml:space="preserve">complète </w:t>
      </w:r>
      <w:r w:rsidR="00496F19" w:rsidRPr="00DD657B">
        <w:rPr>
          <w:b/>
          <w:bCs/>
        </w:rPr>
        <w:t>contre la discrimination, pour faire en sorte que son cadre juridique :</w:t>
      </w:r>
    </w:p>
    <w:p w14:paraId="4DCD61E3" w14:textId="3C5B149B" w:rsidR="00496F19" w:rsidRPr="00DD657B" w:rsidRDefault="00AE55B9" w:rsidP="00DD657B">
      <w:pPr>
        <w:pStyle w:val="SingleTxtG"/>
        <w:ind w:firstLine="567"/>
        <w:rPr>
          <w:b/>
          <w:bCs/>
        </w:rPr>
      </w:pPr>
      <w:r w:rsidRPr="00DD657B">
        <w:rPr>
          <w:b/>
          <w:bCs/>
        </w:rPr>
        <w:t>a)</w:t>
      </w:r>
      <w:r w:rsidRPr="00DD657B">
        <w:rPr>
          <w:b/>
          <w:bCs/>
        </w:rPr>
        <w:tab/>
      </w:r>
      <w:r w:rsidR="00496F19" w:rsidRPr="00DD657B">
        <w:rPr>
          <w:b/>
          <w:bCs/>
        </w:rPr>
        <w:t>Offre une protection efficace contre la discrimination dans tous les domaines, y compris la sphère privée, et interdise la discrimination directe, indirecte et multiple ;</w:t>
      </w:r>
    </w:p>
    <w:p w14:paraId="5B31190E" w14:textId="77777777" w:rsidR="00496F19" w:rsidRPr="00DD657B" w:rsidRDefault="00AE55B9" w:rsidP="00DD657B">
      <w:pPr>
        <w:pStyle w:val="SingleTxtG"/>
        <w:ind w:firstLine="567"/>
        <w:rPr>
          <w:b/>
          <w:bCs/>
        </w:rPr>
      </w:pPr>
      <w:r w:rsidRPr="00DD657B">
        <w:rPr>
          <w:b/>
          <w:bCs/>
        </w:rPr>
        <w:t>b)</w:t>
      </w:r>
      <w:r w:rsidRPr="00DD657B">
        <w:rPr>
          <w:b/>
          <w:bCs/>
        </w:rPr>
        <w:tab/>
      </w:r>
      <w:r w:rsidR="00496F19" w:rsidRPr="00DD657B">
        <w:rPr>
          <w:b/>
          <w:bCs/>
        </w:rPr>
        <w:t xml:space="preserve">Comporte une liste </w:t>
      </w:r>
      <w:r w:rsidR="005E0375" w:rsidRPr="00DD657B">
        <w:rPr>
          <w:b/>
          <w:bCs/>
        </w:rPr>
        <w:t>complète</w:t>
      </w:r>
      <w:r w:rsidR="00496F19" w:rsidRPr="00DD657B">
        <w:rPr>
          <w:b/>
          <w:bCs/>
        </w:rPr>
        <w:t xml:space="preserve"> des motifs de discrimination comprenant la couleur de peau, la langue, l’opinion politique ou toute autre opinion, l’origine nationale ou sociale, la fortune, le handicap, l’orientation sexuelle et l’identité de genre ou toute autre situation ; </w:t>
      </w:r>
    </w:p>
    <w:p w14:paraId="059B14E4" w14:textId="77777777" w:rsidR="00496F19" w:rsidRPr="00DD657B" w:rsidRDefault="00AE55B9" w:rsidP="00DD657B">
      <w:pPr>
        <w:pStyle w:val="SingleTxtG"/>
        <w:ind w:firstLine="567"/>
        <w:rPr>
          <w:b/>
          <w:bCs/>
        </w:rPr>
      </w:pPr>
      <w:r w:rsidRPr="00DD657B">
        <w:rPr>
          <w:b/>
          <w:bCs/>
        </w:rPr>
        <w:t>c)</w:t>
      </w:r>
      <w:r w:rsidRPr="00DD657B">
        <w:rPr>
          <w:b/>
          <w:bCs/>
        </w:rPr>
        <w:tab/>
      </w:r>
      <w:r w:rsidR="00496F19" w:rsidRPr="00DD657B">
        <w:rPr>
          <w:b/>
          <w:bCs/>
        </w:rPr>
        <w:t xml:space="preserve">Prévoie des recours utiles en cas de violation. </w:t>
      </w:r>
    </w:p>
    <w:p w14:paraId="297D2A66" w14:textId="0D324C2A" w:rsidR="005C4E96" w:rsidRPr="00004BC0" w:rsidRDefault="00E82DD9" w:rsidP="00A03A81">
      <w:pPr>
        <w:pStyle w:val="H23G"/>
      </w:pPr>
      <w:r w:rsidRPr="00004BC0">
        <w:tab/>
      </w:r>
      <w:r w:rsidRPr="00004BC0">
        <w:tab/>
      </w:r>
      <w:r w:rsidR="00A03A81" w:rsidRPr="00004BC0">
        <w:t>É</w:t>
      </w:r>
      <w:r w:rsidR="005C4E96" w:rsidRPr="00004BC0">
        <w:t>galité entre hommes et femmes</w:t>
      </w:r>
    </w:p>
    <w:p w14:paraId="41D04E0A" w14:textId="3A3AA4AC" w:rsidR="000B42C5" w:rsidRPr="00004BC0" w:rsidRDefault="00BD493B" w:rsidP="007B19EA">
      <w:pPr>
        <w:pStyle w:val="SingleTxtG"/>
      </w:pPr>
      <w:r w:rsidRPr="00004BC0">
        <w:t>12.</w:t>
      </w:r>
      <w:r w:rsidRPr="00004BC0">
        <w:tab/>
      </w:r>
      <w:r w:rsidR="00362AB0" w:rsidRPr="00004BC0">
        <w:t>L</w:t>
      </w:r>
      <w:r w:rsidR="000B42C5" w:rsidRPr="00004BC0">
        <w:t>e Comité constate qu</w:t>
      </w:r>
      <w:r w:rsidR="00362AB0" w:rsidRPr="00004BC0">
        <w:t xml:space="preserve">e la loi </w:t>
      </w:r>
      <w:r w:rsidR="00691E90" w:rsidRPr="00004BC0">
        <w:t>n</w:t>
      </w:r>
      <w:r w:rsidR="00691E90" w:rsidRPr="009648D4">
        <w:rPr>
          <w:vertAlign w:val="superscript"/>
        </w:rPr>
        <w:t>o</w:t>
      </w:r>
      <w:r w:rsidR="00691E90">
        <w:t> </w:t>
      </w:r>
      <w:r w:rsidR="00362AB0" w:rsidRPr="00004BC0">
        <w:t xml:space="preserve">2010-11 sur la parité </w:t>
      </w:r>
      <w:r w:rsidR="000B42C5" w:rsidRPr="00004BC0">
        <w:t xml:space="preserve">ne garantit la parité homme-femme que dans les fonctions électives. Le Comité note d’ailleurs les </w:t>
      </w:r>
      <w:r w:rsidR="00A03A81" w:rsidRPr="00004BC0">
        <w:t xml:space="preserve">faibles </w:t>
      </w:r>
      <w:r w:rsidR="000B42C5" w:rsidRPr="00004BC0">
        <w:t>ch</w:t>
      </w:r>
      <w:r w:rsidR="00F96CC7" w:rsidRPr="00004BC0">
        <w:t>iffres</w:t>
      </w:r>
      <w:r w:rsidR="000B42C5" w:rsidRPr="00004BC0">
        <w:t xml:space="preserve"> de </w:t>
      </w:r>
      <w:r w:rsidR="00F96CC7" w:rsidRPr="00004BC0">
        <w:t xml:space="preserve">représentation des femmes </w:t>
      </w:r>
      <w:r w:rsidR="000B42C5" w:rsidRPr="00004BC0">
        <w:t>dans certains corps de la fonction publique</w:t>
      </w:r>
      <w:r w:rsidR="00A03A81" w:rsidRPr="00004BC0">
        <w:t>,</w:t>
      </w:r>
      <w:r w:rsidR="000B42C5" w:rsidRPr="00004BC0">
        <w:t xml:space="preserve"> notamment dans le co</w:t>
      </w:r>
      <w:r w:rsidR="00F96CC7" w:rsidRPr="00004BC0">
        <w:t>r</w:t>
      </w:r>
      <w:r w:rsidR="000B42C5" w:rsidRPr="00004BC0">
        <w:t>p</w:t>
      </w:r>
      <w:r w:rsidR="00F96CC7" w:rsidRPr="00004BC0">
        <w:t>s judiciaire</w:t>
      </w:r>
      <w:r w:rsidR="00A03A81" w:rsidRPr="00004BC0">
        <w:t>,</w:t>
      </w:r>
      <w:r w:rsidR="00F96CC7" w:rsidRPr="00004BC0">
        <w:t xml:space="preserve"> </w:t>
      </w:r>
      <w:r w:rsidR="000B42C5" w:rsidRPr="00004BC0">
        <w:t xml:space="preserve">et dans les postes de gouverneur et </w:t>
      </w:r>
      <w:r w:rsidR="00A03A81" w:rsidRPr="00004BC0">
        <w:t xml:space="preserve">de </w:t>
      </w:r>
      <w:r w:rsidR="000B42C5" w:rsidRPr="00004BC0">
        <w:t>sous-préfet</w:t>
      </w:r>
      <w:r w:rsidR="00F96CC7" w:rsidRPr="00004BC0">
        <w:t xml:space="preserve">. </w:t>
      </w:r>
      <w:r w:rsidR="000B42C5" w:rsidRPr="00004BC0">
        <w:t>Le Comité est par ailleurs préoccupé par le maintien de dispositions discriminatoires</w:t>
      </w:r>
      <w:r w:rsidR="00A03A81" w:rsidRPr="00004BC0">
        <w:t>,</w:t>
      </w:r>
      <w:r w:rsidR="000B42C5" w:rsidRPr="00004BC0">
        <w:t xml:space="preserve"> notamment dans le </w:t>
      </w:r>
      <w:r w:rsidR="00A03A81" w:rsidRPr="00004BC0">
        <w:t>C</w:t>
      </w:r>
      <w:r w:rsidR="000B42C5" w:rsidRPr="00004BC0">
        <w:t>ode de la famille (art.</w:t>
      </w:r>
      <w:r w:rsidR="00691E90">
        <w:t> </w:t>
      </w:r>
      <w:r w:rsidR="000B42C5" w:rsidRPr="00004BC0">
        <w:t>2, 3, 23, 25 et 26).</w:t>
      </w:r>
    </w:p>
    <w:p w14:paraId="6F4EBE4E" w14:textId="76CC2329" w:rsidR="000B42C5" w:rsidRPr="00DD657B" w:rsidRDefault="00BD493B" w:rsidP="00DD657B">
      <w:pPr>
        <w:pStyle w:val="SingleTxtG"/>
        <w:rPr>
          <w:b/>
          <w:bCs/>
        </w:rPr>
      </w:pPr>
      <w:r w:rsidRPr="00004BC0">
        <w:t>13.</w:t>
      </w:r>
      <w:r w:rsidRPr="00004BC0">
        <w:tab/>
      </w:r>
      <w:r w:rsidR="006D728E" w:rsidRPr="00DD657B">
        <w:rPr>
          <w:b/>
          <w:bCs/>
        </w:rPr>
        <w:t>L’</w:t>
      </w:r>
      <w:r w:rsidR="00A46B77" w:rsidRPr="00DD657B">
        <w:rPr>
          <w:b/>
          <w:bCs/>
        </w:rPr>
        <w:t>État</w:t>
      </w:r>
      <w:r w:rsidR="006D728E" w:rsidRPr="00DD657B">
        <w:rPr>
          <w:b/>
          <w:bCs/>
        </w:rPr>
        <w:t xml:space="preserve"> partie </w:t>
      </w:r>
      <w:r w:rsidR="000B42C5" w:rsidRPr="00DD657B">
        <w:rPr>
          <w:b/>
          <w:bCs/>
        </w:rPr>
        <w:t>devrait :</w:t>
      </w:r>
    </w:p>
    <w:p w14:paraId="3AE7AD06" w14:textId="62BB3027" w:rsidR="000B42C5" w:rsidRPr="00DD657B" w:rsidRDefault="00E82DD9" w:rsidP="00DD657B">
      <w:pPr>
        <w:pStyle w:val="SingleTxtG"/>
        <w:ind w:firstLine="567"/>
        <w:rPr>
          <w:b/>
          <w:bCs/>
        </w:rPr>
      </w:pPr>
      <w:r w:rsidRPr="00DD657B">
        <w:rPr>
          <w:b/>
          <w:bCs/>
        </w:rPr>
        <w:t>a)</w:t>
      </w:r>
      <w:r w:rsidRPr="00DD657B">
        <w:rPr>
          <w:b/>
          <w:bCs/>
        </w:rPr>
        <w:tab/>
      </w:r>
      <w:r w:rsidR="00A03A81" w:rsidRPr="00DD657B">
        <w:rPr>
          <w:b/>
          <w:bCs/>
        </w:rPr>
        <w:t>É</w:t>
      </w:r>
      <w:r w:rsidR="000B42C5" w:rsidRPr="00DD657B">
        <w:rPr>
          <w:b/>
          <w:bCs/>
        </w:rPr>
        <w:t xml:space="preserve">tendre le champ d’application de la loi </w:t>
      </w:r>
      <w:r w:rsidR="00A03A81" w:rsidRPr="00DD657B">
        <w:rPr>
          <w:b/>
          <w:bCs/>
        </w:rPr>
        <w:t>n</w:t>
      </w:r>
      <w:r w:rsidR="00A03A81" w:rsidRPr="00DD657B">
        <w:rPr>
          <w:b/>
          <w:bCs/>
          <w:vertAlign w:val="superscript"/>
        </w:rPr>
        <w:t>o</w:t>
      </w:r>
      <w:r w:rsidR="00A03A81" w:rsidRPr="00DD657B">
        <w:rPr>
          <w:b/>
          <w:bCs/>
        </w:rPr>
        <w:t xml:space="preserve"> 2010-11 </w:t>
      </w:r>
      <w:r w:rsidR="000B42C5" w:rsidRPr="00DD657B">
        <w:rPr>
          <w:b/>
          <w:bCs/>
        </w:rPr>
        <w:t xml:space="preserve">sur la parité </w:t>
      </w:r>
      <w:r w:rsidR="00431827" w:rsidRPr="00DD657B">
        <w:rPr>
          <w:b/>
          <w:bCs/>
        </w:rPr>
        <w:t xml:space="preserve">à </w:t>
      </w:r>
      <w:r w:rsidR="000416A2" w:rsidRPr="00DD657B">
        <w:rPr>
          <w:b/>
          <w:bCs/>
        </w:rPr>
        <w:t>l’ensemble de</w:t>
      </w:r>
      <w:r w:rsidR="00431827" w:rsidRPr="00DD657B">
        <w:rPr>
          <w:b/>
          <w:bCs/>
        </w:rPr>
        <w:t xml:space="preserve"> la </w:t>
      </w:r>
      <w:r w:rsidR="000B42C5" w:rsidRPr="00DD657B">
        <w:rPr>
          <w:b/>
          <w:bCs/>
        </w:rPr>
        <w:t>fonction</w:t>
      </w:r>
      <w:r w:rsidR="000416A2" w:rsidRPr="00DD657B">
        <w:rPr>
          <w:b/>
          <w:bCs/>
        </w:rPr>
        <w:t xml:space="preserve"> publique</w:t>
      </w:r>
      <w:r w:rsidR="0012278A" w:rsidRPr="00DD657B">
        <w:rPr>
          <w:b/>
          <w:bCs/>
        </w:rPr>
        <w:t>,</w:t>
      </w:r>
      <w:r w:rsidR="00431827" w:rsidRPr="00DD657B">
        <w:rPr>
          <w:b/>
          <w:bCs/>
        </w:rPr>
        <w:t xml:space="preserve"> </w:t>
      </w:r>
      <w:r w:rsidR="00CF1D16" w:rsidRPr="00DD657B">
        <w:rPr>
          <w:b/>
          <w:bCs/>
        </w:rPr>
        <w:t xml:space="preserve">et prendre </w:t>
      </w:r>
      <w:r w:rsidR="000416A2" w:rsidRPr="00DD657B">
        <w:rPr>
          <w:b/>
          <w:bCs/>
        </w:rPr>
        <w:t>l</w:t>
      </w:r>
      <w:r w:rsidR="00CF1D16" w:rsidRPr="00DD657B">
        <w:rPr>
          <w:b/>
          <w:bCs/>
        </w:rPr>
        <w:t xml:space="preserve">es mesures </w:t>
      </w:r>
      <w:r w:rsidR="000416A2" w:rsidRPr="00DD657B">
        <w:rPr>
          <w:b/>
          <w:bCs/>
        </w:rPr>
        <w:t>nécessaires</w:t>
      </w:r>
      <w:r w:rsidR="00CF1D16" w:rsidRPr="00DD657B">
        <w:rPr>
          <w:b/>
          <w:bCs/>
        </w:rPr>
        <w:t xml:space="preserve"> pour rendre </w:t>
      </w:r>
      <w:r w:rsidR="00FA3B3A" w:rsidRPr="00DD657B">
        <w:rPr>
          <w:b/>
          <w:bCs/>
        </w:rPr>
        <w:t xml:space="preserve">plus </w:t>
      </w:r>
      <w:r w:rsidR="00CF1D16" w:rsidRPr="00DD657B">
        <w:rPr>
          <w:b/>
          <w:bCs/>
        </w:rPr>
        <w:t xml:space="preserve">effective </w:t>
      </w:r>
      <w:r w:rsidR="00431827" w:rsidRPr="00DD657B">
        <w:rPr>
          <w:b/>
          <w:bCs/>
        </w:rPr>
        <w:t xml:space="preserve">la </w:t>
      </w:r>
      <w:r w:rsidR="00CF1D16" w:rsidRPr="00DD657B">
        <w:rPr>
          <w:b/>
          <w:bCs/>
        </w:rPr>
        <w:t>parité homme-femme</w:t>
      </w:r>
      <w:r w:rsidR="001038A0" w:rsidRPr="00DD657B">
        <w:rPr>
          <w:b/>
          <w:bCs/>
        </w:rPr>
        <w:t> </w:t>
      </w:r>
      <w:r w:rsidR="000B42C5" w:rsidRPr="00DD657B">
        <w:rPr>
          <w:b/>
          <w:bCs/>
        </w:rPr>
        <w:t>;</w:t>
      </w:r>
    </w:p>
    <w:p w14:paraId="64E58E3A" w14:textId="1F27ED42" w:rsidR="00F96CC7" w:rsidRPr="00DD657B" w:rsidRDefault="00E82DD9" w:rsidP="00DD657B">
      <w:pPr>
        <w:pStyle w:val="SingleTxtG"/>
        <w:ind w:firstLine="567"/>
        <w:rPr>
          <w:b/>
          <w:bCs/>
        </w:rPr>
      </w:pPr>
      <w:r w:rsidRPr="00DD657B">
        <w:rPr>
          <w:b/>
          <w:bCs/>
        </w:rPr>
        <w:t>b)</w:t>
      </w:r>
      <w:r w:rsidRPr="00DD657B">
        <w:rPr>
          <w:b/>
          <w:bCs/>
        </w:rPr>
        <w:tab/>
      </w:r>
      <w:r w:rsidR="000B42C5" w:rsidRPr="00DD657B">
        <w:rPr>
          <w:b/>
          <w:bCs/>
        </w:rPr>
        <w:t>Abroger toute disposition contraire au principe d’égalité homme-femme</w:t>
      </w:r>
      <w:r w:rsidR="0012278A" w:rsidRPr="00DD657B">
        <w:rPr>
          <w:b/>
          <w:bCs/>
        </w:rPr>
        <w:t>,</w:t>
      </w:r>
      <w:r w:rsidR="000B42C5" w:rsidRPr="00DD657B">
        <w:rPr>
          <w:b/>
          <w:bCs/>
        </w:rPr>
        <w:t xml:space="preserve"> notamment dans le </w:t>
      </w:r>
      <w:r w:rsidR="0012278A" w:rsidRPr="00DD657B">
        <w:rPr>
          <w:b/>
          <w:bCs/>
        </w:rPr>
        <w:t>C</w:t>
      </w:r>
      <w:r w:rsidR="000B42C5" w:rsidRPr="00DD657B">
        <w:rPr>
          <w:b/>
          <w:bCs/>
        </w:rPr>
        <w:t>ode de la famille</w:t>
      </w:r>
      <w:r w:rsidR="0012278A" w:rsidRPr="00DD657B">
        <w:rPr>
          <w:b/>
          <w:bCs/>
        </w:rPr>
        <w:t>,</w:t>
      </w:r>
      <w:r w:rsidR="000B42C5" w:rsidRPr="00DD657B">
        <w:rPr>
          <w:b/>
          <w:bCs/>
        </w:rPr>
        <w:t xml:space="preserve"> y compris les dispositions </w:t>
      </w:r>
      <w:r w:rsidR="000C3723" w:rsidRPr="00DD657B">
        <w:rPr>
          <w:b/>
          <w:bCs/>
        </w:rPr>
        <w:t>relative</w:t>
      </w:r>
      <w:r w:rsidR="0012278A" w:rsidRPr="00DD657B">
        <w:rPr>
          <w:b/>
          <w:bCs/>
        </w:rPr>
        <w:t>s</w:t>
      </w:r>
      <w:r w:rsidR="000C3723" w:rsidRPr="00DD657B">
        <w:rPr>
          <w:b/>
          <w:bCs/>
        </w:rPr>
        <w:t xml:space="preserve"> à</w:t>
      </w:r>
      <w:r w:rsidR="000B42C5" w:rsidRPr="00DD657B">
        <w:rPr>
          <w:b/>
          <w:bCs/>
        </w:rPr>
        <w:t xml:space="preserve"> la puissance paternelle, </w:t>
      </w:r>
      <w:r w:rsidR="000C3723" w:rsidRPr="00DD657B">
        <w:rPr>
          <w:b/>
          <w:bCs/>
        </w:rPr>
        <w:t xml:space="preserve">à </w:t>
      </w:r>
      <w:r w:rsidR="000B42C5" w:rsidRPr="00DD657B">
        <w:rPr>
          <w:b/>
          <w:bCs/>
        </w:rPr>
        <w:t>la polygamie</w:t>
      </w:r>
      <w:r w:rsidR="00C6442C" w:rsidRPr="00DD657B">
        <w:rPr>
          <w:b/>
          <w:bCs/>
        </w:rPr>
        <w:t>,</w:t>
      </w:r>
      <w:r w:rsidR="000B42C5" w:rsidRPr="00DD657B">
        <w:rPr>
          <w:b/>
          <w:bCs/>
        </w:rPr>
        <w:t xml:space="preserve"> </w:t>
      </w:r>
      <w:r w:rsidR="00C6442C" w:rsidRPr="00DD657B">
        <w:rPr>
          <w:b/>
          <w:bCs/>
        </w:rPr>
        <w:t>aux</w:t>
      </w:r>
      <w:r w:rsidR="000B42C5" w:rsidRPr="00DD657B">
        <w:rPr>
          <w:b/>
          <w:bCs/>
        </w:rPr>
        <w:t xml:space="preserve"> droits successoraux, </w:t>
      </w:r>
      <w:r w:rsidR="00C6442C" w:rsidRPr="00DD657B">
        <w:rPr>
          <w:b/>
          <w:bCs/>
        </w:rPr>
        <w:t>au</w:t>
      </w:r>
      <w:r w:rsidR="000B42C5" w:rsidRPr="00DD657B">
        <w:rPr>
          <w:b/>
          <w:bCs/>
        </w:rPr>
        <w:t xml:space="preserve"> choix du domicile familial, </w:t>
      </w:r>
      <w:r w:rsidR="00C6442C" w:rsidRPr="00DD657B">
        <w:rPr>
          <w:b/>
          <w:bCs/>
        </w:rPr>
        <w:t>au</w:t>
      </w:r>
      <w:r w:rsidR="000B42C5" w:rsidRPr="00DD657B">
        <w:rPr>
          <w:b/>
          <w:bCs/>
        </w:rPr>
        <w:t xml:space="preserve"> délai de viduité</w:t>
      </w:r>
      <w:r w:rsidR="00CF1D16" w:rsidRPr="00DD657B">
        <w:rPr>
          <w:b/>
          <w:bCs/>
        </w:rPr>
        <w:t xml:space="preserve"> et</w:t>
      </w:r>
      <w:r w:rsidR="000B42C5" w:rsidRPr="00DD657B">
        <w:rPr>
          <w:b/>
          <w:bCs/>
        </w:rPr>
        <w:t xml:space="preserve"> </w:t>
      </w:r>
      <w:r w:rsidR="00C6442C" w:rsidRPr="00DD657B">
        <w:rPr>
          <w:b/>
          <w:bCs/>
        </w:rPr>
        <w:t>au</w:t>
      </w:r>
      <w:r w:rsidR="000B42C5" w:rsidRPr="00DD657B">
        <w:rPr>
          <w:b/>
          <w:bCs/>
        </w:rPr>
        <w:t xml:space="preserve"> consentement au mariage. </w:t>
      </w:r>
    </w:p>
    <w:p w14:paraId="558E391C" w14:textId="59C5D145" w:rsidR="005C4E96" w:rsidRPr="00004BC0" w:rsidRDefault="00E82DD9" w:rsidP="0012278A">
      <w:pPr>
        <w:pStyle w:val="H23G"/>
        <w:rPr>
          <w:strike/>
        </w:rPr>
      </w:pPr>
      <w:r w:rsidRPr="00004BC0">
        <w:lastRenderedPageBreak/>
        <w:tab/>
      </w:r>
      <w:r w:rsidRPr="00004BC0">
        <w:tab/>
      </w:r>
      <w:r w:rsidR="005C4E96" w:rsidRPr="00004BC0">
        <w:t xml:space="preserve">Non-discrimination des personnes sur la base de </w:t>
      </w:r>
      <w:r w:rsidR="0012278A" w:rsidRPr="00004BC0">
        <w:t>l’</w:t>
      </w:r>
      <w:r w:rsidR="005C4E96" w:rsidRPr="00004BC0">
        <w:t xml:space="preserve">orientation sexuelle </w:t>
      </w:r>
      <w:r w:rsidR="001038A0" w:rsidRPr="00004BC0">
        <w:br/>
      </w:r>
      <w:r w:rsidR="005C4E96" w:rsidRPr="00004BC0">
        <w:t xml:space="preserve">et </w:t>
      </w:r>
      <w:r w:rsidR="0012278A" w:rsidRPr="00004BC0">
        <w:t>de l’</w:t>
      </w:r>
      <w:r w:rsidR="005C4E96" w:rsidRPr="00004BC0">
        <w:t xml:space="preserve">identité </w:t>
      </w:r>
      <w:r w:rsidR="000416A2" w:rsidRPr="00004BC0">
        <w:t>de genre</w:t>
      </w:r>
    </w:p>
    <w:p w14:paraId="4C31D28B" w14:textId="7E76359E" w:rsidR="00AD6C78" w:rsidRPr="00004BC0" w:rsidRDefault="00BD493B" w:rsidP="007B19EA">
      <w:pPr>
        <w:pStyle w:val="SingleTxtG"/>
      </w:pPr>
      <w:r w:rsidRPr="00004BC0">
        <w:t>14.</w:t>
      </w:r>
      <w:r w:rsidRPr="00004BC0">
        <w:tab/>
      </w:r>
      <w:r w:rsidR="002B3924" w:rsidRPr="00004BC0">
        <w:t xml:space="preserve">Le </w:t>
      </w:r>
      <w:r w:rsidR="000416A2" w:rsidRPr="00004BC0">
        <w:t>C</w:t>
      </w:r>
      <w:r w:rsidR="002B3924" w:rsidRPr="00004BC0">
        <w:t xml:space="preserve">omité </w:t>
      </w:r>
      <w:r w:rsidR="00AD6C78" w:rsidRPr="00004BC0">
        <w:t xml:space="preserve">est préoccupé par les discours d’appel à la haine et à la violence véhiculés dans les </w:t>
      </w:r>
      <w:proofErr w:type="spellStart"/>
      <w:r w:rsidR="00AD6C78" w:rsidRPr="00004BC0">
        <w:t>médias</w:t>
      </w:r>
      <w:proofErr w:type="spellEnd"/>
      <w:r w:rsidR="0012278A" w:rsidRPr="00004BC0">
        <w:t>,</w:t>
      </w:r>
      <w:r w:rsidR="00AD6C78" w:rsidRPr="00004BC0">
        <w:t xml:space="preserve"> notamment par des personnes publiques</w:t>
      </w:r>
      <w:r w:rsidR="0012278A" w:rsidRPr="00004BC0">
        <w:t>,</w:t>
      </w:r>
      <w:r w:rsidR="00AD6C78" w:rsidRPr="00004BC0">
        <w:t xml:space="preserve"> contre des personnes appartenant à des mi</w:t>
      </w:r>
      <w:r w:rsidR="006D728E" w:rsidRPr="00004BC0">
        <w:t>n</w:t>
      </w:r>
      <w:r w:rsidR="00AD6C78" w:rsidRPr="00004BC0">
        <w:t xml:space="preserve">orités sexuelles ou de genre et certains défenseurs de leurs droits. </w:t>
      </w:r>
      <w:r w:rsidR="0012278A" w:rsidRPr="00004BC0">
        <w:t>Il</w:t>
      </w:r>
      <w:r w:rsidR="00AD6C78" w:rsidRPr="00004BC0">
        <w:t xml:space="preserve"> est également préoccupé par des allégations d’arrestations arbitraires, </w:t>
      </w:r>
      <w:r w:rsidR="0012278A" w:rsidRPr="00004BC0">
        <w:t xml:space="preserve">de </w:t>
      </w:r>
      <w:r w:rsidR="00AD6C78" w:rsidRPr="00004BC0">
        <w:t xml:space="preserve">violation du droit à la vie privée, </w:t>
      </w:r>
      <w:r w:rsidR="0012278A" w:rsidRPr="00004BC0">
        <w:t xml:space="preserve">de </w:t>
      </w:r>
      <w:r w:rsidR="00AD6C78" w:rsidRPr="00004BC0">
        <w:t xml:space="preserve">harcèlement et </w:t>
      </w:r>
      <w:r w:rsidR="0012278A" w:rsidRPr="00004BC0">
        <w:t xml:space="preserve">de </w:t>
      </w:r>
      <w:r w:rsidR="00AD6C78" w:rsidRPr="00004BC0">
        <w:t>violences</w:t>
      </w:r>
      <w:r w:rsidR="0012278A" w:rsidRPr="00004BC0">
        <w:t>,</w:t>
      </w:r>
      <w:r w:rsidR="00AD6C78" w:rsidRPr="00004BC0">
        <w:t xml:space="preserve"> notamment par des agents des forces de l’ordre. </w:t>
      </w:r>
      <w:r w:rsidR="0012278A" w:rsidRPr="00004BC0">
        <w:t>À</w:t>
      </w:r>
      <w:r w:rsidR="00AD6C78" w:rsidRPr="00004BC0">
        <w:t xml:space="preserve"> ce titre, le</w:t>
      </w:r>
      <w:r w:rsidR="00691E90">
        <w:t> </w:t>
      </w:r>
      <w:r w:rsidR="00AD6C78" w:rsidRPr="00004BC0">
        <w:t xml:space="preserve">Comité est préoccupé par le maintien et l’application </w:t>
      </w:r>
      <w:r w:rsidR="0012278A" w:rsidRPr="00004BC0">
        <w:t xml:space="preserve">du troisième alinéa </w:t>
      </w:r>
      <w:r w:rsidR="00AD6C78" w:rsidRPr="00004BC0">
        <w:t xml:space="preserve">de l’article 319 du </w:t>
      </w:r>
      <w:r w:rsidR="0012278A" w:rsidRPr="00004BC0">
        <w:t>C</w:t>
      </w:r>
      <w:r w:rsidR="00AD6C78" w:rsidRPr="00004BC0">
        <w:t>ode pénal</w:t>
      </w:r>
      <w:r w:rsidR="0012278A" w:rsidRPr="00004BC0">
        <w:t>,</w:t>
      </w:r>
      <w:r w:rsidR="00AD6C78" w:rsidRPr="00004BC0">
        <w:t xml:space="preserve"> qui criminalise les actes sexuels entre personnes adultes consentantes de même sexe (art. 2, 9, 17, 19, 21, 22 et 26)</w:t>
      </w:r>
      <w:r w:rsidR="009942D8" w:rsidRPr="00004BC0">
        <w:t>.</w:t>
      </w:r>
    </w:p>
    <w:p w14:paraId="2E670380" w14:textId="17F3EEFA" w:rsidR="001972C1" w:rsidRPr="00DD657B" w:rsidRDefault="00BD493B" w:rsidP="00DD657B">
      <w:pPr>
        <w:pStyle w:val="SingleTxtG"/>
        <w:rPr>
          <w:b/>
          <w:bCs/>
          <w:lang w:val="fr-FR"/>
        </w:rPr>
      </w:pPr>
      <w:r w:rsidRPr="00004BC0">
        <w:rPr>
          <w:lang w:val="fr-FR"/>
        </w:rPr>
        <w:t>15.</w:t>
      </w:r>
      <w:r w:rsidRPr="00004BC0">
        <w:rPr>
          <w:lang w:val="fr-FR"/>
        </w:rPr>
        <w:tab/>
      </w:r>
      <w:r w:rsidR="001972C1" w:rsidRPr="00DD657B">
        <w:rPr>
          <w:b/>
          <w:bCs/>
          <w:lang w:val="fr-FR"/>
        </w:rPr>
        <w:t>L’</w:t>
      </w:r>
      <w:r w:rsidR="00A46B77" w:rsidRPr="00DD657B">
        <w:rPr>
          <w:b/>
          <w:bCs/>
          <w:lang w:val="fr-FR"/>
        </w:rPr>
        <w:t>État</w:t>
      </w:r>
      <w:r w:rsidR="00AD6C78" w:rsidRPr="00DD657B">
        <w:rPr>
          <w:b/>
          <w:bCs/>
          <w:lang w:val="fr-FR"/>
        </w:rPr>
        <w:t xml:space="preserve"> partie devrait</w:t>
      </w:r>
      <w:r w:rsidR="0012278A" w:rsidRPr="00DD657B">
        <w:rPr>
          <w:b/>
          <w:bCs/>
          <w:lang w:val="fr-FR"/>
        </w:rPr>
        <w:t> :</w:t>
      </w:r>
    </w:p>
    <w:p w14:paraId="40FE19A5" w14:textId="5E14401B" w:rsidR="00F23073" w:rsidRPr="00004BC0" w:rsidRDefault="00E82DD9" w:rsidP="00F04C24">
      <w:pPr>
        <w:pStyle w:val="SingleTxtG"/>
        <w:ind w:firstLine="567"/>
        <w:rPr>
          <w:b/>
          <w:lang w:val="fr-FR"/>
        </w:rPr>
      </w:pPr>
      <w:r w:rsidRPr="00004BC0">
        <w:rPr>
          <w:b/>
          <w:lang w:val="fr-FR"/>
        </w:rPr>
        <w:t>a)</w:t>
      </w:r>
      <w:r w:rsidRPr="00004BC0">
        <w:rPr>
          <w:b/>
          <w:lang w:val="fr-FR"/>
        </w:rPr>
        <w:tab/>
      </w:r>
      <w:r w:rsidR="001972C1" w:rsidRPr="00004BC0">
        <w:rPr>
          <w:b/>
          <w:lang w:val="fr-FR"/>
        </w:rPr>
        <w:t xml:space="preserve">Prendre des mesures concrètes et urgentes pour s’attaquer à </w:t>
      </w:r>
      <w:r w:rsidR="007F6B7A" w:rsidRPr="00004BC0">
        <w:rPr>
          <w:b/>
          <w:lang w:val="fr-FR"/>
        </w:rPr>
        <w:t xml:space="preserve">la campagne actuelle d’appel à la haine contre </w:t>
      </w:r>
      <w:r w:rsidR="00BC03D8" w:rsidRPr="00004BC0">
        <w:rPr>
          <w:b/>
          <w:lang w:val="fr-FR"/>
        </w:rPr>
        <w:t>d</w:t>
      </w:r>
      <w:r w:rsidR="007F6B7A" w:rsidRPr="00004BC0">
        <w:rPr>
          <w:b/>
          <w:lang w:val="fr-FR"/>
        </w:rPr>
        <w:t xml:space="preserve">es personnes du fait de leur orientation sexuelle </w:t>
      </w:r>
      <w:r w:rsidR="00F23073" w:rsidRPr="00004BC0">
        <w:rPr>
          <w:b/>
          <w:lang w:val="fr-FR"/>
        </w:rPr>
        <w:t xml:space="preserve">et des </w:t>
      </w:r>
      <w:r w:rsidR="00BC03D8" w:rsidRPr="00004BC0">
        <w:rPr>
          <w:b/>
          <w:lang w:val="fr-FR"/>
        </w:rPr>
        <w:t>défenseurs de</w:t>
      </w:r>
      <w:r w:rsidR="00F23073" w:rsidRPr="00004BC0">
        <w:rPr>
          <w:b/>
          <w:lang w:val="fr-FR"/>
        </w:rPr>
        <w:t xml:space="preserve"> leurs droit</w:t>
      </w:r>
      <w:r w:rsidR="002B3924" w:rsidRPr="00004BC0">
        <w:rPr>
          <w:b/>
          <w:lang w:val="fr-FR"/>
        </w:rPr>
        <w:t>s</w:t>
      </w:r>
      <w:r w:rsidR="00BC03D8" w:rsidRPr="00004BC0">
        <w:rPr>
          <w:b/>
          <w:lang w:val="fr-FR"/>
        </w:rPr>
        <w:t>,</w:t>
      </w:r>
      <w:r w:rsidR="00F23073" w:rsidRPr="00004BC0">
        <w:rPr>
          <w:b/>
          <w:lang w:val="fr-FR"/>
        </w:rPr>
        <w:t xml:space="preserve"> y compris les organisations partenaires engagées dans </w:t>
      </w:r>
      <w:r w:rsidR="00F04C24" w:rsidRPr="00004BC0">
        <w:rPr>
          <w:b/>
          <w:lang w:val="fr-FR"/>
        </w:rPr>
        <w:t>l’action</w:t>
      </w:r>
      <w:r w:rsidR="00F23073" w:rsidRPr="00004BC0">
        <w:rPr>
          <w:b/>
          <w:lang w:val="fr-FR"/>
        </w:rPr>
        <w:t xml:space="preserve"> contre le VIH</w:t>
      </w:r>
      <w:r w:rsidR="00F04C24" w:rsidRPr="00004BC0">
        <w:rPr>
          <w:b/>
          <w:lang w:val="fr-FR"/>
        </w:rPr>
        <w:t>/</w:t>
      </w:r>
      <w:r w:rsidR="00BC03D8" w:rsidRPr="00004BC0">
        <w:rPr>
          <w:b/>
          <w:lang w:val="fr-FR"/>
        </w:rPr>
        <w:t>sida</w:t>
      </w:r>
      <w:r w:rsidR="00F23073" w:rsidRPr="00004BC0">
        <w:rPr>
          <w:b/>
          <w:lang w:val="fr-FR"/>
        </w:rPr>
        <w:t> ;</w:t>
      </w:r>
    </w:p>
    <w:p w14:paraId="6F2AA81B" w14:textId="05E2A6A8" w:rsidR="00F23073" w:rsidRPr="00004BC0" w:rsidRDefault="00E82DD9" w:rsidP="00BC03D8">
      <w:pPr>
        <w:pStyle w:val="SingleTxtG"/>
        <w:ind w:firstLine="567"/>
        <w:rPr>
          <w:b/>
          <w:lang w:val="fr-FR"/>
        </w:rPr>
      </w:pPr>
      <w:r w:rsidRPr="00004BC0">
        <w:rPr>
          <w:b/>
          <w:lang w:val="fr-FR"/>
        </w:rPr>
        <w:t>b)</w:t>
      </w:r>
      <w:r w:rsidRPr="00004BC0">
        <w:rPr>
          <w:b/>
          <w:lang w:val="fr-FR"/>
        </w:rPr>
        <w:tab/>
      </w:r>
      <w:r w:rsidR="00F23073" w:rsidRPr="00004BC0">
        <w:rPr>
          <w:b/>
          <w:lang w:val="fr-FR"/>
        </w:rPr>
        <w:t xml:space="preserve">Abroger </w:t>
      </w:r>
      <w:r w:rsidR="00BC03D8" w:rsidRPr="00004BC0">
        <w:rPr>
          <w:b/>
          <w:lang w:val="fr-FR"/>
        </w:rPr>
        <w:t xml:space="preserve">le troisième alinéa de </w:t>
      </w:r>
      <w:r w:rsidR="00F23073" w:rsidRPr="00004BC0">
        <w:rPr>
          <w:b/>
          <w:lang w:val="fr-FR"/>
        </w:rPr>
        <w:t xml:space="preserve">l’article 319 du </w:t>
      </w:r>
      <w:r w:rsidR="00BC03D8" w:rsidRPr="00004BC0">
        <w:rPr>
          <w:b/>
          <w:lang w:val="fr-FR"/>
        </w:rPr>
        <w:t>C</w:t>
      </w:r>
      <w:r w:rsidR="00F23073" w:rsidRPr="00004BC0">
        <w:rPr>
          <w:b/>
          <w:lang w:val="fr-FR"/>
        </w:rPr>
        <w:t>ode pénal</w:t>
      </w:r>
      <w:r w:rsidR="00BC03D8" w:rsidRPr="00004BC0">
        <w:rPr>
          <w:b/>
          <w:lang w:val="fr-FR"/>
        </w:rPr>
        <w:t>,</w:t>
      </w:r>
      <w:r w:rsidR="00F23073" w:rsidRPr="00004BC0">
        <w:rPr>
          <w:b/>
          <w:lang w:val="fr-FR"/>
        </w:rPr>
        <w:t xml:space="preserve"> qui criminalise les actes sexuels entre personnes adultes consentantes de même sexe</w:t>
      </w:r>
      <w:r w:rsidR="002B3924" w:rsidRPr="00004BC0">
        <w:rPr>
          <w:b/>
          <w:lang w:val="fr-FR"/>
        </w:rPr>
        <w:t>, en vue</w:t>
      </w:r>
      <w:r w:rsidR="00F23073" w:rsidRPr="00004BC0">
        <w:rPr>
          <w:b/>
          <w:lang w:val="fr-FR"/>
        </w:rPr>
        <w:t> </w:t>
      </w:r>
      <w:r w:rsidR="00AD6C78" w:rsidRPr="00004BC0">
        <w:rPr>
          <w:b/>
          <w:lang w:val="fr-FR"/>
        </w:rPr>
        <w:t>de réduire la stigmatisation des personnes concernées ;</w:t>
      </w:r>
    </w:p>
    <w:p w14:paraId="527FF37E" w14:textId="63204043" w:rsidR="00F23073" w:rsidRPr="00004BC0" w:rsidRDefault="00E82DD9" w:rsidP="00BC03D8">
      <w:pPr>
        <w:pStyle w:val="SingleTxtG"/>
        <w:ind w:firstLine="567"/>
        <w:rPr>
          <w:b/>
          <w:lang w:val="fr-FR"/>
        </w:rPr>
      </w:pPr>
      <w:r w:rsidRPr="00004BC0">
        <w:rPr>
          <w:b/>
          <w:lang w:val="fr-FR"/>
        </w:rPr>
        <w:t>c)</w:t>
      </w:r>
      <w:r w:rsidRPr="00004BC0">
        <w:rPr>
          <w:b/>
          <w:lang w:val="fr-FR"/>
        </w:rPr>
        <w:tab/>
      </w:r>
      <w:r w:rsidR="00F23073" w:rsidRPr="00004BC0">
        <w:rPr>
          <w:b/>
          <w:lang w:val="fr-FR"/>
        </w:rPr>
        <w:t xml:space="preserve">Transmettre des instructions claires aux agents des forces de l’ordre pour mettre fin à toute violence </w:t>
      </w:r>
      <w:r w:rsidR="002B3924" w:rsidRPr="00004BC0">
        <w:rPr>
          <w:b/>
          <w:lang w:val="fr-FR"/>
        </w:rPr>
        <w:t xml:space="preserve">ou </w:t>
      </w:r>
      <w:r w:rsidR="00F23073" w:rsidRPr="00004BC0">
        <w:rPr>
          <w:b/>
          <w:lang w:val="fr-FR"/>
        </w:rPr>
        <w:t xml:space="preserve">arrestation arbitraire contre des personnes du fait de leur orientation sexuelle </w:t>
      </w:r>
      <w:r w:rsidR="00BC03D8" w:rsidRPr="00004BC0">
        <w:rPr>
          <w:b/>
          <w:lang w:val="fr-FR"/>
        </w:rPr>
        <w:t>ou</w:t>
      </w:r>
      <w:r w:rsidR="00F23073" w:rsidRPr="00004BC0">
        <w:rPr>
          <w:b/>
          <w:lang w:val="fr-FR"/>
        </w:rPr>
        <w:t xml:space="preserve"> identité de genre</w:t>
      </w:r>
      <w:r w:rsidR="00BC03D8" w:rsidRPr="00004BC0">
        <w:rPr>
          <w:b/>
          <w:lang w:val="fr-FR"/>
        </w:rPr>
        <w:t>,</w:t>
      </w:r>
      <w:r w:rsidR="00F23073" w:rsidRPr="00004BC0">
        <w:rPr>
          <w:b/>
          <w:lang w:val="fr-FR"/>
        </w:rPr>
        <w:t xml:space="preserve"> réelle ou perçue ;</w:t>
      </w:r>
    </w:p>
    <w:p w14:paraId="11AD00F8" w14:textId="674E443F" w:rsidR="00F23073" w:rsidRPr="00004BC0" w:rsidRDefault="00E82DD9" w:rsidP="00BC03D8">
      <w:pPr>
        <w:pStyle w:val="SingleTxtG"/>
        <w:ind w:firstLine="567"/>
        <w:rPr>
          <w:b/>
          <w:lang w:val="fr-FR"/>
        </w:rPr>
      </w:pPr>
      <w:r w:rsidRPr="00004BC0">
        <w:rPr>
          <w:b/>
          <w:lang w:val="fr-FR"/>
        </w:rPr>
        <w:t>d)</w:t>
      </w:r>
      <w:r w:rsidRPr="00004BC0">
        <w:rPr>
          <w:b/>
          <w:lang w:val="fr-FR"/>
        </w:rPr>
        <w:tab/>
      </w:r>
      <w:r w:rsidR="00F23073" w:rsidRPr="00004BC0">
        <w:rPr>
          <w:b/>
          <w:lang w:val="fr-FR"/>
        </w:rPr>
        <w:t xml:space="preserve">S’assurer que toute </w:t>
      </w:r>
      <w:r w:rsidR="005E0375" w:rsidRPr="00004BC0">
        <w:rPr>
          <w:b/>
          <w:lang w:val="fr-FR"/>
        </w:rPr>
        <w:t>violation</w:t>
      </w:r>
      <w:r w:rsidR="00AD6C78" w:rsidRPr="00004BC0">
        <w:rPr>
          <w:b/>
          <w:lang w:val="fr-FR"/>
        </w:rPr>
        <w:t xml:space="preserve"> </w:t>
      </w:r>
      <w:r w:rsidR="00BC03D8" w:rsidRPr="00004BC0">
        <w:rPr>
          <w:b/>
          <w:lang w:val="fr-FR"/>
        </w:rPr>
        <w:t>fait</w:t>
      </w:r>
      <w:r w:rsidR="00AD6C78" w:rsidRPr="00004BC0">
        <w:rPr>
          <w:b/>
          <w:lang w:val="fr-FR"/>
        </w:rPr>
        <w:t xml:space="preserve"> l’objet d’enquêtes approfondies et </w:t>
      </w:r>
      <w:r w:rsidR="005E0375" w:rsidRPr="00004BC0">
        <w:rPr>
          <w:b/>
          <w:lang w:val="fr-FR"/>
        </w:rPr>
        <w:t>de poursuites</w:t>
      </w:r>
      <w:r w:rsidR="00BC03D8" w:rsidRPr="00004BC0">
        <w:rPr>
          <w:b/>
          <w:lang w:val="fr-FR"/>
        </w:rPr>
        <w:t>,</w:t>
      </w:r>
      <w:r w:rsidR="005E0375" w:rsidRPr="00004BC0">
        <w:rPr>
          <w:b/>
          <w:lang w:val="fr-FR"/>
        </w:rPr>
        <w:t xml:space="preserve"> le cas échéant</w:t>
      </w:r>
      <w:r w:rsidR="009942D8" w:rsidRPr="00004BC0">
        <w:rPr>
          <w:b/>
          <w:lang w:val="fr-FR"/>
        </w:rPr>
        <w:t>.</w:t>
      </w:r>
    </w:p>
    <w:p w14:paraId="350AD58E" w14:textId="01A8F571" w:rsidR="003A2AFF" w:rsidRPr="00004BC0" w:rsidRDefault="00E82DD9" w:rsidP="00E82DD9">
      <w:pPr>
        <w:pStyle w:val="H23G"/>
      </w:pPr>
      <w:r w:rsidRPr="00004BC0">
        <w:tab/>
      </w:r>
      <w:r w:rsidRPr="00004BC0">
        <w:tab/>
      </w:r>
      <w:r w:rsidR="001B1B39" w:rsidRPr="00004BC0">
        <w:t>Violences contre les femmes et pratiques préjudiciables</w:t>
      </w:r>
    </w:p>
    <w:p w14:paraId="7BAF698C" w14:textId="3B0B5E83" w:rsidR="001B1B39" w:rsidRPr="00004BC0" w:rsidRDefault="00BD493B" w:rsidP="007B19EA">
      <w:pPr>
        <w:pStyle w:val="SingleTxtG"/>
      </w:pPr>
      <w:r w:rsidRPr="00004BC0">
        <w:t>16.</w:t>
      </w:r>
      <w:r w:rsidRPr="00004BC0">
        <w:tab/>
      </w:r>
      <w:r w:rsidR="0066068E" w:rsidRPr="00004BC0">
        <w:t>Le Comité demeure préoccupé par la prévalence de pratiques préjudiciables sur le territoire de l’</w:t>
      </w:r>
      <w:r w:rsidR="00A46B77" w:rsidRPr="00004BC0">
        <w:t>État</w:t>
      </w:r>
      <w:r w:rsidR="0066068E" w:rsidRPr="00004BC0">
        <w:t xml:space="preserve"> partie</w:t>
      </w:r>
      <w:r w:rsidR="00BC03D8" w:rsidRPr="00004BC0">
        <w:t>,</w:t>
      </w:r>
      <w:r w:rsidR="0066068E" w:rsidRPr="00004BC0">
        <w:t xml:space="preserve"> notamment de</w:t>
      </w:r>
      <w:r w:rsidR="00BC03D8" w:rsidRPr="00004BC0">
        <w:t>s</w:t>
      </w:r>
      <w:r w:rsidR="0066068E" w:rsidRPr="00004BC0">
        <w:t xml:space="preserve"> mutilations génitales féminines, de</w:t>
      </w:r>
      <w:r w:rsidR="00BC03D8" w:rsidRPr="00004BC0">
        <w:t>s</w:t>
      </w:r>
      <w:r w:rsidR="0066068E" w:rsidRPr="00004BC0">
        <w:t xml:space="preserve"> violences domestiques, </w:t>
      </w:r>
      <w:r w:rsidR="000416A2" w:rsidRPr="00004BC0">
        <w:t>de</w:t>
      </w:r>
      <w:r w:rsidR="00BC03D8" w:rsidRPr="00004BC0">
        <w:t>s</w:t>
      </w:r>
      <w:r w:rsidR="000416A2" w:rsidRPr="00004BC0">
        <w:t xml:space="preserve"> mariages précoces et </w:t>
      </w:r>
      <w:r w:rsidR="00BC03D8" w:rsidRPr="00004BC0">
        <w:t xml:space="preserve">des </w:t>
      </w:r>
      <w:r w:rsidR="0066068E" w:rsidRPr="00004BC0">
        <w:t>abus sexuels contre les</w:t>
      </w:r>
      <w:r w:rsidR="002B3924" w:rsidRPr="00004BC0">
        <w:t xml:space="preserve"> femmes et les </w:t>
      </w:r>
      <w:r w:rsidR="000416A2" w:rsidRPr="00004BC0">
        <w:t>filles</w:t>
      </w:r>
      <w:r w:rsidR="0066068E" w:rsidRPr="00004BC0">
        <w:t xml:space="preserve">. </w:t>
      </w:r>
      <w:r w:rsidR="00BC03D8" w:rsidRPr="00004BC0">
        <w:t>Il</w:t>
      </w:r>
      <w:r w:rsidR="001B1B39" w:rsidRPr="00004BC0">
        <w:t xml:space="preserve"> est </w:t>
      </w:r>
      <w:r w:rsidR="00BC03D8" w:rsidRPr="00004BC0">
        <w:t xml:space="preserve">de plus </w:t>
      </w:r>
      <w:r w:rsidR="001B1B39" w:rsidRPr="00004BC0">
        <w:t xml:space="preserve">préoccupé par </w:t>
      </w:r>
      <w:r w:rsidR="00593297" w:rsidRPr="00004BC0">
        <w:t>l</w:t>
      </w:r>
      <w:r w:rsidR="001B1B39" w:rsidRPr="00004BC0">
        <w:t>’application</w:t>
      </w:r>
      <w:r w:rsidR="00593297" w:rsidRPr="00004BC0">
        <w:t xml:space="preserve"> insuffisante</w:t>
      </w:r>
      <w:r w:rsidR="001B1B39" w:rsidRPr="00004BC0">
        <w:t xml:space="preserve"> de la loi </w:t>
      </w:r>
      <w:r w:rsidR="00691E90" w:rsidRPr="00004BC0">
        <w:t>n</w:t>
      </w:r>
      <w:r w:rsidR="00691E90" w:rsidRPr="009648D4">
        <w:rPr>
          <w:vertAlign w:val="superscript"/>
        </w:rPr>
        <w:t>o</w:t>
      </w:r>
      <w:r w:rsidR="00691E90">
        <w:t> </w:t>
      </w:r>
      <w:r w:rsidR="001B1B39" w:rsidRPr="00004BC0">
        <w:t>99-05 du 29 janvier 1999</w:t>
      </w:r>
      <w:r w:rsidR="00BC03D8" w:rsidRPr="00004BC0">
        <w:t xml:space="preserve"> modifiant certaines dispositions du Code pénal,</w:t>
      </w:r>
      <w:r w:rsidR="001B1B39" w:rsidRPr="00004BC0">
        <w:t xml:space="preserve"> et </w:t>
      </w:r>
      <w:r w:rsidR="00593297" w:rsidRPr="00004BC0">
        <w:t xml:space="preserve">par </w:t>
      </w:r>
      <w:r w:rsidR="001B1B39" w:rsidRPr="00004BC0">
        <w:t>le faible</w:t>
      </w:r>
      <w:r w:rsidR="00593297" w:rsidRPr="00004BC0">
        <w:t xml:space="preserve"> nombre</w:t>
      </w:r>
      <w:r w:rsidR="001B1B39" w:rsidRPr="00004BC0">
        <w:t xml:space="preserve"> de poursuite</w:t>
      </w:r>
      <w:r w:rsidR="00593297" w:rsidRPr="00004BC0">
        <w:t>s</w:t>
      </w:r>
      <w:r w:rsidR="001B1B39" w:rsidRPr="00004BC0">
        <w:t xml:space="preserve"> pour des faits d’excision. Le Comité est également préoccupé par l’absence de référence </w:t>
      </w:r>
      <w:r w:rsidR="00331B5E" w:rsidRPr="00004BC0">
        <w:t xml:space="preserve">explicite </w:t>
      </w:r>
      <w:r w:rsidR="001B1B39" w:rsidRPr="00004BC0">
        <w:t xml:space="preserve">au viol conjugal dans les dispositions de l’article 320 du </w:t>
      </w:r>
      <w:r w:rsidR="00593297" w:rsidRPr="00004BC0">
        <w:t>C</w:t>
      </w:r>
      <w:r w:rsidR="001B1B39" w:rsidRPr="00004BC0">
        <w:t>ode pénal.</w:t>
      </w:r>
    </w:p>
    <w:p w14:paraId="13710C35" w14:textId="3E35A88C" w:rsidR="0066068E" w:rsidRPr="003835CE" w:rsidRDefault="00BD493B" w:rsidP="001B1B39">
      <w:pPr>
        <w:spacing w:after="120"/>
        <w:ind w:left="1134" w:right="1134"/>
        <w:jc w:val="both"/>
        <w:rPr>
          <w:rStyle w:val="SingleTxtGChar"/>
          <w:b/>
          <w:bCs/>
        </w:rPr>
      </w:pPr>
      <w:r w:rsidRPr="00004BC0">
        <w:t>17.</w:t>
      </w:r>
      <w:r w:rsidRPr="00004BC0">
        <w:rPr>
          <w:b/>
        </w:rPr>
        <w:tab/>
      </w:r>
      <w:r w:rsidR="0066068E" w:rsidRPr="003835CE">
        <w:rPr>
          <w:rStyle w:val="SingleTxtGChar"/>
          <w:b/>
          <w:bCs/>
        </w:rPr>
        <w:t>L’</w:t>
      </w:r>
      <w:r w:rsidR="00A46B77" w:rsidRPr="003835CE">
        <w:rPr>
          <w:rStyle w:val="SingleTxtGChar"/>
          <w:b/>
          <w:bCs/>
        </w:rPr>
        <w:t>État</w:t>
      </w:r>
      <w:r w:rsidR="0066068E" w:rsidRPr="003835CE">
        <w:rPr>
          <w:rStyle w:val="SingleTxtGChar"/>
          <w:b/>
          <w:bCs/>
        </w:rPr>
        <w:t xml:space="preserve"> partie devrait :</w:t>
      </w:r>
    </w:p>
    <w:p w14:paraId="72EE19E7" w14:textId="5C4603F3" w:rsidR="005E0375" w:rsidRPr="003835CE" w:rsidRDefault="005E0375" w:rsidP="003835CE">
      <w:pPr>
        <w:pStyle w:val="SingleTxtG"/>
        <w:ind w:firstLine="567"/>
        <w:rPr>
          <w:b/>
          <w:bCs/>
        </w:rPr>
      </w:pPr>
      <w:r w:rsidRPr="003835CE">
        <w:rPr>
          <w:b/>
          <w:bCs/>
        </w:rPr>
        <w:t>a)</w:t>
      </w:r>
      <w:r w:rsidRPr="003835CE">
        <w:rPr>
          <w:b/>
          <w:bCs/>
        </w:rPr>
        <w:tab/>
      </w:r>
      <w:r w:rsidR="00593297" w:rsidRPr="003835CE">
        <w:rPr>
          <w:b/>
          <w:bCs/>
        </w:rPr>
        <w:t>É</w:t>
      </w:r>
      <w:r w:rsidR="0066068E" w:rsidRPr="003835CE">
        <w:rPr>
          <w:b/>
          <w:bCs/>
        </w:rPr>
        <w:t>largir l’interdiction des mariages forcés aux mariages traditionnels ou religieux</w:t>
      </w:r>
      <w:r w:rsidR="00593297" w:rsidRPr="003835CE">
        <w:rPr>
          <w:b/>
          <w:bCs/>
        </w:rPr>
        <w:t>,</w:t>
      </w:r>
      <w:r w:rsidR="00C165A3" w:rsidRPr="003835CE">
        <w:rPr>
          <w:b/>
          <w:bCs/>
        </w:rPr>
        <w:t xml:space="preserve"> et s’assurer que les mariages précoces sont sanctionné</w:t>
      </w:r>
      <w:r w:rsidR="00F96CC7" w:rsidRPr="003835CE">
        <w:rPr>
          <w:b/>
          <w:bCs/>
        </w:rPr>
        <w:t>s</w:t>
      </w:r>
      <w:r w:rsidR="00C165A3" w:rsidRPr="003835CE">
        <w:rPr>
          <w:b/>
          <w:bCs/>
        </w:rPr>
        <w:t xml:space="preserve"> pénalement et non seulement </w:t>
      </w:r>
      <w:r w:rsidR="00593297" w:rsidRPr="003835CE">
        <w:rPr>
          <w:b/>
          <w:bCs/>
        </w:rPr>
        <w:t>dissous</w:t>
      </w:r>
      <w:r w:rsidR="002B3924" w:rsidRPr="003835CE">
        <w:rPr>
          <w:b/>
          <w:bCs/>
        </w:rPr>
        <w:t> ;</w:t>
      </w:r>
      <w:r w:rsidR="0066068E" w:rsidRPr="003835CE">
        <w:rPr>
          <w:b/>
          <w:bCs/>
        </w:rPr>
        <w:t xml:space="preserve"> </w:t>
      </w:r>
    </w:p>
    <w:p w14:paraId="3364AC27" w14:textId="49E9019B" w:rsidR="005E0375" w:rsidRPr="003835CE" w:rsidRDefault="005E0375" w:rsidP="003835CE">
      <w:pPr>
        <w:pStyle w:val="SingleTxtG"/>
        <w:ind w:firstLine="567"/>
        <w:rPr>
          <w:b/>
          <w:bCs/>
        </w:rPr>
      </w:pPr>
      <w:r w:rsidRPr="003835CE">
        <w:rPr>
          <w:b/>
          <w:bCs/>
        </w:rPr>
        <w:t>b)</w:t>
      </w:r>
      <w:r w:rsidRPr="003835CE">
        <w:rPr>
          <w:b/>
          <w:bCs/>
        </w:rPr>
        <w:tab/>
        <w:t>V</w:t>
      </w:r>
      <w:r w:rsidR="0066068E" w:rsidRPr="003835CE">
        <w:rPr>
          <w:b/>
          <w:bCs/>
        </w:rPr>
        <w:t xml:space="preserve">eiller à l’enregistrement officiel des mariages traditionnels ou religieux et à la vérification systématique de l’âge des époux et de leur consentement, notamment en s’assurant de leur présence physique </w:t>
      </w:r>
      <w:r w:rsidR="00C165A3" w:rsidRPr="003835CE">
        <w:rPr>
          <w:b/>
          <w:bCs/>
        </w:rPr>
        <w:t xml:space="preserve">à la conclusion du </w:t>
      </w:r>
      <w:r w:rsidR="002B3924" w:rsidRPr="003835CE">
        <w:rPr>
          <w:b/>
          <w:bCs/>
        </w:rPr>
        <w:t>mariage ;</w:t>
      </w:r>
      <w:r w:rsidR="0066068E" w:rsidRPr="003835CE">
        <w:rPr>
          <w:b/>
          <w:bCs/>
        </w:rPr>
        <w:t xml:space="preserve"> </w:t>
      </w:r>
    </w:p>
    <w:p w14:paraId="382D2A1D" w14:textId="3C5C4F34" w:rsidR="005E0375" w:rsidRPr="003835CE" w:rsidRDefault="005E0375" w:rsidP="003835CE">
      <w:pPr>
        <w:pStyle w:val="SingleTxtG"/>
        <w:ind w:firstLine="567"/>
        <w:rPr>
          <w:b/>
          <w:bCs/>
        </w:rPr>
      </w:pPr>
      <w:r w:rsidRPr="003835CE">
        <w:rPr>
          <w:b/>
          <w:bCs/>
        </w:rPr>
        <w:t>c)</w:t>
      </w:r>
      <w:r w:rsidRPr="003835CE">
        <w:rPr>
          <w:b/>
          <w:bCs/>
        </w:rPr>
        <w:tab/>
        <w:t>V</w:t>
      </w:r>
      <w:r w:rsidR="00C165A3" w:rsidRPr="003835CE">
        <w:rPr>
          <w:b/>
          <w:bCs/>
        </w:rPr>
        <w:t xml:space="preserve">eiller à la stricte application de la loi </w:t>
      </w:r>
      <w:r w:rsidR="00691E90" w:rsidRPr="003835CE">
        <w:rPr>
          <w:b/>
          <w:bCs/>
        </w:rPr>
        <w:t>n</w:t>
      </w:r>
      <w:r w:rsidR="00691E90" w:rsidRPr="003835CE">
        <w:rPr>
          <w:b/>
          <w:bCs/>
          <w:vertAlign w:val="superscript"/>
        </w:rPr>
        <w:t>o</w:t>
      </w:r>
      <w:r w:rsidR="00691E90" w:rsidRPr="003835CE">
        <w:rPr>
          <w:b/>
          <w:bCs/>
        </w:rPr>
        <w:t> </w:t>
      </w:r>
      <w:r w:rsidR="00C165A3" w:rsidRPr="003835CE">
        <w:rPr>
          <w:b/>
          <w:bCs/>
        </w:rPr>
        <w:t>99-05 du 29 janvier 1999</w:t>
      </w:r>
      <w:r w:rsidR="00593297" w:rsidRPr="003835CE">
        <w:rPr>
          <w:b/>
          <w:bCs/>
        </w:rPr>
        <w:t>, qui porte notamment</w:t>
      </w:r>
      <w:r w:rsidR="00C165A3" w:rsidRPr="003835CE">
        <w:rPr>
          <w:b/>
          <w:bCs/>
        </w:rPr>
        <w:t xml:space="preserve"> sur l’interdiction des mutilations génitales féminines</w:t>
      </w:r>
      <w:r w:rsidR="00593297" w:rsidRPr="003835CE">
        <w:rPr>
          <w:b/>
          <w:bCs/>
        </w:rPr>
        <w:t>,</w:t>
      </w:r>
      <w:r w:rsidR="00C165A3" w:rsidRPr="003835CE">
        <w:rPr>
          <w:b/>
          <w:bCs/>
        </w:rPr>
        <w:t xml:space="preserve"> en s’assurant que les exciseuses sont poursuivies et condamnées ; </w:t>
      </w:r>
    </w:p>
    <w:p w14:paraId="37B55B20" w14:textId="756FE678" w:rsidR="001B1B39" w:rsidRPr="003835CE" w:rsidRDefault="001038A0" w:rsidP="003835CE">
      <w:pPr>
        <w:pStyle w:val="SingleTxtG"/>
        <w:ind w:firstLine="567"/>
        <w:rPr>
          <w:b/>
          <w:bCs/>
        </w:rPr>
      </w:pPr>
      <w:r w:rsidRPr="003835CE">
        <w:rPr>
          <w:b/>
          <w:bCs/>
        </w:rPr>
        <w:t>d)</w:t>
      </w:r>
      <w:r w:rsidR="00E82DD9" w:rsidRPr="003835CE">
        <w:rPr>
          <w:b/>
          <w:bCs/>
        </w:rPr>
        <w:tab/>
      </w:r>
      <w:r w:rsidR="00596FB7" w:rsidRPr="003835CE">
        <w:rPr>
          <w:b/>
          <w:bCs/>
        </w:rPr>
        <w:t>Envisager la révision de</w:t>
      </w:r>
      <w:r w:rsidR="001B1B39" w:rsidRPr="003835CE">
        <w:rPr>
          <w:b/>
          <w:bCs/>
        </w:rPr>
        <w:t xml:space="preserve"> l’article 320 du </w:t>
      </w:r>
      <w:r w:rsidR="00593297" w:rsidRPr="003835CE">
        <w:rPr>
          <w:b/>
          <w:bCs/>
        </w:rPr>
        <w:t>C</w:t>
      </w:r>
      <w:r w:rsidR="001B1B39" w:rsidRPr="003835CE">
        <w:rPr>
          <w:b/>
          <w:bCs/>
        </w:rPr>
        <w:t xml:space="preserve">ode pénal pour </w:t>
      </w:r>
      <w:r w:rsidR="00593297" w:rsidRPr="003835CE">
        <w:rPr>
          <w:b/>
          <w:bCs/>
        </w:rPr>
        <w:t xml:space="preserve">y </w:t>
      </w:r>
      <w:r w:rsidR="001B1B39" w:rsidRPr="003835CE">
        <w:rPr>
          <w:b/>
          <w:bCs/>
        </w:rPr>
        <w:t>inclure spécifiquement la question du viol conjugal</w:t>
      </w:r>
      <w:r w:rsidR="00593297" w:rsidRPr="003835CE">
        <w:rPr>
          <w:b/>
          <w:bCs/>
        </w:rPr>
        <w:t>,</w:t>
      </w:r>
      <w:r w:rsidR="001B1B39" w:rsidRPr="003835CE">
        <w:rPr>
          <w:b/>
          <w:bCs/>
        </w:rPr>
        <w:t xml:space="preserve"> afin de </w:t>
      </w:r>
      <w:r w:rsidR="00C165A3" w:rsidRPr="003835CE">
        <w:rPr>
          <w:b/>
          <w:bCs/>
        </w:rPr>
        <w:t xml:space="preserve">ne </w:t>
      </w:r>
      <w:r w:rsidR="001B1B39" w:rsidRPr="003835CE">
        <w:rPr>
          <w:b/>
          <w:bCs/>
        </w:rPr>
        <w:t>laisser aucune ambiguïté sur le champ d’application de cette disposition</w:t>
      </w:r>
      <w:r w:rsidR="00C165A3" w:rsidRPr="003835CE">
        <w:rPr>
          <w:b/>
          <w:bCs/>
        </w:rPr>
        <w:t>.</w:t>
      </w:r>
    </w:p>
    <w:p w14:paraId="4375A421" w14:textId="2719E76F" w:rsidR="00F96CC7" w:rsidRPr="00004BC0" w:rsidRDefault="00E82DD9" w:rsidP="00E82DD9">
      <w:pPr>
        <w:pStyle w:val="H23G"/>
      </w:pPr>
      <w:r w:rsidRPr="00004BC0">
        <w:tab/>
      </w:r>
      <w:r w:rsidRPr="00004BC0">
        <w:tab/>
      </w:r>
      <w:r w:rsidR="00F96CC7" w:rsidRPr="00004BC0">
        <w:t>Peine de mort</w:t>
      </w:r>
    </w:p>
    <w:p w14:paraId="13266719" w14:textId="37F5A668" w:rsidR="00DE6AC6" w:rsidRPr="00004BC0" w:rsidRDefault="00BD493B" w:rsidP="007B19EA">
      <w:pPr>
        <w:pStyle w:val="SingleTxtG"/>
      </w:pPr>
      <w:r w:rsidRPr="00004BC0">
        <w:t>18.</w:t>
      </w:r>
      <w:r w:rsidRPr="00004BC0">
        <w:tab/>
      </w:r>
      <w:r w:rsidR="00F96CC7" w:rsidRPr="00004BC0">
        <w:t xml:space="preserve">Tout en notant </w:t>
      </w:r>
      <w:r w:rsidR="005D72B7" w:rsidRPr="00004BC0">
        <w:t xml:space="preserve">avec satisfaction l’abolition de la peine de mort par la législation nationale, et prenant acte de </w:t>
      </w:r>
      <w:r w:rsidR="00F96CC7" w:rsidRPr="00004BC0">
        <w:t xml:space="preserve">la volonté affichée </w:t>
      </w:r>
      <w:r w:rsidR="004C417A" w:rsidRPr="00004BC0">
        <w:t>par</w:t>
      </w:r>
      <w:r w:rsidR="00F96CC7" w:rsidRPr="00004BC0">
        <w:t xml:space="preserve"> l’</w:t>
      </w:r>
      <w:r w:rsidR="00A46B77" w:rsidRPr="00004BC0">
        <w:t>État</w:t>
      </w:r>
      <w:r w:rsidR="00F96CC7" w:rsidRPr="00004BC0">
        <w:t xml:space="preserve"> partie de ratifier le Deuxième Protocole facultatif se rapportant au Pacte</w:t>
      </w:r>
      <w:r w:rsidR="004C417A" w:rsidRPr="00004BC0">
        <w:t xml:space="preserve"> international relatif aux droits civils et politiques, visant à abolir la peine de mort</w:t>
      </w:r>
      <w:r w:rsidR="005E0375" w:rsidRPr="00004BC0">
        <w:t xml:space="preserve">, </w:t>
      </w:r>
      <w:r w:rsidR="00F96CC7" w:rsidRPr="00004BC0">
        <w:t>le Comité constate que le processus de ratification n</w:t>
      </w:r>
      <w:r w:rsidR="00DE6AC6" w:rsidRPr="00004BC0">
        <w:t xml:space="preserve">’a pas encore été </w:t>
      </w:r>
      <w:r w:rsidR="004C417A" w:rsidRPr="00004BC0">
        <w:t>lancé</w:t>
      </w:r>
      <w:r w:rsidR="00DE6AC6" w:rsidRPr="00004BC0">
        <w:t>.</w:t>
      </w:r>
    </w:p>
    <w:p w14:paraId="434DED25" w14:textId="6948C956" w:rsidR="00F96CC7" w:rsidRPr="003835CE" w:rsidRDefault="00BD493B" w:rsidP="006404B7">
      <w:pPr>
        <w:spacing w:after="120"/>
        <w:ind w:left="1134" w:right="1134"/>
        <w:jc w:val="both"/>
        <w:rPr>
          <w:rStyle w:val="SingleTxtGChar"/>
          <w:b/>
          <w:bCs/>
        </w:rPr>
      </w:pPr>
      <w:r w:rsidRPr="00004BC0">
        <w:lastRenderedPageBreak/>
        <w:t>19.</w:t>
      </w:r>
      <w:r w:rsidRPr="00004BC0">
        <w:rPr>
          <w:b/>
        </w:rPr>
        <w:tab/>
      </w:r>
      <w:r w:rsidR="00DE6AC6" w:rsidRPr="003835CE">
        <w:rPr>
          <w:rStyle w:val="SingleTxtGChar"/>
          <w:b/>
          <w:bCs/>
        </w:rPr>
        <w:t>L’</w:t>
      </w:r>
      <w:r w:rsidR="00A46B77" w:rsidRPr="003835CE">
        <w:rPr>
          <w:rStyle w:val="SingleTxtGChar"/>
          <w:b/>
          <w:bCs/>
        </w:rPr>
        <w:t>État</w:t>
      </w:r>
      <w:r w:rsidR="00DE6AC6" w:rsidRPr="003835CE">
        <w:rPr>
          <w:rStyle w:val="SingleTxtGChar"/>
          <w:b/>
          <w:bCs/>
        </w:rPr>
        <w:t xml:space="preserve"> partie devrait </w:t>
      </w:r>
      <w:r w:rsidR="003D099A" w:rsidRPr="003835CE">
        <w:rPr>
          <w:rStyle w:val="SingleTxtGChar"/>
          <w:b/>
          <w:bCs/>
        </w:rPr>
        <w:t xml:space="preserve">diligenter la ratification du </w:t>
      </w:r>
      <w:r w:rsidR="006404B7" w:rsidRPr="003835CE">
        <w:rPr>
          <w:rStyle w:val="SingleTxtGChar"/>
          <w:b/>
          <w:bCs/>
        </w:rPr>
        <w:t>D</w:t>
      </w:r>
      <w:r w:rsidR="003D099A" w:rsidRPr="003835CE">
        <w:rPr>
          <w:rStyle w:val="SingleTxtGChar"/>
          <w:b/>
          <w:bCs/>
        </w:rPr>
        <w:t>euxième Protocole facultatif se rapportant au Pacte</w:t>
      </w:r>
      <w:r w:rsidR="004C417A" w:rsidRPr="003835CE">
        <w:rPr>
          <w:rStyle w:val="SingleTxtGChar"/>
          <w:b/>
          <w:bCs/>
        </w:rPr>
        <w:t>,</w:t>
      </w:r>
      <w:r w:rsidR="003D099A" w:rsidRPr="003835CE">
        <w:rPr>
          <w:rStyle w:val="SingleTxtGChar"/>
          <w:b/>
          <w:bCs/>
        </w:rPr>
        <w:t xml:space="preserve"> et veiller à poursuivre</w:t>
      </w:r>
      <w:r w:rsidR="001622AA" w:rsidRPr="003835CE">
        <w:rPr>
          <w:rStyle w:val="SingleTxtGChar"/>
          <w:b/>
          <w:bCs/>
        </w:rPr>
        <w:t xml:space="preserve"> </w:t>
      </w:r>
      <w:r w:rsidR="003D099A" w:rsidRPr="003835CE">
        <w:rPr>
          <w:rStyle w:val="SingleTxtGChar"/>
          <w:b/>
          <w:bCs/>
        </w:rPr>
        <w:t xml:space="preserve">la sensibilisation de la population </w:t>
      </w:r>
      <w:r w:rsidR="004C417A" w:rsidRPr="003835CE">
        <w:rPr>
          <w:rStyle w:val="SingleTxtGChar"/>
          <w:b/>
          <w:bCs/>
        </w:rPr>
        <w:t>à</w:t>
      </w:r>
      <w:r w:rsidR="003D099A" w:rsidRPr="003835CE">
        <w:rPr>
          <w:rStyle w:val="SingleTxtGChar"/>
          <w:b/>
          <w:bCs/>
        </w:rPr>
        <w:t xml:space="preserve"> l’abolition de la peine de mort.</w:t>
      </w:r>
    </w:p>
    <w:p w14:paraId="1F8F6DB9" w14:textId="71FDA021" w:rsidR="00F96CC7" w:rsidRPr="00004BC0" w:rsidRDefault="00E82DD9" w:rsidP="00E82DD9">
      <w:pPr>
        <w:pStyle w:val="H23G"/>
      </w:pPr>
      <w:r w:rsidRPr="00004BC0">
        <w:tab/>
      </w:r>
      <w:r w:rsidRPr="00004BC0">
        <w:tab/>
      </w:r>
      <w:r w:rsidR="00BD493B" w:rsidRPr="00004BC0">
        <w:t>Infanticide</w:t>
      </w:r>
    </w:p>
    <w:p w14:paraId="5C711E68" w14:textId="1CB811AF" w:rsidR="00BD493B" w:rsidRPr="00004BC0" w:rsidRDefault="00A33DAC" w:rsidP="007B19EA">
      <w:pPr>
        <w:pStyle w:val="SingleTxtG"/>
      </w:pPr>
      <w:r w:rsidRPr="00004BC0">
        <w:t>20.</w:t>
      </w:r>
      <w:r w:rsidRPr="00004BC0">
        <w:tab/>
      </w:r>
      <w:r w:rsidR="00BD493B" w:rsidRPr="00004BC0">
        <w:t xml:space="preserve">Le Comité </w:t>
      </w:r>
      <w:r w:rsidR="00D8430F" w:rsidRPr="00004BC0">
        <w:t xml:space="preserve">se déclare préoccupé par les cas d’infanticide dans l’État partie, </w:t>
      </w:r>
      <w:r w:rsidR="005D72B7" w:rsidRPr="00004BC0">
        <w:t xml:space="preserve">causés par des </w:t>
      </w:r>
      <w:r w:rsidR="00D8430F" w:rsidRPr="00004BC0">
        <w:t xml:space="preserve">facteurs </w:t>
      </w:r>
      <w:r w:rsidR="005D72B7" w:rsidRPr="00004BC0">
        <w:t>tels</w:t>
      </w:r>
      <w:r w:rsidR="00D8430F" w:rsidRPr="00004BC0">
        <w:t xml:space="preserve"> que la stigmatisation et la honte </w:t>
      </w:r>
      <w:r w:rsidR="005D72B7" w:rsidRPr="00004BC0">
        <w:t xml:space="preserve">des </w:t>
      </w:r>
      <w:r w:rsidR="00D8430F" w:rsidRPr="00004BC0">
        <w:t xml:space="preserve">femmes enceintes </w:t>
      </w:r>
      <w:r w:rsidR="005D72B7" w:rsidRPr="00004BC0">
        <w:t xml:space="preserve">par suite </w:t>
      </w:r>
      <w:r w:rsidR="00B66D12" w:rsidRPr="00004BC0">
        <w:t xml:space="preserve">de relations </w:t>
      </w:r>
      <w:proofErr w:type="spellStart"/>
      <w:r w:rsidR="00B66D12" w:rsidRPr="00004BC0">
        <w:t>extraconjugales</w:t>
      </w:r>
      <w:proofErr w:type="spellEnd"/>
      <w:r w:rsidR="00B66D12" w:rsidRPr="00004BC0">
        <w:t xml:space="preserve"> </w:t>
      </w:r>
      <w:r w:rsidR="00D8430F" w:rsidRPr="00004BC0">
        <w:t xml:space="preserve">ou de viol. </w:t>
      </w:r>
      <w:r w:rsidR="005109F2" w:rsidRPr="00004BC0">
        <w:t>Il</w:t>
      </w:r>
      <w:r w:rsidR="00D8430F" w:rsidRPr="00004BC0">
        <w:t xml:space="preserve"> est préoccupé par l</w:t>
      </w:r>
      <w:r w:rsidR="002D762A" w:rsidRPr="00004BC0">
        <w:t xml:space="preserve">e fait que </w:t>
      </w:r>
      <w:r w:rsidR="00C0481E" w:rsidRPr="00004BC0">
        <w:t xml:space="preserve">seules les femmes </w:t>
      </w:r>
      <w:r w:rsidR="002D762A" w:rsidRPr="00004BC0">
        <w:t xml:space="preserve">sont condamnées pour ces actes </w:t>
      </w:r>
      <w:r w:rsidR="00D8430F" w:rsidRPr="00004BC0">
        <w:t xml:space="preserve">malgré l’implication ou l’instigation fréquentes de tiers dans la commission de l’infanticide. Le Comité déplore le manque d’accompagnement psychologique des détenues ayant eu recours à l’infanticide </w:t>
      </w:r>
      <w:r w:rsidR="00BD493B" w:rsidRPr="00004BC0">
        <w:t>(art. 6, 7 et 10)</w:t>
      </w:r>
      <w:r w:rsidR="00D8430F" w:rsidRPr="00004BC0">
        <w:t>.</w:t>
      </w:r>
    </w:p>
    <w:p w14:paraId="7AA87191" w14:textId="4E31E37E" w:rsidR="00BD493B" w:rsidRPr="003835CE" w:rsidRDefault="00A33DAC" w:rsidP="003835CE">
      <w:pPr>
        <w:pStyle w:val="SingleTxtG"/>
        <w:rPr>
          <w:b/>
          <w:bCs/>
        </w:rPr>
      </w:pPr>
      <w:r w:rsidRPr="00004BC0">
        <w:t>21.</w:t>
      </w:r>
      <w:r w:rsidRPr="00004BC0">
        <w:tab/>
      </w:r>
      <w:r w:rsidR="00BD493B" w:rsidRPr="003835CE">
        <w:rPr>
          <w:b/>
          <w:bCs/>
        </w:rPr>
        <w:t>L’</w:t>
      </w:r>
      <w:r w:rsidR="00A46B77" w:rsidRPr="003835CE">
        <w:rPr>
          <w:b/>
          <w:bCs/>
        </w:rPr>
        <w:t>État</w:t>
      </w:r>
      <w:r w:rsidR="00BD493B" w:rsidRPr="003835CE">
        <w:rPr>
          <w:b/>
          <w:bCs/>
        </w:rPr>
        <w:t xml:space="preserve"> partie devrait lutter contre les causes de l’infanticide, notamment </w:t>
      </w:r>
      <w:r w:rsidR="005109F2" w:rsidRPr="003835CE">
        <w:rPr>
          <w:b/>
          <w:bCs/>
        </w:rPr>
        <w:t>par</w:t>
      </w:r>
      <w:r w:rsidR="00BD493B" w:rsidRPr="003835CE">
        <w:rPr>
          <w:b/>
          <w:bCs/>
        </w:rPr>
        <w:t xml:space="preserve"> la sensibilisation </w:t>
      </w:r>
      <w:r w:rsidR="00D8430F" w:rsidRPr="003835CE">
        <w:rPr>
          <w:b/>
          <w:bCs/>
        </w:rPr>
        <w:t xml:space="preserve">et l’accès à l’information </w:t>
      </w:r>
      <w:r w:rsidR="00BD493B" w:rsidRPr="003835CE">
        <w:rPr>
          <w:b/>
          <w:bCs/>
        </w:rPr>
        <w:t>des fe</w:t>
      </w:r>
      <w:r w:rsidR="00D8430F" w:rsidRPr="003835CE">
        <w:rPr>
          <w:b/>
          <w:bCs/>
        </w:rPr>
        <w:t xml:space="preserve">mmes en matière de santé sexuelle </w:t>
      </w:r>
      <w:r w:rsidR="002D762A" w:rsidRPr="003835CE">
        <w:rPr>
          <w:b/>
          <w:bCs/>
        </w:rPr>
        <w:t xml:space="preserve">et reproductive, </w:t>
      </w:r>
      <w:r w:rsidR="00BD493B" w:rsidRPr="003835CE">
        <w:rPr>
          <w:b/>
          <w:bCs/>
        </w:rPr>
        <w:t xml:space="preserve">et </w:t>
      </w:r>
      <w:r w:rsidR="005109F2" w:rsidRPr="003835CE">
        <w:rPr>
          <w:b/>
          <w:bCs/>
        </w:rPr>
        <w:t xml:space="preserve">par </w:t>
      </w:r>
      <w:r w:rsidR="00BD493B" w:rsidRPr="003835CE">
        <w:rPr>
          <w:b/>
          <w:bCs/>
        </w:rPr>
        <w:t xml:space="preserve">l’accompagnement </w:t>
      </w:r>
      <w:proofErr w:type="spellStart"/>
      <w:r w:rsidR="00BD493B" w:rsidRPr="003835CE">
        <w:rPr>
          <w:b/>
          <w:bCs/>
        </w:rPr>
        <w:t>psychosocial</w:t>
      </w:r>
      <w:proofErr w:type="spellEnd"/>
      <w:r w:rsidR="00BD493B" w:rsidRPr="003835CE">
        <w:rPr>
          <w:b/>
          <w:bCs/>
        </w:rPr>
        <w:t xml:space="preserve"> des femmes concernées. L’</w:t>
      </w:r>
      <w:r w:rsidR="00A46B77" w:rsidRPr="003835CE">
        <w:rPr>
          <w:b/>
          <w:bCs/>
        </w:rPr>
        <w:t>État</w:t>
      </w:r>
      <w:r w:rsidR="00BD493B" w:rsidRPr="003835CE">
        <w:rPr>
          <w:b/>
          <w:bCs/>
        </w:rPr>
        <w:t xml:space="preserve"> partie devrait prendre rapidement des mesures énergiques pour protége</w:t>
      </w:r>
      <w:r w:rsidR="00C0481E" w:rsidRPr="003835CE">
        <w:rPr>
          <w:b/>
          <w:bCs/>
        </w:rPr>
        <w:t xml:space="preserve">r le droit à la vie des </w:t>
      </w:r>
      <w:r w:rsidR="00C83225" w:rsidRPr="003835CE">
        <w:rPr>
          <w:b/>
          <w:bCs/>
        </w:rPr>
        <w:t>nouveau-nés</w:t>
      </w:r>
      <w:r w:rsidR="00BD493B" w:rsidRPr="003835CE">
        <w:rPr>
          <w:b/>
          <w:bCs/>
        </w:rPr>
        <w:t xml:space="preserve"> et faire en sorte que tous les auteurs d’infanticides</w:t>
      </w:r>
      <w:r w:rsidR="005109F2" w:rsidRPr="003835CE">
        <w:rPr>
          <w:b/>
          <w:bCs/>
        </w:rPr>
        <w:t>,</w:t>
      </w:r>
      <w:r w:rsidR="00BD493B" w:rsidRPr="003835CE">
        <w:rPr>
          <w:b/>
          <w:bCs/>
        </w:rPr>
        <w:t xml:space="preserve"> </w:t>
      </w:r>
      <w:r w:rsidR="005109F2" w:rsidRPr="003835CE">
        <w:rPr>
          <w:b/>
          <w:bCs/>
        </w:rPr>
        <w:t>ainsi que</w:t>
      </w:r>
      <w:r w:rsidR="00BD493B" w:rsidRPr="003835CE">
        <w:rPr>
          <w:b/>
          <w:bCs/>
        </w:rPr>
        <w:t xml:space="preserve"> les personnes qui poussent les femmes à les commettre</w:t>
      </w:r>
      <w:r w:rsidR="005109F2" w:rsidRPr="003835CE">
        <w:rPr>
          <w:b/>
          <w:bCs/>
        </w:rPr>
        <w:t>,</w:t>
      </w:r>
      <w:r w:rsidR="00BD493B" w:rsidRPr="003835CE">
        <w:rPr>
          <w:b/>
          <w:bCs/>
        </w:rPr>
        <w:t xml:space="preserve"> soient traduits en justice.</w:t>
      </w:r>
    </w:p>
    <w:p w14:paraId="70FA875E" w14:textId="11B99DCF" w:rsidR="00596FB7" w:rsidRPr="00004BC0" w:rsidRDefault="00435FB2" w:rsidP="00600E2D">
      <w:pPr>
        <w:pStyle w:val="H23G"/>
      </w:pPr>
      <w:r>
        <w:tab/>
      </w:r>
      <w:r>
        <w:tab/>
      </w:r>
      <w:r w:rsidR="00596FB7" w:rsidRPr="00004BC0">
        <w:t xml:space="preserve">Mortalité maternelle et interruption volontaire de grossesse </w:t>
      </w:r>
    </w:p>
    <w:p w14:paraId="56281762" w14:textId="7EE9A912" w:rsidR="00596FB7" w:rsidRPr="00004BC0" w:rsidRDefault="00E82DD9" w:rsidP="007B19EA">
      <w:pPr>
        <w:pStyle w:val="SingleTxtG"/>
      </w:pPr>
      <w:r w:rsidRPr="00004BC0">
        <w:t>22</w:t>
      </w:r>
      <w:r w:rsidR="00596FB7" w:rsidRPr="00004BC0">
        <w:t>.</w:t>
      </w:r>
      <w:r w:rsidR="00596FB7" w:rsidRPr="00004BC0">
        <w:tab/>
        <w:t xml:space="preserve">Le Comité note que l’avortement est érigé en infraction pénale au titre </w:t>
      </w:r>
      <w:r w:rsidR="00B368B0" w:rsidRPr="00004BC0">
        <w:t xml:space="preserve">du troisième alinéa </w:t>
      </w:r>
      <w:r w:rsidR="00596FB7" w:rsidRPr="00004BC0">
        <w:t xml:space="preserve">de l’article 305 du Code </w:t>
      </w:r>
      <w:r w:rsidR="00B368B0" w:rsidRPr="00004BC0">
        <w:t>p</w:t>
      </w:r>
      <w:r w:rsidR="00596FB7" w:rsidRPr="00004BC0">
        <w:t>énal</w:t>
      </w:r>
      <w:r w:rsidR="00B368B0" w:rsidRPr="00004BC0">
        <w:t>,</w:t>
      </w:r>
      <w:r w:rsidR="00596FB7" w:rsidRPr="00004BC0">
        <w:t xml:space="preserve"> sauf dans les cas où la vie ou la santé de la femme enceinte est en danger, ce qui a pour conséquence la pratique d’avortements clandestins dans des conditions dangereuses pour la </w:t>
      </w:r>
      <w:r w:rsidR="00163AEF" w:rsidRPr="00004BC0">
        <w:t xml:space="preserve">vie et la </w:t>
      </w:r>
      <w:r w:rsidR="00596FB7" w:rsidRPr="00004BC0">
        <w:t>santé</w:t>
      </w:r>
      <w:r w:rsidR="00163AEF" w:rsidRPr="00004BC0">
        <w:t xml:space="preserve"> </w:t>
      </w:r>
      <w:r w:rsidR="00596FB7" w:rsidRPr="00004BC0">
        <w:t>des femmes concernées. Il est préoccupé par le fait que les femmes qui y ont recours sont poursuivies et purgent des peines dans les lieux de détention de l’</w:t>
      </w:r>
      <w:r w:rsidR="00A46B77" w:rsidRPr="00004BC0">
        <w:t>État</w:t>
      </w:r>
      <w:r w:rsidR="00596FB7" w:rsidRPr="00004BC0">
        <w:t xml:space="preserve"> partie (art.</w:t>
      </w:r>
      <w:r w:rsidR="00B368B0" w:rsidRPr="00004BC0">
        <w:t xml:space="preserve"> </w:t>
      </w:r>
      <w:r w:rsidR="00596FB7" w:rsidRPr="00004BC0">
        <w:t xml:space="preserve">3, 6 et 7). </w:t>
      </w:r>
    </w:p>
    <w:p w14:paraId="5B15FCB7" w14:textId="78046D26" w:rsidR="00596FB7" w:rsidRPr="003835CE" w:rsidRDefault="00E82DD9" w:rsidP="003835CE">
      <w:pPr>
        <w:pStyle w:val="SingleTxtG"/>
        <w:rPr>
          <w:b/>
          <w:bCs/>
          <w:lang w:val="fr-FR"/>
        </w:rPr>
      </w:pPr>
      <w:r w:rsidRPr="00004BC0">
        <w:rPr>
          <w:lang w:val="fr-FR"/>
        </w:rPr>
        <w:t>23</w:t>
      </w:r>
      <w:r w:rsidR="00596FB7" w:rsidRPr="00004BC0">
        <w:rPr>
          <w:lang w:val="fr-FR"/>
        </w:rPr>
        <w:t>.</w:t>
      </w:r>
      <w:r w:rsidR="00596FB7" w:rsidRPr="00004BC0">
        <w:rPr>
          <w:lang w:val="fr-FR"/>
        </w:rPr>
        <w:tab/>
      </w:r>
      <w:r w:rsidR="00596FB7" w:rsidRPr="003835CE">
        <w:rPr>
          <w:b/>
          <w:bCs/>
          <w:lang w:val="fr-FR"/>
        </w:rPr>
        <w:t>L’</w:t>
      </w:r>
      <w:r w:rsidR="00A46B77" w:rsidRPr="003835CE">
        <w:rPr>
          <w:b/>
          <w:bCs/>
          <w:lang w:val="fr-FR"/>
        </w:rPr>
        <w:t>État</w:t>
      </w:r>
      <w:r w:rsidR="00596FB7" w:rsidRPr="003835CE">
        <w:rPr>
          <w:b/>
          <w:bCs/>
          <w:lang w:val="fr-FR"/>
        </w:rPr>
        <w:t xml:space="preserve"> partie devrait rendre sa législation et sa pratique conforme</w:t>
      </w:r>
      <w:r w:rsidR="00B368B0" w:rsidRPr="003835CE">
        <w:rPr>
          <w:b/>
          <w:bCs/>
          <w:lang w:val="fr-FR"/>
        </w:rPr>
        <w:t>s</w:t>
      </w:r>
      <w:r w:rsidR="00596FB7" w:rsidRPr="003835CE">
        <w:rPr>
          <w:b/>
          <w:bCs/>
          <w:lang w:val="fr-FR"/>
        </w:rPr>
        <w:t xml:space="preserve"> à l’article 6 du Pacte, en prenant en compte l’observation générale </w:t>
      </w:r>
      <w:r w:rsidR="00691E90" w:rsidRPr="003835CE">
        <w:rPr>
          <w:b/>
          <w:bCs/>
        </w:rPr>
        <w:t>n</w:t>
      </w:r>
      <w:r w:rsidR="00691E90" w:rsidRPr="003835CE">
        <w:rPr>
          <w:b/>
          <w:bCs/>
          <w:vertAlign w:val="superscript"/>
        </w:rPr>
        <w:t>o</w:t>
      </w:r>
      <w:r w:rsidR="00691E90" w:rsidRPr="003835CE">
        <w:rPr>
          <w:b/>
          <w:bCs/>
        </w:rPr>
        <w:t> </w:t>
      </w:r>
      <w:r w:rsidR="00596FB7" w:rsidRPr="003835CE">
        <w:rPr>
          <w:b/>
          <w:bCs/>
          <w:lang w:val="fr-FR"/>
        </w:rPr>
        <w:t xml:space="preserve">36 (2018) </w:t>
      </w:r>
      <w:r w:rsidR="00B368B0" w:rsidRPr="003835CE">
        <w:rPr>
          <w:b/>
          <w:bCs/>
          <w:lang w:val="fr-FR"/>
        </w:rPr>
        <w:t xml:space="preserve">du Comité </w:t>
      </w:r>
      <w:r w:rsidR="00596FB7" w:rsidRPr="003835CE">
        <w:rPr>
          <w:b/>
          <w:bCs/>
          <w:lang w:val="fr-FR"/>
        </w:rPr>
        <w:t>sur le droit à la vie</w:t>
      </w:r>
      <w:r w:rsidR="00B368B0" w:rsidRPr="003835CE">
        <w:rPr>
          <w:b/>
          <w:bCs/>
          <w:lang w:val="fr-FR"/>
        </w:rPr>
        <w:t>,</w:t>
      </w:r>
      <w:r w:rsidR="00596FB7" w:rsidRPr="003835CE">
        <w:rPr>
          <w:b/>
          <w:bCs/>
          <w:lang w:val="fr-FR"/>
        </w:rPr>
        <w:t xml:space="preserve"> et ainsi</w:t>
      </w:r>
      <w:r w:rsidR="00B368B0" w:rsidRPr="003835CE">
        <w:rPr>
          <w:b/>
          <w:bCs/>
          <w:lang w:val="fr-FR"/>
        </w:rPr>
        <w:t> </w:t>
      </w:r>
      <w:r w:rsidR="00596FB7" w:rsidRPr="003835CE">
        <w:rPr>
          <w:b/>
          <w:bCs/>
          <w:lang w:val="fr-FR"/>
        </w:rPr>
        <w:t>:</w:t>
      </w:r>
    </w:p>
    <w:p w14:paraId="758CEAD1" w14:textId="0AC33711" w:rsidR="00596FB7" w:rsidRPr="00004BC0" w:rsidRDefault="00E82DD9" w:rsidP="00B368B0">
      <w:pPr>
        <w:pStyle w:val="SingleTxtG"/>
        <w:ind w:firstLine="567"/>
        <w:rPr>
          <w:b/>
        </w:rPr>
      </w:pPr>
      <w:r w:rsidRPr="00004BC0">
        <w:rPr>
          <w:b/>
        </w:rPr>
        <w:t>a)</w:t>
      </w:r>
      <w:r w:rsidRPr="00004BC0">
        <w:rPr>
          <w:b/>
        </w:rPr>
        <w:tab/>
      </w:r>
      <w:r w:rsidR="00596FB7" w:rsidRPr="00004BC0">
        <w:rPr>
          <w:b/>
        </w:rPr>
        <w:t xml:space="preserve">Modifier sa législation pour garantir l’accès effectif à l’avortement médicalisé et légal lorsque le fait de mener la grossesse à terme causerait pour la femme une souffrance considérable, notamment dans les cas </w:t>
      </w:r>
      <w:r w:rsidR="00B368B0" w:rsidRPr="00004BC0">
        <w:rPr>
          <w:b/>
        </w:rPr>
        <w:t>où</w:t>
      </w:r>
      <w:r w:rsidR="00596FB7" w:rsidRPr="00004BC0">
        <w:rPr>
          <w:b/>
        </w:rPr>
        <w:t xml:space="preserve"> la grossesse résulte d’un viol ou d’un inceste</w:t>
      </w:r>
      <w:r w:rsidR="00B368B0" w:rsidRPr="00004BC0">
        <w:rPr>
          <w:b/>
        </w:rPr>
        <w:t>,</w:t>
      </w:r>
      <w:r w:rsidR="00596FB7" w:rsidRPr="00004BC0">
        <w:rPr>
          <w:b/>
        </w:rPr>
        <w:t xml:space="preserve"> et </w:t>
      </w:r>
      <w:r w:rsidR="00B368B0" w:rsidRPr="00004BC0">
        <w:rPr>
          <w:b/>
        </w:rPr>
        <w:t>où</w:t>
      </w:r>
      <w:r w:rsidR="00596FB7" w:rsidRPr="00004BC0">
        <w:rPr>
          <w:b/>
        </w:rPr>
        <w:t xml:space="preserve"> la grossesse n’est pas viable</w:t>
      </w:r>
      <w:r w:rsidR="001038A0" w:rsidRPr="00004BC0">
        <w:rPr>
          <w:b/>
        </w:rPr>
        <w:t> </w:t>
      </w:r>
      <w:r w:rsidR="00596FB7" w:rsidRPr="00004BC0">
        <w:rPr>
          <w:b/>
        </w:rPr>
        <w:t>;</w:t>
      </w:r>
    </w:p>
    <w:p w14:paraId="3A195B2C" w14:textId="61580551" w:rsidR="00596FB7" w:rsidRPr="00004BC0" w:rsidRDefault="00E82DD9" w:rsidP="00E82DD9">
      <w:pPr>
        <w:pStyle w:val="SingleTxtG"/>
        <w:ind w:firstLine="567"/>
        <w:rPr>
          <w:b/>
        </w:rPr>
      </w:pPr>
      <w:r w:rsidRPr="00004BC0">
        <w:rPr>
          <w:b/>
        </w:rPr>
        <w:t>b)</w:t>
      </w:r>
      <w:r w:rsidRPr="00004BC0">
        <w:rPr>
          <w:b/>
        </w:rPr>
        <w:tab/>
      </w:r>
      <w:r w:rsidR="00596FB7" w:rsidRPr="00004BC0">
        <w:rPr>
          <w:b/>
        </w:rPr>
        <w:t>Renverser la charge de la preuve pour ne pas faire peser sur la femme la responsabilité de prouver que sa vie est en danger pour avoir eu recours à une interruption volontaire de grossesse médicalisée ;</w:t>
      </w:r>
    </w:p>
    <w:p w14:paraId="79CB7B93" w14:textId="75548C24" w:rsidR="00596FB7" w:rsidRPr="00004BC0" w:rsidRDefault="00E82DD9" w:rsidP="00B368B0">
      <w:pPr>
        <w:pStyle w:val="SingleTxtG"/>
        <w:ind w:firstLine="567"/>
        <w:rPr>
          <w:b/>
        </w:rPr>
      </w:pPr>
      <w:r w:rsidRPr="00004BC0">
        <w:rPr>
          <w:b/>
        </w:rPr>
        <w:t>c)</w:t>
      </w:r>
      <w:r w:rsidRPr="00004BC0">
        <w:rPr>
          <w:b/>
        </w:rPr>
        <w:tab/>
      </w:r>
      <w:r w:rsidR="00596FB7" w:rsidRPr="00004BC0">
        <w:rPr>
          <w:b/>
        </w:rPr>
        <w:t xml:space="preserve">Envisager de supprimer les sanctions pénales </w:t>
      </w:r>
      <w:r w:rsidR="00163AEF" w:rsidRPr="00004BC0">
        <w:rPr>
          <w:b/>
        </w:rPr>
        <w:t>contre les</w:t>
      </w:r>
      <w:r w:rsidR="00596FB7" w:rsidRPr="00004BC0">
        <w:rPr>
          <w:b/>
        </w:rPr>
        <w:t xml:space="preserve"> femmes qui recourent à l’avortement </w:t>
      </w:r>
      <w:r w:rsidR="00EB34F6" w:rsidRPr="00004BC0">
        <w:rPr>
          <w:b/>
        </w:rPr>
        <w:t>et</w:t>
      </w:r>
      <w:r w:rsidR="00596FB7" w:rsidRPr="00004BC0">
        <w:rPr>
          <w:b/>
        </w:rPr>
        <w:t xml:space="preserve"> </w:t>
      </w:r>
      <w:r w:rsidR="00B368B0" w:rsidRPr="00004BC0">
        <w:rPr>
          <w:b/>
        </w:rPr>
        <w:t>les</w:t>
      </w:r>
      <w:r w:rsidR="00596FB7" w:rsidRPr="00004BC0">
        <w:rPr>
          <w:b/>
        </w:rPr>
        <w:t xml:space="preserve"> prestataires de soins médicaux qui leur apportent une assistance, car de telles mesures poussent les femmes à recourir à un avortement non médicalisé qui peut porter atteinte à leur vie ou à leur santé</w:t>
      </w:r>
      <w:r w:rsidR="001038A0" w:rsidRPr="00004BC0">
        <w:rPr>
          <w:b/>
        </w:rPr>
        <w:t> </w:t>
      </w:r>
      <w:r w:rsidR="00596FB7" w:rsidRPr="00004BC0">
        <w:rPr>
          <w:b/>
        </w:rPr>
        <w:t>;</w:t>
      </w:r>
    </w:p>
    <w:p w14:paraId="0E50B961" w14:textId="6D85FD4C" w:rsidR="00596FB7" w:rsidRPr="00004BC0" w:rsidRDefault="00E82DD9" w:rsidP="00E82DD9">
      <w:pPr>
        <w:pStyle w:val="SingleTxtG"/>
        <w:ind w:firstLine="567"/>
        <w:rPr>
          <w:b/>
        </w:rPr>
      </w:pPr>
      <w:r w:rsidRPr="00004BC0">
        <w:rPr>
          <w:b/>
        </w:rPr>
        <w:t>d)</w:t>
      </w:r>
      <w:r w:rsidRPr="00004BC0">
        <w:rPr>
          <w:b/>
        </w:rPr>
        <w:tab/>
      </w:r>
      <w:r w:rsidR="00596FB7" w:rsidRPr="00004BC0">
        <w:rPr>
          <w:b/>
        </w:rPr>
        <w:t>Garantir l’existence de structures médicales offrant des services d’avortement légal ainsi que l’accès à ces structures, et faire en sorte qu’aucun obstacle juridique, et notamment aucune disposition de droit pénal, ne pousse les femmes à recourir à un avortement non médicalisé, au péril de leur vie et de leur santé ;</w:t>
      </w:r>
    </w:p>
    <w:p w14:paraId="49E48532" w14:textId="005A7D6B" w:rsidR="00596FB7" w:rsidRPr="00004BC0" w:rsidRDefault="00E82DD9" w:rsidP="00E82DD9">
      <w:pPr>
        <w:pStyle w:val="SingleTxtG"/>
        <w:ind w:firstLine="567"/>
        <w:rPr>
          <w:b/>
        </w:rPr>
      </w:pPr>
      <w:r w:rsidRPr="00004BC0">
        <w:rPr>
          <w:b/>
        </w:rPr>
        <w:t>e)</w:t>
      </w:r>
      <w:r w:rsidRPr="00004BC0">
        <w:rPr>
          <w:b/>
        </w:rPr>
        <w:tab/>
      </w:r>
      <w:r w:rsidR="00596FB7" w:rsidRPr="00004BC0">
        <w:rPr>
          <w:b/>
        </w:rPr>
        <w:t>Veiller à ce que l’avortement soit pratiqué uniquement avec le consentement de la femme et sanctionner pénalement tou</w:t>
      </w:r>
      <w:r w:rsidR="001038A0" w:rsidRPr="00004BC0">
        <w:rPr>
          <w:b/>
        </w:rPr>
        <w:t>te tentative d’avortement forcé ;</w:t>
      </w:r>
    </w:p>
    <w:p w14:paraId="5ED6A987" w14:textId="3ADC9E0E" w:rsidR="00596FB7" w:rsidRPr="00004BC0" w:rsidRDefault="00E82DD9" w:rsidP="00E82DD9">
      <w:pPr>
        <w:pStyle w:val="SingleTxtG"/>
        <w:ind w:firstLine="567"/>
        <w:rPr>
          <w:b/>
        </w:rPr>
      </w:pPr>
      <w:r w:rsidRPr="00004BC0">
        <w:rPr>
          <w:b/>
        </w:rPr>
        <w:t>f)</w:t>
      </w:r>
      <w:r w:rsidRPr="00004BC0">
        <w:rPr>
          <w:b/>
        </w:rPr>
        <w:tab/>
      </w:r>
      <w:r w:rsidR="00596FB7" w:rsidRPr="00004BC0">
        <w:rPr>
          <w:b/>
        </w:rPr>
        <w:t>Renforcer les programmes d’éducation et de sensibilisation qui mettent l’accent sur la santé sexuelle et procréative des femmes et leurs droits en la matière.</w:t>
      </w:r>
    </w:p>
    <w:p w14:paraId="2B19B632" w14:textId="2E8370A8" w:rsidR="00A33DAC" w:rsidRPr="00004BC0" w:rsidRDefault="00E82DD9" w:rsidP="00E82DD9">
      <w:pPr>
        <w:pStyle w:val="H23G"/>
      </w:pPr>
      <w:r w:rsidRPr="00004BC0">
        <w:tab/>
      </w:r>
      <w:r w:rsidRPr="00004BC0">
        <w:tab/>
      </w:r>
      <w:r w:rsidR="00A33DAC" w:rsidRPr="00004BC0">
        <w:t>Recours excessif à la force</w:t>
      </w:r>
      <w:r w:rsidR="007430A2" w:rsidRPr="00004BC0">
        <w:t xml:space="preserve"> </w:t>
      </w:r>
    </w:p>
    <w:p w14:paraId="146F7302" w14:textId="71D41A7B" w:rsidR="007430A2" w:rsidRPr="00004BC0" w:rsidRDefault="00A33DAC" w:rsidP="007B19EA">
      <w:pPr>
        <w:pStyle w:val="SingleTxtG"/>
      </w:pPr>
      <w:r w:rsidRPr="00004BC0">
        <w:t>2</w:t>
      </w:r>
      <w:r w:rsidR="00E82DD9" w:rsidRPr="00004BC0">
        <w:t>4</w:t>
      </w:r>
      <w:r w:rsidRPr="00004BC0">
        <w:t>.</w:t>
      </w:r>
      <w:r w:rsidRPr="00004BC0">
        <w:tab/>
      </w:r>
      <w:r w:rsidR="007430A2" w:rsidRPr="00004BC0">
        <w:t xml:space="preserve">Le Comité note avec préoccupation les allégations de recours excessif à la force lors de rassemblements et </w:t>
      </w:r>
      <w:r w:rsidR="00B368B0" w:rsidRPr="00004BC0">
        <w:t xml:space="preserve">de </w:t>
      </w:r>
      <w:r w:rsidR="007430A2" w:rsidRPr="00004BC0">
        <w:t>manifestations à but politique</w:t>
      </w:r>
      <w:r w:rsidR="00B368B0" w:rsidRPr="00004BC0">
        <w:t>,</w:t>
      </w:r>
      <w:r w:rsidR="007430A2" w:rsidRPr="00004BC0">
        <w:t xml:space="preserve"> </w:t>
      </w:r>
      <w:r w:rsidR="00B368B0" w:rsidRPr="00004BC0">
        <w:t>ainsi que les</w:t>
      </w:r>
      <w:r w:rsidR="007430A2" w:rsidRPr="00004BC0">
        <w:t xml:space="preserve"> cas de décès survenus </w:t>
      </w:r>
      <w:r w:rsidR="003D28CB" w:rsidRPr="00004BC0">
        <w:t>dans ce contexte</w:t>
      </w:r>
      <w:r w:rsidR="007430A2" w:rsidRPr="00004BC0">
        <w:t xml:space="preserve">. </w:t>
      </w:r>
      <w:r w:rsidR="00B368B0" w:rsidRPr="00004BC0">
        <w:t>Il</w:t>
      </w:r>
      <w:r w:rsidR="007430A2" w:rsidRPr="00004BC0">
        <w:t xml:space="preserve"> regrette l’absence d’information</w:t>
      </w:r>
      <w:r w:rsidR="00E47E50" w:rsidRPr="00004BC0">
        <w:t>s</w:t>
      </w:r>
      <w:r w:rsidR="007430A2" w:rsidRPr="00004BC0">
        <w:t xml:space="preserve"> sur l</w:t>
      </w:r>
      <w:r w:rsidR="00996895" w:rsidRPr="00004BC0">
        <w:t xml:space="preserve">’issue des enquêtes diligentées, </w:t>
      </w:r>
      <w:r w:rsidR="00996895" w:rsidRPr="00004BC0">
        <w:lastRenderedPageBreak/>
        <w:t xml:space="preserve">les peines prononcées et les réparations accordées aux victimes ou </w:t>
      </w:r>
      <w:r w:rsidR="00B368B0" w:rsidRPr="00004BC0">
        <w:t xml:space="preserve">à </w:t>
      </w:r>
      <w:r w:rsidR="00996895" w:rsidRPr="00004BC0">
        <w:t>leurs ayant</w:t>
      </w:r>
      <w:r w:rsidR="00B368B0" w:rsidRPr="00004BC0">
        <w:t xml:space="preserve">s </w:t>
      </w:r>
      <w:r w:rsidR="00996895" w:rsidRPr="00004BC0">
        <w:t xml:space="preserve">droit </w:t>
      </w:r>
      <w:r w:rsidR="007B19EA">
        <w:t>(art. 6 et </w:t>
      </w:r>
      <w:r w:rsidR="007430A2" w:rsidRPr="00004BC0">
        <w:t>7).</w:t>
      </w:r>
    </w:p>
    <w:p w14:paraId="129BDB36" w14:textId="12EE31AB" w:rsidR="007430A2" w:rsidRPr="003835CE" w:rsidRDefault="00E82DD9" w:rsidP="003835CE">
      <w:pPr>
        <w:pStyle w:val="SingleTxtG"/>
        <w:rPr>
          <w:b/>
          <w:bCs/>
        </w:rPr>
      </w:pPr>
      <w:r w:rsidRPr="00004BC0">
        <w:t>25</w:t>
      </w:r>
      <w:r w:rsidR="00767FA2" w:rsidRPr="00004BC0">
        <w:t>.</w:t>
      </w:r>
      <w:r w:rsidR="00767FA2" w:rsidRPr="00004BC0">
        <w:tab/>
      </w:r>
      <w:r w:rsidR="00996895" w:rsidRPr="003835CE">
        <w:rPr>
          <w:b/>
          <w:bCs/>
        </w:rPr>
        <w:t xml:space="preserve">L’État partie devrait faire en sorte, dans tous les cas où il y a eu usage excessif de la force, </w:t>
      </w:r>
      <w:r w:rsidR="00B368B0" w:rsidRPr="003835CE">
        <w:rPr>
          <w:b/>
          <w:bCs/>
        </w:rPr>
        <w:t xml:space="preserve">que </w:t>
      </w:r>
      <w:r w:rsidR="00996895" w:rsidRPr="003835CE">
        <w:rPr>
          <w:b/>
          <w:bCs/>
        </w:rPr>
        <w:t xml:space="preserve">des enquêtes impartiales et efficaces soient menées promptement et que les responsables soient traduits en justice. Il devrait </w:t>
      </w:r>
      <w:r w:rsidR="003D28CB" w:rsidRPr="003835CE">
        <w:rPr>
          <w:b/>
          <w:bCs/>
        </w:rPr>
        <w:t>notamment</w:t>
      </w:r>
      <w:r w:rsidR="00996895" w:rsidRPr="003835CE">
        <w:rPr>
          <w:b/>
          <w:bCs/>
        </w:rPr>
        <w:t xml:space="preserve"> veiller à </w:t>
      </w:r>
      <w:r w:rsidR="003D28CB" w:rsidRPr="003835CE">
        <w:rPr>
          <w:b/>
          <w:bCs/>
        </w:rPr>
        <w:t>consolider les formations sur l’usage de la force à l’intention des agents de maintien de l’ordre, compte dûment tenu des Principes de base sur le recours à la force et l’utilisation des armes à feu</w:t>
      </w:r>
      <w:r w:rsidR="00926C5D" w:rsidRPr="003835CE">
        <w:rPr>
          <w:rFonts w:asciiTheme="majorBidi" w:eastAsia="Times New Roman" w:hAnsiTheme="majorBidi" w:cstheme="majorBidi"/>
          <w:b/>
          <w:bCs/>
          <w:sz w:val="22"/>
          <w:szCs w:val="22"/>
          <w:lang w:val="fr-FR" w:eastAsia="fr-FR"/>
        </w:rPr>
        <w:t xml:space="preserve"> </w:t>
      </w:r>
      <w:r w:rsidR="00926C5D" w:rsidRPr="003835CE">
        <w:rPr>
          <w:rFonts w:asciiTheme="majorBidi" w:eastAsia="Times New Roman" w:hAnsiTheme="majorBidi" w:cstheme="majorBidi"/>
          <w:b/>
          <w:bCs/>
          <w:lang w:val="fr-FR" w:eastAsia="fr-FR"/>
        </w:rPr>
        <w:t>par les responsables de l</w:t>
      </w:r>
      <w:r w:rsidR="007038DA" w:rsidRPr="003835CE">
        <w:rPr>
          <w:rFonts w:asciiTheme="majorBidi" w:eastAsia="Times New Roman" w:hAnsiTheme="majorBidi" w:cstheme="majorBidi"/>
          <w:b/>
          <w:bCs/>
          <w:lang w:val="fr-FR" w:eastAsia="fr-FR"/>
        </w:rPr>
        <w:t>’</w:t>
      </w:r>
      <w:r w:rsidR="00926C5D" w:rsidRPr="003835CE">
        <w:rPr>
          <w:rFonts w:asciiTheme="majorBidi" w:eastAsia="Times New Roman" w:hAnsiTheme="majorBidi" w:cstheme="majorBidi"/>
          <w:b/>
          <w:bCs/>
          <w:lang w:val="fr-FR" w:eastAsia="fr-FR"/>
        </w:rPr>
        <w:t>application des lois</w:t>
      </w:r>
      <w:r w:rsidR="003D28CB" w:rsidRPr="003835CE">
        <w:rPr>
          <w:b/>
          <w:bCs/>
        </w:rPr>
        <w:t xml:space="preserve">. </w:t>
      </w:r>
      <w:r w:rsidR="00996895" w:rsidRPr="003835CE">
        <w:rPr>
          <w:b/>
          <w:bCs/>
        </w:rPr>
        <w:t>L</w:t>
      </w:r>
      <w:r w:rsidR="003D28CB" w:rsidRPr="003835CE">
        <w:rPr>
          <w:b/>
          <w:bCs/>
        </w:rPr>
        <w:t>’</w:t>
      </w:r>
      <w:r w:rsidR="00A46B77" w:rsidRPr="003835CE">
        <w:rPr>
          <w:b/>
          <w:bCs/>
        </w:rPr>
        <w:t>État</w:t>
      </w:r>
      <w:r w:rsidR="003D28CB" w:rsidRPr="003835CE">
        <w:rPr>
          <w:b/>
          <w:bCs/>
        </w:rPr>
        <w:t xml:space="preserve"> partie</w:t>
      </w:r>
      <w:r w:rsidR="00996895" w:rsidRPr="003835CE">
        <w:rPr>
          <w:b/>
          <w:bCs/>
        </w:rPr>
        <w:t xml:space="preserve"> devrait également s’assurer que sa législation sur le recours à la force </w:t>
      </w:r>
      <w:r w:rsidR="001B2F20" w:rsidRPr="003835CE">
        <w:rPr>
          <w:b/>
          <w:bCs/>
        </w:rPr>
        <w:t>est</w:t>
      </w:r>
      <w:r w:rsidR="00996895" w:rsidRPr="003835CE">
        <w:rPr>
          <w:b/>
          <w:bCs/>
        </w:rPr>
        <w:t xml:space="preserve"> conforme au Pacte et aux</w:t>
      </w:r>
      <w:r w:rsidR="00E47E50" w:rsidRPr="003835CE">
        <w:rPr>
          <w:b/>
          <w:bCs/>
        </w:rPr>
        <w:t>dits</w:t>
      </w:r>
      <w:r w:rsidR="00996895" w:rsidRPr="003835CE">
        <w:rPr>
          <w:b/>
          <w:bCs/>
        </w:rPr>
        <w:t xml:space="preserve"> Principes</w:t>
      </w:r>
      <w:r w:rsidR="00C83225" w:rsidRPr="003835CE">
        <w:rPr>
          <w:rFonts w:asciiTheme="majorBidi" w:eastAsia="Times New Roman" w:hAnsiTheme="majorBidi" w:cstheme="majorBidi"/>
          <w:b/>
          <w:bCs/>
          <w:lang w:val="fr-FR" w:eastAsia="fr-FR"/>
        </w:rPr>
        <w:t>.</w:t>
      </w:r>
    </w:p>
    <w:p w14:paraId="00356509" w14:textId="3F8B4B26" w:rsidR="009A747E" w:rsidRPr="00004BC0" w:rsidRDefault="001038A0" w:rsidP="001038A0">
      <w:pPr>
        <w:pStyle w:val="H23G"/>
      </w:pPr>
      <w:r w:rsidRPr="00004BC0">
        <w:tab/>
      </w:r>
      <w:r w:rsidRPr="00004BC0">
        <w:tab/>
      </w:r>
      <w:r w:rsidR="00940712" w:rsidRPr="00004BC0">
        <w:t>Décès</w:t>
      </w:r>
      <w:r w:rsidR="009A747E" w:rsidRPr="00004BC0">
        <w:t xml:space="preserve"> en détention</w:t>
      </w:r>
    </w:p>
    <w:p w14:paraId="1B71C983" w14:textId="34CAC39C" w:rsidR="009A747E" w:rsidRPr="00004BC0" w:rsidRDefault="004F403D" w:rsidP="007B19EA">
      <w:pPr>
        <w:pStyle w:val="SingleTxtG"/>
      </w:pPr>
      <w:r w:rsidRPr="00004BC0">
        <w:t>2</w:t>
      </w:r>
      <w:r w:rsidR="00E82DD9" w:rsidRPr="00004BC0">
        <w:t>6</w:t>
      </w:r>
      <w:r w:rsidRPr="00004BC0">
        <w:t>.</w:t>
      </w:r>
      <w:r w:rsidRPr="00004BC0">
        <w:tab/>
      </w:r>
      <w:r w:rsidR="009A747E" w:rsidRPr="00004BC0">
        <w:t>Le Comité est préoccupé par les allégations de morts en détention et le manque de statistiques claires sur les causes de ces décès, les enquêtes diligentées, les peines prononcées et les réparations octroyées aux ayant</w:t>
      </w:r>
      <w:r w:rsidR="001B2F20" w:rsidRPr="00004BC0">
        <w:t xml:space="preserve">s </w:t>
      </w:r>
      <w:r w:rsidR="009A747E" w:rsidRPr="00004BC0">
        <w:t xml:space="preserve">droit. Outre le cas d’Ibrahima </w:t>
      </w:r>
      <w:proofErr w:type="spellStart"/>
      <w:r w:rsidR="009A747E" w:rsidRPr="00004BC0">
        <w:t>Mbow</w:t>
      </w:r>
      <w:proofErr w:type="spellEnd"/>
      <w:r w:rsidR="001B2F20" w:rsidRPr="00004BC0">
        <w:t>,</w:t>
      </w:r>
      <w:r w:rsidR="009A747E" w:rsidRPr="00004BC0">
        <w:t xml:space="preserve"> tué par balle lors d’une mutinerie en 2016, le Comité a reçu des allégations de </w:t>
      </w:r>
      <w:r w:rsidR="001B2F20" w:rsidRPr="00004BC0">
        <w:t>six</w:t>
      </w:r>
      <w:r w:rsidR="009A747E" w:rsidRPr="00004BC0">
        <w:t xml:space="preserve"> décès suspects en détention depuis le début </w:t>
      </w:r>
      <w:r w:rsidR="001B2F20" w:rsidRPr="00004BC0">
        <w:t>de</w:t>
      </w:r>
      <w:r w:rsidR="00691E90">
        <w:t xml:space="preserve"> </w:t>
      </w:r>
      <w:r w:rsidR="009A747E" w:rsidRPr="00004BC0">
        <w:t>2019</w:t>
      </w:r>
      <w:r w:rsidR="001B2F20" w:rsidRPr="00004BC0">
        <w:t>,</w:t>
      </w:r>
      <w:r w:rsidR="009A747E" w:rsidRPr="00004BC0">
        <w:t xml:space="preserve"> soit du fait de mauvais traitement</w:t>
      </w:r>
      <w:r w:rsidR="00252AF3" w:rsidRPr="00004BC0">
        <w:t>s</w:t>
      </w:r>
      <w:r w:rsidR="009A747E" w:rsidRPr="00004BC0">
        <w:t xml:space="preserve"> infligés lors de la garde à vue</w:t>
      </w:r>
      <w:r w:rsidR="00926C5D" w:rsidRPr="00004BC0">
        <w:t>,</w:t>
      </w:r>
      <w:r w:rsidR="009A747E" w:rsidRPr="00004BC0">
        <w:t xml:space="preserve"> soit du fait des mauvaises conditions de détention, notamment de la surpopulati</w:t>
      </w:r>
      <w:r w:rsidR="00252AF3" w:rsidRPr="00004BC0">
        <w:t xml:space="preserve">on carcérale </w:t>
      </w:r>
      <w:r w:rsidR="009A747E" w:rsidRPr="00004BC0">
        <w:t xml:space="preserve">(art. </w:t>
      </w:r>
      <w:r w:rsidRPr="00004BC0">
        <w:t xml:space="preserve">2, </w:t>
      </w:r>
      <w:r w:rsidR="009A747E" w:rsidRPr="00004BC0">
        <w:t>6, 7</w:t>
      </w:r>
      <w:r w:rsidR="001B2F20" w:rsidRPr="00004BC0">
        <w:t xml:space="preserve"> et</w:t>
      </w:r>
      <w:r w:rsidR="009A747E" w:rsidRPr="00004BC0">
        <w:t xml:space="preserve"> 10).</w:t>
      </w:r>
    </w:p>
    <w:p w14:paraId="774C65C1" w14:textId="042C233C" w:rsidR="009A747E" w:rsidRPr="003835CE" w:rsidRDefault="00E82DD9" w:rsidP="003835CE">
      <w:pPr>
        <w:pStyle w:val="SingleTxtG"/>
        <w:rPr>
          <w:b/>
          <w:bCs/>
          <w:strike/>
        </w:rPr>
      </w:pPr>
      <w:r w:rsidRPr="00004BC0">
        <w:t>27</w:t>
      </w:r>
      <w:r w:rsidR="004F403D" w:rsidRPr="00004BC0">
        <w:t>.</w:t>
      </w:r>
      <w:r w:rsidR="004F403D" w:rsidRPr="00004BC0">
        <w:tab/>
      </w:r>
      <w:r w:rsidR="009A747E" w:rsidRPr="003835CE">
        <w:rPr>
          <w:b/>
          <w:bCs/>
        </w:rPr>
        <w:t>L’</w:t>
      </w:r>
      <w:r w:rsidR="00A46B77" w:rsidRPr="003835CE">
        <w:rPr>
          <w:b/>
          <w:bCs/>
        </w:rPr>
        <w:t>État</w:t>
      </w:r>
      <w:r w:rsidR="009A747E" w:rsidRPr="003835CE">
        <w:rPr>
          <w:b/>
          <w:bCs/>
        </w:rPr>
        <w:t xml:space="preserve"> partie devrait prendre </w:t>
      </w:r>
      <w:r w:rsidR="00940712" w:rsidRPr="003835CE">
        <w:rPr>
          <w:b/>
          <w:bCs/>
        </w:rPr>
        <w:t>d</w:t>
      </w:r>
      <w:r w:rsidR="009A747E" w:rsidRPr="003835CE">
        <w:rPr>
          <w:b/>
          <w:bCs/>
        </w:rPr>
        <w:t xml:space="preserve">es mesures </w:t>
      </w:r>
      <w:r w:rsidR="00940712" w:rsidRPr="003835CE">
        <w:rPr>
          <w:b/>
          <w:bCs/>
        </w:rPr>
        <w:t xml:space="preserve">urgentes </w:t>
      </w:r>
      <w:r w:rsidR="009A747E" w:rsidRPr="003835CE">
        <w:rPr>
          <w:b/>
          <w:bCs/>
        </w:rPr>
        <w:t>pour que tous les décès en détention fassent l’objet d’enquêtes approfondies et impartiales</w:t>
      </w:r>
      <w:r w:rsidR="00926C5D" w:rsidRPr="003835CE">
        <w:rPr>
          <w:b/>
          <w:bCs/>
        </w:rPr>
        <w:t>, que les ayant</w:t>
      </w:r>
      <w:r w:rsidR="001B2F20" w:rsidRPr="003835CE">
        <w:rPr>
          <w:b/>
          <w:bCs/>
        </w:rPr>
        <w:t xml:space="preserve">s </w:t>
      </w:r>
      <w:r w:rsidR="00926C5D" w:rsidRPr="003835CE">
        <w:rPr>
          <w:b/>
          <w:bCs/>
        </w:rPr>
        <w:t>droit des victimes obtiennent réparation</w:t>
      </w:r>
      <w:r w:rsidR="001B2F20" w:rsidRPr="003835CE">
        <w:rPr>
          <w:b/>
          <w:bCs/>
        </w:rPr>
        <w:t>,</w:t>
      </w:r>
      <w:r w:rsidR="00926C5D" w:rsidRPr="003835CE">
        <w:rPr>
          <w:b/>
          <w:bCs/>
        </w:rPr>
        <w:t xml:space="preserve"> et </w:t>
      </w:r>
      <w:r w:rsidR="00940712" w:rsidRPr="003835CE">
        <w:rPr>
          <w:b/>
          <w:bCs/>
        </w:rPr>
        <w:t>qu</w:t>
      </w:r>
      <w:r w:rsidR="009A747E" w:rsidRPr="003835CE">
        <w:rPr>
          <w:b/>
          <w:bCs/>
        </w:rPr>
        <w:t>e les responsables soient poursuivis et sanctionnés proportionnellement à la gravité de leurs actes</w:t>
      </w:r>
      <w:r w:rsidR="00926C5D" w:rsidRPr="003835CE">
        <w:rPr>
          <w:b/>
          <w:bCs/>
        </w:rPr>
        <w:t xml:space="preserve">. </w:t>
      </w:r>
    </w:p>
    <w:p w14:paraId="48E88A0F" w14:textId="07390B0A" w:rsidR="004210D2" w:rsidRPr="00004BC0" w:rsidRDefault="001038A0" w:rsidP="001038A0">
      <w:pPr>
        <w:pStyle w:val="H23G"/>
      </w:pPr>
      <w:r w:rsidRPr="00004BC0">
        <w:tab/>
      </w:r>
      <w:r w:rsidRPr="00004BC0">
        <w:tab/>
      </w:r>
      <w:r w:rsidR="004210D2" w:rsidRPr="00004BC0">
        <w:t>Torture et mauvais traitements</w:t>
      </w:r>
    </w:p>
    <w:p w14:paraId="1C053F7D" w14:textId="535B32E2" w:rsidR="00767FA2" w:rsidRPr="00004BC0" w:rsidRDefault="00E82DD9" w:rsidP="00C879EA">
      <w:pPr>
        <w:pStyle w:val="SingleTxtG"/>
      </w:pPr>
      <w:r w:rsidRPr="00004BC0">
        <w:t>28</w:t>
      </w:r>
      <w:r w:rsidR="00767FA2" w:rsidRPr="00004BC0">
        <w:t>.</w:t>
      </w:r>
      <w:r w:rsidR="00767FA2" w:rsidRPr="00004BC0">
        <w:tab/>
        <w:t>Le Comité regrette l’absence d</w:t>
      </w:r>
      <w:r w:rsidR="004F403D" w:rsidRPr="00004BC0">
        <w:t xml:space="preserve">’informations </w:t>
      </w:r>
      <w:r w:rsidR="00767FA2" w:rsidRPr="00004BC0">
        <w:t>détaillées sur les plaintes pour actes de torture ou mauvais traitement</w:t>
      </w:r>
      <w:r w:rsidR="004F403D" w:rsidRPr="00004BC0">
        <w:t>s</w:t>
      </w:r>
      <w:r w:rsidR="00767FA2" w:rsidRPr="00004BC0">
        <w:t xml:space="preserve">, les enquêtes diligentées, les poursuites </w:t>
      </w:r>
      <w:r w:rsidR="001B2F20" w:rsidRPr="00004BC0">
        <w:t>entamées</w:t>
      </w:r>
      <w:r w:rsidR="00767FA2" w:rsidRPr="00004BC0">
        <w:t xml:space="preserve">, les condamnations prononcées et les </w:t>
      </w:r>
      <w:r w:rsidR="00252AF3" w:rsidRPr="00004BC0">
        <w:t>réparations</w:t>
      </w:r>
      <w:r w:rsidR="00767FA2" w:rsidRPr="00004BC0">
        <w:t xml:space="preserve"> accordées. </w:t>
      </w:r>
      <w:r w:rsidR="001B2F20" w:rsidRPr="00004BC0">
        <w:t>Il</w:t>
      </w:r>
      <w:r w:rsidR="00767FA2" w:rsidRPr="00004BC0">
        <w:t xml:space="preserve"> regrette aussi le manque d’information</w:t>
      </w:r>
      <w:r w:rsidR="00E47E50" w:rsidRPr="00004BC0">
        <w:t>s</w:t>
      </w:r>
      <w:r w:rsidR="00767FA2" w:rsidRPr="00004BC0">
        <w:t xml:space="preserve"> sur les sanctions disciplinaires prises. </w:t>
      </w:r>
      <w:r w:rsidR="001B2F20" w:rsidRPr="00004BC0">
        <w:t>À</w:t>
      </w:r>
      <w:r w:rsidR="00767FA2" w:rsidRPr="00004BC0">
        <w:t xml:space="preserve"> ce titre, le Comité note avec préoccupation que </w:t>
      </w:r>
      <w:r w:rsidR="004F403D" w:rsidRPr="00004BC0">
        <w:t xml:space="preserve">les enquêtes sont souvent confiées aux services mis en cause dans la plainte et que </w:t>
      </w:r>
      <w:r w:rsidR="00767FA2" w:rsidRPr="00004BC0">
        <w:t>toute poursuite contre un agent des forces de l’ordre doit d’abord faire l’objet d’une autorisation appelée « ordre de poursuite »</w:t>
      </w:r>
      <w:r w:rsidR="001B2F20" w:rsidRPr="00004BC0">
        <w:t>,</w:t>
      </w:r>
      <w:r w:rsidR="00767FA2" w:rsidRPr="00004BC0">
        <w:t xml:space="preserve"> </w:t>
      </w:r>
      <w:r w:rsidR="001B2F20" w:rsidRPr="00004BC0">
        <w:t>laquelle</w:t>
      </w:r>
      <w:r w:rsidR="00767FA2" w:rsidRPr="00004BC0">
        <w:t xml:space="preserve"> est délivrée par le </w:t>
      </w:r>
      <w:r w:rsidR="00952AD7" w:rsidRPr="00004BC0">
        <w:t xml:space="preserve">ministre </w:t>
      </w:r>
      <w:r w:rsidR="00767FA2" w:rsidRPr="00004BC0">
        <w:t xml:space="preserve">dont l’auteur présumé dépend. Le Comité regrette l’absence de statistiques sur les cas où les aveux obtenus </w:t>
      </w:r>
      <w:r w:rsidR="00C879EA" w:rsidRPr="00004BC0">
        <w:t>par</w:t>
      </w:r>
      <w:r w:rsidR="00767FA2" w:rsidRPr="00004BC0">
        <w:t xml:space="preserve"> la torture ont été déclarés irrecevables durant la procédure judiciaire. </w:t>
      </w:r>
      <w:r w:rsidR="004F403D" w:rsidRPr="00004BC0">
        <w:t>Il</w:t>
      </w:r>
      <w:r w:rsidR="00767FA2" w:rsidRPr="00004BC0">
        <w:t xml:space="preserve"> regrette </w:t>
      </w:r>
      <w:r w:rsidR="004F403D" w:rsidRPr="00004BC0">
        <w:t xml:space="preserve">enfin </w:t>
      </w:r>
      <w:r w:rsidR="00767FA2" w:rsidRPr="00004BC0">
        <w:t>que la définition d</w:t>
      </w:r>
      <w:r w:rsidR="00252AF3" w:rsidRPr="00004BC0">
        <w:t>e la torture en droit interne ne soit</w:t>
      </w:r>
      <w:r w:rsidR="00767FA2" w:rsidRPr="00004BC0">
        <w:t xml:space="preserve"> pas totalement conforme à l’article </w:t>
      </w:r>
      <w:r w:rsidR="00C879EA" w:rsidRPr="00004BC0">
        <w:t>premier</w:t>
      </w:r>
      <w:r w:rsidR="00767FA2" w:rsidRPr="00004BC0">
        <w:t xml:space="preserve"> de la Convention contre la torture </w:t>
      </w:r>
      <w:r w:rsidR="004F403D" w:rsidRPr="00004BC0">
        <w:t>et autres peines ou traitements cruels, inhumains ou dégradants (art. 2 et 7).</w:t>
      </w:r>
    </w:p>
    <w:p w14:paraId="10615051" w14:textId="6CBBEB61" w:rsidR="00E813CC" w:rsidRPr="00D270E5" w:rsidRDefault="004F403D" w:rsidP="00D270E5">
      <w:pPr>
        <w:pStyle w:val="SingleTxtG"/>
        <w:rPr>
          <w:b/>
          <w:bCs/>
        </w:rPr>
      </w:pPr>
      <w:r w:rsidRPr="00004BC0">
        <w:t>2</w:t>
      </w:r>
      <w:r w:rsidR="00E82DD9" w:rsidRPr="00004BC0">
        <w:t>9</w:t>
      </w:r>
      <w:r w:rsidRPr="00004BC0">
        <w:t>.</w:t>
      </w:r>
      <w:r w:rsidRPr="00004BC0">
        <w:tab/>
      </w:r>
      <w:r w:rsidR="00E813CC" w:rsidRPr="00D270E5">
        <w:rPr>
          <w:b/>
          <w:bCs/>
        </w:rPr>
        <w:t>L’</w:t>
      </w:r>
      <w:r w:rsidR="00A46B77" w:rsidRPr="00D270E5">
        <w:rPr>
          <w:b/>
          <w:bCs/>
        </w:rPr>
        <w:t>État</w:t>
      </w:r>
      <w:r w:rsidR="00E813CC" w:rsidRPr="00D270E5">
        <w:rPr>
          <w:b/>
          <w:bCs/>
        </w:rPr>
        <w:t xml:space="preserve"> partie devrait :</w:t>
      </w:r>
    </w:p>
    <w:p w14:paraId="0052E5DB" w14:textId="638F66DB" w:rsidR="004210D2" w:rsidRPr="00004BC0" w:rsidRDefault="00E82DD9" w:rsidP="00C879EA">
      <w:pPr>
        <w:pStyle w:val="SingleTxtG"/>
        <w:ind w:firstLine="567"/>
        <w:rPr>
          <w:b/>
        </w:rPr>
      </w:pPr>
      <w:r w:rsidRPr="00004BC0">
        <w:rPr>
          <w:b/>
        </w:rPr>
        <w:t>a)</w:t>
      </w:r>
      <w:r w:rsidRPr="00004BC0">
        <w:rPr>
          <w:b/>
        </w:rPr>
        <w:tab/>
      </w:r>
      <w:r w:rsidR="004F403D" w:rsidRPr="00004BC0">
        <w:rPr>
          <w:b/>
        </w:rPr>
        <w:t xml:space="preserve">Réviser sa législation </w:t>
      </w:r>
      <w:r w:rsidR="00E813CC" w:rsidRPr="00004BC0">
        <w:rPr>
          <w:b/>
        </w:rPr>
        <w:t>afin d’incriminer la torture conformément aux dispositions de la Convention contre la torture</w:t>
      </w:r>
      <w:r w:rsidR="00C879EA" w:rsidRPr="00004BC0">
        <w:rPr>
          <w:b/>
        </w:rPr>
        <w:t>,</w:t>
      </w:r>
      <w:r w:rsidR="00E813CC" w:rsidRPr="00004BC0">
        <w:rPr>
          <w:b/>
        </w:rPr>
        <w:t xml:space="preserve"> en reprenant la définition de l’article </w:t>
      </w:r>
      <w:r w:rsidR="00C879EA" w:rsidRPr="00004BC0">
        <w:rPr>
          <w:b/>
        </w:rPr>
        <w:t>premier</w:t>
      </w:r>
      <w:r w:rsidR="00E813CC" w:rsidRPr="00004BC0">
        <w:rPr>
          <w:b/>
        </w:rPr>
        <w:t xml:space="preserve"> de la </w:t>
      </w:r>
      <w:r w:rsidR="00C879EA" w:rsidRPr="00004BC0">
        <w:rPr>
          <w:b/>
        </w:rPr>
        <w:t>C</w:t>
      </w:r>
      <w:r w:rsidR="00E813CC" w:rsidRPr="00004BC0">
        <w:rPr>
          <w:b/>
        </w:rPr>
        <w:t>onvention, en prévoyant des peines proportionnées à la gravité de ces actes et en garantissant l’</w:t>
      </w:r>
      <w:r w:rsidR="00C879EA" w:rsidRPr="00004BC0">
        <w:rPr>
          <w:b/>
        </w:rPr>
        <w:t>irrecevabilité</w:t>
      </w:r>
      <w:r w:rsidR="00E813CC" w:rsidRPr="00004BC0">
        <w:rPr>
          <w:b/>
        </w:rPr>
        <w:t xml:space="preserve"> des aveux obtenus par la torture ;</w:t>
      </w:r>
    </w:p>
    <w:p w14:paraId="0748BF67" w14:textId="29F4D64E" w:rsidR="00E813CC" w:rsidRPr="00004BC0" w:rsidRDefault="00E82DD9" w:rsidP="00E82DD9">
      <w:pPr>
        <w:pStyle w:val="SingleTxtG"/>
        <w:ind w:firstLine="567"/>
        <w:rPr>
          <w:b/>
        </w:rPr>
      </w:pPr>
      <w:r w:rsidRPr="00004BC0">
        <w:rPr>
          <w:b/>
        </w:rPr>
        <w:t>b)</w:t>
      </w:r>
      <w:r w:rsidRPr="00004BC0">
        <w:rPr>
          <w:b/>
        </w:rPr>
        <w:tab/>
      </w:r>
      <w:r w:rsidR="00E813CC" w:rsidRPr="00004BC0">
        <w:rPr>
          <w:b/>
        </w:rPr>
        <w:t xml:space="preserve">Veiller à ce que toutes les allégations de torture fassent l’objet d’enquêtes impartiales et approfondies </w:t>
      </w:r>
      <w:r w:rsidR="004F403D" w:rsidRPr="00004BC0">
        <w:rPr>
          <w:b/>
        </w:rPr>
        <w:t xml:space="preserve">par des services </w:t>
      </w:r>
      <w:r w:rsidR="00163AEF" w:rsidRPr="00004BC0">
        <w:rPr>
          <w:b/>
        </w:rPr>
        <w:t>indépendant</w:t>
      </w:r>
      <w:r w:rsidR="00714747" w:rsidRPr="00004BC0">
        <w:rPr>
          <w:b/>
        </w:rPr>
        <w:t>s</w:t>
      </w:r>
      <w:r w:rsidR="00163AEF" w:rsidRPr="00004BC0">
        <w:rPr>
          <w:b/>
        </w:rPr>
        <w:t xml:space="preserve"> et </w:t>
      </w:r>
      <w:r w:rsidR="004F403D" w:rsidRPr="00004BC0">
        <w:rPr>
          <w:b/>
        </w:rPr>
        <w:t>distincts de ceux mis en cause,</w:t>
      </w:r>
      <w:r w:rsidR="00E813CC" w:rsidRPr="00004BC0">
        <w:rPr>
          <w:b/>
        </w:rPr>
        <w:t xml:space="preserve"> que les auteurs soient poursuivis et sanctionnés proportionnellement à la gravité de leurs actes</w:t>
      </w:r>
      <w:r w:rsidR="004F403D" w:rsidRPr="00004BC0">
        <w:rPr>
          <w:b/>
        </w:rPr>
        <w:t xml:space="preserve"> et que les victimes obtiennent réparation.</w:t>
      </w:r>
    </w:p>
    <w:p w14:paraId="78B129A5" w14:textId="509AD85D" w:rsidR="00C261FD" w:rsidRPr="00004BC0" w:rsidRDefault="001038A0" w:rsidP="001038A0">
      <w:pPr>
        <w:pStyle w:val="H23G"/>
      </w:pPr>
      <w:r w:rsidRPr="00004BC0">
        <w:tab/>
      </w:r>
      <w:r w:rsidRPr="00004BC0">
        <w:tab/>
      </w:r>
      <w:r w:rsidR="00E9203D" w:rsidRPr="00004BC0">
        <w:t>T</w:t>
      </w:r>
      <w:r w:rsidR="00E813CC" w:rsidRPr="00004BC0">
        <w:t>raite des personnes</w:t>
      </w:r>
    </w:p>
    <w:p w14:paraId="3F978A8A" w14:textId="246F4BE2" w:rsidR="00E813CC" w:rsidRPr="00004BC0" w:rsidRDefault="000A06C6" w:rsidP="007B19EA">
      <w:pPr>
        <w:pStyle w:val="SingleTxtG"/>
      </w:pPr>
      <w:r w:rsidRPr="00004BC0">
        <w:t>30</w:t>
      </w:r>
      <w:r w:rsidR="00CD60A1" w:rsidRPr="00004BC0">
        <w:t>.</w:t>
      </w:r>
      <w:r w:rsidR="00315C18" w:rsidRPr="00004BC0">
        <w:tab/>
      </w:r>
      <w:r w:rsidR="00E813CC" w:rsidRPr="00004BC0">
        <w:t xml:space="preserve">Tout en saluant l’adoption de la loi </w:t>
      </w:r>
      <w:r w:rsidR="002E3B3F" w:rsidRPr="00004BC0">
        <w:t>n</w:t>
      </w:r>
      <w:r w:rsidR="002E3B3F" w:rsidRPr="009648D4">
        <w:rPr>
          <w:vertAlign w:val="superscript"/>
        </w:rPr>
        <w:t>o</w:t>
      </w:r>
      <w:r w:rsidR="002E3B3F">
        <w:t> </w:t>
      </w:r>
      <w:r w:rsidR="00E813CC" w:rsidRPr="00004BC0">
        <w:t>2005-06 du 10 mai 2005 relative à la lutte contre la traite des personnes et pratiques assimilées</w:t>
      </w:r>
      <w:r w:rsidR="000D3361" w:rsidRPr="00004BC0">
        <w:t xml:space="preserve"> et à la protection des victimes,</w:t>
      </w:r>
      <w:r w:rsidR="00E813CC" w:rsidRPr="00004BC0">
        <w:t xml:space="preserve"> </w:t>
      </w:r>
      <w:r w:rsidR="000D3361" w:rsidRPr="00004BC0">
        <w:t>ainsi que</w:t>
      </w:r>
      <w:r w:rsidR="00E813CC" w:rsidRPr="00004BC0">
        <w:t xml:space="preserve"> la création de la Cellule </w:t>
      </w:r>
      <w:r w:rsidR="000D3361" w:rsidRPr="00004BC0">
        <w:t>n</w:t>
      </w:r>
      <w:r w:rsidR="00E813CC" w:rsidRPr="00004BC0">
        <w:t xml:space="preserve">ationale de </w:t>
      </w:r>
      <w:r w:rsidR="000D3361" w:rsidRPr="00004BC0">
        <w:t>l</w:t>
      </w:r>
      <w:r w:rsidR="00E813CC" w:rsidRPr="00004BC0">
        <w:t xml:space="preserve">utte contre la </w:t>
      </w:r>
      <w:r w:rsidR="000D3361" w:rsidRPr="00004BC0">
        <w:t>t</w:t>
      </w:r>
      <w:r w:rsidR="00E813CC" w:rsidRPr="00004BC0">
        <w:t>raite des personnes</w:t>
      </w:r>
      <w:r w:rsidR="000D3361" w:rsidRPr="00004BC0">
        <w:t xml:space="preserve"> en particulier des femmes et des enfants</w:t>
      </w:r>
      <w:r w:rsidR="00E813CC" w:rsidRPr="00004BC0">
        <w:t>, le Comité s’inquiète du nombre extrêmement limité de poursuites et de condamnations en application de cette loi</w:t>
      </w:r>
      <w:r w:rsidR="00DA3715" w:rsidRPr="00004BC0">
        <w:t>, s’agissant notamment de</w:t>
      </w:r>
      <w:r w:rsidR="00E9203D" w:rsidRPr="00004BC0">
        <w:t xml:space="preserve"> </w:t>
      </w:r>
      <w:r w:rsidR="00410FF2" w:rsidRPr="00004BC0">
        <w:t>l’exploitation</w:t>
      </w:r>
      <w:r w:rsidR="00E813CC" w:rsidRPr="00004BC0">
        <w:t xml:space="preserve"> des femmes</w:t>
      </w:r>
      <w:r w:rsidR="000416A2" w:rsidRPr="00004BC0">
        <w:t xml:space="preserve"> et des enfants</w:t>
      </w:r>
      <w:r w:rsidR="0012282E" w:rsidRPr="00004BC0">
        <w:t xml:space="preserve"> </w:t>
      </w:r>
      <w:r w:rsidR="00E813CC" w:rsidRPr="00004BC0">
        <w:t>(art. 7, 8, 24 et 26).</w:t>
      </w:r>
    </w:p>
    <w:p w14:paraId="33AAA3AE" w14:textId="0F28404C" w:rsidR="00E813CC" w:rsidRPr="003835CE" w:rsidRDefault="00315C18" w:rsidP="003835CE">
      <w:pPr>
        <w:pStyle w:val="SingleTxtG"/>
        <w:rPr>
          <w:b/>
          <w:bCs/>
        </w:rPr>
      </w:pPr>
      <w:r w:rsidRPr="00004BC0">
        <w:lastRenderedPageBreak/>
        <w:t>3</w:t>
      </w:r>
      <w:r w:rsidR="000416A2" w:rsidRPr="00004BC0">
        <w:t>1</w:t>
      </w:r>
      <w:r w:rsidRPr="00004BC0">
        <w:t>.</w:t>
      </w:r>
      <w:r w:rsidRPr="00004BC0">
        <w:tab/>
      </w:r>
      <w:r w:rsidR="007313E9" w:rsidRPr="003835CE">
        <w:rPr>
          <w:b/>
          <w:bCs/>
        </w:rPr>
        <w:t>L’</w:t>
      </w:r>
      <w:r w:rsidR="00A46B77" w:rsidRPr="003835CE">
        <w:rPr>
          <w:b/>
          <w:bCs/>
        </w:rPr>
        <w:t>État</w:t>
      </w:r>
      <w:r w:rsidR="00582BDD" w:rsidRPr="003835CE">
        <w:rPr>
          <w:b/>
          <w:bCs/>
        </w:rPr>
        <w:t xml:space="preserve"> partie devrait </w:t>
      </w:r>
      <w:r w:rsidR="007313E9" w:rsidRPr="003835CE">
        <w:rPr>
          <w:b/>
          <w:bCs/>
        </w:rPr>
        <w:t>veiller à la stricte application de la loi n</w:t>
      </w:r>
      <w:r w:rsidR="007313E9" w:rsidRPr="003835CE">
        <w:rPr>
          <w:b/>
          <w:bCs/>
          <w:vertAlign w:val="superscript"/>
        </w:rPr>
        <w:t>o</w:t>
      </w:r>
      <w:r w:rsidR="002E3B3F" w:rsidRPr="003835CE">
        <w:rPr>
          <w:b/>
          <w:bCs/>
        </w:rPr>
        <w:t> </w:t>
      </w:r>
      <w:r w:rsidR="007313E9" w:rsidRPr="003835CE">
        <w:rPr>
          <w:b/>
          <w:bCs/>
        </w:rPr>
        <w:t>2005-06 relative à la lutte contre la traite des personnes et</w:t>
      </w:r>
      <w:r w:rsidR="002F251D" w:rsidRPr="003835CE">
        <w:rPr>
          <w:b/>
          <w:bCs/>
        </w:rPr>
        <w:t xml:space="preserve"> </w:t>
      </w:r>
      <w:r w:rsidR="007313E9" w:rsidRPr="003835CE">
        <w:rPr>
          <w:b/>
          <w:bCs/>
        </w:rPr>
        <w:t>les pratiques assimilées</w:t>
      </w:r>
      <w:r w:rsidR="000D3361" w:rsidRPr="003835CE">
        <w:rPr>
          <w:b/>
          <w:bCs/>
        </w:rPr>
        <w:t>,</w:t>
      </w:r>
      <w:r w:rsidR="007313E9" w:rsidRPr="003835CE">
        <w:rPr>
          <w:b/>
          <w:bCs/>
        </w:rPr>
        <w:t xml:space="preserve"> </w:t>
      </w:r>
      <w:r w:rsidR="002F251D" w:rsidRPr="003835CE">
        <w:rPr>
          <w:b/>
          <w:bCs/>
        </w:rPr>
        <w:t>notamment en diligentant systé</w:t>
      </w:r>
      <w:r w:rsidR="007313E9" w:rsidRPr="003835CE">
        <w:rPr>
          <w:b/>
          <w:bCs/>
        </w:rPr>
        <w:t>matiquement des enquêtes impartiales et approfondies sur les actes de traite</w:t>
      </w:r>
      <w:r w:rsidR="000D3361" w:rsidRPr="003835CE">
        <w:rPr>
          <w:b/>
          <w:bCs/>
        </w:rPr>
        <w:t>,</w:t>
      </w:r>
      <w:r w:rsidR="002F251D" w:rsidRPr="003835CE">
        <w:rPr>
          <w:b/>
          <w:bCs/>
        </w:rPr>
        <w:t xml:space="preserve"> en ouvrant la possibilité aux organisations de la société civile de se constituer partie civile devant les tribunaux</w:t>
      </w:r>
      <w:r w:rsidR="000D3361" w:rsidRPr="003835CE">
        <w:rPr>
          <w:b/>
          <w:bCs/>
        </w:rPr>
        <w:t>,</w:t>
      </w:r>
      <w:r w:rsidR="002F251D" w:rsidRPr="003835CE">
        <w:rPr>
          <w:b/>
          <w:bCs/>
        </w:rPr>
        <w:t xml:space="preserve"> et en garantissant à titre prioritaire l’aide juridictionnelle pour toutes les victimes</w:t>
      </w:r>
      <w:r w:rsidR="00410FF2" w:rsidRPr="003835CE">
        <w:rPr>
          <w:b/>
          <w:bCs/>
        </w:rPr>
        <w:t xml:space="preserve"> de traite</w:t>
      </w:r>
      <w:r w:rsidR="002F251D" w:rsidRPr="003835CE">
        <w:rPr>
          <w:b/>
          <w:bCs/>
        </w:rPr>
        <w:t xml:space="preserve"> et leurs ayant</w:t>
      </w:r>
      <w:r w:rsidR="000D3361" w:rsidRPr="003835CE">
        <w:rPr>
          <w:b/>
          <w:bCs/>
        </w:rPr>
        <w:t xml:space="preserve">s </w:t>
      </w:r>
      <w:r w:rsidR="002F251D" w:rsidRPr="003835CE">
        <w:rPr>
          <w:b/>
          <w:bCs/>
        </w:rPr>
        <w:t>droit.</w:t>
      </w:r>
    </w:p>
    <w:p w14:paraId="345611FE" w14:textId="09BEE450" w:rsidR="00C261FD" w:rsidRPr="00004BC0" w:rsidRDefault="001038A0" w:rsidP="001038A0">
      <w:pPr>
        <w:pStyle w:val="H23G"/>
      </w:pPr>
      <w:r w:rsidRPr="00004BC0">
        <w:tab/>
      </w:r>
      <w:r w:rsidRPr="00004BC0">
        <w:tab/>
      </w:r>
      <w:r w:rsidR="00C261FD" w:rsidRPr="00004BC0">
        <w:t>Réfugiés et demandeurs d’asile</w:t>
      </w:r>
    </w:p>
    <w:p w14:paraId="64FD178F" w14:textId="4794E5E3" w:rsidR="00A93E77" w:rsidRPr="00004BC0" w:rsidRDefault="00315C18" w:rsidP="007B19EA">
      <w:pPr>
        <w:pStyle w:val="SingleTxtG"/>
      </w:pPr>
      <w:r w:rsidRPr="00004BC0">
        <w:t>3</w:t>
      </w:r>
      <w:r w:rsidR="000416A2" w:rsidRPr="00004BC0">
        <w:t>2</w:t>
      </w:r>
      <w:r w:rsidRPr="00004BC0">
        <w:t>.</w:t>
      </w:r>
      <w:r w:rsidRPr="00004BC0">
        <w:tab/>
      </w:r>
      <w:r w:rsidR="00A93E77" w:rsidRPr="00004BC0">
        <w:t>Le Comité est préoccupé par les informations sur le statut précaire des réfugiés et demandeurs d’asile au Sénégal</w:t>
      </w:r>
      <w:r w:rsidR="00F55636" w:rsidRPr="00004BC0">
        <w:t>,</w:t>
      </w:r>
      <w:r w:rsidR="00A93E77" w:rsidRPr="00004BC0">
        <w:t xml:space="preserve"> notamment les délais excessifs observés par la Commission </w:t>
      </w:r>
      <w:r w:rsidR="00F55636" w:rsidRPr="00004BC0">
        <w:t>n</w:t>
      </w:r>
      <w:r w:rsidR="00A93E77" w:rsidRPr="00004BC0">
        <w:t>ationale d’</w:t>
      </w:r>
      <w:r w:rsidR="00F55636" w:rsidRPr="00004BC0">
        <w:t>é</w:t>
      </w:r>
      <w:r w:rsidR="00A93E77" w:rsidRPr="00004BC0">
        <w:t>ligibilité</w:t>
      </w:r>
      <w:r w:rsidR="00F55636" w:rsidRPr="00004BC0">
        <w:t xml:space="preserve"> au statut de réfugié</w:t>
      </w:r>
      <w:r w:rsidR="00A93E77" w:rsidRPr="00004BC0">
        <w:t xml:space="preserve"> pour rendre ses décisions</w:t>
      </w:r>
      <w:r w:rsidR="003F3FE2" w:rsidRPr="00004BC0">
        <w:t xml:space="preserve">. Le Comité est également préoccupé par l’absence de recours ouvert contre les décisions de la </w:t>
      </w:r>
      <w:r w:rsidR="00F55636" w:rsidRPr="00004BC0">
        <w:t>C</w:t>
      </w:r>
      <w:r w:rsidR="003F3FE2" w:rsidRPr="00004BC0">
        <w:t>ommission</w:t>
      </w:r>
      <w:r w:rsidR="00D5087E" w:rsidRPr="00004BC0">
        <w:t xml:space="preserve"> et par le fait que</w:t>
      </w:r>
      <w:r w:rsidR="003F3FE2" w:rsidRPr="00004BC0">
        <w:t xml:space="preserve"> </w:t>
      </w:r>
      <w:r w:rsidR="00A93E77" w:rsidRPr="00004BC0">
        <w:t>l’avant-projet de loi portant statut de réfugié et de l’apatridie</w:t>
      </w:r>
      <w:r w:rsidR="00F55636" w:rsidRPr="00004BC0">
        <w:t>,</w:t>
      </w:r>
      <w:r w:rsidR="00A93E77" w:rsidRPr="00004BC0">
        <w:t xml:space="preserve"> </w:t>
      </w:r>
      <w:r w:rsidR="00F55636" w:rsidRPr="00004BC0">
        <w:t>lancé</w:t>
      </w:r>
      <w:r w:rsidR="00A93E77" w:rsidRPr="00004BC0">
        <w:t xml:space="preserve"> en 2012 </w:t>
      </w:r>
      <w:r w:rsidR="003F3FE2" w:rsidRPr="00004BC0">
        <w:t xml:space="preserve">et qui devrait permettre de </w:t>
      </w:r>
      <w:r w:rsidR="000416A2" w:rsidRPr="00004BC0">
        <w:t>pallier</w:t>
      </w:r>
      <w:r w:rsidR="003F3FE2" w:rsidRPr="00004BC0">
        <w:t xml:space="preserve"> ces insuffisances</w:t>
      </w:r>
      <w:r w:rsidR="00F55636" w:rsidRPr="00004BC0">
        <w:t>,</w:t>
      </w:r>
      <w:r w:rsidR="003F3FE2" w:rsidRPr="00004BC0">
        <w:t xml:space="preserve"> </w:t>
      </w:r>
      <w:r w:rsidR="00A93E77" w:rsidRPr="00004BC0">
        <w:t xml:space="preserve">n’a toujours pas été adopté. </w:t>
      </w:r>
      <w:r w:rsidR="003F3FE2" w:rsidRPr="00004BC0">
        <w:t>En outre, les cartes d’identité délivrées aux réfugiés ne sont pas toujours reconnues par les services publics et les établissements privés comme les banque</w:t>
      </w:r>
      <w:r w:rsidR="00A569DC" w:rsidRPr="00004BC0">
        <w:t>s</w:t>
      </w:r>
      <w:r w:rsidR="00D5087E" w:rsidRPr="00004BC0">
        <w:t>,</w:t>
      </w:r>
      <w:r w:rsidR="003F3FE2" w:rsidRPr="00004BC0">
        <w:t xml:space="preserve"> ce qui a une incidence</w:t>
      </w:r>
      <w:r w:rsidR="00D5087E" w:rsidRPr="00004BC0">
        <w:t xml:space="preserve"> négative</w:t>
      </w:r>
      <w:r w:rsidR="003F3FE2" w:rsidRPr="00004BC0">
        <w:t xml:space="preserve"> sur les droits des réfugiés et demandeurs d’asile. Enfin, le Comité note avec préoccupation </w:t>
      </w:r>
      <w:r w:rsidR="00A569DC" w:rsidRPr="00004BC0">
        <w:t xml:space="preserve">que la loi </w:t>
      </w:r>
      <w:r w:rsidR="002E3B3F" w:rsidRPr="00004BC0">
        <w:t>n</w:t>
      </w:r>
      <w:r w:rsidR="002E3B3F" w:rsidRPr="009648D4">
        <w:rPr>
          <w:vertAlign w:val="superscript"/>
        </w:rPr>
        <w:t>o</w:t>
      </w:r>
      <w:r w:rsidR="002E3B3F">
        <w:t> </w:t>
      </w:r>
      <w:r w:rsidR="00A569DC" w:rsidRPr="00004BC0">
        <w:t>61-</w:t>
      </w:r>
      <w:r w:rsidR="00F55636" w:rsidRPr="00004BC0">
        <w:t>1</w:t>
      </w:r>
      <w:r w:rsidR="00A569DC" w:rsidRPr="00004BC0">
        <w:t>0 du 7 mars 1961 déterminant la nationalité sénégalaise, dont la dernière modification date de 2013, ne prévoit l’acquisition de la nationalité que pour le nouveau-né trouvé et non pour tout « enfant trouvé », sans distinction par rapport à l’âge</w:t>
      </w:r>
      <w:r w:rsidR="00A569DC" w:rsidRPr="00600E2D">
        <w:rPr>
          <w:bCs/>
        </w:rPr>
        <w:t xml:space="preserve">. </w:t>
      </w:r>
      <w:r w:rsidR="00A569DC" w:rsidRPr="00004BC0">
        <w:t>S’agissant des enfants nés sur le territoire sénégalais de parents non sénégalais, la loi ne prévoit pas l’acquisition de la nationalité par ces enfants</w:t>
      </w:r>
      <w:r w:rsidR="00D5087E" w:rsidRPr="00004BC0">
        <w:t>,</w:t>
      </w:r>
      <w:r w:rsidR="00A569DC" w:rsidRPr="00004BC0">
        <w:t xml:space="preserve"> </w:t>
      </w:r>
      <w:r w:rsidR="00D5087E" w:rsidRPr="00004BC0">
        <w:t xml:space="preserve">ce qui en ferait des apatrides </w:t>
      </w:r>
      <w:r w:rsidR="003F3FE2" w:rsidRPr="00004BC0">
        <w:t>(art. 7, 13 et 26)</w:t>
      </w:r>
      <w:r w:rsidR="00A93E77" w:rsidRPr="00004BC0">
        <w:t xml:space="preserve">. </w:t>
      </w:r>
    </w:p>
    <w:p w14:paraId="5C7DC46E" w14:textId="36440F01" w:rsidR="00C261FD" w:rsidRPr="003835CE" w:rsidRDefault="00315C18" w:rsidP="003835CE">
      <w:pPr>
        <w:pStyle w:val="SingleTxtG"/>
        <w:rPr>
          <w:b/>
          <w:bCs/>
        </w:rPr>
      </w:pPr>
      <w:r w:rsidRPr="00004BC0">
        <w:t>3</w:t>
      </w:r>
      <w:r w:rsidR="000416A2" w:rsidRPr="00004BC0">
        <w:t>3</w:t>
      </w:r>
      <w:r w:rsidRPr="00004BC0">
        <w:t>.</w:t>
      </w:r>
      <w:r w:rsidRPr="00004BC0">
        <w:tab/>
      </w:r>
      <w:r w:rsidR="001A6279" w:rsidRPr="003835CE">
        <w:rPr>
          <w:b/>
          <w:bCs/>
        </w:rPr>
        <w:t>L’</w:t>
      </w:r>
      <w:r w:rsidR="00A46B77" w:rsidRPr="003835CE">
        <w:rPr>
          <w:b/>
          <w:bCs/>
        </w:rPr>
        <w:t>État</w:t>
      </w:r>
      <w:r w:rsidR="001A6279" w:rsidRPr="003835CE">
        <w:rPr>
          <w:b/>
          <w:bCs/>
        </w:rPr>
        <w:t xml:space="preserve"> partie devrait :</w:t>
      </w:r>
    </w:p>
    <w:p w14:paraId="5FE596FC" w14:textId="68A97F8D" w:rsidR="001A6279" w:rsidRPr="00004BC0" w:rsidRDefault="00E82DD9" w:rsidP="00A201C2">
      <w:pPr>
        <w:pStyle w:val="SingleTxtG"/>
        <w:ind w:firstLine="567"/>
        <w:rPr>
          <w:b/>
        </w:rPr>
      </w:pPr>
      <w:r w:rsidRPr="00004BC0">
        <w:rPr>
          <w:b/>
        </w:rPr>
        <w:t>a)</w:t>
      </w:r>
      <w:r w:rsidRPr="00004BC0">
        <w:rPr>
          <w:b/>
        </w:rPr>
        <w:tab/>
      </w:r>
      <w:r w:rsidR="001A6279" w:rsidRPr="00004BC0">
        <w:rPr>
          <w:b/>
        </w:rPr>
        <w:t xml:space="preserve">Réviser </w:t>
      </w:r>
      <w:r w:rsidR="00744B31" w:rsidRPr="00004BC0">
        <w:rPr>
          <w:b/>
        </w:rPr>
        <w:t>sa législation</w:t>
      </w:r>
      <w:r w:rsidR="001A6279" w:rsidRPr="00004BC0">
        <w:rPr>
          <w:b/>
        </w:rPr>
        <w:t xml:space="preserve"> afin de la rendre compatible avec le Pacte et la Convention relative au statut de</w:t>
      </w:r>
      <w:r w:rsidR="00744B31" w:rsidRPr="00004BC0">
        <w:rPr>
          <w:b/>
        </w:rPr>
        <w:t>s</w:t>
      </w:r>
      <w:r w:rsidR="001A6279" w:rsidRPr="00004BC0">
        <w:rPr>
          <w:b/>
        </w:rPr>
        <w:t xml:space="preserve"> </w:t>
      </w:r>
      <w:r w:rsidR="00D5087E" w:rsidRPr="00004BC0">
        <w:rPr>
          <w:b/>
        </w:rPr>
        <w:t>réfugiés ;</w:t>
      </w:r>
    </w:p>
    <w:p w14:paraId="05DE3863" w14:textId="498F3763" w:rsidR="001A6279" w:rsidRPr="00004BC0" w:rsidRDefault="00E82DD9" w:rsidP="00EB0773">
      <w:pPr>
        <w:pStyle w:val="SingleTxtG"/>
        <w:ind w:firstLine="567"/>
        <w:rPr>
          <w:b/>
        </w:rPr>
      </w:pPr>
      <w:r w:rsidRPr="00004BC0">
        <w:rPr>
          <w:b/>
        </w:rPr>
        <w:t>b)</w:t>
      </w:r>
      <w:r w:rsidRPr="00004BC0">
        <w:rPr>
          <w:b/>
        </w:rPr>
        <w:tab/>
      </w:r>
      <w:r w:rsidR="001A6279" w:rsidRPr="00004BC0">
        <w:rPr>
          <w:b/>
        </w:rPr>
        <w:t>Augmenter les ressources financières et humaines de la Commission nationale d’</w:t>
      </w:r>
      <w:r w:rsidR="00EB0773" w:rsidRPr="00004BC0">
        <w:rPr>
          <w:b/>
        </w:rPr>
        <w:t>é</w:t>
      </w:r>
      <w:r w:rsidR="001A6279" w:rsidRPr="00004BC0">
        <w:rPr>
          <w:b/>
        </w:rPr>
        <w:t>ligibilité</w:t>
      </w:r>
      <w:r w:rsidR="00EB0773" w:rsidRPr="00004BC0">
        <w:rPr>
          <w:b/>
        </w:rPr>
        <w:t xml:space="preserve"> au statut de réfugié</w:t>
      </w:r>
      <w:r w:rsidR="001A6279" w:rsidRPr="00004BC0">
        <w:rPr>
          <w:b/>
        </w:rPr>
        <w:t xml:space="preserve"> afin de la rendre plus efficace ;</w:t>
      </w:r>
    </w:p>
    <w:p w14:paraId="3925E497" w14:textId="174CC67C" w:rsidR="001A6279" w:rsidRPr="00004BC0" w:rsidRDefault="00E82DD9" w:rsidP="00EB0773">
      <w:pPr>
        <w:pStyle w:val="SingleTxtG"/>
        <w:ind w:firstLine="567"/>
        <w:rPr>
          <w:b/>
        </w:rPr>
      </w:pPr>
      <w:r w:rsidRPr="00004BC0">
        <w:rPr>
          <w:b/>
        </w:rPr>
        <w:t>c)</w:t>
      </w:r>
      <w:r w:rsidRPr="00004BC0">
        <w:rPr>
          <w:b/>
        </w:rPr>
        <w:tab/>
      </w:r>
      <w:r w:rsidR="00D5087E" w:rsidRPr="00004BC0">
        <w:rPr>
          <w:b/>
        </w:rPr>
        <w:t>Réduire l</w:t>
      </w:r>
      <w:r w:rsidR="001A6279" w:rsidRPr="00004BC0">
        <w:rPr>
          <w:b/>
        </w:rPr>
        <w:t>es délais de réponse aux demandes de reco</w:t>
      </w:r>
      <w:r w:rsidR="00A569DC" w:rsidRPr="00004BC0">
        <w:rPr>
          <w:b/>
        </w:rPr>
        <w:t xml:space="preserve">nnaissance </w:t>
      </w:r>
      <w:r w:rsidR="00EB0773" w:rsidRPr="00004BC0">
        <w:rPr>
          <w:b/>
        </w:rPr>
        <w:t>du</w:t>
      </w:r>
      <w:r w:rsidR="00A569DC" w:rsidRPr="00004BC0">
        <w:rPr>
          <w:b/>
        </w:rPr>
        <w:t xml:space="preserve"> statut de réfugié ;</w:t>
      </w:r>
    </w:p>
    <w:p w14:paraId="7DBF384A" w14:textId="02F28BE4" w:rsidR="00A569DC" w:rsidRPr="00004BC0" w:rsidRDefault="00E82DD9" w:rsidP="00435FB2">
      <w:pPr>
        <w:pStyle w:val="SingleTxtG"/>
        <w:ind w:firstLine="567"/>
        <w:rPr>
          <w:b/>
        </w:rPr>
      </w:pPr>
      <w:r w:rsidRPr="00004BC0">
        <w:rPr>
          <w:b/>
        </w:rPr>
        <w:t>d)</w:t>
      </w:r>
      <w:r w:rsidRPr="00004BC0">
        <w:rPr>
          <w:b/>
        </w:rPr>
        <w:tab/>
      </w:r>
      <w:r w:rsidR="00A569DC" w:rsidRPr="00004BC0">
        <w:rPr>
          <w:b/>
        </w:rPr>
        <w:t xml:space="preserve">Réviser la loi </w:t>
      </w:r>
      <w:r w:rsidR="002E3B3F" w:rsidRPr="00004BC0">
        <w:rPr>
          <w:b/>
        </w:rPr>
        <w:t>n</w:t>
      </w:r>
      <w:r w:rsidR="002E3B3F" w:rsidRPr="00600E2D">
        <w:rPr>
          <w:b/>
          <w:vertAlign w:val="superscript"/>
        </w:rPr>
        <w:t>o</w:t>
      </w:r>
      <w:r w:rsidR="002E3B3F">
        <w:rPr>
          <w:b/>
        </w:rPr>
        <w:t> </w:t>
      </w:r>
      <w:r w:rsidR="00A569DC" w:rsidRPr="00004BC0">
        <w:rPr>
          <w:b/>
        </w:rPr>
        <w:t>61-</w:t>
      </w:r>
      <w:r w:rsidR="00EB0773" w:rsidRPr="00004BC0">
        <w:rPr>
          <w:b/>
        </w:rPr>
        <w:t>1</w:t>
      </w:r>
      <w:r w:rsidR="00A569DC" w:rsidRPr="00004BC0">
        <w:rPr>
          <w:b/>
        </w:rPr>
        <w:t>0 déterminant la nationalité sénégalaise</w:t>
      </w:r>
      <w:r w:rsidR="00D5087E" w:rsidRPr="00004BC0">
        <w:rPr>
          <w:b/>
        </w:rPr>
        <w:t>,</w:t>
      </w:r>
      <w:r w:rsidR="00A569DC" w:rsidRPr="00004BC0">
        <w:rPr>
          <w:b/>
        </w:rPr>
        <w:t xml:space="preserve"> afin </w:t>
      </w:r>
      <w:r w:rsidR="009F0004" w:rsidRPr="00004BC0">
        <w:rPr>
          <w:b/>
        </w:rPr>
        <w:t>d’éviter les risques d’apatridie</w:t>
      </w:r>
      <w:r w:rsidR="00EB0773" w:rsidRPr="00004BC0">
        <w:rPr>
          <w:b/>
        </w:rPr>
        <w:t>,</w:t>
      </w:r>
      <w:r w:rsidR="009F0004" w:rsidRPr="00004BC0">
        <w:rPr>
          <w:b/>
        </w:rPr>
        <w:t xml:space="preserve"> notamment pour les enfants trouvés</w:t>
      </w:r>
      <w:r w:rsidR="00117602" w:rsidRPr="00004BC0">
        <w:rPr>
          <w:b/>
        </w:rPr>
        <w:t xml:space="preserve"> </w:t>
      </w:r>
      <w:r w:rsidR="006C34D2" w:rsidRPr="00004BC0">
        <w:rPr>
          <w:b/>
        </w:rPr>
        <w:t>sur le territoire sénégalais</w:t>
      </w:r>
      <w:r w:rsidR="00EB0773" w:rsidRPr="00004BC0">
        <w:rPr>
          <w:b/>
        </w:rPr>
        <w:t>,</w:t>
      </w:r>
      <w:r w:rsidR="006C34D2" w:rsidRPr="00004BC0">
        <w:rPr>
          <w:b/>
        </w:rPr>
        <w:t xml:space="preserve"> </w:t>
      </w:r>
      <w:r w:rsidR="00117602" w:rsidRPr="00004BC0">
        <w:rPr>
          <w:b/>
        </w:rPr>
        <w:t>quel que soit leur âge</w:t>
      </w:r>
      <w:r w:rsidR="00EB0773" w:rsidRPr="00004BC0">
        <w:rPr>
          <w:b/>
        </w:rPr>
        <w:t>,</w:t>
      </w:r>
      <w:r w:rsidR="009F0004" w:rsidRPr="00004BC0">
        <w:rPr>
          <w:b/>
        </w:rPr>
        <w:t xml:space="preserve"> et les enfants nés</w:t>
      </w:r>
      <w:r w:rsidR="00EB0773" w:rsidRPr="00004BC0">
        <w:rPr>
          <w:b/>
        </w:rPr>
        <w:t xml:space="preserve"> au Sénégal</w:t>
      </w:r>
      <w:r w:rsidR="009F0004" w:rsidRPr="00004BC0">
        <w:rPr>
          <w:b/>
        </w:rPr>
        <w:t xml:space="preserve"> de parents étrangers. </w:t>
      </w:r>
    </w:p>
    <w:p w14:paraId="2BDF5B02" w14:textId="4F2A9A4B" w:rsidR="007A462B" w:rsidRPr="00004BC0" w:rsidRDefault="00E82DD9" w:rsidP="00E82DD9">
      <w:pPr>
        <w:pStyle w:val="H23G"/>
      </w:pPr>
      <w:r w:rsidRPr="00004BC0">
        <w:tab/>
      </w:r>
      <w:r w:rsidRPr="00004BC0">
        <w:tab/>
      </w:r>
      <w:r w:rsidR="007A462B" w:rsidRPr="00004BC0">
        <w:t>Garde à vue</w:t>
      </w:r>
      <w:r w:rsidR="00EE12D5" w:rsidRPr="00004BC0">
        <w:t>, détention provisoire</w:t>
      </w:r>
      <w:r w:rsidR="007A462B" w:rsidRPr="00004BC0">
        <w:t xml:space="preserve"> et accès à</w:t>
      </w:r>
      <w:r w:rsidR="00D5087E" w:rsidRPr="00004BC0">
        <w:t xml:space="preserve"> un </w:t>
      </w:r>
      <w:r w:rsidR="007A462B" w:rsidRPr="00004BC0">
        <w:t>avocat</w:t>
      </w:r>
    </w:p>
    <w:p w14:paraId="32B31366" w14:textId="2DED4E9F" w:rsidR="00744B31" w:rsidRPr="00004BC0" w:rsidRDefault="00315C18" w:rsidP="007B19EA">
      <w:pPr>
        <w:pStyle w:val="SingleTxtG"/>
      </w:pPr>
      <w:r w:rsidRPr="00004BC0">
        <w:t>3</w:t>
      </w:r>
      <w:r w:rsidR="000416A2" w:rsidRPr="00004BC0">
        <w:t>4</w:t>
      </w:r>
      <w:r w:rsidRPr="00004BC0">
        <w:t>.</w:t>
      </w:r>
      <w:r w:rsidRPr="00004BC0">
        <w:tab/>
      </w:r>
      <w:r w:rsidR="005E60AD" w:rsidRPr="00004BC0">
        <w:t xml:space="preserve">Le Comité est préoccupé par </w:t>
      </w:r>
      <w:r w:rsidR="00EB0773" w:rsidRPr="00004BC0">
        <w:t>les</w:t>
      </w:r>
      <w:r w:rsidR="005E60AD" w:rsidRPr="00004BC0">
        <w:t xml:space="preserve"> violation</w:t>
      </w:r>
      <w:r w:rsidR="00EB0773" w:rsidRPr="00004BC0">
        <w:t>s</w:t>
      </w:r>
      <w:r w:rsidR="005E60AD" w:rsidRPr="00004BC0">
        <w:t xml:space="preserve"> des garanties judiciaires qui lui ont été rapportées</w:t>
      </w:r>
      <w:r w:rsidR="00744B31" w:rsidRPr="00004BC0">
        <w:t xml:space="preserve">, </w:t>
      </w:r>
      <w:r w:rsidR="00D5087E" w:rsidRPr="00004BC0">
        <w:t>notamment :</w:t>
      </w:r>
    </w:p>
    <w:p w14:paraId="1AFC0853" w14:textId="585E698C" w:rsidR="00744B31" w:rsidRPr="00004BC0" w:rsidRDefault="00744B31" w:rsidP="007B19EA">
      <w:pPr>
        <w:pStyle w:val="SingleTxtG"/>
        <w:ind w:firstLine="567"/>
      </w:pPr>
      <w:r w:rsidRPr="00004BC0">
        <w:t>a)</w:t>
      </w:r>
      <w:r w:rsidRPr="00004BC0">
        <w:tab/>
        <w:t>L</w:t>
      </w:r>
      <w:r w:rsidR="005E60AD" w:rsidRPr="00004BC0">
        <w:t xml:space="preserve">es délais de garde à vue qui excèdent </w:t>
      </w:r>
      <w:r w:rsidR="00EB0773" w:rsidRPr="00004BC0">
        <w:t>quarante-huit</w:t>
      </w:r>
      <w:r w:rsidR="005E60AD" w:rsidRPr="00004BC0">
        <w:t xml:space="preserve"> heures sans que la personne soit automatiquement déférée au parquet, suivant la pratique dite </w:t>
      </w:r>
      <w:r w:rsidR="00463E70" w:rsidRPr="00004BC0">
        <w:t>du</w:t>
      </w:r>
      <w:r w:rsidR="005E60AD" w:rsidRPr="00004BC0">
        <w:t xml:space="preserve"> « retour </w:t>
      </w:r>
      <w:r w:rsidR="00300DF4" w:rsidRPr="00004BC0">
        <w:t xml:space="preserve">de </w:t>
      </w:r>
      <w:r w:rsidR="005E60AD" w:rsidRPr="00004BC0">
        <w:t>parquet » ;</w:t>
      </w:r>
      <w:r w:rsidR="006F2249" w:rsidRPr="00004BC0">
        <w:t xml:space="preserve"> </w:t>
      </w:r>
    </w:p>
    <w:p w14:paraId="51D80A94" w14:textId="5C55ACF2" w:rsidR="00744B31" w:rsidRPr="00004BC0" w:rsidRDefault="00744B31" w:rsidP="007B19EA">
      <w:pPr>
        <w:pStyle w:val="SingleTxtG"/>
        <w:ind w:firstLine="567"/>
      </w:pPr>
      <w:r w:rsidRPr="00004BC0">
        <w:t>b)</w:t>
      </w:r>
      <w:r w:rsidRPr="00004BC0">
        <w:tab/>
        <w:t>L’indisponibilité des</w:t>
      </w:r>
      <w:r w:rsidR="005E60AD" w:rsidRPr="00004BC0">
        <w:t xml:space="preserve"> statistique</w:t>
      </w:r>
      <w:r w:rsidRPr="00004BC0">
        <w:t>s</w:t>
      </w:r>
      <w:r w:rsidR="005E60AD" w:rsidRPr="00004BC0">
        <w:t xml:space="preserve"> sur l</w:t>
      </w:r>
      <w:r w:rsidR="006C34D2" w:rsidRPr="00004BC0">
        <w:t>es</w:t>
      </w:r>
      <w:r w:rsidR="005E60AD" w:rsidRPr="00004BC0">
        <w:t xml:space="preserve"> garde</w:t>
      </w:r>
      <w:r w:rsidR="00D5087E" w:rsidRPr="00004BC0">
        <w:t>s</w:t>
      </w:r>
      <w:r w:rsidR="005E60AD" w:rsidRPr="00004BC0">
        <w:t xml:space="preserve"> à vue </w:t>
      </w:r>
      <w:r w:rsidR="006C34D2" w:rsidRPr="00004BC0">
        <w:t>et l</w:t>
      </w:r>
      <w:r w:rsidR="00714747" w:rsidRPr="00004BC0">
        <w:t>es</w:t>
      </w:r>
      <w:r w:rsidR="006C34D2" w:rsidRPr="00004BC0">
        <w:t xml:space="preserve"> détention</w:t>
      </w:r>
      <w:r w:rsidR="00714747" w:rsidRPr="00004BC0">
        <w:t>s</w:t>
      </w:r>
      <w:r w:rsidR="006C34D2" w:rsidRPr="00004BC0">
        <w:t xml:space="preserve"> provisoire</w:t>
      </w:r>
      <w:r w:rsidR="00714747" w:rsidRPr="00004BC0">
        <w:t>s</w:t>
      </w:r>
      <w:r w:rsidR="006C34D2" w:rsidRPr="00004BC0">
        <w:t xml:space="preserve"> po</w:t>
      </w:r>
      <w:r w:rsidR="005E60AD" w:rsidRPr="00004BC0">
        <w:t>ur atteinte à la s</w:t>
      </w:r>
      <w:r w:rsidR="00EB0773" w:rsidRPr="00004BC0">
        <w:t>û</w:t>
      </w:r>
      <w:r w:rsidR="005E60AD" w:rsidRPr="00004BC0">
        <w:t>reté de l’État ou pour terrorisme</w:t>
      </w:r>
      <w:r w:rsidR="00EB0773" w:rsidRPr="00004BC0">
        <w:t>,</w:t>
      </w:r>
      <w:r w:rsidR="005E60AD" w:rsidRPr="00004BC0">
        <w:t xml:space="preserve"> et sur le nombre de sanctions pénales ou disciplinaires prises pour non-respect des délais prescrits par la loi</w:t>
      </w:r>
      <w:r w:rsidRPr="00004BC0">
        <w:t> ;</w:t>
      </w:r>
    </w:p>
    <w:p w14:paraId="681AB2F8" w14:textId="5A360B48" w:rsidR="00744B31" w:rsidRPr="00004BC0" w:rsidRDefault="00744B31" w:rsidP="007B19EA">
      <w:pPr>
        <w:pStyle w:val="SingleTxtG"/>
        <w:ind w:firstLine="567"/>
      </w:pPr>
      <w:r w:rsidRPr="00004BC0">
        <w:t>c)</w:t>
      </w:r>
      <w:r w:rsidRPr="00004BC0">
        <w:tab/>
        <w:t>L</w:t>
      </w:r>
      <w:r w:rsidR="005E60AD" w:rsidRPr="00004BC0">
        <w:t>’impossibilité matérielle pour l’</w:t>
      </w:r>
      <w:r w:rsidR="00A46B77" w:rsidRPr="00004BC0">
        <w:t>État</w:t>
      </w:r>
      <w:r w:rsidR="005E60AD" w:rsidRPr="00004BC0">
        <w:t xml:space="preserve"> partie de garantir l’accès à </w:t>
      </w:r>
      <w:r w:rsidR="00300DF4" w:rsidRPr="00004BC0">
        <w:t xml:space="preserve">un </w:t>
      </w:r>
      <w:r w:rsidR="005E60AD" w:rsidRPr="00004BC0">
        <w:t>avocat dès l’interpellation</w:t>
      </w:r>
      <w:r w:rsidR="00300DF4" w:rsidRPr="00004BC0">
        <w:t>,</w:t>
      </w:r>
      <w:r w:rsidR="005E60AD" w:rsidRPr="00004BC0">
        <w:t xml:space="preserve"> du fait du nombre très limité d’avocats inscrits au barreau ainsi que </w:t>
      </w:r>
      <w:r w:rsidR="00EB0773" w:rsidRPr="00004BC0">
        <w:t xml:space="preserve">de </w:t>
      </w:r>
      <w:r w:rsidR="005E60AD" w:rsidRPr="00004BC0">
        <w:t>leur concentration dans la capitale</w:t>
      </w:r>
      <w:r w:rsidR="00300DF4" w:rsidRPr="00004BC0">
        <w:t>, ce qui conduit au</w:t>
      </w:r>
      <w:r w:rsidR="000416A2" w:rsidRPr="00004BC0">
        <w:t xml:space="preserve"> </w:t>
      </w:r>
      <w:r w:rsidRPr="00004BC0">
        <w:t xml:space="preserve">manque d’accès effectif à l’aide juridictionnelle </w:t>
      </w:r>
      <w:r w:rsidR="006F2249" w:rsidRPr="00004BC0">
        <w:t>sur l’ensemble du territoire</w:t>
      </w:r>
      <w:r w:rsidRPr="00004BC0">
        <w:t> ;</w:t>
      </w:r>
    </w:p>
    <w:p w14:paraId="6350C0D0" w14:textId="77777777" w:rsidR="006F2249" w:rsidRPr="00004BC0" w:rsidRDefault="00744B31" w:rsidP="007B19EA">
      <w:pPr>
        <w:pStyle w:val="SingleTxtG"/>
        <w:ind w:firstLine="567"/>
      </w:pPr>
      <w:r w:rsidRPr="00004BC0">
        <w:t>d)</w:t>
      </w:r>
      <w:r w:rsidRPr="00004BC0">
        <w:tab/>
        <w:t>L</w:t>
      </w:r>
      <w:r w:rsidR="006F2249" w:rsidRPr="00004BC0">
        <w:t xml:space="preserve">a proportion alarmante de personnes en détention provisoire (près de la moitié de la population carcérale) et </w:t>
      </w:r>
      <w:r w:rsidRPr="00004BC0">
        <w:t xml:space="preserve">le fait </w:t>
      </w:r>
      <w:r w:rsidR="006F2249" w:rsidRPr="00004BC0">
        <w:t>qu’actuellement</w:t>
      </w:r>
      <w:r w:rsidRPr="00004BC0">
        <w:t>,</w:t>
      </w:r>
      <w:r w:rsidR="006F2249" w:rsidRPr="00004BC0">
        <w:t xml:space="preserve"> la durée de la détention avant jugement n’est limitée</w:t>
      </w:r>
      <w:r w:rsidRPr="00004BC0">
        <w:t xml:space="preserve"> par la loi</w:t>
      </w:r>
      <w:r w:rsidR="006F2249" w:rsidRPr="00004BC0">
        <w:t xml:space="preserve"> qu’en matière correctionnelle (art. 9 et 14).</w:t>
      </w:r>
    </w:p>
    <w:p w14:paraId="2C01DAE8" w14:textId="665BC011" w:rsidR="00315C18" w:rsidRPr="00504E39" w:rsidRDefault="00315C18" w:rsidP="00C205CA">
      <w:pPr>
        <w:pStyle w:val="SingleTxtG"/>
        <w:keepNext/>
        <w:rPr>
          <w:b/>
          <w:bCs/>
        </w:rPr>
      </w:pPr>
      <w:r w:rsidRPr="00004BC0">
        <w:lastRenderedPageBreak/>
        <w:t>3</w:t>
      </w:r>
      <w:r w:rsidR="000416A2" w:rsidRPr="00004BC0">
        <w:t>5</w:t>
      </w:r>
      <w:r w:rsidRPr="00004BC0">
        <w:t>.</w:t>
      </w:r>
      <w:r w:rsidRPr="00004BC0">
        <w:tab/>
      </w:r>
      <w:r w:rsidRPr="00504E39">
        <w:rPr>
          <w:b/>
          <w:bCs/>
        </w:rPr>
        <w:t>L’</w:t>
      </w:r>
      <w:r w:rsidR="00A46B77" w:rsidRPr="00504E39">
        <w:rPr>
          <w:b/>
          <w:bCs/>
        </w:rPr>
        <w:t>État</w:t>
      </w:r>
      <w:r w:rsidRPr="00504E39">
        <w:rPr>
          <w:b/>
          <w:bCs/>
        </w:rPr>
        <w:t xml:space="preserve"> partie devrait :</w:t>
      </w:r>
    </w:p>
    <w:p w14:paraId="5E37CCF9" w14:textId="151747AB" w:rsidR="005E60AD" w:rsidRPr="00504E39" w:rsidRDefault="006F2249" w:rsidP="00C205CA">
      <w:pPr>
        <w:pStyle w:val="SingleTxtG"/>
        <w:keepNext/>
        <w:ind w:firstLine="567"/>
        <w:rPr>
          <w:b/>
          <w:bCs/>
        </w:rPr>
      </w:pPr>
      <w:r w:rsidRPr="00504E39">
        <w:rPr>
          <w:b/>
          <w:bCs/>
        </w:rPr>
        <w:t>a)</w:t>
      </w:r>
      <w:r w:rsidRPr="00504E39">
        <w:rPr>
          <w:b/>
          <w:bCs/>
        </w:rPr>
        <w:tab/>
      </w:r>
      <w:r w:rsidR="005E60AD" w:rsidRPr="00504E39">
        <w:rPr>
          <w:b/>
          <w:bCs/>
        </w:rPr>
        <w:t>Prendre les mesures nécessaires pour garantir en pratique le respect des délais de garde à vue, en luttant notamment contre la prat</w:t>
      </w:r>
      <w:r w:rsidR="00744B31" w:rsidRPr="00504E39">
        <w:rPr>
          <w:b/>
          <w:bCs/>
        </w:rPr>
        <w:t xml:space="preserve">ique dite </w:t>
      </w:r>
      <w:r w:rsidR="00463E70" w:rsidRPr="00504E39">
        <w:rPr>
          <w:b/>
          <w:bCs/>
        </w:rPr>
        <w:t>du</w:t>
      </w:r>
      <w:r w:rsidR="00744B31" w:rsidRPr="00504E39">
        <w:rPr>
          <w:b/>
          <w:bCs/>
        </w:rPr>
        <w:t xml:space="preserve"> retour de</w:t>
      </w:r>
      <w:r w:rsidR="00300DF4" w:rsidRPr="00504E39">
        <w:rPr>
          <w:b/>
          <w:bCs/>
        </w:rPr>
        <w:t> parquet ;</w:t>
      </w:r>
    </w:p>
    <w:p w14:paraId="1DBF4C5E" w14:textId="39253141" w:rsidR="006F2249" w:rsidRPr="00504E39" w:rsidRDefault="006F2249" w:rsidP="00504E39">
      <w:pPr>
        <w:pStyle w:val="SingleTxtG"/>
        <w:ind w:firstLine="567"/>
        <w:rPr>
          <w:b/>
          <w:bCs/>
        </w:rPr>
      </w:pPr>
      <w:r w:rsidRPr="00504E39">
        <w:rPr>
          <w:b/>
          <w:bCs/>
        </w:rPr>
        <w:t>b)</w:t>
      </w:r>
      <w:r w:rsidRPr="00504E39">
        <w:rPr>
          <w:b/>
          <w:bCs/>
        </w:rPr>
        <w:tab/>
        <w:t>Veiller à l’utilisation restrictive et encadrée des gardes à vue ordonnées en cas de crimes ou délits contre la sûreté de l’</w:t>
      </w:r>
      <w:r w:rsidR="00A46B77" w:rsidRPr="00504E39">
        <w:rPr>
          <w:b/>
          <w:bCs/>
        </w:rPr>
        <w:t>État</w:t>
      </w:r>
      <w:r w:rsidRPr="00504E39">
        <w:rPr>
          <w:b/>
          <w:bCs/>
        </w:rPr>
        <w:t xml:space="preserve"> ou en matière de terrorisme ;</w:t>
      </w:r>
    </w:p>
    <w:p w14:paraId="4EE178CE" w14:textId="15CDFBD4" w:rsidR="006F2249" w:rsidRPr="00504E39" w:rsidRDefault="006F2249" w:rsidP="00504E39">
      <w:pPr>
        <w:pStyle w:val="SingleTxtG"/>
        <w:ind w:firstLine="567"/>
        <w:rPr>
          <w:b/>
          <w:bCs/>
        </w:rPr>
      </w:pPr>
      <w:r w:rsidRPr="00504E39">
        <w:rPr>
          <w:b/>
          <w:bCs/>
        </w:rPr>
        <w:t>c)</w:t>
      </w:r>
      <w:r w:rsidRPr="00504E39">
        <w:rPr>
          <w:b/>
          <w:bCs/>
        </w:rPr>
        <w:tab/>
        <w:t xml:space="preserve">Garantir l’accès à </w:t>
      </w:r>
      <w:r w:rsidR="00300DF4" w:rsidRPr="00504E39">
        <w:rPr>
          <w:b/>
          <w:bCs/>
        </w:rPr>
        <w:t>un a</w:t>
      </w:r>
      <w:r w:rsidRPr="00504E39">
        <w:rPr>
          <w:b/>
          <w:bCs/>
        </w:rPr>
        <w:t>vocat dès l’interpellation, notamment en prenant des mesures pour élargir l’accès à la profession et pour inciter les avocats à exercer en dehors de la capitale ;</w:t>
      </w:r>
    </w:p>
    <w:p w14:paraId="3AE45BB1" w14:textId="62DF650D" w:rsidR="006F2249" w:rsidRPr="00504E39" w:rsidRDefault="0005016E" w:rsidP="00504E39">
      <w:pPr>
        <w:pStyle w:val="SingleTxtG"/>
        <w:ind w:firstLine="567"/>
        <w:rPr>
          <w:b/>
          <w:bCs/>
        </w:rPr>
      </w:pPr>
      <w:r w:rsidRPr="00504E39">
        <w:rPr>
          <w:b/>
          <w:bCs/>
        </w:rPr>
        <w:t>d</w:t>
      </w:r>
      <w:r w:rsidR="006F2249" w:rsidRPr="00504E39">
        <w:rPr>
          <w:b/>
          <w:bCs/>
        </w:rPr>
        <w:t>)</w:t>
      </w:r>
      <w:r w:rsidR="006F2249" w:rsidRPr="00504E39">
        <w:rPr>
          <w:b/>
          <w:bCs/>
        </w:rPr>
        <w:tab/>
        <w:t>Garantir l’accès à l’aide juridictionnelle</w:t>
      </w:r>
      <w:r w:rsidR="00463E70" w:rsidRPr="00504E39">
        <w:rPr>
          <w:b/>
          <w:bCs/>
        </w:rPr>
        <w:t>,</w:t>
      </w:r>
      <w:r w:rsidR="006F2249" w:rsidRPr="00504E39">
        <w:rPr>
          <w:b/>
          <w:bCs/>
        </w:rPr>
        <w:t xml:space="preserve"> notamment dans les régions</w:t>
      </w:r>
      <w:r w:rsidR="00463E70" w:rsidRPr="00504E39">
        <w:rPr>
          <w:b/>
          <w:bCs/>
        </w:rPr>
        <w:t>,</w:t>
      </w:r>
      <w:r w:rsidRPr="00504E39">
        <w:rPr>
          <w:b/>
          <w:bCs/>
        </w:rPr>
        <w:t xml:space="preserve"> et veiller à </w:t>
      </w:r>
      <w:r w:rsidR="00463E70" w:rsidRPr="00504E39">
        <w:rPr>
          <w:b/>
          <w:bCs/>
        </w:rPr>
        <w:t>y</w:t>
      </w:r>
      <w:r w:rsidRPr="00504E39">
        <w:rPr>
          <w:b/>
          <w:bCs/>
        </w:rPr>
        <w:t xml:space="preserve"> allouer un budget suffisa</w:t>
      </w:r>
      <w:r w:rsidR="00833CB7" w:rsidRPr="00504E39">
        <w:rPr>
          <w:b/>
          <w:bCs/>
        </w:rPr>
        <w:t>nt pour son bon fonctionnement ;</w:t>
      </w:r>
    </w:p>
    <w:p w14:paraId="659E5B82" w14:textId="71FB3BA5" w:rsidR="007A462B" w:rsidRPr="00504E39" w:rsidRDefault="0005016E" w:rsidP="00504E39">
      <w:pPr>
        <w:pStyle w:val="SingleTxtG"/>
        <w:ind w:firstLine="567"/>
        <w:rPr>
          <w:b/>
          <w:bCs/>
        </w:rPr>
      </w:pPr>
      <w:r w:rsidRPr="00504E39">
        <w:rPr>
          <w:b/>
          <w:bCs/>
        </w:rPr>
        <w:t>e)</w:t>
      </w:r>
      <w:r w:rsidRPr="00504E39">
        <w:rPr>
          <w:b/>
          <w:bCs/>
        </w:rPr>
        <w:tab/>
      </w:r>
      <w:r w:rsidR="007A462B" w:rsidRPr="00504E39">
        <w:rPr>
          <w:b/>
          <w:bCs/>
        </w:rPr>
        <w:t xml:space="preserve">Prendre toutes les mesures nécessaires pour que le recours à la détention provisoire soit une mesure utilisée uniquement à titre exceptionnel et pour une durée </w:t>
      </w:r>
      <w:r w:rsidR="00300DF4" w:rsidRPr="00504E39">
        <w:rPr>
          <w:b/>
          <w:bCs/>
        </w:rPr>
        <w:t xml:space="preserve">non </w:t>
      </w:r>
      <w:r w:rsidR="007A462B" w:rsidRPr="00504E39">
        <w:rPr>
          <w:b/>
          <w:bCs/>
        </w:rPr>
        <w:t>excessive, confo</w:t>
      </w:r>
      <w:r w:rsidR="00833CB7" w:rsidRPr="00504E39">
        <w:rPr>
          <w:b/>
          <w:bCs/>
        </w:rPr>
        <w:t>rmément à l’article 9 du Pacte et à la lumière de l’</w:t>
      </w:r>
      <w:r w:rsidR="00463E70" w:rsidRPr="00504E39">
        <w:rPr>
          <w:b/>
          <w:bCs/>
        </w:rPr>
        <w:t>o</w:t>
      </w:r>
      <w:r w:rsidR="00833CB7" w:rsidRPr="00504E39">
        <w:rPr>
          <w:b/>
          <w:bCs/>
        </w:rPr>
        <w:t xml:space="preserve">bservation générale </w:t>
      </w:r>
      <w:r w:rsidR="00463E70" w:rsidRPr="00504E39">
        <w:rPr>
          <w:b/>
          <w:bCs/>
        </w:rPr>
        <w:t>n</w:t>
      </w:r>
      <w:r w:rsidR="00833CB7" w:rsidRPr="00504E39">
        <w:rPr>
          <w:b/>
          <w:bCs/>
          <w:vertAlign w:val="superscript"/>
        </w:rPr>
        <w:t>o</w:t>
      </w:r>
      <w:r w:rsidR="002E3B3F" w:rsidRPr="00504E39">
        <w:rPr>
          <w:b/>
          <w:bCs/>
        </w:rPr>
        <w:t> </w:t>
      </w:r>
      <w:r w:rsidR="00833CB7" w:rsidRPr="00504E39">
        <w:rPr>
          <w:b/>
          <w:bCs/>
        </w:rPr>
        <w:t xml:space="preserve">35 (2014) </w:t>
      </w:r>
      <w:r w:rsidR="00463E70" w:rsidRPr="00504E39">
        <w:rPr>
          <w:b/>
          <w:bCs/>
        </w:rPr>
        <w:t xml:space="preserve">du Comité </w:t>
      </w:r>
      <w:r w:rsidR="00833CB7" w:rsidRPr="00504E39">
        <w:rPr>
          <w:b/>
          <w:bCs/>
        </w:rPr>
        <w:t>sur la liberté et la sécurité de la personne.</w:t>
      </w:r>
    </w:p>
    <w:p w14:paraId="07296BA3" w14:textId="2B5F90C8" w:rsidR="007A462B" w:rsidRPr="00004BC0" w:rsidRDefault="001038A0" w:rsidP="001038A0">
      <w:pPr>
        <w:pStyle w:val="H23G"/>
      </w:pPr>
      <w:r w:rsidRPr="00004BC0">
        <w:tab/>
      </w:r>
      <w:r w:rsidRPr="00004BC0">
        <w:tab/>
      </w:r>
      <w:r w:rsidR="000117FD" w:rsidRPr="00004BC0">
        <w:t>Indépendance de la magistrature</w:t>
      </w:r>
      <w:r w:rsidR="00E9203D" w:rsidRPr="00004BC0">
        <w:t xml:space="preserve"> </w:t>
      </w:r>
    </w:p>
    <w:p w14:paraId="5B1304C9" w14:textId="2F58D9B1" w:rsidR="009728E8" w:rsidRPr="00004BC0" w:rsidRDefault="00315C18" w:rsidP="007B19EA">
      <w:pPr>
        <w:pStyle w:val="SingleTxtG"/>
      </w:pPr>
      <w:r w:rsidRPr="00004BC0">
        <w:t>3</w:t>
      </w:r>
      <w:r w:rsidR="000416A2" w:rsidRPr="00004BC0">
        <w:t>6</w:t>
      </w:r>
      <w:r w:rsidRPr="00004BC0">
        <w:t>.</w:t>
      </w:r>
      <w:r w:rsidRPr="00004BC0">
        <w:tab/>
      </w:r>
      <w:r w:rsidR="000117FD" w:rsidRPr="00004BC0">
        <w:t>Tout en saluant l’adoption de la loi organique n</w:t>
      </w:r>
      <w:r w:rsidR="000117FD" w:rsidRPr="00600E2D">
        <w:rPr>
          <w:vertAlign w:val="superscript"/>
        </w:rPr>
        <w:t>o</w:t>
      </w:r>
      <w:r w:rsidR="00100134">
        <w:t> </w:t>
      </w:r>
      <w:r w:rsidR="000117FD" w:rsidRPr="00004BC0">
        <w:t>2017-10 du 17 janvier 2017 portant statut de</w:t>
      </w:r>
      <w:r w:rsidR="00463E70" w:rsidRPr="00004BC0">
        <w:t>s magistrats</w:t>
      </w:r>
      <w:r w:rsidR="00BE31CA" w:rsidRPr="00004BC0">
        <w:t>,</w:t>
      </w:r>
      <w:r w:rsidR="009728E8" w:rsidRPr="00004BC0">
        <w:t xml:space="preserve"> qui prévo</w:t>
      </w:r>
      <w:r w:rsidR="000416A2" w:rsidRPr="00004BC0">
        <w:t>it un certain nombre de mesures</w:t>
      </w:r>
      <w:r w:rsidR="009728E8" w:rsidRPr="00004BC0">
        <w:t xml:space="preserve"> </w:t>
      </w:r>
      <w:r w:rsidR="00300DF4" w:rsidRPr="00004BC0">
        <w:t xml:space="preserve">pour une </w:t>
      </w:r>
      <w:r w:rsidR="009728E8" w:rsidRPr="00004BC0">
        <w:t>plus grande indépendance de l’autorité judiciaire, le Comité demeure préoccupé par la composition du Conseil supérieur de la magistrature</w:t>
      </w:r>
      <w:r w:rsidR="00BE31CA" w:rsidRPr="00004BC0">
        <w:t>,</w:t>
      </w:r>
      <w:r w:rsidR="009728E8" w:rsidRPr="00004BC0">
        <w:t xml:space="preserve"> présidé </w:t>
      </w:r>
      <w:r w:rsidR="000117FD" w:rsidRPr="00004BC0">
        <w:t xml:space="preserve">par le Président de la République et </w:t>
      </w:r>
      <w:r w:rsidR="009728E8" w:rsidRPr="00004BC0">
        <w:t xml:space="preserve">dont le </w:t>
      </w:r>
      <w:r w:rsidR="00645E87">
        <w:t>V</w:t>
      </w:r>
      <w:r w:rsidR="000117FD" w:rsidRPr="00004BC0">
        <w:t>ice-</w:t>
      </w:r>
      <w:r w:rsidR="00645E87">
        <w:t>P</w:t>
      </w:r>
      <w:r w:rsidR="000117FD" w:rsidRPr="00004BC0">
        <w:t>résiden</w:t>
      </w:r>
      <w:r w:rsidR="009728E8" w:rsidRPr="00004BC0">
        <w:t>t est le</w:t>
      </w:r>
      <w:r w:rsidR="000117FD" w:rsidRPr="00004BC0">
        <w:t xml:space="preserve"> Ministre de la justice</w:t>
      </w:r>
      <w:r w:rsidR="00744B31" w:rsidRPr="00004BC0">
        <w:t>,</w:t>
      </w:r>
      <w:r w:rsidR="009728E8" w:rsidRPr="00004BC0">
        <w:t xml:space="preserve"> et par la faible proportion de ses membres élus (un tiers)</w:t>
      </w:r>
      <w:r w:rsidR="000117FD" w:rsidRPr="00004BC0">
        <w:t>.</w:t>
      </w:r>
      <w:r w:rsidR="009728E8" w:rsidRPr="00004BC0">
        <w:t xml:space="preserve"> Le Comité </w:t>
      </w:r>
      <w:r w:rsidR="000117FD" w:rsidRPr="00004BC0">
        <w:t>note aussi avec préoccupation que les magistrats sont susceptibles d’être mutés, par reco</w:t>
      </w:r>
      <w:r w:rsidR="009728E8" w:rsidRPr="00004BC0">
        <w:t>urs à l’intérim ou aux nécessité</w:t>
      </w:r>
      <w:r w:rsidR="000117FD" w:rsidRPr="00004BC0">
        <w:t xml:space="preserve">s de service, </w:t>
      </w:r>
      <w:r w:rsidR="009728E8" w:rsidRPr="00004BC0">
        <w:t>ce qui peut contrevenir à leur indépendance</w:t>
      </w:r>
      <w:r w:rsidR="000117FD" w:rsidRPr="00004BC0">
        <w:t>. Il est aussi préoccupé par les atteintes portées au pouvoir d’appréciation des procureurs, placés sous</w:t>
      </w:r>
      <w:r w:rsidR="009728E8" w:rsidRPr="00004BC0">
        <w:t xml:space="preserve"> l’autorité du Garde de</w:t>
      </w:r>
      <w:r w:rsidR="00BE31CA" w:rsidRPr="00004BC0">
        <w:t>s</w:t>
      </w:r>
      <w:r w:rsidR="009728E8" w:rsidRPr="00004BC0">
        <w:t xml:space="preserve"> </w:t>
      </w:r>
      <w:r w:rsidR="00BE31CA" w:rsidRPr="00004BC0">
        <w:t>s</w:t>
      </w:r>
      <w:r w:rsidR="009728E8" w:rsidRPr="00004BC0">
        <w:t xml:space="preserve">ceaux. </w:t>
      </w:r>
      <w:r w:rsidR="00BE31CA" w:rsidRPr="00004BC0">
        <w:t>À</w:t>
      </w:r>
      <w:r w:rsidR="009728E8" w:rsidRPr="00004BC0">
        <w:t xml:space="preserve"> cet égard, le Comité a reçu des allégations préoccupantes d’immixtion</w:t>
      </w:r>
      <w:r w:rsidR="00A33169" w:rsidRPr="00004BC0">
        <w:t>,</w:t>
      </w:r>
      <w:r w:rsidR="009728E8" w:rsidRPr="00004BC0">
        <w:t xml:space="preserve"> </w:t>
      </w:r>
      <w:r w:rsidR="00A33169" w:rsidRPr="00004BC0">
        <w:t xml:space="preserve">notamment </w:t>
      </w:r>
      <w:r w:rsidR="009728E8" w:rsidRPr="00004BC0">
        <w:t>dans des affaires à résonance politique (art.</w:t>
      </w:r>
      <w:r w:rsidR="003C2E20" w:rsidRPr="00004BC0">
        <w:t> </w:t>
      </w:r>
      <w:r w:rsidR="009728E8" w:rsidRPr="00004BC0">
        <w:t>14).</w:t>
      </w:r>
    </w:p>
    <w:p w14:paraId="1317618F" w14:textId="47EE05F4" w:rsidR="00FB7679" w:rsidRPr="00504E39" w:rsidRDefault="00315C18" w:rsidP="00504E39">
      <w:pPr>
        <w:pStyle w:val="SingleTxtG"/>
        <w:rPr>
          <w:b/>
          <w:bCs/>
        </w:rPr>
      </w:pPr>
      <w:r w:rsidRPr="00004BC0">
        <w:t>3</w:t>
      </w:r>
      <w:r w:rsidR="000416A2" w:rsidRPr="00004BC0">
        <w:t>7</w:t>
      </w:r>
      <w:r w:rsidRPr="00004BC0">
        <w:t>.</w:t>
      </w:r>
      <w:r w:rsidRPr="00004BC0">
        <w:tab/>
      </w:r>
      <w:r w:rsidR="009728E8" w:rsidRPr="00504E39">
        <w:rPr>
          <w:b/>
          <w:bCs/>
        </w:rPr>
        <w:t xml:space="preserve">L’État partie devrait prendre des mesures </w:t>
      </w:r>
      <w:r w:rsidR="00F5743B" w:rsidRPr="00504E39">
        <w:rPr>
          <w:b/>
          <w:bCs/>
        </w:rPr>
        <w:t xml:space="preserve">urgentes </w:t>
      </w:r>
      <w:r w:rsidR="009728E8" w:rsidRPr="00504E39">
        <w:rPr>
          <w:b/>
          <w:bCs/>
        </w:rPr>
        <w:t>pour protéger l’autonomie, l’indépendance</w:t>
      </w:r>
      <w:r w:rsidR="0058578B" w:rsidRPr="00504E39">
        <w:rPr>
          <w:b/>
          <w:bCs/>
        </w:rPr>
        <w:t xml:space="preserve"> et</w:t>
      </w:r>
      <w:r w:rsidR="009728E8" w:rsidRPr="00504E39">
        <w:rPr>
          <w:b/>
          <w:bCs/>
        </w:rPr>
        <w:t xml:space="preserve"> l’impartialité pleines et entières des juges</w:t>
      </w:r>
      <w:r w:rsidR="003C2E20" w:rsidRPr="00504E39">
        <w:rPr>
          <w:b/>
          <w:bCs/>
        </w:rPr>
        <w:t>,</w:t>
      </w:r>
      <w:r w:rsidR="009728E8" w:rsidRPr="00504E39">
        <w:rPr>
          <w:b/>
          <w:bCs/>
        </w:rPr>
        <w:t xml:space="preserve"> </w:t>
      </w:r>
      <w:r w:rsidR="0058578B" w:rsidRPr="00504E39">
        <w:rPr>
          <w:b/>
          <w:bCs/>
        </w:rPr>
        <w:t xml:space="preserve">notamment </w:t>
      </w:r>
      <w:r w:rsidR="00645E87" w:rsidRPr="00504E39">
        <w:rPr>
          <w:b/>
          <w:bCs/>
        </w:rPr>
        <w:t>au moyen d’</w:t>
      </w:r>
      <w:r w:rsidR="00F5743B" w:rsidRPr="00504E39">
        <w:rPr>
          <w:b/>
          <w:bCs/>
        </w:rPr>
        <w:t>u</w:t>
      </w:r>
      <w:r w:rsidR="0058578B" w:rsidRPr="00504E39">
        <w:rPr>
          <w:b/>
          <w:bCs/>
        </w:rPr>
        <w:t xml:space="preserve">ne révision de la loi </w:t>
      </w:r>
      <w:r w:rsidR="003C2E20" w:rsidRPr="00504E39">
        <w:rPr>
          <w:b/>
          <w:bCs/>
        </w:rPr>
        <w:t>organique n</w:t>
      </w:r>
      <w:r w:rsidR="003C2E20" w:rsidRPr="00504E39">
        <w:rPr>
          <w:b/>
          <w:bCs/>
          <w:vertAlign w:val="superscript"/>
        </w:rPr>
        <w:t>o</w:t>
      </w:r>
      <w:r w:rsidR="003C2E20" w:rsidRPr="00504E39">
        <w:rPr>
          <w:b/>
          <w:bCs/>
        </w:rPr>
        <w:t> 2017-10,</w:t>
      </w:r>
      <w:r w:rsidR="00F5743B" w:rsidRPr="00504E39">
        <w:rPr>
          <w:b/>
          <w:bCs/>
        </w:rPr>
        <w:t xml:space="preserve"> pour que le Président de la République et le Ministre de la justice ne soient plus membres du Conseil </w:t>
      </w:r>
      <w:r w:rsidR="00744B31" w:rsidRPr="00504E39">
        <w:rPr>
          <w:b/>
          <w:bCs/>
        </w:rPr>
        <w:t xml:space="preserve">supérieur de la magistrature </w:t>
      </w:r>
      <w:r w:rsidR="00F5743B" w:rsidRPr="00504E39">
        <w:rPr>
          <w:b/>
          <w:bCs/>
        </w:rPr>
        <w:t xml:space="preserve">et afin de garantir l’inamovibilité des </w:t>
      </w:r>
      <w:r w:rsidR="00FB7679" w:rsidRPr="00504E39">
        <w:rPr>
          <w:b/>
          <w:bCs/>
        </w:rPr>
        <w:t>magistrats</w:t>
      </w:r>
      <w:r w:rsidR="00F5743B" w:rsidRPr="00504E39">
        <w:rPr>
          <w:b/>
          <w:bCs/>
        </w:rPr>
        <w:t>. L’</w:t>
      </w:r>
      <w:r w:rsidR="00A46B77" w:rsidRPr="00504E39">
        <w:rPr>
          <w:b/>
          <w:bCs/>
        </w:rPr>
        <w:t>État</w:t>
      </w:r>
      <w:r w:rsidR="00F5743B" w:rsidRPr="00504E39">
        <w:rPr>
          <w:b/>
          <w:bCs/>
        </w:rPr>
        <w:t xml:space="preserve"> partie devrait </w:t>
      </w:r>
      <w:r w:rsidR="006C34D2" w:rsidRPr="00504E39">
        <w:rPr>
          <w:b/>
          <w:bCs/>
        </w:rPr>
        <w:t xml:space="preserve">garantir l’autonomie du parquet </w:t>
      </w:r>
      <w:r w:rsidR="00FB7679" w:rsidRPr="00504E39">
        <w:rPr>
          <w:b/>
          <w:bCs/>
        </w:rPr>
        <w:t>en interdisant notamment toute possibilité d’in</w:t>
      </w:r>
      <w:r w:rsidR="009733F7" w:rsidRPr="00504E39">
        <w:rPr>
          <w:b/>
          <w:bCs/>
        </w:rPr>
        <w:t>gérence</w:t>
      </w:r>
      <w:r w:rsidR="00FD1135" w:rsidRPr="00504E39">
        <w:rPr>
          <w:b/>
          <w:bCs/>
        </w:rPr>
        <w:t xml:space="preserve"> </w:t>
      </w:r>
      <w:r w:rsidR="009733F7" w:rsidRPr="00504E39">
        <w:rPr>
          <w:b/>
          <w:bCs/>
        </w:rPr>
        <w:t>de</w:t>
      </w:r>
      <w:r w:rsidR="00FD1135" w:rsidRPr="00504E39">
        <w:rPr>
          <w:b/>
          <w:bCs/>
        </w:rPr>
        <w:t xml:space="preserve"> l’exécutif</w:t>
      </w:r>
      <w:r w:rsidR="00FB7679" w:rsidRPr="00504E39">
        <w:rPr>
          <w:b/>
          <w:bCs/>
        </w:rPr>
        <w:t xml:space="preserve"> dans des affaires judiciaires.</w:t>
      </w:r>
    </w:p>
    <w:p w14:paraId="18306D82" w14:textId="0EEDA796" w:rsidR="00C261FD" w:rsidRPr="00004BC0" w:rsidRDefault="001038A0" w:rsidP="00E82DD9">
      <w:pPr>
        <w:pStyle w:val="H23G"/>
      </w:pPr>
      <w:r w:rsidRPr="00004BC0">
        <w:rPr>
          <w:b w:val="0"/>
        </w:rPr>
        <w:tab/>
      </w:r>
      <w:r w:rsidRPr="00004BC0">
        <w:rPr>
          <w:b w:val="0"/>
        </w:rPr>
        <w:tab/>
      </w:r>
      <w:r w:rsidR="00C261FD" w:rsidRPr="00004BC0">
        <w:t>Conditions de détention</w:t>
      </w:r>
    </w:p>
    <w:p w14:paraId="14E5DB09" w14:textId="41C7B0B3" w:rsidR="00C261FD" w:rsidRPr="007B19EA" w:rsidRDefault="001B7069" w:rsidP="007B19EA">
      <w:pPr>
        <w:pStyle w:val="SingleTxtG"/>
      </w:pPr>
      <w:r w:rsidRPr="00004BC0">
        <w:t>38</w:t>
      </w:r>
      <w:r w:rsidR="00315C18" w:rsidRPr="00004BC0">
        <w:t>.</w:t>
      </w:r>
      <w:r w:rsidR="00315C18" w:rsidRPr="00004BC0">
        <w:tab/>
      </w:r>
      <w:r w:rsidR="00C261FD" w:rsidRPr="00004BC0">
        <w:t>Le Comité est très préoccupé par les conditions de détention dans l’</w:t>
      </w:r>
      <w:r w:rsidR="00A46B77" w:rsidRPr="00004BC0">
        <w:t>État</w:t>
      </w:r>
      <w:r w:rsidR="00C261FD" w:rsidRPr="00004BC0">
        <w:t xml:space="preserve"> partie</w:t>
      </w:r>
      <w:r w:rsidR="004A408B" w:rsidRPr="00004BC0">
        <w:t>,</w:t>
      </w:r>
      <w:r w:rsidR="00C261FD" w:rsidRPr="00004BC0">
        <w:t xml:space="preserve"> qui fait état d’un taux d’occupation de plus de 270</w:t>
      </w:r>
      <w:r w:rsidR="004A408B" w:rsidRPr="00004BC0">
        <w:t> </w:t>
      </w:r>
      <w:r w:rsidR="00C261FD" w:rsidRPr="00004BC0">
        <w:t>%</w:t>
      </w:r>
      <w:r w:rsidR="00B0478F" w:rsidRPr="00004BC0">
        <w:t xml:space="preserve"> notamment dû à une proportion élevée de la population carcérale en détention provisoire et </w:t>
      </w:r>
      <w:r w:rsidR="004A408B" w:rsidRPr="00004BC0">
        <w:t>à</w:t>
      </w:r>
      <w:r w:rsidR="00B0478F" w:rsidRPr="00004BC0">
        <w:t xml:space="preserve"> l</w:t>
      </w:r>
      <w:r w:rsidR="009F0004" w:rsidRPr="00004BC0">
        <w:t xml:space="preserve">’insuffisance des peines </w:t>
      </w:r>
      <w:r w:rsidR="004A408B" w:rsidRPr="00004BC0">
        <w:t>de substitution</w:t>
      </w:r>
      <w:r w:rsidR="009F0004" w:rsidRPr="00004BC0">
        <w:t xml:space="preserve"> à l’emprisonnement prononcées par les juges. </w:t>
      </w:r>
      <w:r w:rsidR="004A408B" w:rsidRPr="00004BC0">
        <w:t>Il</w:t>
      </w:r>
      <w:r w:rsidR="007A462B" w:rsidRPr="00004BC0">
        <w:t xml:space="preserve"> est préoccupé par le manque d’informations sur les mesures de réhabilitation</w:t>
      </w:r>
      <w:r w:rsidR="004A408B" w:rsidRPr="00004BC0">
        <w:t>,</w:t>
      </w:r>
      <w:r w:rsidR="007A462B" w:rsidRPr="00004BC0">
        <w:t xml:space="preserve"> surtout pour les jeunes et les femmes. </w:t>
      </w:r>
      <w:r w:rsidR="009F0004" w:rsidRPr="00004BC0">
        <w:t>Enfin, l</w:t>
      </w:r>
      <w:r w:rsidR="00C261FD" w:rsidRPr="00004BC0">
        <w:t>e Comité est préoccupé par l’insuffisance du budget alloué à l’administration pénitentiaire (art.</w:t>
      </w:r>
      <w:r w:rsidR="00100134">
        <w:t> </w:t>
      </w:r>
      <w:r w:rsidR="00C261FD" w:rsidRPr="00004BC0">
        <w:t>6, 7</w:t>
      </w:r>
      <w:r w:rsidR="00B0478F" w:rsidRPr="00004BC0">
        <w:t>, 9</w:t>
      </w:r>
      <w:r w:rsidR="00C261FD" w:rsidRPr="00004BC0">
        <w:t xml:space="preserve"> et</w:t>
      </w:r>
      <w:r w:rsidR="00100134">
        <w:t> </w:t>
      </w:r>
      <w:r w:rsidR="00C261FD" w:rsidRPr="00004BC0">
        <w:t>10).</w:t>
      </w:r>
    </w:p>
    <w:p w14:paraId="5110B4B2" w14:textId="05163DC6" w:rsidR="00C261FD" w:rsidRPr="00504E39" w:rsidRDefault="001B7069" w:rsidP="00504E39">
      <w:pPr>
        <w:pStyle w:val="SingleTxtG"/>
        <w:rPr>
          <w:b/>
          <w:bCs/>
        </w:rPr>
      </w:pPr>
      <w:r w:rsidRPr="00004BC0">
        <w:t>39</w:t>
      </w:r>
      <w:r w:rsidR="00315C18" w:rsidRPr="00004BC0">
        <w:t>.</w:t>
      </w:r>
      <w:r w:rsidR="00315C18" w:rsidRPr="00004BC0">
        <w:tab/>
      </w:r>
      <w:r w:rsidR="009F0004" w:rsidRPr="00504E39">
        <w:rPr>
          <w:b/>
          <w:bCs/>
        </w:rPr>
        <w:t>L’</w:t>
      </w:r>
      <w:r w:rsidR="00A46B77" w:rsidRPr="00504E39">
        <w:rPr>
          <w:b/>
          <w:bCs/>
        </w:rPr>
        <w:t>État</w:t>
      </w:r>
      <w:r w:rsidR="009F0004" w:rsidRPr="00504E39">
        <w:rPr>
          <w:b/>
          <w:bCs/>
        </w:rPr>
        <w:t xml:space="preserve"> partie devrait :</w:t>
      </w:r>
    </w:p>
    <w:p w14:paraId="08F0F4FF" w14:textId="19C73371" w:rsidR="00744B31" w:rsidRPr="00504E39" w:rsidRDefault="00E82DD9" w:rsidP="00504E39">
      <w:pPr>
        <w:pStyle w:val="SingleTxtG"/>
        <w:ind w:firstLine="567"/>
        <w:rPr>
          <w:b/>
          <w:bCs/>
        </w:rPr>
      </w:pPr>
      <w:r w:rsidRPr="00504E39">
        <w:rPr>
          <w:b/>
          <w:bCs/>
        </w:rPr>
        <w:t>a)</w:t>
      </w:r>
      <w:r w:rsidRPr="00504E39">
        <w:rPr>
          <w:b/>
          <w:bCs/>
        </w:rPr>
        <w:tab/>
      </w:r>
      <w:r w:rsidR="009F0004" w:rsidRPr="00504E39">
        <w:rPr>
          <w:b/>
          <w:bCs/>
        </w:rPr>
        <w:t xml:space="preserve">Remédier au problème de la surpopulation carcérale, notamment en incitant les juges à faire application de la loi </w:t>
      </w:r>
      <w:r w:rsidR="00100134" w:rsidRPr="00504E39">
        <w:rPr>
          <w:b/>
          <w:bCs/>
        </w:rPr>
        <w:t>n</w:t>
      </w:r>
      <w:r w:rsidR="00100134" w:rsidRPr="00504E39">
        <w:rPr>
          <w:b/>
          <w:bCs/>
          <w:vertAlign w:val="superscript"/>
        </w:rPr>
        <w:t>o</w:t>
      </w:r>
      <w:r w:rsidR="00100134" w:rsidRPr="00504E39">
        <w:rPr>
          <w:b/>
          <w:bCs/>
        </w:rPr>
        <w:t> </w:t>
      </w:r>
      <w:r w:rsidR="009F0004" w:rsidRPr="00504E39">
        <w:rPr>
          <w:b/>
          <w:bCs/>
        </w:rPr>
        <w:t>2016-29</w:t>
      </w:r>
      <w:r w:rsidR="004A408B" w:rsidRPr="00504E39">
        <w:rPr>
          <w:b/>
          <w:bCs/>
        </w:rPr>
        <w:t>,</w:t>
      </w:r>
      <w:r w:rsidR="009F0004" w:rsidRPr="00504E39">
        <w:rPr>
          <w:b/>
          <w:bCs/>
        </w:rPr>
        <w:t xml:space="preserve"> </w:t>
      </w:r>
      <w:r w:rsidR="004A408B" w:rsidRPr="00504E39">
        <w:rPr>
          <w:b/>
          <w:bCs/>
        </w:rPr>
        <w:t xml:space="preserve">qui </w:t>
      </w:r>
      <w:r w:rsidR="009F0004" w:rsidRPr="00504E39">
        <w:rPr>
          <w:b/>
          <w:bCs/>
        </w:rPr>
        <w:t xml:space="preserve">introduit des peines </w:t>
      </w:r>
      <w:r w:rsidR="004A408B" w:rsidRPr="00504E39">
        <w:rPr>
          <w:b/>
          <w:bCs/>
        </w:rPr>
        <w:t>de substitution</w:t>
      </w:r>
      <w:r w:rsidR="009F0004" w:rsidRPr="00504E39">
        <w:rPr>
          <w:b/>
          <w:bCs/>
        </w:rPr>
        <w:t xml:space="preserve"> à l’incarcération du condamné</w:t>
      </w:r>
      <w:r w:rsidR="004A408B" w:rsidRPr="00504E39">
        <w:rPr>
          <w:b/>
          <w:bCs/>
        </w:rPr>
        <w:t>,</w:t>
      </w:r>
      <w:r w:rsidR="00744B31" w:rsidRPr="00504E39">
        <w:rPr>
          <w:b/>
          <w:bCs/>
        </w:rPr>
        <w:t xml:space="preserve"> et en augmentant les inspections des centres de détention par les magistrats du siège et du parquet</w:t>
      </w:r>
      <w:r w:rsidR="001038A0" w:rsidRPr="00504E39">
        <w:rPr>
          <w:b/>
          <w:bCs/>
        </w:rPr>
        <w:t> </w:t>
      </w:r>
      <w:r w:rsidR="009F0004" w:rsidRPr="00504E39">
        <w:rPr>
          <w:b/>
          <w:bCs/>
        </w:rPr>
        <w:t>;</w:t>
      </w:r>
    </w:p>
    <w:p w14:paraId="1EF3966F" w14:textId="570B3BB0" w:rsidR="00744B31" w:rsidRPr="00504E39" w:rsidRDefault="00E82DD9" w:rsidP="00504E39">
      <w:pPr>
        <w:pStyle w:val="SingleTxtG"/>
        <w:ind w:firstLine="567"/>
        <w:rPr>
          <w:b/>
          <w:bCs/>
        </w:rPr>
      </w:pPr>
      <w:r w:rsidRPr="00504E39">
        <w:rPr>
          <w:b/>
          <w:bCs/>
        </w:rPr>
        <w:t>b)</w:t>
      </w:r>
      <w:r w:rsidRPr="00504E39">
        <w:rPr>
          <w:b/>
          <w:bCs/>
        </w:rPr>
        <w:tab/>
      </w:r>
      <w:r w:rsidR="009F0004" w:rsidRPr="00504E39">
        <w:rPr>
          <w:b/>
          <w:bCs/>
        </w:rPr>
        <w:t xml:space="preserve">Entreprendre des travaux de rénovation </w:t>
      </w:r>
      <w:r w:rsidR="00744B31" w:rsidRPr="00504E39">
        <w:rPr>
          <w:b/>
          <w:bCs/>
        </w:rPr>
        <w:t xml:space="preserve">de la maison d’arrêt de </w:t>
      </w:r>
      <w:proofErr w:type="spellStart"/>
      <w:r w:rsidR="00744B31" w:rsidRPr="00504E39">
        <w:rPr>
          <w:b/>
          <w:bCs/>
        </w:rPr>
        <w:t>Rebeuss</w:t>
      </w:r>
      <w:proofErr w:type="spellEnd"/>
      <w:r w:rsidR="00744B31" w:rsidRPr="00504E39">
        <w:rPr>
          <w:b/>
          <w:bCs/>
        </w:rPr>
        <w:t xml:space="preserve"> </w:t>
      </w:r>
      <w:r w:rsidR="009F0004" w:rsidRPr="00504E39">
        <w:rPr>
          <w:b/>
          <w:bCs/>
        </w:rPr>
        <w:t xml:space="preserve">et </w:t>
      </w:r>
      <w:r w:rsidR="00744B31" w:rsidRPr="00504E39">
        <w:rPr>
          <w:b/>
          <w:bCs/>
        </w:rPr>
        <w:t>finaliser la</w:t>
      </w:r>
      <w:r w:rsidR="009F0004" w:rsidRPr="00504E39">
        <w:rPr>
          <w:b/>
          <w:bCs/>
        </w:rPr>
        <w:t xml:space="preserve"> construction de </w:t>
      </w:r>
      <w:r w:rsidR="00744B31" w:rsidRPr="00504E39">
        <w:rPr>
          <w:b/>
          <w:bCs/>
        </w:rPr>
        <w:t>nouveaux centres de détention</w:t>
      </w:r>
      <w:r w:rsidR="0031736B" w:rsidRPr="00504E39">
        <w:rPr>
          <w:b/>
          <w:bCs/>
        </w:rPr>
        <w:t xml:space="preserve"> pour désengorger les lieux actuels de privation de liberté</w:t>
      </w:r>
      <w:r w:rsidR="00744B31" w:rsidRPr="00504E39">
        <w:rPr>
          <w:b/>
          <w:bCs/>
        </w:rPr>
        <w:t>.</w:t>
      </w:r>
    </w:p>
    <w:p w14:paraId="01DED1DB" w14:textId="2A994CCE" w:rsidR="00E813CC" w:rsidRPr="00004BC0" w:rsidRDefault="00E82DD9" w:rsidP="00E82DD9">
      <w:pPr>
        <w:pStyle w:val="H23G"/>
      </w:pPr>
      <w:r w:rsidRPr="00004BC0">
        <w:lastRenderedPageBreak/>
        <w:tab/>
      </w:r>
      <w:r w:rsidRPr="00004BC0">
        <w:tab/>
      </w:r>
      <w:r w:rsidR="009F5CB9" w:rsidRPr="00004BC0">
        <w:t>Exploitation et maltraitance des enfants</w:t>
      </w:r>
    </w:p>
    <w:p w14:paraId="6F1FA342" w14:textId="13C4421D" w:rsidR="00CD60A1" w:rsidRPr="007B19EA" w:rsidRDefault="009F5CB9" w:rsidP="007B19EA">
      <w:pPr>
        <w:pStyle w:val="SingleTxtG"/>
      </w:pPr>
      <w:r w:rsidRPr="00004BC0">
        <w:t>4</w:t>
      </w:r>
      <w:r w:rsidR="001B7069" w:rsidRPr="00004BC0">
        <w:t>0</w:t>
      </w:r>
      <w:r w:rsidRPr="00004BC0">
        <w:t>.</w:t>
      </w:r>
      <w:r w:rsidRPr="00004BC0">
        <w:tab/>
      </w:r>
      <w:r w:rsidR="00A84D0B" w:rsidRPr="00004BC0">
        <w:t>Malgré les efforts menés par l’</w:t>
      </w:r>
      <w:r w:rsidR="00A46B77" w:rsidRPr="00004BC0">
        <w:t>État</w:t>
      </w:r>
      <w:r w:rsidR="00A84D0B" w:rsidRPr="00004BC0">
        <w:t xml:space="preserve"> partie </w:t>
      </w:r>
      <w:r w:rsidR="004C0BA6" w:rsidRPr="00004BC0">
        <w:t>dans le cadre de la protection de</w:t>
      </w:r>
      <w:r w:rsidR="00A84D0B" w:rsidRPr="00004BC0">
        <w:t xml:space="preserve"> l’enfance et </w:t>
      </w:r>
      <w:r w:rsidR="004A408B" w:rsidRPr="00004BC0">
        <w:t xml:space="preserve">de </w:t>
      </w:r>
      <w:r w:rsidR="00A84D0B" w:rsidRPr="00004BC0">
        <w:t xml:space="preserve">la lutte contre la traite, le Comité constate </w:t>
      </w:r>
      <w:r w:rsidR="00DA3715" w:rsidRPr="00004BC0">
        <w:t>la persistance du</w:t>
      </w:r>
      <w:r w:rsidR="00A84D0B" w:rsidRPr="00004BC0">
        <w:t xml:space="preserve"> phénomène de l’exploitation infantile et des abus </w:t>
      </w:r>
      <w:r w:rsidR="00DA3715" w:rsidRPr="00004BC0">
        <w:t>y compris sexuel</w:t>
      </w:r>
      <w:r w:rsidR="00CD60A1" w:rsidRPr="00004BC0">
        <w:t>s</w:t>
      </w:r>
      <w:r w:rsidR="00DA3715" w:rsidRPr="00004BC0">
        <w:t xml:space="preserve"> dans les zones aurifères et touristiques. </w:t>
      </w:r>
      <w:r w:rsidR="00DA7525" w:rsidRPr="00004BC0">
        <w:t xml:space="preserve">Le </w:t>
      </w:r>
      <w:r w:rsidR="00CD60A1" w:rsidRPr="00004BC0">
        <w:t>C</w:t>
      </w:r>
      <w:r w:rsidR="00DA7525" w:rsidRPr="00004BC0">
        <w:t>om</w:t>
      </w:r>
      <w:r w:rsidR="00C83225" w:rsidRPr="00004BC0">
        <w:t>i</w:t>
      </w:r>
      <w:r w:rsidR="00DA7525" w:rsidRPr="00004BC0">
        <w:t xml:space="preserve">té est également préoccupé </w:t>
      </w:r>
      <w:r w:rsidR="00C83225" w:rsidRPr="00004BC0">
        <w:t>par</w:t>
      </w:r>
      <w:r w:rsidR="00CD60A1" w:rsidRPr="00004BC0">
        <w:t xml:space="preserve"> les faits suivants et le nombre anormalement faible </w:t>
      </w:r>
      <w:r w:rsidR="005401F9" w:rsidRPr="00004BC0">
        <w:t xml:space="preserve">de poursuites </w:t>
      </w:r>
      <w:r w:rsidR="00CD60A1" w:rsidRPr="00004BC0">
        <w:t>contre les auteurs présumés de tels actes (art. 2, 6, 7</w:t>
      </w:r>
      <w:r w:rsidR="005401F9" w:rsidRPr="00004BC0">
        <w:t xml:space="preserve"> et</w:t>
      </w:r>
      <w:r w:rsidR="00CD60A1" w:rsidRPr="00004BC0">
        <w:t xml:space="preserve"> 24)</w:t>
      </w:r>
      <w:r w:rsidR="005401F9" w:rsidRPr="00004BC0">
        <w:t> </w:t>
      </w:r>
      <w:r w:rsidR="00CD60A1" w:rsidRPr="00004BC0">
        <w:t xml:space="preserve">: </w:t>
      </w:r>
    </w:p>
    <w:p w14:paraId="38464099" w14:textId="660E85F8" w:rsidR="00CD60A1" w:rsidRPr="00004BC0" w:rsidRDefault="00CD60A1" w:rsidP="005401F9">
      <w:pPr>
        <w:pStyle w:val="SingleTxtG"/>
        <w:ind w:firstLine="567"/>
      </w:pPr>
      <w:r w:rsidRPr="00004BC0">
        <w:t>a)</w:t>
      </w:r>
      <w:r w:rsidRPr="00004BC0">
        <w:tab/>
        <w:t>La</w:t>
      </w:r>
      <w:r w:rsidR="00DA7525" w:rsidRPr="00004BC0">
        <w:t xml:space="preserve"> situation des enfants</w:t>
      </w:r>
      <w:r w:rsidR="00DA3715" w:rsidRPr="00004BC0">
        <w:t xml:space="preserve"> forcés de mendier </w:t>
      </w:r>
      <w:r w:rsidR="00DA7525" w:rsidRPr="00004BC0">
        <w:t>(dont</w:t>
      </w:r>
      <w:r w:rsidR="00DA3715" w:rsidRPr="00004BC0">
        <w:t xml:space="preserve"> </w:t>
      </w:r>
      <w:r w:rsidR="005401F9" w:rsidRPr="00004BC0">
        <w:t>le nombre</w:t>
      </w:r>
      <w:r w:rsidR="00DA3715" w:rsidRPr="00004BC0">
        <w:t xml:space="preserve"> est </w:t>
      </w:r>
      <w:r w:rsidR="005401F9" w:rsidRPr="00004BC0">
        <w:t>estimé à</w:t>
      </w:r>
      <w:r w:rsidR="00DA3715" w:rsidRPr="00004BC0">
        <w:t xml:space="preserve"> 100 000 dans l’</w:t>
      </w:r>
      <w:r w:rsidR="00A46B77" w:rsidRPr="00004BC0">
        <w:t>État</w:t>
      </w:r>
      <w:r w:rsidR="00DA3715" w:rsidRPr="00004BC0">
        <w:t xml:space="preserve"> partie)</w:t>
      </w:r>
      <w:r w:rsidR="00DA7525" w:rsidRPr="00004BC0">
        <w:t xml:space="preserve"> ; </w:t>
      </w:r>
    </w:p>
    <w:p w14:paraId="17881F70" w14:textId="77777777" w:rsidR="00CD60A1" w:rsidRPr="00004BC0" w:rsidRDefault="00CD60A1" w:rsidP="00E82DD9">
      <w:pPr>
        <w:pStyle w:val="SingleTxtG"/>
        <w:ind w:firstLine="567"/>
      </w:pPr>
      <w:r w:rsidRPr="00004BC0">
        <w:t>b)</w:t>
      </w:r>
      <w:r w:rsidRPr="00004BC0">
        <w:tab/>
        <w:t>L</w:t>
      </w:r>
      <w:r w:rsidR="00DA7525" w:rsidRPr="00004BC0">
        <w:t xml:space="preserve">a </w:t>
      </w:r>
      <w:r w:rsidR="00A84D0B" w:rsidRPr="00004BC0">
        <w:t xml:space="preserve">pratique des </w:t>
      </w:r>
      <w:r w:rsidR="00A0220E" w:rsidRPr="00004BC0">
        <w:t xml:space="preserve">châtiments corporels </w:t>
      </w:r>
      <w:r w:rsidR="00A84D0B" w:rsidRPr="00004BC0">
        <w:t>dans le cadre familial</w:t>
      </w:r>
      <w:r w:rsidR="00E9203D" w:rsidRPr="00004BC0">
        <w:t>,</w:t>
      </w:r>
      <w:r w:rsidR="00A84D0B" w:rsidRPr="00004BC0">
        <w:t xml:space="preserve"> ma</w:t>
      </w:r>
      <w:r w:rsidRPr="00004BC0">
        <w:t>is aussi dans certaines écoles ;</w:t>
      </w:r>
    </w:p>
    <w:p w14:paraId="063C6196" w14:textId="77777777" w:rsidR="00CD60A1" w:rsidRPr="00004BC0" w:rsidRDefault="00CD60A1" w:rsidP="00E82DD9">
      <w:pPr>
        <w:pStyle w:val="SingleTxtG"/>
        <w:ind w:firstLine="567"/>
      </w:pPr>
      <w:r w:rsidRPr="00004BC0">
        <w:t>c)</w:t>
      </w:r>
      <w:r w:rsidRPr="00004BC0">
        <w:tab/>
        <w:t>L</w:t>
      </w:r>
      <w:r w:rsidR="00DA7525" w:rsidRPr="00004BC0">
        <w:t>a</w:t>
      </w:r>
      <w:r w:rsidR="00A84D0B" w:rsidRPr="00004BC0">
        <w:t xml:space="preserve"> persistance d’abus sexuels dans des écoles secondaires du Sénégal</w:t>
      </w:r>
      <w:r w:rsidRPr="00004BC0">
        <w:t> ;</w:t>
      </w:r>
    </w:p>
    <w:p w14:paraId="12C1B888" w14:textId="5636797F" w:rsidR="00CD60A1" w:rsidRPr="00004BC0" w:rsidRDefault="00CD60A1" w:rsidP="005401F9">
      <w:pPr>
        <w:pStyle w:val="SingleTxtG"/>
        <w:ind w:firstLine="567"/>
      </w:pPr>
      <w:r w:rsidRPr="00004BC0">
        <w:t>d)</w:t>
      </w:r>
      <w:r w:rsidRPr="00004BC0">
        <w:tab/>
        <w:t>D</w:t>
      </w:r>
      <w:r w:rsidR="00A84D0B" w:rsidRPr="00004BC0">
        <w:t>es cas d’exploitation et de maltraitance grave sur des enfants par des maîtres coraniques</w:t>
      </w:r>
      <w:r w:rsidRPr="00004BC0">
        <w:t xml:space="preserve"> </w:t>
      </w:r>
      <w:r w:rsidR="00DA7525" w:rsidRPr="00004BC0">
        <w:t>(</w:t>
      </w:r>
      <w:r w:rsidRPr="00004BC0">
        <w:t>a</w:t>
      </w:r>
      <w:r w:rsidR="00DA7525" w:rsidRPr="00004BC0">
        <w:t xml:space="preserve">yant parfois pour résultat des </w:t>
      </w:r>
      <w:r w:rsidR="00A84D0B" w:rsidRPr="00004BC0">
        <w:t xml:space="preserve">décès </w:t>
      </w:r>
      <w:r w:rsidR="00DA7525" w:rsidRPr="00004BC0">
        <w:t>ou</w:t>
      </w:r>
      <w:r w:rsidR="00A84D0B" w:rsidRPr="00004BC0">
        <w:t xml:space="preserve"> séquelles graves </w:t>
      </w:r>
      <w:r w:rsidR="005401F9" w:rsidRPr="00004BC0">
        <w:t>pour</w:t>
      </w:r>
      <w:r w:rsidR="00A84D0B" w:rsidRPr="00004BC0">
        <w:t xml:space="preserve"> les enfants concernés</w:t>
      </w:r>
      <w:r w:rsidR="00DA7525" w:rsidRPr="00004BC0">
        <w:t>)</w:t>
      </w:r>
      <w:r w:rsidR="00A84D0B" w:rsidRPr="00004BC0">
        <w:t xml:space="preserve">. </w:t>
      </w:r>
    </w:p>
    <w:p w14:paraId="23F370AE" w14:textId="62BC8A2B" w:rsidR="00DF7386" w:rsidRPr="00004BC0" w:rsidRDefault="00CD60A1" w:rsidP="00315C18">
      <w:pPr>
        <w:pStyle w:val="SingleTxtG"/>
        <w:rPr>
          <w:b/>
        </w:rPr>
      </w:pPr>
      <w:r w:rsidRPr="00004BC0">
        <w:t>4</w:t>
      </w:r>
      <w:r w:rsidR="001B7069" w:rsidRPr="00004BC0">
        <w:t>1</w:t>
      </w:r>
      <w:r w:rsidR="009F5CB9" w:rsidRPr="00004BC0">
        <w:t>.</w:t>
      </w:r>
      <w:r w:rsidR="009F5CB9" w:rsidRPr="00004BC0">
        <w:rPr>
          <w:b/>
        </w:rPr>
        <w:tab/>
      </w:r>
      <w:r w:rsidR="00DF7386" w:rsidRPr="00004BC0">
        <w:rPr>
          <w:b/>
        </w:rPr>
        <w:t>L’</w:t>
      </w:r>
      <w:r w:rsidR="00A46B77" w:rsidRPr="00004BC0">
        <w:rPr>
          <w:b/>
        </w:rPr>
        <w:t>État</w:t>
      </w:r>
      <w:r w:rsidR="00DF7386" w:rsidRPr="00004BC0">
        <w:rPr>
          <w:b/>
        </w:rPr>
        <w:t xml:space="preserve"> partie devrait adopter des mesures urgentes pour mettre un terme à la maltraitance, </w:t>
      </w:r>
      <w:r w:rsidR="005401F9" w:rsidRPr="00004BC0">
        <w:rPr>
          <w:b/>
        </w:rPr>
        <w:t xml:space="preserve">à </w:t>
      </w:r>
      <w:r w:rsidR="00DF7386" w:rsidRPr="00004BC0">
        <w:rPr>
          <w:b/>
        </w:rPr>
        <w:t xml:space="preserve">l’exploitation, </w:t>
      </w:r>
      <w:r w:rsidR="005401F9" w:rsidRPr="00004BC0">
        <w:rPr>
          <w:b/>
        </w:rPr>
        <w:t xml:space="preserve">à </w:t>
      </w:r>
      <w:r w:rsidR="00DF7386" w:rsidRPr="00004BC0">
        <w:rPr>
          <w:b/>
        </w:rPr>
        <w:t>la traite</w:t>
      </w:r>
      <w:r w:rsidR="004C0BA6" w:rsidRPr="00004BC0">
        <w:rPr>
          <w:b/>
        </w:rPr>
        <w:t xml:space="preserve"> et </w:t>
      </w:r>
      <w:r w:rsidR="005401F9" w:rsidRPr="00004BC0">
        <w:rPr>
          <w:b/>
        </w:rPr>
        <w:t xml:space="preserve">à </w:t>
      </w:r>
      <w:r w:rsidR="00DF7386" w:rsidRPr="00004BC0">
        <w:rPr>
          <w:b/>
        </w:rPr>
        <w:t>toute</w:t>
      </w:r>
      <w:r w:rsidR="004C0BA6" w:rsidRPr="00004BC0">
        <w:rPr>
          <w:b/>
        </w:rPr>
        <w:t xml:space="preserve"> autre forme</w:t>
      </w:r>
      <w:r w:rsidR="00DF7386" w:rsidRPr="00004BC0">
        <w:rPr>
          <w:b/>
        </w:rPr>
        <w:t xml:space="preserve"> de violence et de torture dont sont victimes les enfants</w:t>
      </w:r>
      <w:r w:rsidR="0095038B" w:rsidRPr="00004BC0">
        <w:rPr>
          <w:b/>
        </w:rPr>
        <w:t xml:space="preserve">, </w:t>
      </w:r>
      <w:r w:rsidR="00DF7386" w:rsidRPr="00004BC0">
        <w:rPr>
          <w:b/>
        </w:rPr>
        <w:t>notamment :</w:t>
      </w:r>
    </w:p>
    <w:p w14:paraId="4D367856" w14:textId="7ED671E3" w:rsidR="00DF7386" w:rsidRPr="00004BC0" w:rsidRDefault="00DF7386" w:rsidP="00994D0A">
      <w:pPr>
        <w:pStyle w:val="SingleTxtG"/>
        <w:ind w:firstLine="567"/>
        <w:rPr>
          <w:b/>
        </w:rPr>
      </w:pPr>
      <w:r w:rsidRPr="00004BC0">
        <w:rPr>
          <w:b/>
        </w:rPr>
        <w:t>a)</w:t>
      </w:r>
      <w:r w:rsidRPr="00004BC0">
        <w:rPr>
          <w:b/>
        </w:rPr>
        <w:tab/>
      </w:r>
      <w:r w:rsidR="005401F9" w:rsidRPr="00004BC0">
        <w:rPr>
          <w:b/>
        </w:rPr>
        <w:t>M</w:t>
      </w:r>
      <w:r w:rsidR="00BA3189" w:rsidRPr="00004BC0">
        <w:rPr>
          <w:b/>
        </w:rPr>
        <w:t xml:space="preserve">ettre fin </w:t>
      </w:r>
      <w:r w:rsidR="00C83225" w:rsidRPr="00004BC0">
        <w:rPr>
          <w:b/>
        </w:rPr>
        <w:t xml:space="preserve">à </w:t>
      </w:r>
      <w:r w:rsidRPr="00004BC0">
        <w:rPr>
          <w:b/>
        </w:rPr>
        <w:t xml:space="preserve">toute forme d’exploitation et de maltraitance des enfants y compris par des </w:t>
      </w:r>
      <w:r w:rsidR="00BA3189" w:rsidRPr="00004BC0">
        <w:rPr>
          <w:b/>
        </w:rPr>
        <w:t>maîtres cor</w:t>
      </w:r>
      <w:r w:rsidRPr="00004BC0">
        <w:rPr>
          <w:b/>
        </w:rPr>
        <w:t>aniques</w:t>
      </w:r>
      <w:r w:rsidR="00BA3189" w:rsidRPr="00004BC0">
        <w:rPr>
          <w:b/>
        </w:rPr>
        <w:t xml:space="preserve"> dans les </w:t>
      </w:r>
      <w:r w:rsidR="00994D0A" w:rsidRPr="00004BC0">
        <w:rPr>
          <w:b/>
        </w:rPr>
        <w:t>daaras</w:t>
      </w:r>
      <w:r w:rsidR="001038A0" w:rsidRPr="00004BC0">
        <w:rPr>
          <w:b/>
        </w:rPr>
        <w:t> </w:t>
      </w:r>
      <w:r w:rsidRPr="00004BC0">
        <w:rPr>
          <w:b/>
        </w:rPr>
        <w:t>;</w:t>
      </w:r>
    </w:p>
    <w:p w14:paraId="3DB34CC4" w14:textId="4ECE34A7" w:rsidR="0095038B" w:rsidRPr="00004BC0" w:rsidRDefault="0095038B" w:rsidP="00994D0A">
      <w:pPr>
        <w:pStyle w:val="SingleTxtG"/>
        <w:ind w:firstLine="567"/>
        <w:rPr>
          <w:b/>
        </w:rPr>
      </w:pPr>
      <w:r w:rsidRPr="00004BC0">
        <w:rPr>
          <w:b/>
        </w:rPr>
        <w:t>b)</w:t>
      </w:r>
      <w:r w:rsidRPr="00004BC0">
        <w:rPr>
          <w:b/>
        </w:rPr>
        <w:tab/>
        <w:t xml:space="preserve">Dans le cadre de la Stratégie </w:t>
      </w:r>
      <w:r w:rsidR="00994D0A" w:rsidRPr="00004BC0">
        <w:rPr>
          <w:b/>
        </w:rPr>
        <w:t>n</w:t>
      </w:r>
      <w:r w:rsidRPr="00004BC0">
        <w:rPr>
          <w:b/>
        </w:rPr>
        <w:t xml:space="preserve">ationale de </w:t>
      </w:r>
      <w:r w:rsidR="00994D0A" w:rsidRPr="00004BC0">
        <w:rPr>
          <w:b/>
        </w:rPr>
        <w:t>p</w:t>
      </w:r>
      <w:r w:rsidRPr="00004BC0">
        <w:rPr>
          <w:b/>
        </w:rPr>
        <w:t>rotection de l’</w:t>
      </w:r>
      <w:r w:rsidR="00994D0A" w:rsidRPr="00004BC0">
        <w:rPr>
          <w:b/>
        </w:rPr>
        <w:t>e</w:t>
      </w:r>
      <w:r w:rsidRPr="00004BC0">
        <w:rPr>
          <w:b/>
        </w:rPr>
        <w:t>nfant, constituer une base de données nationale sur tous les cas de violence familiale sur enfant, et procéder à une évaluation complète de l’ampleur, des causes et de la nature de cette violence ;</w:t>
      </w:r>
    </w:p>
    <w:p w14:paraId="2294C6A8" w14:textId="3D598A56" w:rsidR="00A0220E" w:rsidRPr="00004BC0" w:rsidRDefault="0095038B" w:rsidP="00E82DD9">
      <w:pPr>
        <w:pStyle w:val="SingleTxtG"/>
        <w:ind w:firstLine="567"/>
        <w:rPr>
          <w:b/>
          <w:strike/>
        </w:rPr>
      </w:pPr>
      <w:r w:rsidRPr="00004BC0">
        <w:rPr>
          <w:b/>
        </w:rPr>
        <w:t>c</w:t>
      </w:r>
      <w:r w:rsidR="00DF7386" w:rsidRPr="00004BC0">
        <w:rPr>
          <w:b/>
        </w:rPr>
        <w:t>)</w:t>
      </w:r>
      <w:r w:rsidR="00DF7386" w:rsidRPr="00004BC0">
        <w:rPr>
          <w:b/>
        </w:rPr>
        <w:tab/>
      </w:r>
      <w:r w:rsidRPr="00004BC0">
        <w:rPr>
          <w:b/>
        </w:rPr>
        <w:t xml:space="preserve">Accélérer l’adoption du code de l’enfant </w:t>
      </w:r>
      <w:r w:rsidR="009C1085" w:rsidRPr="00004BC0">
        <w:rPr>
          <w:b/>
        </w:rPr>
        <w:t>tout en veillant à ce qu’il soit conforme aux dispositions du Pacte</w:t>
      </w:r>
      <w:r w:rsidR="00CD60A1" w:rsidRPr="00004BC0">
        <w:rPr>
          <w:b/>
        </w:rPr>
        <w:t> ;</w:t>
      </w:r>
    </w:p>
    <w:p w14:paraId="4095F180" w14:textId="77777777" w:rsidR="00A0220E" w:rsidRPr="00004BC0" w:rsidRDefault="0095038B" w:rsidP="00E82DD9">
      <w:pPr>
        <w:pStyle w:val="SingleTxtG"/>
        <w:ind w:firstLine="567"/>
      </w:pPr>
      <w:r w:rsidRPr="00004BC0">
        <w:rPr>
          <w:b/>
        </w:rPr>
        <w:t>d</w:t>
      </w:r>
      <w:r w:rsidR="00A0220E" w:rsidRPr="00004BC0">
        <w:rPr>
          <w:b/>
        </w:rPr>
        <w:t>)</w:t>
      </w:r>
      <w:r w:rsidR="00A0220E" w:rsidRPr="00004BC0">
        <w:tab/>
      </w:r>
      <w:r w:rsidR="00A0220E" w:rsidRPr="00004BC0">
        <w:rPr>
          <w:b/>
        </w:rPr>
        <w:t>Veiller à la stricte application de l</w:t>
      </w:r>
      <w:r w:rsidR="00DF7386" w:rsidRPr="00004BC0">
        <w:rPr>
          <w:b/>
        </w:rPr>
        <w:t>’</w:t>
      </w:r>
      <w:r w:rsidR="00A0220E" w:rsidRPr="00004BC0">
        <w:rPr>
          <w:b/>
        </w:rPr>
        <w:t xml:space="preserve">article 298 du Code pénal, qui criminalise les violences physiques et la négligence volontaires envers un enfant, </w:t>
      </w:r>
      <w:r w:rsidR="00A84D0B" w:rsidRPr="00004BC0">
        <w:rPr>
          <w:b/>
        </w:rPr>
        <w:t>en dotant toute la chaîne judiciaire de moyens adaptés à l’ampleur du phénomène</w:t>
      </w:r>
      <w:r w:rsidR="00DF7386" w:rsidRPr="00004BC0">
        <w:t> </w:t>
      </w:r>
      <w:r w:rsidR="00DF7386" w:rsidRPr="00004BC0">
        <w:rPr>
          <w:b/>
        </w:rPr>
        <w:t>;</w:t>
      </w:r>
    </w:p>
    <w:p w14:paraId="535E8681" w14:textId="260B06E7" w:rsidR="00A84D0B" w:rsidRPr="00004BC0" w:rsidRDefault="0095038B" w:rsidP="00D82329">
      <w:pPr>
        <w:pStyle w:val="SingleTxtG"/>
        <w:ind w:firstLine="567"/>
        <w:rPr>
          <w:b/>
        </w:rPr>
      </w:pPr>
      <w:r w:rsidRPr="00004BC0">
        <w:rPr>
          <w:b/>
        </w:rPr>
        <w:t>e</w:t>
      </w:r>
      <w:r w:rsidR="00A84D0B" w:rsidRPr="00004BC0">
        <w:rPr>
          <w:b/>
        </w:rPr>
        <w:t>)</w:t>
      </w:r>
      <w:r w:rsidR="00A84D0B" w:rsidRPr="00004BC0">
        <w:rPr>
          <w:b/>
        </w:rPr>
        <w:tab/>
        <w:t xml:space="preserve">Accélérer l’adoption du projet </w:t>
      </w:r>
      <w:r w:rsidR="009C1085" w:rsidRPr="00004BC0">
        <w:rPr>
          <w:b/>
        </w:rPr>
        <w:t>de</w:t>
      </w:r>
      <w:r w:rsidR="00A84D0B" w:rsidRPr="00004BC0">
        <w:rPr>
          <w:b/>
        </w:rPr>
        <w:t xml:space="preserve"> loi sur la modernisation des </w:t>
      </w:r>
      <w:r w:rsidR="009C1085" w:rsidRPr="00004BC0">
        <w:rPr>
          <w:b/>
        </w:rPr>
        <w:t>écoles coraniques</w:t>
      </w:r>
      <w:r w:rsidR="00A84D0B" w:rsidRPr="00004BC0">
        <w:rPr>
          <w:b/>
        </w:rPr>
        <w:t xml:space="preserve"> </w:t>
      </w:r>
      <w:r w:rsidR="009F5CB9" w:rsidRPr="00004BC0">
        <w:rPr>
          <w:b/>
        </w:rPr>
        <w:t xml:space="preserve">tout en </w:t>
      </w:r>
      <w:r w:rsidR="00D82329" w:rsidRPr="00004BC0">
        <w:rPr>
          <w:b/>
        </w:rPr>
        <w:t>veillant à ce que la loi adoptée</w:t>
      </w:r>
      <w:r w:rsidR="009F5CB9" w:rsidRPr="00004BC0">
        <w:rPr>
          <w:b/>
        </w:rPr>
        <w:t xml:space="preserve"> soit compatible avec les obligation</w:t>
      </w:r>
      <w:r w:rsidR="00301290" w:rsidRPr="00004BC0">
        <w:rPr>
          <w:b/>
        </w:rPr>
        <w:t>s</w:t>
      </w:r>
      <w:r w:rsidR="009F5CB9" w:rsidRPr="00004BC0">
        <w:rPr>
          <w:b/>
        </w:rPr>
        <w:t xml:space="preserve"> de l’</w:t>
      </w:r>
      <w:r w:rsidR="00A46B77" w:rsidRPr="00004BC0">
        <w:rPr>
          <w:b/>
        </w:rPr>
        <w:t>État</w:t>
      </w:r>
      <w:r w:rsidR="009F5CB9" w:rsidRPr="00004BC0">
        <w:rPr>
          <w:b/>
        </w:rPr>
        <w:t xml:space="preserve"> partie au titre du Pacte </w:t>
      </w:r>
      <w:r w:rsidR="00A84D0B" w:rsidRPr="00004BC0">
        <w:rPr>
          <w:b/>
        </w:rPr>
        <w:t xml:space="preserve">et </w:t>
      </w:r>
      <w:r w:rsidR="004C0BA6" w:rsidRPr="00004BC0">
        <w:rPr>
          <w:b/>
        </w:rPr>
        <w:t>prévoie un système d’inspections doté des ressources nécessaires</w:t>
      </w:r>
      <w:r w:rsidR="001038A0" w:rsidRPr="00004BC0">
        <w:rPr>
          <w:b/>
        </w:rPr>
        <w:t> </w:t>
      </w:r>
      <w:r w:rsidR="00A84D0B" w:rsidRPr="00004BC0">
        <w:rPr>
          <w:b/>
        </w:rPr>
        <w:t>;</w:t>
      </w:r>
      <w:r w:rsidR="009F5CB9" w:rsidRPr="00004BC0">
        <w:rPr>
          <w:b/>
        </w:rPr>
        <w:t xml:space="preserve"> </w:t>
      </w:r>
    </w:p>
    <w:p w14:paraId="6C5AD5E2" w14:textId="6AEE625D" w:rsidR="009F5CB9" w:rsidRPr="00004BC0" w:rsidRDefault="0095038B" w:rsidP="00E82DD9">
      <w:pPr>
        <w:pStyle w:val="SingleTxtG"/>
        <w:ind w:firstLine="567"/>
        <w:rPr>
          <w:b/>
        </w:rPr>
      </w:pPr>
      <w:r w:rsidRPr="00004BC0">
        <w:rPr>
          <w:b/>
        </w:rPr>
        <w:t>f</w:t>
      </w:r>
      <w:r w:rsidR="00A84D0B" w:rsidRPr="00004BC0">
        <w:rPr>
          <w:b/>
        </w:rPr>
        <w:t>)</w:t>
      </w:r>
      <w:r w:rsidR="00A84D0B" w:rsidRPr="00004BC0">
        <w:rPr>
          <w:b/>
        </w:rPr>
        <w:tab/>
      </w:r>
      <w:r w:rsidR="00BA3189" w:rsidRPr="00004BC0">
        <w:rPr>
          <w:b/>
        </w:rPr>
        <w:t xml:space="preserve">Permettre aux organisations de la société civile de se constituer </w:t>
      </w:r>
      <w:r w:rsidR="00A84D0B" w:rsidRPr="00004BC0">
        <w:rPr>
          <w:b/>
        </w:rPr>
        <w:t xml:space="preserve">partie civile </w:t>
      </w:r>
      <w:r w:rsidR="009C1085" w:rsidRPr="00004BC0">
        <w:rPr>
          <w:b/>
        </w:rPr>
        <w:t>devant les tribunaux</w:t>
      </w:r>
      <w:r w:rsidR="00D82329" w:rsidRPr="00004BC0">
        <w:rPr>
          <w:b/>
        </w:rPr>
        <w:t>,</w:t>
      </w:r>
      <w:r w:rsidR="00CD60A1" w:rsidRPr="00004BC0">
        <w:rPr>
          <w:b/>
        </w:rPr>
        <w:t xml:space="preserve"> dans tous les cas de traite et de maltraitance des enfants</w:t>
      </w:r>
      <w:r w:rsidR="009C1085" w:rsidRPr="00004BC0">
        <w:rPr>
          <w:b/>
        </w:rPr>
        <w:t>.</w:t>
      </w:r>
    </w:p>
    <w:p w14:paraId="73CC22D4" w14:textId="268E7C04" w:rsidR="009F5CB9" w:rsidRPr="00004BC0" w:rsidRDefault="001038A0" w:rsidP="001038A0">
      <w:pPr>
        <w:pStyle w:val="H23G"/>
      </w:pPr>
      <w:r w:rsidRPr="00004BC0">
        <w:tab/>
      </w:r>
      <w:r w:rsidRPr="00004BC0">
        <w:tab/>
      </w:r>
      <w:r w:rsidR="009F5CB9" w:rsidRPr="00004BC0">
        <w:t>Enregistrement des naissances</w:t>
      </w:r>
    </w:p>
    <w:p w14:paraId="79611639" w14:textId="022520CB" w:rsidR="009F5CB9" w:rsidRPr="00004BC0" w:rsidRDefault="009F5CB9" w:rsidP="007B19EA">
      <w:pPr>
        <w:pStyle w:val="SingleTxtG"/>
      </w:pPr>
      <w:r w:rsidRPr="00004BC0">
        <w:t>4</w:t>
      </w:r>
      <w:r w:rsidR="001B7069" w:rsidRPr="00004BC0">
        <w:t>2</w:t>
      </w:r>
      <w:r w:rsidRPr="00004BC0">
        <w:t>.</w:t>
      </w:r>
      <w:r w:rsidRPr="00004BC0">
        <w:tab/>
      </w:r>
      <w:r w:rsidR="00301290" w:rsidRPr="00004BC0">
        <w:t>Malgré les efforts déployés par l’</w:t>
      </w:r>
      <w:r w:rsidR="00A46B77" w:rsidRPr="00004BC0">
        <w:t>État</w:t>
      </w:r>
      <w:r w:rsidR="00301290" w:rsidRPr="00004BC0">
        <w:t xml:space="preserve"> partie, le Comité constate que le taux </w:t>
      </w:r>
      <w:r w:rsidR="0095038B" w:rsidRPr="00004BC0">
        <w:t>d’enregistrement des naissances demeure faible</w:t>
      </w:r>
      <w:r w:rsidR="007477BF" w:rsidRPr="00004BC0">
        <w:t>,</w:t>
      </w:r>
      <w:r w:rsidR="0095038B" w:rsidRPr="00004BC0">
        <w:t xml:space="preserve"> surtout dans les zones rurales (art. 16 et 24). </w:t>
      </w:r>
    </w:p>
    <w:p w14:paraId="1C9E889D" w14:textId="5625D624" w:rsidR="00301290" w:rsidRPr="00BA773D" w:rsidRDefault="009F5CB9" w:rsidP="00BA773D">
      <w:pPr>
        <w:pStyle w:val="SingleTxtG"/>
        <w:rPr>
          <w:b/>
          <w:bCs/>
        </w:rPr>
      </w:pPr>
      <w:r w:rsidRPr="00004BC0">
        <w:t>4</w:t>
      </w:r>
      <w:r w:rsidR="001B7069" w:rsidRPr="00004BC0">
        <w:t>3</w:t>
      </w:r>
      <w:r w:rsidRPr="00004BC0">
        <w:t>.</w:t>
      </w:r>
      <w:r w:rsidRPr="00004BC0">
        <w:tab/>
      </w:r>
      <w:r w:rsidR="00301290" w:rsidRPr="00BA773D">
        <w:rPr>
          <w:b/>
          <w:bCs/>
        </w:rPr>
        <w:t>L’</w:t>
      </w:r>
      <w:r w:rsidR="00A46B77" w:rsidRPr="00BA773D">
        <w:rPr>
          <w:b/>
          <w:bCs/>
        </w:rPr>
        <w:t>État</w:t>
      </w:r>
      <w:r w:rsidR="00301290" w:rsidRPr="00BA773D">
        <w:rPr>
          <w:b/>
          <w:bCs/>
        </w:rPr>
        <w:t xml:space="preserve"> partie devrait renforcer sa politique d’enregistrement des naissances</w:t>
      </w:r>
      <w:r w:rsidR="008410CC" w:rsidRPr="00BA773D">
        <w:rPr>
          <w:b/>
          <w:bCs/>
        </w:rPr>
        <w:t>,</w:t>
      </w:r>
      <w:r w:rsidR="00301290" w:rsidRPr="00BA773D">
        <w:rPr>
          <w:b/>
          <w:bCs/>
        </w:rPr>
        <w:t xml:space="preserve"> </w:t>
      </w:r>
      <w:r w:rsidR="009C1085" w:rsidRPr="00BA773D">
        <w:rPr>
          <w:b/>
          <w:bCs/>
        </w:rPr>
        <w:t xml:space="preserve">et </w:t>
      </w:r>
      <w:r w:rsidR="00BA3189" w:rsidRPr="00BA773D">
        <w:rPr>
          <w:b/>
          <w:bCs/>
        </w:rPr>
        <w:t>notamment :</w:t>
      </w:r>
    </w:p>
    <w:p w14:paraId="08EBA4EA" w14:textId="2E0710E2" w:rsidR="00301290" w:rsidRPr="00BA773D" w:rsidRDefault="00301290" w:rsidP="00BA773D">
      <w:pPr>
        <w:pStyle w:val="SingleTxtG"/>
        <w:ind w:firstLine="567"/>
        <w:rPr>
          <w:b/>
          <w:bCs/>
        </w:rPr>
      </w:pPr>
      <w:r w:rsidRPr="00BA773D">
        <w:rPr>
          <w:b/>
          <w:bCs/>
        </w:rPr>
        <w:t>a)</w:t>
      </w:r>
      <w:r w:rsidR="00F66F28" w:rsidRPr="00BA773D">
        <w:rPr>
          <w:b/>
          <w:bCs/>
        </w:rPr>
        <w:tab/>
      </w:r>
      <w:r w:rsidRPr="00BA773D">
        <w:rPr>
          <w:b/>
          <w:bCs/>
        </w:rPr>
        <w:t>Modernis</w:t>
      </w:r>
      <w:r w:rsidR="009C1085" w:rsidRPr="00BA773D">
        <w:rPr>
          <w:b/>
          <w:bCs/>
        </w:rPr>
        <w:t>er</w:t>
      </w:r>
      <w:r w:rsidRPr="00BA773D">
        <w:rPr>
          <w:b/>
          <w:bCs/>
        </w:rPr>
        <w:t xml:space="preserve"> son système d’enregistrement des actes d’état civil en augmentant le budget </w:t>
      </w:r>
      <w:r w:rsidR="007477BF" w:rsidRPr="00BA773D">
        <w:rPr>
          <w:b/>
          <w:bCs/>
        </w:rPr>
        <w:t xml:space="preserve">qui y est </w:t>
      </w:r>
      <w:r w:rsidR="00BA3189" w:rsidRPr="00BA773D">
        <w:rPr>
          <w:b/>
          <w:bCs/>
        </w:rPr>
        <w:t>alloué ;</w:t>
      </w:r>
    </w:p>
    <w:p w14:paraId="5322491F" w14:textId="30F1A40A" w:rsidR="00301290" w:rsidRPr="00BA773D" w:rsidRDefault="00F66F28" w:rsidP="00BA773D">
      <w:pPr>
        <w:pStyle w:val="SingleTxtG"/>
        <w:ind w:firstLine="567"/>
        <w:rPr>
          <w:b/>
          <w:bCs/>
        </w:rPr>
      </w:pPr>
      <w:r w:rsidRPr="00BA773D">
        <w:rPr>
          <w:b/>
          <w:bCs/>
        </w:rPr>
        <w:t>b)</w:t>
      </w:r>
      <w:r w:rsidRPr="00BA773D">
        <w:rPr>
          <w:b/>
          <w:bCs/>
        </w:rPr>
        <w:tab/>
      </w:r>
      <w:r w:rsidR="00301290" w:rsidRPr="00BA773D">
        <w:rPr>
          <w:b/>
          <w:bCs/>
        </w:rPr>
        <w:t>Assur</w:t>
      </w:r>
      <w:r w:rsidR="009C1085" w:rsidRPr="00BA773D">
        <w:rPr>
          <w:b/>
          <w:bCs/>
        </w:rPr>
        <w:t>er</w:t>
      </w:r>
      <w:r w:rsidR="00301290" w:rsidRPr="00BA773D">
        <w:rPr>
          <w:b/>
          <w:bCs/>
        </w:rPr>
        <w:t xml:space="preserve"> la gratuité de l’enregistrement des naissances pour, au moins, les enfants de moins de 5 ans, en particulier dans les zones rurales et </w:t>
      </w:r>
      <w:r w:rsidR="00BA3189" w:rsidRPr="00BA773D">
        <w:rPr>
          <w:b/>
          <w:bCs/>
        </w:rPr>
        <w:t>reculées ;</w:t>
      </w:r>
    </w:p>
    <w:p w14:paraId="655C193B" w14:textId="77777777" w:rsidR="009F5CB9" w:rsidRPr="00BA773D" w:rsidRDefault="00F66F28" w:rsidP="00BA773D">
      <w:pPr>
        <w:pStyle w:val="SingleTxtG"/>
        <w:ind w:firstLine="567"/>
        <w:rPr>
          <w:b/>
          <w:bCs/>
        </w:rPr>
      </w:pPr>
      <w:r w:rsidRPr="00BA773D">
        <w:rPr>
          <w:b/>
          <w:bCs/>
        </w:rPr>
        <w:t>c)</w:t>
      </w:r>
      <w:r w:rsidRPr="00BA773D">
        <w:rPr>
          <w:b/>
          <w:bCs/>
        </w:rPr>
        <w:tab/>
      </w:r>
      <w:r w:rsidR="00301290" w:rsidRPr="00BA773D">
        <w:rPr>
          <w:b/>
          <w:bCs/>
        </w:rPr>
        <w:t>Renfor</w:t>
      </w:r>
      <w:r w:rsidR="009C1085" w:rsidRPr="00BA773D">
        <w:rPr>
          <w:b/>
          <w:bCs/>
        </w:rPr>
        <w:t>cer</w:t>
      </w:r>
      <w:r w:rsidR="00301290" w:rsidRPr="00BA773D">
        <w:rPr>
          <w:b/>
          <w:bCs/>
        </w:rPr>
        <w:t xml:space="preserve"> les équipes mobiles d’enregistrement des naissances afin de toucher les zones les plus reculées.</w:t>
      </w:r>
    </w:p>
    <w:p w14:paraId="1940C6A6" w14:textId="658ED452" w:rsidR="007F6B7A" w:rsidRPr="00004BC0" w:rsidRDefault="00E82DD9" w:rsidP="007477BF">
      <w:pPr>
        <w:pStyle w:val="H23G"/>
      </w:pPr>
      <w:r w:rsidRPr="00004BC0">
        <w:lastRenderedPageBreak/>
        <w:tab/>
      </w:r>
      <w:r w:rsidRPr="00004BC0">
        <w:tab/>
      </w:r>
      <w:r w:rsidR="007F6B7A" w:rsidRPr="00004BC0">
        <w:t>Libertés d’expression, de réunion pacifique et d’association</w:t>
      </w:r>
      <w:r w:rsidR="007477BF" w:rsidRPr="00004BC0">
        <w:t>,</w:t>
      </w:r>
      <w:r w:rsidR="007F6B7A" w:rsidRPr="00004BC0">
        <w:t xml:space="preserve"> </w:t>
      </w:r>
      <w:r w:rsidR="007477BF" w:rsidRPr="00004BC0">
        <w:br/>
      </w:r>
      <w:r w:rsidR="007F6B7A" w:rsidRPr="00004BC0">
        <w:t>et protection des journalistes et des défenseurs</w:t>
      </w:r>
      <w:r w:rsidR="00F23073" w:rsidRPr="00004BC0">
        <w:t xml:space="preserve"> des droits de l’homme</w:t>
      </w:r>
    </w:p>
    <w:p w14:paraId="65119C74" w14:textId="699E0CC9" w:rsidR="007F6B7A" w:rsidRPr="00004BC0" w:rsidRDefault="00315C18" w:rsidP="007B19EA">
      <w:pPr>
        <w:pStyle w:val="SingleTxtG"/>
        <w:rPr>
          <w:lang w:val="fr-FR"/>
        </w:rPr>
      </w:pPr>
      <w:r w:rsidRPr="00004BC0">
        <w:rPr>
          <w:lang w:val="fr-FR"/>
        </w:rPr>
        <w:t>4</w:t>
      </w:r>
      <w:r w:rsidR="001B7069" w:rsidRPr="00004BC0">
        <w:rPr>
          <w:lang w:val="fr-FR"/>
        </w:rPr>
        <w:t>4</w:t>
      </w:r>
      <w:r w:rsidRPr="00004BC0">
        <w:rPr>
          <w:lang w:val="fr-FR"/>
        </w:rPr>
        <w:t>.</w:t>
      </w:r>
      <w:r w:rsidRPr="00004BC0">
        <w:rPr>
          <w:lang w:val="fr-FR"/>
        </w:rPr>
        <w:tab/>
      </w:r>
      <w:r w:rsidR="007F6B7A" w:rsidRPr="00004BC0">
        <w:rPr>
          <w:lang w:val="fr-FR"/>
        </w:rPr>
        <w:t>Le Comité est préoccupé par le maintien des délits de presse dans le nouveau Code de la presse</w:t>
      </w:r>
      <w:r w:rsidR="001C79D6" w:rsidRPr="00004BC0">
        <w:rPr>
          <w:lang w:val="fr-FR"/>
        </w:rPr>
        <w:t xml:space="preserve"> et </w:t>
      </w:r>
      <w:r w:rsidR="007477BF" w:rsidRPr="00004BC0">
        <w:rPr>
          <w:lang w:val="fr-FR"/>
        </w:rPr>
        <w:t xml:space="preserve">par </w:t>
      </w:r>
      <w:r w:rsidR="007F6B7A" w:rsidRPr="00004BC0">
        <w:rPr>
          <w:lang w:val="fr-FR"/>
        </w:rPr>
        <w:t>les nombreuses allégations d’arrestations sur la base de ces délits</w:t>
      </w:r>
      <w:r w:rsidR="00E656CC" w:rsidRPr="00004BC0">
        <w:rPr>
          <w:lang w:val="fr-FR"/>
        </w:rPr>
        <w:t xml:space="preserve"> et d’autres dispositions tel</w:t>
      </w:r>
      <w:r w:rsidR="007477BF" w:rsidRPr="00004BC0">
        <w:rPr>
          <w:lang w:val="fr-FR"/>
        </w:rPr>
        <w:t>les</w:t>
      </w:r>
      <w:r w:rsidR="00E656CC" w:rsidRPr="00004BC0">
        <w:rPr>
          <w:lang w:val="fr-FR"/>
        </w:rPr>
        <w:t xml:space="preserve"> que le délit d’offense au Chef de l’</w:t>
      </w:r>
      <w:r w:rsidR="00A46B77" w:rsidRPr="00004BC0">
        <w:rPr>
          <w:lang w:val="fr-FR"/>
        </w:rPr>
        <w:t>État</w:t>
      </w:r>
      <w:r w:rsidR="00E656CC" w:rsidRPr="00004BC0">
        <w:rPr>
          <w:lang w:val="fr-FR"/>
        </w:rPr>
        <w:t xml:space="preserve"> </w:t>
      </w:r>
      <w:r w:rsidR="007477BF" w:rsidRPr="00004BC0">
        <w:rPr>
          <w:lang w:val="fr-FR"/>
        </w:rPr>
        <w:t>et</w:t>
      </w:r>
      <w:r w:rsidR="00E656CC" w:rsidRPr="00004BC0">
        <w:rPr>
          <w:lang w:val="fr-FR"/>
        </w:rPr>
        <w:t xml:space="preserve"> celui relatif à la production et </w:t>
      </w:r>
      <w:r w:rsidR="008410CC" w:rsidRPr="00004BC0">
        <w:rPr>
          <w:lang w:val="fr-FR"/>
        </w:rPr>
        <w:t xml:space="preserve">à la </w:t>
      </w:r>
      <w:r w:rsidR="00E656CC" w:rsidRPr="00004BC0">
        <w:rPr>
          <w:lang w:val="fr-FR"/>
        </w:rPr>
        <w:t>dissémination en ligne de documents ou images contraires à la bonne morale,</w:t>
      </w:r>
      <w:r w:rsidR="007F6B7A" w:rsidRPr="00004BC0">
        <w:rPr>
          <w:lang w:val="fr-FR"/>
        </w:rPr>
        <w:t xml:space="preserve"> notamment </w:t>
      </w:r>
      <w:r w:rsidR="00E656CC" w:rsidRPr="00004BC0">
        <w:rPr>
          <w:lang w:val="fr-FR"/>
        </w:rPr>
        <w:t xml:space="preserve">à l’encontre </w:t>
      </w:r>
      <w:r w:rsidR="007F6B7A" w:rsidRPr="00004BC0">
        <w:rPr>
          <w:lang w:val="fr-FR"/>
        </w:rPr>
        <w:t>de journalistes et de défenseurs des droits de l’homme. Le Comité est également préoccupé par la récurrence de prises de parole politiques visant à dénigrer le travail des journalistes et défenseurs des droits de l’homme se dressant contre le positionnement du Gouvernement</w:t>
      </w:r>
      <w:r w:rsidR="008410CC" w:rsidRPr="00004BC0">
        <w:rPr>
          <w:lang w:val="fr-FR"/>
        </w:rPr>
        <w:t>,</w:t>
      </w:r>
      <w:r w:rsidR="007F6B7A" w:rsidRPr="00004BC0">
        <w:rPr>
          <w:lang w:val="fr-FR"/>
        </w:rPr>
        <w:t xml:space="preserve"> ou à dénoncer des </w:t>
      </w:r>
      <w:r w:rsidR="00E656CC" w:rsidRPr="00004BC0">
        <w:rPr>
          <w:lang w:val="fr-FR"/>
        </w:rPr>
        <w:t>violations de droits de l’homme. Le Comité note enfin les conditions restrictives imposées aux manifestations</w:t>
      </w:r>
      <w:r w:rsidR="008410CC" w:rsidRPr="00004BC0">
        <w:rPr>
          <w:lang w:val="fr-FR"/>
        </w:rPr>
        <w:t>,</w:t>
      </w:r>
      <w:r w:rsidR="00E656CC" w:rsidRPr="00004BC0">
        <w:rPr>
          <w:lang w:val="fr-FR"/>
        </w:rPr>
        <w:t xml:space="preserve"> qui sont automatiquement interdites dans le centre-ville de Dakar </w:t>
      </w:r>
      <w:r w:rsidR="007F6B7A" w:rsidRPr="00004BC0">
        <w:rPr>
          <w:lang w:val="fr-FR"/>
        </w:rPr>
        <w:t xml:space="preserve">(art. </w:t>
      </w:r>
      <w:r w:rsidR="00F23073" w:rsidRPr="00004BC0">
        <w:rPr>
          <w:lang w:val="fr-FR"/>
        </w:rPr>
        <w:t>7, 9, 19</w:t>
      </w:r>
      <w:r w:rsidR="00E656CC" w:rsidRPr="00004BC0">
        <w:rPr>
          <w:lang w:val="fr-FR"/>
        </w:rPr>
        <w:t>,</w:t>
      </w:r>
      <w:r w:rsidR="00F23073" w:rsidRPr="00004BC0">
        <w:rPr>
          <w:lang w:val="fr-FR"/>
        </w:rPr>
        <w:t xml:space="preserve"> 21</w:t>
      </w:r>
      <w:r w:rsidR="00E656CC" w:rsidRPr="00004BC0">
        <w:rPr>
          <w:lang w:val="fr-FR"/>
        </w:rPr>
        <w:t xml:space="preserve"> et 22</w:t>
      </w:r>
      <w:r w:rsidR="00F23073" w:rsidRPr="00004BC0">
        <w:rPr>
          <w:lang w:val="fr-FR"/>
        </w:rPr>
        <w:t>)</w:t>
      </w:r>
      <w:r w:rsidR="001038A0" w:rsidRPr="00004BC0">
        <w:rPr>
          <w:lang w:val="fr-FR"/>
        </w:rPr>
        <w:t>.</w:t>
      </w:r>
    </w:p>
    <w:p w14:paraId="6FABF949" w14:textId="6D5BED43" w:rsidR="00E656CC" w:rsidRPr="00582BDD" w:rsidRDefault="00315C18" w:rsidP="00582BDD">
      <w:pPr>
        <w:pStyle w:val="SingleTxtG"/>
        <w:rPr>
          <w:b/>
          <w:bCs/>
          <w:lang w:val="fr-FR"/>
        </w:rPr>
      </w:pPr>
      <w:r w:rsidRPr="00004BC0">
        <w:rPr>
          <w:lang w:val="fr-FR"/>
        </w:rPr>
        <w:t>4</w:t>
      </w:r>
      <w:r w:rsidR="001B7069" w:rsidRPr="00004BC0">
        <w:rPr>
          <w:lang w:val="fr-FR"/>
        </w:rPr>
        <w:t>5</w:t>
      </w:r>
      <w:r w:rsidRPr="00004BC0">
        <w:rPr>
          <w:lang w:val="fr-FR"/>
        </w:rPr>
        <w:t>.</w:t>
      </w:r>
      <w:r w:rsidRPr="00004BC0">
        <w:rPr>
          <w:lang w:val="fr-FR"/>
        </w:rPr>
        <w:tab/>
      </w:r>
      <w:r w:rsidR="007F6B7A" w:rsidRPr="00582BDD">
        <w:rPr>
          <w:b/>
          <w:bCs/>
          <w:lang w:val="fr-FR"/>
        </w:rPr>
        <w:t>L’</w:t>
      </w:r>
      <w:r w:rsidR="00A46B77" w:rsidRPr="00582BDD">
        <w:rPr>
          <w:b/>
          <w:bCs/>
          <w:lang w:val="fr-FR"/>
        </w:rPr>
        <w:t>État</w:t>
      </w:r>
      <w:r w:rsidR="007F6B7A" w:rsidRPr="00582BDD">
        <w:rPr>
          <w:b/>
          <w:bCs/>
          <w:lang w:val="fr-FR"/>
        </w:rPr>
        <w:t xml:space="preserve"> partie devrait</w:t>
      </w:r>
      <w:r w:rsidR="00E656CC" w:rsidRPr="00582BDD">
        <w:rPr>
          <w:b/>
          <w:bCs/>
          <w:lang w:val="fr-FR"/>
        </w:rPr>
        <w:t xml:space="preserve"> p</w:t>
      </w:r>
      <w:r w:rsidR="001C79D6" w:rsidRPr="00582BDD">
        <w:rPr>
          <w:b/>
          <w:bCs/>
          <w:lang w:val="fr-FR"/>
        </w:rPr>
        <w:t xml:space="preserve">rendre les mesures législatives </w:t>
      </w:r>
      <w:r w:rsidR="00E656CC" w:rsidRPr="00582BDD">
        <w:rPr>
          <w:b/>
          <w:bCs/>
          <w:lang w:val="fr-FR"/>
        </w:rPr>
        <w:t xml:space="preserve">et institutionnelles </w:t>
      </w:r>
      <w:r w:rsidR="001C79D6" w:rsidRPr="00582BDD">
        <w:rPr>
          <w:b/>
          <w:bCs/>
          <w:lang w:val="fr-FR"/>
        </w:rPr>
        <w:t>nécessaires pour que toute restriction à l’exercice de la liberté d’expression soit conforme aux conditions st</w:t>
      </w:r>
      <w:r w:rsidR="00E656CC" w:rsidRPr="00582BDD">
        <w:rPr>
          <w:b/>
          <w:bCs/>
          <w:lang w:val="fr-FR"/>
        </w:rPr>
        <w:t>rictes énoncées dans le Pacte</w:t>
      </w:r>
      <w:r w:rsidR="008410CC" w:rsidRPr="00582BDD">
        <w:rPr>
          <w:b/>
          <w:bCs/>
          <w:lang w:val="fr-FR"/>
        </w:rPr>
        <w:t>,</w:t>
      </w:r>
      <w:r w:rsidR="00E656CC" w:rsidRPr="00582BDD">
        <w:rPr>
          <w:b/>
          <w:bCs/>
          <w:lang w:val="fr-FR"/>
        </w:rPr>
        <w:t xml:space="preserve"> et notamment</w:t>
      </w:r>
      <w:r w:rsidR="008410CC" w:rsidRPr="00582BDD">
        <w:rPr>
          <w:b/>
          <w:bCs/>
          <w:lang w:val="fr-FR"/>
        </w:rPr>
        <w:t> </w:t>
      </w:r>
      <w:r w:rsidR="00E656CC" w:rsidRPr="00582BDD">
        <w:rPr>
          <w:b/>
          <w:bCs/>
          <w:lang w:val="fr-FR"/>
        </w:rPr>
        <w:t>:</w:t>
      </w:r>
    </w:p>
    <w:p w14:paraId="33875BFB" w14:textId="672616A9" w:rsidR="00E656CC" w:rsidRPr="00582BDD" w:rsidRDefault="00E656CC" w:rsidP="00582BDD">
      <w:pPr>
        <w:pStyle w:val="SingleTxtG"/>
        <w:ind w:firstLine="567"/>
        <w:rPr>
          <w:b/>
          <w:bCs/>
          <w:lang w:val="fr-FR"/>
        </w:rPr>
      </w:pPr>
      <w:r w:rsidRPr="00582BDD">
        <w:rPr>
          <w:b/>
          <w:bCs/>
          <w:lang w:val="fr-FR"/>
        </w:rPr>
        <w:t>a)</w:t>
      </w:r>
      <w:r w:rsidRPr="00582BDD">
        <w:rPr>
          <w:b/>
          <w:bCs/>
          <w:lang w:val="fr-FR"/>
        </w:rPr>
        <w:tab/>
        <w:t xml:space="preserve">Dépénaliser les délits de presse et délits d’offense au </w:t>
      </w:r>
      <w:r w:rsidR="008410CC" w:rsidRPr="00582BDD">
        <w:rPr>
          <w:b/>
          <w:bCs/>
          <w:lang w:val="fr-FR"/>
        </w:rPr>
        <w:t>C</w:t>
      </w:r>
      <w:r w:rsidRPr="00582BDD">
        <w:rPr>
          <w:b/>
          <w:bCs/>
          <w:lang w:val="fr-FR"/>
        </w:rPr>
        <w:t xml:space="preserve">hef de l’État ; </w:t>
      </w:r>
    </w:p>
    <w:p w14:paraId="6AE08CC4" w14:textId="77777777" w:rsidR="00E656CC" w:rsidRPr="00582BDD" w:rsidRDefault="00E656CC" w:rsidP="00582BDD">
      <w:pPr>
        <w:pStyle w:val="SingleTxtG"/>
        <w:ind w:firstLine="567"/>
        <w:rPr>
          <w:b/>
          <w:bCs/>
          <w:lang w:val="fr-FR"/>
        </w:rPr>
      </w:pPr>
      <w:r w:rsidRPr="00582BDD">
        <w:rPr>
          <w:b/>
          <w:bCs/>
          <w:lang w:val="fr-FR"/>
        </w:rPr>
        <w:t>b)</w:t>
      </w:r>
      <w:r w:rsidRPr="00582BDD">
        <w:rPr>
          <w:b/>
          <w:bCs/>
          <w:lang w:val="fr-FR"/>
        </w:rPr>
        <w:tab/>
      </w:r>
      <w:r w:rsidR="0042072E" w:rsidRPr="00582BDD">
        <w:rPr>
          <w:b/>
          <w:bCs/>
          <w:lang w:val="fr-FR"/>
        </w:rPr>
        <w:t>Garantir et respecter le droit de réunion et de manifestation de la population, de la classe politique et des organisations de la société civile ;</w:t>
      </w:r>
    </w:p>
    <w:p w14:paraId="43851A36" w14:textId="07A81604" w:rsidR="00E656CC" w:rsidRPr="00582BDD" w:rsidRDefault="00E82DD9" w:rsidP="00582BDD">
      <w:pPr>
        <w:pStyle w:val="SingleTxtG"/>
        <w:ind w:firstLine="567"/>
        <w:rPr>
          <w:b/>
          <w:bCs/>
          <w:lang w:val="fr-FR"/>
        </w:rPr>
      </w:pPr>
      <w:r w:rsidRPr="00582BDD">
        <w:rPr>
          <w:b/>
          <w:bCs/>
          <w:lang w:val="fr-FR"/>
        </w:rPr>
        <w:t>c)</w:t>
      </w:r>
      <w:r w:rsidRPr="00582BDD">
        <w:rPr>
          <w:b/>
          <w:bCs/>
          <w:lang w:val="fr-FR"/>
        </w:rPr>
        <w:tab/>
      </w:r>
      <w:r w:rsidR="001C79D6" w:rsidRPr="00582BDD">
        <w:rPr>
          <w:b/>
          <w:bCs/>
          <w:lang w:val="fr-FR"/>
        </w:rPr>
        <w:t>S’assur</w:t>
      </w:r>
      <w:r w:rsidR="00E656CC" w:rsidRPr="00582BDD">
        <w:rPr>
          <w:b/>
          <w:bCs/>
          <w:lang w:val="fr-FR"/>
        </w:rPr>
        <w:t>er</w:t>
      </w:r>
      <w:r w:rsidR="001C79D6" w:rsidRPr="00582BDD">
        <w:rPr>
          <w:b/>
          <w:bCs/>
          <w:lang w:val="fr-FR"/>
        </w:rPr>
        <w:t xml:space="preserve"> </w:t>
      </w:r>
      <w:r w:rsidR="00E656CC" w:rsidRPr="00582BDD">
        <w:rPr>
          <w:b/>
          <w:bCs/>
          <w:lang w:val="fr-FR"/>
        </w:rPr>
        <w:t xml:space="preserve">que </w:t>
      </w:r>
      <w:r w:rsidR="001C79D6" w:rsidRPr="00582BDD">
        <w:rPr>
          <w:b/>
          <w:bCs/>
          <w:lang w:val="fr-FR"/>
        </w:rPr>
        <w:t xml:space="preserve">les institutions de régulation telles que l’Autorité de </w:t>
      </w:r>
      <w:r w:rsidR="008410CC" w:rsidRPr="00582BDD">
        <w:rPr>
          <w:b/>
          <w:bCs/>
          <w:lang w:val="fr-FR"/>
        </w:rPr>
        <w:t>r</w:t>
      </w:r>
      <w:r w:rsidR="001C79D6" w:rsidRPr="00582BDD">
        <w:rPr>
          <w:b/>
          <w:bCs/>
          <w:lang w:val="fr-FR"/>
        </w:rPr>
        <w:t xml:space="preserve">égulation des </w:t>
      </w:r>
      <w:r w:rsidR="008410CC" w:rsidRPr="00582BDD">
        <w:rPr>
          <w:b/>
          <w:bCs/>
          <w:lang w:val="fr-FR"/>
        </w:rPr>
        <w:t>t</w:t>
      </w:r>
      <w:r w:rsidR="001C79D6" w:rsidRPr="00582BDD">
        <w:rPr>
          <w:b/>
          <w:bCs/>
          <w:lang w:val="fr-FR"/>
        </w:rPr>
        <w:t xml:space="preserve">élécommunications et des </w:t>
      </w:r>
      <w:r w:rsidR="008410CC" w:rsidRPr="00582BDD">
        <w:rPr>
          <w:b/>
          <w:bCs/>
          <w:lang w:val="fr-FR"/>
        </w:rPr>
        <w:t>p</w:t>
      </w:r>
      <w:r w:rsidR="001C79D6" w:rsidRPr="00582BDD">
        <w:rPr>
          <w:b/>
          <w:bCs/>
          <w:lang w:val="fr-FR"/>
        </w:rPr>
        <w:t xml:space="preserve">ostes </w:t>
      </w:r>
      <w:r w:rsidR="00347998" w:rsidRPr="00582BDD">
        <w:rPr>
          <w:b/>
          <w:bCs/>
          <w:lang w:val="fr-FR"/>
        </w:rPr>
        <w:t>ainsi que</w:t>
      </w:r>
      <w:r w:rsidR="001C79D6" w:rsidRPr="00582BDD">
        <w:rPr>
          <w:b/>
          <w:bCs/>
          <w:lang w:val="fr-FR"/>
        </w:rPr>
        <w:t xml:space="preserve"> le </w:t>
      </w:r>
      <w:r w:rsidR="008410CC" w:rsidRPr="00582BDD">
        <w:rPr>
          <w:b/>
          <w:bCs/>
          <w:lang w:val="fr-FR"/>
        </w:rPr>
        <w:t>Conseil national de régulation de l’</w:t>
      </w:r>
      <w:proofErr w:type="spellStart"/>
      <w:r w:rsidR="008410CC" w:rsidRPr="00582BDD">
        <w:rPr>
          <w:b/>
          <w:bCs/>
          <w:lang w:val="fr-FR"/>
        </w:rPr>
        <w:t>audiovisuel</w:t>
      </w:r>
      <w:proofErr w:type="spellEnd"/>
      <w:r w:rsidR="001C79D6" w:rsidRPr="00582BDD">
        <w:rPr>
          <w:b/>
          <w:bCs/>
          <w:lang w:val="fr-FR"/>
        </w:rPr>
        <w:t xml:space="preserve"> exercent leur rôle de manière impartiale et indépendante ; </w:t>
      </w:r>
    </w:p>
    <w:p w14:paraId="644B6FBE" w14:textId="566145D5" w:rsidR="007F6B7A" w:rsidRPr="00582BDD" w:rsidRDefault="00E82DD9" w:rsidP="00582BDD">
      <w:pPr>
        <w:pStyle w:val="SingleTxtG"/>
        <w:ind w:firstLine="567"/>
        <w:rPr>
          <w:b/>
          <w:bCs/>
          <w:lang w:val="fr-FR"/>
        </w:rPr>
      </w:pPr>
      <w:r w:rsidRPr="00582BDD">
        <w:rPr>
          <w:b/>
          <w:bCs/>
          <w:lang w:val="fr-FR"/>
        </w:rPr>
        <w:t>d)</w:t>
      </w:r>
      <w:r w:rsidRPr="00582BDD">
        <w:rPr>
          <w:b/>
          <w:bCs/>
          <w:lang w:val="fr-FR"/>
        </w:rPr>
        <w:tab/>
      </w:r>
      <w:r w:rsidR="001C79D6" w:rsidRPr="00582BDD">
        <w:rPr>
          <w:b/>
          <w:bCs/>
          <w:lang w:val="fr-FR"/>
        </w:rPr>
        <w:t>E</w:t>
      </w:r>
      <w:r w:rsidR="00E656CC" w:rsidRPr="00582BDD">
        <w:rPr>
          <w:b/>
          <w:bCs/>
          <w:lang w:val="fr-FR"/>
        </w:rPr>
        <w:t>nquêter</w:t>
      </w:r>
      <w:r w:rsidR="008410CC" w:rsidRPr="00582BDD">
        <w:rPr>
          <w:b/>
          <w:bCs/>
          <w:lang w:val="fr-FR"/>
        </w:rPr>
        <w:t xml:space="preserve"> sur les </w:t>
      </w:r>
      <w:r w:rsidR="001C79D6" w:rsidRPr="00582BDD">
        <w:rPr>
          <w:b/>
          <w:bCs/>
          <w:lang w:val="fr-FR"/>
        </w:rPr>
        <w:t>actes de harcèlement, de menace et d’intimidation, d’appel à la haine à l’encontre de journalistes, d’opposants politiques et de défenseurs des droits de l’homme</w:t>
      </w:r>
      <w:r w:rsidR="008410CC" w:rsidRPr="00582BDD">
        <w:rPr>
          <w:b/>
          <w:bCs/>
          <w:lang w:val="fr-FR"/>
        </w:rPr>
        <w:t xml:space="preserve">, </w:t>
      </w:r>
      <w:r w:rsidR="00FC6AA5" w:rsidRPr="00582BDD">
        <w:rPr>
          <w:b/>
          <w:bCs/>
          <w:lang w:val="fr-FR"/>
        </w:rPr>
        <w:t>ainsi que</w:t>
      </w:r>
      <w:r w:rsidR="008410CC" w:rsidRPr="00582BDD">
        <w:rPr>
          <w:b/>
          <w:bCs/>
          <w:lang w:val="fr-FR"/>
        </w:rPr>
        <w:t xml:space="preserve"> poursuivre et condamner les responsables de ces actes</w:t>
      </w:r>
      <w:r w:rsidR="0042072E" w:rsidRPr="00582BDD">
        <w:rPr>
          <w:b/>
          <w:bCs/>
          <w:lang w:val="fr-FR"/>
        </w:rPr>
        <w:t>.</w:t>
      </w:r>
    </w:p>
    <w:p w14:paraId="3D0ABBF8" w14:textId="2671AD0B" w:rsidR="00EE12D5" w:rsidRPr="00004BC0" w:rsidRDefault="00E82DD9" w:rsidP="00E82DD9">
      <w:pPr>
        <w:pStyle w:val="H23G"/>
        <w:rPr>
          <w:lang w:val="fr-FR"/>
        </w:rPr>
      </w:pPr>
      <w:r w:rsidRPr="00004BC0">
        <w:rPr>
          <w:lang w:val="fr-FR"/>
        </w:rPr>
        <w:tab/>
      </w:r>
      <w:r w:rsidRPr="00004BC0">
        <w:rPr>
          <w:lang w:val="fr-FR"/>
        </w:rPr>
        <w:tab/>
      </w:r>
      <w:r w:rsidR="00EE12D5" w:rsidRPr="00004BC0">
        <w:rPr>
          <w:lang w:val="fr-FR"/>
        </w:rPr>
        <w:t>Participation aux affaires publiques</w:t>
      </w:r>
    </w:p>
    <w:p w14:paraId="5FD9DACE" w14:textId="7D89AAB6" w:rsidR="00EE12D5" w:rsidRPr="00004BC0" w:rsidRDefault="00315C18" w:rsidP="00582BDD">
      <w:pPr>
        <w:pStyle w:val="SingleTxtG"/>
        <w:rPr>
          <w:lang w:val="fr-FR"/>
        </w:rPr>
      </w:pPr>
      <w:r w:rsidRPr="00004BC0">
        <w:rPr>
          <w:lang w:val="fr-FR"/>
        </w:rPr>
        <w:t>4</w:t>
      </w:r>
      <w:r w:rsidR="001B7069" w:rsidRPr="00004BC0">
        <w:rPr>
          <w:lang w:val="fr-FR"/>
        </w:rPr>
        <w:t>6</w:t>
      </w:r>
      <w:r w:rsidRPr="00004BC0">
        <w:rPr>
          <w:lang w:val="fr-FR"/>
        </w:rPr>
        <w:t>.</w:t>
      </w:r>
      <w:r w:rsidRPr="00004BC0">
        <w:rPr>
          <w:lang w:val="fr-FR"/>
        </w:rPr>
        <w:tab/>
        <w:t>Le Comité est préoccupé par</w:t>
      </w:r>
      <w:r w:rsidR="009639B0" w:rsidRPr="00004BC0">
        <w:t xml:space="preserve"> </w:t>
      </w:r>
      <w:r w:rsidR="009639B0" w:rsidRPr="00004BC0">
        <w:rPr>
          <w:lang w:val="fr-FR"/>
        </w:rPr>
        <w:t>le fait que les personnes privées de liberté au Sénégal</w:t>
      </w:r>
      <w:r w:rsidR="008410CC" w:rsidRPr="00004BC0">
        <w:rPr>
          <w:lang w:val="fr-FR"/>
        </w:rPr>
        <w:t>,</w:t>
      </w:r>
      <w:r w:rsidR="009639B0" w:rsidRPr="00004BC0">
        <w:rPr>
          <w:lang w:val="fr-FR"/>
        </w:rPr>
        <w:t xml:space="preserve"> qu’elles soient en détention provisoire ou condamnées</w:t>
      </w:r>
      <w:r w:rsidR="008410CC" w:rsidRPr="00004BC0">
        <w:rPr>
          <w:lang w:val="fr-FR"/>
        </w:rPr>
        <w:t>,</w:t>
      </w:r>
      <w:r w:rsidR="009639B0" w:rsidRPr="00004BC0">
        <w:rPr>
          <w:lang w:val="fr-FR"/>
        </w:rPr>
        <w:t xml:space="preserve"> ne peuvent en pratique </w:t>
      </w:r>
      <w:r w:rsidR="008410CC" w:rsidRPr="00004BC0">
        <w:rPr>
          <w:lang w:val="fr-FR"/>
        </w:rPr>
        <w:t xml:space="preserve">ni </w:t>
      </w:r>
      <w:r w:rsidR="009639B0" w:rsidRPr="00004BC0">
        <w:rPr>
          <w:lang w:val="fr-FR"/>
        </w:rPr>
        <w:t>exercer leur droit de vote ni être éligibles</w:t>
      </w:r>
      <w:r w:rsidR="008410CC" w:rsidRPr="00004BC0">
        <w:rPr>
          <w:lang w:val="fr-FR"/>
        </w:rPr>
        <w:t>,</w:t>
      </w:r>
      <w:r w:rsidR="009639B0" w:rsidRPr="00004BC0">
        <w:rPr>
          <w:lang w:val="fr-FR"/>
        </w:rPr>
        <w:t xml:space="preserve"> et </w:t>
      </w:r>
      <w:r w:rsidR="008410CC" w:rsidRPr="00004BC0">
        <w:rPr>
          <w:lang w:val="fr-FR"/>
        </w:rPr>
        <w:t xml:space="preserve">par </w:t>
      </w:r>
      <w:r w:rsidR="009639B0" w:rsidRPr="00004BC0">
        <w:rPr>
          <w:lang w:val="fr-FR"/>
        </w:rPr>
        <w:t xml:space="preserve">le fait que cette </w:t>
      </w:r>
      <w:r w:rsidR="000428A9" w:rsidRPr="00004BC0">
        <w:rPr>
          <w:lang w:val="fr-FR"/>
        </w:rPr>
        <w:t xml:space="preserve">déchéance des droits politiques </w:t>
      </w:r>
      <w:r w:rsidR="009639B0" w:rsidRPr="00004BC0">
        <w:rPr>
          <w:lang w:val="fr-FR"/>
        </w:rPr>
        <w:t xml:space="preserve">ne semble pas avoir de limite temporelle clairement définie par la loi. </w:t>
      </w:r>
      <w:r w:rsidR="00596FB7" w:rsidRPr="00004BC0">
        <w:rPr>
          <w:lang w:val="fr-FR"/>
        </w:rPr>
        <w:t xml:space="preserve">Le Comité est à ce titre préoccupé par la décision </w:t>
      </w:r>
      <w:r w:rsidR="008410CC" w:rsidRPr="00004BC0">
        <w:rPr>
          <w:lang w:val="fr-FR"/>
        </w:rPr>
        <w:t>prise par le</w:t>
      </w:r>
      <w:r w:rsidR="00596FB7" w:rsidRPr="00004BC0">
        <w:rPr>
          <w:lang w:val="fr-FR"/>
        </w:rPr>
        <w:t xml:space="preserve"> Conseil </w:t>
      </w:r>
      <w:r w:rsidR="008410CC" w:rsidRPr="00004BC0">
        <w:rPr>
          <w:lang w:val="fr-FR"/>
        </w:rPr>
        <w:t>c</w:t>
      </w:r>
      <w:r w:rsidR="00596FB7" w:rsidRPr="00004BC0">
        <w:rPr>
          <w:lang w:val="fr-FR"/>
        </w:rPr>
        <w:t xml:space="preserve">onstitutionnel </w:t>
      </w:r>
      <w:r w:rsidR="008410CC" w:rsidRPr="00004BC0">
        <w:rPr>
          <w:lang w:val="fr-FR"/>
        </w:rPr>
        <w:t>le</w:t>
      </w:r>
      <w:r w:rsidR="00596FB7" w:rsidRPr="00004BC0">
        <w:rPr>
          <w:lang w:val="fr-FR"/>
        </w:rPr>
        <w:t xml:space="preserve"> 20 janvier 2019 invalidant la candidature des deux principaux opposants politiques</w:t>
      </w:r>
      <w:r w:rsidR="008410CC" w:rsidRPr="00004BC0">
        <w:rPr>
          <w:lang w:val="fr-FR"/>
        </w:rPr>
        <w:t>,</w:t>
      </w:r>
      <w:r w:rsidR="00596FB7" w:rsidRPr="00004BC0">
        <w:rPr>
          <w:lang w:val="fr-FR"/>
        </w:rPr>
        <w:t xml:space="preserve"> sans qu’une limite temporelle à la déchéance de leur droit d’</w:t>
      </w:r>
      <w:r w:rsidR="008410CC" w:rsidRPr="00004BC0">
        <w:rPr>
          <w:lang w:val="fr-FR"/>
        </w:rPr>
        <w:t>éligibilité</w:t>
      </w:r>
      <w:r w:rsidR="00596FB7" w:rsidRPr="00004BC0">
        <w:rPr>
          <w:lang w:val="fr-FR"/>
        </w:rPr>
        <w:t xml:space="preserve"> ait été prévue</w:t>
      </w:r>
      <w:r w:rsidR="00596FB7" w:rsidRPr="00004BC0" w:rsidDel="00596FB7">
        <w:rPr>
          <w:lang w:val="fr-FR"/>
        </w:rPr>
        <w:t xml:space="preserve"> </w:t>
      </w:r>
      <w:r w:rsidR="009639B0" w:rsidRPr="00004BC0">
        <w:rPr>
          <w:lang w:val="fr-FR"/>
        </w:rPr>
        <w:t>(art. 25).</w:t>
      </w:r>
    </w:p>
    <w:p w14:paraId="43ABF624" w14:textId="7BB70F90" w:rsidR="00315C18" w:rsidRPr="00582BDD" w:rsidRDefault="00CD60A1" w:rsidP="00582BDD">
      <w:pPr>
        <w:pStyle w:val="SingleTxtG"/>
        <w:rPr>
          <w:b/>
          <w:bCs/>
          <w:lang w:val="fr-FR"/>
        </w:rPr>
      </w:pPr>
      <w:r w:rsidRPr="00004BC0">
        <w:rPr>
          <w:lang w:val="fr-FR"/>
        </w:rPr>
        <w:t>4</w:t>
      </w:r>
      <w:r w:rsidR="001B7069" w:rsidRPr="00004BC0">
        <w:rPr>
          <w:lang w:val="fr-FR"/>
        </w:rPr>
        <w:t>7</w:t>
      </w:r>
      <w:r w:rsidR="00DE5BB4" w:rsidRPr="00004BC0">
        <w:rPr>
          <w:lang w:val="fr-FR"/>
        </w:rPr>
        <w:t>.</w:t>
      </w:r>
      <w:r w:rsidR="00DE5BB4" w:rsidRPr="00004BC0">
        <w:rPr>
          <w:lang w:val="fr-FR"/>
        </w:rPr>
        <w:tab/>
      </w:r>
      <w:r w:rsidR="008C5ADC" w:rsidRPr="00582BDD">
        <w:rPr>
          <w:b/>
          <w:bCs/>
          <w:lang w:val="fr-FR"/>
        </w:rPr>
        <w:t>Compte tenu de l’observation générale n</w:t>
      </w:r>
      <w:r w:rsidR="008C5ADC" w:rsidRPr="00582BDD">
        <w:rPr>
          <w:b/>
          <w:bCs/>
          <w:vertAlign w:val="superscript"/>
          <w:lang w:val="fr-FR"/>
        </w:rPr>
        <w:t>o</w:t>
      </w:r>
      <w:r w:rsidR="00100134" w:rsidRPr="00582BDD">
        <w:rPr>
          <w:b/>
          <w:bCs/>
          <w:lang w:val="fr-FR"/>
        </w:rPr>
        <w:t> </w:t>
      </w:r>
      <w:r w:rsidR="008C5ADC" w:rsidRPr="00582BDD">
        <w:rPr>
          <w:b/>
          <w:bCs/>
          <w:lang w:val="fr-FR"/>
        </w:rPr>
        <w:t>25 (1996) du Comité sur la participation aux affaires publiques et le droit de vote, l’État partie devrait prendre les mesures nécessaires pour</w:t>
      </w:r>
      <w:r w:rsidR="009639B0" w:rsidRPr="00582BDD">
        <w:rPr>
          <w:b/>
          <w:bCs/>
          <w:lang w:val="fr-FR"/>
        </w:rPr>
        <w:t xml:space="preserve"> mettre sa législation en conformité avec </w:t>
      </w:r>
      <w:r w:rsidR="00DE5BB4" w:rsidRPr="00582BDD">
        <w:rPr>
          <w:b/>
          <w:bCs/>
          <w:lang w:val="fr-FR"/>
        </w:rPr>
        <w:t>le Pacte</w:t>
      </w:r>
      <w:r w:rsidR="009B1370" w:rsidRPr="00582BDD">
        <w:rPr>
          <w:b/>
          <w:bCs/>
          <w:lang w:val="fr-FR"/>
        </w:rPr>
        <w:t>,</w:t>
      </w:r>
      <w:r w:rsidR="008C5ADC" w:rsidRPr="00582BDD">
        <w:rPr>
          <w:b/>
          <w:bCs/>
          <w:lang w:val="fr-FR"/>
        </w:rPr>
        <w:t xml:space="preserve"> et </w:t>
      </w:r>
      <w:r w:rsidR="00DE5BB4" w:rsidRPr="00582BDD">
        <w:rPr>
          <w:b/>
          <w:bCs/>
          <w:lang w:val="fr-FR"/>
        </w:rPr>
        <w:t>clairement définir</w:t>
      </w:r>
      <w:r w:rsidR="008C5ADC" w:rsidRPr="00582BDD">
        <w:rPr>
          <w:b/>
          <w:bCs/>
          <w:lang w:val="fr-FR"/>
        </w:rPr>
        <w:t xml:space="preserve"> </w:t>
      </w:r>
      <w:r w:rsidR="009639B0" w:rsidRPr="00582BDD">
        <w:rPr>
          <w:b/>
          <w:bCs/>
          <w:lang w:val="fr-FR"/>
        </w:rPr>
        <w:t>les catégories de condamnés se voyant privés de l’exercice de leurs droits civils et politiques</w:t>
      </w:r>
      <w:r w:rsidR="008C5ADC" w:rsidRPr="00582BDD">
        <w:rPr>
          <w:b/>
          <w:bCs/>
          <w:lang w:val="fr-FR"/>
        </w:rPr>
        <w:t xml:space="preserve"> </w:t>
      </w:r>
      <w:r w:rsidR="009B1370" w:rsidRPr="00582BDD">
        <w:rPr>
          <w:b/>
          <w:bCs/>
          <w:lang w:val="fr-FR"/>
        </w:rPr>
        <w:t>ainsi que</w:t>
      </w:r>
      <w:r w:rsidR="008C5ADC" w:rsidRPr="00582BDD">
        <w:rPr>
          <w:b/>
          <w:bCs/>
          <w:lang w:val="fr-FR"/>
        </w:rPr>
        <w:t xml:space="preserve"> la durée de suspension de</w:t>
      </w:r>
      <w:r w:rsidR="00DE5BB4" w:rsidRPr="00582BDD">
        <w:rPr>
          <w:b/>
          <w:bCs/>
          <w:lang w:val="fr-FR"/>
        </w:rPr>
        <w:t xml:space="preserve"> ces droits</w:t>
      </w:r>
      <w:r w:rsidR="009639B0" w:rsidRPr="00582BDD">
        <w:rPr>
          <w:b/>
          <w:bCs/>
          <w:lang w:val="fr-FR"/>
        </w:rPr>
        <w:t>.</w:t>
      </w:r>
      <w:r w:rsidR="008C5ADC" w:rsidRPr="00582BDD">
        <w:rPr>
          <w:b/>
          <w:bCs/>
          <w:lang w:val="fr-FR"/>
        </w:rPr>
        <w:t xml:space="preserve"> </w:t>
      </w:r>
    </w:p>
    <w:p w14:paraId="370E8CBC" w14:textId="77777777" w:rsidR="003A2AFF" w:rsidRPr="00004BC0" w:rsidRDefault="003A2AFF" w:rsidP="003A2AFF">
      <w:pPr>
        <w:pStyle w:val="H1G"/>
      </w:pPr>
      <w:r w:rsidRPr="00004BC0">
        <w:tab/>
        <w:t>D.</w:t>
      </w:r>
      <w:r w:rsidRPr="00004BC0">
        <w:tab/>
        <w:t>Diffusion et suivi</w:t>
      </w:r>
    </w:p>
    <w:p w14:paraId="4439D0FA" w14:textId="4794AB36" w:rsidR="003A2AFF" w:rsidRPr="00004BC0" w:rsidRDefault="001B7069" w:rsidP="00387487">
      <w:pPr>
        <w:pStyle w:val="SingleTxtG"/>
        <w:rPr>
          <w:b/>
          <w:bCs/>
        </w:rPr>
      </w:pPr>
      <w:r w:rsidRPr="00004BC0">
        <w:t>48</w:t>
      </w:r>
      <w:r w:rsidR="003A2AFF" w:rsidRPr="00004BC0">
        <w:t>.</w:t>
      </w:r>
      <w:r w:rsidR="003A2AFF" w:rsidRPr="00004BC0">
        <w:tab/>
      </w:r>
      <w:r w:rsidR="003A2AFF" w:rsidRPr="00004BC0">
        <w:rPr>
          <w:b/>
          <w:bCs/>
        </w:rPr>
        <w:t xml:space="preserve">L’État partie devrait diffuser largement le texte du Pacte, de son </w:t>
      </w:r>
      <w:r w:rsidR="00887328" w:rsidRPr="00004BC0">
        <w:rPr>
          <w:b/>
          <w:bCs/>
        </w:rPr>
        <w:t>cinquième</w:t>
      </w:r>
      <w:r w:rsidR="003A2AFF" w:rsidRPr="00004BC0">
        <w:rPr>
          <w:b/>
          <w:bCs/>
        </w:rPr>
        <w:t xml:space="preserve"> rapport périodique et des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w:t>
      </w:r>
    </w:p>
    <w:p w14:paraId="7912E800" w14:textId="6421479D" w:rsidR="003A2AFF" w:rsidRPr="00004BC0" w:rsidRDefault="001B7069" w:rsidP="009B1370">
      <w:pPr>
        <w:pStyle w:val="SingleTxtG"/>
        <w:rPr>
          <w:b/>
          <w:bCs/>
        </w:rPr>
      </w:pPr>
      <w:r w:rsidRPr="00004BC0">
        <w:t>49</w:t>
      </w:r>
      <w:r w:rsidR="003A2AFF" w:rsidRPr="00004BC0">
        <w:t>.</w:t>
      </w:r>
      <w:r w:rsidR="003A2AFF" w:rsidRPr="00004BC0">
        <w:rPr>
          <w:b/>
        </w:rPr>
        <w:tab/>
      </w:r>
      <w:r w:rsidR="003A2AFF" w:rsidRPr="00004BC0">
        <w:rPr>
          <w:b/>
          <w:bCs/>
        </w:rPr>
        <w:t xml:space="preserve">Conformément au paragraphe 1 de l’article 75 du règlement intérieur du Comité, l’État partie est invité à faire parvenir, le </w:t>
      </w:r>
      <w:r w:rsidR="0011053C" w:rsidRPr="00004BC0">
        <w:rPr>
          <w:b/>
          <w:bCs/>
        </w:rPr>
        <w:t>8 novembre</w:t>
      </w:r>
      <w:r w:rsidR="003A2AFF" w:rsidRPr="00004BC0">
        <w:rPr>
          <w:b/>
          <w:bCs/>
        </w:rPr>
        <w:t xml:space="preserve"> 2021 au plus tard, des renseignements sur la suite qu’il aura donnée aux recommandations formulées aux paragraphes </w:t>
      </w:r>
      <w:r w:rsidR="000808E6" w:rsidRPr="00004BC0">
        <w:rPr>
          <w:b/>
          <w:bCs/>
        </w:rPr>
        <w:t>27 (décès en détention), 33 (réfugiés et demandeurs d’asile) et 4</w:t>
      </w:r>
      <w:r w:rsidRPr="00004BC0">
        <w:rPr>
          <w:b/>
          <w:bCs/>
        </w:rPr>
        <w:t>1</w:t>
      </w:r>
      <w:r w:rsidR="000808E6" w:rsidRPr="00004BC0">
        <w:rPr>
          <w:b/>
          <w:bCs/>
        </w:rPr>
        <w:t xml:space="preserve"> (exploitation et maltraitance des enfants)</w:t>
      </w:r>
      <w:r w:rsidR="00114F73" w:rsidRPr="00004BC0">
        <w:rPr>
          <w:b/>
          <w:bCs/>
        </w:rPr>
        <w:t>.</w:t>
      </w:r>
    </w:p>
    <w:p w14:paraId="39B46C34" w14:textId="13900084" w:rsidR="00875A85" w:rsidRPr="00875A85" w:rsidRDefault="001B7069" w:rsidP="00185745">
      <w:pPr>
        <w:pStyle w:val="SingleTxtG"/>
        <w:rPr>
          <w:b/>
        </w:rPr>
      </w:pPr>
      <w:r w:rsidRPr="00600E2D">
        <w:rPr>
          <w:bCs/>
        </w:rPr>
        <w:lastRenderedPageBreak/>
        <w:t>50</w:t>
      </w:r>
      <w:r w:rsidR="003A2AFF" w:rsidRPr="00600E2D">
        <w:rPr>
          <w:bCs/>
        </w:rPr>
        <w:t>.</w:t>
      </w:r>
      <w:r w:rsidR="003A2AFF" w:rsidRPr="00004BC0">
        <w:rPr>
          <w:b/>
        </w:rPr>
        <w:tab/>
      </w:r>
      <w:r w:rsidR="00875A85" w:rsidRPr="00004BC0">
        <w:rPr>
          <w:b/>
        </w:rPr>
        <w:t>En conformité avec le cycle d’examen prévisible du Comité, l’</w:t>
      </w:r>
      <w:r w:rsidR="00A46B77" w:rsidRPr="00004BC0">
        <w:rPr>
          <w:b/>
        </w:rPr>
        <w:t>État</w:t>
      </w:r>
      <w:r w:rsidR="00875A85" w:rsidRPr="00004BC0">
        <w:rPr>
          <w:b/>
        </w:rPr>
        <w:t xml:space="preserve"> partie recevra </w:t>
      </w:r>
      <w:r w:rsidR="00185745" w:rsidRPr="00004BC0">
        <w:rPr>
          <w:b/>
        </w:rPr>
        <w:t xml:space="preserve">du Comité </w:t>
      </w:r>
      <w:r w:rsidR="00875A85" w:rsidRPr="00004BC0">
        <w:rPr>
          <w:b/>
        </w:rPr>
        <w:t xml:space="preserve">en 2025 la liste de points à traiter avant </w:t>
      </w:r>
      <w:r w:rsidR="009B1370" w:rsidRPr="00004BC0">
        <w:rPr>
          <w:b/>
        </w:rPr>
        <w:t>soumission</w:t>
      </w:r>
      <w:r w:rsidR="00875A85" w:rsidRPr="00004BC0">
        <w:rPr>
          <w:b/>
        </w:rPr>
        <w:t xml:space="preserve"> du rapport et aura un an pour soumettre ses réponses à la liste de points, qui constituer</w:t>
      </w:r>
      <w:r w:rsidR="009B1370" w:rsidRPr="00004BC0">
        <w:rPr>
          <w:b/>
        </w:rPr>
        <w:t>ont</w:t>
      </w:r>
      <w:r w:rsidR="00875A85" w:rsidRPr="00004BC0">
        <w:rPr>
          <w:b/>
        </w:rPr>
        <w:t xml:space="preserve"> </w:t>
      </w:r>
      <w:r w:rsidR="009B1370" w:rsidRPr="00004BC0">
        <w:rPr>
          <w:b/>
        </w:rPr>
        <w:t>son</w:t>
      </w:r>
      <w:r w:rsidR="00875A85" w:rsidRPr="00004BC0">
        <w:rPr>
          <w:b/>
        </w:rPr>
        <w:t xml:space="preserve"> </w:t>
      </w:r>
      <w:r w:rsidR="009B1370" w:rsidRPr="00004BC0">
        <w:rPr>
          <w:b/>
        </w:rPr>
        <w:t>sixi</w:t>
      </w:r>
      <w:r w:rsidR="00875A85" w:rsidRPr="00004BC0">
        <w:rPr>
          <w:b/>
        </w:rPr>
        <w:t>ème rapport périodique. Le Comité demande également à l’</w:t>
      </w:r>
      <w:r w:rsidR="00A46B77" w:rsidRPr="00004BC0">
        <w:rPr>
          <w:b/>
        </w:rPr>
        <w:t>État</w:t>
      </w:r>
      <w:r w:rsidR="00875A85" w:rsidRPr="00004BC0">
        <w:rPr>
          <w:b/>
        </w:rPr>
        <w:t xml:space="preserve"> partie de consulter largement la société civile et les organisations non</w:t>
      </w:r>
      <w:r w:rsidR="009B1370" w:rsidRPr="00004BC0">
        <w:rPr>
          <w:b/>
        </w:rPr>
        <w:t xml:space="preserve"> </w:t>
      </w:r>
      <w:r w:rsidR="00875A85" w:rsidRPr="00004BC0">
        <w:rPr>
          <w:b/>
        </w:rPr>
        <w:t xml:space="preserve">gouvernementales </w:t>
      </w:r>
      <w:r w:rsidR="009B1370" w:rsidRPr="00004BC0">
        <w:rPr>
          <w:b/>
        </w:rPr>
        <w:t>œuvrant</w:t>
      </w:r>
      <w:r w:rsidR="00875A85" w:rsidRPr="00004BC0">
        <w:rPr>
          <w:b/>
        </w:rPr>
        <w:t xml:space="preserve"> dans le pays </w:t>
      </w:r>
      <w:r w:rsidR="009B1370" w:rsidRPr="00004BC0">
        <w:rPr>
          <w:b/>
        </w:rPr>
        <w:t>lors de la préparation de</w:t>
      </w:r>
      <w:r w:rsidR="00875A85" w:rsidRPr="00004BC0">
        <w:rPr>
          <w:b/>
        </w:rPr>
        <w:t xml:space="preserve"> son rapport. En conformité avec la résolution</w:t>
      </w:r>
      <w:r w:rsidR="009B1370" w:rsidRPr="00004BC0">
        <w:rPr>
          <w:b/>
        </w:rPr>
        <w:t> 68/268</w:t>
      </w:r>
      <w:r w:rsidR="00875A85" w:rsidRPr="00004BC0">
        <w:rPr>
          <w:b/>
        </w:rPr>
        <w:t xml:space="preserve"> de l’Assemblée générale, la limite </w:t>
      </w:r>
      <w:r w:rsidR="004A6700" w:rsidRPr="00004BC0">
        <w:rPr>
          <w:b/>
        </w:rPr>
        <w:t>fixée</w:t>
      </w:r>
      <w:r w:rsidR="00875A85" w:rsidRPr="00004BC0">
        <w:rPr>
          <w:b/>
        </w:rPr>
        <w:t xml:space="preserve"> pour </w:t>
      </w:r>
      <w:r w:rsidR="004A6700" w:rsidRPr="00004BC0">
        <w:rPr>
          <w:b/>
        </w:rPr>
        <w:t>ce</w:t>
      </w:r>
      <w:r w:rsidR="00875A85" w:rsidRPr="00004BC0">
        <w:rPr>
          <w:b/>
        </w:rPr>
        <w:t xml:space="preserve"> rapport est </w:t>
      </w:r>
      <w:r w:rsidR="004A6700" w:rsidRPr="00004BC0">
        <w:rPr>
          <w:b/>
        </w:rPr>
        <w:t>de</w:t>
      </w:r>
      <w:r w:rsidR="00875A85" w:rsidRPr="00004BC0">
        <w:rPr>
          <w:b/>
        </w:rPr>
        <w:t xml:space="preserve"> 21</w:t>
      </w:r>
      <w:r w:rsidR="004A6700" w:rsidRPr="00004BC0">
        <w:rPr>
          <w:b/>
        </w:rPr>
        <w:t> </w:t>
      </w:r>
      <w:r w:rsidR="00875A85" w:rsidRPr="00004BC0">
        <w:rPr>
          <w:b/>
        </w:rPr>
        <w:t>200 mots. Le prochain dialogue constructif avec l’</w:t>
      </w:r>
      <w:r w:rsidR="00A46B77" w:rsidRPr="00004BC0">
        <w:rPr>
          <w:b/>
        </w:rPr>
        <w:t>État</w:t>
      </w:r>
      <w:r w:rsidR="00875A85" w:rsidRPr="00004BC0">
        <w:rPr>
          <w:b/>
        </w:rPr>
        <w:t xml:space="preserve"> partie se tiendra </w:t>
      </w:r>
      <w:r w:rsidR="00185745" w:rsidRPr="00004BC0">
        <w:rPr>
          <w:b/>
        </w:rPr>
        <w:t>en </w:t>
      </w:r>
      <w:r w:rsidR="00875A85" w:rsidRPr="00004BC0">
        <w:rPr>
          <w:b/>
        </w:rPr>
        <w:t>2027</w:t>
      </w:r>
      <w:r w:rsidR="004A6700" w:rsidRPr="00004BC0">
        <w:rPr>
          <w:b/>
        </w:rPr>
        <w:t>,</w:t>
      </w:r>
      <w:r w:rsidR="00875A85" w:rsidRPr="00004BC0">
        <w:rPr>
          <w:b/>
        </w:rPr>
        <w:t xml:space="preserve"> à Genève.</w:t>
      </w:r>
    </w:p>
    <w:p w14:paraId="4D915AC6" w14:textId="1670713E" w:rsidR="003A2AFF" w:rsidRPr="0076091B" w:rsidRDefault="0076091B" w:rsidP="00600E2D">
      <w:pPr>
        <w:spacing w:before="240"/>
        <w:ind w:left="1134" w:right="1134"/>
        <w:jc w:val="center"/>
      </w:pPr>
      <w:r>
        <w:rPr>
          <w:u w:val="single"/>
        </w:rPr>
        <w:tab/>
      </w:r>
      <w:r>
        <w:rPr>
          <w:u w:val="single"/>
        </w:rPr>
        <w:tab/>
      </w:r>
      <w:r>
        <w:rPr>
          <w:u w:val="single"/>
        </w:rPr>
        <w:tab/>
      </w:r>
      <w:r>
        <w:rPr>
          <w:u w:val="single"/>
        </w:rPr>
        <w:tab/>
      </w:r>
    </w:p>
    <w:sectPr w:rsidR="003A2AFF" w:rsidRPr="0076091B" w:rsidSect="00DA253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EB76D" w14:textId="77777777" w:rsidR="00600E2D" w:rsidRDefault="00600E2D" w:rsidP="00F95C08">
      <w:pPr>
        <w:spacing w:line="240" w:lineRule="auto"/>
      </w:pPr>
    </w:p>
  </w:endnote>
  <w:endnote w:type="continuationSeparator" w:id="0">
    <w:p w14:paraId="6753D9C5" w14:textId="77777777" w:rsidR="00600E2D" w:rsidRPr="00AC3823" w:rsidRDefault="00600E2D" w:rsidP="00AC3823">
      <w:pPr>
        <w:pStyle w:val="Pieddepage"/>
      </w:pPr>
    </w:p>
  </w:endnote>
  <w:endnote w:type="continuationNotice" w:id="1">
    <w:p w14:paraId="377F1396" w14:textId="77777777" w:rsidR="00600E2D" w:rsidRDefault="00600E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4D2F" w14:textId="56A63B6C" w:rsidR="00600E2D" w:rsidRDefault="00600E2D"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373F73">
      <w:rPr>
        <w:b/>
        <w:noProof/>
        <w:sz w:val="18"/>
      </w:rPr>
      <w:t>2</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B354" w14:textId="0B9D9BB9" w:rsidR="00600E2D" w:rsidRDefault="00600E2D"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373F73">
      <w:rPr>
        <w:b/>
        <w:noProof/>
        <w:sz w:val="18"/>
      </w:rPr>
      <w:t>9</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D0D6" w14:textId="6CC60786" w:rsidR="00600E2D" w:rsidRPr="00D62FF9" w:rsidRDefault="003F30BF" w:rsidP="00D62FF9">
    <w:pPr>
      <w:pStyle w:val="Pieddepage"/>
      <w:spacing w:before="120"/>
      <w:rPr>
        <w:sz w:val="20"/>
      </w:rPr>
    </w:pPr>
    <w:r w:rsidRPr="00D62FF9">
      <w:rPr>
        <w:rFonts w:ascii="C39T30Lfz" w:hAnsi="C39T30Lfz"/>
        <w:noProof/>
        <w:sz w:val="56"/>
        <w:lang w:eastAsia="fr-CH"/>
      </w:rPr>
      <w:drawing>
        <wp:anchor distT="0" distB="0" distL="114300" distR="114300" simplePos="0" relativeHeight="251657216" behindDoc="0" locked="0" layoutInCell="1" allowOverlap="0" wp14:anchorId="0FFB2264" wp14:editId="6B30B109">
          <wp:simplePos x="0" y="0"/>
          <wp:positionH relativeFrom="margin">
            <wp:posOffset>4330065</wp:posOffset>
          </wp:positionH>
          <wp:positionV relativeFrom="margin">
            <wp:posOffset>9090660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FF9">
      <w:rPr>
        <w:sz w:val="20"/>
      </w:rPr>
      <w:t>GE.19-21325  (F)</w:t>
    </w:r>
    <w:r w:rsidR="00D62FF9">
      <w:rPr>
        <w:sz w:val="20"/>
      </w:rPr>
      <w:br/>
    </w:r>
    <w:r w:rsidR="00D62FF9" w:rsidRPr="00D62FF9">
      <w:rPr>
        <w:rFonts w:ascii="C39T30Lfz" w:hAnsi="C39T30Lfz"/>
        <w:sz w:val="56"/>
      </w:rPr>
      <w:t></w:t>
    </w:r>
    <w:r w:rsidR="00D62FF9" w:rsidRPr="00D62FF9">
      <w:rPr>
        <w:rFonts w:ascii="C39T30Lfz" w:hAnsi="C39T30Lfz"/>
        <w:sz w:val="56"/>
      </w:rPr>
      <w:t></w:t>
    </w:r>
    <w:r w:rsidR="00D62FF9" w:rsidRPr="00D62FF9">
      <w:rPr>
        <w:rFonts w:ascii="C39T30Lfz" w:hAnsi="C39T30Lfz"/>
        <w:sz w:val="56"/>
      </w:rPr>
      <w:t></w:t>
    </w:r>
    <w:r w:rsidR="00D62FF9" w:rsidRPr="00D62FF9">
      <w:rPr>
        <w:rFonts w:ascii="C39T30Lfz" w:hAnsi="C39T30Lfz"/>
        <w:sz w:val="56"/>
      </w:rPr>
      <w:t></w:t>
    </w:r>
    <w:r w:rsidR="00D62FF9" w:rsidRPr="00D62FF9">
      <w:rPr>
        <w:rFonts w:ascii="C39T30Lfz" w:hAnsi="C39T30Lfz"/>
        <w:sz w:val="56"/>
      </w:rPr>
      <w:t></w:t>
    </w:r>
    <w:r w:rsidR="00D62FF9" w:rsidRPr="00D62FF9">
      <w:rPr>
        <w:rFonts w:ascii="C39T30Lfz" w:hAnsi="C39T30Lfz"/>
        <w:sz w:val="56"/>
      </w:rPr>
      <w:t></w:t>
    </w:r>
    <w:r w:rsidR="00D62FF9" w:rsidRPr="00D62FF9">
      <w:rPr>
        <w:rFonts w:ascii="C39T30Lfz" w:hAnsi="C39T30Lfz"/>
        <w:sz w:val="56"/>
      </w:rPr>
      <w:t></w:t>
    </w:r>
    <w:r w:rsidR="00D62FF9" w:rsidRPr="00D62FF9">
      <w:rPr>
        <w:rFonts w:ascii="C39T30Lfz" w:hAnsi="C39T30Lfz"/>
        <w:sz w:val="56"/>
      </w:rPr>
      <w:t></w:t>
    </w:r>
    <w:r w:rsidR="00D62FF9" w:rsidRPr="00D62FF9">
      <w:rPr>
        <w:rFonts w:ascii="C39T30Lfz" w:hAnsi="C39T30Lfz"/>
        <w:sz w:val="56"/>
      </w:rPr>
      <w:t></w:t>
    </w:r>
    <w:r w:rsidR="00D62FF9">
      <w:rPr>
        <w:noProof/>
        <w:sz w:val="20"/>
      </w:rPr>
      <w:drawing>
        <wp:anchor distT="0" distB="0" distL="114300" distR="114300" simplePos="0" relativeHeight="251658240" behindDoc="0" locked="0" layoutInCell="1" allowOverlap="1" wp14:anchorId="021371A3" wp14:editId="6F8AB36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SEN/C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EN/C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9547" w14:textId="77777777" w:rsidR="00600E2D" w:rsidRPr="00AC3823" w:rsidRDefault="00600E2D" w:rsidP="00AC3823">
      <w:pPr>
        <w:pStyle w:val="Pieddepage"/>
        <w:tabs>
          <w:tab w:val="right" w:pos="2155"/>
        </w:tabs>
        <w:spacing w:after="80" w:line="240" w:lineRule="atLeast"/>
        <w:ind w:left="680"/>
        <w:rPr>
          <w:u w:val="single"/>
        </w:rPr>
      </w:pPr>
      <w:r>
        <w:rPr>
          <w:u w:val="single"/>
        </w:rPr>
        <w:tab/>
      </w:r>
    </w:p>
  </w:footnote>
  <w:footnote w:type="continuationSeparator" w:id="0">
    <w:p w14:paraId="26A6B99C" w14:textId="77777777" w:rsidR="00600E2D" w:rsidRPr="00AC3823" w:rsidRDefault="00600E2D" w:rsidP="00AC3823">
      <w:pPr>
        <w:pStyle w:val="Pieddepage"/>
        <w:tabs>
          <w:tab w:val="right" w:pos="2155"/>
        </w:tabs>
        <w:spacing w:after="80" w:line="240" w:lineRule="atLeast"/>
        <w:ind w:left="680"/>
        <w:rPr>
          <w:u w:val="single"/>
        </w:rPr>
      </w:pPr>
      <w:r>
        <w:rPr>
          <w:u w:val="single"/>
        </w:rPr>
        <w:tab/>
      </w:r>
    </w:p>
  </w:footnote>
  <w:footnote w:type="continuationNotice" w:id="1">
    <w:p w14:paraId="4DD7CC78" w14:textId="77777777" w:rsidR="00600E2D" w:rsidRPr="00AC3823" w:rsidRDefault="00600E2D">
      <w:pPr>
        <w:spacing w:line="240" w:lineRule="auto"/>
        <w:rPr>
          <w:sz w:val="2"/>
          <w:szCs w:val="2"/>
        </w:rPr>
      </w:pPr>
    </w:p>
  </w:footnote>
  <w:footnote w:id="2">
    <w:p w14:paraId="40AFA4A8" w14:textId="23E1EA9A" w:rsidR="00600E2D" w:rsidRPr="001038A0" w:rsidRDefault="00600E2D" w:rsidP="00DE27B8">
      <w:pPr>
        <w:pStyle w:val="Notedebasdepage"/>
        <w:rPr>
          <w:lang w:val="fr-FR"/>
        </w:rPr>
      </w:pPr>
      <w:r>
        <w:rPr>
          <w:rStyle w:val="Appelnotedebasdep"/>
        </w:rPr>
        <w:tab/>
      </w:r>
      <w:r w:rsidRPr="001038A0">
        <w:rPr>
          <w:rStyle w:val="Appelnotedebasdep"/>
          <w:sz w:val="20"/>
          <w:vertAlign w:val="baseline"/>
        </w:rPr>
        <w:t>*</w:t>
      </w:r>
      <w:r>
        <w:rPr>
          <w:rStyle w:val="Appelnotedebasdep"/>
          <w:sz w:val="20"/>
          <w:vertAlign w:val="baseline"/>
        </w:rPr>
        <w:tab/>
      </w:r>
      <w:r>
        <w:rPr>
          <w:lang w:eastAsia="en-GB"/>
        </w:rPr>
        <w:t>Adoptées par le Comité à sa 127</w:t>
      </w:r>
      <w:r w:rsidRPr="00600E2D">
        <w:rPr>
          <w:vertAlign w:val="superscript"/>
          <w:lang w:eastAsia="en-GB"/>
        </w:rPr>
        <w:t>e</w:t>
      </w:r>
      <w:r>
        <w:rPr>
          <w:lang w:eastAsia="en-GB"/>
        </w:rPr>
        <w:t xml:space="preserve"> session (14 octobre-8 novembre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0DB8" w14:textId="324A4244" w:rsidR="00600E2D" w:rsidRDefault="005A23F3">
    <w:pPr>
      <w:pStyle w:val="En-tte"/>
    </w:pPr>
    <w:r>
      <w:fldChar w:fldCharType="begin"/>
    </w:r>
    <w:r>
      <w:instrText xml:space="preserve"> DOCPROPERTY  symh  \* MERGEFORMAT </w:instrText>
    </w:r>
    <w:r>
      <w:fldChar w:fldCharType="separate"/>
    </w:r>
    <w:r>
      <w:t>CCPR/C/SEN/CO/5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3E0F" w14:textId="6BF58F4D" w:rsidR="00600E2D" w:rsidRDefault="005A23F3" w:rsidP="005B6BC9">
    <w:pPr>
      <w:pStyle w:val="En-tte"/>
      <w:jc w:val="right"/>
    </w:pPr>
    <w:r>
      <w:fldChar w:fldCharType="begin"/>
    </w:r>
    <w:r>
      <w:instrText xml:space="preserve"> DOCPROPERTY  symh  \* MERGEFORMAT </w:instrText>
    </w:r>
    <w:r>
      <w:fldChar w:fldCharType="separate"/>
    </w:r>
    <w:r>
      <w:t>CCPR/C/SEN/CO/5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75ED3"/>
    <w:multiLevelType w:val="hybridMultilevel"/>
    <w:tmpl w:val="0CC41516"/>
    <w:lvl w:ilvl="0" w:tplc="5FC696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81103F"/>
    <w:multiLevelType w:val="hybridMultilevel"/>
    <w:tmpl w:val="98F43932"/>
    <w:lvl w:ilvl="0" w:tplc="B190510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CD86D46"/>
    <w:multiLevelType w:val="hybridMultilevel"/>
    <w:tmpl w:val="E5B27C48"/>
    <w:lvl w:ilvl="0" w:tplc="875EA9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32AC5C5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B63541"/>
    <w:multiLevelType w:val="hybridMultilevel"/>
    <w:tmpl w:val="5D34EABC"/>
    <w:lvl w:ilvl="0" w:tplc="ECFC2094">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B040DD1"/>
    <w:multiLevelType w:val="hybridMultilevel"/>
    <w:tmpl w:val="067645B2"/>
    <w:lvl w:ilvl="0" w:tplc="15E2D45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1323D09"/>
    <w:multiLevelType w:val="hybridMultilevel"/>
    <w:tmpl w:val="E1E22D5A"/>
    <w:lvl w:ilvl="0" w:tplc="D45A12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14B7D53"/>
    <w:multiLevelType w:val="hybridMultilevel"/>
    <w:tmpl w:val="F8625196"/>
    <w:lvl w:ilvl="0" w:tplc="021AE9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39D65B8"/>
    <w:multiLevelType w:val="hybridMultilevel"/>
    <w:tmpl w:val="FB941DB8"/>
    <w:lvl w:ilvl="0" w:tplc="602015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98F5F9F"/>
    <w:multiLevelType w:val="hybridMultilevel"/>
    <w:tmpl w:val="6C683660"/>
    <w:lvl w:ilvl="0" w:tplc="D85E50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ACF4EB2"/>
    <w:multiLevelType w:val="hybridMultilevel"/>
    <w:tmpl w:val="803024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DCC4F2D"/>
    <w:multiLevelType w:val="hybridMultilevel"/>
    <w:tmpl w:val="A91AE558"/>
    <w:lvl w:ilvl="0" w:tplc="0DF01DCE">
      <w:start w:val="6"/>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38145D5"/>
    <w:multiLevelType w:val="hybridMultilevel"/>
    <w:tmpl w:val="B8DEA65C"/>
    <w:lvl w:ilvl="0" w:tplc="A2CC1C64">
      <w:start w:val="1"/>
      <w:numFmt w:val="lowerLetter"/>
      <w:lvlText w:val="%1)"/>
      <w:lvlJc w:val="left"/>
      <w:pPr>
        <w:ind w:left="1495" w:hanging="360"/>
      </w:pPr>
      <w:rPr>
        <w:rFonts w:ascii="Times New Roman" w:eastAsiaTheme="minorHAnsi" w:hAnsi="Times New Roman" w:cs="Times New Roman"/>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15:restartNumberingAfterBreak="0">
    <w:nsid w:val="54632AA6"/>
    <w:multiLevelType w:val="hybridMultilevel"/>
    <w:tmpl w:val="E89E9E52"/>
    <w:lvl w:ilvl="0" w:tplc="9408655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8AD07B2"/>
    <w:multiLevelType w:val="hybridMultilevel"/>
    <w:tmpl w:val="64BC20A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2D34A6E"/>
    <w:multiLevelType w:val="hybridMultilevel"/>
    <w:tmpl w:val="90A0B116"/>
    <w:lvl w:ilvl="0" w:tplc="D32A8E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4"/>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20"/>
  </w:num>
  <w:num w:numId="16">
    <w:abstractNumId w:val="13"/>
  </w:num>
  <w:num w:numId="17">
    <w:abstractNumId w:val="24"/>
  </w:num>
  <w:num w:numId="18">
    <w:abstractNumId w:val="20"/>
  </w:num>
  <w:num w:numId="19">
    <w:abstractNumId w:val="13"/>
  </w:num>
  <w:num w:numId="20">
    <w:abstractNumId w:val="21"/>
  </w:num>
  <w:num w:numId="21">
    <w:abstractNumId w:val="18"/>
  </w:num>
  <w:num w:numId="22">
    <w:abstractNumId w:val="22"/>
  </w:num>
  <w:num w:numId="23">
    <w:abstractNumId w:val="19"/>
  </w:num>
  <w:num w:numId="24">
    <w:abstractNumId w:val="12"/>
  </w:num>
  <w:num w:numId="25">
    <w:abstractNumId w:val="23"/>
  </w:num>
  <w:num w:numId="26">
    <w:abstractNumId w:val="17"/>
  </w:num>
  <w:num w:numId="27">
    <w:abstractNumId w:val="15"/>
  </w:num>
  <w:num w:numId="28">
    <w:abstractNumId w:val="16"/>
  </w:num>
  <w:num w:numId="29">
    <w:abstractNumId w:val="11"/>
  </w:num>
  <w:num w:numId="30">
    <w:abstractNumId w:val="14"/>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proofState w:spelling="clean"/>
  <w:defaultTabStop w:val="567"/>
  <w:hyphenationZone w:val="425"/>
  <w:evenAndOddHeaders/>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442D42-6F2E-438D-BA25-957BF1CDDADE}"/>
    <w:docVar w:name="dgnword-eventsink" w:val="1701231739744"/>
  </w:docVars>
  <w:rsids>
    <w:rsidRoot w:val="00FE4E9D"/>
    <w:rsid w:val="00004BC0"/>
    <w:rsid w:val="000117FD"/>
    <w:rsid w:val="00017F94"/>
    <w:rsid w:val="00023842"/>
    <w:rsid w:val="0003262A"/>
    <w:rsid w:val="000334F9"/>
    <w:rsid w:val="000416A2"/>
    <w:rsid w:val="000428A9"/>
    <w:rsid w:val="0005016E"/>
    <w:rsid w:val="00065CBF"/>
    <w:rsid w:val="000714FD"/>
    <w:rsid w:val="0007796D"/>
    <w:rsid w:val="000808E6"/>
    <w:rsid w:val="00083CEF"/>
    <w:rsid w:val="000860BB"/>
    <w:rsid w:val="000A06C6"/>
    <w:rsid w:val="000A104B"/>
    <w:rsid w:val="000A6509"/>
    <w:rsid w:val="000B42C5"/>
    <w:rsid w:val="000B7790"/>
    <w:rsid w:val="000C1293"/>
    <w:rsid w:val="000C2875"/>
    <w:rsid w:val="000C3723"/>
    <w:rsid w:val="000C390E"/>
    <w:rsid w:val="000D1A91"/>
    <w:rsid w:val="000D24AC"/>
    <w:rsid w:val="000D3361"/>
    <w:rsid w:val="000D6818"/>
    <w:rsid w:val="00100134"/>
    <w:rsid w:val="001038A0"/>
    <w:rsid w:val="001067B9"/>
    <w:rsid w:val="0011053C"/>
    <w:rsid w:val="00111F2F"/>
    <w:rsid w:val="00114F73"/>
    <w:rsid w:val="00117602"/>
    <w:rsid w:val="0012278A"/>
    <w:rsid w:val="0012282E"/>
    <w:rsid w:val="0014365E"/>
    <w:rsid w:val="001459C9"/>
    <w:rsid w:val="00150DB2"/>
    <w:rsid w:val="0015187B"/>
    <w:rsid w:val="001622AA"/>
    <w:rsid w:val="00163AEF"/>
    <w:rsid w:val="00176178"/>
    <w:rsid w:val="00185745"/>
    <w:rsid w:val="001972C1"/>
    <w:rsid w:val="001A0A7F"/>
    <w:rsid w:val="001A5EA8"/>
    <w:rsid w:val="001A6279"/>
    <w:rsid w:val="001B1B39"/>
    <w:rsid w:val="001B2F20"/>
    <w:rsid w:val="001B665B"/>
    <w:rsid w:val="001B7069"/>
    <w:rsid w:val="001B75CC"/>
    <w:rsid w:val="001C79D6"/>
    <w:rsid w:val="001D5ADF"/>
    <w:rsid w:val="001D64AF"/>
    <w:rsid w:val="001E04B6"/>
    <w:rsid w:val="001E4958"/>
    <w:rsid w:val="001E498C"/>
    <w:rsid w:val="001F525A"/>
    <w:rsid w:val="001F6FB3"/>
    <w:rsid w:val="00205563"/>
    <w:rsid w:val="002061B8"/>
    <w:rsid w:val="002139D3"/>
    <w:rsid w:val="00214CB3"/>
    <w:rsid w:val="00221F58"/>
    <w:rsid w:val="00223272"/>
    <w:rsid w:val="00231E82"/>
    <w:rsid w:val="0024779E"/>
    <w:rsid w:val="00250B0F"/>
    <w:rsid w:val="00252AF3"/>
    <w:rsid w:val="00271C03"/>
    <w:rsid w:val="00291F1D"/>
    <w:rsid w:val="0029425D"/>
    <w:rsid w:val="002A0540"/>
    <w:rsid w:val="002B3924"/>
    <w:rsid w:val="002D340A"/>
    <w:rsid w:val="002D762A"/>
    <w:rsid w:val="002E3B3F"/>
    <w:rsid w:val="002F251D"/>
    <w:rsid w:val="0030019C"/>
    <w:rsid w:val="00300DF4"/>
    <w:rsid w:val="00301290"/>
    <w:rsid w:val="00315C18"/>
    <w:rsid w:val="0031736B"/>
    <w:rsid w:val="00331B5E"/>
    <w:rsid w:val="00345EE1"/>
    <w:rsid w:val="00347998"/>
    <w:rsid w:val="00353ED5"/>
    <w:rsid w:val="00362AB0"/>
    <w:rsid w:val="00363BF5"/>
    <w:rsid w:val="0037014C"/>
    <w:rsid w:val="00373F73"/>
    <w:rsid w:val="003835CE"/>
    <w:rsid w:val="00385393"/>
    <w:rsid w:val="00387487"/>
    <w:rsid w:val="0039005B"/>
    <w:rsid w:val="00392EF4"/>
    <w:rsid w:val="003A2AFF"/>
    <w:rsid w:val="003B67D2"/>
    <w:rsid w:val="003B6D47"/>
    <w:rsid w:val="003C2E20"/>
    <w:rsid w:val="003D099A"/>
    <w:rsid w:val="003D1AD0"/>
    <w:rsid w:val="003D28CB"/>
    <w:rsid w:val="003F1369"/>
    <w:rsid w:val="003F30BF"/>
    <w:rsid w:val="003F3FE2"/>
    <w:rsid w:val="00410FF2"/>
    <w:rsid w:val="0041336D"/>
    <w:rsid w:val="0042072E"/>
    <w:rsid w:val="004210D2"/>
    <w:rsid w:val="00426496"/>
    <w:rsid w:val="00431827"/>
    <w:rsid w:val="004326D8"/>
    <w:rsid w:val="00435FB2"/>
    <w:rsid w:val="00437041"/>
    <w:rsid w:val="00446FE5"/>
    <w:rsid w:val="00452396"/>
    <w:rsid w:val="00463E70"/>
    <w:rsid w:val="00470737"/>
    <w:rsid w:val="00475149"/>
    <w:rsid w:val="00484F44"/>
    <w:rsid w:val="00485DCB"/>
    <w:rsid w:val="00494BBC"/>
    <w:rsid w:val="00496F19"/>
    <w:rsid w:val="004A408B"/>
    <w:rsid w:val="004A6700"/>
    <w:rsid w:val="004A7073"/>
    <w:rsid w:val="004B065F"/>
    <w:rsid w:val="004C0BA6"/>
    <w:rsid w:val="004C417A"/>
    <w:rsid w:val="004E4CDF"/>
    <w:rsid w:val="004F0005"/>
    <w:rsid w:val="004F403D"/>
    <w:rsid w:val="004F79A5"/>
    <w:rsid w:val="00504E39"/>
    <w:rsid w:val="005109F2"/>
    <w:rsid w:val="005401F9"/>
    <w:rsid w:val="00541E18"/>
    <w:rsid w:val="005505B7"/>
    <w:rsid w:val="00561DFB"/>
    <w:rsid w:val="00573BE5"/>
    <w:rsid w:val="00582BDD"/>
    <w:rsid w:val="00582D63"/>
    <w:rsid w:val="0058578B"/>
    <w:rsid w:val="00586ED3"/>
    <w:rsid w:val="00593297"/>
    <w:rsid w:val="00596AA9"/>
    <w:rsid w:val="00596FB7"/>
    <w:rsid w:val="005A23F3"/>
    <w:rsid w:val="005B2412"/>
    <w:rsid w:val="005B6BC9"/>
    <w:rsid w:val="005C4E96"/>
    <w:rsid w:val="005C5638"/>
    <w:rsid w:val="005D72B7"/>
    <w:rsid w:val="005E0375"/>
    <w:rsid w:val="005E2B17"/>
    <w:rsid w:val="005E60AD"/>
    <w:rsid w:val="005E6CD9"/>
    <w:rsid w:val="005E79B7"/>
    <w:rsid w:val="0060001E"/>
    <w:rsid w:val="00600E2D"/>
    <w:rsid w:val="006056E0"/>
    <w:rsid w:val="00613A58"/>
    <w:rsid w:val="006404B7"/>
    <w:rsid w:val="00645E87"/>
    <w:rsid w:val="006601BC"/>
    <w:rsid w:val="0066068E"/>
    <w:rsid w:val="00674F20"/>
    <w:rsid w:val="00683FBF"/>
    <w:rsid w:val="00684555"/>
    <w:rsid w:val="006910CE"/>
    <w:rsid w:val="00691E90"/>
    <w:rsid w:val="006A48C8"/>
    <w:rsid w:val="006B26B5"/>
    <w:rsid w:val="006B6E41"/>
    <w:rsid w:val="006C34D2"/>
    <w:rsid w:val="006D44E0"/>
    <w:rsid w:val="006D728E"/>
    <w:rsid w:val="006E47F8"/>
    <w:rsid w:val="006F2249"/>
    <w:rsid w:val="007038DA"/>
    <w:rsid w:val="00706E82"/>
    <w:rsid w:val="00714747"/>
    <w:rsid w:val="0071601D"/>
    <w:rsid w:val="00717869"/>
    <w:rsid w:val="00720883"/>
    <w:rsid w:val="00723D1E"/>
    <w:rsid w:val="007313E9"/>
    <w:rsid w:val="007430A2"/>
    <w:rsid w:val="00744B31"/>
    <w:rsid w:val="007477BF"/>
    <w:rsid w:val="00753FB1"/>
    <w:rsid w:val="0076091B"/>
    <w:rsid w:val="00766CEC"/>
    <w:rsid w:val="00767FA2"/>
    <w:rsid w:val="007A462B"/>
    <w:rsid w:val="007A62E6"/>
    <w:rsid w:val="007B19EA"/>
    <w:rsid w:val="007B6F16"/>
    <w:rsid w:val="007C2B78"/>
    <w:rsid w:val="007E6128"/>
    <w:rsid w:val="007F04C2"/>
    <w:rsid w:val="007F13ED"/>
    <w:rsid w:val="007F6B7A"/>
    <w:rsid w:val="00803A76"/>
    <w:rsid w:val="0080684C"/>
    <w:rsid w:val="00815502"/>
    <w:rsid w:val="0081596B"/>
    <w:rsid w:val="00817B80"/>
    <w:rsid w:val="0082329B"/>
    <w:rsid w:val="00824D57"/>
    <w:rsid w:val="00833CB7"/>
    <w:rsid w:val="008361E6"/>
    <w:rsid w:val="008410CC"/>
    <w:rsid w:val="00861FC1"/>
    <w:rsid w:val="00867D17"/>
    <w:rsid w:val="008702DA"/>
    <w:rsid w:val="00871C75"/>
    <w:rsid w:val="00875A85"/>
    <w:rsid w:val="008776DC"/>
    <w:rsid w:val="00887328"/>
    <w:rsid w:val="0089347D"/>
    <w:rsid w:val="008966FD"/>
    <w:rsid w:val="008A0E26"/>
    <w:rsid w:val="008B3B03"/>
    <w:rsid w:val="008B5061"/>
    <w:rsid w:val="008C08D3"/>
    <w:rsid w:val="008C5ADC"/>
    <w:rsid w:val="008C6C1B"/>
    <w:rsid w:val="008C7952"/>
    <w:rsid w:val="008D3F2E"/>
    <w:rsid w:val="008D7F97"/>
    <w:rsid w:val="008F2494"/>
    <w:rsid w:val="008F5D35"/>
    <w:rsid w:val="00926C5D"/>
    <w:rsid w:val="00940712"/>
    <w:rsid w:val="0095038B"/>
    <w:rsid w:val="00952AD7"/>
    <w:rsid w:val="00957790"/>
    <w:rsid w:val="009639B0"/>
    <w:rsid w:val="009705C8"/>
    <w:rsid w:val="009728E8"/>
    <w:rsid w:val="009733F7"/>
    <w:rsid w:val="009803E2"/>
    <w:rsid w:val="00981901"/>
    <w:rsid w:val="00986028"/>
    <w:rsid w:val="009942D8"/>
    <w:rsid w:val="00994D0A"/>
    <w:rsid w:val="00996895"/>
    <w:rsid w:val="009A05CD"/>
    <w:rsid w:val="009A747E"/>
    <w:rsid w:val="009B1370"/>
    <w:rsid w:val="009C1085"/>
    <w:rsid w:val="009C3205"/>
    <w:rsid w:val="009D45BB"/>
    <w:rsid w:val="009E06AD"/>
    <w:rsid w:val="009F0004"/>
    <w:rsid w:val="009F2CCE"/>
    <w:rsid w:val="009F5CB9"/>
    <w:rsid w:val="009F65C5"/>
    <w:rsid w:val="00A0220E"/>
    <w:rsid w:val="00A03A81"/>
    <w:rsid w:val="00A201C2"/>
    <w:rsid w:val="00A21341"/>
    <w:rsid w:val="00A33169"/>
    <w:rsid w:val="00A33DAC"/>
    <w:rsid w:val="00A377FF"/>
    <w:rsid w:val="00A409FA"/>
    <w:rsid w:val="00A41291"/>
    <w:rsid w:val="00A46B77"/>
    <w:rsid w:val="00A5344A"/>
    <w:rsid w:val="00A569DC"/>
    <w:rsid w:val="00A62319"/>
    <w:rsid w:val="00A67E01"/>
    <w:rsid w:val="00A72915"/>
    <w:rsid w:val="00A84D0B"/>
    <w:rsid w:val="00A90EE9"/>
    <w:rsid w:val="00A93E77"/>
    <w:rsid w:val="00AA236A"/>
    <w:rsid w:val="00AA69DF"/>
    <w:rsid w:val="00AC3823"/>
    <w:rsid w:val="00AC7C7A"/>
    <w:rsid w:val="00AD6C78"/>
    <w:rsid w:val="00AE2A62"/>
    <w:rsid w:val="00AE323C"/>
    <w:rsid w:val="00AE55B9"/>
    <w:rsid w:val="00B00181"/>
    <w:rsid w:val="00B002C4"/>
    <w:rsid w:val="00B0478F"/>
    <w:rsid w:val="00B12931"/>
    <w:rsid w:val="00B15B73"/>
    <w:rsid w:val="00B21B53"/>
    <w:rsid w:val="00B33DFE"/>
    <w:rsid w:val="00B368B0"/>
    <w:rsid w:val="00B43C66"/>
    <w:rsid w:val="00B66D12"/>
    <w:rsid w:val="00B765F7"/>
    <w:rsid w:val="00B80BD3"/>
    <w:rsid w:val="00BA0CA9"/>
    <w:rsid w:val="00BA3189"/>
    <w:rsid w:val="00BA773D"/>
    <w:rsid w:val="00BB7A00"/>
    <w:rsid w:val="00BC03D8"/>
    <w:rsid w:val="00BC4CFE"/>
    <w:rsid w:val="00BC7E03"/>
    <w:rsid w:val="00BD02CB"/>
    <w:rsid w:val="00BD30CD"/>
    <w:rsid w:val="00BD3A90"/>
    <w:rsid w:val="00BD493B"/>
    <w:rsid w:val="00BE31CA"/>
    <w:rsid w:val="00BE4745"/>
    <w:rsid w:val="00BF3C2C"/>
    <w:rsid w:val="00C02897"/>
    <w:rsid w:val="00C02B10"/>
    <w:rsid w:val="00C0481E"/>
    <w:rsid w:val="00C04DBC"/>
    <w:rsid w:val="00C0536F"/>
    <w:rsid w:val="00C05FAC"/>
    <w:rsid w:val="00C165A3"/>
    <w:rsid w:val="00C16DBB"/>
    <w:rsid w:val="00C205CA"/>
    <w:rsid w:val="00C245E6"/>
    <w:rsid w:val="00C261FD"/>
    <w:rsid w:val="00C33E8E"/>
    <w:rsid w:val="00C42472"/>
    <w:rsid w:val="00C454D2"/>
    <w:rsid w:val="00C54ED5"/>
    <w:rsid w:val="00C6442C"/>
    <w:rsid w:val="00C71AAB"/>
    <w:rsid w:val="00C83225"/>
    <w:rsid w:val="00C838F6"/>
    <w:rsid w:val="00C85EDC"/>
    <w:rsid w:val="00C879EA"/>
    <w:rsid w:val="00C87DEA"/>
    <w:rsid w:val="00C91AE6"/>
    <w:rsid w:val="00CA18A2"/>
    <w:rsid w:val="00CA3912"/>
    <w:rsid w:val="00CA7503"/>
    <w:rsid w:val="00CB2A6A"/>
    <w:rsid w:val="00CB58D5"/>
    <w:rsid w:val="00CC2887"/>
    <w:rsid w:val="00CD60A1"/>
    <w:rsid w:val="00CF0FE8"/>
    <w:rsid w:val="00CF1D16"/>
    <w:rsid w:val="00D00DEE"/>
    <w:rsid w:val="00D02F73"/>
    <w:rsid w:val="00D270E5"/>
    <w:rsid w:val="00D3439C"/>
    <w:rsid w:val="00D44089"/>
    <w:rsid w:val="00D5087E"/>
    <w:rsid w:val="00D62FF9"/>
    <w:rsid w:val="00D72318"/>
    <w:rsid w:val="00D76F7A"/>
    <w:rsid w:val="00D82329"/>
    <w:rsid w:val="00D8430F"/>
    <w:rsid w:val="00DA21C9"/>
    <w:rsid w:val="00DA22F4"/>
    <w:rsid w:val="00DA2534"/>
    <w:rsid w:val="00DA3715"/>
    <w:rsid w:val="00DA7434"/>
    <w:rsid w:val="00DA7525"/>
    <w:rsid w:val="00DB1831"/>
    <w:rsid w:val="00DD3BFD"/>
    <w:rsid w:val="00DD657B"/>
    <w:rsid w:val="00DE27B8"/>
    <w:rsid w:val="00DE5BB4"/>
    <w:rsid w:val="00DE6AC6"/>
    <w:rsid w:val="00DF0775"/>
    <w:rsid w:val="00DF6678"/>
    <w:rsid w:val="00DF7386"/>
    <w:rsid w:val="00E018E1"/>
    <w:rsid w:val="00E0623C"/>
    <w:rsid w:val="00E140DB"/>
    <w:rsid w:val="00E15F45"/>
    <w:rsid w:val="00E1634D"/>
    <w:rsid w:val="00E16D66"/>
    <w:rsid w:val="00E22CF2"/>
    <w:rsid w:val="00E43096"/>
    <w:rsid w:val="00E47E50"/>
    <w:rsid w:val="00E506F1"/>
    <w:rsid w:val="00E51EE1"/>
    <w:rsid w:val="00E52D9F"/>
    <w:rsid w:val="00E55839"/>
    <w:rsid w:val="00E656CC"/>
    <w:rsid w:val="00E813CC"/>
    <w:rsid w:val="00E82DD9"/>
    <w:rsid w:val="00E9203D"/>
    <w:rsid w:val="00EA0791"/>
    <w:rsid w:val="00EA4D06"/>
    <w:rsid w:val="00EB0773"/>
    <w:rsid w:val="00EB34F6"/>
    <w:rsid w:val="00EE12D5"/>
    <w:rsid w:val="00F01051"/>
    <w:rsid w:val="00F04C24"/>
    <w:rsid w:val="00F164B0"/>
    <w:rsid w:val="00F16B65"/>
    <w:rsid w:val="00F23073"/>
    <w:rsid w:val="00F32137"/>
    <w:rsid w:val="00F42A64"/>
    <w:rsid w:val="00F43810"/>
    <w:rsid w:val="00F46F91"/>
    <w:rsid w:val="00F50CCA"/>
    <w:rsid w:val="00F55636"/>
    <w:rsid w:val="00F5743B"/>
    <w:rsid w:val="00F64ADD"/>
    <w:rsid w:val="00F655AE"/>
    <w:rsid w:val="00F660DF"/>
    <w:rsid w:val="00F66F28"/>
    <w:rsid w:val="00F80094"/>
    <w:rsid w:val="00F87945"/>
    <w:rsid w:val="00F95C08"/>
    <w:rsid w:val="00F96CC7"/>
    <w:rsid w:val="00F978CA"/>
    <w:rsid w:val="00FA119F"/>
    <w:rsid w:val="00FA3B3A"/>
    <w:rsid w:val="00FA66E5"/>
    <w:rsid w:val="00FB7679"/>
    <w:rsid w:val="00FC6AA5"/>
    <w:rsid w:val="00FD1135"/>
    <w:rsid w:val="00FE099F"/>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D6FA65E"/>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4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484F44"/>
    <w:pPr>
      <w:keepNext/>
      <w:keepLines/>
      <w:spacing w:after="0" w:line="240" w:lineRule="auto"/>
      <w:ind w:right="0"/>
      <w:jc w:val="left"/>
      <w:outlineLvl w:val="0"/>
    </w:pPr>
  </w:style>
  <w:style w:type="paragraph" w:styleId="Titre2">
    <w:name w:val="heading 2"/>
    <w:basedOn w:val="Normal"/>
    <w:next w:val="Normal"/>
    <w:link w:val="Titre2Car"/>
    <w:semiHidden/>
    <w:qFormat/>
    <w:rsid w:val="00484F44"/>
    <w:pPr>
      <w:outlineLvl w:val="1"/>
    </w:pPr>
  </w:style>
  <w:style w:type="paragraph" w:styleId="Titre3">
    <w:name w:val="heading 3"/>
    <w:basedOn w:val="Normal"/>
    <w:next w:val="Normal"/>
    <w:link w:val="Titre3Car"/>
    <w:semiHidden/>
    <w:qFormat/>
    <w:rsid w:val="00484F44"/>
    <w:pPr>
      <w:outlineLvl w:val="2"/>
    </w:pPr>
  </w:style>
  <w:style w:type="paragraph" w:styleId="Titre4">
    <w:name w:val="heading 4"/>
    <w:basedOn w:val="Normal"/>
    <w:next w:val="Normal"/>
    <w:link w:val="Titre4Car"/>
    <w:semiHidden/>
    <w:qFormat/>
    <w:rsid w:val="00484F44"/>
    <w:pPr>
      <w:outlineLvl w:val="3"/>
    </w:pPr>
  </w:style>
  <w:style w:type="paragraph" w:styleId="Titre5">
    <w:name w:val="heading 5"/>
    <w:basedOn w:val="Normal"/>
    <w:next w:val="Normal"/>
    <w:link w:val="Titre5Car"/>
    <w:semiHidden/>
    <w:qFormat/>
    <w:rsid w:val="00484F44"/>
    <w:pPr>
      <w:outlineLvl w:val="4"/>
    </w:pPr>
  </w:style>
  <w:style w:type="paragraph" w:styleId="Titre6">
    <w:name w:val="heading 6"/>
    <w:basedOn w:val="Normal"/>
    <w:next w:val="Normal"/>
    <w:link w:val="Titre6Car"/>
    <w:semiHidden/>
    <w:qFormat/>
    <w:rsid w:val="00484F44"/>
    <w:pPr>
      <w:outlineLvl w:val="5"/>
    </w:pPr>
  </w:style>
  <w:style w:type="paragraph" w:styleId="Titre7">
    <w:name w:val="heading 7"/>
    <w:basedOn w:val="Normal"/>
    <w:next w:val="Normal"/>
    <w:link w:val="Titre7Car"/>
    <w:semiHidden/>
    <w:qFormat/>
    <w:rsid w:val="00484F44"/>
    <w:pPr>
      <w:outlineLvl w:val="6"/>
    </w:pPr>
  </w:style>
  <w:style w:type="paragraph" w:styleId="Titre8">
    <w:name w:val="heading 8"/>
    <w:basedOn w:val="Normal"/>
    <w:next w:val="Normal"/>
    <w:link w:val="Titre8Car"/>
    <w:semiHidden/>
    <w:qFormat/>
    <w:rsid w:val="00484F44"/>
    <w:pPr>
      <w:outlineLvl w:val="7"/>
    </w:pPr>
  </w:style>
  <w:style w:type="paragraph" w:styleId="Titre9">
    <w:name w:val="heading 9"/>
    <w:basedOn w:val="Normal"/>
    <w:next w:val="Normal"/>
    <w:link w:val="Titre9Car"/>
    <w:semiHidden/>
    <w:qFormat/>
    <w:rsid w:val="00484F4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84F4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84F44"/>
    <w:rPr>
      <w:rFonts w:ascii="Times New Roman" w:hAnsi="Times New Roman" w:cs="Times New Roman"/>
      <w:b/>
      <w:sz w:val="18"/>
      <w:szCs w:val="20"/>
    </w:rPr>
  </w:style>
  <w:style w:type="paragraph" w:styleId="Pieddepage">
    <w:name w:val="footer"/>
    <w:aliases w:val="3_G"/>
    <w:basedOn w:val="Normal"/>
    <w:next w:val="Normal"/>
    <w:link w:val="PieddepageCar"/>
    <w:qFormat/>
    <w:rsid w:val="00484F44"/>
    <w:pPr>
      <w:spacing w:line="240" w:lineRule="auto"/>
    </w:pPr>
    <w:rPr>
      <w:sz w:val="16"/>
    </w:rPr>
  </w:style>
  <w:style w:type="character" w:customStyle="1" w:styleId="PieddepageCar">
    <w:name w:val="Pied de page Car"/>
    <w:aliases w:val="3_G Car"/>
    <w:basedOn w:val="Policepardfaut"/>
    <w:link w:val="Pieddepage"/>
    <w:rsid w:val="00484F44"/>
    <w:rPr>
      <w:rFonts w:ascii="Times New Roman" w:hAnsi="Times New Roman" w:cs="Times New Roman"/>
      <w:sz w:val="16"/>
      <w:szCs w:val="20"/>
    </w:rPr>
  </w:style>
  <w:style w:type="paragraph" w:customStyle="1" w:styleId="HMG">
    <w:name w:val="_ H __M_G"/>
    <w:basedOn w:val="Normal"/>
    <w:next w:val="Normal"/>
    <w:qFormat/>
    <w:rsid w:val="00484F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84F4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84F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84F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4F4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4F4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84F44"/>
    <w:pPr>
      <w:spacing w:after="120"/>
      <w:ind w:left="1134" w:right="1134"/>
      <w:jc w:val="both"/>
    </w:pPr>
  </w:style>
  <w:style w:type="paragraph" w:customStyle="1" w:styleId="SLG">
    <w:name w:val="__S_L_G"/>
    <w:basedOn w:val="Normal"/>
    <w:next w:val="Normal"/>
    <w:rsid w:val="00484F44"/>
    <w:pPr>
      <w:keepNext/>
      <w:keepLines/>
      <w:spacing w:before="240" w:after="240" w:line="580" w:lineRule="exact"/>
      <w:ind w:left="1134" w:right="1134"/>
    </w:pPr>
    <w:rPr>
      <w:b/>
      <w:sz w:val="56"/>
    </w:rPr>
  </w:style>
  <w:style w:type="paragraph" w:customStyle="1" w:styleId="SMG">
    <w:name w:val="__S_M_G"/>
    <w:basedOn w:val="Normal"/>
    <w:next w:val="Normal"/>
    <w:rsid w:val="00484F44"/>
    <w:pPr>
      <w:keepNext/>
      <w:keepLines/>
      <w:spacing w:before="240" w:after="240" w:line="420" w:lineRule="exact"/>
      <w:ind w:left="1134" w:right="1134"/>
    </w:pPr>
    <w:rPr>
      <w:b/>
      <w:sz w:val="40"/>
    </w:rPr>
  </w:style>
  <w:style w:type="paragraph" w:customStyle="1" w:styleId="SSG">
    <w:name w:val="__S_S_G"/>
    <w:basedOn w:val="Normal"/>
    <w:next w:val="Normal"/>
    <w:rsid w:val="00484F44"/>
    <w:pPr>
      <w:keepNext/>
      <w:keepLines/>
      <w:spacing w:before="240" w:after="240" w:line="300" w:lineRule="exact"/>
      <w:ind w:left="1134" w:right="1134"/>
    </w:pPr>
    <w:rPr>
      <w:b/>
      <w:sz w:val="28"/>
    </w:rPr>
  </w:style>
  <w:style w:type="paragraph" w:customStyle="1" w:styleId="XLargeG">
    <w:name w:val="__XLarge_G"/>
    <w:basedOn w:val="Normal"/>
    <w:next w:val="Normal"/>
    <w:rsid w:val="00484F44"/>
    <w:pPr>
      <w:keepNext/>
      <w:keepLines/>
      <w:spacing w:before="240" w:after="240" w:line="420" w:lineRule="exact"/>
      <w:ind w:left="1134" w:right="1134"/>
    </w:pPr>
    <w:rPr>
      <w:b/>
      <w:sz w:val="40"/>
    </w:rPr>
  </w:style>
  <w:style w:type="paragraph" w:customStyle="1" w:styleId="Bullet1G">
    <w:name w:val="_Bullet 1_G"/>
    <w:basedOn w:val="Normal"/>
    <w:qFormat/>
    <w:rsid w:val="00484F44"/>
    <w:pPr>
      <w:numPr>
        <w:numId w:val="17"/>
      </w:numPr>
      <w:spacing w:after="120"/>
      <w:ind w:right="1134"/>
      <w:jc w:val="both"/>
    </w:pPr>
  </w:style>
  <w:style w:type="paragraph" w:customStyle="1" w:styleId="Bullet2G">
    <w:name w:val="_Bullet 2_G"/>
    <w:basedOn w:val="Normal"/>
    <w:qFormat/>
    <w:rsid w:val="00484F44"/>
    <w:pPr>
      <w:numPr>
        <w:numId w:val="18"/>
      </w:numPr>
      <w:spacing w:after="120"/>
      <w:ind w:right="1134"/>
      <w:jc w:val="both"/>
    </w:pPr>
  </w:style>
  <w:style w:type="paragraph" w:customStyle="1" w:styleId="ParNoG">
    <w:name w:val="_ParNo_G"/>
    <w:basedOn w:val="Normal"/>
    <w:qFormat/>
    <w:rsid w:val="00484F44"/>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84F44"/>
    <w:rPr>
      <w:rFonts w:ascii="Times New Roman" w:hAnsi="Times New Roman"/>
      <w:sz w:val="18"/>
      <w:vertAlign w:val="superscript"/>
      <w:lang w:val="fr-CH"/>
    </w:rPr>
  </w:style>
  <w:style w:type="character" w:styleId="Appeldenotedefin">
    <w:name w:val="endnote reference"/>
    <w:aliases w:val="1_G"/>
    <w:basedOn w:val="Appelnotedebasdep"/>
    <w:qFormat/>
    <w:rsid w:val="00484F44"/>
    <w:rPr>
      <w:rFonts w:ascii="Times New Roman" w:hAnsi="Times New Roman"/>
      <w:sz w:val="18"/>
      <w:vertAlign w:val="superscript"/>
      <w:lang w:val="fr-CH"/>
    </w:rPr>
  </w:style>
  <w:style w:type="table" w:styleId="Grilledutableau">
    <w:name w:val="Table Grid"/>
    <w:basedOn w:val="TableauNormal"/>
    <w:rsid w:val="00484F44"/>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4F44"/>
    <w:rPr>
      <w:color w:val="0000FF"/>
      <w:u w:val="none"/>
    </w:rPr>
  </w:style>
  <w:style w:type="character" w:styleId="Lienhypertextesuivivisit">
    <w:name w:val="FollowedHyperlink"/>
    <w:basedOn w:val="Policepardfaut"/>
    <w:unhideWhenUsed/>
    <w:rsid w:val="00484F44"/>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84F44"/>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84F44"/>
    <w:rPr>
      <w:rFonts w:ascii="Times New Roman" w:hAnsi="Times New Roman" w:cs="Times New Roman"/>
      <w:sz w:val="18"/>
      <w:szCs w:val="20"/>
    </w:rPr>
  </w:style>
  <w:style w:type="paragraph" w:styleId="Notedefin">
    <w:name w:val="endnote text"/>
    <w:aliases w:val="2_G"/>
    <w:basedOn w:val="Notedebasdepage"/>
    <w:link w:val="NotedefinCar"/>
    <w:qFormat/>
    <w:rsid w:val="00484F44"/>
  </w:style>
  <w:style w:type="character" w:customStyle="1" w:styleId="NotedefinCar">
    <w:name w:val="Note de fin Car"/>
    <w:aliases w:val="2_G Car"/>
    <w:basedOn w:val="Policepardfaut"/>
    <w:link w:val="Notedefin"/>
    <w:rsid w:val="00484F44"/>
    <w:rPr>
      <w:rFonts w:ascii="Times New Roman" w:hAnsi="Times New Roman" w:cs="Times New Roman"/>
      <w:sz w:val="18"/>
      <w:szCs w:val="20"/>
    </w:rPr>
  </w:style>
  <w:style w:type="character" w:styleId="Numrodepage">
    <w:name w:val="page number"/>
    <w:aliases w:val="7_G"/>
    <w:basedOn w:val="Policepardfaut"/>
    <w:qFormat/>
    <w:rsid w:val="00484F44"/>
    <w:rPr>
      <w:rFonts w:ascii="Times New Roman" w:hAnsi="Times New Roman"/>
      <w:b/>
      <w:sz w:val="18"/>
      <w:lang w:val="fr-CH"/>
    </w:rPr>
  </w:style>
  <w:style w:type="character" w:customStyle="1" w:styleId="Titre1Car">
    <w:name w:val="Titre 1 Car"/>
    <w:aliases w:val="Table_G Car"/>
    <w:basedOn w:val="Policepardfaut"/>
    <w:link w:val="Titre1"/>
    <w:rsid w:val="00484F44"/>
    <w:rPr>
      <w:rFonts w:ascii="Times New Roman" w:hAnsi="Times New Roman" w:cs="Times New Roman"/>
      <w:sz w:val="20"/>
      <w:szCs w:val="20"/>
    </w:rPr>
  </w:style>
  <w:style w:type="character" w:customStyle="1" w:styleId="Titre2Car">
    <w:name w:val="Titre 2 Car"/>
    <w:basedOn w:val="Policepardfaut"/>
    <w:link w:val="Titre2"/>
    <w:semiHidden/>
    <w:rsid w:val="00484F44"/>
    <w:rPr>
      <w:rFonts w:ascii="Times New Roman" w:hAnsi="Times New Roman" w:cs="Times New Roman"/>
      <w:sz w:val="20"/>
      <w:szCs w:val="20"/>
    </w:rPr>
  </w:style>
  <w:style w:type="character" w:customStyle="1" w:styleId="Titre3Car">
    <w:name w:val="Titre 3 Car"/>
    <w:basedOn w:val="Policepardfaut"/>
    <w:link w:val="Titre3"/>
    <w:semiHidden/>
    <w:rsid w:val="00484F44"/>
    <w:rPr>
      <w:rFonts w:ascii="Times New Roman" w:hAnsi="Times New Roman" w:cs="Times New Roman"/>
      <w:sz w:val="20"/>
      <w:szCs w:val="20"/>
    </w:rPr>
  </w:style>
  <w:style w:type="character" w:customStyle="1" w:styleId="Titre4Car">
    <w:name w:val="Titre 4 Car"/>
    <w:basedOn w:val="Policepardfaut"/>
    <w:link w:val="Titre4"/>
    <w:semiHidden/>
    <w:rsid w:val="00484F44"/>
    <w:rPr>
      <w:rFonts w:ascii="Times New Roman" w:hAnsi="Times New Roman" w:cs="Times New Roman"/>
      <w:sz w:val="20"/>
      <w:szCs w:val="20"/>
    </w:rPr>
  </w:style>
  <w:style w:type="character" w:customStyle="1" w:styleId="Titre5Car">
    <w:name w:val="Titre 5 Car"/>
    <w:basedOn w:val="Policepardfaut"/>
    <w:link w:val="Titre5"/>
    <w:semiHidden/>
    <w:rsid w:val="00484F44"/>
    <w:rPr>
      <w:rFonts w:ascii="Times New Roman" w:hAnsi="Times New Roman" w:cs="Times New Roman"/>
      <w:sz w:val="20"/>
      <w:szCs w:val="20"/>
    </w:rPr>
  </w:style>
  <w:style w:type="character" w:customStyle="1" w:styleId="Titre6Car">
    <w:name w:val="Titre 6 Car"/>
    <w:basedOn w:val="Policepardfaut"/>
    <w:link w:val="Titre6"/>
    <w:semiHidden/>
    <w:rsid w:val="00484F44"/>
    <w:rPr>
      <w:rFonts w:ascii="Times New Roman" w:hAnsi="Times New Roman" w:cs="Times New Roman"/>
      <w:sz w:val="20"/>
      <w:szCs w:val="20"/>
    </w:rPr>
  </w:style>
  <w:style w:type="character" w:customStyle="1" w:styleId="Titre7Car">
    <w:name w:val="Titre 7 Car"/>
    <w:basedOn w:val="Policepardfaut"/>
    <w:link w:val="Titre7"/>
    <w:semiHidden/>
    <w:rsid w:val="00484F44"/>
    <w:rPr>
      <w:rFonts w:ascii="Times New Roman" w:hAnsi="Times New Roman" w:cs="Times New Roman"/>
      <w:sz w:val="20"/>
      <w:szCs w:val="20"/>
    </w:rPr>
  </w:style>
  <w:style w:type="character" w:customStyle="1" w:styleId="Titre8Car">
    <w:name w:val="Titre 8 Car"/>
    <w:basedOn w:val="Policepardfaut"/>
    <w:link w:val="Titre8"/>
    <w:semiHidden/>
    <w:rsid w:val="00484F44"/>
    <w:rPr>
      <w:rFonts w:ascii="Times New Roman" w:hAnsi="Times New Roman" w:cs="Times New Roman"/>
      <w:sz w:val="20"/>
      <w:szCs w:val="20"/>
    </w:rPr>
  </w:style>
  <w:style w:type="character" w:customStyle="1" w:styleId="Titre9Car">
    <w:name w:val="Titre 9 Car"/>
    <w:basedOn w:val="Policepardfaut"/>
    <w:link w:val="Titre9"/>
    <w:semiHidden/>
    <w:rsid w:val="00484F44"/>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uiPriority w:val="99"/>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paragraph" w:styleId="Paragraphedeliste">
    <w:name w:val="List Paragraph"/>
    <w:basedOn w:val="Normal"/>
    <w:uiPriority w:val="34"/>
    <w:semiHidden/>
    <w:qFormat/>
    <w:rsid w:val="007F04C2"/>
    <w:pPr>
      <w:ind w:left="720"/>
      <w:contextualSpacing/>
    </w:pPr>
  </w:style>
  <w:style w:type="character" w:styleId="Marquedecommentaire">
    <w:name w:val="annotation reference"/>
    <w:basedOn w:val="Policepardfaut"/>
    <w:uiPriority w:val="99"/>
    <w:semiHidden/>
    <w:unhideWhenUsed/>
    <w:rsid w:val="0011053C"/>
    <w:rPr>
      <w:sz w:val="16"/>
      <w:szCs w:val="16"/>
    </w:rPr>
  </w:style>
  <w:style w:type="paragraph" w:styleId="Commentaire">
    <w:name w:val="annotation text"/>
    <w:basedOn w:val="Normal"/>
    <w:link w:val="CommentaireCar"/>
    <w:uiPriority w:val="99"/>
    <w:semiHidden/>
    <w:unhideWhenUsed/>
    <w:rsid w:val="0011053C"/>
    <w:pPr>
      <w:spacing w:line="240" w:lineRule="auto"/>
    </w:pPr>
  </w:style>
  <w:style w:type="character" w:customStyle="1" w:styleId="CommentaireCar">
    <w:name w:val="Commentaire Car"/>
    <w:basedOn w:val="Policepardfaut"/>
    <w:link w:val="Commentaire"/>
    <w:uiPriority w:val="99"/>
    <w:semiHidden/>
    <w:rsid w:val="0011053C"/>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1053C"/>
    <w:rPr>
      <w:b/>
      <w:bCs/>
    </w:rPr>
  </w:style>
  <w:style w:type="character" w:customStyle="1" w:styleId="ObjetducommentaireCar">
    <w:name w:val="Objet du commentaire Car"/>
    <w:basedOn w:val="CommentaireCar"/>
    <w:link w:val="Objetducommentaire"/>
    <w:uiPriority w:val="99"/>
    <w:semiHidden/>
    <w:rsid w:val="0011053C"/>
    <w:rPr>
      <w:rFonts w:ascii="Times New Roman" w:hAnsi="Times New Roman" w:cs="Times New Roman"/>
      <w:b/>
      <w:bCs/>
      <w:sz w:val="20"/>
      <w:szCs w:val="20"/>
    </w:rPr>
  </w:style>
  <w:style w:type="character" w:styleId="lev">
    <w:name w:val="Strong"/>
    <w:basedOn w:val="Policepardfaut"/>
    <w:uiPriority w:val="22"/>
    <w:qFormat/>
    <w:rsid w:val="008B5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434489">
      <w:bodyDiv w:val="1"/>
      <w:marLeft w:val="0"/>
      <w:marRight w:val="0"/>
      <w:marTop w:val="0"/>
      <w:marBottom w:val="0"/>
      <w:divBdr>
        <w:top w:val="none" w:sz="0" w:space="0" w:color="auto"/>
        <w:left w:val="none" w:sz="0" w:space="0" w:color="auto"/>
        <w:bottom w:val="none" w:sz="0" w:space="0" w:color="auto"/>
        <w:right w:val="none" w:sz="0" w:space="0" w:color="auto"/>
      </w:divBdr>
    </w:div>
    <w:div w:id="16914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25EC-6E42-4D69-AB31-CFAF3ABF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5040</Words>
  <Characters>30240</Characters>
  <Application>Microsoft Office Word</Application>
  <DocSecurity>0</DocSecurity>
  <Lines>4320</Lines>
  <Paragraphs>1856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CCPR/C/SEN/CO/5</vt:lpstr>
      <vt:lpstr>CCPR/C/SEN/CO/5</vt:lpstr>
      <vt:lpstr>a/hthhhh</vt:lpstr>
    </vt:vector>
  </TitlesOfParts>
  <Company>DCM</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CCPR/C/SEN/CO/5</dc:title>
  <dc:subject/>
  <dc:creator>Gloria de la Rosa</dc:creator>
  <cp:keywords/>
  <dc:description/>
  <cp:lastModifiedBy>Fabienne CRELIER</cp:lastModifiedBy>
  <cp:revision>3</cp:revision>
  <cp:lastPrinted>2019-12-11T14:36:00Z</cp:lastPrinted>
  <dcterms:created xsi:type="dcterms:W3CDTF">2019-12-11T14:36:00Z</dcterms:created>
  <dcterms:modified xsi:type="dcterms:W3CDTF">2019-12-11T14:36:00Z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C/SEN/CO/R.5</vt:lpwstr>
  </property>
  <property fmtid="{D5CDD505-2E9C-101B-9397-08002B2CF9AE}" pid="3" name="symh">
    <vt:lpwstr>CCPR/C/SEN/CO/5</vt:lpwstr>
  </property>
  <property fmtid="{D5CDD505-2E9C-101B-9397-08002B2CF9AE}" pid="4" name="dist">
    <vt:lpwstr>restreinte</vt:lpwstr>
  </property>
  <property fmtid="{D5CDD505-2E9C-101B-9397-08002B2CF9AE}" pid="5" name="date">
    <vt:lpwstr>8 octobre 2019</vt:lpwstr>
  </property>
  <property fmtid="{D5CDD505-2E9C-101B-9397-08002B2CF9AE}" pid="6" name="sdate">
    <vt:lpwstr>14 octobre-8 novembre 2019</vt:lpwstr>
  </property>
  <property fmtid="{D5CDD505-2E9C-101B-9397-08002B2CF9AE}" pid="7" name="virs">
    <vt:lpwstr>Anglais, espagnol et français seulement</vt:lpwstr>
  </property>
  <property fmtid="{D5CDD505-2E9C-101B-9397-08002B2CF9AE}" pid="8" name="snum">
    <vt:lpwstr>127ᵉ</vt:lpwstr>
  </property>
  <property fmtid="{D5CDD505-2E9C-101B-9397-08002B2CF9AE}" pid="9" name="anum">
    <vt:lpwstr>[NUMBER]</vt:lpwstr>
  </property>
  <property fmtid="{D5CDD505-2E9C-101B-9397-08002B2CF9AE}" pid="10" name="count">
    <vt:lpwstr>du Sénégal </vt:lpwstr>
  </property>
  <property fmtid="{D5CDD505-2E9C-101B-9397-08002B2CF9AE}" pid="11" name="countw">
    <vt:lpwstr>Sénégal </vt:lpwstr>
  </property>
  <property fmtid="{D5CDD505-2E9C-101B-9397-08002B2CF9AE}" pid="12" name="countwd">
    <vt:lpwstr>le Sénégal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cinquième rapport périodique du Sénégal </vt:lpwstr>
  </property>
  <property fmtid="{D5CDD505-2E9C-101B-9397-08002B2CF9AE}" pid="19" name="preps">
    <vt:lpwstr>cinquième rapport périodique du Sénégal </vt:lpwstr>
  </property>
  <property fmtid="{D5CDD505-2E9C-101B-9397-08002B2CF9AE}" pid="20" name="prepw">
    <vt:lpwstr>cinquième rapport périodique</vt:lpwstr>
  </property>
  <property fmtid="{D5CDD505-2E9C-101B-9397-08002B2CF9AE}" pid="21" name="prepws">
    <vt:lpwstr>cinquième rapport périodique</vt:lpwstr>
  </property>
  <property fmtid="{D5CDD505-2E9C-101B-9397-08002B2CF9AE}" pid="22" name="prepwc">
    <vt:lpwstr>Cinquième rapport périodique </vt:lpwstr>
  </property>
  <property fmtid="{D5CDD505-2E9C-101B-9397-08002B2CF9AE}" pid="23" name="olang">
    <vt:lpwstr>français</vt:lpwstr>
  </property>
  <property fmtid="{D5CDD505-2E9C-101B-9397-08002B2CF9AE}" pid="24" name="Date-Generated">
    <vt:filetime>2019-09-24T10:30:46Z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Concluding observations</vt:lpwstr>
  </property>
  <property fmtid="{D5CDD505-2E9C-101B-9397-08002B2CF9AE}" pid="29" name="doctype">
    <vt:lpwstr>Draft</vt:lpwstr>
  </property>
  <property fmtid="{D5CDD505-2E9C-101B-9397-08002B2CF9AE}" pid="30" name="category">
    <vt:lpwstr>CCPR</vt:lpwstr>
  </property>
</Properties>
</file>