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AE0432A" w14:textId="77777777" w:rsidTr="00BC3629">
        <w:trPr>
          <w:trHeight w:hRule="exact" w:val="851"/>
        </w:trPr>
        <w:tc>
          <w:tcPr>
            <w:tcW w:w="142" w:type="dxa"/>
            <w:tcBorders>
              <w:bottom w:val="single" w:sz="4" w:space="0" w:color="auto"/>
            </w:tcBorders>
          </w:tcPr>
          <w:p w14:paraId="4AB3E3CA" w14:textId="77777777" w:rsidR="002D5AAC" w:rsidRDefault="002D5AAC" w:rsidP="002B0D0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23699F7"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3BD93EA" w14:textId="77777777" w:rsidR="002D5AAC" w:rsidRDefault="002B0D0F" w:rsidP="002B0D0F">
            <w:pPr>
              <w:jc w:val="right"/>
            </w:pPr>
            <w:r w:rsidRPr="002B0D0F">
              <w:rPr>
                <w:sz w:val="40"/>
              </w:rPr>
              <w:t>CCPR</w:t>
            </w:r>
            <w:r>
              <w:t>/C/SEN/CO/5</w:t>
            </w:r>
          </w:p>
        </w:tc>
      </w:tr>
      <w:tr w:rsidR="002D5AAC" w:rsidRPr="00096C86" w14:paraId="2D18765B" w14:textId="77777777" w:rsidTr="00BC3629">
        <w:trPr>
          <w:trHeight w:hRule="exact" w:val="2835"/>
        </w:trPr>
        <w:tc>
          <w:tcPr>
            <w:tcW w:w="1280" w:type="dxa"/>
            <w:gridSpan w:val="2"/>
            <w:tcBorders>
              <w:top w:val="single" w:sz="4" w:space="0" w:color="auto"/>
              <w:bottom w:val="single" w:sz="12" w:space="0" w:color="auto"/>
            </w:tcBorders>
          </w:tcPr>
          <w:p w14:paraId="587D5CDA" w14:textId="77777777" w:rsidR="002D5AAC" w:rsidRDefault="002E5067" w:rsidP="00BC3629">
            <w:pPr>
              <w:spacing w:before="120"/>
              <w:jc w:val="center"/>
            </w:pPr>
            <w:r>
              <w:rPr>
                <w:noProof/>
                <w:lang w:val="fr-CH" w:eastAsia="fr-CH"/>
              </w:rPr>
              <w:drawing>
                <wp:inline distT="0" distB="0" distL="0" distR="0" wp14:anchorId="6CA605CB" wp14:editId="383921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5FF2AE"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7EDF518" w14:textId="77777777" w:rsidR="002D5AAC" w:rsidRPr="002B0D0F" w:rsidRDefault="002B0D0F" w:rsidP="00BC3629">
            <w:pPr>
              <w:spacing w:before="240"/>
              <w:rPr>
                <w:lang w:val="en-US"/>
              </w:rPr>
            </w:pPr>
            <w:r w:rsidRPr="002B0D0F">
              <w:rPr>
                <w:lang w:val="en-US"/>
              </w:rPr>
              <w:t>Distr.: General</w:t>
            </w:r>
          </w:p>
          <w:p w14:paraId="2EE08B89" w14:textId="77777777" w:rsidR="002B0D0F" w:rsidRPr="002B0D0F" w:rsidRDefault="002B0D0F" w:rsidP="002B0D0F">
            <w:pPr>
              <w:spacing w:line="240" w:lineRule="exact"/>
              <w:rPr>
                <w:lang w:val="en-US"/>
              </w:rPr>
            </w:pPr>
            <w:r w:rsidRPr="002B0D0F">
              <w:rPr>
                <w:lang w:val="en-US"/>
              </w:rPr>
              <w:t>11 December 2019</w:t>
            </w:r>
          </w:p>
          <w:p w14:paraId="7755DD3C" w14:textId="77777777" w:rsidR="002B0D0F" w:rsidRPr="002B0D0F" w:rsidRDefault="002B0D0F" w:rsidP="002B0D0F">
            <w:pPr>
              <w:spacing w:line="240" w:lineRule="exact"/>
              <w:rPr>
                <w:lang w:val="en-US"/>
              </w:rPr>
            </w:pPr>
            <w:r w:rsidRPr="002B0D0F">
              <w:rPr>
                <w:lang w:val="en-US"/>
              </w:rPr>
              <w:t>Russian</w:t>
            </w:r>
          </w:p>
          <w:p w14:paraId="3415382A" w14:textId="77777777" w:rsidR="002B0D0F" w:rsidRPr="002B0D0F" w:rsidRDefault="002B0D0F" w:rsidP="002B0D0F">
            <w:pPr>
              <w:spacing w:line="240" w:lineRule="exact"/>
              <w:rPr>
                <w:lang w:val="en-US"/>
              </w:rPr>
            </w:pPr>
            <w:r w:rsidRPr="002B0D0F">
              <w:rPr>
                <w:lang w:val="en-US"/>
              </w:rPr>
              <w:t>Original: French</w:t>
            </w:r>
            <w:r>
              <w:rPr>
                <w:lang w:val="en-US"/>
              </w:rPr>
              <w:br/>
            </w:r>
            <w:r w:rsidRPr="002B0D0F">
              <w:rPr>
                <w:lang w:val="en-US"/>
              </w:rPr>
              <w:t>English, French and Spanish only</w:t>
            </w:r>
          </w:p>
        </w:tc>
      </w:tr>
    </w:tbl>
    <w:p w14:paraId="1E814565" w14:textId="77777777" w:rsidR="002B0D0F" w:rsidRPr="00C46BFD" w:rsidRDefault="002B0D0F" w:rsidP="002B0D0F">
      <w:pPr>
        <w:spacing w:before="120"/>
        <w:rPr>
          <w:b/>
          <w:sz w:val="24"/>
          <w:szCs w:val="24"/>
        </w:rPr>
      </w:pPr>
      <w:r w:rsidRPr="00C46BFD">
        <w:rPr>
          <w:b/>
          <w:bCs/>
          <w:sz w:val="24"/>
          <w:szCs w:val="24"/>
        </w:rPr>
        <w:t>Комите</w:t>
      </w:r>
      <w:bookmarkStart w:id="0" w:name="_GoBack"/>
      <w:bookmarkEnd w:id="0"/>
      <w:r w:rsidRPr="00C46BFD">
        <w:rPr>
          <w:b/>
          <w:bCs/>
          <w:sz w:val="24"/>
          <w:szCs w:val="24"/>
        </w:rPr>
        <w:t>т по правам человека</w:t>
      </w:r>
    </w:p>
    <w:p w14:paraId="60500057" w14:textId="77777777" w:rsidR="002B0D0F" w:rsidRPr="00C46BFD" w:rsidRDefault="002B0D0F" w:rsidP="002B0D0F">
      <w:pPr>
        <w:pStyle w:val="HChG"/>
      </w:pPr>
      <w:r>
        <w:tab/>
      </w:r>
      <w:r>
        <w:tab/>
      </w:r>
      <w:r>
        <w:rPr>
          <w:bCs/>
        </w:rPr>
        <w:t>Заключительные замечания по пятому периодическому докладу Сенегала</w:t>
      </w:r>
      <w:r w:rsidRPr="002B0D0F">
        <w:rPr>
          <w:rStyle w:val="aa"/>
          <w:b w:val="0"/>
          <w:sz w:val="20"/>
          <w:vertAlign w:val="baseline"/>
        </w:rPr>
        <w:footnoteReference w:customMarkFollows="1" w:id="1"/>
        <w:t>*</w:t>
      </w:r>
    </w:p>
    <w:p w14:paraId="782A02D6" w14:textId="77777777" w:rsidR="002B0D0F" w:rsidRPr="00C46BFD" w:rsidRDefault="002B0D0F" w:rsidP="002B0D0F">
      <w:pPr>
        <w:pStyle w:val="SingleTxtG"/>
        <w:spacing w:line="234" w:lineRule="atLeast"/>
      </w:pPr>
      <w:r>
        <w:t>1.</w:t>
      </w:r>
      <w:r>
        <w:tab/>
        <w:t>Комитет по правам человека рассмотрел пятый периодический доклад Сенегала</w:t>
      </w:r>
      <w:r>
        <w:rPr>
          <w:lang w:val="en-US"/>
        </w:rPr>
        <w:t> </w:t>
      </w:r>
      <w:r>
        <w:t>(CCPR/C/SEN/5) на своих 3649-м и 3650-м заседаниях (см. CCPR/C/SR.3649 и 3650), состоявшихся 14 и 15 октября 2019 года. На своем 3675</w:t>
      </w:r>
      <w:r w:rsidR="00096C86">
        <w:t>-м</w:t>
      </w:r>
      <w:r>
        <w:t xml:space="preserve"> заседании 31 октября 2019</w:t>
      </w:r>
      <w:r>
        <w:rPr>
          <w:lang w:val="en-US"/>
        </w:rPr>
        <w:t> </w:t>
      </w:r>
      <w:r>
        <w:t>года он принял настоящие заключительные замечания.</w:t>
      </w:r>
    </w:p>
    <w:p w14:paraId="7EBBC7E5" w14:textId="77777777" w:rsidR="002B0D0F" w:rsidRPr="00C46BFD" w:rsidRDefault="002B0D0F" w:rsidP="002B0D0F">
      <w:pPr>
        <w:pStyle w:val="H1G"/>
      </w:pPr>
      <w:r>
        <w:tab/>
        <w:t>A.</w:t>
      </w:r>
      <w:r>
        <w:tab/>
      </w:r>
      <w:r>
        <w:rPr>
          <w:bCs/>
        </w:rPr>
        <w:t>Введение</w:t>
      </w:r>
    </w:p>
    <w:p w14:paraId="04F09BA6" w14:textId="77777777" w:rsidR="002B0D0F" w:rsidRPr="00C46BFD" w:rsidRDefault="002B0D0F" w:rsidP="002B0D0F">
      <w:pPr>
        <w:pStyle w:val="SingleTxtG"/>
        <w:spacing w:line="234" w:lineRule="atLeast"/>
      </w:pPr>
      <w:r>
        <w:t>2.</w:t>
      </w:r>
      <w:r>
        <w:tab/>
        <w:t>Комитет выражает признательность государству-участнику за представление, хотя и со значительной задержкой, его пятого периодического доклада.</w:t>
      </w:r>
      <w:r>
        <w:br/>
        <w:t xml:space="preserve">Он с удовлетворением отмечает предоставленную ему возможность наладить с делегацией государства-участника конструктивный диалог о мерах, принятых государством-участником для осуществления положений Пакта. Он также благодарит государство-участник за письменные ответы (CCPR/C/SEN/Q/5/Add.1) на его перечень вопросов (CCPR/C/SEN/Q/5). </w:t>
      </w:r>
    </w:p>
    <w:p w14:paraId="1D8FE1BC" w14:textId="77777777" w:rsidR="002B0D0F" w:rsidRPr="00C46BFD" w:rsidRDefault="002B0D0F" w:rsidP="002B0D0F">
      <w:pPr>
        <w:pStyle w:val="H1G"/>
        <w:spacing w:line="260" w:lineRule="exact"/>
      </w:pPr>
      <w:r>
        <w:tab/>
        <w:t>B.</w:t>
      </w:r>
      <w:r>
        <w:tab/>
      </w:r>
      <w:r>
        <w:rPr>
          <w:bCs/>
        </w:rPr>
        <w:t>Позитивные аспекты</w:t>
      </w:r>
    </w:p>
    <w:p w14:paraId="33D3A624" w14:textId="77777777" w:rsidR="002B0D0F" w:rsidRPr="00C46BFD" w:rsidRDefault="002B0D0F" w:rsidP="002B0D0F">
      <w:pPr>
        <w:pStyle w:val="SingleTxtG"/>
        <w:spacing w:line="234" w:lineRule="atLeast"/>
      </w:pPr>
      <w:r>
        <w:t>3.</w:t>
      </w:r>
      <w:r>
        <w:tab/>
        <w:t>Комитет приветствует следующие законодательные и институциональные меры, принятые государством-участником:</w:t>
      </w:r>
    </w:p>
    <w:p w14:paraId="5999796F" w14:textId="77777777" w:rsidR="002B0D0F" w:rsidRPr="00C46BFD" w:rsidRDefault="002B0D0F" w:rsidP="002B0D0F">
      <w:pPr>
        <w:pStyle w:val="SingleTxtG"/>
        <w:spacing w:line="234" w:lineRule="atLeast"/>
        <w:ind w:firstLine="567"/>
      </w:pPr>
      <w:r>
        <w:t>a)</w:t>
      </w:r>
      <w:r>
        <w:tab/>
        <w:t>Закон № 2004-38 от 28 декабря 2004 года об отмене смертной казни;</w:t>
      </w:r>
    </w:p>
    <w:p w14:paraId="6FD486AA" w14:textId="77777777" w:rsidR="002B0D0F" w:rsidRPr="00C46BFD" w:rsidRDefault="002B0D0F" w:rsidP="002B0D0F">
      <w:pPr>
        <w:pStyle w:val="SingleTxtG"/>
        <w:spacing w:line="234" w:lineRule="atLeast"/>
        <w:ind w:firstLine="567"/>
      </w:pPr>
      <w:r>
        <w:t>b)</w:t>
      </w:r>
      <w:r>
        <w:tab/>
        <w:t xml:space="preserve">Закон № 2010-11 от 28 мая 2010 года об установлении абсолютного гендерного паритета во всех полностью или частично избираемых учреждениях, осуществление которого контролируется Национальным наблюдательным советом по вопросам гендерного паритета; </w:t>
      </w:r>
    </w:p>
    <w:p w14:paraId="473F24D0" w14:textId="77777777" w:rsidR="002B0D0F" w:rsidRPr="00C46BFD" w:rsidRDefault="002B0D0F" w:rsidP="002B0D0F">
      <w:pPr>
        <w:pStyle w:val="SingleTxtG"/>
        <w:spacing w:line="234" w:lineRule="atLeast"/>
        <w:ind w:firstLine="567"/>
      </w:pPr>
      <w:r>
        <w:t>c)</w:t>
      </w:r>
      <w:r>
        <w:tab/>
        <w:t>Закон № 2013-05 от 8 июля 2013 года о внесении поправок</w:t>
      </w:r>
      <w:r>
        <w:br/>
        <w:t>в Закон № 61-10 от 7 марта 1961 года об определении гражданства, который позволяет супругу-иностранцу сенегальской женщины и их детям приобретать гражданство;</w:t>
      </w:r>
    </w:p>
    <w:p w14:paraId="5C741F8B" w14:textId="77777777" w:rsidR="002B0D0F" w:rsidRPr="00C46BFD" w:rsidRDefault="002B0D0F" w:rsidP="002B0D0F">
      <w:pPr>
        <w:pStyle w:val="SingleTxtG"/>
        <w:spacing w:line="234" w:lineRule="atLeast"/>
        <w:ind w:firstLine="567"/>
      </w:pPr>
      <w:r>
        <w:t>d)</w:t>
      </w:r>
      <w:r>
        <w:tab/>
        <w:t>Закон № 2014-26 от 3 ноября 2014 года об организации судебной системы и Декрет № 2015-1039 от 20 июля 2015 года, которые создают суды большой инстанции и суды малой инстанции, палаты по уголовным делам вместо судов присяжных, а также учитывают вопросы отправления правосудия на местах;</w:t>
      </w:r>
    </w:p>
    <w:p w14:paraId="6DEB0B7C" w14:textId="77777777" w:rsidR="002B0D0F" w:rsidRPr="002B0D0F" w:rsidRDefault="002B0D0F" w:rsidP="002B0D0F">
      <w:pPr>
        <w:pStyle w:val="SingleTxtG"/>
        <w:spacing w:line="234" w:lineRule="atLeast"/>
        <w:ind w:firstLine="567"/>
      </w:pPr>
      <w:r w:rsidRPr="002B0D0F">
        <w:t>e)</w:t>
      </w:r>
      <w:r w:rsidRPr="002B0D0F">
        <w:tab/>
        <w:t>Закон № 2016-29 от 8 ноября 2016 года о внесении изменений</w:t>
      </w:r>
      <w:r w:rsidRPr="002B0D0F">
        <w:br/>
        <w:t>в Закон №</w:t>
      </w:r>
      <w:r w:rsidRPr="002B0D0F">
        <w:rPr>
          <w:lang w:val="en-US"/>
        </w:rPr>
        <w:t> </w:t>
      </w:r>
      <w:r w:rsidRPr="002B0D0F">
        <w:t>65-60 от 21 июля 1965 года об Уголовном кодексе, который предусматривает меры наказания, альтернативные тюремному заключению осужденных лиц;</w:t>
      </w:r>
    </w:p>
    <w:p w14:paraId="6D2474C7" w14:textId="77777777" w:rsidR="002B0D0F" w:rsidRPr="00C46BFD" w:rsidRDefault="002B0D0F" w:rsidP="002B0D0F">
      <w:pPr>
        <w:pStyle w:val="SingleTxtG"/>
        <w:ind w:firstLine="567"/>
      </w:pPr>
      <w:r>
        <w:lastRenderedPageBreak/>
        <w:t>f)</w:t>
      </w:r>
      <w:r>
        <w:tab/>
        <w:t>Закон № 2016-30 от 8 ноября 2016 года о внесении изменений</w:t>
      </w:r>
      <w:r w:rsidR="00642D20">
        <w:br/>
      </w:r>
      <w:r>
        <w:t>в Закон №</w:t>
      </w:r>
      <w:r>
        <w:rPr>
          <w:lang w:val="en-US"/>
        </w:rPr>
        <w:t> </w:t>
      </w:r>
      <w:r>
        <w:t>65-61 от 21 июля 1965 года об Уголовно-процессуальном кодексе, который, в частности, укрепляет основные правовые гарантии и вводит практику постоянного проведения заседаний палат по уголовным делам;</w:t>
      </w:r>
    </w:p>
    <w:p w14:paraId="2AA0E351" w14:textId="77777777" w:rsidR="002B0D0F" w:rsidRPr="00C46BFD" w:rsidRDefault="002B0D0F" w:rsidP="002B0D0F">
      <w:pPr>
        <w:pStyle w:val="SingleTxtG"/>
        <w:ind w:firstLine="567"/>
      </w:pPr>
      <w:r>
        <w:t>g)</w:t>
      </w:r>
      <w:r>
        <w:tab/>
        <w:t>Органический закон № 2017-09 от 17 января 2017 года об отмене и замене Органического закона № 2008-35 от 8 августа 2008 года о Верховном суде, который предусматривает процедуру присуждения компенсации жертвам длительного содержания под стражей;</w:t>
      </w:r>
    </w:p>
    <w:p w14:paraId="793D58FD" w14:textId="77777777" w:rsidR="002B0D0F" w:rsidRPr="00C46BFD" w:rsidRDefault="002B0D0F" w:rsidP="002B0D0F">
      <w:pPr>
        <w:pStyle w:val="SingleTxtG"/>
        <w:ind w:firstLine="567"/>
      </w:pPr>
      <w:r>
        <w:t>h)</w:t>
      </w:r>
      <w:r>
        <w:tab/>
        <w:t>Органический закон № 2017-11 от 17 января 2017 года об организации и функционировании Высшего совета магистратуры, предусматривающий, в частности, введение права на дисциплинарную апелляционную процедуру и требование о том, что решения об отзыве или отставке должны приниматься большинством голосов членов-магистратов;</w:t>
      </w:r>
    </w:p>
    <w:p w14:paraId="418BD573" w14:textId="77777777" w:rsidR="002B0D0F" w:rsidRPr="00C46BFD" w:rsidRDefault="002B0D0F" w:rsidP="002B0D0F">
      <w:pPr>
        <w:pStyle w:val="SingleTxtG"/>
        <w:ind w:firstLine="567"/>
      </w:pPr>
      <w:r>
        <w:t>i)</w:t>
      </w:r>
      <w:r>
        <w:tab/>
        <w:t>создание в структуре судебных органов Сенегала чрезвычайных африканских палат, чтобы вести процесс по делу Хиссена Хабре, осужденного в 2016</w:t>
      </w:r>
      <w:r>
        <w:rPr>
          <w:lang w:val="en-US"/>
        </w:rPr>
        <w:t> </w:t>
      </w:r>
      <w:r>
        <w:t>году за преступления против человечности, военные преступления и применение пыток в Чаде в 1982</w:t>
      </w:r>
      <w:r w:rsidR="00642D20">
        <w:t>–</w:t>
      </w:r>
      <w:r>
        <w:t>1990 годах;</w:t>
      </w:r>
    </w:p>
    <w:p w14:paraId="2C887A37" w14:textId="77777777" w:rsidR="002B0D0F" w:rsidRPr="00C46BFD" w:rsidRDefault="002B0D0F" w:rsidP="002B0D0F">
      <w:pPr>
        <w:pStyle w:val="SingleTxtG"/>
        <w:ind w:firstLine="567"/>
      </w:pPr>
      <w:r>
        <w:t>j)</w:t>
      </w:r>
      <w:r>
        <w:tab/>
        <w:t>Национальный план действий по искоренению гендерного насилия и поощрению прав человека (2017</w:t>
      </w:r>
      <w:r w:rsidR="00642D20">
        <w:t>–</w:t>
      </w:r>
      <w:r>
        <w:t>2021 годы) и осуществление региональных планов действий;</w:t>
      </w:r>
    </w:p>
    <w:p w14:paraId="0AC556DE" w14:textId="77777777" w:rsidR="002B0D0F" w:rsidRPr="00C46BFD" w:rsidRDefault="002B0D0F" w:rsidP="002B0D0F">
      <w:pPr>
        <w:pStyle w:val="SingleTxtG"/>
        <w:ind w:firstLine="567"/>
      </w:pPr>
      <w:r>
        <w:t>k)</w:t>
      </w:r>
      <w:r>
        <w:tab/>
        <w:t>создание электронного реестра в пенитенциарных учреждениях.</w:t>
      </w:r>
    </w:p>
    <w:p w14:paraId="4FA22FAE" w14:textId="77777777" w:rsidR="002B0D0F" w:rsidRPr="00C46BFD" w:rsidRDefault="002B0D0F" w:rsidP="002B0D0F">
      <w:pPr>
        <w:pStyle w:val="H1G"/>
      </w:pPr>
      <w:r>
        <w:tab/>
        <w:t>C.</w:t>
      </w:r>
      <w:r>
        <w:tab/>
      </w:r>
      <w:r>
        <w:rPr>
          <w:bCs/>
        </w:rPr>
        <w:t>Основные вопросы, вызывающие обеспокоенность, и</w:t>
      </w:r>
      <w:r w:rsidR="00642D20">
        <w:rPr>
          <w:bCs/>
        </w:rPr>
        <w:t> </w:t>
      </w:r>
      <w:r>
        <w:rPr>
          <w:bCs/>
        </w:rPr>
        <w:t>рекомендации</w:t>
      </w:r>
    </w:p>
    <w:p w14:paraId="1C0C066C" w14:textId="77777777" w:rsidR="002B0D0F" w:rsidRPr="00C46BFD" w:rsidRDefault="002B0D0F" w:rsidP="002B0D0F">
      <w:pPr>
        <w:pStyle w:val="H23G"/>
      </w:pPr>
      <w:r>
        <w:tab/>
      </w:r>
      <w:r>
        <w:tab/>
      </w:r>
      <w:r>
        <w:rPr>
          <w:bCs/>
        </w:rPr>
        <w:t>Применимость Пакта во внутреннем праве и выполнение рекомендаций, содержащихся в Соображениях Комитета</w:t>
      </w:r>
    </w:p>
    <w:p w14:paraId="145F1968" w14:textId="77777777" w:rsidR="002B0D0F" w:rsidRPr="00A37C90" w:rsidRDefault="002B0D0F" w:rsidP="002B0D0F">
      <w:pPr>
        <w:pStyle w:val="SingleTxtG"/>
      </w:pPr>
      <w:r>
        <w:t>4.</w:t>
      </w:r>
      <w:r>
        <w:tab/>
        <w:t xml:space="preserve">Комитет принимает к сведению статью 98 Конституции Сенегала, в которой закреплены примат международных договоров над внутренним законодательством и приверженность государства-участника этому принципу. Вместе с тем он выражает сожаление в связи с отсутствием конкретных примеров применения Пакта национальными судами и противоречивыми сообщениями, направленными государством-участником, в частности в связи с Соображениями Комитета по отдельным делам. Комитет, в частности, ссылается на реакцию государства-участника на Соображения Комитета от 23 октября 2018 года, касающиеся сообщения </w:t>
      </w:r>
      <w:r>
        <w:rPr>
          <w:i/>
          <w:iCs/>
        </w:rPr>
        <w:t>Вад</w:t>
      </w:r>
      <w:r w:rsidR="00642D20">
        <w:rPr>
          <w:i/>
          <w:iCs/>
        </w:rPr>
        <w:t> </w:t>
      </w:r>
      <w:r>
        <w:rPr>
          <w:i/>
          <w:iCs/>
        </w:rPr>
        <w:t>против Сенегала</w:t>
      </w:r>
      <w:r>
        <w:t xml:space="preserve"> (CCPR/C/124/D/2783/2016), в отношении которого Комитет констатировал нарушение государством-участником пункта 5 статьи 14 Пакта. Комитет обеспокоен тем, что в решении Конституционного совета от 20 января 2019</w:t>
      </w:r>
      <w:r>
        <w:rPr>
          <w:lang w:val="en-US"/>
        </w:rPr>
        <w:t> </w:t>
      </w:r>
      <w:r>
        <w:t>года эти Соображения не были приняты во внимание и что в нем кандидатура</w:t>
      </w:r>
      <w:r w:rsidR="00642D20">
        <w:br/>
      </w:r>
      <w:r>
        <w:t>г-на Вада была признана недействительной на том основании, что он был осужден (статья 2).</w:t>
      </w:r>
    </w:p>
    <w:p w14:paraId="1F5E58CA" w14:textId="77777777" w:rsidR="002B0D0F" w:rsidRPr="00C46BFD" w:rsidRDefault="002B0D0F" w:rsidP="002B0D0F">
      <w:pPr>
        <w:pStyle w:val="SingleTxtG"/>
      </w:pPr>
      <w:r>
        <w:t>5.</w:t>
      </w:r>
      <w:r>
        <w:tab/>
      </w:r>
      <w:r>
        <w:rPr>
          <w:b/>
          <w:bCs/>
        </w:rPr>
        <w:t>Государству-участнику следует:</w:t>
      </w:r>
      <w:r>
        <w:t xml:space="preserve"> </w:t>
      </w:r>
    </w:p>
    <w:p w14:paraId="01810518" w14:textId="77777777" w:rsidR="002B0D0F" w:rsidRPr="00C46BFD" w:rsidRDefault="002B0D0F" w:rsidP="002B0D0F">
      <w:pPr>
        <w:pStyle w:val="SingleTxtG"/>
        <w:ind w:firstLine="567"/>
        <w:rPr>
          <w:b/>
          <w:bCs/>
        </w:rPr>
      </w:pPr>
      <w:r>
        <w:rPr>
          <w:b/>
          <w:bCs/>
        </w:rPr>
        <w:t>a)</w:t>
      </w:r>
      <w:r>
        <w:tab/>
      </w:r>
      <w:r>
        <w:rPr>
          <w:b/>
          <w:bCs/>
        </w:rPr>
        <w:t>гарантировать на практике примат Пакта над национальным законодательством, а также наличие у граждан эффективного средства правовой защиты в случае нарушения Пакта;</w:t>
      </w:r>
      <w:r>
        <w:t xml:space="preserve"> </w:t>
      </w:r>
    </w:p>
    <w:p w14:paraId="4DAD16AD" w14:textId="77777777" w:rsidR="002B0D0F" w:rsidRPr="00C46BFD" w:rsidRDefault="002B0D0F" w:rsidP="002B0D0F">
      <w:pPr>
        <w:pStyle w:val="SingleTxtG"/>
        <w:ind w:firstLine="567"/>
        <w:rPr>
          <w:b/>
          <w:bCs/>
        </w:rPr>
      </w:pPr>
      <w:r>
        <w:rPr>
          <w:b/>
          <w:bCs/>
        </w:rPr>
        <w:t>b)</w:t>
      </w:r>
      <w:r>
        <w:tab/>
      </w:r>
      <w:r>
        <w:rPr>
          <w:b/>
          <w:bCs/>
        </w:rPr>
        <w:t>повысить осведомленность судей, адвокатов и прокуроров о положениях Пакта, с тем чтобы на эти положения делались ссылки в национальных судах и чтобы они учитывались в их решениях;</w:t>
      </w:r>
      <w:r>
        <w:t xml:space="preserve"> </w:t>
      </w:r>
    </w:p>
    <w:p w14:paraId="044BC418" w14:textId="77777777" w:rsidR="002B0D0F" w:rsidRPr="00C46BFD" w:rsidRDefault="002B0D0F" w:rsidP="002B0D0F">
      <w:pPr>
        <w:pStyle w:val="SingleTxtG"/>
        <w:ind w:firstLine="567"/>
        <w:rPr>
          <w:b/>
          <w:bCs/>
        </w:rPr>
      </w:pPr>
      <w:r>
        <w:rPr>
          <w:b/>
          <w:bCs/>
        </w:rPr>
        <w:t>c)</w:t>
      </w:r>
      <w:r>
        <w:tab/>
      </w:r>
      <w:r>
        <w:rPr>
          <w:b/>
          <w:bCs/>
        </w:rPr>
        <w:t>обеспечить надлежащее осуществление Соображений, принятых Комитетом.</w:t>
      </w:r>
    </w:p>
    <w:p w14:paraId="69AE721B" w14:textId="77777777" w:rsidR="002B0D0F" w:rsidRPr="00C46BFD" w:rsidRDefault="002B0D0F" w:rsidP="002B0D0F">
      <w:pPr>
        <w:pStyle w:val="H23G"/>
      </w:pPr>
      <w:r>
        <w:tab/>
      </w:r>
      <w:r>
        <w:tab/>
      </w:r>
      <w:r>
        <w:rPr>
          <w:bCs/>
        </w:rPr>
        <w:t>Национальное правозащитное учреждение</w:t>
      </w:r>
    </w:p>
    <w:p w14:paraId="645C6826" w14:textId="77777777" w:rsidR="002B0D0F" w:rsidRPr="00C46BFD" w:rsidRDefault="002B0D0F" w:rsidP="002B0D0F">
      <w:pPr>
        <w:pStyle w:val="SingleTxtG"/>
      </w:pPr>
      <w:r>
        <w:t>6.</w:t>
      </w:r>
      <w:r>
        <w:tab/>
        <w:t>Приветствуя объявленное государством-участником намерение реформировать Сенегальский комитет по правам человека, с тем чтобы Глобальный альянс национальных правозащитных учреждений вновь присвоил ему статус «А» в соответствии с Принципами, касающимися статуса национальных учреждений, занимающихся поощрением и защитой прав человека (Парижскими принципами), Комитет сожалеет о том, что пересмотр закона и его содержание не известны и что вопросы, вызывающие обеспокоенность по поводу финансовых средств, выделяемых этому учреждению, его точного мандата, а также метода назначения его председателя и его членов, не были разъяснены в ходе диалога (статья 2).</w:t>
      </w:r>
    </w:p>
    <w:p w14:paraId="48145AB0" w14:textId="77777777" w:rsidR="002B0D0F" w:rsidRPr="00C46BFD" w:rsidRDefault="002B0D0F" w:rsidP="002B0D0F">
      <w:pPr>
        <w:pStyle w:val="SingleTxtG"/>
        <w:rPr>
          <w:b/>
          <w:bCs/>
        </w:rPr>
      </w:pPr>
      <w:r>
        <w:t>7.</w:t>
      </w:r>
      <w:r>
        <w:tab/>
      </w:r>
      <w:r>
        <w:rPr>
          <w:b/>
          <w:bCs/>
        </w:rPr>
        <w:t>Государству-участнику следует принять нормативно-правовые акты, позволяющие национальному правозащитному учреждению соответствовать Парижским принципам.</w:t>
      </w:r>
      <w:r>
        <w:t xml:space="preserve"> </w:t>
      </w:r>
      <w:r>
        <w:rPr>
          <w:b/>
          <w:bCs/>
        </w:rPr>
        <w:t>В связи с этим оно должно предоставить ему автономный и достаточный бюджет для всестороннего выполнения им своего мандата и предусмотреть процесс назначения его председателя и членов для обеспечения его независимости.</w:t>
      </w:r>
    </w:p>
    <w:p w14:paraId="4FE7E675" w14:textId="77777777" w:rsidR="002B0D0F" w:rsidRPr="00C46BFD" w:rsidRDefault="002B0D0F" w:rsidP="002B0D0F">
      <w:pPr>
        <w:pStyle w:val="H23G"/>
      </w:pPr>
      <w:r>
        <w:tab/>
      </w:r>
      <w:r>
        <w:tab/>
      </w:r>
      <w:r>
        <w:rPr>
          <w:bCs/>
        </w:rPr>
        <w:t>Борьба с безнаказанностью и ранее совершенные нарушения прав человека</w:t>
      </w:r>
    </w:p>
    <w:p w14:paraId="0E80EC26" w14:textId="77777777" w:rsidR="002B0D0F" w:rsidRPr="00C46BFD" w:rsidRDefault="002B0D0F" w:rsidP="002B0D0F">
      <w:pPr>
        <w:pStyle w:val="SingleTxtG"/>
      </w:pPr>
      <w:r>
        <w:t>8.</w:t>
      </w:r>
      <w:r>
        <w:tab/>
        <w:t>Комитет сожалеет, что государство-участник продолжает оправдывать применение закона об амнистии в отношении всех правонарушений, совершенных в ходе конфликта в Казамансе, с тем чтобы «заставить забыть обиды, утихомирить страсти и наладить прочный диалог» (статьи 2, 6, 7 и 14).</w:t>
      </w:r>
    </w:p>
    <w:p w14:paraId="02F038E3" w14:textId="77777777" w:rsidR="002B0D0F" w:rsidRPr="00C46BFD" w:rsidRDefault="002B0D0F" w:rsidP="002B0D0F">
      <w:pPr>
        <w:pStyle w:val="SingleTxtG"/>
        <w:rPr>
          <w:b/>
          <w:bCs/>
        </w:rPr>
      </w:pPr>
      <w:r>
        <w:t>9.</w:t>
      </w:r>
      <w:r>
        <w:tab/>
      </w:r>
      <w:r>
        <w:rPr>
          <w:b/>
          <w:bCs/>
        </w:rPr>
        <w:t>Государству-участнику следует:</w:t>
      </w:r>
    </w:p>
    <w:p w14:paraId="54C31017" w14:textId="77777777" w:rsidR="002B0D0F" w:rsidRPr="00C46BFD" w:rsidRDefault="002B0D0F" w:rsidP="002B0D0F">
      <w:pPr>
        <w:pStyle w:val="SingleTxtG"/>
        <w:ind w:firstLine="567"/>
        <w:rPr>
          <w:b/>
          <w:bCs/>
        </w:rPr>
      </w:pPr>
      <w:r>
        <w:rPr>
          <w:b/>
          <w:bCs/>
        </w:rPr>
        <w:t>a)</w:t>
      </w:r>
      <w:r>
        <w:tab/>
      </w:r>
      <w:r>
        <w:rPr>
          <w:b/>
          <w:bCs/>
        </w:rPr>
        <w:t>отменить любую амнистию за международные преступления, совершенные каждой из сторон конфликта, с тем чтобы можно было провести расследования и наказать виновных;</w:t>
      </w:r>
    </w:p>
    <w:p w14:paraId="5A4D21F7" w14:textId="77777777" w:rsidR="002B0D0F" w:rsidRPr="00C46BFD" w:rsidRDefault="002B0D0F" w:rsidP="002B0D0F">
      <w:pPr>
        <w:pStyle w:val="SingleTxtG"/>
        <w:ind w:firstLine="567"/>
        <w:rPr>
          <w:b/>
          <w:bCs/>
        </w:rPr>
      </w:pPr>
      <w:r>
        <w:rPr>
          <w:b/>
          <w:bCs/>
        </w:rPr>
        <w:t>b)</w:t>
      </w:r>
      <w:r>
        <w:tab/>
      </w:r>
      <w:r>
        <w:rPr>
          <w:b/>
          <w:bCs/>
        </w:rPr>
        <w:t>предоставить компенсацию жертвам и их правопреемникам.</w:t>
      </w:r>
    </w:p>
    <w:p w14:paraId="5C1CE8E1" w14:textId="77777777" w:rsidR="002B0D0F" w:rsidRPr="00C46BFD" w:rsidRDefault="002B0D0F" w:rsidP="002B0D0F">
      <w:pPr>
        <w:pStyle w:val="H23G"/>
      </w:pPr>
      <w:r>
        <w:tab/>
      </w:r>
      <w:r>
        <w:tab/>
      </w:r>
      <w:r>
        <w:rPr>
          <w:bCs/>
        </w:rPr>
        <w:t>Недискриминация</w:t>
      </w:r>
    </w:p>
    <w:p w14:paraId="5C1EEC02" w14:textId="77777777" w:rsidR="002B0D0F" w:rsidRPr="00C46BFD" w:rsidRDefault="002B0D0F" w:rsidP="002B0D0F">
      <w:pPr>
        <w:pStyle w:val="SingleTxtG"/>
      </w:pPr>
      <w:r>
        <w:t>10.</w:t>
      </w:r>
      <w:r>
        <w:tab/>
        <w:t>Отмечая существование статьи 3 Закона № 81-77 от 10 декабря 1981 года о борьбе с дискриминационными актами, Комитет отмечает, что этот закон охватывает только расовую, этническую и религиозную дискриминацию и не касается ни прямой, ни косвенной дискриминации. Комитет с обеспокоенностью отмечает отсутствие зарегистрированных в государстве-участнике жалоб на дискриминацию, несмотря на утверждения о дискриминации, полученные Комитетом, в частности в отношении лиц с альбинизмом, лиц, принадлежащих к сексуальным или гендерным меньшинствам, и женщин (статьи 2, 7, 24, 25 и 26).</w:t>
      </w:r>
    </w:p>
    <w:p w14:paraId="2950F4A0" w14:textId="77777777" w:rsidR="002B0D0F" w:rsidRPr="00C46BFD" w:rsidRDefault="002B0D0F" w:rsidP="002B0D0F">
      <w:pPr>
        <w:pStyle w:val="SingleTxtG"/>
        <w:rPr>
          <w:b/>
          <w:bCs/>
        </w:rPr>
      </w:pPr>
      <w:r>
        <w:t>11.</w:t>
      </w:r>
      <w:r>
        <w:tab/>
      </w:r>
      <w:r>
        <w:rPr>
          <w:b/>
          <w:bCs/>
        </w:rPr>
        <w:t>Государству-участнику следует принять всеобъемлющее антидискриминационное законодательство для обеспечения того, чтобы его правовая база:</w:t>
      </w:r>
    </w:p>
    <w:p w14:paraId="21C5672F" w14:textId="77777777" w:rsidR="002B0D0F" w:rsidRPr="00C46BFD" w:rsidRDefault="002B0D0F" w:rsidP="002B0D0F">
      <w:pPr>
        <w:pStyle w:val="SingleTxtG"/>
        <w:ind w:firstLine="567"/>
        <w:rPr>
          <w:b/>
          <w:bCs/>
        </w:rPr>
      </w:pPr>
      <w:r>
        <w:rPr>
          <w:b/>
          <w:bCs/>
        </w:rPr>
        <w:t>a)</w:t>
      </w:r>
      <w:r>
        <w:tab/>
      </w:r>
      <w:r>
        <w:rPr>
          <w:b/>
          <w:bCs/>
        </w:rPr>
        <w:t>обеспечивала эффективную защиту от дискриминации во всех сферах, в том числе в частном секторе, и устанавливала запрет на прямую, косвенную и множественную дискриминацию;</w:t>
      </w:r>
    </w:p>
    <w:p w14:paraId="2D142D5F" w14:textId="77777777" w:rsidR="002B0D0F" w:rsidRPr="00C46BFD" w:rsidRDefault="002B0D0F" w:rsidP="002B0D0F">
      <w:pPr>
        <w:pStyle w:val="SingleTxtG"/>
        <w:ind w:firstLine="567"/>
        <w:rPr>
          <w:b/>
          <w:bCs/>
        </w:rPr>
      </w:pPr>
      <w:r>
        <w:rPr>
          <w:b/>
          <w:bCs/>
        </w:rPr>
        <w:t>b)</w:t>
      </w:r>
      <w:r>
        <w:tab/>
      </w:r>
      <w:r>
        <w:rPr>
          <w:b/>
          <w:bCs/>
        </w:rPr>
        <w:t>содержала полный перечень запрещенных оснований для дискриминации, включая цвет кожи, язык, политические или иные убеждения, национальное или социальное происхождение, имущественное положение, инвалидность, сексуальную ориентацию и гендерную идентичность или иной статус;</w:t>
      </w:r>
      <w:r>
        <w:t xml:space="preserve"> </w:t>
      </w:r>
    </w:p>
    <w:p w14:paraId="7A1D714C" w14:textId="77777777" w:rsidR="002B0D0F" w:rsidRPr="00C46BFD" w:rsidRDefault="002B0D0F" w:rsidP="002B0D0F">
      <w:pPr>
        <w:pStyle w:val="SingleTxtG"/>
        <w:ind w:firstLine="567"/>
        <w:rPr>
          <w:b/>
          <w:bCs/>
        </w:rPr>
      </w:pPr>
      <w:r>
        <w:rPr>
          <w:b/>
          <w:bCs/>
        </w:rPr>
        <w:t>c)</w:t>
      </w:r>
      <w:r>
        <w:tab/>
      </w:r>
      <w:r>
        <w:rPr>
          <w:b/>
          <w:bCs/>
        </w:rPr>
        <w:t>предусматривала эффективные средства защиты в случае нарушений.</w:t>
      </w:r>
      <w:r>
        <w:t xml:space="preserve"> </w:t>
      </w:r>
    </w:p>
    <w:p w14:paraId="56905E01" w14:textId="77777777" w:rsidR="002B0D0F" w:rsidRPr="00C46BFD" w:rsidRDefault="002B0D0F" w:rsidP="002B0D0F">
      <w:pPr>
        <w:pStyle w:val="H23G"/>
      </w:pPr>
      <w:r>
        <w:tab/>
      </w:r>
      <w:r>
        <w:tab/>
      </w:r>
      <w:r>
        <w:rPr>
          <w:bCs/>
        </w:rPr>
        <w:t>Гендерное равенство</w:t>
      </w:r>
    </w:p>
    <w:p w14:paraId="7B732DB1" w14:textId="77777777" w:rsidR="002B0D0F" w:rsidRPr="00C46BFD" w:rsidRDefault="002B0D0F" w:rsidP="002B0D0F">
      <w:pPr>
        <w:pStyle w:val="SingleTxtG"/>
      </w:pPr>
      <w:r>
        <w:t>12.</w:t>
      </w:r>
      <w:r>
        <w:tab/>
        <w:t>Комитет отмечает, что Закон № 2010-11 о равенстве гарантирует равенство между мужчинами и женщинами только на выборных должностях. Комитет также отмечает низкую представленность женщин в некоторых органах государственной службы, в частности в судебных органах, а также на должностях губернаторов и субпрефектов. Комитет также обеспокоен сохранением дискриминационных положений, в частности в Семейном кодексе (статьи 2, 3, 23, 25 и 26).</w:t>
      </w:r>
    </w:p>
    <w:p w14:paraId="0CACDDA2" w14:textId="77777777" w:rsidR="002B0D0F" w:rsidRPr="00C46BFD" w:rsidRDefault="002B0D0F" w:rsidP="002B0D0F">
      <w:pPr>
        <w:pStyle w:val="SingleTxtG"/>
        <w:rPr>
          <w:b/>
          <w:bCs/>
        </w:rPr>
      </w:pPr>
      <w:r>
        <w:t>13.</w:t>
      </w:r>
      <w:r>
        <w:tab/>
      </w:r>
      <w:r>
        <w:rPr>
          <w:b/>
          <w:bCs/>
        </w:rPr>
        <w:t>Государству-участнику следует:</w:t>
      </w:r>
    </w:p>
    <w:p w14:paraId="5EBF4CEB" w14:textId="77777777" w:rsidR="002B0D0F" w:rsidRPr="00C46BFD" w:rsidRDefault="002B0D0F" w:rsidP="002B0D0F">
      <w:pPr>
        <w:pStyle w:val="SingleTxtG"/>
        <w:ind w:firstLine="567"/>
        <w:rPr>
          <w:b/>
          <w:bCs/>
        </w:rPr>
      </w:pPr>
      <w:r>
        <w:rPr>
          <w:b/>
          <w:bCs/>
        </w:rPr>
        <w:t>a)</w:t>
      </w:r>
      <w:r>
        <w:tab/>
      </w:r>
      <w:r>
        <w:rPr>
          <w:b/>
          <w:bCs/>
        </w:rPr>
        <w:t>распространить действие Закона № 2010-11 о равенстве на всю государственную службу и принять необходимые меры для повышения эффективности гендерного равенства;</w:t>
      </w:r>
    </w:p>
    <w:p w14:paraId="6BF6AEA2" w14:textId="77777777" w:rsidR="002B0D0F" w:rsidRPr="00C46BFD" w:rsidRDefault="002B0D0F" w:rsidP="002B0D0F">
      <w:pPr>
        <w:pStyle w:val="SingleTxtG"/>
        <w:ind w:firstLine="567"/>
        <w:rPr>
          <w:b/>
          <w:bCs/>
        </w:rPr>
      </w:pPr>
      <w:r>
        <w:rPr>
          <w:b/>
          <w:bCs/>
        </w:rPr>
        <w:t>b)</w:t>
      </w:r>
      <w:r>
        <w:tab/>
      </w:r>
      <w:r>
        <w:rPr>
          <w:b/>
          <w:bCs/>
        </w:rPr>
        <w:t>отменить любые положения, противоречащие принципу гендерного равенства, в частности в Семейном кодексе, включая положения, касающиеся родительских прав, полигамии, прав наследования, выбора семейного дома, периода ожидания и согласия на брак.</w:t>
      </w:r>
      <w:r>
        <w:t xml:space="preserve"> </w:t>
      </w:r>
    </w:p>
    <w:p w14:paraId="71965FD4" w14:textId="77777777" w:rsidR="002B0D0F" w:rsidRPr="00C46BFD" w:rsidRDefault="002B0D0F" w:rsidP="002B0D0F">
      <w:pPr>
        <w:pStyle w:val="H23G"/>
        <w:rPr>
          <w:strike/>
        </w:rPr>
      </w:pPr>
      <w:r>
        <w:tab/>
      </w:r>
      <w:r>
        <w:tab/>
      </w:r>
      <w:r>
        <w:rPr>
          <w:bCs/>
        </w:rPr>
        <w:t>Недискриминация лиц по признаку сексуальной ориентации и гендерной идентичности</w:t>
      </w:r>
    </w:p>
    <w:p w14:paraId="30E74645" w14:textId="77777777" w:rsidR="002B0D0F" w:rsidRPr="00C46BFD" w:rsidRDefault="002B0D0F" w:rsidP="002B0D0F">
      <w:pPr>
        <w:pStyle w:val="SingleTxtG"/>
      </w:pPr>
      <w:r>
        <w:t>14.</w:t>
      </w:r>
      <w:r>
        <w:tab/>
        <w:t>Комитет обеспокоен призывами к ненависти и насилию в средствах массовой информации, в том числе со стороны публичных лиц, по отношению к лицам, принадлежащим к сексуальным или гендерным меньшинствам, и некоторым защитникам их прав. Он также обеспокоен утверждениями о произвольных арестах, нарушениях права на неприкосновенность частной жизни, преследованиях и насилии, в том числе со стороны сотрудников правоохранительных органов. В этой связи Комитет обеспокоен сохранением и применением третьего пункта статьи 319 Уголовного кодекса, предусматривающего уголовную ответственность за половые акты по обоюдному согласию между взрослыми лицами одного пола (статьи 2, 9, 17, 19, 21, 22 и 26).</w:t>
      </w:r>
    </w:p>
    <w:p w14:paraId="337FA174" w14:textId="77777777" w:rsidR="002B0D0F" w:rsidRPr="00C46BFD" w:rsidRDefault="002B0D0F" w:rsidP="002B0D0F">
      <w:pPr>
        <w:pStyle w:val="SingleTxtG"/>
        <w:rPr>
          <w:b/>
          <w:bCs/>
        </w:rPr>
      </w:pPr>
      <w:r>
        <w:t>15.</w:t>
      </w:r>
      <w:r>
        <w:tab/>
      </w:r>
      <w:r>
        <w:rPr>
          <w:b/>
          <w:bCs/>
        </w:rPr>
        <w:t>Государству-участнику следует:</w:t>
      </w:r>
    </w:p>
    <w:p w14:paraId="4261B78E" w14:textId="77777777" w:rsidR="002B0D0F" w:rsidRPr="00C46BFD" w:rsidRDefault="002B0D0F" w:rsidP="002B0D0F">
      <w:pPr>
        <w:pStyle w:val="SingleTxtG"/>
        <w:ind w:firstLine="567"/>
        <w:rPr>
          <w:b/>
        </w:rPr>
      </w:pPr>
      <w:r>
        <w:rPr>
          <w:b/>
          <w:bCs/>
        </w:rPr>
        <w:t>a)</w:t>
      </w:r>
      <w:r>
        <w:tab/>
      </w:r>
      <w:r>
        <w:rPr>
          <w:b/>
          <w:bCs/>
        </w:rPr>
        <w:t>Принять конкретные и срочные меры для борьбы с нынешней кампанией подстрекательства к ненависти в отношении людей по признаку их сексуальной ориентации и защитников их прав, включая партнерские организации, участвующие в борьбе с ВИЧ/СПИДом;</w:t>
      </w:r>
    </w:p>
    <w:p w14:paraId="39CBA950" w14:textId="77777777" w:rsidR="002B0D0F" w:rsidRPr="00C46BFD" w:rsidRDefault="002B0D0F" w:rsidP="002B0D0F">
      <w:pPr>
        <w:pStyle w:val="SingleTxtG"/>
        <w:ind w:firstLine="567"/>
        <w:rPr>
          <w:b/>
        </w:rPr>
      </w:pPr>
      <w:r>
        <w:rPr>
          <w:b/>
          <w:bCs/>
        </w:rPr>
        <w:t>b)</w:t>
      </w:r>
      <w:r>
        <w:tab/>
      </w:r>
      <w:r>
        <w:rPr>
          <w:b/>
          <w:bCs/>
        </w:rPr>
        <w:t>отменить третий пункт статьи 319 Уголовного кодекса, устанавливающий уголовную ответственность за половые акты по обоюдному согласию между взрослыми лицами одного пола, с целью уменьшения стигматизации соответствующих лиц;</w:t>
      </w:r>
    </w:p>
    <w:p w14:paraId="552B3D06" w14:textId="77777777" w:rsidR="002B0D0F" w:rsidRPr="00C46BFD" w:rsidRDefault="002B0D0F" w:rsidP="002B0D0F">
      <w:pPr>
        <w:pStyle w:val="SingleTxtG"/>
        <w:ind w:firstLine="567"/>
        <w:rPr>
          <w:b/>
        </w:rPr>
      </w:pPr>
      <w:r>
        <w:rPr>
          <w:b/>
          <w:bCs/>
        </w:rPr>
        <w:t>c)</w:t>
      </w:r>
      <w:r>
        <w:tab/>
      </w:r>
      <w:r>
        <w:rPr>
          <w:b/>
          <w:bCs/>
        </w:rPr>
        <w:t>дать сотрудникам правоохранительных органов четкие указания прекратить любое насилие или произвольные аресты людей по причине их реальной или предполагаемой сексуальной ориентации или гендерной идентичности;</w:t>
      </w:r>
    </w:p>
    <w:p w14:paraId="76D0FCA6" w14:textId="77777777" w:rsidR="002B0D0F" w:rsidRPr="00C46BFD" w:rsidRDefault="002B0D0F" w:rsidP="002B0D0F">
      <w:pPr>
        <w:pStyle w:val="SingleTxtG"/>
        <w:ind w:firstLine="567"/>
        <w:rPr>
          <w:b/>
        </w:rPr>
      </w:pPr>
      <w:r>
        <w:rPr>
          <w:b/>
          <w:bCs/>
        </w:rPr>
        <w:t>d)</w:t>
      </w:r>
      <w:r>
        <w:tab/>
      </w:r>
      <w:r>
        <w:rPr>
          <w:b/>
          <w:bCs/>
        </w:rPr>
        <w:t>обеспечить тщательное расследование любых нарушений и, при необходимости, судебное преследование виновных.</w:t>
      </w:r>
    </w:p>
    <w:p w14:paraId="4A79549B" w14:textId="77777777" w:rsidR="002B0D0F" w:rsidRPr="00C46BFD" w:rsidRDefault="002B0D0F" w:rsidP="002B0D0F">
      <w:pPr>
        <w:pStyle w:val="H23G"/>
      </w:pPr>
      <w:r>
        <w:tab/>
      </w:r>
      <w:r>
        <w:tab/>
      </w:r>
      <w:r>
        <w:rPr>
          <w:bCs/>
        </w:rPr>
        <w:t>Насилие в отношении женщин и вредная практика</w:t>
      </w:r>
    </w:p>
    <w:p w14:paraId="2BAF9228" w14:textId="77777777" w:rsidR="002B0D0F" w:rsidRPr="00C46BFD" w:rsidRDefault="002B0D0F" w:rsidP="002B0D0F">
      <w:pPr>
        <w:pStyle w:val="SingleTxtG"/>
      </w:pPr>
      <w:r>
        <w:t>16.</w:t>
      </w:r>
      <w:r>
        <w:tab/>
        <w:t>Комитет по-прежнему обеспокоен распространенностью на территории государства-участника вредной практики, включая калечащие операции на женских половых органах, бытовое насилие, ранние браки и сексуальные надругательства над женщинами и девочками. Он также обеспокоен недостаточным осуществлением Закона № 99-05 от 29 января 1999 года о внесении поправок в некоторые положения Уголовного кодекса и незначительным числом случаев судебного преследования за женское обрезание. Комитет также обеспокоен отсутствием в положениях статьи 320 Уголовного кодекса прямой ссылки на изнасилование в браке.</w:t>
      </w:r>
    </w:p>
    <w:p w14:paraId="0986C5D4" w14:textId="77777777" w:rsidR="002B0D0F" w:rsidRPr="00C46BFD" w:rsidRDefault="002B0D0F" w:rsidP="002B0D0F">
      <w:pPr>
        <w:spacing w:after="120"/>
        <w:ind w:left="1134" w:right="1134"/>
        <w:jc w:val="both"/>
        <w:rPr>
          <w:rStyle w:val="SingleTxtGChar"/>
          <w:b/>
          <w:bCs/>
        </w:rPr>
      </w:pPr>
      <w:r>
        <w:t>17.</w:t>
      </w:r>
      <w:r>
        <w:tab/>
      </w:r>
      <w:r>
        <w:rPr>
          <w:b/>
          <w:bCs/>
        </w:rPr>
        <w:t>Государству-участнику следует:</w:t>
      </w:r>
    </w:p>
    <w:p w14:paraId="125FF976" w14:textId="77777777" w:rsidR="002B0D0F" w:rsidRPr="00C46BFD" w:rsidRDefault="002B0D0F" w:rsidP="002B0D0F">
      <w:pPr>
        <w:pStyle w:val="SingleTxtG"/>
        <w:ind w:firstLine="567"/>
        <w:rPr>
          <w:b/>
          <w:bCs/>
        </w:rPr>
      </w:pPr>
      <w:r>
        <w:rPr>
          <w:b/>
          <w:bCs/>
        </w:rPr>
        <w:t>a)</w:t>
      </w:r>
      <w:r>
        <w:tab/>
      </w:r>
      <w:r>
        <w:rPr>
          <w:b/>
          <w:bCs/>
        </w:rPr>
        <w:t>распространить запрет на принудительные браки на традиционные или религиозные браки и обеспечить, чтобы ранние браки наказывались по уголовному праву, а не только расторгались;</w:t>
      </w:r>
      <w:r>
        <w:t xml:space="preserve"> </w:t>
      </w:r>
    </w:p>
    <w:p w14:paraId="06F1D420" w14:textId="77777777" w:rsidR="002B0D0F" w:rsidRPr="00C46BFD" w:rsidRDefault="002B0D0F" w:rsidP="002B0D0F">
      <w:pPr>
        <w:pStyle w:val="SingleTxtG"/>
        <w:ind w:firstLine="567"/>
        <w:rPr>
          <w:b/>
          <w:bCs/>
        </w:rPr>
      </w:pPr>
      <w:r>
        <w:rPr>
          <w:b/>
          <w:bCs/>
        </w:rPr>
        <w:t>b)</w:t>
      </w:r>
      <w:r>
        <w:tab/>
      </w:r>
      <w:r>
        <w:rPr>
          <w:b/>
          <w:bCs/>
        </w:rPr>
        <w:t>обеспечить официальную регистрацию традиционных или религиозных браков и систематическую проверку возраста супругов и их согласия, в частности путем обеспечения их физического присутствия при заключении брака;</w:t>
      </w:r>
      <w:r>
        <w:t xml:space="preserve"> </w:t>
      </w:r>
    </w:p>
    <w:p w14:paraId="06638235" w14:textId="77777777" w:rsidR="002B0D0F" w:rsidRPr="00C46BFD" w:rsidRDefault="002B0D0F" w:rsidP="002B0D0F">
      <w:pPr>
        <w:pStyle w:val="SingleTxtG"/>
        <w:ind w:firstLine="567"/>
        <w:rPr>
          <w:b/>
          <w:bCs/>
        </w:rPr>
      </w:pPr>
      <w:r>
        <w:rPr>
          <w:b/>
          <w:bCs/>
        </w:rPr>
        <w:t>c)</w:t>
      </w:r>
      <w:r>
        <w:tab/>
      </w:r>
      <w:r>
        <w:rPr>
          <w:b/>
          <w:bCs/>
        </w:rPr>
        <w:t>обеспечить строгое применение Закона № 99-05 от 29 января 1999 года, который касается запрета на калечащие операции на женских половых органах, путем обеспечения судебного преследования и осуждения женщин, практикующих женское обрезание;</w:t>
      </w:r>
      <w:r>
        <w:t xml:space="preserve"> </w:t>
      </w:r>
    </w:p>
    <w:p w14:paraId="3286CFAC" w14:textId="77777777" w:rsidR="002B0D0F" w:rsidRPr="00C46BFD" w:rsidRDefault="002B0D0F" w:rsidP="002B0D0F">
      <w:pPr>
        <w:pStyle w:val="SingleTxtG"/>
        <w:ind w:firstLine="567"/>
        <w:rPr>
          <w:b/>
          <w:bCs/>
        </w:rPr>
      </w:pPr>
      <w:r>
        <w:rPr>
          <w:b/>
          <w:bCs/>
        </w:rPr>
        <w:t>d)</w:t>
      </w:r>
      <w:r>
        <w:tab/>
      </w:r>
      <w:r>
        <w:rPr>
          <w:b/>
          <w:bCs/>
        </w:rPr>
        <w:t>рассмотреть возможность пересмотра статьи 320 Уголовного кодекса с целью конкретно включить в нее вопрос об изнасиловании в браке, с тем чтобы не оставить никакой двусмысленности в отношении сферы применения этого положения.</w:t>
      </w:r>
    </w:p>
    <w:p w14:paraId="78D9B799" w14:textId="77777777" w:rsidR="002B0D0F" w:rsidRPr="00C46BFD" w:rsidRDefault="002B0D0F" w:rsidP="002B0D0F">
      <w:pPr>
        <w:pStyle w:val="H23G"/>
      </w:pPr>
      <w:r>
        <w:tab/>
      </w:r>
      <w:r>
        <w:tab/>
      </w:r>
      <w:r>
        <w:rPr>
          <w:bCs/>
        </w:rPr>
        <w:t>Смертная казнь</w:t>
      </w:r>
    </w:p>
    <w:p w14:paraId="536558AD" w14:textId="77777777" w:rsidR="002B0D0F" w:rsidRPr="00C46BFD" w:rsidRDefault="002B0D0F" w:rsidP="002B0D0F">
      <w:pPr>
        <w:pStyle w:val="SingleTxtG"/>
      </w:pPr>
      <w:r>
        <w:t>18.</w:t>
      </w:r>
      <w:r>
        <w:tab/>
        <w:t>С удовлетворением отмечая отмену смертной казни в национальном законодательстве и принимая к сведению объявленную готовность государства-участника ратифицировать второй Факультативный протокол к Международному пакту о гражданских и политических правах, направленный на отмену смертной казни, Комитет отмечает, что процесс ратификации еще не начался.</w:t>
      </w:r>
    </w:p>
    <w:p w14:paraId="7207B47E" w14:textId="77777777" w:rsidR="002B0D0F" w:rsidRPr="00C46BFD" w:rsidRDefault="002B0D0F" w:rsidP="002B0D0F">
      <w:pPr>
        <w:spacing w:after="120"/>
        <w:ind w:left="1134" w:right="1134"/>
        <w:jc w:val="both"/>
        <w:rPr>
          <w:rStyle w:val="SingleTxtGChar"/>
          <w:b/>
          <w:bCs/>
        </w:rPr>
      </w:pPr>
      <w:r>
        <w:t>19.</w:t>
      </w:r>
      <w:r>
        <w:tab/>
      </w:r>
      <w:r>
        <w:rPr>
          <w:b/>
          <w:bCs/>
        </w:rPr>
        <w:t>Государству-участнику следует ускорить ратификацию второго Факультативного протокола к Пакту и обеспечить дальнейшее повышение осведомленности общественности об отмене смертной казни.</w:t>
      </w:r>
    </w:p>
    <w:p w14:paraId="2CA44933" w14:textId="77777777" w:rsidR="002B0D0F" w:rsidRPr="00C46BFD" w:rsidRDefault="002B0D0F" w:rsidP="002B0D0F">
      <w:pPr>
        <w:pStyle w:val="H23G"/>
      </w:pPr>
      <w:r>
        <w:tab/>
      </w:r>
      <w:r>
        <w:tab/>
      </w:r>
      <w:r>
        <w:rPr>
          <w:bCs/>
        </w:rPr>
        <w:t>Детоубийство</w:t>
      </w:r>
    </w:p>
    <w:p w14:paraId="3598F415" w14:textId="77777777" w:rsidR="002B0D0F" w:rsidRPr="00C46BFD" w:rsidRDefault="002B0D0F" w:rsidP="002B0D0F">
      <w:pPr>
        <w:pStyle w:val="SingleTxtG"/>
      </w:pPr>
      <w:r>
        <w:t>20.</w:t>
      </w:r>
      <w:r>
        <w:tab/>
        <w:t>Комитет выражает обеспокоенность по поводу случаев детоубийства в государстве-участнике, вызванного такими факторами, как стигматизация и предание позору женщин, забеременивших в результате внебрачных связей или изнасилования. Он обеспокоен тем, что только женщин осуждают за эти деяния, несмотря на частое участие или подстрекательство других лиц к совершению детоубийства. Комитет выражает сожаление в связи с отсутствием психологической поддержки женщин-заключенных, прибегнувших к детоубийству (статьи 6, 7 и 10).</w:t>
      </w:r>
    </w:p>
    <w:p w14:paraId="47D89934" w14:textId="77777777" w:rsidR="002B0D0F" w:rsidRPr="00C46BFD" w:rsidRDefault="002B0D0F" w:rsidP="002B0D0F">
      <w:pPr>
        <w:pStyle w:val="SingleTxtG"/>
        <w:rPr>
          <w:b/>
          <w:bCs/>
        </w:rPr>
      </w:pPr>
      <w:r>
        <w:t>21.</w:t>
      </w:r>
      <w:r>
        <w:tab/>
      </w:r>
      <w:r>
        <w:rPr>
          <w:b/>
          <w:bCs/>
        </w:rPr>
        <w:t>Государству-участнику следует устранить причины детоубийства, в частности путем повышения осведомленности и обеспечения доступа женщин к информации о сексуальном и репродуктивном здоровье, а также путем оказания психологической и социальной поддержки соответствующим женщинам.</w:t>
      </w:r>
      <w:r>
        <w:t xml:space="preserve"> </w:t>
      </w:r>
      <w:r>
        <w:rPr>
          <w:b/>
          <w:bCs/>
        </w:rPr>
        <w:t>Государству-участнику следует принять оперативные и энергичные меры для защиты права новорожденных на жизнь и обеспечить привлечение к ответственности всех лиц, совершивших детоубийство, а также тех, кто побуждает женщин к его совершению.</w:t>
      </w:r>
    </w:p>
    <w:p w14:paraId="5B7A35FB" w14:textId="77777777" w:rsidR="002B0D0F" w:rsidRPr="00C46BFD" w:rsidRDefault="002B0D0F" w:rsidP="002B0D0F">
      <w:pPr>
        <w:pStyle w:val="H23G"/>
      </w:pPr>
      <w:r>
        <w:tab/>
      </w:r>
      <w:r>
        <w:tab/>
      </w:r>
      <w:r>
        <w:rPr>
          <w:bCs/>
        </w:rPr>
        <w:t>Материнская смертность и добровольное прерывание беременности</w:t>
      </w:r>
      <w:r>
        <w:t xml:space="preserve"> </w:t>
      </w:r>
    </w:p>
    <w:p w14:paraId="7A75D312" w14:textId="77777777" w:rsidR="002B0D0F" w:rsidRPr="00C46BFD" w:rsidRDefault="002B0D0F" w:rsidP="002B0D0F">
      <w:pPr>
        <w:pStyle w:val="SingleTxtG"/>
      </w:pPr>
      <w:r>
        <w:t>22.</w:t>
      </w:r>
      <w:r>
        <w:tab/>
        <w:t>Комитет отмечает, что аборт является уголовным преступлением согласно пункту 3 статьи 305 Уголовного кодекса, за исключением случаев, когда жизнь или здоровье беременной женщины находится под угрозой, а это приводит к практике подпольных абортов, производимых в условиях, опасных для жизни и здоровья женщин. Комитет обеспокоен тем, что женщины, которые к нему прибегают, подвергаются судебному преследованию и отбывают наказание в местах лишения свободы в государстве-участнике (статьи 3, 6 и 7).</w:t>
      </w:r>
    </w:p>
    <w:p w14:paraId="152F412B" w14:textId="77777777" w:rsidR="002B0D0F" w:rsidRPr="00C46BFD" w:rsidRDefault="002B0D0F" w:rsidP="002B0D0F">
      <w:pPr>
        <w:pStyle w:val="SingleTxtG"/>
        <w:rPr>
          <w:b/>
          <w:bCs/>
        </w:rPr>
      </w:pPr>
      <w:r>
        <w:t>23.</w:t>
      </w:r>
      <w:r>
        <w:tab/>
      </w:r>
      <w:r>
        <w:rPr>
          <w:b/>
          <w:bCs/>
        </w:rPr>
        <w:t>Государству-участнику следует привести свои законы и практику в соответствие со статьей 6 Пакта с учетом принятого Комитетом замечания общего порядка № 36 (2018) о праве на жизнь и таким образом:</w:t>
      </w:r>
    </w:p>
    <w:p w14:paraId="50E3CA30" w14:textId="77777777" w:rsidR="002B0D0F" w:rsidRPr="00C46BFD" w:rsidRDefault="002B0D0F" w:rsidP="002B0D0F">
      <w:pPr>
        <w:pStyle w:val="SingleTxtG"/>
        <w:ind w:firstLine="567"/>
        <w:rPr>
          <w:b/>
        </w:rPr>
      </w:pPr>
      <w:r>
        <w:rPr>
          <w:b/>
          <w:bCs/>
        </w:rPr>
        <w:t>a)</w:t>
      </w:r>
      <w:r>
        <w:tab/>
      </w:r>
      <w:r>
        <w:rPr>
          <w:b/>
          <w:bCs/>
        </w:rPr>
        <w:t>внести изменения в свое законодательство, чтобы гарантировать эффективный доступ к безопасным и законным абортам в тех случаях, когда вынашивание беременности причинило бы женщине серьезные страдания, особенно в тех случаях, когда беременность наступила в результате изнасилования или инцеста или же не может быть выношена;</w:t>
      </w:r>
    </w:p>
    <w:p w14:paraId="4DD07CC9" w14:textId="77777777" w:rsidR="002B0D0F" w:rsidRPr="00C46BFD" w:rsidRDefault="002B0D0F" w:rsidP="002B0D0F">
      <w:pPr>
        <w:pStyle w:val="SingleTxtG"/>
        <w:ind w:firstLine="567"/>
        <w:rPr>
          <w:b/>
        </w:rPr>
      </w:pPr>
      <w:r>
        <w:rPr>
          <w:b/>
          <w:bCs/>
        </w:rPr>
        <w:t>b)</w:t>
      </w:r>
      <w:r>
        <w:tab/>
      </w:r>
      <w:r>
        <w:rPr>
          <w:b/>
          <w:bCs/>
        </w:rPr>
        <w:t>переложить бремя доказывания, с тем чтобы не возлагать на женщин бремя доказывания того, что их жизнь находится в опасности, поскольку они прибегли к добровольному и безопасному прерыванию беременности;</w:t>
      </w:r>
    </w:p>
    <w:p w14:paraId="525013B2" w14:textId="77777777" w:rsidR="002B0D0F" w:rsidRPr="00C46BFD" w:rsidRDefault="002B0D0F" w:rsidP="002B0D0F">
      <w:pPr>
        <w:pStyle w:val="SingleTxtG"/>
        <w:ind w:firstLine="567"/>
        <w:rPr>
          <w:b/>
        </w:rPr>
      </w:pPr>
      <w:r>
        <w:rPr>
          <w:b/>
          <w:bCs/>
        </w:rPr>
        <w:t>c)</w:t>
      </w:r>
      <w:r>
        <w:tab/>
      </w:r>
      <w:r>
        <w:rPr>
          <w:b/>
          <w:bCs/>
        </w:rPr>
        <w:t>рассмотреть возможность отмены уголовных санкций в отношении женщин, прибегающих к абортам, и медицинских работников, оказывающих им помощь, поскольку такие меры побуждают женщин прибегать к небезопасным абортам, которые могут нанести вред их жизни или здоровью;</w:t>
      </w:r>
    </w:p>
    <w:p w14:paraId="651063FC" w14:textId="77777777" w:rsidR="002B0D0F" w:rsidRPr="00C46BFD" w:rsidRDefault="002B0D0F" w:rsidP="002B0D0F">
      <w:pPr>
        <w:pStyle w:val="SingleTxtG"/>
        <w:ind w:firstLine="567"/>
        <w:rPr>
          <w:b/>
        </w:rPr>
      </w:pPr>
      <w:r>
        <w:rPr>
          <w:b/>
          <w:bCs/>
        </w:rPr>
        <w:t>d)</w:t>
      </w:r>
      <w:r>
        <w:tab/>
      </w:r>
      <w:r>
        <w:rPr>
          <w:b/>
          <w:bCs/>
        </w:rPr>
        <w:t>обеспечить наличие медицинских учреждений и гарантированный доступ в них для выполнения легальных абортов, а также не допускать, чтобы на пути женщин появлялись правовые препятствия, в том числе нормы об уголовной ответственности, вынуждающие их прибегать к небезопасным абортам, которые ставят под угрозу их жизнь и здоровье;</w:t>
      </w:r>
    </w:p>
    <w:p w14:paraId="40D8AFF6" w14:textId="77777777" w:rsidR="002B0D0F" w:rsidRPr="00C46BFD" w:rsidRDefault="002B0D0F" w:rsidP="002B0D0F">
      <w:pPr>
        <w:pStyle w:val="SingleTxtG"/>
        <w:ind w:firstLine="567"/>
        <w:rPr>
          <w:b/>
        </w:rPr>
      </w:pPr>
      <w:r>
        <w:rPr>
          <w:b/>
          <w:bCs/>
        </w:rPr>
        <w:t>e)</w:t>
      </w:r>
      <w:r>
        <w:tab/>
      </w:r>
      <w:r>
        <w:rPr>
          <w:b/>
          <w:bCs/>
        </w:rPr>
        <w:t>предусмотреть обязательное требование добровольного согласия женщины на аборт и наказывать в уголовном порядке лиц, пытающихся тем или иным образом вынудить женщину сделать аборт;</w:t>
      </w:r>
    </w:p>
    <w:p w14:paraId="53E33C0B" w14:textId="77777777" w:rsidR="002B0D0F" w:rsidRPr="00C46BFD" w:rsidRDefault="002B0D0F" w:rsidP="002B0D0F">
      <w:pPr>
        <w:pStyle w:val="SingleTxtG"/>
        <w:ind w:firstLine="567"/>
        <w:rPr>
          <w:b/>
        </w:rPr>
      </w:pPr>
      <w:r>
        <w:rPr>
          <w:b/>
          <w:bCs/>
        </w:rPr>
        <w:t>f)</w:t>
      </w:r>
      <w:r>
        <w:tab/>
      </w:r>
      <w:r>
        <w:rPr>
          <w:b/>
          <w:bCs/>
        </w:rPr>
        <w:t>укреплять образовательные и информационно-просветительские программы, в которых особое внимание уделялось бы сексуальному и репродуктивному здоровью и соответствующим правам женщин.</w:t>
      </w:r>
    </w:p>
    <w:p w14:paraId="4F835D5E" w14:textId="77777777" w:rsidR="002B0D0F" w:rsidRPr="00C46BFD" w:rsidRDefault="002B0D0F" w:rsidP="002B0D0F">
      <w:pPr>
        <w:pStyle w:val="H23G"/>
      </w:pPr>
      <w:r>
        <w:tab/>
      </w:r>
      <w:r>
        <w:tab/>
      </w:r>
      <w:r>
        <w:rPr>
          <w:bCs/>
        </w:rPr>
        <w:t>Чрезмерное применение силы</w:t>
      </w:r>
      <w:r>
        <w:t xml:space="preserve"> </w:t>
      </w:r>
    </w:p>
    <w:p w14:paraId="7DA1C426" w14:textId="77777777" w:rsidR="002B0D0F" w:rsidRPr="00C46BFD" w:rsidRDefault="002B0D0F" w:rsidP="002B0D0F">
      <w:pPr>
        <w:pStyle w:val="SingleTxtG"/>
      </w:pPr>
      <w:r>
        <w:t>24.</w:t>
      </w:r>
      <w:r>
        <w:tab/>
        <w:t>Комитет с обеспокоенностью отмечает утверждения о чрезмерном применении силы во время митингов и демонстраций, проводимых в политических целях, а также о случаях гибели людей, произошедших в этом контексте. Он сожалеет об отсутствии информации о результатах расследований, вынесенных приговорах и возмещении ущерба жертвам или их правопреемникам (статьи 6 и 7).</w:t>
      </w:r>
    </w:p>
    <w:p w14:paraId="41EEE050" w14:textId="77777777" w:rsidR="002B0D0F" w:rsidRPr="00C46BFD" w:rsidRDefault="002B0D0F" w:rsidP="002B0D0F">
      <w:pPr>
        <w:pStyle w:val="SingleTxtG"/>
        <w:rPr>
          <w:b/>
          <w:bCs/>
        </w:rPr>
      </w:pPr>
      <w:r w:rsidRPr="00642D20">
        <w:rPr>
          <w:spacing w:val="-2"/>
        </w:rPr>
        <w:t>25.</w:t>
      </w:r>
      <w:r w:rsidRPr="00642D20">
        <w:rPr>
          <w:spacing w:val="-2"/>
        </w:rPr>
        <w:tab/>
      </w:r>
      <w:r w:rsidRPr="00642D20">
        <w:rPr>
          <w:b/>
          <w:bCs/>
          <w:spacing w:val="-2"/>
        </w:rPr>
        <w:t xml:space="preserve">Государству-участнику следует обеспечивать оперативное, беспристрастное </w:t>
      </w:r>
      <w:r>
        <w:rPr>
          <w:b/>
          <w:bCs/>
        </w:rPr>
        <w:t>и эффективное расследование всех случаев чрезмерного применения силы и предание суду ответственных за них лиц.</w:t>
      </w:r>
      <w:r>
        <w:t xml:space="preserve"> </w:t>
      </w:r>
      <w:r>
        <w:rPr>
          <w:b/>
          <w:bCs/>
        </w:rPr>
        <w:t>В частности, ему следует обеспечить укрепление программ подготовки сотрудников правоохранительных органов по вопросам применения силы с должным учетом Основных принципов применения силы и огнестрельного оружия должностными лицами по поддержанию правопорядка.</w:t>
      </w:r>
      <w:r>
        <w:t xml:space="preserve"> </w:t>
      </w:r>
      <w:r>
        <w:rPr>
          <w:b/>
          <w:bCs/>
        </w:rPr>
        <w:t>Государству-участнику следует также обеспечить, чтобы его законодательство о применении силы соответствовало Пакту и упомянутым принципам.</w:t>
      </w:r>
    </w:p>
    <w:p w14:paraId="0420364E" w14:textId="77777777" w:rsidR="002B0D0F" w:rsidRPr="00C46BFD" w:rsidRDefault="002B0D0F" w:rsidP="002B0D0F">
      <w:pPr>
        <w:pStyle w:val="H23G"/>
      </w:pPr>
      <w:r>
        <w:tab/>
      </w:r>
      <w:r>
        <w:tab/>
      </w:r>
      <w:r>
        <w:rPr>
          <w:bCs/>
        </w:rPr>
        <w:t>Случаи смерти в местах содержания под стражей</w:t>
      </w:r>
    </w:p>
    <w:p w14:paraId="62D00E9F" w14:textId="77777777" w:rsidR="002B0D0F" w:rsidRPr="00C46BFD" w:rsidRDefault="002B0D0F" w:rsidP="002B0D0F">
      <w:pPr>
        <w:pStyle w:val="SingleTxtG"/>
      </w:pPr>
      <w:r>
        <w:t>26.</w:t>
      </w:r>
      <w:r>
        <w:tab/>
        <w:t>Комитет обеспокоен утверждениями о случаях смерти в местах содержания под стражей и отсутствием четких статистических данных о причинах смерти, проведенных расследованиях, назначенных наказаниях и компенсации, предоставленной правопреемникам. Помимо дела Ибрагимы Мбоу, который был застрелен во время мятежа в 2016 году, в Комитет поступили утверждения о шести подозрительных случаях смерти во время содержания под стражей, произошедших с начала 2019 года либо в результате жестокого обращения в полиции, либо в результате плохих условий содержания, включая переполненность тюрем (статьи 2, 6, 7 и 10).</w:t>
      </w:r>
    </w:p>
    <w:p w14:paraId="62CDE41E" w14:textId="77777777" w:rsidR="002B0D0F" w:rsidRPr="00C46BFD" w:rsidRDefault="002B0D0F" w:rsidP="00642D20">
      <w:pPr>
        <w:pStyle w:val="SingleTxtG"/>
        <w:pageBreakBefore/>
        <w:rPr>
          <w:b/>
          <w:bCs/>
          <w:strike/>
        </w:rPr>
      </w:pPr>
      <w:r>
        <w:t>27.</w:t>
      </w:r>
      <w:r>
        <w:tab/>
      </w:r>
      <w:r>
        <w:rPr>
          <w:b/>
          <w:bCs/>
        </w:rPr>
        <w:t>Государству-участнику следует принять срочные меры для обеспечения того, чтобы все случаи смерти во время содержания под стражей тщательно и беспристрастно расследовались, чтобы правопреемники жертв получали компенсацию, а виновные подвергались судебному преследованию и наказанию соразмерно тяжести совершенных ими деяний.</w:t>
      </w:r>
      <w:r>
        <w:t xml:space="preserve"> </w:t>
      </w:r>
    </w:p>
    <w:p w14:paraId="0FB5447E" w14:textId="77777777" w:rsidR="002B0D0F" w:rsidRPr="00C46BFD" w:rsidRDefault="002B0D0F" w:rsidP="002B0D0F">
      <w:pPr>
        <w:pStyle w:val="H23G"/>
      </w:pPr>
      <w:r>
        <w:tab/>
      </w:r>
      <w:r>
        <w:tab/>
      </w:r>
      <w:r>
        <w:rPr>
          <w:bCs/>
        </w:rPr>
        <w:t>Пытки и жестокое обращение</w:t>
      </w:r>
    </w:p>
    <w:p w14:paraId="38115756" w14:textId="77777777" w:rsidR="002B0D0F" w:rsidRPr="00C46BFD" w:rsidRDefault="002B0D0F" w:rsidP="002B0D0F">
      <w:pPr>
        <w:pStyle w:val="SingleTxtG"/>
      </w:pPr>
      <w:r>
        <w:t>28.</w:t>
      </w:r>
      <w:r>
        <w:tab/>
        <w:t>Комитет сожалеет об отсутствии подробной информации о жалобах на акты пыток или жестокого обращения, проведенных расследованиях, возбужденных судебных преследованиях, вынесенных приговорах и предоставленных компенсациях. Он также сожалеет по поводу отсутствия информации о принятых дисциплинарных мерах. В связи с этим Комитет с обеспокоенностью отмечает, что расследования часто поручаются службам, упоминаемым в жалобе, и что любое судебное преследование сотрудника правоохранительных органов не может осуществляться без разрешения под названием «приказ о судебном преследовании», которое выдается министром, от которого зависит предполагаемый преступник. Комитет сожалеет об отсутствии статистических данных о случаях, когда признания, полученные под пытками, были признаны неприемлемыми в ходе судебного разбирательства. И</w:t>
      </w:r>
      <w:r w:rsidR="00642D20">
        <w:t> </w:t>
      </w:r>
      <w:r>
        <w:t>наконец, Комитет сожалеет, что определение пытки во внутреннем законодательстве не в полной мере соответствует статье 1 Конвенции против пыток и других жестоких, бесчеловечных или унижающих достоинство видов обращения и наказания (статьи 2 и 7).</w:t>
      </w:r>
    </w:p>
    <w:p w14:paraId="0C50559D" w14:textId="77777777" w:rsidR="002B0D0F" w:rsidRPr="00C46BFD" w:rsidRDefault="002B0D0F" w:rsidP="002B0D0F">
      <w:pPr>
        <w:pStyle w:val="SingleTxtG"/>
        <w:rPr>
          <w:b/>
          <w:bCs/>
        </w:rPr>
      </w:pPr>
      <w:r>
        <w:t>29.</w:t>
      </w:r>
      <w:r>
        <w:tab/>
      </w:r>
      <w:r>
        <w:rPr>
          <w:b/>
          <w:bCs/>
        </w:rPr>
        <w:t>Государству-участнику следует:</w:t>
      </w:r>
    </w:p>
    <w:p w14:paraId="00F11393" w14:textId="77777777" w:rsidR="002B0D0F" w:rsidRPr="00C46BFD" w:rsidRDefault="002B0D0F" w:rsidP="002B0D0F">
      <w:pPr>
        <w:pStyle w:val="SingleTxtG"/>
        <w:ind w:firstLine="567"/>
        <w:rPr>
          <w:b/>
        </w:rPr>
      </w:pPr>
      <w:r>
        <w:rPr>
          <w:b/>
          <w:bCs/>
        </w:rPr>
        <w:t>a)</w:t>
      </w:r>
      <w:r>
        <w:tab/>
      </w:r>
      <w:r>
        <w:rPr>
          <w:b/>
          <w:bCs/>
        </w:rPr>
        <w:t>пересмотреть свое законодательство с целью криминализации пыток в соответствии с положениями Конвенции против пыток, используя определение, содержащееся в статье 1 Конвенции, предусмотрев наказания, соразмерные тяжести этих деяний, и гарантируя недопустимость признаний, полученных под пытками;</w:t>
      </w:r>
    </w:p>
    <w:p w14:paraId="3B888FF9" w14:textId="77777777" w:rsidR="002B0D0F" w:rsidRPr="00C46BFD" w:rsidRDefault="002B0D0F" w:rsidP="002B0D0F">
      <w:pPr>
        <w:pStyle w:val="SingleTxtG"/>
        <w:ind w:firstLine="567"/>
        <w:rPr>
          <w:b/>
        </w:rPr>
      </w:pPr>
      <w:r>
        <w:rPr>
          <w:b/>
          <w:bCs/>
        </w:rPr>
        <w:t>b)</w:t>
      </w:r>
      <w:r>
        <w:tab/>
      </w:r>
      <w:r>
        <w:rPr>
          <w:b/>
          <w:bCs/>
        </w:rPr>
        <w:t>обеспечить беспристрастные и тщательные расследования всех утверждений о пытках, проводимые независимыми и непричастными к делу службами, судебное преследование и наказание виновных соразмерно тяжести совершенных ими деяний и предоставление компенсации жертвам.</w:t>
      </w:r>
    </w:p>
    <w:p w14:paraId="01080553" w14:textId="77777777" w:rsidR="002B0D0F" w:rsidRPr="00C46BFD" w:rsidRDefault="002B0D0F" w:rsidP="002B0D0F">
      <w:pPr>
        <w:pStyle w:val="H23G"/>
      </w:pPr>
      <w:r>
        <w:tab/>
      </w:r>
      <w:r>
        <w:tab/>
      </w:r>
      <w:r>
        <w:rPr>
          <w:bCs/>
        </w:rPr>
        <w:t>Торговля людьми</w:t>
      </w:r>
    </w:p>
    <w:p w14:paraId="2BC0F322" w14:textId="77777777" w:rsidR="002B0D0F" w:rsidRPr="00C46BFD" w:rsidRDefault="002B0D0F" w:rsidP="002B0D0F">
      <w:pPr>
        <w:pStyle w:val="SingleTxtG"/>
      </w:pPr>
      <w:r>
        <w:t>30.</w:t>
      </w:r>
      <w:r>
        <w:tab/>
        <w:t>Приветствуя принятие Закона № 2005-06 от 10 мая 2005 года о борьбе с торговлей людьми и схожей практикой и защите жертв, а также создание Национального отдела по борьбе с торговлей людьми, особенно женщинами и детьми, Комитет в то же время обеспокоен крайне ограниченным числом случаев судебного преследования и осуждения в соответствии с этим законом, в том числе за эксплуатацию женщин и детей (статьи 7, 8, 24 и 26).</w:t>
      </w:r>
    </w:p>
    <w:p w14:paraId="243C18C0" w14:textId="77777777" w:rsidR="002B0D0F" w:rsidRPr="00C46BFD" w:rsidRDefault="002B0D0F" w:rsidP="002B0D0F">
      <w:pPr>
        <w:pStyle w:val="SingleTxtG"/>
        <w:rPr>
          <w:b/>
          <w:bCs/>
        </w:rPr>
      </w:pPr>
      <w:r>
        <w:t>31.</w:t>
      </w:r>
      <w:r>
        <w:tab/>
      </w:r>
      <w:r>
        <w:rPr>
          <w:b/>
          <w:bCs/>
        </w:rPr>
        <w:t>Государству-участнику следует обеспечить строгое соблюдение</w:t>
      </w:r>
      <w:r w:rsidR="00096C86">
        <w:rPr>
          <w:b/>
          <w:bCs/>
        </w:rPr>
        <w:br/>
      </w:r>
      <w:r>
        <w:rPr>
          <w:b/>
          <w:bCs/>
        </w:rPr>
        <w:t>Закона № 2005-06 о борьбе с торговлей людьми и схожей практикой, в том числе путем систематического проведения беспристрастных и тщательных расследований актов торговли людьми, предоставления организациям гражданского общества возможности возбуждать гражданские иски в судах и гарантирования предоставления правовой помощи в первоочередном порядке всем жертвам торговли людьми и их правопреемникам.</w:t>
      </w:r>
    </w:p>
    <w:p w14:paraId="308E41F9" w14:textId="77777777" w:rsidR="002B0D0F" w:rsidRPr="00C46BFD" w:rsidRDefault="002B0D0F" w:rsidP="002B0D0F">
      <w:pPr>
        <w:pStyle w:val="H23G"/>
      </w:pPr>
      <w:r>
        <w:tab/>
      </w:r>
      <w:r>
        <w:tab/>
      </w:r>
      <w:r>
        <w:rPr>
          <w:bCs/>
        </w:rPr>
        <w:t>Беженцы и просители убежища</w:t>
      </w:r>
    </w:p>
    <w:p w14:paraId="5C85C2D6" w14:textId="77777777" w:rsidR="002B0D0F" w:rsidRPr="00C46BFD" w:rsidRDefault="002B0D0F" w:rsidP="002B0D0F">
      <w:pPr>
        <w:pStyle w:val="SingleTxtG"/>
      </w:pPr>
      <w:r>
        <w:t>32.</w:t>
      </w:r>
      <w:r>
        <w:tab/>
        <w:t>Комитет обеспокоен информацией о ненадежном статусе беженцев и лиц, ищущих убежища, в Сенегале, в том числе о чрезмерных задержках, допускаемых Национальной комиссией по определению статуса беженца при принятии ею своих решений. Комитет также обеспокоен тем, что решения Комиссии не обжалуются и что законопроект о статусе беженцев и безгражданстве, который был инициирован</w:t>
      </w:r>
      <w:r w:rsidR="00642D20">
        <w:br/>
      </w:r>
      <w:r>
        <w:t>в 2012 году и который должен позволить устранить эти недостатки, до сих пор не принят. Кроме того, удостоверения личности, выдаваемые беженцам, не всегда признаются государственными службами и частными учреждениями, такими как банки, что негативно сказывается на правах беженцев и лиц, ищущих убежища. И</w:t>
      </w:r>
      <w:r w:rsidR="00642D20">
        <w:t> </w:t>
      </w:r>
      <w:r>
        <w:t>наконец, Комитет с обеспокоенностью отмечает, что Закон № 61-10 от 7 марта 1961</w:t>
      </w:r>
      <w:r w:rsidR="00642D20">
        <w:t> </w:t>
      </w:r>
      <w:r>
        <w:t>года о гражданстве Сенегала, последнее изменение которого датируется 2013</w:t>
      </w:r>
      <w:r w:rsidR="00642D20">
        <w:t> </w:t>
      </w:r>
      <w:r>
        <w:t>годом, предусматривает приобретение гражданства только для найденного новорожденного и не для любого «найденного ребенка», независимо от возраста. Что</w:t>
      </w:r>
      <w:r w:rsidR="00642D20">
        <w:t> </w:t>
      </w:r>
      <w:r>
        <w:t>касается детей, рожденных на сенегальской территории от родителей, не являющихся гражданами Сенегала, то закон не предусматривает приобретение гражданства этими детьми, в результате чего они могут стать апатридами (статьи 7, 13 и 26).</w:t>
      </w:r>
    </w:p>
    <w:p w14:paraId="129077FB" w14:textId="77777777" w:rsidR="002B0D0F" w:rsidRPr="00C46BFD" w:rsidRDefault="002B0D0F" w:rsidP="002B0D0F">
      <w:pPr>
        <w:pStyle w:val="SingleTxtG"/>
        <w:rPr>
          <w:b/>
          <w:bCs/>
        </w:rPr>
      </w:pPr>
      <w:r>
        <w:t>33.</w:t>
      </w:r>
      <w:r>
        <w:tab/>
      </w:r>
      <w:r>
        <w:rPr>
          <w:b/>
          <w:bCs/>
        </w:rPr>
        <w:t>Государству-участнику следует:</w:t>
      </w:r>
    </w:p>
    <w:p w14:paraId="4B578717" w14:textId="77777777" w:rsidR="002B0D0F" w:rsidRPr="00C46BFD" w:rsidRDefault="002B0D0F" w:rsidP="002B0D0F">
      <w:pPr>
        <w:pStyle w:val="SingleTxtG"/>
        <w:ind w:firstLine="567"/>
        <w:rPr>
          <w:b/>
        </w:rPr>
      </w:pPr>
      <w:r>
        <w:rPr>
          <w:b/>
          <w:bCs/>
        </w:rPr>
        <w:t>a)</w:t>
      </w:r>
      <w:r>
        <w:tab/>
      </w:r>
      <w:r>
        <w:rPr>
          <w:b/>
          <w:bCs/>
        </w:rPr>
        <w:t>пересмотреть свое законодательство с целью приведения его в соответствие с Пактом и Конвенцией о статусе беженцев;</w:t>
      </w:r>
    </w:p>
    <w:p w14:paraId="77E64BF4" w14:textId="77777777" w:rsidR="002B0D0F" w:rsidRPr="00C46BFD" w:rsidRDefault="002B0D0F" w:rsidP="002B0D0F">
      <w:pPr>
        <w:pStyle w:val="SingleTxtG"/>
        <w:ind w:firstLine="567"/>
        <w:rPr>
          <w:b/>
        </w:rPr>
      </w:pPr>
      <w:r>
        <w:rPr>
          <w:b/>
          <w:bCs/>
        </w:rPr>
        <w:t>b)</w:t>
      </w:r>
      <w:r>
        <w:tab/>
      </w:r>
      <w:r>
        <w:rPr>
          <w:b/>
          <w:bCs/>
        </w:rPr>
        <w:t>Увеличить финансовые и людские ресурсы Национальной комиссии по определению статуса беженца для повышения ее эффективности;</w:t>
      </w:r>
    </w:p>
    <w:p w14:paraId="58FCBE3C" w14:textId="77777777" w:rsidR="002B0D0F" w:rsidRPr="00C46BFD" w:rsidRDefault="002B0D0F" w:rsidP="002B0D0F">
      <w:pPr>
        <w:pStyle w:val="SingleTxtG"/>
        <w:ind w:firstLine="567"/>
        <w:rPr>
          <w:b/>
        </w:rPr>
      </w:pPr>
      <w:r>
        <w:rPr>
          <w:b/>
          <w:bCs/>
        </w:rPr>
        <w:t>c)</w:t>
      </w:r>
      <w:r>
        <w:tab/>
      </w:r>
      <w:r>
        <w:rPr>
          <w:b/>
          <w:bCs/>
        </w:rPr>
        <w:t>сократить срок предоставления ответа на ходатайства о предоставлении статуса беженца;</w:t>
      </w:r>
    </w:p>
    <w:p w14:paraId="731AE188" w14:textId="77777777" w:rsidR="002B0D0F" w:rsidRPr="00C46BFD" w:rsidRDefault="002B0D0F" w:rsidP="002B0D0F">
      <w:pPr>
        <w:pStyle w:val="SingleTxtG"/>
        <w:ind w:firstLine="567"/>
        <w:rPr>
          <w:b/>
        </w:rPr>
      </w:pPr>
      <w:r>
        <w:rPr>
          <w:b/>
          <w:bCs/>
        </w:rPr>
        <w:t>d)</w:t>
      </w:r>
      <w:r>
        <w:tab/>
      </w:r>
      <w:r>
        <w:rPr>
          <w:b/>
          <w:bCs/>
        </w:rPr>
        <w:t>пересмотреть Закон № 61-10 о сенегальском гражданстве, с тем чтобы избежать рисков безгражданства, в частности для детей, найденных на территории Сенегала, независимо от их возраста, и детей, родившихся в Сенегале у родителей-иностранцев.</w:t>
      </w:r>
      <w:r>
        <w:t xml:space="preserve"> </w:t>
      </w:r>
    </w:p>
    <w:p w14:paraId="694B0129" w14:textId="77777777" w:rsidR="002B0D0F" w:rsidRPr="00C46BFD" w:rsidRDefault="002B0D0F" w:rsidP="002B0D0F">
      <w:pPr>
        <w:pStyle w:val="H23G"/>
      </w:pPr>
      <w:r>
        <w:tab/>
      </w:r>
      <w:r>
        <w:tab/>
      </w:r>
      <w:r>
        <w:rPr>
          <w:bCs/>
        </w:rPr>
        <w:t>Содержание под стражей в полиции, досудебное содержание под стражей и</w:t>
      </w:r>
      <w:r w:rsidR="00642D20">
        <w:rPr>
          <w:bCs/>
        </w:rPr>
        <w:t> </w:t>
      </w:r>
      <w:r>
        <w:rPr>
          <w:bCs/>
        </w:rPr>
        <w:t>доступ к адвокату</w:t>
      </w:r>
    </w:p>
    <w:p w14:paraId="7D786B51" w14:textId="77777777" w:rsidR="002B0D0F" w:rsidRPr="00C46BFD" w:rsidRDefault="002B0D0F" w:rsidP="002B0D0F">
      <w:pPr>
        <w:pStyle w:val="SingleTxtG"/>
      </w:pPr>
      <w:r>
        <w:t>34.</w:t>
      </w:r>
      <w:r>
        <w:tab/>
        <w:t>Комитет обеспокоен нарушениями судебных гарантий, о которых ему было сообщено, в частности:</w:t>
      </w:r>
    </w:p>
    <w:p w14:paraId="0FB9F212" w14:textId="77777777" w:rsidR="002B0D0F" w:rsidRPr="00C46BFD" w:rsidRDefault="002B0D0F" w:rsidP="002B0D0F">
      <w:pPr>
        <w:pStyle w:val="SingleTxtG"/>
        <w:ind w:firstLine="567"/>
      </w:pPr>
      <w:r>
        <w:t>a)</w:t>
      </w:r>
      <w:r>
        <w:tab/>
        <w:t>сроками содержания под стражей в полиции сверх 48 часов без автоматического направления лица в прокуратуру в соответствии с практикой так называемого «прокурорского возврата»;</w:t>
      </w:r>
    </w:p>
    <w:p w14:paraId="6B8868E3" w14:textId="77777777" w:rsidR="002B0D0F" w:rsidRPr="00C46BFD" w:rsidRDefault="002B0D0F" w:rsidP="002B0D0F">
      <w:pPr>
        <w:pStyle w:val="SingleTxtG"/>
        <w:ind w:firstLine="567"/>
      </w:pPr>
      <w:r>
        <w:t>b)</w:t>
      </w:r>
      <w:r>
        <w:tab/>
        <w:t>отсутствием статистических данных о содержании под стражей в полиции и содержании под стражей до суда за посягательство на государственную безопасность или за терроризм, а также о количестве уголовных или дисциплинарных санкций, примененных за несоблюдение сроков, установленных законом;</w:t>
      </w:r>
    </w:p>
    <w:p w14:paraId="6B2CD030" w14:textId="77777777" w:rsidR="002B0D0F" w:rsidRPr="00C46BFD" w:rsidRDefault="002B0D0F" w:rsidP="002B0D0F">
      <w:pPr>
        <w:pStyle w:val="SingleTxtG"/>
        <w:ind w:firstLine="567"/>
      </w:pPr>
      <w:r>
        <w:t>c)</w:t>
      </w:r>
      <w:r>
        <w:tab/>
        <w:t>физической невозможностью для государства-участника гарантировать доступ к адвокату после ареста в силу крайне ограниченного числа адвокатов, зарегистрированных в адвокатуре, и их сосредоточении в столице, что приводит к отсутствию эффективного доступа к юридической помощи на всей территории страны;</w:t>
      </w:r>
    </w:p>
    <w:p w14:paraId="313BA7DE" w14:textId="77777777" w:rsidR="002B0D0F" w:rsidRPr="00C46BFD" w:rsidRDefault="002B0D0F" w:rsidP="002B0D0F">
      <w:pPr>
        <w:pStyle w:val="SingleTxtG"/>
        <w:ind w:firstLine="567"/>
      </w:pPr>
      <w:r>
        <w:t>d)</w:t>
      </w:r>
      <w:r>
        <w:tab/>
        <w:t>тревожной долей лиц, находящихся в предварительном заключении (почти половина заключенных), и тем, что в настоящее время продолжительность предварительного заключения ограничивается законом только в случае исправительных дел (статьи 9 и 14).</w:t>
      </w:r>
    </w:p>
    <w:p w14:paraId="58A3AED0" w14:textId="77777777" w:rsidR="002B0D0F" w:rsidRPr="00C46BFD" w:rsidRDefault="002B0D0F" w:rsidP="002B0D0F">
      <w:pPr>
        <w:pStyle w:val="SingleTxtG"/>
        <w:rPr>
          <w:b/>
          <w:bCs/>
        </w:rPr>
      </w:pPr>
      <w:r>
        <w:t>35.</w:t>
      </w:r>
      <w:r>
        <w:tab/>
      </w:r>
      <w:r>
        <w:rPr>
          <w:b/>
          <w:bCs/>
        </w:rPr>
        <w:t>Государству-участнику следует:</w:t>
      </w:r>
    </w:p>
    <w:p w14:paraId="1A764020" w14:textId="77777777" w:rsidR="002B0D0F" w:rsidRPr="00C46BFD" w:rsidRDefault="002B0D0F" w:rsidP="002B0D0F">
      <w:pPr>
        <w:pStyle w:val="SingleTxtG"/>
        <w:ind w:firstLine="567"/>
        <w:rPr>
          <w:b/>
          <w:bCs/>
        </w:rPr>
      </w:pPr>
      <w:r>
        <w:rPr>
          <w:b/>
          <w:bCs/>
        </w:rPr>
        <w:t>a)</w:t>
      </w:r>
      <w:r>
        <w:tab/>
      </w:r>
      <w:r>
        <w:rPr>
          <w:b/>
          <w:bCs/>
        </w:rPr>
        <w:t>принять необходимые меры для обеспечения на практике соблюдения сроков содержания под стражей в полиции, в частности путем борьбы с практикой так называемого «прокурорского возврата»;</w:t>
      </w:r>
    </w:p>
    <w:p w14:paraId="4586C7F1" w14:textId="77777777" w:rsidR="002B0D0F" w:rsidRPr="00C46BFD" w:rsidRDefault="002B0D0F" w:rsidP="002B0D0F">
      <w:pPr>
        <w:pStyle w:val="SingleTxtG"/>
        <w:ind w:firstLine="567"/>
        <w:rPr>
          <w:b/>
          <w:bCs/>
        </w:rPr>
      </w:pPr>
      <w:r>
        <w:rPr>
          <w:b/>
          <w:bCs/>
        </w:rPr>
        <w:t>b)</w:t>
      </w:r>
      <w:r>
        <w:tab/>
      </w:r>
      <w:r>
        <w:rPr>
          <w:b/>
          <w:bCs/>
        </w:rPr>
        <w:t>обеспечить ограниченное и контролируемое использование приказов о содержании под стражей в полиции в случае совершения преступлений или правонарушений против государственной безопасности или в области терроризма;</w:t>
      </w:r>
    </w:p>
    <w:p w14:paraId="5EB14ADB" w14:textId="77777777" w:rsidR="002B0D0F" w:rsidRPr="00C46BFD" w:rsidRDefault="002B0D0F" w:rsidP="002B0D0F">
      <w:pPr>
        <w:pStyle w:val="SingleTxtG"/>
        <w:ind w:firstLine="567"/>
        <w:rPr>
          <w:b/>
          <w:bCs/>
        </w:rPr>
      </w:pPr>
      <w:r>
        <w:rPr>
          <w:b/>
          <w:bCs/>
        </w:rPr>
        <w:t>c)</w:t>
      </w:r>
      <w:r>
        <w:tab/>
      </w:r>
      <w:r>
        <w:rPr>
          <w:b/>
          <w:bCs/>
        </w:rPr>
        <w:t>гарантировать доступ к адвокату с момента ареста, в частности путем принятия мер по расширению доступа к этой профессии и поощрению осуществления адвокатской деятельности за пределами столицы;</w:t>
      </w:r>
    </w:p>
    <w:p w14:paraId="52919963" w14:textId="77777777" w:rsidR="002B0D0F" w:rsidRPr="00C46BFD" w:rsidRDefault="002B0D0F" w:rsidP="002B0D0F">
      <w:pPr>
        <w:pStyle w:val="SingleTxtG"/>
        <w:ind w:firstLine="567"/>
        <w:rPr>
          <w:b/>
          <w:bCs/>
        </w:rPr>
      </w:pPr>
      <w:r>
        <w:rPr>
          <w:b/>
          <w:bCs/>
        </w:rPr>
        <w:t>d)</w:t>
      </w:r>
      <w:r>
        <w:tab/>
      </w:r>
      <w:r>
        <w:rPr>
          <w:b/>
          <w:bCs/>
        </w:rPr>
        <w:t>обеспечить доступ к юридической помощи, особенно в регионах, и выделить достаточный бюджет для ее надлежащего функционирования;</w:t>
      </w:r>
    </w:p>
    <w:p w14:paraId="36B63F09" w14:textId="77777777" w:rsidR="002B0D0F" w:rsidRPr="00C46BFD" w:rsidRDefault="002B0D0F" w:rsidP="002B0D0F">
      <w:pPr>
        <w:pStyle w:val="SingleTxtG"/>
        <w:ind w:firstLine="567"/>
        <w:rPr>
          <w:b/>
          <w:bCs/>
        </w:rPr>
      </w:pPr>
      <w:r>
        <w:rPr>
          <w:b/>
          <w:bCs/>
        </w:rPr>
        <w:t>e)</w:t>
      </w:r>
      <w:r>
        <w:tab/>
      </w:r>
      <w:r>
        <w:rPr>
          <w:b/>
          <w:bCs/>
        </w:rPr>
        <w:t>принять все необходимые меры для обеспечения того, чтобы досудебное содержание под стражей применялось только в исключительных обстоятельствах и не на чрезмерно продолжительный срок в соответствии со статьей 9 Пакта и в свете принятого Комитетом замечания общего</w:t>
      </w:r>
      <w:r w:rsidR="00642D20">
        <w:rPr>
          <w:b/>
          <w:bCs/>
        </w:rPr>
        <w:br/>
      </w:r>
      <w:r>
        <w:rPr>
          <w:b/>
          <w:bCs/>
        </w:rPr>
        <w:t>порядка № 35 (2014) по вопросу о свободе и личной неприкосновенности.</w:t>
      </w:r>
    </w:p>
    <w:p w14:paraId="089D0E78" w14:textId="77777777" w:rsidR="002B0D0F" w:rsidRPr="00C46BFD" w:rsidRDefault="002B0D0F" w:rsidP="002B0D0F">
      <w:pPr>
        <w:pStyle w:val="H23G"/>
      </w:pPr>
      <w:r>
        <w:tab/>
      </w:r>
      <w:r>
        <w:tab/>
      </w:r>
      <w:r>
        <w:rPr>
          <w:bCs/>
        </w:rPr>
        <w:t>Независимость судебных органов</w:t>
      </w:r>
      <w:r>
        <w:t xml:space="preserve"> </w:t>
      </w:r>
    </w:p>
    <w:p w14:paraId="0C40CF0A" w14:textId="77777777" w:rsidR="002B0D0F" w:rsidRPr="00C46BFD" w:rsidRDefault="002B0D0F" w:rsidP="002B0D0F">
      <w:pPr>
        <w:pStyle w:val="SingleTxtG"/>
      </w:pPr>
      <w:r>
        <w:t>36.</w:t>
      </w:r>
      <w:r>
        <w:tab/>
      </w:r>
      <w:r w:rsidR="00096C86">
        <w:t>П</w:t>
      </w:r>
      <w:r>
        <w:t>риветствуя принятие Органического закона № 2017-10 от 17 января 2017 года о статусе судей, который предусматривает ряд мер по обеспечению большей независимости судебной власти, Комитет по-прежнему обеспокоен составом Высшего совета магистратуры под председательством Президента Республики и министра юстиции в качестве его заместителя, а также низкой долей избранных членов (одна треть). Кроме того, Комитет с обеспокоенностью отмечает, что судьи могут переводиться с одной должности на другую в рамках системы временного замещения или в зависимости от служебной необходимости, что может нарушать их независимость. Он также обеспокоен ущемлением прокурорских полномочий по оценке обстоятельств дел, поскольку прокуратура подчинена министру юстиции. В</w:t>
      </w:r>
      <w:r w:rsidR="00642D20">
        <w:t> </w:t>
      </w:r>
      <w:r>
        <w:t>этой связи в Комитет поступили тревожные утверждения о вмешательстве, в частности в дела, получившие политический резонанс (статья 14).</w:t>
      </w:r>
    </w:p>
    <w:p w14:paraId="2D536403" w14:textId="77777777" w:rsidR="002B0D0F" w:rsidRPr="00C46BFD" w:rsidRDefault="002B0D0F" w:rsidP="002B0D0F">
      <w:pPr>
        <w:pStyle w:val="SingleTxtG"/>
        <w:rPr>
          <w:b/>
          <w:bCs/>
        </w:rPr>
      </w:pPr>
      <w:r>
        <w:t>37.</w:t>
      </w:r>
      <w:r>
        <w:tab/>
      </w:r>
      <w:r>
        <w:rPr>
          <w:b/>
          <w:bCs/>
        </w:rPr>
        <w:t>Государству-участнику следует принять срочные меры для защиты полной автономии, независимости и беспристрастности судей, в том числе путем пересмотра Органического закона № 2017-10, с тем чтобы Президент Республики и министр юстиции более не являлись членами Высшего совета магистратуры и чтобы обеспечить несменяемость судей.</w:t>
      </w:r>
      <w:r>
        <w:t xml:space="preserve"> </w:t>
      </w:r>
      <w:r>
        <w:rPr>
          <w:b/>
          <w:bCs/>
        </w:rPr>
        <w:t>Государству-участнику следует гарантировать автономию прокуратуры, запретив, в частности, любую возможность вмешательства исполнительной власти в судебные дела.</w:t>
      </w:r>
    </w:p>
    <w:p w14:paraId="73309576" w14:textId="77777777" w:rsidR="002B0D0F" w:rsidRPr="00C46BFD" w:rsidRDefault="002B0D0F" w:rsidP="002B0D0F">
      <w:pPr>
        <w:pStyle w:val="H23G"/>
      </w:pPr>
      <w:r>
        <w:tab/>
      </w:r>
      <w:r>
        <w:tab/>
      </w:r>
      <w:r>
        <w:tab/>
      </w:r>
      <w:r>
        <w:rPr>
          <w:bCs/>
        </w:rPr>
        <w:t>Условия содержания под стражей</w:t>
      </w:r>
    </w:p>
    <w:p w14:paraId="29E2CFEC" w14:textId="77777777" w:rsidR="002B0D0F" w:rsidRPr="00C46BFD" w:rsidRDefault="002B0D0F" w:rsidP="002B0D0F">
      <w:pPr>
        <w:pStyle w:val="SingleTxtG"/>
      </w:pPr>
      <w:r>
        <w:t>38.</w:t>
      </w:r>
      <w:r>
        <w:tab/>
        <w:t>Комитет глубоко обеспокоен условиями содержания под стражей в государстве-участнике, по сообщениям которого его пенитенциарные учреждения заполнены более чем на 270</w:t>
      </w:r>
      <w:r w:rsidR="00096C86">
        <w:t>%</w:t>
      </w:r>
      <w:r>
        <w:t>, что обусловлено, в частности, высокой долей заключенных в местах предварительного заключения и недостаточностью назначаемых судьями мер наказания, альтернативных тюремному заключению. Он</w:t>
      </w:r>
      <w:r w:rsidR="00642D20">
        <w:t> </w:t>
      </w:r>
      <w:r>
        <w:t>обеспокоен отсутствием информации о реабилитационных мерах, особенно в отношении молодежи и женщин. И наконец, Комитет обеспокоен недостаточностью бюджетных средств, выделяемых тюремной администрации (статьи 6, 7, 9 и 10).</w:t>
      </w:r>
    </w:p>
    <w:p w14:paraId="7D4F548B" w14:textId="77777777" w:rsidR="002B0D0F" w:rsidRPr="00C46BFD" w:rsidRDefault="002B0D0F" w:rsidP="002B0D0F">
      <w:pPr>
        <w:pStyle w:val="SingleTxtG"/>
        <w:rPr>
          <w:b/>
          <w:bCs/>
        </w:rPr>
      </w:pPr>
      <w:r>
        <w:t>39.</w:t>
      </w:r>
      <w:r>
        <w:tab/>
      </w:r>
      <w:r>
        <w:rPr>
          <w:b/>
          <w:bCs/>
        </w:rPr>
        <w:t>Государству-участнику следует:</w:t>
      </w:r>
    </w:p>
    <w:p w14:paraId="676B4118" w14:textId="77777777" w:rsidR="002B0D0F" w:rsidRPr="00C46BFD" w:rsidRDefault="002B0D0F" w:rsidP="002B0D0F">
      <w:pPr>
        <w:pStyle w:val="SingleTxtG"/>
        <w:ind w:firstLine="567"/>
        <w:rPr>
          <w:b/>
          <w:bCs/>
        </w:rPr>
      </w:pPr>
      <w:r>
        <w:rPr>
          <w:b/>
          <w:bCs/>
        </w:rPr>
        <w:t>a)</w:t>
      </w:r>
      <w:r>
        <w:tab/>
      </w:r>
      <w:r>
        <w:rPr>
          <w:b/>
          <w:bCs/>
        </w:rPr>
        <w:t>решить проблему переполненности тюрем, в том числе путем поощрения судей к применению Закона № 2016-29, предусматривающего меры наказания, альтернативные тюремному заключению осужденных, а также путем увеличения числа инспекций центров содержания под стражей судьями и прокурорами;</w:t>
      </w:r>
    </w:p>
    <w:p w14:paraId="18AD2571" w14:textId="77777777" w:rsidR="002B0D0F" w:rsidRPr="00C46BFD" w:rsidRDefault="002B0D0F" w:rsidP="002B0D0F">
      <w:pPr>
        <w:pStyle w:val="SingleTxtG"/>
        <w:ind w:firstLine="567"/>
        <w:rPr>
          <w:b/>
          <w:bCs/>
        </w:rPr>
      </w:pPr>
      <w:r>
        <w:rPr>
          <w:b/>
          <w:bCs/>
        </w:rPr>
        <w:t>b)</w:t>
      </w:r>
      <w:r>
        <w:tab/>
      </w:r>
      <w:r>
        <w:rPr>
          <w:b/>
          <w:bCs/>
        </w:rPr>
        <w:t>провести ремонт тюрьмы Ребёсс и завершить строительство новых центров содержания под стражей для сокращения переполненности существующих мест лишения свободы.</w:t>
      </w:r>
    </w:p>
    <w:p w14:paraId="45820CDC" w14:textId="77777777" w:rsidR="002B0D0F" w:rsidRPr="00C46BFD" w:rsidRDefault="002B0D0F" w:rsidP="002B0D0F">
      <w:pPr>
        <w:pStyle w:val="H23G"/>
      </w:pPr>
      <w:r>
        <w:tab/>
      </w:r>
      <w:r>
        <w:tab/>
      </w:r>
      <w:r>
        <w:rPr>
          <w:bCs/>
        </w:rPr>
        <w:t>Эксплуатация детей и жестокое обращение с ними</w:t>
      </w:r>
    </w:p>
    <w:p w14:paraId="29341F3A" w14:textId="77777777" w:rsidR="002B0D0F" w:rsidRPr="00C46BFD" w:rsidRDefault="002B0D0F" w:rsidP="002B0D0F">
      <w:pPr>
        <w:pStyle w:val="SingleTxtG"/>
      </w:pPr>
      <w:r>
        <w:t>40.</w:t>
      </w:r>
      <w:r>
        <w:tab/>
        <w:t xml:space="preserve">Несмотря на усилия государства-участника по защите детей и борьбе с торговлей людьми, Комитет отмечает сохранение такого явления, как эксплуатация детей и жестокое обращение с ними, включая сексуальные надругательства, в районах добычи золота и туризма. Комитет также обеспокоен следующими фактами и ненормально малым числом случаев судебного преследования предполагаемых виновных (статьи 2, 6, 7 и 24): </w:t>
      </w:r>
    </w:p>
    <w:p w14:paraId="4F9EBC9A" w14:textId="77777777" w:rsidR="002B0D0F" w:rsidRPr="00C46BFD" w:rsidRDefault="002B0D0F" w:rsidP="002B0D0F">
      <w:pPr>
        <w:pStyle w:val="SingleTxtG"/>
        <w:ind w:firstLine="567"/>
      </w:pPr>
      <w:r>
        <w:t>a)</w:t>
      </w:r>
      <w:r>
        <w:tab/>
        <w:t xml:space="preserve">положением детей, принуждаемых к попрошайничеству (по оценкам, их насчитывается 100 </w:t>
      </w:r>
      <w:r w:rsidR="00096C86">
        <w:t>000</w:t>
      </w:r>
      <w:r>
        <w:t xml:space="preserve"> человек в государстве-участнике); </w:t>
      </w:r>
    </w:p>
    <w:p w14:paraId="17B63332" w14:textId="77777777" w:rsidR="002B0D0F" w:rsidRPr="00C46BFD" w:rsidRDefault="002B0D0F" w:rsidP="002B0D0F">
      <w:pPr>
        <w:pStyle w:val="SingleTxtG"/>
        <w:ind w:firstLine="567"/>
      </w:pPr>
      <w:r>
        <w:t>b)</w:t>
      </w:r>
      <w:r>
        <w:tab/>
        <w:t>практикой телесных наказаний в семьях, а также в некоторых школах;</w:t>
      </w:r>
    </w:p>
    <w:p w14:paraId="43D6B112" w14:textId="77777777" w:rsidR="002B0D0F" w:rsidRPr="00C46BFD" w:rsidRDefault="002B0D0F" w:rsidP="002B0D0F">
      <w:pPr>
        <w:pStyle w:val="SingleTxtG"/>
        <w:ind w:firstLine="567"/>
      </w:pPr>
      <w:r>
        <w:t>c)</w:t>
      </w:r>
      <w:r>
        <w:tab/>
        <w:t>продолжающимися сексуальными надругательствами в средних школах Сенегала;</w:t>
      </w:r>
    </w:p>
    <w:p w14:paraId="1E53EA50" w14:textId="77777777" w:rsidR="002B0D0F" w:rsidRPr="00C46BFD" w:rsidRDefault="002B0D0F" w:rsidP="002B0D0F">
      <w:pPr>
        <w:pStyle w:val="SingleTxtG"/>
        <w:ind w:firstLine="567"/>
      </w:pPr>
      <w:r>
        <w:t>d)</w:t>
      </w:r>
      <w:r>
        <w:tab/>
        <w:t xml:space="preserve">случаями эксплуатации детей и жестокого обращения с ними со стороны преподавателей коранических школ (иногда приводящими к смерти или серьезным увечьям детей). </w:t>
      </w:r>
    </w:p>
    <w:p w14:paraId="1450D2AF" w14:textId="77777777" w:rsidR="002B0D0F" w:rsidRPr="00C46BFD" w:rsidRDefault="002B0D0F" w:rsidP="002B0D0F">
      <w:pPr>
        <w:pStyle w:val="SingleTxtG"/>
        <w:rPr>
          <w:b/>
        </w:rPr>
      </w:pPr>
      <w:r>
        <w:t>41.</w:t>
      </w:r>
      <w:r>
        <w:tab/>
      </w:r>
      <w:r>
        <w:rPr>
          <w:b/>
          <w:bCs/>
        </w:rPr>
        <w:t>Государству-участнику следует принять срочные меры для прекращения жестокого обращения, эксплуатации, торговли людьми и всех других форм насилия и пыток в отношении детей, в частности:</w:t>
      </w:r>
    </w:p>
    <w:p w14:paraId="7BAF5252" w14:textId="77777777" w:rsidR="002B0D0F" w:rsidRPr="00C46BFD" w:rsidRDefault="002B0D0F" w:rsidP="002B0D0F">
      <w:pPr>
        <w:pStyle w:val="SingleTxtG"/>
        <w:ind w:firstLine="567"/>
        <w:rPr>
          <w:b/>
        </w:rPr>
      </w:pPr>
      <w:r>
        <w:rPr>
          <w:b/>
          <w:bCs/>
        </w:rPr>
        <w:t>a)</w:t>
      </w:r>
      <w:r>
        <w:tab/>
      </w:r>
      <w:r>
        <w:rPr>
          <w:b/>
          <w:bCs/>
        </w:rPr>
        <w:t>положить конец всем формам эксплуатации детей и жестокого обращения с ними, в том числе со стороны мусульманских богословов в даарах;</w:t>
      </w:r>
    </w:p>
    <w:p w14:paraId="0FF61053" w14:textId="77777777" w:rsidR="002B0D0F" w:rsidRPr="00C46BFD" w:rsidRDefault="002B0D0F" w:rsidP="002B0D0F">
      <w:pPr>
        <w:pStyle w:val="SingleTxtG"/>
        <w:ind w:firstLine="567"/>
        <w:rPr>
          <w:b/>
        </w:rPr>
      </w:pPr>
      <w:r>
        <w:rPr>
          <w:b/>
          <w:bCs/>
        </w:rPr>
        <w:t>b)</w:t>
      </w:r>
      <w:r>
        <w:tab/>
      </w:r>
      <w:r>
        <w:rPr>
          <w:b/>
          <w:bCs/>
        </w:rPr>
        <w:t>в рамках Национальной стратегии защиты детей создать национальную базу данных по всем случаям бытового насилия в отношении детей и провести всеобъемлющую оценку масштабов, причин и характера такого насилия;</w:t>
      </w:r>
    </w:p>
    <w:p w14:paraId="6DDCEF6E" w14:textId="77777777" w:rsidR="002B0D0F" w:rsidRPr="00C46BFD" w:rsidRDefault="002B0D0F" w:rsidP="002B0D0F">
      <w:pPr>
        <w:pStyle w:val="SingleTxtG"/>
        <w:ind w:firstLine="567"/>
        <w:rPr>
          <w:b/>
          <w:strike/>
        </w:rPr>
      </w:pPr>
      <w:r>
        <w:rPr>
          <w:b/>
          <w:bCs/>
        </w:rPr>
        <w:t>c)</w:t>
      </w:r>
      <w:r>
        <w:tab/>
      </w:r>
      <w:r>
        <w:rPr>
          <w:b/>
          <w:bCs/>
        </w:rPr>
        <w:t>ускорить принятие Кодекса законов о детях, обеспечив при этом его соответствие положениям Пакта;</w:t>
      </w:r>
    </w:p>
    <w:p w14:paraId="4FDA4067" w14:textId="77777777" w:rsidR="002B0D0F" w:rsidRPr="00C46BFD" w:rsidRDefault="002B0D0F" w:rsidP="002B0D0F">
      <w:pPr>
        <w:pStyle w:val="SingleTxtG"/>
        <w:ind w:firstLine="567"/>
      </w:pPr>
      <w:r>
        <w:rPr>
          <w:b/>
          <w:bCs/>
        </w:rPr>
        <w:t>d)</w:t>
      </w:r>
      <w:r>
        <w:tab/>
      </w:r>
      <w:r>
        <w:rPr>
          <w:b/>
          <w:bCs/>
        </w:rPr>
        <w:t>обеспечить строгое применение статьи 298 Уголовного кодекса, устанавливающей уголовную ответственность за умышленное физическое насилие над детьми и отсутствие заботы о них, обеспечив все звенья судебной цепочки средствами, адаптированными к масштабам данного явления;</w:t>
      </w:r>
    </w:p>
    <w:p w14:paraId="02E58990" w14:textId="77777777" w:rsidR="002B0D0F" w:rsidRPr="00C46BFD" w:rsidRDefault="002B0D0F" w:rsidP="002B0D0F">
      <w:pPr>
        <w:pStyle w:val="SingleTxtG"/>
        <w:ind w:firstLine="567"/>
        <w:rPr>
          <w:b/>
        </w:rPr>
      </w:pPr>
      <w:r>
        <w:rPr>
          <w:b/>
          <w:bCs/>
        </w:rPr>
        <w:t>e)</w:t>
      </w:r>
      <w:r>
        <w:tab/>
      </w:r>
      <w:r>
        <w:rPr>
          <w:b/>
          <w:bCs/>
        </w:rPr>
        <w:t>ускорить принятие законопроекта о модернизации коранических школ, обеспечив при этом, чтобы принятый закон соответствовал обязательствам государства-участника по Пакту и предусматривал создание инспекционной системы, располагающей необходимыми ресурсами;</w:t>
      </w:r>
      <w:r>
        <w:t xml:space="preserve"> </w:t>
      </w:r>
    </w:p>
    <w:p w14:paraId="3ADAFA22" w14:textId="77777777" w:rsidR="002B0D0F" w:rsidRPr="00C46BFD" w:rsidRDefault="002B0D0F" w:rsidP="002B0D0F">
      <w:pPr>
        <w:pStyle w:val="SingleTxtG"/>
        <w:ind w:firstLine="567"/>
        <w:rPr>
          <w:b/>
        </w:rPr>
      </w:pPr>
      <w:r>
        <w:rPr>
          <w:b/>
          <w:bCs/>
        </w:rPr>
        <w:t>f)</w:t>
      </w:r>
      <w:r>
        <w:tab/>
      </w:r>
      <w:r>
        <w:rPr>
          <w:b/>
          <w:bCs/>
        </w:rPr>
        <w:t>разрешить организациям гражданского общества подавать гражданские иски в суды по всем делам о торговле детьми и жестоком обращении с ними.</w:t>
      </w:r>
    </w:p>
    <w:p w14:paraId="7DBAB341" w14:textId="77777777" w:rsidR="002B0D0F" w:rsidRPr="00C46BFD" w:rsidRDefault="002B0D0F" w:rsidP="002B0D0F">
      <w:pPr>
        <w:pStyle w:val="H23G"/>
      </w:pPr>
      <w:r>
        <w:tab/>
      </w:r>
      <w:r>
        <w:tab/>
      </w:r>
      <w:r>
        <w:rPr>
          <w:bCs/>
        </w:rPr>
        <w:t>Регистрация рождения</w:t>
      </w:r>
    </w:p>
    <w:p w14:paraId="7E7BD1B3" w14:textId="77777777" w:rsidR="002B0D0F" w:rsidRPr="00C46BFD" w:rsidRDefault="002B0D0F" w:rsidP="002B0D0F">
      <w:pPr>
        <w:pStyle w:val="SingleTxtG"/>
      </w:pPr>
      <w:r>
        <w:t>42.</w:t>
      </w:r>
      <w:r>
        <w:tab/>
        <w:t xml:space="preserve">Несмотря на усилия государства-участника, Комитет отмечает, что уровень регистрации рождений остается низким, особенно в сельских районах (статьи 16 и 24). </w:t>
      </w:r>
    </w:p>
    <w:p w14:paraId="6F28C16D" w14:textId="77777777" w:rsidR="002B0D0F" w:rsidRPr="00C46BFD" w:rsidRDefault="002B0D0F" w:rsidP="002B0D0F">
      <w:pPr>
        <w:pStyle w:val="SingleTxtG"/>
        <w:rPr>
          <w:b/>
          <w:bCs/>
        </w:rPr>
      </w:pPr>
      <w:r>
        <w:t>43.</w:t>
      </w:r>
      <w:r>
        <w:tab/>
      </w:r>
      <w:r>
        <w:rPr>
          <w:b/>
          <w:bCs/>
        </w:rPr>
        <w:t>Государству-участнику следует активизировать проведение своей политики в области регистрации рождения детей, в частности:</w:t>
      </w:r>
    </w:p>
    <w:p w14:paraId="0991671D" w14:textId="77777777" w:rsidR="002B0D0F" w:rsidRPr="00C46BFD" w:rsidRDefault="002B0D0F" w:rsidP="002B0D0F">
      <w:pPr>
        <w:pStyle w:val="SingleTxtG"/>
        <w:ind w:firstLine="567"/>
        <w:rPr>
          <w:b/>
          <w:bCs/>
        </w:rPr>
      </w:pPr>
      <w:r>
        <w:rPr>
          <w:b/>
          <w:bCs/>
        </w:rPr>
        <w:t>a)</w:t>
      </w:r>
      <w:r>
        <w:tab/>
      </w:r>
      <w:r>
        <w:rPr>
          <w:b/>
          <w:bCs/>
        </w:rPr>
        <w:t>модернизировать свою систему регистрации актов гражданского состояния путем увеличения выделяемых на нее бюджетных средств;</w:t>
      </w:r>
    </w:p>
    <w:p w14:paraId="2A2D8865" w14:textId="77777777" w:rsidR="002B0D0F" w:rsidRPr="00C46BFD" w:rsidRDefault="002B0D0F" w:rsidP="002B0D0F">
      <w:pPr>
        <w:pStyle w:val="SingleTxtG"/>
        <w:ind w:firstLine="567"/>
        <w:rPr>
          <w:b/>
          <w:bCs/>
        </w:rPr>
      </w:pPr>
      <w:r>
        <w:rPr>
          <w:b/>
          <w:bCs/>
        </w:rPr>
        <w:t>b)</w:t>
      </w:r>
      <w:r>
        <w:tab/>
      </w:r>
      <w:r>
        <w:rPr>
          <w:b/>
          <w:bCs/>
        </w:rPr>
        <w:t>обеспечить бесплатную регистрацию рождений, по крайней мере для детей в возрасте до пяти лет, особенно в сельских и отдаленных районах;</w:t>
      </w:r>
    </w:p>
    <w:p w14:paraId="2FD661C2" w14:textId="77777777" w:rsidR="002B0D0F" w:rsidRPr="00C46BFD" w:rsidRDefault="002B0D0F" w:rsidP="002B0D0F">
      <w:pPr>
        <w:pStyle w:val="SingleTxtG"/>
        <w:ind w:firstLine="567"/>
        <w:rPr>
          <w:b/>
          <w:bCs/>
        </w:rPr>
      </w:pPr>
      <w:r>
        <w:rPr>
          <w:b/>
          <w:bCs/>
        </w:rPr>
        <w:t>c)</w:t>
      </w:r>
      <w:r>
        <w:tab/>
      </w:r>
      <w:r>
        <w:rPr>
          <w:b/>
          <w:bCs/>
        </w:rPr>
        <w:t>укрепить систему мобильной регистрации рождений для охвата наиболее отдаленных районов.</w:t>
      </w:r>
    </w:p>
    <w:p w14:paraId="4E712BDD" w14:textId="77777777" w:rsidR="002B0D0F" w:rsidRPr="00C46BFD" w:rsidRDefault="002B0D0F" w:rsidP="002B0D0F">
      <w:pPr>
        <w:pStyle w:val="H23G"/>
      </w:pPr>
      <w:r>
        <w:tab/>
      </w:r>
      <w:r>
        <w:tab/>
      </w:r>
      <w:r>
        <w:rPr>
          <w:bCs/>
        </w:rPr>
        <w:t>Свобода выражения мнений, мирных собраний и ассоциации и защита журналистов и правозащитников</w:t>
      </w:r>
    </w:p>
    <w:p w14:paraId="66AC95B3" w14:textId="77777777" w:rsidR="002B0D0F" w:rsidRPr="00C46BFD" w:rsidRDefault="002B0D0F" w:rsidP="002B0D0F">
      <w:pPr>
        <w:pStyle w:val="SingleTxtG"/>
      </w:pPr>
      <w:r>
        <w:t>44.</w:t>
      </w:r>
      <w:r>
        <w:tab/>
        <w:t>Комитет обеспокоен сохранением в новом Кодексе законов о печати положений о правонарушениях в сфере печати и многочисленными утверждениями об арестах на основании этих правонарушений и других положений, таких как оскорбление главы государства и правонарушение в виде изготовления и распространения в Интернете документов или изображений, противоречащих нормам морали, в частности в отношении журналистов и правозащитников. Комитет также обеспокоен неоднократными политическими выступлениями, направленными на очернение работы журналистов и правозащитников, выступающих против позиции правительства или осуждающих нарушения прав человека. И наконец, Комитет отмечает введение ограничительных условий в отношении демонстраций, которые автоматически запрещаются в центре Дакара (статьи 7, 9, 19, 21 и 22).</w:t>
      </w:r>
    </w:p>
    <w:p w14:paraId="05F7DAC2" w14:textId="77777777" w:rsidR="002B0D0F" w:rsidRPr="00C46BFD" w:rsidRDefault="002B0D0F" w:rsidP="002B0D0F">
      <w:pPr>
        <w:pStyle w:val="SingleTxtG"/>
        <w:rPr>
          <w:b/>
          <w:bCs/>
        </w:rPr>
      </w:pPr>
      <w:r>
        <w:t>45.</w:t>
      </w:r>
      <w:r>
        <w:tab/>
      </w:r>
      <w:r>
        <w:rPr>
          <w:b/>
          <w:bCs/>
        </w:rPr>
        <w:t>Государству-участнику следует принять законодательные и институциональные меры, необходимые для того, чтобы любые ограничения на осуществление свободы выражения мнений соответствовали строгим требованиям, которые закреплены в Пакте, в частности:</w:t>
      </w:r>
    </w:p>
    <w:p w14:paraId="108FF914" w14:textId="77777777" w:rsidR="002B0D0F" w:rsidRPr="00C46BFD" w:rsidRDefault="002B0D0F" w:rsidP="002B0D0F">
      <w:pPr>
        <w:pStyle w:val="SingleTxtG"/>
        <w:ind w:firstLine="567"/>
        <w:rPr>
          <w:b/>
          <w:bCs/>
        </w:rPr>
      </w:pPr>
      <w:r>
        <w:rPr>
          <w:b/>
          <w:bCs/>
        </w:rPr>
        <w:t>a)</w:t>
      </w:r>
      <w:r>
        <w:tab/>
      </w:r>
      <w:r>
        <w:rPr>
          <w:b/>
          <w:bCs/>
        </w:rPr>
        <w:t>отменить уголовную ответственность за правонарушения в сфере печати и за оскорбление главы государства;</w:t>
      </w:r>
      <w:r>
        <w:t xml:space="preserve"> </w:t>
      </w:r>
    </w:p>
    <w:p w14:paraId="7E533B5E" w14:textId="77777777" w:rsidR="002B0D0F" w:rsidRPr="00C46BFD" w:rsidRDefault="002B0D0F" w:rsidP="002B0D0F">
      <w:pPr>
        <w:pStyle w:val="SingleTxtG"/>
        <w:ind w:firstLine="567"/>
        <w:rPr>
          <w:b/>
          <w:bCs/>
        </w:rPr>
      </w:pPr>
      <w:r>
        <w:rPr>
          <w:b/>
          <w:bCs/>
        </w:rPr>
        <w:t>b)</w:t>
      </w:r>
      <w:r>
        <w:tab/>
      </w:r>
      <w:r>
        <w:rPr>
          <w:b/>
          <w:bCs/>
        </w:rPr>
        <w:t>гарантировать и уважать право на собрания и демонстрации населения, политиков и организаций гражданского общества;</w:t>
      </w:r>
    </w:p>
    <w:p w14:paraId="5A1993D0" w14:textId="77777777" w:rsidR="002B0D0F" w:rsidRPr="00C46BFD" w:rsidRDefault="002B0D0F" w:rsidP="002B0D0F">
      <w:pPr>
        <w:pStyle w:val="SingleTxtG"/>
        <w:ind w:firstLine="567"/>
        <w:rPr>
          <w:b/>
          <w:bCs/>
        </w:rPr>
      </w:pPr>
      <w:r>
        <w:rPr>
          <w:b/>
          <w:bCs/>
        </w:rPr>
        <w:t>c)</w:t>
      </w:r>
      <w:r>
        <w:tab/>
      </w:r>
      <w:r>
        <w:rPr>
          <w:b/>
          <w:bCs/>
        </w:rPr>
        <w:t>обеспечить, чтобы регулирующие учреждения, такие как Регуляторный орган электросвязи и почты и Национальный совет по регулированию в области телерадиовещания, выполняли свою роль беспристрастным и независимым образом;</w:t>
      </w:r>
      <w:r>
        <w:t xml:space="preserve"> </w:t>
      </w:r>
    </w:p>
    <w:p w14:paraId="22486669" w14:textId="77777777" w:rsidR="002B0D0F" w:rsidRPr="00C46BFD" w:rsidRDefault="002B0D0F" w:rsidP="002B0D0F">
      <w:pPr>
        <w:pStyle w:val="SingleTxtG"/>
        <w:ind w:firstLine="567"/>
        <w:rPr>
          <w:b/>
          <w:bCs/>
        </w:rPr>
      </w:pPr>
      <w:r>
        <w:rPr>
          <w:b/>
          <w:bCs/>
        </w:rPr>
        <w:t>d)</w:t>
      </w:r>
      <w:r>
        <w:tab/>
      </w:r>
      <w:r>
        <w:rPr>
          <w:b/>
          <w:bCs/>
        </w:rPr>
        <w:t>проводить расследования, осуществлять преследование и осуждать лиц, виновных в совершении актов притеснения, запугивания и угроз, призыва к ненависти в отношении журналистов, политических оппонентов и правозащитников.</w:t>
      </w:r>
    </w:p>
    <w:p w14:paraId="4E8D876F" w14:textId="77777777" w:rsidR="002B0D0F" w:rsidRPr="00C46BFD" w:rsidRDefault="002B0D0F" w:rsidP="002B0D0F">
      <w:pPr>
        <w:pStyle w:val="H23G"/>
      </w:pPr>
      <w:r>
        <w:tab/>
      </w:r>
      <w:r>
        <w:tab/>
      </w:r>
      <w:r>
        <w:rPr>
          <w:bCs/>
        </w:rPr>
        <w:t>Участие в государственных делах</w:t>
      </w:r>
    </w:p>
    <w:p w14:paraId="26919D7E" w14:textId="77777777" w:rsidR="002B0D0F" w:rsidRPr="00C46BFD" w:rsidRDefault="002B0D0F" w:rsidP="002B0D0F">
      <w:pPr>
        <w:pStyle w:val="SingleTxtG"/>
      </w:pPr>
      <w:r>
        <w:t>46.</w:t>
      </w:r>
      <w:r>
        <w:tab/>
        <w:t>Комитет обеспокоен тем, что лица, лишенные свободы в Сенегале, независимо от того, находятся ли они в предварительном заключении или осуждены, не могут на практике реализовать свое право голосовать или быть избранными и что такое лишение политических прав, как представляется, не имеет четко определенного срока, установленного законом. В этой связи Комитет обеспокоен решением Конституционного совета от 20 января 2019 года о том, чтобы признать недействительной кандидатуру двух основных политических оппонентов без ограничения срока лишения их права быть избранными (статья 25).</w:t>
      </w:r>
    </w:p>
    <w:p w14:paraId="3B53C164" w14:textId="77777777" w:rsidR="002B0D0F" w:rsidRPr="00C46BFD" w:rsidRDefault="002B0D0F" w:rsidP="002B0D0F">
      <w:pPr>
        <w:pStyle w:val="SingleTxtG"/>
        <w:rPr>
          <w:b/>
          <w:bCs/>
        </w:rPr>
      </w:pPr>
      <w:r>
        <w:t>47.</w:t>
      </w:r>
      <w:r>
        <w:tab/>
      </w:r>
      <w:r>
        <w:rPr>
          <w:b/>
          <w:bCs/>
        </w:rPr>
        <w:t>В соответствии с замечанием общего порядка № 25 (1996) об участии в ведении государственных дел и праве голосовать государству-участнику следует принять необходимые меры для приведения своего законодательства в соответствие с Пактом и четко определить категории осужденных лиц, лишенных возможности осуществлять свои гражданские и политические права, а также срок приостановления их осуществления.</w:t>
      </w:r>
      <w:r>
        <w:t xml:space="preserve"> </w:t>
      </w:r>
    </w:p>
    <w:p w14:paraId="172EF245" w14:textId="77777777" w:rsidR="002B0D0F" w:rsidRPr="00C46BFD" w:rsidRDefault="002B0D0F" w:rsidP="002B0D0F">
      <w:pPr>
        <w:pStyle w:val="H1G"/>
      </w:pPr>
      <w:r>
        <w:rPr>
          <w:bCs/>
        </w:rPr>
        <w:tab/>
        <w:t>D.</w:t>
      </w:r>
      <w:r>
        <w:tab/>
      </w:r>
      <w:r>
        <w:rPr>
          <w:bCs/>
        </w:rPr>
        <w:t>Распространение информации и последующая деятельность</w:t>
      </w:r>
    </w:p>
    <w:p w14:paraId="7F110BD7" w14:textId="77777777" w:rsidR="002B0D0F" w:rsidRPr="00C46BFD" w:rsidRDefault="002B0D0F" w:rsidP="002B0D0F">
      <w:pPr>
        <w:pStyle w:val="SingleTxtG"/>
        <w:rPr>
          <w:b/>
          <w:bCs/>
        </w:rPr>
      </w:pPr>
      <w:r>
        <w:t>48.</w:t>
      </w:r>
      <w:r>
        <w:tab/>
      </w:r>
      <w:r>
        <w:rPr>
          <w:b/>
          <w:bCs/>
        </w:rPr>
        <w:t>Государству-участнику следует широко распространить тексты Пакта, своего пятого периодического доклада и настоящих заключительных замечаний для повышения уровня информированности о закрепленных в Пакте правах среди представителей судебных, законодательных и административных органов власти, гражданского общества, неправительственных организаций, действующих в стране, и широкой общественности.</w:t>
      </w:r>
    </w:p>
    <w:p w14:paraId="4C0041F2" w14:textId="77777777" w:rsidR="002B0D0F" w:rsidRPr="00C46BFD" w:rsidRDefault="002B0D0F" w:rsidP="002B0D0F">
      <w:pPr>
        <w:pStyle w:val="SingleTxtG"/>
        <w:rPr>
          <w:b/>
          <w:bCs/>
        </w:rPr>
      </w:pPr>
      <w:r>
        <w:t>49.</w:t>
      </w:r>
      <w:r>
        <w:tab/>
      </w:r>
      <w:r>
        <w:rPr>
          <w:b/>
          <w:bCs/>
        </w:rPr>
        <w:t>В соответствии с пунктом 1 правила 75 правил процедуры Комитета государству-участнику предлагается представить к 8 ноября 2021 года информацию о выполнении им рекомендаций, содержащиеся в пунктах 27 (случаи смерти в местах содержания под стражей), 33 (беженцы и просители убежища) и 41 (эксплуатация детей и жестокое обращение с ними).</w:t>
      </w:r>
    </w:p>
    <w:p w14:paraId="40EED115" w14:textId="77777777" w:rsidR="002B0D0F" w:rsidRPr="00C46BFD" w:rsidRDefault="002B0D0F" w:rsidP="002B0D0F">
      <w:pPr>
        <w:pStyle w:val="SingleTxtG"/>
        <w:rPr>
          <w:b/>
        </w:rPr>
      </w:pPr>
      <w:r>
        <w:t>50.</w:t>
      </w:r>
      <w:r>
        <w:tab/>
      </w:r>
      <w:r>
        <w:rPr>
          <w:b/>
          <w:bCs/>
        </w:rPr>
        <w:t>В соответствии с предсказуемым циклом обзора Комитета государство-участник получит от Комитета в 2025 году перечень вопросов, подлежащих рассмотрению до представления доклада, и в течение одного года представит свои ответы на перечень вопросов, который будет представлять собой его шестой периодический доклад.</w:t>
      </w:r>
      <w:r>
        <w:t xml:space="preserve"> </w:t>
      </w:r>
      <w:r>
        <w:rPr>
          <w:b/>
          <w:bCs/>
        </w:rPr>
        <w:t>Комитет также просит государство-участник при подготовке своего доклада провести широкие консультации с гражданским обществом и неправительственными организациями, действующими в стране.</w:t>
      </w:r>
      <w:r>
        <w:t xml:space="preserve"> </w:t>
      </w:r>
      <w:r>
        <w:rPr>
          <w:b/>
          <w:bCs/>
        </w:rPr>
        <w:t>В</w:t>
      </w:r>
      <w:r w:rsidR="00642D20">
        <w:rPr>
          <w:b/>
          <w:bCs/>
        </w:rPr>
        <w:t> </w:t>
      </w:r>
      <w:r>
        <w:rPr>
          <w:b/>
          <w:bCs/>
        </w:rPr>
        <w:t>соответствии с резолюцией 68/268 Генеральной Ассамблеи объем доклада не должен превышать 21</w:t>
      </w:r>
      <w:r>
        <w:rPr>
          <w:b/>
          <w:bCs/>
          <w:lang w:val="en-US"/>
        </w:rPr>
        <w:t> </w:t>
      </w:r>
      <w:r>
        <w:rPr>
          <w:b/>
          <w:bCs/>
        </w:rPr>
        <w:t>200 слов.</w:t>
      </w:r>
      <w:r>
        <w:t xml:space="preserve"> </w:t>
      </w:r>
      <w:r>
        <w:rPr>
          <w:b/>
          <w:bCs/>
        </w:rPr>
        <w:t>Следующий конструктивный диалог с государством-участником состоится в 2027 году в Женеве.</w:t>
      </w:r>
    </w:p>
    <w:p w14:paraId="24D7E93F" w14:textId="77777777" w:rsidR="002B0D0F" w:rsidRPr="00C46BFD" w:rsidRDefault="002B0D0F" w:rsidP="002B0D0F">
      <w:pPr>
        <w:spacing w:before="240"/>
        <w:ind w:left="1134" w:right="1134"/>
        <w:jc w:val="center"/>
      </w:pPr>
      <w:r w:rsidRPr="00C46BFD">
        <w:rPr>
          <w:u w:val="single"/>
        </w:rPr>
        <w:tab/>
      </w:r>
      <w:r w:rsidRPr="00C46BFD">
        <w:rPr>
          <w:u w:val="single"/>
        </w:rPr>
        <w:tab/>
      </w:r>
      <w:r w:rsidRPr="00C46BFD">
        <w:rPr>
          <w:u w:val="single"/>
        </w:rPr>
        <w:tab/>
      </w:r>
      <w:r w:rsidRPr="00C46BFD">
        <w:rPr>
          <w:u w:val="single"/>
        </w:rPr>
        <w:tab/>
      </w:r>
    </w:p>
    <w:p w14:paraId="0A1BEED5" w14:textId="77777777" w:rsidR="00381C24" w:rsidRPr="002B0D0F" w:rsidRDefault="00381C24" w:rsidP="0075523D"/>
    <w:sectPr w:rsidR="00381C24" w:rsidRPr="002B0D0F" w:rsidSect="002B0D0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D20A" w14:textId="77777777" w:rsidR="005E3D20" w:rsidRPr="00A312BC" w:rsidRDefault="005E3D20" w:rsidP="00A312BC"/>
  </w:endnote>
  <w:endnote w:type="continuationSeparator" w:id="0">
    <w:p w14:paraId="3DEC4376" w14:textId="77777777" w:rsidR="005E3D20" w:rsidRPr="00A312BC" w:rsidRDefault="005E3D2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FBD7" w14:textId="77777777" w:rsidR="002B0D0F" w:rsidRPr="002B0D0F" w:rsidRDefault="002B0D0F">
    <w:pPr>
      <w:pStyle w:val="a8"/>
    </w:pPr>
    <w:r w:rsidRPr="002B0D0F">
      <w:rPr>
        <w:b/>
        <w:sz w:val="18"/>
      </w:rPr>
      <w:fldChar w:fldCharType="begin"/>
    </w:r>
    <w:r w:rsidRPr="002B0D0F">
      <w:rPr>
        <w:b/>
        <w:sz w:val="18"/>
      </w:rPr>
      <w:instrText xml:space="preserve"> PAGE  \* MERGEFORMAT </w:instrText>
    </w:r>
    <w:r w:rsidRPr="002B0D0F">
      <w:rPr>
        <w:b/>
        <w:sz w:val="18"/>
      </w:rPr>
      <w:fldChar w:fldCharType="separate"/>
    </w:r>
    <w:r w:rsidRPr="002B0D0F">
      <w:rPr>
        <w:b/>
        <w:noProof/>
        <w:sz w:val="18"/>
      </w:rPr>
      <w:t>2</w:t>
    </w:r>
    <w:r w:rsidRPr="002B0D0F">
      <w:rPr>
        <w:b/>
        <w:sz w:val="18"/>
      </w:rPr>
      <w:fldChar w:fldCharType="end"/>
    </w:r>
    <w:r>
      <w:rPr>
        <w:b/>
        <w:sz w:val="18"/>
      </w:rPr>
      <w:tab/>
    </w:r>
    <w:r>
      <w:t>GE.19-21325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43E2" w14:textId="77777777" w:rsidR="002B0D0F" w:rsidRPr="002B0D0F" w:rsidRDefault="002B0D0F" w:rsidP="002B0D0F">
    <w:pPr>
      <w:pStyle w:val="a8"/>
      <w:tabs>
        <w:tab w:val="clear" w:pos="9639"/>
        <w:tab w:val="right" w:pos="9638"/>
      </w:tabs>
      <w:rPr>
        <w:b/>
        <w:sz w:val="18"/>
      </w:rPr>
    </w:pPr>
    <w:r>
      <w:t>GE.19-21325</w:t>
    </w:r>
    <w:r>
      <w:tab/>
    </w:r>
    <w:r w:rsidRPr="002B0D0F">
      <w:rPr>
        <w:b/>
        <w:sz w:val="18"/>
      </w:rPr>
      <w:fldChar w:fldCharType="begin"/>
    </w:r>
    <w:r w:rsidRPr="002B0D0F">
      <w:rPr>
        <w:b/>
        <w:sz w:val="18"/>
      </w:rPr>
      <w:instrText xml:space="preserve"> PAGE  \* MERGEFORMAT </w:instrText>
    </w:r>
    <w:r w:rsidRPr="002B0D0F">
      <w:rPr>
        <w:b/>
        <w:sz w:val="18"/>
      </w:rPr>
      <w:fldChar w:fldCharType="separate"/>
    </w:r>
    <w:r w:rsidRPr="002B0D0F">
      <w:rPr>
        <w:b/>
        <w:noProof/>
        <w:sz w:val="18"/>
      </w:rPr>
      <w:t>3</w:t>
    </w:r>
    <w:r w:rsidRPr="002B0D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67BD" w14:textId="77777777" w:rsidR="00042B72" w:rsidRPr="002B0D0F" w:rsidRDefault="002B0D0F" w:rsidP="002B0D0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D244896" wp14:editId="64015CD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19-21325  (R)</w:t>
    </w:r>
    <w:r w:rsidR="00D22FF9">
      <w:t xml:space="preserve">  191219  201219</w:t>
    </w:r>
    <w:r>
      <w:br/>
    </w:r>
    <w:r w:rsidRPr="002B0D0F">
      <w:rPr>
        <w:rFonts w:ascii="C39T30Lfz" w:hAnsi="C39T30Lfz"/>
        <w:kern w:val="14"/>
        <w:sz w:val="56"/>
      </w:rPr>
      <w:t></w:t>
    </w:r>
    <w:r w:rsidRPr="002B0D0F">
      <w:rPr>
        <w:rFonts w:ascii="C39T30Lfz" w:hAnsi="C39T30Lfz"/>
        <w:kern w:val="14"/>
        <w:sz w:val="56"/>
      </w:rPr>
      <w:t></w:t>
    </w:r>
    <w:r w:rsidRPr="002B0D0F">
      <w:rPr>
        <w:rFonts w:ascii="C39T30Lfz" w:hAnsi="C39T30Lfz"/>
        <w:kern w:val="14"/>
        <w:sz w:val="56"/>
      </w:rPr>
      <w:t></w:t>
    </w:r>
    <w:r w:rsidRPr="002B0D0F">
      <w:rPr>
        <w:rFonts w:ascii="C39T30Lfz" w:hAnsi="C39T30Lfz"/>
        <w:kern w:val="14"/>
        <w:sz w:val="56"/>
      </w:rPr>
      <w:t></w:t>
    </w:r>
    <w:r w:rsidRPr="002B0D0F">
      <w:rPr>
        <w:rFonts w:ascii="C39T30Lfz" w:hAnsi="C39T30Lfz"/>
        <w:kern w:val="14"/>
        <w:sz w:val="56"/>
      </w:rPr>
      <w:t></w:t>
    </w:r>
    <w:r w:rsidRPr="002B0D0F">
      <w:rPr>
        <w:rFonts w:ascii="C39T30Lfz" w:hAnsi="C39T30Lfz"/>
        <w:kern w:val="14"/>
        <w:sz w:val="56"/>
      </w:rPr>
      <w:t></w:t>
    </w:r>
    <w:r w:rsidRPr="002B0D0F">
      <w:rPr>
        <w:rFonts w:ascii="C39T30Lfz" w:hAnsi="C39T30Lfz"/>
        <w:kern w:val="14"/>
        <w:sz w:val="56"/>
      </w:rPr>
      <w:t></w:t>
    </w:r>
    <w:r w:rsidRPr="002B0D0F">
      <w:rPr>
        <w:rFonts w:ascii="C39T30Lfz" w:hAnsi="C39T30Lfz"/>
        <w:kern w:val="14"/>
        <w:sz w:val="56"/>
      </w:rPr>
      <w:t></w:t>
    </w:r>
    <w:r w:rsidRPr="002B0D0F">
      <w:rPr>
        <w:rFonts w:ascii="C39T30Lfz" w:hAnsi="C39T30Lfz"/>
        <w:kern w:val="14"/>
        <w:sz w:val="56"/>
      </w:rPr>
      <w:t></w:t>
    </w:r>
    <w:r>
      <w:rPr>
        <w:noProof/>
      </w:rPr>
      <w:drawing>
        <wp:anchor distT="0" distB="0" distL="114300" distR="114300" simplePos="0" relativeHeight="251659264" behindDoc="0" locked="0" layoutInCell="1" allowOverlap="1" wp14:anchorId="235450DF" wp14:editId="74AF3288">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SEN/CO/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EN/CO/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FA2FF" w14:textId="77777777" w:rsidR="005E3D20" w:rsidRPr="001075E9" w:rsidRDefault="005E3D20" w:rsidP="001075E9">
      <w:pPr>
        <w:tabs>
          <w:tab w:val="right" w:pos="2155"/>
        </w:tabs>
        <w:spacing w:after="80" w:line="240" w:lineRule="auto"/>
        <w:ind w:left="680"/>
        <w:rPr>
          <w:u w:val="single"/>
        </w:rPr>
      </w:pPr>
      <w:r>
        <w:rPr>
          <w:u w:val="single"/>
        </w:rPr>
        <w:tab/>
      </w:r>
    </w:p>
  </w:footnote>
  <w:footnote w:type="continuationSeparator" w:id="0">
    <w:p w14:paraId="5D49F6C3" w14:textId="77777777" w:rsidR="005E3D20" w:rsidRDefault="005E3D20" w:rsidP="00407B78">
      <w:pPr>
        <w:tabs>
          <w:tab w:val="right" w:pos="2155"/>
        </w:tabs>
        <w:spacing w:after="80"/>
        <w:ind w:left="680"/>
        <w:rPr>
          <w:u w:val="single"/>
        </w:rPr>
      </w:pPr>
      <w:r>
        <w:rPr>
          <w:u w:val="single"/>
        </w:rPr>
        <w:tab/>
      </w:r>
    </w:p>
  </w:footnote>
  <w:footnote w:id="1">
    <w:p w14:paraId="00327C1A" w14:textId="77777777" w:rsidR="002B0D0F" w:rsidRPr="00C46BFD" w:rsidRDefault="002B0D0F" w:rsidP="002B0D0F">
      <w:pPr>
        <w:pStyle w:val="ad"/>
        <w:spacing w:line="210" w:lineRule="exact"/>
      </w:pPr>
      <w:r>
        <w:tab/>
      </w:r>
      <w:r w:rsidRPr="002B0D0F">
        <w:rPr>
          <w:sz w:val="20"/>
        </w:rPr>
        <w:t>*</w:t>
      </w:r>
      <w:r>
        <w:tab/>
        <w:t>Приняты Комитетом на его 127-й сессии (14 октября – 8 ноября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CE09" w14:textId="081F78F9" w:rsidR="002B0D0F" w:rsidRPr="002B0D0F" w:rsidRDefault="005D54D4">
    <w:pPr>
      <w:pStyle w:val="a5"/>
    </w:pPr>
    <w:r>
      <w:fldChar w:fldCharType="begin"/>
    </w:r>
    <w:r>
      <w:instrText xml:space="preserve"> TITLE  \* MERGEFORMAT </w:instrText>
    </w:r>
    <w:r>
      <w:fldChar w:fldCharType="separate"/>
    </w:r>
    <w:r>
      <w:t>CCPR/C/SEN/CO/5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F9FD" w14:textId="0B3AE719" w:rsidR="002B0D0F" w:rsidRPr="002B0D0F" w:rsidRDefault="005D54D4" w:rsidP="002B0D0F">
    <w:pPr>
      <w:pStyle w:val="a5"/>
      <w:jc w:val="right"/>
    </w:pPr>
    <w:r>
      <w:fldChar w:fldCharType="begin"/>
    </w:r>
    <w:r>
      <w:instrText xml:space="preserve"> TITLE  \* MERGEFORMAT </w:instrText>
    </w:r>
    <w:r>
      <w:fldChar w:fldCharType="separate"/>
    </w:r>
    <w:r>
      <w:t>CCPR/C/SEN/CO/5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20"/>
    <w:rsid w:val="00033EE1"/>
    <w:rsid w:val="00042B72"/>
    <w:rsid w:val="000558BD"/>
    <w:rsid w:val="00096C86"/>
    <w:rsid w:val="000B57E7"/>
    <w:rsid w:val="000B6373"/>
    <w:rsid w:val="000F09DF"/>
    <w:rsid w:val="000F61B2"/>
    <w:rsid w:val="001075E9"/>
    <w:rsid w:val="00180183"/>
    <w:rsid w:val="0018024D"/>
    <w:rsid w:val="0018649F"/>
    <w:rsid w:val="00196389"/>
    <w:rsid w:val="001B3EF6"/>
    <w:rsid w:val="001C7A89"/>
    <w:rsid w:val="00254812"/>
    <w:rsid w:val="002A2EFC"/>
    <w:rsid w:val="002B0D0F"/>
    <w:rsid w:val="002B2D12"/>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54D4"/>
    <w:rsid w:val="005D7914"/>
    <w:rsid w:val="005E2B41"/>
    <w:rsid w:val="005E3D20"/>
    <w:rsid w:val="005F0B42"/>
    <w:rsid w:val="00642D20"/>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22FF9"/>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B0A10"/>
  <w15:docId w15:val="{420AB3EB-B93A-49D1-B0C6-D17B2EC6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uiPriority w:val="99"/>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tref,BVI fnr,16 Point,Superscript 6 Point,Footnote,Footnote symbol,Footnote Refernece,Texto de nota al pie,Fußnotenzeichen_Raxen"/>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uiPriority w:val="99"/>
    <w:rsid w:val="002B0D0F"/>
    <w:rPr>
      <w:lang w:val="ru-RU" w:eastAsia="en-US"/>
    </w:rPr>
  </w:style>
  <w:style w:type="character" w:customStyle="1" w:styleId="HChGChar">
    <w:name w:val="_ H _Ch_G Char"/>
    <w:link w:val="HChG"/>
    <w:rsid w:val="002B0D0F"/>
    <w:rPr>
      <w:b/>
      <w:sz w:val="28"/>
      <w:lang w:val="ru-RU" w:eastAsia="ru-RU"/>
    </w:rPr>
  </w:style>
  <w:style w:type="character" w:customStyle="1" w:styleId="H1GChar">
    <w:name w:val="_ H_1_G Char"/>
    <w:link w:val="H1G"/>
    <w:locked/>
    <w:rsid w:val="002B0D0F"/>
    <w:rPr>
      <w:b/>
      <w:sz w:val="24"/>
      <w:lang w:val="ru-RU" w:eastAsia="ru-RU"/>
    </w:rPr>
  </w:style>
  <w:style w:type="character" w:customStyle="1" w:styleId="H23GChar">
    <w:name w:val="_ H_2/3_G Char"/>
    <w:link w:val="H23G"/>
    <w:locked/>
    <w:rsid w:val="002B0D0F"/>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12</Pages>
  <Words>4427</Words>
  <Characters>30014</Characters>
  <Application>Microsoft Office Word</Application>
  <DocSecurity>0</DocSecurity>
  <Lines>556</Lines>
  <Paragraphs>154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CCPR/C/SEN/CO/5</vt:lpstr>
      <vt:lpstr>A/</vt:lpstr>
      <vt:lpstr>A/</vt:lpstr>
    </vt:vector>
  </TitlesOfParts>
  <Company>DCM</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CCPR/C/SEN/CO/5</dc:title>
  <dc:subject/>
  <dc:creator>Uliana ANTIPOVA</dc:creator>
  <cp:keywords/>
  <cp:lastModifiedBy>Uliana ANTIPOVA</cp:lastModifiedBy>
  <cp:revision>3</cp:revision>
  <cp:lastPrinted>2019-12-20T10:41:00Z</cp:lastPrinted>
  <dcterms:created xsi:type="dcterms:W3CDTF">2019-12-20T10:41:00Z</dcterms:created>
  <dcterms:modified xsi:type="dcterms:W3CDTF">2019-12-20T10:43:00Z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