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27EBD" w:rsidP="00F27EBD">
            <w:pPr>
              <w:bidi w:val="0"/>
              <w:spacing w:after="20"/>
              <w:jc w:val="left"/>
              <w:rPr>
                <w:szCs w:val="20"/>
              </w:rPr>
            </w:pPr>
            <w:r w:rsidRPr="00F27EBD">
              <w:rPr>
                <w:sz w:val="40"/>
                <w:szCs w:val="20"/>
              </w:rPr>
              <w:t>CCPR</w:t>
            </w:r>
            <w:r>
              <w:rPr>
                <w:szCs w:val="20"/>
              </w:rPr>
              <w:t>/C/GC/34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27EBD" w:rsidRDefault="00F27EBD" w:rsidP="00F27EBD">
            <w:pPr>
              <w:bidi w:val="0"/>
              <w:spacing w:before="240"/>
              <w:jc w:val="left"/>
            </w:pPr>
            <w:r>
              <w:t>Distr.: General</w:t>
            </w:r>
          </w:p>
          <w:p w:rsidR="00F27EBD" w:rsidRDefault="00F27EBD" w:rsidP="00F27EBD">
            <w:pPr>
              <w:bidi w:val="0"/>
              <w:jc w:val="left"/>
            </w:pPr>
            <w:r>
              <w:t>12 September 2011</w:t>
            </w:r>
          </w:p>
          <w:p w:rsidR="00F27EBD" w:rsidRDefault="00F27EBD" w:rsidP="00F27EBD">
            <w:pPr>
              <w:bidi w:val="0"/>
              <w:jc w:val="left"/>
            </w:pPr>
            <w:r>
              <w:t>Arabic</w:t>
            </w:r>
          </w:p>
          <w:p w:rsidR="00257225" w:rsidRPr="008B4BC6" w:rsidRDefault="00F27EBD" w:rsidP="00F27EBD">
            <w:pPr>
              <w:bidi w:val="0"/>
              <w:jc w:val="left"/>
            </w:pPr>
            <w:r>
              <w:t>Original: English</w:t>
            </w:r>
          </w:p>
        </w:tc>
      </w:tr>
    </w:tbl>
    <w:p w:rsidR="00F27EBD" w:rsidRPr="000E1AE1" w:rsidRDefault="00F27EBD" w:rsidP="00F27EBD">
      <w:pPr>
        <w:spacing w:before="120" w:line="380" w:lineRule="exact"/>
        <w:jc w:val="left"/>
        <w:rPr>
          <w:rFonts w:hint="cs"/>
          <w:b/>
          <w:bCs/>
          <w:rtl/>
        </w:rPr>
      </w:pPr>
      <w:r w:rsidRPr="000E1AE1">
        <w:rPr>
          <w:rFonts w:hint="cs"/>
          <w:b/>
          <w:bCs/>
          <w:sz w:val="36"/>
          <w:szCs w:val="36"/>
          <w:rtl/>
        </w:rPr>
        <w:t>ال</w:t>
      </w:r>
      <w:r w:rsidRPr="000E1AE1">
        <w:rPr>
          <w:b/>
          <w:bCs/>
          <w:sz w:val="36"/>
          <w:szCs w:val="36"/>
          <w:rtl/>
        </w:rPr>
        <w:t>ل</w:t>
      </w:r>
      <w:r w:rsidRPr="000E1AE1">
        <w:rPr>
          <w:rFonts w:hint="cs"/>
          <w:b/>
          <w:bCs/>
          <w:sz w:val="36"/>
          <w:szCs w:val="36"/>
          <w:rtl/>
        </w:rPr>
        <w:t>جن</w:t>
      </w:r>
      <w:r w:rsidRPr="000E1AE1">
        <w:rPr>
          <w:b/>
          <w:bCs/>
          <w:sz w:val="36"/>
          <w:szCs w:val="36"/>
          <w:rtl/>
        </w:rPr>
        <w:t xml:space="preserve">ة </w:t>
      </w:r>
      <w:r w:rsidRPr="000E1AE1">
        <w:rPr>
          <w:rFonts w:hint="cs"/>
          <w:b/>
          <w:bCs/>
          <w:sz w:val="36"/>
          <w:szCs w:val="36"/>
          <w:rtl/>
        </w:rPr>
        <w:t>المعنية بحقوق الإنسان</w:t>
      </w:r>
    </w:p>
    <w:p w:rsidR="00F27EBD" w:rsidRPr="000E1AE1" w:rsidRDefault="00F27EBD" w:rsidP="00F27EBD">
      <w:pPr>
        <w:spacing w:line="380" w:lineRule="exact"/>
        <w:jc w:val="both"/>
        <w:rPr>
          <w:rFonts w:hint="cs"/>
          <w:b/>
          <w:bCs/>
          <w:rtl/>
          <w:lang w:bidi="ar-SY"/>
        </w:rPr>
      </w:pPr>
      <w:r w:rsidRPr="000E1AE1">
        <w:rPr>
          <w:rFonts w:hint="cs"/>
          <w:b/>
          <w:bCs/>
          <w:rtl/>
        </w:rPr>
        <w:t xml:space="preserve">الدورة </w:t>
      </w:r>
      <w:r w:rsidRPr="000E1AE1">
        <w:rPr>
          <w:rFonts w:hint="cs"/>
          <w:b/>
          <w:bCs/>
          <w:rtl/>
          <w:lang w:bidi="ar-SY"/>
        </w:rPr>
        <w:t>الثانية بعد المائة</w:t>
      </w:r>
    </w:p>
    <w:p w:rsidR="00F27EBD" w:rsidRDefault="00F27EBD" w:rsidP="00F27EBD">
      <w:pPr>
        <w:spacing w:line="380" w:lineRule="exact"/>
        <w:jc w:val="both"/>
        <w:rPr>
          <w:rFonts w:hint="cs"/>
          <w:rtl/>
        </w:rPr>
      </w:pPr>
      <w:r>
        <w:rPr>
          <w:rFonts w:hint="cs"/>
          <w:rtl/>
        </w:rPr>
        <w:t xml:space="preserve">جنيف، 11-29 </w:t>
      </w:r>
      <w:r>
        <w:rPr>
          <w:rtl/>
        </w:rPr>
        <w:t>تموز/يوليه</w:t>
      </w:r>
      <w:r>
        <w:rPr>
          <w:rFonts w:hint="cs"/>
          <w:rtl/>
        </w:rPr>
        <w:t xml:space="preserve"> 2011</w:t>
      </w:r>
    </w:p>
    <w:p w:rsidR="00F27EBD" w:rsidRDefault="00F27EBD" w:rsidP="00F27EBD">
      <w:pPr>
        <w:pStyle w:val="HChGA"/>
        <w:rPr>
          <w:rFonts w:hint="cs"/>
          <w:rtl/>
        </w:rPr>
      </w:pPr>
      <w:r>
        <w:rPr>
          <w:rFonts w:hint="cs"/>
          <w:rtl/>
        </w:rPr>
        <w:tab/>
      </w:r>
      <w:r>
        <w:rPr>
          <w:rFonts w:hint="cs"/>
          <w:rtl/>
        </w:rPr>
        <w:tab/>
        <w:t xml:space="preserve">التعليق العام رقم 34 </w:t>
      </w:r>
    </w:p>
    <w:p w:rsidR="00F27EBD" w:rsidRPr="00547EE7" w:rsidRDefault="00F27EBD" w:rsidP="00547EE7">
      <w:pPr>
        <w:pStyle w:val="H1GA"/>
        <w:rPr>
          <w:rFonts w:hint="cs"/>
          <w:rtl/>
        </w:rPr>
      </w:pPr>
      <w:r w:rsidRPr="00547EE7">
        <w:rPr>
          <w:rFonts w:hint="cs"/>
          <w:rtl/>
        </w:rPr>
        <w:tab/>
      </w:r>
      <w:r w:rsidRPr="00547EE7">
        <w:rPr>
          <w:rFonts w:hint="cs"/>
          <w:rtl/>
        </w:rPr>
        <w:tab/>
        <w:t>المادة 19- حرية الرأي وحرية التعبير</w:t>
      </w:r>
    </w:p>
    <w:p w:rsidR="00F27EBD" w:rsidRPr="00547EE7" w:rsidRDefault="00F27EBD" w:rsidP="00547EE7">
      <w:pPr>
        <w:pStyle w:val="H23GA"/>
        <w:rPr>
          <w:rFonts w:hint="cs"/>
          <w:rtl/>
        </w:rPr>
      </w:pPr>
      <w:r w:rsidRPr="00F27EBD">
        <w:rPr>
          <w:rFonts w:hint="cs"/>
          <w:rtl/>
        </w:rPr>
        <w:tab/>
      </w:r>
      <w:r w:rsidRPr="00F27EBD">
        <w:rPr>
          <w:rFonts w:hint="cs"/>
          <w:rtl/>
        </w:rPr>
        <w:tab/>
        <w:t>ملاحظات عامة</w:t>
      </w:r>
    </w:p>
    <w:p w:rsidR="00F27EBD" w:rsidRDefault="00F27EBD" w:rsidP="00F27EBD">
      <w:pPr>
        <w:pStyle w:val="SingleTxtGA"/>
        <w:rPr>
          <w:rFonts w:hint="cs"/>
          <w:rtl/>
        </w:rPr>
      </w:pPr>
      <w:r>
        <w:rPr>
          <w:rFonts w:hint="cs"/>
          <w:rtl/>
        </w:rPr>
        <w:t>1-</w:t>
      </w:r>
      <w:r>
        <w:rPr>
          <w:rFonts w:hint="cs"/>
          <w:rtl/>
        </w:rPr>
        <w:tab/>
        <w:t xml:space="preserve">يحل هذا التعليق العام محل التعليق العام رقم 10 (الدورة التاسعة عشرة). </w:t>
      </w:r>
    </w:p>
    <w:p w:rsidR="00F27EBD" w:rsidRDefault="00F27EBD" w:rsidP="00F27EBD">
      <w:pPr>
        <w:pStyle w:val="SingleTxtGA"/>
        <w:rPr>
          <w:rFonts w:hint="cs"/>
          <w:rtl/>
        </w:rPr>
      </w:pPr>
      <w:r>
        <w:rPr>
          <w:rFonts w:hint="cs"/>
          <w:rtl/>
        </w:rPr>
        <w:t>2-</w:t>
      </w:r>
      <w:r>
        <w:rPr>
          <w:rFonts w:hint="cs"/>
          <w:rtl/>
        </w:rPr>
        <w:tab/>
      </w:r>
      <w:r>
        <w:rPr>
          <w:rtl/>
        </w:rPr>
        <w:t xml:space="preserve">حرية </w:t>
      </w:r>
      <w:r>
        <w:rPr>
          <w:rFonts w:hint="cs"/>
          <w:rtl/>
        </w:rPr>
        <w:t>الرأي</w:t>
      </w:r>
      <w:r>
        <w:rPr>
          <w:rtl/>
        </w:rPr>
        <w:t xml:space="preserve"> </w:t>
      </w:r>
      <w:r>
        <w:rPr>
          <w:rFonts w:hint="cs"/>
          <w:rtl/>
        </w:rPr>
        <w:t xml:space="preserve">وحرية </w:t>
      </w:r>
      <w:r>
        <w:rPr>
          <w:rtl/>
        </w:rPr>
        <w:t xml:space="preserve">التعبير </w:t>
      </w:r>
      <w:r>
        <w:rPr>
          <w:rFonts w:hint="cs"/>
          <w:rtl/>
        </w:rPr>
        <w:t>شرطان لا غنى عنهما لتحقيق النمو الكامل للفرد، وهما عنصران أساسيان من عناصر أي مجتمع</w:t>
      </w:r>
      <w:r>
        <w:rPr>
          <w:vertAlign w:val="superscript"/>
          <w:rtl/>
        </w:rPr>
        <w:t>(</w:t>
      </w:r>
      <w:r>
        <w:rPr>
          <w:rStyle w:val="FootnoteReference"/>
          <w:rtl/>
        </w:rPr>
        <w:footnoteReference w:id="1"/>
      </w:r>
      <w:r>
        <w:rPr>
          <w:vertAlign w:val="superscript"/>
          <w:rtl/>
        </w:rPr>
        <w:t>)</w:t>
      </w:r>
      <w:r>
        <w:rPr>
          <w:rFonts w:hint="cs"/>
          <w:rtl/>
        </w:rPr>
        <w:t xml:space="preserve">. ويشكلان </w:t>
      </w:r>
      <w:r>
        <w:rPr>
          <w:rtl/>
        </w:rPr>
        <w:t>حجر الزاوية لكل مجتمع تسوده الحرية والديمقراطية</w:t>
      </w:r>
      <w:r>
        <w:rPr>
          <w:rFonts w:hint="cs"/>
          <w:rtl/>
        </w:rPr>
        <w:t>. وترتبط حرية الرأي ارتباطاً وثيقاً باعتبار أن حرية التعبير تتيح الأداة لتبادل الآراء وتطويرها.</w:t>
      </w:r>
    </w:p>
    <w:p w:rsidR="00F27EBD" w:rsidRDefault="00F27EBD" w:rsidP="00F27EBD">
      <w:pPr>
        <w:pStyle w:val="SingleTxtGA"/>
        <w:rPr>
          <w:rFonts w:hint="cs"/>
          <w:rtl/>
        </w:rPr>
      </w:pPr>
      <w:r>
        <w:rPr>
          <w:rFonts w:hint="cs"/>
          <w:rtl/>
        </w:rPr>
        <w:t>3-</w:t>
      </w:r>
      <w:r>
        <w:rPr>
          <w:rFonts w:hint="cs"/>
          <w:rtl/>
        </w:rPr>
        <w:tab/>
        <w:t>وحرية التعبير شرط ضروري لإرساء مبادئ الشفافية والمساءلة التي تمثل بدورها عاملاً أساسياً لتعزيز حقوق الإنسان وحمايتها.</w:t>
      </w:r>
    </w:p>
    <w:p w:rsidR="00F27EBD" w:rsidRDefault="00F27EBD" w:rsidP="00C94447">
      <w:pPr>
        <w:pStyle w:val="SingleTxtGA"/>
        <w:rPr>
          <w:rFonts w:hint="cs"/>
          <w:rtl/>
        </w:rPr>
      </w:pPr>
      <w:r>
        <w:rPr>
          <w:rFonts w:hint="cs"/>
          <w:rtl/>
        </w:rPr>
        <w:t>4-</w:t>
      </w:r>
      <w:r>
        <w:rPr>
          <w:rFonts w:hint="cs"/>
          <w:rtl/>
        </w:rPr>
        <w:tab/>
        <w:t>وتندرج المواد 17 و18 و25 و27 في طائف</w:t>
      </w:r>
      <w:r w:rsidR="005341AD">
        <w:rPr>
          <w:rFonts w:hint="cs"/>
          <w:rtl/>
        </w:rPr>
        <w:t>ة</w:t>
      </w:r>
      <w:r>
        <w:rPr>
          <w:rFonts w:hint="cs"/>
          <w:rtl/>
        </w:rPr>
        <w:t xml:space="preserve"> المواد المتعددة التي </w:t>
      </w:r>
      <w:proofErr w:type="spellStart"/>
      <w:r>
        <w:rPr>
          <w:rFonts w:hint="cs"/>
          <w:rtl/>
        </w:rPr>
        <w:t>تنص</w:t>
      </w:r>
      <w:proofErr w:type="spellEnd"/>
      <w:r>
        <w:rPr>
          <w:rFonts w:hint="cs"/>
          <w:rtl/>
        </w:rPr>
        <w:t xml:space="preserve"> على ضمانات تتعلق بحرية الرأي و/أو حرية التعبير. وتشكل حرية الرأي وحرية التعبير القاعدة الأساسية التي يستند إليها التمتع الكامل بطائفة </w:t>
      </w:r>
      <w:r w:rsidR="00C94447">
        <w:rPr>
          <w:rFonts w:hint="cs"/>
          <w:rtl/>
        </w:rPr>
        <w:t>كبيرة</w:t>
      </w:r>
      <w:r>
        <w:rPr>
          <w:rFonts w:hint="cs"/>
          <w:rtl/>
        </w:rPr>
        <w:t xml:space="preserve"> من حقوق الإنسان الأخرى. وعلى سبيل المثال، تمثل حرية التعبير جزءاً لا يتجزأ من التمتع بالحق في حرية التجمع وتكوين الجمعيات وممارسة الحق في التصويت.</w:t>
      </w:r>
    </w:p>
    <w:p w:rsidR="00F27EBD" w:rsidRDefault="00F27EBD" w:rsidP="00F84BAF">
      <w:pPr>
        <w:pStyle w:val="SingleTxtGA"/>
        <w:rPr>
          <w:rFonts w:hint="cs"/>
          <w:rtl/>
          <w:lang w:bidi="ar-SY"/>
        </w:rPr>
      </w:pPr>
      <w:r>
        <w:rPr>
          <w:rFonts w:hint="cs"/>
          <w:rtl/>
        </w:rPr>
        <w:t>5-</w:t>
      </w:r>
      <w:r>
        <w:rPr>
          <w:rFonts w:hint="cs"/>
          <w:rtl/>
        </w:rPr>
        <w:tab/>
        <w:t>وإذا روعيت الشروط المحددة الواردة في الفقرة 1 من المادة 19</w:t>
      </w:r>
      <w:r w:rsidR="00C94447">
        <w:rPr>
          <w:rFonts w:hint="cs"/>
          <w:rtl/>
        </w:rPr>
        <w:t>،</w:t>
      </w:r>
      <w:r>
        <w:rPr>
          <w:rFonts w:hint="cs"/>
          <w:rtl/>
        </w:rPr>
        <w:t xml:space="preserve"> فضلاً عن العلاقة بين الرأي والفكر (المادة 18)، فإن أي تحفظ على الفقرة 1 يكون متعارضاً مع موضوع العهد وغرضه</w:t>
      </w:r>
      <w:r w:rsidR="00C94447" w:rsidRPr="00C94447">
        <w:rPr>
          <w:vertAlign w:val="superscript"/>
          <w:rtl/>
        </w:rPr>
        <w:t>(</w:t>
      </w:r>
      <w:r w:rsidR="00C94447" w:rsidRPr="00C94447">
        <w:rPr>
          <w:rStyle w:val="FootnoteReference"/>
          <w:rtl/>
        </w:rPr>
        <w:footnoteReference w:id="2"/>
      </w:r>
      <w:r w:rsidR="00C94447" w:rsidRPr="00C94447">
        <w:rPr>
          <w:vertAlign w:val="superscript"/>
          <w:rtl/>
        </w:rPr>
        <w:t>)</w:t>
      </w:r>
      <w:r>
        <w:rPr>
          <w:rFonts w:hint="cs"/>
          <w:rtl/>
        </w:rPr>
        <w:t>. وإضافة إلى ذلك، وعلى الرغم من أن حرية الرأي لا</w:t>
      </w:r>
      <w:r w:rsidR="00F84BAF">
        <w:rPr>
          <w:rFonts w:hint="cs"/>
          <w:rtl/>
        </w:rPr>
        <w:t xml:space="preserve"> </w:t>
      </w:r>
      <w:r>
        <w:rPr>
          <w:rFonts w:hint="cs"/>
          <w:rtl/>
        </w:rPr>
        <w:t xml:space="preserve">ترد بين الحقوق التي لا يجوز تقييدها عملاً بأحكام المادة 4 من العهد، </w:t>
      </w:r>
      <w:r w:rsidR="00F84BAF">
        <w:rPr>
          <w:rFonts w:hint="cs"/>
          <w:rtl/>
        </w:rPr>
        <w:t>ت</w:t>
      </w:r>
      <w:r>
        <w:rPr>
          <w:rFonts w:hint="cs"/>
          <w:rtl/>
        </w:rPr>
        <w:t xml:space="preserve">جدر الإشارة إلى أنه </w:t>
      </w:r>
      <w:r w:rsidR="00F84BAF">
        <w:rPr>
          <w:rFonts w:hint="cs"/>
          <w:rtl/>
        </w:rPr>
        <w:t>"</w:t>
      </w:r>
      <w:r>
        <w:rPr>
          <w:rFonts w:hint="cs"/>
          <w:rtl/>
        </w:rPr>
        <w:t xml:space="preserve">توجد في أحكام العهد غير </w:t>
      </w:r>
      <w:r w:rsidR="00F84BAF">
        <w:rPr>
          <w:rFonts w:hint="cs"/>
          <w:rtl/>
        </w:rPr>
        <w:t xml:space="preserve">المدرجة </w:t>
      </w:r>
      <w:r>
        <w:rPr>
          <w:rFonts w:hint="cs"/>
          <w:rtl/>
        </w:rPr>
        <w:t xml:space="preserve">في الفقرة 2 من المادة 4، </w:t>
      </w:r>
      <w:r w:rsidR="00F84BAF">
        <w:rPr>
          <w:rFonts w:hint="cs"/>
          <w:rtl/>
        </w:rPr>
        <w:t xml:space="preserve">عناصر تعتقد </w:t>
      </w:r>
      <w:r>
        <w:rPr>
          <w:rFonts w:hint="cs"/>
          <w:rtl/>
        </w:rPr>
        <w:t xml:space="preserve">اللجنة </w:t>
      </w:r>
      <w:r w:rsidR="00F84BAF">
        <w:rPr>
          <w:rFonts w:hint="cs"/>
          <w:rtl/>
        </w:rPr>
        <w:t>ب</w:t>
      </w:r>
      <w:r>
        <w:rPr>
          <w:rFonts w:hint="cs"/>
          <w:rtl/>
        </w:rPr>
        <w:t>أن</w:t>
      </w:r>
      <w:r w:rsidR="00F84BAF">
        <w:rPr>
          <w:rFonts w:hint="cs"/>
          <w:rtl/>
        </w:rPr>
        <w:t>ه</w:t>
      </w:r>
      <w:r>
        <w:rPr>
          <w:rFonts w:hint="cs"/>
          <w:rtl/>
        </w:rPr>
        <w:t xml:space="preserve"> </w:t>
      </w:r>
      <w:r w:rsidR="00F84BAF">
        <w:rPr>
          <w:rFonts w:hint="cs"/>
          <w:rtl/>
        </w:rPr>
        <w:t xml:space="preserve">لا يمكن إخضاعها </w:t>
      </w:r>
      <w:r>
        <w:rPr>
          <w:rFonts w:hint="cs"/>
          <w:rtl/>
        </w:rPr>
        <w:t>بموجب المادة 4</w:t>
      </w:r>
      <w:r w:rsidR="00F84BAF">
        <w:rPr>
          <w:rFonts w:hint="cs"/>
          <w:vertAlign w:val="superscript"/>
          <w:rtl/>
        </w:rPr>
        <w:t xml:space="preserve"> </w:t>
      </w:r>
      <w:r w:rsidR="00F84BAF" w:rsidRPr="00F84BAF">
        <w:rPr>
          <w:rFonts w:hint="cs"/>
          <w:rtl/>
        </w:rPr>
        <w:t>لعدم التقيد المشروع"</w:t>
      </w:r>
      <w:r w:rsidR="00C94447" w:rsidRPr="00C94447">
        <w:rPr>
          <w:vertAlign w:val="superscript"/>
          <w:rtl/>
        </w:rPr>
        <w:t>(</w:t>
      </w:r>
      <w:r w:rsidR="00C94447" w:rsidRPr="00C94447">
        <w:rPr>
          <w:rStyle w:val="FootnoteReference"/>
          <w:rtl/>
        </w:rPr>
        <w:footnoteReference w:id="3"/>
      </w:r>
      <w:r w:rsidR="00C94447" w:rsidRPr="00C94447">
        <w:rPr>
          <w:vertAlign w:val="superscript"/>
          <w:rtl/>
        </w:rPr>
        <w:t>)</w:t>
      </w:r>
      <w:r>
        <w:rPr>
          <w:rFonts w:hint="cs"/>
          <w:rtl/>
        </w:rPr>
        <w:t>. وأحد هذه العناصر هو حرية الرأي</w:t>
      </w:r>
      <w:r w:rsidR="00F84BAF">
        <w:rPr>
          <w:rFonts w:hint="cs"/>
          <w:rtl/>
        </w:rPr>
        <w:t>،</w:t>
      </w:r>
      <w:r>
        <w:rPr>
          <w:rFonts w:hint="cs"/>
          <w:rtl/>
        </w:rPr>
        <w:t xml:space="preserve"> لأن عدم </w:t>
      </w:r>
      <w:r>
        <w:rPr>
          <w:rFonts w:hint="cs"/>
          <w:rtl/>
          <w:lang w:bidi="ar"/>
        </w:rPr>
        <w:t xml:space="preserve">التقيد </w:t>
      </w:r>
      <w:proofErr w:type="spellStart"/>
      <w:r>
        <w:rPr>
          <w:rFonts w:hint="cs"/>
          <w:rtl/>
          <w:lang w:bidi="ar"/>
        </w:rPr>
        <w:t>بها</w:t>
      </w:r>
      <w:proofErr w:type="spellEnd"/>
      <w:r>
        <w:rPr>
          <w:rFonts w:hint="cs"/>
          <w:rtl/>
          <w:lang w:bidi="ar"/>
        </w:rPr>
        <w:t xml:space="preserve"> </w:t>
      </w:r>
      <w:r w:rsidR="00F84BAF">
        <w:rPr>
          <w:rFonts w:hint="cs"/>
          <w:rtl/>
          <w:lang w:bidi="ar"/>
        </w:rPr>
        <w:t xml:space="preserve">أثناء </w:t>
      </w:r>
      <w:r>
        <w:rPr>
          <w:rFonts w:hint="cs"/>
          <w:rtl/>
          <w:lang w:bidi="ar"/>
        </w:rPr>
        <w:t>حالة الطوارئ لا يمكن أن يكون ضرورياً على الإطلاق</w:t>
      </w:r>
      <w:r w:rsidR="00C94447" w:rsidRPr="00C94447">
        <w:rPr>
          <w:vertAlign w:val="superscript"/>
          <w:rtl/>
        </w:rPr>
        <w:t>(</w:t>
      </w:r>
      <w:r w:rsidR="00C94447" w:rsidRPr="00C94447">
        <w:rPr>
          <w:rStyle w:val="FootnoteReference"/>
          <w:rtl/>
        </w:rPr>
        <w:footnoteReference w:id="4"/>
      </w:r>
      <w:r w:rsidR="00C94447" w:rsidRPr="00C94447">
        <w:rPr>
          <w:vertAlign w:val="superscript"/>
          <w:rtl/>
        </w:rPr>
        <w:t>)</w:t>
      </w:r>
      <w:r>
        <w:rPr>
          <w:rFonts w:hint="cs"/>
          <w:rtl/>
        </w:rPr>
        <w:t>.</w:t>
      </w:r>
    </w:p>
    <w:p w:rsidR="00F27EBD" w:rsidRDefault="00F27EBD" w:rsidP="00F84BAF">
      <w:pPr>
        <w:pStyle w:val="SingleTxtGA"/>
        <w:rPr>
          <w:rFonts w:hint="cs"/>
          <w:rtl/>
          <w:lang w:bidi="ar-SY"/>
        </w:rPr>
      </w:pPr>
      <w:r>
        <w:rPr>
          <w:rFonts w:hint="cs"/>
          <w:rtl/>
          <w:lang w:bidi="ar-SY"/>
        </w:rPr>
        <w:t>6-</w:t>
      </w:r>
      <w:r w:rsidR="00C94447">
        <w:rPr>
          <w:rFonts w:hint="cs"/>
          <w:rtl/>
          <w:lang w:bidi="ar-SY"/>
        </w:rPr>
        <w:tab/>
      </w:r>
      <w:r>
        <w:rPr>
          <w:rFonts w:hint="cs"/>
          <w:rtl/>
          <w:lang w:bidi="ar-SY"/>
        </w:rPr>
        <w:t>وبمراعاة العلاقة بين حرية التعبير والحقوق الأخرى الواردة في العهد، وعلى الرغم من أن التحفظات على عناصر معينة في الفقرة 2 من المادة 19 يجوز أن تكون مقبولة، فإن تحفظاً عاماً على الحقوق الواردة في الفقرة 2 يكون متعارضاً مع موضوع العهد وغرضه</w:t>
      </w:r>
      <w:r w:rsidR="00C94447" w:rsidRPr="00C94447">
        <w:rPr>
          <w:vertAlign w:val="superscript"/>
          <w:rtl/>
        </w:rPr>
        <w:t>(</w:t>
      </w:r>
      <w:r w:rsidR="00C94447" w:rsidRPr="00C94447">
        <w:rPr>
          <w:rStyle w:val="FootnoteReference"/>
          <w:rtl/>
        </w:rPr>
        <w:footnoteReference w:id="5"/>
      </w:r>
      <w:r w:rsidR="00C94447" w:rsidRPr="00C94447">
        <w:rPr>
          <w:vertAlign w:val="superscript"/>
          <w:rtl/>
        </w:rPr>
        <w:t>)</w:t>
      </w:r>
      <w:r>
        <w:rPr>
          <w:rFonts w:hint="cs"/>
          <w:rtl/>
          <w:lang w:bidi="ar-SY"/>
        </w:rPr>
        <w:t>.</w:t>
      </w:r>
    </w:p>
    <w:p w:rsidR="00F27EBD" w:rsidRDefault="00F27EBD" w:rsidP="00F84BAF">
      <w:pPr>
        <w:pStyle w:val="SingleTxtGA"/>
        <w:rPr>
          <w:rFonts w:hint="cs"/>
          <w:rtl/>
          <w:lang w:bidi="ar-SY"/>
        </w:rPr>
      </w:pPr>
      <w:r>
        <w:rPr>
          <w:rFonts w:hint="cs"/>
          <w:rtl/>
          <w:lang w:bidi="ar-SY"/>
        </w:rPr>
        <w:t>7-</w:t>
      </w:r>
      <w:r w:rsidR="00F84BAF">
        <w:rPr>
          <w:rFonts w:hint="cs"/>
          <w:rtl/>
          <w:lang w:bidi="ar-SY"/>
        </w:rPr>
        <w:tab/>
      </w:r>
      <w:r>
        <w:rPr>
          <w:rFonts w:hint="cs"/>
          <w:rtl/>
          <w:lang w:bidi="ar-SY"/>
        </w:rPr>
        <w:t>والتقيد باحترام حرية الرأي وحرية التعبير ملزم لكل دولة طرف ككل.</w:t>
      </w:r>
      <w:r w:rsidRPr="00692EB7">
        <w:rPr>
          <w:rFonts w:hint="cs"/>
          <w:rtl/>
          <w:lang w:bidi="ar"/>
        </w:rPr>
        <w:t xml:space="preserve"> </w:t>
      </w:r>
      <w:r>
        <w:rPr>
          <w:rFonts w:hint="cs"/>
          <w:rtl/>
          <w:lang w:bidi="ar"/>
        </w:rPr>
        <w:t>وفي وسع جميع فروع الدولة (التنفيذي والتشريعي والقضائي)، وغيرها من السلطات العامة أو الحكومية، أياً كان مستواها، وطنياً أ</w:t>
      </w:r>
      <w:r w:rsidR="00F84BAF">
        <w:rPr>
          <w:rFonts w:hint="cs"/>
          <w:rtl/>
          <w:lang w:bidi="ar"/>
        </w:rPr>
        <w:t>و</w:t>
      </w:r>
      <w:r>
        <w:rPr>
          <w:rFonts w:hint="cs"/>
          <w:rtl/>
          <w:lang w:bidi="ar"/>
        </w:rPr>
        <w:t xml:space="preserve"> إقليمياً أ</w:t>
      </w:r>
      <w:r w:rsidR="00F84BAF">
        <w:rPr>
          <w:rFonts w:hint="cs"/>
          <w:rtl/>
          <w:lang w:bidi="ar"/>
        </w:rPr>
        <w:t>و</w:t>
      </w:r>
      <w:r>
        <w:rPr>
          <w:rFonts w:hint="cs"/>
          <w:rtl/>
          <w:lang w:bidi="ar"/>
        </w:rPr>
        <w:t xml:space="preserve"> محلياً، </w:t>
      </w:r>
      <w:r w:rsidR="00F84BAF">
        <w:rPr>
          <w:rFonts w:hint="cs"/>
          <w:rtl/>
          <w:lang w:bidi="ar"/>
        </w:rPr>
        <w:t>أن ت</w:t>
      </w:r>
      <w:r>
        <w:rPr>
          <w:rFonts w:hint="cs"/>
          <w:rtl/>
          <w:lang w:bidi="ar"/>
        </w:rPr>
        <w:t xml:space="preserve">تحمل </w:t>
      </w:r>
      <w:r w:rsidRPr="007C01AA">
        <w:rPr>
          <w:rFonts w:hint="cs"/>
          <w:rtl/>
          <w:lang w:bidi="ar"/>
        </w:rPr>
        <w:t>مسؤولية الدولة الطرف</w:t>
      </w:r>
      <w:r w:rsidR="00C94447" w:rsidRPr="00C94447">
        <w:rPr>
          <w:vertAlign w:val="superscript"/>
          <w:rtl/>
        </w:rPr>
        <w:t>(</w:t>
      </w:r>
      <w:r w:rsidR="00C94447" w:rsidRPr="00C94447">
        <w:rPr>
          <w:rStyle w:val="FootnoteReference"/>
          <w:rtl/>
        </w:rPr>
        <w:footnoteReference w:id="6"/>
      </w:r>
      <w:r w:rsidR="00C94447" w:rsidRPr="00C94447">
        <w:rPr>
          <w:vertAlign w:val="superscript"/>
          <w:rtl/>
        </w:rPr>
        <w:t>)</w:t>
      </w:r>
      <w:r w:rsidRPr="007C01AA">
        <w:rPr>
          <w:rFonts w:hint="cs"/>
          <w:rtl/>
          <w:lang w:bidi="ar"/>
        </w:rPr>
        <w:t>. ويمكن أيضاً أن تتحمل الدولة الطرف هذه المسؤولية في ظل بعض الظروف التي تتعلق بأ</w:t>
      </w:r>
      <w:r w:rsidR="00F84BAF">
        <w:rPr>
          <w:rFonts w:hint="cs"/>
          <w:rtl/>
          <w:lang w:bidi="ar"/>
        </w:rPr>
        <w:t>عم</w:t>
      </w:r>
      <w:r w:rsidRPr="007C01AA">
        <w:rPr>
          <w:rFonts w:hint="cs"/>
          <w:rtl/>
          <w:lang w:bidi="ar"/>
        </w:rPr>
        <w:t>ال الكيانات شبه الحكومية</w:t>
      </w:r>
      <w:r w:rsidR="00C94447" w:rsidRPr="00C94447">
        <w:rPr>
          <w:vertAlign w:val="superscript"/>
          <w:rtl/>
        </w:rPr>
        <w:t>(</w:t>
      </w:r>
      <w:r w:rsidR="00C94447" w:rsidRPr="00C94447">
        <w:rPr>
          <w:rStyle w:val="FootnoteReference"/>
          <w:rtl/>
        </w:rPr>
        <w:footnoteReference w:id="7"/>
      </w:r>
      <w:r w:rsidR="00C94447" w:rsidRPr="00C94447">
        <w:rPr>
          <w:vertAlign w:val="superscript"/>
          <w:rtl/>
        </w:rPr>
        <w:t>)</w:t>
      </w:r>
      <w:r w:rsidRPr="007C01AA">
        <w:rPr>
          <w:rFonts w:hint="cs"/>
          <w:rtl/>
          <w:lang w:bidi="ar"/>
        </w:rPr>
        <w:t>.</w:t>
      </w:r>
      <w:r w:rsidRPr="007C01AA">
        <w:rPr>
          <w:rFonts w:hint="cs"/>
          <w:rtl/>
          <w:lang w:bidi="ar-SY"/>
        </w:rPr>
        <w:t xml:space="preserve"> ويتطلب </w:t>
      </w:r>
      <w:r w:rsidR="00F84BAF">
        <w:rPr>
          <w:rFonts w:hint="cs"/>
          <w:rtl/>
          <w:lang w:bidi="ar-SY"/>
        </w:rPr>
        <w:t xml:space="preserve">هذا </w:t>
      </w:r>
      <w:r w:rsidRPr="007C01AA">
        <w:rPr>
          <w:rFonts w:hint="cs"/>
          <w:rtl/>
          <w:lang w:bidi="ar-SY"/>
        </w:rPr>
        <w:t>الالتزام أيضاً من الدول الأطراف أن تضمن حماية الأشخاص من أية أ</w:t>
      </w:r>
      <w:r w:rsidR="00F84BAF">
        <w:rPr>
          <w:rFonts w:hint="cs"/>
          <w:rtl/>
          <w:lang w:bidi="ar-SY"/>
        </w:rPr>
        <w:t>عم</w:t>
      </w:r>
      <w:r w:rsidRPr="007C01AA">
        <w:rPr>
          <w:rFonts w:hint="cs"/>
          <w:rtl/>
          <w:lang w:bidi="ar-SY"/>
        </w:rPr>
        <w:t xml:space="preserve">ال </w:t>
      </w:r>
      <w:r>
        <w:rPr>
          <w:rFonts w:hint="cs"/>
          <w:rtl/>
          <w:lang w:bidi="ar-SY"/>
        </w:rPr>
        <w:t xml:space="preserve">يقوم </w:t>
      </w:r>
      <w:proofErr w:type="spellStart"/>
      <w:r>
        <w:rPr>
          <w:rFonts w:hint="cs"/>
          <w:rtl/>
          <w:lang w:bidi="ar-SY"/>
        </w:rPr>
        <w:t>بها</w:t>
      </w:r>
      <w:proofErr w:type="spellEnd"/>
      <w:r>
        <w:rPr>
          <w:rFonts w:hint="cs"/>
          <w:rtl/>
          <w:lang w:bidi="ar-SY"/>
        </w:rPr>
        <w:t xml:space="preserve"> أفراد </w:t>
      </w:r>
      <w:r w:rsidR="00F84BAF">
        <w:rPr>
          <w:rFonts w:hint="cs"/>
          <w:rtl/>
          <w:lang w:bidi="ar-SY"/>
        </w:rPr>
        <w:t xml:space="preserve">بصفتهم الشخصية </w:t>
      </w:r>
      <w:r>
        <w:rPr>
          <w:rFonts w:hint="cs"/>
          <w:rtl/>
          <w:lang w:bidi="ar-SY"/>
        </w:rPr>
        <w:t xml:space="preserve">أو </w:t>
      </w:r>
      <w:r w:rsidR="00F84BAF">
        <w:rPr>
          <w:rFonts w:hint="cs"/>
          <w:rtl/>
          <w:lang w:bidi="ar-SY"/>
        </w:rPr>
        <w:t xml:space="preserve">أي </w:t>
      </w:r>
      <w:r>
        <w:rPr>
          <w:rFonts w:hint="cs"/>
          <w:rtl/>
          <w:lang w:bidi="ar-SY"/>
        </w:rPr>
        <w:t>كيانات خاصة وتؤدي إلى إعاقة التمتع بحرية الرأي وحرية التعبير بقدر ما تكون هذه الحقوق الواردة في العهد قابلة للتطبيق بين الخواص من الأفراد أو الكيانات</w:t>
      </w:r>
      <w:r w:rsidR="00C94447" w:rsidRPr="00C94447">
        <w:rPr>
          <w:vertAlign w:val="superscript"/>
          <w:rtl/>
        </w:rPr>
        <w:t>(</w:t>
      </w:r>
      <w:r w:rsidR="00C94447" w:rsidRPr="00C94447">
        <w:rPr>
          <w:rStyle w:val="FootnoteReference"/>
          <w:rtl/>
        </w:rPr>
        <w:footnoteReference w:id="8"/>
      </w:r>
      <w:r w:rsidR="00C94447" w:rsidRPr="00C94447">
        <w:rPr>
          <w:vertAlign w:val="superscript"/>
          <w:rtl/>
        </w:rPr>
        <w:t>)</w:t>
      </w:r>
      <w:r>
        <w:rPr>
          <w:rFonts w:hint="cs"/>
          <w:rtl/>
          <w:lang w:bidi="ar-SY"/>
        </w:rPr>
        <w:t>.</w:t>
      </w:r>
    </w:p>
    <w:p w:rsidR="00F27EBD" w:rsidRDefault="00F27EBD" w:rsidP="00714A6D">
      <w:pPr>
        <w:pStyle w:val="SingleTxtGA"/>
        <w:rPr>
          <w:rFonts w:hint="cs"/>
          <w:rtl/>
          <w:lang w:bidi="ar-SY"/>
        </w:rPr>
      </w:pPr>
      <w:r>
        <w:rPr>
          <w:rFonts w:hint="cs"/>
          <w:rtl/>
          <w:lang w:bidi="ar-SY"/>
        </w:rPr>
        <w:t>8-</w:t>
      </w:r>
      <w:r w:rsidR="00C94447">
        <w:rPr>
          <w:rFonts w:hint="cs"/>
          <w:rtl/>
          <w:lang w:bidi="ar-SY"/>
        </w:rPr>
        <w:tab/>
      </w:r>
      <w:r>
        <w:rPr>
          <w:rFonts w:hint="cs"/>
          <w:rtl/>
          <w:lang w:bidi="ar-SY"/>
        </w:rPr>
        <w:t xml:space="preserve">ويكون على الدول الأطراف ضمان إعمال الحقوق الواردة في المادة 19 من العهد في القانون </w:t>
      </w:r>
      <w:r w:rsidR="00714A6D">
        <w:rPr>
          <w:rFonts w:hint="cs"/>
          <w:rtl/>
          <w:lang w:bidi="ar-SY"/>
        </w:rPr>
        <w:t xml:space="preserve">الداخلي </w:t>
      </w:r>
      <w:r>
        <w:rPr>
          <w:rFonts w:hint="cs"/>
          <w:rtl/>
          <w:lang w:bidi="ar-SY"/>
        </w:rPr>
        <w:t xml:space="preserve">للدولة بصورة تتلاءم مع التوجيهات الصادرة عن اللجنة في تعليقها العام رقم 31 المتعلق </w:t>
      </w:r>
      <w:r>
        <w:rPr>
          <w:rFonts w:hint="cs"/>
          <w:spacing w:val="2"/>
          <w:rtl/>
        </w:rPr>
        <w:t>ب</w:t>
      </w:r>
      <w:r w:rsidRPr="00C72634">
        <w:rPr>
          <w:rFonts w:hint="cs"/>
          <w:spacing w:val="2"/>
          <w:rtl/>
        </w:rPr>
        <w:t>طبيعة الالتزام القانوني العام المفروض على الدول الأطراف في العهد</w:t>
      </w:r>
      <w:r>
        <w:rPr>
          <w:rFonts w:hint="cs"/>
          <w:rtl/>
          <w:lang w:bidi="ar-SY"/>
        </w:rPr>
        <w:t xml:space="preserve">. وتجدر الإشارة إلى أنه ينبغي للدول الأطراف موافاة اللجنة بالقواعد القانونية </w:t>
      </w:r>
      <w:r w:rsidR="00714A6D">
        <w:rPr>
          <w:rFonts w:hint="cs"/>
          <w:rtl/>
          <w:lang w:bidi="ar-SY"/>
        </w:rPr>
        <w:t xml:space="preserve">الداخلية </w:t>
      </w:r>
      <w:r>
        <w:rPr>
          <w:rFonts w:hint="cs"/>
          <w:rtl/>
          <w:lang w:bidi="ar-SY"/>
        </w:rPr>
        <w:t xml:space="preserve">ذات الصلة والممارسات الإدارية والقرارات القضائية فضلاً عن الممارسات </w:t>
      </w:r>
      <w:proofErr w:type="spellStart"/>
      <w:r>
        <w:rPr>
          <w:rFonts w:hint="cs"/>
          <w:rtl/>
          <w:lang w:bidi="ar-SY"/>
        </w:rPr>
        <w:t>السياساتية</w:t>
      </w:r>
      <w:proofErr w:type="spellEnd"/>
      <w:r>
        <w:rPr>
          <w:rFonts w:hint="cs"/>
          <w:rtl/>
          <w:lang w:bidi="ar-SY"/>
        </w:rPr>
        <w:t xml:space="preserve"> ذات الصلة وغيرها من الممارسات القطاعية المتعلقة بالحقوق التي تخضع للحماية بموجب المادة 19</w:t>
      </w:r>
      <w:r w:rsidR="00714A6D">
        <w:rPr>
          <w:rFonts w:hint="cs"/>
          <w:rtl/>
          <w:lang w:bidi="ar-SY"/>
        </w:rPr>
        <w:t>،</w:t>
      </w:r>
      <w:r>
        <w:rPr>
          <w:rFonts w:hint="cs"/>
          <w:rtl/>
          <w:lang w:bidi="ar-SY"/>
        </w:rPr>
        <w:t xml:space="preserve"> وفقاً للتقارير </w:t>
      </w:r>
      <w:r w:rsidR="00714A6D">
        <w:rPr>
          <w:rFonts w:hint="cs"/>
          <w:rtl/>
          <w:lang w:bidi="ar-SY"/>
        </w:rPr>
        <w:t xml:space="preserve">التي تقدم </w:t>
      </w:r>
      <w:r>
        <w:rPr>
          <w:rFonts w:hint="cs"/>
          <w:rtl/>
          <w:lang w:bidi="ar-SY"/>
        </w:rPr>
        <w:t xml:space="preserve">عملاً بالمادة 40، </w:t>
      </w:r>
      <w:r w:rsidR="00714A6D">
        <w:rPr>
          <w:rFonts w:hint="cs"/>
          <w:rtl/>
          <w:lang w:bidi="ar-SY"/>
        </w:rPr>
        <w:t>و</w:t>
      </w:r>
      <w:r>
        <w:rPr>
          <w:rFonts w:hint="cs"/>
          <w:rtl/>
          <w:lang w:bidi="ar-SY"/>
        </w:rPr>
        <w:t>بمراعاة المسائل التي نوقشت في هذا التعليق العام. وينبغي أن تدرج الدول الأطراف أيضاً معلومات عن سبل الانتصاف المتاحة في حالة انتهاك تلك الحقوق.</w:t>
      </w:r>
    </w:p>
    <w:p w:rsidR="00F27EBD" w:rsidRPr="00547EE7" w:rsidRDefault="00C94447" w:rsidP="00547EE7">
      <w:pPr>
        <w:pStyle w:val="H23GA"/>
        <w:rPr>
          <w:rFonts w:hint="cs"/>
          <w:rtl/>
        </w:rPr>
      </w:pPr>
      <w:r>
        <w:rPr>
          <w:rFonts w:hint="cs"/>
          <w:rtl/>
          <w:lang w:bidi="ar-SY"/>
        </w:rPr>
        <w:tab/>
      </w:r>
      <w:r>
        <w:rPr>
          <w:rFonts w:hint="cs"/>
          <w:rtl/>
          <w:lang w:bidi="ar-SY"/>
        </w:rPr>
        <w:tab/>
      </w:r>
      <w:r w:rsidR="00F27EBD" w:rsidRPr="00C447CE">
        <w:rPr>
          <w:rFonts w:hint="cs"/>
          <w:rtl/>
          <w:lang w:bidi="ar-SY"/>
        </w:rPr>
        <w:t>حرية الرأي</w:t>
      </w:r>
    </w:p>
    <w:p w:rsidR="00F27EBD" w:rsidRDefault="00F27EBD" w:rsidP="00714A6D">
      <w:pPr>
        <w:pStyle w:val="SingleTxtGA"/>
        <w:rPr>
          <w:rFonts w:hint="cs"/>
          <w:rtl/>
          <w:lang w:bidi="ar-SY"/>
        </w:rPr>
      </w:pPr>
      <w:r>
        <w:rPr>
          <w:rFonts w:hint="cs"/>
          <w:rtl/>
          <w:lang w:bidi="ar-SY"/>
        </w:rPr>
        <w:t>9-</w:t>
      </w:r>
      <w:r w:rsidR="00C94447">
        <w:rPr>
          <w:rFonts w:hint="cs"/>
          <w:rtl/>
          <w:lang w:bidi="ar-SY"/>
        </w:rPr>
        <w:tab/>
      </w:r>
      <w:r>
        <w:rPr>
          <w:rFonts w:hint="cs"/>
          <w:rtl/>
          <w:lang w:bidi="ar-SY"/>
        </w:rPr>
        <w:t xml:space="preserve">تقتضي الفقرة 1 من المادة 19 حماية حق الفرد في اعتناق آراء دون مضايقة. وهذا حق لا يجيز العهد إخضاعه لاستثناء أو تقييد. </w:t>
      </w:r>
      <w:r w:rsidRPr="000644E1">
        <w:rPr>
          <w:rFonts w:hint="cs"/>
          <w:rtl/>
          <w:lang w:bidi="ar-SY"/>
        </w:rPr>
        <w:t xml:space="preserve">وتمتد حرية الرأي لتشمل </w:t>
      </w:r>
      <w:r>
        <w:rPr>
          <w:rFonts w:hint="cs"/>
          <w:rtl/>
          <w:lang w:bidi="ar-SY"/>
        </w:rPr>
        <w:t>حق الفرد</w:t>
      </w:r>
      <w:r w:rsidRPr="000644E1">
        <w:rPr>
          <w:rFonts w:hint="cs"/>
          <w:rtl/>
          <w:lang w:bidi="ar-SY"/>
        </w:rPr>
        <w:t xml:space="preserve"> في تغيير</w:t>
      </w:r>
      <w:r>
        <w:rPr>
          <w:rFonts w:hint="cs"/>
          <w:rtl/>
          <w:lang w:bidi="ar-SY"/>
        </w:rPr>
        <w:t xml:space="preserve"> رأيه</w:t>
      </w:r>
      <w:r w:rsidRPr="000644E1">
        <w:rPr>
          <w:rFonts w:hint="cs"/>
          <w:rtl/>
          <w:lang w:bidi="ar-SY"/>
        </w:rPr>
        <w:t xml:space="preserve"> في أي وقت</w:t>
      </w:r>
      <w:r>
        <w:rPr>
          <w:rFonts w:hint="cs"/>
          <w:rtl/>
          <w:lang w:bidi="ar-SY"/>
        </w:rPr>
        <w:t xml:space="preserve"> </w:t>
      </w:r>
      <w:r w:rsidRPr="000644E1">
        <w:rPr>
          <w:rFonts w:hint="cs"/>
          <w:rtl/>
          <w:lang w:bidi="ar-SY"/>
        </w:rPr>
        <w:t>ولأي سبب</w:t>
      </w:r>
      <w:r>
        <w:rPr>
          <w:rFonts w:hint="cs"/>
          <w:rtl/>
          <w:lang w:bidi="ar-SY"/>
        </w:rPr>
        <w:t xml:space="preserve"> يختاره بملء حريته. ولا يجوز النيل من أي حق من حقوق الفرد المنصوص عليها في العهد على أساس آرائه الفعلية أو المتصورة أو المفترضة. وتخضع جميع أشكال التعبير عن الرأي للحماية، بما في ذلك الآراء التي لها طابع سياسي أو علمي أو تاريخي أو </w:t>
      </w:r>
      <w:r w:rsidR="00714A6D">
        <w:rPr>
          <w:rFonts w:hint="cs"/>
          <w:rtl/>
          <w:lang w:bidi="ar-SY"/>
        </w:rPr>
        <w:t xml:space="preserve">أخلاقي </w:t>
      </w:r>
      <w:r>
        <w:rPr>
          <w:rFonts w:hint="cs"/>
          <w:rtl/>
          <w:lang w:bidi="ar-SY"/>
        </w:rPr>
        <w:t xml:space="preserve">أو ديني. ويتنافى تجريم اعتناق </w:t>
      </w:r>
      <w:r w:rsidR="00714A6D">
        <w:rPr>
          <w:rFonts w:hint="cs"/>
          <w:rtl/>
          <w:lang w:bidi="ar-SY"/>
        </w:rPr>
        <w:t xml:space="preserve">أي رأي </w:t>
      </w:r>
      <w:r>
        <w:rPr>
          <w:rFonts w:hint="cs"/>
          <w:rtl/>
          <w:lang w:bidi="ar-SY"/>
        </w:rPr>
        <w:t>مع الفقرة 1</w:t>
      </w:r>
      <w:r w:rsidR="00C94447" w:rsidRPr="00C94447">
        <w:rPr>
          <w:vertAlign w:val="superscript"/>
          <w:rtl/>
        </w:rPr>
        <w:t>(</w:t>
      </w:r>
      <w:r w:rsidR="00C94447" w:rsidRPr="00C94447">
        <w:rPr>
          <w:rStyle w:val="FootnoteReference"/>
          <w:rtl/>
        </w:rPr>
        <w:footnoteReference w:id="9"/>
      </w:r>
      <w:r w:rsidR="00C94447" w:rsidRPr="00C94447">
        <w:rPr>
          <w:vertAlign w:val="superscript"/>
          <w:rtl/>
        </w:rPr>
        <w:t>)</w:t>
      </w:r>
      <w:r>
        <w:rPr>
          <w:rFonts w:hint="cs"/>
          <w:rtl/>
          <w:lang w:bidi="ar-SY"/>
        </w:rPr>
        <w:t>. و</w:t>
      </w:r>
      <w:r w:rsidR="00714A6D">
        <w:rPr>
          <w:rFonts w:hint="cs"/>
          <w:rtl/>
          <w:lang w:bidi="ar-SY"/>
        </w:rPr>
        <w:t xml:space="preserve">تشكل </w:t>
      </w:r>
      <w:r>
        <w:rPr>
          <w:rFonts w:hint="cs"/>
          <w:rtl/>
          <w:lang w:bidi="ar-SY"/>
        </w:rPr>
        <w:t>مضايقة شخص بسبب الآراء التي يعتنقها أو تخويفه أو وصمه، بما في ذلك توقيفه أو احتجازه أو محاكمته أو سجنه</w:t>
      </w:r>
      <w:r w:rsidR="00714A6D">
        <w:rPr>
          <w:rFonts w:hint="cs"/>
          <w:rtl/>
          <w:lang w:bidi="ar-SY"/>
        </w:rPr>
        <w:t>،</w:t>
      </w:r>
      <w:r>
        <w:rPr>
          <w:rFonts w:hint="cs"/>
          <w:rtl/>
          <w:lang w:bidi="ar-SY"/>
        </w:rPr>
        <w:t xml:space="preserve"> انتهاكاً للفقرة 1 من المادة 19</w:t>
      </w:r>
      <w:r w:rsidR="00C94447" w:rsidRPr="00C94447">
        <w:rPr>
          <w:vertAlign w:val="superscript"/>
          <w:rtl/>
        </w:rPr>
        <w:t>(</w:t>
      </w:r>
      <w:r w:rsidR="00C94447" w:rsidRPr="00C94447">
        <w:rPr>
          <w:rStyle w:val="FootnoteReference"/>
          <w:rtl/>
        </w:rPr>
        <w:footnoteReference w:id="10"/>
      </w:r>
      <w:r w:rsidR="00C94447" w:rsidRPr="00C94447">
        <w:rPr>
          <w:vertAlign w:val="superscript"/>
          <w:rtl/>
        </w:rPr>
        <w:t>)</w:t>
      </w:r>
      <w:r>
        <w:rPr>
          <w:rFonts w:hint="cs"/>
          <w:rtl/>
          <w:lang w:bidi="ar-SY"/>
        </w:rPr>
        <w:t>.</w:t>
      </w:r>
    </w:p>
    <w:p w:rsidR="00F27EBD" w:rsidRDefault="00F27EBD" w:rsidP="00714A6D">
      <w:pPr>
        <w:pStyle w:val="SingleTxtGA"/>
        <w:rPr>
          <w:rFonts w:hint="cs"/>
          <w:rtl/>
          <w:lang w:bidi="ar-SY"/>
        </w:rPr>
      </w:pPr>
      <w:r>
        <w:rPr>
          <w:rFonts w:hint="cs"/>
          <w:rtl/>
          <w:lang w:bidi="ar-SY"/>
        </w:rPr>
        <w:t>10-</w:t>
      </w:r>
      <w:r w:rsidR="00C94447">
        <w:rPr>
          <w:rFonts w:hint="cs"/>
          <w:rtl/>
          <w:lang w:bidi="ar-SY"/>
        </w:rPr>
        <w:tab/>
      </w:r>
      <w:r>
        <w:rPr>
          <w:rFonts w:hint="cs"/>
          <w:rtl/>
          <w:lang w:bidi="ar-SY"/>
        </w:rPr>
        <w:t>وي</w:t>
      </w:r>
      <w:r w:rsidR="00714A6D">
        <w:rPr>
          <w:rFonts w:hint="cs"/>
          <w:rtl/>
          <w:lang w:bidi="ar-SY"/>
        </w:rPr>
        <w:t>ُ</w:t>
      </w:r>
      <w:r>
        <w:rPr>
          <w:rFonts w:hint="cs"/>
          <w:rtl/>
          <w:lang w:bidi="ar-SY"/>
        </w:rPr>
        <w:t>حظ</w:t>
      </w:r>
      <w:r w:rsidR="00714A6D">
        <w:rPr>
          <w:rFonts w:hint="cs"/>
          <w:rtl/>
          <w:lang w:bidi="ar-SY"/>
        </w:rPr>
        <w:t>ّ</w:t>
      </w:r>
      <w:r>
        <w:rPr>
          <w:rFonts w:hint="cs"/>
          <w:rtl/>
          <w:lang w:bidi="ar-SY"/>
        </w:rPr>
        <w:t xml:space="preserve">ر بذل </w:t>
      </w:r>
      <w:r w:rsidR="00714A6D">
        <w:rPr>
          <w:rFonts w:hint="cs"/>
          <w:rtl/>
          <w:lang w:bidi="ar-SY"/>
        </w:rPr>
        <w:t xml:space="preserve">أي </w:t>
      </w:r>
      <w:r>
        <w:rPr>
          <w:rFonts w:hint="cs"/>
          <w:rtl/>
          <w:lang w:bidi="ar-SY"/>
        </w:rPr>
        <w:t xml:space="preserve">جهد </w:t>
      </w:r>
      <w:r w:rsidR="00714A6D">
        <w:rPr>
          <w:rFonts w:hint="cs"/>
          <w:rtl/>
          <w:lang w:bidi="ar-SY"/>
        </w:rPr>
        <w:t xml:space="preserve">في أي </w:t>
      </w:r>
      <w:r>
        <w:rPr>
          <w:rFonts w:hint="cs"/>
          <w:rtl/>
          <w:lang w:bidi="ar-SY"/>
        </w:rPr>
        <w:t>شك</w:t>
      </w:r>
      <w:r w:rsidR="00714A6D">
        <w:rPr>
          <w:rFonts w:hint="cs"/>
          <w:rtl/>
          <w:lang w:bidi="ar-SY"/>
        </w:rPr>
        <w:t>ل</w:t>
      </w:r>
      <w:r>
        <w:rPr>
          <w:rFonts w:hint="cs"/>
          <w:rtl/>
          <w:lang w:bidi="ar-SY"/>
        </w:rPr>
        <w:t xml:space="preserve"> للإكراه على اعتناق رأي أو عدم اعتناقه</w:t>
      </w:r>
      <w:r w:rsidR="00C94447" w:rsidRPr="00C94447">
        <w:rPr>
          <w:vertAlign w:val="superscript"/>
          <w:rtl/>
        </w:rPr>
        <w:t>(</w:t>
      </w:r>
      <w:r w:rsidR="00C94447" w:rsidRPr="00C94447">
        <w:rPr>
          <w:rStyle w:val="FootnoteReference"/>
          <w:rtl/>
        </w:rPr>
        <w:footnoteReference w:id="11"/>
      </w:r>
      <w:r w:rsidR="00C94447" w:rsidRPr="00C94447">
        <w:rPr>
          <w:vertAlign w:val="superscript"/>
          <w:rtl/>
        </w:rPr>
        <w:t>)</w:t>
      </w:r>
      <w:r>
        <w:rPr>
          <w:rFonts w:hint="cs"/>
          <w:rtl/>
          <w:lang w:bidi="ar-SY"/>
        </w:rPr>
        <w:t>. وتشمل حرية الفرد في التعبير عن رأيه بالضرورة حريته في عدم</w:t>
      </w:r>
      <w:r w:rsidR="00714A6D">
        <w:rPr>
          <w:rFonts w:hint="cs"/>
          <w:rtl/>
          <w:lang w:bidi="ar-SY"/>
        </w:rPr>
        <w:t xml:space="preserve"> التعبير عن رأيه</w:t>
      </w:r>
      <w:r>
        <w:rPr>
          <w:rFonts w:hint="cs"/>
          <w:rtl/>
          <w:lang w:bidi="ar-SY"/>
        </w:rPr>
        <w:t xml:space="preserve">. </w:t>
      </w:r>
    </w:p>
    <w:p w:rsidR="00F27EBD" w:rsidRPr="00547EE7" w:rsidRDefault="00C94447" w:rsidP="00547EE7">
      <w:pPr>
        <w:pStyle w:val="H23GA"/>
        <w:rPr>
          <w:rFonts w:hint="cs"/>
          <w:rtl/>
        </w:rPr>
      </w:pPr>
      <w:r>
        <w:rPr>
          <w:rFonts w:hint="cs"/>
          <w:rtl/>
          <w:lang w:bidi="ar-SY"/>
        </w:rPr>
        <w:tab/>
      </w:r>
      <w:r>
        <w:rPr>
          <w:rFonts w:hint="cs"/>
          <w:rtl/>
          <w:lang w:bidi="ar-SY"/>
        </w:rPr>
        <w:tab/>
      </w:r>
      <w:r w:rsidR="00F27EBD" w:rsidRPr="00616879">
        <w:rPr>
          <w:rFonts w:hint="cs"/>
          <w:rtl/>
          <w:lang w:bidi="ar-SY"/>
        </w:rPr>
        <w:t>حرية التعبير</w:t>
      </w:r>
    </w:p>
    <w:p w:rsidR="00F27EBD" w:rsidRPr="005341AD" w:rsidRDefault="00F27EBD" w:rsidP="00D61718">
      <w:pPr>
        <w:pStyle w:val="SingleTxtGA"/>
        <w:rPr>
          <w:rFonts w:hint="cs"/>
          <w:spacing w:val="4"/>
          <w:rtl/>
          <w:lang w:bidi="ar-SY"/>
        </w:rPr>
      </w:pPr>
      <w:r>
        <w:rPr>
          <w:rFonts w:hint="cs"/>
          <w:rtl/>
          <w:lang w:bidi="ar-SY"/>
        </w:rPr>
        <w:t xml:space="preserve">11- تقتضي الفقرة 2 أن تضمن الدول الأطراف الحق في حرية التعبير، </w:t>
      </w:r>
      <w:r w:rsidRPr="006B570B">
        <w:rPr>
          <w:rFonts w:hint="cs"/>
          <w:rtl/>
          <w:lang w:bidi="ar-SY"/>
        </w:rPr>
        <w:t xml:space="preserve">بما في ذلك الحق في </w:t>
      </w:r>
      <w:r>
        <w:rPr>
          <w:rFonts w:hint="cs"/>
          <w:rtl/>
          <w:lang w:bidi="ar-SY"/>
        </w:rPr>
        <w:t>التماس</w:t>
      </w:r>
      <w:r w:rsidRPr="006B570B">
        <w:rPr>
          <w:rFonts w:hint="cs"/>
          <w:rtl/>
          <w:lang w:bidi="ar-SY"/>
        </w:rPr>
        <w:t xml:space="preserve"> </w:t>
      </w:r>
      <w:r w:rsidR="00714A6D">
        <w:rPr>
          <w:rFonts w:hint="cs"/>
          <w:rtl/>
          <w:lang w:bidi="ar-SY"/>
        </w:rPr>
        <w:t xml:space="preserve">مختلف ضروب </w:t>
      </w:r>
      <w:r w:rsidRPr="006B570B">
        <w:rPr>
          <w:rFonts w:hint="cs"/>
          <w:rtl/>
          <w:lang w:bidi="ar-SY"/>
        </w:rPr>
        <w:t xml:space="preserve">المعلومات والأفكار وتلقيها ونقلها إلى آخرين دونما اعتبار للحدود. </w:t>
      </w:r>
      <w:r w:rsidRPr="006B3F5D">
        <w:rPr>
          <w:rFonts w:hint="cs"/>
          <w:rtl/>
          <w:lang w:bidi="ar-SY"/>
        </w:rPr>
        <w:t>ويشمل هذا الحق التعبير عن المعلومات التي تشمل أي شكل من أشكال الأفكار والآراء التي يمكن نقلها إلى الآخرين أو استلام تلك المعلومات</w:t>
      </w:r>
      <w:r w:rsidR="00714A6D">
        <w:rPr>
          <w:rFonts w:hint="cs"/>
          <w:rtl/>
          <w:lang w:bidi="ar-SY"/>
        </w:rPr>
        <w:t>،</w:t>
      </w:r>
      <w:r w:rsidRPr="006B570B">
        <w:rPr>
          <w:rFonts w:hint="cs"/>
          <w:rtl/>
          <w:lang w:bidi="ar-SY"/>
        </w:rPr>
        <w:t xml:space="preserve"> رهناً بأحكام الفقرة 3 من المادة 19 </w:t>
      </w:r>
      <w:r w:rsidRPr="005341AD">
        <w:rPr>
          <w:rFonts w:hint="cs"/>
          <w:spacing w:val="4"/>
          <w:rtl/>
          <w:lang w:bidi="ar-SY"/>
        </w:rPr>
        <w:t>وأحكام المادة 20</w:t>
      </w:r>
      <w:r w:rsidR="00C94447" w:rsidRPr="005341AD">
        <w:rPr>
          <w:spacing w:val="4"/>
          <w:vertAlign w:val="superscript"/>
          <w:rtl/>
        </w:rPr>
        <w:t>(</w:t>
      </w:r>
      <w:r w:rsidR="00C94447" w:rsidRPr="005341AD">
        <w:rPr>
          <w:rStyle w:val="FootnoteReference"/>
          <w:spacing w:val="4"/>
          <w:rtl/>
        </w:rPr>
        <w:footnoteReference w:id="12"/>
      </w:r>
      <w:r w:rsidR="00C94447" w:rsidRPr="005341AD">
        <w:rPr>
          <w:spacing w:val="4"/>
          <w:vertAlign w:val="superscript"/>
          <w:rtl/>
        </w:rPr>
        <w:t>)</w:t>
      </w:r>
      <w:r w:rsidRPr="005341AD">
        <w:rPr>
          <w:rFonts w:hint="cs"/>
          <w:spacing w:val="4"/>
          <w:rtl/>
          <w:lang w:bidi="ar-SY"/>
        </w:rPr>
        <w:t>. كما يشمل الحق الخطاب السياسي</w:t>
      </w:r>
      <w:r w:rsidR="00C94447" w:rsidRPr="005341AD">
        <w:rPr>
          <w:spacing w:val="4"/>
          <w:vertAlign w:val="superscript"/>
          <w:rtl/>
        </w:rPr>
        <w:t>(</w:t>
      </w:r>
      <w:r w:rsidR="00C94447" w:rsidRPr="005341AD">
        <w:rPr>
          <w:rStyle w:val="FootnoteReference"/>
          <w:spacing w:val="4"/>
          <w:rtl/>
        </w:rPr>
        <w:footnoteReference w:id="13"/>
      </w:r>
      <w:r w:rsidR="00C94447" w:rsidRPr="005341AD">
        <w:rPr>
          <w:spacing w:val="4"/>
          <w:vertAlign w:val="superscript"/>
          <w:rtl/>
        </w:rPr>
        <w:t>)</w:t>
      </w:r>
      <w:r w:rsidRPr="005341AD">
        <w:rPr>
          <w:rFonts w:hint="cs"/>
          <w:spacing w:val="4"/>
          <w:rtl/>
          <w:lang w:bidi="ar-SY"/>
        </w:rPr>
        <w:t xml:space="preserve"> والتعليقات الذاتية</w:t>
      </w:r>
      <w:r w:rsidR="00C94447" w:rsidRPr="005341AD">
        <w:rPr>
          <w:spacing w:val="4"/>
          <w:vertAlign w:val="superscript"/>
          <w:rtl/>
        </w:rPr>
        <w:t>(</w:t>
      </w:r>
      <w:r w:rsidR="00C94447" w:rsidRPr="005341AD">
        <w:rPr>
          <w:rStyle w:val="FootnoteReference"/>
          <w:spacing w:val="4"/>
          <w:rtl/>
        </w:rPr>
        <w:footnoteReference w:id="14"/>
      </w:r>
      <w:r w:rsidR="00C94447" w:rsidRPr="005341AD">
        <w:rPr>
          <w:spacing w:val="4"/>
          <w:vertAlign w:val="superscript"/>
          <w:rtl/>
        </w:rPr>
        <w:t>)</w:t>
      </w:r>
      <w:r w:rsidRPr="005341AD">
        <w:rPr>
          <w:rFonts w:hint="cs"/>
          <w:spacing w:val="4"/>
          <w:rtl/>
          <w:lang w:bidi="ar-SY"/>
        </w:rPr>
        <w:t xml:space="preserve"> والتعليق على الشؤون العامة</w:t>
      </w:r>
      <w:r w:rsidR="00C94447" w:rsidRPr="005341AD">
        <w:rPr>
          <w:spacing w:val="4"/>
          <w:vertAlign w:val="superscript"/>
          <w:rtl/>
        </w:rPr>
        <w:t>(</w:t>
      </w:r>
      <w:r w:rsidR="00C94447" w:rsidRPr="005341AD">
        <w:rPr>
          <w:rStyle w:val="FootnoteReference"/>
          <w:spacing w:val="4"/>
          <w:rtl/>
        </w:rPr>
        <w:footnoteReference w:id="15"/>
      </w:r>
      <w:r w:rsidR="00C94447" w:rsidRPr="005341AD">
        <w:rPr>
          <w:spacing w:val="4"/>
          <w:vertAlign w:val="superscript"/>
          <w:rtl/>
        </w:rPr>
        <w:t>)</w:t>
      </w:r>
      <w:r w:rsidRPr="005341AD">
        <w:rPr>
          <w:rFonts w:hint="cs"/>
          <w:spacing w:val="4"/>
          <w:rtl/>
          <w:lang w:bidi="ar-SY"/>
        </w:rPr>
        <w:t xml:space="preserve"> واستطلاع الرأي</w:t>
      </w:r>
      <w:r w:rsidR="00C94447" w:rsidRPr="005341AD">
        <w:rPr>
          <w:spacing w:val="4"/>
          <w:vertAlign w:val="superscript"/>
          <w:rtl/>
        </w:rPr>
        <w:t>(</w:t>
      </w:r>
      <w:r w:rsidR="00C94447" w:rsidRPr="005341AD">
        <w:rPr>
          <w:rStyle w:val="FootnoteReference"/>
          <w:spacing w:val="4"/>
          <w:rtl/>
        </w:rPr>
        <w:footnoteReference w:id="16"/>
      </w:r>
      <w:r w:rsidR="00C94447" w:rsidRPr="005341AD">
        <w:rPr>
          <w:spacing w:val="4"/>
          <w:vertAlign w:val="superscript"/>
          <w:rtl/>
        </w:rPr>
        <w:t>)</w:t>
      </w:r>
      <w:r w:rsidRPr="005341AD">
        <w:rPr>
          <w:rFonts w:hint="cs"/>
          <w:spacing w:val="4"/>
          <w:rtl/>
          <w:lang w:bidi="ar-SY"/>
        </w:rPr>
        <w:t xml:space="preserve"> ومناقشة حقوق الإنسان</w:t>
      </w:r>
      <w:r w:rsidR="00C94447" w:rsidRPr="005341AD">
        <w:rPr>
          <w:spacing w:val="4"/>
          <w:vertAlign w:val="superscript"/>
          <w:rtl/>
        </w:rPr>
        <w:t>(</w:t>
      </w:r>
      <w:r w:rsidR="00C94447" w:rsidRPr="005341AD">
        <w:rPr>
          <w:rStyle w:val="FootnoteReference"/>
          <w:spacing w:val="4"/>
          <w:rtl/>
        </w:rPr>
        <w:footnoteReference w:id="17"/>
      </w:r>
      <w:r w:rsidR="00C94447" w:rsidRPr="005341AD">
        <w:rPr>
          <w:spacing w:val="4"/>
          <w:vertAlign w:val="superscript"/>
          <w:rtl/>
        </w:rPr>
        <w:t>)</w:t>
      </w:r>
      <w:r w:rsidRPr="005341AD">
        <w:rPr>
          <w:rFonts w:hint="cs"/>
          <w:spacing w:val="4"/>
          <w:rtl/>
          <w:lang w:bidi="ar-SY"/>
        </w:rPr>
        <w:t xml:space="preserve"> والصحافة</w:t>
      </w:r>
      <w:r w:rsidR="00C94447" w:rsidRPr="005341AD">
        <w:rPr>
          <w:spacing w:val="4"/>
          <w:vertAlign w:val="superscript"/>
          <w:rtl/>
        </w:rPr>
        <w:t>(</w:t>
      </w:r>
      <w:r w:rsidR="00C94447" w:rsidRPr="005341AD">
        <w:rPr>
          <w:rStyle w:val="FootnoteReference"/>
          <w:spacing w:val="4"/>
          <w:rtl/>
        </w:rPr>
        <w:footnoteReference w:id="18"/>
      </w:r>
      <w:r w:rsidR="00C94447" w:rsidRPr="005341AD">
        <w:rPr>
          <w:spacing w:val="4"/>
          <w:vertAlign w:val="superscript"/>
          <w:rtl/>
        </w:rPr>
        <w:t>)</w:t>
      </w:r>
      <w:r w:rsidRPr="005341AD">
        <w:rPr>
          <w:rFonts w:hint="cs"/>
          <w:spacing w:val="4"/>
          <w:rtl/>
          <w:lang w:bidi="ar-SY"/>
        </w:rPr>
        <w:t xml:space="preserve"> والتعبير الثقافي والفني</w:t>
      </w:r>
      <w:r w:rsidR="00C94447" w:rsidRPr="005341AD">
        <w:rPr>
          <w:spacing w:val="4"/>
          <w:vertAlign w:val="superscript"/>
          <w:rtl/>
        </w:rPr>
        <w:t>(</w:t>
      </w:r>
      <w:r w:rsidR="00C94447" w:rsidRPr="005341AD">
        <w:rPr>
          <w:rStyle w:val="FootnoteReference"/>
          <w:spacing w:val="4"/>
          <w:rtl/>
        </w:rPr>
        <w:footnoteReference w:id="19"/>
      </w:r>
      <w:r w:rsidR="00C94447" w:rsidRPr="005341AD">
        <w:rPr>
          <w:spacing w:val="4"/>
          <w:vertAlign w:val="superscript"/>
          <w:rtl/>
        </w:rPr>
        <w:t>)</w:t>
      </w:r>
      <w:r w:rsidRPr="005341AD">
        <w:rPr>
          <w:rFonts w:hint="cs"/>
          <w:spacing w:val="4"/>
          <w:rtl/>
          <w:lang w:bidi="ar-SY"/>
        </w:rPr>
        <w:t xml:space="preserve"> والتدريس</w:t>
      </w:r>
      <w:r w:rsidR="00C94447" w:rsidRPr="005341AD">
        <w:rPr>
          <w:spacing w:val="4"/>
          <w:vertAlign w:val="superscript"/>
          <w:rtl/>
        </w:rPr>
        <w:t>(</w:t>
      </w:r>
      <w:r w:rsidR="00C94447" w:rsidRPr="005341AD">
        <w:rPr>
          <w:rStyle w:val="FootnoteReference"/>
          <w:spacing w:val="4"/>
          <w:rtl/>
        </w:rPr>
        <w:footnoteReference w:id="20"/>
      </w:r>
      <w:r w:rsidR="00C94447" w:rsidRPr="005341AD">
        <w:rPr>
          <w:spacing w:val="4"/>
          <w:vertAlign w:val="superscript"/>
          <w:rtl/>
        </w:rPr>
        <w:t>)</w:t>
      </w:r>
      <w:r w:rsidRPr="005341AD">
        <w:rPr>
          <w:rFonts w:hint="cs"/>
          <w:spacing w:val="4"/>
          <w:rtl/>
          <w:lang w:bidi="ar-SY"/>
        </w:rPr>
        <w:t xml:space="preserve"> والخطاب الديني</w:t>
      </w:r>
      <w:r w:rsidR="00C94447" w:rsidRPr="005341AD">
        <w:rPr>
          <w:spacing w:val="4"/>
          <w:vertAlign w:val="superscript"/>
          <w:rtl/>
        </w:rPr>
        <w:t>(</w:t>
      </w:r>
      <w:r w:rsidR="00C94447" w:rsidRPr="005341AD">
        <w:rPr>
          <w:rStyle w:val="FootnoteReference"/>
          <w:spacing w:val="4"/>
          <w:rtl/>
        </w:rPr>
        <w:footnoteReference w:id="21"/>
      </w:r>
      <w:r w:rsidR="00C94447" w:rsidRPr="005341AD">
        <w:rPr>
          <w:spacing w:val="4"/>
          <w:vertAlign w:val="superscript"/>
          <w:rtl/>
        </w:rPr>
        <w:t>)</w:t>
      </w:r>
      <w:r w:rsidRPr="005341AD">
        <w:rPr>
          <w:rFonts w:hint="cs"/>
          <w:spacing w:val="4"/>
          <w:rtl/>
          <w:lang w:bidi="ar-SY"/>
        </w:rPr>
        <w:t xml:space="preserve">. ويمكن أن يشمل </w:t>
      </w:r>
      <w:r w:rsidR="00D61718" w:rsidRPr="005341AD">
        <w:rPr>
          <w:rFonts w:hint="cs"/>
          <w:spacing w:val="4"/>
          <w:rtl/>
          <w:lang w:bidi="ar-SY"/>
        </w:rPr>
        <w:t xml:space="preserve">هذا </w:t>
      </w:r>
      <w:r w:rsidRPr="005341AD">
        <w:rPr>
          <w:rFonts w:hint="cs"/>
          <w:spacing w:val="4"/>
          <w:rtl/>
          <w:lang w:bidi="ar-SY"/>
        </w:rPr>
        <w:t>الحق أيضاً الإعلان التجاري</w:t>
      </w:r>
      <w:r w:rsidR="00D61718" w:rsidRPr="005341AD">
        <w:rPr>
          <w:rFonts w:hint="cs"/>
          <w:spacing w:val="4"/>
          <w:rtl/>
          <w:lang w:bidi="ar-SY"/>
        </w:rPr>
        <w:t>.</w:t>
      </w:r>
      <w:r w:rsidRPr="005341AD">
        <w:rPr>
          <w:rFonts w:hint="cs"/>
          <w:spacing w:val="4"/>
          <w:rtl/>
          <w:lang w:bidi="ar-SY"/>
        </w:rPr>
        <w:t xml:space="preserve"> بل إن نطاق الفقرة 2 يغطي التعبير عن رأي قد يعتبر مهينا للغاية</w:t>
      </w:r>
      <w:r w:rsidR="00C94447" w:rsidRPr="005341AD">
        <w:rPr>
          <w:spacing w:val="4"/>
          <w:vertAlign w:val="superscript"/>
          <w:rtl/>
        </w:rPr>
        <w:t>(</w:t>
      </w:r>
      <w:r w:rsidR="00C94447" w:rsidRPr="005341AD">
        <w:rPr>
          <w:rStyle w:val="FootnoteReference"/>
          <w:spacing w:val="4"/>
          <w:rtl/>
        </w:rPr>
        <w:footnoteReference w:id="22"/>
      </w:r>
      <w:r w:rsidR="00C94447" w:rsidRPr="005341AD">
        <w:rPr>
          <w:spacing w:val="4"/>
          <w:vertAlign w:val="superscript"/>
          <w:rtl/>
        </w:rPr>
        <w:t>)</w:t>
      </w:r>
      <w:r w:rsidRPr="005341AD">
        <w:rPr>
          <w:rFonts w:hint="cs"/>
          <w:spacing w:val="4"/>
          <w:rtl/>
          <w:lang w:bidi="ar-SY"/>
        </w:rPr>
        <w:t xml:space="preserve">، على الرغم من أن هذا </w:t>
      </w:r>
      <w:r w:rsidR="00D61718" w:rsidRPr="005341AD">
        <w:rPr>
          <w:rFonts w:hint="cs"/>
          <w:spacing w:val="4"/>
          <w:rtl/>
          <w:lang w:bidi="ar-SY"/>
        </w:rPr>
        <w:t xml:space="preserve">الشكل </w:t>
      </w:r>
      <w:r w:rsidRPr="005341AD">
        <w:rPr>
          <w:rFonts w:hint="cs"/>
          <w:spacing w:val="4"/>
          <w:rtl/>
          <w:lang w:bidi="ar-SY"/>
        </w:rPr>
        <w:t xml:space="preserve">من </w:t>
      </w:r>
      <w:r w:rsidR="00D61718" w:rsidRPr="005341AD">
        <w:rPr>
          <w:rFonts w:hint="cs"/>
          <w:spacing w:val="4"/>
          <w:rtl/>
          <w:lang w:bidi="ar-SY"/>
        </w:rPr>
        <w:t xml:space="preserve">أشكال </w:t>
      </w:r>
      <w:r w:rsidRPr="005341AD">
        <w:rPr>
          <w:rFonts w:hint="cs"/>
          <w:spacing w:val="4"/>
          <w:rtl/>
          <w:lang w:bidi="ar-SY"/>
        </w:rPr>
        <w:t>التعبير قد يخضع للتقييد وفقاً لأحكام الفقرة 3 من المادة 19 وأحكام المادة 20.</w:t>
      </w:r>
    </w:p>
    <w:p w:rsidR="00F27EBD" w:rsidRPr="00FF0145" w:rsidRDefault="00F27EBD" w:rsidP="00D61718">
      <w:pPr>
        <w:pStyle w:val="SingleTxtGA"/>
        <w:rPr>
          <w:rFonts w:hint="cs"/>
          <w:rtl/>
          <w:lang w:bidi="ar-SY"/>
        </w:rPr>
      </w:pPr>
      <w:r>
        <w:rPr>
          <w:rFonts w:hint="cs"/>
          <w:rtl/>
          <w:lang w:bidi="ar-SY"/>
        </w:rPr>
        <w:t>12-</w:t>
      </w:r>
      <w:r w:rsidR="00C94447">
        <w:rPr>
          <w:rFonts w:hint="cs"/>
          <w:rtl/>
          <w:lang w:bidi="ar-SY"/>
        </w:rPr>
        <w:tab/>
      </w:r>
      <w:proofErr w:type="spellStart"/>
      <w:r w:rsidRPr="00FF0145">
        <w:rPr>
          <w:rFonts w:hint="cs"/>
          <w:rtl/>
          <w:lang w:bidi="ar-SY"/>
        </w:rPr>
        <w:t>وتنص</w:t>
      </w:r>
      <w:proofErr w:type="spellEnd"/>
      <w:r w:rsidRPr="00FF0145">
        <w:rPr>
          <w:rFonts w:hint="cs"/>
          <w:rtl/>
          <w:lang w:bidi="ar-SY"/>
        </w:rPr>
        <w:t xml:space="preserve"> الفقرة 2 على حماية جميع أشكال التعبير ووسائل نشرها. وتشمل </w:t>
      </w:r>
      <w:r w:rsidR="00D61718">
        <w:rPr>
          <w:rFonts w:hint="cs"/>
          <w:rtl/>
          <w:lang w:bidi="ar-SY"/>
        </w:rPr>
        <w:t>هذه الأ</w:t>
      </w:r>
      <w:r w:rsidRPr="00FF0145">
        <w:rPr>
          <w:rFonts w:hint="cs"/>
          <w:rtl/>
          <w:lang w:bidi="ar-SY"/>
        </w:rPr>
        <w:t>شكال اللغة المنطوقة والمكتوبة ولغة الإشارة والتعبير بلغة غير لفظية</w:t>
      </w:r>
      <w:r w:rsidR="00D61718">
        <w:rPr>
          <w:rFonts w:hint="cs"/>
          <w:rtl/>
          <w:lang w:bidi="ar-SY"/>
        </w:rPr>
        <w:t>،</w:t>
      </w:r>
      <w:r w:rsidRPr="00FF0145">
        <w:rPr>
          <w:rFonts w:hint="cs"/>
          <w:rtl/>
          <w:lang w:bidi="ar-SY"/>
        </w:rPr>
        <w:t xml:space="preserve"> مثل الصور والقطع الفنية</w:t>
      </w:r>
      <w:r w:rsidR="00C94447" w:rsidRPr="00C94447">
        <w:rPr>
          <w:vertAlign w:val="superscript"/>
          <w:rtl/>
        </w:rPr>
        <w:t>(</w:t>
      </w:r>
      <w:r w:rsidR="00C94447" w:rsidRPr="00C94447">
        <w:rPr>
          <w:rStyle w:val="FootnoteReference"/>
          <w:rtl/>
        </w:rPr>
        <w:footnoteReference w:id="23"/>
      </w:r>
      <w:r w:rsidR="00C94447" w:rsidRPr="00C94447">
        <w:rPr>
          <w:vertAlign w:val="superscript"/>
          <w:rtl/>
        </w:rPr>
        <w:t>)</w:t>
      </w:r>
      <w:r w:rsidRPr="00FF0145">
        <w:rPr>
          <w:rFonts w:hint="cs"/>
          <w:rtl/>
          <w:lang w:bidi="ar-SY"/>
        </w:rPr>
        <w:t>. وتشمل وسائل التعبير الكتب والصحف</w:t>
      </w:r>
      <w:r w:rsidR="00C94447" w:rsidRPr="00C94447">
        <w:rPr>
          <w:vertAlign w:val="superscript"/>
          <w:rtl/>
        </w:rPr>
        <w:t>(</w:t>
      </w:r>
      <w:r w:rsidR="00C94447" w:rsidRPr="00C94447">
        <w:rPr>
          <w:rStyle w:val="FootnoteReference"/>
          <w:rtl/>
        </w:rPr>
        <w:footnoteReference w:id="24"/>
      </w:r>
      <w:r w:rsidR="00C94447" w:rsidRPr="00C94447">
        <w:rPr>
          <w:vertAlign w:val="superscript"/>
          <w:rtl/>
        </w:rPr>
        <w:t>)</w:t>
      </w:r>
      <w:r w:rsidRPr="00FF0145">
        <w:rPr>
          <w:rFonts w:hint="cs"/>
          <w:rtl/>
          <w:lang w:bidi="ar-SY"/>
        </w:rPr>
        <w:t xml:space="preserve"> والمنشورات</w:t>
      </w:r>
      <w:r w:rsidR="00C94447" w:rsidRPr="00C94447">
        <w:rPr>
          <w:vertAlign w:val="superscript"/>
          <w:rtl/>
        </w:rPr>
        <w:t>(</w:t>
      </w:r>
      <w:r w:rsidR="00C94447" w:rsidRPr="00C94447">
        <w:rPr>
          <w:rStyle w:val="FootnoteReference"/>
          <w:rtl/>
        </w:rPr>
        <w:footnoteReference w:id="25"/>
      </w:r>
      <w:r w:rsidR="00C94447" w:rsidRPr="00C94447">
        <w:rPr>
          <w:vertAlign w:val="superscript"/>
          <w:rtl/>
        </w:rPr>
        <w:t>)</w:t>
      </w:r>
      <w:r w:rsidRPr="00FF0145">
        <w:rPr>
          <w:rFonts w:hint="cs"/>
          <w:rtl/>
          <w:lang w:bidi="ar-SY"/>
        </w:rPr>
        <w:t xml:space="preserve"> والملصقات واللافتات</w:t>
      </w:r>
      <w:r w:rsidR="00C94447" w:rsidRPr="00C94447">
        <w:rPr>
          <w:vertAlign w:val="superscript"/>
          <w:rtl/>
        </w:rPr>
        <w:t>(</w:t>
      </w:r>
      <w:r w:rsidR="00C94447" w:rsidRPr="00C94447">
        <w:rPr>
          <w:rStyle w:val="FootnoteReference"/>
          <w:rtl/>
        </w:rPr>
        <w:footnoteReference w:id="26"/>
      </w:r>
      <w:r w:rsidR="00C94447" w:rsidRPr="00C94447">
        <w:rPr>
          <w:vertAlign w:val="superscript"/>
          <w:rtl/>
        </w:rPr>
        <w:t>)</w:t>
      </w:r>
      <w:r w:rsidRPr="00FF0145">
        <w:rPr>
          <w:rFonts w:hint="cs"/>
          <w:rtl/>
          <w:lang w:bidi="ar-SY"/>
        </w:rPr>
        <w:t xml:space="preserve"> </w:t>
      </w:r>
      <w:r w:rsidRPr="00535D32">
        <w:rPr>
          <w:rFonts w:hint="cs"/>
          <w:rtl/>
          <w:lang w:bidi="ar-SY"/>
        </w:rPr>
        <w:t>والملابس والوثائق القانونية</w:t>
      </w:r>
      <w:r w:rsidR="00C94447" w:rsidRPr="00C94447">
        <w:rPr>
          <w:vertAlign w:val="superscript"/>
          <w:rtl/>
        </w:rPr>
        <w:t>(</w:t>
      </w:r>
      <w:r w:rsidR="00C94447" w:rsidRPr="00C94447">
        <w:rPr>
          <w:rStyle w:val="FootnoteReference"/>
          <w:rtl/>
        </w:rPr>
        <w:footnoteReference w:id="27"/>
      </w:r>
      <w:r w:rsidR="00C94447" w:rsidRPr="00C94447">
        <w:rPr>
          <w:vertAlign w:val="superscript"/>
          <w:rtl/>
        </w:rPr>
        <w:t>)</w:t>
      </w:r>
      <w:r>
        <w:rPr>
          <w:rFonts w:hint="cs"/>
          <w:rtl/>
          <w:lang w:bidi="ar-SY"/>
        </w:rPr>
        <w:t>،</w:t>
      </w:r>
      <w:r w:rsidRPr="00FF0145">
        <w:rPr>
          <w:rFonts w:hint="cs"/>
          <w:rtl/>
          <w:lang w:bidi="ar-SY"/>
        </w:rPr>
        <w:t xml:space="preserve"> و</w:t>
      </w:r>
      <w:r>
        <w:rPr>
          <w:rFonts w:hint="cs"/>
          <w:rtl/>
          <w:lang w:bidi="ar-SY"/>
        </w:rPr>
        <w:t>ت</w:t>
      </w:r>
      <w:r w:rsidRPr="00FF0145">
        <w:rPr>
          <w:rFonts w:hint="cs"/>
          <w:rtl/>
          <w:lang w:bidi="ar-SY"/>
        </w:rPr>
        <w:t xml:space="preserve">شمل </w:t>
      </w:r>
      <w:r>
        <w:rPr>
          <w:rFonts w:hint="cs"/>
          <w:rtl/>
          <w:lang w:bidi="ar-SY"/>
        </w:rPr>
        <w:t xml:space="preserve">كذلك </w:t>
      </w:r>
      <w:r w:rsidRPr="00FF0145">
        <w:rPr>
          <w:rFonts w:hint="cs"/>
          <w:rtl/>
          <w:lang w:bidi="ar-SY"/>
        </w:rPr>
        <w:t>جميع الأشكال السمعية والبصرية فضلاً عن طرائق التعبير الإلكترونية والشبكية.</w:t>
      </w:r>
    </w:p>
    <w:p w:rsidR="00F27EBD" w:rsidRPr="00547EE7" w:rsidRDefault="005341AD" w:rsidP="00547EE7">
      <w:pPr>
        <w:pStyle w:val="H23GA"/>
        <w:rPr>
          <w:rFonts w:hint="cs"/>
          <w:rtl/>
        </w:rPr>
      </w:pPr>
      <w:r>
        <w:rPr>
          <w:rtl/>
          <w:lang w:bidi="ar-SY"/>
        </w:rPr>
        <w:br w:type="page"/>
      </w:r>
      <w:r w:rsidR="00C94447">
        <w:rPr>
          <w:rFonts w:hint="cs"/>
          <w:rtl/>
          <w:lang w:bidi="ar-SY"/>
        </w:rPr>
        <w:tab/>
      </w:r>
      <w:r w:rsidR="00C94447">
        <w:rPr>
          <w:rFonts w:hint="cs"/>
          <w:rtl/>
          <w:lang w:bidi="ar-SY"/>
        </w:rPr>
        <w:tab/>
      </w:r>
      <w:r w:rsidR="00F27EBD" w:rsidRPr="007F39B3">
        <w:rPr>
          <w:rFonts w:hint="cs"/>
          <w:rtl/>
          <w:lang w:bidi="ar-SY"/>
        </w:rPr>
        <w:t>حرية التعبير والإعلام</w:t>
      </w:r>
    </w:p>
    <w:p w:rsidR="00F27EBD" w:rsidRDefault="00F27EBD" w:rsidP="00D61718">
      <w:pPr>
        <w:pStyle w:val="SingleTxtGA"/>
        <w:rPr>
          <w:rFonts w:hint="cs"/>
          <w:rtl/>
          <w:lang w:bidi="ar-SY"/>
        </w:rPr>
      </w:pPr>
      <w:r>
        <w:rPr>
          <w:rFonts w:hint="cs"/>
          <w:rtl/>
          <w:lang w:bidi="ar-SY"/>
        </w:rPr>
        <w:t>13-</w:t>
      </w:r>
      <w:r w:rsidR="00C94447">
        <w:rPr>
          <w:rFonts w:hint="cs"/>
          <w:rtl/>
          <w:lang w:bidi="ar-SY"/>
        </w:rPr>
        <w:tab/>
      </w:r>
      <w:r>
        <w:rPr>
          <w:rFonts w:hint="cs"/>
          <w:rtl/>
          <w:lang w:bidi="ar-SY"/>
        </w:rPr>
        <w:t>لا غنى لأي مجتمع عن الصحافة أو غيرها من وسائط الإعلام التي تكون حرة وغير خاضعة للرقابة وتعمل بدون عراقيل وذلك لضمان حرية الرأي و</w:t>
      </w:r>
      <w:r w:rsidR="00D61718">
        <w:rPr>
          <w:rFonts w:hint="cs"/>
          <w:rtl/>
          <w:lang w:bidi="ar-SY"/>
        </w:rPr>
        <w:t xml:space="preserve">حرية </w:t>
      </w:r>
      <w:r>
        <w:rPr>
          <w:rFonts w:hint="cs"/>
          <w:rtl/>
          <w:lang w:bidi="ar-SY"/>
        </w:rPr>
        <w:t>التعبير والتمتع بالحقوق الأخرى المنصوص عليها في العهد. وتشكل الصحافة أو وسائط الإعلام الأخرى حجر الزاوية لمجتمع تسوده الديمقراطية</w:t>
      </w:r>
      <w:r w:rsidR="00C94447" w:rsidRPr="00C94447">
        <w:rPr>
          <w:vertAlign w:val="superscript"/>
          <w:rtl/>
        </w:rPr>
        <w:t>(</w:t>
      </w:r>
      <w:r w:rsidR="00C94447" w:rsidRPr="00C94447">
        <w:rPr>
          <w:rStyle w:val="FootnoteReference"/>
          <w:rtl/>
        </w:rPr>
        <w:footnoteReference w:id="28"/>
      </w:r>
      <w:r w:rsidR="00C94447" w:rsidRPr="00C94447">
        <w:rPr>
          <w:vertAlign w:val="superscript"/>
          <w:rtl/>
        </w:rPr>
        <w:t>)</w:t>
      </w:r>
      <w:r>
        <w:rPr>
          <w:rFonts w:hint="cs"/>
          <w:rtl/>
          <w:lang w:bidi="ar-SY"/>
        </w:rPr>
        <w:t xml:space="preserve">. </w:t>
      </w:r>
      <w:proofErr w:type="spellStart"/>
      <w:r>
        <w:rPr>
          <w:rFonts w:hint="cs"/>
          <w:rtl/>
          <w:lang w:bidi="ar-SY"/>
        </w:rPr>
        <w:t>وينص</w:t>
      </w:r>
      <w:proofErr w:type="spellEnd"/>
      <w:r>
        <w:rPr>
          <w:rFonts w:hint="cs"/>
          <w:rtl/>
          <w:lang w:bidi="ar-SY"/>
        </w:rPr>
        <w:t xml:space="preserve"> العهد على الحق الذي يجيز لوسائط الإعلام تلقي معلومات تستند إليها في أداء مهامها</w:t>
      </w:r>
      <w:r w:rsidR="00C94447" w:rsidRPr="00C94447">
        <w:rPr>
          <w:vertAlign w:val="superscript"/>
          <w:rtl/>
        </w:rPr>
        <w:t>(</w:t>
      </w:r>
      <w:r w:rsidR="00C94447" w:rsidRPr="00C94447">
        <w:rPr>
          <w:rStyle w:val="FootnoteReference"/>
          <w:rtl/>
        </w:rPr>
        <w:footnoteReference w:id="29"/>
      </w:r>
      <w:r w:rsidR="00C94447" w:rsidRPr="00C94447">
        <w:rPr>
          <w:vertAlign w:val="superscript"/>
          <w:rtl/>
        </w:rPr>
        <w:t>)</w:t>
      </w:r>
      <w:r>
        <w:rPr>
          <w:rFonts w:hint="cs"/>
          <w:rtl/>
          <w:lang w:bidi="ar-SY"/>
        </w:rPr>
        <w:t>. و</w:t>
      </w:r>
      <w:r w:rsidR="00D61718">
        <w:rPr>
          <w:rFonts w:hint="cs"/>
          <w:rtl/>
          <w:lang w:bidi="ar-SY"/>
        </w:rPr>
        <w:t xml:space="preserve">يعتبر </w:t>
      </w:r>
      <w:r>
        <w:rPr>
          <w:rFonts w:hint="cs"/>
          <w:rtl/>
        </w:rPr>
        <w:t>تبادل المعلومات والآراء</w:t>
      </w:r>
      <w:r>
        <w:rPr>
          <w:rFonts w:hint="cs"/>
          <w:rtl/>
          <w:lang w:bidi="ar-SY"/>
        </w:rPr>
        <w:t xml:space="preserve"> بحرية حول مسائل تتعلق بالشؤون العامة و</w:t>
      </w:r>
      <w:r w:rsidR="00D61718">
        <w:rPr>
          <w:rFonts w:hint="cs"/>
          <w:rtl/>
          <w:lang w:bidi="ar-SY"/>
        </w:rPr>
        <w:t xml:space="preserve">الشؤون </w:t>
      </w:r>
      <w:r>
        <w:rPr>
          <w:rFonts w:hint="cs"/>
          <w:rtl/>
          <w:lang w:bidi="ar-SY"/>
        </w:rPr>
        <w:t>السياسية بين المواطنين والمرشحين والممثلين المنتخبين أمر</w:t>
      </w:r>
      <w:r w:rsidR="00D61718">
        <w:rPr>
          <w:rFonts w:hint="cs"/>
          <w:rtl/>
          <w:lang w:bidi="ar-SY"/>
        </w:rPr>
        <w:t>اً</w:t>
      </w:r>
      <w:r>
        <w:rPr>
          <w:rFonts w:hint="cs"/>
          <w:rtl/>
          <w:lang w:bidi="ar-SY"/>
        </w:rPr>
        <w:t xml:space="preserve"> أساسي</w:t>
      </w:r>
      <w:r w:rsidR="00D61718">
        <w:rPr>
          <w:rFonts w:hint="cs"/>
          <w:rtl/>
          <w:lang w:bidi="ar-SY"/>
        </w:rPr>
        <w:t>اً</w:t>
      </w:r>
      <w:r>
        <w:rPr>
          <w:rFonts w:hint="cs"/>
          <w:rtl/>
          <w:lang w:bidi="ar-SY"/>
        </w:rPr>
        <w:t xml:space="preserve">. وينطوي </w:t>
      </w:r>
      <w:r w:rsidR="00D61718">
        <w:rPr>
          <w:rFonts w:hint="cs"/>
          <w:rtl/>
          <w:lang w:bidi="ar-SY"/>
        </w:rPr>
        <w:t xml:space="preserve">ذلك </w:t>
      </w:r>
      <w:r>
        <w:rPr>
          <w:rFonts w:hint="cs"/>
          <w:rtl/>
          <w:lang w:bidi="ar-SY"/>
        </w:rPr>
        <w:t xml:space="preserve">على </w:t>
      </w:r>
      <w:r w:rsidR="00D61718">
        <w:rPr>
          <w:rFonts w:hint="cs"/>
          <w:rtl/>
          <w:lang w:bidi="ar-SY"/>
        </w:rPr>
        <w:t xml:space="preserve">وجود </w:t>
      </w:r>
      <w:r>
        <w:rPr>
          <w:rFonts w:hint="cs"/>
          <w:rtl/>
          <w:lang w:bidi="ar-SY"/>
        </w:rPr>
        <w:t xml:space="preserve">صحافة حرة ووسائط إعلام </w:t>
      </w:r>
      <w:r w:rsidR="00D61718">
        <w:rPr>
          <w:rFonts w:hint="cs"/>
          <w:rtl/>
          <w:lang w:bidi="ar-SY"/>
        </w:rPr>
        <w:t xml:space="preserve">أخرى </w:t>
      </w:r>
      <w:r>
        <w:rPr>
          <w:rFonts w:hint="cs"/>
          <w:rtl/>
          <w:lang w:bidi="ar-SY"/>
        </w:rPr>
        <w:t>قادرة على التعليق على المسائل العامة بدون رقابة أو قيد و</w:t>
      </w:r>
      <w:r w:rsidR="00D61718">
        <w:rPr>
          <w:rFonts w:hint="cs"/>
          <w:rtl/>
          <w:lang w:bidi="ar-SY"/>
        </w:rPr>
        <w:t xml:space="preserve">على </w:t>
      </w:r>
      <w:r>
        <w:rPr>
          <w:rFonts w:hint="cs"/>
          <w:rtl/>
          <w:lang w:bidi="ar-SY"/>
        </w:rPr>
        <w:t>إعلام الرأي العام</w:t>
      </w:r>
      <w:r w:rsidR="00C94447" w:rsidRPr="00C94447">
        <w:rPr>
          <w:vertAlign w:val="superscript"/>
          <w:rtl/>
        </w:rPr>
        <w:t>(</w:t>
      </w:r>
      <w:r w:rsidR="00C94447" w:rsidRPr="00C94447">
        <w:rPr>
          <w:rStyle w:val="FootnoteReference"/>
          <w:rtl/>
        </w:rPr>
        <w:footnoteReference w:id="30"/>
      </w:r>
      <w:r w:rsidR="00C94447" w:rsidRPr="00C94447">
        <w:rPr>
          <w:vertAlign w:val="superscript"/>
          <w:rtl/>
        </w:rPr>
        <w:t>)</w:t>
      </w:r>
      <w:r>
        <w:rPr>
          <w:rFonts w:hint="cs"/>
          <w:rtl/>
          <w:lang w:bidi="ar-SY"/>
        </w:rPr>
        <w:t>. ويتمتع الجمهور أيضاً بحق مقابل في تلقي ما تنتجه وسائط الإعلام</w:t>
      </w:r>
      <w:r w:rsidR="00547EE7" w:rsidRPr="00C94447">
        <w:rPr>
          <w:vertAlign w:val="superscript"/>
          <w:rtl/>
        </w:rPr>
        <w:t>(</w:t>
      </w:r>
      <w:r w:rsidR="00547EE7" w:rsidRPr="00C94447">
        <w:rPr>
          <w:rStyle w:val="FootnoteReference"/>
          <w:rtl/>
        </w:rPr>
        <w:footnoteReference w:id="31"/>
      </w:r>
      <w:r w:rsidR="00547EE7" w:rsidRPr="00C94447">
        <w:rPr>
          <w:vertAlign w:val="superscript"/>
          <w:rtl/>
        </w:rPr>
        <w:t>)</w:t>
      </w:r>
      <w:r>
        <w:rPr>
          <w:rFonts w:hint="cs"/>
          <w:rtl/>
          <w:lang w:bidi="ar-SY"/>
        </w:rPr>
        <w:t>.</w:t>
      </w:r>
    </w:p>
    <w:p w:rsidR="00F27EBD" w:rsidRDefault="00F27EBD" w:rsidP="00D61718">
      <w:pPr>
        <w:pStyle w:val="SingleTxtGA"/>
        <w:rPr>
          <w:rFonts w:hint="cs"/>
          <w:rtl/>
          <w:lang w:bidi="ar-SY"/>
        </w:rPr>
      </w:pPr>
      <w:r>
        <w:rPr>
          <w:rFonts w:hint="cs"/>
          <w:rtl/>
          <w:lang w:bidi="ar-SY"/>
        </w:rPr>
        <w:t>14-</w:t>
      </w:r>
      <w:r w:rsidR="00547EE7">
        <w:rPr>
          <w:rFonts w:hint="cs"/>
          <w:rtl/>
          <w:lang w:bidi="ar-SY"/>
        </w:rPr>
        <w:tab/>
      </w:r>
      <w:r>
        <w:rPr>
          <w:rFonts w:hint="cs"/>
          <w:rtl/>
          <w:lang w:bidi="ar-SY"/>
        </w:rPr>
        <w:t xml:space="preserve">وكوسيلة لحماية حقوق مستخدمي وسائط الإعلام، بمن فيهم أفراد الأقليات </w:t>
      </w:r>
      <w:proofErr w:type="spellStart"/>
      <w:r>
        <w:rPr>
          <w:rFonts w:hint="cs"/>
          <w:rtl/>
          <w:lang w:bidi="ar-SY"/>
        </w:rPr>
        <w:t>الإثنية</w:t>
      </w:r>
      <w:proofErr w:type="spellEnd"/>
      <w:r>
        <w:rPr>
          <w:rFonts w:hint="cs"/>
          <w:rtl/>
          <w:lang w:bidi="ar-SY"/>
        </w:rPr>
        <w:t xml:space="preserve"> واللغوية في تلقي مجموعة </w:t>
      </w:r>
      <w:r w:rsidR="00D61718">
        <w:rPr>
          <w:rFonts w:hint="cs"/>
          <w:rtl/>
          <w:lang w:bidi="ar-SY"/>
        </w:rPr>
        <w:t xml:space="preserve">كبيرة </w:t>
      </w:r>
      <w:r>
        <w:rPr>
          <w:rFonts w:hint="cs"/>
          <w:rtl/>
          <w:lang w:bidi="ar-SY"/>
        </w:rPr>
        <w:t xml:space="preserve">من المعلومات والأفكار، ينبغي للدول الأطراف أن تولي عناية خاصة للتشجيع على </w:t>
      </w:r>
      <w:r w:rsidR="00D61718">
        <w:rPr>
          <w:rFonts w:hint="cs"/>
          <w:rtl/>
          <w:lang w:bidi="ar-SY"/>
        </w:rPr>
        <w:t xml:space="preserve">وجود </w:t>
      </w:r>
      <w:r>
        <w:rPr>
          <w:rFonts w:hint="cs"/>
          <w:rtl/>
          <w:lang w:bidi="ar-SY"/>
        </w:rPr>
        <w:t>وسائط إعلام مستقلة ومتنوعة.</w:t>
      </w:r>
    </w:p>
    <w:p w:rsidR="00F27EBD" w:rsidRDefault="00F27EBD" w:rsidP="005341AD">
      <w:pPr>
        <w:pStyle w:val="SingleTxtGA"/>
        <w:rPr>
          <w:rFonts w:hint="cs"/>
          <w:rtl/>
          <w:lang w:bidi="ar-SY"/>
        </w:rPr>
      </w:pPr>
      <w:r>
        <w:rPr>
          <w:rFonts w:hint="cs"/>
          <w:rtl/>
          <w:lang w:bidi="ar-SY"/>
        </w:rPr>
        <w:t>15-</w:t>
      </w:r>
      <w:r w:rsidR="00547EE7">
        <w:rPr>
          <w:rFonts w:hint="cs"/>
          <w:rtl/>
          <w:lang w:bidi="ar-SY"/>
        </w:rPr>
        <w:tab/>
      </w:r>
      <w:r>
        <w:rPr>
          <w:rFonts w:hint="cs"/>
          <w:rtl/>
          <w:lang w:bidi="ar-SY"/>
        </w:rPr>
        <w:t>وينبغي للدول الأطراف أن تأخذ في الحسبان مدى تأثير التطورات التي طرأت على تكنولوجيا المعلومات والاتصالات، مثل نظم نشر المعلومات الإلكترونية القائمة على خدمات الإنترنت والهاتف النقال</w:t>
      </w:r>
      <w:r w:rsidR="00D61718">
        <w:rPr>
          <w:rFonts w:hint="cs"/>
          <w:rtl/>
          <w:lang w:bidi="ar-SY"/>
        </w:rPr>
        <w:t>،</w:t>
      </w:r>
      <w:r>
        <w:rPr>
          <w:rFonts w:hint="cs"/>
          <w:rtl/>
          <w:lang w:bidi="ar-SY"/>
        </w:rPr>
        <w:t xml:space="preserve"> في إحداث تغيير كبير في ممارسات الاتصال حول العالم. وتوجد اليوم شبكة عالمية لتبادل الأفكار والآراء لا تعتمد بالضرورة على </w:t>
      </w:r>
      <w:r w:rsidR="00AF1182">
        <w:rPr>
          <w:rFonts w:hint="cs"/>
          <w:rtl/>
          <w:lang w:bidi="ar-SY"/>
        </w:rPr>
        <w:t>ال</w:t>
      </w:r>
      <w:r>
        <w:rPr>
          <w:rFonts w:hint="cs"/>
          <w:rtl/>
          <w:lang w:bidi="ar-SY"/>
        </w:rPr>
        <w:t xml:space="preserve">وسطاء </w:t>
      </w:r>
      <w:r w:rsidR="00AF1182">
        <w:rPr>
          <w:rFonts w:hint="cs"/>
          <w:rtl/>
          <w:lang w:bidi="ar-SY"/>
        </w:rPr>
        <w:t>التقليدين ل</w:t>
      </w:r>
      <w:r>
        <w:rPr>
          <w:rFonts w:hint="cs"/>
          <w:rtl/>
          <w:lang w:bidi="ar-SY"/>
        </w:rPr>
        <w:t xml:space="preserve">وسائط </w:t>
      </w:r>
      <w:r w:rsidRPr="004C59DE">
        <w:rPr>
          <w:rFonts w:hint="cs"/>
          <w:rtl/>
          <w:lang w:bidi="ar-SY"/>
        </w:rPr>
        <w:t>الإعلام الجماهيري</w:t>
      </w:r>
      <w:r>
        <w:rPr>
          <w:rFonts w:hint="cs"/>
          <w:rtl/>
          <w:lang w:bidi="ar-SY"/>
        </w:rPr>
        <w:t xml:space="preserve">. وينبغي للدول الأطراف أن تتخذ جميع التدابير الضرورية لتعزيز استقلال </w:t>
      </w:r>
      <w:r w:rsidR="00AF1182">
        <w:rPr>
          <w:rFonts w:hint="cs"/>
          <w:rtl/>
          <w:lang w:bidi="ar-SY"/>
        </w:rPr>
        <w:t>هذه ال</w:t>
      </w:r>
      <w:r>
        <w:rPr>
          <w:rFonts w:hint="cs"/>
          <w:rtl/>
          <w:lang w:bidi="ar-SY"/>
        </w:rPr>
        <w:t>وسائط الإعلام</w:t>
      </w:r>
      <w:r w:rsidR="00AF1182">
        <w:rPr>
          <w:rFonts w:hint="cs"/>
          <w:rtl/>
          <w:lang w:bidi="ar-SY"/>
        </w:rPr>
        <w:t>ية</w:t>
      </w:r>
      <w:r>
        <w:rPr>
          <w:rFonts w:hint="cs"/>
          <w:rtl/>
          <w:lang w:bidi="ar-SY"/>
        </w:rPr>
        <w:t xml:space="preserve"> الجديدة وأن تضمن </w:t>
      </w:r>
      <w:r w:rsidR="00AF1182">
        <w:rPr>
          <w:rFonts w:hint="cs"/>
          <w:rtl/>
          <w:lang w:bidi="ar-SY"/>
        </w:rPr>
        <w:t xml:space="preserve">سبل </w:t>
      </w:r>
      <w:r>
        <w:rPr>
          <w:rFonts w:hint="cs"/>
          <w:rtl/>
          <w:lang w:bidi="ar-SY"/>
        </w:rPr>
        <w:t>وصول الأفراد إليها.</w:t>
      </w:r>
    </w:p>
    <w:p w:rsidR="00F27EBD" w:rsidRDefault="00F27EBD" w:rsidP="00AF1182">
      <w:pPr>
        <w:pStyle w:val="SingleTxtGA"/>
        <w:rPr>
          <w:rFonts w:hint="cs"/>
          <w:rtl/>
          <w:lang w:val="fr-CH"/>
        </w:rPr>
      </w:pPr>
      <w:r>
        <w:rPr>
          <w:rFonts w:hint="cs"/>
          <w:rtl/>
          <w:lang w:val="fr-CH"/>
        </w:rPr>
        <w:t>16-</w:t>
      </w:r>
      <w:r>
        <w:rPr>
          <w:rFonts w:hint="cs"/>
          <w:rtl/>
          <w:lang w:val="fr-CH"/>
        </w:rPr>
        <w:tab/>
        <w:t xml:space="preserve">وينبغي للدول الأطراف أن تضمن عمل خدمات </w:t>
      </w:r>
      <w:r w:rsidR="00AF1182">
        <w:rPr>
          <w:rFonts w:hint="cs"/>
          <w:rtl/>
          <w:lang w:val="fr-CH"/>
        </w:rPr>
        <w:t xml:space="preserve">البث </w:t>
      </w:r>
      <w:r>
        <w:rPr>
          <w:rFonts w:hint="cs"/>
          <w:rtl/>
          <w:lang w:val="fr-CH"/>
        </w:rPr>
        <w:t>الإذاع</w:t>
      </w:r>
      <w:r w:rsidR="00AF1182">
        <w:rPr>
          <w:rFonts w:hint="cs"/>
          <w:rtl/>
          <w:lang w:val="fr-CH"/>
        </w:rPr>
        <w:t>ي</w:t>
      </w:r>
      <w:r>
        <w:rPr>
          <w:rFonts w:hint="cs"/>
          <w:rtl/>
          <w:lang w:val="fr-CH"/>
        </w:rPr>
        <w:t xml:space="preserve"> العامة بصورة مستقلة</w:t>
      </w:r>
      <w:r w:rsidR="00547EE7" w:rsidRPr="00C94447">
        <w:rPr>
          <w:vertAlign w:val="superscript"/>
          <w:rtl/>
        </w:rPr>
        <w:t>(</w:t>
      </w:r>
      <w:r w:rsidR="00547EE7" w:rsidRPr="00C94447">
        <w:rPr>
          <w:rStyle w:val="FootnoteReference"/>
          <w:rtl/>
        </w:rPr>
        <w:footnoteReference w:id="32"/>
      </w:r>
      <w:r w:rsidR="00547EE7" w:rsidRPr="00C94447">
        <w:rPr>
          <w:vertAlign w:val="superscript"/>
          <w:rtl/>
        </w:rPr>
        <w:t>)</w:t>
      </w:r>
      <w:r>
        <w:rPr>
          <w:rFonts w:hint="cs"/>
          <w:rtl/>
          <w:lang w:val="fr-CH"/>
        </w:rPr>
        <w:t xml:space="preserve">، وأن تكفل في هذا الخصوص استقلالية تلك الخدمات وحريتها </w:t>
      </w:r>
      <w:r w:rsidR="00AF1182">
        <w:rPr>
          <w:rFonts w:hint="cs"/>
          <w:rtl/>
          <w:lang w:val="fr-CH"/>
        </w:rPr>
        <w:t xml:space="preserve">في </w:t>
      </w:r>
      <w:r>
        <w:rPr>
          <w:rFonts w:hint="cs"/>
          <w:rtl/>
          <w:lang w:val="fr-CH"/>
        </w:rPr>
        <w:t>تحرير</w:t>
      </w:r>
      <w:r w:rsidR="00AF1182">
        <w:rPr>
          <w:rFonts w:hint="cs"/>
          <w:rtl/>
          <w:lang w:val="fr-CH"/>
        </w:rPr>
        <w:t xml:space="preserve"> مادتها</w:t>
      </w:r>
      <w:r>
        <w:rPr>
          <w:rFonts w:hint="cs"/>
          <w:rtl/>
          <w:lang w:val="fr-CH"/>
        </w:rPr>
        <w:t xml:space="preserve">. وينبغي للدول الأطراف أن توفر التمويل على نحو لا ينال من استقلال هذه الخدمات. </w:t>
      </w:r>
    </w:p>
    <w:p w:rsidR="00F27EBD" w:rsidRDefault="00F27EBD" w:rsidP="00AF1182">
      <w:pPr>
        <w:pStyle w:val="SingleTxtGA"/>
        <w:rPr>
          <w:rFonts w:hint="cs"/>
          <w:rtl/>
          <w:lang w:val="fr-CH"/>
        </w:rPr>
      </w:pPr>
      <w:r>
        <w:rPr>
          <w:rFonts w:hint="cs"/>
          <w:rtl/>
          <w:lang w:val="fr-CH"/>
        </w:rPr>
        <w:t>17-</w:t>
      </w:r>
      <w:r>
        <w:rPr>
          <w:rFonts w:hint="cs"/>
          <w:rtl/>
          <w:lang w:val="fr-CH"/>
        </w:rPr>
        <w:tab/>
        <w:t xml:space="preserve">وتناقش المسائل </w:t>
      </w:r>
      <w:r w:rsidR="00AF1182">
        <w:rPr>
          <w:rFonts w:hint="cs"/>
          <w:rtl/>
          <w:lang w:val="fr-CH"/>
        </w:rPr>
        <w:t xml:space="preserve">المتصلة </w:t>
      </w:r>
      <w:r>
        <w:rPr>
          <w:rFonts w:hint="cs"/>
          <w:rtl/>
          <w:lang w:val="fr-CH"/>
        </w:rPr>
        <w:t xml:space="preserve">بوسائط الإعلام </w:t>
      </w:r>
      <w:r w:rsidR="00AF1182">
        <w:rPr>
          <w:rFonts w:hint="cs"/>
          <w:rtl/>
          <w:lang w:val="fr-CH"/>
        </w:rPr>
        <w:t xml:space="preserve">بمزيد من التفصيل </w:t>
      </w:r>
      <w:r>
        <w:rPr>
          <w:rFonts w:hint="cs"/>
          <w:rtl/>
          <w:lang w:val="fr-CH"/>
        </w:rPr>
        <w:t xml:space="preserve">في الجزء الذي يتناول القيود المفروضة على حرية التعبير من هذا التعليق العام. </w:t>
      </w:r>
    </w:p>
    <w:p w:rsidR="00F27EBD" w:rsidRPr="007A494B" w:rsidRDefault="00F27EBD" w:rsidP="00F27EBD">
      <w:pPr>
        <w:pStyle w:val="H23GA"/>
        <w:rPr>
          <w:rFonts w:hint="cs"/>
          <w:rtl/>
          <w:lang w:val="fr-CH"/>
        </w:rPr>
      </w:pPr>
      <w:r>
        <w:rPr>
          <w:rFonts w:hint="cs"/>
          <w:rtl/>
          <w:lang w:val="fr-CH"/>
        </w:rPr>
        <w:tab/>
      </w:r>
      <w:r>
        <w:rPr>
          <w:rFonts w:hint="cs"/>
          <w:rtl/>
          <w:lang w:val="fr-CH"/>
        </w:rPr>
        <w:tab/>
      </w:r>
      <w:r w:rsidR="005341AD">
        <w:rPr>
          <w:rFonts w:hint="cs"/>
          <w:rtl/>
          <w:lang w:val="fr-CH"/>
        </w:rPr>
        <w:t>ا</w:t>
      </w:r>
      <w:r>
        <w:rPr>
          <w:rFonts w:hint="cs"/>
          <w:rtl/>
          <w:lang w:val="fr-CH"/>
        </w:rPr>
        <w:t>لحق في الحصول على المعلومات</w:t>
      </w:r>
    </w:p>
    <w:p w:rsidR="00F27EBD" w:rsidRDefault="00F27EBD" w:rsidP="005341AD">
      <w:pPr>
        <w:pStyle w:val="SingleTxtGA"/>
        <w:rPr>
          <w:rFonts w:hint="cs"/>
          <w:rtl/>
          <w:lang w:val="fr-CH"/>
        </w:rPr>
      </w:pPr>
      <w:r>
        <w:rPr>
          <w:rFonts w:hint="cs"/>
          <w:rtl/>
          <w:lang w:val="fr-CH"/>
        </w:rPr>
        <w:t>18-</w:t>
      </w:r>
      <w:r>
        <w:rPr>
          <w:rFonts w:hint="cs"/>
          <w:rtl/>
          <w:lang w:val="fr-CH"/>
        </w:rPr>
        <w:tab/>
        <w:t>ت</w:t>
      </w:r>
      <w:r w:rsidR="00AF1182">
        <w:rPr>
          <w:rFonts w:hint="cs"/>
          <w:rtl/>
          <w:lang w:val="fr-CH"/>
        </w:rPr>
        <w:t>شمل</w:t>
      </w:r>
      <w:r>
        <w:rPr>
          <w:rFonts w:hint="cs"/>
          <w:rtl/>
          <w:lang w:val="fr-CH"/>
        </w:rPr>
        <w:t xml:space="preserve"> الفقرة 2 من المادة 19 حق </w:t>
      </w:r>
      <w:r w:rsidR="00AF1182">
        <w:rPr>
          <w:rFonts w:hint="cs"/>
          <w:rtl/>
          <w:lang w:val="fr-CH"/>
        </w:rPr>
        <w:t xml:space="preserve">الاطلاع </w:t>
      </w:r>
      <w:r>
        <w:rPr>
          <w:rFonts w:hint="cs"/>
          <w:rtl/>
          <w:lang w:val="fr-CH"/>
        </w:rPr>
        <w:t xml:space="preserve">على المعلومات التي </w:t>
      </w:r>
      <w:r w:rsidR="00AF1182">
        <w:rPr>
          <w:rFonts w:hint="cs"/>
          <w:rtl/>
          <w:lang w:val="fr-CH"/>
        </w:rPr>
        <w:t xml:space="preserve">تكون </w:t>
      </w:r>
      <w:r>
        <w:rPr>
          <w:rFonts w:hint="cs"/>
          <w:rtl/>
          <w:lang w:val="fr-CH"/>
        </w:rPr>
        <w:t xml:space="preserve">بحوزة الهيئات العامة. وتتضمن هذه المعلومات السجلات التي تحتفظ </w:t>
      </w:r>
      <w:proofErr w:type="spellStart"/>
      <w:r>
        <w:rPr>
          <w:rFonts w:hint="cs"/>
          <w:rtl/>
          <w:lang w:val="fr-CH"/>
        </w:rPr>
        <w:t>بها</w:t>
      </w:r>
      <w:proofErr w:type="spellEnd"/>
      <w:r>
        <w:rPr>
          <w:rFonts w:hint="cs"/>
          <w:rtl/>
          <w:lang w:val="fr-CH"/>
        </w:rPr>
        <w:t xml:space="preserve"> الهيئ</w:t>
      </w:r>
      <w:r w:rsidR="00AF1182">
        <w:rPr>
          <w:rFonts w:hint="cs"/>
          <w:rtl/>
          <w:lang w:val="fr-CH"/>
        </w:rPr>
        <w:t>ة</w:t>
      </w:r>
      <w:r>
        <w:rPr>
          <w:rFonts w:hint="cs"/>
          <w:rtl/>
          <w:lang w:val="fr-CH"/>
        </w:rPr>
        <w:t xml:space="preserve"> العامة بصرف النظر عن </w:t>
      </w:r>
      <w:r w:rsidR="00AF1182">
        <w:rPr>
          <w:rFonts w:hint="cs"/>
          <w:rtl/>
          <w:lang w:val="fr-CH"/>
        </w:rPr>
        <w:t xml:space="preserve">الشكل الذي تحفظ فيه </w:t>
      </w:r>
      <w:r>
        <w:rPr>
          <w:rFonts w:hint="cs"/>
          <w:rtl/>
          <w:lang w:val="fr-CH"/>
        </w:rPr>
        <w:t xml:space="preserve">ومصدرها وتاريخ إعدادها. والهيئات العامة هي </w:t>
      </w:r>
      <w:r w:rsidR="00AF1182">
        <w:rPr>
          <w:rFonts w:hint="cs"/>
          <w:rtl/>
          <w:lang w:val="fr-CH"/>
        </w:rPr>
        <w:t>الهيئات</w:t>
      </w:r>
      <w:r>
        <w:rPr>
          <w:rFonts w:hint="cs"/>
          <w:rtl/>
          <w:lang w:val="fr-CH"/>
        </w:rPr>
        <w:t xml:space="preserve"> المبينة في الفقرة 7 من هذا التعليق العام. ويمكن أن تشمل تسمية تلك الهيئات كيانات أخرى </w:t>
      </w:r>
      <w:r w:rsidR="00AF1182">
        <w:rPr>
          <w:rFonts w:hint="cs"/>
          <w:rtl/>
          <w:lang w:val="fr-CH"/>
        </w:rPr>
        <w:t xml:space="preserve">أيضاً </w:t>
      </w:r>
      <w:r>
        <w:rPr>
          <w:rFonts w:hint="cs"/>
          <w:rtl/>
          <w:lang w:val="fr-CH"/>
        </w:rPr>
        <w:t>إذا كانت تلك الكيانات تضطل</w:t>
      </w:r>
      <w:r w:rsidR="00547EE7">
        <w:rPr>
          <w:rFonts w:hint="cs"/>
          <w:rtl/>
          <w:lang w:val="fr-CH"/>
        </w:rPr>
        <w:t>ـ</w:t>
      </w:r>
      <w:r>
        <w:rPr>
          <w:rFonts w:hint="cs"/>
          <w:rtl/>
          <w:lang w:val="fr-CH"/>
        </w:rPr>
        <w:t xml:space="preserve">ع بوظائف عامة. وعلى نحو </w:t>
      </w:r>
      <w:r w:rsidR="00AF1182">
        <w:rPr>
          <w:rFonts w:hint="cs"/>
          <w:rtl/>
          <w:lang w:val="fr-CH"/>
        </w:rPr>
        <w:t xml:space="preserve">ما </w:t>
      </w:r>
      <w:r>
        <w:rPr>
          <w:rFonts w:hint="cs"/>
          <w:rtl/>
          <w:lang w:val="fr-CH"/>
        </w:rPr>
        <w:t>سبق</w:t>
      </w:r>
      <w:r w:rsidR="00AF1182">
        <w:rPr>
          <w:rFonts w:hint="cs"/>
          <w:rtl/>
          <w:lang w:val="fr-CH"/>
        </w:rPr>
        <w:t>ت</w:t>
      </w:r>
      <w:r>
        <w:rPr>
          <w:rFonts w:hint="cs"/>
          <w:rtl/>
          <w:lang w:val="fr-CH"/>
        </w:rPr>
        <w:t xml:space="preserve"> الإشارة إليه</w:t>
      </w:r>
      <w:r w:rsidR="00AF1182">
        <w:rPr>
          <w:rFonts w:hint="cs"/>
          <w:rtl/>
          <w:lang w:val="fr-CH"/>
        </w:rPr>
        <w:t>،</w:t>
      </w:r>
      <w:r>
        <w:rPr>
          <w:rFonts w:hint="cs"/>
          <w:rtl/>
          <w:lang w:val="fr-CH"/>
        </w:rPr>
        <w:t xml:space="preserve"> </w:t>
      </w:r>
      <w:r w:rsidR="00AF1182">
        <w:rPr>
          <w:rFonts w:hint="cs"/>
          <w:rtl/>
          <w:lang w:val="fr-CH"/>
        </w:rPr>
        <w:t>فإن ح</w:t>
      </w:r>
      <w:r w:rsidR="005341AD">
        <w:rPr>
          <w:rFonts w:hint="cs"/>
          <w:rtl/>
          <w:lang w:val="fr-CH"/>
        </w:rPr>
        <w:t>ق</w:t>
      </w:r>
      <w:r w:rsidR="00AF1182">
        <w:rPr>
          <w:rFonts w:hint="cs"/>
          <w:rtl/>
          <w:lang w:val="fr-CH"/>
        </w:rPr>
        <w:t xml:space="preserve"> الحصول على المعلومات إذا ما أخذ </w:t>
      </w:r>
      <w:r>
        <w:rPr>
          <w:rFonts w:hint="cs"/>
          <w:rtl/>
          <w:lang w:val="fr-CH"/>
        </w:rPr>
        <w:t xml:space="preserve">بالاقتران مع المادة 25 من العهد، يشمل حق حصول وسائط الإعلام على معلومات </w:t>
      </w:r>
      <w:r w:rsidR="009A655E">
        <w:rPr>
          <w:rFonts w:hint="cs"/>
          <w:rtl/>
          <w:lang w:val="fr-CH"/>
        </w:rPr>
        <w:t xml:space="preserve">عن </w:t>
      </w:r>
      <w:r>
        <w:rPr>
          <w:rFonts w:hint="cs"/>
          <w:rtl/>
          <w:lang w:val="fr-CH"/>
        </w:rPr>
        <w:t>الشؤون العامة</w:t>
      </w:r>
      <w:r w:rsidR="00547EE7" w:rsidRPr="00C94447">
        <w:rPr>
          <w:vertAlign w:val="superscript"/>
          <w:rtl/>
        </w:rPr>
        <w:t>(</w:t>
      </w:r>
      <w:r w:rsidR="00547EE7" w:rsidRPr="00C94447">
        <w:rPr>
          <w:rStyle w:val="FootnoteReference"/>
          <w:rtl/>
        </w:rPr>
        <w:footnoteReference w:id="33"/>
      </w:r>
      <w:r w:rsidR="00547EE7" w:rsidRPr="00C94447">
        <w:rPr>
          <w:vertAlign w:val="superscript"/>
          <w:rtl/>
        </w:rPr>
        <w:t>)</w:t>
      </w:r>
      <w:r>
        <w:rPr>
          <w:rFonts w:hint="cs"/>
          <w:rtl/>
          <w:lang w:val="fr-CH"/>
        </w:rPr>
        <w:t>، وحق الجمهور في تلقي ما تنتجه وسائط الإعلام</w:t>
      </w:r>
      <w:r w:rsidR="00547EE7" w:rsidRPr="00C94447">
        <w:rPr>
          <w:vertAlign w:val="superscript"/>
          <w:rtl/>
        </w:rPr>
        <w:t>(</w:t>
      </w:r>
      <w:r w:rsidR="00547EE7" w:rsidRPr="00C94447">
        <w:rPr>
          <w:rStyle w:val="FootnoteReference"/>
          <w:rtl/>
        </w:rPr>
        <w:footnoteReference w:id="34"/>
      </w:r>
      <w:r w:rsidR="00547EE7" w:rsidRPr="00C94447">
        <w:rPr>
          <w:vertAlign w:val="superscript"/>
          <w:rtl/>
        </w:rPr>
        <w:t>)</w:t>
      </w:r>
      <w:r>
        <w:rPr>
          <w:rFonts w:hint="cs"/>
          <w:rtl/>
          <w:lang w:val="fr-CH"/>
        </w:rPr>
        <w:t xml:space="preserve">. وتناول العهد أيضاً في أجزاء أخرى </w:t>
      </w:r>
      <w:r w:rsidR="009A655E">
        <w:rPr>
          <w:rFonts w:hint="cs"/>
          <w:rtl/>
          <w:lang w:val="fr-CH"/>
        </w:rPr>
        <w:t xml:space="preserve">منه </w:t>
      </w:r>
      <w:r>
        <w:rPr>
          <w:rFonts w:hint="cs"/>
          <w:rtl/>
          <w:lang w:val="fr-CH"/>
        </w:rPr>
        <w:t xml:space="preserve">عناصر الحق في الحصول على المعلومات. وعلى نحو </w:t>
      </w:r>
      <w:r w:rsidR="009A655E">
        <w:rPr>
          <w:rFonts w:hint="cs"/>
          <w:rtl/>
          <w:lang w:val="fr-CH"/>
        </w:rPr>
        <w:t xml:space="preserve">ما لاحظت </w:t>
      </w:r>
      <w:r>
        <w:rPr>
          <w:rFonts w:hint="cs"/>
          <w:rtl/>
          <w:lang w:val="fr-CH"/>
        </w:rPr>
        <w:t>اللجنة في تعليقها العام رقم 16 فيما يتعلق بالمادة 17 من العهد، فإنه ينبغي أن يكون من حق كل فرد أن يتحقق ب</w:t>
      </w:r>
      <w:r w:rsidR="009A655E">
        <w:rPr>
          <w:rFonts w:hint="cs"/>
          <w:rtl/>
          <w:lang w:val="fr-CH"/>
        </w:rPr>
        <w:t xml:space="preserve">طريقة مفهومة </w:t>
      </w:r>
      <w:r>
        <w:rPr>
          <w:rFonts w:hint="cs"/>
          <w:rtl/>
          <w:lang w:val="fr-CH"/>
        </w:rPr>
        <w:t>مما إذا كانت هناك بيانات شخصية مخز</w:t>
      </w:r>
      <w:r w:rsidR="005341AD">
        <w:rPr>
          <w:rFonts w:hint="cs"/>
          <w:rtl/>
          <w:lang w:val="fr-CH"/>
        </w:rPr>
        <w:t>ّ</w:t>
      </w:r>
      <w:r>
        <w:rPr>
          <w:rFonts w:hint="cs"/>
          <w:rtl/>
          <w:lang w:val="fr-CH"/>
        </w:rPr>
        <w:t xml:space="preserve">نة في أضابير البيانات </w:t>
      </w:r>
      <w:proofErr w:type="spellStart"/>
      <w:r>
        <w:rPr>
          <w:rFonts w:hint="cs"/>
          <w:rtl/>
          <w:lang w:val="fr-CH"/>
        </w:rPr>
        <w:t>الأوتوماتية</w:t>
      </w:r>
      <w:proofErr w:type="spellEnd"/>
      <w:r w:rsidR="009A655E">
        <w:rPr>
          <w:rFonts w:hint="cs"/>
          <w:rtl/>
          <w:lang w:val="fr-CH"/>
        </w:rPr>
        <w:t>،</w:t>
      </w:r>
      <w:r>
        <w:rPr>
          <w:rFonts w:hint="cs"/>
          <w:rtl/>
          <w:lang w:val="fr-CH"/>
        </w:rPr>
        <w:t xml:space="preserve"> وإذا كان الوضع كذلك، ماهي</w:t>
      </w:r>
      <w:r w:rsidR="009A655E">
        <w:rPr>
          <w:rFonts w:hint="cs"/>
          <w:rtl/>
          <w:lang w:val="fr-CH"/>
        </w:rPr>
        <w:t>ّ</w:t>
      </w:r>
      <w:r>
        <w:rPr>
          <w:rFonts w:hint="cs"/>
          <w:rtl/>
          <w:lang w:val="fr-CH"/>
        </w:rPr>
        <w:t xml:space="preserve">ة هذه البيانات والغرض من الاحتفاظ </w:t>
      </w:r>
      <w:proofErr w:type="spellStart"/>
      <w:r>
        <w:rPr>
          <w:rFonts w:hint="cs"/>
          <w:rtl/>
          <w:lang w:val="fr-CH"/>
        </w:rPr>
        <w:t>بها</w:t>
      </w:r>
      <w:proofErr w:type="spellEnd"/>
      <w:r>
        <w:rPr>
          <w:rFonts w:hint="cs"/>
          <w:rtl/>
          <w:lang w:val="fr-CH"/>
        </w:rPr>
        <w:t>. كما ينبغي أن يكون بمقدور كل فرد أن يتحقق من هوية السلطات العامة أو الأفراد العا</w:t>
      </w:r>
      <w:r w:rsidR="009A655E">
        <w:rPr>
          <w:rFonts w:hint="cs"/>
          <w:rtl/>
          <w:lang w:val="fr-CH"/>
        </w:rPr>
        <w:t xml:space="preserve">ملين بصفتهم الشخصية </w:t>
      </w:r>
      <w:r>
        <w:rPr>
          <w:rFonts w:hint="cs"/>
          <w:rtl/>
          <w:lang w:val="fr-CH"/>
        </w:rPr>
        <w:t>أو الهيئات الخاصة التي تتحكم أو قد تتحكم في هذه الأضابير. وإذا كانت الأضابير تتضمن بيانات شخصية غير صحيحة أو بيانات ج</w:t>
      </w:r>
      <w:r w:rsidR="009A655E">
        <w:rPr>
          <w:rFonts w:hint="cs"/>
          <w:rtl/>
          <w:lang w:val="fr-CH"/>
        </w:rPr>
        <w:t>ُ</w:t>
      </w:r>
      <w:r>
        <w:rPr>
          <w:rFonts w:hint="cs"/>
          <w:rtl/>
          <w:lang w:val="fr-CH"/>
        </w:rPr>
        <w:t>م</w:t>
      </w:r>
      <w:r w:rsidR="009A655E">
        <w:rPr>
          <w:rFonts w:hint="cs"/>
          <w:rtl/>
          <w:lang w:val="fr-CH"/>
        </w:rPr>
        <w:t>ِ</w:t>
      </w:r>
      <w:r>
        <w:rPr>
          <w:rFonts w:hint="cs"/>
          <w:rtl/>
          <w:lang w:val="fr-CH"/>
        </w:rPr>
        <w:t>عت أو ج</w:t>
      </w:r>
      <w:r w:rsidR="009A655E">
        <w:rPr>
          <w:rFonts w:hint="cs"/>
          <w:rtl/>
          <w:lang w:val="fr-CH"/>
        </w:rPr>
        <w:t>ُ</w:t>
      </w:r>
      <w:r>
        <w:rPr>
          <w:rFonts w:hint="cs"/>
          <w:rtl/>
          <w:lang w:val="fr-CH"/>
        </w:rPr>
        <w:t>ه</w:t>
      </w:r>
      <w:r w:rsidR="009A655E">
        <w:rPr>
          <w:rFonts w:hint="cs"/>
          <w:rtl/>
          <w:lang w:val="fr-CH"/>
        </w:rPr>
        <w:t>ِ</w:t>
      </w:r>
      <w:r>
        <w:rPr>
          <w:rFonts w:hint="cs"/>
          <w:rtl/>
          <w:lang w:val="fr-CH"/>
        </w:rPr>
        <w:t>زت بطريقة تتعارض مع أحكام القانون، ينبغي أن يكون من حق كل فرد أن يطلب تصحيحها. ووفقاً للمادة 10 من العهد لا يفقد السجين حقه في الاطلاع على سجلاته الطبية</w:t>
      </w:r>
      <w:r w:rsidR="00547EE7" w:rsidRPr="00C94447">
        <w:rPr>
          <w:vertAlign w:val="superscript"/>
          <w:rtl/>
        </w:rPr>
        <w:t>(</w:t>
      </w:r>
      <w:r w:rsidR="00547EE7" w:rsidRPr="00C94447">
        <w:rPr>
          <w:rStyle w:val="FootnoteReference"/>
          <w:rtl/>
        </w:rPr>
        <w:footnoteReference w:id="35"/>
      </w:r>
      <w:r w:rsidR="00547EE7" w:rsidRPr="00C94447">
        <w:rPr>
          <w:vertAlign w:val="superscript"/>
          <w:rtl/>
        </w:rPr>
        <w:t>)</w:t>
      </w:r>
      <w:r>
        <w:rPr>
          <w:rFonts w:hint="cs"/>
          <w:rtl/>
          <w:lang w:val="fr-CH"/>
        </w:rPr>
        <w:t xml:space="preserve">. وقد حددت اللجنة في التعليق العام رقم 32 المتعلق بالمادة 14 مجموعة متنوعة من </w:t>
      </w:r>
      <w:r w:rsidR="009A655E">
        <w:rPr>
          <w:rFonts w:hint="cs"/>
          <w:rtl/>
          <w:lang w:val="fr-CH"/>
        </w:rPr>
        <w:t xml:space="preserve">الاستحقاقات </w:t>
      </w:r>
      <w:r>
        <w:rPr>
          <w:rFonts w:hint="cs"/>
          <w:rtl/>
          <w:lang w:val="fr-CH"/>
        </w:rPr>
        <w:t xml:space="preserve">التي يتمتع </w:t>
      </w:r>
      <w:proofErr w:type="spellStart"/>
      <w:r w:rsidRPr="004C59DE">
        <w:rPr>
          <w:rFonts w:hint="cs"/>
          <w:rtl/>
          <w:lang w:val="fr-CH"/>
        </w:rPr>
        <w:t>بها</w:t>
      </w:r>
      <w:proofErr w:type="spellEnd"/>
      <w:r w:rsidRPr="004C59DE">
        <w:rPr>
          <w:rFonts w:hint="cs"/>
          <w:rtl/>
          <w:lang w:val="fr-CH"/>
        </w:rPr>
        <w:t xml:space="preserve"> المتهمون بجر</w:t>
      </w:r>
      <w:r>
        <w:rPr>
          <w:rFonts w:hint="cs"/>
          <w:rtl/>
          <w:lang w:val="fr-CH"/>
        </w:rPr>
        <w:t>ائم</w:t>
      </w:r>
      <w:r w:rsidRPr="004C59DE">
        <w:rPr>
          <w:rFonts w:hint="cs"/>
          <w:rtl/>
          <w:lang w:val="fr-CH"/>
        </w:rPr>
        <w:t xml:space="preserve"> جنائية والتي تتيح </w:t>
      </w:r>
      <w:r>
        <w:rPr>
          <w:rFonts w:hint="cs"/>
          <w:rtl/>
          <w:lang w:val="fr-CH"/>
        </w:rPr>
        <w:t xml:space="preserve">لهم </w:t>
      </w:r>
      <w:r w:rsidRPr="004C59DE">
        <w:rPr>
          <w:rFonts w:hint="cs"/>
          <w:rtl/>
          <w:lang w:val="fr-CH"/>
        </w:rPr>
        <w:t>الحصول على</w:t>
      </w:r>
      <w:r>
        <w:rPr>
          <w:rFonts w:hint="cs"/>
          <w:rtl/>
          <w:lang w:val="fr-CH"/>
        </w:rPr>
        <w:t xml:space="preserve"> المعلومات</w:t>
      </w:r>
      <w:r w:rsidR="00547EE7" w:rsidRPr="00C94447">
        <w:rPr>
          <w:vertAlign w:val="superscript"/>
          <w:rtl/>
        </w:rPr>
        <w:t>(</w:t>
      </w:r>
      <w:r w:rsidR="00547EE7" w:rsidRPr="00C94447">
        <w:rPr>
          <w:rStyle w:val="FootnoteReference"/>
          <w:rtl/>
        </w:rPr>
        <w:footnoteReference w:id="36"/>
      </w:r>
      <w:r w:rsidR="00547EE7" w:rsidRPr="00C94447">
        <w:rPr>
          <w:vertAlign w:val="superscript"/>
          <w:rtl/>
        </w:rPr>
        <w:t>)</w:t>
      </w:r>
      <w:r>
        <w:rPr>
          <w:rFonts w:hint="cs"/>
          <w:rtl/>
          <w:lang w:val="fr-CH"/>
        </w:rPr>
        <w:t>. وعملاً بأحكام المادة 2 ينبغي أن يتلقى الأشخاص معلومات تتعلق بحقوقهم المنصوص عليها في العهد بوجه عام</w:t>
      </w:r>
      <w:r w:rsidR="00547EE7" w:rsidRPr="00C94447">
        <w:rPr>
          <w:vertAlign w:val="superscript"/>
          <w:rtl/>
        </w:rPr>
        <w:t>(</w:t>
      </w:r>
      <w:r w:rsidR="00547EE7" w:rsidRPr="00C94447">
        <w:rPr>
          <w:rStyle w:val="FootnoteReference"/>
          <w:rtl/>
        </w:rPr>
        <w:footnoteReference w:id="37"/>
      </w:r>
      <w:r w:rsidR="00547EE7" w:rsidRPr="00C94447">
        <w:rPr>
          <w:vertAlign w:val="superscript"/>
          <w:rtl/>
        </w:rPr>
        <w:t>)</w:t>
      </w:r>
      <w:r>
        <w:rPr>
          <w:rFonts w:hint="cs"/>
          <w:rtl/>
          <w:lang w:val="fr-CH"/>
        </w:rPr>
        <w:t xml:space="preserve">. وبموجب المادة 27، ينبغي للدولة الطرف عند اتخاذ قرار من شأنه أن يؤثر تأثيراً </w:t>
      </w:r>
      <w:r w:rsidR="009A655E">
        <w:rPr>
          <w:rFonts w:hint="cs"/>
          <w:rtl/>
          <w:lang w:val="fr-CH"/>
        </w:rPr>
        <w:t>جوهري</w:t>
      </w:r>
      <w:r>
        <w:rPr>
          <w:rFonts w:hint="cs"/>
          <w:rtl/>
          <w:lang w:val="fr-CH"/>
        </w:rPr>
        <w:t xml:space="preserve">اً </w:t>
      </w:r>
      <w:r w:rsidR="009A655E">
        <w:rPr>
          <w:rFonts w:hint="cs"/>
          <w:rtl/>
          <w:lang w:val="fr-CH"/>
        </w:rPr>
        <w:t xml:space="preserve">في </w:t>
      </w:r>
      <w:r>
        <w:rPr>
          <w:rFonts w:hint="cs"/>
          <w:rtl/>
          <w:lang w:val="fr-CH"/>
        </w:rPr>
        <w:t xml:space="preserve">نمط حياة </w:t>
      </w:r>
      <w:r w:rsidR="009A655E">
        <w:rPr>
          <w:rFonts w:hint="cs"/>
          <w:rtl/>
          <w:lang w:val="fr-CH"/>
        </w:rPr>
        <w:t xml:space="preserve">إحدى </w:t>
      </w:r>
      <w:r>
        <w:rPr>
          <w:rFonts w:hint="cs"/>
          <w:rtl/>
          <w:lang w:val="fr-CH"/>
        </w:rPr>
        <w:t>فئ</w:t>
      </w:r>
      <w:r w:rsidR="009A655E">
        <w:rPr>
          <w:rFonts w:hint="cs"/>
          <w:rtl/>
          <w:lang w:val="fr-CH"/>
        </w:rPr>
        <w:t>ات</w:t>
      </w:r>
      <w:r>
        <w:rPr>
          <w:rFonts w:hint="cs"/>
          <w:rtl/>
          <w:lang w:val="fr-CH"/>
        </w:rPr>
        <w:t xml:space="preserve"> </w:t>
      </w:r>
      <w:r w:rsidR="009A655E">
        <w:rPr>
          <w:rFonts w:hint="cs"/>
          <w:rtl/>
          <w:lang w:val="fr-CH"/>
        </w:rPr>
        <w:t>الأ</w:t>
      </w:r>
      <w:r>
        <w:rPr>
          <w:rFonts w:hint="cs"/>
          <w:rtl/>
          <w:lang w:val="fr-CH"/>
        </w:rPr>
        <w:t>قلية أو ثقافتها</w:t>
      </w:r>
      <w:r w:rsidR="009A655E">
        <w:rPr>
          <w:rFonts w:hint="cs"/>
          <w:rtl/>
          <w:lang w:val="fr-CH"/>
        </w:rPr>
        <w:t>،</w:t>
      </w:r>
      <w:r>
        <w:rPr>
          <w:rFonts w:hint="cs"/>
          <w:rtl/>
          <w:lang w:val="fr-CH"/>
        </w:rPr>
        <w:t xml:space="preserve"> أن تتخذ هذا القرار في إطار عملية تبادل </w:t>
      </w:r>
      <w:r w:rsidR="009A655E">
        <w:rPr>
          <w:rFonts w:hint="cs"/>
          <w:rtl/>
          <w:lang w:val="fr-CH"/>
        </w:rPr>
        <w:t>ل</w:t>
      </w:r>
      <w:r>
        <w:rPr>
          <w:rFonts w:hint="cs"/>
          <w:rtl/>
          <w:lang w:val="fr-CH"/>
        </w:rPr>
        <w:t>لمعلومات وتشاور مع الجماعة المتأثرة</w:t>
      </w:r>
      <w:r w:rsidR="00547EE7" w:rsidRPr="00C94447">
        <w:rPr>
          <w:vertAlign w:val="superscript"/>
          <w:rtl/>
        </w:rPr>
        <w:t>(</w:t>
      </w:r>
      <w:r w:rsidR="00547EE7" w:rsidRPr="00C94447">
        <w:rPr>
          <w:rStyle w:val="FootnoteReference"/>
          <w:rtl/>
        </w:rPr>
        <w:footnoteReference w:id="38"/>
      </w:r>
      <w:r w:rsidR="00547EE7" w:rsidRPr="00C94447">
        <w:rPr>
          <w:vertAlign w:val="superscript"/>
          <w:rtl/>
        </w:rPr>
        <w:t>)</w:t>
      </w:r>
      <w:r>
        <w:rPr>
          <w:rFonts w:hint="cs"/>
          <w:rtl/>
          <w:lang w:val="fr-CH"/>
        </w:rPr>
        <w:t>.</w:t>
      </w:r>
    </w:p>
    <w:p w:rsidR="00F27EBD" w:rsidRDefault="00F27EBD" w:rsidP="009A655E">
      <w:pPr>
        <w:pStyle w:val="SingleTxtGA"/>
        <w:rPr>
          <w:rFonts w:hint="cs"/>
          <w:rtl/>
          <w:lang w:val="fr-CH"/>
        </w:rPr>
      </w:pPr>
      <w:r>
        <w:rPr>
          <w:rFonts w:hint="cs"/>
          <w:rtl/>
          <w:lang w:val="fr-CH"/>
        </w:rPr>
        <w:t>19-</w:t>
      </w:r>
      <w:r>
        <w:rPr>
          <w:rFonts w:hint="cs"/>
          <w:rtl/>
          <w:lang w:val="fr-CH"/>
        </w:rPr>
        <w:tab/>
        <w:t xml:space="preserve">ولإعمال الحق في الحصول على المعلومات، ينبغي للدول الأطراف أن تتيح للعموم بصورة </w:t>
      </w:r>
      <w:proofErr w:type="spellStart"/>
      <w:r>
        <w:rPr>
          <w:rFonts w:hint="cs"/>
          <w:rtl/>
          <w:lang w:val="fr-CH"/>
        </w:rPr>
        <w:t>استباقية</w:t>
      </w:r>
      <w:proofErr w:type="spellEnd"/>
      <w:r>
        <w:rPr>
          <w:rFonts w:hint="cs"/>
          <w:rtl/>
          <w:lang w:val="fr-CH"/>
        </w:rPr>
        <w:t xml:space="preserve"> معلومات حكومية ذات أهمية عامة. وينبغي للدول الأطراف أن تبذل كل الجهود لضمان الحصول على</w:t>
      </w:r>
      <w:r w:rsidR="009A655E">
        <w:rPr>
          <w:rFonts w:hint="cs"/>
          <w:rtl/>
          <w:lang w:val="fr-CH"/>
        </w:rPr>
        <w:t xml:space="preserve"> هذه </w:t>
      </w:r>
      <w:r>
        <w:rPr>
          <w:rFonts w:hint="cs"/>
          <w:rtl/>
          <w:lang w:val="fr-CH"/>
        </w:rPr>
        <w:t xml:space="preserve">المعلومات بطريقة سهلة وفورية وفعالة وعملية. كما ينبغي لها أن تصدر الإجراءات الضرورية التي تمكن الفرد من الحصول على المعلومات، بطرق منها سن تشريع </w:t>
      </w:r>
      <w:r w:rsidR="009A655E">
        <w:rPr>
          <w:rFonts w:hint="cs"/>
          <w:rtl/>
          <w:lang w:val="fr-CH"/>
        </w:rPr>
        <w:t xml:space="preserve">يكفل </w:t>
      </w:r>
      <w:r>
        <w:rPr>
          <w:rFonts w:hint="cs"/>
          <w:rtl/>
          <w:lang w:val="fr-CH"/>
        </w:rPr>
        <w:t>حرية الحصول على المعلومات</w:t>
      </w:r>
      <w:r w:rsidR="00547EE7" w:rsidRPr="00C94447">
        <w:rPr>
          <w:vertAlign w:val="superscript"/>
          <w:rtl/>
        </w:rPr>
        <w:t>(</w:t>
      </w:r>
      <w:r w:rsidR="00547EE7" w:rsidRPr="00C94447">
        <w:rPr>
          <w:rStyle w:val="FootnoteReference"/>
          <w:rtl/>
        </w:rPr>
        <w:footnoteReference w:id="39"/>
      </w:r>
      <w:r w:rsidR="00547EE7" w:rsidRPr="00C94447">
        <w:rPr>
          <w:vertAlign w:val="superscript"/>
          <w:rtl/>
        </w:rPr>
        <w:t>)</w:t>
      </w:r>
      <w:r>
        <w:rPr>
          <w:rFonts w:hint="cs"/>
          <w:rtl/>
          <w:lang w:val="fr-CH"/>
        </w:rPr>
        <w:t xml:space="preserve">. وينبغي أن تتيح الإجراءات تنفيذ طلبات </w:t>
      </w:r>
      <w:r w:rsidR="009A655E">
        <w:rPr>
          <w:rFonts w:hint="cs"/>
          <w:rtl/>
          <w:lang w:val="fr-CH"/>
        </w:rPr>
        <w:t xml:space="preserve">الحصول على </w:t>
      </w:r>
      <w:r>
        <w:rPr>
          <w:rFonts w:hint="cs"/>
          <w:rtl/>
          <w:lang w:val="fr-CH"/>
        </w:rPr>
        <w:t xml:space="preserve">المعلومات في الوقت المناسب </w:t>
      </w:r>
      <w:r w:rsidR="009A655E">
        <w:rPr>
          <w:rFonts w:hint="cs"/>
          <w:rtl/>
          <w:lang w:val="fr-CH"/>
        </w:rPr>
        <w:t>و</w:t>
      </w:r>
      <w:r>
        <w:rPr>
          <w:rFonts w:hint="cs"/>
          <w:rtl/>
          <w:lang w:val="fr-CH"/>
        </w:rPr>
        <w:t xml:space="preserve">وفقاً لقواعد واضحة متسقة مع العهد. وينبغي ألا تشكل الرسوم المفروضة على طلبات </w:t>
      </w:r>
      <w:r w:rsidR="009A655E">
        <w:rPr>
          <w:rFonts w:hint="cs"/>
          <w:rtl/>
          <w:lang w:val="fr-CH"/>
        </w:rPr>
        <w:t xml:space="preserve">الحصول على </w:t>
      </w:r>
      <w:r>
        <w:rPr>
          <w:rFonts w:hint="cs"/>
          <w:rtl/>
          <w:lang w:val="fr-CH"/>
        </w:rPr>
        <w:t xml:space="preserve">المعلومات عائقاً غير معقول للحصول على </w:t>
      </w:r>
      <w:r w:rsidR="009A655E">
        <w:rPr>
          <w:rFonts w:hint="cs"/>
          <w:rtl/>
          <w:lang w:val="fr-CH"/>
        </w:rPr>
        <w:t xml:space="preserve">هذه </w:t>
      </w:r>
      <w:r>
        <w:rPr>
          <w:rFonts w:hint="cs"/>
          <w:rtl/>
          <w:lang w:val="fr-CH"/>
        </w:rPr>
        <w:t xml:space="preserve">المعلومات. وينبغي للسلطات أن تقدم أسباب رفضها السماح بالحصول على المعلومات. وينبغي توفير الترتيبات اللازمة للطعن في حالات الرفض المتعلقة بإتاحة إمكانية الحصول على المعلومات فضلاً عن </w:t>
      </w:r>
      <w:r w:rsidR="009A655E">
        <w:rPr>
          <w:rFonts w:hint="cs"/>
          <w:rtl/>
          <w:lang w:val="fr-CH"/>
        </w:rPr>
        <w:t xml:space="preserve">حالات </w:t>
      </w:r>
      <w:r>
        <w:rPr>
          <w:rFonts w:hint="cs"/>
          <w:rtl/>
          <w:lang w:val="fr-CH"/>
        </w:rPr>
        <w:t xml:space="preserve">عدم الاستجابة للطلبات. </w:t>
      </w:r>
    </w:p>
    <w:p w:rsidR="00F27EBD" w:rsidRPr="00650EDC" w:rsidRDefault="00547EE7" w:rsidP="00547EE7">
      <w:pPr>
        <w:pStyle w:val="H23GA"/>
        <w:rPr>
          <w:rFonts w:hint="cs"/>
          <w:rtl/>
          <w:lang w:val="fr-CH"/>
        </w:rPr>
      </w:pPr>
      <w:r>
        <w:rPr>
          <w:rFonts w:hint="cs"/>
          <w:rtl/>
          <w:lang w:val="fr-CH"/>
        </w:rPr>
        <w:tab/>
      </w:r>
      <w:r>
        <w:rPr>
          <w:rFonts w:hint="cs"/>
          <w:rtl/>
          <w:lang w:val="fr-CH"/>
        </w:rPr>
        <w:tab/>
      </w:r>
      <w:r w:rsidR="00F27EBD">
        <w:rPr>
          <w:rFonts w:hint="cs"/>
          <w:rtl/>
          <w:lang w:val="fr-CH"/>
        </w:rPr>
        <w:t>حرية التعبير والحقوق السياسية</w:t>
      </w:r>
    </w:p>
    <w:p w:rsidR="00F27EBD" w:rsidRDefault="00F27EBD" w:rsidP="0051743B">
      <w:pPr>
        <w:pStyle w:val="SingleTxtGA"/>
        <w:rPr>
          <w:rFonts w:hint="cs"/>
          <w:rtl/>
          <w:lang w:val="fr-CH"/>
        </w:rPr>
      </w:pPr>
      <w:r>
        <w:rPr>
          <w:rFonts w:hint="cs"/>
          <w:rtl/>
          <w:lang w:val="fr-CH"/>
        </w:rPr>
        <w:t>20-</w:t>
      </w:r>
      <w:r>
        <w:rPr>
          <w:rFonts w:hint="cs"/>
          <w:rtl/>
          <w:lang w:val="fr-CH"/>
        </w:rPr>
        <w:tab/>
        <w:t xml:space="preserve">تناولت اللجنة باستفاضة في التعليق العام رقم 25 المتعلق بالمشاركة في إدارة الشؤون العامة وحق </w:t>
      </w:r>
      <w:r w:rsidR="0051743B">
        <w:rPr>
          <w:rFonts w:hint="cs"/>
          <w:rtl/>
          <w:lang w:val="fr-CH"/>
        </w:rPr>
        <w:t xml:space="preserve">الاقتراع، </w:t>
      </w:r>
      <w:r>
        <w:rPr>
          <w:rFonts w:hint="cs"/>
          <w:rtl/>
          <w:lang w:val="fr-CH"/>
        </w:rPr>
        <w:t xml:space="preserve">أهمية حرية التعبير في إدارة الشؤون العامة والممارسة الفعالة للحق في </w:t>
      </w:r>
      <w:r w:rsidR="0051743B">
        <w:rPr>
          <w:rFonts w:hint="cs"/>
          <w:rtl/>
          <w:lang w:val="fr-CH"/>
        </w:rPr>
        <w:t>الاقتراع</w:t>
      </w:r>
      <w:r>
        <w:rPr>
          <w:rFonts w:hint="cs"/>
          <w:rtl/>
          <w:lang w:val="fr-CH"/>
        </w:rPr>
        <w:t xml:space="preserve">. ومن الضروري أن يتمكن المواطنون والمرشحون والممثلون المنتخبون من تبادل المعلومات والآراء </w:t>
      </w:r>
      <w:r w:rsidR="0051743B">
        <w:rPr>
          <w:rFonts w:hint="cs"/>
          <w:rtl/>
          <w:lang w:val="fr-CH"/>
        </w:rPr>
        <w:t>ب</w:t>
      </w:r>
      <w:r>
        <w:rPr>
          <w:rFonts w:hint="cs"/>
          <w:rtl/>
          <w:lang w:val="fr-CH"/>
        </w:rPr>
        <w:t>حرية حول مسائل تتعلق بالشؤون العامة و</w:t>
      </w:r>
      <w:r w:rsidR="0051743B">
        <w:rPr>
          <w:rFonts w:hint="cs"/>
          <w:rtl/>
          <w:lang w:val="fr-CH"/>
        </w:rPr>
        <w:t xml:space="preserve">الشؤون </w:t>
      </w:r>
      <w:r>
        <w:rPr>
          <w:rFonts w:hint="cs"/>
          <w:rtl/>
          <w:lang w:val="fr-CH"/>
        </w:rPr>
        <w:t xml:space="preserve">السياسية. ويفترض </w:t>
      </w:r>
      <w:r w:rsidRPr="0051743B">
        <w:rPr>
          <w:rFonts w:hint="cs"/>
          <w:spacing w:val="-6"/>
          <w:rtl/>
          <w:lang w:val="fr-CH"/>
        </w:rPr>
        <w:t xml:space="preserve">ذلك وجود صحافة ووسائط إعلام أخرى تكون حرة </w:t>
      </w:r>
      <w:r w:rsidR="0051743B" w:rsidRPr="0051743B">
        <w:rPr>
          <w:rFonts w:hint="cs"/>
          <w:spacing w:val="-6"/>
          <w:rtl/>
          <w:lang w:val="fr-CH"/>
        </w:rPr>
        <w:t>و</w:t>
      </w:r>
      <w:r w:rsidRPr="0051743B">
        <w:rPr>
          <w:rFonts w:hint="cs"/>
          <w:spacing w:val="-6"/>
          <w:rtl/>
          <w:lang w:val="fr-CH"/>
        </w:rPr>
        <w:t>قادرة على التعليق على القضايا العامة وعلى</w:t>
      </w:r>
      <w:r>
        <w:rPr>
          <w:rFonts w:hint="cs"/>
          <w:rtl/>
          <w:lang w:val="fr-CH"/>
        </w:rPr>
        <w:t xml:space="preserve"> إطلاع الرأي العام دون رقابة أو تقييد</w:t>
      </w:r>
      <w:r w:rsidR="00547EE7" w:rsidRPr="00C94447">
        <w:rPr>
          <w:vertAlign w:val="superscript"/>
          <w:rtl/>
        </w:rPr>
        <w:t>(</w:t>
      </w:r>
      <w:r w:rsidR="00547EE7" w:rsidRPr="00C94447">
        <w:rPr>
          <w:rStyle w:val="FootnoteReference"/>
          <w:rtl/>
        </w:rPr>
        <w:footnoteReference w:id="40"/>
      </w:r>
      <w:r w:rsidR="00547EE7" w:rsidRPr="00C94447">
        <w:rPr>
          <w:vertAlign w:val="superscript"/>
          <w:rtl/>
        </w:rPr>
        <w:t>)</w:t>
      </w:r>
      <w:r>
        <w:rPr>
          <w:rFonts w:hint="cs"/>
          <w:rtl/>
          <w:lang w:val="fr-CH"/>
        </w:rPr>
        <w:t xml:space="preserve">. ويوجه اهتمام الدول الأطراف في هذا السياق إلى الإرشادات الواردة في التعليق العام رقم 25 فيما يتعلق بتعزيز حرية التعبير وحمايتها. </w:t>
      </w:r>
    </w:p>
    <w:p w:rsidR="00F27EBD" w:rsidRPr="00054821" w:rsidRDefault="00547EE7" w:rsidP="00547EE7">
      <w:pPr>
        <w:pStyle w:val="H23GA"/>
        <w:rPr>
          <w:rFonts w:hint="cs"/>
          <w:rtl/>
          <w:lang w:val="fr-CH"/>
        </w:rPr>
      </w:pPr>
      <w:r>
        <w:rPr>
          <w:rFonts w:hint="cs"/>
          <w:rtl/>
          <w:lang w:val="fr-CH"/>
        </w:rPr>
        <w:tab/>
      </w:r>
      <w:r>
        <w:rPr>
          <w:rFonts w:hint="cs"/>
          <w:rtl/>
          <w:lang w:val="fr-CH"/>
        </w:rPr>
        <w:tab/>
      </w:r>
      <w:r w:rsidR="00F27EBD">
        <w:rPr>
          <w:rFonts w:hint="cs"/>
          <w:rtl/>
          <w:lang w:val="fr-CH"/>
        </w:rPr>
        <w:t>تطبيق المادة 19(3)</w:t>
      </w:r>
    </w:p>
    <w:p w:rsidR="00F27EBD" w:rsidRDefault="00F27EBD" w:rsidP="0051743B">
      <w:pPr>
        <w:pStyle w:val="SingleTxtGA"/>
        <w:rPr>
          <w:rFonts w:hint="cs"/>
          <w:rtl/>
          <w:lang w:val="fr-CH"/>
        </w:rPr>
      </w:pPr>
      <w:r>
        <w:rPr>
          <w:rFonts w:hint="cs"/>
          <w:rtl/>
          <w:lang w:val="fr-CH"/>
        </w:rPr>
        <w:t>21-</w:t>
      </w:r>
      <w:r>
        <w:rPr>
          <w:rFonts w:hint="cs"/>
          <w:rtl/>
          <w:lang w:val="fr-CH"/>
        </w:rPr>
        <w:tab/>
      </w:r>
      <w:proofErr w:type="spellStart"/>
      <w:r>
        <w:rPr>
          <w:rFonts w:hint="cs"/>
          <w:rtl/>
          <w:lang w:val="fr-CH"/>
        </w:rPr>
        <w:t>تنص</w:t>
      </w:r>
      <w:proofErr w:type="spellEnd"/>
      <w:r>
        <w:rPr>
          <w:rFonts w:hint="cs"/>
          <w:rtl/>
          <w:lang w:val="fr-CH"/>
        </w:rPr>
        <w:t xml:space="preserve"> الفقرة 3 صراحةً على أن ممارسة الحق في حرية التعبير تستتبع واجبات ومسؤوليات خاصة. ولهذا </w:t>
      </w:r>
      <w:r w:rsidR="0051743B">
        <w:rPr>
          <w:rFonts w:hint="cs"/>
          <w:rtl/>
          <w:lang w:val="fr-CH"/>
        </w:rPr>
        <w:t xml:space="preserve">السبب، </w:t>
      </w:r>
      <w:r>
        <w:rPr>
          <w:rFonts w:hint="cs"/>
          <w:rtl/>
          <w:lang w:val="fr-CH"/>
        </w:rPr>
        <w:t xml:space="preserve">يسمح بمجالين </w:t>
      </w:r>
      <w:proofErr w:type="spellStart"/>
      <w:r>
        <w:rPr>
          <w:rFonts w:hint="cs"/>
          <w:rtl/>
          <w:lang w:val="fr-CH"/>
        </w:rPr>
        <w:t>حصر</w:t>
      </w:r>
      <w:r w:rsidR="0051743B">
        <w:rPr>
          <w:rFonts w:hint="cs"/>
          <w:rtl/>
          <w:lang w:val="fr-CH"/>
        </w:rPr>
        <w:t>ي</w:t>
      </w:r>
      <w:r>
        <w:rPr>
          <w:rFonts w:hint="cs"/>
          <w:rtl/>
          <w:lang w:val="fr-CH"/>
        </w:rPr>
        <w:t>ين</w:t>
      </w:r>
      <w:proofErr w:type="spellEnd"/>
      <w:r>
        <w:rPr>
          <w:rFonts w:hint="cs"/>
          <w:rtl/>
          <w:lang w:val="fr-CH"/>
        </w:rPr>
        <w:t xml:space="preserve"> من القيود المفروضة على الحق يتعلقان</w:t>
      </w:r>
      <w:r w:rsidR="0051743B">
        <w:rPr>
          <w:rFonts w:hint="cs"/>
          <w:rtl/>
          <w:lang w:val="fr-CH"/>
        </w:rPr>
        <w:t>،</w:t>
      </w:r>
      <w:r>
        <w:rPr>
          <w:rFonts w:hint="cs"/>
          <w:rtl/>
          <w:lang w:val="fr-CH"/>
        </w:rPr>
        <w:t xml:space="preserve"> إما باحترام حقوق الآخرين أو سمعتهم</w:t>
      </w:r>
      <w:r w:rsidR="0051743B">
        <w:rPr>
          <w:rFonts w:hint="cs"/>
          <w:rtl/>
          <w:lang w:val="fr-CH"/>
        </w:rPr>
        <w:t>،</w:t>
      </w:r>
      <w:r>
        <w:rPr>
          <w:rFonts w:hint="cs"/>
          <w:rtl/>
          <w:lang w:val="fr-CH"/>
        </w:rPr>
        <w:t xml:space="preserve"> أو حماية الأمن القومي أو النظام العام أو </w:t>
      </w:r>
      <w:r w:rsidRPr="005341AD">
        <w:rPr>
          <w:rFonts w:hint="cs"/>
          <w:spacing w:val="-6"/>
          <w:rtl/>
          <w:lang w:val="fr-CH"/>
        </w:rPr>
        <w:t xml:space="preserve">الصحة العامة أو الآداب العامة. بيد أنه عندما تفرض دولة طرف قيوداً على ممارسة حرية التعبير، لا يجوز أن تعرّض هذه القيود الحق نفسه للخطر. وتشير اللجنة إلى أنه يجب ألا </w:t>
      </w:r>
      <w:r w:rsidR="0051743B" w:rsidRPr="005341AD">
        <w:rPr>
          <w:rFonts w:hint="cs"/>
          <w:spacing w:val="-6"/>
          <w:rtl/>
          <w:lang w:val="fr-CH"/>
        </w:rPr>
        <w:t>تنقلب</w:t>
      </w:r>
      <w:r w:rsidR="0051743B">
        <w:rPr>
          <w:rFonts w:hint="cs"/>
          <w:rtl/>
          <w:lang w:val="fr-CH"/>
        </w:rPr>
        <w:t xml:space="preserve"> العلاقة بين </w:t>
      </w:r>
      <w:r>
        <w:rPr>
          <w:rFonts w:hint="cs"/>
          <w:rtl/>
          <w:lang w:val="fr-CH"/>
        </w:rPr>
        <w:t>الحق والقيد وبين القاعدة والاستثناء</w:t>
      </w:r>
      <w:r w:rsidR="00547EE7" w:rsidRPr="00C94447">
        <w:rPr>
          <w:vertAlign w:val="superscript"/>
          <w:rtl/>
        </w:rPr>
        <w:t>(</w:t>
      </w:r>
      <w:r w:rsidR="00547EE7" w:rsidRPr="00C94447">
        <w:rPr>
          <w:rStyle w:val="FootnoteReference"/>
          <w:rtl/>
        </w:rPr>
        <w:footnoteReference w:id="41"/>
      </w:r>
      <w:r w:rsidR="00547EE7" w:rsidRPr="00C94447">
        <w:rPr>
          <w:vertAlign w:val="superscript"/>
          <w:rtl/>
        </w:rPr>
        <w:t>)</w:t>
      </w:r>
      <w:r>
        <w:rPr>
          <w:rFonts w:hint="cs"/>
          <w:rtl/>
          <w:lang w:val="fr-CH"/>
        </w:rPr>
        <w:t xml:space="preserve">. وتشير اللجنة أيضاً إلى أحكام الفقرة 1 من المادة 5 من العهد التي </w:t>
      </w:r>
      <w:proofErr w:type="spellStart"/>
      <w:r>
        <w:rPr>
          <w:rFonts w:hint="cs"/>
          <w:rtl/>
          <w:lang w:val="fr-CH"/>
        </w:rPr>
        <w:t>تنص</w:t>
      </w:r>
      <w:proofErr w:type="spellEnd"/>
      <w:r>
        <w:rPr>
          <w:rFonts w:hint="cs"/>
          <w:rtl/>
          <w:lang w:val="fr-CH"/>
        </w:rPr>
        <w:t xml:space="preserve"> على أنه "ليس في هذا العهد أي حكم يجوز تأويله على أنه يفيد انطواء</w:t>
      </w:r>
      <w:r w:rsidR="0051743B">
        <w:rPr>
          <w:rFonts w:hint="cs"/>
          <w:rtl/>
          <w:lang w:val="fr-CH"/>
        </w:rPr>
        <w:t>ه</w:t>
      </w:r>
      <w:r>
        <w:rPr>
          <w:rFonts w:hint="cs"/>
          <w:rtl/>
          <w:lang w:val="fr-CH"/>
        </w:rPr>
        <w:t xml:space="preserve"> على حق لأي دولة أو جماعة أو شخص </w:t>
      </w:r>
      <w:r w:rsidR="0051743B">
        <w:rPr>
          <w:rFonts w:hint="cs"/>
          <w:rtl/>
          <w:lang w:val="fr-CH"/>
        </w:rPr>
        <w:t>ب</w:t>
      </w:r>
      <w:r>
        <w:rPr>
          <w:rFonts w:hint="cs"/>
          <w:rtl/>
          <w:lang w:val="fr-CH"/>
        </w:rPr>
        <w:t xml:space="preserve">مباشرة أي نشاط أو القيام بأي عمل يهدف إلى إهدار أي من الحقوق أو الحريات المعترف </w:t>
      </w:r>
      <w:proofErr w:type="spellStart"/>
      <w:r>
        <w:rPr>
          <w:rFonts w:hint="cs"/>
          <w:rtl/>
          <w:lang w:val="fr-CH"/>
        </w:rPr>
        <w:t>بها</w:t>
      </w:r>
      <w:proofErr w:type="spellEnd"/>
      <w:r>
        <w:rPr>
          <w:rFonts w:hint="cs"/>
          <w:rtl/>
          <w:lang w:val="fr-CH"/>
        </w:rPr>
        <w:t xml:space="preserve"> في هذا العهد أو إلى فرض قيود عليها أوسع من تلك المنصوص عليها فيه". </w:t>
      </w:r>
    </w:p>
    <w:p w:rsidR="00F27EBD" w:rsidRDefault="00F27EBD" w:rsidP="0051743B">
      <w:pPr>
        <w:pStyle w:val="SingleTxtGA"/>
        <w:rPr>
          <w:rFonts w:hint="cs"/>
          <w:rtl/>
          <w:lang w:val="fr-CH"/>
        </w:rPr>
      </w:pPr>
      <w:r>
        <w:rPr>
          <w:rFonts w:hint="cs"/>
          <w:rtl/>
          <w:lang w:val="fr-CH"/>
        </w:rPr>
        <w:t>22-</w:t>
      </w:r>
      <w:r>
        <w:rPr>
          <w:rFonts w:hint="cs"/>
          <w:rtl/>
          <w:lang w:val="fr-CH"/>
        </w:rPr>
        <w:tab/>
      </w:r>
      <w:proofErr w:type="spellStart"/>
      <w:r>
        <w:rPr>
          <w:rFonts w:hint="cs"/>
          <w:rtl/>
          <w:lang w:val="fr-CH"/>
        </w:rPr>
        <w:t>وتنص</w:t>
      </w:r>
      <w:proofErr w:type="spellEnd"/>
      <w:r>
        <w:rPr>
          <w:rFonts w:hint="cs"/>
          <w:rtl/>
          <w:lang w:val="fr-CH"/>
        </w:rPr>
        <w:t xml:space="preserve"> الفقرة 3 على شروط محددة</w:t>
      </w:r>
      <w:r w:rsidR="0051743B">
        <w:rPr>
          <w:rFonts w:hint="cs"/>
          <w:rtl/>
          <w:lang w:val="fr-CH"/>
        </w:rPr>
        <w:t>،</w:t>
      </w:r>
      <w:r>
        <w:rPr>
          <w:rFonts w:hint="cs"/>
          <w:rtl/>
          <w:lang w:val="fr-CH"/>
        </w:rPr>
        <w:t xml:space="preserve"> ولا تجيز فرض قيود إلا إذا كانت تخضع لهذه الشروط</w:t>
      </w:r>
      <w:r w:rsidR="0051743B">
        <w:rPr>
          <w:rFonts w:hint="cs"/>
          <w:rtl/>
          <w:lang w:val="fr-CH"/>
        </w:rPr>
        <w:t>:</w:t>
      </w:r>
      <w:r>
        <w:rPr>
          <w:rFonts w:hint="cs"/>
          <w:rtl/>
          <w:lang w:val="fr-CH"/>
        </w:rPr>
        <w:t xml:space="preserve"> </w:t>
      </w:r>
      <w:r w:rsidR="0051743B">
        <w:rPr>
          <w:rFonts w:hint="cs"/>
          <w:rtl/>
          <w:lang w:val="fr-CH"/>
        </w:rPr>
        <w:t xml:space="preserve">فيجب </w:t>
      </w:r>
      <w:r>
        <w:rPr>
          <w:rFonts w:hint="cs"/>
          <w:rtl/>
          <w:lang w:val="fr-CH"/>
        </w:rPr>
        <w:t xml:space="preserve">أن تكون </w:t>
      </w:r>
      <w:r w:rsidR="0051743B">
        <w:rPr>
          <w:rFonts w:hint="cs"/>
          <w:rtl/>
          <w:lang w:val="fr-CH"/>
        </w:rPr>
        <w:t>"</w:t>
      </w:r>
      <w:r>
        <w:rPr>
          <w:rFonts w:hint="cs"/>
          <w:rtl/>
          <w:lang w:val="fr-CH"/>
        </w:rPr>
        <w:t>محددة بنص القانون</w:t>
      </w:r>
      <w:r w:rsidR="0051743B">
        <w:rPr>
          <w:rFonts w:hint="cs"/>
          <w:rtl/>
          <w:lang w:val="fr-CH"/>
        </w:rPr>
        <w:t>"</w:t>
      </w:r>
      <w:r>
        <w:rPr>
          <w:rFonts w:hint="cs"/>
          <w:rtl/>
          <w:lang w:val="fr-CH"/>
        </w:rPr>
        <w:t xml:space="preserve"> وألا ت</w:t>
      </w:r>
      <w:r w:rsidR="0051743B">
        <w:rPr>
          <w:rFonts w:hint="cs"/>
          <w:rtl/>
          <w:lang w:val="fr-CH"/>
        </w:rPr>
        <w:t>ُ</w:t>
      </w:r>
      <w:r>
        <w:rPr>
          <w:rFonts w:hint="cs"/>
          <w:rtl/>
          <w:lang w:val="fr-CH"/>
        </w:rPr>
        <w:t>فر</w:t>
      </w:r>
      <w:r w:rsidR="0051743B">
        <w:rPr>
          <w:rFonts w:hint="cs"/>
          <w:rtl/>
          <w:lang w:val="fr-CH"/>
        </w:rPr>
        <w:t>َ</w:t>
      </w:r>
      <w:r>
        <w:rPr>
          <w:rFonts w:hint="cs"/>
          <w:rtl/>
          <w:lang w:val="fr-CH"/>
        </w:rPr>
        <w:t>ض إلا لأحد الأسباب الواردة في الفقرتين (أ) و(ب) من الفقرة 3</w:t>
      </w:r>
      <w:r w:rsidR="0051743B">
        <w:rPr>
          <w:rFonts w:hint="cs"/>
          <w:rtl/>
          <w:lang w:val="fr-CH"/>
        </w:rPr>
        <w:t>؛</w:t>
      </w:r>
      <w:r>
        <w:rPr>
          <w:rFonts w:hint="cs"/>
          <w:rtl/>
          <w:lang w:val="fr-CH"/>
        </w:rPr>
        <w:t xml:space="preserve"> وأن تكون متلائمة مع اختبارات صارمة تتعلق بالضرورة والتناسب</w:t>
      </w:r>
      <w:r w:rsidR="00547EE7" w:rsidRPr="00C94447">
        <w:rPr>
          <w:vertAlign w:val="superscript"/>
          <w:rtl/>
        </w:rPr>
        <w:t>(</w:t>
      </w:r>
      <w:r w:rsidR="00547EE7" w:rsidRPr="00C94447">
        <w:rPr>
          <w:rStyle w:val="FootnoteReference"/>
          <w:rtl/>
        </w:rPr>
        <w:footnoteReference w:id="42"/>
      </w:r>
      <w:r w:rsidR="00547EE7" w:rsidRPr="00C94447">
        <w:rPr>
          <w:vertAlign w:val="superscript"/>
          <w:rtl/>
        </w:rPr>
        <w:t>)</w:t>
      </w:r>
      <w:r>
        <w:rPr>
          <w:rFonts w:hint="cs"/>
          <w:rtl/>
          <w:lang w:val="fr-CH"/>
        </w:rPr>
        <w:t xml:space="preserve">. ولا يجوز فرض قيود على أسس غير </w:t>
      </w:r>
      <w:r w:rsidR="0051743B">
        <w:rPr>
          <w:rFonts w:hint="cs"/>
          <w:rtl/>
          <w:lang w:val="fr-CH"/>
        </w:rPr>
        <w:t xml:space="preserve">الأسس </w:t>
      </w:r>
      <w:r>
        <w:rPr>
          <w:rFonts w:hint="cs"/>
          <w:rtl/>
          <w:lang w:val="fr-CH"/>
        </w:rPr>
        <w:t>المحددة في الفقرة 3</w:t>
      </w:r>
      <w:r w:rsidR="005341AD">
        <w:rPr>
          <w:rFonts w:hint="cs"/>
          <w:rtl/>
          <w:lang w:val="fr-CH"/>
        </w:rPr>
        <w:t>،</w:t>
      </w:r>
      <w:r>
        <w:rPr>
          <w:rFonts w:hint="cs"/>
          <w:rtl/>
          <w:lang w:val="fr-CH"/>
        </w:rPr>
        <w:t xml:space="preserve"> حتى وإن كانت هذه الأسس تبرر فرض القيود على حقوق أخرى تخضع لحماية العهد. ولا يجوز تطبيق القيود إلا للأغراض التي وضعت من أجلها كما يجب أن تتعلق مباشرة بالغرض المحدد الذي ت</w:t>
      </w:r>
      <w:r w:rsidR="0051743B">
        <w:rPr>
          <w:rFonts w:hint="cs"/>
          <w:rtl/>
          <w:lang w:val="fr-CH"/>
        </w:rPr>
        <w:t>أسست عليه</w:t>
      </w:r>
      <w:r w:rsidR="00547EE7" w:rsidRPr="00C94447">
        <w:rPr>
          <w:vertAlign w:val="superscript"/>
          <w:rtl/>
        </w:rPr>
        <w:t>(</w:t>
      </w:r>
      <w:r w:rsidR="00547EE7" w:rsidRPr="00C94447">
        <w:rPr>
          <w:rStyle w:val="FootnoteReference"/>
          <w:rtl/>
        </w:rPr>
        <w:footnoteReference w:id="43"/>
      </w:r>
      <w:r w:rsidR="00547EE7" w:rsidRPr="00C94447">
        <w:rPr>
          <w:vertAlign w:val="superscript"/>
          <w:rtl/>
        </w:rPr>
        <w:t>)</w:t>
      </w:r>
      <w:r>
        <w:rPr>
          <w:rFonts w:hint="cs"/>
          <w:rtl/>
          <w:lang w:val="fr-CH"/>
        </w:rPr>
        <w:t xml:space="preserve">. </w:t>
      </w:r>
    </w:p>
    <w:p w:rsidR="00F27EBD" w:rsidRDefault="00F27EBD" w:rsidP="009E76E1">
      <w:pPr>
        <w:pStyle w:val="SingleTxtGA"/>
        <w:rPr>
          <w:rFonts w:hint="cs"/>
          <w:rtl/>
          <w:lang w:val="fr-CH"/>
        </w:rPr>
      </w:pPr>
      <w:r>
        <w:rPr>
          <w:rFonts w:hint="cs"/>
          <w:rtl/>
          <w:lang w:val="fr-CH"/>
        </w:rPr>
        <w:t>23-</w:t>
      </w:r>
      <w:r>
        <w:rPr>
          <w:rFonts w:hint="cs"/>
          <w:rtl/>
          <w:lang w:val="fr-CH"/>
        </w:rPr>
        <w:tab/>
        <w:t>وينبغي للدول الأطراف أن ت</w:t>
      </w:r>
      <w:r w:rsidR="0051743B">
        <w:rPr>
          <w:rFonts w:hint="cs"/>
          <w:rtl/>
          <w:lang w:val="fr-CH"/>
        </w:rPr>
        <w:t>نفذ</w:t>
      </w:r>
      <w:r>
        <w:rPr>
          <w:rFonts w:hint="cs"/>
          <w:rtl/>
          <w:lang w:val="fr-CH"/>
        </w:rPr>
        <w:t xml:space="preserve"> تدابير فعالة للحماية من الاعتداءات التي تستهدف إسكات أصوات الأشخاص الذين يمارسون حقهم في حرية التعبير. ولا </w:t>
      </w:r>
      <w:r w:rsidR="0051743B">
        <w:rPr>
          <w:rFonts w:hint="cs"/>
          <w:rtl/>
          <w:lang w:val="fr-CH"/>
        </w:rPr>
        <w:t xml:space="preserve">يجوز </w:t>
      </w:r>
      <w:r>
        <w:rPr>
          <w:rFonts w:hint="cs"/>
          <w:rtl/>
          <w:lang w:val="fr-CH"/>
        </w:rPr>
        <w:t>أبداً الاستشهاد بالفقرة 3 لتبرير كبح أية دعوة إلى إقامة نظام ديمقراطي متعدد الأحزاب وتحقيق مبادئ الديمقراطية وحقوق الإنسان</w:t>
      </w:r>
      <w:r w:rsidR="00547EE7" w:rsidRPr="00C94447">
        <w:rPr>
          <w:vertAlign w:val="superscript"/>
          <w:rtl/>
        </w:rPr>
        <w:t>(</w:t>
      </w:r>
      <w:r w:rsidR="00547EE7" w:rsidRPr="00C94447">
        <w:rPr>
          <w:rStyle w:val="FootnoteReference"/>
          <w:rtl/>
        </w:rPr>
        <w:footnoteReference w:id="44"/>
      </w:r>
      <w:r w:rsidR="00547EE7" w:rsidRPr="00C94447">
        <w:rPr>
          <w:vertAlign w:val="superscript"/>
          <w:rtl/>
        </w:rPr>
        <w:t>)</w:t>
      </w:r>
      <w:r>
        <w:rPr>
          <w:rFonts w:hint="cs"/>
          <w:rtl/>
          <w:lang w:val="fr-CH"/>
        </w:rPr>
        <w:t xml:space="preserve">. ولا يمكن </w:t>
      </w:r>
      <w:r w:rsidR="009E76E1">
        <w:rPr>
          <w:rFonts w:hint="cs"/>
          <w:rtl/>
          <w:lang w:val="fr-CH"/>
        </w:rPr>
        <w:t xml:space="preserve">تحت </w:t>
      </w:r>
      <w:r>
        <w:rPr>
          <w:rFonts w:hint="cs"/>
          <w:rtl/>
          <w:lang w:val="fr-CH"/>
        </w:rPr>
        <w:t xml:space="preserve">أي ظرف من الظروف أن </w:t>
      </w:r>
      <w:r w:rsidR="009E76E1">
        <w:rPr>
          <w:rFonts w:hint="cs"/>
          <w:rtl/>
          <w:lang w:val="fr-CH"/>
        </w:rPr>
        <w:t>ي</w:t>
      </w:r>
      <w:r>
        <w:rPr>
          <w:rFonts w:hint="cs"/>
          <w:rtl/>
          <w:lang w:val="fr-CH"/>
        </w:rPr>
        <w:t xml:space="preserve">كون الاعتداء على شخص بسبب ممارسته لحرية الرأي أو </w:t>
      </w:r>
      <w:r w:rsidR="009E76E1">
        <w:rPr>
          <w:rFonts w:hint="cs"/>
          <w:rtl/>
          <w:lang w:val="fr-CH"/>
        </w:rPr>
        <w:t xml:space="preserve">حرية </w:t>
      </w:r>
      <w:r>
        <w:rPr>
          <w:rFonts w:hint="cs"/>
          <w:rtl/>
          <w:lang w:val="fr-CH"/>
        </w:rPr>
        <w:t>التعبير متفق</w:t>
      </w:r>
      <w:r w:rsidR="009E76E1">
        <w:rPr>
          <w:rFonts w:hint="cs"/>
          <w:rtl/>
          <w:lang w:val="fr-CH"/>
        </w:rPr>
        <w:t>اً</w:t>
      </w:r>
      <w:r>
        <w:rPr>
          <w:rFonts w:hint="cs"/>
          <w:rtl/>
          <w:lang w:val="fr-CH"/>
        </w:rPr>
        <w:t xml:space="preserve"> مع المادة 19، </w:t>
      </w:r>
      <w:r w:rsidR="009E76E1">
        <w:rPr>
          <w:rFonts w:hint="cs"/>
          <w:rtl/>
          <w:lang w:val="fr-CH"/>
        </w:rPr>
        <w:t xml:space="preserve">بما في </w:t>
      </w:r>
      <w:r>
        <w:rPr>
          <w:rFonts w:hint="cs"/>
          <w:rtl/>
          <w:lang w:val="fr-CH"/>
        </w:rPr>
        <w:t xml:space="preserve">ذلك أشكال الاعتداء </w:t>
      </w:r>
      <w:r w:rsidR="009E76E1">
        <w:rPr>
          <w:rFonts w:hint="cs"/>
          <w:rtl/>
          <w:lang w:val="fr-CH"/>
        </w:rPr>
        <w:t xml:space="preserve">المتمثلة في </w:t>
      </w:r>
      <w:r>
        <w:rPr>
          <w:rFonts w:hint="cs"/>
          <w:rtl/>
          <w:lang w:val="fr-CH"/>
        </w:rPr>
        <w:t>الاحتجاز التعسفي والتعذيب وتهدي</w:t>
      </w:r>
      <w:r w:rsidR="009E76E1">
        <w:rPr>
          <w:rFonts w:hint="cs"/>
          <w:rtl/>
          <w:lang w:val="fr-CH"/>
        </w:rPr>
        <w:t>ـ</w:t>
      </w:r>
      <w:r>
        <w:rPr>
          <w:rFonts w:hint="cs"/>
          <w:rtl/>
          <w:lang w:val="fr-CH"/>
        </w:rPr>
        <w:t xml:space="preserve">د </w:t>
      </w:r>
      <w:r w:rsidR="009E76E1">
        <w:rPr>
          <w:rFonts w:hint="cs"/>
          <w:rtl/>
          <w:lang w:val="fr-CH"/>
        </w:rPr>
        <w:t xml:space="preserve">النفس </w:t>
      </w:r>
      <w:r>
        <w:rPr>
          <w:rFonts w:hint="cs"/>
          <w:rtl/>
          <w:lang w:val="fr-CH"/>
        </w:rPr>
        <w:t>والقتل</w:t>
      </w:r>
      <w:r w:rsidR="00547EE7" w:rsidRPr="00C94447">
        <w:rPr>
          <w:vertAlign w:val="superscript"/>
          <w:rtl/>
        </w:rPr>
        <w:t>(</w:t>
      </w:r>
      <w:r w:rsidR="00547EE7" w:rsidRPr="00C94447">
        <w:rPr>
          <w:rStyle w:val="FootnoteReference"/>
          <w:rtl/>
        </w:rPr>
        <w:footnoteReference w:id="45"/>
      </w:r>
      <w:r w:rsidR="00547EE7" w:rsidRPr="00C94447">
        <w:rPr>
          <w:vertAlign w:val="superscript"/>
          <w:rtl/>
        </w:rPr>
        <w:t>)</w:t>
      </w:r>
      <w:r>
        <w:rPr>
          <w:rFonts w:hint="cs"/>
          <w:rtl/>
          <w:lang w:val="fr-CH"/>
        </w:rPr>
        <w:t>. وكثيراً ما يخضع الصحفيون لهذه التهديدات وللتخويف والاعتداء بسبب ممارستهم لأنشطتهم</w:t>
      </w:r>
      <w:r w:rsidR="00547EE7" w:rsidRPr="00C94447">
        <w:rPr>
          <w:vertAlign w:val="superscript"/>
          <w:rtl/>
        </w:rPr>
        <w:t>(</w:t>
      </w:r>
      <w:r w:rsidR="00547EE7" w:rsidRPr="00C94447">
        <w:rPr>
          <w:rStyle w:val="FootnoteReference"/>
          <w:rtl/>
        </w:rPr>
        <w:footnoteReference w:id="46"/>
      </w:r>
      <w:r w:rsidR="00547EE7" w:rsidRPr="00C94447">
        <w:rPr>
          <w:vertAlign w:val="superscript"/>
          <w:rtl/>
        </w:rPr>
        <w:t>)</w:t>
      </w:r>
      <w:r>
        <w:rPr>
          <w:rFonts w:hint="cs"/>
          <w:rtl/>
          <w:lang w:val="fr-CH"/>
        </w:rPr>
        <w:t xml:space="preserve">. ويتعرض لذلك أيضاً الأشخاص الذين يشاركون في جمع المعلومات المتعلقة بحالة حقوق الإنسان وتحليلها والذين يقومون بنشر تقارير </w:t>
      </w:r>
      <w:r w:rsidR="009E76E1">
        <w:rPr>
          <w:rFonts w:hint="cs"/>
          <w:rtl/>
          <w:lang w:val="fr-CH"/>
        </w:rPr>
        <w:t>ذات صلة ب</w:t>
      </w:r>
      <w:r>
        <w:rPr>
          <w:rFonts w:hint="cs"/>
          <w:rtl/>
          <w:lang w:val="fr-CH"/>
        </w:rPr>
        <w:t>حقوق الإنسان، بمن فيهم القضاة والمحامون</w:t>
      </w:r>
      <w:r w:rsidR="00547EE7" w:rsidRPr="00C94447">
        <w:rPr>
          <w:vertAlign w:val="superscript"/>
          <w:rtl/>
        </w:rPr>
        <w:t>(</w:t>
      </w:r>
      <w:r w:rsidR="00547EE7" w:rsidRPr="00C94447">
        <w:rPr>
          <w:rStyle w:val="FootnoteReference"/>
          <w:rtl/>
        </w:rPr>
        <w:footnoteReference w:id="47"/>
      </w:r>
      <w:r w:rsidR="00547EE7" w:rsidRPr="00C94447">
        <w:rPr>
          <w:vertAlign w:val="superscript"/>
          <w:rtl/>
        </w:rPr>
        <w:t>)</w:t>
      </w:r>
      <w:r>
        <w:rPr>
          <w:rFonts w:hint="cs"/>
          <w:rtl/>
          <w:lang w:val="fr-CH"/>
        </w:rPr>
        <w:t>. وينبغي التحقيق بصرامة في الوقت المناسب في جميع هذه الاعتداءات ومقاضاة مرتكبيها</w:t>
      </w:r>
      <w:r w:rsidR="00547EE7" w:rsidRPr="00C94447">
        <w:rPr>
          <w:vertAlign w:val="superscript"/>
          <w:rtl/>
        </w:rPr>
        <w:t>(</w:t>
      </w:r>
      <w:r w:rsidR="00547EE7" w:rsidRPr="00C94447">
        <w:rPr>
          <w:rStyle w:val="FootnoteReference"/>
          <w:rtl/>
        </w:rPr>
        <w:footnoteReference w:id="48"/>
      </w:r>
      <w:r w:rsidR="00547EE7" w:rsidRPr="00C94447">
        <w:rPr>
          <w:vertAlign w:val="superscript"/>
          <w:rtl/>
        </w:rPr>
        <w:t>)</w:t>
      </w:r>
      <w:r>
        <w:rPr>
          <w:rtl/>
          <w:lang w:val="fr-CH"/>
        </w:rPr>
        <w:t xml:space="preserve"> </w:t>
      </w:r>
      <w:r>
        <w:rPr>
          <w:rFonts w:hint="cs"/>
          <w:rtl/>
          <w:lang w:val="fr-CH"/>
        </w:rPr>
        <w:t>ومنح الضحايا، أو</w:t>
      </w:r>
      <w:r w:rsidRPr="00733704">
        <w:rPr>
          <w:rFonts w:hint="cs"/>
          <w:rtl/>
          <w:lang w:val="fr-CH"/>
        </w:rPr>
        <w:t xml:space="preserve"> </w:t>
      </w:r>
      <w:r>
        <w:rPr>
          <w:rFonts w:hint="cs"/>
          <w:rtl/>
          <w:lang w:val="fr-CH"/>
        </w:rPr>
        <w:t xml:space="preserve">منح ممثليهم في </w:t>
      </w:r>
      <w:r w:rsidR="009E76E1">
        <w:rPr>
          <w:rFonts w:hint="cs"/>
          <w:rtl/>
          <w:lang w:val="fr-CH"/>
        </w:rPr>
        <w:t xml:space="preserve">الحالات التي يرتكب فيها </w:t>
      </w:r>
      <w:r>
        <w:rPr>
          <w:rFonts w:hint="cs"/>
          <w:rtl/>
          <w:lang w:val="fr-CH"/>
        </w:rPr>
        <w:t>القتل، أشكالاً مناسبة من الجبر</w:t>
      </w:r>
      <w:r w:rsidR="00547EE7" w:rsidRPr="00C94447">
        <w:rPr>
          <w:vertAlign w:val="superscript"/>
          <w:rtl/>
        </w:rPr>
        <w:t>(</w:t>
      </w:r>
      <w:r w:rsidR="00547EE7" w:rsidRPr="00C94447">
        <w:rPr>
          <w:rStyle w:val="FootnoteReference"/>
          <w:rtl/>
        </w:rPr>
        <w:footnoteReference w:id="49"/>
      </w:r>
      <w:r w:rsidR="00547EE7" w:rsidRPr="00C94447">
        <w:rPr>
          <w:vertAlign w:val="superscript"/>
          <w:rtl/>
        </w:rPr>
        <w:t>)</w:t>
      </w:r>
      <w:r>
        <w:rPr>
          <w:rFonts w:hint="cs"/>
          <w:rtl/>
          <w:lang w:val="fr-CH"/>
        </w:rPr>
        <w:t xml:space="preserve">. </w:t>
      </w:r>
    </w:p>
    <w:p w:rsidR="00F27EBD" w:rsidRDefault="00F27EBD" w:rsidP="009E76E1">
      <w:pPr>
        <w:pStyle w:val="SingleTxtGA"/>
        <w:rPr>
          <w:rFonts w:hint="cs"/>
          <w:rtl/>
          <w:lang w:val="fr-CH"/>
        </w:rPr>
      </w:pPr>
      <w:r>
        <w:rPr>
          <w:rFonts w:hint="cs"/>
          <w:rtl/>
          <w:lang w:val="fr-CH"/>
        </w:rPr>
        <w:t>24-</w:t>
      </w:r>
      <w:r>
        <w:rPr>
          <w:rFonts w:hint="cs"/>
          <w:rtl/>
          <w:lang w:val="fr-CH"/>
        </w:rPr>
        <w:tab/>
        <w:t>ويجب أن تكون القيود محددة بنص القانون. وقد يشمل القانون قوانين تتعلق بالامتيازات البرلمانية</w:t>
      </w:r>
      <w:r w:rsidR="00547EE7" w:rsidRPr="00C94447">
        <w:rPr>
          <w:vertAlign w:val="superscript"/>
          <w:rtl/>
        </w:rPr>
        <w:t>(</w:t>
      </w:r>
      <w:r w:rsidR="00547EE7" w:rsidRPr="00C94447">
        <w:rPr>
          <w:rStyle w:val="FootnoteReference"/>
          <w:rtl/>
        </w:rPr>
        <w:footnoteReference w:id="50"/>
      </w:r>
      <w:r w:rsidR="00547EE7" w:rsidRPr="00C94447">
        <w:rPr>
          <w:vertAlign w:val="superscript"/>
          <w:rtl/>
        </w:rPr>
        <w:t>)</w:t>
      </w:r>
      <w:r>
        <w:rPr>
          <w:rtl/>
          <w:lang w:val="fr-CH"/>
        </w:rPr>
        <w:t xml:space="preserve"> </w:t>
      </w:r>
      <w:r>
        <w:rPr>
          <w:rFonts w:hint="cs"/>
          <w:rtl/>
          <w:lang w:val="fr-CH"/>
        </w:rPr>
        <w:t>وقوانين انتهاك حرمة المحكمة</w:t>
      </w:r>
      <w:r w:rsidR="00547EE7" w:rsidRPr="00C94447">
        <w:rPr>
          <w:vertAlign w:val="superscript"/>
          <w:rtl/>
        </w:rPr>
        <w:t>(</w:t>
      </w:r>
      <w:r w:rsidR="00547EE7" w:rsidRPr="00C94447">
        <w:rPr>
          <w:rStyle w:val="FootnoteReference"/>
          <w:rtl/>
        </w:rPr>
        <w:footnoteReference w:id="51"/>
      </w:r>
      <w:r w:rsidR="00547EE7" w:rsidRPr="00C94447">
        <w:rPr>
          <w:vertAlign w:val="superscript"/>
          <w:rtl/>
        </w:rPr>
        <w:t>)</w:t>
      </w:r>
      <w:r>
        <w:rPr>
          <w:rtl/>
          <w:lang w:val="fr-CH"/>
        </w:rPr>
        <w:t xml:space="preserve"> </w:t>
      </w:r>
      <w:r>
        <w:rPr>
          <w:rFonts w:hint="cs"/>
          <w:rtl/>
          <w:lang w:val="fr-CH"/>
        </w:rPr>
        <w:t xml:space="preserve">ونظراً إلى أن أي تقييد لحرية التعبير يشكل انتقاصاً </w:t>
      </w:r>
      <w:r w:rsidR="009E76E1">
        <w:rPr>
          <w:rFonts w:hint="cs"/>
          <w:rtl/>
          <w:lang w:val="fr-CH"/>
        </w:rPr>
        <w:t>خطير</w:t>
      </w:r>
      <w:r>
        <w:rPr>
          <w:rFonts w:hint="cs"/>
          <w:rtl/>
          <w:lang w:val="fr-CH"/>
        </w:rPr>
        <w:t>اً من حقوق الإنسان، فإن تكريس التقييد في القوانين التقليدية أو الدينية أو غيرها من القوانين العرفية يتنافى مع العهد</w:t>
      </w:r>
      <w:r w:rsidR="00547EE7" w:rsidRPr="00C94447">
        <w:rPr>
          <w:vertAlign w:val="superscript"/>
          <w:rtl/>
        </w:rPr>
        <w:t>(</w:t>
      </w:r>
      <w:r w:rsidR="00547EE7" w:rsidRPr="00C94447">
        <w:rPr>
          <w:rStyle w:val="FootnoteReference"/>
          <w:rtl/>
        </w:rPr>
        <w:footnoteReference w:id="52"/>
      </w:r>
      <w:r w:rsidR="00547EE7" w:rsidRPr="00C94447">
        <w:rPr>
          <w:vertAlign w:val="superscript"/>
          <w:rtl/>
        </w:rPr>
        <w:t>)</w:t>
      </w:r>
      <w:r>
        <w:rPr>
          <w:rFonts w:hint="cs"/>
          <w:rtl/>
          <w:lang w:val="fr-CH"/>
        </w:rPr>
        <w:t>.</w:t>
      </w:r>
    </w:p>
    <w:p w:rsidR="00F27EBD" w:rsidRDefault="00F27EBD" w:rsidP="009E76E1">
      <w:pPr>
        <w:pStyle w:val="SingleTxtGA"/>
        <w:rPr>
          <w:rFonts w:hint="cs"/>
          <w:rtl/>
          <w:lang w:val="fr-CH"/>
        </w:rPr>
      </w:pPr>
      <w:r>
        <w:rPr>
          <w:rFonts w:hint="cs"/>
          <w:rtl/>
          <w:lang w:val="fr-CH"/>
        </w:rPr>
        <w:t>25-</w:t>
      </w:r>
      <w:r>
        <w:rPr>
          <w:rFonts w:hint="cs"/>
          <w:rtl/>
          <w:lang w:val="fr-CH"/>
        </w:rPr>
        <w:tab/>
      </w:r>
      <w:r w:rsidRPr="007864C4">
        <w:rPr>
          <w:rFonts w:hint="cs"/>
          <w:rtl/>
          <w:lang w:val="fr-CH"/>
        </w:rPr>
        <w:t xml:space="preserve">ولأغراض الفقرة 3، يجب أن تصاغ القاعدة التي </w:t>
      </w:r>
      <w:r>
        <w:rPr>
          <w:rFonts w:hint="cs"/>
          <w:rtl/>
          <w:lang w:val="fr-CH"/>
        </w:rPr>
        <w:t xml:space="preserve">ستعتبر </w:t>
      </w:r>
      <w:r w:rsidR="009E76E1">
        <w:rPr>
          <w:rFonts w:hint="cs"/>
          <w:rtl/>
          <w:lang w:val="fr-CH"/>
        </w:rPr>
        <w:t>بمثابة "</w:t>
      </w:r>
      <w:r>
        <w:rPr>
          <w:rFonts w:hint="cs"/>
          <w:rtl/>
          <w:lang w:val="fr-CH"/>
        </w:rPr>
        <w:t>قانون</w:t>
      </w:r>
      <w:r w:rsidR="009E76E1">
        <w:rPr>
          <w:rFonts w:hint="cs"/>
          <w:rtl/>
          <w:lang w:val="fr-CH"/>
        </w:rPr>
        <w:t>"</w:t>
      </w:r>
      <w:r w:rsidRPr="007864C4">
        <w:rPr>
          <w:rFonts w:hint="cs"/>
          <w:rtl/>
          <w:lang w:val="fr-CH"/>
        </w:rPr>
        <w:t xml:space="preserve"> بدقة كافية لكي يتسنى للفرد </w:t>
      </w:r>
      <w:r>
        <w:rPr>
          <w:rFonts w:hint="cs"/>
          <w:rtl/>
          <w:lang w:val="fr-CH"/>
        </w:rPr>
        <w:t xml:space="preserve">ضبط </w:t>
      </w:r>
      <w:r w:rsidRPr="007864C4">
        <w:rPr>
          <w:rFonts w:hint="cs"/>
          <w:rtl/>
          <w:lang w:val="fr-CH"/>
        </w:rPr>
        <w:t>سلوكه وفقاً لها</w:t>
      </w:r>
      <w:r w:rsidR="00547EE7" w:rsidRPr="00C94447">
        <w:rPr>
          <w:vertAlign w:val="superscript"/>
          <w:rtl/>
        </w:rPr>
        <w:t>(</w:t>
      </w:r>
      <w:r w:rsidR="00547EE7" w:rsidRPr="00C94447">
        <w:rPr>
          <w:rStyle w:val="FootnoteReference"/>
          <w:rtl/>
        </w:rPr>
        <w:footnoteReference w:id="53"/>
      </w:r>
      <w:r w:rsidR="00547EE7" w:rsidRPr="00C94447">
        <w:rPr>
          <w:vertAlign w:val="superscript"/>
          <w:rtl/>
        </w:rPr>
        <w:t>)</w:t>
      </w:r>
      <w:r w:rsidRPr="007864C4">
        <w:rPr>
          <w:rtl/>
          <w:lang w:val="fr-CH"/>
        </w:rPr>
        <w:t xml:space="preserve"> </w:t>
      </w:r>
      <w:r w:rsidRPr="007864C4">
        <w:rPr>
          <w:rFonts w:hint="cs"/>
          <w:rtl/>
          <w:lang w:val="fr-CH"/>
        </w:rPr>
        <w:t>ويجب إتاحتها لعامة الجمهور. ولا</w:t>
      </w:r>
      <w:r>
        <w:rPr>
          <w:rFonts w:hint="cs"/>
          <w:rtl/>
          <w:lang w:val="fr-CH"/>
        </w:rPr>
        <w:t xml:space="preserve"> يجوز أن يمنح القانون </w:t>
      </w:r>
      <w:r w:rsidR="009E76E1">
        <w:rPr>
          <w:rFonts w:hint="cs"/>
          <w:rtl/>
          <w:lang w:val="fr-CH"/>
        </w:rPr>
        <w:t>ا</w:t>
      </w:r>
      <w:r>
        <w:rPr>
          <w:rFonts w:hint="cs"/>
          <w:rtl/>
          <w:lang w:val="fr-CH"/>
        </w:rPr>
        <w:t xml:space="preserve">لأشخاص </w:t>
      </w:r>
      <w:proofErr w:type="spellStart"/>
      <w:r>
        <w:rPr>
          <w:rFonts w:hint="cs"/>
          <w:rtl/>
          <w:lang w:val="fr-CH"/>
        </w:rPr>
        <w:t>المسؤولين</w:t>
      </w:r>
      <w:proofErr w:type="spellEnd"/>
      <w:r>
        <w:rPr>
          <w:rFonts w:hint="cs"/>
          <w:rtl/>
          <w:lang w:val="fr-CH"/>
        </w:rPr>
        <w:t xml:space="preserve"> عن تنفيذه </w:t>
      </w:r>
      <w:r w:rsidR="009E76E1">
        <w:rPr>
          <w:rFonts w:hint="cs"/>
          <w:rtl/>
          <w:lang w:val="fr-CH"/>
        </w:rPr>
        <w:t xml:space="preserve">سلطة تقديرية مطلقة في </w:t>
      </w:r>
      <w:r>
        <w:rPr>
          <w:rFonts w:hint="cs"/>
          <w:rtl/>
          <w:lang w:val="fr-CH"/>
        </w:rPr>
        <w:t>تقييد حرية التعبير</w:t>
      </w:r>
      <w:r w:rsidR="00547EE7" w:rsidRPr="00C94447">
        <w:rPr>
          <w:vertAlign w:val="superscript"/>
          <w:rtl/>
        </w:rPr>
        <w:t>(</w:t>
      </w:r>
      <w:r w:rsidR="00547EE7" w:rsidRPr="00C94447">
        <w:rPr>
          <w:rStyle w:val="FootnoteReference"/>
          <w:rtl/>
        </w:rPr>
        <w:footnoteReference w:id="54"/>
      </w:r>
      <w:r w:rsidR="00547EE7" w:rsidRPr="00C94447">
        <w:rPr>
          <w:vertAlign w:val="superscript"/>
          <w:rtl/>
        </w:rPr>
        <w:t>)</w:t>
      </w:r>
      <w:r>
        <w:rPr>
          <w:rFonts w:hint="cs"/>
          <w:rtl/>
          <w:lang w:val="fr-CH"/>
        </w:rPr>
        <w:t xml:space="preserve">. ويجب أن </w:t>
      </w:r>
      <w:proofErr w:type="spellStart"/>
      <w:r>
        <w:rPr>
          <w:rFonts w:hint="cs"/>
          <w:rtl/>
          <w:lang w:val="fr-CH"/>
        </w:rPr>
        <w:t>ينص</w:t>
      </w:r>
      <w:proofErr w:type="spellEnd"/>
      <w:r>
        <w:rPr>
          <w:rFonts w:hint="cs"/>
          <w:rtl/>
          <w:lang w:val="fr-CH"/>
        </w:rPr>
        <w:t xml:space="preserve"> القانون على توجيهات كافية </w:t>
      </w:r>
      <w:r w:rsidR="009E76E1">
        <w:rPr>
          <w:rFonts w:hint="cs"/>
          <w:rtl/>
          <w:lang w:val="fr-CH"/>
        </w:rPr>
        <w:t>ل</w:t>
      </w:r>
      <w:r>
        <w:rPr>
          <w:rFonts w:hint="cs"/>
          <w:rtl/>
          <w:lang w:val="fr-CH"/>
        </w:rPr>
        <w:t xml:space="preserve">لمكلفين بتنفيذه لتمكينهم من التحقق على النحو المناسب من أنواع التعبير التي تخضع للتقييد وتلك التي لا تخضع لهذا التقييد. </w:t>
      </w:r>
    </w:p>
    <w:p w:rsidR="00F27EBD" w:rsidRDefault="00F27EBD" w:rsidP="00DD27E9">
      <w:pPr>
        <w:pStyle w:val="SingleTxtGA"/>
        <w:rPr>
          <w:rFonts w:hint="cs"/>
          <w:rtl/>
          <w:lang w:val="fr-CH"/>
        </w:rPr>
      </w:pPr>
      <w:r>
        <w:rPr>
          <w:rFonts w:hint="cs"/>
          <w:rtl/>
          <w:lang w:val="fr-CH"/>
        </w:rPr>
        <w:t>26-</w:t>
      </w:r>
      <w:r>
        <w:rPr>
          <w:rFonts w:hint="cs"/>
          <w:rtl/>
          <w:lang w:val="fr-CH"/>
        </w:rPr>
        <w:tab/>
        <w:t>ويجب أ</w:t>
      </w:r>
      <w:r w:rsidR="00DD27E9">
        <w:rPr>
          <w:rFonts w:hint="cs"/>
          <w:rtl/>
          <w:lang w:val="fr-CH"/>
        </w:rPr>
        <w:t>ن</w:t>
      </w:r>
      <w:r>
        <w:rPr>
          <w:rFonts w:hint="cs"/>
          <w:rtl/>
          <w:lang w:val="fr-CH"/>
        </w:rPr>
        <w:t xml:space="preserve"> تكون القوانين المقيِّدة للحقوق الواردة في الفقرة 2 من المادة 19، بما في ذلك القوانين المشار إليها في الفقرة 24</w:t>
      </w:r>
      <w:r w:rsidR="00DD27E9">
        <w:rPr>
          <w:rFonts w:hint="cs"/>
          <w:rtl/>
          <w:lang w:val="fr-CH"/>
        </w:rPr>
        <w:t xml:space="preserve">، ليس فقط </w:t>
      </w:r>
      <w:r>
        <w:rPr>
          <w:rFonts w:hint="cs"/>
          <w:rtl/>
          <w:lang w:val="fr-CH"/>
        </w:rPr>
        <w:t>متلائمة مع الشروط الصارمة للفقرة 3 من المادة 19 من العهد</w:t>
      </w:r>
      <w:r w:rsidR="00DD27E9">
        <w:rPr>
          <w:rFonts w:hint="cs"/>
          <w:rtl/>
          <w:lang w:val="fr-CH"/>
        </w:rPr>
        <w:t>،</w:t>
      </w:r>
      <w:r>
        <w:rPr>
          <w:rFonts w:hint="cs"/>
          <w:rtl/>
          <w:lang w:val="fr-CH"/>
        </w:rPr>
        <w:t xml:space="preserve"> بل يجب أن تكون هي نفسها </w:t>
      </w:r>
      <w:r w:rsidR="00DD27E9">
        <w:rPr>
          <w:rFonts w:hint="cs"/>
          <w:rtl/>
          <w:lang w:val="fr-CH"/>
        </w:rPr>
        <w:t xml:space="preserve">أيضاً </w:t>
      </w:r>
      <w:r>
        <w:rPr>
          <w:rFonts w:hint="cs"/>
          <w:rtl/>
          <w:lang w:val="fr-CH"/>
        </w:rPr>
        <w:t>متلائمة مع أحكام العهد وأهدافه وأغراضه</w:t>
      </w:r>
      <w:r w:rsidR="00547EE7" w:rsidRPr="00C94447">
        <w:rPr>
          <w:vertAlign w:val="superscript"/>
          <w:rtl/>
        </w:rPr>
        <w:t>(</w:t>
      </w:r>
      <w:r w:rsidR="00547EE7" w:rsidRPr="00C94447">
        <w:rPr>
          <w:rStyle w:val="FootnoteReference"/>
          <w:rtl/>
        </w:rPr>
        <w:footnoteReference w:id="55"/>
      </w:r>
      <w:r w:rsidR="00547EE7" w:rsidRPr="00C94447">
        <w:rPr>
          <w:vertAlign w:val="superscript"/>
          <w:rtl/>
        </w:rPr>
        <w:t>)</w:t>
      </w:r>
      <w:r>
        <w:rPr>
          <w:rFonts w:hint="cs"/>
          <w:rtl/>
          <w:lang w:val="fr-CH"/>
        </w:rPr>
        <w:t xml:space="preserve">. ويجب ألا تنتهك </w:t>
      </w:r>
      <w:r w:rsidR="00DD27E9">
        <w:rPr>
          <w:rFonts w:hint="cs"/>
          <w:rtl/>
          <w:lang w:val="fr-CH"/>
        </w:rPr>
        <w:t xml:space="preserve">القوانين </w:t>
      </w:r>
      <w:r>
        <w:rPr>
          <w:rFonts w:hint="cs"/>
          <w:rtl/>
          <w:lang w:val="fr-CH"/>
        </w:rPr>
        <w:t xml:space="preserve">أحكام عدم التمييز المنصوص عليها في العهد. ويجب ألا </w:t>
      </w:r>
      <w:proofErr w:type="spellStart"/>
      <w:r>
        <w:rPr>
          <w:rFonts w:hint="cs"/>
          <w:rtl/>
          <w:lang w:val="fr-CH"/>
        </w:rPr>
        <w:t>تنص</w:t>
      </w:r>
      <w:proofErr w:type="spellEnd"/>
      <w:r>
        <w:rPr>
          <w:rFonts w:hint="cs"/>
          <w:rtl/>
          <w:lang w:val="fr-CH"/>
        </w:rPr>
        <w:t xml:space="preserve"> القوانين على جزاءات تتنافى مع العهد، مثل العقوبة البدنية</w:t>
      </w:r>
      <w:r w:rsidR="00547EE7" w:rsidRPr="00C94447">
        <w:rPr>
          <w:vertAlign w:val="superscript"/>
          <w:rtl/>
        </w:rPr>
        <w:t>(</w:t>
      </w:r>
      <w:r w:rsidR="00547EE7" w:rsidRPr="00C94447">
        <w:rPr>
          <w:rStyle w:val="FootnoteReference"/>
          <w:rtl/>
        </w:rPr>
        <w:footnoteReference w:id="56"/>
      </w:r>
      <w:r w:rsidR="00547EE7" w:rsidRPr="00C94447">
        <w:rPr>
          <w:vertAlign w:val="superscript"/>
          <w:rtl/>
        </w:rPr>
        <w:t>)</w:t>
      </w:r>
      <w:r>
        <w:rPr>
          <w:rFonts w:hint="cs"/>
          <w:rtl/>
          <w:lang w:val="fr-CH"/>
        </w:rPr>
        <w:t>.</w:t>
      </w:r>
    </w:p>
    <w:p w:rsidR="00F27EBD" w:rsidRDefault="00F27EBD" w:rsidP="00FE1545">
      <w:pPr>
        <w:pStyle w:val="SingleTxtGA"/>
        <w:rPr>
          <w:rFonts w:hint="cs"/>
          <w:rtl/>
          <w:lang w:val="fr-CH"/>
        </w:rPr>
      </w:pPr>
      <w:r>
        <w:rPr>
          <w:rFonts w:hint="cs"/>
          <w:rtl/>
          <w:lang w:val="fr-CH"/>
        </w:rPr>
        <w:t>27-</w:t>
      </w:r>
      <w:r>
        <w:rPr>
          <w:rFonts w:hint="cs"/>
          <w:rtl/>
          <w:lang w:val="fr-CH"/>
        </w:rPr>
        <w:tab/>
        <w:t>ويقع على عاتق الدولة الطرف بيان الأساس القانوني لأي قيود مفروضة على حرية التعبير</w:t>
      </w:r>
      <w:r w:rsidR="00547EE7" w:rsidRPr="00C94447">
        <w:rPr>
          <w:vertAlign w:val="superscript"/>
          <w:rtl/>
        </w:rPr>
        <w:t>(</w:t>
      </w:r>
      <w:r w:rsidR="00547EE7" w:rsidRPr="00C94447">
        <w:rPr>
          <w:rStyle w:val="FootnoteReference"/>
          <w:rtl/>
        </w:rPr>
        <w:footnoteReference w:id="57"/>
      </w:r>
      <w:r w:rsidR="00547EE7" w:rsidRPr="00C94447">
        <w:rPr>
          <w:vertAlign w:val="superscript"/>
          <w:rtl/>
        </w:rPr>
        <w:t>)</w:t>
      </w:r>
      <w:r>
        <w:rPr>
          <w:rFonts w:hint="cs"/>
          <w:rtl/>
          <w:lang w:val="fr-CH"/>
        </w:rPr>
        <w:t xml:space="preserve">. وإذا كان على اللجنة فيما يتعلق بدولة طرف معينة أن تنظر فيما إذا كان </w:t>
      </w:r>
      <w:r w:rsidR="00DD27E9">
        <w:rPr>
          <w:rFonts w:hint="cs"/>
          <w:rtl/>
          <w:lang w:val="fr-CH"/>
        </w:rPr>
        <w:t>ال</w:t>
      </w:r>
      <w:r>
        <w:rPr>
          <w:rFonts w:hint="cs"/>
          <w:rtl/>
          <w:lang w:val="fr-CH"/>
        </w:rPr>
        <w:t xml:space="preserve">قيد </w:t>
      </w:r>
      <w:r w:rsidR="00DD27E9">
        <w:rPr>
          <w:rFonts w:hint="cs"/>
          <w:rtl/>
          <w:lang w:val="fr-CH"/>
        </w:rPr>
        <w:t>ال</w:t>
      </w:r>
      <w:r>
        <w:rPr>
          <w:rFonts w:hint="cs"/>
          <w:rtl/>
          <w:lang w:val="fr-CH"/>
        </w:rPr>
        <w:t xml:space="preserve">معين </w:t>
      </w:r>
      <w:r w:rsidR="00DD27E9">
        <w:rPr>
          <w:rFonts w:hint="cs"/>
          <w:rtl/>
          <w:lang w:val="fr-CH"/>
        </w:rPr>
        <w:t xml:space="preserve">الذي فرضته هذه الدولة الطرف قد تم </w:t>
      </w:r>
      <w:r>
        <w:rPr>
          <w:rFonts w:hint="cs"/>
          <w:rtl/>
          <w:lang w:val="fr-CH"/>
        </w:rPr>
        <w:t>بموجب القانون، ينبغي للدولة الطرف أن تقدم معلومات تفصيلية عن القانون والإجراءات التي تدخل في نطاق هذا القانون</w:t>
      </w:r>
      <w:r w:rsidR="00547EE7" w:rsidRPr="00C94447">
        <w:rPr>
          <w:vertAlign w:val="superscript"/>
          <w:rtl/>
        </w:rPr>
        <w:t>(</w:t>
      </w:r>
      <w:r w:rsidR="00547EE7" w:rsidRPr="00C94447">
        <w:rPr>
          <w:rStyle w:val="FootnoteReference"/>
          <w:rtl/>
        </w:rPr>
        <w:footnoteReference w:id="58"/>
      </w:r>
      <w:r w:rsidR="00547EE7" w:rsidRPr="00C94447">
        <w:rPr>
          <w:vertAlign w:val="superscript"/>
          <w:rtl/>
        </w:rPr>
        <w:t>)</w:t>
      </w:r>
      <w:r>
        <w:rPr>
          <w:rFonts w:hint="cs"/>
          <w:rtl/>
          <w:lang w:val="fr-CH"/>
        </w:rPr>
        <w:t>.</w:t>
      </w:r>
    </w:p>
    <w:p w:rsidR="00F27EBD" w:rsidRDefault="00F27EBD" w:rsidP="00DD27E9">
      <w:pPr>
        <w:pStyle w:val="SingleTxtGA"/>
        <w:rPr>
          <w:rFonts w:hint="cs"/>
          <w:rtl/>
          <w:lang w:val="fr-CH" w:bidi="ar-SY"/>
        </w:rPr>
      </w:pPr>
      <w:r>
        <w:rPr>
          <w:rFonts w:hint="cs"/>
          <w:rtl/>
          <w:lang w:val="fr-CH"/>
        </w:rPr>
        <w:t>28-</w:t>
      </w:r>
      <w:r>
        <w:rPr>
          <w:rFonts w:hint="cs"/>
          <w:rtl/>
          <w:lang w:val="fr-CH"/>
        </w:rPr>
        <w:tab/>
        <w:t xml:space="preserve">وأول الأسباب المشروعة لفرض القيود الواردة في الفقرة 3 هو احترام حقوق الآخرين أو سمعتهم. ويشمل تعبير "الحقوق"، حقوق الإنسان على النحو المعترف </w:t>
      </w:r>
      <w:proofErr w:type="spellStart"/>
      <w:r>
        <w:rPr>
          <w:rFonts w:hint="cs"/>
          <w:rtl/>
          <w:lang w:val="fr-CH"/>
        </w:rPr>
        <w:t>به</w:t>
      </w:r>
      <w:proofErr w:type="spellEnd"/>
      <w:r>
        <w:rPr>
          <w:rFonts w:hint="cs"/>
          <w:rtl/>
          <w:lang w:val="fr-CH"/>
        </w:rPr>
        <w:t xml:space="preserve"> في العهد، وفي القانون الدولي لحقوق الإنسان عامة. وعلى سبيل المثال، يكون من المشروع تقييد حرية التعبير لحماية الحق في التصويت المنصوص عليه في المادة 25</w:t>
      </w:r>
      <w:r w:rsidR="00DD27E9">
        <w:rPr>
          <w:rFonts w:hint="cs"/>
          <w:rtl/>
          <w:lang w:val="fr-CH"/>
        </w:rPr>
        <w:t>،</w:t>
      </w:r>
      <w:r>
        <w:rPr>
          <w:rFonts w:hint="cs"/>
          <w:rtl/>
          <w:lang w:val="fr-CH"/>
        </w:rPr>
        <w:t xml:space="preserve"> فضلاً عن الحقوق المنصوص عليها في المادة 17 (انظر الفقرة 37)</w:t>
      </w:r>
      <w:r w:rsidR="00547EE7" w:rsidRPr="00C94447">
        <w:rPr>
          <w:vertAlign w:val="superscript"/>
          <w:rtl/>
        </w:rPr>
        <w:t>(</w:t>
      </w:r>
      <w:r w:rsidR="00547EE7" w:rsidRPr="00C94447">
        <w:rPr>
          <w:rStyle w:val="FootnoteReference"/>
          <w:rtl/>
        </w:rPr>
        <w:footnoteReference w:id="59"/>
      </w:r>
      <w:r w:rsidR="00547EE7" w:rsidRPr="00C94447">
        <w:rPr>
          <w:vertAlign w:val="superscript"/>
          <w:rtl/>
        </w:rPr>
        <w:t>)</w:t>
      </w:r>
      <w:r>
        <w:rPr>
          <w:rFonts w:hint="cs"/>
          <w:rtl/>
          <w:lang w:val="fr-CH"/>
        </w:rPr>
        <w:t>. ويجب أن تُ</w:t>
      </w:r>
      <w:r w:rsidR="00DD27E9">
        <w:rPr>
          <w:rFonts w:hint="cs"/>
          <w:rtl/>
          <w:lang w:val="fr-CH"/>
        </w:rPr>
        <w:t>صاغ</w:t>
      </w:r>
      <w:r>
        <w:rPr>
          <w:rFonts w:hint="cs"/>
          <w:rtl/>
          <w:lang w:val="fr-CH"/>
        </w:rPr>
        <w:t xml:space="preserve"> هذه القيود بعناية</w:t>
      </w:r>
      <w:r w:rsidR="00DD27E9">
        <w:rPr>
          <w:rFonts w:hint="cs"/>
          <w:rtl/>
          <w:lang w:val="fr-CH"/>
        </w:rPr>
        <w:t>:</w:t>
      </w:r>
      <w:r>
        <w:rPr>
          <w:rFonts w:hint="cs"/>
          <w:rtl/>
          <w:lang w:val="fr-CH"/>
        </w:rPr>
        <w:t xml:space="preserve"> أي</w:t>
      </w:r>
      <w:r w:rsidR="00DD27E9">
        <w:rPr>
          <w:rFonts w:hint="cs"/>
          <w:rtl/>
          <w:lang w:val="fr-CH"/>
        </w:rPr>
        <w:t xml:space="preserve"> أنه</w:t>
      </w:r>
      <w:r>
        <w:rPr>
          <w:rFonts w:hint="cs"/>
          <w:rtl/>
          <w:lang w:val="fr-CH"/>
        </w:rPr>
        <w:t xml:space="preserve"> بينما يجوز حماية الناخبين من أشكال التعبير التي تشكِّل تخويفاً أو قسراً</w:t>
      </w:r>
      <w:r w:rsidR="00DD27E9">
        <w:rPr>
          <w:rFonts w:hint="cs"/>
          <w:rtl/>
          <w:lang w:val="fr-CH"/>
        </w:rPr>
        <w:t>،</w:t>
      </w:r>
      <w:r>
        <w:rPr>
          <w:rFonts w:hint="cs"/>
          <w:rtl/>
          <w:lang w:val="fr-CH"/>
        </w:rPr>
        <w:t xml:space="preserve"> فإن هذه القيود يجب ألا تعوِّق المناقشة السياسية، بما في ذلك على سبيل المثال الدعوة إلى مقاطعة الا</w:t>
      </w:r>
      <w:r w:rsidR="00DD27E9">
        <w:rPr>
          <w:rFonts w:hint="cs"/>
          <w:rtl/>
          <w:lang w:val="fr-CH"/>
        </w:rPr>
        <w:t>قتراع</w:t>
      </w:r>
      <w:r>
        <w:rPr>
          <w:rFonts w:hint="cs"/>
          <w:rtl/>
          <w:lang w:val="fr-CH"/>
        </w:rPr>
        <w:t xml:space="preserve"> غير الإلزامي</w:t>
      </w:r>
      <w:r w:rsidR="00547EE7" w:rsidRPr="00C94447">
        <w:rPr>
          <w:vertAlign w:val="superscript"/>
          <w:rtl/>
        </w:rPr>
        <w:t>(</w:t>
      </w:r>
      <w:r w:rsidR="00547EE7" w:rsidRPr="00C94447">
        <w:rPr>
          <w:rStyle w:val="FootnoteReference"/>
          <w:rtl/>
        </w:rPr>
        <w:footnoteReference w:id="60"/>
      </w:r>
      <w:r w:rsidR="00547EE7" w:rsidRPr="00C94447">
        <w:rPr>
          <w:vertAlign w:val="superscript"/>
          <w:rtl/>
        </w:rPr>
        <w:t>)</w:t>
      </w:r>
      <w:r>
        <w:rPr>
          <w:rFonts w:hint="cs"/>
          <w:rtl/>
          <w:lang w:val="fr-CH"/>
        </w:rPr>
        <w:t xml:space="preserve">. ويتعلق تعبير </w:t>
      </w:r>
      <w:r w:rsidR="00DD27E9">
        <w:rPr>
          <w:rFonts w:hint="cs"/>
          <w:rtl/>
          <w:lang w:val="fr-CH"/>
        </w:rPr>
        <w:t>"</w:t>
      </w:r>
      <w:r>
        <w:rPr>
          <w:rFonts w:hint="cs"/>
          <w:rtl/>
          <w:lang w:val="fr-CH"/>
        </w:rPr>
        <w:t>الآخرين</w:t>
      </w:r>
      <w:r w:rsidR="00DD27E9">
        <w:rPr>
          <w:rFonts w:hint="cs"/>
          <w:rtl/>
          <w:lang w:val="fr-CH"/>
        </w:rPr>
        <w:t>"</w:t>
      </w:r>
      <w:r>
        <w:rPr>
          <w:rFonts w:hint="cs"/>
          <w:rtl/>
          <w:lang w:val="fr-CH"/>
        </w:rPr>
        <w:t xml:space="preserve"> بالأشخاص الآخرين الذين يتصرفون بص</w:t>
      </w:r>
      <w:r w:rsidR="00DD27E9">
        <w:rPr>
          <w:rFonts w:hint="cs"/>
          <w:rtl/>
          <w:lang w:val="fr-CH"/>
        </w:rPr>
        <w:t>فتهم</w:t>
      </w:r>
      <w:r>
        <w:rPr>
          <w:rFonts w:hint="cs"/>
          <w:rtl/>
          <w:lang w:val="fr-CH"/>
        </w:rPr>
        <w:t xml:space="preserve"> </w:t>
      </w:r>
      <w:r w:rsidR="00DD27E9">
        <w:rPr>
          <w:rFonts w:hint="cs"/>
          <w:rtl/>
          <w:lang w:val="fr-CH"/>
        </w:rPr>
        <w:t>ال</w:t>
      </w:r>
      <w:r>
        <w:rPr>
          <w:rFonts w:hint="cs"/>
          <w:rtl/>
          <w:lang w:val="fr-CH"/>
        </w:rPr>
        <w:t>فردية أو كأعضاء في جماعة</w:t>
      </w:r>
      <w:r w:rsidR="00547EE7" w:rsidRPr="00C94447">
        <w:rPr>
          <w:vertAlign w:val="superscript"/>
          <w:rtl/>
        </w:rPr>
        <w:t>(</w:t>
      </w:r>
      <w:r w:rsidR="00547EE7" w:rsidRPr="00C94447">
        <w:rPr>
          <w:rStyle w:val="FootnoteReference"/>
          <w:rtl/>
        </w:rPr>
        <w:footnoteReference w:id="61"/>
      </w:r>
      <w:r w:rsidR="00547EE7" w:rsidRPr="00C94447">
        <w:rPr>
          <w:vertAlign w:val="superscript"/>
          <w:rtl/>
        </w:rPr>
        <w:t>)</w:t>
      </w:r>
      <w:r>
        <w:rPr>
          <w:rFonts w:hint="cs"/>
          <w:rtl/>
          <w:lang w:val="fr-CH"/>
        </w:rPr>
        <w:t>. ولذلك</w:t>
      </w:r>
      <w:r w:rsidR="00DD27E9">
        <w:rPr>
          <w:rFonts w:hint="cs"/>
          <w:rtl/>
          <w:lang w:val="fr-CH"/>
        </w:rPr>
        <w:t>،</w:t>
      </w:r>
      <w:r>
        <w:rPr>
          <w:rFonts w:hint="cs"/>
          <w:rtl/>
          <w:lang w:val="fr-CH"/>
        </w:rPr>
        <w:t xml:space="preserve"> يجوز على سبيل المثال</w:t>
      </w:r>
      <w:r w:rsidR="00DD27E9">
        <w:rPr>
          <w:rFonts w:hint="cs"/>
          <w:rtl/>
          <w:lang w:val="fr-CH"/>
        </w:rPr>
        <w:t>،</w:t>
      </w:r>
      <w:r>
        <w:rPr>
          <w:rFonts w:hint="cs"/>
          <w:rtl/>
          <w:lang w:val="fr-CH"/>
        </w:rPr>
        <w:t xml:space="preserve"> الإشارة إلى </w:t>
      </w:r>
      <w:r w:rsidR="00DD27E9">
        <w:rPr>
          <w:rFonts w:hint="cs"/>
          <w:rtl/>
          <w:lang w:val="fr-CH"/>
        </w:rPr>
        <w:t>الأ</w:t>
      </w:r>
      <w:r>
        <w:rPr>
          <w:rFonts w:hint="cs"/>
          <w:rtl/>
          <w:lang w:val="fr-CH"/>
        </w:rPr>
        <w:t xml:space="preserve">فراد </w:t>
      </w:r>
      <w:r w:rsidR="00DD27E9">
        <w:rPr>
          <w:rFonts w:hint="cs"/>
          <w:rtl/>
          <w:lang w:val="fr-CH"/>
        </w:rPr>
        <w:t xml:space="preserve">الأعضاء في </w:t>
      </w:r>
      <w:r>
        <w:rPr>
          <w:rFonts w:hint="cs"/>
          <w:rtl/>
          <w:lang w:val="fr-CH"/>
        </w:rPr>
        <w:t>الجماعة بتعريفه</w:t>
      </w:r>
      <w:r w:rsidR="00DD27E9">
        <w:rPr>
          <w:rFonts w:hint="cs"/>
          <w:rtl/>
          <w:lang w:val="fr-CH"/>
        </w:rPr>
        <w:t>م</w:t>
      </w:r>
      <w:r>
        <w:rPr>
          <w:rFonts w:hint="cs"/>
          <w:rtl/>
          <w:lang w:val="fr-CH"/>
        </w:rPr>
        <w:t xml:space="preserve"> حسب معتقداته</w:t>
      </w:r>
      <w:r w:rsidR="00DD27E9">
        <w:rPr>
          <w:rFonts w:hint="cs"/>
          <w:rtl/>
          <w:lang w:val="fr-CH"/>
        </w:rPr>
        <w:t>ا</w:t>
      </w:r>
      <w:r>
        <w:rPr>
          <w:rFonts w:hint="cs"/>
          <w:rtl/>
          <w:lang w:val="fr-CH"/>
        </w:rPr>
        <w:t xml:space="preserve"> الدينية</w:t>
      </w:r>
      <w:r w:rsidR="00547EE7" w:rsidRPr="00C94447">
        <w:rPr>
          <w:vertAlign w:val="superscript"/>
          <w:rtl/>
        </w:rPr>
        <w:t>(</w:t>
      </w:r>
      <w:r w:rsidR="00547EE7" w:rsidRPr="00C94447">
        <w:rPr>
          <w:rStyle w:val="FootnoteReference"/>
          <w:rtl/>
        </w:rPr>
        <w:footnoteReference w:id="62"/>
      </w:r>
      <w:r w:rsidR="00547EE7" w:rsidRPr="00C94447">
        <w:rPr>
          <w:vertAlign w:val="superscript"/>
          <w:rtl/>
        </w:rPr>
        <w:t>)</w:t>
      </w:r>
      <w:r>
        <w:rPr>
          <w:rtl/>
          <w:lang w:val="fr-CH"/>
        </w:rPr>
        <w:t xml:space="preserve"> </w:t>
      </w:r>
      <w:r>
        <w:rPr>
          <w:rFonts w:hint="cs"/>
          <w:rtl/>
          <w:lang w:val="fr-CH"/>
        </w:rPr>
        <w:t xml:space="preserve">أو </w:t>
      </w:r>
      <w:proofErr w:type="spellStart"/>
      <w:r>
        <w:rPr>
          <w:rFonts w:hint="cs"/>
          <w:rtl/>
          <w:lang w:val="fr-CH"/>
        </w:rPr>
        <w:t>إثنيته</w:t>
      </w:r>
      <w:r w:rsidR="00DD27E9">
        <w:rPr>
          <w:rFonts w:hint="cs"/>
          <w:rtl/>
          <w:lang w:val="fr-CH"/>
        </w:rPr>
        <w:t>ا</w:t>
      </w:r>
      <w:proofErr w:type="spellEnd"/>
      <w:r w:rsidR="00547EE7" w:rsidRPr="00C94447">
        <w:rPr>
          <w:vertAlign w:val="superscript"/>
          <w:rtl/>
        </w:rPr>
        <w:t>(</w:t>
      </w:r>
      <w:r w:rsidR="00547EE7" w:rsidRPr="00C94447">
        <w:rPr>
          <w:rStyle w:val="FootnoteReference"/>
          <w:rtl/>
        </w:rPr>
        <w:footnoteReference w:id="63"/>
      </w:r>
      <w:r w:rsidR="00547EE7" w:rsidRPr="00C94447">
        <w:rPr>
          <w:vertAlign w:val="superscript"/>
          <w:rtl/>
        </w:rPr>
        <w:t>)</w:t>
      </w:r>
      <w:r>
        <w:rPr>
          <w:rFonts w:hint="cs"/>
          <w:rtl/>
          <w:lang w:val="fr-CH"/>
        </w:rPr>
        <w:t>.</w:t>
      </w:r>
    </w:p>
    <w:p w:rsidR="00F27EBD" w:rsidRDefault="00F27EBD" w:rsidP="00DD27E9">
      <w:pPr>
        <w:pStyle w:val="SingleTxtGA"/>
        <w:rPr>
          <w:rFonts w:hint="cs"/>
          <w:rtl/>
          <w:lang w:val="fr-CH"/>
        </w:rPr>
      </w:pPr>
      <w:r>
        <w:rPr>
          <w:rFonts w:hint="cs"/>
          <w:rtl/>
          <w:lang w:val="fr-CH" w:bidi="ar-SY"/>
        </w:rPr>
        <w:t>29-</w:t>
      </w:r>
      <w:r w:rsidR="00017911">
        <w:rPr>
          <w:rFonts w:hint="cs"/>
          <w:rtl/>
          <w:lang w:val="fr-CH" w:bidi="ar-SY"/>
        </w:rPr>
        <w:tab/>
      </w:r>
      <w:r>
        <w:rPr>
          <w:rFonts w:hint="cs"/>
          <w:rtl/>
          <w:lang w:val="fr-CH"/>
        </w:rPr>
        <w:t>والسبب ال</w:t>
      </w:r>
      <w:r w:rsidR="00DD27E9">
        <w:rPr>
          <w:rFonts w:hint="cs"/>
          <w:rtl/>
          <w:lang w:val="fr-CH"/>
        </w:rPr>
        <w:t>مشروع</w:t>
      </w:r>
      <w:r>
        <w:rPr>
          <w:rFonts w:hint="cs"/>
          <w:rtl/>
          <w:lang w:val="fr-CH"/>
        </w:rPr>
        <w:t xml:space="preserve"> الثاني هو حماية الأمن القومي أو النظام العام أو الصحة العامة أو الآداب العامة.</w:t>
      </w:r>
    </w:p>
    <w:p w:rsidR="00F27EBD" w:rsidRDefault="00F27EBD" w:rsidP="00FE1545">
      <w:pPr>
        <w:pStyle w:val="SingleTxtGA"/>
        <w:rPr>
          <w:rFonts w:hint="cs"/>
          <w:rtl/>
          <w:lang w:val="fr-CH"/>
        </w:rPr>
      </w:pPr>
      <w:r>
        <w:rPr>
          <w:rFonts w:hint="cs"/>
          <w:rtl/>
          <w:lang w:val="fr-CH"/>
        </w:rPr>
        <w:t>30-</w:t>
      </w:r>
      <w:r w:rsidR="00017911">
        <w:rPr>
          <w:rFonts w:hint="cs"/>
          <w:rtl/>
          <w:lang w:val="fr-CH"/>
        </w:rPr>
        <w:tab/>
      </w:r>
      <w:r>
        <w:rPr>
          <w:rFonts w:hint="cs"/>
          <w:rtl/>
          <w:lang w:val="fr-CH"/>
        </w:rPr>
        <w:t>ويجب على الدول الأطراف أن تتوخى الحذر الشديد في ضمان وضع وتطبيق قوانين الخيانة</w:t>
      </w:r>
      <w:r w:rsidR="00017911" w:rsidRPr="00C94447">
        <w:rPr>
          <w:vertAlign w:val="superscript"/>
          <w:rtl/>
        </w:rPr>
        <w:t>(</w:t>
      </w:r>
      <w:r w:rsidR="00017911" w:rsidRPr="00C94447">
        <w:rPr>
          <w:rStyle w:val="FootnoteReference"/>
          <w:rtl/>
        </w:rPr>
        <w:footnoteReference w:id="64"/>
      </w:r>
      <w:r w:rsidR="00017911" w:rsidRPr="00C94447">
        <w:rPr>
          <w:vertAlign w:val="superscript"/>
          <w:rtl/>
        </w:rPr>
        <w:t>)</w:t>
      </w:r>
      <w:r>
        <w:rPr>
          <w:rFonts w:hint="cs"/>
          <w:rtl/>
          <w:lang w:val="fr-CH"/>
        </w:rPr>
        <w:t xml:space="preserve"> والأحكام المماثلة المتعلقة بالأمن القومي سواء</w:t>
      </w:r>
      <w:r w:rsidR="00DD27E9">
        <w:rPr>
          <w:rFonts w:hint="cs"/>
          <w:rtl/>
          <w:lang w:val="fr-CH"/>
        </w:rPr>
        <w:t>،</w:t>
      </w:r>
      <w:r>
        <w:rPr>
          <w:rFonts w:hint="cs"/>
          <w:rtl/>
          <w:lang w:val="fr-CH"/>
        </w:rPr>
        <w:t xml:space="preserve"> أكانت موصوفة كقوانين ل</w:t>
      </w:r>
      <w:r w:rsidR="00DD27E9">
        <w:rPr>
          <w:rFonts w:hint="cs"/>
          <w:rtl/>
          <w:lang w:val="fr-CH"/>
        </w:rPr>
        <w:t>حماية ا</w:t>
      </w:r>
      <w:r>
        <w:rPr>
          <w:rFonts w:hint="cs"/>
          <w:rtl/>
          <w:lang w:val="fr-CH"/>
        </w:rPr>
        <w:t>لأسرار الرسمية</w:t>
      </w:r>
      <w:r w:rsidR="00DD27E9">
        <w:rPr>
          <w:rFonts w:hint="cs"/>
          <w:rtl/>
          <w:lang w:val="fr-CH"/>
        </w:rPr>
        <w:t>،</w:t>
      </w:r>
      <w:r>
        <w:rPr>
          <w:rFonts w:hint="cs"/>
          <w:rtl/>
          <w:lang w:val="fr-CH"/>
        </w:rPr>
        <w:t xml:space="preserve"> أو </w:t>
      </w:r>
      <w:r w:rsidR="00DD27E9">
        <w:rPr>
          <w:rFonts w:hint="cs"/>
          <w:rtl/>
          <w:lang w:val="fr-CH"/>
        </w:rPr>
        <w:t xml:space="preserve">قوانين لمكافحة </w:t>
      </w:r>
      <w:r>
        <w:rPr>
          <w:rFonts w:hint="cs"/>
          <w:rtl/>
          <w:lang w:val="fr-CH"/>
        </w:rPr>
        <w:t>إثارة الفتنة أو خلاف ذلك</w:t>
      </w:r>
      <w:r w:rsidR="00FE1545">
        <w:rPr>
          <w:rFonts w:hint="cs"/>
          <w:rtl/>
          <w:lang w:val="fr-CH"/>
        </w:rPr>
        <w:t>،</w:t>
      </w:r>
      <w:r>
        <w:rPr>
          <w:rFonts w:hint="cs"/>
          <w:rtl/>
          <w:lang w:val="fr-CH"/>
        </w:rPr>
        <w:t xml:space="preserve"> بحيث تكون متطابقة مع الشروط الصارمة للفقرة 3. وعلى سبيل المثال، </w:t>
      </w:r>
      <w:r w:rsidR="00F723A9">
        <w:rPr>
          <w:rFonts w:hint="cs"/>
          <w:rtl/>
          <w:lang w:val="fr-CH"/>
        </w:rPr>
        <w:t xml:space="preserve">يتنافى مع </w:t>
      </w:r>
      <w:r w:rsidR="00FE1545">
        <w:rPr>
          <w:rFonts w:hint="cs"/>
          <w:rtl/>
          <w:lang w:val="fr-CH"/>
        </w:rPr>
        <w:t>الفقرة</w:t>
      </w:r>
      <w:r w:rsidR="00F723A9">
        <w:rPr>
          <w:rFonts w:hint="cs"/>
          <w:rtl/>
          <w:lang w:val="fr-CH"/>
        </w:rPr>
        <w:t xml:space="preserve"> 3 </w:t>
      </w:r>
      <w:r>
        <w:rPr>
          <w:rFonts w:hint="cs"/>
          <w:rtl/>
          <w:lang w:val="fr-CH"/>
        </w:rPr>
        <w:t>الاحتجاج بهذه القوانين للقمع</w:t>
      </w:r>
      <w:r w:rsidR="00F723A9">
        <w:rPr>
          <w:rFonts w:hint="cs"/>
          <w:rtl/>
          <w:lang w:val="fr-CH"/>
        </w:rPr>
        <w:t>،</w:t>
      </w:r>
      <w:r>
        <w:rPr>
          <w:rFonts w:hint="cs"/>
          <w:rtl/>
          <w:lang w:val="fr-CH"/>
        </w:rPr>
        <w:t xml:space="preserve"> أو لحجب معلومات عن الجمهور تكون ذات مصلحة عامة مشروعة ولا تضر بالأمن القومي</w:t>
      </w:r>
      <w:r w:rsidR="00F723A9">
        <w:rPr>
          <w:rFonts w:hint="cs"/>
          <w:rtl/>
          <w:lang w:val="fr-CH"/>
        </w:rPr>
        <w:t>،</w:t>
      </w:r>
      <w:r>
        <w:rPr>
          <w:rFonts w:hint="cs"/>
          <w:rtl/>
          <w:lang w:val="fr-CH"/>
        </w:rPr>
        <w:t xml:space="preserve"> أو لمقاضاة الصحفيين أو الباحثين أو الناشطين في مجال البيئة</w:t>
      </w:r>
      <w:r w:rsidR="00F723A9">
        <w:rPr>
          <w:rFonts w:hint="cs"/>
          <w:rtl/>
          <w:lang w:val="fr-CH"/>
        </w:rPr>
        <w:t>،</w:t>
      </w:r>
      <w:r>
        <w:rPr>
          <w:rFonts w:hint="cs"/>
          <w:rtl/>
          <w:lang w:val="fr-CH"/>
        </w:rPr>
        <w:t xml:space="preserve"> أو المدافعين عن حقوق الإنسان</w:t>
      </w:r>
      <w:r w:rsidR="00F723A9">
        <w:rPr>
          <w:rFonts w:hint="cs"/>
          <w:rtl/>
          <w:lang w:val="fr-CH"/>
        </w:rPr>
        <w:t>،</w:t>
      </w:r>
      <w:r>
        <w:rPr>
          <w:rFonts w:hint="cs"/>
          <w:rtl/>
          <w:lang w:val="fr-CH"/>
        </w:rPr>
        <w:t xml:space="preserve"> أو آخرين لأسباب تتعلق بنشرهم تلك المعلومات</w:t>
      </w:r>
      <w:r w:rsidR="00017911" w:rsidRPr="00C94447">
        <w:rPr>
          <w:vertAlign w:val="superscript"/>
          <w:rtl/>
        </w:rPr>
        <w:t>(</w:t>
      </w:r>
      <w:r w:rsidR="00017911" w:rsidRPr="00C94447">
        <w:rPr>
          <w:rStyle w:val="FootnoteReference"/>
          <w:rtl/>
        </w:rPr>
        <w:footnoteReference w:id="65"/>
      </w:r>
      <w:r w:rsidR="00017911" w:rsidRPr="00C94447">
        <w:rPr>
          <w:vertAlign w:val="superscript"/>
          <w:rtl/>
        </w:rPr>
        <w:t>)</w:t>
      </w:r>
      <w:r>
        <w:rPr>
          <w:rFonts w:hint="cs"/>
          <w:rtl/>
          <w:lang w:val="fr-CH"/>
        </w:rPr>
        <w:t xml:space="preserve">. ومن </w:t>
      </w:r>
      <w:r w:rsidR="00F723A9">
        <w:rPr>
          <w:rFonts w:hint="cs"/>
          <w:rtl/>
          <w:lang w:val="fr-CH"/>
        </w:rPr>
        <w:t xml:space="preserve">غير </w:t>
      </w:r>
      <w:r>
        <w:rPr>
          <w:rFonts w:hint="cs"/>
          <w:rtl/>
          <w:lang w:val="fr-CH"/>
        </w:rPr>
        <w:t xml:space="preserve">المناسب عموماً أن يشمل نطاق اختصاص هذه القوانين </w:t>
      </w:r>
      <w:r w:rsidR="00F723A9">
        <w:rPr>
          <w:rFonts w:hint="cs"/>
          <w:rtl/>
          <w:lang w:val="fr-CH"/>
        </w:rPr>
        <w:t xml:space="preserve">أيضاً </w:t>
      </w:r>
      <w:r>
        <w:rPr>
          <w:rFonts w:hint="cs"/>
          <w:rtl/>
          <w:lang w:val="fr-CH"/>
        </w:rPr>
        <w:t xml:space="preserve">فئات </w:t>
      </w:r>
      <w:r w:rsidR="00F723A9">
        <w:rPr>
          <w:rFonts w:hint="cs"/>
          <w:rtl/>
          <w:lang w:val="fr-CH"/>
        </w:rPr>
        <w:t>معينة من ا</w:t>
      </w:r>
      <w:r>
        <w:rPr>
          <w:rFonts w:hint="cs"/>
          <w:rtl/>
          <w:lang w:val="fr-CH"/>
        </w:rPr>
        <w:t>لمعلومات كالفئات المتعلقة بالقطاع التجاري والقطاع المصرفي والتقدم العلمي</w:t>
      </w:r>
      <w:r w:rsidR="00017911" w:rsidRPr="00C94447">
        <w:rPr>
          <w:vertAlign w:val="superscript"/>
          <w:rtl/>
        </w:rPr>
        <w:t>(</w:t>
      </w:r>
      <w:r w:rsidR="00017911" w:rsidRPr="00C94447">
        <w:rPr>
          <w:rStyle w:val="FootnoteReference"/>
          <w:rtl/>
        </w:rPr>
        <w:footnoteReference w:id="66"/>
      </w:r>
      <w:r w:rsidR="00017911" w:rsidRPr="00C94447">
        <w:rPr>
          <w:vertAlign w:val="superscript"/>
          <w:rtl/>
        </w:rPr>
        <w:t>)</w:t>
      </w:r>
      <w:r w:rsidR="00017911">
        <w:rPr>
          <w:rFonts w:hint="cs"/>
          <w:rtl/>
          <w:lang w:val="fr-CH"/>
        </w:rPr>
        <w:t xml:space="preserve">. </w:t>
      </w:r>
      <w:r>
        <w:rPr>
          <w:rFonts w:hint="cs"/>
          <w:rtl/>
          <w:lang w:val="fr-CH"/>
        </w:rPr>
        <w:t xml:space="preserve">وقد </w:t>
      </w:r>
      <w:proofErr w:type="spellStart"/>
      <w:r w:rsidR="00F723A9">
        <w:rPr>
          <w:rFonts w:hint="cs"/>
          <w:rtl/>
          <w:lang w:val="fr-CH"/>
        </w:rPr>
        <w:t>إ</w:t>
      </w:r>
      <w:r>
        <w:rPr>
          <w:rFonts w:hint="cs"/>
          <w:rtl/>
          <w:lang w:val="fr-CH"/>
        </w:rPr>
        <w:t>ر</w:t>
      </w:r>
      <w:r w:rsidR="00F723A9">
        <w:rPr>
          <w:rFonts w:hint="cs"/>
          <w:rtl/>
          <w:lang w:val="fr-CH"/>
        </w:rPr>
        <w:t>ت</w:t>
      </w:r>
      <w:r>
        <w:rPr>
          <w:rFonts w:hint="cs"/>
          <w:rtl/>
          <w:lang w:val="fr-CH"/>
        </w:rPr>
        <w:t>أت</w:t>
      </w:r>
      <w:proofErr w:type="spellEnd"/>
      <w:r>
        <w:rPr>
          <w:rFonts w:hint="cs"/>
          <w:rtl/>
          <w:lang w:val="fr-CH"/>
        </w:rPr>
        <w:t xml:space="preserve"> اللجنة في إحدى الحالات أن التقييد </w:t>
      </w:r>
      <w:r w:rsidR="00F723A9">
        <w:rPr>
          <w:rFonts w:hint="cs"/>
          <w:rtl/>
          <w:lang w:val="fr-CH"/>
        </w:rPr>
        <w:t xml:space="preserve">الذي فرض </w:t>
      </w:r>
      <w:r>
        <w:rPr>
          <w:rFonts w:hint="cs"/>
          <w:rtl/>
          <w:lang w:val="fr-CH"/>
        </w:rPr>
        <w:t>على إصدار بيان لدعم منازع</w:t>
      </w:r>
      <w:r w:rsidR="00F723A9">
        <w:rPr>
          <w:rFonts w:hint="cs"/>
          <w:rtl/>
          <w:lang w:val="fr-CH"/>
        </w:rPr>
        <w:t>ة</w:t>
      </w:r>
      <w:r>
        <w:rPr>
          <w:rFonts w:hint="cs"/>
          <w:rtl/>
          <w:lang w:val="fr-CH"/>
        </w:rPr>
        <w:t xml:space="preserve"> عمالية، بما في ذلك الدعوة إلى إضراب وطني</w:t>
      </w:r>
      <w:r w:rsidR="00F723A9">
        <w:rPr>
          <w:rFonts w:hint="cs"/>
          <w:rtl/>
          <w:lang w:val="fr-CH"/>
        </w:rPr>
        <w:t xml:space="preserve">، غير جائز </w:t>
      </w:r>
      <w:r>
        <w:rPr>
          <w:rFonts w:hint="cs"/>
          <w:rtl/>
          <w:lang w:val="fr-CH"/>
        </w:rPr>
        <w:t xml:space="preserve">بالاستناد إلى أسباب </w:t>
      </w:r>
      <w:r w:rsidR="00F723A9">
        <w:rPr>
          <w:rFonts w:hint="cs"/>
          <w:rtl/>
          <w:lang w:val="fr-CH"/>
        </w:rPr>
        <w:t xml:space="preserve">حماية </w:t>
      </w:r>
      <w:r>
        <w:rPr>
          <w:rFonts w:hint="cs"/>
          <w:rtl/>
          <w:lang w:val="fr-CH"/>
        </w:rPr>
        <w:t>الأمن القومي</w:t>
      </w:r>
      <w:r w:rsidR="00017911" w:rsidRPr="00C94447">
        <w:rPr>
          <w:vertAlign w:val="superscript"/>
          <w:rtl/>
        </w:rPr>
        <w:t>(</w:t>
      </w:r>
      <w:r w:rsidR="00017911" w:rsidRPr="00C94447">
        <w:rPr>
          <w:rStyle w:val="FootnoteReference"/>
          <w:rtl/>
        </w:rPr>
        <w:footnoteReference w:id="67"/>
      </w:r>
      <w:r w:rsidR="00017911" w:rsidRPr="00C94447">
        <w:rPr>
          <w:vertAlign w:val="superscript"/>
          <w:rtl/>
        </w:rPr>
        <w:t>)</w:t>
      </w:r>
      <w:r>
        <w:rPr>
          <w:rFonts w:hint="cs"/>
          <w:rtl/>
          <w:lang w:val="fr-CH"/>
        </w:rPr>
        <w:t>.</w:t>
      </w:r>
    </w:p>
    <w:p w:rsidR="00F27EBD" w:rsidRDefault="00F27EBD" w:rsidP="00F723A9">
      <w:pPr>
        <w:pStyle w:val="SingleTxtGA"/>
        <w:rPr>
          <w:rFonts w:hint="cs"/>
          <w:rtl/>
          <w:lang w:val="fr-CH"/>
        </w:rPr>
      </w:pPr>
      <w:r>
        <w:rPr>
          <w:rFonts w:hint="cs"/>
          <w:rtl/>
          <w:lang w:val="fr-CH"/>
        </w:rPr>
        <w:t>31-</w:t>
      </w:r>
      <w:r w:rsidR="00017911">
        <w:rPr>
          <w:rFonts w:hint="cs"/>
          <w:rtl/>
          <w:lang w:val="fr-CH"/>
        </w:rPr>
        <w:tab/>
      </w:r>
      <w:r>
        <w:rPr>
          <w:rFonts w:hint="cs"/>
          <w:rtl/>
          <w:lang w:val="fr-CH"/>
        </w:rPr>
        <w:t xml:space="preserve">ويجوز في بعض الظروف </w:t>
      </w:r>
      <w:r w:rsidR="00F723A9">
        <w:rPr>
          <w:rFonts w:hint="cs"/>
          <w:rtl/>
          <w:lang w:val="fr-CH"/>
        </w:rPr>
        <w:t>وعلى أساس ا</w:t>
      </w:r>
      <w:r>
        <w:rPr>
          <w:rFonts w:hint="cs"/>
          <w:rtl/>
          <w:lang w:val="fr-CH"/>
        </w:rPr>
        <w:t xml:space="preserve">لحفاظ على الأمن العام، </w:t>
      </w:r>
      <w:r w:rsidR="00F723A9">
        <w:rPr>
          <w:rFonts w:hint="cs"/>
          <w:rtl/>
          <w:lang w:val="fr-CH"/>
        </w:rPr>
        <w:t>القيام على سبيل المثال ب</w:t>
      </w:r>
      <w:r>
        <w:rPr>
          <w:rFonts w:hint="cs"/>
          <w:rtl/>
          <w:lang w:val="fr-CH"/>
        </w:rPr>
        <w:t>تنظيم إلقاء الخطب في مكان عام معين</w:t>
      </w:r>
      <w:r w:rsidR="00017911" w:rsidRPr="00C94447">
        <w:rPr>
          <w:vertAlign w:val="superscript"/>
          <w:rtl/>
        </w:rPr>
        <w:t>(</w:t>
      </w:r>
      <w:r w:rsidR="00017911" w:rsidRPr="00C94447">
        <w:rPr>
          <w:rStyle w:val="FootnoteReference"/>
          <w:rtl/>
        </w:rPr>
        <w:footnoteReference w:id="68"/>
      </w:r>
      <w:r w:rsidR="00017911" w:rsidRPr="00C94447">
        <w:rPr>
          <w:vertAlign w:val="superscript"/>
          <w:rtl/>
        </w:rPr>
        <w:t>)</w:t>
      </w:r>
      <w:r>
        <w:rPr>
          <w:rFonts w:hint="cs"/>
          <w:rtl/>
          <w:lang w:val="fr-CH"/>
        </w:rPr>
        <w:t xml:space="preserve">. ويمكن </w:t>
      </w:r>
      <w:r w:rsidR="00F723A9">
        <w:rPr>
          <w:rFonts w:hint="cs"/>
          <w:rtl/>
          <w:lang w:val="fr-CH"/>
        </w:rPr>
        <w:t xml:space="preserve">فحص مسألة </w:t>
      </w:r>
      <w:r>
        <w:rPr>
          <w:rFonts w:hint="cs"/>
          <w:rtl/>
          <w:lang w:val="fr-CH"/>
        </w:rPr>
        <w:t xml:space="preserve">انتهاك حرمة </w:t>
      </w:r>
      <w:r w:rsidR="00F723A9">
        <w:rPr>
          <w:rFonts w:hint="cs"/>
          <w:rtl/>
          <w:lang w:val="fr-CH"/>
        </w:rPr>
        <w:t xml:space="preserve">إجـراءات </w:t>
      </w:r>
      <w:r>
        <w:rPr>
          <w:rFonts w:hint="cs"/>
          <w:rtl/>
          <w:lang w:val="fr-CH"/>
        </w:rPr>
        <w:t xml:space="preserve">المحكمة </w:t>
      </w:r>
      <w:r w:rsidR="00F723A9">
        <w:rPr>
          <w:rFonts w:hint="cs"/>
          <w:rtl/>
          <w:lang w:val="fr-CH"/>
        </w:rPr>
        <w:t xml:space="preserve">فيما يتصل </w:t>
      </w:r>
      <w:r>
        <w:rPr>
          <w:rFonts w:hint="cs"/>
          <w:rtl/>
          <w:lang w:val="fr-CH"/>
        </w:rPr>
        <w:t xml:space="preserve">بأشكال التعبير في ضوء اعتبارات النظام العام. وتمشياً مع الفقرة 3، يجب </w:t>
      </w:r>
      <w:r w:rsidR="00F723A9">
        <w:rPr>
          <w:rFonts w:hint="cs"/>
          <w:rtl/>
          <w:lang w:val="fr-CH"/>
        </w:rPr>
        <w:t xml:space="preserve">إثبات أن </w:t>
      </w:r>
      <w:r>
        <w:rPr>
          <w:rFonts w:hint="cs"/>
          <w:rtl/>
          <w:lang w:val="fr-CH"/>
        </w:rPr>
        <w:t xml:space="preserve">الإجراءات والعقوبات المفروضة </w:t>
      </w:r>
      <w:r w:rsidR="00F723A9">
        <w:rPr>
          <w:rFonts w:hint="cs"/>
          <w:rtl/>
          <w:lang w:val="fr-CH"/>
        </w:rPr>
        <w:t xml:space="preserve">مبررة </w:t>
      </w:r>
      <w:r>
        <w:rPr>
          <w:rFonts w:hint="cs"/>
          <w:rtl/>
          <w:lang w:val="fr-CH"/>
        </w:rPr>
        <w:t xml:space="preserve">في </w:t>
      </w:r>
      <w:r w:rsidR="00F723A9">
        <w:rPr>
          <w:rFonts w:hint="cs"/>
          <w:rtl/>
          <w:lang w:val="fr-CH"/>
        </w:rPr>
        <w:t xml:space="preserve">إطار </w:t>
      </w:r>
      <w:r>
        <w:rPr>
          <w:rFonts w:hint="cs"/>
          <w:rtl/>
          <w:lang w:val="fr-CH"/>
        </w:rPr>
        <w:t xml:space="preserve">ممارسة المحكمة </w:t>
      </w:r>
      <w:r w:rsidR="00F723A9">
        <w:rPr>
          <w:rFonts w:hint="cs"/>
          <w:rtl/>
          <w:lang w:val="fr-CH"/>
        </w:rPr>
        <w:t>لسلطتها في ا</w:t>
      </w:r>
      <w:r>
        <w:rPr>
          <w:rFonts w:hint="cs"/>
          <w:rtl/>
          <w:lang w:val="fr-CH"/>
        </w:rPr>
        <w:t xml:space="preserve">لحفاظ على </w:t>
      </w:r>
      <w:r w:rsidR="00F723A9">
        <w:rPr>
          <w:rFonts w:hint="cs"/>
          <w:rtl/>
          <w:lang w:val="fr-CH"/>
        </w:rPr>
        <w:t xml:space="preserve">سلامة </w:t>
      </w:r>
      <w:r>
        <w:rPr>
          <w:rFonts w:hint="cs"/>
          <w:rtl/>
          <w:lang w:val="fr-CH"/>
        </w:rPr>
        <w:t>الإجراءات</w:t>
      </w:r>
      <w:r w:rsidR="00017911" w:rsidRPr="00C94447">
        <w:rPr>
          <w:vertAlign w:val="superscript"/>
          <w:rtl/>
        </w:rPr>
        <w:t>(</w:t>
      </w:r>
      <w:r w:rsidR="00017911" w:rsidRPr="00C94447">
        <w:rPr>
          <w:rStyle w:val="FootnoteReference"/>
          <w:rtl/>
        </w:rPr>
        <w:footnoteReference w:id="69"/>
      </w:r>
      <w:r w:rsidR="00017911" w:rsidRPr="00C94447">
        <w:rPr>
          <w:vertAlign w:val="superscript"/>
          <w:rtl/>
        </w:rPr>
        <w:t>)</w:t>
      </w:r>
      <w:r w:rsidR="00017911">
        <w:rPr>
          <w:rFonts w:hint="cs"/>
          <w:rtl/>
          <w:lang w:val="fr-CH"/>
        </w:rPr>
        <w:t xml:space="preserve">. </w:t>
      </w:r>
      <w:r>
        <w:rPr>
          <w:rFonts w:hint="cs"/>
          <w:rtl/>
          <w:lang w:val="fr-CH"/>
        </w:rPr>
        <w:t>ويجب ألا تستخدم تلك الإجراءات بأية وسيلة من الوسائل لتقييد ممارسة الحقوق المشروعة في الدفاع.</w:t>
      </w:r>
    </w:p>
    <w:p w:rsidR="00F27EBD" w:rsidRDefault="00F27EBD" w:rsidP="00017911">
      <w:pPr>
        <w:pStyle w:val="SingleTxtGA"/>
        <w:rPr>
          <w:rFonts w:hint="cs"/>
          <w:spacing w:val="2"/>
          <w:rtl/>
        </w:rPr>
      </w:pPr>
      <w:r>
        <w:rPr>
          <w:rFonts w:hint="cs"/>
          <w:rtl/>
          <w:lang w:val="fr-CH"/>
        </w:rPr>
        <w:t>32-</w:t>
      </w:r>
      <w:r w:rsidR="00017911">
        <w:rPr>
          <w:rFonts w:hint="cs"/>
          <w:rtl/>
          <w:lang w:val="fr-CH"/>
        </w:rPr>
        <w:tab/>
      </w:r>
      <w:r>
        <w:rPr>
          <w:rFonts w:hint="cs"/>
          <w:rtl/>
          <w:lang w:val="fr-CH"/>
        </w:rPr>
        <w:t xml:space="preserve">ولاحظت اللجنة في التعليق العام رقم 22 أن </w:t>
      </w:r>
      <w:r>
        <w:rPr>
          <w:rFonts w:hint="cs"/>
          <w:spacing w:val="2"/>
          <w:rtl/>
        </w:rPr>
        <w:t>"</w:t>
      </w:r>
      <w:r w:rsidRPr="002A2C22">
        <w:rPr>
          <w:spacing w:val="2"/>
          <w:rtl/>
        </w:rPr>
        <w:t>مفهوم الأخلاق مستمد من تقاليد اجتماعية وفلسفية ودينية عديدة؛ وعليه</w:t>
      </w:r>
      <w:r w:rsidRPr="002A2C22">
        <w:rPr>
          <w:rFonts w:hint="cs"/>
          <w:spacing w:val="2"/>
          <w:rtl/>
        </w:rPr>
        <w:t>،</w:t>
      </w:r>
      <w:r w:rsidRPr="002A2C22">
        <w:rPr>
          <w:spacing w:val="2"/>
          <w:rtl/>
        </w:rPr>
        <w:t xml:space="preserve"> يجب أن تستند القيود المفروضة </w:t>
      </w:r>
      <w:r w:rsidR="00194A37">
        <w:rPr>
          <w:rFonts w:hint="cs"/>
          <w:spacing w:val="2"/>
          <w:rtl/>
        </w:rPr>
        <w:t xml:space="preserve">... </w:t>
      </w:r>
      <w:r w:rsidRPr="002A2C22">
        <w:rPr>
          <w:spacing w:val="2"/>
          <w:rtl/>
        </w:rPr>
        <w:t>بغرض حماية الأخلاق إلى مبادئ غير مستمدة حصراً من تقليد واحد</w:t>
      </w:r>
      <w:r w:rsidR="00194A37">
        <w:rPr>
          <w:rFonts w:hint="cs"/>
          <w:spacing w:val="2"/>
          <w:rtl/>
        </w:rPr>
        <w:t>"</w:t>
      </w:r>
      <w:r w:rsidRPr="002A2C22">
        <w:rPr>
          <w:spacing w:val="2"/>
          <w:rtl/>
        </w:rPr>
        <w:t>.</w:t>
      </w:r>
      <w:r>
        <w:rPr>
          <w:rFonts w:hint="cs"/>
          <w:spacing w:val="2"/>
          <w:rtl/>
        </w:rPr>
        <w:t xml:space="preserve"> ويجب أن تفهم هذه القيود في ضوء عالمية حقوق الإنسان ومبدأ عدم التمييز.</w:t>
      </w:r>
    </w:p>
    <w:p w:rsidR="00F27EBD" w:rsidRDefault="00F27EBD" w:rsidP="00194A37">
      <w:pPr>
        <w:pStyle w:val="SingleTxtGA"/>
        <w:rPr>
          <w:rFonts w:hint="cs"/>
          <w:spacing w:val="2"/>
          <w:rtl/>
        </w:rPr>
      </w:pPr>
      <w:r>
        <w:rPr>
          <w:rFonts w:hint="cs"/>
          <w:spacing w:val="2"/>
          <w:rtl/>
        </w:rPr>
        <w:t>33-</w:t>
      </w:r>
      <w:r w:rsidR="00017911">
        <w:rPr>
          <w:rFonts w:hint="cs"/>
          <w:spacing w:val="2"/>
          <w:rtl/>
        </w:rPr>
        <w:tab/>
      </w:r>
      <w:r>
        <w:rPr>
          <w:rFonts w:hint="cs"/>
          <w:spacing w:val="2"/>
          <w:rtl/>
        </w:rPr>
        <w:t xml:space="preserve">ويجب أن تكون القيود </w:t>
      </w:r>
      <w:r w:rsidR="00194A37">
        <w:rPr>
          <w:rFonts w:hint="cs"/>
          <w:spacing w:val="2"/>
          <w:rtl/>
        </w:rPr>
        <w:t>"</w:t>
      </w:r>
      <w:r>
        <w:rPr>
          <w:rFonts w:hint="cs"/>
          <w:spacing w:val="2"/>
          <w:rtl/>
        </w:rPr>
        <w:t>ضرورية</w:t>
      </w:r>
      <w:r w:rsidR="00194A37">
        <w:rPr>
          <w:rFonts w:hint="cs"/>
          <w:spacing w:val="2"/>
          <w:rtl/>
        </w:rPr>
        <w:t>"</w:t>
      </w:r>
      <w:r>
        <w:rPr>
          <w:rFonts w:hint="cs"/>
          <w:spacing w:val="2"/>
          <w:rtl/>
        </w:rPr>
        <w:t xml:space="preserve"> لأغراض مشروعة. ولذلك، وعلى سبيل المثال، فإن فرض حظر على إعلان تجاري بلغة واحدة من أجل حماية لغة جماعة معينة ينتهك </w:t>
      </w:r>
      <w:r w:rsidR="00194A37">
        <w:rPr>
          <w:rFonts w:hint="cs"/>
          <w:spacing w:val="2"/>
          <w:rtl/>
        </w:rPr>
        <w:t>شرط</w:t>
      </w:r>
      <w:r>
        <w:rPr>
          <w:rFonts w:hint="cs"/>
          <w:spacing w:val="2"/>
          <w:rtl/>
        </w:rPr>
        <w:t xml:space="preserve"> الضرورة إذا كان بالإمكان توفير الحماية بطرق أخرى لا تحد من حرية التعبير</w:t>
      </w:r>
      <w:r w:rsidR="00017911" w:rsidRPr="00C94447">
        <w:rPr>
          <w:vertAlign w:val="superscript"/>
          <w:rtl/>
        </w:rPr>
        <w:t>(</w:t>
      </w:r>
      <w:r w:rsidR="00017911" w:rsidRPr="00C94447">
        <w:rPr>
          <w:rStyle w:val="FootnoteReference"/>
          <w:rtl/>
        </w:rPr>
        <w:footnoteReference w:id="70"/>
      </w:r>
      <w:r w:rsidR="00017911" w:rsidRPr="00C94447">
        <w:rPr>
          <w:vertAlign w:val="superscript"/>
          <w:rtl/>
        </w:rPr>
        <w:t>)</w:t>
      </w:r>
      <w:r>
        <w:rPr>
          <w:rFonts w:hint="cs"/>
          <w:spacing w:val="2"/>
          <w:rtl/>
        </w:rPr>
        <w:t xml:space="preserve">. ومن جهة أخرى، رأت اللجنة أن إحدى الدول الأطراف امتثلت </w:t>
      </w:r>
      <w:r w:rsidR="00194A37">
        <w:rPr>
          <w:rFonts w:hint="cs"/>
          <w:spacing w:val="2"/>
          <w:rtl/>
        </w:rPr>
        <w:t xml:space="preserve">لشرط </w:t>
      </w:r>
      <w:r>
        <w:rPr>
          <w:rFonts w:hint="cs"/>
          <w:spacing w:val="2"/>
          <w:rtl/>
        </w:rPr>
        <w:t xml:space="preserve">الضرورة عندما نقلت مدرساً في </w:t>
      </w:r>
      <w:r w:rsidR="00194A37">
        <w:rPr>
          <w:rFonts w:hint="cs"/>
          <w:spacing w:val="2"/>
          <w:rtl/>
        </w:rPr>
        <w:t>إحدى المناطق ال</w:t>
      </w:r>
      <w:r>
        <w:rPr>
          <w:rFonts w:hint="cs"/>
          <w:spacing w:val="2"/>
          <w:rtl/>
        </w:rPr>
        <w:t xml:space="preserve">تعليمية إلى وظيفة أخرى غير التدريس لأنه قام بنشر مواد </w:t>
      </w:r>
      <w:r w:rsidR="00194A37">
        <w:rPr>
          <w:rFonts w:hint="cs"/>
          <w:spacing w:val="2"/>
          <w:rtl/>
        </w:rPr>
        <w:t xml:space="preserve">تنطوي على </w:t>
      </w:r>
      <w:r>
        <w:rPr>
          <w:rFonts w:hint="cs"/>
          <w:spacing w:val="2"/>
          <w:rtl/>
        </w:rPr>
        <w:t>العداء لجماعة دينية</w:t>
      </w:r>
      <w:r w:rsidR="00194A37">
        <w:rPr>
          <w:rFonts w:hint="cs"/>
          <w:spacing w:val="2"/>
          <w:rtl/>
        </w:rPr>
        <w:t>،</w:t>
      </w:r>
      <w:r>
        <w:rPr>
          <w:rFonts w:hint="cs"/>
          <w:spacing w:val="2"/>
          <w:rtl/>
        </w:rPr>
        <w:t xml:space="preserve"> وذلك من أجل حماية حق الأطفال الذين ينتمون إلى عقيدة تلك الجماعة وحريتهم</w:t>
      </w:r>
      <w:r w:rsidR="00017911" w:rsidRPr="00C94447">
        <w:rPr>
          <w:vertAlign w:val="superscript"/>
          <w:rtl/>
        </w:rPr>
        <w:t>(</w:t>
      </w:r>
      <w:r w:rsidR="00017911" w:rsidRPr="00C94447">
        <w:rPr>
          <w:rStyle w:val="FootnoteReference"/>
          <w:rtl/>
        </w:rPr>
        <w:footnoteReference w:id="71"/>
      </w:r>
      <w:r w:rsidR="00017911" w:rsidRPr="00C94447">
        <w:rPr>
          <w:vertAlign w:val="superscript"/>
          <w:rtl/>
        </w:rPr>
        <w:t>)</w:t>
      </w:r>
      <w:r>
        <w:rPr>
          <w:rFonts w:hint="cs"/>
          <w:spacing w:val="2"/>
          <w:rtl/>
        </w:rPr>
        <w:t>.</w:t>
      </w:r>
      <w:r w:rsidRPr="002A2C22">
        <w:rPr>
          <w:spacing w:val="2"/>
          <w:rtl/>
        </w:rPr>
        <w:t xml:space="preserve"> </w:t>
      </w:r>
    </w:p>
    <w:p w:rsidR="00F27EBD" w:rsidRDefault="00F27EBD" w:rsidP="00194A37">
      <w:pPr>
        <w:pStyle w:val="SingleTxtGA"/>
        <w:rPr>
          <w:rFonts w:hint="cs"/>
          <w:spacing w:val="2"/>
          <w:rtl/>
        </w:rPr>
      </w:pPr>
      <w:r>
        <w:rPr>
          <w:rFonts w:hint="cs"/>
          <w:spacing w:val="2"/>
          <w:rtl/>
        </w:rPr>
        <w:t>34-</w:t>
      </w:r>
      <w:r w:rsidR="00017911">
        <w:rPr>
          <w:rFonts w:hint="cs"/>
          <w:spacing w:val="2"/>
          <w:rtl/>
        </w:rPr>
        <w:tab/>
      </w:r>
      <w:r>
        <w:rPr>
          <w:rFonts w:hint="cs"/>
          <w:spacing w:val="2"/>
          <w:rtl/>
          <w:lang w:bidi="ar-SY"/>
        </w:rPr>
        <w:t>ويج</w:t>
      </w:r>
      <w:r w:rsidR="00017911">
        <w:rPr>
          <w:rFonts w:hint="cs"/>
          <w:spacing w:val="2"/>
          <w:rtl/>
          <w:lang w:bidi="ar-SY"/>
        </w:rPr>
        <w:t>ـ</w:t>
      </w:r>
      <w:r>
        <w:rPr>
          <w:rFonts w:hint="cs"/>
          <w:spacing w:val="2"/>
          <w:rtl/>
          <w:lang w:bidi="ar-SY"/>
        </w:rPr>
        <w:t>ب ألا تكون القيود المفروضة م</w:t>
      </w:r>
      <w:r w:rsidR="00194A37">
        <w:rPr>
          <w:rFonts w:hint="cs"/>
          <w:spacing w:val="2"/>
          <w:rtl/>
          <w:lang w:bidi="ar-SY"/>
        </w:rPr>
        <w:t>فرطة</w:t>
      </w:r>
      <w:r>
        <w:rPr>
          <w:rFonts w:hint="cs"/>
          <w:spacing w:val="2"/>
          <w:rtl/>
          <w:lang w:bidi="ar-SY"/>
        </w:rPr>
        <w:t>. و</w:t>
      </w:r>
      <w:r w:rsidR="00194A37">
        <w:rPr>
          <w:rFonts w:hint="cs"/>
          <w:spacing w:val="2"/>
          <w:rtl/>
          <w:lang w:bidi="ar-SY"/>
        </w:rPr>
        <w:t xml:space="preserve">قد </w:t>
      </w:r>
      <w:r>
        <w:rPr>
          <w:rFonts w:hint="cs"/>
          <w:spacing w:val="2"/>
          <w:rtl/>
          <w:lang w:bidi="ar-SY"/>
        </w:rPr>
        <w:t>لاحظت اللجنة في التعليق العام رقم 27 أن "</w:t>
      </w:r>
      <w:r w:rsidRPr="002A2C22">
        <w:rPr>
          <w:rFonts w:hint="cs"/>
          <w:spacing w:val="2"/>
          <w:rtl/>
        </w:rPr>
        <w:t xml:space="preserve">التدابير </w:t>
      </w:r>
      <w:proofErr w:type="spellStart"/>
      <w:r w:rsidRPr="002A2C22">
        <w:rPr>
          <w:rFonts w:hint="cs"/>
          <w:spacing w:val="2"/>
          <w:rtl/>
        </w:rPr>
        <w:t>التقييدية</w:t>
      </w:r>
      <w:proofErr w:type="spellEnd"/>
      <w:r>
        <w:rPr>
          <w:rFonts w:hint="cs"/>
          <w:spacing w:val="2"/>
          <w:rtl/>
        </w:rPr>
        <w:t xml:space="preserve"> يجب أن تتمشى</w:t>
      </w:r>
      <w:r w:rsidRPr="002A2C22">
        <w:rPr>
          <w:rFonts w:hint="cs"/>
          <w:spacing w:val="2"/>
          <w:rtl/>
        </w:rPr>
        <w:t xml:space="preserve"> مع مبدأ التناسب</w:t>
      </w:r>
      <w:r>
        <w:rPr>
          <w:rFonts w:hint="cs"/>
          <w:spacing w:val="2"/>
          <w:rtl/>
        </w:rPr>
        <w:t>،</w:t>
      </w:r>
      <w:r w:rsidRPr="002A2C22">
        <w:rPr>
          <w:rFonts w:hint="cs"/>
          <w:spacing w:val="2"/>
          <w:rtl/>
        </w:rPr>
        <w:t xml:space="preserve"> ويجب أن تكون مناسبة لتحقيق وظيفتها </w:t>
      </w:r>
      <w:proofErr w:type="spellStart"/>
      <w:r w:rsidRPr="002A2C22">
        <w:rPr>
          <w:rFonts w:hint="cs"/>
          <w:spacing w:val="2"/>
          <w:rtl/>
        </w:rPr>
        <w:t>الحمائية</w:t>
      </w:r>
      <w:proofErr w:type="spellEnd"/>
      <w:r>
        <w:rPr>
          <w:rFonts w:hint="cs"/>
          <w:spacing w:val="2"/>
          <w:rtl/>
        </w:rPr>
        <w:t>،</w:t>
      </w:r>
      <w:r w:rsidRPr="002A2C22">
        <w:rPr>
          <w:rFonts w:hint="cs"/>
          <w:spacing w:val="2"/>
          <w:rtl/>
        </w:rPr>
        <w:t xml:space="preserve"> ويجب أن تكون أقل الوسائل تدخلاً مقارنة بغيرها من الوسائل التي يمكن أن تحقق النتيجة المنشودة</w:t>
      </w:r>
      <w:r>
        <w:rPr>
          <w:rFonts w:hint="cs"/>
          <w:spacing w:val="2"/>
          <w:rtl/>
        </w:rPr>
        <w:t>،</w:t>
      </w:r>
      <w:r w:rsidRPr="002A2C22">
        <w:rPr>
          <w:rFonts w:hint="cs"/>
          <w:spacing w:val="2"/>
          <w:rtl/>
        </w:rPr>
        <w:t xml:space="preserve"> ويجب أن تكون متناسبة مع المصلح</w:t>
      </w:r>
      <w:r w:rsidR="00FE1545">
        <w:rPr>
          <w:rFonts w:hint="cs"/>
          <w:spacing w:val="2"/>
          <w:rtl/>
        </w:rPr>
        <w:t>ـ</w:t>
      </w:r>
      <w:r w:rsidRPr="002A2C22">
        <w:rPr>
          <w:rFonts w:hint="cs"/>
          <w:spacing w:val="2"/>
          <w:rtl/>
        </w:rPr>
        <w:t>ة ال</w:t>
      </w:r>
      <w:r w:rsidR="00FE1545">
        <w:rPr>
          <w:rFonts w:hint="cs"/>
          <w:spacing w:val="2"/>
          <w:rtl/>
        </w:rPr>
        <w:t>ـ</w:t>
      </w:r>
      <w:r w:rsidRPr="002A2C22">
        <w:rPr>
          <w:rFonts w:hint="cs"/>
          <w:spacing w:val="2"/>
          <w:rtl/>
        </w:rPr>
        <w:t>تي ستحميها</w:t>
      </w:r>
      <w:r>
        <w:rPr>
          <w:rFonts w:hint="cs"/>
          <w:rtl/>
        </w:rPr>
        <w:t xml:space="preserve"> </w:t>
      </w:r>
      <w:r w:rsidR="00FE1545">
        <w:rPr>
          <w:rFonts w:hint="cs"/>
          <w:rtl/>
        </w:rPr>
        <w:t xml:space="preserve">... </w:t>
      </w:r>
      <w:r w:rsidRPr="002A2C22">
        <w:rPr>
          <w:rFonts w:hint="cs"/>
          <w:spacing w:val="2"/>
          <w:rtl/>
        </w:rPr>
        <w:t>ولا بد من احترام مبدأ التناسب، لا في القانون الذي يحدد إطار القيود وحده، بل أيضاً في تطبيقه من جانب السلطات الإدارية والقضائية</w:t>
      </w:r>
      <w:r w:rsidR="00194A37">
        <w:rPr>
          <w:rFonts w:hint="cs"/>
          <w:spacing w:val="2"/>
          <w:rtl/>
        </w:rPr>
        <w:t>"</w:t>
      </w:r>
      <w:r w:rsidR="00017911" w:rsidRPr="00C94447">
        <w:rPr>
          <w:vertAlign w:val="superscript"/>
          <w:rtl/>
        </w:rPr>
        <w:t>(</w:t>
      </w:r>
      <w:r w:rsidR="00017911" w:rsidRPr="00C94447">
        <w:rPr>
          <w:rStyle w:val="FootnoteReference"/>
          <w:rtl/>
        </w:rPr>
        <w:footnoteReference w:id="72"/>
      </w:r>
      <w:r w:rsidR="00017911" w:rsidRPr="00C94447">
        <w:rPr>
          <w:vertAlign w:val="superscript"/>
          <w:rtl/>
        </w:rPr>
        <w:t>)</w:t>
      </w:r>
      <w:r w:rsidRPr="002A2C22">
        <w:rPr>
          <w:rFonts w:hint="cs"/>
          <w:spacing w:val="2"/>
          <w:rtl/>
        </w:rPr>
        <w:t xml:space="preserve">. </w:t>
      </w:r>
      <w:r>
        <w:rPr>
          <w:rFonts w:hint="cs"/>
          <w:spacing w:val="2"/>
          <w:rtl/>
        </w:rPr>
        <w:t xml:space="preserve">ويجب أيضاً أن يراعي مبدأ التناسب شكل التعبير موضع النظر فضلاً عن وسائل نشره. وعلى سبيل المثال، يولي العهد أهمية بالغة </w:t>
      </w:r>
      <w:r w:rsidR="00194A37">
        <w:rPr>
          <w:rFonts w:hint="cs"/>
          <w:spacing w:val="2"/>
          <w:rtl/>
        </w:rPr>
        <w:t xml:space="preserve">بشكل استثنائي </w:t>
      </w:r>
      <w:r>
        <w:rPr>
          <w:rFonts w:hint="cs"/>
          <w:spacing w:val="2"/>
          <w:rtl/>
        </w:rPr>
        <w:t>للتعبير</w:t>
      </w:r>
      <w:r>
        <w:rPr>
          <w:rFonts w:hint="cs"/>
          <w:rtl/>
          <w:lang w:bidi="ar"/>
        </w:rPr>
        <w:t xml:space="preserve"> الحر في حالات النقاش العام الذي يتناول في مجتمعٍ ديمقراطي شخصيات </w:t>
      </w:r>
      <w:r w:rsidR="00194A37">
        <w:rPr>
          <w:rFonts w:hint="cs"/>
          <w:rtl/>
          <w:lang w:bidi="ar"/>
        </w:rPr>
        <w:t xml:space="preserve">موجودة في المجال </w:t>
      </w:r>
      <w:r>
        <w:rPr>
          <w:rFonts w:hint="cs"/>
          <w:rtl/>
          <w:lang w:bidi="ar"/>
        </w:rPr>
        <w:t>العام والسياسي</w:t>
      </w:r>
      <w:r w:rsidR="00017911" w:rsidRPr="00C94447">
        <w:rPr>
          <w:vertAlign w:val="superscript"/>
          <w:rtl/>
        </w:rPr>
        <w:t>(</w:t>
      </w:r>
      <w:r w:rsidR="00017911" w:rsidRPr="00C94447">
        <w:rPr>
          <w:rStyle w:val="FootnoteReference"/>
          <w:rtl/>
        </w:rPr>
        <w:footnoteReference w:id="73"/>
      </w:r>
      <w:r w:rsidR="00017911" w:rsidRPr="00C94447">
        <w:rPr>
          <w:vertAlign w:val="superscript"/>
          <w:rtl/>
        </w:rPr>
        <w:t>)</w:t>
      </w:r>
      <w:r>
        <w:rPr>
          <w:rFonts w:hint="cs"/>
          <w:rtl/>
          <w:lang w:bidi="ar"/>
        </w:rPr>
        <w:t>.</w:t>
      </w:r>
      <w:r>
        <w:rPr>
          <w:rFonts w:hint="cs"/>
          <w:spacing w:val="2"/>
          <w:rtl/>
        </w:rPr>
        <w:t xml:space="preserve"> </w:t>
      </w:r>
    </w:p>
    <w:p w:rsidR="00F27EBD" w:rsidRDefault="00F27EBD" w:rsidP="00194A37">
      <w:pPr>
        <w:pStyle w:val="SingleTxtGA"/>
        <w:rPr>
          <w:rFonts w:hint="cs"/>
          <w:spacing w:val="2"/>
          <w:rtl/>
          <w:lang w:bidi="ar-SY"/>
        </w:rPr>
      </w:pPr>
      <w:r>
        <w:rPr>
          <w:rFonts w:hint="cs"/>
          <w:spacing w:val="2"/>
          <w:rtl/>
          <w:lang w:bidi="ar-SY"/>
        </w:rPr>
        <w:t>35-</w:t>
      </w:r>
      <w:r w:rsidR="00017911">
        <w:rPr>
          <w:rFonts w:hint="cs"/>
          <w:spacing w:val="2"/>
          <w:rtl/>
          <w:lang w:bidi="ar-SY"/>
        </w:rPr>
        <w:tab/>
      </w:r>
      <w:r>
        <w:rPr>
          <w:rFonts w:hint="cs"/>
          <w:spacing w:val="2"/>
          <w:rtl/>
          <w:lang w:bidi="ar-SY"/>
        </w:rPr>
        <w:t xml:space="preserve">وعندما </w:t>
      </w:r>
      <w:r w:rsidR="00194A37">
        <w:rPr>
          <w:rFonts w:hint="cs"/>
          <w:spacing w:val="2"/>
          <w:rtl/>
          <w:lang w:bidi="ar-SY"/>
        </w:rPr>
        <w:t>تحتج</w:t>
      </w:r>
      <w:r>
        <w:rPr>
          <w:rFonts w:hint="cs"/>
          <w:spacing w:val="2"/>
          <w:rtl/>
          <w:lang w:bidi="ar-SY"/>
        </w:rPr>
        <w:t xml:space="preserve"> دولة طرف بأساس مشروع لفرض قيود على حرية التعبير، فإن عليها أن تثبت بطريقة محددة وخاصة بكل </w:t>
      </w:r>
      <w:r w:rsidR="00194A37">
        <w:rPr>
          <w:rFonts w:hint="cs"/>
          <w:spacing w:val="2"/>
          <w:rtl/>
          <w:lang w:bidi="ar-SY"/>
        </w:rPr>
        <w:t xml:space="preserve">حالة </w:t>
      </w:r>
      <w:r>
        <w:rPr>
          <w:rFonts w:hint="cs"/>
          <w:spacing w:val="2"/>
          <w:rtl/>
          <w:lang w:bidi="ar-SY"/>
        </w:rPr>
        <w:t>على حدة الطبيعة المحددة للتهديد</w:t>
      </w:r>
      <w:r w:rsidR="00194A37">
        <w:rPr>
          <w:rFonts w:hint="cs"/>
          <w:spacing w:val="2"/>
          <w:rtl/>
          <w:lang w:bidi="ar-SY"/>
        </w:rPr>
        <w:t>،</w:t>
      </w:r>
      <w:r>
        <w:rPr>
          <w:rFonts w:hint="cs"/>
          <w:spacing w:val="2"/>
          <w:rtl/>
          <w:lang w:bidi="ar-SY"/>
        </w:rPr>
        <w:t xml:space="preserve"> وضرورة الإجراء المعين المتخذ ومدى تناسبه، ولا</w:t>
      </w:r>
      <w:r w:rsidR="00017911">
        <w:rPr>
          <w:rFonts w:hint="cs"/>
          <w:spacing w:val="2"/>
          <w:rtl/>
          <w:lang w:bidi="ar-SY"/>
        </w:rPr>
        <w:t xml:space="preserve"> </w:t>
      </w:r>
      <w:proofErr w:type="spellStart"/>
      <w:r>
        <w:rPr>
          <w:rFonts w:hint="cs"/>
          <w:spacing w:val="2"/>
          <w:rtl/>
          <w:lang w:bidi="ar-SY"/>
        </w:rPr>
        <w:t>سيما</w:t>
      </w:r>
      <w:proofErr w:type="spellEnd"/>
      <w:r>
        <w:rPr>
          <w:rFonts w:hint="cs"/>
          <w:spacing w:val="2"/>
          <w:rtl/>
          <w:lang w:bidi="ar-SY"/>
        </w:rPr>
        <w:t xml:space="preserve"> بإقامة صلة مباشرة و</w:t>
      </w:r>
      <w:r w:rsidR="00194A37">
        <w:rPr>
          <w:rFonts w:hint="cs"/>
          <w:spacing w:val="2"/>
          <w:rtl/>
          <w:lang w:bidi="ar-SY"/>
        </w:rPr>
        <w:t>واضحة</w:t>
      </w:r>
      <w:r>
        <w:rPr>
          <w:rFonts w:hint="cs"/>
          <w:spacing w:val="2"/>
          <w:rtl/>
          <w:lang w:bidi="ar-SY"/>
        </w:rPr>
        <w:t xml:space="preserve"> بين التعبير والتهديد</w:t>
      </w:r>
      <w:r w:rsidR="00017911" w:rsidRPr="00C94447">
        <w:rPr>
          <w:vertAlign w:val="superscript"/>
          <w:rtl/>
        </w:rPr>
        <w:t>(</w:t>
      </w:r>
      <w:r w:rsidR="00017911" w:rsidRPr="00C94447">
        <w:rPr>
          <w:rStyle w:val="FootnoteReference"/>
          <w:rtl/>
        </w:rPr>
        <w:footnoteReference w:id="74"/>
      </w:r>
      <w:r w:rsidR="00017911" w:rsidRPr="00C94447">
        <w:rPr>
          <w:vertAlign w:val="superscript"/>
          <w:rtl/>
        </w:rPr>
        <w:t>)</w:t>
      </w:r>
      <w:r>
        <w:rPr>
          <w:rFonts w:hint="cs"/>
          <w:spacing w:val="2"/>
          <w:rtl/>
          <w:lang w:bidi="ar-SY"/>
        </w:rPr>
        <w:t>.</w:t>
      </w:r>
    </w:p>
    <w:p w:rsidR="00F27EBD" w:rsidRDefault="00F27EBD" w:rsidP="00194A37">
      <w:pPr>
        <w:pStyle w:val="SingleTxtGA"/>
        <w:rPr>
          <w:rFonts w:hint="cs"/>
          <w:spacing w:val="2"/>
          <w:rtl/>
          <w:lang w:bidi="ar-SY"/>
        </w:rPr>
      </w:pPr>
      <w:r>
        <w:rPr>
          <w:rFonts w:hint="cs"/>
          <w:spacing w:val="2"/>
          <w:rtl/>
          <w:lang w:bidi="ar-SY"/>
        </w:rPr>
        <w:t>36-</w:t>
      </w:r>
      <w:r w:rsidR="00017911">
        <w:rPr>
          <w:rFonts w:hint="cs"/>
          <w:spacing w:val="2"/>
          <w:rtl/>
          <w:lang w:bidi="ar-SY"/>
        </w:rPr>
        <w:tab/>
      </w:r>
      <w:r>
        <w:rPr>
          <w:rFonts w:hint="cs"/>
          <w:spacing w:val="2"/>
          <w:rtl/>
          <w:lang w:bidi="ar-SY"/>
        </w:rPr>
        <w:t>وتحتفظ اللجنة لنفسها بتقييم ما إذا كانت هناك في حالة معينة ظروف تستدعي ضرورة فرض قيود على حرية التعبير</w:t>
      </w:r>
      <w:r w:rsidR="00017911" w:rsidRPr="00C94447">
        <w:rPr>
          <w:vertAlign w:val="superscript"/>
          <w:rtl/>
        </w:rPr>
        <w:t>(</w:t>
      </w:r>
      <w:r w:rsidR="00017911" w:rsidRPr="00C94447">
        <w:rPr>
          <w:rStyle w:val="FootnoteReference"/>
          <w:rtl/>
        </w:rPr>
        <w:footnoteReference w:id="75"/>
      </w:r>
      <w:r w:rsidR="00017911" w:rsidRPr="00C94447">
        <w:rPr>
          <w:vertAlign w:val="superscript"/>
          <w:rtl/>
        </w:rPr>
        <w:t>)</w:t>
      </w:r>
      <w:r>
        <w:rPr>
          <w:rFonts w:hint="cs"/>
          <w:spacing w:val="2"/>
          <w:rtl/>
          <w:lang w:bidi="ar-SY"/>
        </w:rPr>
        <w:t xml:space="preserve">. وفي هذا الخصوص، تشير اللجنة إلى أن نطاق هذه الحرية لا يمكن تقييمه بالإشارة إلى </w:t>
      </w:r>
      <w:r w:rsidR="00194A37">
        <w:rPr>
          <w:rFonts w:hint="cs"/>
          <w:spacing w:val="2"/>
          <w:rtl/>
          <w:lang w:bidi="ar-SY"/>
        </w:rPr>
        <w:t>"</w:t>
      </w:r>
      <w:r>
        <w:rPr>
          <w:rFonts w:hint="cs"/>
          <w:spacing w:val="2"/>
          <w:rtl/>
          <w:lang w:bidi="ar-SY"/>
        </w:rPr>
        <w:t>هامش تقديري</w:t>
      </w:r>
      <w:r w:rsidR="00194A37">
        <w:rPr>
          <w:rFonts w:hint="cs"/>
          <w:spacing w:val="2"/>
          <w:rtl/>
          <w:lang w:bidi="ar-SY"/>
        </w:rPr>
        <w:t>"</w:t>
      </w:r>
      <w:r w:rsidR="00017911" w:rsidRPr="00C94447">
        <w:rPr>
          <w:vertAlign w:val="superscript"/>
          <w:rtl/>
        </w:rPr>
        <w:t>(</w:t>
      </w:r>
      <w:r w:rsidR="00017911" w:rsidRPr="00C94447">
        <w:rPr>
          <w:rStyle w:val="FootnoteReference"/>
          <w:rtl/>
        </w:rPr>
        <w:footnoteReference w:id="76"/>
      </w:r>
      <w:r w:rsidR="00017911" w:rsidRPr="00C94447">
        <w:rPr>
          <w:vertAlign w:val="superscript"/>
          <w:rtl/>
        </w:rPr>
        <w:t>)</w:t>
      </w:r>
      <w:r w:rsidR="00194A37">
        <w:rPr>
          <w:rFonts w:hint="cs"/>
          <w:spacing w:val="2"/>
          <w:rtl/>
          <w:lang w:bidi="ar-SY"/>
        </w:rPr>
        <w:t xml:space="preserve">. </w:t>
      </w:r>
      <w:r>
        <w:rPr>
          <w:rFonts w:hint="cs"/>
          <w:spacing w:val="2"/>
          <w:rtl/>
          <w:lang w:bidi="ar-SY"/>
        </w:rPr>
        <w:t xml:space="preserve">ولكي تتمكن اللجنة من الاضطلاع بهذه المهمة، يجب على الدولة الطرف، في </w:t>
      </w:r>
      <w:r w:rsidR="00194A37">
        <w:rPr>
          <w:rFonts w:hint="cs"/>
          <w:spacing w:val="2"/>
          <w:rtl/>
          <w:lang w:bidi="ar-SY"/>
        </w:rPr>
        <w:t>ال</w:t>
      </w:r>
      <w:r>
        <w:rPr>
          <w:rFonts w:hint="cs"/>
          <w:spacing w:val="2"/>
          <w:rtl/>
          <w:lang w:bidi="ar-SY"/>
        </w:rPr>
        <w:t xml:space="preserve">حالة </w:t>
      </w:r>
      <w:r w:rsidR="00194A37">
        <w:rPr>
          <w:rFonts w:hint="cs"/>
          <w:spacing w:val="2"/>
          <w:rtl/>
          <w:lang w:bidi="ar-SY"/>
        </w:rPr>
        <w:t>ال</w:t>
      </w:r>
      <w:r>
        <w:rPr>
          <w:rFonts w:hint="cs"/>
          <w:spacing w:val="2"/>
          <w:rtl/>
          <w:lang w:bidi="ar-SY"/>
        </w:rPr>
        <w:t xml:space="preserve">معينة، </w:t>
      </w:r>
      <w:r w:rsidR="00194A37">
        <w:rPr>
          <w:rFonts w:hint="cs"/>
          <w:spacing w:val="2"/>
          <w:rtl/>
          <w:lang w:bidi="ar-SY"/>
        </w:rPr>
        <w:t xml:space="preserve">أن تثبت </w:t>
      </w:r>
      <w:r>
        <w:rPr>
          <w:rFonts w:hint="cs"/>
          <w:spacing w:val="2"/>
          <w:rtl/>
          <w:lang w:bidi="ar-SY"/>
        </w:rPr>
        <w:t xml:space="preserve">بطريقة </w:t>
      </w:r>
      <w:r w:rsidR="00194A37">
        <w:rPr>
          <w:rFonts w:hint="cs"/>
          <w:spacing w:val="2"/>
          <w:rtl/>
          <w:lang w:bidi="ar-SY"/>
        </w:rPr>
        <w:t>محددة</w:t>
      </w:r>
      <w:r>
        <w:rPr>
          <w:rFonts w:hint="cs"/>
          <w:spacing w:val="2"/>
          <w:rtl/>
          <w:lang w:bidi="ar-SY"/>
        </w:rPr>
        <w:t xml:space="preserve">، الطبيعة </w:t>
      </w:r>
      <w:r w:rsidR="00194A37">
        <w:rPr>
          <w:rFonts w:hint="cs"/>
          <w:spacing w:val="2"/>
          <w:rtl/>
          <w:lang w:bidi="ar-SY"/>
        </w:rPr>
        <w:t xml:space="preserve">الدقيقة </w:t>
      </w:r>
      <w:r>
        <w:rPr>
          <w:rFonts w:hint="cs"/>
          <w:spacing w:val="2"/>
          <w:rtl/>
          <w:lang w:bidi="ar-SY"/>
        </w:rPr>
        <w:t>للتهديد الذي ينال من أي أساس من الأسس الواردة في الفقرة 3 الذي دفعها إلى فرض قيود على حرية التعبير</w:t>
      </w:r>
      <w:r w:rsidR="00017911" w:rsidRPr="00C94447">
        <w:rPr>
          <w:vertAlign w:val="superscript"/>
          <w:rtl/>
        </w:rPr>
        <w:t>(</w:t>
      </w:r>
      <w:r w:rsidR="00017911" w:rsidRPr="00C94447">
        <w:rPr>
          <w:rStyle w:val="FootnoteReference"/>
          <w:rtl/>
        </w:rPr>
        <w:footnoteReference w:id="77"/>
      </w:r>
      <w:r w:rsidR="00017911" w:rsidRPr="00C94447">
        <w:rPr>
          <w:vertAlign w:val="superscript"/>
          <w:rtl/>
        </w:rPr>
        <w:t>)</w:t>
      </w:r>
      <w:r>
        <w:rPr>
          <w:rFonts w:hint="cs"/>
          <w:spacing w:val="2"/>
          <w:rtl/>
          <w:lang w:bidi="ar-SY"/>
        </w:rPr>
        <w:t>.</w:t>
      </w:r>
    </w:p>
    <w:p w:rsidR="00F27EBD" w:rsidRPr="00406FB9" w:rsidRDefault="00017911" w:rsidP="00194A37">
      <w:pPr>
        <w:pStyle w:val="H23GA"/>
        <w:rPr>
          <w:rFonts w:hint="cs"/>
          <w:rtl/>
          <w:lang w:bidi="ar-SY"/>
        </w:rPr>
      </w:pPr>
      <w:r>
        <w:rPr>
          <w:rFonts w:hint="cs"/>
          <w:rtl/>
          <w:lang w:bidi="ar-SY"/>
        </w:rPr>
        <w:tab/>
      </w:r>
      <w:r>
        <w:rPr>
          <w:rFonts w:hint="cs"/>
          <w:rtl/>
          <w:lang w:bidi="ar-SY"/>
        </w:rPr>
        <w:tab/>
      </w:r>
      <w:r w:rsidR="00F27EBD" w:rsidRPr="00406FB9">
        <w:rPr>
          <w:rFonts w:hint="cs"/>
          <w:rtl/>
          <w:lang w:bidi="ar-SY"/>
        </w:rPr>
        <w:t>نطاق محدود</w:t>
      </w:r>
      <w:r w:rsidR="00194A37">
        <w:rPr>
          <w:rFonts w:hint="cs"/>
          <w:rtl/>
          <w:lang w:bidi="ar-SY"/>
        </w:rPr>
        <w:t>ية</w:t>
      </w:r>
      <w:r w:rsidR="00F27EBD" w:rsidRPr="00406FB9">
        <w:rPr>
          <w:rFonts w:hint="cs"/>
          <w:rtl/>
          <w:lang w:bidi="ar-SY"/>
        </w:rPr>
        <w:t xml:space="preserve"> </w:t>
      </w:r>
      <w:r w:rsidR="00194A37">
        <w:rPr>
          <w:rFonts w:hint="cs"/>
          <w:rtl/>
          <w:lang w:bidi="ar-SY"/>
        </w:rPr>
        <w:t>ا</w:t>
      </w:r>
      <w:r w:rsidR="00F27EBD" w:rsidRPr="00406FB9">
        <w:rPr>
          <w:rFonts w:hint="cs"/>
          <w:rtl/>
          <w:lang w:bidi="ar-SY"/>
        </w:rPr>
        <w:t>لقيود المفروضة على حرية التعبير في بعض المجالات المحددة</w:t>
      </w:r>
    </w:p>
    <w:p w:rsidR="00F27EBD" w:rsidRDefault="00F27EBD" w:rsidP="00FE1545">
      <w:pPr>
        <w:pStyle w:val="SingleTxtGA"/>
        <w:rPr>
          <w:rFonts w:hint="cs"/>
          <w:spacing w:val="2"/>
          <w:rtl/>
          <w:lang w:bidi="ar-SY"/>
        </w:rPr>
      </w:pPr>
      <w:r>
        <w:rPr>
          <w:rFonts w:hint="cs"/>
          <w:spacing w:val="2"/>
          <w:rtl/>
          <w:lang w:bidi="ar-SY"/>
        </w:rPr>
        <w:t>37-</w:t>
      </w:r>
      <w:r w:rsidR="00017911">
        <w:rPr>
          <w:rFonts w:hint="cs"/>
          <w:spacing w:val="2"/>
          <w:rtl/>
          <w:lang w:bidi="ar-SY"/>
        </w:rPr>
        <w:tab/>
      </w:r>
      <w:r>
        <w:rPr>
          <w:rFonts w:hint="cs"/>
          <w:spacing w:val="2"/>
          <w:rtl/>
          <w:lang w:bidi="ar-SY"/>
        </w:rPr>
        <w:t>من بين القيود المفروضة على الخطاب السياسي التي تعتبر مصدر قلق للجنة حظر استطلاع الرأي من منزل إلى آخر</w:t>
      </w:r>
      <w:r w:rsidR="00017911" w:rsidRPr="00C94447">
        <w:rPr>
          <w:vertAlign w:val="superscript"/>
          <w:rtl/>
        </w:rPr>
        <w:t>(</w:t>
      </w:r>
      <w:r w:rsidR="00017911" w:rsidRPr="00C94447">
        <w:rPr>
          <w:rStyle w:val="FootnoteReference"/>
          <w:rtl/>
        </w:rPr>
        <w:footnoteReference w:id="78"/>
      </w:r>
      <w:r w:rsidR="00017911" w:rsidRPr="00C94447">
        <w:rPr>
          <w:vertAlign w:val="superscript"/>
          <w:rtl/>
        </w:rPr>
        <w:t>)</w:t>
      </w:r>
      <w:r>
        <w:rPr>
          <w:rFonts w:hint="cs"/>
          <w:spacing w:val="2"/>
          <w:rtl/>
          <w:lang w:bidi="ar-SY"/>
        </w:rPr>
        <w:t xml:space="preserve">، والقيود </w:t>
      </w:r>
      <w:r w:rsidR="004B7636">
        <w:rPr>
          <w:rFonts w:hint="cs"/>
          <w:spacing w:val="2"/>
          <w:rtl/>
          <w:lang w:bidi="ar-SY"/>
        </w:rPr>
        <w:t>التي تفرض</w:t>
      </w:r>
      <w:r>
        <w:rPr>
          <w:rFonts w:hint="cs"/>
          <w:spacing w:val="2"/>
          <w:rtl/>
          <w:lang w:bidi="ar-SY"/>
        </w:rPr>
        <w:t xml:space="preserve"> على عدد ونوع المواد المكتوبة التي قد توزع أثناء الحملات الانتخابية</w:t>
      </w:r>
      <w:r w:rsidR="00017911" w:rsidRPr="00C94447">
        <w:rPr>
          <w:vertAlign w:val="superscript"/>
          <w:rtl/>
        </w:rPr>
        <w:t>(</w:t>
      </w:r>
      <w:r w:rsidR="00017911" w:rsidRPr="00C94447">
        <w:rPr>
          <w:rStyle w:val="FootnoteReference"/>
          <w:rtl/>
        </w:rPr>
        <w:footnoteReference w:id="79"/>
      </w:r>
      <w:r w:rsidR="00017911" w:rsidRPr="00C94447">
        <w:rPr>
          <w:vertAlign w:val="superscript"/>
          <w:rtl/>
        </w:rPr>
        <w:t>)</w:t>
      </w:r>
      <w:r>
        <w:rPr>
          <w:rFonts w:hint="cs"/>
          <w:spacing w:val="2"/>
          <w:rtl/>
          <w:lang w:bidi="ar-SY"/>
        </w:rPr>
        <w:t>، و</w:t>
      </w:r>
      <w:r w:rsidR="004B7636">
        <w:rPr>
          <w:rFonts w:hint="cs"/>
          <w:spacing w:val="2"/>
          <w:rtl/>
          <w:lang w:bidi="ar-SY"/>
        </w:rPr>
        <w:t xml:space="preserve">حجب المصادر </w:t>
      </w:r>
      <w:r>
        <w:rPr>
          <w:rFonts w:hint="cs"/>
          <w:spacing w:val="2"/>
          <w:rtl/>
          <w:lang w:bidi="ar-SY"/>
        </w:rPr>
        <w:t xml:space="preserve">أثناء </w:t>
      </w:r>
      <w:r w:rsidR="004B7636">
        <w:rPr>
          <w:rFonts w:hint="cs"/>
          <w:spacing w:val="2"/>
          <w:rtl/>
          <w:lang w:bidi="ar-SY"/>
        </w:rPr>
        <w:t xml:space="preserve">الفترات </w:t>
      </w:r>
      <w:r>
        <w:rPr>
          <w:rFonts w:hint="cs"/>
          <w:spacing w:val="2"/>
          <w:rtl/>
          <w:lang w:bidi="ar-SY"/>
        </w:rPr>
        <w:t>الانتخابية بما في ذلك وسائط الإعلام المحلية والدولية والتعليقات السياسية</w:t>
      </w:r>
      <w:r w:rsidR="00017911" w:rsidRPr="00C94447">
        <w:rPr>
          <w:vertAlign w:val="superscript"/>
          <w:rtl/>
        </w:rPr>
        <w:t>(</w:t>
      </w:r>
      <w:r w:rsidR="00017911" w:rsidRPr="00C94447">
        <w:rPr>
          <w:rStyle w:val="FootnoteReference"/>
          <w:rtl/>
        </w:rPr>
        <w:footnoteReference w:id="80"/>
      </w:r>
      <w:r w:rsidR="00017911" w:rsidRPr="00C94447">
        <w:rPr>
          <w:vertAlign w:val="superscript"/>
          <w:rtl/>
        </w:rPr>
        <w:t>)</w:t>
      </w:r>
      <w:r>
        <w:rPr>
          <w:rFonts w:hint="cs"/>
          <w:spacing w:val="2"/>
          <w:rtl/>
          <w:lang w:bidi="ar-SY"/>
        </w:rPr>
        <w:t xml:space="preserve"> والحد من إمكانية وصول الأحزاب المعارضة والسياسيين إلى وسائط الإعلام</w:t>
      </w:r>
      <w:r w:rsidR="00017911" w:rsidRPr="00C94447">
        <w:rPr>
          <w:vertAlign w:val="superscript"/>
          <w:rtl/>
        </w:rPr>
        <w:t>(</w:t>
      </w:r>
      <w:r w:rsidR="00017911" w:rsidRPr="00C94447">
        <w:rPr>
          <w:rStyle w:val="FootnoteReference"/>
          <w:rtl/>
        </w:rPr>
        <w:footnoteReference w:id="81"/>
      </w:r>
      <w:r w:rsidR="00017911" w:rsidRPr="00C94447">
        <w:rPr>
          <w:vertAlign w:val="superscript"/>
          <w:rtl/>
        </w:rPr>
        <w:t>)</w:t>
      </w:r>
      <w:r>
        <w:rPr>
          <w:rFonts w:hint="cs"/>
          <w:spacing w:val="2"/>
          <w:rtl/>
          <w:lang w:bidi="ar-SY"/>
        </w:rPr>
        <w:t>. وينبغي أن يكون فرض أي قيد متلائماً مع الفقرة 3. بيد أنه يكون من ال</w:t>
      </w:r>
      <w:r w:rsidR="004B7636">
        <w:rPr>
          <w:rFonts w:hint="cs"/>
          <w:spacing w:val="2"/>
          <w:rtl/>
          <w:lang w:bidi="ar-SY"/>
        </w:rPr>
        <w:t>م</w:t>
      </w:r>
      <w:r>
        <w:rPr>
          <w:rFonts w:hint="cs"/>
          <w:spacing w:val="2"/>
          <w:rtl/>
          <w:lang w:bidi="ar-SY"/>
        </w:rPr>
        <w:t>شر</w:t>
      </w:r>
      <w:r w:rsidR="004B7636">
        <w:rPr>
          <w:rFonts w:hint="cs"/>
          <w:spacing w:val="2"/>
          <w:rtl/>
          <w:lang w:bidi="ar-SY"/>
        </w:rPr>
        <w:t>و</w:t>
      </w:r>
      <w:r>
        <w:rPr>
          <w:rFonts w:hint="cs"/>
          <w:spacing w:val="2"/>
          <w:rtl/>
          <w:lang w:bidi="ar-SY"/>
        </w:rPr>
        <w:t xml:space="preserve">ع للدولة الطرف أن تحد من </w:t>
      </w:r>
      <w:r w:rsidR="004B7636">
        <w:rPr>
          <w:rFonts w:hint="cs"/>
          <w:spacing w:val="2"/>
          <w:rtl/>
          <w:lang w:bidi="ar-SY"/>
        </w:rPr>
        <w:t>استطلاعات الرأي السياسية التي ت</w:t>
      </w:r>
      <w:r>
        <w:rPr>
          <w:rFonts w:hint="cs"/>
          <w:spacing w:val="2"/>
          <w:rtl/>
          <w:lang w:bidi="ar-SY"/>
        </w:rPr>
        <w:t>سبق الانتخاب</w:t>
      </w:r>
      <w:r w:rsidR="004B7636">
        <w:rPr>
          <w:rFonts w:hint="cs"/>
          <w:spacing w:val="2"/>
          <w:rtl/>
          <w:lang w:bidi="ar-SY"/>
        </w:rPr>
        <w:t>ات</w:t>
      </w:r>
      <w:r>
        <w:rPr>
          <w:rFonts w:hint="cs"/>
          <w:spacing w:val="2"/>
          <w:rtl/>
          <w:lang w:bidi="ar-SY"/>
        </w:rPr>
        <w:t xml:space="preserve"> </w:t>
      </w:r>
      <w:r w:rsidR="004B7636">
        <w:rPr>
          <w:rFonts w:hint="cs"/>
          <w:spacing w:val="2"/>
          <w:rtl/>
          <w:lang w:bidi="ar-SY"/>
        </w:rPr>
        <w:t xml:space="preserve">مباشرة حفاظاً </w:t>
      </w:r>
      <w:r>
        <w:rPr>
          <w:rFonts w:hint="cs"/>
          <w:spacing w:val="2"/>
          <w:rtl/>
          <w:lang w:bidi="ar-SY"/>
        </w:rPr>
        <w:t>على سلامة العملية الانتخابية</w:t>
      </w:r>
      <w:r w:rsidR="00017911" w:rsidRPr="00C94447">
        <w:rPr>
          <w:vertAlign w:val="superscript"/>
          <w:rtl/>
        </w:rPr>
        <w:t>(</w:t>
      </w:r>
      <w:r w:rsidR="00017911" w:rsidRPr="00C94447">
        <w:rPr>
          <w:rStyle w:val="FootnoteReference"/>
          <w:rtl/>
        </w:rPr>
        <w:footnoteReference w:id="82"/>
      </w:r>
      <w:r w:rsidR="00017911" w:rsidRPr="00C94447">
        <w:rPr>
          <w:vertAlign w:val="superscript"/>
          <w:rtl/>
        </w:rPr>
        <w:t>)</w:t>
      </w:r>
      <w:r>
        <w:rPr>
          <w:rFonts w:hint="cs"/>
          <w:spacing w:val="2"/>
          <w:rtl/>
          <w:lang w:bidi="ar-SY"/>
        </w:rPr>
        <w:t>.</w:t>
      </w:r>
    </w:p>
    <w:p w:rsidR="00F27EBD" w:rsidRDefault="00F27EBD" w:rsidP="00FE1545">
      <w:pPr>
        <w:pStyle w:val="SingleTxtGA"/>
        <w:rPr>
          <w:rFonts w:hint="cs"/>
          <w:spacing w:val="2"/>
          <w:rtl/>
          <w:lang w:bidi="ar-SY"/>
        </w:rPr>
      </w:pPr>
      <w:r>
        <w:rPr>
          <w:rFonts w:hint="cs"/>
          <w:spacing w:val="2"/>
          <w:rtl/>
          <w:lang w:bidi="ar-SY"/>
        </w:rPr>
        <w:t>38-</w:t>
      </w:r>
      <w:r w:rsidR="00017911">
        <w:rPr>
          <w:rFonts w:hint="cs"/>
          <w:spacing w:val="2"/>
          <w:rtl/>
          <w:lang w:bidi="ar-SY"/>
        </w:rPr>
        <w:tab/>
      </w:r>
      <w:r>
        <w:rPr>
          <w:rFonts w:hint="cs"/>
          <w:spacing w:val="2"/>
          <w:rtl/>
          <w:lang w:bidi="ar-SY"/>
        </w:rPr>
        <w:t xml:space="preserve">وعلى النحو المشار إليه في الفقرتين 13 و20 فيما يخص محتوى الخطاب السياسي، لاحظت اللجنة أنه في حالات النقاش العام الذي يتعلق بشخصيات عامة </w:t>
      </w:r>
      <w:r w:rsidR="004B7636">
        <w:rPr>
          <w:rFonts w:hint="cs"/>
          <w:spacing w:val="2"/>
          <w:rtl/>
          <w:lang w:bidi="ar-SY"/>
        </w:rPr>
        <w:t xml:space="preserve">في المجال </w:t>
      </w:r>
      <w:r>
        <w:rPr>
          <w:rFonts w:hint="cs"/>
          <w:spacing w:val="2"/>
          <w:rtl/>
          <w:lang w:bidi="ar-SY"/>
        </w:rPr>
        <w:t xml:space="preserve">السياسي والمؤسسات العامة، فإن العهد يولي أهمية بالغة </w:t>
      </w:r>
      <w:r w:rsidR="004B7636">
        <w:rPr>
          <w:rFonts w:hint="cs"/>
          <w:spacing w:val="2"/>
          <w:rtl/>
          <w:lang w:bidi="ar-SY"/>
        </w:rPr>
        <w:t>بشكل استثنائي لكفالة التعبير غير المقيد</w:t>
      </w:r>
      <w:r w:rsidR="002D086C" w:rsidRPr="00C94447">
        <w:rPr>
          <w:vertAlign w:val="superscript"/>
          <w:rtl/>
        </w:rPr>
        <w:t>(</w:t>
      </w:r>
      <w:r w:rsidR="002D086C" w:rsidRPr="00C94447">
        <w:rPr>
          <w:rStyle w:val="FootnoteReference"/>
          <w:rtl/>
        </w:rPr>
        <w:footnoteReference w:id="83"/>
      </w:r>
      <w:r w:rsidR="002D086C" w:rsidRPr="00C94447">
        <w:rPr>
          <w:vertAlign w:val="superscript"/>
          <w:rtl/>
        </w:rPr>
        <w:t>)</w:t>
      </w:r>
      <w:r>
        <w:rPr>
          <w:rFonts w:hint="cs"/>
          <w:spacing w:val="2"/>
          <w:rtl/>
          <w:lang w:bidi="ar-SY"/>
        </w:rPr>
        <w:t xml:space="preserve">. ولذلك، فإن مجرد اعتبار </w:t>
      </w:r>
      <w:r w:rsidR="004B7636">
        <w:rPr>
          <w:rFonts w:hint="cs"/>
          <w:spacing w:val="2"/>
          <w:rtl/>
          <w:lang w:bidi="ar-SY"/>
        </w:rPr>
        <w:t xml:space="preserve">أن </w:t>
      </w:r>
      <w:r>
        <w:rPr>
          <w:rFonts w:hint="cs"/>
          <w:spacing w:val="2"/>
          <w:rtl/>
          <w:lang w:bidi="ar-SY"/>
        </w:rPr>
        <w:t>أشكال التعبير مهينة للشخصية العامة لا يكفي لتبرير فرض عقوبات حتى وإن كانت الشخصيات العامة م</w:t>
      </w:r>
      <w:r w:rsidR="004B7636">
        <w:rPr>
          <w:rFonts w:hint="cs"/>
          <w:spacing w:val="2"/>
          <w:rtl/>
          <w:lang w:bidi="ar-SY"/>
        </w:rPr>
        <w:t xml:space="preserve">ستفيدة هي </w:t>
      </w:r>
      <w:r>
        <w:rPr>
          <w:rFonts w:hint="cs"/>
          <w:spacing w:val="2"/>
          <w:rtl/>
          <w:lang w:bidi="ar-SY"/>
        </w:rPr>
        <w:t xml:space="preserve">أيضاً </w:t>
      </w:r>
      <w:r w:rsidR="004B7636">
        <w:rPr>
          <w:rFonts w:hint="cs"/>
          <w:spacing w:val="2"/>
          <w:rtl/>
          <w:lang w:bidi="ar-SY"/>
        </w:rPr>
        <w:t xml:space="preserve">من </w:t>
      </w:r>
      <w:r>
        <w:rPr>
          <w:rFonts w:hint="cs"/>
          <w:spacing w:val="2"/>
          <w:rtl/>
          <w:lang w:bidi="ar-SY"/>
        </w:rPr>
        <w:t>أحكام العهد</w:t>
      </w:r>
      <w:r w:rsidR="002D086C" w:rsidRPr="00C94447">
        <w:rPr>
          <w:vertAlign w:val="superscript"/>
          <w:rtl/>
        </w:rPr>
        <w:t>(</w:t>
      </w:r>
      <w:r w:rsidR="002D086C" w:rsidRPr="00C94447">
        <w:rPr>
          <w:rStyle w:val="FootnoteReference"/>
          <w:rtl/>
        </w:rPr>
        <w:footnoteReference w:id="84"/>
      </w:r>
      <w:r w:rsidR="002D086C" w:rsidRPr="00C94447">
        <w:rPr>
          <w:vertAlign w:val="superscript"/>
          <w:rtl/>
        </w:rPr>
        <w:t>)</w:t>
      </w:r>
      <w:r>
        <w:rPr>
          <w:rFonts w:hint="cs"/>
          <w:spacing w:val="2"/>
          <w:rtl/>
          <w:lang w:bidi="ar-SY"/>
        </w:rPr>
        <w:t>. وإضافة إلى ذلك، فإن جميع الشخصيات العامة، بمن فيها التي تمارس أعلى السلطات السياسية مثل رؤساء الدول والحكومات</w:t>
      </w:r>
      <w:r w:rsidR="004B7636">
        <w:rPr>
          <w:rFonts w:hint="cs"/>
          <w:spacing w:val="2"/>
          <w:rtl/>
          <w:lang w:bidi="ar-SY"/>
        </w:rPr>
        <w:t>،</w:t>
      </w:r>
      <w:r>
        <w:rPr>
          <w:rFonts w:hint="cs"/>
          <w:spacing w:val="2"/>
          <w:rtl/>
          <w:lang w:bidi="ar-SY"/>
        </w:rPr>
        <w:t xml:space="preserve"> تخضع بشكل مشروع للنقد والمعارضة السياسية</w:t>
      </w:r>
      <w:r w:rsidR="002D086C" w:rsidRPr="00C94447">
        <w:rPr>
          <w:vertAlign w:val="superscript"/>
          <w:rtl/>
        </w:rPr>
        <w:t>(</w:t>
      </w:r>
      <w:r w:rsidR="002D086C" w:rsidRPr="00C94447">
        <w:rPr>
          <w:rStyle w:val="FootnoteReference"/>
          <w:rtl/>
        </w:rPr>
        <w:footnoteReference w:id="85"/>
      </w:r>
      <w:r w:rsidR="002D086C" w:rsidRPr="00C94447">
        <w:rPr>
          <w:vertAlign w:val="superscript"/>
          <w:rtl/>
        </w:rPr>
        <w:t>)</w:t>
      </w:r>
      <w:r>
        <w:rPr>
          <w:rFonts w:hint="cs"/>
          <w:spacing w:val="2"/>
          <w:rtl/>
          <w:lang w:bidi="ar-SY"/>
        </w:rPr>
        <w:t xml:space="preserve">. وبناء على ذلك، تعرب اللجنة عن قلقها إزاء القوانين التي تتعلق بمسائل، </w:t>
      </w:r>
      <w:r w:rsidRPr="009F1374">
        <w:rPr>
          <w:rFonts w:hint="cs"/>
          <w:spacing w:val="2"/>
          <w:sz w:val="30"/>
          <w:rtl/>
          <w:lang w:bidi="ar-SY"/>
        </w:rPr>
        <w:t xml:space="preserve">مثل </w:t>
      </w:r>
      <w:r>
        <w:rPr>
          <w:rFonts w:hint="cs"/>
          <w:sz w:val="30"/>
          <w:rtl/>
        </w:rPr>
        <w:t xml:space="preserve">العيب في </w:t>
      </w:r>
      <w:r w:rsidRPr="009F1374">
        <w:rPr>
          <w:rFonts w:hint="cs"/>
          <w:sz w:val="30"/>
          <w:rtl/>
        </w:rPr>
        <w:t>الذات الملكية</w:t>
      </w:r>
      <w:r w:rsidR="002D086C" w:rsidRPr="00C94447">
        <w:rPr>
          <w:vertAlign w:val="superscript"/>
          <w:rtl/>
        </w:rPr>
        <w:t>(</w:t>
      </w:r>
      <w:r w:rsidR="002D086C" w:rsidRPr="00C94447">
        <w:rPr>
          <w:rStyle w:val="FootnoteReference"/>
          <w:rtl/>
        </w:rPr>
        <w:footnoteReference w:id="86"/>
      </w:r>
      <w:r w:rsidR="002D086C" w:rsidRPr="00C94447">
        <w:rPr>
          <w:vertAlign w:val="superscript"/>
          <w:rtl/>
        </w:rPr>
        <w:t>)</w:t>
      </w:r>
      <w:r w:rsidRPr="009F1374">
        <w:rPr>
          <w:rFonts w:hint="cs"/>
          <w:spacing w:val="2"/>
          <w:sz w:val="30"/>
          <w:rtl/>
          <w:lang w:bidi="ar-SY"/>
        </w:rPr>
        <w:t xml:space="preserve"> </w:t>
      </w:r>
      <w:proofErr w:type="spellStart"/>
      <w:r w:rsidRPr="009F1374">
        <w:rPr>
          <w:rFonts w:hint="cs"/>
          <w:spacing w:val="2"/>
          <w:sz w:val="30"/>
          <w:rtl/>
          <w:lang w:bidi="ar-SY"/>
        </w:rPr>
        <w:t>وإهانة</w:t>
      </w:r>
      <w:proofErr w:type="spellEnd"/>
      <w:r w:rsidRPr="009F1374">
        <w:rPr>
          <w:rFonts w:hint="cs"/>
          <w:spacing w:val="2"/>
          <w:sz w:val="30"/>
          <w:rtl/>
          <w:lang w:bidi="ar-SY"/>
        </w:rPr>
        <w:t xml:space="preserve"> الموظف العمومي</w:t>
      </w:r>
      <w:r w:rsidR="002D086C" w:rsidRPr="00C94447">
        <w:rPr>
          <w:vertAlign w:val="superscript"/>
          <w:rtl/>
        </w:rPr>
        <w:t>(</w:t>
      </w:r>
      <w:r w:rsidR="002D086C" w:rsidRPr="00C94447">
        <w:rPr>
          <w:rStyle w:val="FootnoteReference"/>
          <w:rtl/>
        </w:rPr>
        <w:footnoteReference w:id="87"/>
      </w:r>
      <w:r w:rsidR="002D086C" w:rsidRPr="00C94447">
        <w:rPr>
          <w:vertAlign w:val="superscript"/>
          <w:rtl/>
        </w:rPr>
        <w:t>)</w:t>
      </w:r>
      <w:r w:rsidRPr="009F1374">
        <w:rPr>
          <w:rFonts w:hint="cs"/>
          <w:spacing w:val="2"/>
          <w:sz w:val="30"/>
          <w:rtl/>
          <w:lang w:bidi="ar-SY"/>
        </w:rPr>
        <w:t xml:space="preserve"> وعدم احترام السلطات</w:t>
      </w:r>
      <w:r w:rsidR="002D086C" w:rsidRPr="00C94447">
        <w:rPr>
          <w:vertAlign w:val="superscript"/>
          <w:rtl/>
        </w:rPr>
        <w:t>(</w:t>
      </w:r>
      <w:r w:rsidR="002D086C" w:rsidRPr="00C94447">
        <w:rPr>
          <w:rStyle w:val="FootnoteReference"/>
          <w:rtl/>
        </w:rPr>
        <w:footnoteReference w:id="88"/>
      </w:r>
      <w:r w:rsidR="002D086C" w:rsidRPr="00C94447">
        <w:rPr>
          <w:vertAlign w:val="superscript"/>
          <w:rtl/>
        </w:rPr>
        <w:t>)</w:t>
      </w:r>
      <w:r w:rsidRPr="009F1374">
        <w:rPr>
          <w:rFonts w:hint="cs"/>
          <w:spacing w:val="2"/>
          <w:sz w:val="30"/>
          <w:rtl/>
          <w:lang w:bidi="ar-SY"/>
        </w:rPr>
        <w:t xml:space="preserve"> وعدم احترام العلم والرموز</w:t>
      </w:r>
      <w:r w:rsidR="004B7636">
        <w:rPr>
          <w:rFonts w:hint="cs"/>
          <w:spacing w:val="2"/>
          <w:rtl/>
          <w:lang w:bidi="ar-SY"/>
        </w:rPr>
        <w:t>،</w:t>
      </w:r>
      <w:r>
        <w:rPr>
          <w:rFonts w:hint="cs"/>
          <w:spacing w:val="2"/>
          <w:rtl/>
          <w:lang w:bidi="ar-SY"/>
        </w:rPr>
        <w:t xml:space="preserve"> والتشهير برئيس الدولة</w:t>
      </w:r>
      <w:r w:rsidR="002D086C" w:rsidRPr="00C94447">
        <w:rPr>
          <w:vertAlign w:val="superscript"/>
          <w:rtl/>
        </w:rPr>
        <w:t>(</w:t>
      </w:r>
      <w:r w:rsidR="002D086C" w:rsidRPr="00C94447">
        <w:rPr>
          <w:rStyle w:val="FootnoteReference"/>
          <w:rtl/>
        </w:rPr>
        <w:footnoteReference w:id="89"/>
      </w:r>
      <w:r w:rsidR="002D086C" w:rsidRPr="00C94447">
        <w:rPr>
          <w:vertAlign w:val="superscript"/>
          <w:rtl/>
        </w:rPr>
        <w:t>)</w:t>
      </w:r>
      <w:r>
        <w:rPr>
          <w:rFonts w:hint="cs"/>
          <w:spacing w:val="2"/>
          <w:rtl/>
          <w:lang w:bidi="ar-SY"/>
        </w:rPr>
        <w:t xml:space="preserve"> وحماية شرف الموظفين العموميين</w:t>
      </w:r>
      <w:r w:rsidR="002D086C" w:rsidRPr="00C94447">
        <w:rPr>
          <w:vertAlign w:val="superscript"/>
          <w:rtl/>
        </w:rPr>
        <w:t>(</w:t>
      </w:r>
      <w:r w:rsidR="002D086C" w:rsidRPr="00C94447">
        <w:rPr>
          <w:rStyle w:val="FootnoteReference"/>
          <w:rtl/>
        </w:rPr>
        <w:footnoteReference w:id="90"/>
      </w:r>
      <w:r w:rsidR="002D086C" w:rsidRPr="00C94447">
        <w:rPr>
          <w:vertAlign w:val="superscript"/>
          <w:rtl/>
        </w:rPr>
        <w:t>)</w:t>
      </w:r>
      <w:r>
        <w:rPr>
          <w:rFonts w:hint="cs"/>
          <w:spacing w:val="2"/>
          <w:rtl/>
          <w:lang w:bidi="ar-SY"/>
        </w:rPr>
        <w:t xml:space="preserve"> وينبغي ألا </w:t>
      </w:r>
      <w:proofErr w:type="spellStart"/>
      <w:r>
        <w:rPr>
          <w:rFonts w:hint="cs"/>
          <w:spacing w:val="2"/>
          <w:rtl/>
          <w:lang w:bidi="ar-SY"/>
        </w:rPr>
        <w:t>تنص</w:t>
      </w:r>
      <w:proofErr w:type="spellEnd"/>
      <w:r>
        <w:rPr>
          <w:rFonts w:hint="cs"/>
          <w:spacing w:val="2"/>
          <w:rtl/>
          <w:lang w:bidi="ar-SY"/>
        </w:rPr>
        <w:t xml:space="preserve"> القوانين على فرض عقوبات أشد صرامة على أساس </w:t>
      </w:r>
      <w:r>
        <w:rPr>
          <w:rFonts w:hint="cs"/>
          <w:rtl/>
          <w:lang w:bidi="ar"/>
        </w:rPr>
        <w:t xml:space="preserve">هوية الشخص </w:t>
      </w:r>
      <w:r>
        <w:rPr>
          <w:rFonts w:hint="cs"/>
          <w:spacing w:val="2"/>
          <w:rtl/>
          <w:lang w:bidi="ar-SY"/>
        </w:rPr>
        <w:t>المطعون فيه</w:t>
      </w:r>
      <w:r w:rsidR="004B7636">
        <w:rPr>
          <w:rFonts w:hint="cs"/>
          <w:spacing w:val="2"/>
          <w:rtl/>
          <w:lang w:bidi="ar-SY"/>
        </w:rPr>
        <w:t xml:space="preserve"> ليس إلا</w:t>
      </w:r>
      <w:r>
        <w:rPr>
          <w:rFonts w:hint="cs"/>
          <w:spacing w:val="2"/>
          <w:rtl/>
          <w:lang w:bidi="ar-SY"/>
        </w:rPr>
        <w:t xml:space="preserve">. وينبغي للدول الأطراف ألا تحظر انتقاد مؤسسات، مثل الجيش أو </w:t>
      </w:r>
      <w:r w:rsidR="004B7636">
        <w:rPr>
          <w:rFonts w:hint="cs"/>
          <w:spacing w:val="2"/>
          <w:rtl/>
          <w:lang w:bidi="ar-SY"/>
        </w:rPr>
        <w:t xml:space="preserve">الجهاز </w:t>
      </w:r>
      <w:r>
        <w:rPr>
          <w:rFonts w:hint="cs"/>
          <w:spacing w:val="2"/>
          <w:rtl/>
          <w:lang w:bidi="ar-SY"/>
        </w:rPr>
        <w:t>الإدا</w:t>
      </w:r>
      <w:r w:rsidR="004B7636">
        <w:rPr>
          <w:rFonts w:hint="cs"/>
          <w:spacing w:val="2"/>
          <w:rtl/>
          <w:lang w:bidi="ar-SY"/>
        </w:rPr>
        <w:t>ري</w:t>
      </w:r>
      <w:r w:rsidR="002D086C" w:rsidRPr="00C94447">
        <w:rPr>
          <w:vertAlign w:val="superscript"/>
          <w:rtl/>
        </w:rPr>
        <w:t>(</w:t>
      </w:r>
      <w:r w:rsidR="002D086C" w:rsidRPr="00C94447">
        <w:rPr>
          <w:rStyle w:val="FootnoteReference"/>
          <w:rtl/>
        </w:rPr>
        <w:footnoteReference w:id="91"/>
      </w:r>
      <w:r w:rsidR="002D086C" w:rsidRPr="00C94447">
        <w:rPr>
          <w:vertAlign w:val="superscript"/>
          <w:rtl/>
        </w:rPr>
        <w:t>)</w:t>
      </w:r>
      <w:r>
        <w:rPr>
          <w:rFonts w:hint="cs"/>
          <w:spacing w:val="2"/>
          <w:rtl/>
          <w:lang w:bidi="ar-SY"/>
        </w:rPr>
        <w:t>.</w:t>
      </w:r>
    </w:p>
    <w:p w:rsidR="00FE1545" w:rsidRDefault="00FE1545" w:rsidP="00FE1545">
      <w:pPr>
        <w:pStyle w:val="SingleTxtGA"/>
        <w:rPr>
          <w:rFonts w:hint="cs"/>
          <w:spacing w:val="2"/>
          <w:rtl/>
          <w:lang w:bidi="ar-SY"/>
        </w:rPr>
      </w:pPr>
    </w:p>
    <w:p w:rsidR="00F27EBD" w:rsidRDefault="00F27EBD" w:rsidP="00FE1545">
      <w:pPr>
        <w:pStyle w:val="SingleTxtGA"/>
        <w:rPr>
          <w:rFonts w:hint="cs"/>
          <w:spacing w:val="2"/>
          <w:rtl/>
          <w:lang w:bidi="ar-SY"/>
        </w:rPr>
      </w:pPr>
      <w:r>
        <w:rPr>
          <w:rFonts w:hint="cs"/>
          <w:spacing w:val="2"/>
          <w:rtl/>
        </w:rPr>
        <w:t>39-</w:t>
      </w:r>
      <w:r w:rsidR="002D086C">
        <w:rPr>
          <w:rFonts w:hint="cs"/>
          <w:spacing w:val="2"/>
          <w:rtl/>
        </w:rPr>
        <w:tab/>
      </w:r>
      <w:r>
        <w:rPr>
          <w:rFonts w:hint="cs"/>
          <w:spacing w:val="2"/>
          <w:rtl/>
        </w:rPr>
        <w:t>وينبغي للدول الأطراف أن تضمن أن يكون الإطاران التشريعي والإداري لتنظيم وسائط الإعلام متفقين مع أحكام الفقرة 3</w:t>
      </w:r>
      <w:r w:rsidR="002D086C" w:rsidRPr="00C94447">
        <w:rPr>
          <w:vertAlign w:val="superscript"/>
          <w:rtl/>
        </w:rPr>
        <w:t>(</w:t>
      </w:r>
      <w:r w:rsidR="002D086C" w:rsidRPr="00C94447">
        <w:rPr>
          <w:rStyle w:val="FootnoteReference"/>
          <w:rtl/>
        </w:rPr>
        <w:footnoteReference w:id="92"/>
      </w:r>
      <w:r w:rsidR="002D086C" w:rsidRPr="00C94447">
        <w:rPr>
          <w:vertAlign w:val="superscript"/>
          <w:rtl/>
        </w:rPr>
        <w:t>)</w:t>
      </w:r>
      <w:r>
        <w:rPr>
          <w:rFonts w:hint="cs"/>
          <w:spacing w:val="2"/>
          <w:rtl/>
        </w:rPr>
        <w:t>. وينبغي أن تراعي ال</w:t>
      </w:r>
      <w:r w:rsidR="006C6DC9">
        <w:rPr>
          <w:rFonts w:hint="cs"/>
          <w:spacing w:val="2"/>
          <w:rtl/>
        </w:rPr>
        <w:t>قواعد</w:t>
      </w:r>
      <w:r>
        <w:rPr>
          <w:rFonts w:hint="cs"/>
          <w:spacing w:val="2"/>
          <w:rtl/>
        </w:rPr>
        <w:t xml:space="preserve"> التنظيمية الفروق بين قطاعي وسائ</w:t>
      </w:r>
      <w:r w:rsidR="006C6DC9">
        <w:rPr>
          <w:rFonts w:hint="cs"/>
          <w:spacing w:val="2"/>
          <w:rtl/>
        </w:rPr>
        <w:t>ط</w:t>
      </w:r>
      <w:r>
        <w:rPr>
          <w:rFonts w:hint="cs"/>
          <w:spacing w:val="2"/>
          <w:rtl/>
        </w:rPr>
        <w:t xml:space="preserve"> الإعلام المطبوعة والمذاعة و</w:t>
      </w:r>
      <w:r w:rsidR="006C6DC9">
        <w:rPr>
          <w:rFonts w:hint="cs"/>
          <w:spacing w:val="2"/>
          <w:rtl/>
        </w:rPr>
        <w:t xml:space="preserve">بين </w:t>
      </w:r>
      <w:r>
        <w:rPr>
          <w:rFonts w:hint="cs"/>
          <w:spacing w:val="2"/>
          <w:rtl/>
        </w:rPr>
        <w:t>الإنترنت، وأن ت</w:t>
      </w:r>
      <w:r w:rsidR="006C6DC9">
        <w:rPr>
          <w:rFonts w:hint="cs"/>
          <w:spacing w:val="2"/>
          <w:rtl/>
        </w:rPr>
        <w:t>لاحظ</w:t>
      </w:r>
      <w:r>
        <w:rPr>
          <w:rFonts w:hint="cs"/>
          <w:spacing w:val="2"/>
          <w:rtl/>
        </w:rPr>
        <w:t xml:space="preserve"> في الوقت نفسه أيضاً </w:t>
      </w:r>
      <w:r w:rsidR="006C6DC9">
        <w:rPr>
          <w:rFonts w:hint="cs"/>
          <w:spacing w:val="2"/>
          <w:rtl/>
        </w:rPr>
        <w:t>ال</w:t>
      </w:r>
      <w:r>
        <w:rPr>
          <w:rFonts w:hint="cs"/>
          <w:spacing w:val="2"/>
          <w:rtl/>
        </w:rPr>
        <w:t xml:space="preserve">طريقة </w:t>
      </w:r>
      <w:r w:rsidR="006C6DC9">
        <w:rPr>
          <w:rFonts w:hint="cs"/>
          <w:spacing w:val="2"/>
          <w:rtl/>
        </w:rPr>
        <w:t xml:space="preserve">التي تتلاقى </w:t>
      </w:r>
      <w:proofErr w:type="spellStart"/>
      <w:r w:rsidR="006C6DC9">
        <w:rPr>
          <w:rFonts w:hint="cs"/>
          <w:spacing w:val="2"/>
          <w:rtl/>
        </w:rPr>
        <w:t>بها</w:t>
      </w:r>
      <w:proofErr w:type="spellEnd"/>
      <w:r w:rsidR="006C6DC9">
        <w:rPr>
          <w:rFonts w:hint="cs"/>
          <w:spacing w:val="2"/>
          <w:rtl/>
        </w:rPr>
        <w:t xml:space="preserve"> </w:t>
      </w:r>
      <w:r>
        <w:rPr>
          <w:rFonts w:hint="cs"/>
          <w:spacing w:val="2"/>
          <w:rtl/>
        </w:rPr>
        <w:t>مختلف وسائط الإعلام. و</w:t>
      </w:r>
      <w:r w:rsidR="006C6DC9">
        <w:rPr>
          <w:rFonts w:hint="cs"/>
          <w:spacing w:val="2"/>
          <w:rtl/>
        </w:rPr>
        <w:t xml:space="preserve">يتنافى </w:t>
      </w:r>
      <w:r>
        <w:rPr>
          <w:rFonts w:hint="cs"/>
          <w:spacing w:val="2"/>
          <w:rtl/>
        </w:rPr>
        <w:t>رفض السماح بنشر الصحف وغيرها من وسائط الإعلام المطبوعة مع المادة 19</w:t>
      </w:r>
      <w:r w:rsidR="006C6DC9">
        <w:rPr>
          <w:rFonts w:hint="cs"/>
          <w:spacing w:val="2"/>
          <w:rtl/>
        </w:rPr>
        <w:t>،</w:t>
      </w:r>
      <w:r>
        <w:rPr>
          <w:rFonts w:hint="cs"/>
          <w:spacing w:val="2"/>
          <w:rtl/>
        </w:rPr>
        <w:t xml:space="preserve"> إلا إذا جاء هذا الرفض في الظروف الخاصة التي تتعلق بتطبيق </w:t>
      </w:r>
      <w:r w:rsidR="00FE1545">
        <w:rPr>
          <w:rFonts w:hint="cs"/>
          <w:spacing w:val="2"/>
          <w:rtl/>
        </w:rPr>
        <w:t>الفقرة</w:t>
      </w:r>
      <w:r>
        <w:rPr>
          <w:rFonts w:hint="cs"/>
          <w:spacing w:val="2"/>
          <w:rtl/>
        </w:rPr>
        <w:t xml:space="preserve"> 3. ولا يمكن أن تشمل هذه الظروف الخاصة على الإطلاق فرض حظر على منشور معين</w:t>
      </w:r>
      <w:r w:rsidR="006C6DC9">
        <w:rPr>
          <w:rFonts w:hint="cs"/>
          <w:spacing w:val="2"/>
          <w:rtl/>
        </w:rPr>
        <w:t>،</w:t>
      </w:r>
      <w:r>
        <w:rPr>
          <w:rFonts w:hint="cs"/>
          <w:spacing w:val="2"/>
          <w:rtl/>
        </w:rPr>
        <w:t xml:space="preserve"> إلا إذا كانت هناك إمكانية </w:t>
      </w:r>
      <w:r w:rsidRPr="005F2A47">
        <w:rPr>
          <w:rFonts w:hint="cs"/>
          <w:spacing w:val="2"/>
          <w:rtl/>
        </w:rPr>
        <w:t>لحظر محتوى معين غير قابل ل</w:t>
      </w:r>
      <w:r w:rsidR="006C6DC9">
        <w:rPr>
          <w:rFonts w:hint="cs"/>
          <w:spacing w:val="2"/>
          <w:rtl/>
        </w:rPr>
        <w:t>لاقتطاع</w:t>
      </w:r>
      <w:r>
        <w:rPr>
          <w:rFonts w:hint="cs"/>
          <w:spacing w:val="2"/>
          <w:rtl/>
        </w:rPr>
        <w:t xml:space="preserve"> حظراً مشروعاً بموجب </w:t>
      </w:r>
      <w:r w:rsidR="00FE1545">
        <w:rPr>
          <w:rFonts w:hint="cs"/>
          <w:spacing w:val="2"/>
          <w:rtl/>
        </w:rPr>
        <w:t>الفقرة</w:t>
      </w:r>
      <w:r>
        <w:rPr>
          <w:rFonts w:hint="cs"/>
          <w:spacing w:val="2"/>
          <w:rtl/>
        </w:rPr>
        <w:t xml:space="preserve"> 3. ويجب على الدول الأطراف أن تتجنب فرض شروط صعبة ورسوم </w:t>
      </w:r>
      <w:r>
        <w:rPr>
          <w:rFonts w:hint="cs"/>
          <w:spacing w:val="2"/>
          <w:rtl/>
          <w:lang w:bidi="ar-SY"/>
        </w:rPr>
        <w:t>باهظة على ترخيص وسائط الإعلام الإذاعية، بما في ذلك في المحطات المجتمعية والمحطات التجارية</w:t>
      </w:r>
      <w:r w:rsidR="002D086C" w:rsidRPr="00C94447">
        <w:rPr>
          <w:vertAlign w:val="superscript"/>
          <w:rtl/>
        </w:rPr>
        <w:t>(</w:t>
      </w:r>
      <w:r w:rsidR="002D086C" w:rsidRPr="00C94447">
        <w:rPr>
          <w:rStyle w:val="FootnoteReference"/>
          <w:rtl/>
        </w:rPr>
        <w:footnoteReference w:id="93"/>
      </w:r>
      <w:r w:rsidR="002D086C" w:rsidRPr="00C94447">
        <w:rPr>
          <w:vertAlign w:val="superscript"/>
          <w:rtl/>
        </w:rPr>
        <w:t>)</w:t>
      </w:r>
      <w:r>
        <w:rPr>
          <w:rFonts w:hint="cs"/>
          <w:spacing w:val="2"/>
          <w:rtl/>
          <w:lang w:bidi="ar-SY"/>
        </w:rPr>
        <w:t>. وينبغي أن تكون المعايير اللازمة لتطبيق هذه الشروط ورسوم الترخيص معقولة وموضوعية</w:t>
      </w:r>
      <w:r w:rsidR="002D086C" w:rsidRPr="00C94447">
        <w:rPr>
          <w:vertAlign w:val="superscript"/>
          <w:rtl/>
        </w:rPr>
        <w:t>(</w:t>
      </w:r>
      <w:r w:rsidR="002D086C" w:rsidRPr="00C94447">
        <w:rPr>
          <w:rStyle w:val="FootnoteReference"/>
          <w:rtl/>
        </w:rPr>
        <w:footnoteReference w:id="94"/>
      </w:r>
      <w:r w:rsidR="002D086C" w:rsidRPr="00C94447">
        <w:rPr>
          <w:vertAlign w:val="superscript"/>
          <w:rtl/>
        </w:rPr>
        <w:t>)</w:t>
      </w:r>
      <w:r>
        <w:rPr>
          <w:rFonts w:hint="cs"/>
          <w:spacing w:val="2"/>
          <w:rtl/>
          <w:lang w:bidi="ar-SY"/>
        </w:rPr>
        <w:t xml:space="preserve"> وواضحة</w:t>
      </w:r>
      <w:r w:rsidR="002D086C" w:rsidRPr="00C94447">
        <w:rPr>
          <w:vertAlign w:val="superscript"/>
          <w:rtl/>
        </w:rPr>
        <w:t>(</w:t>
      </w:r>
      <w:r w:rsidR="002D086C" w:rsidRPr="00C94447">
        <w:rPr>
          <w:rStyle w:val="FootnoteReference"/>
          <w:rtl/>
        </w:rPr>
        <w:footnoteReference w:id="95"/>
      </w:r>
      <w:r w:rsidR="002D086C" w:rsidRPr="00C94447">
        <w:rPr>
          <w:vertAlign w:val="superscript"/>
          <w:rtl/>
        </w:rPr>
        <w:t>)</w:t>
      </w:r>
      <w:r>
        <w:rPr>
          <w:rFonts w:hint="cs"/>
          <w:spacing w:val="2"/>
          <w:rtl/>
          <w:lang w:bidi="ar-SY"/>
        </w:rPr>
        <w:t xml:space="preserve"> وشفافة</w:t>
      </w:r>
      <w:r w:rsidR="002D086C" w:rsidRPr="00C94447">
        <w:rPr>
          <w:vertAlign w:val="superscript"/>
          <w:rtl/>
        </w:rPr>
        <w:t>(</w:t>
      </w:r>
      <w:r w:rsidR="002D086C" w:rsidRPr="00C94447">
        <w:rPr>
          <w:rStyle w:val="FootnoteReference"/>
          <w:rtl/>
        </w:rPr>
        <w:footnoteReference w:id="96"/>
      </w:r>
      <w:r w:rsidR="002D086C" w:rsidRPr="00C94447">
        <w:rPr>
          <w:vertAlign w:val="superscript"/>
          <w:rtl/>
        </w:rPr>
        <w:t>)</w:t>
      </w:r>
      <w:r>
        <w:rPr>
          <w:rFonts w:hint="cs"/>
          <w:spacing w:val="2"/>
          <w:rtl/>
          <w:lang w:bidi="ar-SY"/>
        </w:rPr>
        <w:t xml:space="preserve"> وغير تمييزية وأن تكون فيما عدا ذلك متمشية مع العهد</w:t>
      </w:r>
      <w:r w:rsidR="002D086C" w:rsidRPr="00C94447">
        <w:rPr>
          <w:vertAlign w:val="superscript"/>
          <w:rtl/>
        </w:rPr>
        <w:t>(</w:t>
      </w:r>
      <w:r w:rsidR="002D086C" w:rsidRPr="00C94447">
        <w:rPr>
          <w:rStyle w:val="FootnoteReference"/>
          <w:rtl/>
        </w:rPr>
        <w:footnoteReference w:id="97"/>
      </w:r>
      <w:r w:rsidR="002D086C" w:rsidRPr="00C94447">
        <w:rPr>
          <w:vertAlign w:val="superscript"/>
          <w:rtl/>
        </w:rPr>
        <w:t>)</w:t>
      </w:r>
      <w:r>
        <w:rPr>
          <w:rFonts w:hint="cs"/>
          <w:spacing w:val="2"/>
          <w:rtl/>
          <w:lang w:bidi="ar-SY"/>
        </w:rPr>
        <w:t xml:space="preserve">. وينبغي أن توفر النظم المتعلقة بالترخيص </w:t>
      </w:r>
      <w:r w:rsidR="006C6DC9">
        <w:rPr>
          <w:rFonts w:hint="cs"/>
          <w:spacing w:val="2"/>
          <w:rtl/>
          <w:lang w:bidi="ar-SY"/>
        </w:rPr>
        <w:t>بالبث الإذاعي ب</w:t>
      </w:r>
      <w:r>
        <w:rPr>
          <w:rFonts w:hint="cs"/>
          <w:spacing w:val="2"/>
          <w:rtl/>
          <w:lang w:bidi="ar-SY"/>
        </w:rPr>
        <w:t xml:space="preserve">وسائط </w:t>
      </w:r>
      <w:r w:rsidR="006C6DC9">
        <w:rPr>
          <w:rFonts w:hint="cs"/>
          <w:spacing w:val="2"/>
          <w:rtl/>
          <w:lang w:bidi="ar-SY"/>
        </w:rPr>
        <w:t>الإ</w:t>
      </w:r>
      <w:r>
        <w:rPr>
          <w:rFonts w:hint="cs"/>
          <w:spacing w:val="2"/>
          <w:rtl/>
          <w:lang w:bidi="ar-SY"/>
        </w:rPr>
        <w:t xml:space="preserve">علام </w:t>
      </w:r>
      <w:r w:rsidR="006C6DC9">
        <w:rPr>
          <w:rFonts w:hint="cs"/>
          <w:spacing w:val="2"/>
          <w:rtl/>
          <w:lang w:bidi="ar-SY"/>
        </w:rPr>
        <w:t>ال</w:t>
      </w:r>
      <w:r>
        <w:rPr>
          <w:rFonts w:hint="cs"/>
          <w:spacing w:val="2"/>
          <w:rtl/>
          <w:lang w:bidi="ar-SY"/>
        </w:rPr>
        <w:t xml:space="preserve">محدودة القدرات مثل </w:t>
      </w:r>
      <w:r w:rsidR="006C6DC9">
        <w:rPr>
          <w:rFonts w:hint="cs"/>
          <w:spacing w:val="2"/>
          <w:rtl/>
          <w:lang w:bidi="ar-SY"/>
        </w:rPr>
        <w:t>ال</w:t>
      </w:r>
      <w:r>
        <w:rPr>
          <w:rFonts w:hint="cs"/>
          <w:spacing w:val="2"/>
          <w:rtl/>
          <w:lang w:bidi="ar-SY"/>
        </w:rPr>
        <w:t>خدمات السمعي</w:t>
      </w:r>
      <w:r w:rsidR="006C6DC9">
        <w:rPr>
          <w:rFonts w:hint="cs"/>
          <w:spacing w:val="2"/>
          <w:rtl/>
          <w:lang w:bidi="ar-SY"/>
        </w:rPr>
        <w:t>ة</w:t>
      </w:r>
      <w:r>
        <w:rPr>
          <w:rFonts w:hint="cs"/>
          <w:spacing w:val="2"/>
          <w:rtl/>
          <w:lang w:bidi="ar-SY"/>
        </w:rPr>
        <w:t xml:space="preserve"> والبصري</w:t>
      </w:r>
      <w:r w:rsidR="006C6DC9">
        <w:rPr>
          <w:rFonts w:hint="cs"/>
          <w:spacing w:val="2"/>
          <w:rtl/>
          <w:lang w:bidi="ar-SY"/>
        </w:rPr>
        <w:t>ة</w:t>
      </w:r>
      <w:r>
        <w:rPr>
          <w:rFonts w:hint="cs"/>
          <w:spacing w:val="2"/>
          <w:rtl/>
          <w:lang w:bidi="ar-SY"/>
        </w:rPr>
        <w:t xml:space="preserve"> الأرضية </w:t>
      </w:r>
      <w:proofErr w:type="spellStart"/>
      <w:r>
        <w:rPr>
          <w:rFonts w:hint="cs"/>
          <w:spacing w:val="2"/>
          <w:rtl/>
          <w:lang w:bidi="ar-SY"/>
        </w:rPr>
        <w:t>والساتلية</w:t>
      </w:r>
      <w:proofErr w:type="spellEnd"/>
      <w:r>
        <w:rPr>
          <w:rFonts w:hint="cs"/>
          <w:spacing w:val="2"/>
          <w:rtl/>
          <w:lang w:bidi="ar-SY"/>
        </w:rPr>
        <w:t xml:space="preserve"> ت</w:t>
      </w:r>
      <w:r w:rsidR="006C6DC9">
        <w:rPr>
          <w:rFonts w:hint="cs"/>
          <w:spacing w:val="2"/>
          <w:rtl/>
          <w:lang w:bidi="ar-SY"/>
        </w:rPr>
        <w:t xml:space="preserve">خصيصاً </w:t>
      </w:r>
      <w:r>
        <w:rPr>
          <w:rFonts w:hint="cs"/>
          <w:spacing w:val="2"/>
          <w:rtl/>
          <w:lang w:bidi="ar-SY"/>
        </w:rPr>
        <w:t xml:space="preserve">عادلاً لفرص النفاذ والترددات بين مؤسسات </w:t>
      </w:r>
      <w:r w:rsidR="006C6DC9">
        <w:rPr>
          <w:rFonts w:hint="cs"/>
          <w:spacing w:val="2"/>
          <w:rtl/>
          <w:lang w:bidi="ar-SY"/>
        </w:rPr>
        <w:t xml:space="preserve">البث </w:t>
      </w:r>
      <w:r>
        <w:rPr>
          <w:rFonts w:hint="cs"/>
          <w:spacing w:val="2"/>
          <w:rtl/>
          <w:lang w:bidi="ar-SY"/>
        </w:rPr>
        <w:t>الإذاع</w:t>
      </w:r>
      <w:r w:rsidR="006C6DC9">
        <w:rPr>
          <w:rFonts w:hint="cs"/>
          <w:spacing w:val="2"/>
          <w:rtl/>
          <w:lang w:bidi="ar-SY"/>
        </w:rPr>
        <w:t>ي</w:t>
      </w:r>
      <w:r>
        <w:rPr>
          <w:rFonts w:hint="cs"/>
          <w:spacing w:val="2"/>
          <w:rtl/>
          <w:lang w:bidi="ar-SY"/>
        </w:rPr>
        <w:t xml:space="preserve"> العامة والتجارية والمجتمعية. وتوصى الدول الأطراف التي لم </w:t>
      </w:r>
      <w:proofErr w:type="spellStart"/>
      <w:r>
        <w:rPr>
          <w:rFonts w:hint="cs"/>
          <w:spacing w:val="2"/>
          <w:rtl/>
          <w:lang w:bidi="ar-SY"/>
        </w:rPr>
        <w:t>تنشء</w:t>
      </w:r>
      <w:proofErr w:type="spellEnd"/>
      <w:r>
        <w:rPr>
          <w:rFonts w:hint="cs"/>
          <w:spacing w:val="2"/>
          <w:rtl/>
          <w:lang w:bidi="ar-SY"/>
        </w:rPr>
        <w:t xml:space="preserve"> بالفعل بعد هيئة للترخيص </w:t>
      </w:r>
      <w:r w:rsidR="006C6DC9">
        <w:rPr>
          <w:rFonts w:hint="cs"/>
          <w:spacing w:val="2"/>
          <w:rtl/>
          <w:lang w:bidi="ar-SY"/>
        </w:rPr>
        <w:t xml:space="preserve">بالبث </w:t>
      </w:r>
      <w:r>
        <w:rPr>
          <w:rFonts w:hint="cs"/>
          <w:spacing w:val="2"/>
          <w:rtl/>
          <w:lang w:bidi="ar-SY"/>
        </w:rPr>
        <w:t xml:space="preserve">الإذاعي بأن تنشئ هيئة عامة ومستقلة للترخيص </w:t>
      </w:r>
      <w:r w:rsidR="006C6DC9">
        <w:rPr>
          <w:rFonts w:hint="cs"/>
          <w:spacing w:val="2"/>
          <w:rtl/>
          <w:lang w:bidi="ar-SY"/>
        </w:rPr>
        <w:t xml:space="preserve">بالبث </w:t>
      </w:r>
      <w:r>
        <w:rPr>
          <w:rFonts w:hint="cs"/>
          <w:spacing w:val="2"/>
          <w:rtl/>
          <w:lang w:bidi="ar-SY"/>
        </w:rPr>
        <w:t>الإذاعي تتمتع بسلطة دراسة طلبات الإذاعة ومنح التراخيص</w:t>
      </w:r>
      <w:r w:rsidR="002D086C" w:rsidRPr="00C94447">
        <w:rPr>
          <w:vertAlign w:val="superscript"/>
          <w:rtl/>
        </w:rPr>
        <w:t>(</w:t>
      </w:r>
      <w:r w:rsidR="002D086C" w:rsidRPr="00C94447">
        <w:rPr>
          <w:rStyle w:val="FootnoteReference"/>
          <w:rtl/>
        </w:rPr>
        <w:footnoteReference w:id="98"/>
      </w:r>
      <w:r w:rsidR="002D086C" w:rsidRPr="00C94447">
        <w:rPr>
          <w:vertAlign w:val="superscript"/>
          <w:rtl/>
        </w:rPr>
        <w:t>)</w:t>
      </w:r>
      <w:r>
        <w:rPr>
          <w:rFonts w:hint="cs"/>
          <w:spacing w:val="2"/>
          <w:rtl/>
          <w:lang w:bidi="ar-SY"/>
        </w:rPr>
        <w:t>.</w:t>
      </w:r>
    </w:p>
    <w:p w:rsidR="00F27EBD" w:rsidRDefault="00F27EBD" w:rsidP="008C48ED">
      <w:pPr>
        <w:pStyle w:val="SingleTxtGA"/>
        <w:rPr>
          <w:rFonts w:hint="cs"/>
          <w:spacing w:val="2"/>
          <w:rtl/>
          <w:lang w:bidi="ar-SY"/>
        </w:rPr>
      </w:pPr>
      <w:r>
        <w:rPr>
          <w:rFonts w:hint="cs"/>
          <w:spacing w:val="2"/>
          <w:rtl/>
          <w:lang w:bidi="ar-SY"/>
        </w:rPr>
        <w:t>40-</w:t>
      </w:r>
      <w:r w:rsidR="002D086C">
        <w:rPr>
          <w:rFonts w:hint="cs"/>
          <w:spacing w:val="2"/>
          <w:rtl/>
          <w:lang w:bidi="ar-SY"/>
        </w:rPr>
        <w:tab/>
      </w:r>
      <w:r>
        <w:rPr>
          <w:rFonts w:hint="cs"/>
          <w:spacing w:val="2"/>
          <w:rtl/>
          <w:lang w:bidi="ar-SY"/>
        </w:rPr>
        <w:t xml:space="preserve">وتكرر اللجنة الملاحظة التي أبدتها في التعليق العام رقم 10 </w:t>
      </w:r>
      <w:r>
        <w:rPr>
          <w:rFonts w:hint="cs"/>
          <w:spacing w:val="2"/>
          <w:rtl/>
        </w:rPr>
        <w:t xml:space="preserve">بأنه </w:t>
      </w:r>
      <w:r w:rsidR="006C6DC9">
        <w:rPr>
          <w:rFonts w:hint="cs"/>
          <w:spacing w:val="2"/>
          <w:rtl/>
        </w:rPr>
        <w:t>"</w:t>
      </w:r>
      <w:r w:rsidRPr="002A2C22">
        <w:rPr>
          <w:spacing w:val="2"/>
          <w:rtl/>
        </w:rPr>
        <w:t xml:space="preserve">نظراً لتطور </w:t>
      </w:r>
      <w:r w:rsidRPr="00031A52">
        <w:rPr>
          <w:spacing w:val="2"/>
          <w:rtl/>
        </w:rPr>
        <w:t>وسائ</w:t>
      </w:r>
      <w:r w:rsidRPr="00031A52">
        <w:rPr>
          <w:rFonts w:hint="cs"/>
          <w:spacing w:val="2"/>
          <w:rtl/>
        </w:rPr>
        <w:t>ط</w:t>
      </w:r>
      <w:r w:rsidRPr="00031A52">
        <w:rPr>
          <w:spacing w:val="2"/>
          <w:rtl/>
        </w:rPr>
        <w:t xml:space="preserve"> ال</w:t>
      </w:r>
      <w:r w:rsidRPr="00031A52">
        <w:rPr>
          <w:rFonts w:hint="cs"/>
          <w:spacing w:val="2"/>
          <w:rtl/>
        </w:rPr>
        <w:t>إ</w:t>
      </w:r>
      <w:r w:rsidRPr="00031A52">
        <w:rPr>
          <w:spacing w:val="2"/>
          <w:rtl/>
        </w:rPr>
        <w:t>علام الجماهيري</w:t>
      </w:r>
      <w:r w:rsidRPr="002A2C22">
        <w:rPr>
          <w:spacing w:val="2"/>
          <w:rtl/>
        </w:rPr>
        <w:t xml:space="preserve"> الحديثة، يلزم اتخاذ تدابير فعالة لمنع </w:t>
      </w:r>
      <w:r>
        <w:rPr>
          <w:rFonts w:hint="cs"/>
          <w:spacing w:val="2"/>
          <w:rtl/>
        </w:rPr>
        <w:t xml:space="preserve">فرض </w:t>
      </w:r>
      <w:r w:rsidRPr="002A2C22">
        <w:rPr>
          <w:spacing w:val="2"/>
          <w:rtl/>
        </w:rPr>
        <w:t>هذه الرقابة على وسائط ال</w:t>
      </w:r>
      <w:r w:rsidRPr="002A2C22">
        <w:rPr>
          <w:rFonts w:hint="cs"/>
          <w:spacing w:val="2"/>
          <w:rtl/>
        </w:rPr>
        <w:t>إ</w:t>
      </w:r>
      <w:r w:rsidRPr="002A2C22">
        <w:rPr>
          <w:spacing w:val="2"/>
          <w:rtl/>
        </w:rPr>
        <w:t>علام بشكل يتعارض مع حق كل فرد في حرية التعبير</w:t>
      </w:r>
      <w:r w:rsidR="006C6DC9">
        <w:rPr>
          <w:rFonts w:hint="cs"/>
          <w:spacing w:val="2"/>
          <w:rtl/>
        </w:rPr>
        <w:t>"</w:t>
      </w:r>
      <w:r>
        <w:rPr>
          <w:rFonts w:hint="cs"/>
          <w:spacing w:val="2"/>
          <w:rtl/>
        </w:rPr>
        <w:t xml:space="preserve">. وينبغي للدولة ألا </w:t>
      </w:r>
      <w:r>
        <w:rPr>
          <w:rFonts w:hint="cs"/>
          <w:spacing w:val="2"/>
          <w:rtl/>
          <w:lang w:bidi="ar-SY"/>
        </w:rPr>
        <w:t>تفرض رقابة احتكارية على وسائط الإعلام وينبغي لها أن تعزز تعددية تلك الوسائط</w:t>
      </w:r>
      <w:r w:rsidR="002D086C" w:rsidRPr="00C94447">
        <w:rPr>
          <w:vertAlign w:val="superscript"/>
          <w:rtl/>
        </w:rPr>
        <w:t>(</w:t>
      </w:r>
      <w:r w:rsidR="002D086C" w:rsidRPr="00C94447">
        <w:rPr>
          <w:rStyle w:val="FootnoteReference"/>
          <w:rtl/>
        </w:rPr>
        <w:footnoteReference w:id="99"/>
      </w:r>
      <w:r w:rsidR="002D086C" w:rsidRPr="00C94447">
        <w:rPr>
          <w:vertAlign w:val="superscript"/>
          <w:rtl/>
        </w:rPr>
        <w:t>)</w:t>
      </w:r>
      <w:r>
        <w:rPr>
          <w:rFonts w:hint="cs"/>
          <w:spacing w:val="2"/>
          <w:rtl/>
          <w:lang w:bidi="ar-SY"/>
        </w:rPr>
        <w:t xml:space="preserve">. ونتيجة لذلك، ينبغي للدول الأطراف أن تتخذ التدابير المناسبة بما يتسق مع العهد، لمنع </w:t>
      </w:r>
      <w:r w:rsidR="006C6DC9">
        <w:rPr>
          <w:rFonts w:hint="cs"/>
          <w:spacing w:val="2"/>
          <w:rtl/>
          <w:lang w:bidi="ar-SY"/>
        </w:rPr>
        <w:t xml:space="preserve">أي </w:t>
      </w:r>
      <w:r>
        <w:rPr>
          <w:rFonts w:hint="cs"/>
          <w:spacing w:val="2"/>
          <w:rtl/>
          <w:lang w:bidi="ar-SY"/>
        </w:rPr>
        <w:t xml:space="preserve">هيمنة </w:t>
      </w:r>
      <w:r w:rsidR="00344827">
        <w:rPr>
          <w:rFonts w:hint="cs"/>
          <w:spacing w:val="2"/>
          <w:rtl/>
          <w:lang w:bidi="ar-SY"/>
        </w:rPr>
        <w:t xml:space="preserve">غير ملائمة في </w:t>
      </w:r>
      <w:r>
        <w:rPr>
          <w:rFonts w:hint="cs"/>
          <w:spacing w:val="2"/>
          <w:rtl/>
          <w:lang w:bidi="ar-SY"/>
        </w:rPr>
        <w:t xml:space="preserve">وسائط الإعلام أو منع تمركز مجموعات إعلامية </w:t>
      </w:r>
      <w:r w:rsidR="008C48ED">
        <w:rPr>
          <w:rFonts w:hint="cs"/>
          <w:spacing w:val="2"/>
          <w:rtl/>
          <w:lang w:bidi="ar-SY"/>
        </w:rPr>
        <w:t>مملوكة للقطاع الخاص</w:t>
      </w:r>
      <w:r>
        <w:rPr>
          <w:rFonts w:hint="cs"/>
          <w:spacing w:val="2"/>
          <w:rtl/>
          <w:lang w:bidi="ar-SY"/>
        </w:rPr>
        <w:t xml:space="preserve"> في أوضاع احتكارية قد تضّر بتنوع المصادر والآراء.</w:t>
      </w:r>
    </w:p>
    <w:p w:rsidR="00F27EBD" w:rsidRDefault="00F27EBD" w:rsidP="008C48ED">
      <w:pPr>
        <w:pStyle w:val="SingleTxtGA"/>
        <w:rPr>
          <w:rFonts w:hint="cs"/>
          <w:spacing w:val="2"/>
          <w:rtl/>
        </w:rPr>
      </w:pPr>
      <w:r>
        <w:rPr>
          <w:rFonts w:hint="cs"/>
          <w:spacing w:val="2"/>
          <w:rtl/>
        </w:rPr>
        <w:t>41-</w:t>
      </w:r>
      <w:r w:rsidR="002D086C">
        <w:rPr>
          <w:rFonts w:hint="cs"/>
          <w:spacing w:val="2"/>
          <w:rtl/>
        </w:rPr>
        <w:tab/>
      </w:r>
      <w:r>
        <w:rPr>
          <w:rFonts w:hint="cs"/>
          <w:spacing w:val="2"/>
          <w:rtl/>
        </w:rPr>
        <w:t xml:space="preserve">وينبغي توخي الحيطة </w:t>
      </w:r>
      <w:r w:rsidR="008C48ED">
        <w:rPr>
          <w:rFonts w:hint="cs"/>
          <w:spacing w:val="2"/>
          <w:rtl/>
        </w:rPr>
        <w:t>ل</w:t>
      </w:r>
      <w:r>
        <w:rPr>
          <w:rFonts w:hint="cs"/>
          <w:spacing w:val="2"/>
          <w:rtl/>
        </w:rPr>
        <w:t xml:space="preserve">ضمان عدم استخدام نظم الإعانات الحكومية </w:t>
      </w:r>
      <w:r w:rsidR="008C48ED">
        <w:rPr>
          <w:rFonts w:hint="cs"/>
          <w:spacing w:val="2"/>
          <w:rtl/>
        </w:rPr>
        <w:t>ل</w:t>
      </w:r>
      <w:r>
        <w:rPr>
          <w:rFonts w:hint="cs"/>
          <w:spacing w:val="2"/>
          <w:rtl/>
        </w:rPr>
        <w:t xml:space="preserve">وسائط الإعلام </w:t>
      </w:r>
      <w:r w:rsidR="008C48ED">
        <w:rPr>
          <w:rFonts w:hint="cs"/>
          <w:spacing w:val="2"/>
          <w:rtl/>
        </w:rPr>
        <w:t xml:space="preserve">أو طلبات بث </w:t>
      </w:r>
      <w:r>
        <w:rPr>
          <w:rFonts w:hint="cs"/>
          <w:spacing w:val="2"/>
          <w:rtl/>
        </w:rPr>
        <w:t>الإعلانات الحكومية</w:t>
      </w:r>
      <w:r w:rsidR="002D086C" w:rsidRPr="00C94447">
        <w:rPr>
          <w:vertAlign w:val="superscript"/>
          <w:rtl/>
        </w:rPr>
        <w:t>(</w:t>
      </w:r>
      <w:r w:rsidR="002D086C" w:rsidRPr="00C94447">
        <w:rPr>
          <w:rStyle w:val="FootnoteReference"/>
          <w:rtl/>
        </w:rPr>
        <w:footnoteReference w:id="100"/>
      </w:r>
      <w:r w:rsidR="002D086C" w:rsidRPr="00C94447">
        <w:rPr>
          <w:vertAlign w:val="superscript"/>
          <w:rtl/>
        </w:rPr>
        <w:t>)</w:t>
      </w:r>
      <w:r>
        <w:rPr>
          <w:rFonts w:hint="cs"/>
          <w:spacing w:val="2"/>
          <w:rtl/>
        </w:rPr>
        <w:t xml:space="preserve"> </w:t>
      </w:r>
      <w:r w:rsidR="008C48ED">
        <w:rPr>
          <w:rFonts w:hint="cs"/>
          <w:spacing w:val="2"/>
          <w:rtl/>
        </w:rPr>
        <w:t xml:space="preserve">في </w:t>
      </w:r>
      <w:r>
        <w:rPr>
          <w:rFonts w:hint="cs"/>
          <w:spacing w:val="2"/>
          <w:rtl/>
        </w:rPr>
        <w:t>أغراض إعاقة ممارسة حرية التعبير</w:t>
      </w:r>
      <w:r w:rsidR="002D086C" w:rsidRPr="00C94447">
        <w:rPr>
          <w:vertAlign w:val="superscript"/>
          <w:rtl/>
        </w:rPr>
        <w:t>(</w:t>
      </w:r>
      <w:r w:rsidR="002D086C" w:rsidRPr="00C94447">
        <w:rPr>
          <w:rStyle w:val="FootnoteReference"/>
          <w:rtl/>
        </w:rPr>
        <w:footnoteReference w:id="101"/>
      </w:r>
      <w:r w:rsidR="002D086C" w:rsidRPr="00C94447">
        <w:rPr>
          <w:vertAlign w:val="superscript"/>
          <w:rtl/>
        </w:rPr>
        <w:t>)</w:t>
      </w:r>
      <w:r>
        <w:rPr>
          <w:rFonts w:hint="cs"/>
          <w:spacing w:val="2"/>
          <w:rtl/>
        </w:rPr>
        <w:t>. وإضافة إلى ذلك، يجب ألا تو</w:t>
      </w:r>
      <w:r w:rsidR="008C48ED">
        <w:rPr>
          <w:rFonts w:hint="cs"/>
          <w:spacing w:val="2"/>
          <w:rtl/>
        </w:rPr>
        <w:t>ضع</w:t>
      </w:r>
      <w:r>
        <w:rPr>
          <w:rFonts w:hint="cs"/>
          <w:spacing w:val="2"/>
          <w:rtl/>
        </w:rPr>
        <w:t xml:space="preserve"> وسائط الإعلام الخاصة في وضع </w:t>
      </w:r>
      <w:r w:rsidR="008C48ED">
        <w:rPr>
          <w:rFonts w:hint="cs"/>
          <w:spacing w:val="2"/>
          <w:rtl/>
        </w:rPr>
        <w:t xml:space="preserve">أقل </w:t>
      </w:r>
      <w:r>
        <w:rPr>
          <w:rFonts w:hint="cs"/>
          <w:spacing w:val="2"/>
          <w:rtl/>
        </w:rPr>
        <w:t>لا تنال فيه نصيبها من الفرص مقارنة بوسائط الإعلام العامة في مسائل مثل الحصول على وسائل النشر أو التوزيع والحصول على الأخبار</w:t>
      </w:r>
      <w:r w:rsidR="002D086C" w:rsidRPr="00C94447">
        <w:rPr>
          <w:vertAlign w:val="superscript"/>
          <w:rtl/>
        </w:rPr>
        <w:t>(</w:t>
      </w:r>
      <w:r w:rsidR="002D086C" w:rsidRPr="00C94447">
        <w:rPr>
          <w:rStyle w:val="FootnoteReference"/>
          <w:rtl/>
        </w:rPr>
        <w:footnoteReference w:id="102"/>
      </w:r>
      <w:r w:rsidR="002D086C" w:rsidRPr="00C94447">
        <w:rPr>
          <w:vertAlign w:val="superscript"/>
          <w:rtl/>
        </w:rPr>
        <w:t>)</w:t>
      </w:r>
      <w:r>
        <w:rPr>
          <w:rFonts w:hint="cs"/>
          <w:spacing w:val="2"/>
          <w:rtl/>
        </w:rPr>
        <w:t>.</w:t>
      </w:r>
    </w:p>
    <w:p w:rsidR="00F27EBD" w:rsidRDefault="00F27EBD" w:rsidP="008C48ED">
      <w:pPr>
        <w:pStyle w:val="SingleTxtGA"/>
        <w:rPr>
          <w:rFonts w:hint="cs"/>
          <w:spacing w:val="2"/>
          <w:rtl/>
        </w:rPr>
      </w:pPr>
      <w:r>
        <w:rPr>
          <w:rFonts w:hint="cs"/>
          <w:spacing w:val="2"/>
          <w:rtl/>
        </w:rPr>
        <w:t>42-</w:t>
      </w:r>
      <w:r w:rsidR="002D086C">
        <w:rPr>
          <w:rFonts w:hint="cs"/>
          <w:spacing w:val="2"/>
          <w:rtl/>
        </w:rPr>
        <w:tab/>
      </w:r>
      <w:r w:rsidR="008C48ED">
        <w:rPr>
          <w:rFonts w:hint="cs"/>
          <w:spacing w:val="2"/>
          <w:rtl/>
        </w:rPr>
        <w:t xml:space="preserve">كما </w:t>
      </w:r>
      <w:r>
        <w:rPr>
          <w:rFonts w:hint="cs"/>
          <w:spacing w:val="2"/>
          <w:rtl/>
        </w:rPr>
        <w:t xml:space="preserve">إن فرض العقوبات على </w:t>
      </w:r>
      <w:r w:rsidR="008C48ED">
        <w:rPr>
          <w:rFonts w:hint="cs"/>
          <w:spacing w:val="2"/>
          <w:rtl/>
        </w:rPr>
        <w:t xml:space="preserve">المنافذ </w:t>
      </w:r>
      <w:r>
        <w:rPr>
          <w:rFonts w:hint="cs"/>
          <w:spacing w:val="2"/>
          <w:rtl/>
        </w:rPr>
        <w:t>الإعلام</w:t>
      </w:r>
      <w:r w:rsidR="008C48ED">
        <w:rPr>
          <w:rFonts w:hint="cs"/>
          <w:spacing w:val="2"/>
          <w:rtl/>
        </w:rPr>
        <w:t>ية</w:t>
      </w:r>
      <w:r>
        <w:rPr>
          <w:rFonts w:hint="cs"/>
          <w:spacing w:val="2"/>
          <w:rtl/>
        </w:rPr>
        <w:t xml:space="preserve"> أو دور النشر أو الصحفيين لمجرد أنهم يوجهون انتقادات للحكومة أو للنظام الاجتماعي </w:t>
      </w:r>
      <w:r w:rsidR="008C48ED">
        <w:rPr>
          <w:rFonts w:hint="cs"/>
          <w:spacing w:val="2"/>
          <w:rtl/>
        </w:rPr>
        <w:t>و</w:t>
      </w:r>
      <w:r>
        <w:rPr>
          <w:rFonts w:hint="cs"/>
          <w:spacing w:val="2"/>
          <w:rtl/>
        </w:rPr>
        <w:t>السياسي ال</w:t>
      </w:r>
      <w:r w:rsidR="002D086C">
        <w:rPr>
          <w:rFonts w:hint="cs"/>
          <w:spacing w:val="2"/>
          <w:rtl/>
        </w:rPr>
        <w:t>ـ</w:t>
      </w:r>
      <w:r>
        <w:rPr>
          <w:rFonts w:hint="cs"/>
          <w:spacing w:val="2"/>
          <w:rtl/>
        </w:rPr>
        <w:t xml:space="preserve">ذي </w:t>
      </w:r>
      <w:r w:rsidRPr="007545F2">
        <w:rPr>
          <w:rFonts w:hint="cs"/>
          <w:rtl/>
          <w:lang w:val="fr-CH"/>
        </w:rPr>
        <w:t>تتبن</w:t>
      </w:r>
      <w:r w:rsidR="002D086C">
        <w:rPr>
          <w:rFonts w:hint="cs"/>
          <w:rtl/>
          <w:lang w:val="fr-CH"/>
        </w:rPr>
        <w:t>ـ</w:t>
      </w:r>
      <w:r w:rsidRPr="007545F2">
        <w:rPr>
          <w:rFonts w:hint="cs"/>
          <w:rtl/>
          <w:lang w:val="fr-CH"/>
        </w:rPr>
        <w:t>اه</w:t>
      </w:r>
      <w:r>
        <w:rPr>
          <w:rFonts w:hint="cs"/>
          <w:spacing w:val="2"/>
          <w:rtl/>
        </w:rPr>
        <w:t xml:space="preserve"> الحكومة</w:t>
      </w:r>
      <w:r w:rsidR="002D086C" w:rsidRPr="00C94447">
        <w:rPr>
          <w:vertAlign w:val="superscript"/>
          <w:rtl/>
        </w:rPr>
        <w:t>(</w:t>
      </w:r>
      <w:r w:rsidR="002D086C" w:rsidRPr="00C94447">
        <w:rPr>
          <w:rStyle w:val="FootnoteReference"/>
          <w:rtl/>
        </w:rPr>
        <w:footnoteReference w:id="103"/>
      </w:r>
      <w:r w:rsidR="002D086C" w:rsidRPr="00C94447">
        <w:rPr>
          <w:vertAlign w:val="superscript"/>
          <w:rtl/>
        </w:rPr>
        <w:t>)</w:t>
      </w:r>
      <w:r>
        <w:rPr>
          <w:rFonts w:hint="cs"/>
          <w:spacing w:val="2"/>
          <w:rtl/>
        </w:rPr>
        <w:t xml:space="preserve"> لا يمكن أبداً أن يكون بمثابة قيد ضروري على حرية التعبير.</w:t>
      </w:r>
    </w:p>
    <w:p w:rsidR="00F27EBD" w:rsidRDefault="00F27EBD" w:rsidP="00344827">
      <w:pPr>
        <w:pStyle w:val="SingleTxtGA"/>
        <w:rPr>
          <w:rFonts w:hint="cs"/>
          <w:spacing w:val="2"/>
          <w:rtl/>
          <w:lang w:bidi="ar-SY"/>
        </w:rPr>
      </w:pPr>
      <w:r>
        <w:rPr>
          <w:rFonts w:hint="cs"/>
          <w:spacing w:val="2"/>
          <w:rtl/>
          <w:lang w:bidi="ar-SY"/>
        </w:rPr>
        <w:t>43-</w:t>
      </w:r>
      <w:r w:rsidR="002D086C">
        <w:rPr>
          <w:rFonts w:hint="cs"/>
          <w:spacing w:val="2"/>
          <w:rtl/>
          <w:lang w:bidi="ar-SY"/>
        </w:rPr>
        <w:tab/>
      </w:r>
      <w:r>
        <w:rPr>
          <w:rFonts w:hint="cs"/>
          <w:spacing w:val="2"/>
          <w:rtl/>
          <w:lang w:bidi="ar-SY"/>
        </w:rPr>
        <w:t>و</w:t>
      </w:r>
      <w:r w:rsidR="008C48ED">
        <w:rPr>
          <w:rFonts w:hint="cs"/>
          <w:spacing w:val="2"/>
          <w:rtl/>
          <w:lang w:bidi="ar-SY"/>
        </w:rPr>
        <w:t>لا ينبغي أن يسمح ب</w:t>
      </w:r>
      <w:r>
        <w:rPr>
          <w:rFonts w:hint="cs"/>
          <w:spacing w:val="2"/>
          <w:rtl/>
          <w:lang w:bidi="ar-SY"/>
        </w:rPr>
        <w:t xml:space="preserve">فرض أي قيود على تشغيل </w:t>
      </w:r>
      <w:r w:rsidR="008C48ED">
        <w:rPr>
          <w:rFonts w:hint="cs"/>
          <w:spacing w:val="2"/>
          <w:rtl/>
          <w:lang w:bidi="ar-SY"/>
        </w:rPr>
        <w:t>ال</w:t>
      </w:r>
      <w:r>
        <w:rPr>
          <w:rFonts w:hint="cs"/>
          <w:spacing w:val="2"/>
          <w:rtl/>
          <w:lang w:bidi="ar-SY"/>
        </w:rPr>
        <w:t xml:space="preserve">مواقع </w:t>
      </w:r>
      <w:r w:rsidR="008C48ED">
        <w:rPr>
          <w:rFonts w:hint="cs"/>
          <w:spacing w:val="2"/>
          <w:rtl/>
          <w:lang w:bidi="ar-SY"/>
        </w:rPr>
        <w:t>ال</w:t>
      </w:r>
      <w:r>
        <w:rPr>
          <w:rFonts w:hint="cs"/>
          <w:spacing w:val="2"/>
          <w:rtl/>
          <w:lang w:bidi="ar-SY"/>
        </w:rPr>
        <w:t xml:space="preserve">شبكية أو </w:t>
      </w:r>
      <w:r w:rsidR="008C48ED">
        <w:rPr>
          <w:rFonts w:hint="cs"/>
          <w:spacing w:val="2"/>
          <w:rtl/>
          <w:lang w:bidi="ar-SY"/>
        </w:rPr>
        <w:t>ال</w:t>
      </w:r>
      <w:r>
        <w:rPr>
          <w:rFonts w:hint="cs"/>
          <w:spacing w:val="2"/>
          <w:rtl/>
          <w:lang w:bidi="ar-SY"/>
        </w:rPr>
        <w:t xml:space="preserve">مدونات </w:t>
      </w:r>
      <w:r w:rsidR="008C48ED">
        <w:rPr>
          <w:rFonts w:hint="cs"/>
          <w:spacing w:val="2"/>
          <w:rtl/>
          <w:lang w:bidi="ar-SY"/>
        </w:rPr>
        <w:t>ال</w:t>
      </w:r>
      <w:r>
        <w:rPr>
          <w:rFonts w:hint="cs"/>
          <w:spacing w:val="2"/>
          <w:rtl/>
          <w:lang w:bidi="ar-SY"/>
        </w:rPr>
        <w:t xml:space="preserve">شبكية أو غيرها من نظم نشر المعلومات عن طريق الإنترنت أو الوسائل الإلكترونية أو </w:t>
      </w:r>
      <w:r w:rsidR="008C48ED">
        <w:rPr>
          <w:rFonts w:hint="cs"/>
          <w:spacing w:val="2"/>
          <w:rtl/>
          <w:lang w:bidi="ar-SY"/>
        </w:rPr>
        <w:t xml:space="preserve">أي </w:t>
      </w:r>
      <w:r>
        <w:rPr>
          <w:rFonts w:hint="cs"/>
          <w:spacing w:val="2"/>
          <w:rtl/>
          <w:lang w:bidi="ar-SY"/>
        </w:rPr>
        <w:t>وسائل أخرى، بما في ذلك نظم دعم هذا الاتصال، كموردي خدمة الإنترنت أو محركات البحث</w:t>
      </w:r>
      <w:r w:rsidR="008C48ED">
        <w:rPr>
          <w:rFonts w:hint="cs"/>
          <w:spacing w:val="2"/>
          <w:rtl/>
          <w:lang w:bidi="ar-SY"/>
        </w:rPr>
        <w:t>،</w:t>
      </w:r>
      <w:r>
        <w:rPr>
          <w:rFonts w:hint="cs"/>
          <w:spacing w:val="2"/>
          <w:rtl/>
          <w:lang w:bidi="ar-SY"/>
        </w:rPr>
        <w:t xml:space="preserve"> إلا في الحدود التي </w:t>
      </w:r>
      <w:r w:rsidR="008C48ED">
        <w:rPr>
          <w:rFonts w:hint="cs"/>
          <w:spacing w:val="2"/>
          <w:rtl/>
          <w:lang w:bidi="ar-SY"/>
        </w:rPr>
        <w:t>ت</w:t>
      </w:r>
      <w:r>
        <w:rPr>
          <w:rFonts w:hint="cs"/>
          <w:spacing w:val="2"/>
          <w:rtl/>
          <w:lang w:bidi="ar-SY"/>
        </w:rPr>
        <w:t>كون متم</w:t>
      </w:r>
      <w:r w:rsidR="008C48ED">
        <w:rPr>
          <w:rFonts w:hint="cs"/>
          <w:spacing w:val="2"/>
          <w:rtl/>
          <w:lang w:bidi="ar-SY"/>
        </w:rPr>
        <w:t>ا</w:t>
      </w:r>
      <w:r>
        <w:rPr>
          <w:rFonts w:hint="cs"/>
          <w:spacing w:val="2"/>
          <w:rtl/>
          <w:lang w:bidi="ar-SY"/>
        </w:rPr>
        <w:t>شي</w:t>
      </w:r>
      <w:r w:rsidR="008C48ED">
        <w:rPr>
          <w:rFonts w:hint="cs"/>
          <w:spacing w:val="2"/>
          <w:rtl/>
          <w:lang w:bidi="ar-SY"/>
        </w:rPr>
        <w:t>ة</w:t>
      </w:r>
      <w:r>
        <w:rPr>
          <w:rFonts w:hint="cs"/>
          <w:spacing w:val="2"/>
          <w:rtl/>
          <w:lang w:bidi="ar-SY"/>
        </w:rPr>
        <w:t xml:space="preserve"> مع الفقرة 3. وينبغي بوجه عام أن تكون القيود المسموح </w:t>
      </w:r>
      <w:proofErr w:type="spellStart"/>
      <w:r>
        <w:rPr>
          <w:rFonts w:hint="cs"/>
          <w:spacing w:val="2"/>
          <w:rtl/>
          <w:lang w:bidi="ar-SY"/>
        </w:rPr>
        <w:t>بها</w:t>
      </w:r>
      <w:proofErr w:type="spellEnd"/>
      <w:r>
        <w:rPr>
          <w:rFonts w:hint="cs"/>
          <w:spacing w:val="2"/>
          <w:rtl/>
          <w:lang w:bidi="ar-SY"/>
        </w:rPr>
        <w:t xml:space="preserve"> خاصة بالمحتوى</w:t>
      </w:r>
      <w:r w:rsidR="008C48ED">
        <w:rPr>
          <w:rFonts w:hint="cs"/>
          <w:spacing w:val="2"/>
          <w:rtl/>
          <w:lang w:bidi="ar-SY"/>
        </w:rPr>
        <w:t>،</w:t>
      </w:r>
      <w:r>
        <w:rPr>
          <w:rFonts w:hint="cs"/>
          <w:spacing w:val="2"/>
          <w:rtl/>
          <w:lang w:bidi="ar-SY"/>
        </w:rPr>
        <w:t xml:space="preserve"> و</w:t>
      </w:r>
      <w:r w:rsidR="008C48ED">
        <w:rPr>
          <w:rFonts w:hint="cs"/>
          <w:spacing w:val="2"/>
          <w:rtl/>
          <w:lang w:bidi="ar-SY"/>
        </w:rPr>
        <w:t xml:space="preserve">يتنافى فرض حظر عام </w:t>
      </w:r>
      <w:r>
        <w:rPr>
          <w:rFonts w:hint="cs"/>
          <w:spacing w:val="2"/>
          <w:rtl/>
          <w:lang w:bidi="ar-SY"/>
        </w:rPr>
        <w:t xml:space="preserve">على تشغيل بعض المواقع والأنظمة </w:t>
      </w:r>
      <w:r w:rsidR="008C48ED">
        <w:rPr>
          <w:rFonts w:hint="cs"/>
          <w:spacing w:val="2"/>
          <w:rtl/>
          <w:lang w:bidi="ar-SY"/>
        </w:rPr>
        <w:t>مع ا</w:t>
      </w:r>
      <w:r>
        <w:rPr>
          <w:rFonts w:hint="cs"/>
          <w:spacing w:val="2"/>
          <w:rtl/>
          <w:lang w:bidi="ar-SY"/>
        </w:rPr>
        <w:t xml:space="preserve">لفقرة 3. ويتعارض أيضاً مع الفقرة 3 </w:t>
      </w:r>
      <w:r w:rsidR="008C48ED">
        <w:rPr>
          <w:rFonts w:hint="cs"/>
          <w:spacing w:val="2"/>
          <w:rtl/>
          <w:lang w:bidi="ar-SY"/>
        </w:rPr>
        <w:t xml:space="preserve">منع </w:t>
      </w:r>
      <w:r>
        <w:rPr>
          <w:rFonts w:hint="cs"/>
          <w:spacing w:val="2"/>
          <w:rtl/>
          <w:lang w:bidi="ar-SY"/>
        </w:rPr>
        <w:t xml:space="preserve">موقع أو نظم </w:t>
      </w:r>
      <w:r w:rsidR="008C48ED">
        <w:rPr>
          <w:rFonts w:hint="cs"/>
          <w:spacing w:val="2"/>
          <w:rtl/>
          <w:lang w:bidi="ar-SY"/>
        </w:rPr>
        <w:t>ل</w:t>
      </w:r>
      <w:r>
        <w:rPr>
          <w:rFonts w:hint="cs"/>
          <w:spacing w:val="2"/>
          <w:rtl/>
          <w:lang w:bidi="ar-SY"/>
        </w:rPr>
        <w:t xml:space="preserve">نشر المعلومات من نشر مواد </w:t>
      </w:r>
      <w:r w:rsidR="00344827">
        <w:rPr>
          <w:rFonts w:hint="cs"/>
          <w:spacing w:val="2"/>
          <w:rtl/>
          <w:lang w:bidi="ar-SY"/>
        </w:rPr>
        <w:t xml:space="preserve">معينة </w:t>
      </w:r>
      <w:r>
        <w:rPr>
          <w:rFonts w:hint="cs"/>
          <w:spacing w:val="2"/>
          <w:rtl/>
          <w:lang w:bidi="ar-SY"/>
        </w:rPr>
        <w:t>ل</w:t>
      </w:r>
      <w:r w:rsidR="008C48ED">
        <w:rPr>
          <w:rFonts w:hint="cs"/>
          <w:spacing w:val="2"/>
          <w:rtl/>
          <w:lang w:bidi="ar-SY"/>
        </w:rPr>
        <w:t xml:space="preserve">سبب لا يزيد عن </w:t>
      </w:r>
      <w:r w:rsidR="00344827">
        <w:rPr>
          <w:rFonts w:hint="cs"/>
          <w:spacing w:val="2"/>
          <w:rtl/>
          <w:lang w:bidi="ar-SY"/>
        </w:rPr>
        <w:t>كو</w:t>
      </w:r>
      <w:r w:rsidR="008C48ED">
        <w:rPr>
          <w:rFonts w:hint="cs"/>
          <w:spacing w:val="2"/>
          <w:rtl/>
          <w:lang w:bidi="ar-SY"/>
        </w:rPr>
        <w:t xml:space="preserve">نها تنتقد </w:t>
      </w:r>
      <w:r>
        <w:rPr>
          <w:rFonts w:hint="cs"/>
          <w:spacing w:val="2"/>
          <w:rtl/>
          <w:lang w:bidi="ar-SY"/>
        </w:rPr>
        <w:t xml:space="preserve">الحكومة أو النظم الاجتماعية </w:t>
      </w:r>
      <w:r w:rsidR="008C48ED">
        <w:rPr>
          <w:rFonts w:hint="cs"/>
          <w:spacing w:val="2"/>
          <w:rtl/>
          <w:lang w:bidi="ar-SY"/>
        </w:rPr>
        <w:t>و</w:t>
      </w:r>
      <w:r>
        <w:rPr>
          <w:rFonts w:hint="cs"/>
          <w:spacing w:val="2"/>
          <w:rtl/>
          <w:lang w:bidi="ar-SY"/>
        </w:rPr>
        <w:t>السياسية التي تتبناها الحكومة</w:t>
      </w:r>
      <w:r w:rsidR="002D086C" w:rsidRPr="00C94447">
        <w:rPr>
          <w:vertAlign w:val="superscript"/>
          <w:rtl/>
        </w:rPr>
        <w:t>(</w:t>
      </w:r>
      <w:r w:rsidR="002D086C" w:rsidRPr="00C94447">
        <w:rPr>
          <w:rStyle w:val="FootnoteReference"/>
          <w:rtl/>
        </w:rPr>
        <w:footnoteReference w:id="104"/>
      </w:r>
      <w:r w:rsidR="002D086C" w:rsidRPr="00C94447">
        <w:rPr>
          <w:vertAlign w:val="superscript"/>
          <w:rtl/>
        </w:rPr>
        <w:t>)</w:t>
      </w:r>
      <w:r>
        <w:rPr>
          <w:rFonts w:hint="cs"/>
          <w:spacing w:val="2"/>
          <w:rtl/>
          <w:lang w:bidi="ar-SY"/>
        </w:rPr>
        <w:t>.</w:t>
      </w:r>
    </w:p>
    <w:p w:rsidR="00F27EBD" w:rsidRDefault="00F27EBD" w:rsidP="00344827">
      <w:pPr>
        <w:pStyle w:val="SingleTxtGA"/>
        <w:rPr>
          <w:rFonts w:hint="cs"/>
          <w:spacing w:val="2"/>
          <w:rtl/>
          <w:lang w:bidi="ar-SY"/>
        </w:rPr>
      </w:pPr>
      <w:r w:rsidRPr="007545F2">
        <w:rPr>
          <w:rFonts w:hint="cs"/>
          <w:rtl/>
          <w:lang w:val="fr-CH"/>
        </w:rPr>
        <w:t>44-</w:t>
      </w:r>
      <w:r w:rsidR="002D086C">
        <w:rPr>
          <w:rFonts w:hint="cs"/>
          <w:rtl/>
          <w:lang w:val="fr-CH"/>
        </w:rPr>
        <w:tab/>
      </w:r>
      <w:r w:rsidRPr="007545F2">
        <w:rPr>
          <w:rFonts w:hint="cs"/>
          <w:rtl/>
          <w:lang w:val="fr-CH"/>
        </w:rPr>
        <w:t xml:space="preserve">والصحافة </w:t>
      </w:r>
      <w:r w:rsidR="008C48ED">
        <w:rPr>
          <w:rFonts w:hint="cs"/>
          <w:rtl/>
          <w:lang w:val="fr-CH"/>
        </w:rPr>
        <w:t xml:space="preserve">مهنة تتقاسمها </w:t>
      </w:r>
      <w:r w:rsidRPr="007545F2">
        <w:rPr>
          <w:rFonts w:hint="cs"/>
          <w:rtl/>
          <w:lang w:val="fr-CH"/>
        </w:rPr>
        <w:t xml:space="preserve">طائفة واسعة من الجهات الفاعلة، بمن فيها المراسلون </w:t>
      </w:r>
      <w:r w:rsidRPr="008C48ED">
        <w:rPr>
          <w:rFonts w:hint="cs"/>
          <w:spacing w:val="-6"/>
          <w:rtl/>
          <w:lang w:val="fr-CH"/>
        </w:rPr>
        <w:t>والمحللون المحترفون</w:t>
      </w:r>
      <w:r w:rsidRPr="008C48ED">
        <w:rPr>
          <w:rFonts w:hint="cs"/>
          <w:spacing w:val="-6"/>
          <w:rtl/>
          <w:lang w:bidi="ar-SY"/>
        </w:rPr>
        <w:t xml:space="preserve"> والمتفرغون </w:t>
      </w:r>
      <w:r w:rsidRPr="008C48ED">
        <w:rPr>
          <w:rFonts w:hint="cs"/>
          <w:spacing w:val="-6"/>
          <w:rtl/>
          <w:lang w:val="fr-CH"/>
        </w:rPr>
        <w:t>فضلاً</w:t>
      </w:r>
      <w:r w:rsidRPr="008C48ED">
        <w:rPr>
          <w:rFonts w:hint="cs"/>
          <w:spacing w:val="-6"/>
          <w:rtl/>
          <w:lang w:bidi="ar-SY"/>
        </w:rPr>
        <w:t xml:space="preserve"> عن أصحاب المدونات الإلكترونية وغيرهم م</w:t>
      </w:r>
      <w:r w:rsidR="008C48ED" w:rsidRPr="008C48ED">
        <w:rPr>
          <w:rFonts w:hint="cs"/>
          <w:spacing w:val="-6"/>
          <w:rtl/>
          <w:lang w:bidi="ar-SY"/>
        </w:rPr>
        <w:t>م</w:t>
      </w:r>
      <w:r w:rsidRPr="008C48ED">
        <w:rPr>
          <w:rFonts w:hint="cs"/>
          <w:spacing w:val="-6"/>
          <w:rtl/>
          <w:lang w:bidi="ar-SY"/>
        </w:rPr>
        <w:t>ن يشاركون</w:t>
      </w:r>
      <w:r>
        <w:rPr>
          <w:rFonts w:hint="cs"/>
          <w:spacing w:val="2"/>
          <w:rtl/>
          <w:lang w:bidi="ar-SY"/>
        </w:rPr>
        <w:t xml:space="preserve"> في أشكال النشر الذاتي المطبوع أو على شبكة الإنترنت أو في مواضع أخ</w:t>
      </w:r>
      <w:r w:rsidR="002D086C">
        <w:rPr>
          <w:rFonts w:hint="cs"/>
          <w:spacing w:val="2"/>
          <w:rtl/>
          <w:lang w:bidi="ar-SY"/>
        </w:rPr>
        <w:t>ـ</w:t>
      </w:r>
      <w:r>
        <w:rPr>
          <w:rFonts w:hint="cs"/>
          <w:spacing w:val="2"/>
          <w:rtl/>
          <w:lang w:bidi="ar-SY"/>
        </w:rPr>
        <w:t>رى، و</w:t>
      </w:r>
      <w:r w:rsidR="008C48ED">
        <w:rPr>
          <w:rFonts w:hint="cs"/>
          <w:spacing w:val="2"/>
          <w:rtl/>
          <w:lang w:bidi="ar-SY"/>
        </w:rPr>
        <w:t xml:space="preserve">تتعارض </w:t>
      </w:r>
      <w:r w:rsidRPr="008C48ED">
        <w:rPr>
          <w:rFonts w:hint="cs"/>
          <w:rtl/>
          <w:lang w:bidi="ar-SY"/>
        </w:rPr>
        <w:t>النظم الحكومية العامة لتسجيل الصحفيين أو الترخيص لهم مع الفقرة 3. ولا ي</w:t>
      </w:r>
      <w:r w:rsidR="00916522">
        <w:rPr>
          <w:rFonts w:hint="cs"/>
          <w:rtl/>
          <w:lang w:bidi="ar-SY"/>
        </w:rPr>
        <w:t>ُ</w:t>
      </w:r>
      <w:r w:rsidRPr="008C48ED">
        <w:rPr>
          <w:rFonts w:hint="cs"/>
          <w:rtl/>
          <w:lang w:bidi="ar-SY"/>
        </w:rPr>
        <w:t>سمح</w:t>
      </w:r>
      <w:r>
        <w:rPr>
          <w:rFonts w:hint="cs"/>
          <w:spacing w:val="2"/>
          <w:rtl/>
          <w:lang w:bidi="ar-SY"/>
        </w:rPr>
        <w:t xml:space="preserve"> بنظم الاعتماد ا</w:t>
      </w:r>
      <w:r w:rsidR="00916522">
        <w:rPr>
          <w:rFonts w:hint="cs"/>
          <w:spacing w:val="2"/>
          <w:rtl/>
          <w:lang w:bidi="ar-SY"/>
        </w:rPr>
        <w:t xml:space="preserve">لمقيّد </w:t>
      </w:r>
      <w:r>
        <w:rPr>
          <w:rFonts w:hint="cs"/>
          <w:spacing w:val="2"/>
          <w:rtl/>
          <w:lang w:bidi="ar-SY"/>
        </w:rPr>
        <w:t xml:space="preserve">إلا عندما </w:t>
      </w:r>
      <w:r w:rsidR="00916522">
        <w:rPr>
          <w:rFonts w:hint="cs"/>
          <w:spacing w:val="2"/>
          <w:rtl/>
          <w:lang w:bidi="ar-SY"/>
        </w:rPr>
        <w:t>ت</w:t>
      </w:r>
      <w:r>
        <w:rPr>
          <w:rFonts w:hint="cs"/>
          <w:spacing w:val="2"/>
          <w:rtl/>
          <w:lang w:bidi="ar-SY"/>
        </w:rPr>
        <w:t xml:space="preserve">كون هناك ضرورة لمنح الصحفيين امتياز للوصول إلى أماكن و/أو </w:t>
      </w:r>
      <w:r w:rsidR="00916522">
        <w:rPr>
          <w:rFonts w:hint="cs"/>
          <w:spacing w:val="2"/>
          <w:rtl/>
          <w:lang w:bidi="ar-SY"/>
        </w:rPr>
        <w:t xml:space="preserve">مناسبات </w:t>
      </w:r>
      <w:r>
        <w:rPr>
          <w:rFonts w:hint="cs"/>
          <w:spacing w:val="2"/>
          <w:rtl/>
          <w:lang w:bidi="ar-SY"/>
        </w:rPr>
        <w:t>معينة. وينبغي أن تطبق هذه النظم بطريقة غير تمييزية ومتلائمة مع المادة 19 و</w:t>
      </w:r>
      <w:r w:rsidR="00916522">
        <w:rPr>
          <w:rFonts w:hint="cs"/>
          <w:spacing w:val="2"/>
          <w:rtl/>
          <w:lang w:bidi="ar-SY"/>
        </w:rPr>
        <w:t xml:space="preserve">مع </w:t>
      </w:r>
      <w:r>
        <w:rPr>
          <w:rFonts w:hint="cs"/>
          <w:spacing w:val="2"/>
          <w:rtl/>
          <w:lang w:bidi="ar-SY"/>
        </w:rPr>
        <w:t>الأحكام الأخرى للعهد على أساس معايير موضو</w:t>
      </w:r>
      <w:r w:rsidR="002D086C">
        <w:rPr>
          <w:rFonts w:hint="cs"/>
          <w:spacing w:val="2"/>
          <w:rtl/>
          <w:lang w:bidi="ar-SY"/>
        </w:rPr>
        <w:t>ع</w:t>
      </w:r>
      <w:r>
        <w:rPr>
          <w:rFonts w:hint="cs"/>
          <w:spacing w:val="2"/>
          <w:rtl/>
          <w:lang w:bidi="ar-SY"/>
        </w:rPr>
        <w:t xml:space="preserve">ية وبمراعاة أن الصحافة </w:t>
      </w:r>
      <w:r w:rsidR="00916522">
        <w:rPr>
          <w:rFonts w:hint="cs"/>
          <w:spacing w:val="2"/>
          <w:rtl/>
          <w:lang w:bidi="ar-SY"/>
        </w:rPr>
        <w:t xml:space="preserve">مهنة تتشارك فيها </w:t>
      </w:r>
      <w:r>
        <w:rPr>
          <w:rFonts w:hint="cs"/>
          <w:spacing w:val="2"/>
          <w:rtl/>
          <w:lang w:bidi="ar-SY"/>
        </w:rPr>
        <w:t>طائفة واسعة من الجهات الفاعلة.</w:t>
      </w:r>
    </w:p>
    <w:p w:rsidR="00F27EBD" w:rsidRDefault="00F27EBD" w:rsidP="00344827">
      <w:pPr>
        <w:pStyle w:val="SingleTxtGA"/>
        <w:rPr>
          <w:rFonts w:hint="cs"/>
          <w:spacing w:val="2"/>
          <w:rtl/>
          <w:lang w:bidi="ar-SY"/>
        </w:rPr>
      </w:pPr>
      <w:r>
        <w:rPr>
          <w:rFonts w:hint="cs"/>
          <w:spacing w:val="2"/>
          <w:rtl/>
          <w:lang w:bidi="ar-SY"/>
        </w:rPr>
        <w:t>45-</w:t>
      </w:r>
      <w:r w:rsidR="002D086C">
        <w:rPr>
          <w:rFonts w:hint="cs"/>
          <w:spacing w:val="2"/>
          <w:rtl/>
          <w:lang w:bidi="ar-SY"/>
        </w:rPr>
        <w:tab/>
      </w:r>
      <w:r>
        <w:rPr>
          <w:rFonts w:hint="cs"/>
          <w:spacing w:val="2"/>
          <w:rtl/>
          <w:lang w:bidi="ar-SY"/>
        </w:rPr>
        <w:t xml:space="preserve">ويتعارض عادة مع </w:t>
      </w:r>
      <w:r w:rsidR="00344827">
        <w:rPr>
          <w:rFonts w:hint="cs"/>
          <w:spacing w:val="2"/>
          <w:rtl/>
          <w:lang w:bidi="ar-SY"/>
        </w:rPr>
        <w:t>الفقرة</w:t>
      </w:r>
      <w:r>
        <w:rPr>
          <w:rFonts w:hint="cs"/>
          <w:spacing w:val="2"/>
          <w:rtl/>
          <w:lang w:bidi="ar-SY"/>
        </w:rPr>
        <w:t xml:space="preserve"> 3 </w:t>
      </w:r>
      <w:r w:rsidR="00916522">
        <w:rPr>
          <w:rFonts w:hint="cs"/>
          <w:spacing w:val="2"/>
          <w:rtl/>
          <w:lang w:bidi="ar-SY"/>
        </w:rPr>
        <w:t>القيام ب</w:t>
      </w:r>
      <w:r>
        <w:rPr>
          <w:rFonts w:hint="cs"/>
          <w:spacing w:val="2"/>
          <w:rtl/>
          <w:lang w:bidi="ar-SY"/>
        </w:rPr>
        <w:t xml:space="preserve">تقييد حرية الصحفيين وغيرهم من الأشخاص الذين يلتمسون ممارسة </w:t>
      </w:r>
      <w:r w:rsidR="00916522">
        <w:rPr>
          <w:rFonts w:hint="cs"/>
          <w:spacing w:val="2"/>
          <w:rtl/>
          <w:lang w:bidi="ar-SY"/>
        </w:rPr>
        <w:t xml:space="preserve">حقهم في </w:t>
      </w:r>
      <w:r>
        <w:rPr>
          <w:rFonts w:hint="cs"/>
          <w:spacing w:val="2"/>
          <w:rtl/>
          <w:lang w:bidi="ar-SY"/>
        </w:rPr>
        <w:t xml:space="preserve">حرية التعبير </w:t>
      </w:r>
      <w:r w:rsidR="00916522">
        <w:rPr>
          <w:rFonts w:hint="cs"/>
          <w:spacing w:val="2"/>
          <w:rtl/>
          <w:lang w:bidi="ar-SY"/>
        </w:rPr>
        <w:t xml:space="preserve">ويرغبون في السفر خارج الدولة الطرف </w:t>
      </w:r>
      <w:r>
        <w:rPr>
          <w:rFonts w:hint="cs"/>
          <w:spacing w:val="2"/>
          <w:rtl/>
          <w:lang w:bidi="ar-SY"/>
        </w:rPr>
        <w:t>(كالأشخاص الذين يرغبون في السفر لحضور اجتماعات تتعلق بحقوق الإنسان)</w:t>
      </w:r>
      <w:r w:rsidR="002D086C" w:rsidRPr="00C94447">
        <w:rPr>
          <w:vertAlign w:val="superscript"/>
          <w:rtl/>
        </w:rPr>
        <w:t>(</w:t>
      </w:r>
      <w:r w:rsidR="002D086C" w:rsidRPr="00C94447">
        <w:rPr>
          <w:rStyle w:val="FootnoteReference"/>
          <w:rtl/>
        </w:rPr>
        <w:footnoteReference w:id="105"/>
      </w:r>
      <w:r w:rsidR="002D086C" w:rsidRPr="00C94447">
        <w:rPr>
          <w:vertAlign w:val="superscript"/>
          <w:rtl/>
        </w:rPr>
        <w:t>)</w:t>
      </w:r>
      <w:r>
        <w:rPr>
          <w:rFonts w:hint="cs"/>
          <w:spacing w:val="2"/>
          <w:rtl/>
          <w:lang w:bidi="ar-SY"/>
        </w:rPr>
        <w:t>، وجعل دخول الصحفيين الأجانب إلى الدولة الطرف حكراً على صحفيين ينتمون إلى بلدان معينة</w:t>
      </w:r>
      <w:r w:rsidR="002D086C" w:rsidRPr="00C94447">
        <w:rPr>
          <w:vertAlign w:val="superscript"/>
          <w:rtl/>
        </w:rPr>
        <w:t>(</w:t>
      </w:r>
      <w:r w:rsidR="002D086C" w:rsidRPr="00C94447">
        <w:rPr>
          <w:rStyle w:val="FootnoteReference"/>
          <w:rtl/>
        </w:rPr>
        <w:footnoteReference w:id="106"/>
      </w:r>
      <w:r w:rsidR="002D086C" w:rsidRPr="00C94447">
        <w:rPr>
          <w:vertAlign w:val="superscript"/>
          <w:rtl/>
        </w:rPr>
        <w:t>)</w:t>
      </w:r>
      <w:r>
        <w:rPr>
          <w:rFonts w:hint="cs"/>
          <w:spacing w:val="2"/>
          <w:rtl/>
          <w:lang w:bidi="ar-SY"/>
        </w:rPr>
        <w:t xml:space="preserve"> أو تقييد حرية حركة الصحفيين والمحققين في مجال حقوق الإنسان داخل الدولة الطرف (بما في ذلك </w:t>
      </w:r>
      <w:r w:rsidR="00916522">
        <w:rPr>
          <w:rFonts w:hint="cs"/>
          <w:spacing w:val="2"/>
          <w:rtl/>
          <w:lang w:bidi="ar-SY"/>
        </w:rPr>
        <w:t xml:space="preserve">توجههم إلى </w:t>
      </w:r>
      <w:r>
        <w:rPr>
          <w:rFonts w:hint="cs"/>
          <w:spacing w:val="2"/>
          <w:rtl/>
          <w:lang w:bidi="ar-SY"/>
        </w:rPr>
        <w:t xml:space="preserve">المواقع المتأثرة بالنزاع ومواقع الكوارث الطبيعية والمواقع التي </w:t>
      </w:r>
      <w:r w:rsidR="00916522">
        <w:rPr>
          <w:rFonts w:hint="cs"/>
          <w:spacing w:val="2"/>
          <w:rtl/>
          <w:lang w:bidi="ar-SY"/>
        </w:rPr>
        <w:t xml:space="preserve">يدعى </w:t>
      </w:r>
      <w:r>
        <w:rPr>
          <w:rFonts w:hint="cs"/>
          <w:spacing w:val="2"/>
          <w:rtl/>
          <w:lang w:bidi="ar-SY"/>
        </w:rPr>
        <w:t xml:space="preserve">تعرضها لانتهاكات لحقوق الإنسان). وينبغي للدول الأطراف أن تعترف بأن أحد عناصر الحق في حرية التعبير </w:t>
      </w:r>
      <w:r w:rsidRPr="00DB2139">
        <w:rPr>
          <w:rFonts w:hint="cs"/>
          <w:spacing w:val="2"/>
          <w:rtl/>
          <w:lang w:bidi="ar-SY"/>
        </w:rPr>
        <w:t>يشمل ا</w:t>
      </w:r>
      <w:r w:rsidR="00916522">
        <w:rPr>
          <w:rFonts w:hint="cs"/>
          <w:spacing w:val="2"/>
          <w:rtl/>
          <w:lang w:bidi="ar-SY"/>
        </w:rPr>
        <w:t>لا</w:t>
      </w:r>
      <w:r w:rsidRPr="00DB2139">
        <w:rPr>
          <w:rFonts w:hint="cs"/>
          <w:spacing w:val="2"/>
          <w:rtl/>
          <w:lang w:bidi="ar-SY"/>
        </w:rPr>
        <w:t xml:space="preserve">متياز </w:t>
      </w:r>
      <w:r w:rsidR="00916522">
        <w:rPr>
          <w:rFonts w:hint="cs"/>
          <w:spacing w:val="2"/>
          <w:rtl/>
          <w:lang w:bidi="ar-SY"/>
        </w:rPr>
        <w:t xml:space="preserve">المكفول للصحفيين </w:t>
      </w:r>
      <w:r w:rsidRPr="00DB2139">
        <w:rPr>
          <w:rFonts w:hint="cs"/>
          <w:spacing w:val="2"/>
          <w:rtl/>
          <w:lang w:bidi="ar-SY"/>
        </w:rPr>
        <w:t>في</w:t>
      </w:r>
      <w:r>
        <w:rPr>
          <w:rFonts w:hint="cs"/>
          <w:spacing w:val="2"/>
          <w:rtl/>
          <w:lang w:bidi="ar-SY"/>
        </w:rPr>
        <w:t xml:space="preserve"> عدم الكشف عن مصادر المعلومات</w:t>
      </w:r>
      <w:r w:rsidR="002D086C" w:rsidRPr="00C94447">
        <w:rPr>
          <w:vertAlign w:val="superscript"/>
          <w:rtl/>
        </w:rPr>
        <w:t>(</w:t>
      </w:r>
      <w:r w:rsidR="002D086C" w:rsidRPr="00C94447">
        <w:rPr>
          <w:rStyle w:val="FootnoteReference"/>
          <w:rtl/>
        </w:rPr>
        <w:footnoteReference w:id="107"/>
      </w:r>
      <w:r w:rsidR="002D086C" w:rsidRPr="00C94447">
        <w:rPr>
          <w:vertAlign w:val="superscript"/>
          <w:rtl/>
        </w:rPr>
        <w:t>)</w:t>
      </w:r>
      <w:r w:rsidR="00916522">
        <w:rPr>
          <w:rFonts w:hint="cs"/>
          <w:spacing w:val="2"/>
          <w:rtl/>
          <w:lang w:bidi="ar-SY"/>
        </w:rPr>
        <w:t xml:space="preserve">، </w:t>
      </w:r>
      <w:r>
        <w:rPr>
          <w:rFonts w:hint="cs"/>
          <w:spacing w:val="2"/>
          <w:rtl/>
          <w:lang w:bidi="ar-SY"/>
        </w:rPr>
        <w:t>وأن تحترم ذلك.</w:t>
      </w:r>
    </w:p>
    <w:p w:rsidR="00F27EBD" w:rsidRDefault="00F27EBD" w:rsidP="00916522">
      <w:pPr>
        <w:pStyle w:val="SingleTxtGA"/>
        <w:rPr>
          <w:rFonts w:hint="cs"/>
          <w:spacing w:val="2"/>
          <w:rtl/>
          <w:lang w:bidi="ar-SY"/>
        </w:rPr>
      </w:pPr>
      <w:r>
        <w:rPr>
          <w:rFonts w:hint="cs"/>
          <w:spacing w:val="2"/>
          <w:rtl/>
          <w:lang w:bidi="ar-SY"/>
        </w:rPr>
        <w:t>46-</w:t>
      </w:r>
      <w:r w:rsidR="002D086C">
        <w:rPr>
          <w:rFonts w:hint="cs"/>
          <w:spacing w:val="2"/>
          <w:rtl/>
          <w:lang w:bidi="ar-SY"/>
        </w:rPr>
        <w:tab/>
      </w:r>
      <w:r>
        <w:rPr>
          <w:rFonts w:hint="cs"/>
          <w:spacing w:val="2"/>
          <w:rtl/>
          <w:lang w:bidi="ar-SY"/>
        </w:rPr>
        <w:t xml:space="preserve">وينبغي للدول الأطراف أن تضمن أن تكون تدابير مكافحة الإرهاب متمشية مع الفقرة 3. وينبغي وضع </w:t>
      </w:r>
      <w:proofErr w:type="spellStart"/>
      <w:r>
        <w:rPr>
          <w:rFonts w:hint="cs"/>
          <w:spacing w:val="2"/>
          <w:rtl/>
          <w:lang w:bidi="ar-SY"/>
        </w:rPr>
        <w:t>تعاريف</w:t>
      </w:r>
      <w:proofErr w:type="spellEnd"/>
      <w:r>
        <w:rPr>
          <w:rFonts w:hint="cs"/>
          <w:spacing w:val="2"/>
          <w:rtl/>
          <w:lang w:bidi="ar-SY"/>
        </w:rPr>
        <w:t xml:space="preserve"> واضحة لجرائم مثل "التشجيع على الإرهاب</w:t>
      </w:r>
      <w:r w:rsidR="00916522">
        <w:rPr>
          <w:rFonts w:hint="cs"/>
          <w:vertAlign w:val="superscript"/>
          <w:rtl/>
        </w:rPr>
        <w:t>"</w:t>
      </w:r>
      <w:r w:rsidR="002D086C" w:rsidRPr="00C94447">
        <w:rPr>
          <w:vertAlign w:val="superscript"/>
          <w:rtl/>
        </w:rPr>
        <w:t>(</w:t>
      </w:r>
      <w:r w:rsidR="002D086C" w:rsidRPr="00C94447">
        <w:rPr>
          <w:rStyle w:val="FootnoteReference"/>
          <w:rtl/>
        </w:rPr>
        <w:footnoteReference w:id="108"/>
      </w:r>
      <w:r w:rsidR="002D086C" w:rsidRPr="00C94447">
        <w:rPr>
          <w:vertAlign w:val="superscript"/>
          <w:rtl/>
        </w:rPr>
        <w:t>)</w:t>
      </w:r>
      <w:r>
        <w:rPr>
          <w:rFonts w:hint="cs"/>
          <w:spacing w:val="2"/>
          <w:rtl/>
          <w:lang w:bidi="ar-SY"/>
        </w:rPr>
        <w:t xml:space="preserve"> و</w:t>
      </w:r>
      <w:r w:rsidR="00916522">
        <w:rPr>
          <w:rFonts w:hint="cs"/>
          <w:spacing w:val="2"/>
          <w:rtl/>
          <w:lang w:bidi="ar-SY"/>
        </w:rPr>
        <w:t>"</w:t>
      </w:r>
      <w:r>
        <w:rPr>
          <w:rFonts w:hint="cs"/>
          <w:spacing w:val="2"/>
          <w:rtl/>
          <w:lang w:bidi="ar-SY"/>
        </w:rPr>
        <w:t>النشاط المتطرف</w:t>
      </w:r>
      <w:r w:rsidR="00916522">
        <w:rPr>
          <w:rFonts w:hint="cs"/>
          <w:vertAlign w:val="superscript"/>
          <w:rtl/>
        </w:rPr>
        <w:t>"</w:t>
      </w:r>
      <w:r w:rsidR="002D086C" w:rsidRPr="00C94447">
        <w:rPr>
          <w:vertAlign w:val="superscript"/>
          <w:rtl/>
        </w:rPr>
        <w:t>(</w:t>
      </w:r>
      <w:r w:rsidR="002D086C" w:rsidRPr="00C94447">
        <w:rPr>
          <w:rStyle w:val="FootnoteReference"/>
          <w:rtl/>
        </w:rPr>
        <w:footnoteReference w:id="109"/>
      </w:r>
      <w:r w:rsidR="002D086C" w:rsidRPr="00C94447">
        <w:rPr>
          <w:vertAlign w:val="superscript"/>
          <w:rtl/>
        </w:rPr>
        <w:t>)</w:t>
      </w:r>
      <w:r>
        <w:rPr>
          <w:rFonts w:hint="cs"/>
          <w:spacing w:val="2"/>
          <w:rtl/>
          <w:lang w:bidi="ar-SY"/>
        </w:rPr>
        <w:t xml:space="preserve"> فضلاً عن جرائم </w:t>
      </w:r>
      <w:r w:rsidR="00916522">
        <w:rPr>
          <w:rFonts w:hint="cs"/>
          <w:spacing w:val="2"/>
          <w:rtl/>
          <w:lang w:bidi="ar-SY"/>
        </w:rPr>
        <w:t>"</w:t>
      </w:r>
      <w:r>
        <w:rPr>
          <w:rFonts w:hint="cs"/>
          <w:spacing w:val="2"/>
          <w:rtl/>
          <w:lang w:bidi="ar-SY"/>
        </w:rPr>
        <w:t>الإشادة بالإرهاب</w:t>
      </w:r>
      <w:r w:rsidR="00916522">
        <w:rPr>
          <w:rFonts w:hint="cs"/>
          <w:spacing w:val="2"/>
          <w:rtl/>
          <w:lang w:bidi="ar-SY"/>
        </w:rPr>
        <w:t>"</w:t>
      </w:r>
      <w:r>
        <w:rPr>
          <w:rFonts w:hint="cs"/>
          <w:spacing w:val="2"/>
          <w:rtl/>
          <w:lang w:bidi="ar-SY"/>
        </w:rPr>
        <w:t xml:space="preserve"> أو </w:t>
      </w:r>
      <w:r w:rsidR="00916522">
        <w:rPr>
          <w:rFonts w:hint="cs"/>
          <w:spacing w:val="2"/>
          <w:rtl/>
          <w:lang w:bidi="ar-SY"/>
        </w:rPr>
        <w:t>"</w:t>
      </w:r>
      <w:r>
        <w:rPr>
          <w:rFonts w:hint="cs"/>
          <w:spacing w:val="2"/>
          <w:rtl/>
          <w:lang w:bidi="ar-SY"/>
        </w:rPr>
        <w:t>تمجيده</w:t>
      </w:r>
      <w:r w:rsidR="00916522">
        <w:rPr>
          <w:rFonts w:hint="cs"/>
          <w:spacing w:val="2"/>
          <w:rtl/>
          <w:lang w:bidi="ar-SY"/>
        </w:rPr>
        <w:t>"</w:t>
      </w:r>
      <w:r>
        <w:rPr>
          <w:rFonts w:hint="cs"/>
          <w:spacing w:val="2"/>
          <w:rtl/>
          <w:lang w:bidi="ar-SY"/>
        </w:rPr>
        <w:t xml:space="preserve"> أو </w:t>
      </w:r>
      <w:r w:rsidR="00916522">
        <w:rPr>
          <w:rFonts w:hint="cs"/>
          <w:spacing w:val="2"/>
          <w:rtl/>
          <w:lang w:bidi="ar-SY"/>
        </w:rPr>
        <w:t>"</w:t>
      </w:r>
      <w:r>
        <w:rPr>
          <w:rFonts w:hint="cs"/>
          <w:spacing w:val="2"/>
          <w:rtl/>
          <w:lang w:bidi="ar-SY"/>
        </w:rPr>
        <w:t>تبريره</w:t>
      </w:r>
      <w:r w:rsidR="00916522">
        <w:rPr>
          <w:rFonts w:hint="cs"/>
          <w:spacing w:val="2"/>
          <w:rtl/>
          <w:lang w:bidi="ar-SY"/>
        </w:rPr>
        <w:t>"</w:t>
      </w:r>
      <w:r>
        <w:rPr>
          <w:rFonts w:hint="cs"/>
          <w:spacing w:val="2"/>
          <w:rtl/>
          <w:lang w:bidi="ar-SY"/>
        </w:rPr>
        <w:t xml:space="preserve"> لضمان ألا تؤدي إلى تداخل غير ضروري أو غير متناسب مع حرية التعبير. ويجب أيضاً تفادي فرض قيود مفرطة على </w:t>
      </w:r>
      <w:r w:rsidR="00344827">
        <w:rPr>
          <w:rFonts w:hint="cs"/>
          <w:rtl/>
          <w:lang w:val="fr-CH"/>
        </w:rPr>
        <w:t xml:space="preserve">سبل </w:t>
      </w:r>
      <w:r w:rsidRPr="007545F2">
        <w:rPr>
          <w:rFonts w:hint="cs"/>
          <w:rtl/>
          <w:lang w:val="fr-CH"/>
        </w:rPr>
        <w:t>الحصول</w:t>
      </w:r>
      <w:r>
        <w:rPr>
          <w:rFonts w:hint="cs"/>
          <w:spacing w:val="2"/>
          <w:rtl/>
          <w:lang w:bidi="ar-SY"/>
        </w:rPr>
        <w:t xml:space="preserve"> على المعلومات. وتؤدي وسائط الإعلام دوراً حاسماً في إعلام الجمهور بأ</w:t>
      </w:r>
      <w:r w:rsidR="00916522">
        <w:rPr>
          <w:rFonts w:hint="cs"/>
          <w:spacing w:val="2"/>
          <w:rtl/>
          <w:lang w:bidi="ar-SY"/>
        </w:rPr>
        <w:t>عم</w:t>
      </w:r>
      <w:r>
        <w:rPr>
          <w:rFonts w:hint="cs"/>
          <w:spacing w:val="2"/>
          <w:rtl/>
          <w:lang w:bidi="ar-SY"/>
        </w:rPr>
        <w:t>ال الإرهاب، وينبغي عدم الحد بلا مبرر من قدرتها على العمل. وفي هذا الخصوص، ينبغي عدم معاقبة الصحفيين بسبب قيامهم ب</w:t>
      </w:r>
      <w:r w:rsidR="00916522">
        <w:rPr>
          <w:rFonts w:hint="cs"/>
          <w:spacing w:val="2"/>
          <w:rtl/>
          <w:lang w:bidi="ar-SY"/>
        </w:rPr>
        <w:t>وظائفهم ال</w:t>
      </w:r>
      <w:r>
        <w:rPr>
          <w:rFonts w:hint="cs"/>
          <w:spacing w:val="2"/>
          <w:rtl/>
          <w:lang w:bidi="ar-SY"/>
        </w:rPr>
        <w:t>مشروعة.</w:t>
      </w:r>
    </w:p>
    <w:p w:rsidR="00F27EBD" w:rsidRDefault="00F27EBD" w:rsidP="00685309">
      <w:pPr>
        <w:pStyle w:val="SingleTxtGA"/>
        <w:rPr>
          <w:rFonts w:hint="cs"/>
          <w:spacing w:val="2"/>
          <w:rtl/>
          <w:lang w:bidi="ar-SY"/>
        </w:rPr>
      </w:pPr>
      <w:r>
        <w:rPr>
          <w:rFonts w:hint="cs"/>
          <w:spacing w:val="2"/>
          <w:rtl/>
          <w:lang w:bidi="ar-SY"/>
        </w:rPr>
        <w:t>47-</w:t>
      </w:r>
      <w:r w:rsidR="002D086C">
        <w:rPr>
          <w:rFonts w:hint="cs"/>
          <w:spacing w:val="2"/>
          <w:rtl/>
          <w:lang w:bidi="ar-SY"/>
        </w:rPr>
        <w:tab/>
      </w:r>
      <w:r>
        <w:rPr>
          <w:rFonts w:hint="cs"/>
          <w:spacing w:val="2"/>
          <w:rtl/>
          <w:lang w:bidi="ar-SY"/>
        </w:rPr>
        <w:t>ويج</w:t>
      </w:r>
      <w:r w:rsidR="002D086C">
        <w:rPr>
          <w:rFonts w:hint="cs"/>
          <w:spacing w:val="2"/>
          <w:rtl/>
          <w:lang w:bidi="ar-SY"/>
        </w:rPr>
        <w:t>ـ</w:t>
      </w:r>
      <w:r>
        <w:rPr>
          <w:rFonts w:hint="cs"/>
          <w:spacing w:val="2"/>
          <w:rtl/>
          <w:lang w:bidi="ar-SY"/>
        </w:rPr>
        <w:t xml:space="preserve">ب </w:t>
      </w:r>
      <w:r w:rsidR="00685309">
        <w:rPr>
          <w:rFonts w:hint="cs"/>
          <w:spacing w:val="2"/>
          <w:rtl/>
          <w:lang w:bidi="ar-SY"/>
        </w:rPr>
        <w:t xml:space="preserve">أن تصاغ </w:t>
      </w:r>
      <w:r>
        <w:rPr>
          <w:rFonts w:hint="cs"/>
          <w:spacing w:val="2"/>
          <w:rtl/>
          <w:lang w:bidi="ar-SY"/>
        </w:rPr>
        <w:t>ق</w:t>
      </w:r>
      <w:r w:rsidR="002D086C">
        <w:rPr>
          <w:rFonts w:hint="cs"/>
          <w:spacing w:val="2"/>
          <w:rtl/>
          <w:lang w:bidi="ar-SY"/>
        </w:rPr>
        <w:t>ـ</w:t>
      </w:r>
      <w:r>
        <w:rPr>
          <w:rFonts w:hint="cs"/>
          <w:spacing w:val="2"/>
          <w:rtl/>
          <w:lang w:bidi="ar-SY"/>
        </w:rPr>
        <w:t xml:space="preserve">وانين التشهير بعناية لضمان </w:t>
      </w:r>
      <w:r w:rsidR="00685309">
        <w:rPr>
          <w:rFonts w:hint="cs"/>
          <w:spacing w:val="2"/>
          <w:rtl/>
          <w:lang w:bidi="ar-SY"/>
        </w:rPr>
        <w:t>امتثالها ل</w:t>
      </w:r>
      <w:r>
        <w:rPr>
          <w:rFonts w:hint="cs"/>
          <w:spacing w:val="2"/>
          <w:rtl/>
          <w:lang w:bidi="ar-SY"/>
        </w:rPr>
        <w:t xml:space="preserve">لفقرة 3 وألا تستخدم من الناحية العملية </w:t>
      </w:r>
      <w:r w:rsidR="00685309">
        <w:rPr>
          <w:rFonts w:hint="cs"/>
          <w:spacing w:val="2"/>
          <w:rtl/>
          <w:lang w:bidi="ar-SY"/>
        </w:rPr>
        <w:t xml:space="preserve">لخنق </w:t>
      </w:r>
      <w:r>
        <w:rPr>
          <w:rFonts w:hint="cs"/>
          <w:spacing w:val="2"/>
          <w:rtl/>
          <w:lang w:bidi="ar-SY"/>
        </w:rPr>
        <w:t>حرية التع</w:t>
      </w:r>
      <w:r w:rsidR="002D086C">
        <w:rPr>
          <w:rFonts w:hint="cs"/>
          <w:spacing w:val="2"/>
          <w:rtl/>
          <w:lang w:bidi="ar-SY"/>
        </w:rPr>
        <w:t>بير</w:t>
      </w:r>
      <w:r w:rsidR="002D086C" w:rsidRPr="00C94447">
        <w:rPr>
          <w:vertAlign w:val="superscript"/>
          <w:rtl/>
        </w:rPr>
        <w:t xml:space="preserve"> (</w:t>
      </w:r>
      <w:r w:rsidR="002D086C" w:rsidRPr="00C94447">
        <w:rPr>
          <w:rStyle w:val="FootnoteReference"/>
          <w:rtl/>
        </w:rPr>
        <w:footnoteReference w:id="110"/>
      </w:r>
      <w:r w:rsidR="002D086C" w:rsidRPr="00C94447">
        <w:rPr>
          <w:vertAlign w:val="superscript"/>
          <w:rtl/>
        </w:rPr>
        <w:t>)</w:t>
      </w:r>
      <w:r>
        <w:rPr>
          <w:rFonts w:hint="cs"/>
          <w:spacing w:val="2"/>
          <w:rtl/>
          <w:lang w:bidi="ar-SY"/>
        </w:rPr>
        <w:t xml:space="preserve">. وينبغي أن تشمل جميع هذه القوانين، ولاسيما قوانين التشهير الجنائية، أحكاماً تتعلق بالدفاع، مثل الدفاع عن الحقيقة، وألا </w:t>
      </w:r>
      <w:r w:rsidRPr="00A77918">
        <w:rPr>
          <w:rFonts w:hint="cs"/>
          <w:spacing w:val="2"/>
          <w:rtl/>
          <w:lang w:bidi="ar-SY"/>
        </w:rPr>
        <w:t>تطبق في حالة أشكال التعبير التي لا تخضع بطبيعتها للتحقق. و</w:t>
      </w:r>
      <w:r w:rsidR="00685309">
        <w:rPr>
          <w:rFonts w:hint="cs"/>
          <w:spacing w:val="2"/>
          <w:rtl/>
          <w:lang w:bidi="ar-SY"/>
        </w:rPr>
        <w:t xml:space="preserve">ينبغي </w:t>
      </w:r>
      <w:proofErr w:type="spellStart"/>
      <w:r w:rsidR="00685309">
        <w:rPr>
          <w:rFonts w:hint="cs"/>
          <w:spacing w:val="2"/>
          <w:rtl/>
          <w:lang w:bidi="ar-SY"/>
        </w:rPr>
        <w:t>إيلاء</w:t>
      </w:r>
      <w:proofErr w:type="spellEnd"/>
      <w:r w:rsidR="00685309">
        <w:rPr>
          <w:rFonts w:hint="cs"/>
          <w:spacing w:val="2"/>
          <w:rtl/>
          <w:lang w:bidi="ar-SY"/>
        </w:rPr>
        <w:t xml:space="preserve"> الاعتبار </w:t>
      </w:r>
      <w:r w:rsidRPr="00A77918">
        <w:rPr>
          <w:rFonts w:hint="cs"/>
          <w:spacing w:val="2"/>
          <w:rtl/>
          <w:lang w:bidi="ar-SY"/>
        </w:rPr>
        <w:t>على الأقل فيما يتعلق بالتعليق على الشخصيات العامة، لتجنب المعاقبة على بيانات غير صحيحة ن</w:t>
      </w:r>
      <w:r>
        <w:rPr>
          <w:rFonts w:hint="cs"/>
          <w:spacing w:val="2"/>
          <w:rtl/>
          <w:lang w:bidi="ar-SY"/>
        </w:rPr>
        <w:t>ُ</w:t>
      </w:r>
      <w:r w:rsidRPr="00A77918">
        <w:rPr>
          <w:rFonts w:hint="cs"/>
          <w:spacing w:val="2"/>
          <w:rtl/>
          <w:lang w:bidi="ar-SY"/>
        </w:rPr>
        <w:t xml:space="preserve">شرت خطأ بدون نية </w:t>
      </w:r>
      <w:r w:rsidRPr="007545F2">
        <w:rPr>
          <w:rFonts w:hint="cs"/>
          <w:rtl/>
          <w:lang w:val="fr-CH"/>
        </w:rPr>
        <w:t>سيئة</w:t>
      </w:r>
      <w:r w:rsidRPr="00A77918">
        <w:rPr>
          <w:rFonts w:hint="cs"/>
          <w:spacing w:val="2"/>
          <w:rtl/>
          <w:lang w:bidi="ar-SY"/>
        </w:rPr>
        <w:t xml:space="preserve"> أو جعل</w:t>
      </w:r>
      <w:r w:rsidR="00685309">
        <w:rPr>
          <w:rFonts w:hint="cs"/>
          <w:spacing w:val="2"/>
          <w:rtl/>
          <w:lang w:bidi="ar-SY"/>
        </w:rPr>
        <w:t xml:space="preserve"> هذه المعاقبة </w:t>
      </w:r>
      <w:r w:rsidRPr="00A77918">
        <w:rPr>
          <w:rFonts w:hint="cs"/>
          <w:spacing w:val="2"/>
          <w:rtl/>
          <w:lang w:bidi="ar-SY"/>
        </w:rPr>
        <w:t>غير قانونية</w:t>
      </w:r>
      <w:r w:rsidR="002D086C" w:rsidRPr="00C94447">
        <w:rPr>
          <w:vertAlign w:val="superscript"/>
          <w:rtl/>
        </w:rPr>
        <w:t>(</w:t>
      </w:r>
      <w:r w:rsidR="002D086C" w:rsidRPr="00C94447">
        <w:rPr>
          <w:rStyle w:val="FootnoteReference"/>
          <w:rtl/>
        </w:rPr>
        <w:footnoteReference w:id="111"/>
      </w:r>
      <w:r w:rsidR="002D086C" w:rsidRPr="00C94447">
        <w:rPr>
          <w:vertAlign w:val="superscript"/>
          <w:rtl/>
        </w:rPr>
        <w:t>)</w:t>
      </w:r>
      <w:r w:rsidRPr="00A77918">
        <w:rPr>
          <w:rFonts w:hint="cs"/>
          <w:spacing w:val="2"/>
          <w:rtl/>
          <w:lang w:bidi="ar-SY"/>
        </w:rPr>
        <w:t xml:space="preserve">. وعلى أي حال، ينبغي الاعتراف بالاهتمام العام بموضوع الانتقاد </w:t>
      </w:r>
      <w:r w:rsidR="00685309">
        <w:rPr>
          <w:rFonts w:hint="cs"/>
          <w:spacing w:val="2"/>
          <w:rtl/>
          <w:lang w:bidi="ar-SY"/>
        </w:rPr>
        <w:t xml:space="preserve">باعتباره </w:t>
      </w:r>
      <w:r w:rsidRPr="00A77918">
        <w:rPr>
          <w:rFonts w:hint="cs"/>
          <w:spacing w:val="2"/>
          <w:rtl/>
          <w:lang w:bidi="ar-SY"/>
        </w:rPr>
        <w:t xml:space="preserve">وسيلة للدفاع. وينبغي أن تتوخى الدول الأطراف الحيطة لتفادي التدابير العقابية والجزاءات المفرطة. </w:t>
      </w:r>
      <w:r>
        <w:rPr>
          <w:rFonts w:hint="cs"/>
          <w:spacing w:val="2"/>
          <w:rtl/>
          <w:lang w:bidi="ar-SY"/>
        </w:rPr>
        <w:t>و</w:t>
      </w:r>
      <w:r w:rsidRPr="00A77918">
        <w:rPr>
          <w:rFonts w:hint="cs"/>
          <w:spacing w:val="2"/>
          <w:rtl/>
          <w:lang w:bidi="ar-SY"/>
        </w:rPr>
        <w:t>ينبغي للدول الأطراف</w:t>
      </w:r>
      <w:r>
        <w:rPr>
          <w:rFonts w:hint="cs"/>
          <w:spacing w:val="2"/>
          <w:rtl/>
          <w:lang w:bidi="ar-SY"/>
        </w:rPr>
        <w:t>،</w:t>
      </w:r>
      <w:r w:rsidRPr="00665D88">
        <w:rPr>
          <w:rFonts w:hint="cs"/>
          <w:spacing w:val="2"/>
          <w:rtl/>
          <w:lang w:bidi="ar-SY"/>
        </w:rPr>
        <w:t xml:space="preserve"> </w:t>
      </w:r>
      <w:r w:rsidRPr="00A77918">
        <w:rPr>
          <w:rFonts w:hint="cs"/>
          <w:spacing w:val="2"/>
          <w:rtl/>
          <w:lang w:bidi="ar-SY"/>
        </w:rPr>
        <w:t>عند الاقتضاء</w:t>
      </w:r>
      <w:r>
        <w:rPr>
          <w:rFonts w:hint="cs"/>
          <w:spacing w:val="2"/>
          <w:rtl/>
          <w:lang w:bidi="ar-SY"/>
        </w:rPr>
        <w:t>،</w:t>
      </w:r>
      <w:r w:rsidRPr="00A77918">
        <w:rPr>
          <w:rFonts w:hint="cs"/>
          <w:spacing w:val="2"/>
          <w:rtl/>
          <w:lang w:bidi="ar-SY"/>
        </w:rPr>
        <w:t xml:space="preserve"> أن تفرض قيوداً معقولة على اشتراط أن يدفع المدع</w:t>
      </w:r>
      <w:r w:rsidR="00685309">
        <w:rPr>
          <w:rFonts w:hint="cs"/>
          <w:spacing w:val="2"/>
          <w:rtl/>
          <w:lang w:bidi="ar-SY"/>
        </w:rPr>
        <w:t>ّ</w:t>
      </w:r>
      <w:r w:rsidRPr="00A77918">
        <w:rPr>
          <w:rFonts w:hint="cs"/>
          <w:spacing w:val="2"/>
          <w:rtl/>
          <w:lang w:bidi="ar-SY"/>
        </w:rPr>
        <w:t>ى عليه المصاريف للطرف الرابح</w:t>
      </w:r>
      <w:r w:rsidR="002D086C" w:rsidRPr="00C94447">
        <w:rPr>
          <w:vertAlign w:val="superscript"/>
          <w:rtl/>
        </w:rPr>
        <w:t>(</w:t>
      </w:r>
      <w:r w:rsidR="002D086C" w:rsidRPr="00C94447">
        <w:rPr>
          <w:rStyle w:val="FootnoteReference"/>
          <w:rtl/>
        </w:rPr>
        <w:footnoteReference w:id="112"/>
      </w:r>
      <w:r w:rsidR="002D086C" w:rsidRPr="00C94447">
        <w:rPr>
          <w:vertAlign w:val="superscript"/>
          <w:rtl/>
        </w:rPr>
        <w:t>)</w:t>
      </w:r>
      <w:r w:rsidRPr="00A77918">
        <w:rPr>
          <w:rFonts w:hint="cs"/>
          <w:spacing w:val="2"/>
          <w:rtl/>
          <w:lang w:bidi="ar-SY"/>
        </w:rPr>
        <w:t xml:space="preserve">. وينبغي </w:t>
      </w:r>
      <w:r>
        <w:rPr>
          <w:rFonts w:hint="cs"/>
          <w:spacing w:val="2"/>
          <w:rtl/>
          <w:lang w:bidi="ar-SY"/>
        </w:rPr>
        <w:t>لها</w:t>
      </w:r>
      <w:r w:rsidRPr="00A77918">
        <w:rPr>
          <w:rFonts w:hint="cs"/>
          <w:spacing w:val="2"/>
          <w:rtl/>
          <w:lang w:bidi="ar-SY"/>
        </w:rPr>
        <w:t xml:space="preserve"> أن تنظر في نزع صفة الجرم عن التشهير</w:t>
      </w:r>
      <w:r w:rsidR="002D086C" w:rsidRPr="00C94447">
        <w:rPr>
          <w:vertAlign w:val="superscript"/>
          <w:rtl/>
        </w:rPr>
        <w:t>(</w:t>
      </w:r>
      <w:r w:rsidR="002D086C" w:rsidRPr="00C94447">
        <w:rPr>
          <w:rStyle w:val="FootnoteReference"/>
          <w:rtl/>
        </w:rPr>
        <w:footnoteReference w:id="113"/>
      </w:r>
      <w:r w:rsidR="002D086C" w:rsidRPr="00C94447">
        <w:rPr>
          <w:vertAlign w:val="superscript"/>
          <w:rtl/>
        </w:rPr>
        <w:t>)</w:t>
      </w:r>
      <w:r w:rsidR="00805BC6">
        <w:rPr>
          <w:rFonts w:hint="cs"/>
          <w:spacing w:val="2"/>
          <w:rtl/>
          <w:lang w:bidi="ar-SY"/>
        </w:rPr>
        <w:t xml:space="preserve">. </w:t>
      </w:r>
      <w:r w:rsidRPr="00A77918">
        <w:rPr>
          <w:rFonts w:hint="cs"/>
          <w:spacing w:val="2"/>
          <w:rtl/>
          <w:lang w:bidi="ar-SY"/>
        </w:rPr>
        <w:t>و</w:t>
      </w:r>
      <w:r w:rsidR="00685309">
        <w:rPr>
          <w:rFonts w:hint="cs"/>
          <w:spacing w:val="2"/>
          <w:rtl/>
          <w:lang w:bidi="ar-SY"/>
        </w:rPr>
        <w:t xml:space="preserve">لا ينبغي </w:t>
      </w:r>
      <w:r w:rsidRPr="00A77918">
        <w:rPr>
          <w:rFonts w:hint="cs"/>
          <w:spacing w:val="2"/>
          <w:rtl/>
          <w:lang w:bidi="ar-SY"/>
        </w:rPr>
        <w:t>في أي حال</w:t>
      </w:r>
      <w:r>
        <w:rPr>
          <w:rFonts w:hint="cs"/>
          <w:spacing w:val="2"/>
          <w:rtl/>
          <w:lang w:bidi="ar-SY"/>
        </w:rPr>
        <w:t xml:space="preserve"> من الأحوال</w:t>
      </w:r>
      <w:r w:rsidRPr="00A77918">
        <w:rPr>
          <w:rFonts w:hint="cs"/>
          <w:spacing w:val="2"/>
          <w:rtl/>
          <w:lang w:bidi="ar-SY"/>
        </w:rPr>
        <w:t xml:space="preserve">، </w:t>
      </w:r>
      <w:r w:rsidR="00685309">
        <w:rPr>
          <w:rFonts w:hint="cs"/>
          <w:spacing w:val="2"/>
          <w:rtl/>
          <w:lang w:bidi="ar-SY"/>
        </w:rPr>
        <w:t xml:space="preserve">الإقرار </w:t>
      </w:r>
      <w:r w:rsidRPr="00A77918">
        <w:rPr>
          <w:rFonts w:hint="cs"/>
          <w:spacing w:val="2"/>
          <w:rtl/>
          <w:lang w:bidi="ar-SY"/>
        </w:rPr>
        <w:t xml:space="preserve">بتطبيق القانون الجنائي إلا في </w:t>
      </w:r>
      <w:r w:rsidR="00685309">
        <w:rPr>
          <w:rFonts w:hint="cs"/>
          <w:spacing w:val="2"/>
          <w:rtl/>
          <w:lang w:bidi="ar-SY"/>
        </w:rPr>
        <w:t xml:space="preserve">أشد </w:t>
      </w:r>
      <w:r w:rsidRPr="00A77918">
        <w:rPr>
          <w:rFonts w:hint="cs"/>
          <w:spacing w:val="2"/>
          <w:rtl/>
          <w:lang w:bidi="ar-SY"/>
        </w:rPr>
        <w:t>الحالات خطورة، و</w:t>
      </w:r>
      <w:r w:rsidR="00685309">
        <w:rPr>
          <w:rFonts w:hint="cs"/>
          <w:spacing w:val="2"/>
          <w:rtl/>
          <w:lang w:bidi="ar-SY"/>
        </w:rPr>
        <w:t>أ</w:t>
      </w:r>
      <w:r w:rsidRPr="00A77918">
        <w:rPr>
          <w:rFonts w:hint="cs"/>
          <w:spacing w:val="2"/>
          <w:rtl/>
          <w:lang w:bidi="ar-SY"/>
        </w:rPr>
        <w:t xml:space="preserve">لا تكون عقوبة السجن على الإطلاق هي العقوبة المناسبة. ولا يجوز لدولة طرف أن </w:t>
      </w:r>
      <w:r>
        <w:rPr>
          <w:rFonts w:hint="cs"/>
          <w:spacing w:val="2"/>
          <w:rtl/>
          <w:lang w:bidi="ar-SY"/>
        </w:rPr>
        <w:t>ت</w:t>
      </w:r>
      <w:r w:rsidR="00685309">
        <w:rPr>
          <w:rFonts w:hint="cs"/>
          <w:spacing w:val="2"/>
          <w:rtl/>
          <w:lang w:bidi="ar-SY"/>
        </w:rPr>
        <w:t>قاضي</w:t>
      </w:r>
      <w:r w:rsidRPr="00A77918">
        <w:rPr>
          <w:rFonts w:hint="cs"/>
          <w:spacing w:val="2"/>
          <w:rtl/>
          <w:lang w:bidi="ar-SY"/>
        </w:rPr>
        <w:t xml:space="preserve"> شخصاً </w:t>
      </w:r>
      <w:r>
        <w:rPr>
          <w:rFonts w:hint="cs"/>
          <w:spacing w:val="2"/>
          <w:rtl/>
          <w:lang w:bidi="ar-SY"/>
        </w:rPr>
        <w:t>ب</w:t>
      </w:r>
      <w:r w:rsidR="00685309">
        <w:rPr>
          <w:rFonts w:hint="cs"/>
          <w:spacing w:val="2"/>
          <w:rtl/>
          <w:lang w:bidi="ar-SY"/>
        </w:rPr>
        <w:t xml:space="preserve">تهمة </w:t>
      </w:r>
      <w:r>
        <w:rPr>
          <w:rFonts w:hint="cs"/>
          <w:spacing w:val="2"/>
          <w:rtl/>
          <w:lang w:bidi="ar-SY"/>
        </w:rPr>
        <w:t>التشهير الجنائي</w:t>
      </w:r>
      <w:r w:rsidRPr="00A77918">
        <w:rPr>
          <w:rFonts w:hint="cs"/>
          <w:spacing w:val="2"/>
          <w:rtl/>
          <w:lang w:bidi="ar-SY"/>
        </w:rPr>
        <w:t xml:space="preserve"> </w:t>
      </w:r>
      <w:r>
        <w:rPr>
          <w:rFonts w:hint="cs"/>
          <w:spacing w:val="2"/>
          <w:rtl/>
          <w:lang w:bidi="ar-SY"/>
        </w:rPr>
        <w:t>دون أن تشرع بعد ذلك</w:t>
      </w:r>
      <w:r w:rsidRPr="00A77918">
        <w:rPr>
          <w:rFonts w:hint="cs"/>
          <w:spacing w:val="2"/>
          <w:rtl/>
          <w:lang w:bidi="ar-SY"/>
        </w:rPr>
        <w:t xml:space="preserve"> </w:t>
      </w:r>
      <w:r>
        <w:rPr>
          <w:rFonts w:hint="cs"/>
          <w:spacing w:val="2"/>
          <w:rtl/>
          <w:lang w:bidi="ar-SY"/>
        </w:rPr>
        <w:t>سريعاً إلى محاكمته</w:t>
      </w:r>
      <w:r w:rsidRPr="00A77918">
        <w:rPr>
          <w:rFonts w:hint="cs"/>
          <w:spacing w:val="2"/>
          <w:rtl/>
          <w:lang w:bidi="ar-SY"/>
        </w:rPr>
        <w:t>، ولهذه</w:t>
      </w:r>
      <w:r>
        <w:rPr>
          <w:rFonts w:hint="cs"/>
          <w:spacing w:val="2"/>
          <w:rtl/>
          <w:lang w:bidi="ar-SY"/>
        </w:rPr>
        <w:t xml:space="preserve"> الممارسة أثر مرعب من شأنه أن يحد بلا مبرر من ممارسة حرية التعبير التي يتمتع </w:t>
      </w:r>
      <w:proofErr w:type="spellStart"/>
      <w:r>
        <w:rPr>
          <w:rFonts w:hint="cs"/>
          <w:spacing w:val="2"/>
          <w:rtl/>
          <w:lang w:bidi="ar-SY"/>
        </w:rPr>
        <w:t>بها</w:t>
      </w:r>
      <w:proofErr w:type="spellEnd"/>
      <w:r>
        <w:rPr>
          <w:rFonts w:hint="cs"/>
          <w:spacing w:val="2"/>
          <w:rtl/>
          <w:lang w:bidi="ar-SY"/>
        </w:rPr>
        <w:t xml:space="preserve"> الشخص المعني والآخرون</w:t>
      </w:r>
      <w:r w:rsidR="00805BC6" w:rsidRPr="00C94447">
        <w:rPr>
          <w:vertAlign w:val="superscript"/>
          <w:rtl/>
        </w:rPr>
        <w:t>(</w:t>
      </w:r>
      <w:r w:rsidR="00805BC6" w:rsidRPr="00C94447">
        <w:rPr>
          <w:rStyle w:val="FootnoteReference"/>
          <w:rtl/>
        </w:rPr>
        <w:footnoteReference w:id="114"/>
      </w:r>
      <w:r w:rsidR="00805BC6" w:rsidRPr="00C94447">
        <w:rPr>
          <w:vertAlign w:val="superscript"/>
          <w:rtl/>
        </w:rPr>
        <w:t>)</w:t>
      </w:r>
      <w:r>
        <w:rPr>
          <w:rFonts w:hint="cs"/>
          <w:spacing w:val="2"/>
          <w:rtl/>
          <w:lang w:bidi="ar-SY"/>
        </w:rPr>
        <w:t>.</w:t>
      </w:r>
    </w:p>
    <w:p w:rsidR="00F27EBD" w:rsidRDefault="00F27EBD" w:rsidP="00A30AFE">
      <w:pPr>
        <w:pStyle w:val="SingleTxtGA"/>
        <w:rPr>
          <w:rFonts w:hint="cs"/>
          <w:spacing w:val="2"/>
          <w:rtl/>
          <w:lang w:bidi="ar-SY"/>
        </w:rPr>
      </w:pPr>
      <w:r>
        <w:rPr>
          <w:rFonts w:hint="cs"/>
          <w:spacing w:val="2"/>
          <w:rtl/>
          <w:lang w:bidi="ar-SY"/>
        </w:rPr>
        <w:t>48-</w:t>
      </w:r>
      <w:r w:rsidR="00805BC6">
        <w:rPr>
          <w:rFonts w:hint="cs"/>
          <w:spacing w:val="2"/>
          <w:rtl/>
          <w:lang w:bidi="ar-SY"/>
        </w:rPr>
        <w:tab/>
      </w:r>
      <w:r>
        <w:rPr>
          <w:rFonts w:hint="cs"/>
          <w:spacing w:val="2"/>
          <w:rtl/>
          <w:lang w:bidi="ar-SY"/>
        </w:rPr>
        <w:t>و</w:t>
      </w:r>
      <w:r w:rsidR="00685309" w:rsidRPr="007545F2">
        <w:rPr>
          <w:rFonts w:hint="cs"/>
          <w:rtl/>
          <w:lang w:val="fr-CH"/>
        </w:rPr>
        <w:t>باستثناء</w:t>
      </w:r>
      <w:r w:rsidR="00685309">
        <w:rPr>
          <w:rFonts w:hint="cs"/>
          <w:spacing w:val="2"/>
          <w:rtl/>
          <w:lang w:bidi="ar-SY"/>
        </w:rPr>
        <w:t xml:space="preserve"> الحالات المعينة المنصوص عليها في الفقرة 2 من المادة 20 من العهد، يتعارض مع العهد </w:t>
      </w:r>
      <w:r>
        <w:rPr>
          <w:rFonts w:hint="cs"/>
          <w:spacing w:val="2"/>
          <w:rtl/>
          <w:lang w:bidi="ar-SY"/>
        </w:rPr>
        <w:t>حظر إظهار قلة ا</w:t>
      </w:r>
      <w:r w:rsidR="00685309">
        <w:rPr>
          <w:rFonts w:hint="cs"/>
          <w:spacing w:val="2"/>
          <w:rtl/>
          <w:lang w:bidi="ar-SY"/>
        </w:rPr>
        <w:t>لا</w:t>
      </w:r>
      <w:r>
        <w:rPr>
          <w:rFonts w:hint="cs"/>
          <w:spacing w:val="2"/>
          <w:rtl/>
          <w:lang w:bidi="ar-SY"/>
        </w:rPr>
        <w:t xml:space="preserve">حترام </w:t>
      </w:r>
      <w:r w:rsidR="00685309">
        <w:rPr>
          <w:rFonts w:hint="cs"/>
          <w:spacing w:val="2"/>
          <w:rtl/>
          <w:lang w:bidi="ar-SY"/>
        </w:rPr>
        <w:t>ل</w:t>
      </w:r>
      <w:r>
        <w:rPr>
          <w:rFonts w:hint="cs"/>
          <w:spacing w:val="2"/>
          <w:rtl/>
          <w:lang w:bidi="ar-SY"/>
        </w:rPr>
        <w:t xml:space="preserve">دين أو نظام عقائدي آخر، </w:t>
      </w:r>
      <w:r w:rsidRPr="009E473C">
        <w:rPr>
          <w:rFonts w:hint="cs"/>
          <w:spacing w:val="2"/>
          <w:rtl/>
          <w:lang w:bidi="ar-SY"/>
        </w:rPr>
        <w:t>بما في ذلك قوانين التجدي</w:t>
      </w:r>
      <w:r w:rsidR="00805BC6">
        <w:rPr>
          <w:rFonts w:hint="cs"/>
          <w:spacing w:val="2"/>
          <w:rtl/>
          <w:lang w:bidi="ar-SY"/>
        </w:rPr>
        <w:t>ـ</w:t>
      </w:r>
      <w:r w:rsidRPr="009E473C">
        <w:rPr>
          <w:rFonts w:hint="cs"/>
          <w:spacing w:val="2"/>
          <w:rtl/>
          <w:lang w:bidi="ar-SY"/>
        </w:rPr>
        <w:t>ف</w:t>
      </w:r>
      <w:r>
        <w:rPr>
          <w:rFonts w:hint="cs"/>
          <w:spacing w:val="2"/>
          <w:rtl/>
          <w:lang w:bidi="ar-SY"/>
        </w:rPr>
        <w:t>. ويجب أيضاً أن تكون حالات الحظر تلك متمشية مع الشروط الصارمة الواردة في الفقرة 3 من المادة 19 فضلاً عن مواد، مثل المواد 2 و5 و17 و18 و26. ولذلك، لا يجوز على سبيل المثال لأي قانون من هذه القوانين أن يميز لصالح دين أو أديان أو نظم عقائدية معينة</w:t>
      </w:r>
      <w:r w:rsidR="00A30AFE">
        <w:rPr>
          <w:rFonts w:hint="cs"/>
          <w:spacing w:val="2"/>
          <w:rtl/>
          <w:lang w:bidi="ar-SY"/>
        </w:rPr>
        <w:t>،</w:t>
      </w:r>
      <w:r>
        <w:rPr>
          <w:rFonts w:hint="cs"/>
          <w:spacing w:val="2"/>
          <w:rtl/>
          <w:lang w:bidi="ar-SY"/>
        </w:rPr>
        <w:t xml:space="preserve"> أو ضدها</w:t>
      </w:r>
      <w:r w:rsidR="00A30AFE">
        <w:rPr>
          <w:rFonts w:hint="cs"/>
          <w:spacing w:val="2"/>
          <w:rtl/>
          <w:lang w:bidi="ar-SY"/>
        </w:rPr>
        <w:t>،</w:t>
      </w:r>
      <w:r>
        <w:rPr>
          <w:rFonts w:hint="cs"/>
          <w:spacing w:val="2"/>
          <w:rtl/>
          <w:lang w:bidi="ar-SY"/>
        </w:rPr>
        <w:t xml:space="preserve"> أو لصالح أتباعها ضد أتباع دين آخر أو لصالح المؤمنين بدين ضد غير </w:t>
      </w:r>
      <w:r w:rsidR="00A30AFE">
        <w:rPr>
          <w:rFonts w:hint="cs"/>
          <w:spacing w:val="2"/>
          <w:rtl/>
          <w:lang w:bidi="ar-SY"/>
        </w:rPr>
        <w:t>ال</w:t>
      </w:r>
      <w:r>
        <w:rPr>
          <w:rFonts w:hint="cs"/>
          <w:spacing w:val="2"/>
          <w:rtl/>
          <w:lang w:bidi="ar-SY"/>
        </w:rPr>
        <w:t xml:space="preserve">مؤمنين. ولا يجوز أن تستخدم حالات الحظر تلك لمنع انتقاد </w:t>
      </w:r>
      <w:r w:rsidR="00A30AFE">
        <w:rPr>
          <w:rFonts w:hint="cs"/>
          <w:spacing w:val="2"/>
          <w:rtl/>
          <w:lang w:bidi="ar-SY"/>
        </w:rPr>
        <w:t>ال</w:t>
      </w:r>
      <w:r>
        <w:rPr>
          <w:rFonts w:hint="cs"/>
          <w:spacing w:val="2"/>
          <w:rtl/>
          <w:lang w:bidi="ar-SY"/>
        </w:rPr>
        <w:t xml:space="preserve">زعماء </w:t>
      </w:r>
      <w:r w:rsidR="00A30AFE">
        <w:rPr>
          <w:rFonts w:hint="cs"/>
          <w:spacing w:val="2"/>
          <w:rtl/>
          <w:lang w:bidi="ar-SY"/>
        </w:rPr>
        <w:t>ال</w:t>
      </w:r>
      <w:r>
        <w:rPr>
          <w:rFonts w:hint="cs"/>
          <w:spacing w:val="2"/>
          <w:rtl/>
          <w:lang w:bidi="ar-SY"/>
        </w:rPr>
        <w:t>دينيين أو التعليق على مذهب ديني أو مبادئ عقائدية أو المعاقبة عليها</w:t>
      </w:r>
      <w:r w:rsidR="00805BC6" w:rsidRPr="00C94447">
        <w:rPr>
          <w:vertAlign w:val="superscript"/>
          <w:rtl/>
        </w:rPr>
        <w:t>(</w:t>
      </w:r>
      <w:r w:rsidR="00805BC6" w:rsidRPr="00C94447">
        <w:rPr>
          <w:rStyle w:val="FootnoteReference"/>
          <w:rtl/>
        </w:rPr>
        <w:footnoteReference w:id="115"/>
      </w:r>
      <w:r w:rsidR="00805BC6" w:rsidRPr="00C94447">
        <w:rPr>
          <w:vertAlign w:val="superscript"/>
          <w:rtl/>
        </w:rPr>
        <w:t>)</w:t>
      </w:r>
      <w:r>
        <w:rPr>
          <w:rFonts w:hint="cs"/>
          <w:spacing w:val="2"/>
          <w:rtl/>
          <w:lang w:bidi="ar-SY"/>
        </w:rPr>
        <w:t>.</w:t>
      </w:r>
    </w:p>
    <w:p w:rsidR="00F27EBD" w:rsidRDefault="00F27EBD" w:rsidP="00A30AFE">
      <w:pPr>
        <w:pStyle w:val="SingleTxtGA"/>
        <w:rPr>
          <w:rFonts w:hint="cs"/>
          <w:spacing w:val="2"/>
          <w:rtl/>
          <w:lang w:bidi="ar-SY"/>
        </w:rPr>
      </w:pPr>
      <w:r>
        <w:rPr>
          <w:rFonts w:hint="cs"/>
          <w:spacing w:val="2"/>
          <w:rtl/>
          <w:lang w:bidi="ar-SY"/>
        </w:rPr>
        <w:t>49-</w:t>
      </w:r>
      <w:r w:rsidR="00805BC6">
        <w:rPr>
          <w:rFonts w:hint="cs"/>
          <w:spacing w:val="2"/>
          <w:rtl/>
          <w:lang w:bidi="ar-SY"/>
        </w:rPr>
        <w:tab/>
      </w:r>
      <w:r>
        <w:rPr>
          <w:rFonts w:hint="cs"/>
          <w:spacing w:val="2"/>
          <w:rtl/>
          <w:lang w:bidi="ar-SY"/>
        </w:rPr>
        <w:t>وتتعارض القوانين التي تعاقب على التعبير عن الآراء المتعلقة بالوقائع التاريخية مع الالتزامات المفروضة على الدول الأطراف بموجب العهد فيما يتعلق باحترام حرية الرأي و</w:t>
      </w:r>
      <w:r w:rsidR="00A30AFE">
        <w:rPr>
          <w:rFonts w:hint="cs"/>
          <w:spacing w:val="2"/>
          <w:rtl/>
          <w:lang w:bidi="ar-SY"/>
        </w:rPr>
        <w:t xml:space="preserve">حرية </w:t>
      </w:r>
      <w:r>
        <w:rPr>
          <w:rFonts w:hint="cs"/>
          <w:spacing w:val="2"/>
          <w:rtl/>
          <w:lang w:bidi="ar-SY"/>
        </w:rPr>
        <w:t>التعبير</w:t>
      </w:r>
      <w:r w:rsidR="00805BC6" w:rsidRPr="00C94447">
        <w:rPr>
          <w:vertAlign w:val="superscript"/>
          <w:rtl/>
        </w:rPr>
        <w:t>(</w:t>
      </w:r>
      <w:r w:rsidR="00805BC6" w:rsidRPr="00C94447">
        <w:rPr>
          <w:rStyle w:val="FootnoteReference"/>
          <w:rtl/>
        </w:rPr>
        <w:footnoteReference w:id="116"/>
      </w:r>
      <w:r w:rsidR="00805BC6" w:rsidRPr="00C94447">
        <w:rPr>
          <w:vertAlign w:val="superscript"/>
          <w:rtl/>
        </w:rPr>
        <w:t>)</w:t>
      </w:r>
      <w:r>
        <w:rPr>
          <w:rFonts w:hint="cs"/>
          <w:spacing w:val="2"/>
          <w:rtl/>
          <w:lang w:bidi="ar-SY"/>
        </w:rPr>
        <w:t xml:space="preserve">. ولا يجيز العهد فرض حظر عام على حرية التعبير عن آراء خاطئة أو تفسيرات غير صحيحة لأحداث الماضي. وينبغي ألا تفرض على الإطلاق قيود على الحق في حرية الرأي، وفيما يتعلق بحرية التعبير ينبغي ألا تتجاوز القيود المفروضة الحدود المسموح </w:t>
      </w:r>
      <w:proofErr w:type="spellStart"/>
      <w:r>
        <w:rPr>
          <w:rFonts w:hint="cs"/>
          <w:spacing w:val="2"/>
          <w:rtl/>
          <w:lang w:bidi="ar-SY"/>
        </w:rPr>
        <w:t>بها</w:t>
      </w:r>
      <w:proofErr w:type="spellEnd"/>
      <w:r>
        <w:rPr>
          <w:rFonts w:hint="cs"/>
          <w:spacing w:val="2"/>
          <w:rtl/>
          <w:lang w:bidi="ar-SY"/>
        </w:rPr>
        <w:t xml:space="preserve"> في الفقرة 3 أو المنصوص عليها في المادة 20.</w:t>
      </w:r>
    </w:p>
    <w:p w:rsidR="00F27EBD" w:rsidRPr="0074174F" w:rsidRDefault="00805BC6" w:rsidP="00805BC6">
      <w:pPr>
        <w:pStyle w:val="H23GA"/>
        <w:rPr>
          <w:rFonts w:hint="cs"/>
          <w:rtl/>
          <w:lang w:bidi="ar-SY"/>
        </w:rPr>
      </w:pPr>
      <w:r>
        <w:rPr>
          <w:rFonts w:hint="cs"/>
          <w:rtl/>
          <w:lang w:bidi="ar-SY"/>
        </w:rPr>
        <w:tab/>
      </w:r>
      <w:r>
        <w:rPr>
          <w:rFonts w:hint="cs"/>
          <w:rtl/>
          <w:lang w:bidi="ar-SY"/>
        </w:rPr>
        <w:tab/>
      </w:r>
      <w:r w:rsidR="00F27EBD" w:rsidRPr="0074174F">
        <w:rPr>
          <w:rFonts w:hint="cs"/>
          <w:rtl/>
          <w:lang w:bidi="ar-SY"/>
        </w:rPr>
        <w:t>العلاقة بين المادة 19 والمادة 20</w:t>
      </w:r>
    </w:p>
    <w:p w:rsidR="00F27EBD" w:rsidRDefault="00F27EBD" w:rsidP="00A30AFE">
      <w:pPr>
        <w:pStyle w:val="SingleTxtGA"/>
        <w:rPr>
          <w:rFonts w:hint="cs"/>
          <w:spacing w:val="2"/>
          <w:rtl/>
          <w:lang w:bidi="ar-SY"/>
        </w:rPr>
      </w:pPr>
      <w:r>
        <w:rPr>
          <w:rFonts w:hint="cs"/>
          <w:spacing w:val="2"/>
          <w:rtl/>
          <w:lang w:bidi="ar-SY"/>
        </w:rPr>
        <w:t>50-</w:t>
      </w:r>
      <w:r w:rsidR="00805BC6">
        <w:rPr>
          <w:rFonts w:hint="cs"/>
          <w:spacing w:val="2"/>
          <w:rtl/>
          <w:lang w:bidi="ar-SY"/>
        </w:rPr>
        <w:tab/>
      </w:r>
      <w:r>
        <w:rPr>
          <w:rFonts w:hint="cs"/>
          <w:spacing w:val="2"/>
          <w:rtl/>
          <w:lang w:bidi="ar-SY"/>
        </w:rPr>
        <w:t xml:space="preserve">لا </w:t>
      </w:r>
      <w:r w:rsidRPr="007545F2">
        <w:rPr>
          <w:rFonts w:hint="cs"/>
          <w:rtl/>
          <w:lang w:val="fr-CH"/>
        </w:rPr>
        <w:t>تتعارض</w:t>
      </w:r>
      <w:r>
        <w:rPr>
          <w:rFonts w:hint="cs"/>
          <w:spacing w:val="2"/>
          <w:rtl/>
          <w:lang w:bidi="ar-SY"/>
        </w:rPr>
        <w:t xml:space="preserve"> المادة 19 مع المادة 20 وتكمل كل منهما الأخرى. وتخضع جميع الأ</w:t>
      </w:r>
      <w:r w:rsidR="00A30AFE">
        <w:rPr>
          <w:rFonts w:hint="cs"/>
          <w:spacing w:val="2"/>
          <w:rtl/>
          <w:lang w:bidi="ar-SY"/>
        </w:rPr>
        <w:t>عم</w:t>
      </w:r>
      <w:r>
        <w:rPr>
          <w:rFonts w:hint="cs"/>
          <w:spacing w:val="2"/>
          <w:rtl/>
          <w:lang w:bidi="ar-SY"/>
        </w:rPr>
        <w:t>ال التي تتناولها المادة 20 للتقييد المنصوص عليه في الفقرة 3 من المادة 19. و</w:t>
      </w:r>
      <w:r w:rsidR="00A30AFE">
        <w:rPr>
          <w:rFonts w:hint="cs"/>
          <w:spacing w:val="2"/>
          <w:rtl/>
          <w:lang w:bidi="ar-SY"/>
        </w:rPr>
        <w:t>على هذا الأساس</w:t>
      </w:r>
      <w:r>
        <w:rPr>
          <w:rFonts w:hint="cs"/>
          <w:spacing w:val="2"/>
          <w:rtl/>
          <w:lang w:bidi="ar-SY"/>
        </w:rPr>
        <w:t>، فإن القيد الذي ي</w:t>
      </w:r>
      <w:r w:rsidR="00A30AFE">
        <w:rPr>
          <w:rFonts w:hint="cs"/>
          <w:spacing w:val="2"/>
          <w:rtl/>
          <w:lang w:bidi="ar-SY"/>
        </w:rPr>
        <w:t>ُ</w:t>
      </w:r>
      <w:r>
        <w:rPr>
          <w:rFonts w:hint="cs"/>
          <w:spacing w:val="2"/>
          <w:rtl/>
          <w:lang w:bidi="ar-SY"/>
        </w:rPr>
        <w:t>ب</w:t>
      </w:r>
      <w:r w:rsidR="00A30AFE">
        <w:rPr>
          <w:rFonts w:hint="cs"/>
          <w:spacing w:val="2"/>
          <w:rtl/>
          <w:lang w:bidi="ar-SY"/>
        </w:rPr>
        <w:t>ّ</w:t>
      </w:r>
      <w:r>
        <w:rPr>
          <w:rFonts w:hint="cs"/>
          <w:spacing w:val="2"/>
          <w:rtl/>
          <w:lang w:bidi="ar-SY"/>
        </w:rPr>
        <w:t>رر بالاستناد إلى المادة 20 يجب أن يتفق أيضاً مع الفقرة 3 من المادة 19</w:t>
      </w:r>
      <w:r w:rsidR="00805BC6" w:rsidRPr="00C94447">
        <w:rPr>
          <w:vertAlign w:val="superscript"/>
          <w:rtl/>
        </w:rPr>
        <w:t>(</w:t>
      </w:r>
      <w:r w:rsidR="00805BC6" w:rsidRPr="00C94447">
        <w:rPr>
          <w:rStyle w:val="FootnoteReference"/>
          <w:rtl/>
        </w:rPr>
        <w:footnoteReference w:id="117"/>
      </w:r>
      <w:r w:rsidR="00805BC6" w:rsidRPr="00C94447">
        <w:rPr>
          <w:vertAlign w:val="superscript"/>
          <w:rtl/>
        </w:rPr>
        <w:t>)</w:t>
      </w:r>
      <w:r>
        <w:rPr>
          <w:rFonts w:hint="cs"/>
          <w:spacing w:val="2"/>
          <w:rtl/>
          <w:lang w:bidi="ar-SY"/>
        </w:rPr>
        <w:t>.</w:t>
      </w:r>
    </w:p>
    <w:p w:rsidR="00F27EBD" w:rsidRDefault="00F27EBD" w:rsidP="00A30AFE">
      <w:pPr>
        <w:pStyle w:val="SingleTxtGA"/>
        <w:rPr>
          <w:rFonts w:hint="cs"/>
          <w:spacing w:val="2"/>
          <w:rtl/>
          <w:lang w:bidi="ar-SY"/>
        </w:rPr>
      </w:pPr>
      <w:r>
        <w:rPr>
          <w:rFonts w:hint="cs"/>
          <w:spacing w:val="2"/>
          <w:rtl/>
          <w:lang w:bidi="ar-SY"/>
        </w:rPr>
        <w:t>51-</w:t>
      </w:r>
      <w:r w:rsidR="00805BC6">
        <w:rPr>
          <w:rFonts w:hint="cs"/>
          <w:spacing w:val="2"/>
          <w:rtl/>
          <w:lang w:bidi="ar-SY"/>
        </w:rPr>
        <w:tab/>
      </w:r>
      <w:r w:rsidRPr="00A30AFE">
        <w:rPr>
          <w:rFonts w:hint="cs"/>
          <w:rtl/>
          <w:lang w:bidi="ar-SY"/>
        </w:rPr>
        <w:t>ويميز الأ</w:t>
      </w:r>
      <w:r w:rsidR="00A30AFE" w:rsidRPr="00A30AFE">
        <w:rPr>
          <w:rFonts w:hint="cs"/>
          <w:rtl/>
          <w:lang w:bidi="ar-SY"/>
        </w:rPr>
        <w:t>عم</w:t>
      </w:r>
      <w:r w:rsidRPr="00A30AFE">
        <w:rPr>
          <w:rFonts w:hint="cs"/>
          <w:rtl/>
          <w:lang w:bidi="ar-SY"/>
        </w:rPr>
        <w:t xml:space="preserve">ال التي تتناولها المادة 20 عن </w:t>
      </w:r>
      <w:r w:rsidR="00A30AFE" w:rsidRPr="00A30AFE">
        <w:rPr>
          <w:rFonts w:hint="cs"/>
          <w:rtl/>
          <w:lang w:bidi="ar-SY"/>
        </w:rPr>
        <w:t>الأعما</w:t>
      </w:r>
      <w:r w:rsidRPr="00A30AFE">
        <w:rPr>
          <w:rFonts w:hint="cs"/>
          <w:rtl/>
          <w:lang w:bidi="ar-SY"/>
        </w:rPr>
        <w:t xml:space="preserve">ل </w:t>
      </w:r>
      <w:r w:rsidR="00A30AFE" w:rsidRPr="00A30AFE">
        <w:rPr>
          <w:rFonts w:hint="cs"/>
          <w:rtl/>
          <w:lang w:bidi="ar-SY"/>
        </w:rPr>
        <w:t>الأ</w:t>
      </w:r>
      <w:r w:rsidRPr="00A30AFE">
        <w:rPr>
          <w:rFonts w:hint="cs"/>
          <w:rtl/>
          <w:lang w:bidi="ar-SY"/>
        </w:rPr>
        <w:t xml:space="preserve">خرى </w:t>
      </w:r>
      <w:r w:rsidR="00A30AFE" w:rsidRPr="00A30AFE">
        <w:rPr>
          <w:rFonts w:hint="cs"/>
          <w:rtl/>
          <w:lang w:bidi="ar-SY"/>
        </w:rPr>
        <w:t xml:space="preserve">التي </w:t>
      </w:r>
      <w:r w:rsidRPr="00A30AFE">
        <w:rPr>
          <w:rFonts w:hint="cs"/>
          <w:rtl/>
          <w:lang w:bidi="ar-SY"/>
        </w:rPr>
        <w:t>قد تخضع للتقييد المنصوص عليه في</w:t>
      </w:r>
      <w:r>
        <w:rPr>
          <w:rFonts w:hint="cs"/>
          <w:spacing w:val="2"/>
          <w:rtl/>
          <w:lang w:bidi="ar-SY"/>
        </w:rPr>
        <w:t xml:space="preserve"> الفقرة 3 من المادة 19 هو أنه فيما يخص الأ</w:t>
      </w:r>
      <w:r w:rsidR="00A30AFE">
        <w:rPr>
          <w:rFonts w:hint="cs"/>
          <w:spacing w:val="2"/>
          <w:rtl/>
          <w:lang w:bidi="ar-SY"/>
        </w:rPr>
        <w:t>عم</w:t>
      </w:r>
      <w:r>
        <w:rPr>
          <w:rFonts w:hint="cs"/>
          <w:spacing w:val="2"/>
          <w:rtl/>
          <w:lang w:bidi="ar-SY"/>
        </w:rPr>
        <w:t xml:space="preserve">ال التي </w:t>
      </w:r>
      <w:r w:rsidR="00A30AFE">
        <w:rPr>
          <w:rFonts w:hint="cs"/>
          <w:spacing w:val="2"/>
          <w:rtl/>
          <w:lang w:bidi="ar-SY"/>
        </w:rPr>
        <w:t>ت</w:t>
      </w:r>
      <w:r>
        <w:rPr>
          <w:rFonts w:hint="cs"/>
          <w:spacing w:val="2"/>
          <w:rtl/>
          <w:lang w:bidi="ar-SY"/>
        </w:rPr>
        <w:t>تناولها المادة 20، يشير العهد إلى الرد المحدد المطلوب من دولة ما</w:t>
      </w:r>
      <w:r w:rsidR="00A30AFE">
        <w:rPr>
          <w:rFonts w:hint="cs"/>
          <w:spacing w:val="2"/>
          <w:rtl/>
          <w:lang w:bidi="ar-SY"/>
        </w:rPr>
        <w:t>:</w:t>
      </w:r>
      <w:r>
        <w:rPr>
          <w:rFonts w:hint="cs"/>
          <w:spacing w:val="2"/>
          <w:rtl/>
          <w:lang w:bidi="ar-SY"/>
        </w:rPr>
        <w:t xml:space="preserve"> أي أن تقوم بعملية الحظر بموجب القانون. وضمن هذا النطاق فقط يمكن اعتبار المادة 20 قاعدة </w:t>
      </w:r>
      <w:r w:rsidR="00A30AFE">
        <w:rPr>
          <w:rFonts w:hint="cs"/>
          <w:spacing w:val="2"/>
          <w:rtl/>
          <w:lang w:bidi="ar-SY"/>
        </w:rPr>
        <w:t xml:space="preserve">قانونية خاصة </w:t>
      </w:r>
      <w:r>
        <w:rPr>
          <w:rFonts w:hint="cs"/>
          <w:spacing w:val="2"/>
          <w:rtl/>
          <w:lang w:bidi="ar-SY"/>
        </w:rPr>
        <w:t>بالنسبة إلى المادة 19.</w:t>
      </w:r>
    </w:p>
    <w:p w:rsidR="00F27EBD" w:rsidRPr="00805BC6" w:rsidRDefault="00F27EBD" w:rsidP="00A30AFE">
      <w:pPr>
        <w:pStyle w:val="SingleTxtGA"/>
        <w:rPr>
          <w:rFonts w:hint="cs"/>
          <w:spacing w:val="-6"/>
          <w:rtl/>
          <w:lang w:bidi="ar-SY"/>
        </w:rPr>
      </w:pPr>
      <w:r>
        <w:rPr>
          <w:rFonts w:hint="cs"/>
          <w:spacing w:val="2"/>
          <w:rtl/>
          <w:lang w:bidi="ar-SY"/>
        </w:rPr>
        <w:t>52-</w:t>
      </w:r>
      <w:r w:rsidR="00805BC6">
        <w:rPr>
          <w:rFonts w:hint="cs"/>
          <w:spacing w:val="2"/>
          <w:rtl/>
          <w:lang w:bidi="ar-SY"/>
        </w:rPr>
        <w:tab/>
      </w:r>
      <w:r w:rsidRPr="00A30AFE">
        <w:rPr>
          <w:rFonts w:hint="cs"/>
          <w:rtl/>
          <w:lang w:bidi="ar-SY"/>
        </w:rPr>
        <w:t>ولا ت</w:t>
      </w:r>
      <w:r w:rsidR="00A30AFE" w:rsidRPr="00A30AFE">
        <w:rPr>
          <w:rFonts w:hint="cs"/>
          <w:rtl/>
          <w:lang w:bidi="ar-SY"/>
        </w:rPr>
        <w:t>ُ</w:t>
      </w:r>
      <w:r w:rsidRPr="00A30AFE">
        <w:rPr>
          <w:rFonts w:hint="cs"/>
          <w:rtl/>
          <w:lang w:bidi="ar-SY"/>
        </w:rPr>
        <w:t xml:space="preserve">لزم الدول الأطراف بفرض حالات حظر قانونية إلا فيما يتعلق بالأشكال المحددة للتعبير المشار إليها في المادة 20. وفي كل حالة تلجأ فيها الدولة إلى تقييد حرية التعبير، يكون من الضروري تبرير حالات الحظر والأحكام </w:t>
      </w:r>
      <w:r w:rsidR="00A30AFE" w:rsidRPr="00A30AFE">
        <w:rPr>
          <w:rFonts w:hint="cs"/>
          <w:rtl/>
          <w:lang w:bidi="ar-SY"/>
        </w:rPr>
        <w:t xml:space="preserve">المتعلقة </w:t>
      </w:r>
      <w:proofErr w:type="spellStart"/>
      <w:r w:rsidRPr="00A30AFE">
        <w:rPr>
          <w:rFonts w:hint="cs"/>
          <w:rtl/>
          <w:lang w:bidi="ar-SY"/>
        </w:rPr>
        <w:t>بها</w:t>
      </w:r>
      <w:proofErr w:type="spellEnd"/>
      <w:r w:rsidRPr="00A30AFE">
        <w:rPr>
          <w:rFonts w:hint="cs"/>
          <w:rtl/>
          <w:lang w:bidi="ar-SY"/>
        </w:rPr>
        <w:t xml:space="preserve"> </w:t>
      </w:r>
      <w:r w:rsidR="00A30AFE" w:rsidRPr="00A30AFE">
        <w:rPr>
          <w:rFonts w:hint="cs"/>
          <w:rtl/>
          <w:lang w:val="fr-CH"/>
        </w:rPr>
        <w:t xml:space="preserve">بشكل يتطابق </w:t>
      </w:r>
      <w:r w:rsidRPr="00A30AFE">
        <w:rPr>
          <w:rFonts w:hint="cs"/>
          <w:rtl/>
          <w:lang w:val="fr-CH"/>
        </w:rPr>
        <w:t>تماماً</w:t>
      </w:r>
      <w:r w:rsidRPr="00A30AFE">
        <w:rPr>
          <w:rFonts w:hint="cs"/>
          <w:rtl/>
          <w:lang w:bidi="ar-SY"/>
        </w:rPr>
        <w:t xml:space="preserve"> مع المادة 19.</w:t>
      </w:r>
    </w:p>
    <w:p w:rsidR="00F27EBD" w:rsidRPr="00805BC6" w:rsidRDefault="00805BC6" w:rsidP="00805BC6">
      <w:pPr>
        <w:spacing w:before="120"/>
        <w:jc w:val="center"/>
        <w:rPr>
          <w:rFonts w:hint="cs"/>
          <w:u w:val="single"/>
          <w:rtl/>
          <w:lang w:bidi="ar-SY"/>
        </w:rPr>
      </w:pPr>
      <w:r>
        <w:rPr>
          <w:u w:val="single"/>
          <w:rtl/>
          <w:lang w:bidi="ar-SY"/>
        </w:rPr>
        <w:tab/>
      </w:r>
      <w:r>
        <w:rPr>
          <w:u w:val="single"/>
          <w:rtl/>
          <w:lang w:bidi="ar-SY"/>
        </w:rPr>
        <w:tab/>
      </w:r>
      <w:r>
        <w:rPr>
          <w:u w:val="single"/>
          <w:rtl/>
          <w:lang w:bidi="ar-SY"/>
        </w:rPr>
        <w:tab/>
      </w:r>
    </w:p>
    <w:p w:rsidR="00F27EBD" w:rsidRPr="00E054E4" w:rsidRDefault="00F27EBD" w:rsidP="00975038">
      <w:pPr>
        <w:spacing w:line="380" w:lineRule="exact"/>
        <w:jc w:val="both"/>
        <w:rPr>
          <w:rFonts w:hint="cs"/>
          <w:rtl/>
        </w:rPr>
      </w:pP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89" w:rsidRPr="00FE6865" w:rsidRDefault="00475A89" w:rsidP="00FE6865">
      <w:pPr>
        <w:pStyle w:val="Footer"/>
      </w:pPr>
    </w:p>
  </w:endnote>
  <w:endnote w:type="continuationSeparator" w:id="0">
    <w:p w:rsidR="00475A89" w:rsidRDefault="0047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Pr="00F27EBD" w:rsidRDefault="00916522" w:rsidP="00F27EBD">
    <w:pPr>
      <w:pStyle w:val="Footer"/>
      <w:tabs>
        <w:tab w:val="right" w:pos="9598"/>
      </w:tabs>
    </w:pPr>
    <w:r>
      <w:t>GE.11-45329</w:t>
    </w:r>
    <w:r>
      <w:tab/>
    </w:r>
    <w:r w:rsidRPr="00F27EBD">
      <w:rPr>
        <w:b/>
        <w:sz w:val="18"/>
      </w:rPr>
      <w:fldChar w:fldCharType="begin"/>
    </w:r>
    <w:r w:rsidRPr="00F27EBD">
      <w:rPr>
        <w:b/>
        <w:sz w:val="18"/>
      </w:rPr>
      <w:instrText xml:space="preserve"> PAGE  \* MERGEFORMAT </w:instrText>
    </w:r>
    <w:r w:rsidRPr="00F27EBD">
      <w:rPr>
        <w:b/>
        <w:sz w:val="18"/>
      </w:rPr>
      <w:fldChar w:fldCharType="separate"/>
    </w:r>
    <w:r w:rsidR="008244DB">
      <w:rPr>
        <w:b/>
        <w:noProof/>
        <w:sz w:val="18"/>
      </w:rPr>
      <w:t>6</w:t>
    </w:r>
    <w:r w:rsidRPr="00F27EB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Pr="00F27EBD" w:rsidRDefault="00916522" w:rsidP="00F27EBD">
    <w:pPr>
      <w:pStyle w:val="Footer"/>
      <w:tabs>
        <w:tab w:val="right" w:pos="9598"/>
      </w:tabs>
      <w:rPr>
        <w:b/>
        <w:sz w:val="18"/>
      </w:rPr>
    </w:pPr>
    <w:r w:rsidRPr="00F27EBD">
      <w:rPr>
        <w:b/>
        <w:sz w:val="18"/>
      </w:rPr>
      <w:fldChar w:fldCharType="begin"/>
    </w:r>
    <w:r w:rsidRPr="00F27EBD">
      <w:rPr>
        <w:b/>
        <w:sz w:val="18"/>
      </w:rPr>
      <w:instrText xml:space="preserve"> PAGE  \* MERGEFORMAT </w:instrText>
    </w:r>
    <w:r w:rsidRPr="00F27EBD">
      <w:rPr>
        <w:b/>
        <w:sz w:val="18"/>
      </w:rPr>
      <w:fldChar w:fldCharType="separate"/>
    </w:r>
    <w:r w:rsidR="008244DB">
      <w:rPr>
        <w:b/>
        <w:noProof/>
        <w:sz w:val="18"/>
      </w:rPr>
      <w:t>5</w:t>
    </w:r>
    <w:r w:rsidRPr="00F27EBD">
      <w:rPr>
        <w:b/>
        <w:sz w:val="18"/>
      </w:rPr>
      <w:fldChar w:fldCharType="end"/>
    </w:r>
    <w:r>
      <w:rPr>
        <w:b/>
        <w:sz w:val="18"/>
      </w:rPr>
      <w:tab/>
    </w:r>
    <w:r>
      <w:t>GE.11-45329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Default="00916522" w:rsidP="005341AD">
    <w:pPr>
      <w:pStyle w:val="Footer"/>
      <w:jc w:val="right"/>
    </w:pPr>
    <w:r>
      <w:rPr>
        <w:sz w:val="20"/>
      </w:rPr>
      <w:t>(A)   GE.11-45329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w:t>
    </w:r>
    <w:r w:rsidR="005341AD">
      <w:rPr>
        <w:sz w:val="20"/>
      </w:rPr>
      <w:t>7</w:t>
    </w:r>
    <w:r>
      <w:rPr>
        <w:sz w:val="20"/>
      </w:rPr>
      <w:t>1011    181011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89" w:rsidRDefault="00475A89" w:rsidP="007E4686">
      <w:pPr>
        <w:pStyle w:val="Footer"/>
        <w:bidi/>
        <w:spacing w:after="80" w:line="200" w:lineRule="exact"/>
        <w:ind w:left="680"/>
      </w:pPr>
      <w:r>
        <w:rPr>
          <w:rFonts w:hint="cs"/>
          <w:rtl/>
        </w:rPr>
        <w:t>__________</w:t>
      </w:r>
    </w:p>
  </w:footnote>
  <w:footnote w:type="continuationSeparator" w:id="0">
    <w:p w:rsidR="00475A89" w:rsidRDefault="00475A89" w:rsidP="007E4686">
      <w:pPr>
        <w:pStyle w:val="Footer"/>
        <w:bidi/>
        <w:spacing w:after="80" w:line="200" w:lineRule="exact"/>
        <w:ind w:left="680"/>
      </w:pPr>
      <w:r>
        <w:rPr>
          <w:rFonts w:hint="cs"/>
          <w:rtl/>
        </w:rPr>
        <w:t>__________</w:t>
      </w:r>
    </w:p>
  </w:footnote>
  <w:footnote w:id="1">
    <w:p w:rsidR="00916522" w:rsidRPr="00805BC6" w:rsidRDefault="00916522" w:rsidP="00F4557E">
      <w:pPr>
        <w:pStyle w:val="FootnoteText"/>
        <w:numPr>
          <w:ilvl w:val="0"/>
          <w:numId w:val="49"/>
        </w:numPr>
        <w:tabs>
          <w:tab w:val="clear" w:pos="1406"/>
          <w:tab w:val="left" w:pos="1358"/>
        </w:tabs>
        <w:spacing w:after="60" w:line="300" w:lineRule="exact"/>
        <w:ind w:left="1358" w:right="1247"/>
        <w:rPr>
          <w:rFonts w:hint="cs"/>
          <w:sz w:val="24"/>
          <w:szCs w:val="24"/>
        </w:rPr>
      </w:pPr>
      <w:r w:rsidRPr="00805BC6">
        <w:rPr>
          <w:rFonts w:hint="cs"/>
          <w:sz w:val="26"/>
          <w:szCs w:val="26"/>
          <w:rtl/>
          <w:lang w:bidi="ar-SY"/>
        </w:rPr>
        <w:t xml:space="preserve">انظر البلاغ رقم 1173/2003، </w:t>
      </w:r>
      <w:r w:rsidRPr="00805BC6">
        <w:rPr>
          <w:rFonts w:hint="cs"/>
          <w:i/>
          <w:iCs/>
          <w:sz w:val="26"/>
          <w:szCs w:val="26"/>
          <w:rtl/>
        </w:rPr>
        <w:t>بن حاج ضد الجزائر</w:t>
      </w:r>
      <w:r w:rsidRPr="00805BC6">
        <w:rPr>
          <w:rFonts w:hint="cs"/>
          <w:sz w:val="26"/>
          <w:szCs w:val="26"/>
          <w:rtl/>
          <w:lang w:bidi="ar-SY"/>
        </w:rPr>
        <w:t xml:space="preserve">، آراء معتمدة في 20 تموز/يوليه 2007، والبلاغ رقم 628/1995، </w:t>
      </w:r>
      <w:r w:rsidRPr="00805BC6">
        <w:rPr>
          <w:i/>
          <w:iCs/>
          <w:sz w:val="26"/>
          <w:szCs w:val="26"/>
          <w:rtl/>
        </w:rPr>
        <w:t>بارك ضد جمهورية كوريا</w:t>
      </w:r>
      <w:r w:rsidRPr="00805BC6">
        <w:rPr>
          <w:rFonts w:hint="cs"/>
          <w:sz w:val="26"/>
          <w:szCs w:val="26"/>
          <w:rtl/>
        </w:rPr>
        <w:t>،</w:t>
      </w:r>
      <w:r w:rsidRPr="00805BC6">
        <w:rPr>
          <w:rFonts w:hint="cs"/>
          <w:sz w:val="26"/>
          <w:szCs w:val="26"/>
          <w:rtl/>
          <w:lang w:bidi="ar-SY"/>
        </w:rPr>
        <w:t xml:space="preserve"> آراء معتمدة في 5 تموز/يوليه 1996.</w:t>
      </w:r>
    </w:p>
  </w:footnote>
  <w:footnote w:id="2">
    <w:p w:rsidR="00916522" w:rsidRPr="00E62F80" w:rsidRDefault="00916522" w:rsidP="00F4557E">
      <w:pPr>
        <w:pStyle w:val="FootnoteText"/>
        <w:numPr>
          <w:ilvl w:val="0"/>
          <w:numId w:val="49"/>
        </w:numPr>
        <w:tabs>
          <w:tab w:val="clear" w:pos="1406"/>
          <w:tab w:val="left" w:pos="1358"/>
        </w:tabs>
        <w:spacing w:after="60" w:line="300" w:lineRule="exact"/>
        <w:ind w:left="1358" w:right="1247"/>
        <w:rPr>
          <w:rFonts w:hint="cs"/>
          <w:sz w:val="24"/>
          <w:szCs w:val="24"/>
        </w:rPr>
      </w:pPr>
      <w:r w:rsidRPr="00E62F80">
        <w:rPr>
          <w:rFonts w:hint="cs"/>
          <w:sz w:val="26"/>
          <w:szCs w:val="26"/>
          <w:rtl/>
          <w:lang w:bidi="ar-SY"/>
        </w:rPr>
        <w:t>انظر التعليق العام للجنة رقم 24(1994) الخاص بالمسائل</w:t>
      </w:r>
      <w:r w:rsidRPr="00E62F80">
        <w:rPr>
          <w:rFonts w:hint="cs"/>
          <w:spacing w:val="2"/>
          <w:sz w:val="26"/>
          <w:szCs w:val="26"/>
          <w:rtl/>
        </w:rPr>
        <w:t xml:space="preserve"> المتعلقة بالتحفظات التي تُبدى </w:t>
      </w:r>
      <w:r w:rsidR="00F4557E">
        <w:rPr>
          <w:rFonts w:hint="cs"/>
          <w:spacing w:val="2"/>
          <w:sz w:val="26"/>
          <w:szCs w:val="26"/>
          <w:rtl/>
        </w:rPr>
        <w:t>عند</w:t>
      </w:r>
      <w:r w:rsidRPr="00E62F80">
        <w:rPr>
          <w:rFonts w:hint="cs"/>
          <w:spacing w:val="2"/>
          <w:sz w:val="26"/>
          <w:szCs w:val="26"/>
          <w:rtl/>
        </w:rPr>
        <w:t xml:space="preserve"> التصديق على العهد أو البروتوكولين الاختياريين الملحقين به أو الانضمام إليها</w:t>
      </w:r>
      <w:r w:rsidR="00F4557E">
        <w:rPr>
          <w:rFonts w:hint="cs"/>
          <w:spacing w:val="2"/>
          <w:sz w:val="26"/>
          <w:szCs w:val="26"/>
          <w:rtl/>
        </w:rPr>
        <w:t>.</w:t>
      </w:r>
      <w:r w:rsidRPr="00E62F80">
        <w:rPr>
          <w:rFonts w:hint="cs"/>
          <w:spacing w:val="2"/>
          <w:sz w:val="26"/>
          <w:szCs w:val="26"/>
          <w:rtl/>
        </w:rPr>
        <w:t xml:space="preserve"> أو فيما يتعلق بالإعلانات التي تصدر في إطار المادة 41 من العهد، </w:t>
      </w:r>
      <w:r w:rsidRPr="00E62F80">
        <w:rPr>
          <w:rFonts w:hint="cs"/>
          <w:i/>
          <w:iCs/>
          <w:sz w:val="26"/>
          <w:szCs w:val="26"/>
          <w:rtl/>
          <w:lang w:bidi="ar-SY"/>
        </w:rPr>
        <w:t>الوثائق الرسمية للجمعية العامة</w:t>
      </w:r>
      <w:r w:rsidRPr="00E62F80">
        <w:rPr>
          <w:rFonts w:hint="cs"/>
          <w:sz w:val="26"/>
          <w:szCs w:val="26"/>
          <w:rtl/>
          <w:lang w:bidi="ar-SY"/>
        </w:rPr>
        <w:t xml:space="preserve">، </w:t>
      </w:r>
      <w:r w:rsidRPr="00E62F80">
        <w:rPr>
          <w:rFonts w:hint="cs"/>
          <w:i/>
          <w:iCs/>
          <w:sz w:val="26"/>
          <w:szCs w:val="26"/>
          <w:rtl/>
          <w:lang w:bidi="ar-SY"/>
        </w:rPr>
        <w:t>الدورة الخمسون</w:t>
      </w:r>
      <w:r w:rsidRPr="00E62F80">
        <w:rPr>
          <w:rFonts w:hint="cs"/>
          <w:sz w:val="26"/>
          <w:szCs w:val="26"/>
          <w:rtl/>
          <w:lang w:bidi="ar-SY"/>
        </w:rPr>
        <w:t xml:space="preserve">، </w:t>
      </w:r>
      <w:r w:rsidRPr="00E62F80">
        <w:rPr>
          <w:rFonts w:hint="cs"/>
          <w:i/>
          <w:iCs/>
          <w:sz w:val="26"/>
          <w:szCs w:val="26"/>
          <w:rtl/>
          <w:lang w:bidi="ar-SY"/>
        </w:rPr>
        <w:t>الملحق رقم 40</w:t>
      </w:r>
      <w:r w:rsidRPr="00E62F80">
        <w:rPr>
          <w:rFonts w:hint="cs"/>
          <w:sz w:val="26"/>
          <w:szCs w:val="26"/>
          <w:rtl/>
          <w:lang w:bidi="ar-SY"/>
        </w:rPr>
        <w:t xml:space="preserve">، المجلد الأول </w:t>
      </w:r>
      <w:r w:rsidRPr="00E62F80">
        <w:rPr>
          <w:rFonts w:cs="Times New Roman"/>
          <w:sz w:val="18"/>
          <w:szCs w:val="18"/>
          <w:rtl/>
          <w:lang w:bidi="ar-SY"/>
        </w:rPr>
        <w:t>(</w:t>
      </w:r>
      <w:r w:rsidRPr="00F84BAF">
        <w:rPr>
          <w:rStyle w:val="FootnoteReference"/>
          <w:rFonts w:cs="Times New Roman"/>
          <w:b w:val="0"/>
          <w:bCs/>
          <w:sz w:val="16"/>
          <w:szCs w:val="16"/>
          <w:vertAlign w:val="baseline"/>
        </w:rPr>
        <w:t>A/50/40 (Vol.</w:t>
      </w:r>
      <w:r w:rsidRPr="00F84BAF">
        <w:rPr>
          <w:rStyle w:val="FootnoteReference"/>
          <w:b w:val="0"/>
          <w:bCs/>
          <w:sz w:val="24"/>
          <w:szCs w:val="24"/>
        </w:rPr>
        <w:t xml:space="preserve"> </w:t>
      </w:r>
      <w:r w:rsidRPr="00F84BAF">
        <w:rPr>
          <w:rStyle w:val="FootnoteReference"/>
          <w:b w:val="0"/>
          <w:bCs/>
          <w:sz w:val="16"/>
          <w:szCs w:val="16"/>
          <w:vertAlign w:val="baseline"/>
        </w:rPr>
        <w:t>I</w:t>
      </w:r>
      <w:r w:rsidRPr="00F84BAF">
        <w:rPr>
          <w:rFonts w:hint="cs"/>
          <w:sz w:val="24"/>
          <w:szCs w:val="24"/>
          <w:rtl/>
          <w:lang w:bidi="ar-SY"/>
        </w:rPr>
        <w:t>)</w:t>
      </w:r>
      <w:r w:rsidRPr="00E62F80">
        <w:rPr>
          <w:rFonts w:hint="cs"/>
          <w:sz w:val="26"/>
          <w:szCs w:val="26"/>
          <w:rtl/>
        </w:rPr>
        <w:t>، المرفق الخامس.</w:t>
      </w:r>
    </w:p>
  </w:footnote>
  <w:footnote w:id="3">
    <w:p w:rsidR="00916522" w:rsidRPr="00332A49" w:rsidRDefault="00916522" w:rsidP="00975038">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انظر التعليق العام للجنة رقم 29(2001) المتعلق بعدم التقيد بأحكام العهد أثناء حالات الط</w:t>
      </w:r>
      <w:r>
        <w:rPr>
          <w:rFonts w:hint="cs"/>
          <w:sz w:val="26"/>
          <w:szCs w:val="26"/>
          <w:rtl/>
          <w:lang w:bidi="ar-SY"/>
        </w:rPr>
        <w:t>ـو</w:t>
      </w:r>
      <w:r w:rsidRPr="00332A49">
        <w:rPr>
          <w:rFonts w:hint="cs"/>
          <w:sz w:val="26"/>
          <w:szCs w:val="26"/>
          <w:rtl/>
          <w:lang w:bidi="ar-SY"/>
        </w:rPr>
        <w:t xml:space="preserve">ارئ، الفقرة 13، </w:t>
      </w:r>
      <w:r w:rsidRPr="00F84BAF">
        <w:rPr>
          <w:rFonts w:hint="cs"/>
          <w:i/>
          <w:iCs/>
          <w:sz w:val="26"/>
          <w:szCs w:val="26"/>
          <w:rtl/>
          <w:lang w:bidi="ar-SY"/>
        </w:rPr>
        <w:t>الوثائق الرسمية للجمعية العامة، الدورة السادسة والخمسون، الملحق رقم 40</w:t>
      </w:r>
      <w:r w:rsidRPr="00332A49">
        <w:rPr>
          <w:rFonts w:hint="cs"/>
          <w:sz w:val="26"/>
          <w:szCs w:val="26"/>
          <w:rtl/>
          <w:lang w:bidi="ar-SY"/>
        </w:rPr>
        <w:t xml:space="preserve">، المجلد الأول </w:t>
      </w:r>
      <w:r w:rsidRPr="00F84BAF">
        <w:rPr>
          <w:rFonts w:cs="Times New Roman"/>
          <w:sz w:val="18"/>
          <w:szCs w:val="18"/>
          <w:rtl/>
          <w:lang w:bidi="ar-SY"/>
        </w:rPr>
        <w:t>(</w:t>
      </w:r>
      <w:r w:rsidRPr="00F84BAF">
        <w:rPr>
          <w:rStyle w:val="FootnoteReference"/>
          <w:rFonts w:cs="Times New Roman"/>
          <w:b w:val="0"/>
          <w:szCs w:val="18"/>
          <w:vertAlign w:val="baseline"/>
        </w:rPr>
        <w:t>A</w:t>
      </w:r>
      <w:r w:rsidRPr="00F84BAF">
        <w:rPr>
          <w:rStyle w:val="FootnoteReference"/>
          <w:rFonts w:cs="Times New Roman"/>
          <w:b w:val="0"/>
          <w:sz w:val="16"/>
          <w:szCs w:val="16"/>
          <w:vertAlign w:val="baseline"/>
        </w:rPr>
        <w:t>/56/40 (Vol. I</w:t>
      </w:r>
      <w:r w:rsidRPr="00F84BAF">
        <w:rPr>
          <w:rFonts w:cs="Times New Roman"/>
          <w:sz w:val="16"/>
          <w:szCs w:val="16"/>
          <w:rtl/>
          <w:lang w:bidi="ar-SY"/>
        </w:rPr>
        <w:t>)،</w:t>
      </w:r>
      <w:r w:rsidRPr="00F84BAF">
        <w:rPr>
          <w:rFonts w:hint="cs"/>
          <w:sz w:val="24"/>
          <w:szCs w:val="24"/>
          <w:rtl/>
          <w:lang w:bidi="ar-SY"/>
        </w:rPr>
        <w:t xml:space="preserve"> </w:t>
      </w:r>
      <w:r w:rsidRPr="00332A49">
        <w:rPr>
          <w:rFonts w:hint="cs"/>
          <w:sz w:val="26"/>
          <w:szCs w:val="26"/>
          <w:rtl/>
          <w:lang w:bidi="ar-SY"/>
        </w:rPr>
        <w:t>المرفق السادس.</w:t>
      </w:r>
    </w:p>
  </w:footnote>
  <w:footnote w:id="4">
    <w:p w:rsidR="00916522" w:rsidRPr="00332A49" w:rsidRDefault="00916522" w:rsidP="00975038">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التعليق العام رقم 29، الفقرة 11.</w:t>
      </w:r>
    </w:p>
  </w:footnote>
  <w:footnote w:id="5">
    <w:p w:rsidR="00916522" w:rsidRPr="00332A49" w:rsidRDefault="00916522" w:rsidP="00975038">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التعليق العام رقم 24.</w:t>
      </w:r>
    </w:p>
  </w:footnote>
  <w:footnote w:id="6">
    <w:p w:rsidR="00916522" w:rsidRPr="00714A6D" w:rsidRDefault="00916522" w:rsidP="00714A6D">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714A6D">
        <w:rPr>
          <w:rFonts w:hint="cs"/>
          <w:spacing w:val="-6"/>
          <w:sz w:val="26"/>
          <w:szCs w:val="26"/>
          <w:rtl/>
          <w:lang w:bidi="ar-SY"/>
        </w:rPr>
        <w:t>انظر التعليق العام للجنة رقم 31(2004) المتعلق بطبيعة الالتزام القانوني العام المفروض على الـدول الأط</w:t>
      </w:r>
      <w:r>
        <w:rPr>
          <w:rFonts w:hint="cs"/>
          <w:spacing w:val="-6"/>
          <w:sz w:val="26"/>
          <w:szCs w:val="26"/>
          <w:rtl/>
          <w:lang w:bidi="ar-SY"/>
        </w:rPr>
        <w:t>ـ</w:t>
      </w:r>
      <w:r w:rsidRPr="00714A6D">
        <w:rPr>
          <w:rFonts w:hint="cs"/>
          <w:spacing w:val="-6"/>
          <w:sz w:val="26"/>
          <w:szCs w:val="26"/>
          <w:rtl/>
          <w:lang w:bidi="ar-SY"/>
        </w:rPr>
        <w:t>راف في العهد،</w:t>
      </w:r>
      <w:r w:rsidRPr="00714A6D">
        <w:rPr>
          <w:rFonts w:hint="cs"/>
          <w:sz w:val="26"/>
          <w:szCs w:val="26"/>
          <w:rtl/>
          <w:lang w:bidi="ar-SY"/>
        </w:rPr>
        <w:t xml:space="preserve"> الفقرة 4، الدورة التاسعة والخمسون، الملحق رقم 40، المجل</w:t>
      </w:r>
      <w:r>
        <w:rPr>
          <w:rFonts w:hint="cs"/>
          <w:sz w:val="26"/>
          <w:szCs w:val="26"/>
          <w:rtl/>
          <w:lang w:bidi="ar-SY"/>
        </w:rPr>
        <w:t>ـ</w:t>
      </w:r>
      <w:r w:rsidRPr="00714A6D">
        <w:rPr>
          <w:rFonts w:hint="cs"/>
          <w:sz w:val="26"/>
          <w:szCs w:val="26"/>
          <w:rtl/>
          <w:lang w:bidi="ar-SY"/>
        </w:rPr>
        <w:t xml:space="preserve">د الأول </w:t>
      </w:r>
      <w:r w:rsidRPr="00714A6D">
        <w:rPr>
          <w:rFonts w:cs="Times New Roman"/>
          <w:sz w:val="18"/>
          <w:szCs w:val="18"/>
          <w:rtl/>
          <w:lang w:bidi="ar-SY"/>
        </w:rPr>
        <w:t>(</w:t>
      </w:r>
      <w:r w:rsidRPr="00714A6D">
        <w:rPr>
          <w:rStyle w:val="FootnoteReference"/>
          <w:rFonts w:cs="Times New Roman"/>
          <w:b w:val="0"/>
          <w:bCs/>
          <w:szCs w:val="18"/>
          <w:vertAlign w:val="baseline"/>
        </w:rPr>
        <w:t>A/59/40 (Vol. I</w:t>
      </w:r>
      <w:r w:rsidRPr="00714A6D">
        <w:rPr>
          <w:rFonts w:cs="Times New Roman"/>
          <w:sz w:val="18"/>
          <w:szCs w:val="18"/>
          <w:rtl/>
          <w:lang w:bidi="ar-SY"/>
        </w:rPr>
        <w:t>)</w:t>
      </w:r>
      <w:r w:rsidRPr="00714A6D">
        <w:rPr>
          <w:rFonts w:hint="cs"/>
          <w:sz w:val="26"/>
          <w:szCs w:val="26"/>
          <w:rtl/>
          <w:lang w:bidi="ar-SY"/>
        </w:rPr>
        <w:t>، المرفق الثالث.</w:t>
      </w:r>
    </w:p>
  </w:footnote>
  <w:footnote w:id="7">
    <w:p w:rsidR="00916522" w:rsidRPr="00332A49" w:rsidRDefault="00916522" w:rsidP="00975038">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 xml:space="preserve">انظر البلاغ رقم 61/1979، </w:t>
      </w:r>
      <w:r w:rsidRPr="00714A6D">
        <w:rPr>
          <w:rFonts w:hint="cs"/>
          <w:i/>
          <w:iCs/>
          <w:sz w:val="26"/>
          <w:szCs w:val="26"/>
          <w:rtl/>
          <w:lang w:bidi="ar-SY"/>
        </w:rPr>
        <w:t>هرتزبرغ وآخرون ضد فنلندا</w:t>
      </w:r>
      <w:r w:rsidRPr="00332A49">
        <w:rPr>
          <w:rFonts w:hint="cs"/>
          <w:sz w:val="26"/>
          <w:szCs w:val="26"/>
          <w:rtl/>
          <w:lang w:bidi="ar-SY"/>
        </w:rPr>
        <w:t>، آراء معتمدة في 2 نيسان/أبريل 1982.</w:t>
      </w:r>
    </w:p>
  </w:footnote>
  <w:footnote w:id="8">
    <w:p w:rsidR="00916522" w:rsidRPr="00332A49" w:rsidRDefault="00916522" w:rsidP="00975038">
      <w:pPr>
        <w:pStyle w:val="FootnoteText"/>
        <w:numPr>
          <w:ilvl w:val="0"/>
          <w:numId w:val="49"/>
        </w:numPr>
        <w:tabs>
          <w:tab w:val="clear" w:pos="1406"/>
          <w:tab w:val="left" w:pos="1358"/>
        </w:tabs>
        <w:spacing w:after="60" w:line="300" w:lineRule="exact"/>
        <w:ind w:left="1358" w:right="1247"/>
        <w:rPr>
          <w:rFonts w:hint="cs"/>
          <w:sz w:val="26"/>
          <w:szCs w:val="26"/>
          <w:lang w:bidi="ar-SY"/>
        </w:rPr>
      </w:pPr>
      <w:r w:rsidRPr="00332A49">
        <w:rPr>
          <w:rFonts w:hint="cs"/>
          <w:sz w:val="26"/>
          <w:szCs w:val="26"/>
          <w:rtl/>
          <w:lang w:bidi="ar-SY"/>
        </w:rPr>
        <w:t xml:space="preserve">التعليق العام رقم 31، الفقرة 8، انظر البلاغ رقم 633/1995، </w:t>
      </w:r>
      <w:r w:rsidRPr="00714A6D">
        <w:rPr>
          <w:rFonts w:hint="cs"/>
          <w:i/>
          <w:iCs/>
          <w:sz w:val="26"/>
          <w:szCs w:val="26"/>
          <w:rtl/>
          <w:lang w:bidi="ar-SY"/>
        </w:rPr>
        <w:t>غوتييه ضد كندا</w:t>
      </w:r>
      <w:r w:rsidRPr="00332A49">
        <w:rPr>
          <w:rFonts w:hint="cs"/>
          <w:sz w:val="26"/>
          <w:szCs w:val="26"/>
          <w:rtl/>
          <w:lang w:bidi="ar-SY"/>
        </w:rPr>
        <w:t>، آراء معتمدة في 7 نيسان/أبريل 1999.</w:t>
      </w:r>
    </w:p>
  </w:footnote>
  <w:footnote w:id="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550/93، </w:t>
      </w:r>
      <w:r w:rsidRPr="00975038">
        <w:rPr>
          <w:rFonts w:hint="cs"/>
          <w:i/>
          <w:iCs/>
          <w:sz w:val="18"/>
          <w:szCs w:val="26"/>
          <w:rtl/>
        </w:rPr>
        <w:t>فوريسون ضد فرنسا</w:t>
      </w:r>
      <w:r w:rsidRPr="00975038">
        <w:rPr>
          <w:rFonts w:hint="cs"/>
          <w:sz w:val="18"/>
          <w:szCs w:val="26"/>
          <w:rtl/>
        </w:rPr>
        <w:t>، آراء معتمدة في 8 تشرين الثاني/نوفمبر 1996.</w:t>
      </w:r>
    </w:p>
  </w:footnote>
  <w:footnote w:id="10">
    <w:p w:rsidR="00916522" w:rsidRPr="00975038" w:rsidRDefault="00916522" w:rsidP="00F4557E">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157/1983، </w:t>
      </w:r>
      <w:r w:rsidR="00F4557E">
        <w:rPr>
          <w:rFonts w:hint="cs"/>
          <w:i/>
          <w:iCs/>
          <w:sz w:val="18"/>
          <w:szCs w:val="26"/>
          <w:rtl/>
        </w:rPr>
        <w:t xml:space="preserve">مباكاناسو ضد زائير، </w:t>
      </w:r>
      <w:r w:rsidRPr="00975038">
        <w:rPr>
          <w:rFonts w:hint="cs"/>
          <w:sz w:val="18"/>
          <w:szCs w:val="26"/>
          <w:rtl/>
        </w:rPr>
        <w:t xml:space="preserve">آراء معتمدة في 26 آذار/مارس 1986، والبلاغ رقم 414/1990، </w:t>
      </w:r>
      <w:r w:rsidRPr="00975038">
        <w:rPr>
          <w:rFonts w:hint="cs"/>
          <w:i/>
          <w:iCs/>
          <w:sz w:val="18"/>
          <w:szCs w:val="26"/>
          <w:rtl/>
        </w:rPr>
        <w:t>ميكا ميها ضد غينيا الاستوائية</w:t>
      </w:r>
      <w:r w:rsidRPr="00975038">
        <w:rPr>
          <w:rFonts w:hint="cs"/>
          <w:sz w:val="18"/>
          <w:szCs w:val="26"/>
          <w:rtl/>
        </w:rPr>
        <w:t>، آراء معتمدة في 8 تموز/يوليه 1994.</w:t>
      </w:r>
    </w:p>
  </w:footnote>
  <w:footnote w:id="1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878/1999، </w:t>
      </w:r>
      <w:r w:rsidRPr="00975038">
        <w:rPr>
          <w:rFonts w:hint="cs"/>
          <w:i/>
          <w:iCs/>
          <w:sz w:val="18"/>
          <w:szCs w:val="26"/>
          <w:rtl/>
        </w:rPr>
        <w:t>كانغ ضد جمهورية كوريا</w:t>
      </w:r>
      <w:r w:rsidRPr="00975038">
        <w:rPr>
          <w:rFonts w:hint="cs"/>
          <w:sz w:val="18"/>
          <w:szCs w:val="26"/>
          <w:rtl/>
        </w:rPr>
        <w:t>، آراء معتمدة في 15 تموز/يوليه 2003.</w:t>
      </w:r>
    </w:p>
  </w:footnote>
  <w:footnote w:id="12">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البلاغين رقم 359/1989 و</w:t>
      </w:r>
      <w:r w:rsidR="002B343F">
        <w:rPr>
          <w:rFonts w:hint="cs"/>
          <w:sz w:val="18"/>
          <w:szCs w:val="26"/>
          <w:rtl/>
        </w:rPr>
        <w:t xml:space="preserve">رقم </w:t>
      </w:r>
      <w:r w:rsidRPr="00975038">
        <w:rPr>
          <w:rFonts w:hint="cs"/>
          <w:sz w:val="18"/>
          <w:szCs w:val="26"/>
          <w:rtl/>
        </w:rPr>
        <w:t xml:space="preserve">385/1989، </w:t>
      </w:r>
      <w:r w:rsidRPr="00975038">
        <w:rPr>
          <w:rFonts w:hint="cs"/>
          <w:i/>
          <w:iCs/>
          <w:sz w:val="18"/>
          <w:szCs w:val="26"/>
          <w:rtl/>
        </w:rPr>
        <w:t>بالنتاين وديفيدسون وماكنتاير ضد كندا</w:t>
      </w:r>
      <w:r w:rsidRPr="00975038">
        <w:rPr>
          <w:rFonts w:hint="cs"/>
          <w:sz w:val="18"/>
          <w:szCs w:val="26"/>
          <w:rtl/>
        </w:rPr>
        <w:t>، آراء معتمدة في 18 تشرين الأول/أكتوبر 1990.</w:t>
      </w:r>
    </w:p>
  </w:footnote>
  <w:footnote w:id="1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414/1990، </w:t>
      </w:r>
      <w:r w:rsidRPr="00975038">
        <w:rPr>
          <w:rFonts w:hint="cs"/>
          <w:i/>
          <w:iCs/>
          <w:sz w:val="18"/>
          <w:szCs w:val="26"/>
          <w:rtl/>
        </w:rPr>
        <w:t>ميكا هيتا ضد غينيا الاستوائية</w:t>
      </w:r>
      <w:r w:rsidRPr="00975038">
        <w:rPr>
          <w:rFonts w:hint="cs"/>
          <w:sz w:val="18"/>
          <w:szCs w:val="26"/>
          <w:rtl/>
        </w:rPr>
        <w:t>.</w:t>
      </w:r>
    </w:p>
  </w:footnote>
  <w:footnote w:id="1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1189/2003، </w:t>
      </w:r>
      <w:r w:rsidRPr="00975038">
        <w:rPr>
          <w:rFonts w:hint="cs"/>
          <w:i/>
          <w:iCs/>
          <w:sz w:val="18"/>
          <w:szCs w:val="26"/>
          <w:rtl/>
        </w:rPr>
        <w:t>فرناندو ضد سري لانكا</w:t>
      </w:r>
      <w:r w:rsidRPr="00975038">
        <w:rPr>
          <w:rFonts w:hint="cs"/>
          <w:sz w:val="18"/>
          <w:szCs w:val="26"/>
          <w:rtl/>
        </w:rPr>
        <w:t>، آراء معتمدة في 31 آذار/مارس 2005.</w:t>
      </w:r>
    </w:p>
  </w:footnote>
  <w:footnote w:id="15">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1157/2003، </w:t>
      </w:r>
      <w:r w:rsidRPr="00975038">
        <w:rPr>
          <w:rFonts w:hint="cs"/>
          <w:i/>
          <w:iCs/>
          <w:sz w:val="18"/>
          <w:szCs w:val="26"/>
          <w:rtl/>
        </w:rPr>
        <w:t>كو</w:t>
      </w:r>
      <w:r w:rsidR="002B343F">
        <w:rPr>
          <w:rFonts w:hint="cs"/>
          <w:i/>
          <w:iCs/>
          <w:sz w:val="18"/>
          <w:szCs w:val="26"/>
          <w:rtl/>
        </w:rPr>
        <w:t>ل</w:t>
      </w:r>
      <w:r w:rsidRPr="00975038">
        <w:rPr>
          <w:rFonts w:hint="cs"/>
          <w:i/>
          <w:iCs/>
          <w:sz w:val="18"/>
          <w:szCs w:val="26"/>
          <w:rtl/>
        </w:rPr>
        <w:t>م</w:t>
      </w:r>
      <w:r w:rsidR="002B343F">
        <w:rPr>
          <w:rFonts w:hint="cs"/>
          <w:i/>
          <w:iCs/>
          <w:sz w:val="18"/>
          <w:szCs w:val="26"/>
          <w:rtl/>
        </w:rPr>
        <w:t>ا</w:t>
      </w:r>
      <w:r w:rsidRPr="00975038">
        <w:rPr>
          <w:rFonts w:hint="cs"/>
          <w:i/>
          <w:iCs/>
          <w:sz w:val="18"/>
          <w:szCs w:val="26"/>
          <w:rtl/>
        </w:rPr>
        <w:t>ن ضد أستراليا</w:t>
      </w:r>
      <w:r w:rsidRPr="00975038">
        <w:rPr>
          <w:rFonts w:hint="cs"/>
          <w:sz w:val="18"/>
          <w:szCs w:val="26"/>
          <w:rtl/>
        </w:rPr>
        <w:t>، آراء معتمدة في 17 تموز/يوليه 2006.</w:t>
      </w:r>
    </w:p>
  </w:footnote>
  <w:footnote w:id="1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باليابان </w:t>
      </w:r>
      <w:r w:rsidRPr="00975038">
        <w:rPr>
          <w:sz w:val="18"/>
          <w:szCs w:val="26"/>
        </w:rPr>
        <w:t>(CCPR/C/JPN/CO/5)</w:t>
      </w:r>
      <w:r w:rsidRPr="00975038">
        <w:rPr>
          <w:rFonts w:hint="cs"/>
          <w:sz w:val="18"/>
          <w:szCs w:val="26"/>
          <w:rtl/>
        </w:rPr>
        <w:t>.</w:t>
      </w:r>
    </w:p>
  </w:footnote>
  <w:footnote w:id="1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w:t>
      </w:r>
      <w:r w:rsidR="0084331E">
        <w:rPr>
          <w:rFonts w:hint="cs"/>
          <w:sz w:val="18"/>
          <w:szCs w:val="26"/>
          <w:rtl/>
        </w:rPr>
        <w:t>ـ</w:t>
      </w:r>
      <w:r w:rsidRPr="00975038">
        <w:rPr>
          <w:rFonts w:hint="cs"/>
          <w:sz w:val="18"/>
          <w:szCs w:val="26"/>
          <w:rtl/>
        </w:rPr>
        <w:t xml:space="preserve">لاغ رقم 1022/2001، </w:t>
      </w:r>
      <w:r w:rsidRPr="00975038">
        <w:rPr>
          <w:rFonts w:hint="cs"/>
          <w:i/>
          <w:iCs/>
          <w:sz w:val="18"/>
          <w:szCs w:val="26"/>
          <w:rtl/>
        </w:rPr>
        <w:t>فيليشكين ضد بيلاروس</w:t>
      </w:r>
      <w:r w:rsidRPr="00975038">
        <w:rPr>
          <w:rFonts w:hint="cs"/>
          <w:sz w:val="18"/>
          <w:szCs w:val="26"/>
          <w:rtl/>
        </w:rPr>
        <w:t>، آراء معتم</w:t>
      </w:r>
      <w:r w:rsidR="0084331E">
        <w:rPr>
          <w:rFonts w:hint="cs"/>
          <w:sz w:val="18"/>
          <w:szCs w:val="26"/>
          <w:rtl/>
        </w:rPr>
        <w:t>ـ</w:t>
      </w:r>
      <w:r w:rsidRPr="00975038">
        <w:rPr>
          <w:rFonts w:hint="cs"/>
          <w:sz w:val="18"/>
          <w:szCs w:val="26"/>
          <w:rtl/>
        </w:rPr>
        <w:t>دة في 20 تشرين الأول/</w:t>
      </w:r>
      <w:r w:rsidR="0084331E">
        <w:rPr>
          <w:rFonts w:hint="cs"/>
          <w:sz w:val="18"/>
          <w:szCs w:val="26"/>
          <w:rtl/>
        </w:rPr>
        <w:t xml:space="preserve"> </w:t>
      </w:r>
      <w:r w:rsidRPr="00975038">
        <w:rPr>
          <w:rFonts w:hint="cs"/>
          <w:sz w:val="18"/>
          <w:szCs w:val="26"/>
          <w:rtl/>
        </w:rPr>
        <w:t>أكتوبر 2005.</w:t>
      </w:r>
    </w:p>
  </w:footnote>
  <w:footnote w:id="1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1334/2004، </w:t>
      </w:r>
      <w:r w:rsidRPr="00975038">
        <w:rPr>
          <w:i/>
          <w:iCs/>
          <w:sz w:val="18"/>
          <w:szCs w:val="26"/>
          <w:rtl/>
        </w:rPr>
        <w:t xml:space="preserve">مافلونوف </w:t>
      </w:r>
      <w:r w:rsidRPr="00975038">
        <w:rPr>
          <w:rFonts w:hint="cs"/>
          <w:i/>
          <w:iCs/>
          <w:sz w:val="18"/>
          <w:szCs w:val="26"/>
          <w:rtl/>
        </w:rPr>
        <w:t>و</w:t>
      </w:r>
      <w:r w:rsidRPr="00975038">
        <w:rPr>
          <w:i/>
          <w:iCs/>
          <w:sz w:val="18"/>
          <w:szCs w:val="26"/>
          <w:rtl/>
        </w:rPr>
        <w:t>سع</w:t>
      </w:r>
      <w:r w:rsidR="0084331E">
        <w:rPr>
          <w:rFonts w:hint="cs"/>
          <w:i/>
          <w:iCs/>
          <w:sz w:val="18"/>
          <w:szCs w:val="26"/>
          <w:rtl/>
        </w:rPr>
        <w:t>ـ</w:t>
      </w:r>
      <w:r w:rsidRPr="00975038">
        <w:rPr>
          <w:i/>
          <w:iCs/>
          <w:sz w:val="18"/>
          <w:szCs w:val="26"/>
          <w:rtl/>
        </w:rPr>
        <w:t>دي</w:t>
      </w:r>
      <w:r w:rsidRPr="00975038">
        <w:rPr>
          <w:rFonts w:hint="cs"/>
          <w:i/>
          <w:iCs/>
          <w:sz w:val="18"/>
          <w:szCs w:val="26"/>
          <w:rtl/>
        </w:rPr>
        <w:t xml:space="preserve"> ضد أوزبكستان</w:t>
      </w:r>
      <w:r w:rsidRPr="00975038">
        <w:rPr>
          <w:rFonts w:hint="cs"/>
          <w:sz w:val="18"/>
          <w:szCs w:val="26"/>
          <w:rtl/>
        </w:rPr>
        <w:t>، آراء معتمدة في 19 آذار/</w:t>
      </w:r>
      <w:r w:rsidR="0084331E">
        <w:rPr>
          <w:rFonts w:hint="cs"/>
          <w:sz w:val="18"/>
          <w:szCs w:val="26"/>
          <w:rtl/>
        </w:rPr>
        <w:t xml:space="preserve"> </w:t>
      </w:r>
      <w:r w:rsidRPr="00975038">
        <w:rPr>
          <w:rFonts w:hint="cs"/>
          <w:sz w:val="18"/>
          <w:szCs w:val="26"/>
          <w:rtl/>
        </w:rPr>
        <w:t>مارس 2009.</w:t>
      </w:r>
    </w:p>
  </w:footnote>
  <w:footnote w:id="1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 xml:space="preserve">، آراء معتمدة في 16 آذار/مارس 2004. </w:t>
      </w:r>
    </w:p>
  </w:footnote>
  <w:footnote w:id="2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736/97، </w:t>
      </w:r>
      <w:r w:rsidRPr="00975038">
        <w:rPr>
          <w:i/>
          <w:iCs/>
          <w:sz w:val="18"/>
          <w:szCs w:val="26"/>
          <w:rtl/>
        </w:rPr>
        <w:t>روس ضد كندا</w:t>
      </w:r>
      <w:r w:rsidRPr="00975038">
        <w:rPr>
          <w:rFonts w:hint="cs"/>
          <w:sz w:val="18"/>
          <w:szCs w:val="26"/>
          <w:rtl/>
        </w:rPr>
        <w:t>، آراء معتمدة في 18 تشرين الأول/أكتوبر 2000.</w:t>
      </w:r>
    </w:p>
  </w:footnote>
  <w:footnote w:id="2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2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2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 xml:space="preserve">. </w:t>
      </w:r>
    </w:p>
  </w:footnote>
  <w:footnote w:id="2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1341/2005، </w:t>
      </w:r>
      <w:r w:rsidRPr="00D61718">
        <w:rPr>
          <w:rFonts w:hint="cs"/>
          <w:i/>
          <w:iCs/>
          <w:sz w:val="18"/>
          <w:szCs w:val="26"/>
          <w:rtl/>
        </w:rPr>
        <w:t>زوندل ضد كندا</w:t>
      </w:r>
      <w:r w:rsidRPr="00975038">
        <w:rPr>
          <w:rFonts w:hint="cs"/>
          <w:sz w:val="18"/>
          <w:szCs w:val="26"/>
          <w:rtl/>
        </w:rPr>
        <w:t>، آراء معتمدة في 20 آذار/مارس 2007.</w:t>
      </w:r>
    </w:p>
  </w:footnote>
  <w:footnote w:id="2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w:t>
      </w:r>
      <w:r w:rsidR="0084331E">
        <w:rPr>
          <w:rFonts w:hint="cs"/>
          <w:sz w:val="18"/>
          <w:szCs w:val="26"/>
          <w:rtl/>
        </w:rPr>
        <w:t>ـ</w:t>
      </w:r>
      <w:r w:rsidRPr="00975038">
        <w:rPr>
          <w:rFonts w:hint="cs"/>
          <w:sz w:val="18"/>
          <w:szCs w:val="26"/>
          <w:rtl/>
        </w:rPr>
        <w:t>ر الب</w:t>
      </w:r>
      <w:r w:rsidR="0084331E">
        <w:rPr>
          <w:rFonts w:hint="cs"/>
          <w:sz w:val="18"/>
          <w:szCs w:val="26"/>
          <w:rtl/>
        </w:rPr>
        <w:t>ـ</w:t>
      </w:r>
      <w:r w:rsidRPr="00975038">
        <w:rPr>
          <w:rFonts w:hint="cs"/>
          <w:sz w:val="18"/>
          <w:szCs w:val="26"/>
          <w:rtl/>
        </w:rPr>
        <w:t>لاغ رق</w:t>
      </w:r>
      <w:r w:rsidR="0084331E">
        <w:rPr>
          <w:rFonts w:hint="cs"/>
          <w:sz w:val="18"/>
          <w:szCs w:val="26"/>
          <w:rtl/>
        </w:rPr>
        <w:t>ـ</w:t>
      </w:r>
      <w:r w:rsidRPr="00975038">
        <w:rPr>
          <w:rFonts w:hint="cs"/>
          <w:sz w:val="18"/>
          <w:szCs w:val="26"/>
          <w:rtl/>
        </w:rPr>
        <w:t xml:space="preserve">م 1009/2001، </w:t>
      </w:r>
      <w:r w:rsidRPr="00975038">
        <w:rPr>
          <w:rFonts w:hint="cs"/>
          <w:i/>
          <w:iCs/>
          <w:sz w:val="18"/>
          <w:szCs w:val="26"/>
          <w:rtl/>
        </w:rPr>
        <w:t>ششيتكو وآخرون ضد بيلاروس</w:t>
      </w:r>
      <w:r w:rsidRPr="00975038">
        <w:rPr>
          <w:rFonts w:hint="cs"/>
          <w:sz w:val="18"/>
          <w:szCs w:val="26"/>
          <w:rtl/>
        </w:rPr>
        <w:t>، آراء معتمدة في 11 تموز/</w:t>
      </w:r>
      <w:r w:rsidR="0084331E">
        <w:rPr>
          <w:rFonts w:hint="cs"/>
          <w:sz w:val="18"/>
          <w:szCs w:val="26"/>
          <w:rtl/>
        </w:rPr>
        <w:t xml:space="preserve"> </w:t>
      </w:r>
      <w:r w:rsidRPr="00975038">
        <w:rPr>
          <w:rFonts w:hint="cs"/>
          <w:sz w:val="18"/>
          <w:szCs w:val="26"/>
          <w:rtl/>
        </w:rPr>
        <w:t>يوليه 2006.</w:t>
      </w:r>
    </w:p>
  </w:footnote>
  <w:footnote w:id="2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412/1990، </w:t>
      </w:r>
      <w:r w:rsidRPr="00975038">
        <w:rPr>
          <w:rFonts w:hint="cs"/>
          <w:i/>
          <w:iCs/>
          <w:sz w:val="18"/>
          <w:szCs w:val="26"/>
          <w:rtl/>
        </w:rPr>
        <w:t>كيفينما ضد فنلندا</w:t>
      </w:r>
      <w:r w:rsidRPr="00975038">
        <w:rPr>
          <w:rFonts w:hint="cs"/>
          <w:sz w:val="18"/>
          <w:szCs w:val="26"/>
          <w:rtl/>
        </w:rPr>
        <w:t>، آراء معتمدة في 31 آذار/مارس 1994.</w:t>
      </w:r>
    </w:p>
  </w:footnote>
  <w:footnote w:id="2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1189/2003، </w:t>
      </w:r>
      <w:r w:rsidRPr="00975038">
        <w:rPr>
          <w:rFonts w:hint="cs"/>
          <w:i/>
          <w:iCs/>
          <w:sz w:val="18"/>
          <w:szCs w:val="26"/>
          <w:rtl/>
        </w:rPr>
        <w:t>فرناندو ضد سري لانكا</w:t>
      </w:r>
      <w:r w:rsidRPr="00975038">
        <w:rPr>
          <w:rFonts w:hint="cs"/>
          <w:sz w:val="18"/>
          <w:szCs w:val="26"/>
          <w:rtl/>
        </w:rPr>
        <w:t>.</w:t>
      </w:r>
    </w:p>
  </w:footnote>
  <w:footnote w:id="2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1128/2002، </w:t>
      </w:r>
      <w:r w:rsidRPr="00975038">
        <w:rPr>
          <w:rFonts w:hint="cs"/>
          <w:i/>
          <w:iCs/>
          <w:sz w:val="18"/>
          <w:szCs w:val="26"/>
          <w:rtl/>
        </w:rPr>
        <w:t>ماركيس ضد أنغولا</w:t>
      </w:r>
      <w:r w:rsidRPr="00975038">
        <w:rPr>
          <w:rFonts w:hint="cs"/>
          <w:sz w:val="18"/>
          <w:szCs w:val="26"/>
          <w:rtl/>
        </w:rPr>
        <w:t>، آراء معتمدة في 29 آذار/مارس 2005.</w:t>
      </w:r>
    </w:p>
  </w:footnote>
  <w:footnote w:id="2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w:t>
      </w:r>
    </w:p>
  </w:footnote>
  <w:footnote w:id="30">
    <w:p w:rsidR="00916522" w:rsidRPr="00975038" w:rsidRDefault="00916522" w:rsidP="00AF1182">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التعليق العام للجنة رقم 25(1996) المتعلق بالمادة 25</w:t>
      </w:r>
      <w:r w:rsidR="005341AD">
        <w:rPr>
          <w:rFonts w:hint="cs"/>
          <w:sz w:val="18"/>
          <w:szCs w:val="26"/>
          <w:rtl/>
        </w:rPr>
        <w:t xml:space="preserve"> </w:t>
      </w:r>
      <w:r w:rsidRPr="00975038">
        <w:rPr>
          <w:rFonts w:hint="cs"/>
          <w:sz w:val="18"/>
          <w:szCs w:val="26"/>
          <w:rtl/>
        </w:rPr>
        <w:t xml:space="preserve">(المشاركة في إدارة الشؤون العامة وحق الاقتراع)، الفقرة 25،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الحادية والخمسون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xml:space="preserve">، المجلد الأول </w:t>
      </w:r>
      <w:r w:rsidRPr="00AF1182">
        <w:rPr>
          <w:rFonts w:cs="Times New Roman"/>
          <w:sz w:val="18"/>
          <w:szCs w:val="18"/>
          <w:rtl/>
          <w:lang w:bidi="ar-SY"/>
        </w:rPr>
        <w:t>(</w:t>
      </w:r>
      <w:r w:rsidRPr="00AF1182">
        <w:rPr>
          <w:bCs/>
          <w:sz w:val="18"/>
          <w:szCs w:val="18"/>
        </w:rPr>
        <w:t>A/51/40 (Vol.</w:t>
      </w:r>
      <w:r w:rsidRPr="00AF1182">
        <w:rPr>
          <w:rStyle w:val="FootnoteReference"/>
          <w:sz w:val="16"/>
          <w:szCs w:val="24"/>
        </w:rPr>
        <w:t xml:space="preserve"> </w:t>
      </w:r>
      <w:r w:rsidRPr="00AF1182">
        <w:rPr>
          <w:sz w:val="18"/>
          <w:szCs w:val="24"/>
        </w:rPr>
        <w:t>I</w:t>
      </w:r>
      <w:r w:rsidRPr="00975038">
        <w:rPr>
          <w:rFonts w:hint="cs"/>
          <w:sz w:val="18"/>
          <w:szCs w:val="26"/>
          <w:rtl/>
          <w:lang w:bidi="ar-SY"/>
        </w:rPr>
        <w:t>)</w:t>
      </w:r>
      <w:r w:rsidRPr="00975038">
        <w:rPr>
          <w:rFonts w:hint="cs"/>
          <w:sz w:val="18"/>
          <w:szCs w:val="26"/>
          <w:rtl/>
        </w:rPr>
        <w:t>، المرفق الخامس.</w:t>
      </w:r>
    </w:p>
  </w:footnote>
  <w:footnote w:id="3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1334/2004، </w:t>
      </w:r>
      <w:r w:rsidRPr="00975038">
        <w:rPr>
          <w:i/>
          <w:iCs/>
          <w:sz w:val="18"/>
          <w:szCs w:val="26"/>
          <w:rtl/>
        </w:rPr>
        <w:t xml:space="preserve">مافلونوف </w:t>
      </w:r>
      <w:r w:rsidRPr="00975038">
        <w:rPr>
          <w:rFonts w:hint="cs"/>
          <w:i/>
          <w:iCs/>
          <w:sz w:val="18"/>
          <w:szCs w:val="26"/>
          <w:rtl/>
        </w:rPr>
        <w:t>و</w:t>
      </w:r>
      <w:r w:rsidRPr="00975038">
        <w:rPr>
          <w:i/>
          <w:iCs/>
          <w:sz w:val="18"/>
          <w:szCs w:val="26"/>
          <w:rtl/>
        </w:rPr>
        <w:t>سعدي</w:t>
      </w:r>
      <w:r w:rsidRPr="00975038">
        <w:rPr>
          <w:rFonts w:hint="cs"/>
          <w:i/>
          <w:iCs/>
          <w:sz w:val="18"/>
          <w:szCs w:val="26"/>
          <w:rtl/>
        </w:rPr>
        <w:t xml:space="preserve"> ضد أوزبكستان</w:t>
      </w:r>
      <w:r w:rsidRPr="00975038">
        <w:rPr>
          <w:rFonts w:hint="cs"/>
          <w:sz w:val="18"/>
          <w:szCs w:val="26"/>
          <w:rtl/>
        </w:rPr>
        <w:t>.</w:t>
      </w:r>
    </w:p>
  </w:footnote>
  <w:footnote w:id="3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الملاحظات الختامية المتعلقة بجمهورية مولدوفا (</w:t>
      </w:r>
      <w:r w:rsidRPr="00975038">
        <w:rPr>
          <w:sz w:val="18"/>
          <w:szCs w:val="26"/>
        </w:rPr>
        <w:t>CCPR/CO/75/MDA</w:t>
      </w:r>
      <w:r w:rsidRPr="00975038">
        <w:rPr>
          <w:rFonts w:hint="cs"/>
          <w:sz w:val="18"/>
          <w:szCs w:val="26"/>
          <w:rtl/>
        </w:rPr>
        <w:t xml:space="preserve">). </w:t>
      </w:r>
    </w:p>
  </w:footnote>
  <w:footnote w:id="3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 xml:space="preserve">. </w:t>
      </w:r>
    </w:p>
  </w:footnote>
  <w:footnote w:id="3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1334/2004، </w:t>
      </w:r>
      <w:r w:rsidRPr="00975038">
        <w:rPr>
          <w:i/>
          <w:iCs/>
          <w:sz w:val="18"/>
          <w:szCs w:val="26"/>
          <w:rtl/>
        </w:rPr>
        <w:t xml:space="preserve">مافلونوف </w:t>
      </w:r>
      <w:r w:rsidRPr="00975038">
        <w:rPr>
          <w:rFonts w:hint="cs"/>
          <w:i/>
          <w:iCs/>
          <w:sz w:val="18"/>
          <w:szCs w:val="26"/>
          <w:rtl/>
        </w:rPr>
        <w:t>و</w:t>
      </w:r>
      <w:r w:rsidRPr="00975038">
        <w:rPr>
          <w:i/>
          <w:iCs/>
          <w:sz w:val="18"/>
          <w:szCs w:val="26"/>
          <w:rtl/>
        </w:rPr>
        <w:t>سعدي</w:t>
      </w:r>
      <w:r w:rsidRPr="00975038">
        <w:rPr>
          <w:rFonts w:hint="cs"/>
          <w:i/>
          <w:iCs/>
          <w:sz w:val="18"/>
          <w:szCs w:val="26"/>
          <w:rtl/>
        </w:rPr>
        <w:t xml:space="preserve"> ضد أوزبكستان.</w:t>
      </w:r>
    </w:p>
  </w:footnote>
  <w:footnote w:id="35">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w:t>
      </w:r>
      <w:r w:rsidR="0084331E">
        <w:rPr>
          <w:rFonts w:hint="cs"/>
          <w:sz w:val="18"/>
          <w:szCs w:val="26"/>
          <w:rtl/>
        </w:rPr>
        <w:t>ـ</w:t>
      </w:r>
      <w:r w:rsidRPr="00975038">
        <w:rPr>
          <w:rFonts w:hint="cs"/>
          <w:sz w:val="18"/>
          <w:szCs w:val="26"/>
          <w:rtl/>
        </w:rPr>
        <w:t>ر الب</w:t>
      </w:r>
      <w:r w:rsidR="0084331E">
        <w:rPr>
          <w:rFonts w:hint="cs"/>
          <w:sz w:val="18"/>
          <w:szCs w:val="26"/>
          <w:rtl/>
        </w:rPr>
        <w:t>ـ</w:t>
      </w:r>
      <w:r w:rsidRPr="00975038">
        <w:rPr>
          <w:rFonts w:hint="cs"/>
          <w:sz w:val="18"/>
          <w:szCs w:val="26"/>
          <w:rtl/>
        </w:rPr>
        <w:t>لاغ رقم 726/1996</w:t>
      </w:r>
      <w:r w:rsidRPr="002B343F">
        <w:rPr>
          <w:rFonts w:hint="cs"/>
          <w:i/>
          <w:iCs/>
          <w:sz w:val="18"/>
          <w:szCs w:val="26"/>
          <w:rtl/>
        </w:rPr>
        <w:t>، زيلودكوف ضد أوكرانيا</w:t>
      </w:r>
      <w:r w:rsidRPr="00975038">
        <w:rPr>
          <w:rFonts w:hint="cs"/>
          <w:sz w:val="18"/>
          <w:szCs w:val="26"/>
          <w:rtl/>
        </w:rPr>
        <w:t>، آراء معتمدة في 29 تشرين الأول/</w:t>
      </w:r>
      <w:r w:rsidR="0084331E">
        <w:rPr>
          <w:rFonts w:hint="cs"/>
          <w:sz w:val="18"/>
          <w:szCs w:val="26"/>
          <w:rtl/>
        </w:rPr>
        <w:t xml:space="preserve"> </w:t>
      </w:r>
      <w:r w:rsidRPr="00975038">
        <w:rPr>
          <w:rFonts w:hint="cs"/>
          <w:sz w:val="18"/>
          <w:szCs w:val="26"/>
          <w:rtl/>
        </w:rPr>
        <w:t>أكتوبر 2002.</w:t>
      </w:r>
    </w:p>
  </w:footnote>
  <w:footnote w:id="3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للجنة رقم 32(2007) المتعلق بالحق في المساواة أمام المحاكم والهيئات القضائية وفي محاكمة عادلة، الفقرة 33،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الثانية والستون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xml:space="preserve">، المجلد الأول </w:t>
      </w:r>
      <w:r w:rsidRPr="002B343F">
        <w:rPr>
          <w:rFonts w:cs="Times New Roman"/>
          <w:b/>
          <w:bCs/>
          <w:sz w:val="18"/>
          <w:szCs w:val="18"/>
          <w:rtl/>
          <w:lang w:bidi="ar-SY"/>
        </w:rPr>
        <w:t>(</w:t>
      </w:r>
      <w:r w:rsidRPr="002B343F">
        <w:rPr>
          <w:rStyle w:val="FootnoteReference"/>
          <w:rFonts w:cs="Times New Roman"/>
          <w:b w:val="0"/>
          <w:bCs/>
          <w:szCs w:val="18"/>
          <w:vertAlign w:val="baseline"/>
        </w:rPr>
        <w:t>A/6</w:t>
      </w:r>
      <w:r w:rsidRPr="002B343F">
        <w:rPr>
          <w:rFonts w:cs="Times New Roman"/>
          <w:b/>
          <w:bCs/>
          <w:sz w:val="18"/>
          <w:szCs w:val="18"/>
        </w:rPr>
        <w:t>2</w:t>
      </w:r>
      <w:r w:rsidRPr="002B343F">
        <w:rPr>
          <w:rStyle w:val="FootnoteReference"/>
          <w:rFonts w:cs="Times New Roman"/>
          <w:b w:val="0"/>
          <w:bCs/>
          <w:szCs w:val="18"/>
          <w:vertAlign w:val="baseline"/>
        </w:rPr>
        <w:t>/40 (Vol. I</w:t>
      </w:r>
      <w:r w:rsidRPr="00975038">
        <w:rPr>
          <w:rFonts w:hint="cs"/>
          <w:sz w:val="18"/>
          <w:szCs w:val="26"/>
          <w:rtl/>
          <w:lang w:bidi="ar-SY"/>
        </w:rPr>
        <w:t>)</w:t>
      </w:r>
      <w:r w:rsidRPr="00975038">
        <w:rPr>
          <w:rFonts w:hint="cs"/>
          <w:sz w:val="18"/>
          <w:szCs w:val="26"/>
          <w:rtl/>
        </w:rPr>
        <w:t>، المرفق السادس</w:t>
      </w:r>
      <w:r>
        <w:rPr>
          <w:rFonts w:hint="cs"/>
          <w:sz w:val="18"/>
          <w:szCs w:val="26"/>
          <w:rtl/>
        </w:rPr>
        <w:t>.</w:t>
      </w:r>
    </w:p>
  </w:footnote>
  <w:footnote w:id="3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رقم 31. </w:t>
      </w:r>
    </w:p>
  </w:footnote>
  <w:footnote w:id="3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1457/2006، </w:t>
      </w:r>
      <w:r w:rsidRPr="00975038">
        <w:rPr>
          <w:rFonts w:hint="cs"/>
          <w:i/>
          <w:iCs/>
          <w:sz w:val="18"/>
          <w:szCs w:val="26"/>
          <w:rtl/>
        </w:rPr>
        <w:t>بوما ضد بيرو</w:t>
      </w:r>
      <w:r w:rsidRPr="00975038">
        <w:rPr>
          <w:rFonts w:hint="cs"/>
          <w:sz w:val="18"/>
          <w:szCs w:val="26"/>
          <w:rtl/>
        </w:rPr>
        <w:t>، آراء معتمدة في 27 آذار/مارس 2009.</w:t>
      </w:r>
    </w:p>
  </w:footnote>
  <w:footnote w:id="3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الملاحظات الختامية المتعلقة بأذربيجان ((</w:t>
      </w:r>
      <w:r w:rsidRPr="00975038">
        <w:rPr>
          <w:sz w:val="18"/>
          <w:szCs w:val="26"/>
        </w:rPr>
        <w:t>CCPR/C/79/Add.38 (1994</w:t>
      </w:r>
      <w:r w:rsidRPr="00975038">
        <w:rPr>
          <w:rFonts w:hint="cs"/>
          <w:sz w:val="18"/>
          <w:szCs w:val="26"/>
          <w:rtl/>
        </w:rPr>
        <w:t>).</w:t>
      </w:r>
    </w:p>
  </w:footnote>
  <w:footnote w:id="4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للجنة رقم 25 المتعلق بالمادة 25 من العهد، الفقرة 25.  </w:t>
      </w:r>
    </w:p>
  </w:footnote>
  <w:footnote w:id="41">
    <w:p w:rsidR="00916522" w:rsidRPr="00975038" w:rsidRDefault="00916522" w:rsidP="0051743B">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التعليق العام للجنة رقم 27 المتعلق بالمادة 12</w:t>
      </w:r>
      <w:r w:rsidRPr="0051743B">
        <w:rPr>
          <w:rFonts w:hint="cs"/>
          <w:i/>
          <w:iCs/>
          <w:sz w:val="18"/>
          <w:szCs w:val="26"/>
          <w:rtl/>
        </w:rPr>
        <w:t xml:space="preserve">، </w:t>
      </w:r>
      <w:r w:rsidRPr="0051743B">
        <w:rPr>
          <w:rFonts w:hint="cs"/>
          <w:i/>
          <w:iCs/>
          <w:sz w:val="18"/>
          <w:szCs w:val="26"/>
          <w:rtl/>
          <w:lang w:bidi="ar-SY"/>
        </w:rPr>
        <w:t>الوثائق الرسمية للجمعية العامة، الدورة الخامسة والخمسون، الملحق رقم 40</w:t>
      </w:r>
      <w:r w:rsidRPr="00975038">
        <w:rPr>
          <w:rFonts w:hint="cs"/>
          <w:sz w:val="18"/>
          <w:szCs w:val="26"/>
          <w:rtl/>
          <w:lang w:bidi="ar-SY"/>
        </w:rPr>
        <w:t xml:space="preserve">، المجلد الأول </w:t>
      </w:r>
      <w:r w:rsidRPr="0051743B">
        <w:rPr>
          <w:rFonts w:cs="Times New Roman"/>
          <w:b/>
          <w:bCs/>
          <w:sz w:val="18"/>
          <w:szCs w:val="18"/>
          <w:rtl/>
          <w:lang w:bidi="ar-SY"/>
        </w:rPr>
        <w:t>(</w:t>
      </w:r>
      <w:r w:rsidRPr="005341AD">
        <w:rPr>
          <w:rStyle w:val="FootnoteReference"/>
          <w:rFonts w:cs="Times New Roman"/>
          <w:b w:val="0"/>
          <w:bCs/>
          <w:szCs w:val="18"/>
          <w:vertAlign w:val="baseline"/>
        </w:rPr>
        <w:t>A/5</w:t>
      </w:r>
      <w:r w:rsidRPr="005341AD">
        <w:rPr>
          <w:rFonts w:cs="Times New Roman"/>
          <w:sz w:val="18"/>
          <w:szCs w:val="18"/>
        </w:rPr>
        <w:t>5</w:t>
      </w:r>
      <w:r w:rsidRPr="005341AD">
        <w:rPr>
          <w:rStyle w:val="FootnoteReference"/>
          <w:rFonts w:cs="Times New Roman"/>
          <w:b w:val="0"/>
          <w:bCs/>
          <w:szCs w:val="18"/>
          <w:vertAlign w:val="baseline"/>
        </w:rPr>
        <w:t>/40 (Vol. I</w:t>
      </w:r>
      <w:r w:rsidRPr="0051743B">
        <w:rPr>
          <w:rFonts w:cs="Times New Roman"/>
          <w:b/>
          <w:bCs/>
          <w:sz w:val="18"/>
          <w:szCs w:val="18"/>
          <w:rtl/>
          <w:lang w:bidi="ar-SY"/>
        </w:rPr>
        <w:t>)</w:t>
      </w:r>
      <w:r>
        <w:rPr>
          <w:rFonts w:hint="cs"/>
          <w:sz w:val="18"/>
          <w:szCs w:val="26"/>
          <w:rtl/>
        </w:rPr>
        <w:t xml:space="preserve">، </w:t>
      </w:r>
      <w:r w:rsidRPr="00975038">
        <w:rPr>
          <w:rFonts w:hint="cs"/>
          <w:sz w:val="18"/>
          <w:szCs w:val="26"/>
          <w:rtl/>
        </w:rPr>
        <w:t>المرفق السادس، الفرع ألف.</w:t>
      </w:r>
    </w:p>
  </w:footnote>
  <w:footnote w:id="42">
    <w:p w:rsidR="00916522" w:rsidRPr="00975038" w:rsidRDefault="00916522" w:rsidP="005341AD">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w:t>
      </w:r>
      <w:r w:rsidR="0084331E">
        <w:rPr>
          <w:rFonts w:hint="cs"/>
          <w:sz w:val="18"/>
          <w:szCs w:val="26"/>
          <w:rtl/>
        </w:rPr>
        <w:t>ـ</w:t>
      </w:r>
      <w:r w:rsidRPr="00975038">
        <w:rPr>
          <w:rFonts w:hint="cs"/>
          <w:sz w:val="18"/>
          <w:szCs w:val="26"/>
          <w:rtl/>
        </w:rPr>
        <w:t xml:space="preserve">ر البلاغ رقم 1022/2001، </w:t>
      </w:r>
      <w:r w:rsidRPr="00975038">
        <w:rPr>
          <w:rFonts w:hint="cs"/>
          <w:i/>
          <w:iCs/>
          <w:sz w:val="18"/>
          <w:szCs w:val="26"/>
          <w:rtl/>
        </w:rPr>
        <w:t>فيليشكين ضد بيلاروس</w:t>
      </w:r>
      <w:r w:rsidRPr="00975038">
        <w:rPr>
          <w:rFonts w:hint="cs"/>
          <w:sz w:val="18"/>
          <w:szCs w:val="26"/>
          <w:rtl/>
        </w:rPr>
        <w:t>، آراء معتم</w:t>
      </w:r>
      <w:r w:rsidR="0084331E">
        <w:rPr>
          <w:rFonts w:hint="cs"/>
          <w:sz w:val="18"/>
          <w:szCs w:val="26"/>
          <w:rtl/>
        </w:rPr>
        <w:t>ـ</w:t>
      </w:r>
      <w:r w:rsidRPr="00975038">
        <w:rPr>
          <w:rFonts w:hint="cs"/>
          <w:sz w:val="18"/>
          <w:szCs w:val="26"/>
          <w:rtl/>
        </w:rPr>
        <w:t>دة في 20 تشرين الأول/</w:t>
      </w:r>
      <w:r w:rsidR="0084331E">
        <w:rPr>
          <w:rFonts w:hint="cs"/>
          <w:sz w:val="18"/>
          <w:szCs w:val="26"/>
          <w:rtl/>
        </w:rPr>
        <w:t xml:space="preserve"> </w:t>
      </w:r>
      <w:r w:rsidRPr="00975038">
        <w:rPr>
          <w:rFonts w:hint="cs"/>
          <w:sz w:val="18"/>
          <w:szCs w:val="26"/>
          <w:rtl/>
        </w:rPr>
        <w:t>أكتوبر 2005.</w:t>
      </w:r>
    </w:p>
  </w:footnote>
  <w:footnote w:id="43">
    <w:p w:rsidR="00916522" w:rsidRPr="00975038" w:rsidRDefault="00916522" w:rsidP="009E76E1">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للجنة رقم 22، </w:t>
      </w:r>
      <w:r w:rsidRPr="009E76E1">
        <w:rPr>
          <w:rFonts w:hint="cs"/>
          <w:i/>
          <w:iCs/>
          <w:sz w:val="18"/>
          <w:szCs w:val="26"/>
          <w:rtl/>
          <w:lang w:bidi="ar-SY"/>
        </w:rPr>
        <w:t>الوثائق الرسمية للجمعية العامة، الدورة الثامنة والأربع</w:t>
      </w:r>
      <w:r w:rsidR="0084331E">
        <w:rPr>
          <w:rFonts w:hint="cs"/>
          <w:i/>
          <w:iCs/>
          <w:sz w:val="18"/>
          <w:szCs w:val="26"/>
          <w:rtl/>
          <w:lang w:bidi="ar-SY"/>
        </w:rPr>
        <w:t>ـ</w:t>
      </w:r>
      <w:r w:rsidRPr="009E76E1">
        <w:rPr>
          <w:rFonts w:hint="cs"/>
          <w:i/>
          <w:iCs/>
          <w:sz w:val="18"/>
          <w:szCs w:val="26"/>
          <w:rtl/>
          <w:lang w:bidi="ar-SY"/>
        </w:rPr>
        <w:t>ون، الملح</w:t>
      </w:r>
      <w:r w:rsidR="0084331E">
        <w:rPr>
          <w:rFonts w:hint="cs"/>
          <w:i/>
          <w:iCs/>
          <w:sz w:val="18"/>
          <w:szCs w:val="26"/>
          <w:rtl/>
          <w:lang w:bidi="ar-SY"/>
        </w:rPr>
        <w:t>ـ</w:t>
      </w:r>
      <w:r w:rsidRPr="009E76E1">
        <w:rPr>
          <w:rFonts w:hint="cs"/>
          <w:i/>
          <w:iCs/>
          <w:sz w:val="18"/>
          <w:szCs w:val="26"/>
          <w:rtl/>
          <w:lang w:bidi="ar-SY"/>
        </w:rPr>
        <w:t>ق رقم 40</w:t>
      </w:r>
      <w:r w:rsidRPr="00975038">
        <w:rPr>
          <w:rFonts w:hint="cs"/>
          <w:sz w:val="18"/>
          <w:szCs w:val="26"/>
          <w:rtl/>
          <w:lang w:bidi="ar-SY"/>
        </w:rPr>
        <w:t xml:space="preserve">، المجلد الأول </w:t>
      </w:r>
      <w:r w:rsidRPr="009E76E1">
        <w:rPr>
          <w:rFonts w:cs="Times New Roman"/>
          <w:b/>
          <w:bCs/>
          <w:sz w:val="18"/>
          <w:szCs w:val="18"/>
          <w:rtl/>
          <w:lang w:bidi="ar-SY"/>
        </w:rPr>
        <w:t>(</w:t>
      </w:r>
      <w:r w:rsidRPr="009E76E1">
        <w:rPr>
          <w:rStyle w:val="FootnoteReference"/>
          <w:rFonts w:cs="Times New Roman"/>
          <w:b w:val="0"/>
          <w:bCs/>
          <w:szCs w:val="18"/>
          <w:vertAlign w:val="baseline"/>
        </w:rPr>
        <w:t>A/4</w:t>
      </w:r>
      <w:r w:rsidRPr="009E76E1">
        <w:rPr>
          <w:rFonts w:cs="Times New Roman"/>
          <w:b/>
          <w:bCs/>
          <w:sz w:val="18"/>
          <w:szCs w:val="18"/>
        </w:rPr>
        <w:t>8</w:t>
      </w:r>
      <w:r w:rsidRPr="009E76E1">
        <w:rPr>
          <w:rStyle w:val="FootnoteReference"/>
          <w:rFonts w:cs="Times New Roman"/>
          <w:b w:val="0"/>
          <w:bCs/>
          <w:szCs w:val="18"/>
          <w:vertAlign w:val="baseline"/>
        </w:rPr>
        <w:t>/40 (Vol. I</w:t>
      </w:r>
      <w:r w:rsidRPr="009E76E1">
        <w:rPr>
          <w:rFonts w:cs="Times New Roman"/>
          <w:b/>
          <w:bCs/>
          <w:sz w:val="18"/>
          <w:szCs w:val="18"/>
          <w:rtl/>
          <w:lang w:bidi="ar-SY"/>
        </w:rPr>
        <w:t>)</w:t>
      </w:r>
      <w:r>
        <w:rPr>
          <w:rFonts w:hint="cs"/>
          <w:sz w:val="18"/>
          <w:szCs w:val="26"/>
          <w:rtl/>
        </w:rPr>
        <w:t xml:space="preserve">، </w:t>
      </w:r>
      <w:r w:rsidRPr="00975038">
        <w:rPr>
          <w:rFonts w:hint="cs"/>
          <w:sz w:val="18"/>
          <w:szCs w:val="26"/>
          <w:rtl/>
        </w:rPr>
        <w:t xml:space="preserve">المرفق السادس. </w:t>
      </w:r>
    </w:p>
  </w:footnote>
  <w:footnote w:id="4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458/91، </w:t>
      </w:r>
      <w:r w:rsidRPr="00975038">
        <w:rPr>
          <w:rFonts w:hint="cs"/>
          <w:i/>
          <w:iCs/>
          <w:sz w:val="18"/>
          <w:szCs w:val="26"/>
          <w:rtl/>
        </w:rPr>
        <w:t>مبوكونغ ضد الكاميرون</w:t>
      </w:r>
      <w:r w:rsidRPr="00975038">
        <w:rPr>
          <w:rFonts w:hint="cs"/>
          <w:sz w:val="18"/>
          <w:szCs w:val="26"/>
          <w:rtl/>
        </w:rPr>
        <w:t xml:space="preserve">، آراء معتمدة في 21 تموز/يوليه 1994.  </w:t>
      </w:r>
    </w:p>
  </w:footnote>
  <w:footnote w:id="4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1353/2005، </w:t>
      </w:r>
      <w:r w:rsidRPr="00975038">
        <w:rPr>
          <w:rFonts w:hint="cs"/>
          <w:i/>
          <w:iCs/>
          <w:sz w:val="18"/>
          <w:szCs w:val="26"/>
          <w:rtl/>
        </w:rPr>
        <w:t>نجارو ضد الكاميرون</w:t>
      </w:r>
      <w:r w:rsidRPr="00975038">
        <w:rPr>
          <w:rFonts w:hint="cs"/>
          <w:sz w:val="18"/>
          <w:szCs w:val="26"/>
          <w:rtl/>
        </w:rPr>
        <w:t xml:space="preserve">، آراء معتمدة في 19 آذار/مارس 2007. </w:t>
      </w:r>
    </w:p>
  </w:footnote>
  <w:footnote w:id="46">
    <w:p w:rsidR="00916522" w:rsidRPr="00975038" w:rsidRDefault="00916522" w:rsidP="009E76E1">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على سبيل المثال الملاحظ</w:t>
      </w:r>
      <w:r>
        <w:rPr>
          <w:rFonts w:hint="cs"/>
          <w:sz w:val="18"/>
          <w:szCs w:val="26"/>
          <w:rtl/>
        </w:rPr>
        <w:t>ـ</w:t>
      </w:r>
      <w:r w:rsidRPr="00975038">
        <w:rPr>
          <w:rFonts w:hint="cs"/>
          <w:sz w:val="18"/>
          <w:szCs w:val="26"/>
          <w:rtl/>
        </w:rPr>
        <w:t xml:space="preserve">ات الختامية المتعلقة بالجزائر </w:t>
      </w:r>
      <w:r w:rsidRPr="00975038">
        <w:rPr>
          <w:sz w:val="18"/>
          <w:szCs w:val="26"/>
        </w:rPr>
        <w:t>(CCPR/C/DZA/CO/3)</w:t>
      </w:r>
      <w:r>
        <w:rPr>
          <w:rFonts w:hint="cs"/>
          <w:sz w:val="18"/>
          <w:szCs w:val="26"/>
          <w:rtl/>
        </w:rPr>
        <w:t>؛</w:t>
      </w:r>
      <w:r w:rsidRPr="00975038">
        <w:rPr>
          <w:rFonts w:hint="cs"/>
          <w:sz w:val="18"/>
          <w:szCs w:val="26"/>
          <w:rtl/>
        </w:rPr>
        <w:t xml:space="preserve"> والملاحظات الختامية المتعلقة بكوستاريكا </w:t>
      </w:r>
      <w:r w:rsidRPr="00975038">
        <w:rPr>
          <w:sz w:val="18"/>
          <w:szCs w:val="26"/>
        </w:rPr>
        <w:t>(CCPR/C/CRI/CO/5)</w:t>
      </w:r>
      <w:r>
        <w:rPr>
          <w:rFonts w:hint="cs"/>
          <w:sz w:val="18"/>
          <w:szCs w:val="26"/>
          <w:rtl/>
        </w:rPr>
        <w:t>؛</w:t>
      </w:r>
      <w:r w:rsidRPr="00975038">
        <w:rPr>
          <w:rFonts w:hint="cs"/>
          <w:sz w:val="18"/>
          <w:szCs w:val="26"/>
          <w:rtl/>
        </w:rPr>
        <w:t xml:space="preserve"> والملاحظات الختامية المتعلقة بالسودان </w:t>
      </w:r>
      <w:r w:rsidRPr="00975038">
        <w:rPr>
          <w:sz w:val="18"/>
          <w:szCs w:val="26"/>
        </w:rPr>
        <w:t>(CCPR/C/SDN/CO/3)</w:t>
      </w:r>
      <w:r w:rsidRPr="00975038">
        <w:rPr>
          <w:rFonts w:hint="cs"/>
          <w:sz w:val="18"/>
          <w:szCs w:val="26"/>
          <w:rtl/>
        </w:rPr>
        <w:t>.</w:t>
      </w:r>
    </w:p>
  </w:footnote>
  <w:footnote w:id="47">
    <w:p w:rsidR="00916522" w:rsidRPr="00975038" w:rsidRDefault="00916522" w:rsidP="009E76E1">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1353/2005، </w:t>
      </w:r>
      <w:r w:rsidRPr="00975038">
        <w:rPr>
          <w:rFonts w:hint="cs"/>
          <w:i/>
          <w:iCs/>
          <w:sz w:val="18"/>
          <w:szCs w:val="26"/>
          <w:rtl/>
        </w:rPr>
        <w:t>نجارو ضد الكاميرون</w:t>
      </w:r>
      <w:r w:rsidRPr="00975038">
        <w:rPr>
          <w:rFonts w:hint="cs"/>
          <w:sz w:val="18"/>
          <w:szCs w:val="26"/>
          <w:rtl/>
        </w:rPr>
        <w:t xml:space="preserve">، والملاحظات الختامية المتعلقة بنيكاراغوا </w:t>
      </w:r>
      <w:r w:rsidRPr="00975038">
        <w:rPr>
          <w:sz w:val="18"/>
          <w:szCs w:val="26"/>
        </w:rPr>
        <w:t>(CCPR/C/NIC/CO/3)</w:t>
      </w:r>
      <w:r>
        <w:rPr>
          <w:rFonts w:hint="cs"/>
          <w:sz w:val="18"/>
          <w:szCs w:val="26"/>
          <w:rtl/>
        </w:rPr>
        <w:t>؛</w:t>
      </w:r>
      <w:r w:rsidRPr="00975038">
        <w:rPr>
          <w:rFonts w:hint="cs"/>
          <w:sz w:val="18"/>
          <w:szCs w:val="26"/>
          <w:rtl/>
        </w:rPr>
        <w:t xml:space="preserve"> والملاحظات الختامية المتعلقة بتونس </w:t>
      </w:r>
      <w:r w:rsidRPr="00975038">
        <w:rPr>
          <w:sz w:val="18"/>
          <w:szCs w:val="26"/>
        </w:rPr>
        <w:t>(CCPR/C/TUN/CO/5)</w:t>
      </w:r>
      <w:r>
        <w:rPr>
          <w:rFonts w:hint="cs"/>
          <w:sz w:val="18"/>
          <w:szCs w:val="26"/>
          <w:rtl/>
        </w:rPr>
        <w:t>؛</w:t>
      </w:r>
      <w:r w:rsidRPr="00975038">
        <w:rPr>
          <w:rFonts w:hint="cs"/>
          <w:sz w:val="18"/>
          <w:szCs w:val="26"/>
          <w:rtl/>
        </w:rPr>
        <w:t xml:space="preserve"> والملاحظات الختامية المتعلقة بالجمهورية العربية السورية </w:t>
      </w:r>
      <w:r w:rsidRPr="00975038">
        <w:rPr>
          <w:sz w:val="18"/>
          <w:szCs w:val="26"/>
        </w:rPr>
        <w:t>(CCPR/CO/84/SYR)</w:t>
      </w:r>
      <w:r>
        <w:rPr>
          <w:rFonts w:hint="cs"/>
          <w:sz w:val="18"/>
          <w:szCs w:val="26"/>
          <w:rtl/>
        </w:rPr>
        <w:t>؛</w:t>
      </w:r>
      <w:r w:rsidRPr="00975038">
        <w:rPr>
          <w:rFonts w:hint="cs"/>
          <w:sz w:val="18"/>
          <w:szCs w:val="26"/>
          <w:rtl/>
        </w:rPr>
        <w:t xml:space="preserve"> والملاحظات الختامية المتعلقة بكولومبيا </w:t>
      </w:r>
      <w:r w:rsidRPr="00975038">
        <w:rPr>
          <w:sz w:val="18"/>
          <w:szCs w:val="26"/>
        </w:rPr>
        <w:t>(CCPR/CO/80/COL)</w:t>
      </w:r>
      <w:r w:rsidRPr="00975038">
        <w:rPr>
          <w:rFonts w:hint="cs"/>
          <w:sz w:val="18"/>
          <w:szCs w:val="26"/>
          <w:rtl/>
        </w:rPr>
        <w:t>.</w:t>
      </w:r>
    </w:p>
  </w:footnote>
  <w:footnote w:id="4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المرجع نفسه، والملاحظات الختامية المتعلقة بجورجيا </w:t>
      </w:r>
      <w:r w:rsidRPr="00975038">
        <w:rPr>
          <w:sz w:val="18"/>
          <w:szCs w:val="26"/>
        </w:rPr>
        <w:t>(CCPR/C/GEO/CO/3)</w:t>
      </w:r>
      <w:r w:rsidRPr="00975038">
        <w:rPr>
          <w:rFonts w:hint="cs"/>
          <w:sz w:val="18"/>
          <w:szCs w:val="26"/>
          <w:rtl/>
        </w:rPr>
        <w:t>.</w:t>
      </w:r>
    </w:p>
  </w:footnote>
  <w:footnote w:id="4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بغيانا </w:t>
      </w:r>
      <w:r w:rsidRPr="00975038">
        <w:rPr>
          <w:sz w:val="18"/>
          <w:szCs w:val="26"/>
        </w:rPr>
        <w:t>(CCPR/C/79/Add.121)</w:t>
      </w:r>
      <w:r w:rsidRPr="00975038">
        <w:rPr>
          <w:rFonts w:hint="cs"/>
          <w:sz w:val="18"/>
          <w:szCs w:val="26"/>
          <w:rtl/>
        </w:rPr>
        <w:t>.</w:t>
      </w:r>
    </w:p>
  </w:footnote>
  <w:footnote w:id="5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633/95 </w:t>
      </w:r>
      <w:r w:rsidRPr="00975038">
        <w:rPr>
          <w:rFonts w:hint="cs"/>
          <w:i/>
          <w:iCs/>
          <w:sz w:val="18"/>
          <w:szCs w:val="26"/>
          <w:rtl/>
        </w:rPr>
        <w:t>غوتييه ضد كندا</w:t>
      </w:r>
      <w:r w:rsidRPr="00975038">
        <w:rPr>
          <w:rFonts w:hint="cs"/>
          <w:sz w:val="18"/>
          <w:szCs w:val="26"/>
          <w:rtl/>
        </w:rPr>
        <w:t>.</w:t>
      </w:r>
    </w:p>
  </w:footnote>
  <w:footnote w:id="5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1373/2005، </w:t>
      </w:r>
      <w:r w:rsidRPr="00975038">
        <w:rPr>
          <w:rFonts w:hint="cs"/>
          <w:i/>
          <w:iCs/>
          <w:sz w:val="18"/>
          <w:szCs w:val="26"/>
          <w:rtl/>
        </w:rPr>
        <w:t>ديساناياكي ضد سري لانكا</w:t>
      </w:r>
      <w:r w:rsidRPr="00975038">
        <w:rPr>
          <w:rFonts w:hint="cs"/>
          <w:sz w:val="18"/>
          <w:szCs w:val="26"/>
          <w:rtl/>
        </w:rPr>
        <w:t>، آراء معتمدة في 22 تموز/يوليه 2008.</w:t>
      </w:r>
    </w:p>
  </w:footnote>
  <w:footnote w:id="5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التعليق العام رقم 32. </w:t>
      </w:r>
    </w:p>
  </w:footnote>
  <w:footnote w:id="5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578/1994، </w:t>
      </w:r>
      <w:r w:rsidRPr="00975038">
        <w:rPr>
          <w:rFonts w:hint="cs"/>
          <w:i/>
          <w:iCs/>
          <w:sz w:val="18"/>
          <w:szCs w:val="26"/>
          <w:rtl/>
        </w:rPr>
        <w:t>غروت ضد هولندا</w:t>
      </w:r>
      <w:r w:rsidRPr="00975038">
        <w:rPr>
          <w:rFonts w:hint="cs"/>
          <w:sz w:val="18"/>
          <w:szCs w:val="26"/>
          <w:rtl/>
        </w:rPr>
        <w:t>، آراء معتمدة في 14 تموز/يوليه 1995.</w:t>
      </w:r>
    </w:p>
  </w:footnote>
  <w:footnote w:id="5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التعليق العام رقم 27.</w:t>
      </w:r>
    </w:p>
  </w:footnote>
  <w:footnote w:id="5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488/1992، </w:t>
      </w:r>
      <w:r w:rsidRPr="00975038">
        <w:rPr>
          <w:rFonts w:hint="cs"/>
          <w:i/>
          <w:iCs/>
          <w:sz w:val="18"/>
          <w:szCs w:val="26"/>
          <w:rtl/>
        </w:rPr>
        <w:t>تونين ضد أستراليا</w:t>
      </w:r>
      <w:r w:rsidRPr="00975038">
        <w:rPr>
          <w:rFonts w:hint="cs"/>
          <w:sz w:val="18"/>
          <w:szCs w:val="26"/>
          <w:rtl/>
        </w:rPr>
        <w:t xml:space="preserve">، آراء معتمدة في 30 آذار/مارس 1994. </w:t>
      </w:r>
    </w:p>
  </w:footnote>
  <w:footnote w:id="56">
    <w:p w:rsidR="00916522" w:rsidRPr="00975038" w:rsidRDefault="00916522" w:rsidP="00FE1545">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رقم 20، </w:t>
      </w:r>
      <w:r w:rsidRPr="00975038">
        <w:rPr>
          <w:rFonts w:hint="cs"/>
          <w:i/>
          <w:iCs/>
          <w:sz w:val="18"/>
          <w:szCs w:val="26"/>
          <w:rtl/>
          <w:lang w:bidi="ar-SY"/>
        </w:rPr>
        <w:t>الوثائق الرسمية للجمعية العامة</w:t>
      </w:r>
      <w:r w:rsidRPr="00975038">
        <w:rPr>
          <w:rFonts w:hint="cs"/>
          <w:sz w:val="18"/>
          <w:szCs w:val="26"/>
          <w:rtl/>
          <w:lang w:bidi="ar-SY"/>
        </w:rPr>
        <w:t xml:space="preserve">، </w:t>
      </w:r>
      <w:r w:rsidRPr="00975038">
        <w:rPr>
          <w:rFonts w:hint="cs"/>
          <w:i/>
          <w:iCs/>
          <w:sz w:val="18"/>
          <w:szCs w:val="26"/>
          <w:rtl/>
          <w:lang w:bidi="ar-SY"/>
        </w:rPr>
        <w:t>الدورة السابعة والأربعون</w:t>
      </w:r>
      <w:r w:rsidRPr="00975038">
        <w:rPr>
          <w:rFonts w:hint="cs"/>
          <w:sz w:val="18"/>
          <w:szCs w:val="26"/>
          <w:rtl/>
          <w:lang w:bidi="ar-SY"/>
        </w:rPr>
        <w:t xml:space="preserve">، </w:t>
      </w:r>
      <w:r w:rsidRPr="00975038">
        <w:rPr>
          <w:rFonts w:hint="cs"/>
          <w:i/>
          <w:iCs/>
          <w:sz w:val="18"/>
          <w:szCs w:val="26"/>
          <w:rtl/>
          <w:lang w:bidi="ar-SY"/>
        </w:rPr>
        <w:t>الملحق رقم 40</w:t>
      </w:r>
      <w:r w:rsidRPr="00975038">
        <w:rPr>
          <w:rFonts w:hint="cs"/>
          <w:sz w:val="18"/>
          <w:szCs w:val="26"/>
          <w:rtl/>
          <w:lang w:bidi="ar-SY"/>
        </w:rPr>
        <w:t>، (</w:t>
      </w:r>
      <w:r w:rsidRPr="00DD27E9">
        <w:rPr>
          <w:rStyle w:val="FootnoteReference"/>
          <w:b w:val="0"/>
          <w:bCs/>
          <w:szCs w:val="26"/>
          <w:vertAlign w:val="baseline"/>
        </w:rPr>
        <w:t>A/4</w:t>
      </w:r>
      <w:r w:rsidRPr="00DD27E9">
        <w:rPr>
          <w:b/>
          <w:bCs/>
          <w:sz w:val="18"/>
          <w:szCs w:val="26"/>
        </w:rPr>
        <w:t>7</w:t>
      </w:r>
      <w:r w:rsidRPr="00DD27E9">
        <w:rPr>
          <w:rStyle w:val="FootnoteReference"/>
          <w:b w:val="0"/>
          <w:bCs/>
          <w:szCs w:val="26"/>
          <w:vertAlign w:val="baseline"/>
        </w:rPr>
        <w:t>/40</w:t>
      </w:r>
      <w:r w:rsidRPr="00975038">
        <w:rPr>
          <w:rFonts w:hint="cs"/>
          <w:b/>
          <w:bCs/>
          <w:sz w:val="18"/>
          <w:szCs w:val="26"/>
          <w:rtl/>
          <w:lang w:bidi="ar-SY"/>
        </w:rPr>
        <w:t>)</w:t>
      </w:r>
      <w:r w:rsidRPr="00975038">
        <w:rPr>
          <w:rFonts w:hint="cs"/>
          <w:b/>
          <w:bCs/>
          <w:sz w:val="18"/>
          <w:szCs w:val="26"/>
          <w:rtl/>
        </w:rPr>
        <w:t>،</w:t>
      </w:r>
      <w:r w:rsidRPr="00975038">
        <w:rPr>
          <w:rFonts w:hint="cs"/>
          <w:sz w:val="18"/>
          <w:szCs w:val="26"/>
          <w:rtl/>
        </w:rPr>
        <w:t xml:space="preserve"> المرفق السادس، الفرع ألف.</w:t>
      </w:r>
    </w:p>
  </w:footnote>
  <w:footnote w:id="5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1553/2007، </w:t>
      </w:r>
      <w:r w:rsidRPr="00975038">
        <w:rPr>
          <w:rFonts w:hint="cs"/>
          <w:i/>
          <w:iCs/>
          <w:sz w:val="18"/>
          <w:szCs w:val="26"/>
          <w:rtl/>
        </w:rPr>
        <w:t>كورنينكو وآخرون ضد بيلاروس</w:t>
      </w:r>
      <w:r w:rsidRPr="00975038">
        <w:rPr>
          <w:rFonts w:hint="cs"/>
          <w:sz w:val="18"/>
          <w:szCs w:val="26"/>
          <w:rtl/>
        </w:rPr>
        <w:t>، آراء معتمدة في 31 تشرين الأول/أكتوبر 2006.</w:t>
      </w:r>
    </w:p>
  </w:footnote>
  <w:footnote w:id="58">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132/1982، </w:t>
      </w:r>
      <w:r w:rsidR="002B343F">
        <w:rPr>
          <w:rFonts w:hint="cs"/>
          <w:i/>
          <w:iCs/>
          <w:sz w:val="18"/>
          <w:szCs w:val="26"/>
          <w:rtl/>
        </w:rPr>
        <w:t xml:space="preserve">جوانا ضد </w:t>
      </w:r>
      <w:r w:rsidR="002B343F" w:rsidRPr="002B343F">
        <w:rPr>
          <w:rFonts w:hint="cs"/>
          <w:sz w:val="18"/>
          <w:szCs w:val="26"/>
          <w:rtl/>
        </w:rPr>
        <w:t>مدغشقر</w:t>
      </w:r>
      <w:r w:rsidR="002B343F">
        <w:rPr>
          <w:rFonts w:hint="cs"/>
          <w:sz w:val="18"/>
          <w:szCs w:val="26"/>
          <w:rtl/>
        </w:rPr>
        <w:t xml:space="preserve">، </w:t>
      </w:r>
      <w:r w:rsidRPr="002B343F">
        <w:rPr>
          <w:rFonts w:hint="cs"/>
          <w:sz w:val="18"/>
          <w:szCs w:val="26"/>
          <w:rtl/>
        </w:rPr>
        <w:t>آراء</w:t>
      </w:r>
      <w:r w:rsidRPr="00975038">
        <w:rPr>
          <w:rFonts w:hint="cs"/>
          <w:sz w:val="18"/>
          <w:szCs w:val="26"/>
          <w:rtl/>
        </w:rPr>
        <w:t xml:space="preserve"> معتمدة في 1 نيسان /أبريل 1985.</w:t>
      </w:r>
    </w:p>
  </w:footnote>
  <w:footnote w:id="59">
    <w:p w:rsidR="00916522" w:rsidRPr="00975038" w:rsidRDefault="00916522" w:rsidP="00FE1545">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927/2000، </w:t>
      </w:r>
      <w:r w:rsidRPr="00975038">
        <w:rPr>
          <w:rFonts w:hint="cs"/>
          <w:i/>
          <w:iCs/>
          <w:sz w:val="18"/>
          <w:szCs w:val="26"/>
          <w:rtl/>
        </w:rPr>
        <w:t>سفيتيك ضد بيلاروس</w:t>
      </w:r>
      <w:r w:rsidRPr="00975038">
        <w:rPr>
          <w:rFonts w:hint="cs"/>
          <w:sz w:val="18"/>
          <w:szCs w:val="26"/>
          <w:rtl/>
        </w:rPr>
        <w:t xml:space="preserve">، آراء معتمدة في </w:t>
      </w:r>
      <w:r w:rsidR="00FE1545">
        <w:rPr>
          <w:rFonts w:hint="cs"/>
          <w:sz w:val="18"/>
          <w:szCs w:val="26"/>
          <w:rtl/>
        </w:rPr>
        <w:t>8</w:t>
      </w:r>
      <w:r w:rsidRPr="00975038">
        <w:rPr>
          <w:rFonts w:hint="cs"/>
          <w:sz w:val="18"/>
          <w:szCs w:val="26"/>
          <w:rtl/>
        </w:rPr>
        <w:t xml:space="preserve"> تموز/يوليه 2004.  </w:t>
      </w:r>
    </w:p>
  </w:footnote>
  <w:footnote w:id="6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6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736/97، </w:t>
      </w:r>
      <w:r w:rsidRPr="00975038">
        <w:rPr>
          <w:rFonts w:hint="cs"/>
          <w:i/>
          <w:iCs/>
          <w:sz w:val="18"/>
          <w:szCs w:val="26"/>
          <w:rtl/>
        </w:rPr>
        <w:t>روس ضد كندا</w:t>
      </w:r>
      <w:r w:rsidRPr="00975038">
        <w:rPr>
          <w:rFonts w:hint="cs"/>
          <w:sz w:val="18"/>
          <w:szCs w:val="26"/>
          <w:rtl/>
        </w:rPr>
        <w:t>، آراء معتمدة في 18 تشرين الأول/أكتوبر 2000.</w:t>
      </w:r>
      <w:r w:rsidRPr="00975038">
        <w:rPr>
          <w:rFonts w:hint="cs"/>
          <w:sz w:val="18"/>
          <w:szCs w:val="26"/>
          <w:rtl/>
          <w:lang w:bidi="ar-SY"/>
        </w:rPr>
        <w:t xml:space="preserve"> </w:t>
      </w:r>
    </w:p>
  </w:footnote>
  <w:footnote w:id="6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550/93 ، </w:t>
      </w:r>
      <w:r w:rsidRPr="00975038">
        <w:rPr>
          <w:rFonts w:hint="cs"/>
          <w:i/>
          <w:iCs/>
          <w:sz w:val="18"/>
          <w:szCs w:val="26"/>
          <w:rtl/>
        </w:rPr>
        <w:t>فوريسون ضد فرنسا</w:t>
      </w:r>
      <w:r w:rsidRPr="00975038">
        <w:rPr>
          <w:rFonts w:hint="cs"/>
          <w:sz w:val="18"/>
          <w:szCs w:val="26"/>
          <w:rtl/>
        </w:rPr>
        <w:t xml:space="preserve">، والملاحظات الختامية المتعلقة بالنمسا </w:t>
      </w:r>
      <w:r w:rsidRPr="00975038">
        <w:rPr>
          <w:sz w:val="18"/>
          <w:szCs w:val="26"/>
        </w:rPr>
        <w:t>(CCPR/C/AUT/CO/4)</w:t>
      </w:r>
      <w:r w:rsidRPr="00975038">
        <w:rPr>
          <w:rFonts w:hint="cs"/>
          <w:sz w:val="18"/>
          <w:szCs w:val="26"/>
          <w:rtl/>
        </w:rPr>
        <w:t>.</w:t>
      </w:r>
    </w:p>
  </w:footnote>
  <w:footnote w:id="63">
    <w:p w:rsidR="00916522" w:rsidRPr="00975038" w:rsidRDefault="00916522" w:rsidP="00F723A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بسلوفاكيا </w:t>
      </w:r>
      <w:r w:rsidRPr="00975038">
        <w:rPr>
          <w:sz w:val="18"/>
          <w:szCs w:val="26"/>
        </w:rPr>
        <w:t>(CCPR/CO/78/SVK)</w:t>
      </w:r>
      <w:r>
        <w:rPr>
          <w:rFonts w:hint="cs"/>
          <w:sz w:val="18"/>
          <w:szCs w:val="26"/>
          <w:rtl/>
        </w:rPr>
        <w:t>؛</w:t>
      </w:r>
      <w:r w:rsidRPr="00975038">
        <w:rPr>
          <w:rFonts w:hint="cs"/>
          <w:sz w:val="18"/>
          <w:szCs w:val="26"/>
          <w:rtl/>
        </w:rPr>
        <w:t xml:space="preserve"> والملاحظات الختامية المتعلقة بإسرائيل </w:t>
      </w:r>
      <w:r w:rsidRPr="00975038">
        <w:rPr>
          <w:sz w:val="18"/>
          <w:szCs w:val="26"/>
        </w:rPr>
        <w:t>(CCPR/CO/78/ISR)</w:t>
      </w:r>
      <w:r w:rsidRPr="00975038">
        <w:rPr>
          <w:rFonts w:hint="cs"/>
          <w:sz w:val="18"/>
          <w:szCs w:val="26"/>
          <w:rtl/>
        </w:rPr>
        <w:t>.</w:t>
      </w:r>
    </w:p>
  </w:footnote>
  <w:footnote w:id="6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بهونغ كونغ </w:t>
      </w:r>
      <w:r w:rsidRPr="00975038">
        <w:rPr>
          <w:sz w:val="18"/>
          <w:szCs w:val="26"/>
        </w:rPr>
        <w:t>(CCPR/C/HKG/CO/2)</w:t>
      </w:r>
      <w:r w:rsidRPr="00975038">
        <w:rPr>
          <w:rFonts w:hint="cs"/>
          <w:sz w:val="18"/>
          <w:szCs w:val="26"/>
          <w:rtl/>
        </w:rPr>
        <w:t>.</w:t>
      </w:r>
    </w:p>
  </w:footnote>
  <w:footnote w:id="6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بالاتحاد الروسي </w:t>
      </w:r>
      <w:r w:rsidRPr="00975038">
        <w:rPr>
          <w:sz w:val="18"/>
          <w:szCs w:val="26"/>
        </w:rPr>
        <w:t>(CCPR/CO/79/RUS)</w:t>
      </w:r>
      <w:r w:rsidRPr="00975038">
        <w:rPr>
          <w:rFonts w:hint="cs"/>
          <w:sz w:val="18"/>
          <w:szCs w:val="26"/>
          <w:rtl/>
        </w:rPr>
        <w:t>.</w:t>
      </w:r>
    </w:p>
  </w:footnote>
  <w:footnote w:id="6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بأوزبكستان </w:t>
      </w:r>
      <w:r w:rsidRPr="00975038">
        <w:rPr>
          <w:sz w:val="18"/>
          <w:szCs w:val="26"/>
        </w:rPr>
        <w:t>(CCPR/CO/71/UZB)</w:t>
      </w:r>
      <w:r w:rsidRPr="00975038">
        <w:rPr>
          <w:rFonts w:hint="cs"/>
          <w:sz w:val="18"/>
          <w:szCs w:val="26"/>
          <w:rtl/>
        </w:rPr>
        <w:t>.</w:t>
      </w:r>
    </w:p>
  </w:footnote>
  <w:footnote w:id="6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518/1992، </w:t>
      </w:r>
      <w:r w:rsidRPr="00975038">
        <w:rPr>
          <w:rFonts w:hint="cs"/>
          <w:i/>
          <w:iCs/>
          <w:sz w:val="18"/>
          <w:szCs w:val="26"/>
          <w:rtl/>
        </w:rPr>
        <w:t>سون ضد جمهورية كوريا</w:t>
      </w:r>
      <w:r w:rsidRPr="00975038">
        <w:rPr>
          <w:rFonts w:hint="cs"/>
          <w:sz w:val="18"/>
          <w:szCs w:val="26"/>
          <w:rtl/>
        </w:rPr>
        <w:t>، آراء معتمدة في 18 آذار/مارس 1994.</w:t>
      </w:r>
    </w:p>
  </w:footnote>
  <w:footnote w:id="6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1157/2003، </w:t>
      </w:r>
      <w:r w:rsidRPr="00975038">
        <w:rPr>
          <w:rFonts w:hint="cs"/>
          <w:i/>
          <w:iCs/>
          <w:sz w:val="18"/>
          <w:szCs w:val="26"/>
          <w:rtl/>
        </w:rPr>
        <w:t>كولم</w:t>
      </w:r>
      <w:r w:rsidR="002B343F">
        <w:rPr>
          <w:rFonts w:hint="cs"/>
          <w:i/>
          <w:iCs/>
          <w:sz w:val="18"/>
          <w:szCs w:val="26"/>
          <w:rtl/>
        </w:rPr>
        <w:t>ا</w:t>
      </w:r>
      <w:r w:rsidRPr="00975038">
        <w:rPr>
          <w:rFonts w:hint="cs"/>
          <w:i/>
          <w:iCs/>
          <w:sz w:val="18"/>
          <w:szCs w:val="26"/>
          <w:rtl/>
        </w:rPr>
        <w:t>ن ضد أستراليا</w:t>
      </w:r>
      <w:r w:rsidRPr="00975038">
        <w:rPr>
          <w:rFonts w:hint="cs"/>
          <w:sz w:val="18"/>
          <w:szCs w:val="26"/>
          <w:rtl/>
        </w:rPr>
        <w:t>.</w:t>
      </w:r>
    </w:p>
  </w:footnote>
  <w:footnote w:id="6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1373/2005، ، </w:t>
      </w:r>
      <w:r w:rsidRPr="00975038">
        <w:rPr>
          <w:rFonts w:hint="cs"/>
          <w:i/>
          <w:iCs/>
          <w:sz w:val="18"/>
          <w:szCs w:val="26"/>
          <w:rtl/>
        </w:rPr>
        <w:t>ديساناياكي ضد سري لانكا</w:t>
      </w:r>
      <w:r w:rsidRPr="00975038">
        <w:rPr>
          <w:rFonts w:hint="cs"/>
          <w:sz w:val="18"/>
          <w:szCs w:val="26"/>
          <w:rtl/>
        </w:rPr>
        <w:t>.</w:t>
      </w:r>
    </w:p>
  </w:footnote>
  <w:footnote w:id="70">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البلاغ</w:t>
      </w:r>
      <w:r w:rsidR="002B343F">
        <w:rPr>
          <w:rFonts w:hint="cs"/>
          <w:sz w:val="18"/>
          <w:szCs w:val="26"/>
          <w:rtl/>
        </w:rPr>
        <w:t>ين</w:t>
      </w:r>
      <w:r w:rsidRPr="00975038">
        <w:rPr>
          <w:rFonts w:hint="cs"/>
          <w:sz w:val="18"/>
          <w:szCs w:val="26"/>
          <w:rtl/>
        </w:rPr>
        <w:t xml:space="preserve"> رقم 359 و</w:t>
      </w:r>
      <w:r w:rsidR="002B343F">
        <w:rPr>
          <w:rFonts w:hint="cs"/>
          <w:sz w:val="18"/>
          <w:szCs w:val="26"/>
          <w:rtl/>
        </w:rPr>
        <w:t xml:space="preserve">رقم </w:t>
      </w:r>
      <w:r w:rsidRPr="00975038">
        <w:rPr>
          <w:rFonts w:hint="cs"/>
          <w:sz w:val="18"/>
          <w:szCs w:val="26"/>
          <w:rtl/>
        </w:rPr>
        <w:t xml:space="preserve">385/89، </w:t>
      </w:r>
      <w:r w:rsidRPr="00975038">
        <w:rPr>
          <w:rFonts w:hint="cs"/>
          <w:i/>
          <w:iCs/>
          <w:sz w:val="18"/>
          <w:szCs w:val="26"/>
          <w:rtl/>
        </w:rPr>
        <w:t>بالنتاين وديفيدسون وماكنتاير ضد كندا</w:t>
      </w:r>
      <w:r w:rsidRPr="00975038">
        <w:rPr>
          <w:rFonts w:hint="cs"/>
          <w:sz w:val="18"/>
          <w:szCs w:val="26"/>
          <w:rtl/>
        </w:rPr>
        <w:t xml:space="preserve">. </w:t>
      </w:r>
    </w:p>
  </w:footnote>
  <w:footnote w:id="7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736/97، </w:t>
      </w:r>
      <w:r w:rsidRPr="0084331E">
        <w:rPr>
          <w:rFonts w:hint="cs"/>
          <w:i/>
          <w:iCs/>
          <w:sz w:val="18"/>
          <w:szCs w:val="26"/>
          <w:rtl/>
        </w:rPr>
        <w:t>روس ضد كندا</w:t>
      </w:r>
      <w:r w:rsidRPr="00975038">
        <w:rPr>
          <w:rFonts w:hint="cs"/>
          <w:sz w:val="18"/>
          <w:szCs w:val="26"/>
          <w:rtl/>
        </w:rPr>
        <w:t>، الآراء المعتمدة في 17 تموز/يوليه 2006.</w:t>
      </w:r>
    </w:p>
  </w:footnote>
  <w:footnote w:id="7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التعليق العام رقم 27، الفقرة 14. انظر أيضاً البلاغ رقم 1128/2002، </w:t>
      </w:r>
      <w:r w:rsidRPr="00975038">
        <w:rPr>
          <w:rFonts w:hint="cs"/>
          <w:i/>
          <w:iCs/>
          <w:sz w:val="18"/>
          <w:szCs w:val="26"/>
          <w:rtl/>
        </w:rPr>
        <w:t>ماركيس ضد أنغولا</w:t>
      </w:r>
      <w:r w:rsidRPr="00975038">
        <w:rPr>
          <w:rFonts w:hint="cs"/>
          <w:sz w:val="18"/>
          <w:szCs w:val="26"/>
          <w:rtl/>
        </w:rPr>
        <w:t xml:space="preserve">، والبلاغ رقم 1157/2003 </w:t>
      </w:r>
      <w:r w:rsidRPr="00975038">
        <w:rPr>
          <w:rFonts w:hint="cs"/>
          <w:i/>
          <w:iCs/>
          <w:sz w:val="18"/>
          <w:szCs w:val="26"/>
          <w:rtl/>
        </w:rPr>
        <w:t>كولم</w:t>
      </w:r>
      <w:r w:rsidR="002B343F">
        <w:rPr>
          <w:rFonts w:hint="cs"/>
          <w:i/>
          <w:iCs/>
          <w:sz w:val="18"/>
          <w:szCs w:val="26"/>
          <w:rtl/>
        </w:rPr>
        <w:t>ا</w:t>
      </w:r>
      <w:r w:rsidRPr="00975038">
        <w:rPr>
          <w:rFonts w:hint="cs"/>
          <w:i/>
          <w:iCs/>
          <w:sz w:val="18"/>
          <w:szCs w:val="26"/>
          <w:rtl/>
        </w:rPr>
        <w:t>ن ضد أستراليا</w:t>
      </w:r>
      <w:r w:rsidRPr="00975038">
        <w:rPr>
          <w:rFonts w:hint="cs"/>
          <w:sz w:val="18"/>
          <w:szCs w:val="26"/>
          <w:rtl/>
        </w:rPr>
        <w:t>.</w:t>
      </w:r>
    </w:p>
  </w:footnote>
  <w:footnote w:id="7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1180/2003، </w:t>
      </w:r>
      <w:r w:rsidRPr="00975038">
        <w:rPr>
          <w:rFonts w:hint="cs"/>
          <w:i/>
          <w:iCs/>
          <w:sz w:val="18"/>
          <w:szCs w:val="26"/>
          <w:rtl/>
        </w:rPr>
        <w:t>بودروزيتش ضد صربيا والجبل الأسود</w:t>
      </w:r>
      <w:r w:rsidRPr="00975038">
        <w:rPr>
          <w:rFonts w:hint="cs"/>
          <w:sz w:val="18"/>
          <w:szCs w:val="26"/>
          <w:rtl/>
        </w:rPr>
        <w:t>، الآراء المعتمدة في 31 تشرين الأول/أكتوبر 2005.</w:t>
      </w:r>
    </w:p>
  </w:footnote>
  <w:footnote w:id="74">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926/2000، </w:t>
      </w:r>
      <w:r w:rsidRPr="00975038">
        <w:rPr>
          <w:rFonts w:hint="cs"/>
          <w:i/>
          <w:iCs/>
          <w:sz w:val="18"/>
          <w:szCs w:val="26"/>
          <w:rtl/>
        </w:rPr>
        <w:t>شن ضد جمهورية كوريا</w:t>
      </w:r>
      <w:r w:rsidRPr="00975038">
        <w:rPr>
          <w:rFonts w:hint="cs"/>
          <w:sz w:val="18"/>
          <w:szCs w:val="26"/>
          <w:rtl/>
        </w:rPr>
        <w:t>.</w:t>
      </w:r>
    </w:p>
  </w:footnote>
  <w:footnote w:id="7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518/1992، </w:t>
      </w:r>
      <w:r w:rsidRPr="00975038">
        <w:rPr>
          <w:rFonts w:hint="cs"/>
          <w:i/>
          <w:iCs/>
          <w:sz w:val="18"/>
          <w:szCs w:val="26"/>
          <w:rtl/>
        </w:rPr>
        <w:t>سون ضد جمهورية كوريا</w:t>
      </w:r>
      <w:r w:rsidRPr="00975038">
        <w:rPr>
          <w:rFonts w:hint="cs"/>
          <w:sz w:val="18"/>
          <w:szCs w:val="26"/>
          <w:rtl/>
        </w:rPr>
        <w:t xml:space="preserve">. </w:t>
      </w:r>
    </w:p>
  </w:footnote>
  <w:footnote w:id="76">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511/1992، </w:t>
      </w:r>
      <w:r w:rsidR="002B343F">
        <w:rPr>
          <w:rFonts w:hint="cs"/>
          <w:i/>
          <w:iCs/>
          <w:sz w:val="18"/>
          <w:szCs w:val="26"/>
          <w:rtl/>
        </w:rPr>
        <w:t xml:space="preserve">اليماري لانسمان وآخرون ضد </w:t>
      </w:r>
      <w:r w:rsidR="002B343F" w:rsidRPr="002B343F">
        <w:rPr>
          <w:rFonts w:hint="cs"/>
          <w:i/>
          <w:iCs/>
          <w:sz w:val="18"/>
          <w:szCs w:val="26"/>
          <w:rtl/>
        </w:rPr>
        <w:t>فنلندا</w:t>
      </w:r>
      <w:r w:rsidR="002B343F">
        <w:rPr>
          <w:rFonts w:hint="cs"/>
          <w:sz w:val="18"/>
          <w:szCs w:val="26"/>
          <w:rtl/>
        </w:rPr>
        <w:t xml:space="preserve">، </w:t>
      </w:r>
      <w:r w:rsidRPr="002B343F">
        <w:rPr>
          <w:rFonts w:hint="cs"/>
          <w:sz w:val="18"/>
          <w:szCs w:val="26"/>
          <w:rtl/>
        </w:rPr>
        <w:t>الآراء</w:t>
      </w:r>
      <w:r w:rsidRPr="00975038">
        <w:rPr>
          <w:rFonts w:hint="cs"/>
          <w:sz w:val="18"/>
          <w:szCs w:val="26"/>
          <w:rtl/>
        </w:rPr>
        <w:t xml:space="preserve"> المعتمدة في 14 تشرين الأول/أكتوبر 1993.</w:t>
      </w:r>
    </w:p>
  </w:footnote>
  <w:footnote w:id="77">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البلاغين رقم 518/92، </w:t>
      </w:r>
      <w:r w:rsidRPr="00975038">
        <w:rPr>
          <w:rFonts w:hint="cs"/>
          <w:i/>
          <w:iCs/>
          <w:sz w:val="18"/>
          <w:szCs w:val="26"/>
          <w:rtl/>
        </w:rPr>
        <w:t>سون ضد جمهورية كوريا</w:t>
      </w:r>
      <w:r w:rsidRPr="00975038">
        <w:rPr>
          <w:rFonts w:hint="cs"/>
          <w:sz w:val="18"/>
          <w:szCs w:val="26"/>
          <w:rtl/>
        </w:rPr>
        <w:t xml:space="preserve">، ورقم 926/2000، </w:t>
      </w:r>
      <w:r w:rsidRPr="00975038">
        <w:rPr>
          <w:rFonts w:hint="cs"/>
          <w:i/>
          <w:iCs/>
          <w:sz w:val="18"/>
          <w:szCs w:val="26"/>
          <w:rtl/>
        </w:rPr>
        <w:t>شن ضد جمهورية كوريا</w:t>
      </w:r>
      <w:r w:rsidRPr="00975038">
        <w:rPr>
          <w:rFonts w:hint="cs"/>
          <w:sz w:val="18"/>
          <w:szCs w:val="26"/>
          <w:rtl/>
        </w:rPr>
        <w:t xml:space="preserve">. </w:t>
      </w:r>
    </w:p>
  </w:footnote>
  <w:footnote w:id="7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باليابان </w:t>
      </w:r>
      <w:r w:rsidRPr="00975038">
        <w:rPr>
          <w:sz w:val="18"/>
          <w:szCs w:val="26"/>
        </w:rPr>
        <w:t>(CCPR/C/JPN/CO/5)</w:t>
      </w:r>
      <w:r w:rsidRPr="00975038">
        <w:rPr>
          <w:rFonts w:hint="cs"/>
          <w:sz w:val="18"/>
          <w:szCs w:val="26"/>
          <w:rtl/>
        </w:rPr>
        <w:t>.</w:t>
      </w:r>
    </w:p>
  </w:footnote>
  <w:footnote w:id="7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8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بتونس </w:t>
      </w:r>
      <w:r w:rsidRPr="00975038">
        <w:rPr>
          <w:sz w:val="18"/>
          <w:szCs w:val="26"/>
        </w:rPr>
        <w:t>(CCPR/C/TUN/CO/5)</w:t>
      </w:r>
      <w:r w:rsidRPr="00975038">
        <w:rPr>
          <w:rFonts w:hint="cs"/>
          <w:sz w:val="18"/>
          <w:szCs w:val="26"/>
          <w:rtl/>
        </w:rPr>
        <w:t>.</w:t>
      </w:r>
    </w:p>
  </w:footnote>
  <w:footnote w:id="81">
    <w:p w:rsidR="00916522" w:rsidRPr="00975038" w:rsidRDefault="00916522" w:rsidP="006C6DC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بتوغو </w:t>
      </w:r>
      <w:r w:rsidRPr="00975038">
        <w:rPr>
          <w:sz w:val="18"/>
          <w:szCs w:val="26"/>
        </w:rPr>
        <w:t>(CCPR/CO/76/TGO)</w:t>
      </w:r>
      <w:r>
        <w:rPr>
          <w:rFonts w:hint="cs"/>
          <w:sz w:val="18"/>
          <w:szCs w:val="26"/>
          <w:rtl/>
        </w:rPr>
        <w:t>؛</w:t>
      </w:r>
      <w:r w:rsidRPr="00975038">
        <w:rPr>
          <w:rFonts w:hint="cs"/>
          <w:sz w:val="18"/>
          <w:szCs w:val="26"/>
          <w:rtl/>
        </w:rPr>
        <w:t xml:space="preserve"> والملاحظات الختامية المتعلقة بمولدوفا </w:t>
      </w:r>
      <w:r w:rsidRPr="00975038">
        <w:rPr>
          <w:sz w:val="18"/>
          <w:szCs w:val="26"/>
        </w:rPr>
        <w:t>(CCPR/CO/75/MDA)</w:t>
      </w:r>
      <w:r w:rsidRPr="00975038">
        <w:rPr>
          <w:rFonts w:hint="cs"/>
          <w:sz w:val="18"/>
          <w:szCs w:val="26"/>
          <w:rtl/>
        </w:rPr>
        <w:t>.</w:t>
      </w:r>
    </w:p>
  </w:footnote>
  <w:footnote w:id="8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968/2001، </w:t>
      </w:r>
      <w:r w:rsidRPr="00975038">
        <w:rPr>
          <w:rFonts w:hint="cs"/>
          <w:i/>
          <w:iCs/>
          <w:sz w:val="18"/>
          <w:szCs w:val="26"/>
          <w:rtl/>
        </w:rPr>
        <w:t>كيم ضد جمهورية كوريا</w:t>
      </w:r>
      <w:r w:rsidRPr="00975038">
        <w:rPr>
          <w:rFonts w:hint="cs"/>
          <w:sz w:val="18"/>
          <w:szCs w:val="26"/>
          <w:rtl/>
        </w:rPr>
        <w:t>، الآراء المعتمدة في 14 آذار/مارس 1996.</w:t>
      </w:r>
    </w:p>
  </w:footnote>
  <w:footnote w:id="8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1180/2003، </w:t>
      </w:r>
      <w:r w:rsidRPr="00975038">
        <w:rPr>
          <w:rFonts w:hint="cs"/>
          <w:i/>
          <w:iCs/>
          <w:sz w:val="18"/>
          <w:szCs w:val="26"/>
          <w:rtl/>
        </w:rPr>
        <w:t>بودروزيتش ضد صربيا والجبل الأسود</w:t>
      </w:r>
      <w:r w:rsidRPr="00975038">
        <w:rPr>
          <w:rFonts w:hint="cs"/>
          <w:sz w:val="18"/>
          <w:szCs w:val="26"/>
          <w:rtl/>
        </w:rPr>
        <w:t>، الآراء المعتمدة في 31 تشرين الأول/أكتوبر 2005.</w:t>
      </w:r>
    </w:p>
  </w:footnote>
  <w:footnote w:id="8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8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1128/2002، </w:t>
      </w:r>
      <w:r w:rsidRPr="00975038">
        <w:rPr>
          <w:rFonts w:hint="cs"/>
          <w:i/>
          <w:iCs/>
          <w:sz w:val="18"/>
          <w:szCs w:val="26"/>
          <w:rtl/>
        </w:rPr>
        <w:t>ماركيس ضد أنغولا</w:t>
      </w:r>
      <w:r w:rsidRPr="00975038">
        <w:rPr>
          <w:rFonts w:hint="cs"/>
          <w:sz w:val="18"/>
          <w:szCs w:val="26"/>
          <w:rtl/>
        </w:rPr>
        <w:t xml:space="preserve">.  </w:t>
      </w:r>
    </w:p>
  </w:footnote>
  <w:footnote w:id="86">
    <w:p w:rsidR="00916522" w:rsidRPr="00975038" w:rsidRDefault="00916522" w:rsidP="002B343F">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انظر البلاغات رقم 422</w:t>
      </w:r>
      <w:r w:rsidR="002B343F">
        <w:rPr>
          <w:rFonts w:hint="cs"/>
          <w:sz w:val="18"/>
          <w:szCs w:val="26"/>
          <w:rtl/>
        </w:rPr>
        <w:t xml:space="preserve"> إلى </w:t>
      </w:r>
      <w:r w:rsidRPr="00975038">
        <w:rPr>
          <w:rFonts w:hint="cs"/>
          <w:sz w:val="18"/>
          <w:szCs w:val="26"/>
          <w:rtl/>
        </w:rPr>
        <w:t xml:space="preserve">424/1990، </w:t>
      </w:r>
      <w:r w:rsidRPr="00975038">
        <w:rPr>
          <w:rFonts w:hint="cs"/>
          <w:i/>
          <w:iCs/>
          <w:sz w:val="18"/>
          <w:szCs w:val="26"/>
          <w:rtl/>
        </w:rPr>
        <w:t>آدوايوم وآخرون ضد توغو</w:t>
      </w:r>
      <w:r w:rsidRPr="00975038">
        <w:rPr>
          <w:rFonts w:hint="cs"/>
          <w:sz w:val="18"/>
          <w:szCs w:val="26"/>
          <w:rtl/>
        </w:rPr>
        <w:t>، آراء معتمدة في 30 حزيران/يونيه 1994.</w:t>
      </w:r>
    </w:p>
  </w:footnote>
  <w:footnote w:id="8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بالجمهورية الدومينيكية </w:t>
      </w:r>
      <w:r w:rsidRPr="00975038">
        <w:rPr>
          <w:sz w:val="18"/>
          <w:szCs w:val="26"/>
        </w:rPr>
        <w:t>(CCPR/CO/71/DOM)</w:t>
      </w:r>
      <w:r w:rsidRPr="00975038">
        <w:rPr>
          <w:rFonts w:hint="cs"/>
          <w:sz w:val="18"/>
          <w:szCs w:val="26"/>
          <w:rtl/>
        </w:rPr>
        <w:t>.</w:t>
      </w:r>
    </w:p>
  </w:footnote>
  <w:footnote w:id="8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بهندوراس </w:t>
      </w:r>
      <w:r w:rsidRPr="00975038">
        <w:rPr>
          <w:sz w:val="18"/>
          <w:szCs w:val="26"/>
        </w:rPr>
        <w:t>(CCPR/C/HND/CO/1)</w:t>
      </w:r>
      <w:r w:rsidRPr="00975038">
        <w:rPr>
          <w:rFonts w:hint="cs"/>
          <w:sz w:val="18"/>
          <w:szCs w:val="26"/>
          <w:rtl/>
        </w:rPr>
        <w:t>.</w:t>
      </w:r>
    </w:p>
  </w:footnote>
  <w:footnote w:id="8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بزامبيا </w:t>
      </w:r>
      <w:r w:rsidRPr="00975038">
        <w:rPr>
          <w:sz w:val="18"/>
          <w:szCs w:val="26"/>
        </w:rPr>
        <w:t>(CCPR/ZMB/CO/3)</w:t>
      </w:r>
      <w:r w:rsidRPr="00975038">
        <w:rPr>
          <w:rFonts w:hint="cs"/>
          <w:sz w:val="18"/>
          <w:szCs w:val="26"/>
          <w:rtl/>
        </w:rPr>
        <w:t>، الفقرة 25.</w:t>
      </w:r>
    </w:p>
  </w:footnote>
  <w:footnote w:id="9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بكوستاريكا </w:t>
      </w:r>
      <w:r w:rsidRPr="00975038">
        <w:rPr>
          <w:sz w:val="18"/>
          <w:szCs w:val="26"/>
        </w:rPr>
        <w:t>(CCPR/C/CRI/CO/5)</w:t>
      </w:r>
      <w:r w:rsidRPr="00975038">
        <w:rPr>
          <w:rFonts w:hint="cs"/>
          <w:sz w:val="18"/>
          <w:szCs w:val="26"/>
          <w:rtl/>
        </w:rPr>
        <w:t xml:space="preserve">، الفقرة 11. </w:t>
      </w:r>
    </w:p>
  </w:footnote>
  <w:footnote w:id="91">
    <w:p w:rsidR="00916522" w:rsidRPr="00975038" w:rsidRDefault="00916522" w:rsidP="006C6DC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المرجع نفسه، وانظر الملاحظات الختامية المتعلقة بتونس </w:t>
      </w:r>
      <w:r w:rsidRPr="00975038">
        <w:rPr>
          <w:sz w:val="18"/>
          <w:szCs w:val="26"/>
        </w:rPr>
        <w:t>(CCPR/C/TUN/CO/5)</w:t>
      </w:r>
      <w:r w:rsidRPr="00975038">
        <w:rPr>
          <w:rFonts w:hint="cs"/>
          <w:sz w:val="18"/>
          <w:szCs w:val="26"/>
          <w:rtl/>
        </w:rPr>
        <w:t>، الفقرة 91.</w:t>
      </w:r>
    </w:p>
  </w:footnote>
  <w:footnote w:id="92">
    <w:p w:rsidR="00916522" w:rsidRPr="00975038" w:rsidRDefault="00916522" w:rsidP="006C6DC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بفييت نام </w:t>
      </w:r>
      <w:r w:rsidRPr="00975038">
        <w:rPr>
          <w:sz w:val="18"/>
          <w:szCs w:val="26"/>
        </w:rPr>
        <w:t>(CCPR/CO/75/VNM)</w:t>
      </w:r>
      <w:r>
        <w:rPr>
          <w:rFonts w:hint="cs"/>
          <w:sz w:val="18"/>
          <w:szCs w:val="26"/>
          <w:rtl/>
        </w:rPr>
        <w:t>؛</w:t>
      </w:r>
      <w:r w:rsidRPr="00975038">
        <w:rPr>
          <w:rFonts w:hint="cs"/>
          <w:sz w:val="18"/>
          <w:szCs w:val="26"/>
          <w:rtl/>
        </w:rPr>
        <w:t xml:space="preserve"> الفقرة 18 والملاحظات الختامية المتعلقة بليسوتو </w:t>
      </w:r>
      <w:r w:rsidRPr="00975038">
        <w:rPr>
          <w:sz w:val="18"/>
          <w:szCs w:val="26"/>
        </w:rPr>
        <w:t>(CCPR/CO/79/Add.106)</w:t>
      </w:r>
      <w:r w:rsidRPr="00975038">
        <w:rPr>
          <w:rFonts w:hint="cs"/>
          <w:sz w:val="18"/>
          <w:szCs w:val="26"/>
          <w:rtl/>
        </w:rPr>
        <w:t>، الفقرة 23.</w:t>
      </w:r>
    </w:p>
  </w:footnote>
  <w:footnote w:id="9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بغامبيا </w:t>
      </w:r>
      <w:r w:rsidRPr="00975038">
        <w:rPr>
          <w:sz w:val="18"/>
          <w:szCs w:val="26"/>
        </w:rPr>
        <w:t>(CCPR/CO/75/GMB)</w:t>
      </w:r>
      <w:r w:rsidRPr="00975038">
        <w:rPr>
          <w:rFonts w:hint="cs"/>
          <w:sz w:val="18"/>
          <w:szCs w:val="26"/>
          <w:rtl/>
        </w:rPr>
        <w:t>.</w:t>
      </w:r>
    </w:p>
  </w:footnote>
  <w:footnote w:id="9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بلبنان </w:t>
      </w:r>
      <w:r w:rsidRPr="00975038">
        <w:rPr>
          <w:sz w:val="18"/>
          <w:szCs w:val="26"/>
        </w:rPr>
        <w:t>(CCPR/CO/79/Add.78)</w:t>
      </w:r>
      <w:r w:rsidRPr="00975038">
        <w:rPr>
          <w:rFonts w:hint="cs"/>
          <w:sz w:val="18"/>
          <w:szCs w:val="26"/>
          <w:rtl/>
        </w:rPr>
        <w:t xml:space="preserve">، الفقرة 25. </w:t>
      </w:r>
    </w:p>
  </w:footnote>
  <w:footnote w:id="95">
    <w:p w:rsidR="00916522" w:rsidRPr="00975038" w:rsidRDefault="00916522" w:rsidP="006C6DC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بالكويت </w:t>
      </w:r>
      <w:r w:rsidRPr="00975038">
        <w:rPr>
          <w:sz w:val="18"/>
          <w:szCs w:val="26"/>
        </w:rPr>
        <w:t>(CCPR/CO/69/KWT)</w:t>
      </w:r>
      <w:r>
        <w:rPr>
          <w:rFonts w:hint="cs"/>
          <w:sz w:val="18"/>
          <w:szCs w:val="26"/>
          <w:rtl/>
        </w:rPr>
        <w:t>؛</w:t>
      </w:r>
      <w:r w:rsidRPr="00975038">
        <w:rPr>
          <w:rFonts w:hint="cs"/>
          <w:sz w:val="18"/>
          <w:szCs w:val="26"/>
          <w:rtl/>
        </w:rPr>
        <w:t xml:space="preserve"> والملاحظات الختامية المتعلقة بأوكرانيا </w:t>
      </w:r>
      <w:r w:rsidRPr="00975038">
        <w:rPr>
          <w:sz w:val="18"/>
          <w:szCs w:val="26"/>
        </w:rPr>
        <w:t>(CCPR/CO/73/UKR)</w:t>
      </w:r>
      <w:r w:rsidRPr="00975038">
        <w:rPr>
          <w:rFonts w:hint="cs"/>
          <w:sz w:val="18"/>
          <w:szCs w:val="26"/>
          <w:rtl/>
        </w:rPr>
        <w:t xml:space="preserve">.  </w:t>
      </w:r>
    </w:p>
  </w:footnote>
  <w:footnote w:id="9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بقيرغيزستان </w:t>
      </w:r>
      <w:r w:rsidRPr="00975038">
        <w:rPr>
          <w:sz w:val="18"/>
          <w:szCs w:val="26"/>
        </w:rPr>
        <w:t>(CCPR/CO/69/KGZ)</w:t>
      </w:r>
      <w:r w:rsidRPr="00975038">
        <w:rPr>
          <w:rFonts w:hint="cs"/>
          <w:sz w:val="18"/>
          <w:szCs w:val="26"/>
          <w:rtl/>
        </w:rPr>
        <w:t xml:space="preserve">. </w:t>
      </w:r>
    </w:p>
  </w:footnote>
  <w:footnote w:id="9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بأوكرانيا </w:t>
      </w:r>
      <w:r w:rsidRPr="00975038">
        <w:rPr>
          <w:sz w:val="18"/>
          <w:szCs w:val="26"/>
        </w:rPr>
        <w:t>(CCPR/CO/73/UKR)</w:t>
      </w:r>
      <w:r w:rsidRPr="00975038">
        <w:rPr>
          <w:rFonts w:hint="cs"/>
          <w:sz w:val="18"/>
          <w:szCs w:val="26"/>
          <w:rtl/>
        </w:rPr>
        <w:t>.</w:t>
      </w:r>
    </w:p>
  </w:footnote>
  <w:footnote w:id="9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بلبنان </w:t>
      </w:r>
      <w:r w:rsidRPr="00975038">
        <w:rPr>
          <w:sz w:val="18"/>
          <w:szCs w:val="26"/>
        </w:rPr>
        <w:t>(CCPR/CO/79/Add.78)</w:t>
      </w:r>
      <w:r w:rsidRPr="00975038">
        <w:rPr>
          <w:rFonts w:hint="cs"/>
          <w:sz w:val="18"/>
          <w:szCs w:val="26"/>
          <w:rtl/>
        </w:rPr>
        <w:t xml:space="preserve">. </w:t>
      </w:r>
    </w:p>
  </w:footnote>
  <w:footnote w:id="99">
    <w:p w:rsidR="00916522" w:rsidRPr="00975038" w:rsidRDefault="00916522" w:rsidP="006C6DC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بغيانا </w:t>
      </w:r>
      <w:r w:rsidRPr="00975038">
        <w:rPr>
          <w:sz w:val="18"/>
          <w:szCs w:val="26"/>
        </w:rPr>
        <w:t>(CCPR/CO/79/Add.121)</w:t>
      </w:r>
      <w:r w:rsidRPr="00975038">
        <w:rPr>
          <w:rFonts w:hint="cs"/>
          <w:sz w:val="18"/>
          <w:szCs w:val="26"/>
          <w:rtl/>
        </w:rPr>
        <w:t>، الفقرة 19</w:t>
      </w:r>
      <w:r>
        <w:rPr>
          <w:rFonts w:hint="cs"/>
          <w:sz w:val="18"/>
          <w:szCs w:val="26"/>
          <w:rtl/>
        </w:rPr>
        <w:t>؛</w:t>
      </w:r>
      <w:r w:rsidRPr="00975038">
        <w:rPr>
          <w:rFonts w:hint="cs"/>
          <w:sz w:val="18"/>
          <w:szCs w:val="26"/>
          <w:rtl/>
        </w:rPr>
        <w:t xml:space="preserve"> والملاحظات الختامية المتعلقة بالاتحاد الروسي </w:t>
      </w:r>
      <w:r w:rsidRPr="00975038">
        <w:rPr>
          <w:sz w:val="18"/>
          <w:szCs w:val="26"/>
        </w:rPr>
        <w:t>(CCPR/CO/79/RUS)</w:t>
      </w:r>
      <w:r>
        <w:rPr>
          <w:rFonts w:hint="cs"/>
          <w:sz w:val="18"/>
          <w:szCs w:val="26"/>
          <w:rtl/>
        </w:rPr>
        <w:t>؛</w:t>
      </w:r>
      <w:r w:rsidRPr="00975038">
        <w:rPr>
          <w:rFonts w:hint="cs"/>
          <w:sz w:val="18"/>
          <w:szCs w:val="26"/>
          <w:rtl/>
        </w:rPr>
        <w:t xml:space="preserve"> والملاحظات الختامية المتعلقة بفييت نام </w:t>
      </w:r>
      <w:r w:rsidRPr="00975038">
        <w:rPr>
          <w:sz w:val="18"/>
          <w:szCs w:val="26"/>
        </w:rPr>
        <w:t>(CCPR/CO/75/VNM)</w:t>
      </w:r>
      <w:r>
        <w:rPr>
          <w:rFonts w:hint="cs"/>
          <w:sz w:val="18"/>
          <w:szCs w:val="26"/>
          <w:rtl/>
        </w:rPr>
        <w:t>؛</w:t>
      </w:r>
      <w:r w:rsidRPr="00975038">
        <w:rPr>
          <w:rFonts w:hint="cs"/>
          <w:sz w:val="18"/>
          <w:szCs w:val="26"/>
          <w:rtl/>
        </w:rPr>
        <w:t xml:space="preserve"> والملاحظات الختامية المتعلقة بإيطاليا </w:t>
      </w:r>
      <w:r w:rsidRPr="00975038">
        <w:rPr>
          <w:sz w:val="18"/>
          <w:szCs w:val="26"/>
        </w:rPr>
        <w:t>(CCPR/C/79/Add. 37)</w:t>
      </w:r>
      <w:r w:rsidRPr="00975038">
        <w:rPr>
          <w:rFonts w:hint="cs"/>
          <w:sz w:val="18"/>
          <w:szCs w:val="26"/>
          <w:rtl/>
        </w:rPr>
        <w:t>.</w:t>
      </w:r>
    </w:p>
  </w:footnote>
  <w:footnote w:id="10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الملاحظات الختامية المتعلقة بليسوتو </w:t>
      </w:r>
      <w:r w:rsidRPr="00975038">
        <w:rPr>
          <w:sz w:val="18"/>
          <w:szCs w:val="26"/>
        </w:rPr>
        <w:t>(CCPR/CO/79/Add.106)</w:t>
      </w:r>
      <w:r w:rsidRPr="00975038">
        <w:rPr>
          <w:rFonts w:hint="cs"/>
          <w:sz w:val="18"/>
          <w:szCs w:val="26"/>
          <w:rtl/>
        </w:rPr>
        <w:t xml:space="preserve">، الفقرة 22. </w:t>
      </w:r>
    </w:p>
  </w:footnote>
  <w:footnote w:id="10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بأوكرانيا </w:t>
      </w:r>
      <w:r w:rsidRPr="00975038">
        <w:rPr>
          <w:sz w:val="18"/>
          <w:szCs w:val="26"/>
        </w:rPr>
        <w:t>(CCPR/CO/73/UKR)</w:t>
      </w:r>
      <w:r w:rsidRPr="00975038">
        <w:rPr>
          <w:rFonts w:hint="cs"/>
          <w:sz w:val="18"/>
          <w:szCs w:val="26"/>
          <w:rtl/>
        </w:rPr>
        <w:t>.</w:t>
      </w:r>
    </w:p>
  </w:footnote>
  <w:footnote w:id="102">
    <w:p w:rsidR="00916522" w:rsidRPr="00975038" w:rsidRDefault="00916522" w:rsidP="00916522">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بسري لانكا </w:t>
      </w:r>
      <w:r w:rsidRPr="00975038">
        <w:rPr>
          <w:sz w:val="18"/>
          <w:szCs w:val="26"/>
        </w:rPr>
        <w:t>(CCPR/CO/79/LKA)</w:t>
      </w:r>
      <w:r>
        <w:rPr>
          <w:rFonts w:hint="cs"/>
          <w:sz w:val="18"/>
          <w:szCs w:val="26"/>
          <w:rtl/>
        </w:rPr>
        <w:t>؛</w:t>
      </w:r>
      <w:r w:rsidRPr="00975038">
        <w:rPr>
          <w:rFonts w:hint="cs"/>
          <w:sz w:val="18"/>
          <w:szCs w:val="26"/>
          <w:rtl/>
        </w:rPr>
        <w:t xml:space="preserve"> وانظر الملاحظات الختامية المتعلقة بتوغو </w:t>
      </w:r>
      <w:r w:rsidRPr="00975038">
        <w:rPr>
          <w:sz w:val="18"/>
          <w:szCs w:val="26"/>
        </w:rPr>
        <w:t>(CCPR/CO/76/TGO)</w:t>
      </w:r>
      <w:r w:rsidRPr="00975038">
        <w:rPr>
          <w:rFonts w:hint="cs"/>
          <w:sz w:val="18"/>
          <w:szCs w:val="26"/>
          <w:rtl/>
        </w:rPr>
        <w:t xml:space="preserve">، الفقرة 17. </w:t>
      </w:r>
    </w:p>
  </w:footnote>
  <w:footnote w:id="10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ببيرو </w:t>
      </w:r>
      <w:r w:rsidRPr="00975038">
        <w:rPr>
          <w:sz w:val="18"/>
          <w:szCs w:val="26"/>
        </w:rPr>
        <w:t>(CCPR/CO/70/PER)</w:t>
      </w:r>
      <w:r w:rsidRPr="00975038">
        <w:rPr>
          <w:rFonts w:hint="cs"/>
          <w:sz w:val="18"/>
          <w:szCs w:val="26"/>
          <w:rtl/>
        </w:rPr>
        <w:t>.</w:t>
      </w:r>
    </w:p>
  </w:footnote>
  <w:footnote w:id="104">
    <w:p w:rsidR="00916522" w:rsidRPr="00975038" w:rsidRDefault="00916522" w:rsidP="00916522">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الملاحظات الختامية المتعلقة بالجمهورية العربية السورية</w:t>
      </w:r>
      <w:r>
        <w:rPr>
          <w:rFonts w:hint="cs"/>
          <w:sz w:val="18"/>
          <w:szCs w:val="26"/>
          <w:rtl/>
        </w:rPr>
        <w:t xml:space="preserve"> (</w:t>
      </w:r>
      <w:r w:rsidRPr="00975038">
        <w:rPr>
          <w:sz w:val="18"/>
          <w:szCs w:val="26"/>
        </w:rPr>
        <w:t>(CCPR/CO/84/SYR</w:t>
      </w:r>
      <w:r>
        <w:rPr>
          <w:rFonts w:hint="cs"/>
          <w:sz w:val="18"/>
          <w:szCs w:val="26"/>
          <w:rtl/>
        </w:rPr>
        <w:t>.</w:t>
      </w:r>
    </w:p>
  </w:footnote>
  <w:footnote w:id="105">
    <w:p w:rsidR="00916522" w:rsidRPr="00975038" w:rsidRDefault="00916522" w:rsidP="00685309">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بأوزبكستان </w:t>
      </w:r>
      <w:r w:rsidRPr="00975038">
        <w:rPr>
          <w:sz w:val="18"/>
          <w:szCs w:val="26"/>
        </w:rPr>
        <w:t>(CCPR/CO/83/UZB)</w:t>
      </w:r>
      <w:r w:rsidR="00685309">
        <w:rPr>
          <w:rFonts w:hint="cs"/>
          <w:sz w:val="18"/>
          <w:szCs w:val="26"/>
          <w:rtl/>
        </w:rPr>
        <w:t>؛</w:t>
      </w:r>
      <w:r w:rsidRPr="00975038">
        <w:rPr>
          <w:rFonts w:hint="cs"/>
          <w:sz w:val="18"/>
          <w:szCs w:val="26"/>
          <w:rtl/>
        </w:rPr>
        <w:t xml:space="preserve"> والملاحظات الختامية المتعلقة بالمغرب </w:t>
      </w:r>
      <w:r w:rsidRPr="00975038">
        <w:rPr>
          <w:sz w:val="18"/>
          <w:szCs w:val="26"/>
        </w:rPr>
        <w:t>(CCPR/CO/82/MAR)</w:t>
      </w:r>
      <w:r w:rsidRPr="00975038">
        <w:rPr>
          <w:rFonts w:hint="cs"/>
          <w:sz w:val="18"/>
          <w:szCs w:val="26"/>
          <w:rtl/>
        </w:rPr>
        <w:t>.</w:t>
      </w:r>
    </w:p>
  </w:footnote>
  <w:footnote w:id="10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بجمهورية كوريا الشعبية الديمقراطية </w:t>
      </w:r>
      <w:r w:rsidRPr="00975038">
        <w:rPr>
          <w:sz w:val="18"/>
          <w:szCs w:val="26"/>
        </w:rPr>
        <w:t>(CCPR/CO/72/PRK)</w:t>
      </w:r>
      <w:r w:rsidRPr="00975038">
        <w:rPr>
          <w:rFonts w:hint="cs"/>
          <w:sz w:val="18"/>
          <w:szCs w:val="26"/>
          <w:rtl/>
        </w:rPr>
        <w:t>.</w:t>
      </w:r>
    </w:p>
  </w:footnote>
  <w:footnote w:id="10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بالكويت </w:t>
      </w:r>
      <w:r w:rsidRPr="00975038">
        <w:rPr>
          <w:sz w:val="18"/>
          <w:szCs w:val="26"/>
        </w:rPr>
        <w:t>(CCPR/CO/69/KWT)</w:t>
      </w:r>
      <w:r w:rsidRPr="00975038">
        <w:rPr>
          <w:rFonts w:hint="cs"/>
          <w:sz w:val="18"/>
          <w:szCs w:val="26"/>
          <w:rtl/>
        </w:rPr>
        <w:t>.</w:t>
      </w:r>
    </w:p>
  </w:footnote>
  <w:footnote w:id="108">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بالمملكة المتحدة لبريطانيا العظمى آيرلندا الشمالية </w:t>
      </w:r>
      <w:r w:rsidRPr="00975038">
        <w:rPr>
          <w:sz w:val="18"/>
          <w:szCs w:val="26"/>
        </w:rPr>
        <w:t>(CCPR/C/GBR/CO/6)</w:t>
      </w:r>
      <w:r w:rsidRPr="00975038">
        <w:rPr>
          <w:rFonts w:hint="cs"/>
          <w:sz w:val="18"/>
          <w:szCs w:val="26"/>
          <w:rtl/>
        </w:rPr>
        <w:t>.</w:t>
      </w:r>
    </w:p>
  </w:footnote>
  <w:footnote w:id="109">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بالاتحاد الروسي </w:t>
      </w:r>
      <w:r w:rsidRPr="00975038">
        <w:rPr>
          <w:sz w:val="18"/>
          <w:szCs w:val="26"/>
        </w:rPr>
        <w:t>(CCPR/CO/79/RUS)</w:t>
      </w:r>
      <w:r w:rsidRPr="00975038">
        <w:rPr>
          <w:rFonts w:hint="cs"/>
          <w:sz w:val="18"/>
          <w:szCs w:val="26"/>
          <w:rtl/>
        </w:rPr>
        <w:t>.</w:t>
      </w:r>
    </w:p>
  </w:footnote>
  <w:footnote w:id="110">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بالمملكة المتحدة لبريطانيا العظمى آيرلندا الشمالية </w:t>
      </w:r>
      <w:r w:rsidRPr="00975038">
        <w:rPr>
          <w:sz w:val="18"/>
          <w:szCs w:val="26"/>
        </w:rPr>
        <w:t>(CCPR/C/GBR/CO/6)</w:t>
      </w:r>
      <w:r w:rsidRPr="00975038">
        <w:rPr>
          <w:rFonts w:hint="cs"/>
          <w:sz w:val="18"/>
          <w:szCs w:val="26"/>
          <w:rtl/>
        </w:rPr>
        <w:t>.</w:t>
      </w:r>
    </w:p>
  </w:footnote>
  <w:footnote w:id="111">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112">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المرجع نفسه.</w:t>
      </w:r>
    </w:p>
  </w:footnote>
  <w:footnote w:id="113">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بإيطاليا </w:t>
      </w:r>
      <w:r w:rsidRPr="00975038">
        <w:rPr>
          <w:sz w:val="18"/>
          <w:szCs w:val="26"/>
        </w:rPr>
        <w:t>(CCPR/C/ITA/CO/5)</w:t>
      </w:r>
      <w:r w:rsidRPr="00975038">
        <w:rPr>
          <w:rFonts w:hint="cs"/>
          <w:sz w:val="18"/>
          <w:szCs w:val="26"/>
          <w:rtl/>
        </w:rPr>
        <w:t xml:space="preserve">، والملاحظات الختامية المتعلقة بجمهورية مقدونيا اليوغوسلافية السابقة </w:t>
      </w:r>
      <w:r w:rsidRPr="00975038">
        <w:rPr>
          <w:sz w:val="18"/>
          <w:szCs w:val="26"/>
        </w:rPr>
        <w:t>(CCPR/C/MKD/CO/2)</w:t>
      </w:r>
      <w:r w:rsidRPr="00975038">
        <w:rPr>
          <w:rFonts w:hint="cs"/>
          <w:sz w:val="18"/>
          <w:szCs w:val="26"/>
          <w:rtl/>
        </w:rPr>
        <w:t>.</w:t>
      </w:r>
    </w:p>
  </w:footnote>
  <w:footnote w:id="114">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909/2000، </w:t>
      </w:r>
      <w:r w:rsidRPr="00975038">
        <w:rPr>
          <w:rFonts w:hint="cs"/>
          <w:i/>
          <w:iCs/>
          <w:sz w:val="18"/>
          <w:szCs w:val="26"/>
          <w:rtl/>
        </w:rPr>
        <w:t>كانكانغمي ضد سري لانكا</w:t>
      </w:r>
      <w:r w:rsidRPr="00975038">
        <w:rPr>
          <w:rFonts w:hint="cs"/>
          <w:sz w:val="18"/>
          <w:szCs w:val="26"/>
          <w:rtl/>
        </w:rPr>
        <w:t>، آراء معتمدة في 27 تموز/يوليه 2004.</w:t>
      </w:r>
    </w:p>
  </w:footnote>
  <w:footnote w:id="115">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الملاحظات الختامية المتعلقة بالمملكة المتحدة لبريطانيا العظمى آيرلندا الشمالية بشأن أقاليم جيرزي وغيرنسي وجزيرة مان التابعة للتاج البريطاني </w:t>
      </w:r>
      <w:r w:rsidRPr="00975038">
        <w:rPr>
          <w:sz w:val="18"/>
          <w:szCs w:val="26"/>
        </w:rPr>
        <w:t>(CCPR/C/79/Add.119)</w:t>
      </w:r>
      <w:r w:rsidRPr="00975038">
        <w:rPr>
          <w:rFonts w:hint="cs"/>
          <w:sz w:val="18"/>
          <w:szCs w:val="26"/>
          <w:rtl/>
        </w:rPr>
        <w:t xml:space="preserve">، انظر أيضاً الملاحظات الختامية المتعلقة بالكويت </w:t>
      </w:r>
      <w:r w:rsidRPr="00975038">
        <w:rPr>
          <w:sz w:val="18"/>
          <w:szCs w:val="26"/>
        </w:rPr>
        <w:t>(CCPR/CO/69/KWT)</w:t>
      </w:r>
      <w:r w:rsidRPr="00975038">
        <w:rPr>
          <w:rFonts w:hint="cs"/>
          <w:sz w:val="18"/>
          <w:szCs w:val="26"/>
          <w:rtl/>
        </w:rPr>
        <w:t xml:space="preserve">. </w:t>
      </w:r>
    </w:p>
  </w:footnote>
  <w:footnote w:id="116">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ما يسمى "بقوانين الذاكرة"، انظر البلاغ رقم 550/93، </w:t>
      </w:r>
      <w:r w:rsidRPr="00975038">
        <w:rPr>
          <w:rFonts w:hint="cs"/>
          <w:i/>
          <w:iCs/>
          <w:sz w:val="18"/>
          <w:szCs w:val="26"/>
          <w:rtl/>
        </w:rPr>
        <w:t>فوريسون ضد فرنسا</w:t>
      </w:r>
      <w:r w:rsidRPr="00975038">
        <w:rPr>
          <w:rFonts w:hint="cs"/>
          <w:sz w:val="18"/>
          <w:szCs w:val="26"/>
          <w:rtl/>
        </w:rPr>
        <w:t xml:space="preserve">. وانظر أيضاً الملاحظات الختامية المتعلقة بهنغاريا </w:t>
      </w:r>
      <w:r w:rsidRPr="00975038">
        <w:rPr>
          <w:sz w:val="18"/>
          <w:szCs w:val="26"/>
        </w:rPr>
        <w:t>(CCPR/C/HUN/CO/5)</w:t>
      </w:r>
      <w:r w:rsidRPr="00975038">
        <w:rPr>
          <w:rFonts w:hint="cs"/>
          <w:sz w:val="18"/>
          <w:szCs w:val="26"/>
          <w:rtl/>
        </w:rPr>
        <w:t>، الفقرة 19.</w:t>
      </w:r>
    </w:p>
  </w:footnote>
  <w:footnote w:id="117">
    <w:p w:rsidR="00916522" w:rsidRPr="00975038" w:rsidRDefault="00916522" w:rsidP="00975038">
      <w:pPr>
        <w:pStyle w:val="FootnoteText"/>
        <w:numPr>
          <w:ilvl w:val="0"/>
          <w:numId w:val="49"/>
        </w:numPr>
        <w:tabs>
          <w:tab w:val="clear" w:pos="1406"/>
          <w:tab w:val="left" w:pos="1358"/>
        </w:tabs>
        <w:spacing w:after="60" w:line="300" w:lineRule="exact"/>
        <w:ind w:left="1355" w:right="1247"/>
        <w:rPr>
          <w:rFonts w:hint="cs"/>
          <w:sz w:val="18"/>
          <w:szCs w:val="26"/>
        </w:rPr>
      </w:pPr>
      <w:r w:rsidRPr="00975038">
        <w:rPr>
          <w:rFonts w:hint="cs"/>
          <w:sz w:val="18"/>
          <w:szCs w:val="26"/>
          <w:rtl/>
        </w:rPr>
        <w:t xml:space="preserve">انظر البلاغ رقم 736/1997، </w:t>
      </w:r>
      <w:r w:rsidRPr="00975038">
        <w:rPr>
          <w:rFonts w:hint="cs"/>
          <w:i/>
          <w:iCs/>
          <w:sz w:val="18"/>
          <w:szCs w:val="26"/>
          <w:rtl/>
        </w:rPr>
        <w:t>روس ضد كندا</w:t>
      </w:r>
      <w:r w:rsidRPr="00975038">
        <w:rPr>
          <w:rFonts w:hint="cs"/>
          <w:sz w:val="18"/>
          <w:szCs w:val="26"/>
          <w:rtl/>
        </w:rPr>
        <w:t>، آراء معتمدة في 18 تشرين الأول/أكتوبر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Pr="00F27EBD" w:rsidRDefault="00916522" w:rsidP="00F27EBD">
    <w:pPr>
      <w:pStyle w:val="Header"/>
      <w:jc w:val="right"/>
    </w:pPr>
    <w:r w:rsidRPr="00F27EBD">
      <w:t>CCPR/C/GC/34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Pr="00F27EBD" w:rsidRDefault="00916522" w:rsidP="00F27EBD">
    <w:pPr>
      <w:pStyle w:val="Header"/>
      <w:jc w:val="left"/>
    </w:pPr>
    <w:r w:rsidRPr="00F27EBD">
      <w:t>CCPR/C/GC/34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2" w:rsidRDefault="0091652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16522" w:rsidRPr="008F6743" w:rsidRDefault="0091652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08B78D0"/>
    <w:multiLevelType w:val="hybridMultilevel"/>
    <w:tmpl w:val="28664260"/>
    <w:lvl w:ilvl="0" w:tplc="B53E974E">
      <w:start w:val="1"/>
      <w:numFmt w:val="decimal"/>
      <w:lvlRestart w:val="0"/>
      <w:lvlText w:val="(%1)"/>
      <w:lvlJc w:val="right"/>
      <w:pPr>
        <w:tabs>
          <w:tab w:val="num" w:pos="1406"/>
        </w:tabs>
        <w:ind w:left="1406" w:hanging="227"/>
      </w:pPr>
      <w:rPr>
        <w:rFonts w:ascii="Traditional Arabic" w:hAnsi="Traditional Arabic" w:cs="Traditional Arabic" w:hint="default"/>
        <w:sz w:val="26"/>
        <w:szCs w:val="26"/>
      </w:rPr>
    </w:lvl>
    <w:lvl w:ilvl="1" w:tplc="4C140DE8">
      <w:start w:val="1"/>
      <w:numFmt w:val="decimal"/>
      <w:lvlRestart w:val="0"/>
      <w:lvlText w:val="(%2)"/>
      <w:lvlJc w:val="right"/>
      <w:pPr>
        <w:tabs>
          <w:tab w:val="num" w:pos="1466"/>
        </w:tabs>
        <w:ind w:left="1466" w:hanging="227"/>
      </w:pPr>
      <w:rPr>
        <w:rFonts w:hint="default"/>
        <w:sz w:val="26"/>
        <w:szCs w:val="26"/>
      </w:r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AB4A83"/>
    <w:multiLevelType w:val="hybridMultilevel"/>
    <w:tmpl w:val="D8C8F33A"/>
    <w:lvl w:ilvl="0" w:tplc="4DEAA32C">
      <w:start w:val="32"/>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3">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6">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710675"/>
    <w:multiLevelType w:val="hybridMultilevel"/>
    <w:tmpl w:val="958A69E2"/>
    <w:lvl w:ilvl="0" w:tplc="57D8518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8AFC5A8E">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4"/>
  </w:num>
  <w:num w:numId="3">
    <w:abstractNumId w:val="22"/>
  </w:num>
  <w:num w:numId="4">
    <w:abstractNumId w:val="15"/>
  </w:num>
  <w:num w:numId="5">
    <w:abstractNumId w:val="12"/>
  </w:num>
  <w:num w:numId="6">
    <w:abstractNumId w:val="30"/>
  </w:num>
  <w:num w:numId="7">
    <w:abstractNumId w:val="14"/>
  </w:num>
  <w:num w:numId="8">
    <w:abstractNumId w:val="13"/>
  </w:num>
  <w:num w:numId="9">
    <w:abstractNumId w:val="19"/>
  </w:num>
  <w:num w:numId="10">
    <w:abstractNumId w:val="28"/>
  </w:num>
  <w:num w:numId="11">
    <w:abstractNumId w:val="4"/>
  </w:num>
  <w:num w:numId="12">
    <w:abstractNumId w:val="22"/>
  </w:num>
  <w:num w:numId="13">
    <w:abstractNumId w:val="15"/>
  </w:num>
  <w:num w:numId="14">
    <w:abstractNumId w:val="12"/>
  </w:num>
  <w:num w:numId="15">
    <w:abstractNumId w:val="30"/>
  </w:num>
  <w:num w:numId="16">
    <w:abstractNumId w:val="4"/>
  </w:num>
  <w:num w:numId="17">
    <w:abstractNumId w:val="22"/>
  </w:num>
  <w:num w:numId="18">
    <w:abstractNumId w:val="15"/>
  </w:num>
  <w:num w:numId="19">
    <w:abstractNumId w:val="12"/>
  </w:num>
  <w:num w:numId="20">
    <w:abstractNumId w:val="30"/>
  </w:num>
  <w:num w:numId="21">
    <w:abstractNumId w:val="4"/>
  </w:num>
  <w:num w:numId="22">
    <w:abstractNumId w:val="22"/>
  </w:num>
  <w:num w:numId="23">
    <w:abstractNumId w:val="12"/>
  </w:num>
  <w:num w:numId="24">
    <w:abstractNumId w:val="30"/>
  </w:num>
  <w:num w:numId="25">
    <w:abstractNumId w:val="22"/>
  </w:num>
  <w:num w:numId="26">
    <w:abstractNumId w:val="4"/>
  </w:num>
  <w:num w:numId="27">
    <w:abstractNumId w:val="6"/>
  </w:num>
  <w:num w:numId="28">
    <w:abstractNumId w:val="5"/>
  </w:num>
  <w:num w:numId="29">
    <w:abstractNumId w:val="24"/>
  </w:num>
  <w:num w:numId="30">
    <w:abstractNumId w:val="7"/>
  </w:num>
  <w:num w:numId="31">
    <w:abstractNumId w:val="10"/>
  </w:num>
  <w:num w:numId="32">
    <w:abstractNumId w:val="23"/>
  </w:num>
  <w:num w:numId="33">
    <w:abstractNumId w:val="26"/>
  </w:num>
  <w:num w:numId="34">
    <w:abstractNumId w:val="31"/>
  </w:num>
  <w:num w:numId="35">
    <w:abstractNumId w:val="8"/>
  </w:num>
  <w:num w:numId="36">
    <w:abstractNumId w:val="25"/>
  </w:num>
  <w:num w:numId="37">
    <w:abstractNumId w:val="27"/>
  </w:num>
  <w:num w:numId="38">
    <w:abstractNumId w:val="3"/>
  </w:num>
  <w:num w:numId="39">
    <w:abstractNumId w:val="9"/>
  </w:num>
  <w:num w:numId="40">
    <w:abstractNumId w:val="2"/>
  </w:num>
  <w:num w:numId="41">
    <w:abstractNumId w:val="21"/>
  </w:num>
  <w:num w:numId="42">
    <w:abstractNumId w:val="18"/>
  </w:num>
  <w:num w:numId="43">
    <w:abstractNumId w:val="17"/>
  </w:num>
  <w:num w:numId="44">
    <w:abstractNumId w:val="0"/>
  </w:num>
  <w:num w:numId="45">
    <w:abstractNumId w:val="16"/>
  </w:num>
  <w:num w:numId="46">
    <w:abstractNumId w:val="20"/>
  </w:num>
  <w:num w:numId="47">
    <w:abstractNumId w:val="11"/>
  </w:num>
  <w:num w:numId="48">
    <w:abstractNumId w:val="2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23D"/>
    <w:rsid w:val="00017911"/>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94A37"/>
    <w:rsid w:val="001A5161"/>
    <w:rsid w:val="001A60BD"/>
    <w:rsid w:val="001C6D53"/>
    <w:rsid w:val="001F0AEA"/>
    <w:rsid w:val="00232277"/>
    <w:rsid w:val="0023736D"/>
    <w:rsid w:val="00257225"/>
    <w:rsid w:val="002B343F"/>
    <w:rsid w:val="002D086C"/>
    <w:rsid w:val="00310160"/>
    <w:rsid w:val="00332A49"/>
    <w:rsid w:val="00341A8C"/>
    <w:rsid w:val="00344827"/>
    <w:rsid w:val="003519E6"/>
    <w:rsid w:val="00355F81"/>
    <w:rsid w:val="003B4356"/>
    <w:rsid w:val="003E54EC"/>
    <w:rsid w:val="003F08A8"/>
    <w:rsid w:val="004250E3"/>
    <w:rsid w:val="00472A81"/>
    <w:rsid w:val="00475A89"/>
    <w:rsid w:val="004A20A6"/>
    <w:rsid w:val="004B2C92"/>
    <w:rsid w:val="004B7636"/>
    <w:rsid w:val="004D6A3A"/>
    <w:rsid w:val="004F4AD7"/>
    <w:rsid w:val="0051743B"/>
    <w:rsid w:val="005341AD"/>
    <w:rsid w:val="00547EE7"/>
    <w:rsid w:val="00557CD3"/>
    <w:rsid w:val="00571432"/>
    <w:rsid w:val="005732A2"/>
    <w:rsid w:val="005762A5"/>
    <w:rsid w:val="00590BA3"/>
    <w:rsid w:val="005B46D9"/>
    <w:rsid w:val="005B7AE0"/>
    <w:rsid w:val="005E23F5"/>
    <w:rsid w:val="005F146F"/>
    <w:rsid w:val="005F71B6"/>
    <w:rsid w:val="00654786"/>
    <w:rsid w:val="00660FD4"/>
    <w:rsid w:val="00665BE4"/>
    <w:rsid w:val="00685309"/>
    <w:rsid w:val="006A4425"/>
    <w:rsid w:val="006B00A4"/>
    <w:rsid w:val="006B4669"/>
    <w:rsid w:val="006C6DC9"/>
    <w:rsid w:val="006D3CFA"/>
    <w:rsid w:val="006F6BF8"/>
    <w:rsid w:val="00707BDF"/>
    <w:rsid w:val="00710727"/>
    <w:rsid w:val="00714A6D"/>
    <w:rsid w:val="00715F45"/>
    <w:rsid w:val="0072608F"/>
    <w:rsid w:val="00731815"/>
    <w:rsid w:val="00731B84"/>
    <w:rsid w:val="00734AE7"/>
    <w:rsid w:val="00793056"/>
    <w:rsid w:val="0079344E"/>
    <w:rsid w:val="007E197F"/>
    <w:rsid w:val="007E2786"/>
    <w:rsid w:val="007E4686"/>
    <w:rsid w:val="007F68C4"/>
    <w:rsid w:val="00805BC6"/>
    <w:rsid w:val="008153DE"/>
    <w:rsid w:val="008244DB"/>
    <w:rsid w:val="0084331E"/>
    <w:rsid w:val="00852A10"/>
    <w:rsid w:val="00862634"/>
    <w:rsid w:val="00866C59"/>
    <w:rsid w:val="00877306"/>
    <w:rsid w:val="00885524"/>
    <w:rsid w:val="008A6242"/>
    <w:rsid w:val="008B4BC6"/>
    <w:rsid w:val="008C48ED"/>
    <w:rsid w:val="008F6743"/>
    <w:rsid w:val="00901E57"/>
    <w:rsid w:val="009070DF"/>
    <w:rsid w:val="00916522"/>
    <w:rsid w:val="00935F0E"/>
    <w:rsid w:val="0095208F"/>
    <w:rsid w:val="00975038"/>
    <w:rsid w:val="00977B3F"/>
    <w:rsid w:val="009814AE"/>
    <w:rsid w:val="009901D3"/>
    <w:rsid w:val="00996BBE"/>
    <w:rsid w:val="009A655E"/>
    <w:rsid w:val="009B2C03"/>
    <w:rsid w:val="009D17B9"/>
    <w:rsid w:val="009D1DD5"/>
    <w:rsid w:val="009E76E1"/>
    <w:rsid w:val="009F722C"/>
    <w:rsid w:val="00A26157"/>
    <w:rsid w:val="00A265C3"/>
    <w:rsid w:val="00A30AFE"/>
    <w:rsid w:val="00A34B68"/>
    <w:rsid w:val="00A43F9A"/>
    <w:rsid w:val="00A53F38"/>
    <w:rsid w:val="00A543D4"/>
    <w:rsid w:val="00AD0014"/>
    <w:rsid w:val="00AD4CF2"/>
    <w:rsid w:val="00AF0BBA"/>
    <w:rsid w:val="00AF1182"/>
    <w:rsid w:val="00B25159"/>
    <w:rsid w:val="00B30468"/>
    <w:rsid w:val="00B44E31"/>
    <w:rsid w:val="00B7423D"/>
    <w:rsid w:val="00BA4F7E"/>
    <w:rsid w:val="00BB2C41"/>
    <w:rsid w:val="00BC55C8"/>
    <w:rsid w:val="00BC5C10"/>
    <w:rsid w:val="00BC617F"/>
    <w:rsid w:val="00BE16EF"/>
    <w:rsid w:val="00BE2964"/>
    <w:rsid w:val="00C21623"/>
    <w:rsid w:val="00C24FBD"/>
    <w:rsid w:val="00C473BA"/>
    <w:rsid w:val="00C611ED"/>
    <w:rsid w:val="00C6490A"/>
    <w:rsid w:val="00C64FE1"/>
    <w:rsid w:val="00C726D2"/>
    <w:rsid w:val="00C74296"/>
    <w:rsid w:val="00C8345E"/>
    <w:rsid w:val="00C94447"/>
    <w:rsid w:val="00CA5F7C"/>
    <w:rsid w:val="00CA6682"/>
    <w:rsid w:val="00D51067"/>
    <w:rsid w:val="00D61718"/>
    <w:rsid w:val="00D71AAC"/>
    <w:rsid w:val="00D75657"/>
    <w:rsid w:val="00D960AD"/>
    <w:rsid w:val="00DA0E0E"/>
    <w:rsid w:val="00DB0885"/>
    <w:rsid w:val="00DB0C39"/>
    <w:rsid w:val="00DB7679"/>
    <w:rsid w:val="00DD27E9"/>
    <w:rsid w:val="00DD5747"/>
    <w:rsid w:val="00DF1702"/>
    <w:rsid w:val="00DF4DD8"/>
    <w:rsid w:val="00DF668E"/>
    <w:rsid w:val="00E04826"/>
    <w:rsid w:val="00E14D2B"/>
    <w:rsid w:val="00E20DBA"/>
    <w:rsid w:val="00E62F80"/>
    <w:rsid w:val="00E6524A"/>
    <w:rsid w:val="00E660D6"/>
    <w:rsid w:val="00E75CEC"/>
    <w:rsid w:val="00E771AB"/>
    <w:rsid w:val="00EA796F"/>
    <w:rsid w:val="00EB077B"/>
    <w:rsid w:val="00EC50B9"/>
    <w:rsid w:val="00ED26A0"/>
    <w:rsid w:val="00F1727A"/>
    <w:rsid w:val="00F27EBD"/>
    <w:rsid w:val="00F317FC"/>
    <w:rsid w:val="00F34764"/>
    <w:rsid w:val="00F4557E"/>
    <w:rsid w:val="00F54E3C"/>
    <w:rsid w:val="00F723A9"/>
    <w:rsid w:val="00F84BAF"/>
    <w:rsid w:val="00F874BD"/>
    <w:rsid w:val="00FB1D0B"/>
    <w:rsid w:val="00FE154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F27EBD"/>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F27EBD"/>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F27EBD"/>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F27EBD"/>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F27EBD"/>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F27EBD"/>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a">
    <w:name w:val="(أ) إلى (د)"/>
    <w:basedOn w:val="Normal"/>
    <w:rsid w:val="00F27EBD"/>
    <w:pPr>
      <w:numPr>
        <w:numId w:val="40"/>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F27EBD"/>
    <w:pPr>
      <w:numPr>
        <w:numId w:val="41"/>
      </w:numPr>
      <w:tabs>
        <w:tab w:val="clear" w:pos="1080"/>
        <w:tab w:val="left" w:pos="720"/>
      </w:tabs>
    </w:pPr>
  </w:style>
  <w:style w:type="paragraph" w:customStyle="1" w:styleId="parag">
    <w:name w:val="parag"/>
    <w:rsid w:val="00F27EBD"/>
    <w:pPr>
      <w:numPr>
        <w:numId w:val="42"/>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rsid w:val="00F27EBD"/>
    <w:pPr>
      <w:numPr>
        <w:numId w:val="44"/>
      </w:numPr>
      <w:spacing w:before="240" w:after="240" w:line="240" w:lineRule="auto"/>
      <w:ind w:right="0"/>
      <w:jc w:val="both"/>
    </w:pPr>
    <w:rPr>
      <w:spacing w:val="6"/>
      <w:kern w:val="16"/>
      <w:sz w:val="22"/>
      <w:lang w:eastAsia="ar-SA"/>
    </w:rPr>
  </w:style>
  <w:style w:type="paragraph" w:customStyle="1" w:styleId="Artic1-">
    <w:name w:val="Artic_1-"/>
    <w:basedOn w:val="Normal"/>
    <w:rsid w:val="00F27EBD"/>
    <w:pPr>
      <w:numPr>
        <w:numId w:val="45"/>
      </w:numPr>
      <w:spacing w:before="240" w:after="240" w:line="240" w:lineRule="auto"/>
      <w:jc w:val="both"/>
    </w:pPr>
    <w:rPr>
      <w:spacing w:val="6"/>
      <w:kern w:val="16"/>
      <w:sz w:val="22"/>
      <w:lang w:eastAsia="ar-SA"/>
    </w:rPr>
  </w:style>
  <w:style w:type="paragraph" w:customStyle="1" w:styleId="-">
    <w:name w:val="(و) -"/>
    <w:basedOn w:val="Normal"/>
    <w:rsid w:val="00F27EBD"/>
    <w:pPr>
      <w:numPr>
        <w:numId w:val="43"/>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F27EBD"/>
    <w:pPr>
      <w:spacing w:before="240" w:after="240" w:line="240" w:lineRule="auto"/>
      <w:ind w:left="1760"/>
      <w:jc w:val="both"/>
    </w:pPr>
    <w:rPr>
      <w:spacing w:val="6"/>
      <w:kern w:val="16"/>
      <w:sz w:val="22"/>
      <w:lang w:eastAsia="ar-SA"/>
    </w:rPr>
  </w:style>
  <w:style w:type="paragraph" w:customStyle="1" w:styleId="Rom1-">
    <w:name w:val="Rom_'1'-"/>
    <w:basedOn w:val="Normal"/>
    <w:rsid w:val="00F27EBD"/>
    <w:pPr>
      <w:numPr>
        <w:numId w:val="46"/>
      </w:numPr>
      <w:spacing w:before="240" w:after="240" w:line="240" w:lineRule="auto"/>
      <w:ind w:right="0"/>
      <w:jc w:val="both"/>
    </w:pPr>
    <w:rPr>
      <w:spacing w:val="6"/>
      <w:kern w:val="16"/>
      <w:sz w:val="22"/>
      <w:lang w:eastAsia="ar-SA"/>
    </w:rPr>
  </w:style>
  <w:style w:type="paragraph" w:customStyle="1" w:styleId="H1CLB">
    <w:name w:val="H1_C+L+B"/>
    <w:basedOn w:val="Normal"/>
    <w:rsid w:val="00F27EBD"/>
    <w:pPr>
      <w:spacing w:before="240" w:after="240" w:line="240" w:lineRule="auto"/>
      <w:jc w:val="center"/>
    </w:pPr>
    <w:rPr>
      <w:bCs/>
      <w:spacing w:val="6"/>
      <w:kern w:val="16"/>
      <w:sz w:val="28"/>
      <w:szCs w:val="36"/>
      <w:lang w:eastAsia="ar-SA"/>
    </w:rPr>
  </w:style>
  <w:style w:type="paragraph" w:customStyle="1" w:styleId="H2CL">
    <w:name w:val="H2_C+L"/>
    <w:basedOn w:val="Normal"/>
    <w:rsid w:val="00F27EBD"/>
    <w:pPr>
      <w:spacing w:before="240" w:after="240" w:line="240" w:lineRule="auto"/>
      <w:jc w:val="center"/>
    </w:pPr>
    <w:rPr>
      <w:spacing w:val="6"/>
      <w:kern w:val="16"/>
      <w:sz w:val="28"/>
      <w:szCs w:val="36"/>
      <w:lang w:eastAsia="ar-SA"/>
    </w:rPr>
  </w:style>
  <w:style w:type="paragraph" w:customStyle="1" w:styleId="H3CB">
    <w:name w:val="H3_C+B"/>
    <w:basedOn w:val="Normal"/>
    <w:rsid w:val="00F27EBD"/>
    <w:pPr>
      <w:spacing w:before="240" w:after="240" w:line="240" w:lineRule="auto"/>
      <w:jc w:val="center"/>
    </w:pPr>
    <w:rPr>
      <w:b/>
      <w:bCs/>
      <w:spacing w:val="6"/>
      <w:kern w:val="16"/>
      <w:sz w:val="22"/>
      <w:lang w:eastAsia="ar-SA"/>
    </w:rPr>
  </w:style>
  <w:style w:type="paragraph" w:customStyle="1" w:styleId="H4CU">
    <w:name w:val="H4_C+U"/>
    <w:basedOn w:val="Normal"/>
    <w:rsid w:val="00F27EBD"/>
    <w:pPr>
      <w:spacing w:before="240" w:after="240" w:line="240" w:lineRule="auto"/>
      <w:jc w:val="center"/>
    </w:pPr>
    <w:rPr>
      <w:spacing w:val="6"/>
      <w:kern w:val="16"/>
      <w:sz w:val="22"/>
      <w:u w:val="single"/>
      <w:lang w:eastAsia="ar-SA"/>
    </w:rPr>
  </w:style>
  <w:style w:type="paragraph" w:customStyle="1" w:styleId="H5RLB">
    <w:name w:val="H5_R+L+B"/>
    <w:basedOn w:val="Normal"/>
    <w:rsid w:val="00F27EBD"/>
    <w:pPr>
      <w:spacing w:before="240" w:after="240" w:line="240" w:lineRule="auto"/>
      <w:jc w:val="both"/>
    </w:pPr>
    <w:rPr>
      <w:b/>
      <w:bCs/>
      <w:spacing w:val="6"/>
      <w:kern w:val="16"/>
      <w:sz w:val="28"/>
      <w:szCs w:val="36"/>
      <w:lang w:eastAsia="ar-SA"/>
    </w:rPr>
  </w:style>
  <w:style w:type="paragraph" w:customStyle="1" w:styleId="H6RL">
    <w:name w:val="H6_R+L"/>
    <w:basedOn w:val="Normal"/>
    <w:rsid w:val="00F27EBD"/>
    <w:pPr>
      <w:spacing w:before="240" w:after="240" w:line="240" w:lineRule="auto"/>
      <w:jc w:val="both"/>
    </w:pPr>
    <w:rPr>
      <w:spacing w:val="6"/>
      <w:kern w:val="16"/>
      <w:sz w:val="28"/>
      <w:szCs w:val="36"/>
      <w:lang w:eastAsia="ar-SA"/>
    </w:rPr>
  </w:style>
  <w:style w:type="paragraph" w:customStyle="1" w:styleId="H7RBI">
    <w:name w:val="H7_R+B+I"/>
    <w:basedOn w:val="Normal"/>
    <w:rsid w:val="00F27EBD"/>
    <w:pPr>
      <w:spacing w:before="240" w:after="240" w:line="240" w:lineRule="auto"/>
      <w:jc w:val="both"/>
    </w:pPr>
    <w:rPr>
      <w:b/>
      <w:bCs/>
      <w:i/>
      <w:iCs/>
      <w:spacing w:val="6"/>
      <w:kern w:val="16"/>
      <w:sz w:val="22"/>
      <w:lang w:eastAsia="ar-SA"/>
    </w:rPr>
  </w:style>
  <w:style w:type="paragraph" w:customStyle="1" w:styleId="H8">
    <w:name w:val="H8"/>
    <w:basedOn w:val="Normal"/>
    <w:rsid w:val="00F27EBD"/>
    <w:pPr>
      <w:spacing w:before="240" w:after="240" w:line="240" w:lineRule="auto"/>
      <w:jc w:val="both"/>
    </w:pPr>
    <w:rPr>
      <w:i/>
      <w:iCs/>
      <w:spacing w:val="6"/>
      <w:kern w:val="16"/>
      <w:sz w:val="22"/>
      <w:lang w:eastAsia="ar-SA"/>
    </w:rPr>
  </w:style>
  <w:style w:type="paragraph" w:customStyle="1" w:styleId="H8RI">
    <w:name w:val="H8_R+I"/>
    <w:basedOn w:val="Normal"/>
    <w:rsid w:val="00F27EBD"/>
    <w:pPr>
      <w:spacing w:before="240" w:after="240" w:line="240" w:lineRule="auto"/>
      <w:jc w:val="both"/>
    </w:pPr>
    <w:rPr>
      <w:i/>
      <w:iCs/>
      <w:spacing w:val="6"/>
      <w:kern w:val="16"/>
      <w:sz w:val="22"/>
      <w:lang w:eastAsia="ar-SA"/>
    </w:rPr>
  </w:style>
  <w:style w:type="paragraph" w:customStyle="1" w:styleId="H9RU">
    <w:name w:val="H9_R+U"/>
    <w:basedOn w:val="Normal"/>
    <w:rsid w:val="00F27EBD"/>
    <w:pPr>
      <w:spacing w:before="240" w:after="240" w:line="240" w:lineRule="auto"/>
      <w:jc w:val="both"/>
    </w:pPr>
    <w:rPr>
      <w:spacing w:val="6"/>
      <w:kern w:val="16"/>
      <w:sz w:val="22"/>
      <w:u w:val="single"/>
      <w:lang w:eastAsia="ar-SA"/>
    </w:rPr>
  </w:style>
  <w:style w:type="paragraph" w:customStyle="1" w:styleId="HCCIn">
    <w:name w:val="HC_C+In."/>
    <w:basedOn w:val="Normal"/>
    <w:rsid w:val="00F27EBD"/>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F27EBD"/>
    <w:pPr>
      <w:spacing w:before="240" w:after="240" w:line="240" w:lineRule="auto"/>
      <w:ind w:left="720" w:hanging="720"/>
      <w:jc w:val="both"/>
    </w:pPr>
    <w:rPr>
      <w:spacing w:val="6"/>
      <w:kern w:val="16"/>
      <w:sz w:val="22"/>
      <w:lang w:eastAsia="ar-SA"/>
    </w:rPr>
  </w:style>
  <w:style w:type="character" w:styleId="Hyperlink">
    <w:name w:val="Hyperlink"/>
    <w:rsid w:val="00F27EBD"/>
    <w:rPr>
      <w:color w:val="auto"/>
      <w:u w:val="none"/>
    </w:rPr>
  </w:style>
  <w:style w:type="paragraph" w:customStyle="1" w:styleId="HCCCm">
    <w:name w:val="HCC_Cm"/>
    <w:basedOn w:val="Normal"/>
    <w:rsid w:val="00F27EBD"/>
    <w:pPr>
      <w:keepNext/>
      <w:spacing w:before="240" w:after="240" w:line="240" w:lineRule="auto"/>
      <w:ind w:left="1985" w:right="1985"/>
      <w:jc w:val="both"/>
    </w:pPr>
    <w:rPr>
      <w:spacing w:val="6"/>
      <w:kern w:val="16"/>
      <w:sz w:val="22"/>
      <w:lang w:eastAsia="ar-SA"/>
    </w:rPr>
  </w:style>
  <w:style w:type="character" w:styleId="FollowedHyperlink">
    <w:name w:val="FollowedHyperlink"/>
    <w:rsid w:val="00F27E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4117</Words>
  <Characters>23469</Characters>
  <Application>Microsoft Office Word</Application>
  <DocSecurity>4</DocSecurity>
  <Lines>195</Lines>
  <Paragraphs>55</Paragraphs>
  <ScaleCrop>false</ScaleCrop>
  <HeadingPairs>
    <vt:vector size="2" baseType="variant">
      <vt:variant>
        <vt:lpstr>العنوان</vt:lpstr>
      </vt:variant>
      <vt:variant>
        <vt:i4>1</vt:i4>
      </vt:variant>
    </vt:vector>
  </HeadingPairs>
  <TitlesOfParts>
    <vt:vector size="1" baseType="lpstr">
      <vt:lpstr>Fadel</vt:lpstr>
    </vt:vector>
  </TitlesOfParts>
  <Company>CSD</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Fadel</dc:title>
  <dc:subject>ElShaer</dc:subject>
  <dc:creator>assi</dc:creator>
  <cp:keywords/>
  <dc:description/>
  <cp:lastModifiedBy>assi</cp:lastModifiedBy>
  <cp:revision>2</cp:revision>
  <cp:lastPrinted>2009-10-16T12:16:00Z</cp:lastPrinted>
  <dcterms:created xsi:type="dcterms:W3CDTF">2011-10-18T14:05:00Z</dcterms:created>
  <dcterms:modified xsi:type="dcterms:W3CDTF">2011-10-18T14:05:00Z</dcterms:modified>
</cp:coreProperties>
</file>