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039E821E" w14:textId="77777777" w:rsidTr="00912700">
        <w:trPr>
          <w:trHeight w:hRule="exact" w:val="851"/>
        </w:trPr>
        <w:tc>
          <w:tcPr>
            <w:tcW w:w="1274" w:type="dxa"/>
            <w:tcBorders>
              <w:bottom w:val="single" w:sz="4" w:space="0" w:color="auto"/>
            </w:tcBorders>
          </w:tcPr>
          <w:p w14:paraId="3A66BDEC" w14:textId="77777777" w:rsidR="006B3E27" w:rsidRPr="005445EF" w:rsidRDefault="006B3E27" w:rsidP="007D5247">
            <w:pPr>
              <w:kinsoku w:val="0"/>
              <w:overflowPunct w:val="0"/>
              <w:autoSpaceDE w:val="0"/>
              <w:autoSpaceDN w:val="0"/>
              <w:adjustRightInd w:val="0"/>
              <w:snapToGrid w:val="0"/>
              <w:spacing w:after="80" w:line="480" w:lineRule="exact"/>
              <w:jc w:val="left"/>
              <w:rPr>
                <w:szCs w:val="40"/>
                <w:rtl/>
              </w:rPr>
            </w:pPr>
          </w:p>
        </w:tc>
        <w:tc>
          <w:tcPr>
            <w:tcW w:w="4679" w:type="dxa"/>
            <w:tcBorders>
              <w:bottom w:val="single" w:sz="4" w:space="0" w:color="auto"/>
            </w:tcBorders>
            <w:vAlign w:val="bottom"/>
          </w:tcPr>
          <w:p w14:paraId="1290CF91" w14:textId="77777777" w:rsidR="006B3E27" w:rsidRPr="005445EF" w:rsidRDefault="006B3E27" w:rsidP="00F83E84">
            <w:pPr>
              <w:spacing w:after="80" w:line="480" w:lineRule="exact"/>
              <w:ind w:left="57"/>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5877B66E" w14:textId="332279DC" w:rsidR="006B3E27" w:rsidRPr="00BA35E5" w:rsidRDefault="00BA35E5" w:rsidP="00BA35E5">
            <w:pPr>
              <w:bidi w:val="0"/>
              <w:jc w:val="left"/>
            </w:pPr>
            <w:r w:rsidRPr="004E7B27">
              <w:rPr>
                <w:sz w:val="40"/>
              </w:rPr>
              <w:t>CERD</w:t>
            </w:r>
            <w:r w:rsidRPr="004E7B27">
              <w:t>/C/KAZ/CO/</w:t>
            </w:r>
            <w:r w:rsidRPr="003B6D07">
              <w:t>8</w:t>
            </w:r>
            <w:r w:rsidRPr="004E7B27">
              <w:t>-</w:t>
            </w:r>
            <w:r w:rsidRPr="003B6D07">
              <w:t>10</w:t>
            </w:r>
          </w:p>
        </w:tc>
      </w:tr>
      <w:tr w:rsidR="006B3E27" w:rsidRPr="005445EF" w14:paraId="5F69038A" w14:textId="77777777" w:rsidTr="00912700">
        <w:trPr>
          <w:trHeight w:hRule="exact" w:val="2835"/>
        </w:trPr>
        <w:tc>
          <w:tcPr>
            <w:tcW w:w="1274" w:type="dxa"/>
            <w:tcBorders>
              <w:top w:val="single" w:sz="4" w:space="0" w:color="auto"/>
              <w:bottom w:val="single" w:sz="12" w:space="0" w:color="auto"/>
            </w:tcBorders>
          </w:tcPr>
          <w:p w14:paraId="72F25871" w14:textId="77777777" w:rsidR="006B3E27" w:rsidRPr="005445EF" w:rsidRDefault="0059622A" w:rsidP="00912700">
            <w:pPr>
              <w:jc w:val="center"/>
              <w:rPr>
                <w:rtl/>
              </w:rPr>
            </w:pPr>
            <w:r w:rsidRPr="005445EF">
              <w:rPr>
                <w:noProof/>
              </w:rPr>
              <w:drawing>
                <wp:inline distT="0" distB="0" distL="0" distR="0" wp14:anchorId="1E5F44C5" wp14:editId="47DDF489">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5637D2F2" w14:textId="77777777" w:rsidR="006B3E27" w:rsidRPr="003B6D07" w:rsidRDefault="001E1CAD" w:rsidP="00F83E84">
            <w:pPr>
              <w:spacing w:before="120" w:after="40" w:line="640" w:lineRule="exact"/>
              <w:ind w:left="57"/>
              <w:jc w:val="left"/>
              <w:rPr>
                <w:b/>
                <w:bCs/>
                <w:sz w:val="46"/>
                <w:szCs w:val="46"/>
                <w:rtl/>
              </w:rPr>
            </w:pPr>
            <w:r w:rsidRPr="003B6D07">
              <w:rPr>
                <w:rFonts w:hint="cs"/>
                <w:b/>
                <w:bCs/>
                <w:sz w:val="46"/>
                <w:szCs w:val="46"/>
                <w:rtl/>
              </w:rPr>
              <w:t>ا</w:t>
            </w:r>
            <w:r w:rsidR="00523BAE" w:rsidRPr="003B6D07">
              <w:rPr>
                <w:rFonts w:hint="cs"/>
                <w:b/>
                <w:bCs/>
                <w:sz w:val="46"/>
                <w:szCs w:val="46"/>
                <w:rtl/>
              </w:rPr>
              <w:t>لا</w:t>
            </w:r>
            <w:r w:rsidR="004A14A6" w:rsidRPr="003B6D07">
              <w:rPr>
                <w:rFonts w:hint="cs"/>
                <w:b/>
                <w:bCs/>
                <w:sz w:val="46"/>
                <w:szCs w:val="46"/>
                <w:rtl/>
              </w:rPr>
              <w:t>تفاقي</w:t>
            </w:r>
            <w:r w:rsidR="00523BAE" w:rsidRPr="003B6D07">
              <w:rPr>
                <w:rFonts w:hint="cs"/>
                <w:b/>
                <w:bCs/>
                <w:sz w:val="46"/>
                <w:szCs w:val="46"/>
                <w:rtl/>
              </w:rPr>
              <w:t>ـ</w:t>
            </w:r>
            <w:r w:rsidR="004A14A6" w:rsidRPr="003B6D07">
              <w:rPr>
                <w:rFonts w:hint="cs"/>
                <w:b/>
                <w:bCs/>
                <w:sz w:val="46"/>
                <w:szCs w:val="46"/>
                <w:rtl/>
              </w:rPr>
              <w:t xml:space="preserve">ة </w:t>
            </w:r>
            <w:r w:rsidR="00523BAE" w:rsidRPr="003B6D07">
              <w:rPr>
                <w:rFonts w:hint="cs"/>
                <w:b/>
                <w:bCs/>
                <w:sz w:val="46"/>
                <w:szCs w:val="46"/>
                <w:rtl/>
              </w:rPr>
              <w:t>الدوليـة ل</w:t>
            </w:r>
            <w:r w:rsidR="004A14A6" w:rsidRPr="003B6D07">
              <w:rPr>
                <w:rFonts w:hint="cs"/>
                <w:b/>
                <w:bCs/>
                <w:sz w:val="46"/>
                <w:szCs w:val="46"/>
                <w:rtl/>
              </w:rPr>
              <w:t>لقض</w:t>
            </w:r>
            <w:r w:rsidR="00523BAE" w:rsidRPr="003B6D07">
              <w:rPr>
                <w:rFonts w:hint="cs"/>
                <w:b/>
                <w:bCs/>
                <w:sz w:val="46"/>
                <w:szCs w:val="46"/>
                <w:rtl/>
              </w:rPr>
              <w:t>ــ</w:t>
            </w:r>
            <w:r w:rsidR="004A14A6" w:rsidRPr="003B6D07">
              <w:rPr>
                <w:rFonts w:hint="cs"/>
                <w:b/>
                <w:bCs/>
                <w:sz w:val="46"/>
                <w:szCs w:val="46"/>
                <w:rtl/>
              </w:rPr>
              <w:t>اء عل</w:t>
            </w:r>
            <w:r w:rsidR="00523BAE" w:rsidRPr="003B6D07">
              <w:rPr>
                <w:rFonts w:hint="cs"/>
                <w:b/>
                <w:bCs/>
                <w:sz w:val="46"/>
                <w:szCs w:val="46"/>
                <w:rtl/>
              </w:rPr>
              <w:t>ـ</w:t>
            </w:r>
            <w:r w:rsidR="004A14A6" w:rsidRPr="003B6D07">
              <w:rPr>
                <w:rFonts w:hint="cs"/>
                <w:b/>
                <w:bCs/>
                <w:sz w:val="46"/>
                <w:szCs w:val="46"/>
                <w:rtl/>
              </w:rPr>
              <w:t xml:space="preserve">ى جميع أشكال التمييز </w:t>
            </w:r>
            <w:r w:rsidR="00523BAE" w:rsidRPr="003B6D07">
              <w:rPr>
                <w:rFonts w:hint="cs"/>
                <w:b/>
                <w:bCs/>
                <w:sz w:val="46"/>
                <w:szCs w:val="46"/>
                <w:rtl/>
              </w:rPr>
              <w:t>العنصري</w:t>
            </w:r>
          </w:p>
        </w:tc>
        <w:tc>
          <w:tcPr>
            <w:tcW w:w="3686" w:type="dxa"/>
            <w:tcBorders>
              <w:top w:val="single" w:sz="4" w:space="0" w:color="auto"/>
              <w:bottom w:val="single" w:sz="12" w:space="0" w:color="auto"/>
            </w:tcBorders>
          </w:tcPr>
          <w:p w14:paraId="228080E6" w14:textId="5F9736F9" w:rsidR="00887ECB" w:rsidRPr="00887ECB" w:rsidRDefault="00887ECB" w:rsidP="00887ECB">
            <w:pPr>
              <w:suppressAutoHyphens/>
              <w:bidi w:val="0"/>
              <w:spacing w:before="240"/>
              <w:jc w:val="left"/>
              <w:rPr>
                <w:rFonts w:eastAsia="Times New Roman" w:cs="Times New Roman"/>
                <w:lang w:val="en-GB"/>
              </w:rPr>
            </w:pPr>
            <w:r w:rsidRPr="00887ECB">
              <w:rPr>
                <w:rFonts w:eastAsia="Times New Roman" w:cs="Times New Roman"/>
                <w:lang w:val="en-GB"/>
              </w:rPr>
              <w:t>Dist</w:t>
            </w:r>
            <w:r w:rsidR="004E7B27" w:rsidRPr="00887ECB">
              <w:rPr>
                <w:rFonts w:eastAsia="Times New Roman" w:cs="Times New Roman"/>
                <w:lang w:val="en-GB"/>
              </w:rPr>
              <w:t>r.:</w:t>
            </w:r>
            <w:r w:rsidRPr="00887ECB">
              <w:rPr>
                <w:rFonts w:eastAsia="Times New Roman" w:cs="Times New Roman"/>
                <w:lang w:val="en-GB"/>
              </w:rPr>
              <w:t xml:space="preserve"> General</w:t>
            </w:r>
          </w:p>
          <w:p w14:paraId="36DDC3C2" w14:textId="77777777" w:rsidR="00887ECB" w:rsidRPr="00887ECB" w:rsidRDefault="00887ECB" w:rsidP="00887ECB">
            <w:pPr>
              <w:bidi w:val="0"/>
              <w:jc w:val="left"/>
              <w:rPr>
                <w:rFonts w:eastAsia="Times New Roman" w:cs="Times New Roman"/>
                <w:lang w:val="en-GB"/>
              </w:rPr>
            </w:pPr>
            <w:r w:rsidRPr="003B6D07">
              <w:rPr>
                <w:rFonts w:eastAsia="Times New Roman" w:cs="Times New Roman"/>
                <w:lang w:val="en-GB"/>
              </w:rPr>
              <w:t>4</w:t>
            </w:r>
            <w:r w:rsidRPr="00887ECB">
              <w:rPr>
                <w:rFonts w:eastAsia="Times New Roman" w:cs="Times New Roman"/>
                <w:lang w:val="en-GB"/>
              </w:rPr>
              <w:t xml:space="preserve"> July </w:t>
            </w:r>
            <w:r w:rsidRPr="003B6D07">
              <w:rPr>
                <w:rFonts w:eastAsia="Times New Roman" w:cs="Times New Roman"/>
                <w:lang w:val="en-GB"/>
              </w:rPr>
              <w:t>2022</w:t>
            </w:r>
          </w:p>
          <w:p w14:paraId="74ABB8E6" w14:textId="4B8EEC51" w:rsidR="00887ECB" w:rsidRPr="00887ECB" w:rsidRDefault="00887ECB" w:rsidP="00887ECB">
            <w:pPr>
              <w:bidi w:val="0"/>
              <w:jc w:val="left"/>
              <w:rPr>
                <w:rFonts w:eastAsia="Times New Roman" w:cs="Times New Roman"/>
                <w:lang w:val="en-GB"/>
              </w:rPr>
            </w:pPr>
            <w:r>
              <w:rPr>
                <w:rFonts w:eastAsia="Times New Roman" w:cs="Times New Roman"/>
                <w:lang w:val="en-GB"/>
              </w:rPr>
              <w:t>Arabic</w:t>
            </w:r>
          </w:p>
          <w:p w14:paraId="36A47D55" w14:textId="090F6B49" w:rsidR="00BA35E5" w:rsidRPr="00887ECB" w:rsidRDefault="00887ECB" w:rsidP="00887ECB">
            <w:pPr>
              <w:bidi w:val="0"/>
              <w:spacing w:line="240" w:lineRule="exact"/>
              <w:jc w:val="left"/>
              <w:rPr>
                <w:lang w:val="en-GB"/>
              </w:rPr>
            </w:pPr>
            <w:r w:rsidRPr="00887ECB">
              <w:rPr>
                <w:rFonts w:eastAsia="Times New Roman" w:cs="Times New Roman"/>
                <w:lang w:val="en-GB" w:eastAsia="en-US"/>
              </w:rPr>
              <w:t>Origina</w:t>
            </w:r>
            <w:r w:rsidR="004E7B27" w:rsidRPr="004E7B27">
              <w:rPr>
                <w:rFonts w:eastAsia="Times New Roman" w:cs="Times New Roman"/>
                <w:lang w:val="en-GB" w:eastAsia="en-US"/>
              </w:rPr>
              <w:t xml:space="preserve">l: </w:t>
            </w:r>
            <w:r w:rsidRPr="00887ECB">
              <w:rPr>
                <w:rFonts w:eastAsia="Times New Roman" w:cs="Times New Roman"/>
                <w:lang w:val="en-GB" w:eastAsia="en-US"/>
              </w:rPr>
              <w:t>English</w:t>
            </w:r>
          </w:p>
        </w:tc>
      </w:tr>
    </w:tbl>
    <w:p w14:paraId="2FC8D28C" w14:textId="77777777" w:rsidR="002907F3" w:rsidRPr="003B6D07" w:rsidRDefault="002907F3" w:rsidP="002907F3">
      <w:pPr>
        <w:pStyle w:val="SingleTxtGA"/>
        <w:spacing w:before="120"/>
        <w:ind w:left="0"/>
        <w:rPr>
          <w:b/>
          <w:bCs/>
          <w:sz w:val="26"/>
          <w:szCs w:val="26"/>
          <w:lang w:val="en-US"/>
        </w:rPr>
      </w:pPr>
      <w:r w:rsidRPr="003B6D07">
        <w:rPr>
          <w:b/>
          <w:bCs/>
          <w:sz w:val="26"/>
          <w:szCs w:val="26"/>
          <w:rtl/>
          <w:lang w:val="en-US"/>
        </w:rPr>
        <w:t>لجنة القضاء على التمييز العنصري</w:t>
      </w:r>
    </w:p>
    <w:p w14:paraId="464223B8" w14:textId="3DCEF69C" w:rsidR="002907F3" w:rsidRPr="003B6D07" w:rsidRDefault="002907F3" w:rsidP="002907F3">
      <w:pPr>
        <w:pStyle w:val="HChGA"/>
      </w:pPr>
      <w:r w:rsidRPr="003B6D07">
        <w:rPr>
          <w:rtl/>
        </w:rPr>
        <w:tab/>
      </w:r>
      <w:r w:rsidRPr="003B6D07">
        <w:rPr>
          <w:rtl/>
        </w:rPr>
        <w:tab/>
        <w:t>الملاحظات الختامية بشأن التقرير الجامع للتقارير من الثامن إلى العاشر لكازاخستان</w:t>
      </w:r>
      <w:r w:rsidRPr="003B6D07">
        <w:rPr>
          <w:rStyle w:val="FootnoteReference"/>
          <w:sz w:val="22"/>
          <w:szCs w:val="22"/>
          <w:vertAlign w:val="baseline"/>
          <w:rtl/>
        </w:rPr>
        <w:footnoteReference w:customMarkFollows="1" w:id="1"/>
        <w:t>*</w:t>
      </w:r>
    </w:p>
    <w:p w14:paraId="72612208" w14:textId="637B67B7" w:rsidR="002907F3" w:rsidRPr="002907F3" w:rsidRDefault="002907F3" w:rsidP="006D48B1">
      <w:pPr>
        <w:pStyle w:val="SingleTxtGA"/>
        <w:spacing w:line="346" w:lineRule="exact"/>
        <w:rPr>
          <w:lang w:val="en-US"/>
        </w:rPr>
      </w:pPr>
      <w:r w:rsidRPr="003B6D07">
        <w:rPr>
          <w:rtl/>
          <w:lang w:val="en-US"/>
        </w:rPr>
        <w:t>1</w:t>
      </w:r>
      <w:r w:rsidRPr="002907F3">
        <w:rPr>
          <w:rtl/>
          <w:lang w:val="en-US"/>
        </w:rPr>
        <w:t>-</w:t>
      </w:r>
      <w:r w:rsidRPr="002907F3">
        <w:rPr>
          <w:rtl/>
          <w:lang w:val="en-US"/>
        </w:rPr>
        <w:tab/>
        <w:t>نظرت اللجنة في التقرير الجامع للتقارير الدورية من الثامن إلى العاشر لكازاخستان</w:t>
      </w:r>
      <w:r w:rsidR="004E7B27" w:rsidRPr="00DD6B0E">
        <w:rPr>
          <w:rStyle w:val="FootnoteReference"/>
          <w:szCs w:val="22"/>
          <w:rtl/>
          <w:lang w:val="en-US"/>
        </w:rPr>
        <w:t>(</w:t>
      </w:r>
      <w:r w:rsidR="004E7B27" w:rsidRPr="003B6D07">
        <w:rPr>
          <w:rStyle w:val="FootnoteReference"/>
          <w:szCs w:val="22"/>
          <w:lang w:val="en-US"/>
        </w:rPr>
        <w:footnoteReference w:id="2"/>
      </w:r>
      <w:r w:rsidR="004E7B27" w:rsidRPr="004E7B27">
        <w:rPr>
          <w:vertAlign w:val="superscript"/>
          <w:rtl/>
          <w:lang w:val="en-US"/>
        </w:rPr>
        <w:t>)</w:t>
      </w:r>
      <w:r w:rsidR="004E7B27" w:rsidRPr="004E7B27">
        <w:rPr>
          <w:rtl/>
          <w:lang w:val="en-US"/>
        </w:rPr>
        <w:t xml:space="preserve">، </w:t>
      </w:r>
      <w:r w:rsidRPr="002907F3">
        <w:rPr>
          <w:rtl/>
          <w:lang w:val="en-US"/>
        </w:rPr>
        <w:t xml:space="preserve">المقدمة </w:t>
      </w:r>
      <w:r w:rsidRPr="006D48B1">
        <w:rPr>
          <w:spacing w:val="-4"/>
          <w:rtl/>
          <w:lang w:val="en-US"/>
        </w:rPr>
        <w:t>في وثيقة واحدة، والتي عرضتها الدولة الطرف خلال حضورها الرابع أمام اللجنة، في جلستيها</w:t>
      </w:r>
      <w:r w:rsidR="00605870">
        <w:rPr>
          <w:rFonts w:hint="cs"/>
          <w:spacing w:val="-4"/>
          <w:rtl/>
          <w:lang w:val="en-US"/>
        </w:rPr>
        <w:t xml:space="preserve"> </w:t>
      </w:r>
      <w:r w:rsidRPr="003B6D07">
        <w:rPr>
          <w:spacing w:val="-4"/>
          <w:rtl/>
          <w:lang w:val="en-US"/>
        </w:rPr>
        <w:t>2879</w:t>
      </w:r>
      <w:r w:rsidRPr="006D48B1">
        <w:rPr>
          <w:spacing w:val="-4"/>
          <w:rtl/>
          <w:lang w:val="en-US"/>
        </w:rPr>
        <w:t xml:space="preserve"> و</w:t>
      </w:r>
      <w:r w:rsidRPr="003B6D07">
        <w:rPr>
          <w:spacing w:val="-4"/>
          <w:rtl/>
          <w:lang w:val="en-US"/>
        </w:rPr>
        <w:t>2880</w:t>
      </w:r>
      <w:r w:rsidRPr="006D48B1">
        <w:rPr>
          <w:spacing w:val="-4"/>
          <w:rtl/>
          <w:lang w:val="en-US"/>
        </w:rPr>
        <w:t xml:space="preserve"> المعقودتين</w:t>
      </w:r>
      <w:r w:rsidRPr="002907F3">
        <w:rPr>
          <w:rtl/>
          <w:lang w:val="en-US"/>
        </w:rPr>
        <w:t xml:space="preserve"> في </w:t>
      </w:r>
      <w:r w:rsidRPr="003B6D07">
        <w:rPr>
          <w:rtl/>
          <w:lang w:val="en-US"/>
        </w:rPr>
        <w:t>21</w:t>
      </w:r>
      <w:r w:rsidRPr="002907F3">
        <w:rPr>
          <w:rtl/>
          <w:lang w:val="en-US"/>
        </w:rPr>
        <w:t xml:space="preserve"> و</w:t>
      </w:r>
      <w:r w:rsidRPr="003B6D07">
        <w:rPr>
          <w:rtl/>
          <w:lang w:val="en-US"/>
        </w:rPr>
        <w:t>22</w:t>
      </w:r>
      <w:r w:rsidRPr="002907F3">
        <w:rPr>
          <w:rtl/>
          <w:lang w:val="en-US"/>
        </w:rPr>
        <w:t xml:space="preserve"> نيسان/أبريل </w:t>
      </w:r>
      <w:r w:rsidRPr="003B6D07">
        <w:rPr>
          <w:rtl/>
          <w:lang w:val="en-US"/>
        </w:rPr>
        <w:t>2022</w:t>
      </w:r>
      <w:r w:rsidR="004E7B27" w:rsidRPr="00DD6B0E">
        <w:rPr>
          <w:rStyle w:val="FootnoteReference"/>
          <w:szCs w:val="22"/>
          <w:rtl/>
          <w:lang w:val="en-US"/>
        </w:rPr>
        <w:t>(</w:t>
      </w:r>
      <w:r w:rsidR="004E7B27" w:rsidRPr="003B6D07">
        <w:rPr>
          <w:rStyle w:val="FootnoteReference"/>
          <w:szCs w:val="22"/>
          <w:lang w:val="en-US"/>
        </w:rPr>
        <w:footnoteReference w:id="3"/>
      </w:r>
      <w:r w:rsidR="004E7B27" w:rsidRPr="004E7B27">
        <w:rPr>
          <w:vertAlign w:val="superscript"/>
          <w:rtl/>
          <w:lang w:val="en-US"/>
        </w:rPr>
        <w:t>)</w:t>
      </w:r>
      <w:r w:rsidR="004E7B27" w:rsidRPr="004E7B27">
        <w:rPr>
          <w:rtl/>
          <w:lang w:val="en-US"/>
        </w:rPr>
        <w:t xml:space="preserve">. </w:t>
      </w:r>
      <w:r w:rsidRPr="002907F3">
        <w:rPr>
          <w:rtl/>
          <w:lang w:val="en-US"/>
        </w:rPr>
        <w:t xml:space="preserve">واعتمدت اللجنة في جلستها </w:t>
      </w:r>
      <w:r w:rsidRPr="003B6D07">
        <w:rPr>
          <w:rtl/>
          <w:lang w:val="en-US"/>
        </w:rPr>
        <w:t>2885</w:t>
      </w:r>
      <w:r w:rsidRPr="002907F3">
        <w:rPr>
          <w:rtl/>
          <w:lang w:val="en-US"/>
        </w:rPr>
        <w:t xml:space="preserve"> المعقودة في </w:t>
      </w:r>
      <w:r w:rsidRPr="003B6D07">
        <w:rPr>
          <w:rtl/>
          <w:lang w:val="en-US"/>
        </w:rPr>
        <w:t>26</w:t>
      </w:r>
      <w:r w:rsidRPr="002907F3">
        <w:rPr>
          <w:rtl/>
          <w:lang w:val="en-US"/>
        </w:rPr>
        <w:t xml:space="preserve"> نيسان/أبريل </w:t>
      </w:r>
      <w:r w:rsidRPr="003B6D07">
        <w:rPr>
          <w:rtl/>
          <w:lang w:val="en-US"/>
        </w:rPr>
        <w:t>2022</w:t>
      </w:r>
      <w:r w:rsidRPr="002907F3">
        <w:rPr>
          <w:rtl/>
          <w:lang w:val="en-US"/>
        </w:rPr>
        <w:t xml:space="preserve"> هذه الملاحظات الختامية.</w:t>
      </w:r>
    </w:p>
    <w:p w14:paraId="13638518" w14:textId="796EE884" w:rsidR="002907F3" w:rsidRPr="003B6D07" w:rsidRDefault="002907F3" w:rsidP="002907F3">
      <w:pPr>
        <w:pStyle w:val="H1GA"/>
      </w:pPr>
      <w:r w:rsidRPr="003B6D07">
        <w:rPr>
          <w:rtl/>
        </w:rPr>
        <w:tab/>
        <w:t>ألف-</w:t>
      </w:r>
      <w:r w:rsidRPr="003B6D07">
        <w:rPr>
          <w:rtl/>
        </w:rPr>
        <w:tab/>
        <w:t>مقدمة</w:t>
      </w:r>
    </w:p>
    <w:p w14:paraId="6BF5AAAE" w14:textId="77777777" w:rsidR="002907F3" w:rsidRPr="002907F3" w:rsidRDefault="002907F3" w:rsidP="006D48B1">
      <w:pPr>
        <w:pStyle w:val="SingleTxtGA"/>
        <w:spacing w:line="346" w:lineRule="exact"/>
        <w:rPr>
          <w:lang w:val="en-US"/>
        </w:rPr>
      </w:pPr>
      <w:r w:rsidRPr="003B6D07">
        <w:rPr>
          <w:rtl/>
          <w:lang w:val="en-US"/>
        </w:rPr>
        <w:t>2</w:t>
      </w:r>
      <w:r w:rsidRPr="002907F3">
        <w:rPr>
          <w:rtl/>
          <w:lang w:val="en-US"/>
        </w:rPr>
        <w:t>-</w:t>
      </w:r>
      <w:r w:rsidRPr="002907F3">
        <w:rPr>
          <w:rtl/>
          <w:lang w:val="en-US"/>
        </w:rPr>
        <w:tab/>
        <w:t>ترحب اللجنة بتقديم التقرير الجامع للتقارير الدورية من الثامن إلى العاشر للدولة الطرف. وترحب اللجنة أيضاً بالحوار البناء مع وفد الدولة الطرف، وتشكر الوفد على المعلومات التي قدمها أثناء النظر في التقرير وبعد الحوار.</w:t>
      </w:r>
    </w:p>
    <w:p w14:paraId="4AA1C18F" w14:textId="2EDB0705" w:rsidR="002907F3" w:rsidRPr="003B6D07" w:rsidRDefault="002907F3" w:rsidP="002907F3">
      <w:pPr>
        <w:pStyle w:val="H1GA"/>
      </w:pPr>
      <w:r w:rsidRPr="003B6D07">
        <w:rPr>
          <w:rtl/>
        </w:rPr>
        <w:tab/>
        <w:t>باء-</w:t>
      </w:r>
      <w:r w:rsidRPr="003B6D07">
        <w:rPr>
          <w:rtl/>
        </w:rPr>
        <w:tab/>
        <w:t>الجوانب الإيجابية</w:t>
      </w:r>
    </w:p>
    <w:p w14:paraId="3A8B579A" w14:textId="77777777" w:rsidR="002907F3" w:rsidRPr="002907F3" w:rsidRDefault="002907F3" w:rsidP="006D48B1">
      <w:pPr>
        <w:pStyle w:val="SingleTxtGA"/>
        <w:spacing w:line="346" w:lineRule="exact"/>
        <w:rPr>
          <w:lang w:val="en-US"/>
        </w:rPr>
      </w:pPr>
      <w:r w:rsidRPr="003B6D07">
        <w:rPr>
          <w:rtl/>
          <w:lang w:val="en-US"/>
        </w:rPr>
        <w:t>3</w:t>
      </w:r>
      <w:r w:rsidRPr="002907F3">
        <w:rPr>
          <w:rtl/>
          <w:lang w:val="en-US"/>
        </w:rPr>
        <w:t>-</w:t>
      </w:r>
      <w:r w:rsidRPr="002907F3">
        <w:rPr>
          <w:rtl/>
          <w:lang w:val="en-US"/>
        </w:rPr>
        <w:tab/>
        <w:t>ترحب اللجنة بتصديق الدولة الطرف على الصكوك الدولية التالية:</w:t>
      </w:r>
    </w:p>
    <w:p w14:paraId="0EAC81D2" w14:textId="23A906FC" w:rsidR="002907F3" w:rsidRPr="002907F3" w:rsidRDefault="002907F3" w:rsidP="006D48B1">
      <w:pPr>
        <w:pStyle w:val="SingleTxtGA"/>
        <w:spacing w:line="346" w:lineRule="exact"/>
        <w:rPr>
          <w:lang w:val="en-US"/>
        </w:rPr>
      </w:pPr>
      <w:r>
        <w:rPr>
          <w:rtl/>
          <w:lang w:val="en-US"/>
        </w:rPr>
        <w:tab/>
      </w:r>
      <w:r w:rsidRPr="002907F3">
        <w:rPr>
          <w:rtl/>
          <w:lang w:val="en-US"/>
        </w:rPr>
        <w:t>(أ)</w:t>
      </w:r>
      <w:r w:rsidRPr="002907F3">
        <w:rPr>
          <w:rtl/>
          <w:lang w:val="en-US"/>
        </w:rPr>
        <w:tab/>
      </w:r>
      <w:r w:rsidRPr="006D48B1">
        <w:rPr>
          <w:spacing w:val="-4"/>
          <w:rtl/>
          <w:lang w:val="en-US"/>
        </w:rPr>
        <w:t>البروتوكول الاختياري الثاني الملحق بالعهد الدولي الخاص بالحقوق المدنية والسياسية</w:t>
      </w:r>
      <w:r w:rsidRPr="002907F3">
        <w:rPr>
          <w:rtl/>
          <w:lang w:val="en-US"/>
        </w:rPr>
        <w:t xml:space="preserve">، الهادف إلى إلغاء عقوبة الإعدام، في عام </w:t>
      </w:r>
      <w:r w:rsidRPr="003B6D07">
        <w:rPr>
          <w:rtl/>
          <w:lang w:val="en-US"/>
        </w:rPr>
        <w:t>2022</w:t>
      </w:r>
      <w:r w:rsidRPr="002907F3">
        <w:rPr>
          <w:rtl/>
          <w:lang w:val="en-US"/>
        </w:rPr>
        <w:t>؛</w:t>
      </w:r>
    </w:p>
    <w:p w14:paraId="1F0C542E" w14:textId="43CE2077" w:rsidR="004E7B27" w:rsidRPr="004E7B27" w:rsidRDefault="002907F3" w:rsidP="006D48B1">
      <w:pPr>
        <w:pStyle w:val="SingleTxtGA"/>
        <w:spacing w:line="346" w:lineRule="exact"/>
        <w:rPr>
          <w:lang w:val="en-US"/>
        </w:rPr>
      </w:pPr>
      <w:r>
        <w:rPr>
          <w:rtl/>
          <w:lang w:val="en-US"/>
        </w:rPr>
        <w:tab/>
      </w:r>
      <w:r w:rsidRPr="002907F3">
        <w:rPr>
          <w:rtl/>
          <w:lang w:val="en-US"/>
        </w:rPr>
        <w:t>(ب)</w:t>
      </w:r>
      <w:r w:rsidRPr="002907F3">
        <w:rPr>
          <w:rtl/>
          <w:lang w:val="en-US"/>
        </w:rPr>
        <w:tab/>
        <w:t xml:space="preserve">اتفاقية حقوق الأشخاص ذوي الإعاقة، في عام </w:t>
      </w:r>
      <w:r w:rsidRPr="003B6D07">
        <w:rPr>
          <w:rtl/>
          <w:lang w:val="en-US"/>
        </w:rPr>
        <w:t>201</w:t>
      </w:r>
      <w:r w:rsidR="004E7B27" w:rsidRPr="003B6D07">
        <w:rPr>
          <w:rtl/>
          <w:lang w:val="en-US"/>
        </w:rPr>
        <w:t>5</w:t>
      </w:r>
      <w:r w:rsidR="004E7B27" w:rsidRPr="004E7B27">
        <w:rPr>
          <w:rtl/>
          <w:lang w:val="en-US"/>
        </w:rPr>
        <w:t>.</w:t>
      </w:r>
    </w:p>
    <w:p w14:paraId="27AADFDC" w14:textId="37063DE8" w:rsidR="002907F3" w:rsidRPr="006D48B1" w:rsidRDefault="002907F3" w:rsidP="006D48B1">
      <w:pPr>
        <w:pStyle w:val="SingleTxtGA"/>
        <w:spacing w:line="346" w:lineRule="exact"/>
        <w:rPr>
          <w:spacing w:val="-4"/>
          <w:lang w:val="en-US"/>
        </w:rPr>
      </w:pPr>
      <w:r w:rsidRPr="003B6D07">
        <w:rPr>
          <w:rtl/>
          <w:lang w:val="en-US"/>
        </w:rPr>
        <w:t>4</w:t>
      </w:r>
      <w:r w:rsidRPr="002907F3">
        <w:rPr>
          <w:rtl/>
          <w:lang w:val="en-US"/>
        </w:rPr>
        <w:t>-</w:t>
      </w:r>
      <w:r w:rsidRPr="002907F3">
        <w:rPr>
          <w:rtl/>
          <w:lang w:val="en-US"/>
        </w:rPr>
        <w:tab/>
      </w:r>
      <w:r w:rsidRPr="006D48B1">
        <w:rPr>
          <w:spacing w:val="-4"/>
          <w:rtl/>
          <w:lang w:val="en-US"/>
        </w:rPr>
        <w:t xml:space="preserve">وترحب اللجنة أيضاً بالتدابير التشريعية والمؤسسية </w:t>
      </w:r>
      <w:proofErr w:type="spellStart"/>
      <w:r w:rsidRPr="006D48B1">
        <w:rPr>
          <w:spacing w:val="-4"/>
          <w:rtl/>
          <w:lang w:val="en-US"/>
        </w:rPr>
        <w:t>والسياساتية</w:t>
      </w:r>
      <w:proofErr w:type="spellEnd"/>
      <w:r w:rsidRPr="006D48B1">
        <w:rPr>
          <w:spacing w:val="-4"/>
          <w:rtl/>
          <w:lang w:val="en-US"/>
        </w:rPr>
        <w:t xml:space="preserve"> التالية التي اتخذتها الدولة الطرف:</w:t>
      </w:r>
    </w:p>
    <w:p w14:paraId="615ACCAB" w14:textId="421E9014" w:rsidR="002907F3" w:rsidRPr="002907F3" w:rsidRDefault="002907F3" w:rsidP="006D48B1">
      <w:pPr>
        <w:pStyle w:val="SingleTxtGA"/>
        <w:spacing w:line="346" w:lineRule="exact"/>
        <w:rPr>
          <w:lang w:val="en-US"/>
        </w:rPr>
      </w:pPr>
      <w:r>
        <w:rPr>
          <w:rtl/>
          <w:lang w:val="en-US"/>
        </w:rPr>
        <w:tab/>
      </w:r>
      <w:r w:rsidRPr="002907F3">
        <w:rPr>
          <w:rtl/>
          <w:lang w:val="en-US"/>
        </w:rPr>
        <w:t>(أ)</w:t>
      </w:r>
      <w:r w:rsidRPr="002907F3">
        <w:rPr>
          <w:rtl/>
          <w:lang w:val="en-US"/>
        </w:rPr>
        <w:tab/>
      </w:r>
      <w:r w:rsidRPr="006D48B1">
        <w:rPr>
          <w:spacing w:val="-4"/>
          <w:rtl/>
          <w:lang w:val="en-US"/>
        </w:rPr>
        <w:t xml:space="preserve">إنشاء لجنة تنمية العلاقات الإثنية في عام </w:t>
      </w:r>
      <w:r w:rsidRPr="003B6D07">
        <w:rPr>
          <w:spacing w:val="-4"/>
          <w:rtl/>
          <w:lang w:val="en-US"/>
        </w:rPr>
        <w:t>2020</w:t>
      </w:r>
      <w:r w:rsidRPr="006D48B1">
        <w:rPr>
          <w:spacing w:val="-4"/>
          <w:rtl/>
          <w:lang w:val="en-US"/>
        </w:rPr>
        <w:t xml:space="preserve"> داخل وزارة الإعلام والتنمية الاجتماعية</w:t>
      </w:r>
      <w:r w:rsidRPr="002907F3">
        <w:rPr>
          <w:rtl/>
          <w:lang w:val="en-US"/>
        </w:rPr>
        <w:t xml:space="preserve"> في كازاخستان، ومعهد البحوث الإثنية والسياسية التطبيقية؛</w:t>
      </w:r>
    </w:p>
    <w:p w14:paraId="736A9C7A" w14:textId="298A2296" w:rsidR="002907F3" w:rsidRPr="002907F3" w:rsidRDefault="002907F3" w:rsidP="006D48B1">
      <w:pPr>
        <w:pStyle w:val="SingleTxtGA"/>
        <w:spacing w:line="346" w:lineRule="exact"/>
        <w:rPr>
          <w:lang w:val="en-US"/>
        </w:rPr>
      </w:pPr>
      <w:r>
        <w:rPr>
          <w:rtl/>
          <w:lang w:val="en-US"/>
        </w:rPr>
        <w:tab/>
      </w:r>
      <w:r w:rsidRPr="002907F3">
        <w:rPr>
          <w:rtl/>
          <w:lang w:val="en-US"/>
        </w:rPr>
        <w:t>(ب)</w:t>
      </w:r>
      <w:r w:rsidRPr="002907F3">
        <w:rPr>
          <w:rtl/>
          <w:lang w:val="en-US"/>
        </w:rPr>
        <w:tab/>
        <w:t xml:space="preserve">والتعديلات التي أدخلت في عام </w:t>
      </w:r>
      <w:r w:rsidRPr="003B6D07">
        <w:rPr>
          <w:rtl/>
          <w:lang w:val="en-US"/>
        </w:rPr>
        <w:t>2019</w:t>
      </w:r>
      <w:r w:rsidRPr="002907F3">
        <w:rPr>
          <w:rtl/>
          <w:lang w:val="en-US"/>
        </w:rPr>
        <w:t xml:space="preserve"> على القانون الوطني للزواج (القران) والأسرة، والتي تنص على تسجيل جميع المواليد، بغض النظر عن الوضع القانوني لوالديهم؛</w:t>
      </w:r>
    </w:p>
    <w:p w14:paraId="5C01E4C9" w14:textId="335DADBC" w:rsidR="002907F3" w:rsidRPr="002907F3" w:rsidRDefault="002907F3" w:rsidP="002907F3">
      <w:pPr>
        <w:pStyle w:val="SingleTxtGA"/>
        <w:rPr>
          <w:lang w:val="en-US"/>
        </w:rPr>
      </w:pPr>
      <w:r>
        <w:rPr>
          <w:rtl/>
          <w:lang w:val="en-US"/>
        </w:rPr>
        <w:lastRenderedPageBreak/>
        <w:tab/>
      </w:r>
      <w:r w:rsidRPr="002907F3">
        <w:rPr>
          <w:rtl/>
          <w:lang w:val="en-US"/>
        </w:rPr>
        <w:t>(ج)</w:t>
      </w:r>
      <w:r w:rsidRPr="002907F3">
        <w:rPr>
          <w:rtl/>
          <w:lang w:val="en-US"/>
        </w:rPr>
        <w:tab/>
        <w:t xml:space="preserve">وحملة تحديد الهوية ومنح الوثائق الرسمية، التي أدت منذ عام </w:t>
      </w:r>
      <w:r w:rsidRPr="003B6D07">
        <w:rPr>
          <w:rtl/>
          <w:lang w:val="en-US"/>
        </w:rPr>
        <w:t>2020</w:t>
      </w:r>
      <w:r w:rsidRPr="002907F3">
        <w:rPr>
          <w:rtl/>
          <w:lang w:val="en-US"/>
        </w:rPr>
        <w:t xml:space="preserve"> إلى تحديد هوية أكثر من </w:t>
      </w:r>
      <w:r w:rsidRPr="003B6D07">
        <w:rPr>
          <w:rtl/>
          <w:lang w:val="en-US"/>
        </w:rPr>
        <w:t>000</w:t>
      </w:r>
      <w:r w:rsidRPr="002907F3">
        <w:rPr>
          <w:rtl/>
          <w:lang w:val="en-US"/>
        </w:rPr>
        <w:t xml:space="preserve"> </w:t>
      </w:r>
      <w:r w:rsidRPr="003B6D07">
        <w:rPr>
          <w:rtl/>
          <w:lang w:val="en-US"/>
        </w:rPr>
        <w:t>8</w:t>
      </w:r>
      <w:r w:rsidRPr="002907F3">
        <w:rPr>
          <w:rtl/>
          <w:lang w:val="en-US"/>
        </w:rPr>
        <w:t xml:space="preserve"> مواطن غير حامل لوثائق رسمية؛</w:t>
      </w:r>
    </w:p>
    <w:p w14:paraId="4FB2E596" w14:textId="2BDEC596" w:rsidR="002907F3" w:rsidRPr="002907F3" w:rsidRDefault="002907F3" w:rsidP="002907F3">
      <w:pPr>
        <w:pStyle w:val="SingleTxtGA"/>
        <w:rPr>
          <w:lang w:val="en-US"/>
        </w:rPr>
      </w:pPr>
      <w:r>
        <w:rPr>
          <w:rtl/>
          <w:lang w:val="en-US"/>
        </w:rPr>
        <w:tab/>
      </w:r>
      <w:r w:rsidRPr="002907F3">
        <w:rPr>
          <w:rtl/>
          <w:lang w:val="en-US"/>
        </w:rPr>
        <w:t>(د)</w:t>
      </w:r>
      <w:r w:rsidRPr="002907F3">
        <w:rPr>
          <w:rtl/>
          <w:lang w:val="en-US"/>
        </w:rPr>
        <w:tab/>
      </w:r>
      <w:r w:rsidRPr="006D48B1">
        <w:rPr>
          <w:spacing w:val="-2"/>
          <w:rtl/>
          <w:lang w:val="en-US"/>
        </w:rPr>
        <w:t xml:space="preserve">إعادة </w:t>
      </w:r>
      <w:r w:rsidRPr="003B6D07">
        <w:rPr>
          <w:spacing w:val="-2"/>
          <w:rtl/>
          <w:lang w:val="en-US"/>
        </w:rPr>
        <w:t>669</w:t>
      </w:r>
      <w:r w:rsidRPr="006D48B1">
        <w:rPr>
          <w:spacing w:val="-2"/>
          <w:rtl/>
          <w:lang w:val="en-US"/>
        </w:rPr>
        <w:t xml:space="preserve"> شخصاً من مناطق النزاع في أفغانستان والعراق والجمهورية العربية السورية،</w:t>
      </w:r>
      <w:r w:rsidRPr="002907F3">
        <w:rPr>
          <w:rtl/>
          <w:lang w:val="en-US"/>
        </w:rPr>
        <w:t xml:space="preserve"> وكذلك من تركيا، إلى وطنهم، منذ عام </w:t>
      </w:r>
      <w:r w:rsidRPr="003B6D07">
        <w:rPr>
          <w:rtl/>
          <w:lang w:val="en-US"/>
        </w:rPr>
        <w:t>2019</w:t>
      </w:r>
      <w:r w:rsidRPr="002907F3">
        <w:rPr>
          <w:rtl/>
          <w:lang w:val="en-US"/>
        </w:rPr>
        <w:t>؛</w:t>
      </w:r>
    </w:p>
    <w:p w14:paraId="1D1E7AEB" w14:textId="1C4EDF7D" w:rsidR="002907F3" w:rsidRPr="002907F3" w:rsidRDefault="002907F3" w:rsidP="002907F3">
      <w:pPr>
        <w:pStyle w:val="SingleTxtGA"/>
        <w:rPr>
          <w:lang w:val="en-US"/>
        </w:rPr>
      </w:pPr>
      <w:r>
        <w:rPr>
          <w:rtl/>
          <w:lang w:val="en-US"/>
        </w:rPr>
        <w:tab/>
      </w:r>
      <w:r w:rsidRPr="002907F3">
        <w:rPr>
          <w:rtl/>
          <w:lang w:val="en-US"/>
        </w:rPr>
        <w:t>(هـ)</w:t>
      </w:r>
      <w:r w:rsidRPr="002907F3">
        <w:rPr>
          <w:rtl/>
          <w:lang w:val="en-US"/>
        </w:rPr>
        <w:tab/>
        <w:t xml:space="preserve">اعتماد قانون صندوق تعويض الضحايا في عام </w:t>
      </w:r>
      <w:r w:rsidRPr="003B6D07">
        <w:rPr>
          <w:rtl/>
          <w:lang w:val="en-US"/>
        </w:rPr>
        <w:t>2018</w:t>
      </w:r>
      <w:r w:rsidRPr="002907F3">
        <w:rPr>
          <w:rtl/>
          <w:lang w:val="en-US"/>
        </w:rPr>
        <w:t>، الذي يمكن ضحايا الجرائم المتعلقة بالاتجار بالبشر من الحصول على تعويض مالي.</w:t>
      </w:r>
    </w:p>
    <w:p w14:paraId="355E5187" w14:textId="18E089A4" w:rsidR="002907F3" w:rsidRPr="003B6D07" w:rsidRDefault="002907F3" w:rsidP="002907F3">
      <w:pPr>
        <w:pStyle w:val="H1GA"/>
      </w:pPr>
      <w:r w:rsidRPr="003B6D07">
        <w:rPr>
          <w:rtl/>
        </w:rPr>
        <w:tab/>
        <w:t>جيم-</w:t>
      </w:r>
      <w:r w:rsidRPr="003B6D07">
        <w:rPr>
          <w:rtl/>
        </w:rPr>
        <w:tab/>
        <w:t>دواعي القلق والتوصيات</w:t>
      </w:r>
    </w:p>
    <w:p w14:paraId="7E6A7ECE" w14:textId="77777777" w:rsidR="002907F3" w:rsidRPr="003B6D07" w:rsidRDefault="002907F3" w:rsidP="002907F3">
      <w:pPr>
        <w:pStyle w:val="H23GA"/>
      </w:pPr>
      <w:r w:rsidRPr="003B6D07">
        <w:rPr>
          <w:rtl/>
        </w:rPr>
        <w:tab/>
      </w:r>
      <w:r w:rsidRPr="003B6D07">
        <w:rPr>
          <w:rtl/>
        </w:rPr>
        <w:tab/>
        <w:t>الإحصاءات</w:t>
      </w:r>
    </w:p>
    <w:p w14:paraId="6E4FE973" w14:textId="6B46FAE8" w:rsidR="004E7B27" w:rsidRPr="004E7B27" w:rsidRDefault="002907F3" w:rsidP="002907F3">
      <w:pPr>
        <w:pStyle w:val="SingleTxtGA"/>
        <w:rPr>
          <w:lang w:val="en-US"/>
        </w:rPr>
      </w:pPr>
      <w:r w:rsidRPr="003B6D07">
        <w:rPr>
          <w:rtl/>
          <w:lang w:val="en-US"/>
        </w:rPr>
        <w:t>5</w:t>
      </w:r>
      <w:r w:rsidRPr="002907F3">
        <w:rPr>
          <w:rtl/>
          <w:lang w:val="en-US"/>
        </w:rPr>
        <w:t>-</w:t>
      </w:r>
      <w:r w:rsidRPr="002907F3">
        <w:rPr>
          <w:rtl/>
          <w:lang w:val="en-US"/>
        </w:rPr>
        <w:tab/>
        <w:t xml:space="preserve">تأسف اللجنة لعدم تقديم إحصاءات شاملة عن الحالة الاجتماعية والاقتصادية للجماعات الإثنية التي تعيش في الدولة الطرف، بما في ذلك عن الأشخاص المنحدرين من أصل أفريقي (المادتان </w:t>
      </w:r>
      <w:r w:rsidRPr="003B6D07">
        <w:rPr>
          <w:rtl/>
          <w:lang w:val="en-US"/>
        </w:rPr>
        <w:t>1</w:t>
      </w:r>
      <w:r w:rsidRPr="002907F3">
        <w:rPr>
          <w:rtl/>
          <w:lang w:val="en-US"/>
        </w:rPr>
        <w:t>-</w:t>
      </w:r>
      <w:r w:rsidR="004E7B27" w:rsidRPr="003B6D07">
        <w:rPr>
          <w:rtl/>
          <w:lang w:val="en-US"/>
        </w:rPr>
        <w:t>2</w:t>
      </w:r>
      <w:r w:rsidR="004E7B27" w:rsidRPr="004E7B27">
        <w:rPr>
          <w:rtl/>
          <w:lang w:val="en-US"/>
        </w:rPr>
        <w:t>).</w:t>
      </w:r>
    </w:p>
    <w:p w14:paraId="61AF6BE0" w14:textId="767AD5EC" w:rsidR="002907F3" w:rsidRPr="003B6D07" w:rsidRDefault="002907F3" w:rsidP="002907F3">
      <w:pPr>
        <w:pStyle w:val="SingleTxtGA"/>
        <w:rPr>
          <w:b/>
          <w:bCs/>
          <w:lang w:val="en-US"/>
        </w:rPr>
      </w:pPr>
      <w:r w:rsidRPr="003B6D07">
        <w:rPr>
          <w:rtl/>
          <w:lang w:val="en-US"/>
        </w:rPr>
        <w:t>6</w:t>
      </w:r>
      <w:r w:rsidRPr="002907F3">
        <w:rPr>
          <w:rtl/>
          <w:lang w:val="en-US"/>
        </w:rPr>
        <w:t>-</w:t>
      </w:r>
      <w:r w:rsidRPr="002907F3">
        <w:rPr>
          <w:rtl/>
          <w:lang w:val="en-US"/>
        </w:rPr>
        <w:tab/>
      </w:r>
      <w:r w:rsidRPr="003B6D07">
        <w:rPr>
          <w:rFonts w:ascii="Times New Roman Bold" w:hAnsi="Times New Roman Bold"/>
          <w:b/>
          <w:bCs/>
          <w:spacing w:val="-4"/>
          <w:rtl/>
          <w:lang w:val="en-US"/>
        </w:rPr>
        <w:t>وتوصي اللجنة الدولة الطرف ب</w:t>
      </w:r>
      <w:r w:rsidR="007D273D" w:rsidRPr="003B6D07">
        <w:rPr>
          <w:rFonts w:ascii="Times New Roman Bold" w:hAnsi="Times New Roman Bold" w:hint="cs"/>
          <w:b/>
          <w:bCs/>
          <w:spacing w:val="-4"/>
          <w:rtl/>
          <w:lang w:val="en-US"/>
        </w:rPr>
        <w:t xml:space="preserve">إنشاء </w:t>
      </w:r>
      <w:r w:rsidRPr="003B6D07">
        <w:rPr>
          <w:rFonts w:ascii="Times New Roman Bold" w:hAnsi="Times New Roman Bold"/>
          <w:b/>
          <w:bCs/>
          <w:spacing w:val="-4"/>
          <w:rtl/>
          <w:lang w:val="en-US"/>
        </w:rPr>
        <w:t>آلية لجمع إحصاءات موثوقة بانتظام عن الحالة الاجتماعية</w:t>
      </w:r>
      <w:r w:rsidRPr="003B6D07">
        <w:rPr>
          <w:b/>
          <w:bCs/>
          <w:rtl/>
          <w:lang w:val="en-US"/>
        </w:rPr>
        <w:t xml:space="preserve"> والاقتصادية للجماعات الإثنية التي تعيش في الدولة الطرف، بما في ذلك عن الأشخاص المنحدرين من أصل أفريقي، ولا سيما بشأن </w:t>
      </w:r>
      <w:proofErr w:type="gramStart"/>
      <w:r w:rsidRPr="003B6D07">
        <w:rPr>
          <w:b/>
          <w:bCs/>
          <w:rtl/>
          <w:lang w:val="en-US"/>
        </w:rPr>
        <w:t>التعليم</w:t>
      </w:r>
      <w:proofErr w:type="gramEnd"/>
      <w:r w:rsidRPr="003B6D07">
        <w:rPr>
          <w:b/>
          <w:bCs/>
          <w:rtl/>
          <w:lang w:val="en-US"/>
        </w:rPr>
        <w:t xml:space="preserve"> والعمالة والصحة والإسكان. كما توصي اللجنة بنشر هذه الإحصاءات بانتظام وبأن تدرجها الدولة الطرف في تقريرها الدوري المقبل.</w:t>
      </w:r>
    </w:p>
    <w:p w14:paraId="21CA5C93" w14:textId="77777777" w:rsidR="002907F3" w:rsidRPr="003B6D07" w:rsidRDefault="002907F3" w:rsidP="002907F3">
      <w:pPr>
        <w:pStyle w:val="H23GA"/>
      </w:pPr>
      <w:r w:rsidRPr="003B6D07">
        <w:rPr>
          <w:rtl/>
        </w:rPr>
        <w:tab/>
      </w:r>
      <w:r w:rsidRPr="003B6D07">
        <w:rPr>
          <w:rtl/>
        </w:rPr>
        <w:tab/>
        <w:t>قانون مناهضة التمييز</w:t>
      </w:r>
    </w:p>
    <w:p w14:paraId="7A4F3C4F" w14:textId="1FB5F44C" w:rsidR="004E7B27" w:rsidRPr="004E7B27" w:rsidRDefault="002907F3" w:rsidP="002907F3">
      <w:pPr>
        <w:pStyle w:val="SingleTxtGA"/>
        <w:rPr>
          <w:lang w:val="en-US"/>
        </w:rPr>
      </w:pPr>
      <w:r w:rsidRPr="003B6D07">
        <w:rPr>
          <w:rtl/>
          <w:lang w:val="en-US"/>
        </w:rPr>
        <w:t>7</w:t>
      </w:r>
      <w:r w:rsidRPr="002907F3">
        <w:rPr>
          <w:rtl/>
          <w:lang w:val="en-US"/>
        </w:rPr>
        <w:t>-</w:t>
      </w:r>
      <w:r w:rsidRPr="002907F3">
        <w:rPr>
          <w:rtl/>
          <w:lang w:val="en-US"/>
        </w:rPr>
        <w:tab/>
      </w:r>
      <w:r w:rsidR="007D273D">
        <w:rPr>
          <w:rFonts w:hint="cs"/>
          <w:rtl/>
          <w:lang w:val="en-US"/>
        </w:rPr>
        <w:t>في حين</w:t>
      </w:r>
      <w:r w:rsidRPr="002907F3">
        <w:rPr>
          <w:rtl/>
          <w:lang w:val="en-US"/>
        </w:rPr>
        <w:t xml:space="preserve"> تلاحظ اللجنة أن الدستور وعدد من القوانين القطاعية تضم أحكاماً تحظر التمييز العنصري، فإنها لا تزال تشعر بالقلق إزاء عدم وجود قانون شامل لمناهضة التمييز يتضمن تعريفاً للتمييز المباشر وغير المباشر ويحدد المسؤولية عن أعمال التمييز العنصري في جميع مجالات الحياة. ويساور اللجنة القلق أيضاً لأن قانون العمل لم يعدّل ليحظر صراحة التمييز على أساس اللون (المادتان </w:t>
      </w:r>
      <w:r w:rsidRPr="003B6D07">
        <w:rPr>
          <w:rtl/>
          <w:lang w:val="en-US"/>
        </w:rPr>
        <w:t>1</w:t>
      </w:r>
      <w:r w:rsidRPr="002907F3">
        <w:rPr>
          <w:rtl/>
          <w:lang w:val="en-US"/>
        </w:rPr>
        <w:t>-</w:t>
      </w:r>
      <w:r w:rsidR="004E7B27" w:rsidRPr="003B6D07">
        <w:rPr>
          <w:rtl/>
          <w:lang w:val="en-US"/>
        </w:rPr>
        <w:t>2</w:t>
      </w:r>
      <w:r w:rsidR="004E7B27" w:rsidRPr="004E7B27">
        <w:rPr>
          <w:rtl/>
          <w:lang w:val="en-US"/>
        </w:rPr>
        <w:t>).</w:t>
      </w:r>
    </w:p>
    <w:p w14:paraId="31DFC445" w14:textId="02EDC9E3" w:rsidR="002907F3" w:rsidRPr="003B6D07" w:rsidRDefault="002907F3" w:rsidP="002907F3">
      <w:pPr>
        <w:pStyle w:val="SingleTxtGA"/>
        <w:rPr>
          <w:b/>
          <w:bCs/>
          <w:lang w:val="en-US"/>
        </w:rPr>
      </w:pPr>
      <w:r w:rsidRPr="003B6D07">
        <w:rPr>
          <w:rtl/>
          <w:lang w:val="en-US"/>
        </w:rPr>
        <w:t>8</w:t>
      </w:r>
      <w:r w:rsidRPr="002907F3">
        <w:rPr>
          <w:rtl/>
          <w:lang w:val="en-US"/>
        </w:rPr>
        <w:t>-</w:t>
      </w:r>
      <w:r w:rsidRPr="002907F3">
        <w:rPr>
          <w:rtl/>
          <w:lang w:val="en-US"/>
        </w:rPr>
        <w:tab/>
      </w:r>
      <w:r w:rsidRPr="003B6D07">
        <w:rPr>
          <w:b/>
          <w:bCs/>
          <w:rtl/>
          <w:lang w:val="en-US"/>
        </w:rPr>
        <w:t>وإذ تشير اللجنة إلى توصيتها السابقة</w:t>
      </w:r>
      <w:r w:rsidR="004E7B27" w:rsidRPr="003B6D07">
        <w:rPr>
          <w:rStyle w:val="FootnoteReference"/>
          <w:b/>
          <w:bCs/>
          <w:szCs w:val="22"/>
          <w:rtl/>
          <w:lang w:val="en-US"/>
        </w:rPr>
        <w:t>(</w:t>
      </w:r>
      <w:r w:rsidR="004E7B27" w:rsidRPr="003B6D07">
        <w:rPr>
          <w:rStyle w:val="FootnoteReference"/>
          <w:b/>
          <w:bCs/>
          <w:szCs w:val="22"/>
          <w:lang w:val="en-US"/>
        </w:rPr>
        <w:footnoteReference w:id="4"/>
      </w:r>
      <w:r w:rsidR="004E7B27" w:rsidRPr="003B6D07">
        <w:rPr>
          <w:b/>
          <w:bCs/>
          <w:vertAlign w:val="superscript"/>
          <w:rtl/>
          <w:lang w:val="en-US"/>
        </w:rPr>
        <w:t>)</w:t>
      </w:r>
      <w:r w:rsidR="004E7B27" w:rsidRPr="003B6D07">
        <w:rPr>
          <w:b/>
          <w:bCs/>
          <w:rtl/>
          <w:lang w:val="en-US"/>
        </w:rPr>
        <w:t xml:space="preserve">، </w:t>
      </w:r>
      <w:r w:rsidRPr="003B6D07">
        <w:rPr>
          <w:b/>
          <w:bCs/>
          <w:rtl/>
          <w:lang w:val="en-US"/>
        </w:rPr>
        <w:t>توصي اللجنة الدولة الطرف باعتماد أحكاماً قانونية تحظر التمييز، يتضمن تعريف</w:t>
      </w:r>
      <w:r w:rsidR="00605870" w:rsidRPr="003B6D07">
        <w:rPr>
          <w:b/>
          <w:bCs/>
          <w:rtl/>
          <w:lang w:val="en-US"/>
        </w:rPr>
        <w:t xml:space="preserve">اً </w:t>
      </w:r>
      <w:r w:rsidRPr="003B6D07">
        <w:rPr>
          <w:b/>
          <w:bCs/>
          <w:rtl/>
          <w:lang w:val="en-US"/>
        </w:rPr>
        <w:t>للتمييز المباشر وغير المباشر يتماشى مع التعريف الوارد في المادة</w:t>
      </w:r>
      <w:r w:rsidR="00BE1B6F" w:rsidRPr="003B6D07">
        <w:rPr>
          <w:rFonts w:hint="cs"/>
          <w:b/>
          <w:bCs/>
          <w:rtl/>
          <w:lang w:val="en-US"/>
        </w:rPr>
        <w:t> </w:t>
      </w:r>
      <w:r w:rsidRPr="003B6D07">
        <w:rPr>
          <w:b/>
          <w:bCs/>
          <w:rtl/>
          <w:lang w:val="en-US"/>
        </w:rPr>
        <w:t>1(</w:t>
      </w:r>
      <w:r w:rsidR="004E7B27" w:rsidRPr="003B6D07">
        <w:rPr>
          <w:b/>
          <w:bCs/>
          <w:rtl/>
          <w:lang w:val="en-US"/>
        </w:rPr>
        <w:t xml:space="preserve">1) </w:t>
      </w:r>
      <w:r w:rsidRPr="003B6D07">
        <w:rPr>
          <w:b/>
          <w:bCs/>
          <w:rtl/>
          <w:lang w:val="en-US"/>
        </w:rPr>
        <w:t>من الاتفاقية. وتوصي اللجنة أيضاً بتعديل قانون العمل في الدولة الطرف بحيث يحظر صراحة التمييز القائم على أساس اللون.</w:t>
      </w:r>
    </w:p>
    <w:p w14:paraId="70796880" w14:textId="77777777" w:rsidR="002907F3" w:rsidRPr="003B6D07" w:rsidRDefault="002907F3" w:rsidP="002907F3">
      <w:pPr>
        <w:pStyle w:val="H23GA"/>
      </w:pPr>
      <w:r w:rsidRPr="003B6D07">
        <w:rPr>
          <w:rtl/>
        </w:rPr>
        <w:tab/>
      </w:r>
      <w:r w:rsidRPr="003B6D07">
        <w:rPr>
          <w:rtl/>
        </w:rPr>
        <w:tab/>
        <w:t>الاتفاقية في إطار القانون المحلي</w:t>
      </w:r>
    </w:p>
    <w:p w14:paraId="30E1C027" w14:textId="5DB5F422" w:rsidR="004E7B27" w:rsidRPr="004E7B27" w:rsidRDefault="002907F3" w:rsidP="002907F3">
      <w:pPr>
        <w:pStyle w:val="SingleTxtGA"/>
        <w:rPr>
          <w:lang w:val="en-US"/>
        </w:rPr>
      </w:pPr>
      <w:r w:rsidRPr="003B6D07">
        <w:rPr>
          <w:rtl/>
          <w:lang w:val="en-US"/>
        </w:rPr>
        <w:t>9</w:t>
      </w:r>
      <w:r w:rsidRPr="002907F3">
        <w:rPr>
          <w:rtl/>
          <w:lang w:val="en-US"/>
        </w:rPr>
        <w:t>-</w:t>
      </w:r>
      <w:r w:rsidRPr="002907F3">
        <w:rPr>
          <w:rtl/>
          <w:lang w:val="en-US"/>
        </w:rPr>
        <w:tab/>
      </w:r>
      <w:r w:rsidR="007D273D">
        <w:rPr>
          <w:rFonts w:hint="cs"/>
          <w:rtl/>
          <w:lang w:val="en-US"/>
        </w:rPr>
        <w:t>في حين</w:t>
      </w:r>
      <w:r w:rsidRPr="002907F3">
        <w:rPr>
          <w:rtl/>
          <w:lang w:val="en-US"/>
        </w:rPr>
        <w:t xml:space="preserve"> تحيط اللجنة علماً بالمعلومات التي قدمتها الدولة الطرف والتي تفيد بأن الاتفاقية قابلة للتطبيق مباشرة في نظامها القانوني المحلي، فإنها تشعر بالقلق لعدم وجود معلومات عن الكيفية التي كفلت بها الدولة الطرف تطبيق أحكام الاتفاقية التي تتطلب تشريعاً تنفيذياً (المادة </w:t>
      </w:r>
      <w:r w:rsidR="004E7B27" w:rsidRPr="003B6D07">
        <w:rPr>
          <w:rtl/>
          <w:lang w:val="en-US"/>
        </w:rPr>
        <w:t>2</w:t>
      </w:r>
      <w:r w:rsidR="004E7B27" w:rsidRPr="004E7B27">
        <w:rPr>
          <w:rtl/>
          <w:lang w:val="en-US"/>
        </w:rPr>
        <w:t>).</w:t>
      </w:r>
    </w:p>
    <w:p w14:paraId="42EFE9EF" w14:textId="5F955874" w:rsidR="002907F3" w:rsidRPr="003B6D07" w:rsidRDefault="002907F3" w:rsidP="002907F3">
      <w:pPr>
        <w:pStyle w:val="SingleTxtGA"/>
        <w:rPr>
          <w:b/>
          <w:bCs/>
          <w:lang w:val="en-US"/>
        </w:rPr>
      </w:pPr>
      <w:r w:rsidRPr="003B6D07">
        <w:rPr>
          <w:rtl/>
          <w:lang w:val="en-US"/>
        </w:rPr>
        <w:t>10</w:t>
      </w:r>
      <w:r w:rsidRPr="002907F3">
        <w:rPr>
          <w:rtl/>
          <w:lang w:val="en-US"/>
        </w:rPr>
        <w:t>-</w:t>
      </w:r>
      <w:r w:rsidRPr="002907F3">
        <w:rPr>
          <w:rtl/>
          <w:lang w:val="en-US"/>
        </w:rPr>
        <w:tab/>
      </w:r>
      <w:r w:rsidRPr="003B6D07">
        <w:rPr>
          <w:b/>
          <w:bCs/>
          <w:rtl/>
          <w:lang w:val="en-US"/>
        </w:rPr>
        <w:t>توصي اللجنة الدولة الطرف باستعراض تشريعاتها الوطنية لضمان إمكانية تطبيق جميع أحكام الاتفاقية من جانب المحاكم المحلية أو الاحتجاج بها أمامها. كما توصي اللجنة الدولة الطرف بأن تكفل تدريب أعضاء السلطة التشريعية والقضاة وقضاة التحقيق والمحامين وغيرهم من الموظفين المعنيين تدريباً منهجياً على أحكام الاتفاقية.</w:t>
      </w:r>
    </w:p>
    <w:p w14:paraId="08EE3DAF" w14:textId="77777777" w:rsidR="002907F3" w:rsidRPr="003B6D07" w:rsidRDefault="002907F3" w:rsidP="002907F3">
      <w:pPr>
        <w:pStyle w:val="H23GA"/>
      </w:pPr>
      <w:r w:rsidRPr="003B6D07">
        <w:rPr>
          <w:rtl/>
        </w:rPr>
        <w:lastRenderedPageBreak/>
        <w:tab/>
      </w:r>
      <w:r w:rsidRPr="003B6D07">
        <w:rPr>
          <w:rtl/>
        </w:rPr>
        <w:tab/>
        <w:t>أشكال التمييز المتداخلة</w:t>
      </w:r>
    </w:p>
    <w:p w14:paraId="3CB93FAA" w14:textId="0F8FD85E" w:rsidR="004E7B27" w:rsidRPr="004E7B27" w:rsidRDefault="002907F3" w:rsidP="002907F3">
      <w:pPr>
        <w:pStyle w:val="SingleTxtGA"/>
        <w:rPr>
          <w:lang w:val="en-US"/>
        </w:rPr>
      </w:pPr>
      <w:r w:rsidRPr="003B6D07">
        <w:rPr>
          <w:rtl/>
          <w:lang w:val="en-US"/>
        </w:rPr>
        <w:t>11</w:t>
      </w:r>
      <w:r w:rsidRPr="002907F3">
        <w:rPr>
          <w:rtl/>
          <w:lang w:val="en-US"/>
        </w:rPr>
        <w:t>-</w:t>
      </w:r>
      <w:r w:rsidRPr="002907F3">
        <w:rPr>
          <w:rtl/>
          <w:lang w:val="en-US"/>
        </w:rPr>
        <w:tab/>
        <w:t xml:space="preserve">يساور اللجنة القلق إزاء التقارير التي تفيد بوجود أشكال متداخلة من التمييز على أساس </w:t>
      </w:r>
      <w:proofErr w:type="gramStart"/>
      <w:r w:rsidRPr="002907F3">
        <w:rPr>
          <w:rtl/>
          <w:lang w:val="en-US"/>
        </w:rPr>
        <w:t>العرق</w:t>
      </w:r>
      <w:proofErr w:type="gramEnd"/>
      <w:r w:rsidRPr="002907F3">
        <w:rPr>
          <w:rtl/>
          <w:lang w:val="en-US"/>
        </w:rPr>
        <w:t xml:space="preserve"> أو اللون أو النسب أو الأصل القومي أو الإثني، وغير ذلك من الأسباب مثل الدين ونوع الجنس والعمر والإعاقة والميل الجنسي (المواد </w:t>
      </w:r>
      <w:r w:rsidRPr="003B6D07">
        <w:rPr>
          <w:rtl/>
          <w:lang w:val="en-US"/>
        </w:rPr>
        <w:t>1</w:t>
      </w:r>
      <w:r w:rsidRPr="002907F3">
        <w:rPr>
          <w:rtl/>
          <w:lang w:val="en-US"/>
        </w:rPr>
        <w:t xml:space="preserve"> و</w:t>
      </w:r>
      <w:r w:rsidRPr="003B6D07">
        <w:rPr>
          <w:rtl/>
          <w:lang w:val="en-US"/>
        </w:rPr>
        <w:t>2</w:t>
      </w:r>
      <w:r w:rsidRPr="002907F3">
        <w:rPr>
          <w:rtl/>
          <w:lang w:val="en-US"/>
        </w:rPr>
        <w:t xml:space="preserve"> و</w:t>
      </w:r>
      <w:r w:rsidR="004E7B27" w:rsidRPr="003B6D07">
        <w:rPr>
          <w:rtl/>
          <w:lang w:val="en-US"/>
        </w:rPr>
        <w:t>5</w:t>
      </w:r>
      <w:r w:rsidR="004E7B27" w:rsidRPr="004E7B27">
        <w:rPr>
          <w:rtl/>
          <w:lang w:val="en-US"/>
        </w:rPr>
        <w:t>).</w:t>
      </w:r>
    </w:p>
    <w:p w14:paraId="29945598" w14:textId="29CC1EFF" w:rsidR="002907F3" w:rsidRPr="003B6D07" w:rsidRDefault="002907F3" w:rsidP="002907F3">
      <w:pPr>
        <w:pStyle w:val="SingleTxtGA"/>
        <w:rPr>
          <w:b/>
          <w:bCs/>
          <w:lang w:val="en-US"/>
        </w:rPr>
      </w:pPr>
      <w:r w:rsidRPr="003B6D07">
        <w:rPr>
          <w:rtl/>
          <w:lang w:val="en-US"/>
        </w:rPr>
        <w:t>12</w:t>
      </w:r>
      <w:r w:rsidRPr="002907F3">
        <w:rPr>
          <w:rtl/>
          <w:lang w:val="en-US"/>
        </w:rPr>
        <w:t>-</w:t>
      </w:r>
      <w:r w:rsidRPr="002907F3">
        <w:rPr>
          <w:rtl/>
          <w:lang w:val="en-US"/>
        </w:rPr>
        <w:tab/>
      </w:r>
      <w:r w:rsidRPr="003B6D07">
        <w:rPr>
          <w:b/>
          <w:bCs/>
          <w:rtl/>
          <w:lang w:val="en-US"/>
        </w:rPr>
        <w:t xml:space="preserve">توصي اللجنة الدولة الطرف باتخاذ تدابير تشريعية </w:t>
      </w:r>
      <w:proofErr w:type="spellStart"/>
      <w:r w:rsidRPr="003B6D07">
        <w:rPr>
          <w:b/>
          <w:bCs/>
          <w:rtl/>
          <w:lang w:val="en-US"/>
        </w:rPr>
        <w:t>وسياساتية</w:t>
      </w:r>
      <w:proofErr w:type="spellEnd"/>
      <w:r w:rsidRPr="003B6D07">
        <w:rPr>
          <w:b/>
          <w:bCs/>
          <w:rtl/>
          <w:lang w:val="en-US"/>
        </w:rPr>
        <w:t xml:space="preserve"> لمكافحة جميع أشكال التمييز العنصري، على النحو المنصوص عليه في المادة 1 من الاتفاقية، والتي تتقاطع مع التمييز القائم على أسس أخرى، مثل الدين ونوع الجنس والسن والإعاقة والميل الجنسي.</w:t>
      </w:r>
    </w:p>
    <w:p w14:paraId="3AA46942" w14:textId="77777777" w:rsidR="002907F3" w:rsidRPr="003B6D07" w:rsidRDefault="002907F3" w:rsidP="002907F3">
      <w:pPr>
        <w:pStyle w:val="H23GA"/>
      </w:pPr>
      <w:r w:rsidRPr="003B6D07">
        <w:rPr>
          <w:rtl/>
        </w:rPr>
        <w:tab/>
      </w:r>
      <w:r w:rsidRPr="003B6D07">
        <w:rPr>
          <w:rtl/>
        </w:rPr>
        <w:tab/>
        <w:t>المؤسسات الوطنية لحقوق الإنسان</w:t>
      </w:r>
    </w:p>
    <w:p w14:paraId="418AF776" w14:textId="3EDDF628" w:rsidR="004E7B27" w:rsidRPr="004E7B27" w:rsidRDefault="002907F3" w:rsidP="002907F3">
      <w:pPr>
        <w:pStyle w:val="SingleTxtGA"/>
        <w:rPr>
          <w:lang w:val="en-US"/>
        </w:rPr>
      </w:pPr>
      <w:r w:rsidRPr="003B6D07">
        <w:rPr>
          <w:rtl/>
          <w:lang w:val="en-US"/>
        </w:rPr>
        <w:t>13</w:t>
      </w:r>
      <w:r w:rsidRPr="002907F3">
        <w:rPr>
          <w:rtl/>
          <w:lang w:val="en-US"/>
        </w:rPr>
        <w:t>-</w:t>
      </w:r>
      <w:r w:rsidRPr="002907F3">
        <w:rPr>
          <w:rtl/>
          <w:lang w:val="en-US"/>
        </w:rPr>
        <w:tab/>
      </w:r>
      <w:r w:rsidR="007D273D">
        <w:rPr>
          <w:rFonts w:hint="cs"/>
          <w:rtl/>
          <w:lang w:val="en-US"/>
        </w:rPr>
        <w:t>في حين</w:t>
      </w:r>
      <w:r w:rsidRPr="002907F3">
        <w:rPr>
          <w:rtl/>
          <w:lang w:val="en-US"/>
        </w:rPr>
        <w:t xml:space="preserve"> ترحب اللجنة بأن الدولة الطرف عززت منصب مفوض/مفوضة حقوق الإنسان (أمين/أمينة المظالم</w:t>
      </w:r>
      <w:r w:rsidR="004E7B27" w:rsidRPr="004E7B27">
        <w:rPr>
          <w:rtl/>
          <w:lang w:val="en-US"/>
        </w:rPr>
        <w:t xml:space="preserve">)، </w:t>
      </w:r>
      <w:r w:rsidRPr="002907F3">
        <w:rPr>
          <w:rtl/>
          <w:lang w:val="en-US"/>
        </w:rPr>
        <w:t>فإنها لا تزال تشعر بالقلق إزاء التقارير التي تفيد بأن المفوضية لا تمتثل امتثالاً تاماً للمبادئ المتعلقة بمركز المؤسسات الوطنية لتعزيز وحماية حقوق الإنسان (مبادئ باريس</w:t>
      </w:r>
      <w:r w:rsidR="004E7B27" w:rsidRPr="004E7B27">
        <w:rPr>
          <w:rtl/>
          <w:lang w:val="en-US"/>
        </w:rPr>
        <w:t xml:space="preserve">)، </w:t>
      </w:r>
      <w:r w:rsidRPr="002907F3">
        <w:rPr>
          <w:rtl/>
          <w:lang w:val="en-US"/>
        </w:rPr>
        <w:t xml:space="preserve">وأن المفوضة ليست مستقلة تماماً. ويساور اللجنة القلق أيضاً إزاء عدم كفاية أنشطة المفوضة الرامية إلى التصدي للتمييز العنصري (المادة </w:t>
      </w:r>
      <w:r w:rsidR="004E7B27" w:rsidRPr="003B6D07">
        <w:rPr>
          <w:rtl/>
          <w:lang w:val="en-US"/>
        </w:rPr>
        <w:t>2</w:t>
      </w:r>
      <w:r w:rsidR="004E7B27" w:rsidRPr="004E7B27">
        <w:rPr>
          <w:rtl/>
          <w:lang w:val="en-US"/>
        </w:rPr>
        <w:t>).</w:t>
      </w:r>
    </w:p>
    <w:p w14:paraId="1429D3D8" w14:textId="6A6ECBD9" w:rsidR="002907F3" w:rsidRPr="003B6D07" w:rsidRDefault="002907F3" w:rsidP="002907F3">
      <w:pPr>
        <w:pStyle w:val="SingleTxtGA"/>
        <w:rPr>
          <w:b/>
          <w:bCs/>
          <w:lang w:val="en-US"/>
        </w:rPr>
      </w:pPr>
      <w:r w:rsidRPr="003B6D07">
        <w:rPr>
          <w:rtl/>
          <w:lang w:val="en-US"/>
        </w:rPr>
        <w:t>14</w:t>
      </w:r>
      <w:r w:rsidRPr="002907F3">
        <w:rPr>
          <w:rtl/>
          <w:lang w:val="en-US"/>
        </w:rPr>
        <w:t>-</w:t>
      </w:r>
      <w:r w:rsidRPr="002907F3">
        <w:rPr>
          <w:rtl/>
          <w:lang w:val="en-US"/>
        </w:rPr>
        <w:tab/>
      </w:r>
      <w:r w:rsidRPr="003B6D07">
        <w:rPr>
          <w:b/>
          <w:bCs/>
          <w:rtl/>
          <w:lang w:val="en-US"/>
        </w:rPr>
        <w:t xml:space="preserve">توصي اللجنة الدولة الطرف بتعزيز استقلال مفوضة حقوق الإنسان وضمان قدرتها على الاضطلاع بولايتها بامتثال التام لمبادئ باريس. وتوصي اللجنة أيضاً بأن تتخذ الدولة الطرف خطوات لضمان تمكين المفوضة من تحليل التمييز العنصري والتصدي له على نحو فعال، بما في ذلك التمييز العنصري </w:t>
      </w:r>
      <w:r w:rsidR="007D273D" w:rsidRPr="003B6D07">
        <w:rPr>
          <w:rFonts w:hint="cs"/>
          <w:b/>
          <w:bCs/>
          <w:rtl/>
          <w:lang w:val="en-US"/>
        </w:rPr>
        <w:t>النظمي</w:t>
      </w:r>
      <w:r w:rsidRPr="003B6D07">
        <w:rPr>
          <w:b/>
          <w:bCs/>
          <w:rtl/>
          <w:lang w:val="en-US"/>
        </w:rPr>
        <w:t>. وتوصي اللجنة كذلك بنشر تقارير منتظمة عن الأنشطة التي تضطلع بها المفوضة في مجال مكافحة التمييز العنصري.</w:t>
      </w:r>
    </w:p>
    <w:p w14:paraId="23B0CAC8" w14:textId="77777777" w:rsidR="002907F3" w:rsidRPr="003B6D07" w:rsidRDefault="002907F3" w:rsidP="002907F3">
      <w:pPr>
        <w:pStyle w:val="H23GA"/>
        <w:rPr>
          <w:rtl/>
        </w:rPr>
      </w:pPr>
      <w:r w:rsidRPr="003B6D07">
        <w:rPr>
          <w:rtl/>
        </w:rPr>
        <w:tab/>
      </w:r>
      <w:r w:rsidRPr="003B6D07">
        <w:rPr>
          <w:rtl/>
        </w:rPr>
        <w:tab/>
        <w:t>حرية التعبير</w:t>
      </w:r>
    </w:p>
    <w:p w14:paraId="6468CAC1" w14:textId="6AEC018C" w:rsidR="004E7B27" w:rsidRPr="004E7B27" w:rsidRDefault="002907F3" w:rsidP="002907F3">
      <w:pPr>
        <w:pStyle w:val="SingleTxtGA"/>
        <w:rPr>
          <w:lang w:val="en-US"/>
        </w:rPr>
      </w:pPr>
      <w:r w:rsidRPr="003B6D07">
        <w:rPr>
          <w:rtl/>
          <w:lang w:val="en-US"/>
        </w:rPr>
        <w:t>15</w:t>
      </w:r>
      <w:r w:rsidRPr="002907F3">
        <w:rPr>
          <w:rtl/>
          <w:lang w:val="en-US"/>
        </w:rPr>
        <w:t>-</w:t>
      </w:r>
      <w:r w:rsidRPr="002907F3">
        <w:rPr>
          <w:rtl/>
          <w:lang w:val="en-US"/>
        </w:rPr>
        <w:tab/>
        <w:t xml:space="preserve">يساور اللجنة القلق لأن الأحكام الفضفاضة للغاية الواردة في المادة </w:t>
      </w:r>
      <w:r w:rsidRPr="003B6D07">
        <w:rPr>
          <w:rtl/>
          <w:lang w:val="en-US"/>
        </w:rPr>
        <w:t>174</w:t>
      </w:r>
      <w:r w:rsidRPr="002907F3">
        <w:rPr>
          <w:rtl/>
          <w:lang w:val="en-US"/>
        </w:rPr>
        <w:t xml:space="preserve"> من القانون الجنائي، </w:t>
      </w:r>
      <w:r w:rsidRPr="006D48B1">
        <w:rPr>
          <w:spacing w:val="-4"/>
          <w:rtl/>
          <w:lang w:val="en-US"/>
        </w:rPr>
        <w:t xml:space="preserve">بما في ذلك الأحكام المتعلقة بالتحريض على الخلاف </w:t>
      </w:r>
      <w:proofErr w:type="gramStart"/>
      <w:r w:rsidRPr="006D48B1">
        <w:rPr>
          <w:spacing w:val="-4"/>
          <w:rtl/>
          <w:lang w:val="en-US"/>
        </w:rPr>
        <w:t>الاجتماعي</w:t>
      </w:r>
      <w:proofErr w:type="gramEnd"/>
      <w:r w:rsidRPr="006D48B1">
        <w:rPr>
          <w:spacing w:val="-4"/>
          <w:rtl/>
          <w:lang w:val="en-US"/>
        </w:rPr>
        <w:t xml:space="preserve"> أو الإثني أو القبلي أو العنصري أو الطبقي</w:t>
      </w:r>
      <w:r w:rsidRPr="002907F3">
        <w:rPr>
          <w:rtl/>
          <w:lang w:val="en-US"/>
        </w:rPr>
        <w:t xml:space="preserve"> أو الديني، قد تؤدي إلى تدخل لا داعي له أو غير متناسب في الحق في حرية التعبير، بما في ذلك حق الأقليات الإثنية. ويساور اللجنة القلق أيضاً لأن المادة </w:t>
      </w:r>
      <w:r w:rsidRPr="003B6D07">
        <w:rPr>
          <w:rtl/>
          <w:lang w:val="en-US"/>
        </w:rPr>
        <w:t>13</w:t>
      </w:r>
      <w:r w:rsidRPr="002907F3">
        <w:rPr>
          <w:rtl/>
          <w:lang w:val="en-US"/>
        </w:rPr>
        <w:t xml:space="preserve"> من قانون وسائط الإعلام قد تتدخل بشكل غير متناسب مع حق وسائط الإعلام في حرية التعبير (المادتان </w:t>
      </w:r>
      <w:r w:rsidRPr="003B6D07">
        <w:rPr>
          <w:rtl/>
          <w:lang w:val="en-US"/>
        </w:rPr>
        <w:t>4</w:t>
      </w:r>
      <w:r w:rsidRPr="002907F3">
        <w:rPr>
          <w:rtl/>
          <w:lang w:val="en-US"/>
        </w:rPr>
        <w:t xml:space="preserve"> و</w:t>
      </w:r>
      <w:r w:rsidR="004E7B27" w:rsidRPr="003B6D07">
        <w:rPr>
          <w:rtl/>
          <w:lang w:val="en-US"/>
        </w:rPr>
        <w:t>5</w:t>
      </w:r>
      <w:r w:rsidR="004E7B27" w:rsidRPr="004E7B27">
        <w:rPr>
          <w:rtl/>
          <w:lang w:val="en-US"/>
        </w:rPr>
        <w:t>).</w:t>
      </w:r>
    </w:p>
    <w:p w14:paraId="1024DEDD" w14:textId="27B7822B" w:rsidR="002907F3" w:rsidRPr="003B6D07" w:rsidRDefault="002907F3" w:rsidP="002907F3">
      <w:pPr>
        <w:pStyle w:val="SingleTxtGA"/>
        <w:rPr>
          <w:b/>
          <w:bCs/>
          <w:lang w:val="en-US"/>
        </w:rPr>
      </w:pPr>
      <w:r w:rsidRPr="003B6D07">
        <w:rPr>
          <w:rtl/>
          <w:lang w:val="en-US"/>
        </w:rPr>
        <w:t>16</w:t>
      </w:r>
      <w:r w:rsidRPr="002907F3">
        <w:rPr>
          <w:rtl/>
          <w:lang w:val="en-US"/>
        </w:rPr>
        <w:t>-</w:t>
      </w:r>
      <w:r w:rsidRPr="002907F3">
        <w:rPr>
          <w:rtl/>
          <w:lang w:val="en-US"/>
        </w:rPr>
        <w:tab/>
      </w:r>
      <w:r w:rsidRPr="003B6D07">
        <w:rPr>
          <w:b/>
          <w:bCs/>
          <w:rtl/>
          <w:lang w:val="en-US"/>
        </w:rPr>
        <w:t xml:space="preserve">توصي اللجنة الدولة الطرف بتعريف الجرائم الجنائية الواردة في المادة 174 من القانون الجنائي واستعراضها بوضوح، وضمان ألا تؤدي العقوبات المتوخاة إلى تدخل لا داعي له وغير متناسب </w:t>
      </w:r>
      <w:r w:rsidRPr="003B6D07">
        <w:rPr>
          <w:rFonts w:ascii="Times New Roman Bold" w:hAnsi="Times New Roman Bold"/>
          <w:b/>
          <w:bCs/>
          <w:spacing w:val="-2"/>
          <w:rtl/>
          <w:lang w:val="en-US"/>
        </w:rPr>
        <w:t>في حق المدافعين عن حقوق الإنسان</w:t>
      </w:r>
      <w:r w:rsidR="003C1458" w:rsidRPr="003B6D07">
        <w:rPr>
          <w:rFonts w:ascii="Times New Roman Bold" w:hAnsi="Times New Roman Bold"/>
          <w:b/>
          <w:bCs/>
          <w:spacing w:val="-2"/>
          <w:rtl/>
          <w:lang w:val="en-US"/>
        </w:rPr>
        <w:t xml:space="preserve"> في حرية التعبير</w:t>
      </w:r>
      <w:r w:rsidRPr="003B6D07">
        <w:rPr>
          <w:rFonts w:ascii="Times New Roman Bold" w:hAnsi="Times New Roman Bold"/>
          <w:b/>
          <w:bCs/>
          <w:spacing w:val="-2"/>
          <w:rtl/>
          <w:lang w:val="en-US"/>
        </w:rPr>
        <w:t>، ولا سيما المنحدرين منهم من الأقليات الإثنية.</w:t>
      </w:r>
      <w:r w:rsidRPr="003B6D07">
        <w:rPr>
          <w:b/>
          <w:bCs/>
          <w:rtl/>
          <w:lang w:val="en-US"/>
        </w:rPr>
        <w:t xml:space="preserve"> كما توصي اللجنة الدولة الطرف بتعديل قانون وسائط الإعلام، بحيث لا تؤدي أحكامه إلى فرض قيود مفرطة على حق وسائط الإعلام في حرية التعبير.</w:t>
      </w:r>
    </w:p>
    <w:p w14:paraId="71867895" w14:textId="46096EE8" w:rsidR="002907F3" w:rsidRPr="003B6D07" w:rsidRDefault="002907F3" w:rsidP="002907F3">
      <w:pPr>
        <w:pStyle w:val="H23GA"/>
      </w:pPr>
      <w:r w:rsidRPr="003B6D07">
        <w:rPr>
          <w:rtl/>
        </w:rPr>
        <w:tab/>
      </w:r>
      <w:r w:rsidRPr="003B6D07">
        <w:rPr>
          <w:rtl/>
        </w:rPr>
        <w:tab/>
        <w:t>خطاب الكراهية العنصري</w:t>
      </w:r>
      <w:r w:rsidR="003C1458" w:rsidRPr="003B6D07">
        <w:rPr>
          <w:rFonts w:hint="cs"/>
          <w:rtl/>
        </w:rPr>
        <w:t>ة</w:t>
      </w:r>
    </w:p>
    <w:p w14:paraId="1B21AB78" w14:textId="516F83F7" w:rsidR="004E7B27" w:rsidRPr="004E7B27" w:rsidRDefault="002907F3" w:rsidP="002907F3">
      <w:pPr>
        <w:pStyle w:val="SingleTxtGA"/>
        <w:rPr>
          <w:lang w:val="en-US"/>
        </w:rPr>
      </w:pPr>
      <w:r w:rsidRPr="003B6D07">
        <w:rPr>
          <w:rtl/>
          <w:lang w:val="en-US"/>
        </w:rPr>
        <w:t>17</w:t>
      </w:r>
      <w:r w:rsidRPr="002907F3">
        <w:rPr>
          <w:rtl/>
          <w:lang w:val="en-US"/>
        </w:rPr>
        <w:t>-</w:t>
      </w:r>
      <w:r w:rsidRPr="002907F3">
        <w:rPr>
          <w:rtl/>
          <w:lang w:val="en-US"/>
        </w:rPr>
        <w:tab/>
        <w:t>يساور اللجنة القلق لأن خطاب الكراهية العنصري</w:t>
      </w:r>
      <w:r w:rsidR="003C1458">
        <w:rPr>
          <w:rFonts w:hint="cs"/>
          <w:rtl/>
          <w:lang w:val="en-US"/>
        </w:rPr>
        <w:t>ة</w:t>
      </w:r>
      <w:r w:rsidRPr="002907F3">
        <w:rPr>
          <w:rtl/>
          <w:lang w:val="en-US"/>
        </w:rPr>
        <w:t xml:space="preserve"> ضد الأقليات الإثنية آخذ في الازدياد على</w:t>
      </w:r>
      <w:r w:rsidR="006D48B1">
        <w:rPr>
          <w:rFonts w:hint="cs"/>
          <w:rtl/>
          <w:lang w:val="en-US"/>
        </w:rPr>
        <w:t> </w:t>
      </w:r>
      <w:r w:rsidRPr="002907F3">
        <w:rPr>
          <w:rtl/>
          <w:lang w:val="en-US"/>
        </w:rPr>
        <w:t xml:space="preserve">شبكة الإنترنت وعلى وسائل التواصل الاجتماعي ويسهم في نشوب العنف الإثني في الدولة الطرف. كما يساور اللجنة القلق إزاء عدم وجود إحصاءات عن حوادث خطب </w:t>
      </w:r>
      <w:r w:rsidR="003C1458">
        <w:rPr>
          <w:rFonts w:hint="cs"/>
          <w:rtl/>
          <w:lang w:val="en-US"/>
        </w:rPr>
        <w:t>ال</w:t>
      </w:r>
      <w:r w:rsidRPr="002907F3">
        <w:rPr>
          <w:rtl/>
          <w:lang w:val="en-US"/>
        </w:rPr>
        <w:t xml:space="preserve">تحريض على الكراهية العنصرية (المادة </w:t>
      </w:r>
      <w:r w:rsidR="004E7B27" w:rsidRPr="003B6D07">
        <w:rPr>
          <w:rtl/>
          <w:lang w:val="en-US"/>
        </w:rPr>
        <w:t>4</w:t>
      </w:r>
      <w:r w:rsidR="004E7B27" w:rsidRPr="004E7B27">
        <w:rPr>
          <w:rtl/>
          <w:lang w:val="en-US"/>
        </w:rPr>
        <w:t>).</w:t>
      </w:r>
    </w:p>
    <w:p w14:paraId="255718DA" w14:textId="1E3D7047" w:rsidR="002907F3" w:rsidRPr="003B6D07" w:rsidRDefault="002907F3" w:rsidP="008043A7">
      <w:pPr>
        <w:pStyle w:val="SingleTxtGA"/>
        <w:spacing w:line="350" w:lineRule="exact"/>
        <w:rPr>
          <w:b/>
          <w:bCs/>
          <w:lang w:val="en-US"/>
        </w:rPr>
      </w:pPr>
      <w:r w:rsidRPr="003B6D07">
        <w:rPr>
          <w:rtl/>
          <w:lang w:val="en-US"/>
        </w:rPr>
        <w:lastRenderedPageBreak/>
        <w:t>18</w:t>
      </w:r>
      <w:r w:rsidRPr="002907F3">
        <w:rPr>
          <w:rtl/>
          <w:lang w:val="en-US"/>
        </w:rPr>
        <w:t>-</w:t>
      </w:r>
      <w:r w:rsidRPr="002907F3">
        <w:rPr>
          <w:rtl/>
          <w:lang w:val="en-US"/>
        </w:rPr>
        <w:tab/>
      </w:r>
      <w:r w:rsidRPr="003B6D07">
        <w:rPr>
          <w:b/>
          <w:bCs/>
          <w:rtl/>
          <w:lang w:val="en-US"/>
        </w:rPr>
        <w:t>تشير اللجنة إلى توصيتها العامة رقم 35(201</w:t>
      </w:r>
      <w:r w:rsidR="004E7B27" w:rsidRPr="003B6D07">
        <w:rPr>
          <w:b/>
          <w:bCs/>
          <w:rtl/>
          <w:lang w:val="en-US"/>
        </w:rPr>
        <w:t xml:space="preserve">3) </w:t>
      </w:r>
      <w:r w:rsidRPr="003B6D07">
        <w:rPr>
          <w:b/>
          <w:bCs/>
          <w:rtl/>
          <w:lang w:val="en-US"/>
        </w:rPr>
        <w:t>بشأن مكافحة خطاب التحريض على الكراهية العنصرية، وتوصي الدولة الطرف بما يلي:</w:t>
      </w:r>
    </w:p>
    <w:p w14:paraId="19613C83" w14:textId="790D1A23" w:rsidR="002907F3" w:rsidRPr="003B6D07" w:rsidRDefault="002907F3" w:rsidP="008043A7">
      <w:pPr>
        <w:pStyle w:val="SingleTxtGA"/>
        <w:spacing w:line="350" w:lineRule="exact"/>
        <w:rPr>
          <w:b/>
          <w:bCs/>
          <w:lang w:val="en-US"/>
        </w:rPr>
      </w:pPr>
      <w:r>
        <w:rPr>
          <w:rtl/>
          <w:lang w:val="en-US"/>
        </w:rPr>
        <w:tab/>
      </w:r>
      <w:r w:rsidRPr="002907F3">
        <w:rPr>
          <w:rtl/>
          <w:lang w:val="en-US"/>
        </w:rPr>
        <w:t>(أ)</w:t>
      </w:r>
      <w:r w:rsidRPr="002907F3">
        <w:rPr>
          <w:rtl/>
          <w:lang w:val="en-US"/>
        </w:rPr>
        <w:tab/>
      </w:r>
      <w:r w:rsidRPr="003B6D07">
        <w:rPr>
          <w:b/>
          <w:bCs/>
          <w:rtl/>
          <w:lang w:val="en-US"/>
        </w:rPr>
        <w:t xml:space="preserve">تحسين وزيادة التدابير الرامية إلى رصد حوادث خطاب التحريض على الكراهية العنصرية على شبكة الإنترنت وعلى وسائل التواصل الاجتماعي ومكافحتها والتحقيق فيها ومقاضاة </w:t>
      </w:r>
      <w:r w:rsidRPr="003B6D07">
        <w:rPr>
          <w:rFonts w:ascii="Times New Roman Bold" w:hAnsi="Times New Roman Bold"/>
          <w:b/>
          <w:bCs/>
          <w:spacing w:val="-2"/>
          <w:rtl/>
          <w:lang w:val="en-US"/>
        </w:rPr>
        <w:t>مرتكبيها، حسب الاقتضاء، مع ضمان توازن هذه التدابير مع الحق في حرية التعبير، والعمل مع مقدمي</w:t>
      </w:r>
      <w:r w:rsidRPr="003B6D07">
        <w:rPr>
          <w:b/>
          <w:bCs/>
          <w:rtl/>
          <w:lang w:val="en-US"/>
        </w:rPr>
        <w:t xml:space="preserve"> خدمات الإنترنت تحقيقاً لهذه الغاية؛</w:t>
      </w:r>
    </w:p>
    <w:p w14:paraId="425B34D9" w14:textId="21709FB1" w:rsidR="002907F3" w:rsidRPr="003B6D07" w:rsidRDefault="002907F3" w:rsidP="006D48B1">
      <w:pPr>
        <w:pStyle w:val="SingleTxtGA"/>
        <w:spacing w:line="346" w:lineRule="exact"/>
        <w:rPr>
          <w:b/>
          <w:bCs/>
          <w:lang w:val="en-US"/>
        </w:rPr>
      </w:pPr>
      <w:r>
        <w:rPr>
          <w:rtl/>
          <w:lang w:val="en-US"/>
        </w:rPr>
        <w:tab/>
      </w:r>
      <w:r w:rsidRPr="002907F3">
        <w:rPr>
          <w:rtl/>
          <w:lang w:val="en-US"/>
        </w:rPr>
        <w:t>(ب)</w:t>
      </w:r>
      <w:r w:rsidRPr="002907F3">
        <w:rPr>
          <w:rtl/>
          <w:lang w:val="en-US"/>
        </w:rPr>
        <w:tab/>
      </w:r>
      <w:r w:rsidRPr="003B6D07">
        <w:rPr>
          <w:b/>
          <w:bCs/>
          <w:rtl/>
          <w:lang w:val="en-US"/>
        </w:rPr>
        <w:t>الإسراع في وضع مبادئ توجيهية منهجية ل</w:t>
      </w:r>
      <w:r w:rsidR="003C1458" w:rsidRPr="003B6D07">
        <w:rPr>
          <w:rFonts w:hint="cs"/>
          <w:b/>
          <w:bCs/>
          <w:rtl/>
          <w:lang w:val="en-US"/>
        </w:rPr>
        <w:t>لتصدي</w:t>
      </w:r>
      <w:r w:rsidRPr="003B6D07">
        <w:rPr>
          <w:b/>
          <w:bCs/>
          <w:rtl/>
          <w:lang w:val="en-US"/>
        </w:rPr>
        <w:t xml:space="preserve"> </w:t>
      </w:r>
      <w:r w:rsidR="003C1458" w:rsidRPr="003B6D07">
        <w:rPr>
          <w:rFonts w:hint="cs"/>
          <w:b/>
          <w:bCs/>
          <w:rtl/>
          <w:lang w:val="en-US"/>
        </w:rPr>
        <w:t>ل</w:t>
      </w:r>
      <w:r w:rsidRPr="003B6D07">
        <w:rPr>
          <w:b/>
          <w:bCs/>
          <w:rtl/>
          <w:lang w:val="en-US"/>
        </w:rPr>
        <w:t xml:space="preserve">خطاب التحريض على الكراهية العنصرية </w:t>
      </w:r>
      <w:r w:rsidR="003C1458" w:rsidRPr="003B6D07">
        <w:rPr>
          <w:rFonts w:hint="cs"/>
          <w:b/>
          <w:bCs/>
          <w:rtl/>
          <w:lang w:val="en-US"/>
        </w:rPr>
        <w:t xml:space="preserve">في </w:t>
      </w:r>
      <w:r w:rsidRPr="003B6D07">
        <w:rPr>
          <w:b/>
          <w:bCs/>
          <w:rtl/>
          <w:lang w:val="en-US"/>
        </w:rPr>
        <w:t>الخطاب العام؛</w:t>
      </w:r>
    </w:p>
    <w:p w14:paraId="400738B5" w14:textId="43211D76" w:rsidR="002907F3" w:rsidRPr="003B6D07" w:rsidRDefault="002907F3" w:rsidP="006D48B1">
      <w:pPr>
        <w:pStyle w:val="SingleTxtGA"/>
        <w:spacing w:line="346" w:lineRule="exact"/>
        <w:rPr>
          <w:b/>
          <w:bCs/>
          <w:lang w:val="en-US"/>
        </w:rPr>
      </w:pPr>
      <w:r>
        <w:rPr>
          <w:rtl/>
          <w:lang w:val="en-US"/>
        </w:rPr>
        <w:tab/>
      </w:r>
      <w:r w:rsidRPr="002907F3">
        <w:rPr>
          <w:rtl/>
          <w:lang w:val="en-US"/>
        </w:rPr>
        <w:t>(ج)</w:t>
      </w:r>
      <w:r w:rsidRPr="002907F3">
        <w:rPr>
          <w:rtl/>
          <w:lang w:val="en-US"/>
        </w:rPr>
        <w:tab/>
      </w:r>
      <w:r w:rsidRPr="003B6D07">
        <w:rPr>
          <w:rFonts w:ascii="Times New Roman Bold" w:hAnsi="Times New Roman Bold"/>
          <w:b/>
          <w:bCs/>
          <w:spacing w:val="-2"/>
          <w:rtl/>
          <w:lang w:val="en-US"/>
        </w:rPr>
        <w:t>جمع وتحليل الإحصاءات المتعلقة بخطاب التحريض على الكراهية العنصرية وإدراجها</w:t>
      </w:r>
      <w:r w:rsidRPr="003B6D07">
        <w:rPr>
          <w:b/>
          <w:bCs/>
          <w:rtl/>
          <w:lang w:val="en-US"/>
        </w:rPr>
        <w:t xml:space="preserve"> في تقريرها الدوري المقبل.</w:t>
      </w:r>
    </w:p>
    <w:p w14:paraId="7017435B" w14:textId="77777777" w:rsidR="002907F3" w:rsidRPr="003B6D07" w:rsidRDefault="002907F3" w:rsidP="002907F3">
      <w:pPr>
        <w:pStyle w:val="H23GA"/>
      </w:pPr>
      <w:r w:rsidRPr="003B6D07">
        <w:rPr>
          <w:rtl/>
        </w:rPr>
        <w:tab/>
      </w:r>
      <w:r w:rsidRPr="003B6D07">
        <w:rPr>
          <w:rtl/>
        </w:rPr>
        <w:tab/>
        <w:t>التشريعات المناهضة للتحريض على العنف والمنظمات المتطرفة</w:t>
      </w:r>
    </w:p>
    <w:p w14:paraId="4BBD9640" w14:textId="661E562D" w:rsidR="004E7B27" w:rsidRPr="004E7B27" w:rsidRDefault="002907F3" w:rsidP="008043A7">
      <w:pPr>
        <w:pStyle w:val="SingleTxtGA"/>
        <w:spacing w:line="350" w:lineRule="exact"/>
        <w:rPr>
          <w:lang w:val="en-US"/>
        </w:rPr>
      </w:pPr>
      <w:r w:rsidRPr="003B6D07">
        <w:rPr>
          <w:rtl/>
          <w:lang w:val="en-US"/>
        </w:rPr>
        <w:t>19</w:t>
      </w:r>
      <w:r w:rsidRPr="002907F3">
        <w:rPr>
          <w:rtl/>
          <w:lang w:val="en-US"/>
        </w:rPr>
        <w:t>-</w:t>
      </w:r>
      <w:r w:rsidRPr="002907F3">
        <w:rPr>
          <w:rtl/>
          <w:lang w:val="en-US"/>
        </w:rPr>
        <w:tab/>
      </w:r>
      <w:r w:rsidRPr="006D48B1">
        <w:rPr>
          <w:spacing w:val="-4"/>
          <w:rtl/>
          <w:lang w:val="en-US"/>
        </w:rPr>
        <w:t>تكرر اللجنة الإعراب عن قلقها لأن القانون الجنائي للدولة الطرف لا يمتثل امتثالاً تاماً لمقتضيات</w:t>
      </w:r>
      <w:r w:rsidRPr="002907F3">
        <w:rPr>
          <w:rtl/>
          <w:lang w:val="en-US"/>
        </w:rPr>
        <w:t xml:space="preserve"> الفقرتين (أ) و(ب) من المادة </w:t>
      </w:r>
      <w:r w:rsidRPr="003B6D07">
        <w:rPr>
          <w:rtl/>
          <w:lang w:val="en-US"/>
        </w:rPr>
        <w:t>4</w:t>
      </w:r>
      <w:r w:rsidRPr="002907F3">
        <w:rPr>
          <w:rtl/>
          <w:lang w:val="en-US"/>
        </w:rPr>
        <w:t xml:space="preserve"> من الاتفاقية (المادة </w:t>
      </w:r>
      <w:r w:rsidRPr="003B6D07">
        <w:rPr>
          <w:rtl/>
          <w:lang w:val="en-US"/>
        </w:rPr>
        <w:t>4</w:t>
      </w:r>
      <w:r w:rsidRPr="002907F3">
        <w:rPr>
          <w:rtl/>
          <w:lang w:val="en-US"/>
        </w:rPr>
        <w:t>)</w:t>
      </w:r>
      <w:r w:rsidR="004E7B27" w:rsidRPr="00DD6B0E">
        <w:rPr>
          <w:rStyle w:val="FootnoteReference"/>
          <w:szCs w:val="22"/>
          <w:rtl/>
          <w:lang w:val="en-US"/>
        </w:rPr>
        <w:t>(</w:t>
      </w:r>
      <w:r w:rsidR="004E7B27" w:rsidRPr="003B6D07">
        <w:rPr>
          <w:rStyle w:val="FootnoteReference"/>
          <w:szCs w:val="22"/>
          <w:lang w:val="en-US"/>
        </w:rPr>
        <w:footnoteReference w:id="5"/>
      </w:r>
      <w:r w:rsidR="004E7B27" w:rsidRPr="004E7B27">
        <w:rPr>
          <w:vertAlign w:val="superscript"/>
          <w:rtl/>
          <w:lang w:val="en-US"/>
        </w:rPr>
        <w:t>)</w:t>
      </w:r>
      <w:r w:rsidR="004E7B27" w:rsidRPr="004E7B27">
        <w:rPr>
          <w:rFonts w:hint="cs"/>
          <w:rtl/>
          <w:lang w:val="en-US"/>
        </w:rPr>
        <w:t>.</w:t>
      </w:r>
    </w:p>
    <w:p w14:paraId="0F863DFF" w14:textId="4339F502" w:rsidR="002907F3" w:rsidRPr="003B6D07" w:rsidRDefault="002907F3" w:rsidP="008043A7">
      <w:pPr>
        <w:pStyle w:val="SingleTxtGA"/>
        <w:spacing w:line="350" w:lineRule="exact"/>
        <w:rPr>
          <w:b/>
          <w:bCs/>
          <w:lang w:val="en-US"/>
        </w:rPr>
      </w:pPr>
      <w:r w:rsidRPr="003B6D07">
        <w:rPr>
          <w:rtl/>
          <w:lang w:val="en-US"/>
        </w:rPr>
        <w:t>20</w:t>
      </w:r>
      <w:r w:rsidRPr="002907F3">
        <w:rPr>
          <w:rtl/>
          <w:lang w:val="en-US"/>
        </w:rPr>
        <w:t>-</w:t>
      </w:r>
      <w:r w:rsidRPr="002907F3">
        <w:rPr>
          <w:rtl/>
          <w:lang w:val="en-US"/>
        </w:rPr>
        <w:tab/>
      </w:r>
      <w:r w:rsidRPr="003B6D07">
        <w:rPr>
          <w:b/>
          <w:bCs/>
          <w:spacing w:val="-3"/>
          <w:rtl/>
          <w:lang w:val="en-US"/>
        </w:rPr>
        <w:t>توصي اللجنة الدولة الطرف، تمشياً مع الفقرتين (أ) و(ب) من المادة 4 من الاتفاقية، باستعراض</w:t>
      </w:r>
      <w:r w:rsidRPr="003B6D07">
        <w:rPr>
          <w:b/>
          <w:bCs/>
          <w:rtl/>
          <w:lang w:val="en-US"/>
        </w:rPr>
        <w:t xml:space="preserve"> تشريعاتها من أجل ما يلي:</w:t>
      </w:r>
    </w:p>
    <w:p w14:paraId="2C050D0B" w14:textId="7E188132" w:rsidR="002907F3" w:rsidRPr="003B6D07" w:rsidRDefault="002907F3" w:rsidP="008043A7">
      <w:pPr>
        <w:pStyle w:val="SingleTxtGA"/>
        <w:spacing w:line="350" w:lineRule="exact"/>
        <w:rPr>
          <w:b/>
          <w:bCs/>
          <w:lang w:val="en-US"/>
        </w:rPr>
      </w:pPr>
      <w:r>
        <w:rPr>
          <w:rtl/>
          <w:lang w:val="en-US"/>
        </w:rPr>
        <w:tab/>
      </w:r>
      <w:r w:rsidRPr="002907F3">
        <w:rPr>
          <w:rtl/>
          <w:lang w:val="en-US"/>
        </w:rPr>
        <w:t>(أ)</w:t>
      </w:r>
      <w:r w:rsidRPr="002907F3">
        <w:rPr>
          <w:rtl/>
          <w:lang w:val="en-US"/>
        </w:rPr>
        <w:tab/>
      </w:r>
      <w:r w:rsidRPr="003B6D07">
        <w:rPr>
          <w:rFonts w:ascii="Times New Roman Bold" w:hAnsi="Times New Roman Bold"/>
          <w:b/>
          <w:bCs/>
          <w:rtl/>
          <w:lang w:val="en-US"/>
        </w:rPr>
        <w:t xml:space="preserve">حظر التحريض على العنف ضد أي مجموعة من الأشخاص على أساس </w:t>
      </w:r>
      <w:proofErr w:type="gramStart"/>
      <w:r w:rsidRPr="003B6D07">
        <w:rPr>
          <w:rFonts w:ascii="Times New Roman Bold" w:hAnsi="Times New Roman Bold"/>
          <w:b/>
          <w:bCs/>
          <w:rtl/>
          <w:lang w:val="en-US"/>
        </w:rPr>
        <w:t>العرق</w:t>
      </w:r>
      <w:proofErr w:type="gramEnd"/>
      <w:r w:rsidRPr="003B6D07">
        <w:rPr>
          <w:rFonts w:ascii="Times New Roman Bold" w:hAnsi="Times New Roman Bold"/>
          <w:b/>
          <w:bCs/>
          <w:rtl/>
          <w:lang w:val="en-US"/>
        </w:rPr>
        <w:t xml:space="preserve"> أو</w:t>
      </w:r>
      <w:r w:rsidR="006D48B1" w:rsidRPr="003B6D07">
        <w:rPr>
          <w:rFonts w:ascii="Times New Roman Bold" w:hAnsi="Times New Roman Bold" w:hint="eastAsia"/>
          <w:b/>
          <w:bCs/>
          <w:rtl/>
          <w:lang w:val="en-US"/>
        </w:rPr>
        <w:t> </w:t>
      </w:r>
      <w:r w:rsidRPr="003B6D07">
        <w:rPr>
          <w:rFonts w:ascii="Times New Roman Bold" w:hAnsi="Times New Roman Bold"/>
          <w:b/>
          <w:bCs/>
          <w:rtl/>
          <w:lang w:val="en-US"/>
        </w:rPr>
        <w:t>اللون</w:t>
      </w:r>
      <w:r w:rsidRPr="003B6D07">
        <w:rPr>
          <w:b/>
          <w:bCs/>
          <w:rtl/>
          <w:lang w:val="en-US"/>
        </w:rPr>
        <w:t xml:space="preserve"> أو النسب أو الأصل القومي أو الإثني؛</w:t>
      </w:r>
    </w:p>
    <w:p w14:paraId="58D23BAE" w14:textId="473FC548" w:rsidR="002907F3" w:rsidRPr="003B6D07" w:rsidRDefault="002907F3" w:rsidP="008043A7">
      <w:pPr>
        <w:pStyle w:val="SingleTxtGA"/>
        <w:spacing w:line="350" w:lineRule="exact"/>
        <w:rPr>
          <w:b/>
          <w:bCs/>
          <w:lang w:val="en-US"/>
        </w:rPr>
      </w:pPr>
      <w:r>
        <w:rPr>
          <w:rtl/>
          <w:lang w:val="en-US"/>
        </w:rPr>
        <w:tab/>
      </w:r>
      <w:r w:rsidRPr="002907F3">
        <w:rPr>
          <w:rtl/>
          <w:lang w:val="en-US"/>
        </w:rPr>
        <w:t>(ب)</w:t>
      </w:r>
      <w:r w:rsidRPr="002907F3">
        <w:rPr>
          <w:rtl/>
          <w:lang w:val="en-US"/>
        </w:rPr>
        <w:tab/>
      </w:r>
      <w:r w:rsidRPr="003B6D07">
        <w:rPr>
          <w:b/>
          <w:bCs/>
          <w:rtl/>
          <w:lang w:val="en-US"/>
        </w:rPr>
        <w:t>إعلان عدم قانونية المنظمات وجميع الأنشطة الدعائية وغيرها من الأنشطة التي تروج للتمييز العنصري وتحرض عليه، وحظرها؛</w:t>
      </w:r>
    </w:p>
    <w:p w14:paraId="14487681" w14:textId="748028C7" w:rsidR="002907F3" w:rsidRPr="003B6D07" w:rsidRDefault="002907F3" w:rsidP="008043A7">
      <w:pPr>
        <w:pStyle w:val="SingleTxtGA"/>
        <w:spacing w:line="350" w:lineRule="exact"/>
        <w:rPr>
          <w:b/>
          <w:bCs/>
          <w:lang w:val="en-US"/>
        </w:rPr>
      </w:pPr>
      <w:r>
        <w:rPr>
          <w:rtl/>
          <w:lang w:val="en-US"/>
        </w:rPr>
        <w:tab/>
      </w:r>
      <w:r w:rsidRPr="002907F3">
        <w:rPr>
          <w:rtl/>
          <w:lang w:val="en-US"/>
        </w:rPr>
        <w:t>(ج)</w:t>
      </w:r>
      <w:r w:rsidRPr="002907F3">
        <w:rPr>
          <w:rtl/>
          <w:lang w:val="en-US"/>
        </w:rPr>
        <w:tab/>
      </w:r>
      <w:r w:rsidRPr="003B6D07">
        <w:rPr>
          <w:b/>
          <w:bCs/>
          <w:rtl/>
          <w:lang w:val="en-US"/>
        </w:rPr>
        <w:t>حظر ومعاقبة المشاركة في مثل تلك المنظمات أو الأنشطة.</w:t>
      </w:r>
    </w:p>
    <w:p w14:paraId="3AF6E2BE" w14:textId="77777777" w:rsidR="002907F3" w:rsidRPr="003B6D07" w:rsidRDefault="002907F3" w:rsidP="002907F3">
      <w:pPr>
        <w:pStyle w:val="H23GA"/>
      </w:pPr>
      <w:r w:rsidRPr="003B6D07">
        <w:rPr>
          <w:rtl/>
        </w:rPr>
        <w:tab/>
      </w:r>
      <w:r w:rsidRPr="003B6D07">
        <w:rPr>
          <w:rtl/>
        </w:rPr>
        <w:tab/>
        <w:t>التوترات بين الجماعات الإثنية</w:t>
      </w:r>
    </w:p>
    <w:p w14:paraId="55185DC5" w14:textId="1F8ECD75" w:rsidR="004E7B27" w:rsidRPr="004E7B27" w:rsidRDefault="002907F3" w:rsidP="008043A7">
      <w:pPr>
        <w:pStyle w:val="SingleTxtGA"/>
        <w:spacing w:line="350" w:lineRule="exact"/>
        <w:rPr>
          <w:lang w:val="en-US"/>
        </w:rPr>
      </w:pPr>
      <w:r w:rsidRPr="003B6D07">
        <w:rPr>
          <w:rtl/>
          <w:lang w:val="en-US"/>
        </w:rPr>
        <w:t>21</w:t>
      </w:r>
      <w:r w:rsidRPr="002907F3">
        <w:rPr>
          <w:rtl/>
          <w:lang w:val="en-US"/>
        </w:rPr>
        <w:t>-</w:t>
      </w:r>
      <w:r w:rsidRPr="002907F3">
        <w:rPr>
          <w:rtl/>
          <w:lang w:val="en-US"/>
        </w:rPr>
        <w:tab/>
        <w:t>يساور اللجنة القلق إزاء التقارير التي تفيد بوجود توترات قائمة بين الجماعات الإثنية وبتكرر وقوع حوادث عنف بين الجماعات الإثنية في الدولة الطرف. ويساور اللجنة القلق أيضاً إزاء عدم إجراء مناقشة مفتوحة في الدولة الطرف بشأن التمييز العنصري وجرائم الكراهية العنصرية والتوترات والنزاعات بين الجماعات الإثنية. وتلاحظ اللجنة التحول الذي شهده مجلس شعب كازاخستان، إذ انتقل من تنظيم مناسبات ثقافية إلى تحديد التوترات والنزاعات بين الجماعات الإثنية وحلها، ولكنها تشعر بالقلق لعدم اتسام المجلس بالفعالية الكا</w:t>
      </w:r>
      <w:r w:rsidR="00BE1B6F">
        <w:rPr>
          <w:rFonts w:hint="cs"/>
          <w:rtl/>
          <w:lang w:val="en-US"/>
        </w:rPr>
        <w:t>ف</w:t>
      </w:r>
      <w:r w:rsidRPr="002907F3">
        <w:rPr>
          <w:rtl/>
          <w:lang w:val="en-US"/>
        </w:rPr>
        <w:t xml:space="preserve">ية لأداء هذه المهام (المادتان </w:t>
      </w:r>
      <w:r w:rsidRPr="003B6D07">
        <w:rPr>
          <w:rtl/>
          <w:lang w:val="en-US"/>
        </w:rPr>
        <w:t>4</w:t>
      </w:r>
      <w:r w:rsidRPr="002907F3">
        <w:rPr>
          <w:rtl/>
          <w:lang w:val="en-US"/>
        </w:rPr>
        <w:t xml:space="preserve"> و</w:t>
      </w:r>
      <w:r w:rsidR="004E7B27" w:rsidRPr="003B6D07">
        <w:rPr>
          <w:rtl/>
          <w:lang w:val="en-US"/>
        </w:rPr>
        <w:t>7</w:t>
      </w:r>
      <w:r w:rsidR="004E7B27" w:rsidRPr="004E7B27">
        <w:rPr>
          <w:rtl/>
          <w:lang w:val="en-US"/>
        </w:rPr>
        <w:t>).</w:t>
      </w:r>
    </w:p>
    <w:p w14:paraId="4A72C76E" w14:textId="22D22017" w:rsidR="002907F3" w:rsidRPr="003B6D07" w:rsidRDefault="002907F3" w:rsidP="008043A7">
      <w:pPr>
        <w:pStyle w:val="SingleTxtGA"/>
        <w:spacing w:line="350" w:lineRule="exact"/>
        <w:rPr>
          <w:b/>
          <w:bCs/>
          <w:lang w:val="en-US"/>
        </w:rPr>
      </w:pPr>
      <w:r w:rsidRPr="003B6D07">
        <w:rPr>
          <w:rtl/>
          <w:lang w:val="en-US"/>
        </w:rPr>
        <w:t>22</w:t>
      </w:r>
      <w:r w:rsidRPr="002907F3">
        <w:rPr>
          <w:rtl/>
          <w:lang w:val="en-US"/>
        </w:rPr>
        <w:t>-</w:t>
      </w:r>
      <w:r w:rsidRPr="002907F3">
        <w:rPr>
          <w:rtl/>
          <w:lang w:val="en-US"/>
        </w:rPr>
        <w:tab/>
      </w:r>
      <w:r w:rsidRPr="003B6D07">
        <w:rPr>
          <w:b/>
          <w:bCs/>
          <w:rtl/>
          <w:lang w:val="en-US"/>
        </w:rPr>
        <w:t>توصي اللجنة الدولة الطرف بما يلي:</w:t>
      </w:r>
    </w:p>
    <w:p w14:paraId="3059A991" w14:textId="000339B2" w:rsidR="002907F3" w:rsidRPr="003B6D07" w:rsidRDefault="002907F3" w:rsidP="008043A7">
      <w:pPr>
        <w:pStyle w:val="SingleTxtGA"/>
        <w:spacing w:line="350" w:lineRule="exact"/>
        <w:rPr>
          <w:b/>
          <w:bCs/>
          <w:lang w:val="en-US"/>
        </w:rPr>
      </w:pPr>
      <w:r>
        <w:rPr>
          <w:rtl/>
          <w:lang w:val="en-US"/>
        </w:rPr>
        <w:tab/>
      </w:r>
      <w:r w:rsidRPr="002907F3">
        <w:rPr>
          <w:rtl/>
          <w:lang w:val="en-US"/>
        </w:rPr>
        <w:t>(أ)</w:t>
      </w:r>
      <w:r w:rsidRPr="002907F3">
        <w:rPr>
          <w:rtl/>
          <w:lang w:val="en-US"/>
        </w:rPr>
        <w:tab/>
      </w:r>
      <w:r w:rsidRPr="003B6D07">
        <w:rPr>
          <w:b/>
          <w:bCs/>
          <w:rtl/>
          <w:lang w:val="en-US"/>
        </w:rPr>
        <w:t xml:space="preserve">الاعتراف بوجود تمييز </w:t>
      </w:r>
      <w:r w:rsidR="003C1458" w:rsidRPr="003B6D07">
        <w:rPr>
          <w:rFonts w:hint="cs"/>
          <w:b/>
          <w:bCs/>
          <w:rtl/>
          <w:lang w:val="en-US"/>
        </w:rPr>
        <w:t>نظمي</w:t>
      </w:r>
      <w:r w:rsidRPr="003B6D07">
        <w:rPr>
          <w:b/>
          <w:bCs/>
          <w:rtl/>
          <w:lang w:val="en-US"/>
        </w:rPr>
        <w:t xml:space="preserve"> ضد الأقليات الإثنية وتوترات بين الجماعات الإثنية على أراضيها، وتهيئة الفرص لإجراء حوار مفتوح بين مختلف الجماعات الإثنية، والسماح بإجراء مناقشات عامة بشأن التوترات والنزاعات الإثنية؛</w:t>
      </w:r>
    </w:p>
    <w:p w14:paraId="7ACAFB03" w14:textId="4409FFFC" w:rsidR="002907F3" w:rsidRPr="003B6D07" w:rsidRDefault="002907F3" w:rsidP="008043A7">
      <w:pPr>
        <w:pStyle w:val="SingleTxtGA"/>
        <w:spacing w:line="350" w:lineRule="exact"/>
        <w:rPr>
          <w:b/>
          <w:bCs/>
          <w:lang w:val="en-US"/>
        </w:rPr>
      </w:pPr>
      <w:r>
        <w:rPr>
          <w:rtl/>
          <w:lang w:val="en-US"/>
        </w:rPr>
        <w:tab/>
      </w:r>
      <w:r w:rsidRPr="002907F3">
        <w:rPr>
          <w:rtl/>
          <w:lang w:val="en-US"/>
        </w:rPr>
        <w:t>(ب)</w:t>
      </w:r>
      <w:r w:rsidRPr="002907F3">
        <w:rPr>
          <w:rtl/>
          <w:lang w:val="en-US"/>
        </w:rPr>
        <w:tab/>
      </w:r>
      <w:r w:rsidRPr="003B6D07">
        <w:rPr>
          <w:rFonts w:ascii="Times New Roman Bold" w:hAnsi="Times New Roman Bold"/>
          <w:b/>
          <w:bCs/>
          <w:spacing w:val="-4"/>
          <w:rtl/>
          <w:lang w:val="en-US"/>
        </w:rPr>
        <w:t>زيادة وتعزيز التدابير الرامية إلى تعزيز الوئام والتسامح بين الجماعات الإثنية والتغلب</w:t>
      </w:r>
      <w:r w:rsidRPr="003B6D07">
        <w:rPr>
          <w:b/>
          <w:bCs/>
          <w:rtl/>
          <w:lang w:val="en-US"/>
        </w:rPr>
        <w:t xml:space="preserve"> </w:t>
      </w:r>
      <w:r w:rsidRPr="003B6D07">
        <w:rPr>
          <w:rFonts w:ascii="Times New Roman Bold" w:hAnsi="Times New Roman Bold"/>
          <w:b/>
          <w:bCs/>
          <w:spacing w:val="-4"/>
          <w:rtl/>
          <w:lang w:val="en-US"/>
        </w:rPr>
        <w:t>على التحيزات والقوالب النمطية السلبية، بما في ذلك في المدارس والجامعات ومن خلال وسائط الإعلام؛</w:t>
      </w:r>
    </w:p>
    <w:p w14:paraId="580C8C0A" w14:textId="4EAE4B7A" w:rsidR="002907F3" w:rsidRPr="003B6D07" w:rsidRDefault="002907F3" w:rsidP="002907F3">
      <w:pPr>
        <w:pStyle w:val="SingleTxtGA"/>
        <w:rPr>
          <w:b/>
          <w:bCs/>
          <w:lang w:val="en-US"/>
        </w:rPr>
      </w:pPr>
      <w:r>
        <w:rPr>
          <w:rtl/>
          <w:lang w:val="en-US"/>
        </w:rPr>
        <w:lastRenderedPageBreak/>
        <w:tab/>
      </w:r>
      <w:r w:rsidRPr="002907F3">
        <w:rPr>
          <w:rtl/>
          <w:lang w:val="en-US"/>
        </w:rPr>
        <w:t>(ج)</w:t>
      </w:r>
      <w:r w:rsidRPr="002907F3">
        <w:rPr>
          <w:rtl/>
          <w:lang w:val="en-US"/>
        </w:rPr>
        <w:tab/>
      </w:r>
      <w:r w:rsidRPr="003B6D07">
        <w:rPr>
          <w:b/>
          <w:bCs/>
          <w:rtl/>
          <w:lang w:val="en-US"/>
        </w:rPr>
        <w:t>ضمان تدريب السلطات المحلية والموظفين المكلفين بإنفاذ القوانين على تحديد وحل التوترات الإثنية التي قد تؤدي إلى نشوب نزاعات عنيفة؛</w:t>
      </w:r>
    </w:p>
    <w:p w14:paraId="74652F7A" w14:textId="54961959" w:rsidR="002907F3" w:rsidRPr="003B6D07" w:rsidRDefault="002907F3" w:rsidP="002907F3">
      <w:pPr>
        <w:pStyle w:val="SingleTxtGA"/>
        <w:rPr>
          <w:b/>
          <w:bCs/>
          <w:lang w:val="en-US"/>
        </w:rPr>
      </w:pPr>
      <w:r>
        <w:rPr>
          <w:rtl/>
          <w:lang w:val="en-US"/>
        </w:rPr>
        <w:tab/>
      </w:r>
      <w:r w:rsidRPr="002907F3">
        <w:rPr>
          <w:rtl/>
          <w:lang w:val="en-US"/>
        </w:rPr>
        <w:t>(د)</w:t>
      </w:r>
      <w:r w:rsidRPr="002907F3">
        <w:rPr>
          <w:rtl/>
          <w:lang w:val="en-US"/>
        </w:rPr>
        <w:tab/>
      </w:r>
      <w:r w:rsidRPr="003B6D07">
        <w:rPr>
          <w:b/>
          <w:bCs/>
          <w:rtl/>
          <w:lang w:val="en-US"/>
        </w:rPr>
        <w:t>تعزيز السلطة القانونية والسياسية لمجلس شعب كازاخستان وتمكينه من أن يصبح أكثر فعالية في تعزيز التعايش السلمي بين الجماعات العرقية في الدولة الطرف، وفي منع التوترات والنزاعات الإثنية ومعالجتها، بسبل منها الوساطة.</w:t>
      </w:r>
    </w:p>
    <w:p w14:paraId="68DB3EF9" w14:textId="77777777" w:rsidR="002907F3" w:rsidRPr="003B6D07" w:rsidRDefault="002907F3" w:rsidP="002907F3">
      <w:pPr>
        <w:pStyle w:val="H23GA"/>
      </w:pPr>
      <w:r w:rsidRPr="003B6D07">
        <w:rPr>
          <w:rtl/>
        </w:rPr>
        <w:tab/>
      </w:r>
      <w:r w:rsidRPr="003B6D07">
        <w:rPr>
          <w:rtl/>
        </w:rPr>
        <w:tab/>
        <w:t>أقلية الدونغان</w:t>
      </w:r>
    </w:p>
    <w:p w14:paraId="59D48967" w14:textId="13B73CEE" w:rsidR="004E7B27" w:rsidRPr="004E7B27" w:rsidRDefault="002907F3" w:rsidP="002907F3">
      <w:pPr>
        <w:pStyle w:val="SingleTxtGA"/>
        <w:rPr>
          <w:lang w:val="en-US"/>
        </w:rPr>
      </w:pPr>
      <w:r w:rsidRPr="003B6D07">
        <w:rPr>
          <w:rtl/>
          <w:lang w:val="en-US"/>
        </w:rPr>
        <w:t>23</w:t>
      </w:r>
      <w:r w:rsidRPr="002907F3">
        <w:rPr>
          <w:rtl/>
          <w:lang w:val="en-US"/>
        </w:rPr>
        <w:t>-</w:t>
      </w:r>
      <w:r w:rsidRPr="002907F3">
        <w:rPr>
          <w:rtl/>
          <w:lang w:val="en-US"/>
        </w:rPr>
        <w:tab/>
        <w:t xml:space="preserve">تحيط اللجنة علماً بالتقارير التي تفيد بأن العنف القائم على أساس إثني ضد الأشخاص المنتمين إلى مجتمع الدونغان، الذي وقع في شباط/فبراير </w:t>
      </w:r>
      <w:r w:rsidRPr="003B6D07">
        <w:rPr>
          <w:rtl/>
          <w:lang w:val="en-US"/>
        </w:rPr>
        <w:t>2020</w:t>
      </w:r>
      <w:r w:rsidRPr="002907F3">
        <w:rPr>
          <w:rtl/>
          <w:lang w:val="en-US"/>
        </w:rPr>
        <w:t xml:space="preserve"> في مقاطعة </w:t>
      </w:r>
      <w:proofErr w:type="spellStart"/>
      <w:r w:rsidRPr="002907F3">
        <w:rPr>
          <w:rtl/>
          <w:lang w:val="en-US"/>
        </w:rPr>
        <w:t>كورداي</w:t>
      </w:r>
      <w:proofErr w:type="spellEnd"/>
      <w:r w:rsidRPr="002907F3">
        <w:rPr>
          <w:rtl/>
          <w:lang w:val="en-US"/>
        </w:rPr>
        <w:t xml:space="preserve">، كان نتيجة لتوترات إثنية طال أمدها. ويساور اللجنة القلق إزاء استمرار هذه التوترات ومشاعر الخوف في مجتمع الدونغان، على الرغم من الجهود التي تبذلها الدولة الطرف لمعالجتها. كما يساور اللجنة القلق إزاء التقارير التي تفيد بأن أفراد مجتمع الدونغان لم يحصلوا على محاكمة عادلة وأن التعويض عن الأضرار التي لحقت بممتلكات الدونغان لم يكن كافياً (المادتان </w:t>
      </w:r>
      <w:r w:rsidRPr="003B6D07">
        <w:rPr>
          <w:rtl/>
          <w:lang w:val="en-US"/>
        </w:rPr>
        <w:t>4</w:t>
      </w:r>
      <w:r w:rsidRPr="002907F3">
        <w:rPr>
          <w:rtl/>
          <w:lang w:val="en-US"/>
        </w:rPr>
        <w:t xml:space="preserve"> و</w:t>
      </w:r>
      <w:r w:rsidR="004E7B27" w:rsidRPr="003B6D07">
        <w:rPr>
          <w:rtl/>
          <w:lang w:val="en-US"/>
        </w:rPr>
        <w:t>5</w:t>
      </w:r>
      <w:r w:rsidR="004E7B27" w:rsidRPr="004E7B27">
        <w:rPr>
          <w:rtl/>
          <w:lang w:val="en-US"/>
        </w:rPr>
        <w:t>).</w:t>
      </w:r>
    </w:p>
    <w:p w14:paraId="64D57E7B" w14:textId="49A81DFE" w:rsidR="002907F3" w:rsidRPr="003B6D07" w:rsidRDefault="002907F3" w:rsidP="002907F3">
      <w:pPr>
        <w:pStyle w:val="SingleTxtGA"/>
        <w:rPr>
          <w:b/>
          <w:bCs/>
          <w:lang w:val="en-US"/>
        </w:rPr>
      </w:pPr>
      <w:r w:rsidRPr="003B6D07">
        <w:rPr>
          <w:rtl/>
          <w:lang w:val="en-US"/>
        </w:rPr>
        <w:t>24</w:t>
      </w:r>
      <w:r w:rsidRPr="002907F3">
        <w:rPr>
          <w:rtl/>
          <w:lang w:val="en-US"/>
        </w:rPr>
        <w:t>-</w:t>
      </w:r>
      <w:r w:rsidRPr="002907F3">
        <w:rPr>
          <w:rtl/>
          <w:lang w:val="en-US"/>
        </w:rPr>
        <w:tab/>
      </w:r>
      <w:r w:rsidRPr="003B6D07">
        <w:rPr>
          <w:b/>
          <w:bCs/>
          <w:rtl/>
          <w:lang w:val="en-US"/>
        </w:rPr>
        <w:t>توصي اللجنة الدولة الطرف بما يلي:</w:t>
      </w:r>
    </w:p>
    <w:p w14:paraId="6D622BBE" w14:textId="7BC0696B" w:rsidR="002907F3" w:rsidRPr="003B6D07" w:rsidRDefault="002907F3" w:rsidP="002907F3">
      <w:pPr>
        <w:pStyle w:val="SingleTxtGA"/>
        <w:rPr>
          <w:b/>
          <w:bCs/>
          <w:lang w:val="en-US"/>
        </w:rPr>
      </w:pPr>
      <w:r>
        <w:rPr>
          <w:rtl/>
          <w:lang w:val="en-US"/>
        </w:rPr>
        <w:tab/>
      </w:r>
      <w:r w:rsidRPr="002907F3">
        <w:rPr>
          <w:rtl/>
          <w:lang w:val="en-US"/>
        </w:rPr>
        <w:t>(أ)</w:t>
      </w:r>
      <w:r w:rsidRPr="002907F3">
        <w:rPr>
          <w:rtl/>
          <w:lang w:val="en-US"/>
        </w:rPr>
        <w:tab/>
      </w:r>
      <w:r w:rsidRPr="003B6D07">
        <w:rPr>
          <w:rFonts w:ascii="Times New Roman Bold" w:hAnsi="Times New Roman Bold"/>
          <w:b/>
          <w:bCs/>
          <w:spacing w:val="-4"/>
          <w:rtl/>
          <w:lang w:val="en-US"/>
        </w:rPr>
        <w:t>تعزيز التدابير المتخذة لمنع وقوع عنف قائم على أساس إثني ضد الأشخاص المنتمين</w:t>
      </w:r>
      <w:r w:rsidRPr="003B6D07">
        <w:rPr>
          <w:b/>
          <w:bCs/>
          <w:rtl/>
          <w:lang w:val="en-US"/>
        </w:rPr>
        <w:t xml:space="preserve"> إلى مجتمع الدونغان، بطرق منها تكثيف أنشطتها لبناء الثقة والعلاقات المتناغمة بين مجتمع الدونغان والمجتمعات المجاورة له؛</w:t>
      </w:r>
    </w:p>
    <w:p w14:paraId="6A3509EA" w14:textId="1F99338C" w:rsidR="002907F3" w:rsidRPr="003B6D07" w:rsidRDefault="002907F3" w:rsidP="002907F3">
      <w:pPr>
        <w:pStyle w:val="SingleTxtGA"/>
        <w:rPr>
          <w:b/>
          <w:bCs/>
          <w:lang w:val="en-US"/>
        </w:rPr>
      </w:pPr>
      <w:r>
        <w:rPr>
          <w:rtl/>
          <w:lang w:val="en-US"/>
        </w:rPr>
        <w:tab/>
      </w:r>
      <w:r w:rsidRPr="002907F3">
        <w:rPr>
          <w:rtl/>
          <w:lang w:val="en-US"/>
        </w:rPr>
        <w:t>(ب)</w:t>
      </w:r>
      <w:r w:rsidRPr="002907F3">
        <w:rPr>
          <w:rtl/>
          <w:lang w:val="en-US"/>
        </w:rPr>
        <w:tab/>
      </w:r>
      <w:r w:rsidRPr="003B6D07">
        <w:rPr>
          <w:b/>
          <w:bCs/>
          <w:rtl/>
          <w:lang w:val="en-US"/>
        </w:rPr>
        <w:t>التحقيق في الادعاءات بعدم حصول أشخاص من مجتمع الدونغان، ممن خضعوا للتحقيقات والإجراءات الجنائية المتعلقة بأحداث العنف في شباط/فبراير 2020، على محاكمة عادلة، وتحديد المسؤوليات بما في ذلك ما يتعلق بالمحرضين المحتملين؛</w:t>
      </w:r>
    </w:p>
    <w:p w14:paraId="0FCA3372" w14:textId="519BD861" w:rsidR="002907F3" w:rsidRPr="003B6D07" w:rsidRDefault="002907F3" w:rsidP="002907F3">
      <w:pPr>
        <w:pStyle w:val="SingleTxtGA"/>
        <w:rPr>
          <w:b/>
          <w:bCs/>
          <w:lang w:val="en-US"/>
        </w:rPr>
      </w:pPr>
      <w:r>
        <w:rPr>
          <w:rtl/>
          <w:lang w:val="en-US"/>
        </w:rPr>
        <w:tab/>
      </w:r>
      <w:r w:rsidRPr="002907F3">
        <w:rPr>
          <w:rtl/>
          <w:lang w:val="en-US"/>
        </w:rPr>
        <w:t>(ج)</w:t>
      </w:r>
      <w:r w:rsidRPr="002907F3">
        <w:rPr>
          <w:rtl/>
          <w:lang w:val="en-US"/>
        </w:rPr>
        <w:tab/>
      </w:r>
      <w:r w:rsidRPr="003B6D07">
        <w:rPr>
          <w:b/>
          <w:bCs/>
          <w:rtl/>
          <w:lang w:val="en-US"/>
        </w:rPr>
        <w:t xml:space="preserve">تقديم تعويض مناسب </w:t>
      </w:r>
      <w:r w:rsidR="003C1458" w:rsidRPr="003B6D07">
        <w:rPr>
          <w:rFonts w:hint="cs"/>
          <w:b/>
          <w:bCs/>
          <w:rtl/>
          <w:lang w:val="en-US"/>
        </w:rPr>
        <w:t>ل</w:t>
      </w:r>
      <w:r w:rsidRPr="003B6D07">
        <w:rPr>
          <w:b/>
          <w:bCs/>
          <w:rtl/>
          <w:lang w:val="en-US"/>
        </w:rPr>
        <w:t xml:space="preserve">لضحايا </w:t>
      </w:r>
      <w:r w:rsidR="003C1458" w:rsidRPr="003B6D07">
        <w:rPr>
          <w:rFonts w:hint="cs"/>
          <w:b/>
          <w:bCs/>
          <w:rtl/>
          <w:lang w:val="en-US"/>
        </w:rPr>
        <w:t xml:space="preserve">من أقلية </w:t>
      </w:r>
      <w:r w:rsidRPr="003B6D07">
        <w:rPr>
          <w:b/>
          <w:bCs/>
          <w:rtl/>
          <w:lang w:val="en-US"/>
        </w:rPr>
        <w:t>الدونغان في أحداث العنف التي وقعت في شباط/</w:t>
      </w:r>
      <w:r w:rsidR="008043A7" w:rsidRPr="003B6D07">
        <w:rPr>
          <w:rFonts w:hint="cs"/>
          <w:b/>
          <w:bCs/>
          <w:rtl/>
          <w:lang w:val="en-US"/>
        </w:rPr>
        <w:t xml:space="preserve"> </w:t>
      </w:r>
      <w:r w:rsidRPr="003B6D07">
        <w:rPr>
          <w:b/>
          <w:bCs/>
          <w:rtl/>
          <w:lang w:val="en-US"/>
        </w:rPr>
        <w:t>فبراير 2020، بما في ذلك المركبات التي فُقدت والماشية التي سُرقت خلال تلك الأحداث.</w:t>
      </w:r>
    </w:p>
    <w:p w14:paraId="5B24634B" w14:textId="420276E7" w:rsidR="002907F3" w:rsidRPr="003B6D07" w:rsidRDefault="002907F3" w:rsidP="002907F3">
      <w:pPr>
        <w:pStyle w:val="H23GA"/>
      </w:pPr>
      <w:r w:rsidRPr="003B6D07">
        <w:rPr>
          <w:rtl/>
        </w:rPr>
        <w:tab/>
      </w:r>
      <w:r w:rsidRPr="003B6D07">
        <w:rPr>
          <w:rtl/>
        </w:rPr>
        <w:tab/>
      </w:r>
      <w:r w:rsidR="003C1458" w:rsidRPr="003B6D07">
        <w:rPr>
          <w:rFonts w:hint="cs"/>
          <w:rtl/>
        </w:rPr>
        <w:t>الروما</w:t>
      </w:r>
    </w:p>
    <w:p w14:paraId="6021AD20" w14:textId="61765F3A" w:rsidR="004E7B27" w:rsidRPr="004E7B27" w:rsidRDefault="002907F3" w:rsidP="002907F3">
      <w:pPr>
        <w:pStyle w:val="SingleTxtGA"/>
        <w:rPr>
          <w:lang w:val="en-US"/>
        </w:rPr>
      </w:pPr>
      <w:r w:rsidRPr="003B6D07">
        <w:rPr>
          <w:rtl/>
          <w:lang w:val="en-US"/>
        </w:rPr>
        <w:t>25</w:t>
      </w:r>
      <w:r w:rsidRPr="002907F3">
        <w:rPr>
          <w:rtl/>
          <w:lang w:val="en-US"/>
        </w:rPr>
        <w:t>-</w:t>
      </w:r>
      <w:r w:rsidRPr="002907F3">
        <w:rPr>
          <w:rtl/>
          <w:lang w:val="en-US"/>
        </w:rPr>
        <w:tab/>
      </w:r>
      <w:r w:rsidR="003C1458">
        <w:rPr>
          <w:rFonts w:hint="cs"/>
          <w:rtl/>
          <w:lang w:val="en-US"/>
        </w:rPr>
        <w:t xml:space="preserve">في حين </w:t>
      </w:r>
      <w:r w:rsidRPr="002907F3">
        <w:rPr>
          <w:rtl/>
          <w:lang w:val="en-US"/>
        </w:rPr>
        <w:t xml:space="preserve">تلاحظ اللجنة أن جميع المواطنين في الدولة الطرف يتمتعون بنفس الحقوق بموجب القانون وأن السلطات لم تتلق أي شكاوى بشأن التمييز العنصري ضد الروما، فإنها تأسف لعدم وجود معلومات عن حالتهم الاجتماعية والاقتصادية يمكن أن تبين ما إذا كان التمييز ضد الروما يحدث في الممارسة العملية (المادة </w:t>
      </w:r>
      <w:r w:rsidR="004E7B27" w:rsidRPr="003B6D07">
        <w:rPr>
          <w:rtl/>
          <w:lang w:val="en-US"/>
        </w:rPr>
        <w:t>5</w:t>
      </w:r>
      <w:r w:rsidR="004E7B27" w:rsidRPr="004E7B27">
        <w:rPr>
          <w:rtl/>
          <w:lang w:val="en-US"/>
        </w:rPr>
        <w:t>).</w:t>
      </w:r>
    </w:p>
    <w:p w14:paraId="54ABBC92" w14:textId="772DAF44" w:rsidR="002907F3" w:rsidRPr="003B6D07" w:rsidRDefault="002907F3" w:rsidP="002907F3">
      <w:pPr>
        <w:pStyle w:val="SingleTxtGA"/>
        <w:rPr>
          <w:b/>
          <w:bCs/>
          <w:lang w:val="en-US"/>
        </w:rPr>
      </w:pPr>
      <w:r w:rsidRPr="003B6D07">
        <w:rPr>
          <w:rtl/>
          <w:lang w:val="en-US"/>
        </w:rPr>
        <w:t>26</w:t>
      </w:r>
      <w:r w:rsidRPr="002907F3">
        <w:rPr>
          <w:rtl/>
          <w:lang w:val="en-US"/>
        </w:rPr>
        <w:t>-</w:t>
      </w:r>
      <w:r w:rsidRPr="002907F3">
        <w:rPr>
          <w:rtl/>
          <w:lang w:val="en-US"/>
        </w:rPr>
        <w:tab/>
      </w:r>
      <w:r w:rsidRPr="003B6D07">
        <w:rPr>
          <w:b/>
          <w:bCs/>
          <w:rtl/>
          <w:lang w:val="en-US"/>
        </w:rPr>
        <w:t>توصي اللجنة، في ضوء توصيتها العامة رقم 27(200</w:t>
      </w:r>
      <w:r w:rsidR="004E7B27" w:rsidRPr="003B6D07">
        <w:rPr>
          <w:b/>
          <w:bCs/>
          <w:rtl/>
          <w:lang w:val="en-US"/>
        </w:rPr>
        <w:t xml:space="preserve">0) </w:t>
      </w:r>
      <w:r w:rsidRPr="003B6D07">
        <w:rPr>
          <w:b/>
          <w:bCs/>
          <w:rtl/>
          <w:lang w:val="en-US"/>
        </w:rPr>
        <w:t xml:space="preserve">بشأن التمييز ضد </w:t>
      </w:r>
      <w:r w:rsidR="0010192F" w:rsidRPr="003B6D07">
        <w:rPr>
          <w:rFonts w:hint="cs"/>
          <w:b/>
          <w:bCs/>
          <w:rtl/>
          <w:lang w:val="en-US"/>
        </w:rPr>
        <w:t>الروما</w:t>
      </w:r>
      <w:r w:rsidRPr="003B6D07">
        <w:rPr>
          <w:b/>
          <w:bCs/>
          <w:rtl/>
          <w:lang w:val="en-US"/>
        </w:rPr>
        <w:t xml:space="preserve">، الدولة الطرف بوضع وتشجيع طرائق مناسبة للاتصال والحوار بين بين </w:t>
      </w:r>
      <w:r w:rsidR="0010192F" w:rsidRPr="003B6D07">
        <w:rPr>
          <w:rFonts w:hint="cs"/>
          <w:b/>
          <w:bCs/>
          <w:rtl/>
          <w:lang w:val="en-US"/>
        </w:rPr>
        <w:t xml:space="preserve">جماعات الروما </w:t>
      </w:r>
      <w:r w:rsidRPr="003B6D07">
        <w:rPr>
          <w:b/>
          <w:bCs/>
          <w:rtl/>
          <w:lang w:val="en-US"/>
        </w:rPr>
        <w:t xml:space="preserve">والسلطات المركزية والمحلية، بغية تلقي معلومات موثوقة عن أي تمييز </w:t>
      </w:r>
      <w:r w:rsidR="0010192F" w:rsidRPr="003B6D07">
        <w:rPr>
          <w:rFonts w:hint="cs"/>
          <w:b/>
          <w:bCs/>
          <w:rtl/>
          <w:lang w:val="en-US"/>
        </w:rPr>
        <w:t>ت</w:t>
      </w:r>
      <w:r w:rsidRPr="003B6D07">
        <w:rPr>
          <w:b/>
          <w:bCs/>
          <w:rtl/>
          <w:lang w:val="en-US"/>
        </w:rPr>
        <w:t xml:space="preserve">واجهه </w:t>
      </w:r>
      <w:r w:rsidR="0010192F" w:rsidRPr="003B6D07">
        <w:rPr>
          <w:rFonts w:hint="cs"/>
          <w:b/>
          <w:bCs/>
          <w:rtl/>
          <w:lang w:val="en-US"/>
        </w:rPr>
        <w:t>جماعات الروما</w:t>
      </w:r>
      <w:r w:rsidRPr="003B6D07">
        <w:rPr>
          <w:b/>
          <w:bCs/>
          <w:rtl/>
          <w:lang w:val="en-US"/>
        </w:rPr>
        <w:t>. كما</w:t>
      </w:r>
      <w:r w:rsidR="0010192F" w:rsidRPr="003B6D07">
        <w:rPr>
          <w:rFonts w:hint="cs"/>
          <w:b/>
          <w:bCs/>
          <w:rtl/>
          <w:lang w:val="en-US"/>
        </w:rPr>
        <w:t> </w:t>
      </w:r>
      <w:r w:rsidRPr="003B6D07">
        <w:rPr>
          <w:b/>
          <w:bCs/>
          <w:rtl/>
          <w:lang w:val="en-US"/>
        </w:rPr>
        <w:t xml:space="preserve">توصي اللجنة الدولة الطرف بأن تدرج في تقريرها الدوري المقبل إحصاءات عن </w:t>
      </w:r>
      <w:r w:rsidR="0010192F" w:rsidRPr="003B6D07">
        <w:rPr>
          <w:rFonts w:hint="cs"/>
          <w:b/>
          <w:bCs/>
          <w:rtl/>
          <w:lang w:val="en-US"/>
        </w:rPr>
        <w:t xml:space="preserve">جماعات الروما </w:t>
      </w:r>
      <w:r w:rsidRPr="003B6D07">
        <w:rPr>
          <w:b/>
          <w:bCs/>
          <w:rtl/>
          <w:lang w:val="en-US"/>
        </w:rPr>
        <w:t>الخاضعة لولايتها، بما في ذلك إحصاءات عن مشارك</w:t>
      </w:r>
      <w:r w:rsidR="0010192F" w:rsidRPr="003B6D07">
        <w:rPr>
          <w:rFonts w:hint="cs"/>
          <w:b/>
          <w:bCs/>
          <w:rtl/>
          <w:lang w:val="en-US"/>
        </w:rPr>
        <w:t>تهم</w:t>
      </w:r>
      <w:r w:rsidRPr="003B6D07">
        <w:rPr>
          <w:b/>
          <w:bCs/>
          <w:rtl/>
          <w:lang w:val="en-US"/>
        </w:rPr>
        <w:t xml:space="preserve"> في الحياة السياسية وعن حالتهم الاقتصادية والاجتماعية والثقافية، بما في ذلك من منظور جنساني.</w:t>
      </w:r>
    </w:p>
    <w:p w14:paraId="5B6E0F92" w14:textId="77777777" w:rsidR="002907F3" w:rsidRPr="003B6D07" w:rsidRDefault="002907F3" w:rsidP="002907F3">
      <w:pPr>
        <w:pStyle w:val="H23GA"/>
      </w:pPr>
      <w:r w:rsidRPr="003B6D07">
        <w:rPr>
          <w:rtl/>
        </w:rPr>
        <w:lastRenderedPageBreak/>
        <w:tab/>
      </w:r>
      <w:r w:rsidRPr="003B6D07">
        <w:rPr>
          <w:rtl/>
        </w:rPr>
        <w:tab/>
        <w:t>الهوية الكازاخستانية</w:t>
      </w:r>
    </w:p>
    <w:p w14:paraId="0DA87767" w14:textId="1A9D9420" w:rsidR="004E7B27" w:rsidRPr="004E7B27" w:rsidRDefault="002907F3" w:rsidP="002907F3">
      <w:pPr>
        <w:pStyle w:val="SingleTxtGA"/>
        <w:rPr>
          <w:lang w:val="en-US"/>
        </w:rPr>
      </w:pPr>
      <w:r w:rsidRPr="003B6D07">
        <w:rPr>
          <w:rtl/>
          <w:lang w:val="en-US"/>
        </w:rPr>
        <w:t>27</w:t>
      </w:r>
      <w:r w:rsidRPr="002907F3">
        <w:rPr>
          <w:rtl/>
          <w:lang w:val="en-US"/>
        </w:rPr>
        <w:t>-</w:t>
      </w:r>
      <w:r w:rsidRPr="002907F3">
        <w:rPr>
          <w:rtl/>
          <w:lang w:val="en-US"/>
        </w:rPr>
        <w:tab/>
        <w:t xml:space="preserve">يساور اللجنة القلق إزاء التقارير التي تفيد بوجود خطاب رسمي، بما في ذلك في المناهج الدراسية، يميز بين السكان المنحدرين من أصل كازاخستاني، والجماعات الإثنية الأخرى التي يشار إليها باسم </w:t>
      </w:r>
      <w:r w:rsidR="00172488">
        <w:rPr>
          <w:rFonts w:hint="cs"/>
          <w:rtl/>
          <w:lang w:val="en-US"/>
        </w:rPr>
        <w:t>"</w:t>
      </w:r>
      <w:r w:rsidRPr="002907F3">
        <w:rPr>
          <w:rtl/>
          <w:lang w:val="en-US"/>
        </w:rPr>
        <w:t>الضيوف</w:t>
      </w:r>
      <w:r w:rsidR="00172488">
        <w:rPr>
          <w:rtl/>
          <w:lang w:val="en-US"/>
        </w:rPr>
        <w:t>"</w:t>
      </w:r>
      <w:r w:rsidRPr="002907F3">
        <w:rPr>
          <w:rtl/>
          <w:lang w:val="en-US"/>
        </w:rPr>
        <w:t xml:space="preserve">، ويؤدي إلى الشعور بالاستبعاد بين جماعات الأقليات الإثنية. ويساور اللجنة القلق أيضاً إزاء المعلومات المتعلقة بالتوترات الناجمة عن سياسة تشجيع إعادة المنحدرين من أصل كازاخستاني إلى مناطق معينة في البلد (المواد </w:t>
      </w:r>
      <w:r w:rsidRPr="003B6D07">
        <w:rPr>
          <w:rtl/>
          <w:lang w:val="en-US"/>
        </w:rPr>
        <w:t>2</w:t>
      </w:r>
      <w:r w:rsidRPr="002907F3">
        <w:rPr>
          <w:rtl/>
          <w:lang w:val="en-US"/>
        </w:rPr>
        <w:t xml:space="preserve"> و</w:t>
      </w:r>
      <w:r w:rsidRPr="003B6D07">
        <w:rPr>
          <w:rtl/>
          <w:lang w:val="en-US"/>
        </w:rPr>
        <w:t>4</w:t>
      </w:r>
      <w:r w:rsidRPr="002907F3">
        <w:rPr>
          <w:rtl/>
          <w:lang w:val="en-US"/>
        </w:rPr>
        <w:t xml:space="preserve"> و</w:t>
      </w:r>
      <w:r w:rsidR="004E7B27" w:rsidRPr="003B6D07">
        <w:rPr>
          <w:rtl/>
          <w:lang w:val="en-US"/>
        </w:rPr>
        <w:t>5</w:t>
      </w:r>
      <w:r w:rsidR="004E7B27" w:rsidRPr="004E7B27">
        <w:rPr>
          <w:rtl/>
          <w:lang w:val="en-US"/>
        </w:rPr>
        <w:t>).</w:t>
      </w:r>
    </w:p>
    <w:p w14:paraId="59130BDA" w14:textId="3842B7E9" w:rsidR="002907F3" w:rsidRPr="003B6D07" w:rsidRDefault="002907F3" w:rsidP="002907F3">
      <w:pPr>
        <w:pStyle w:val="SingleTxtGA"/>
        <w:rPr>
          <w:b/>
          <w:bCs/>
          <w:lang w:val="en-US"/>
        </w:rPr>
      </w:pPr>
      <w:r w:rsidRPr="003B6D07">
        <w:rPr>
          <w:rtl/>
          <w:lang w:val="en-US"/>
        </w:rPr>
        <w:t>28</w:t>
      </w:r>
      <w:r w:rsidRPr="002907F3">
        <w:rPr>
          <w:rtl/>
          <w:lang w:val="en-US"/>
        </w:rPr>
        <w:t>-</w:t>
      </w:r>
      <w:r w:rsidRPr="002907F3">
        <w:rPr>
          <w:rtl/>
          <w:lang w:val="en-US"/>
        </w:rPr>
        <w:tab/>
      </w:r>
      <w:r w:rsidRPr="003B6D07">
        <w:rPr>
          <w:b/>
          <w:bCs/>
          <w:rtl/>
          <w:lang w:val="en-US"/>
        </w:rPr>
        <w:t xml:space="preserve">توصي اللجنة الدولة الطرف بأن تكفل عدم ترويجها لخطاب رسمي </w:t>
      </w:r>
      <w:r w:rsidR="0010192F" w:rsidRPr="003B6D07">
        <w:rPr>
          <w:rFonts w:hint="cs"/>
          <w:b/>
          <w:bCs/>
          <w:rtl/>
          <w:lang w:val="en-US"/>
        </w:rPr>
        <w:t xml:space="preserve">يؤدي إلى التفرقة بين </w:t>
      </w:r>
      <w:r w:rsidRPr="003B6D07">
        <w:rPr>
          <w:b/>
          <w:bCs/>
          <w:rtl/>
          <w:lang w:val="en-US"/>
        </w:rPr>
        <w:t xml:space="preserve">الجماعات الإثنية </w:t>
      </w:r>
      <w:r w:rsidR="0010192F" w:rsidRPr="003B6D07">
        <w:rPr>
          <w:rFonts w:hint="cs"/>
          <w:b/>
          <w:bCs/>
          <w:rtl/>
          <w:lang w:val="en-US"/>
        </w:rPr>
        <w:t>وشعورها بالإقصاء</w:t>
      </w:r>
      <w:r w:rsidRPr="003B6D07">
        <w:rPr>
          <w:b/>
          <w:bCs/>
          <w:rtl/>
          <w:lang w:val="en-US"/>
        </w:rPr>
        <w:t xml:space="preserve">. </w:t>
      </w:r>
      <w:r w:rsidR="0010192F" w:rsidRPr="003B6D07">
        <w:rPr>
          <w:rFonts w:hint="cs"/>
          <w:b/>
          <w:bCs/>
          <w:rtl/>
          <w:lang w:val="en-US"/>
        </w:rPr>
        <w:t>و</w:t>
      </w:r>
      <w:r w:rsidRPr="003B6D07">
        <w:rPr>
          <w:b/>
          <w:bCs/>
          <w:rtl/>
          <w:lang w:val="en-US"/>
        </w:rPr>
        <w:t>توصي اللجنة أيضاً بأن تكفل الدولة الطرف عدم حدوث أي تمييز ناجم عن برامجها الرامية إلى إعادة المنحدرين من أصل كازاخستاني إلى أوطانهم، والتصدي بفعالية لأي توترات إثنية متوقعة أو ناجمة عن عمليات الإعادة هذه.</w:t>
      </w:r>
    </w:p>
    <w:p w14:paraId="4ABA7D84" w14:textId="77777777" w:rsidR="002907F3" w:rsidRPr="003B6D07" w:rsidRDefault="002907F3" w:rsidP="002907F3">
      <w:pPr>
        <w:pStyle w:val="H23GA"/>
      </w:pPr>
      <w:r w:rsidRPr="003B6D07">
        <w:rPr>
          <w:rtl/>
        </w:rPr>
        <w:tab/>
      </w:r>
      <w:r w:rsidRPr="003B6D07">
        <w:rPr>
          <w:rtl/>
        </w:rPr>
        <w:tab/>
        <w:t>الأقليات في الشأن السياسي والعام</w:t>
      </w:r>
    </w:p>
    <w:p w14:paraId="3B753531" w14:textId="54F2E4EA" w:rsidR="004E7B27" w:rsidRPr="004E7B27" w:rsidRDefault="002907F3" w:rsidP="002907F3">
      <w:pPr>
        <w:pStyle w:val="SingleTxtGA"/>
        <w:rPr>
          <w:lang w:val="en-US"/>
        </w:rPr>
      </w:pPr>
      <w:r w:rsidRPr="003B6D07">
        <w:rPr>
          <w:rtl/>
          <w:lang w:val="en-US"/>
        </w:rPr>
        <w:t>29</w:t>
      </w:r>
      <w:r w:rsidRPr="002907F3">
        <w:rPr>
          <w:rtl/>
          <w:lang w:val="en-US"/>
        </w:rPr>
        <w:t>-</w:t>
      </w:r>
      <w:r w:rsidRPr="002907F3">
        <w:rPr>
          <w:rtl/>
          <w:lang w:val="en-US"/>
        </w:rPr>
        <w:tab/>
        <w:t xml:space="preserve">يساور اللجنة القلق لأن الأقليات الإثنية ضعيفة الاندماج ولا تمثل تمثيلاً متناسباً في الهيئات العامة لصنع القرار وفي الخدمة المدنية (المادة </w:t>
      </w:r>
      <w:r w:rsidR="004E7B27" w:rsidRPr="003B6D07">
        <w:rPr>
          <w:rtl/>
          <w:lang w:val="en-US"/>
        </w:rPr>
        <w:t>5</w:t>
      </w:r>
      <w:r w:rsidR="004E7B27" w:rsidRPr="004E7B27">
        <w:rPr>
          <w:rtl/>
          <w:lang w:val="en-US"/>
        </w:rPr>
        <w:t>).</w:t>
      </w:r>
    </w:p>
    <w:p w14:paraId="6B89E073" w14:textId="1A866083" w:rsidR="002907F3" w:rsidRPr="003B6D07" w:rsidRDefault="002907F3" w:rsidP="002907F3">
      <w:pPr>
        <w:pStyle w:val="SingleTxtGA"/>
        <w:rPr>
          <w:rFonts w:ascii="Times New Roman Bold" w:hAnsi="Times New Roman Bold" w:hint="eastAsia"/>
          <w:b/>
          <w:bCs/>
          <w:spacing w:val="-4"/>
          <w:lang w:val="en-US"/>
        </w:rPr>
      </w:pPr>
      <w:r w:rsidRPr="003B6D07">
        <w:rPr>
          <w:rtl/>
          <w:lang w:val="en-US"/>
        </w:rPr>
        <w:t>30</w:t>
      </w:r>
      <w:r w:rsidRPr="002907F3">
        <w:rPr>
          <w:rtl/>
          <w:lang w:val="en-US"/>
        </w:rPr>
        <w:t>-</w:t>
      </w:r>
      <w:r w:rsidRPr="002907F3">
        <w:rPr>
          <w:rtl/>
          <w:lang w:val="en-US"/>
        </w:rPr>
        <w:tab/>
      </w:r>
      <w:r w:rsidRPr="003B6D07">
        <w:rPr>
          <w:b/>
          <w:bCs/>
          <w:rtl/>
          <w:lang w:val="en-US"/>
        </w:rPr>
        <w:t xml:space="preserve">توصي اللجنة الدولة الطرف بأن تكفل التمثيل العادل والمنصف للأقليات الإثنية، بما في ذلك النساء المنتميات إلى أقليات إثنية، في هيئات صنع القرار العامة وفي الخدمة المدنية، بما في ذلك من </w:t>
      </w:r>
      <w:r w:rsidRPr="003B6D07">
        <w:rPr>
          <w:rFonts w:ascii="Times New Roman Bold" w:hAnsi="Times New Roman Bold"/>
          <w:b/>
          <w:bCs/>
          <w:spacing w:val="-4"/>
          <w:rtl/>
          <w:lang w:val="en-US"/>
        </w:rPr>
        <w:t>خلال تدابير خاصة وتحديد الحواجز التي يواجهها أفراد الأقليات الإثنية في هذا الصدد وإزالتها. كما توصي</w:t>
      </w:r>
      <w:r w:rsidRPr="003B6D07">
        <w:rPr>
          <w:b/>
          <w:bCs/>
          <w:rtl/>
          <w:lang w:val="en-US"/>
        </w:rPr>
        <w:t xml:space="preserve"> </w:t>
      </w:r>
      <w:r w:rsidRPr="003B6D07">
        <w:rPr>
          <w:rFonts w:ascii="Times New Roman Bold" w:hAnsi="Times New Roman Bold"/>
          <w:b/>
          <w:bCs/>
          <w:spacing w:val="-4"/>
          <w:rtl/>
          <w:lang w:val="en-US"/>
        </w:rPr>
        <w:t>اللجنة الدولة الطرف بتوعية الأقليات الإثنية بأهمية مشاركتها في الحياة السياسية وفي الخدمة المدنية.</w:t>
      </w:r>
    </w:p>
    <w:p w14:paraId="2374964A" w14:textId="77777777" w:rsidR="002907F3" w:rsidRPr="003B6D07" w:rsidRDefault="002907F3" w:rsidP="002907F3">
      <w:pPr>
        <w:pStyle w:val="H23GA"/>
      </w:pPr>
      <w:r w:rsidRPr="003B6D07">
        <w:rPr>
          <w:rtl/>
        </w:rPr>
        <w:tab/>
      </w:r>
      <w:r w:rsidRPr="003B6D07">
        <w:rPr>
          <w:rtl/>
        </w:rPr>
        <w:tab/>
        <w:t>التعليم</w:t>
      </w:r>
    </w:p>
    <w:p w14:paraId="65B2B4C0" w14:textId="677E7775" w:rsidR="004E7B27" w:rsidRPr="004E7B27" w:rsidRDefault="002907F3" w:rsidP="002907F3">
      <w:pPr>
        <w:pStyle w:val="SingleTxtGA"/>
        <w:rPr>
          <w:lang w:val="en-US"/>
        </w:rPr>
      </w:pPr>
      <w:r w:rsidRPr="003B6D07">
        <w:rPr>
          <w:rtl/>
          <w:lang w:val="en-US"/>
        </w:rPr>
        <w:t>31</w:t>
      </w:r>
      <w:r w:rsidRPr="002907F3">
        <w:rPr>
          <w:rtl/>
          <w:lang w:val="en-US"/>
        </w:rPr>
        <w:t>-</w:t>
      </w:r>
      <w:r w:rsidRPr="002907F3">
        <w:rPr>
          <w:rtl/>
          <w:lang w:val="en-US"/>
        </w:rPr>
        <w:tab/>
        <w:t xml:space="preserve">يساور اللجنة القلق إزاء التقارير التي تفيد بأن الأطفال الذين لا </w:t>
      </w:r>
      <w:r w:rsidR="006637C0">
        <w:rPr>
          <w:rFonts w:hint="cs"/>
          <w:rtl/>
          <w:lang w:val="en-US"/>
        </w:rPr>
        <w:t>يحمل</w:t>
      </w:r>
      <w:r w:rsidRPr="002907F3">
        <w:rPr>
          <w:rtl/>
          <w:lang w:val="en-US"/>
        </w:rPr>
        <w:t xml:space="preserve"> آباؤهم وثائق تسجيل سارية المفعول يجدون صعوبة في الالتحاق بالتعليم الابتدائي والثانوي. ويساور اللجنة القلق أيضاً إزاء انخفاض عدد الطلاب المنتمين إلى أقليات إثنية في التعليم ما بعد الثانوي (المادة </w:t>
      </w:r>
      <w:r w:rsidR="004E7B27" w:rsidRPr="003B6D07">
        <w:rPr>
          <w:rtl/>
          <w:lang w:val="en-US"/>
        </w:rPr>
        <w:t>5</w:t>
      </w:r>
      <w:r w:rsidR="004E7B27" w:rsidRPr="004E7B27">
        <w:rPr>
          <w:rtl/>
          <w:lang w:val="en-US"/>
        </w:rPr>
        <w:t>).</w:t>
      </w:r>
    </w:p>
    <w:p w14:paraId="4DEBC421" w14:textId="0F143FC1" w:rsidR="002907F3" w:rsidRPr="003B6D07" w:rsidRDefault="002907F3" w:rsidP="002907F3">
      <w:pPr>
        <w:pStyle w:val="SingleTxtGA"/>
        <w:rPr>
          <w:b/>
          <w:bCs/>
          <w:lang w:val="en-US"/>
        </w:rPr>
      </w:pPr>
      <w:r w:rsidRPr="003B6D07">
        <w:rPr>
          <w:rtl/>
          <w:lang w:val="en-US"/>
        </w:rPr>
        <w:t>32</w:t>
      </w:r>
      <w:r w:rsidRPr="002907F3">
        <w:rPr>
          <w:rtl/>
          <w:lang w:val="en-US"/>
        </w:rPr>
        <w:t>-</w:t>
      </w:r>
      <w:r w:rsidRPr="002907F3">
        <w:rPr>
          <w:rtl/>
          <w:lang w:val="en-US"/>
        </w:rPr>
        <w:tab/>
      </w:r>
      <w:r w:rsidRPr="003B6D07">
        <w:rPr>
          <w:b/>
          <w:bCs/>
          <w:rtl/>
          <w:lang w:val="en-US"/>
        </w:rPr>
        <w:t>توصي اللجنة الدولة الطرف بأن تكفل تمتع جميع الأطفال الموجودين في إقليمها بالحق في التعليم عملياً دون تمييز، بصرف النظر ع</w:t>
      </w:r>
      <w:r w:rsidR="006637C0" w:rsidRPr="003B6D07">
        <w:rPr>
          <w:rFonts w:hint="cs"/>
          <w:b/>
          <w:bCs/>
          <w:rtl/>
          <w:lang w:val="en-US"/>
        </w:rPr>
        <w:t xml:space="preserve">ن الوضع القانوني لآبائهم </w:t>
      </w:r>
      <w:r w:rsidRPr="003B6D07">
        <w:rPr>
          <w:b/>
          <w:bCs/>
          <w:rtl/>
          <w:lang w:val="en-US"/>
        </w:rPr>
        <w:t>في الدولة الطرف. وتوصي اللجنة أيض</w:t>
      </w:r>
      <w:r w:rsidR="00605870" w:rsidRPr="003B6D07">
        <w:rPr>
          <w:b/>
          <w:bCs/>
          <w:rtl/>
          <w:lang w:val="en-US"/>
        </w:rPr>
        <w:t xml:space="preserve">اً </w:t>
      </w:r>
      <w:r w:rsidRPr="003B6D07">
        <w:rPr>
          <w:b/>
          <w:bCs/>
          <w:rtl/>
          <w:lang w:val="en-US"/>
        </w:rPr>
        <w:t>بأن تتخذ الدولة الطرف تدابير لدعم الطلاب المنتمين إلى أقليات إثنية في الالتحاق بالتعليم الجامعي وأن تقيّم فعالية هذه التدابير دورياً.</w:t>
      </w:r>
    </w:p>
    <w:p w14:paraId="68CFF9FB" w14:textId="77777777" w:rsidR="002907F3" w:rsidRPr="003B6D07" w:rsidRDefault="002907F3" w:rsidP="002907F3">
      <w:pPr>
        <w:pStyle w:val="H23GA"/>
      </w:pPr>
      <w:r w:rsidRPr="003B6D07">
        <w:rPr>
          <w:rtl/>
        </w:rPr>
        <w:tab/>
      </w:r>
      <w:r w:rsidRPr="003B6D07">
        <w:rPr>
          <w:rtl/>
        </w:rPr>
        <w:tab/>
        <w:t>لغات الأقليات</w:t>
      </w:r>
    </w:p>
    <w:p w14:paraId="6E103430" w14:textId="18DE5FD2" w:rsidR="004E7B27" w:rsidRPr="004E7B27" w:rsidRDefault="002907F3" w:rsidP="002907F3">
      <w:pPr>
        <w:pStyle w:val="SingleTxtGA"/>
        <w:rPr>
          <w:lang w:val="en-US"/>
        </w:rPr>
      </w:pPr>
      <w:r w:rsidRPr="003B6D07">
        <w:rPr>
          <w:rtl/>
          <w:lang w:val="en-US"/>
        </w:rPr>
        <w:t>33</w:t>
      </w:r>
      <w:r w:rsidRPr="002907F3">
        <w:rPr>
          <w:rtl/>
          <w:lang w:val="en-US"/>
        </w:rPr>
        <w:t>-</w:t>
      </w:r>
      <w:r w:rsidRPr="002907F3">
        <w:rPr>
          <w:rtl/>
          <w:lang w:val="en-US"/>
        </w:rPr>
        <w:tab/>
      </w:r>
      <w:r w:rsidR="006637C0">
        <w:rPr>
          <w:rFonts w:hint="cs"/>
          <w:rtl/>
          <w:lang w:val="en-US"/>
        </w:rPr>
        <w:t>في حين</w:t>
      </w:r>
      <w:r w:rsidRPr="002907F3">
        <w:rPr>
          <w:rtl/>
          <w:lang w:val="en-US"/>
        </w:rPr>
        <w:t xml:space="preserve"> تحيط اللجنة علماً بالنهج الذي تتبعه الدولة الطرف في تعزيز ثلاثية اللغات (الكازاخستانية والروسية والإنكليزية</w:t>
      </w:r>
      <w:r w:rsidR="004E7B27" w:rsidRPr="004E7B27">
        <w:rPr>
          <w:rtl/>
          <w:lang w:val="en-US"/>
        </w:rPr>
        <w:t xml:space="preserve">)، </w:t>
      </w:r>
      <w:r w:rsidRPr="002907F3">
        <w:rPr>
          <w:rtl/>
          <w:lang w:val="en-US"/>
        </w:rPr>
        <w:t xml:space="preserve">فإنها تشعر بالقلق لأن هذه السياسة ربما تكون قد أدت إلى تهميش لغات الأقليات الإثنية. ويساور اللجنة القلق كذلك إزاء عدم كفاية توافر دور الحضانة ورياض الأطفال التي تدرس لغات الأقليات الإثنية (المادة </w:t>
      </w:r>
      <w:r w:rsidR="004E7B27" w:rsidRPr="003B6D07">
        <w:rPr>
          <w:rtl/>
          <w:lang w:val="en-US"/>
        </w:rPr>
        <w:t>5</w:t>
      </w:r>
      <w:r w:rsidR="004E7B27" w:rsidRPr="004E7B27">
        <w:rPr>
          <w:rtl/>
          <w:lang w:val="en-US"/>
        </w:rPr>
        <w:t>).</w:t>
      </w:r>
    </w:p>
    <w:p w14:paraId="1ABBAADC" w14:textId="7EAF066D" w:rsidR="002907F3" w:rsidRPr="003B6D07" w:rsidRDefault="002907F3" w:rsidP="002907F3">
      <w:pPr>
        <w:pStyle w:val="SingleTxtGA"/>
        <w:rPr>
          <w:b/>
          <w:bCs/>
          <w:lang w:val="en-US"/>
        </w:rPr>
      </w:pPr>
      <w:r w:rsidRPr="003B6D07">
        <w:rPr>
          <w:rtl/>
          <w:lang w:val="en-US"/>
        </w:rPr>
        <w:t>34</w:t>
      </w:r>
      <w:r w:rsidRPr="002907F3">
        <w:rPr>
          <w:rtl/>
          <w:lang w:val="en-US"/>
        </w:rPr>
        <w:t>-</w:t>
      </w:r>
      <w:r w:rsidRPr="002907F3">
        <w:rPr>
          <w:rtl/>
          <w:lang w:val="en-US"/>
        </w:rPr>
        <w:tab/>
      </w:r>
      <w:r w:rsidRPr="003B6D07">
        <w:rPr>
          <w:b/>
          <w:bCs/>
          <w:rtl/>
          <w:lang w:val="en-US"/>
        </w:rPr>
        <w:t>توصي اللجنة الدولة الطرف بأن تكفل إتاحة فرص كافية للأطفال المنتمين إلى أقليات إثنية لتعلم لغاتهم الأم والحصول على التعليم بها، بما في ذلك في دور الحضانة ورياض الأطفال، مع توفير عدد كاف من المدارس والموظفين الفنيين والكتب المدرسية.</w:t>
      </w:r>
    </w:p>
    <w:p w14:paraId="2C966AED" w14:textId="77777777" w:rsidR="002907F3" w:rsidRPr="003B6D07" w:rsidRDefault="002907F3" w:rsidP="002907F3">
      <w:pPr>
        <w:pStyle w:val="H23GA"/>
      </w:pPr>
      <w:r w:rsidRPr="003B6D07">
        <w:rPr>
          <w:rtl/>
        </w:rPr>
        <w:lastRenderedPageBreak/>
        <w:tab/>
      </w:r>
      <w:r w:rsidRPr="003B6D07">
        <w:rPr>
          <w:rtl/>
        </w:rPr>
        <w:tab/>
        <w:t>العمال المهاجرون</w:t>
      </w:r>
    </w:p>
    <w:p w14:paraId="046EBC90" w14:textId="5A78873F" w:rsidR="004E7B27" w:rsidRPr="004E7B27" w:rsidRDefault="002907F3" w:rsidP="002907F3">
      <w:pPr>
        <w:pStyle w:val="SingleTxtGA"/>
        <w:rPr>
          <w:lang w:val="en-US"/>
        </w:rPr>
      </w:pPr>
      <w:r w:rsidRPr="003B6D07">
        <w:rPr>
          <w:rtl/>
          <w:lang w:val="en-US"/>
        </w:rPr>
        <w:t>35</w:t>
      </w:r>
      <w:r w:rsidRPr="002907F3">
        <w:rPr>
          <w:rtl/>
          <w:lang w:val="en-US"/>
        </w:rPr>
        <w:t>-</w:t>
      </w:r>
      <w:r w:rsidRPr="002907F3">
        <w:rPr>
          <w:rtl/>
          <w:lang w:val="en-US"/>
        </w:rPr>
        <w:tab/>
        <w:t xml:space="preserve">يساور اللجنة القلق إزاء التقارير التي تفيد بأن العمال المهاجرين يواجهون سوء المعاملة ويتعرضون لظروف عمل سيئة وخطرة. ويساور اللجنة القلق أيضاً لأن المهاجرين غير النظاميين وغير الحاملين لوثائق رسمية، بمن فيهم الأطفال والنساء الحوامل، لا يحصلون على رعاية صحية تتجاوز العلاج الطارئ (المادة </w:t>
      </w:r>
      <w:r w:rsidR="004E7B27" w:rsidRPr="003B6D07">
        <w:rPr>
          <w:rtl/>
          <w:lang w:val="en-US"/>
        </w:rPr>
        <w:t>5</w:t>
      </w:r>
      <w:r w:rsidR="004E7B27" w:rsidRPr="004E7B27">
        <w:rPr>
          <w:rtl/>
          <w:lang w:val="en-US"/>
        </w:rPr>
        <w:t>).</w:t>
      </w:r>
    </w:p>
    <w:p w14:paraId="4CBB1991" w14:textId="27448FEE" w:rsidR="002907F3" w:rsidRPr="003B6D07" w:rsidRDefault="002907F3" w:rsidP="002907F3">
      <w:pPr>
        <w:pStyle w:val="SingleTxtGA"/>
        <w:rPr>
          <w:b/>
          <w:bCs/>
          <w:lang w:val="en-US"/>
        </w:rPr>
      </w:pPr>
      <w:r w:rsidRPr="003B6D07">
        <w:rPr>
          <w:rtl/>
          <w:lang w:val="en-US"/>
        </w:rPr>
        <w:t>36</w:t>
      </w:r>
      <w:r w:rsidRPr="002907F3">
        <w:rPr>
          <w:rtl/>
          <w:lang w:val="en-US"/>
        </w:rPr>
        <w:t>-</w:t>
      </w:r>
      <w:r w:rsidRPr="002907F3">
        <w:rPr>
          <w:rtl/>
          <w:lang w:val="en-US"/>
        </w:rPr>
        <w:tab/>
      </w:r>
      <w:r w:rsidRPr="003B6D07">
        <w:rPr>
          <w:b/>
          <w:bCs/>
          <w:rtl/>
          <w:lang w:val="en-US"/>
        </w:rPr>
        <w:t>توصي اللجنة الدولة الطرف بزيادة التدابير الرامية إلى منع ومكافحة إساءة معاملة العمال المهاجرين واستغلالهم، بطرق منها تكثيف عمليات تفتيش أماكن العمل. كما توصي اللجنة الدولة الطرف بأن تكفل لجميع العمال المهاجرين، بصرف النظر عن وضعهم، إمكانية الحصول على المعايير الدنيا فيما يتعلق بالحقوق الاقتصادية والاجتماعية والثقافية، بما في ذلك الرعاية الصحية الكافية.</w:t>
      </w:r>
    </w:p>
    <w:p w14:paraId="40D0B7E7" w14:textId="77777777" w:rsidR="002907F3" w:rsidRPr="003B6D07" w:rsidRDefault="002907F3" w:rsidP="002907F3">
      <w:pPr>
        <w:pStyle w:val="H23GA"/>
      </w:pPr>
      <w:r w:rsidRPr="003B6D07">
        <w:rPr>
          <w:rtl/>
        </w:rPr>
        <w:tab/>
      </w:r>
      <w:r w:rsidRPr="003B6D07">
        <w:rPr>
          <w:rtl/>
        </w:rPr>
        <w:tab/>
        <w:t>الاتجار بالبشر</w:t>
      </w:r>
    </w:p>
    <w:p w14:paraId="6E0223F6" w14:textId="11222B56" w:rsidR="004E7B27" w:rsidRPr="004E7B27" w:rsidRDefault="002907F3" w:rsidP="002907F3">
      <w:pPr>
        <w:pStyle w:val="SingleTxtGA"/>
        <w:rPr>
          <w:lang w:val="en-US"/>
        </w:rPr>
      </w:pPr>
      <w:r w:rsidRPr="003B6D07">
        <w:rPr>
          <w:rtl/>
          <w:lang w:val="en-US"/>
        </w:rPr>
        <w:t>37</w:t>
      </w:r>
      <w:r w:rsidRPr="002907F3">
        <w:rPr>
          <w:rtl/>
          <w:lang w:val="en-US"/>
        </w:rPr>
        <w:t>-</w:t>
      </w:r>
      <w:r w:rsidRPr="002907F3">
        <w:rPr>
          <w:rtl/>
          <w:lang w:val="en-US"/>
        </w:rPr>
        <w:tab/>
        <w:t>يساور اللجنة القلق لعدم وجود قانون مكرس لمكافحة الاتجار بالبشر في الدولة الطرف. كما</w:t>
      </w:r>
      <w:r w:rsidR="00172488">
        <w:rPr>
          <w:rFonts w:hint="cs"/>
          <w:rtl/>
          <w:lang w:val="en-US"/>
        </w:rPr>
        <w:t> </w:t>
      </w:r>
      <w:r w:rsidRPr="002907F3">
        <w:rPr>
          <w:rtl/>
          <w:lang w:val="en-US"/>
        </w:rPr>
        <w:t xml:space="preserve">يساور اللجنة القلق لأنه على الرغم من الجهود التي تبذلها الدولة الطرف لمكافحة الاتجار بالأشخاص، لا يزال عدد الأشخاص الذين يتعرضون للعمل القسري والاستغلال الجنسي في تزايد. ويساور اللجنة القلق كذلك إزاء التقارير التي تفيد بتواطؤ بعض الموظفين المكلفين بإنفاذ القوانين في الاتجار بالأشخاص (المادة </w:t>
      </w:r>
      <w:r w:rsidR="004E7B27" w:rsidRPr="003B6D07">
        <w:rPr>
          <w:rtl/>
          <w:lang w:val="en-US"/>
        </w:rPr>
        <w:t>5</w:t>
      </w:r>
      <w:r w:rsidR="004E7B27" w:rsidRPr="004E7B27">
        <w:rPr>
          <w:rtl/>
          <w:lang w:val="en-US"/>
        </w:rPr>
        <w:t>).</w:t>
      </w:r>
    </w:p>
    <w:p w14:paraId="091B8487" w14:textId="632A8189" w:rsidR="002907F3" w:rsidRPr="003B6D07" w:rsidRDefault="002907F3" w:rsidP="002907F3">
      <w:pPr>
        <w:pStyle w:val="SingleTxtGA"/>
        <w:rPr>
          <w:b/>
          <w:bCs/>
          <w:lang w:val="en-US"/>
        </w:rPr>
      </w:pPr>
      <w:r w:rsidRPr="003B6D07">
        <w:rPr>
          <w:rtl/>
          <w:lang w:val="en-US"/>
        </w:rPr>
        <w:t>38</w:t>
      </w:r>
      <w:r w:rsidRPr="002907F3">
        <w:rPr>
          <w:rtl/>
          <w:lang w:val="en-US"/>
        </w:rPr>
        <w:t>-</w:t>
      </w:r>
      <w:r w:rsidRPr="002907F3">
        <w:rPr>
          <w:rtl/>
          <w:lang w:val="en-US"/>
        </w:rPr>
        <w:tab/>
      </w:r>
      <w:r w:rsidRPr="003B6D07">
        <w:rPr>
          <w:b/>
          <w:bCs/>
          <w:rtl/>
          <w:lang w:val="en-US"/>
        </w:rPr>
        <w:t>توصي اللجنة الدولة الطرف بوضع واعتماد قانون لمنع الاتجار بالبشر ومكافحته. كما توصي اللجنة الدولة الطرف بمواصلة تعزيز التشريعات والتدابير القائمة لمكافحة الرق والممارسات الشبيهة بالرق وإنفاذها إنفاذاً فعالاً، بسبل منها كفالة التحقيق الفعال في حالات الاتجار ومقاضاة مرتكبيها، بما</w:t>
      </w:r>
      <w:r w:rsidR="00172488" w:rsidRPr="003B6D07">
        <w:rPr>
          <w:rFonts w:hint="cs"/>
          <w:b/>
          <w:bCs/>
          <w:rtl/>
          <w:lang w:val="en-US"/>
        </w:rPr>
        <w:t> </w:t>
      </w:r>
      <w:r w:rsidRPr="003B6D07">
        <w:rPr>
          <w:b/>
          <w:bCs/>
          <w:rtl/>
          <w:lang w:val="en-US"/>
        </w:rPr>
        <w:t>في ذلك التحقيق مع الموظفين المكلفين بإنفاذ القوانين.</w:t>
      </w:r>
    </w:p>
    <w:p w14:paraId="7FB7D21B" w14:textId="77777777" w:rsidR="002907F3" w:rsidRPr="003B6D07" w:rsidRDefault="002907F3" w:rsidP="002907F3">
      <w:pPr>
        <w:pStyle w:val="H23GA"/>
      </w:pPr>
      <w:r w:rsidRPr="003B6D07">
        <w:rPr>
          <w:rtl/>
        </w:rPr>
        <w:tab/>
      </w:r>
      <w:r w:rsidRPr="003B6D07">
        <w:rPr>
          <w:rtl/>
        </w:rPr>
        <w:tab/>
        <w:t>اللاجئون وملتمسو اللجوء</w:t>
      </w:r>
    </w:p>
    <w:p w14:paraId="4A04564F" w14:textId="77777777" w:rsidR="002907F3" w:rsidRPr="002907F3" w:rsidRDefault="002907F3" w:rsidP="002907F3">
      <w:pPr>
        <w:pStyle w:val="SingleTxtGA"/>
        <w:rPr>
          <w:lang w:val="en-US"/>
        </w:rPr>
      </w:pPr>
      <w:r w:rsidRPr="003B6D07">
        <w:rPr>
          <w:rtl/>
          <w:lang w:val="en-US"/>
        </w:rPr>
        <w:t>39</w:t>
      </w:r>
      <w:r w:rsidRPr="002907F3">
        <w:rPr>
          <w:rtl/>
          <w:lang w:val="en-US"/>
        </w:rPr>
        <w:t>-</w:t>
      </w:r>
      <w:r w:rsidRPr="002907F3">
        <w:rPr>
          <w:rtl/>
          <w:lang w:val="en-US"/>
        </w:rPr>
        <w:tab/>
        <w:t>يساور اللجنة القلق إزاء ما يلي:</w:t>
      </w:r>
    </w:p>
    <w:p w14:paraId="23700252" w14:textId="6D5EF2CF" w:rsidR="002907F3" w:rsidRPr="002907F3" w:rsidRDefault="002907F3" w:rsidP="002907F3">
      <w:pPr>
        <w:pStyle w:val="SingleTxtGA"/>
        <w:rPr>
          <w:lang w:val="en-US"/>
        </w:rPr>
      </w:pPr>
      <w:r>
        <w:rPr>
          <w:rtl/>
          <w:lang w:val="en-US"/>
        </w:rPr>
        <w:tab/>
      </w:r>
      <w:r w:rsidRPr="002907F3">
        <w:rPr>
          <w:rtl/>
          <w:lang w:val="en-US"/>
        </w:rPr>
        <w:t>(أ)</w:t>
      </w:r>
      <w:r w:rsidRPr="002907F3">
        <w:rPr>
          <w:rtl/>
          <w:lang w:val="en-US"/>
        </w:rPr>
        <w:tab/>
        <w:t>التقارير التي تفيد بأن طلبات اللجوء من جانب جنسيات معينة ترفض أحياناً بناء على اعتبارات سياسية وأمنية؛</w:t>
      </w:r>
    </w:p>
    <w:p w14:paraId="1B15D3AA" w14:textId="6E95D8C5" w:rsidR="002907F3" w:rsidRPr="002907F3" w:rsidRDefault="002907F3" w:rsidP="002907F3">
      <w:pPr>
        <w:pStyle w:val="SingleTxtGA"/>
        <w:rPr>
          <w:lang w:val="en-US"/>
        </w:rPr>
      </w:pPr>
      <w:r>
        <w:rPr>
          <w:rtl/>
          <w:lang w:val="en-US"/>
        </w:rPr>
        <w:tab/>
      </w:r>
      <w:r w:rsidRPr="002907F3">
        <w:rPr>
          <w:rtl/>
          <w:lang w:val="en-US"/>
        </w:rPr>
        <w:t>(ب)</w:t>
      </w:r>
      <w:r w:rsidRPr="002907F3">
        <w:rPr>
          <w:rtl/>
          <w:lang w:val="en-US"/>
        </w:rPr>
        <w:tab/>
        <w:t>عدم وجود معلومات عن آلية عملية لإحالة اللاجئين من سلطات الحدود إلى الوكالة الحكومية المختصة داخل أراضي الدولة الطرف؛</w:t>
      </w:r>
    </w:p>
    <w:p w14:paraId="2F65EC5D" w14:textId="34CC46CC" w:rsidR="002907F3" w:rsidRPr="002907F3" w:rsidRDefault="002907F3" w:rsidP="002907F3">
      <w:pPr>
        <w:pStyle w:val="SingleTxtGA"/>
        <w:rPr>
          <w:lang w:val="en-US"/>
        </w:rPr>
      </w:pPr>
      <w:r>
        <w:rPr>
          <w:rtl/>
          <w:lang w:val="en-US"/>
        </w:rPr>
        <w:tab/>
      </w:r>
      <w:r w:rsidRPr="002907F3">
        <w:rPr>
          <w:rtl/>
          <w:lang w:val="en-US"/>
        </w:rPr>
        <w:t>(ج)</w:t>
      </w:r>
      <w:r w:rsidRPr="002907F3">
        <w:rPr>
          <w:rtl/>
          <w:lang w:val="en-US"/>
        </w:rPr>
        <w:tab/>
      </w:r>
      <w:r w:rsidRPr="00172488">
        <w:rPr>
          <w:spacing w:val="-4"/>
          <w:rtl/>
          <w:lang w:val="en-US"/>
        </w:rPr>
        <w:t xml:space="preserve">عدم وجود أحكام لتوفير الحماية الفرعية للأشخاص الذين لم يحصلوا على </w:t>
      </w:r>
      <w:r w:rsidR="00660BC8">
        <w:rPr>
          <w:rFonts w:hint="cs"/>
          <w:spacing w:val="-4"/>
          <w:rtl/>
          <w:lang w:val="en-US"/>
        </w:rPr>
        <w:t>صفة</w:t>
      </w:r>
      <w:r w:rsidRPr="00172488">
        <w:rPr>
          <w:spacing w:val="-4"/>
          <w:rtl/>
          <w:lang w:val="en-US"/>
        </w:rPr>
        <w:t xml:space="preserve"> اللاجئ، ولكنهم مع ذلك غير قادرين على العودة إلى بلدهم الأصلي لأسباب قاهرة أخرى، مما يجعلهم غير قادرين على التمتع</w:t>
      </w:r>
      <w:r w:rsidR="006D48B1">
        <w:rPr>
          <w:rtl/>
          <w:lang w:val="en-US"/>
        </w:rPr>
        <w:t xml:space="preserve"> </w:t>
      </w:r>
      <w:r w:rsidRPr="002907F3">
        <w:rPr>
          <w:rtl/>
          <w:lang w:val="en-US"/>
        </w:rPr>
        <w:t>دون تمييز بعدد من حقوق الإنسان الأساسية؛</w:t>
      </w:r>
    </w:p>
    <w:p w14:paraId="13A50FF1" w14:textId="18B3ABA1" w:rsidR="004E7B27" w:rsidRPr="004E7B27" w:rsidRDefault="002907F3" w:rsidP="002907F3">
      <w:pPr>
        <w:pStyle w:val="SingleTxtGA"/>
        <w:rPr>
          <w:lang w:val="en-US"/>
        </w:rPr>
      </w:pPr>
      <w:r>
        <w:rPr>
          <w:rtl/>
          <w:lang w:val="en-US"/>
        </w:rPr>
        <w:tab/>
      </w:r>
      <w:r w:rsidRPr="002907F3">
        <w:rPr>
          <w:rtl/>
          <w:lang w:val="en-US"/>
        </w:rPr>
        <w:t>(د)</w:t>
      </w:r>
      <w:r w:rsidRPr="002907F3">
        <w:rPr>
          <w:rtl/>
          <w:lang w:val="en-US"/>
        </w:rPr>
        <w:tab/>
        <w:t xml:space="preserve">عدم منح اللاجئين سوى إقامة مؤقتة لمدة سنة واحدة، مما يؤدي إلى صعوبات في العثور على عمل في القطاع الرسمي للاقتصاد وفي الحصول على عدد من </w:t>
      </w:r>
      <w:r w:rsidR="001C18B0">
        <w:rPr>
          <w:rFonts w:hint="cs"/>
          <w:rtl/>
          <w:lang w:val="en-US"/>
        </w:rPr>
        <w:t>الإعانات</w:t>
      </w:r>
      <w:r w:rsidRPr="002907F3">
        <w:rPr>
          <w:rtl/>
          <w:lang w:val="en-US"/>
        </w:rPr>
        <w:t xml:space="preserve"> العامة (المادة </w:t>
      </w:r>
      <w:r w:rsidR="004E7B27" w:rsidRPr="003B6D07">
        <w:rPr>
          <w:rtl/>
          <w:lang w:val="en-US"/>
        </w:rPr>
        <w:t>5</w:t>
      </w:r>
      <w:r w:rsidR="004E7B27" w:rsidRPr="004E7B27">
        <w:rPr>
          <w:rtl/>
          <w:lang w:val="en-US"/>
        </w:rPr>
        <w:t>).</w:t>
      </w:r>
    </w:p>
    <w:p w14:paraId="73CDACC6" w14:textId="3E61532A" w:rsidR="002907F3" w:rsidRPr="003B6D07" w:rsidRDefault="002907F3" w:rsidP="002907F3">
      <w:pPr>
        <w:pStyle w:val="SingleTxtGA"/>
        <w:rPr>
          <w:b/>
          <w:bCs/>
          <w:lang w:val="en-US"/>
        </w:rPr>
      </w:pPr>
      <w:r w:rsidRPr="003B6D07">
        <w:rPr>
          <w:rtl/>
          <w:lang w:val="en-US"/>
        </w:rPr>
        <w:t>40</w:t>
      </w:r>
      <w:r w:rsidRPr="002907F3">
        <w:rPr>
          <w:rtl/>
          <w:lang w:val="en-US"/>
        </w:rPr>
        <w:t>-</w:t>
      </w:r>
      <w:r w:rsidRPr="002907F3">
        <w:rPr>
          <w:rtl/>
          <w:lang w:val="en-US"/>
        </w:rPr>
        <w:tab/>
      </w:r>
      <w:r w:rsidRPr="003B6D07">
        <w:rPr>
          <w:b/>
          <w:bCs/>
          <w:rtl/>
          <w:lang w:val="en-US"/>
        </w:rPr>
        <w:t>توصي اللجنة الدولة الطرف بما يلي:</w:t>
      </w:r>
    </w:p>
    <w:p w14:paraId="346A2224" w14:textId="524B0D23" w:rsidR="002907F3" w:rsidRPr="003B6D07" w:rsidRDefault="002907F3" w:rsidP="002907F3">
      <w:pPr>
        <w:pStyle w:val="SingleTxtGA"/>
        <w:rPr>
          <w:b/>
          <w:bCs/>
          <w:lang w:val="en-US"/>
        </w:rPr>
      </w:pPr>
      <w:r>
        <w:rPr>
          <w:rtl/>
          <w:lang w:val="en-US"/>
        </w:rPr>
        <w:tab/>
      </w:r>
      <w:r w:rsidRPr="002907F3">
        <w:rPr>
          <w:rtl/>
          <w:lang w:val="en-US"/>
        </w:rPr>
        <w:t>(أ)</w:t>
      </w:r>
      <w:r w:rsidRPr="002907F3">
        <w:rPr>
          <w:rtl/>
          <w:lang w:val="en-US"/>
        </w:rPr>
        <w:tab/>
      </w:r>
      <w:r w:rsidRPr="003B6D07">
        <w:rPr>
          <w:b/>
          <w:bCs/>
          <w:rtl/>
          <w:lang w:val="en-US"/>
        </w:rPr>
        <w:t>اتخاذ تدابير لضمان معالجة جميع طلبات اللجوء، بغض النظر عن جنسية مقدم الطلب وأصوله، بما يتماشى مع القانون الدولي، ولا سيما مع مبدأ عدم الإعادة القسرية؛</w:t>
      </w:r>
    </w:p>
    <w:p w14:paraId="66AC7C71" w14:textId="32834FD1" w:rsidR="002907F3" w:rsidRPr="003B6D07" w:rsidRDefault="002907F3" w:rsidP="00EF4B10">
      <w:pPr>
        <w:pStyle w:val="SingleTxtGA"/>
        <w:spacing w:line="350" w:lineRule="exact"/>
        <w:rPr>
          <w:b/>
          <w:bCs/>
          <w:lang w:val="en-US"/>
        </w:rPr>
      </w:pPr>
      <w:r>
        <w:rPr>
          <w:rtl/>
          <w:lang w:val="en-US"/>
        </w:rPr>
        <w:lastRenderedPageBreak/>
        <w:tab/>
      </w:r>
      <w:r w:rsidRPr="002907F3">
        <w:rPr>
          <w:rtl/>
          <w:lang w:val="en-US"/>
        </w:rPr>
        <w:t>(ب)</w:t>
      </w:r>
      <w:r w:rsidRPr="002907F3">
        <w:rPr>
          <w:rtl/>
          <w:lang w:val="en-US"/>
        </w:rPr>
        <w:tab/>
      </w:r>
      <w:r w:rsidRPr="003B6D07">
        <w:rPr>
          <w:b/>
          <w:bCs/>
          <w:rtl/>
          <w:lang w:val="en-US"/>
        </w:rPr>
        <w:t>وضع إجراء إحالة لإدارات شرطة الهجرة ودائرة حرس الحدود في جميع نقاط الحدود، امتثالاً للتوصية السابقة للجنة</w:t>
      </w:r>
      <w:r w:rsidR="004E7B27" w:rsidRPr="003B6D07">
        <w:rPr>
          <w:rStyle w:val="FootnoteReference"/>
          <w:b/>
          <w:bCs/>
          <w:szCs w:val="22"/>
          <w:rtl/>
          <w:lang w:val="en-US"/>
        </w:rPr>
        <w:t>(</w:t>
      </w:r>
      <w:r w:rsidR="004E7B27" w:rsidRPr="003B6D07">
        <w:rPr>
          <w:rStyle w:val="FootnoteReference"/>
          <w:b/>
          <w:bCs/>
          <w:szCs w:val="22"/>
          <w:lang w:val="en-US"/>
        </w:rPr>
        <w:footnoteReference w:id="6"/>
      </w:r>
      <w:r w:rsidRPr="003B6D07">
        <w:rPr>
          <w:b/>
          <w:bCs/>
          <w:vertAlign w:val="superscript"/>
          <w:rtl/>
          <w:lang w:val="en-US"/>
        </w:rPr>
        <w:t>)</w:t>
      </w:r>
      <w:r w:rsidRPr="003B6D07">
        <w:rPr>
          <w:b/>
          <w:bCs/>
          <w:rtl/>
          <w:lang w:val="en-US"/>
        </w:rPr>
        <w:t xml:space="preserve"> وتمشياً مع القواعد والمعايير الدولية؛</w:t>
      </w:r>
    </w:p>
    <w:p w14:paraId="022EF231" w14:textId="542C2841" w:rsidR="002907F3" w:rsidRPr="003B6D07" w:rsidRDefault="002907F3" w:rsidP="00EF4B10">
      <w:pPr>
        <w:pStyle w:val="SingleTxtGA"/>
        <w:spacing w:line="350" w:lineRule="exact"/>
        <w:rPr>
          <w:b/>
          <w:bCs/>
          <w:lang w:val="en-US"/>
        </w:rPr>
      </w:pPr>
      <w:r>
        <w:rPr>
          <w:rtl/>
          <w:lang w:val="en-US"/>
        </w:rPr>
        <w:tab/>
      </w:r>
      <w:r w:rsidRPr="002907F3">
        <w:rPr>
          <w:rtl/>
          <w:lang w:val="en-US"/>
        </w:rPr>
        <w:t>(ج)</w:t>
      </w:r>
      <w:r w:rsidRPr="002907F3">
        <w:rPr>
          <w:rtl/>
          <w:lang w:val="en-US"/>
        </w:rPr>
        <w:tab/>
      </w:r>
      <w:r w:rsidRPr="003B6D07">
        <w:rPr>
          <w:b/>
          <w:bCs/>
          <w:rtl/>
          <w:lang w:val="en-US"/>
        </w:rPr>
        <w:t>اعتماد تشريعات واتخاذ تدابير عملية لضمان السماح لملتمسي اللجوء الذين لم</w:t>
      </w:r>
      <w:r w:rsidR="00DD6B0E" w:rsidRPr="003B6D07">
        <w:rPr>
          <w:rFonts w:hint="cs"/>
          <w:b/>
          <w:bCs/>
          <w:rtl/>
          <w:lang w:val="en-US"/>
        </w:rPr>
        <w:t> </w:t>
      </w:r>
      <w:r w:rsidRPr="003B6D07">
        <w:rPr>
          <w:b/>
          <w:bCs/>
          <w:rtl/>
          <w:lang w:val="en-US"/>
        </w:rPr>
        <w:t>يحصلوا على موافقة على طلباتهم للجوء وجميع الأشخاص الذين لم يعترف بهم رسمياً كلاجئين، ولكنهم مع ذلك غير قادرين على العودة إلى بلدهم الأصلي لأسباب قاهرة أخرى، بالبقاء في الدولة الطرف إلى أن يصبح من الآمن لهم العودة،</w:t>
      </w:r>
      <w:r w:rsidR="006D48B1" w:rsidRPr="003B6D07">
        <w:rPr>
          <w:b/>
          <w:bCs/>
          <w:rtl/>
          <w:lang w:val="en-US"/>
        </w:rPr>
        <w:t xml:space="preserve"> </w:t>
      </w:r>
      <w:r w:rsidRPr="003B6D07">
        <w:rPr>
          <w:b/>
          <w:bCs/>
          <w:rtl/>
          <w:lang w:val="en-US"/>
        </w:rPr>
        <w:t>والسماح لهم بممارسة حقوقهم الاقتصادية والاجتماعية والثقافية والتمتع بها دون تمييز؛</w:t>
      </w:r>
    </w:p>
    <w:p w14:paraId="5E0DEDEF" w14:textId="5C0A84EF" w:rsidR="002907F3" w:rsidRPr="003B6D07" w:rsidRDefault="002907F3" w:rsidP="00EF4B10">
      <w:pPr>
        <w:pStyle w:val="SingleTxtGA"/>
        <w:spacing w:line="350" w:lineRule="exact"/>
        <w:rPr>
          <w:b/>
          <w:bCs/>
          <w:lang w:val="en-US"/>
        </w:rPr>
      </w:pPr>
      <w:r>
        <w:rPr>
          <w:rtl/>
          <w:lang w:val="en-US"/>
        </w:rPr>
        <w:tab/>
      </w:r>
      <w:r w:rsidRPr="002907F3">
        <w:rPr>
          <w:rtl/>
          <w:lang w:val="en-US"/>
        </w:rPr>
        <w:t>(د)</w:t>
      </w:r>
      <w:r w:rsidRPr="002907F3">
        <w:rPr>
          <w:rtl/>
          <w:lang w:val="en-US"/>
        </w:rPr>
        <w:tab/>
      </w:r>
      <w:r w:rsidRPr="003B6D07">
        <w:rPr>
          <w:b/>
          <w:bCs/>
          <w:rtl/>
          <w:lang w:val="en-US"/>
        </w:rPr>
        <w:t>النظر في منح صفة اللاجئ لمدة ثلاث سنوات على الأقل.</w:t>
      </w:r>
    </w:p>
    <w:p w14:paraId="576DC324" w14:textId="3D2A9F21" w:rsidR="002907F3" w:rsidRPr="003B6D07" w:rsidRDefault="002907F3" w:rsidP="00EF4B10">
      <w:pPr>
        <w:pStyle w:val="H23GA"/>
        <w:spacing w:line="360" w:lineRule="exact"/>
      </w:pPr>
      <w:r w:rsidRPr="003B6D07">
        <w:rPr>
          <w:rtl/>
        </w:rPr>
        <w:tab/>
      </w:r>
      <w:r w:rsidRPr="003B6D07">
        <w:rPr>
          <w:rtl/>
        </w:rPr>
        <w:tab/>
      </w:r>
      <w:r w:rsidR="001C18B0" w:rsidRPr="003B6D07">
        <w:rPr>
          <w:rFonts w:hint="cs"/>
          <w:rtl/>
        </w:rPr>
        <w:t xml:space="preserve">الأشخاص </w:t>
      </w:r>
      <w:r w:rsidRPr="003B6D07">
        <w:rPr>
          <w:rtl/>
        </w:rPr>
        <w:t>عديمو الجنسية</w:t>
      </w:r>
    </w:p>
    <w:p w14:paraId="28E41A57" w14:textId="60F36E86" w:rsidR="002907F3" w:rsidRPr="002907F3" w:rsidRDefault="002907F3" w:rsidP="00EF4B10">
      <w:pPr>
        <w:pStyle w:val="SingleTxtGA"/>
        <w:spacing w:line="350" w:lineRule="exact"/>
        <w:rPr>
          <w:lang w:val="en-US"/>
        </w:rPr>
      </w:pPr>
      <w:r w:rsidRPr="003B6D07">
        <w:rPr>
          <w:rtl/>
          <w:lang w:val="en-US"/>
        </w:rPr>
        <w:t>41</w:t>
      </w:r>
      <w:r w:rsidRPr="002907F3">
        <w:rPr>
          <w:rtl/>
          <w:lang w:val="en-US"/>
        </w:rPr>
        <w:t>-</w:t>
      </w:r>
      <w:r w:rsidRPr="002907F3">
        <w:rPr>
          <w:rtl/>
          <w:lang w:val="en-US"/>
        </w:rPr>
        <w:tab/>
        <w:t xml:space="preserve">يساور اللجنة القلق إزاء التقارير التي تفيد بأنه يصعب على عديمي الجنسية غير الحاملين لوثائق رسمية إثبات افتقارهم إلى الجنسية، وأن هؤلاء الأشخاص وأطفالهم محرومون بالتالي من التمتع بعدد من الحقوق الأساسية، بما في ذلك ما يتعلق منها بالعمل والتعليم والرعاية الصحية. ويساور اللجنة القلق أيضاً لأن قانون الجنسية يتضمن ثغرات وأحكاماً قد تؤدي إلى انعدام الجنسية، بما فيها الأحكام المتعلقة بالحرمان من الجنسية التي أدخلت في عام </w:t>
      </w:r>
      <w:r w:rsidRPr="003B6D07">
        <w:rPr>
          <w:rtl/>
          <w:lang w:val="en-US"/>
        </w:rPr>
        <w:t>2017</w:t>
      </w:r>
      <w:r w:rsidRPr="002907F3">
        <w:rPr>
          <w:rtl/>
          <w:lang w:val="en-US"/>
        </w:rPr>
        <w:t xml:space="preserve"> (المادة </w:t>
      </w:r>
      <w:r w:rsidR="004E7B27" w:rsidRPr="003B6D07">
        <w:rPr>
          <w:rtl/>
          <w:lang w:val="en-US"/>
        </w:rPr>
        <w:t>5</w:t>
      </w:r>
      <w:r w:rsidR="004E7B27" w:rsidRPr="004E7B27">
        <w:rPr>
          <w:rtl/>
          <w:lang w:val="en-US"/>
        </w:rPr>
        <w:t xml:space="preserve">). </w:t>
      </w:r>
      <w:r w:rsidRPr="002907F3">
        <w:rPr>
          <w:rtl/>
          <w:lang w:val="en-US"/>
        </w:rPr>
        <w:t xml:space="preserve">وتأسف اللجنة لأن الدولة الطرف لم تصدق على اتفاقية عام </w:t>
      </w:r>
      <w:r w:rsidRPr="003B6D07">
        <w:rPr>
          <w:rtl/>
          <w:lang w:val="en-US"/>
        </w:rPr>
        <w:t>1954</w:t>
      </w:r>
      <w:r w:rsidRPr="002907F3">
        <w:rPr>
          <w:rtl/>
          <w:lang w:val="en-US"/>
        </w:rPr>
        <w:t xml:space="preserve"> بشأن وضع الأشخاص عديمي الجنسية ولا على اتفاقية عام </w:t>
      </w:r>
      <w:r w:rsidRPr="003B6D07">
        <w:rPr>
          <w:rtl/>
          <w:lang w:val="en-US"/>
        </w:rPr>
        <w:t>1961</w:t>
      </w:r>
      <w:r w:rsidRPr="002907F3">
        <w:rPr>
          <w:rtl/>
          <w:lang w:val="en-US"/>
        </w:rPr>
        <w:t xml:space="preserve"> المتعلقة بخفض حالات انعدام الجنسية.</w:t>
      </w:r>
    </w:p>
    <w:p w14:paraId="51D34269" w14:textId="77777777" w:rsidR="002907F3" w:rsidRPr="003B6D07" w:rsidRDefault="002907F3" w:rsidP="00EF4B10">
      <w:pPr>
        <w:pStyle w:val="SingleTxtGA"/>
        <w:spacing w:line="350" w:lineRule="exact"/>
        <w:rPr>
          <w:b/>
          <w:bCs/>
          <w:lang w:val="en-US"/>
        </w:rPr>
      </w:pPr>
      <w:r w:rsidRPr="003B6D07">
        <w:rPr>
          <w:rtl/>
          <w:lang w:val="en-US"/>
        </w:rPr>
        <w:t>42</w:t>
      </w:r>
      <w:r w:rsidRPr="002907F3">
        <w:rPr>
          <w:rtl/>
          <w:lang w:val="en-US"/>
        </w:rPr>
        <w:t>-</w:t>
      </w:r>
      <w:r w:rsidRPr="002907F3">
        <w:rPr>
          <w:rtl/>
          <w:lang w:val="en-US"/>
        </w:rPr>
        <w:tab/>
      </w:r>
      <w:r w:rsidRPr="003B6D07">
        <w:rPr>
          <w:b/>
          <w:bCs/>
          <w:rtl/>
          <w:lang w:val="en-US"/>
        </w:rPr>
        <w:t>توصي اللجنة الدولة الطرف بما يلي:</w:t>
      </w:r>
    </w:p>
    <w:p w14:paraId="30A7A8F0" w14:textId="1A9A9E24" w:rsidR="002907F3" w:rsidRPr="003B6D07" w:rsidRDefault="002907F3" w:rsidP="00EF4B10">
      <w:pPr>
        <w:pStyle w:val="SingleTxtGA"/>
        <w:spacing w:line="350" w:lineRule="exact"/>
        <w:rPr>
          <w:b/>
          <w:bCs/>
          <w:lang w:val="en-US"/>
        </w:rPr>
      </w:pPr>
      <w:r>
        <w:rPr>
          <w:rtl/>
          <w:lang w:val="en-US"/>
        </w:rPr>
        <w:tab/>
      </w:r>
      <w:r w:rsidRPr="002907F3">
        <w:rPr>
          <w:rtl/>
          <w:lang w:val="en-US"/>
        </w:rPr>
        <w:t>(أ)</w:t>
      </w:r>
      <w:r w:rsidRPr="002907F3">
        <w:rPr>
          <w:rtl/>
          <w:lang w:val="en-US"/>
        </w:rPr>
        <w:tab/>
      </w:r>
      <w:r w:rsidRPr="003B6D07">
        <w:rPr>
          <w:b/>
          <w:bCs/>
          <w:rtl/>
          <w:lang w:val="en-US"/>
        </w:rPr>
        <w:t>مواصلة جهودها في سبيل تحديد هوية الأشخاص غير محددي الجنسية وتزويدهم بها وتبسيط إجراءات تحديد حالات انعدام الجنسية؛</w:t>
      </w:r>
    </w:p>
    <w:p w14:paraId="2B08BD28" w14:textId="38B19256" w:rsidR="002907F3" w:rsidRPr="003B6D07" w:rsidRDefault="002907F3" w:rsidP="00EF4B10">
      <w:pPr>
        <w:pStyle w:val="SingleTxtGA"/>
        <w:spacing w:line="350" w:lineRule="exact"/>
        <w:rPr>
          <w:b/>
          <w:bCs/>
          <w:lang w:val="en-US"/>
        </w:rPr>
      </w:pPr>
      <w:r>
        <w:rPr>
          <w:rtl/>
          <w:lang w:val="en-US"/>
        </w:rPr>
        <w:tab/>
      </w:r>
      <w:r w:rsidRPr="002907F3">
        <w:rPr>
          <w:rtl/>
          <w:lang w:val="en-US"/>
        </w:rPr>
        <w:t>(ب)</w:t>
      </w:r>
      <w:r w:rsidRPr="002907F3">
        <w:rPr>
          <w:rtl/>
          <w:lang w:val="en-US"/>
        </w:rPr>
        <w:tab/>
      </w:r>
      <w:r w:rsidRPr="003B6D07">
        <w:rPr>
          <w:rFonts w:ascii="Times New Roman Bold" w:hAnsi="Times New Roman Bold"/>
          <w:b/>
          <w:bCs/>
          <w:spacing w:val="-4"/>
          <w:rtl/>
          <w:lang w:val="en-US"/>
        </w:rPr>
        <w:t>مراجعة وتعديل قانون الجنسية، بما في ذلك أحكامه المتعلقة بالحرمان من الجنسية</w:t>
      </w:r>
      <w:r w:rsidRPr="003B6D07">
        <w:rPr>
          <w:b/>
          <w:bCs/>
          <w:rtl/>
          <w:lang w:val="en-US"/>
        </w:rPr>
        <w:t>، لضمان ألا يؤدي تطبيقه إلى انعدام الجنسية؛</w:t>
      </w:r>
    </w:p>
    <w:p w14:paraId="094D6354" w14:textId="0F47BD1E" w:rsidR="002907F3" w:rsidRPr="003B6D07" w:rsidRDefault="002907F3" w:rsidP="00EF4B10">
      <w:pPr>
        <w:pStyle w:val="SingleTxtGA"/>
        <w:spacing w:line="350" w:lineRule="exact"/>
        <w:rPr>
          <w:b/>
          <w:bCs/>
          <w:lang w:val="en-US"/>
        </w:rPr>
      </w:pPr>
      <w:r>
        <w:rPr>
          <w:rtl/>
          <w:lang w:val="en-US"/>
        </w:rPr>
        <w:tab/>
      </w:r>
      <w:r w:rsidRPr="002907F3">
        <w:rPr>
          <w:rtl/>
          <w:lang w:val="en-US"/>
        </w:rPr>
        <w:t>(ج)</w:t>
      </w:r>
      <w:r w:rsidRPr="002907F3">
        <w:rPr>
          <w:rtl/>
          <w:lang w:val="en-US"/>
        </w:rPr>
        <w:tab/>
      </w:r>
      <w:r w:rsidRPr="003B6D07">
        <w:rPr>
          <w:b/>
          <w:bCs/>
          <w:rtl/>
          <w:lang w:val="en-US"/>
        </w:rPr>
        <w:t>تنفيذ خطة عملها الوطنية تنفيذاً كاملاً بموجب خطة العمل العالمية لإنهاء انعدام الجنسية للفترة ما بين عامي 2014 و2024؛</w:t>
      </w:r>
    </w:p>
    <w:p w14:paraId="78E83F0A" w14:textId="4E2EF380" w:rsidR="002907F3" w:rsidRPr="003B6D07" w:rsidRDefault="002907F3" w:rsidP="00EF4B10">
      <w:pPr>
        <w:pStyle w:val="SingleTxtGA"/>
        <w:spacing w:line="350" w:lineRule="exact"/>
        <w:rPr>
          <w:b/>
          <w:bCs/>
          <w:lang w:val="en-US"/>
        </w:rPr>
      </w:pPr>
      <w:r>
        <w:rPr>
          <w:rtl/>
          <w:lang w:val="en-US"/>
        </w:rPr>
        <w:tab/>
      </w:r>
      <w:r w:rsidRPr="002907F3">
        <w:rPr>
          <w:rtl/>
          <w:lang w:val="en-US"/>
        </w:rPr>
        <w:t>(د)</w:t>
      </w:r>
      <w:r w:rsidRPr="002907F3">
        <w:rPr>
          <w:rtl/>
          <w:lang w:val="en-US"/>
        </w:rPr>
        <w:tab/>
      </w:r>
      <w:r w:rsidRPr="003B6D07">
        <w:rPr>
          <w:b/>
          <w:bCs/>
          <w:rtl/>
          <w:lang w:val="en-US"/>
        </w:rPr>
        <w:t>التصديق على اتفاقية عام 1954 بشأن وضع الأشخاص عديمي الجنسية واتفاقية عام 1961 المتعلقة بخفض حالات انعدام الجنسية.</w:t>
      </w:r>
    </w:p>
    <w:p w14:paraId="00C76550" w14:textId="77777777" w:rsidR="002907F3" w:rsidRPr="003B6D07" w:rsidRDefault="002907F3" w:rsidP="00EF4B10">
      <w:pPr>
        <w:pStyle w:val="H23GA"/>
        <w:spacing w:line="360" w:lineRule="exact"/>
      </w:pPr>
      <w:r w:rsidRPr="003B6D07">
        <w:rPr>
          <w:rtl/>
        </w:rPr>
        <w:tab/>
      </w:r>
      <w:r w:rsidRPr="003B6D07">
        <w:rPr>
          <w:rtl/>
        </w:rPr>
        <w:tab/>
        <w:t>إمكانية اللجوء إلى القضاء</w:t>
      </w:r>
    </w:p>
    <w:p w14:paraId="6EDF2788" w14:textId="451598FC" w:rsidR="004E7B27" w:rsidRPr="004E7B27" w:rsidRDefault="002907F3" w:rsidP="00EF4B10">
      <w:pPr>
        <w:pStyle w:val="SingleTxtGA"/>
        <w:spacing w:line="350" w:lineRule="exact"/>
        <w:rPr>
          <w:lang w:val="en-US"/>
        </w:rPr>
      </w:pPr>
      <w:r w:rsidRPr="003B6D07">
        <w:rPr>
          <w:rtl/>
          <w:lang w:val="en-US"/>
        </w:rPr>
        <w:t>43</w:t>
      </w:r>
      <w:r w:rsidRPr="002907F3">
        <w:rPr>
          <w:rtl/>
          <w:lang w:val="en-US"/>
        </w:rPr>
        <w:t>-</w:t>
      </w:r>
      <w:r w:rsidRPr="002907F3">
        <w:rPr>
          <w:rtl/>
          <w:lang w:val="en-US"/>
        </w:rPr>
        <w:tab/>
        <w:t xml:space="preserve">يساور اللجنة القلق إزاء أن يكون انخفاض عدد الشكاوى وقرارات المحاكم في الإجراءات الإدارية والمدنية والجنائية المتعلقة بأعمال التمييز العنصري بمثابة إشارة إلى أن الضحايا لا يملكون معلومات كافية عن حقوقهم، أو أنهم يخشون اللوم الاجتماعي أو الانتقام، أو أن ذوي الموارد المحدودة منهم يخشون تكلفة العملية القضائية وتعقيدها، أو أن هناك انعدام ثقة في الشرطة والسلطات القضائية. ويساور اللجنة القلق أيضاً لأن ترجمات التشريعات في الدولة الطرف، التي عادة ما تصاغ باللغة الروسية، </w:t>
      </w:r>
      <w:r w:rsidR="001C18B0">
        <w:rPr>
          <w:rFonts w:hint="cs"/>
          <w:rtl/>
          <w:lang w:val="en-US"/>
        </w:rPr>
        <w:t>تشوبها</w:t>
      </w:r>
      <w:r w:rsidRPr="002907F3">
        <w:rPr>
          <w:rtl/>
          <w:lang w:val="en-US"/>
        </w:rPr>
        <w:t xml:space="preserve"> أحياناً أخطاء، مما قد يؤثر سلباً على إمكانية وصول غير الناطقين باللغة الروسية إلى هذه القوانين (المادة </w:t>
      </w:r>
      <w:r w:rsidR="004E7B27" w:rsidRPr="003B6D07">
        <w:rPr>
          <w:rtl/>
          <w:lang w:val="en-US"/>
        </w:rPr>
        <w:t>6</w:t>
      </w:r>
      <w:r w:rsidR="004E7B27" w:rsidRPr="004E7B27">
        <w:rPr>
          <w:rtl/>
          <w:lang w:val="en-US"/>
        </w:rPr>
        <w:t>).</w:t>
      </w:r>
    </w:p>
    <w:p w14:paraId="4916CB4A" w14:textId="01FC7709" w:rsidR="002907F3" w:rsidRPr="003B6D07" w:rsidRDefault="002907F3" w:rsidP="00EF4B10">
      <w:pPr>
        <w:pStyle w:val="SingleTxtGA"/>
        <w:spacing w:line="350" w:lineRule="exact"/>
        <w:rPr>
          <w:b/>
          <w:bCs/>
          <w:lang w:val="en-US"/>
        </w:rPr>
      </w:pPr>
      <w:r w:rsidRPr="003B6D07">
        <w:rPr>
          <w:rtl/>
          <w:lang w:val="en-US"/>
        </w:rPr>
        <w:t>44</w:t>
      </w:r>
      <w:r w:rsidRPr="002907F3">
        <w:rPr>
          <w:rtl/>
          <w:lang w:val="en-US"/>
        </w:rPr>
        <w:t>-</w:t>
      </w:r>
      <w:r w:rsidRPr="002907F3">
        <w:rPr>
          <w:rtl/>
          <w:lang w:val="en-US"/>
        </w:rPr>
        <w:tab/>
      </w:r>
      <w:r w:rsidRPr="003B6D07">
        <w:rPr>
          <w:b/>
          <w:bCs/>
          <w:rtl/>
          <w:lang w:val="en-US"/>
        </w:rPr>
        <w:t>توصي اللجنة الدولة الطرف بالاضطلاع بأنشطة لإذكاء الوعي لضمان أن يكون الجمهور، ولا</w:t>
      </w:r>
      <w:r w:rsidR="00172488" w:rsidRPr="003B6D07">
        <w:rPr>
          <w:rFonts w:hint="cs"/>
          <w:b/>
          <w:bCs/>
          <w:rtl/>
          <w:lang w:val="en-US"/>
        </w:rPr>
        <w:t> </w:t>
      </w:r>
      <w:r w:rsidRPr="003B6D07">
        <w:rPr>
          <w:b/>
          <w:bCs/>
          <w:rtl/>
          <w:lang w:val="en-US"/>
        </w:rPr>
        <w:t xml:space="preserve">سيما أفراد الأقليات الإثنية، على علم بما يشكل تمييزاً عنصرياً وسبل الانتصاف القانونية المتاحة، </w:t>
      </w:r>
      <w:r w:rsidRPr="003B6D07">
        <w:rPr>
          <w:b/>
          <w:bCs/>
          <w:rtl/>
          <w:lang w:val="en-US"/>
        </w:rPr>
        <w:lastRenderedPageBreak/>
        <w:t>بما في ذلك المساعدة القانونية المجانية. وتوصي اللجنة أيضاً بأن تكفل الدولة الطرف تدريب الموظفين المكلفين بإنفاذ القوانين على النظر في جميع الشكاوى المتعلقة بالتمييز العنصري والتحقيق فيها بفعالية، ومنع أي أعمال انتقامية ضد الأشخاص الذين يبلغون عن التمييز العنصري، والمعاقبة عليها. كما توصي اللجنة الدولة الطرف بتوفير الموارد الكافية لضمان إتاحة ترجمات دقيقة لقوانينها باللغات الرئيسية المستخدمة في الدولة الطرف.</w:t>
      </w:r>
    </w:p>
    <w:p w14:paraId="0A81BC03" w14:textId="11C5DC0C" w:rsidR="002907F3" w:rsidRPr="003B6D07" w:rsidRDefault="002907F3" w:rsidP="002907F3">
      <w:pPr>
        <w:pStyle w:val="H1GA"/>
      </w:pPr>
      <w:r w:rsidRPr="003B6D07">
        <w:rPr>
          <w:rtl/>
        </w:rPr>
        <w:tab/>
        <w:t>دال-</w:t>
      </w:r>
      <w:r w:rsidRPr="003B6D07">
        <w:rPr>
          <w:rtl/>
        </w:rPr>
        <w:tab/>
        <w:t>توصيات أخرى</w:t>
      </w:r>
    </w:p>
    <w:p w14:paraId="2E1688AC" w14:textId="77777777" w:rsidR="002907F3" w:rsidRPr="003B6D07" w:rsidRDefault="002907F3" w:rsidP="002907F3">
      <w:pPr>
        <w:pStyle w:val="H23GA"/>
      </w:pPr>
      <w:r w:rsidRPr="003B6D07">
        <w:rPr>
          <w:rtl/>
        </w:rPr>
        <w:tab/>
      </w:r>
      <w:r w:rsidRPr="003B6D07">
        <w:rPr>
          <w:rtl/>
        </w:rPr>
        <w:tab/>
        <w:t>التصديق على المعاهدات الأخرى</w:t>
      </w:r>
    </w:p>
    <w:p w14:paraId="3185F033" w14:textId="62AAC9A3" w:rsidR="002907F3" w:rsidRPr="003B6D07" w:rsidRDefault="002907F3" w:rsidP="00EF4B10">
      <w:pPr>
        <w:pStyle w:val="SingleTxtGA"/>
        <w:spacing w:line="340" w:lineRule="exact"/>
        <w:rPr>
          <w:b/>
          <w:bCs/>
          <w:lang w:val="en-US"/>
        </w:rPr>
      </w:pPr>
      <w:r w:rsidRPr="003B6D07">
        <w:rPr>
          <w:rtl/>
          <w:lang w:val="en-US"/>
        </w:rPr>
        <w:t>45</w:t>
      </w:r>
      <w:r w:rsidRPr="002907F3">
        <w:rPr>
          <w:rtl/>
          <w:lang w:val="en-US"/>
        </w:rPr>
        <w:t>-</w:t>
      </w:r>
      <w:r w:rsidRPr="002907F3">
        <w:rPr>
          <w:rtl/>
          <w:lang w:val="en-US"/>
        </w:rPr>
        <w:tab/>
      </w:r>
      <w:r w:rsidRPr="003B6D07">
        <w:rPr>
          <w:b/>
          <w:bCs/>
          <w:rtl/>
          <w:lang w:val="en-US"/>
        </w:rPr>
        <w:t xml:space="preserve">إذ تضع اللجنة في اعتبارها عدم قابلية جميع حقوق الإنسان للتجزئة، </w:t>
      </w:r>
      <w:r w:rsidR="001C18B0" w:rsidRPr="003B6D07">
        <w:rPr>
          <w:rFonts w:hint="cs"/>
          <w:b/>
          <w:bCs/>
          <w:rtl/>
          <w:lang w:val="en-US"/>
        </w:rPr>
        <w:t>فهي</w:t>
      </w:r>
      <w:r w:rsidR="003B6D07" w:rsidRPr="003B6D07">
        <w:rPr>
          <w:rFonts w:hint="cs"/>
          <w:b/>
          <w:bCs/>
          <w:rtl/>
          <w:lang w:val="en-US"/>
        </w:rPr>
        <w:t xml:space="preserve"> تشجع</w:t>
      </w:r>
      <w:r w:rsidRPr="003B6D07">
        <w:rPr>
          <w:b/>
          <w:bCs/>
          <w:rtl/>
          <w:lang w:val="en-US"/>
        </w:rPr>
        <w:t xml:space="preserve"> الدولةَ الطرف على النظر في التصديق على المعاهدات الدولية لحقوق الإنسان التي لم تصدّق عليها بعد، ولا</w:t>
      </w:r>
      <w:r w:rsidR="003B6D07" w:rsidRPr="003B6D07">
        <w:rPr>
          <w:rFonts w:hint="cs"/>
          <w:b/>
          <w:bCs/>
          <w:rtl/>
          <w:lang w:val="en-US"/>
        </w:rPr>
        <w:t> </w:t>
      </w:r>
      <w:r w:rsidRPr="003B6D07">
        <w:rPr>
          <w:b/>
          <w:bCs/>
          <w:rtl/>
          <w:lang w:val="en-US"/>
        </w:rPr>
        <w:t>سيما المعاهدات ذات الأحكام التي لها صلة مباشرة بالجماعات التي قد تتعرّض للتمييز العنصري، بما في ذلك الاتفاقية الدولية لحماية حقوق جميع العمّال المهاجرين وأفراد أسرهم.</w:t>
      </w:r>
    </w:p>
    <w:p w14:paraId="7A5C9377" w14:textId="77777777" w:rsidR="002907F3" w:rsidRPr="003B6D07" w:rsidRDefault="002907F3" w:rsidP="002907F3">
      <w:pPr>
        <w:pStyle w:val="H23GA"/>
      </w:pPr>
      <w:r w:rsidRPr="003B6D07">
        <w:rPr>
          <w:rtl/>
        </w:rPr>
        <w:tab/>
      </w:r>
      <w:r w:rsidRPr="003B6D07">
        <w:rPr>
          <w:rtl/>
        </w:rPr>
        <w:tab/>
        <w:t>تعديل المادة 8 من الاتفاقية</w:t>
      </w:r>
    </w:p>
    <w:p w14:paraId="7B83E3B3" w14:textId="077A8FF5" w:rsidR="004E7B27" w:rsidRPr="003B6D07" w:rsidRDefault="002907F3" w:rsidP="00EF4B10">
      <w:pPr>
        <w:pStyle w:val="SingleTxtGA"/>
        <w:spacing w:line="340" w:lineRule="exact"/>
        <w:rPr>
          <w:b/>
          <w:bCs/>
          <w:lang w:val="en-US"/>
        </w:rPr>
      </w:pPr>
      <w:r w:rsidRPr="003B6D07">
        <w:rPr>
          <w:rtl/>
          <w:lang w:val="en-US"/>
        </w:rPr>
        <w:t>46</w:t>
      </w:r>
      <w:r w:rsidRPr="002907F3">
        <w:rPr>
          <w:rtl/>
          <w:lang w:val="en-US"/>
        </w:rPr>
        <w:t>-</w:t>
      </w:r>
      <w:r w:rsidRPr="002907F3">
        <w:rPr>
          <w:rtl/>
          <w:lang w:val="en-US"/>
        </w:rPr>
        <w:tab/>
      </w:r>
      <w:r w:rsidRPr="003B6D07">
        <w:rPr>
          <w:rFonts w:ascii="Times New Roman Bold" w:hAnsi="Times New Roman Bold"/>
          <w:b/>
          <w:bCs/>
          <w:spacing w:val="-4"/>
          <w:rtl/>
          <w:lang w:val="en-US"/>
        </w:rPr>
        <w:t>توصي اللجنة الدولة الطرف بقبول تعديل الفقرة 6 من المادة 8 من الاتفاقية، الذي اعتُمد في</w:t>
      </w:r>
      <w:r w:rsidRPr="003B6D07">
        <w:rPr>
          <w:rFonts w:ascii="Times New Roman Bold" w:hAnsi="Times New Roman Bold" w:hint="cs"/>
          <w:b/>
          <w:bCs/>
          <w:spacing w:val="-4"/>
          <w:rtl/>
          <w:lang w:val="en-US"/>
        </w:rPr>
        <w:t> </w:t>
      </w:r>
      <w:r w:rsidRPr="003B6D07">
        <w:rPr>
          <w:rFonts w:ascii="Times New Roman Bold" w:hAnsi="Times New Roman Bold"/>
          <w:b/>
          <w:bCs/>
          <w:spacing w:val="-4"/>
          <w:rtl/>
          <w:lang w:val="en-US"/>
        </w:rPr>
        <w:t>15</w:t>
      </w:r>
      <w:r w:rsidRPr="003B6D07">
        <w:rPr>
          <w:b/>
          <w:bCs/>
          <w:rtl/>
          <w:lang w:val="en-US"/>
        </w:rPr>
        <w:t xml:space="preserve"> كانون الثاني/يناير 1992 في الاجتماع الرابع عشر للدول الأطراف في الاتفاقية، وأقرّته الجمعية العامة في قرارها 47/11</w:t>
      </w:r>
      <w:r w:rsidR="004E7B27" w:rsidRPr="003B6D07">
        <w:rPr>
          <w:b/>
          <w:bCs/>
          <w:rtl/>
          <w:lang w:val="en-US"/>
        </w:rPr>
        <w:t>1.</w:t>
      </w:r>
    </w:p>
    <w:p w14:paraId="1EB85C02" w14:textId="0DC34729" w:rsidR="002907F3" w:rsidRPr="003B6D07" w:rsidRDefault="002907F3" w:rsidP="002907F3">
      <w:pPr>
        <w:pStyle w:val="H23GA"/>
      </w:pPr>
      <w:r w:rsidRPr="003B6D07">
        <w:rPr>
          <w:rtl/>
        </w:rPr>
        <w:tab/>
      </w:r>
      <w:r w:rsidRPr="003B6D07">
        <w:rPr>
          <w:rtl/>
        </w:rPr>
        <w:tab/>
      </w:r>
      <w:r w:rsidRPr="003B6D07">
        <w:rPr>
          <w:rtl/>
        </w:rPr>
        <w:tab/>
        <w:t>متابعة إعلان وبرنامج عمل ديربان</w:t>
      </w:r>
    </w:p>
    <w:p w14:paraId="21AE7A84" w14:textId="474E5E67" w:rsidR="002907F3" w:rsidRPr="003B6D07" w:rsidRDefault="002907F3" w:rsidP="00EF4B10">
      <w:pPr>
        <w:pStyle w:val="SingleTxtGA"/>
        <w:spacing w:line="340" w:lineRule="exact"/>
        <w:rPr>
          <w:b/>
          <w:bCs/>
          <w:lang w:val="en-US"/>
        </w:rPr>
      </w:pPr>
      <w:r w:rsidRPr="003B6D07">
        <w:rPr>
          <w:rtl/>
          <w:lang w:val="en-US"/>
        </w:rPr>
        <w:t>47</w:t>
      </w:r>
      <w:r w:rsidRPr="002907F3">
        <w:rPr>
          <w:rtl/>
          <w:lang w:val="en-US"/>
        </w:rPr>
        <w:t>-</w:t>
      </w:r>
      <w:r w:rsidRPr="002907F3">
        <w:rPr>
          <w:rtl/>
          <w:lang w:val="en-US"/>
        </w:rPr>
        <w:tab/>
      </w:r>
      <w:r w:rsidRPr="003B6D07">
        <w:rPr>
          <w:b/>
          <w:bCs/>
          <w:rtl/>
          <w:lang w:val="en-US"/>
        </w:rPr>
        <w:t>توصي اللجنة، في ضوء توصيتها العامة رقم 33(200</w:t>
      </w:r>
      <w:r w:rsidR="004E7B27" w:rsidRPr="003B6D07">
        <w:rPr>
          <w:b/>
          <w:bCs/>
          <w:rtl/>
          <w:lang w:val="en-US"/>
        </w:rPr>
        <w:t xml:space="preserve">9) </w:t>
      </w:r>
      <w:r w:rsidRPr="003B6D07">
        <w:rPr>
          <w:b/>
          <w:bCs/>
          <w:rtl/>
          <w:lang w:val="en-US"/>
        </w:rPr>
        <w:t xml:space="preserve">بشأن متابعة مؤتمر استعراض نتائج ديربان، بأن تنفّذ الدولة الطرف، عند تطبيق أحكام الاتفاقية في نظامها القانوني المحلي، إعلان </w:t>
      </w:r>
      <w:r w:rsidRPr="003B6D07">
        <w:rPr>
          <w:rFonts w:ascii="Times New Roman Bold" w:hAnsi="Times New Roman Bold"/>
          <w:b/>
          <w:bCs/>
          <w:spacing w:val="-4"/>
          <w:rtl/>
          <w:lang w:val="en-US"/>
        </w:rPr>
        <w:t>وبرنامج عمل ديربان اللذين اعتمدهما المؤتمر العالمي لمكافحة العنصرية والتمييز العنصري وكره الأجانب</w:t>
      </w:r>
      <w:r w:rsidRPr="003B6D07">
        <w:rPr>
          <w:b/>
          <w:bCs/>
          <w:rtl/>
          <w:lang w:val="en-US"/>
        </w:rPr>
        <w:t xml:space="preserve"> وما يتصل بذلك من تعصب في أيلول/سبتمبر 2001، مع مراعاة الوثيقة الختامية لمؤتمر استعراض نتائج ديربان المعقود في جنيف في نيسان/أبريل 200</w:t>
      </w:r>
      <w:r w:rsidR="004E7B27" w:rsidRPr="003B6D07">
        <w:rPr>
          <w:b/>
          <w:bCs/>
          <w:rtl/>
          <w:lang w:val="en-US"/>
        </w:rPr>
        <w:t xml:space="preserve">9. </w:t>
      </w:r>
      <w:r w:rsidRPr="003B6D07">
        <w:rPr>
          <w:b/>
          <w:bCs/>
          <w:rtl/>
          <w:lang w:val="en-US"/>
        </w:rPr>
        <w:t xml:space="preserve">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 </w:t>
      </w:r>
    </w:p>
    <w:p w14:paraId="3D9EDFDD" w14:textId="77777777" w:rsidR="002907F3" w:rsidRPr="003B6D07" w:rsidRDefault="002907F3" w:rsidP="002907F3">
      <w:pPr>
        <w:pStyle w:val="H23GA"/>
      </w:pPr>
      <w:r w:rsidRPr="003B6D07">
        <w:rPr>
          <w:rtl/>
        </w:rPr>
        <w:tab/>
      </w:r>
      <w:r w:rsidRPr="003B6D07">
        <w:rPr>
          <w:rtl/>
        </w:rPr>
        <w:tab/>
        <w:t>العقد الدولي للمنحدرين من أصل أفريقي</w:t>
      </w:r>
    </w:p>
    <w:p w14:paraId="12FEE6D2" w14:textId="5EAB66E0" w:rsidR="002907F3" w:rsidRPr="003B6D07" w:rsidRDefault="002907F3" w:rsidP="00EF4B10">
      <w:pPr>
        <w:pStyle w:val="SingleTxtGA"/>
        <w:spacing w:line="340" w:lineRule="exact"/>
        <w:rPr>
          <w:b/>
          <w:bCs/>
          <w:lang w:val="en-US"/>
        </w:rPr>
      </w:pPr>
      <w:r w:rsidRPr="003B6D07">
        <w:rPr>
          <w:rtl/>
          <w:lang w:val="en-US"/>
        </w:rPr>
        <w:t>48</w:t>
      </w:r>
      <w:r w:rsidRPr="002907F3">
        <w:rPr>
          <w:rtl/>
          <w:lang w:val="en-US"/>
        </w:rPr>
        <w:t>-</w:t>
      </w:r>
      <w:r w:rsidRPr="002907F3">
        <w:rPr>
          <w:rtl/>
          <w:lang w:val="en-US"/>
        </w:rPr>
        <w:tab/>
      </w:r>
      <w:r w:rsidRPr="003B6D07">
        <w:rPr>
          <w:b/>
          <w:bCs/>
          <w:rtl/>
          <w:lang w:val="en-US"/>
        </w:rPr>
        <w:t xml:space="preserve">في ضوء قرار الجمعية العامة 68/237 الذي أعلنت فيه الجمعية الفترة 2015-2024 عقداً دولياً للمنحدرين من أصل أفريقي، وقرار الجمعية 69/16 بشأن برنامج الأنشطة لتنفيذ العقد، توصي اللجنة الدولة الطرف بأن تعدّ وتنفّذ برنامج تدابير وسياسات مناسباً بالتعاون مع الشعوب المنحدرة من </w:t>
      </w:r>
      <w:r w:rsidRPr="003B6D07">
        <w:rPr>
          <w:rFonts w:ascii="Times New Roman Bold" w:hAnsi="Times New Roman Bold"/>
          <w:b/>
          <w:bCs/>
          <w:spacing w:val="-4"/>
          <w:rtl/>
          <w:lang w:val="en-US"/>
        </w:rPr>
        <w:t>أصل أفريقي والمنظّمات المعنية بها. وتطلب اللجنة إلى الدولة الطرف أن تدرج في تقريرها المقبل معلومات</w:t>
      </w:r>
      <w:r w:rsidRPr="003B6D07">
        <w:rPr>
          <w:b/>
          <w:bCs/>
          <w:rtl/>
          <w:lang w:val="en-US"/>
        </w:rPr>
        <w:t xml:space="preserve"> </w:t>
      </w:r>
      <w:r w:rsidRPr="003B6D07">
        <w:rPr>
          <w:rFonts w:ascii="Times New Roman Bold" w:hAnsi="Times New Roman Bold"/>
          <w:b/>
          <w:bCs/>
          <w:spacing w:val="-4"/>
          <w:rtl/>
          <w:lang w:val="en-US"/>
        </w:rPr>
        <w:t>دقيقة عن التدابير الملموسة المعتمدة في ذلك الإطار، مع مراعاة توصيتها العامة رقم</w:t>
      </w:r>
      <w:r w:rsidRPr="003B6D07">
        <w:rPr>
          <w:b/>
          <w:bCs/>
          <w:rtl/>
          <w:lang w:val="en-US"/>
        </w:rPr>
        <w:t xml:space="preserve"> 34(201</w:t>
      </w:r>
      <w:r w:rsidR="004E7B27" w:rsidRPr="003B6D07">
        <w:rPr>
          <w:b/>
          <w:bCs/>
          <w:rtl/>
          <w:lang w:val="en-US"/>
        </w:rPr>
        <w:t xml:space="preserve">1) </w:t>
      </w:r>
      <w:r w:rsidRPr="003B6D07">
        <w:rPr>
          <w:b/>
          <w:bCs/>
          <w:rtl/>
          <w:lang w:val="en-US"/>
        </w:rPr>
        <w:t>بشأن التمييز العنصري ضد السكان المنحدرين من أصل أفريقي.</w:t>
      </w:r>
    </w:p>
    <w:p w14:paraId="57E9CF58" w14:textId="77777777" w:rsidR="002907F3" w:rsidRPr="003B6D07" w:rsidRDefault="002907F3" w:rsidP="00172488">
      <w:pPr>
        <w:pStyle w:val="H23GA"/>
        <w:spacing w:line="346" w:lineRule="exact"/>
      </w:pPr>
      <w:r w:rsidRPr="003B6D07">
        <w:rPr>
          <w:rtl/>
        </w:rPr>
        <w:tab/>
      </w:r>
      <w:r w:rsidRPr="003B6D07">
        <w:rPr>
          <w:rtl/>
        </w:rPr>
        <w:tab/>
        <w:t>التشاور مع المجتمع المدني</w:t>
      </w:r>
    </w:p>
    <w:p w14:paraId="3FC440A1" w14:textId="17CFEE3F" w:rsidR="002907F3" w:rsidRPr="003B6D07" w:rsidRDefault="002907F3" w:rsidP="00EF4B10">
      <w:pPr>
        <w:pStyle w:val="SingleTxtGA"/>
        <w:spacing w:line="340" w:lineRule="exact"/>
        <w:rPr>
          <w:b/>
          <w:bCs/>
          <w:lang w:val="en-US"/>
        </w:rPr>
      </w:pPr>
      <w:r w:rsidRPr="003B6D07">
        <w:rPr>
          <w:rtl/>
          <w:lang w:val="en-US"/>
        </w:rPr>
        <w:t>49</w:t>
      </w:r>
      <w:r w:rsidRPr="002907F3">
        <w:rPr>
          <w:rtl/>
          <w:lang w:val="en-US"/>
        </w:rPr>
        <w:t>-</w:t>
      </w:r>
      <w:r w:rsidRPr="002907F3">
        <w:rPr>
          <w:rtl/>
          <w:lang w:val="en-US"/>
        </w:rPr>
        <w:tab/>
      </w:r>
      <w:r w:rsidRPr="003B6D07">
        <w:rPr>
          <w:b/>
          <w:bCs/>
          <w:rtl/>
          <w:lang w:val="en-US"/>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بما فيها المنظمات التي تمثل الفئات الأكثر تعرض</w:t>
      </w:r>
      <w:r w:rsidR="00605870" w:rsidRPr="003B6D07">
        <w:rPr>
          <w:b/>
          <w:bCs/>
          <w:rtl/>
          <w:lang w:val="en-US"/>
        </w:rPr>
        <w:t xml:space="preserve">اً </w:t>
      </w:r>
      <w:r w:rsidRPr="003B6D07">
        <w:rPr>
          <w:b/>
          <w:bCs/>
          <w:rtl/>
          <w:lang w:val="en-US"/>
        </w:rPr>
        <w:t>للتمييز العنصري، في سياق إعداد التقرير الدوري المقبل ومتابعة هذه الملاحظات الختامية.</w:t>
      </w:r>
    </w:p>
    <w:p w14:paraId="66F03C46" w14:textId="77777777" w:rsidR="002907F3" w:rsidRPr="003B6D07" w:rsidRDefault="002907F3" w:rsidP="00EF4B10">
      <w:pPr>
        <w:pStyle w:val="H23GA"/>
      </w:pPr>
      <w:r w:rsidRPr="003B6D07">
        <w:rPr>
          <w:rtl/>
        </w:rPr>
        <w:lastRenderedPageBreak/>
        <w:tab/>
      </w:r>
      <w:r w:rsidRPr="003B6D07">
        <w:rPr>
          <w:rtl/>
        </w:rPr>
        <w:tab/>
        <w:t>نشر المعلومات</w:t>
      </w:r>
    </w:p>
    <w:p w14:paraId="294536D4" w14:textId="77777777" w:rsidR="002907F3" w:rsidRPr="003B6D07" w:rsidRDefault="002907F3" w:rsidP="00EF4B10">
      <w:pPr>
        <w:pStyle w:val="SingleTxtGA"/>
        <w:rPr>
          <w:b/>
          <w:bCs/>
          <w:lang w:val="en-US"/>
        </w:rPr>
      </w:pPr>
      <w:r w:rsidRPr="003B6D07">
        <w:rPr>
          <w:rtl/>
          <w:lang w:val="en-US"/>
        </w:rPr>
        <w:t>50</w:t>
      </w:r>
      <w:r w:rsidRPr="002907F3">
        <w:rPr>
          <w:rtl/>
          <w:lang w:val="en-US"/>
        </w:rPr>
        <w:t>-</w:t>
      </w:r>
      <w:r w:rsidRPr="002907F3">
        <w:rPr>
          <w:rtl/>
          <w:lang w:val="en-US"/>
        </w:rPr>
        <w:tab/>
      </w:r>
      <w:r w:rsidRPr="003B6D07">
        <w:rPr>
          <w:b/>
          <w:bCs/>
          <w:rtl/>
          <w:lang w:val="en-US"/>
        </w:rPr>
        <w:t xml:space="preserve">توصي اللجنة الدولة الطرف بإتاحة تقاريرها لعامة الجمهور وتيسير الاطلاع عليها وقت تقديمها، وبإتاحة الملاحظات الختامية للجنة المتعلقة بتلك التقارير لجميع الهيئات الحكومية المكلّفة </w:t>
      </w:r>
      <w:r w:rsidRPr="003B6D07">
        <w:rPr>
          <w:rFonts w:ascii="Times New Roman Bold" w:hAnsi="Times New Roman Bold"/>
          <w:b/>
          <w:bCs/>
          <w:spacing w:val="-4"/>
          <w:rtl/>
          <w:lang w:val="en-US"/>
        </w:rPr>
        <w:t>بتنفيذ الاتفاقية، بما فيها البلديات، وبنشرها في الموقع الشبكي لوزارة الشؤون الخارجية باللغات الرسمية</w:t>
      </w:r>
      <w:r w:rsidRPr="003B6D07">
        <w:rPr>
          <w:b/>
          <w:bCs/>
          <w:rtl/>
          <w:lang w:val="en-US"/>
        </w:rPr>
        <w:t xml:space="preserve"> وغيرها من اللغات الشائع استخدامها، حسب الاقتضاء.</w:t>
      </w:r>
    </w:p>
    <w:p w14:paraId="5F551DFC" w14:textId="77777777" w:rsidR="002907F3" w:rsidRPr="003B6D07" w:rsidRDefault="002907F3" w:rsidP="00EF4B10">
      <w:pPr>
        <w:pStyle w:val="H23GA"/>
      </w:pPr>
      <w:r w:rsidRPr="003B6D07">
        <w:rPr>
          <w:rtl/>
        </w:rPr>
        <w:tab/>
      </w:r>
      <w:r w:rsidRPr="003B6D07">
        <w:rPr>
          <w:rtl/>
        </w:rPr>
        <w:tab/>
        <w:t>الوثيقة الأساسية الموحدة</w:t>
      </w:r>
    </w:p>
    <w:p w14:paraId="5F6C2483" w14:textId="0C3ABA99" w:rsidR="002907F3" w:rsidRPr="003B6D07" w:rsidRDefault="002907F3" w:rsidP="00EF4B10">
      <w:pPr>
        <w:pStyle w:val="SingleTxtGA"/>
        <w:rPr>
          <w:b/>
          <w:bCs/>
          <w:lang w:val="en-US"/>
        </w:rPr>
      </w:pPr>
      <w:r w:rsidRPr="003B6D07">
        <w:rPr>
          <w:rtl/>
          <w:lang w:val="en-US"/>
        </w:rPr>
        <w:t>51</w:t>
      </w:r>
      <w:r w:rsidRPr="002907F3">
        <w:rPr>
          <w:rtl/>
          <w:lang w:val="en-US"/>
        </w:rPr>
        <w:t>-</w:t>
      </w:r>
      <w:r w:rsidRPr="002907F3">
        <w:rPr>
          <w:rtl/>
          <w:lang w:val="en-US"/>
        </w:rPr>
        <w:tab/>
      </w:r>
      <w:r w:rsidRPr="003B6D07">
        <w:rPr>
          <w:b/>
          <w:bCs/>
          <w:rtl/>
          <w:lang w:val="en-US"/>
        </w:rPr>
        <w:t>تشجّع اللجنة الدولة الطرف على تحديث وثيقتها الأساسية الموحدة، التي يرجع تاريخها إلى</w:t>
      </w:r>
      <w:r w:rsidR="00172488" w:rsidRPr="003B6D07">
        <w:rPr>
          <w:rFonts w:hint="cs"/>
          <w:b/>
          <w:bCs/>
          <w:rtl/>
          <w:lang w:val="en-US"/>
        </w:rPr>
        <w:t> </w:t>
      </w:r>
      <w:r w:rsidRPr="003B6D07">
        <w:rPr>
          <w:b/>
          <w:bCs/>
          <w:rtl/>
          <w:lang w:val="en-US"/>
        </w:rPr>
        <w:t>4 كانون الثاني/يناير 2019، وفقاً للمبادئ التوجيهية المنسقة لتقديم التقارير بموجب المعاهدات الدولية لحقوق الإنسان، ولا سيما المبادئ التوجيهية لتقديم وثيقة أساسية موحدة، التي اعتُمدت في</w:t>
      </w:r>
      <w:r w:rsidR="00172488" w:rsidRPr="003B6D07">
        <w:rPr>
          <w:rFonts w:hint="cs"/>
          <w:b/>
          <w:bCs/>
          <w:rtl/>
          <w:lang w:val="en-US"/>
        </w:rPr>
        <w:t> </w:t>
      </w:r>
      <w:r w:rsidRPr="003B6D07">
        <w:rPr>
          <w:b/>
          <w:bCs/>
          <w:rtl/>
          <w:lang w:val="en-US"/>
        </w:rPr>
        <w:t>الاجتماع الخامس المشترك بين لجان هيئات معاهدات حقوق الإنسان المعقود في حزيران/</w:t>
      </w:r>
      <w:r w:rsidR="00172488" w:rsidRPr="003B6D07">
        <w:rPr>
          <w:rFonts w:hint="cs"/>
          <w:b/>
          <w:bCs/>
          <w:rtl/>
          <w:lang w:val="en-US"/>
        </w:rPr>
        <w:t xml:space="preserve">        </w:t>
      </w:r>
      <w:proofErr w:type="gramStart"/>
      <w:r w:rsidRPr="003B6D07">
        <w:rPr>
          <w:b/>
          <w:bCs/>
          <w:rtl/>
          <w:lang w:val="en-US"/>
        </w:rPr>
        <w:t>يونيه</w:t>
      </w:r>
      <w:proofErr w:type="gramEnd"/>
      <w:r w:rsidRPr="003B6D07">
        <w:rPr>
          <w:b/>
          <w:bCs/>
          <w:rtl/>
          <w:lang w:val="en-US"/>
        </w:rPr>
        <w:t xml:space="preserve"> 2006</w:t>
      </w:r>
      <w:r w:rsidR="004E7B27" w:rsidRPr="003B6D07">
        <w:rPr>
          <w:rStyle w:val="FootnoteReference"/>
          <w:b/>
          <w:bCs/>
          <w:szCs w:val="22"/>
          <w:rtl/>
          <w:lang w:val="en-US"/>
        </w:rPr>
        <w:t>(</w:t>
      </w:r>
      <w:r w:rsidR="004E7B27" w:rsidRPr="003B6D07">
        <w:rPr>
          <w:rStyle w:val="FootnoteReference"/>
          <w:b/>
          <w:bCs/>
          <w:szCs w:val="22"/>
          <w:lang w:val="en-US"/>
        </w:rPr>
        <w:footnoteReference w:id="7"/>
      </w:r>
      <w:r w:rsidR="004E7B27" w:rsidRPr="003B6D07">
        <w:rPr>
          <w:b/>
          <w:bCs/>
          <w:vertAlign w:val="superscript"/>
          <w:rtl/>
          <w:lang w:val="en-US"/>
        </w:rPr>
        <w:t>)</w:t>
      </w:r>
      <w:r w:rsidR="004E7B27" w:rsidRPr="003B6D07">
        <w:rPr>
          <w:b/>
          <w:bCs/>
          <w:rtl/>
          <w:lang w:val="en-US"/>
        </w:rPr>
        <w:t xml:space="preserve">. </w:t>
      </w:r>
      <w:r w:rsidRPr="003B6D07">
        <w:rPr>
          <w:b/>
          <w:bCs/>
          <w:rtl/>
          <w:lang w:val="en-US"/>
        </w:rPr>
        <w:t>وفي ضوء قرار الجمعية العامة 68/268، تحثّ اللجنة الدولة الطرف على التقيّد بالحدّ الأقصى لعدد الكلمات في هذه الوثائق، وهو 400 42 كلمة.</w:t>
      </w:r>
    </w:p>
    <w:p w14:paraId="52C198DE" w14:textId="77777777" w:rsidR="002907F3" w:rsidRPr="003B6D07" w:rsidRDefault="002907F3" w:rsidP="00EF4B10">
      <w:pPr>
        <w:pStyle w:val="H23GA"/>
      </w:pPr>
      <w:r w:rsidRPr="003B6D07">
        <w:rPr>
          <w:rtl/>
        </w:rPr>
        <w:tab/>
      </w:r>
      <w:r w:rsidRPr="003B6D07">
        <w:rPr>
          <w:rtl/>
        </w:rPr>
        <w:tab/>
        <w:t>متابعة هذه الملاحظات الختامية</w:t>
      </w:r>
    </w:p>
    <w:p w14:paraId="68127056" w14:textId="4D066D19" w:rsidR="002907F3" w:rsidRPr="003B6D07" w:rsidRDefault="002907F3" w:rsidP="00EF4B10">
      <w:pPr>
        <w:pStyle w:val="SingleTxtGA"/>
        <w:rPr>
          <w:b/>
          <w:bCs/>
          <w:lang w:val="en-US"/>
        </w:rPr>
      </w:pPr>
      <w:r w:rsidRPr="003B6D07">
        <w:rPr>
          <w:rtl/>
          <w:lang w:val="en-US"/>
        </w:rPr>
        <w:t>52</w:t>
      </w:r>
      <w:r w:rsidRPr="002907F3">
        <w:rPr>
          <w:rtl/>
          <w:lang w:val="en-US"/>
        </w:rPr>
        <w:t>-</w:t>
      </w:r>
      <w:r w:rsidRPr="002907F3">
        <w:rPr>
          <w:rtl/>
          <w:lang w:val="en-US"/>
        </w:rPr>
        <w:tab/>
      </w:r>
      <w:r w:rsidRPr="003B6D07">
        <w:rPr>
          <w:b/>
          <w:bCs/>
          <w:rtl/>
          <w:lang w:val="en-US"/>
        </w:rPr>
        <w:t>تطلب اللجنة إلى الدولة الطرف، وفقاً للفقرة (</w:t>
      </w:r>
      <w:r w:rsidR="004E7B27" w:rsidRPr="003B6D07">
        <w:rPr>
          <w:b/>
          <w:bCs/>
          <w:rtl/>
          <w:lang w:val="en-US"/>
        </w:rPr>
        <w:t xml:space="preserve">1) </w:t>
      </w:r>
      <w:r w:rsidRPr="003B6D07">
        <w:rPr>
          <w:b/>
          <w:bCs/>
          <w:rtl/>
          <w:lang w:val="en-US"/>
        </w:rPr>
        <w:t>من المادة 9 من الاتفاقية والمادة 65 من نظامها الداخلي، أن تقدّم، في غضون سنة واحدة من اعتماد هذه الملاحظات الختامية، معلومات عن تنفيذها التوصيات الواردة في الفقرتين 18(ب) (خطاب الكراهية العنصري</w:t>
      </w:r>
      <w:r w:rsidR="003B6D07" w:rsidRPr="003B6D07">
        <w:rPr>
          <w:rFonts w:hint="cs"/>
          <w:b/>
          <w:bCs/>
          <w:rtl/>
          <w:lang w:val="en-US"/>
        </w:rPr>
        <w:t>ة</w:t>
      </w:r>
      <w:r w:rsidRPr="003B6D07">
        <w:rPr>
          <w:b/>
          <w:bCs/>
          <w:rtl/>
          <w:lang w:val="en-US"/>
        </w:rPr>
        <w:t>) و32 (التعليم) أعلاه.</w:t>
      </w:r>
    </w:p>
    <w:p w14:paraId="266C7E77" w14:textId="77777777" w:rsidR="002907F3" w:rsidRPr="003B6D07" w:rsidRDefault="002907F3" w:rsidP="00EF4B10">
      <w:pPr>
        <w:pStyle w:val="H23GA"/>
      </w:pPr>
      <w:r w:rsidRPr="003B6D07">
        <w:rPr>
          <w:rtl/>
        </w:rPr>
        <w:tab/>
      </w:r>
      <w:r w:rsidRPr="003B6D07">
        <w:rPr>
          <w:rtl/>
        </w:rPr>
        <w:tab/>
        <w:t>الفقرات ذات الأهمية الخاصة</w:t>
      </w:r>
    </w:p>
    <w:p w14:paraId="2B3C724C" w14:textId="6F2CC0B2" w:rsidR="002907F3" w:rsidRPr="003B6D07" w:rsidRDefault="002907F3" w:rsidP="00EF4B10">
      <w:pPr>
        <w:pStyle w:val="SingleTxtGA"/>
        <w:rPr>
          <w:b/>
          <w:bCs/>
          <w:lang w:val="en-US"/>
        </w:rPr>
      </w:pPr>
      <w:r w:rsidRPr="003B6D07">
        <w:rPr>
          <w:rtl/>
          <w:lang w:val="en-US"/>
        </w:rPr>
        <w:t>53</w:t>
      </w:r>
      <w:r w:rsidRPr="002907F3">
        <w:rPr>
          <w:rtl/>
          <w:lang w:val="en-US"/>
        </w:rPr>
        <w:t>-</w:t>
      </w:r>
      <w:r w:rsidRPr="002907F3">
        <w:rPr>
          <w:rtl/>
          <w:lang w:val="en-US"/>
        </w:rPr>
        <w:tab/>
      </w:r>
      <w:r w:rsidRPr="003B6D07">
        <w:rPr>
          <w:rFonts w:ascii="Times New Roman Bold" w:hAnsi="Times New Roman Bold"/>
          <w:b/>
          <w:bCs/>
          <w:spacing w:val="-4"/>
          <w:rtl/>
          <w:lang w:val="en-US"/>
        </w:rPr>
        <w:t>تودّ اللجنة أن توجّه انتباه الدولة الطرف إلى الأهمية الخاصة للتوصيات الواردة في الفقرات 16</w:t>
      </w:r>
      <w:r w:rsidRPr="003B6D07">
        <w:rPr>
          <w:b/>
          <w:bCs/>
          <w:rtl/>
          <w:lang w:val="en-US"/>
        </w:rPr>
        <w:t xml:space="preserve"> (حرية التعبير) و22 (التوترات بين الجماعات الإثنية) و28 (الهوية الكازاخستانية) و42 (الأشخاص عديم</w:t>
      </w:r>
      <w:r w:rsidR="001C18B0" w:rsidRPr="003B6D07">
        <w:rPr>
          <w:rFonts w:hint="cs"/>
          <w:b/>
          <w:bCs/>
          <w:rtl/>
          <w:lang w:val="en-US"/>
        </w:rPr>
        <w:t>و</w:t>
      </w:r>
      <w:r w:rsidRPr="003B6D07">
        <w:rPr>
          <w:b/>
          <w:bCs/>
          <w:rtl/>
          <w:lang w:val="en-US"/>
        </w:rPr>
        <w:t xml:space="preserve"> الجنسية) أعلاه، وتطلب إلى الدولة الطرف أن تقدّم في تقريرها الدوري المقبل معلومات مفصّلة عن التدابير الملموسة المتّخذة لتنفيذ تلك التوصيات.</w:t>
      </w:r>
    </w:p>
    <w:p w14:paraId="48F9A9FF" w14:textId="77777777" w:rsidR="002907F3" w:rsidRPr="003B6D07" w:rsidRDefault="002907F3" w:rsidP="00EF4B10">
      <w:pPr>
        <w:pStyle w:val="H23GA"/>
      </w:pPr>
      <w:r w:rsidRPr="003B6D07">
        <w:rPr>
          <w:rtl/>
        </w:rPr>
        <w:tab/>
      </w:r>
      <w:r w:rsidRPr="003B6D07">
        <w:rPr>
          <w:rtl/>
        </w:rPr>
        <w:tab/>
        <w:t>إعداد التقرير الدوري المقبل</w:t>
      </w:r>
    </w:p>
    <w:p w14:paraId="2CFB740E" w14:textId="07B1D21A" w:rsidR="002907F3" w:rsidRPr="003B6D07" w:rsidRDefault="002907F3" w:rsidP="00EF4B10">
      <w:pPr>
        <w:pStyle w:val="SingleTxtGA"/>
        <w:rPr>
          <w:b/>
          <w:bCs/>
          <w:lang w:val="en-US"/>
        </w:rPr>
      </w:pPr>
      <w:r w:rsidRPr="003B6D07">
        <w:rPr>
          <w:rtl/>
          <w:lang w:val="en-US"/>
        </w:rPr>
        <w:t>54</w:t>
      </w:r>
      <w:r w:rsidRPr="002907F3">
        <w:rPr>
          <w:rtl/>
          <w:lang w:val="en-US"/>
        </w:rPr>
        <w:t>-</w:t>
      </w:r>
      <w:r w:rsidRPr="002907F3">
        <w:rPr>
          <w:rtl/>
          <w:lang w:val="en-US"/>
        </w:rPr>
        <w:tab/>
      </w:r>
      <w:r w:rsidRPr="003B6D07">
        <w:rPr>
          <w:b/>
          <w:bCs/>
          <w:rtl/>
          <w:lang w:val="en-US"/>
        </w:rPr>
        <w:t xml:space="preserve">توصي اللجنة الدولة الطرف بأن تقدّم تقريرها الجامع للتقارير الدورية من الحادي عشر إلى الرابع عشر، في وثيقة واحدة، </w:t>
      </w:r>
      <w:r w:rsidR="001C18B0" w:rsidRPr="003B6D07">
        <w:rPr>
          <w:rFonts w:hint="cs"/>
          <w:b/>
          <w:bCs/>
          <w:rtl/>
          <w:lang w:val="en-US"/>
        </w:rPr>
        <w:t xml:space="preserve">بحلول </w:t>
      </w:r>
      <w:r w:rsidRPr="003B6D07">
        <w:rPr>
          <w:b/>
          <w:bCs/>
          <w:rtl/>
          <w:lang w:val="en-US"/>
        </w:rPr>
        <w:t>25 أيلول/سبتمبر 2025، مع مراعاة المبادئ التوجيهية لتقديم التقارير التي اعتمدتها اللجنة أثناء دورتها الحادية والسبعين</w:t>
      </w:r>
      <w:r w:rsidR="004E7B27" w:rsidRPr="003B6D07">
        <w:rPr>
          <w:rStyle w:val="FootnoteReference"/>
          <w:b/>
          <w:bCs/>
          <w:szCs w:val="22"/>
          <w:rtl/>
          <w:lang w:val="en-US"/>
        </w:rPr>
        <w:t>(</w:t>
      </w:r>
      <w:r w:rsidR="004E7B27" w:rsidRPr="003B6D07">
        <w:rPr>
          <w:rStyle w:val="FootnoteReference"/>
          <w:b/>
          <w:bCs/>
          <w:szCs w:val="22"/>
          <w:lang w:val="en-US"/>
        </w:rPr>
        <w:footnoteReference w:id="8"/>
      </w:r>
      <w:r w:rsidRPr="003B6D07">
        <w:rPr>
          <w:b/>
          <w:bCs/>
          <w:vertAlign w:val="superscript"/>
          <w:rtl/>
          <w:lang w:val="en-US"/>
        </w:rPr>
        <w:t>)</w:t>
      </w:r>
      <w:r w:rsidRPr="003B6D07">
        <w:rPr>
          <w:b/>
          <w:bCs/>
          <w:rtl/>
          <w:lang w:val="en-US"/>
        </w:rPr>
        <w:t xml:space="preserve">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14:paraId="0B58FE14" w14:textId="70180DCB" w:rsidR="00EF4B10" w:rsidRPr="00EF4B10" w:rsidRDefault="00EF4B10" w:rsidP="00EF4B10">
      <w:pPr>
        <w:pStyle w:val="SingleTxtGA"/>
        <w:jc w:val="center"/>
        <w:rPr>
          <w:u w:val="single"/>
          <w:rtl/>
        </w:rPr>
      </w:pPr>
      <w:r>
        <w:rPr>
          <w:u w:val="single"/>
          <w:rtl/>
        </w:rPr>
        <w:tab/>
      </w:r>
      <w:r>
        <w:rPr>
          <w:u w:val="single"/>
          <w:rtl/>
        </w:rPr>
        <w:tab/>
      </w:r>
      <w:r>
        <w:rPr>
          <w:u w:val="single"/>
          <w:rtl/>
        </w:rPr>
        <w:tab/>
      </w:r>
    </w:p>
    <w:sectPr w:rsidR="00EF4B10" w:rsidRPr="00EF4B10" w:rsidSect="00BA35E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9ED6" w14:textId="77777777" w:rsidR="00872B0D" w:rsidRPr="002901D9" w:rsidRDefault="00872B0D" w:rsidP="007E37DC">
      <w:pPr>
        <w:spacing w:after="60" w:line="240" w:lineRule="auto"/>
        <w:ind w:left="57"/>
        <w:rPr>
          <w:i/>
          <w:iCs/>
        </w:rPr>
      </w:pPr>
      <w:r>
        <w:rPr>
          <w:rFonts w:hint="cs"/>
          <w:i/>
          <w:iCs/>
          <w:rtl/>
        </w:rPr>
        <w:t>الحواشي</w:t>
      </w:r>
    </w:p>
  </w:endnote>
  <w:endnote w:type="continuationSeparator" w:id="0">
    <w:p w14:paraId="55EA909E" w14:textId="77777777" w:rsidR="00872B0D" w:rsidRDefault="00872B0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154B" w14:textId="31009F5C" w:rsidR="007D5247" w:rsidRPr="007D5247" w:rsidRDefault="007D5247" w:rsidP="007D5247">
    <w:pPr>
      <w:pStyle w:val="Footer"/>
      <w:tabs>
        <w:tab w:val="right" w:pos="9638"/>
      </w:tabs>
      <w:rPr>
        <w:b/>
        <w:sz w:val="18"/>
        <w:lang w:val="en-US"/>
      </w:rPr>
    </w:pPr>
    <w:r>
      <w:rPr>
        <w:lang w:val="en-US"/>
      </w:rPr>
      <w:t>GE.22-10547</w:t>
    </w:r>
    <w:r>
      <w:rPr>
        <w:lang w:val="en-US"/>
      </w:rPr>
      <w:tab/>
    </w:r>
    <w:r w:rsidRPr="007D5247">
      <w:rPr>
        <w:b/>
        <w:sz w:val="18"/>
        <w:lang w:val="en-US"/>
      </w:rPr>
      <w:fldChar w:fldCharType="begin"/>
    </w:r>
    <w:r w:rsidRPr="007D5247">
      <w:rPr>
        <w:b/>
        <w:sz w:val="18"/>
        <w:lang w:val="en-US"/>
      </w:rPr>
      <w:instrText xml:space="preserve"> PAGE  \* MERGEFORMAT </w:instrText>
    </w:r>
    <w:r w:rsidRPr="007D5247">
      <w:rPr>
        <w:b/>
        <w:sz w:val="18"/>
        <w:lang w:val="en-US"/>
      </w:rPr>
      <w:fldChar w:fldCharType="separate"/>
    </w:r>
    <w:r w:rsidRPr="007D5247">
      <w:rPr>
        <w:b/>
        <w:noProof/>
        <w:sz w:val="18"/>
        <w:lang w:val="en-US"/>
      </w:rPr>
      <w:t>2</w:t>
    </w:r>
    <w:r w:rsidRPr="007D524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7A96" w14:textId="3C45F1B2" w:rsidR="006959B0" w:rsidRPr="007D5247" w:rsidRDefault="007D5247" w:rsidP="007D524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GE.22-10547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FABD" w14:textId="76F84A7C" w:rsidR="00156D54" w:rsidRPr="007D5247" w:rsidRDefault="007D5247" w:rsidP="007D5247">
    <w:pPr>
      <w:pStyle w:val="Footer"/>
      <w:spacing w:before="600"/>
      <w:ind w:left="567"/>
      <w:jc w:val="right"/>
      <w:rPr>
        <w:sz w:val="20"/>
        <w:lang w:val="en-US"/>
      </w:rPr>
    </w:pPr>
    <w:r>
      <w:rPr>
        <w:sz w:val="20"/>
        <w:lang w:val="en-US"/>
      </w:rPr>
      <w:t>GE.</w:t>
    </w:r>
    <w:r w:rsidR="000A3229">
      <w:rPr>
        <w:noProof/>
      </w:rPr>
      <w:drawing>
        <wp:anchor distT="0" distB="0" distL="114300" distR="114300" simplePos="0" relativeHeight="251658240" behindDoc="1" locked="1" layoutInCell="0" allowOverlap="1" wp14:anchorId="02E207FA" wp14:editId="5C33443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22-10547 (A)</w:t>
    </w:r>
    <w:r>
      <w:rPr>
        <w:noProof/>
        <w:sz w:val="20"/>
        <w:lang w:val="en-US"/>
      </w:rPr>
      <w:drawing>
        <wp:anchor distT="0" distB="0" distL="114300" distR="114300" simplePos="0" relativeHeight="251659264" behindDoc="0" locked="0" layoutInCell="1" allowOverlap="1" wp14:anchorId="29CD084C" wp14:editId="4EAE973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03BD" w14:textId="77777777" w:rsidR="00872B0D" w:rsidRPr="00F46702" w:rsidRDefault="00872B0D" w:rsidP="00F4670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C93C917" w14:textId="77777777" w:rsidR="00872B0D" w:rsidRDefault="00872B0D" w:rsidP="00656392">
      <w:pPr>
        <w:spacing w:line="240" w:lineRule="auto"/>
      </w:pPr>
      <w:r>
        <w:continuationSeparator/>
      </w:r>
    </w:p>
  </w:footnote>
  <w:footnote w:id="1">
    <w:p w14:paraId="47D7839B" w14:textId="5F9596B0" w:rsidR="002907F3" w:rsidRPr="002907F3" w:rsidRDefault="002907F3" w:rsidP="002907F3">
      <w:pPr>
        <w:pStyle w:val="FootnoteText1"/>
        <w:rPr>
          <w:rtl/>
        </w:rPr>
      </w:pPr>
      <w:r>
        <w:rPr>
          <w:rtl/>
        </w:rPr>
        <w:t>*</w:t>
      </w:r>
      <w:r>
        <w:rPr>
          <w:rtl/>
        </w:rPr>
        <w:tab/>
      </w:r>
      <w:r w:rsidR="00887ECB" w:rsidRPr="00887ECB">
        <w:rPr>
          <w:rtl/>
        </w:rPr>
        <w:t xml:space="preserve">اعتمدتها اللجنة في دورتها </w:t>
      </w:r>
      <w:r w:rsidR="00887ECB" w:rsidRPr="003B6D07">
        <w:rPr>
          <w:rtl/>
        </w:rPr>
        <w:t>106</w:t>
      </w:r>
      <w:r w:rsidR="00887ECB" w:rsidRPr="00887ECB">
        <w:rPr>
          <w:rtl/>
        </w:rPr>
        <w:t xml:space="preserve"> (</w:t>
      </w:r>
      <w:r w:rsidR="00887ECB" w:rsidRPr="003B6D07">
        <w:rPr>
          <w:rtl/>
        </w:rPr>
        <w:t>11</w:t>
      </w:r>
      <w:r w:rsidR="00887ECB" w:rsidRPr="00887ECB">
        <w:rPr>
          <w:rtl/>
        </w:rPr>
        <w:t>-</w:t>
      </w:r>
      <w:r w:rsidR="00887ECB" w:rsidRPr="003B6D07">
        <w:rPr>
          <w:rtl/>
        </w:rPr>
        <w:t>29</w:t>
      </w:r>
      <w:r w:rsidR="00887ECB" w:rsidRPr="00887ECB">
        <w:rPr>
          <w:rtl/>
        </w:rPr>
        <w:t xml:space="preserve"> نيسان/أبريل </w:t>
      </w:r>
      <w:r w:rsidR="00887ECB" w:rsidRPr="003B6D07">
        <w:rPr>
          <w:rtl/>
        </w:rPr>
        <w:t>2022</w:t>
      </w:r>
      <w:r w:rsidR="004E7B27" w:rsidRPr="004E7B27">
        <w:rPr>
          <w:rtl/>
        </w:rPr>
        <w:t xml:space="preserve">). </w:t>
      </w:r>
    </w:p>
  </w:footnote>
  <w:footnote w:id="2">
    <w:p w14:paraId="76FA7181" w14:textId="4CA9C291" w:rsidR="004E7B27" w:rsidRPr="002907F3" w:rsidRDefault="004E7B27" w:rsidP="004E7B27">
      <w:pPr>
        <w:pStyle w:val="FootnoteText1"/>
        <w:rPr>
          <w:rtl/>
        </w:rPr>
      </w:pPr>
      <w:r w:rsidRPr="002907F3">
        <w:rPr>
          <w:rtl/>
        </w:rPr>
        <w:t>(</w:t>
      </w:r>
      <w:r w:rsidRPr="003B6D07">
        <w:rPr>
          <w:rStyle w:val="FootnoteReference"/>
          <w:vertAlign w:val="baseline"/>
        </w:rPr>
        <w:footnoteRef/>
      </w:r>
      <w:r w:rsidRPr="002907F3">
        <w:rPr>
          <w:rtl/>
        </w:rPr>
        <w:t>)</w:t>
      </w:r>
      <w:r>
        <w:tab/>
      </w:r>
      <w:hyperlink r:id="rId1" w:history="1">
        <w:r w:rsidRPr="004E7B27">
          <w:rPr>
            <w:rStyle w:val="Hyperlink"/>
            <w:lang w:val="en-AU"/>
          </w:rPr>
          <w:t>CERD/C/KAZ/</w:t>
        </w:r>
        <w:r w:rsidRPr="003B6D07">
          <w:rPr>
            <w:rStyle w:val="Hyperlink"/>
            <w:lang w:val="en-AU"/>
          </w:rPr>
          <w:t>8</w:t>
        </w:r>
        <w:r w:rsidRPr="004E7B27">
          <w:rPr>
            <w:rStyle w:val="Hyperlink"/>
            <w:lang w:val="en-AU"/>
          </w:rPr>
          <w:t>-</w:t>
        </w:r>
        <w:r w:rsidRPr="003B6D07">
          <w:rPr>
            <w:rStyle w:val="Hyperlink"/>
            <w:lang w:val="en-AU"/>
          </w:rPr>
          <w:t>10</w:t>
        </w:r>
      </w:hyperlink>
      <w:r w:rsidRPr="004E7B27">
        <w:rPr>
          <w:rtl/>
        </w:rPr>
        <w:t>.</w:t>
      </w:r>
    </w:p>
  </w:footnote>
  <w:footnote w:id="3">
    <w:p w14:paraId="2A212ECD" w14:textId="77777777" w:rsidR="004E7B27" w:rsidRPr="002907F3" w:rsidRDefault="004E7B27" w:rsidP="004E7B27">
      <w:pPr>
        <w:pStyle w:val="FootnoteText1"/>
        <w:rPr>
          <w:rtl/>
        </w:rPr>
      </w:pPr>
      <w:r w:rsidRPr="002907F3">
        <w:rPr>
          <w:rtl/>
        </w:rPr>
        <w:t>(</w:t>
      </w:r>
      <w:r w:rsidRPr="003B6D07">
        <w:rPr>
          <w:rStyle w:val="FootnoteReference"/>
          <w:vertAlign w:val="baseline"/>
        </w:rPr>
        <w:footnoteRef/>
      </w:r>
      <w:r w:rsidRPr="002907F3">
        <w:rPr>
          <w:rtl/>
        </w:rPr>
        <w:t>)</w:t>
      </w:r>
      <w:r>
        <w:tab/>
      </w:r>
      <w:r w:rsidRPr="00887ECB">
        <w:rPr>
          <w:rtl/>
        </w:rPr>
        <w:t xml:space="preserve">انظر </w:t>
      </w:r>
      <w:hyperlink r:id="rId2" w:history="1">
        <w:r w:rsidRPr="004E7B27">
          <w:rPr>
            <w:rStyle w:val="Hyperlink"/>
            <w:lang w:val="en-AU"/>
          </w:rPr>
          <w:t>CERD/C/SR.</w:t>
        </w:r>
        <w:r w:rsidRPr="003B6D07">
          <w:rPr>
            <w:rStyle w:val="Hyperlink"/>
            <w:lang w:val="en-AU"/>
          </w:rPr>
          <w:t>2879</w:t>
        </w:r>
      </w:hyperlink>
      <w:r w:rsidRPr="00887ECB">
        <w:rPr>
          <w:rtl/>
        </w:rPr>
        <w:t xml:space="preserve"> و</w:t>
      </w:r>
      <w:hyperlink r:id="rId3" w:history="1">
        <w:r w:rsidRPr="004E7B27">
          <w:rPr>
            <w:rStyle w:val="Hyperlink"/>
            <w:lang w:val="en-AU"/>
          </w:rPr>
          <w:t>CERD/C/SR.</w:t>
        </w:r>
        <w:r w:rsidRPr="003B6D07">
          <w:rPr>
            <w:rStyle w:val="Hyperlink"/>
            <w:lang w:val="en-AU"/>
          </w:rPr>
          <w:t>2880</w:t>
        </w:r>
      </w:hyperlink>
      <w:r w:rsidRPr="004E7B27">
        <w:rPr>
          <w:rtl/>
        </w:rPr>
        <w:t xml:space="preserve">. </w:t>
      </w:r>
    </w:p>
  </w:footnote>
  <w:footnote w:id="4">
    <w:p w14:paraId="034A7E74" w14:textId="77777777" w:rsidR="004E7B27" w:rsidRPr="002907F3" w:rsidRDefault="004E7B27" w:rsidP="004E7B27">
      <w:pPr>
        <w:pStyle w:val="FootnoteText1"/>
        <w:rPr>
          <w:rtl/>
        </w:rPr>
      </w:pPr>
      <w:r w:rsidRPr="002907F3">
        <w:rPr>
          <w:rtl/>
        </w:rPr>
        <w:t>(</w:t>
      </w:r>
      <w:r w:rsidRPr="003B6D07">
        <w:rPr>
          <w:rStyle w:val="FootnoteReference"/>
          <w:vertAlign w:val="baseline"/>
        </w:rPr>
        <w:footnoteRef/>
      </w:r>
      <w:r w:rsidRPr="002907F3">
        <w:rPr>
          <w:rtl/>
        </w:rPr>
        <w:t>)</w:t>
      </w:r>
      <w:r>
        <w:tab/>
      </w:r>
      <w:hyperlink r:id="rId4" w:history="1">
        <w:r w:rsidRPr="004E7B27">
          <w:rPr>
            <w:rStyle w:val="Hyperlink"/>
            <w:lang w:val="en-AU"/>
          </w:rPr>
          <w:t>CERD/C/KAZ/CO/</w:t>
        </w:r>
        <w:r w:rsidRPr="003B6D07">
          <w:rPr>
            <w:rStyle w:val="Hyperlink"/>
            <w:lang w:val="en-AU"/>
          </w:rPr>
          <w:t>6</w:t>
        </w:r>
        <w:r w:rsidRPr="004E7B27">
          <w:rPr>
            <w:rStyle w:val="Hyperlink"/>
            <w:lang w:val="en-AU"/>
          </w:rPr>
          <w:t>-</w:t>
        </w:r>
        <w:r w:rsidRPr="003B6D07">
          <w:rPr>
            <w:rStyle w:val="Hyperlink"/>
            <w:lang w:val="en-AU"/>
          </w:rPr>
          <w:t>7</w:t>
        </w:r>
      </w:hyperlink>
      <w:r w:rsidRPr="00887ECB">
        <w:rPr>
          <w:rtl/>
        </w:rPr>
        <w:t xml:space="preserve">، الفقرة </w:t>
      </w:r>
      <w:r w:rsidRPr="003B6D07">
        <w:rPr>
          <w:rtl/>
        </w:rPr>
        <w:t>6</w:t>
      </w:r>
      <w:r w:rsidRPr="004E7B27">
        <w:rPr>
          <w:rtl/>
        </w:rPr>
        <w:t xml:space="preserve">. </w:t>
      </w:r>
    </w:p>
  </w:footnote>
  <w:footnote w:id="5">
    <w:p w14:paraId="34DCE433" w14:textId="77777777" w:rsidR="004E7B27" w:rsidRPr="002907F3" w:rsidRDefault="004E7B27" w:rsidP="002907F3">
      <w:pPr>
        <w:pStyle w:val="FootnoteText1"/>
        <w:rPr>
          <w:rtl/>
        </w:rPr>
      </w:pPr>
      <w:r w:rsidRPr="002907F3">
        <w:rPr>
          <w:rtl/>
        </w:rPr>
        <w:t>(</w:t>
      </w:r>
      <w:r w:rsidRPr="003B6D07">
        <w:rPr>
          <w:rStyle w:val="FootnoteReference"/>
          <w:vertAlign w:val="baseline"/>
        </w:rPr>
        <w:footnoteRef/>
      </w:r>
      <w:r w:rsidRPr="002907F3">
        <w:rPr>
          <w:rtl/>
        </w:rPr>
        <w:t>)</w:t>
      </w:r>
      <w:r>
        <w:tab/>
      </w:r>
      <w:r w:rsidRPr="00887ECB">
        <w:rPr>
          <w:rtl/>
        </w:rPr>
        <w:t xml:space="preserve">المرجع نفسه، الفقرة </w:t>
      </w:r>
      <w:r w:rsidRPr="003B6D07">
        <w:rPr>
          <w:rtl/>
        </w:rPr>
        <w:t>12</w:t>
      </w:r>
      <w:r w:rsidRPr="004E7B27">
        <w:rPr>
          <w:rtl/>
        </w:rPr>
        <w:t xml:space="preserve">. </w:t>
      </w:r>
    </w:p>
  </w:footnote>
  <w:footnote w:id="6">
    <w:p w14:paraId="7299DFF6" w14:textId="77777777" w:rsidR="004E7B27" w:rsidRPr="002907F3" w:rsidRDefault="004E7B27" w:rsidP="002907F3">
      <w:pPr>
        <w:pStyle w:val="FootnoteText1"/>
        <w:rPr>
          <w:rtl/>
        </w:rPr>
      </w:pPr>
      <w:r w:rsidRPr="002907F3">
        <w:rPr>
          <w:rtl/>
        </w:rPr>
        <w:t>(</w:t>
      </w:r>
      <w:r w:rsidRPr="003B6D07">
        <w:rPr>
          <w:rStyle w:val="FootnoteReference"/>
          <w:vertAlign w:val="baseline"/>
        </w:rPr>
        <w:footnoteRef/>
      </w:r>
      <w:r w:rsidRPr="002907F3">
        <w:rPr>
          <w:rtl/>
        </w:rPr>
        <w:t>)</w:t>
      </w:r>
      <w:r>
        <w:tab/>
      </w:r>
      <w:r w:rsidRPr="00887ECB">
        <w:rPr>
          <w:rtl/>
        </w:rPr>
        <w:t xml:space="preserve">المرجع نفسه، الفقرة </w:t>
      </w:r>
      <w:r w:rsidRPr="003B6D07">
        <w:rPr>
          <w:rtl/>
        </w:rPr>
        <w:t>18</w:t>
      </w:r>
      <w:r w:rsidRPr="004E7B27">
        <w:rPr>
          <w:rtl/>
        </w:rPr>
        <w:t xml:space="preserve">. </w:t>
      </w:r>
    </w:p>
  </w:footnote>
  <w:footnote w:id="7">
    <w:p w14:paraId="44154411" w14:textId="3D1124C6" w:rsidR="004E7B27" w:rsidRPr="002907F3" w:rsidRDefault="004E7B27" w:rsidP="004E7B27">
      <w:pPr>
        <w:pStyle w:val="FootnoteText1"/>
        <w:rPr>
          <w:rtl/>
        </w:rPr>
      </w:pPr>
      <w:r w:rsidRPr="002907F3">
        <w:rPr>
          <w:rtl/>
        </w:rPr>
        <w:t>(</w:t>
      </w:r>
      <w:r w:rsidRPr="003B6D07">
        <w:rPr>
          <w:rStyle w:val="FootnoteReference"/>
          <w:vertAlign w:val="baseline"/>
        </w:rPr>
        <w:footnoteRef/>
      </w:r>
      <w:r w:rsidRPr="002907F3">
        <w:rPr>
          <w:rtl/>
        </w:rPr>
        <w:t>)</w:t>
      </w:r>
      <w:r>
        <w:tab/>
      </w:r>
      <w:hyperlink r:id="rId5" w:history="1">
        <w:r w:rsidRPr="004E7B27">
          <w:rPr>
            <w:rStyle w:val="Hyperlink"/>
            <w:lang w:val="en-AU"/>
          </w:rPr>
          <w:t>HRI/GEN/</w:t>
        </w:r>
        <w:r w:rsidRPr="003B6D07">
          <w:rPr>
            <w:rStyle w:val="Hyperlink"/>
            <w:lang w:val="en-AU"/>
          </w:rPr>
          <w:t>2</w:t>
        </w:r>
        <w:r w:rsidRPr="004E7B27">
          <w:rPr>
            <w:rStyle w:val="Hyperlink"/>
            <w:lang w:val="en-AU"/>
          </w:rPr>
          <w:t>/Rev.</w:t>
        </w:r>
        <w:r w:rsidRPr="003B6D07">
          <w:rPr>
            <w:rStyle w:val="Hyperlink"/>
            <w:lang w:val="en-AU"/>
          </w:rPr>
          <w:t>6</w:t>
        </w:r>
      </w:hyperlink>
      <w:r w:rsidRPr="00887ECB">
        <w:rPr>
          <w:rtl/>
        </w:rPr>
        <w:t>، الفصل الأول</w:t>
      </w:r>
      <w:r>
        <w:rPr>
          <w:rtl/>
        </w:rPr>
        <w:t>.</w:t>
      </w:r>
    </w:p>
  </w:footnote>
  <w:footnote w:id="8">
    <w:p w14:paraId="546507D5" w14:textId="77777777" w:rsidR="004E7B27" w:rsidRPr="002907F3" w:rsidRDefault="004E7B27" w:rsidP="004E7B27">
      <w:pPr>
        <w:pStyle w:val="FootnoteText1"/>
        <w:rPr>
          <w:rtl/>
        </w:rPr>
      </w:pPr>
      <w:r w:rsidRPr="002907F3">
        <w:rPr>
          <w:rtl/>
        </w:rPr>
        <w:t>(</w:t>
      </w:r>
      <w:r w:rsidRPr="003B6D07">
        <w:rPr>
          <w:rStyle w:val="FootnoteReference"/>
          <w:vertAlign w:val="baseline"/>
        </w:rPr>
        <w:footnoteRef/>
      </w:r>
      <w:r w:rsidRPr="002907F3">
        <w:rPr>
          <w:rtl/>
        </w:rPr>
        <w:t>)</w:t>
      </w:r>
      <w:r>
        <w:tab/>
      </w:r>
      <w:hyperlink r:id="rId6" w:history="1">
        <w:r w:rsidRPr="004E7B27">
          <w:rPr>
            <w:rStyle w:val="Hyperlink"/>
            <w:lang w:val="en-AU"/>
          </w:rPr>
          <w:t>CERD/C/</w:t>
        </w:r>
        <w:r w:rsidRPr="003B6D07">
          <w:rPr>
            <w:rStyle w:val="Hyperlink"/>
            <w:lang w:val="en-AU"/>
          </w:rPr>
          <w:t>2007</w:t>
        </w:r>
        <w:r w:rsidRPr="004E7B27">
          <w:rPr>
            <w:rStyle w:val="Hyperlink"/>
            <w:lang w:val="en-AU"/>
          </w:rPr>
          <w:t>/</w:t>
        </w:r>
        <w:r w:rsidRPr="003B6D07">
          <w:rPr>
            <w:rStyle w:val="Hyperlink"/>
            <w:lang w:val="en-AU"/>
          </w:rPr>
          <w:t>1</w:t>
        </w:r>
      </w:hyperlink>
      <w:r w:rsidRPr="004E7B27">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5945" w14:textId="5A68EB7E" w:rsidR="007D5247" w:rsidRPr="007D5247" w:rsidRDefault="007D5247" w:rsidP="007D524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CERD/C/KAZ/CO/8-10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0C76" w14:textId="58FB515B" w:rsidR="007D5247" w:rsidRPr="007D5247" w:rsidRDefault="007D5247" w:rsidP="007D524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CERD/C/KAZ/CO/8-10</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0D"/>
    <w:rsid w:val="000076D5"/>
    <w:rsid w:val="00043663"/>
    <w:rsid w:val="000505CF"/>
    <w:rsid w:val="00061207"/>
    <w:rsid w:val="000A3229"/>
    <w:rsid w:val="000D5F55"/>
    <w:rsid w:val="000D701C"/>
    <w:rsid w:val="000E2A71"/>
    <w:rsid w:val="0010192F"/>
    <w:rsid w:val="00156D54"/>
    <w:rsid w:val="00160263"/>
    <w:rsid w:val="00172488"/>
    <w:rsid w:val="00181F96"/>
    <w:rsid w:val="00186F74"/>
    <w:rsid w:val="001A1371"/>
    <w:rsid w:val="001B346A"/>
    <w:rsid w:val="001C18B0"/>
    <w:rsid w:val="001E1CAD"/>
    <w:rsid w:val="001E290D"/>
    <w:rsid w:val="002144FA"/>
    <w:rsid w:val="0023469A"/>
    <w:rsid w:val="00243C8A"/>
    <w:rsid w:val="0026057C"/>
    <w:rsid w:val="00263543"/>
    <w:rsid w:val="00267A0E"/>
    <w:rsid w:val="00276D72"/>
    <w:rsid w:val="002901D9"/>
    <w:rsid w:val="002907F3"/>
    <w:rsid w:val="002976C2"/>
    <w:rsid w:val="002D2D42"/>
    <w:rsid w:val="002E002F"/>
    <w:rsid w:val="003110CF"/>
    <w:rsid w:val="003260FF"/>
    <w:rsid w:val="00326A5E"/>
    <w:rsid w:val="00343D95"/>
    <w:rsid w:val="00374341"/>
    <w:rsid w:val="0039392F"/>
    <w:rsid w:val="003A0060"/>
    <w:rsid w:val="003B1799"/>
    <w:rsid w:val="003B6D07"/>
    <w:rsid w:val="003C1458"/>
    <w:rsid w:val="003C67DF"/>
    <w:rsid w:val="003D1062"/>
    <w:rsid w:val="003E0437"/>
    <w:rsid w:val="004024CE"/>
    <w:rsid w:val="00420D7B"/>
    <w:rsid w:val="00430139"/>
    <w:rsid w:val="00450B21"/>
    <w:rsid w:val="00453B63"/>
    <w:rsid w:val="00455780"/>
    <w:rsid w:val="004714DA"/>
    <w:rsid w:val="004A14A6"/>
    <w:rsid w:val="004B0A1C"/>
    <w:rsid w:val="004B1A56"/>
    <w:rsid w:val="004D298E"/>
    <w:rsid w:val="004E7B27"/>
    <w:rsid w:val="00523BAE"/>
    <w:rsid w:val="005445EF"/>
    <w:rsid w:val="0054472E"/>
    <w:rsid w:val="005662A9"/>
    <w:rsid w:val="005827D4"/>
    <w:rsid w:val="0059448D"/>
    <w:rsid w:val="0059622A"/>
    <w:rsid w:val="005A09E8"/>
    <w:rsid w:val="005C5878"/>
    <w:rsid w:val="005C7CEA"/>
    <w:rsid w:val="005D3C0B"/>
    <w:rsid w:val="005E5217"/>
    <w:rsid w:val="005F0FA4"/>
    <w:rsid w:val="005F30EE"/>
    <w:rsid w:val="0060473A"/>
    <w:rsid w:val="00605870"/>
    <w:rsid w:val="00656392"/>
    <w:rsid w:val="00660BC8"/>
    <w:rsid w:val="006637C0"/>
    <w:rsid w:val="0068781D"/>
    <w:rsid w:val="006959B0"/>
    <w:rsid w:val="006B3E27"/>
    <w:rsid w:val="006B6507"/>
    <w:rsid w:val="006C104C"/>
    <w:rsid w:val="006D48B1"/>
    <w:rsid w:val="00733704"/>
    <w:rsid w:val="00735C55"/>
    <w:rsid w:val="0078071A"/>
    <w:rsid w:val="007D273D"/>
    <w:rsid w:val="007D5247"/>
    <w:rsid w:val="007E37DC"/>
    <w:rsid w:val="007E5F40"/>
    <w:rsid w:val="008043A7"/>
    <w:rsid w:val="008315F0"/>
    <w:rsid w:val="008357B8"/>
    <w:rsid w:val="00852A9A"/>
    <w:rsid w:val="00872B0D"/>
    <w:rsid w:val="00887ECB"/>
    <w:rsid w:val="008B0BF2"/>
    <w:rsid w:val="008F49E1"/>
    <w:rsid w:val="00903458"/>
    <w:rsid w:val="0090370F"/>
    <w:rsid w:val="00912700"/>
    <w:rsid w:val="009269D2"/>
    <w:rsid w:val="00942135"/>
    <w:rsid w:val="009521B0"/>
    <w:rsid w:val="00983BB0"/>
    <w:rsid w:val="00987F31"/>
    <w:rsid w:val="00994130"/>
    <w:rsid w:val="009A7E9F"/>
    <w:rsid w:val="009E5018"/>
    <w:rsid w:val="00A12B37"/>
    <w:rsid w:val="00A570BE"/>
    <w:rsid w:val="00A6367F"/>
    <w:rsid w:val="00AB6758"/>
    <w:rsid w:val="00AD677C"/>
    <w:rsid w:val="00B13763"/>
    <w:rsid w:val="00B14382"/>
    <w:rsid w:val="00B176FF"/>
    <w:rsid w:val="00B44E12"/>
    <w:rsid w:val="00B455EE"/>
    <w:rsid w:val="00B477A4"/>
    <w:rsid w:val="00B5053A"/>
    <w:rsid w:val="00B54045"/>
    <w:rsid w:val="00BA2567"/>
    <w:rsid w:val="00BA35E5"/>
    <w:rsid w:val="00BE1B6F"/>
    <w:rsid w:val="00C438D7"/>
    <w:rsid w:val="00C47A45"/>
    <w:rsid w:val="00C81B50"/>
    <w:rsid w:val="00CB28F9"/>
    <w:rsid w:val="00CD1801"/>
    <w:rsid w:val="00CF2B82"/>
    <w:rsid w:val="00D10EF1"/>
    <w:rsid w:val="00D36601"/>
    <w:rsid w:val="00D42810"/>
    <w:rsid w:val="00D81286"/>
    <w:rsid w:val="00D914A7"/>
    <w:rsid w:val="00D952E6"/>
    <w:rsid w:val="00DB3E11"/>
    <w:rsid w:val="00DB79BF"/>
    <w:rsid w:val="00DD0800"/>
    <w:rsid w:val="00DD13C3"/>
    <w:rsid w:val="00DD596E"/>
    <w:rsid w:val="00DD621E"/>
    <w:rsid w:val="00DD6B0E"/>
    <w:rsid w:val="00DF0575"/>
    <w:rsid w:val="00E70E04"/>
    <w:rsid w:val="00E76499"/>
    <w:rsid w:val="00EC05A7"/>
    <w:rsid w:val="00EC4B6B"/>
    <w:rsid w:val="00EF1EE5"/>
    <w:rsid w:val="00EF4B10"/>
    <w:rsid w:val="00F33749"/>
    <w:rsid w:val="00F4361D"/>
    <w:rsid w:val="00F46702"/>
    <w:rsid w:val="00F763B4"/>
    <w:rsid w:val="00F83E84"/>
    <w:rsid w:val="00F900C3"/>
    <w:rsid w:val="00FA7FFE"/>
    <w:rsid w:val="00FD2424"/>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6DE63"/>
  <w15:docId w15:val="{3575C5E6-6B10-4273-9DC6-10D89A5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F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315F0"/>
    <w:pPr>
      <w:bidi w:val="0"/>
      <w:outlineLvl w:val="0"/>
    </w:pPr>
  </w:style>
  <w:style w:type="paragraph" w:styleId="Heading2">
    <w:name w:val="heading 2"/>
    <w:basedOn w:val="Normal"/>
    <w:next w:val="Normal"/>
    <w:link w:val="Heading2Char"/>
    <w:uiPriority w:val="9"/>
    <w:unhideWhenUsed/>
    <w:rsid w:val="008315F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315F0"/>
    <w:pPr>
      <w:keepNext/>
      <w:keepLines/>
      <w:spacing w:before="200"/>
      <w:outlineLvl w:val="2"/>
    </w:pPr>
    <w:rPr>
      <w:b/>
      <w:bCs/>
      <w:color w:val="4F81BD"/>
    </w:rPr>
  </w:style>
  <w:style w:type="paragraph" w:styleId="Heading4">
    <w:name w:val="heading 4"/>
    <w:basedOn w:val="Normal"/>
    <w:next w:val="Normal"/>
    <w:link w:val="Heading4Char"/>
    <w:uiPriority w:val="9"/>
    <w:unhideWhenUsed/>
    <w:rsid w:val="008315F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315F0"/>
    <w:pPr>
      <w:keepNext/>
      <w:keepLines/>
      <w:spacing w:before="200"/>
      <w:outlineLvl w:val="4"/>
    </w:pPr>
    <w:rPr>
      <w:color w:val="243F60"/>
    </w:rPr>
  </w:style>
  <w:style w:type="paragraph" w:styleId="Heading6">
    <w:name w:val="heading 6"/>
    <w:basedOn w:val="Normal"/>
    <w:next w:val="Normal"/>
    <w:link w:val="Heading6Char"/>
    <w:uiPriority w:val="9"/>
    <w:unhideWhenUsed/>
    <w:rsid w:val="008315F0"/>
    <w:pPr>
      <w:keepNext/>
      <w:keepLines/>
      <w:spacing w:before="200"/>
      <w:outlineLvl w:val="5"/>
    </w:pPr>
    <w:rPr>
      <w:i/>
      <w:iCs/>
      <w:color w:val="243F60"/>
    </w:rPr>
  </w:style>
  <w:style w:type="paragraph" w:styleId="Heading7">
    <w:name w:val="heading 7"/>
    <w:basedOn w:val="Normal"/>
    <w:next w:val="Normal"/>
    <w:link w:val="Heading7Char"/>
    <w:uiPriority w:val="9"/>
    <w:unhideWhenUsed/>
    <w:rsid w:val="008315F0"/>
    <w:pPr>
      <w:keepNext/>
      <w:keepLines/>
      <w:spacing w:before="200"/>
      <w:outlineLvl w:val="6"/>
    </w:pPr>
    <w:rPr>
      <w:i/>
      <w:iCs/>
      <w:color w:val="404040"/>
    </w:rPr>
  </w:style>
  <w:style w:type="paragraph" w:styleId="Heading8">
    <w:name w:val="heading 8"/>
    <w:basedOn w:val="Normal"/>
    <w:next w:val="Normal"/>
    <w:link w:val="Heading8Char"/>
    <w:uiPriority w:val="9"/>
    <w:unhideWhenUsed/>
    <w:rsid w:val="008315F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315F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315F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315F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8315F0"/>
    <w:rPr>
      <w:szCs w:val="18"/>
      <w:vertAlign w:val="superscript"/>
    </w:rPr>
  </w:style>
  <w:style w:type="paragraph" w:customStyle="1" w:styleId="HMGA">
    <w:name w:val="_ H __M_GA"/>
    <w:basedOn w:val="Normal"/>
    <w:next w:val="SingleTxtGA"/>
    <w:qFormat/>
    <w:rsid w:val="008315F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315F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315F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315F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315F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315F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315F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315F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315F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315F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315F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315F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315F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315F0"/>
    <w:pPr>
      <w:numPr>
        <w:numId w:val="5"/>
      </w:numPr>
      <w:bidi w:val="0"/>
    </w:pPr>
    <w:rPr>
      <w:lang w:val="en-US"/>
    </w:rPr>
  </w:style>
  <w:style w:type="paragraph" w:customStyle="1" w:styleId="Roman1GA">
    <w:name w:val="_Roman 1_GA"/>
    <w:basedOn w:val="Bullet1GA"/>
    <w:qFormat/>
    <w:rsid w:val="008315F0"/>
    <w:pPr>
      <w:numPr>
        <w:numId w:val="6"/>
      </w:numPr>
      <w:tabs>
        <w:tab w:val="clear" w:pos="2310"/>
        <w:tab w:val="left" w:pos="2486"/>
      </w:tabs>
      <w:ind w:left="2486" w:hanging="378"/>
    </w:pPr>
  </w:style>
  <w:style w:type="paragraph" w:customStyle="1" w:styleId="Roman2GA">
    <w:name w:val="_Roman 2_GA"/>
    <w:basedOn w:val="Bullet2GA"/>
    <w:qFormat/>
    <w:rsid w:val="008315F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315F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315F0"/>
    <w:rPr>
      <w:rFonts w:ascii="Times New Roman" w:eastAsia="PMingLiU" w:hAnsi="Times New Roman" w:cs="Simplified Arabic"/>
      <w:sz w:val="18"/>
      <w:szCs w:val="20"/>
      <w:lang w:val="en-GB"/>
    </w:rPr>
  </w:style>
  <w:style w:type="character" w:customStyle="1" w:styleId="EndtnoteReference">
    <w:name w:val="Endtnote Reference"/>
    <w:aliases w:val="1_GA"/>
    <w:qFormat/>
    <w:rsid w:val="008315F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315F0"/>
    <w:pPr>
      <w:suppressAutoHyphens/>
      <w:bidi w:val="0"/>
      <w:spacing w:line="240" w:lineRule="auto"/>
    </w:pPr>
    <w:rPr>
      <w:sz w:val="16"/>
      <w:lang w:val="en-GB"/>
    </w:rPr>
  </w:style>
  <w:style w:type="character" w:customStyle="1" w:styleId="FooterChar">
    <w:name w:val="Footer Char"/>
    <w:aliases w:val="3_GA Char,3_G Char"/>
    <w:link w:val="Footer"/>
    <w:rsid w:val="008315F0"/>
    <w:rPr>
      <w:rFonts w:ascii="Times New Roman" w:eastAsia="PMingLiU" w:hAnsi="Times New Roman" w:cs="Simplified Arabic"/>
      <w:sz w:val="16"/>
      <w:lang w:val="en-GB"/>
    </w:rPr>
  </w:style>
  <w:style w:type="paragraph" w:customStyle="1" w:styleId="FootnoteText1">
    <w:name w:val="Footnote Text1"/>
    <w:aliases w:val="5_GA"/>
    <w:basedOn w:val="Normal"/>
    <w:qFormat/>
    <w:rsid w:val="008315F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315F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315F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315F0"/>
    <w:rPr>
      <w:rFonts w:ascii="Times New Roman" w:eastAsia="PMingLiU" w:hAnsi="Times New Roman" w:cs="Simplified Arabic"/>
      <w:lang w:val="en-GB"/>
    </w:rPr>
  </w:style>
  <w:style w:type="character" w:styleId="PageNumber">
    <w:name w:val="page number"/>
    <w:aliases w:val="7_GA,7_G"/>
    <w:qFormat/>
    <w:rsid w:val="008315F0"/>
    <w:rPr>
      <w:rFonts w:ascii="Times New Roman Bold" w:hAnsi="Times New Roman Bold"/>
      <w:b/>
      <w:i w:val="0"/>
      <w:sz w:val="18"/>
      <w:szCs w:val="18"/>
    </w:rPr>
  </w:style>
  <w:style w:type="paragraph" w:customStyle="1" w:styleId="XXLargeGA">
    <w:name w:val="XXLarge_GA"/>
    <w:basedOn w:val="Normal"/>
    <w:next w:val="SingleTxtGA"/>
    <w:qFormat/>
    <w:rsid w:val="008315F0"/>
    <w:pPr>
      <w:suppressAutoHyphens/>
      <w:spacing w:line="820" w:lineRule="exact"/>
    </w:pPr>
    <w:rPr>
      <w:spacing w:val="-8"/>
      <w:w w:val="96"/>
      <w:sz w:val="57"/>
      <w:szCs w:val="86"/>
      <w:lang w:val="en-GB"/>
    </w:rPr>
  </w:style>
  <w:style w:type="character" w:customStyle="1" w:styleId="Heading2Char">
    <w:name w:val="Heading 2 Char"/>
    <w:link w:val="Heading2"/>
    <w:uiPriority w:val="9"/>
    <w:rsid w:val="008315F0"/>
    <w:rPr>
      <w:rFonts w:ascii="Times New Roman" w:eastAsia="PMingLiU" w:hAnsi="Times New Roman" w:cs="Simplified Arabic"/>
      <w:b/>
      <w:bCs/>
      <w:color w:val="4F81BD"/>
      <w:sz w:val="26"/>
      <w:szCs w:val="26"/>
    </w:rPr>
  </w:style>
  <w:style w:type="character" w:styleId="BookTitle">
    <w:name w:val="Book Title"/>
    <w:uiPriority w:val="33"/>
    <w:rsid w:val="008315F0"/>
    <w:rPr>
      <w:b/>
      <w:bCs/>
      <w:smallCaps/>
      <w:spacing w:val="5"/>
    </w:rPr>
  </w:style>
  <w:style w:type="character" w:customStyle="1" w:styleId="Heading3Char">
    <w:name w:val="Heading 3 Char"/>
    <w:link w:val="Heading3"/>
    <w:uiPriority w:val="9"/>
    <w:rsid w:val="008315F0"/>
    <w:rPr>
      <w:rFonts w:ascii="Times New Roman" w:eastAsia="PMingLiU" w:hAnsi="Times New Roman" w:cs="Simplified Arabic"/>
      <w:b/>
      <w:bCs/>
      <w:color w:val="4F81BD"/>
      <w:sz w:val="20"/>
    </w:rPr>
  </w:style>
  <w:style w:type="character" w:customStyle="1" w:styleId="Heading4Char">
    <w:name w:val="Heading 4 Char"/>
    <w:link w:val="Heading4"/>
    <w:uiPriority w:val="9"/>
    <w:rsid w:val="008315F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315F0"/>
    <w:rPr>
      <w:rFonts w:ascii="Times New Roman" w:eastAsia="PMingLiU" w:hAnsi="Times New Roman" w:cs="Simplified Arabic"/>
      <w:color w:val="243F60"/>
      <w:sz w:val="20"/>
    </w:rPr>
  </w:style>
  <w:style w:type="character" w:customStyle="1" w:styleId="Heading6Char">
    <w:name w:val="Heading 6 Char"/>
    <w:link w:val="Heading6"/>
    <w:uiPriority w:val="9"/>
    <w:rsid w:val="008315F0"/>
    <w:rPr>
      <w:rFonts w:ascii="Times New Roman" w:eastAsia="PMingLiU" w:hAnsi="Times New Roman" w:cs="Simplified Arabic"/>
      <w:i/>
      <w:iCs/>
      <w:color w:val="243F60"/>
      <w:sz w:val="20"/>
    </w:rPr>
  </w:style>
  <w:style w:type="character" w:customStyle="1" w:styleId="Heading7Char">
    <w:name w:val="Heading 7 Char"/>
    <w:link w:val="Heading7"/>
    <w:uiPriority w:val="9"/>
    <w:rsid w:val="008315F0"/>
    <w:rPr>
      <w:rFonts w:ascii="Times New Roman" w:eastAsia="PMingLiU" w:hAnsi="Times New Roman" w:cs="Simplified Arabic"/>
      <w:i/>
      <w:iCs/>
      <w:color w:val="404040"/>
      <w:sz w:val="20"/>
    </w:rPr>
  </w:style>
  <w:style w:type="character" w:customStyle="1" w:styleId="Heading8Char">
    <w:name w:val="Heading 8 Char"/>
    <w:link w:val="Heading8"/>
    <w:uiPriority w:val="9"/>
    <w:rsid w:val="008315F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315F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315F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315F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315F0"/>
    <w:pPr>
      <w:numPr>
        <w:ilvl w:val="1"/>
      </w:numPr>
    </w:pPr>
    <w:rPr>
      <w:i/>
      <w:iCs/>
      <w:color w:val="4F81BD"/>
      <w:spacing w:val="15"/>
      <w:sz w:val="24"/>
      <w:szCs w:val="24"/>
    </w:rPr>
  </w:style>
  <w:style w:type="character" w:customStyle="1" w:styleId="SubtitleChar">
    <w:name w:val="Subtitle Char"/>
    <w:link w:val="Subtitle"/>
    <w:uiPriority w:val="11"/>
    <w:rsid w:val="008315F0"/>
    <w:rPr>
      <w:rFonts w:ascii="Times New Roman" w:eastAsia="PMingLiU" w:hAnsi="Times New Roman" w:cs="Simplified Arabic"/>
      <w:i/>
      <w:iCs/>
      <w:color w:val="4F81BD"/>
      <w:spacing w:val="15"/>
      <w:sz w:val="24"/>
      <w:szCs w:val="24"/>
    </w:rPr>
  </w:style>
  <w:style w:type="character" w:styleId="SubtleEmphasis">
    <w:name w:val="Subtle Emphasis"/>
    <w:uiPriority w:val="19"/>
    <w:rsid w:val="008315F0"/>
    <w:rPr>
      <w:i/>
      <w:iCs/>
      <w:color w:val="808080"/>
    </w:rPr>
  </w:style>
  <w:style w:type="table" w:styleId="ColorfulGrid-Accent6">
    <w:name w:val="Colorful Grid Accent 6"/>
    <w:basedOn w:val="TableNormal"/>
    <w:uiPriority w:val="73"/>
    <w:rsid w:val="008315F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315F0"/>
    <w:rPr>
      <w:i/>
      <w:iCs/>
    </w:rPr>
  </w:style>
  <w:style w:type="character" w:styleId="IntenseEmphasis">
    <w:name w:val="Intense Emphasis"/>
    <w:uiPriority w:val="21"/>
    <w:rsid w:val="008315F0"/>
    <w:rPr>
      <w:b/>
      <w:bCs/>
      <w:i/>
      <w:iCs/>
      <w:color w:val="4F81BD"/>
    </w:rPr>
  </w:style>
  <w:style w:type="character" w:styleId="Strong">
    <w:name w:val="Strong"/>
    <w:uiPriority w:val="22"/>
    <w:rsid w:val="008315F0"/>
    <w:rPr>
      <w:b/>
      <w:bCs/>
    </w:rPr>
  </w:style>
  <w:style w:type="paragraph" w:styleId="Quote">
    <w:name w:val="Quote"/>
    <w:basedOn w:val="Normal"/>
    <w:next w:val="Normal"/>
    <w:link w:val="QuoteChar"/>
    <w:uiPriority w:val="29"/>
    <w:rsid w:val="008315F0"/>
    <w:rPr>
      <w:i/>
      <w:iCs/>
      <w:color w:val="000000"/>
    </w:rPr>
  </w:style>
  <w:style w:type="character" w:customStyle="1" w:styleId="QuoteChar">
    <w:name w:val="Quote Char"/>
    <w:link w:val="Quote"/>
    <w:uiPriority w:val="29"/>
    <w:rsid w:val="008315F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315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15F0"/>
    <w:rPr>
      <w:rFonts w:ascii="Times New Roman" w:eastAsia="PMingLiU" w:hAnsi="Times New Roman" w:cs="Simplified Arabic"/>
      <w:b/>
      <w:bCs/>
      <w:i/>
      <w:iCs/>
      <w:color w:val="4F81BD"/>
      <w:sz w:val="20"/>
    </w:rPr>
  </w:style>
  <w:style w:type="character" w:styleId="SubtleReference">
    <w:name w:val="Subtle Reference"/>
    <w:uiPriority w:val="31"/>
    <w:rsid w:val="008315F0"/>
    <w:rPr>
      <w:smallCaps/>
      <w:color w:val="C0504D"/>
      <w:u w:val="single"/>
    </w:rPr>
  </w:style>
  <w:style w:type="character" w:styleId="IntenseReference">
    <w:name w:val="Intense Reference"/>
    <w:uiPriority w:val="32"/>
    <w:rsid w:val="008315F0"/>
    <w:rPr>
      <w:b/>
      <w:bCs/>
      <w:smallCaps/>
      <w:color w:val="C0504D"/>
      <w:spacing w:val="5"/>
      <w:u w:val="single"/>
    </w:rPr>
  </w:style>
  <w:style w:type="paragraph" w:styleId="ListParagraph">
    <w:name w:val="List Paragraph"/>
    <w:basedOn w:val="Normal"/>
    <w:uiPriority w:val="34"/>
    <w:rsid w:val="008315F0"/>
    <w:pPr>
      <w:ind w:left="720"/>
      <w:contextualSpacing/>
    </w:pPr>
  </w:style>
  <w:style w:type="table" w:styleId="MediumShading1-Accent4">
    <w:name w:val="Medium Shading 1 Accent 4"/>
    <w:basedOn w:val="TableNormal"/>
    <w:uiPriority w:val="63"/>
    <w:rsid w:val="008315F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315F0"/>
    <w:rPr>
      <w:rFonts w:eastAsia="MS Mincho"/>
      <w:sz w:val="18"/>
      <w:vertAlign w:val="superscript"/>
    </w:rPr>
  </w:style>
  <w:style w:type="table" w:styleId="TableGrid">
    <w:name w:val="Table Grid"/>
    <w:basedOn w:val="TableNormal"/>
    <w:rsid w:val="008315F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5F0"/>
    <w:pPr>
      <w:spacing w:line="240" w:lineRule="auto"/>
    </w:pPr>
    <w:rPr>
      <w:sz w:val="16"/>
      <w:szCs w:val="16"/>
    </w:rPr>
  </w:style>
  <w:style w:type="character" w:customStyle="1" w:styleId="BalloonTextChar">
    <w:name w:val="Balloon Text Char"/>
    <w:link w:val="BalloonText"/>
    <w:uiPriority w:val="99"/>
    <w:semiHidden/>
    <w:rsid w:val="008315F0"/>
    <w:rPr>
      <w:rFonts w:ascii="Times New Roman" w:eastAsia="PMingLiU" w:hAnsi="Times New Roman" w:cs="Simplified Arabic"/>
      <w:sz w:val="16"/>
      <w:szCs w:val="16"/>
    </w:rPr>
  </w:style>
  <w:style w:type="character" w:styleId="Hyperlink">
    <w:name w:val="Hyperlink"/>
    <w:uiPriority w:val="99"/>
    <w:unhideWhenUsed/>
    <w:rsid w:val="008315F0"/>
    <w:rPr>
      <w:color w:val="0000FF"/>
      <w:u w:val="none"/>
    </w:rPr>
  </w:style>
  <w:style w:type="paragraph" w:styleId="TOC1">
    <w:name w:val="toc 1"/>
    <w:basedOn w:val="Normal"/>
    <w:link w:val="TOC1Char"/>
    <w:autoRedefine/>
    <w:uiPriority w:val="39"/>
    <w:unhideWhenUsed/>
    <w:rsid w:val="008315F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315F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315F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315F0"/>
    <w:rPr>
      <w:rFonts w:eastAsia="DengXian"/>
      <w:color w:val="auto"/>
      <w:sz w:val="20"/>
      <w:szCs w:val="20"/>
      <w:u w:val="none"/>
      <w:lang w:eastAsia="zh-CN" w:bidi="ar-EG"/>
    </w:rPr>
  </w:style>
  <w:style w:type="paragraph" w:styleId="TOC4">
    <w:name w:val="toc 4"/>
    <w:basedOn w:val="Normal"/>
    <w:link w:val="TOC4Char"/>
    <w:autoRedefine/>
    <w:uiPriority w:val="39"/>
    <w:unhideWhenUsed/>
    <w:rsid w:val="008315F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315F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315F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315F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315F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315F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315F0"/>
    <w:rPr>
      <w:color w:val="605E5C"/>
      <w:shd w:val="clear" w:color="auto" w:fill="E1DFDD"/>
    </w:rPr>
  </w:style>
  <w:style w:type="character" w:customStyle="1" w:styleId="TOC1Char">
    <w:name w:val="TOC 1 Char"/>
    <w:basedOn w:val="DefaultParagraphFont"/>
    <w:link w:val="TOC1"/>
    <w:uiPriority w:val="39"/>
    <w:rsid w:val="008315F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315F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315F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315F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315F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315F0"/>
    <w:rPr>
      <w:rFonts w:ascii="Times New Roman" w:eastAsia="PMingLiU" w:hAnsi="Times New Roman" w:cs="Simplified Arabic"/>
      <w:sz w:val="20"/>
      <w:szCs w:val="20"/>
      <w:lang w:val="en-GB"/>
    </w:rPr>
  </w:style>
  <w:style w:type="paragraph" w:customStyle="1" w:styleId="SessionDate">
    <w:name w:val="Session_Date"/>
    <w:basedOn w:val="Normal"/>
    <w:qFormat/>
    <w:rsid w:val="008315F0"/>
    <w:pPr>
      <w:spacing w:before="240" w:after="240" w:line="460" w:lineRule="exact"/>
      <w:ind w:left="1247"/>
    </w:pPr>
    <w:rPr>
      <w:b/>
      <w:bCs/>
      <w:sz w:val="32"/>
      <w:szCs w:val="44"/>
    </w:rPr>
  </w:style>
  <w:style w:type="paragraph" w:customStyle="1" w:styleId="SessionNumber">
    <w:name w:val="Session_Number"/>
    <w:basedOn w:val="Normal"/>
    <w:qFormat/>
    <w:rsid w:val="008315F0"/>
    <w:pPr>
      <w:spacing w:line="480" w:lineRule="exact"/>
      <w:ind w:left="1247"/>
    </w:pPr>
    <w:rPr>
      <w:b/>
      <w:bCs/>
      <w:sz w:val="28"/>
      <w:szCs w:val="38"/>
    </w:rPr>
  </w:style>
  <w:style w:type="paragraph" w:customStyle="1" w:styleId="CityandYear">
    <w:name w:val="City and Year"/>
    <w:basedOn w:val="SingleTxtGA"/>
    <w:qFormat/>
    <w:rsid w:val="008315F0"/>
    <w:pPr>
      <w:spacing w:line="480" w:lineRule="exact"/>
    </w:pPr>
    <w:rPr>
      <w:b/>
      <w:bCs/>
      <w:sz w:val="30"/>
      <w:szCs w:val="38"/>
      <w:lang w:eastAsia="ar-SA"/>
    </w:rPr>
  </w:style>
  <w:style w:type="paragraph" w:customStyle="1" w:styleId="NormalA">
    <w:name w:val="Normal_A"/>
    <w:basedOn w:val="Normal"/>
    <w:qFormat/>
    <w:rsid w:val="008315F0"/>
  </w:style>
  <w:style w:type="paragraph" w:customStyle="1" w:styleId="H1G">
    <w:name w:val="_ H_1_G"/>
    <w:basedOn w:val="Normal"/>
    <w:next w:val="Normal"/>
    <w:qFormat/>
    <w:rsid w:val="008315F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8315F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8315F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8315F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315F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315F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315F0"/>
    <w:rPr>
      <w:sz w:val="44"/>
      <w:szCs w:val="44"/>
      <w:lang w:val="en-US" w:bidi="ar-DZ"/>
    </w:rPr>
  </w:style>
  <w:style w:type="paragraph" w:customStyle="1" w:styleId="FootnoteGA0">
    <w:name w:val="Footnote_GA"/>
    <w:basedOn w:val="Normal"/>
    <w:qFormat/>
    <w:rsid w:val="008315F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315F0"/>
    <w:pPr>
      <w:keepNext/>
      <w:keepLines/>
      <w:spacing w:after="120" w:line="400" w:lineRule="exact"/>
      <w:outlineLvl w:val="0"/>
    </w:pPr>
    <w:rPr>
      <w:b/>
      <w:bCs/>
      <w:kern w:val="14"/>
      <w:sz w:val="24"/>
      <w:szCs w:val="32"/>
    </w:rPr>
  </w:style>
  <w:style w:type="paragraph" w:customStyle="1" w:styleId="HCh">
    <w:name w:val="_ H _Ch"/>
    <w:basedOn w:val="H1"/>
    <w:next w:val="SingleTxt"/>
    <w:qFormat/>
    <w:rsid w:val="008315F0"/>
    <w:pPr>
      <w:spacing w:line="440" w:lineRule="exact"/>
    </w:pPr>
    <w:rPr>
      <w:spacing w:val="-2"/>
      <w:sz w:val="28"/>
      <w:szCs w:val="36"/>
    </w:rPr>
  </w:style>
  <w:style w:type="character" w:styleId="CommentReference">
    <w:name w:val="annotation reference"/>
    <w:uiPriority w:val="99"/>
    <w:semiHidden/>
    <w:rsid w:val="008315F0"/>
    <w:rPr>
      <w:sz w:val="6"/>
      <w:szCs w:val="9"/>
    </w:rPr>
  </w:style>
  <w:style w:type="paragraph" w:customStyle="1" w:styleId="HM">
    <w:name w:val="_ H __M"/>
    <w:basedOn w:val="HCh"/>
    <w:next w:val="Normal"/>
    <w:qFormat/>
    <w:rsid w:val="008315F0"/>
    <w:pPr>
      <w:suppressAutoHyphens/>
      <w:spacing w:line="520" w:lineRule="exact"/>
    </w:pPr>
    <w:rPr>
      <w:spacing w:val="-3"/>
      <w:sz w:val="34"/>
      <w:szCs w:val="48"/>
    </w:rPr>
  </w:style>
  <w:style w:type="paragraph" w:customStyle="1" w:styleId="SingleTxt">
    <w:name w:val="__Single Txt"/>
    <w:basedOn w:val="Normal"/>
    <w:qFormat/>
    <w:rsid w:val="008315F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315F0"/>
    <w:pPr>
      <w:suppressAutoHyphens/>
      <w:spacing w:line="360" w:lineRule="exact"/>
      <w:outlineLvl w:val="1"/>
    </w:pPr>
    <w:rPr>
      <w:spacing w:val="2"/>
      <w:sz w:val="20"/>
      <w:szCs w:val="28"/>
    </w:rPr>
  </w:style>
  <w:style w:type="paragraph" w:customStyle="1" w:styleId="H4">
    <w:name w:val="_ H_4"/>
    <w:basedOn w:val="Normal"/>
    <w:next w:val="Normal"/>
    <w:qFormat/>
    <w:rsid w:val="008315F0"/>
    <w:pPr>
      <w:keepNext/>
      <w:keepLines/>
      <w:spacing w:after="120" w:line="360" w:lineRule="exact"/>
      <w:outlineLvl w:val="3"/>
    </w:pPr>
    <w:rPr>
      <w:i/>
      <w:iCs/>
      <w:kern w:val="14"/>
      <w:szCs w:val="28"/>
    </w:rPr>
  </w:style>
  <w:style w:type="paragraph" w:customStyle="1" w:styleId="H56">
    <w:name w:val="_ H_5/6"/>
    <w:basedOn w:val="Normal"/>
    <w:next w:val="Normal"/>
    <w:qFormat/>
    <w:rsid w:val="008315F0"/>
    <w:pPr>
      <w:keepNext/>
      <w:keepLines/>
      <w:spacing w:after="120" w:line="360" w:lineRule="exact"/>
      <w:outlineLvl w:val="4"/>
    </w:pPr>
    <w:rPr>
      <w:kern w:val="14"/>
      <w:szCs w:val="28"/>
    </w:rPr>
  </w:style>
  <w:style w:type="paragraph" w:customStyle="1" w:styleId="DualTxt">
    <w:name w:val="__Dual Txt"/>
    <w:basedOn w:val="Normal"/>
    <w:qFormat/>
    <w:rsid w:val="008315F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315F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315F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315F0"/>
    <w:pPr>
      <w:spacing w:after="120" w:line="440" w:lineRule="exact"/>
      <w:jc w:val="center"/>
    </w:pPr>
    <w:rPr>
      <w:b/>
      <w:bCs/>
      <w:sz w:val="25"/>
      <w:szCs w:val="38"/>
    </w:rPr>
  </w:style>
  <w:style w:type="paragraph" w:customStyle="1" w:styleId="JH1">
    <w:name w:val="J_H_1"/>
    <w:basedOn w:val="JCH"/>
    <w:qFormat/>
    <w:rsid w:val="008315F0"/>
    <w:pPr>
      <w:spacing w:line="420" w:lineRule="exact"/>
    </w:pPr>
    <w:rPr>
      <w:sz w:val="23"/>
      <w:szCs w:val="34"/>
    </w:rPr>
  </w:style>
  <w:style w:type="paragraph" w:customStyle="1" w:styleId="JH2">
    <w:name w:val="J_H_2"/>
    <w:basedOn w:val="JH1"/>
    <w:qFormat/>
    <w:rsid w:val="008315F0"/>
    <w:pPr>
      <w:spacing w:line="400" w:lineRule="exact"/>
    </w:pPr>
    <w:rPr>
      <w:sz w:val="20"/>
      <w:szCs w:val="30"/>
    </w:rPr>
  </w:style>
  <w:style w:type="paragraph" w:customStyle="1" w:styleId="JSmall">
    <w:name w:val="J_Small"/>
    <w:basedOn w:val="JSingleTxt"/>
    <w:next w:val="JSingleTxt"/>
    <w:qFormat/>
    <w:rsid w:val="008315F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315F0"/>
    <w:pPr>
      <w:tabs>
        <w:tab w:val="right" w:leader="dot" w:pos="360"/>
      </w:tabs>
      <w:spacing w:line="310" w:lineRule="exact"/>
      <w:jc w:val="right"/>
    </w:pPr>
    <w:rPr>
      <w:spacing w:val="5"/>
      <w:w w:val="104"/>
      <w:kern w:val="14"/>
      <w:sz w:val="17"/>
      <w:szCs w:val="25"/>
    </w:rPr>
  </w:style>
  <w:style w:type="character" w:styleId="LineNumber">
    <w:name w:val="line number"/>
    <w:qFormat/>
    <w:rsid w:val="008315F0"/>
    <w:rPr>
      <w:sz w:val="14"/>
      <w:szCs w:val="16"/>
    </w:rPr>
  </w:style>
  <w:style w:type="paragraph" w:customStyle="1" w:styleId="SmallX">
    <w:name w:val="SmallX"/>
    <w:basedOn w:val="Small"/>
    <w:next w:val="Normal"/>
    <w:qFormat/>
    <w:rsid w:val="008315F0"/>
    <w:pPr>
      <w:spacing w:line="240" w:lineRule="exact"/>
    </w:pPr>
    <w:rPr>
      <w:spacing w:val="6"/>
      <w:w w:val="106"/>
      <w:sz w:val="14"/>
      <w:szCs w:val="21"/>
    </w:rPr>
  </w:style>
  <w:style w:type="paragraph" w:customStyle="1" w:styleId="XLarge">
    <w:name w:val="XLarge"/>
    <w:basedOn w:val="HM"/>
    <w:qFormat/>
    <w:rsid w:val="008315F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315F0"/>
    <w:pPr>
      <w:spacing w:line="820" w:lineRule="exact"/>
    </w:pPr>
    <w:rPr>
      <w:spacing w:val="-8"/>
      <w:w w:val="96"/>
      <w:sz w:val="57"/>
      <w:szCs w:val="86"/>
    </w:rPr>
  </w:style>
  <w:style w:type="paragraph" w:customStyle="1" w:styleId="Distribution">
    <w:name w:val="Distribu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315F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315F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315F0"/>
    <w:pPr>
      <w:tabs>
        <w:tab w:val="left" w:pos="662"/>
        <w:tab w:val="left" w:pos="1267"/>
        <w:tab w:val="left" w:pos="1987"/>
        <w:tab w:val="left" w:pos="2650"/>
      </w:tabs>
      <w:spacing w:after="0"/>
      <w:ind w:left="662" w:hanging="662"/>
    </w:pPr>
  </w:style>
  <w:style w:type="paragraph" w:customStyle="1" w:styleId="Committee">
    <w:name w:val="Committee"/>
    <w:basedOn w:val="H1"/>
    <w:qFormat/>
    <w:rsid w:val="008315F0"/>
    <w:pPr>
      <w:tabs>
        <w:tab w:val="left" w:pos="662"/>
        <w:tab w:val="left" w:pos="1267"/>
        <w:tab w:val="left" w:pos="1987"/>
        <w:tab w:val="left" w:pos="2650"/>
      </w:tabs>
      <w:ind w:right="1264"/>
    </w:pPr>
  </w:style>
  <w:style w:type="paragraph" w:customStyle="1" w:styleId="AgendaItemNormal">
    <w:name w:val="Agenda_Item_Normal"/>
    <w:next w:val="Normal"/>
    <w:qFormat/>
    <w:rsid w:val="008315F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315F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315F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315F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315F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315F0"/>
    <w:rPr>
      <w:i w:val="0"/>
      <w:color w:val="0000FF"/>
      <w:u w:val="none"/>
    </w:rPr>
  </w:style>
  <w:style w:type="paragraph" w:customStyle="1" w:styleId="Bullet1">
    <w:name w:val="Bullet 1"/>
    <w:basedOn w:val="Normal"/>
    <w:qFormat/>
    <w:rsid w:val="008315F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315F0"/>
    <w:pPr>
      <w:numPr>
        <w:numId w:val="14"/>
      </w:numPr>
      <w:spacing w:after="120" w:line="360" w:lineRule="exact"/>
      <w:ind w:right="1264"/>
    </w:pPr>
    <w:rPr>
      <w:kern w:val="14"/>
      <w:szCs w:val="28"/>
    </w:rPr>
  </w:style>
  <w:style w:type="paragraph" w:customStyle="1" w:styleId="Bullet3">
    <w:name w:val="Bullet 3"/>
    <w:basedOn w:val="SingleTxt"/>
    <w:qFormat/>
    <w:rsid w:val="008315F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315F0"/>
    <w:pPr>
      <w:ind w:right="5760"/>
      <w:outlineLvl w:val="1"/>
    </w:pPr>
    <w:rPr>
      <w:spacing w:val="2"/>
      <w:sz w:val="20"/>
      <w:szCs w:val="28"/>
    </w:rPr>
  </w:style>
  <w:style w:type="paragraph" w:customStyle="1" w:styleId="STitleM">
    <w:name w:val="S_Title_M"/>
    <w:basedOn w:val="Normal"/>
    <w:next w:val="Normal"/>
    <w:qFormat/>
    <w:rsid w:val="008315F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315F0"/>
    <w:pPr>
      <w:spacing w:line="600" w:lineRule="exact"/>
      <w:ind w:left="1267" w:right="1267"/>
    </w:pPr>
    <w:rPr>
      <w:w w:val="103"/>
      <w:sz w:val="60"/>
      <w:szCs w:val="60"/>
    </w:rPr>
  </w:style>
  <w:style w:type="paragraph" w:customStyle="1" w:styleId="STitleL">
    <w:name w:val="S_Title_L"/>
    <w:basedOn w:val="XLarge"/>
    <w:next w:val="Normal"/>
    <w:qFormat/>
    <w:rsid w:val="008315F0"/>
    <w:rPr>
      <w:spacing w:val="-8"/>
      <w:w w:val="96"/>
      <w:sz w:val="57"/>
    </w:rPr>
  </w:style>
  <w:style w:type="paragraph" w:styleId="CommentText">
    <w:name w:val="annotation text"/>
    <w:basedOn w:val="Normal"/>
    <w:link w:val="CommentTextChar"/>
    <w:uiPriority w:val="99"/>
    <w:semiHidden/>
    <w:unhideWhenUsed/>
    <w:rsid w:val="008315F0"/>
    <w:pPr>
      <w:spacing w:line="240" w:lineRule="auto"/>
    </w:pPr>
    <w:rPr>
      <w:kern w:val="14"/>
    </w:rPr>
  </w:style>
  <w:style w:type="character" w:customStyle="1" w:styleId="CommentTextChar">
    <w:name w:val="Comment Text Char"/>
    <w:basedOn w:val="DefaultParagraphFont"/>
    <w:link w:val="CommentText"/>
    <w:uiPriority w:val="99"/>
    <w:semiHidden/>
    <w:rsid w:val="008315F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315F0"/>
    <w:rPr>
      <w:b/>
      <w:bCs/>
    </w:rPr>
  </w:style>
  <w:style w:type="character" w:customStyle="1" w:styleId="CommentSubjectChar">
    <w:name w:val="Comment Subject Char"/>
    <w:basedOn w:val="CommentTextChar"/>
    <w:link w:val="CommentSubject"/>
    <w:uiPriority w:val="99"/>
    <w:semiHidden/>
    <w:rsid w:val="008315F0"/>
    <w:rPr>
      <w:rFonts w:ascii="Times New Roman" w:eastAsia="PMingLiU" w:hAnsi="Times New Roman" w:cs="Simplified Arabic"/>
      <w:b/>
      <w:bCs/>
      <w:kern w:val="14"/>
      <w:sz w:val="20"/>
    </w:rPr>
  </w:style>
  <w:style w:type="paragraph" w:customStyle="1" w:styleId="Bullet1G">
    <w:name w:val="_Bullet 1_G"/>
    <w:basedOn w:val="Normal"/>
    <w:qFormat/>
    <w:rsid w:val="008315F0"/>
    <w:pPr>
      <w:numPr>
        <w:numId w:val="16"/>
      </w:numPr>
      <w:bidi w:val="0"/>
      <w:spacing w:after="120"/>
      <w:ind w:right="1134"/>
      <w:jc w:val="both"/>
    </w:pPr>
    <w:rPr>
      <w:sz w:val="22"/>
    </w:rPr>
  </w:style>
  <w:style w:type="character" w:customStyle="1" w:styleId="SingleTxtGChar">
    <w:name w:val="_ Single Txt_G Char"/>
    <w:link w:val="SingleTxtG"/>
    <w:rsid w:val="008315F0"/>
    <w:rPr>
      <w:rFonts w:ascii="Times New Roman" w:eastAsia="PMingLiU" w:hAnsi="Times New Roman" w:cs="Simplified Arabic"/>
      <w:sz w:val="20"/>
      <w:szCs w:val="20"/>
      <w:lang w:val="en-GB"/>
    </w:rPr>
  </w:style>
  <w:style w:type="paragraph" w:customStyle="1" w:styleId="Preparedby">
    <w:name w:val="Prepared by:"/>
    <w:basedOn w:val="H23GA"/>
    <w:qFormat/>
    <w:rsid w:val="008315F0"/>
    <w:rPr>
      <w:sz w:val="32"/>
      <w:szCs w:val="32"/>
    </w:rPr>
  </w:style>
  <w:style w:type="paragraph" w:customStyle="1" w:styleId="ParaNoG">
    <w:name w:val="_ParaNo._G"/>
    <w:basedOn w:val="SingleTxtG"/>
    <w:rsid w:val="008315F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315F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315F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315F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315F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315F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315F0"/>
    <w:pPr>
      <w:spacing w:after="0" w:line="240" w:lineRule="auto"/>
    </w:pPr>
    <w:rPr>
      <w:rFonts w:eastAsiaTheme="minorEastAsia"/>
      <w:sz w:val="24"/>
      <w:szCs w:val="24"/>
      <w:lang w:val="fr-FR" w:eastAsia="fr-FR"/>
    </w:rPr>
  </w:style>
  <w:style w:type="paragraph" w:customStyle="1" w:styleId="Default">
    <w:name w:val="Default"/>
    <w:semiHidden/>
    <w:rsid w:val="008315F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315F0"/>
  </w:style>
  <w:style w:type="character" w:customStyle="1" w:styleId="preferred">
    <w:name w:val="preferred"/>
    <w:basedOn w:val="DefaultParagraphFont"/>
    <w:rsid w:val="008315F0"/>
  </w:style>
  <w:style w:type="character" w:customStyle="1" w:styleId="admitted">
    <w:name w:val="admitted"/>
    <w:basedOn w:val="DefaultParagraphFont"/>
    <w:rsid w:val="008315F0"/>
  </w:style>
  <w:style w:type="paragraph" w:styleId="TOC7">
    <w:name w:val="toc 7"/>
    <w:basedOn w:val="Normal"/>
    <w:next w:val="Normal"/>
    <w:autoRedefine/>
    <w:uiPriority w:val="39"/>
    <w:unhideWhenUsed/>
    <w:rsid w:val="00FA7FFE"/>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FA7FFE"/>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FA7FFE"/>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8315F0"/>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RD/C/SR.2880" TargetMode="External"/><Relationship Id="rId2" Type="http://schemas.openxmlformats.org/officeDocument/2006/relationships/hyperlink" Target="https://undocs.org/ar/CERD/C/SR.2879" TargetMode="External"/><Relationship Id="rId1" Type="http://schemas.openxmlformats.org/officeDocument/2006/relationships/hyperlink" Target="https://undocs.org/ar/CERD/C/KAZ/8-10" TargetMode="External"/><Relationship Id="rId6" Type="http://schemas.openxmlformats.org/officeDocument/2006/relationships/hyperlink" Target="https://undocs.org/ar/CERD/C/2007/1" TargetMode="External"/><Relationship Id="rId5" Type="http://schemas.openxmlformats.org/officeDocument/2006/relationships/hyperlink" Target="https://undocs.org/ar/HRI/GEN/2/Rev.6" TargetMode="External"/><Relationship Id="rId4" Type="http://schemas.openxmlformats.org/officeDocument/2006/relationships/hyperlink" Target="https://undocs.org/ar/CERD/C/KAZ/CO/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CERD/C/KAZ/CO/8-10</vt:lpstr>
    </vt:vector>
  </TitlesOfParts>
  <Company>DCM</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CERD/C/KAZ/CO/8-10</dc:title>
  <dc:subject>GE.2210547(A)</dc:subject>
  <dc:creator>Gamal MAHMOUD - LGOUDA</dc:creator>
  <cp:keywords>GE.2239748(A)</cp:keywords>
  <dc:description>Distr.: General_x000d_
4 July 2022_x000d_
Original: English</dc:description>
  <cp:lastModifiedBy>Gamal Mohamed Abdelhamid Mahmoud</cp:lastModifiedBy>
  <cp:revision>2</cp:revision>
  <dcterms:created xsi:type="dcterms:W3CDTF">2022-08-11T12:46:00Z</dcterms:created>
  <dcterms:modified xsi:type="dcterms:W3CDTF">2022-08-11T12:46:00Z</dcterms:modified>
  <cp:category>Final</cp:category>
</cp:coreProperties>
</file>