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647DB6F" w14:textId="77777777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F8BE5C" w14:textId="77777777" w:rsidR="002D5AAC" w:rsidRDefault="002D5AAC" w:rsidP="00842B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ABC357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3E719402" w14:textId="367F2DC0" w:rsidR="002D5AAC" w:rsidRDefault="00842BF4" w:rsidP="00842BF4">
            <w:pPr>
              <w:jc w:val="right"/>
            </w:pPr>
            <w:r w:rsidRPr="00842BF4">
              <w:rPr>
                <w:sz w:val="40"/>
              </w:rPr>
              <w:t>CERD</w:t>
            </w:r>
            <w:r>
              <w:t>/C/FRA/Q/22-23</w:t>
            </w:r>
          </w:p>
        </w:tc>
      </w:tr>
      <w:tr w:rsidR="002D5AAC" w14:paraId="4821358A" w14:textId="77777777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B9E879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2642135" wp14:editId="765AB7D5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1837CF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2C0074A2" w14:textId="77777777" w:rsidR="002D5AAC" w:rsidRDefault="00842BF4" w:rsidP="00213632">
            <w:pPr>
              <w:spacing w:before="240"/>
            </w:pPr>
            <w:r>
              <w:t>Distr. general</w:t>
            </w:r>
          </w:p>
          <w:p w14:paraId="05C183A1" w14:textId="77777777" w:rsidR="00842BF4" w:rsidRDefault="00842BF4" w:rsidP="00842BF4">
            <w:pPr>
              <w:spacing w:line="240" w:lineRule="exact"/>
            </w:pPr>
            <w:r>
              <w:t>30 de septiembre de 2022</w:t>
            </w:r>
          </w:p>
          <w:p w14:paraId="519254BE" w14:textId="77777777" w:rsidR="00842BF4" w:rsidRDefault="00842BF4" w:rsidP="00842BF4">
            <w:pPr>
              <w:spacing w:line="240" w:lineRule="exact"/>
            </w:pPr>
            <w:r>
              <w:t>Español</w:t>
            </w:r>
          </w:p>
          <w:p w14:paraId="408F1D35" w14:textId="77777777" w:rsidR="00842BF4" w:rsidRDefault="00842BF4" w:rsidP="00842BF4">
            <w:pPr>
              <w:spacing w:line="240" w:lineRule="exact"/>
            </w:pPr>
            <w:r>
              <w:t>Original: francés</w:t>
            </w:r>
          </w:p>
          <w:p w14:paraId="4C21CF79" w14:textId="01DDE9CD" w:rsidR="00842BF4" w:rsidRDefault="00842BF4" w:rsidP="00842BF4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24A922BC" w14:textId="77777777" w:rsidR="00842BF4" w:rsidRPr="00842BF4" w:rsidRDefault="00842BF4" w:rsidP="00842BF4">
      <w:pPr>
        <w:spacing w:before="120" w:line="240" w:lineRule="auto"/>
        <w:rPr>
          <w:b/>
          <w:sz w:val="24"/>
          <w:szCs w:val="24"/>
        </w:rPr>
      </w:pPr>
      <w:r w:rsidRPr="00842BF4">
        <w:rPr>
          <w:b/>
          <w:bCs/>
          <w:sz w:val="24"/>
          <w:szCs w:val="24"/>
        </w:rPr>
        <w:t>Comité para la Eliminación de la Discriminación Racial</w:t>
      </w:r>
    </w:p>
    <w:p w14:paraId="07A6525A" w14:textId="77777777" w:rsidR="00842BF4" w:rsidRPr="00842BF4" w:rsidRDefault="00842BF4" w:rsidP="00842BF4">
      <w:pPr>
        <w:spacing w:line="240" w:lineRule="auto"/>
        <w:rPr>
          <w:b/>
        </w:rPr>
      </w:pPr>
      <w:r w:rsidRPr="00842BF4">
        <w:rPr>
          <w:b/>
          <w:bCs/>
        </w:rPr>
        <w:t>108º período de sesiones</w:t>
      </w:r>
    </w:p>
    <w:p w14:paraId="12B20830" w14:textId="77777777" w:rsidR="00842BF4" w:rsidRPr="00842BF4" w:rsidRDefault="00842BF4" w:rsidP="00842BF4">
      <w:pPr>
        <w:spacing w:line="240" w:lineRule="auto"/>
      </w:pPr>
      <w:r w:rsidRPr="00842BF4">
        <w:t>14 de noviembre a 2 de diciembre de 2022</w:t>
      </w:r>
    </w:p>
    <w:p w14:paraId="5EB3C941" w14:textId="77777777" w:rsidR="00842BF4" w:rsidRPr="00842BF4" w:rsidRDefault="00842BF4" w:rsidP="00842BF4">
      <w:pPr>
        <w:spacing w:line="240" w:lineRule="auto"/>
        <w:rPr>
          <w:b/>
          <w:bCs/>
        </w:rPr>
      </w:pPr>
      <w:r w:rsidRPr="00842BF4">
        <w:rPr>
          <w:b/>
          <w:bCs/>
        </w:rPr>
        <w:t>Examen de los informes, las observaciones y la información presentados</w:t>
      </w:r>
    </w:p>
    <w:p w14:paraId="52F0C379" w14:textId="323CBD1F" w:rsidR="00842BF4" w:rsidRPr="00842BF4" w:rsidRDefault="00842BF4" w:rsidP="00842BF4">
      <w:pPr>
        <w:spacing w:line="240" w:lineRule="auto"/>
        <w:rPr>
          <w:b/>
          <w:bCs/>
        </w:rPr>
      </w:pPr>
      <w:r w:rsidRPr="00842BF4">
        <w:rPr>
          <w:b/>
          <w:bCs/>
        </w:rPr>
        <w:t>por los Estados partes en virtud del artículo 9 de la Convención</w:t>
      </w:r>
    </w:p>
    <w:p w14:paraId="7987CEF9" w14:textId="44F4FEEE" w:rsidR="00842BF4" w:rsidRPr="00842BF4" w:rsidRDefault="00842BF4" w:rsidP="00842BF4">
      <w:pPr>
        <w:pStyle w:val="HChG"/>
      </w:pPr>
      <w:r>
        <w:tab/>
      </w:r>
      <w:r w:rsidRPr="00842BF4">
        <w:tab/>
        <w:t>Lista de temas relativa a los informes periódicos 22º y</w:t>
      </w:r>
      <w:r w:rsidR="00853ABF">
        <w:t> </w:t>
      </w:r>
      <w:r w:rsidRPr="00842BF4">
        <w:t>23º</w:t>
      </w:r>
      <w:r w:rsidR="00853ABF">
        <w:t> </w:t>
      </w:r>
      <w:r w:rsidRPr="00842BF4">
        <w:t>combinados de Francia</w:t>
      </w:r>
    </w:p>
    <w:p w14:paraId="6A1C1460" w14:textId="27ECC01E" w:rsidR="00842BF4" w:rsidRPr="00842BF4" w:rsidRDefault="00842BF4" w:rsidP="00842BF4">
      <w:pPr>
        <w:pStyle w:val="H1G"/>
      </w:pPr>
      <w:r>
        <w:tab/>
      </w:r>
      <w:r w:rsidRPr="00842BF4">
        <w:tab/>
        <w:t>Nota del Relator para el país</w:t>
      </w:r>
    </w:p>
    <w:p w14:paraId="524692B2" w14:textId="335E2E45" w:rsidR="00842BF4" w:rsidRPr="00842BF4" w:rsidRDefault="00842BF4" w:rsidP="00842BF4">
      <w:pPr>
        <w:pStyle w:val="SingleTxtG"/>
      </w:pPr>
      <w:r w:rsidRPr="00842BF4">
        <w:t>1.</w:t>
      </w:r>
      <w:r w:rsidRPr="00842BF4">
        <w:tab/>
        <w:t>El Comité para la Eliminación de la Discriminación Racial decidió en su 76º período de sesiones</w:t>
      </w:r>
      <w:r w:rsidRPr="00842BF4">
        <w:rPr>
          <w:rStyle w:val="Refdenotaalpie"/>
        </w:rPr>
        <w:footnoteReference w:id="1"/>
      </w:r>
      <w:r w:rsidRPr="00842BF4">
        <w:t xml:space="preserve">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14:paraId="78769F1C" w14:textId="7F1AA551" w:rsidR="00842BF4" w:rsidRPr="00842BF4" w:rsidRDefault="00842BF4" w:rsidP="00842BF4">
      <w:pPr>
        <w:pStyle w:val="H23G"/>
      </w:pPr>
      <w:r>
        <w:tab/>
      </w:r>
      <w:r w:rsidRPr="00842BF4">
        <w:tab/>
        <w:t xml:space="preserve">Estadísticas e indicadores socioeconómicos </w:t>
      </w:r>
    </w:p>
    <w:p w14:paraId="79C2FD50" w14:textId="3C4500B3" w:rsidR="00842BF4" w:rsidRPr="00842BF4" w:rsidRDefault="00842BF4" w:rsidP="00842BF4">
      <w:pPr>
        <w:pStyle w:val="SingleTxtG"/>
      </w:pPr>
      <w:r w:rsidRPr="00842BF4">
        <w:t>2.</w:t>
      </w:r>
      <w:r w:rsidRPr="00842BF4">
        <w:tab/>
        <w:t>Estadísticas recientes y completas sobre la composición demográfica de la población francesa, así como indicadores económicos y sociales relativos a los diferentes grupos que viven en el territorio del Estado parte</w:t>
      </w:r>
      <w:r w:rsidRPr="00842BF4">
        <w:rPr>
          <w:rStyle w:val="Refdenotaalpie"/>
        </w:rPr>
        <w:footnoteReference w:id="2"/>
      </w:r>
      <w:r w:rsidRPr="00842BF4">
        <w:t>. Consideraciones sobre las herramientas utilizadas para la recogida de datos, incluidos los criterios de diversidad étnica, así como el uso del principio de autoidentificación</w:t>
      </w:r>
      <w:r w:rsidRPr="00842BF4">
        <w:rPr>
          <w:rStyle w:val="Refdenotaalpie"/>
        </w:rPr>
        <w:footnoteReference w:id="3"/>
      </w:r>
      <w:r w:rsidRPr="00842BF4">
        <w:t>.</w:t>
      </w:r>
    </w:p>
    <w:p w14:paraId="487CE7EA" w14:textId="17439C50" w:rsidR="00842BF4" w:rsidRPr="00842BF4" w:rsidRDefault="00842BF4" w:rsidP="00842BF4">
      <w:pPr>
        <w:pStyle w:val="H23G"/>
      </w:pPr>
      <w:r>
        <w:tab/>
      </w:r>
      <w:r w:rsidRPr="00842BF4">
        <w:tab/>
        <w:t>La Convención en el derecho interno y el marco institucional y normativo para</w:t>
      </w:r>
      <w:r>
        <w:t> </w:t>
      </w:r>
      <w:r w:rsidRPr="00842BF4">
        <w:t>su</w:t>
      </w:r>
      <w:r>
        <w:t> </w:t>
      </w:r>
      <w:r w:rsidRPr="00842BF4">
        <w:t>aplicación (arts. 1, 2 y 4)</w:t>
      </w:r>
    </w:p>
    <w:p w14:paraId="7AD9CD9A" w14:textId="17D075CB" w:rsidR="00842BF4" w:rsidRPr="00842BF4" w:rsidRDefault="00842BF4" w:rsidP="00842BF4">
      <w:pPr>
        <w:pStyle w:val="SingleTxtG"/>
      </w:pPr>
      <w:r w:rsidRPr="00842BF4">
        <w:t>3.</w:t>
      </w:r>
      <w:r w:rsidRPr="00842BF4">
        <w:tab/>
        <w:t>Información sobre la aplicación de la Convención, incluidos ejemplos de invocación y aplicación de la Convención por los tribunales y las entidades territoriales. Información relativa a la formación impartida al personal de la función pública y las entidades territoriales sobre el contenido de la Convención</w:t>
      </w:r>
      <w:r w:rsidRPr="00842BF4">
        <w:rPr>
          <w:rStyle w:val="Refdenotaalpie"/>
        </w:rPr>
        <w:footnoteReference w:id="4"/>
      </w:r>
      <w:r w:rsidRPr="00842BF4">
        <w:t>.</w:t>
      </w:r>
    </w:p>
    <w:p w14:paraId="10B185BC" w14:textId="3343A039" w:rsidR="00842BF4" w:rsidRPr="00842BF4" w:rsidRDefault="00842BF4" w:rsidP="00842BF4">
      <w:pPr>
        <w:pStyle w:val="SingleTxtG"/>
      </w:pPr>
      <w:r w:rsidRPr="00842BF4">
        <w:t>4.</w:t>
      </w:r>
      <w:r w:rsidRPr="00842BF4">
        <w:tab/>
        <w:t>Información sobre la tipificación, en la legislación penal, de la difusión de ideas basadas en la superioridad racial, el odio racial y la incitación a la discriminación y la violencia raciales; e información sobre la participación en organizaciones o actividades de propaganda que promuevan la discriminación racial, tal como se define en el artículo 4 de la Convención</w:t>
      </w:r>
      <w:r w:rsidRPr="00842BF4">
        <w:rPr>
          <w:rStyle w:val="Refdenotaalpie"/>
        </w:rPr>
        <w:footnoteReference w:id="5"/>
      </w:r>
      <w:r w:rsidRPr="00842BF4">
        <w:t>.</w:t>
      </w:r>
    </w:p>
    <w:p w14:paraId="05642949" w14:textId="324F60B7" w:rsidR="00842BF4" w:rsidRPr="00842BF4" w:rsidRDefault="00842BF4" w:rsidP="00842BF4">
      <w:pPr>
        <w:pStyle w:val="SingleTxtG"/>
      </w:pPr>
      <w:r w:rsidRPr="00842BF4">
        <w:t>5.</w:t>
      </w:r>
      <w:r w:rsidRPr="00842BF4">
        <w:tab/>
        <w:t xml:space="preserve">Resultados de la aplicación de medidas para combatir el discurso de odio racial y la incitación a la discriminación racial. Número actualizado de denuncias presentadas, </w:t>
      </w:r>
      <w:r w:rsidRPr="00842BF4">
        <w:lastRenderedPageBreak/>
        <w:t>investigaciones realizadas y procesadas, y autores condenados en relación con el discurso de odio racial y la incitación a la discriminación y la violencia raciales.</w:t>
      </w:r>
    </w:p>
    <w:p w14:paraId="6E907A88" w14:textId="2A3E1803" w:rsidR="00842BF4" w:rsidRPr="00842BF4" w:rsidRDefault="00842BF4" w:rsidP="00842BF4">
      <w:pPr>
        <w:pStyle w:val="SingleTxtG"/>
      </w:pPr>
      <w:r w:rsidRPr="00842BF4">
        <w:t>6.</w:t>
      </w:r>
      <w:r w:rsidRPr="00842BF4">
        <w:tab/>
        <w:t>Medidas adoptadas para prevenir y combatir el discurso racista y xenófobo de los políticos y los mensajes racistas en Internet</w:t>
      </w:r>
      <w:r w:rsidRPr="00842BF4">
        <w:rPr>
          <w:rStyle w:val="Refdenotaalpie"/>
        </w:rPr>
        <w:footnoteReference w:id="6"/>
      </w:r>
      <w:r w:rsidRPr="00842BF4">
        <w:t>.</w:t>
      </w:r>
    </w:p>
    <w:p w14:paraId="37B9A945" w14:textId="14ED1436" w:rsidR="00842BF4" w:rsidRPr="00842BF4" w:rsidRDefault="00842BF4" w:rsidP="00842BF4">
      <w:pPr>
        <w:pStyle w:val="SingleTxtG"/>
      </w:pPr>
      <w:r w:rsidRPr="00842BF4">
        <w:t>7.</w:t>
      </w:r>
      <w:r w:rsidRPr="00842BF4">
        <w:tab/>
        <w:t>Ejecución, resultados y evaluación del Plan Nacional de Lucha contra el Racismo y el Antisemitismo para el per</w:t>
      </w:r>
      <w:r w:rsidR="00D90CD0">
        <w:t>í</w:t>
      </w:r>
      <w:r w:rsidRPr="00842BF4">
        <w:t>odo 2018-2020</w:t>
      </w:r>
      <w:r w:rsidRPr="00842BF4">
        <w:rPr>
          <w:rStyle w:val="Refdenotaalpie"/>
        </w:rPr>
        <w:footnoteReference w:id="7"/>
      </w:r>
      <w:r w:rsidRPr="00842BF4">
        <w:t>. Medidas concretas adoptadas para combatir la discriminación racial y estructural de las minorías, particularmente los romaníes, los africanos y afrodescendientes, los árabes y los no ciudadanos.</w:t>
      </w:r>
    </w:p>
    <w:p w14:paraId="689F8B43" w14:textId="2B2BE22A" w:rsidR="00842BF4" w:rsidRPr="00842BF4" w:rsidRDefault="00842BF4" w:rsidP="00842BF4">
      <w:pPr>
        <w:pStyle w:val="H23G"/>
      </w:pPr>
      <w:r>
        <w:tab/>
      </w:r>
      <w:r w:rsidRPr="00842BF4">
        <w:tab/>
        <w:t>Situación de las minorías (arts. 2 y 5)</w:t>
      </w:r>
    </w:p>
    <w:p w14:paraId="4BAE8951" w14:textId="4D902C24" w:rsidR="00842BF4" w:rsidRPr="00842BF4" w:rsidRDefault="00842BF4" w:rsidP="00842BF4">
      <w:pPr>
        <w:pStyle w:val="SingleTxtG"/>
      </w:pPr>
      <w:r w:rsidRPr="00842BF4">
        <w:t>8.</w:t>
      </w:r>
      <w:r w:rsidRPr="00842BF4">
        <w:tab/>
        <w:t>Información sobre la aplicación de las medidas adoptadas para garantizar el acceso a una vivienda adecuada y mejorar las condiciones de vida de los romaníes, así como para garantizar su protección contra los desalojos forzosos.</w:t>
      </w:r>
    </w:p>
    <w:p w14:paraId="01D6CB8F" w14:textId="2EFA347A" w:rsidR="00842BF4" w:rsidRPr="00842BF4" w:rsidRDefault="00842BF4" w:rsidP="00842BF4">
      <w:pPr>
        <w:pStyle w:val="SingleTxtG"/>
      </w:pPr>
      <w:r w:rsidRPr="00842BF4">
        <w:t>9.</w:t>
      </w:r>
      <w:r w:rsidRPr="00842BF4">
        <w:tab/>
        <w:t>Información sobre la aplicación de medidas concretas para garantizar el acceso de la población romaní a la atención y los servicios sanitarios y a la seguridad social.</w:t>
      </w:r>
    </w:p>
    <w:p w14:paraId="284BEC57" w14:textId="4FBBE62A" w:rsidR="00842BF4" w:rsidRPr="00842BF4" w:rsidRDefault="00842BF4" w:rsidP="00842BF4">
      <w:pPr>
        <w:pStyle w:val="SingleTxtG"/>
      </w:pPr>
      <w:r w:rsidRPr="00842BF4">
        <w:t>10.</w:t>
      </w:r>
      <w:r w:rsidRPr="00842BF4">
        <w:tab/>
        <w:t>Resultados de la aplicación de medidas para garantizar el acceso de los niños romaníes al derecho a la educación, aumentar su tasa de escolarización y combatir el absentismo y el abandono escolar de estos niños</w:t>
      </w:r>
      <w:r w:rsidRPr="00842BF4">
        <w:rPr>
          <w:rStyle w:val="Refdenotaalpie"/>
        </w:rPr>
        <w:footnoteReference w:id="8"/>
      </w:r>
      <w:r w:rsidRPr="00842BF4">
        <w:t>. Medidas adoptadas para mejorar el acceso de los romaníes al mercado laboral</w:t>
      </w:r>
      <w:r w:rsidRPr="00842BF4">
        <w:rPr>
          <w:rStyle w:val="Refdenotaalpie"/>
        </w:rPr>
        <w:footnoteReference w:id="9"/>
      </w:r>
      <w:r w:rsidRPr="00842BF4">
        <w:t>.</w:t>
      </w:r>
    </w:p>
    <w:p w14:paraId="03B692B7" w14:textId="77777777" w:rsidR="00842BF4" w:rsidRPr="00842BF4" w:rsidRDefault="00842BF4" w:rsidP="00842BF4">
      <w:pPr>
        <w:pStyle w:val="SingleTxtG"/>
      </w:pPr>
      <w:r w:rsidRPr="00842BF4">
        <w:t>11.</w:t>
      </w:r>
      <w:r w:rsidRPr="00842BF4">
        <w:tab/>
        <w:t>Información sobre la aplicación de medidas para eliminar la discriminación contra los nómadas. Avances en las medidas de acogida y alojamiento de los nómadas. Funcionamiento de la Comisión Nacional Consultiva de las Comunidades Itinerantes</w:t>
      </w:r>
      <w:r w:rsidRPr="00842BF4">
        <w:rPr>
          <w:rStyle w:val="Refdenotaalpie"/>
        </w:rPr>
        <w:footnoteReference w:id="10"/>
      </w:r>
      <w:r w:rsidRPr="00842BF4">
        <w:t>.</w:t>
      </w:r>
    </w:p>
    <w:p w14:paraId="0E271714" w14:textId="77777777" w:rsidR="00842BF4" w:rsidRPr="00842BF4" w:rsidRDefault="00842BF4" w:rsidP="00842BF4">
      <w:pPr>
        <w:pStyle w:val="SingleTxtG"/>
      </w:pPr>
      <w:r w:rsidRPr="00842BF4">
        <w:t>12.</w:t>
      </w:r>
      <w:r w:rsidRPr="00842BF4">
        <w:tab/>
        <w:t>Medidas adoptadas para combatir las múltiples formas de discriminación contra las mujeres pertenecientes a minorías, así como contra las mujeres migrantes, solicitantes de asilo y refugiadas.</w:t>
      </w:r>
    </w:p>
    <w:p w14:paraId="0CAD0E45" w14:textId="75CCFFB1" w:rsidR="00842BF4" w:rsidRPr="00842BF4" w:rsidRDefault="00842BF4" w:rsidP="00842BF4">
      <w:pPr>
        <w:pStyle w:val="H23G"/>
      </w:pPr>
      <w:r>
        <w:tab/>
      </w:r>
      <w:r w:rsidRPr="00842BF4">
        <w:tab/>
        <w:t>Situación de las minorías y los pueblos indígenas de los territorios de ultramar (arts.</w:t>
      </w:r>
      <w:r>
        <w:t> </w:t>
      </w:r>
      <w:r w:rsidRPr="00842BF4">
        <w:t>2</w:t>
      </w:r>
      <w:r>
        <w:t> </w:t>
      </w:r>
      <w:r w:rsidRPr="00842BF4">
        <w:t>y 5)</w:t>
      </w:r>
    </w:p>
    <w:p w14:paraId="660922CA" w14:textId="547A10B4" w:rsidR="00842BF4" w:rsidRPr="00842BF4" w:rsidRDefault="00842BF4" w:rsidP="00842BF4">
      <w:pPr>
        <w:pStyle w:val="SingleTxtG"/>
      </w:pPr>
      <w:r w:rsidRPr="00842BF4">
        <w:t>13.</w:t>
      </w:r>
      <w:r w:rsidRPr="00842BF4">
        <w:tab/>
        <w:t>Información sobre la aplicación del Plan de Urgencia para la Guayana Francesa</w:t>
      </w:r>
      <w:r w:rsidRPr="00842BF4">
        <w:rPr>
          <w:rStyle w:val="Refdenotaalpie"/>
        </w:rPr>
        <w:footnoteReference w:id="11"/>
      </w:r>
      <w:r w:rsidRPr="00842BF4">
        <w:t>. Medidas adoptadas para garantizar el reconocimiento y el respeto de los derechos de los pueblos indígenas de la Guayana Francesa, en particular sus derechos de acceso a las tierras ancestrales y a los recursos tradicionalmente utilizados por ellos, así como su derecho a ser consultados sobre cualquier medida que pueda afectarlos</w:t>
      </w:r>
      <w:r w:rsidRPr="00842BF4">
        <w:rPr>
          <w:rStyle w:val="Refdenotaalpie"/>
        </w:rPr>
        <w:footnoteReference w:id="12"/>
      </w:r>
      <w:r w:rsidRPr="00842BF4">
        <w:t>.</w:t>
      </w:r>
    </w:p>
    <w:p w14:paraId="0788824B" w14:textId="77777777" w:rsidR="00842BF4" w:rsidRPr="00842BF4" w:rsidRDefault="00842BF4" w:rsidP="00842BF4">
      <w:pPr>
        <w:pStyle w:val="SingleTxtG"/>
      </w:pPr>
      <w:r w:rsidRPr="00842BF4">
        <w:t>14.</w:t>
      </w:r>
      <w:r w:rsidRPr="00842BF4">
        <w:tab/>
        <w:t>Medidas para garantizar que los pueblos indígenas de Nueva Caledonia disfruten de sus derechos, incluidos los derechos económicos, sociales y culturales, así como su derecho a la libre determinación, y sus derechos de acceso a la tierra y a los recursos tradicionalmente utilizados por ellos.</w:t>
      </w:r>
    </w:p>
    <w:p w14:paraId="1AFB21BC" w14:textId="7D7BA3C9" w:rsidR="00842BF4" w:rsidRPr="00842BF4" w:rsidRDefault="00842BF4" w:rsidP="00842BF4">
      <w:pPr>
        <w:pStyle w:val="SingleTxtG"/>
      </w:pPr>
      <w:r w:rsidRPr="00842BF4">
        <w:t>15.</w:t>
      </w:r>
      <w:r w:rsidRPr="00842BF4">
        <w:tab/>
        <w:t xml:space="preserve">Información sobre la aplicación de la estrategia para el desarrollo de Mayotte conocida como </w:t>
      </w:r>
      <w:r>
        <w:t>“</w:t>
      </w:r>
      <w:r w:rsidRPr="00842BF4">
        <w:t>Mayotte 2025</w:t>
      </w:r>
      <w:r>
        <w:t>”</w:t>
      </w:r>
      <w:r w:rsidRPr="00842BF4">
        <w:rPr>
          <w:rStyle w:val="Refdenotaalpie"/>
        </w:rPr>
        <w:footnoteReference w:id="13"/>
      </w:r>
      <w:r w:rsidRPr="00842BF4">
        <w:t xml:space="preserve"> y sobre el disfrute de los derechos garantizados en la Convención, sin discriminación, por los maoríes.</w:t>
      </w:r>
    </w:p>
    <w:p w14:paraId="2F49DC66" w14:textId="2CA0F825" w:rsidR="00842BF4" w:rsidRPr="00842BF4" w:rsidRDefault="00842BF4" w:rsidP="00842BF4">
      <w:pPr>
        <w:pStyle w:val="H23G"/>
      </w:pPr>
      <w:r>
        <w:tab/>
      </w:r>
      <w:r w:rsidRPr="00842BF4">
        <w:tab/>
        <w:t>Situación de los migrantes, los solicitantes de asilo, los refugiados y los apátridas (arts.</w:t>
      </w:r>
      <w:r>
        <w:t> </w:t>
      </w:r>
      <w:r w:rsidRPr="00842BF4">
        <w:t>2 y 5)</w:t>
      </w:r>
    </w:p>
    <w:p w14:paraId="3F990A40" w14:textId="4A6B312A" w:rsidR="00842BF4" w:rsidRPr="00842BF4" w:rsidRDefault="00842BF4" w:rsidP="00842BF4">
      <w:pPr>
        <w:pStyle w:val="SingleTxtG"/>
      </w:pPr>
      <w:r w:rsidRPr="00842BF4">
        <w:t>16.</w:t>
      </w:r>
      <w:r w:rsidRPr="00842BF4">
        <w:tab/>
        <w:t xml:space="preserve">Información sobre las medidas adoptadas para mejorar el acceso al asilo, así como sobre las condiciones de acogida y de vida de los migrantes, solicitantes de asilo y refugiados. </w:t>
      </w:r>
      <w:r w:rsidRPr="00842BF4">
        <w:lastRenderedPageBreak/>
        <w:t>Medidas adoptadas para promover la integración social de los migrantes, los solicitantes de asilo y los refugiados, así como de los apátridas, entre otras cosas mediante el acceso al empleo, a la educación y a un nivel de vida adecuado.</w:t>
      </w:r>
    </w:p>
    <w:p w14:paraId="6D2B00E1" w14:textId="0D49EDE7" w:rsidR="00842BF4" w:rsidRPr="00842BF4" w:rsidRDefault="00842BF4" w:rsidP="00842BF4">
      <w:pPr>
        <w:pStyle w:val="SingleTxtG"/>
      </w:pPr>
      <w:r w:rsidRPr="00842BF4">
        <w:t>17.</w:t>
      </w:r>
      <w:r w:rsidRPr="00842BF4">
        <w:tab/>
        <w:t>Información sobre las medidas de protección adoptadas en favor de los niños migrantes y solicitantes de asilo no acompañados</w:t>
      </w:r>
      <w:r w:rsidRPr="00842BF4">
        <w:rPr>
          <w:rStyle w:val="Refdenotaalpie"/>
        </w:rPr>
        <w:footnoteReference w:id="14"/>
      </w:r>
      <w:r w:rsidRPr="00842BF4">
        <w:t>.</w:t>
      </w:r>
    </w:p>
    <w:p w14:paraId="25CDAA75" w14:textId="683881FE" w:rsidR="00842BF4" w:rsidRPr="00842BF4" w:rsidRDefault="00842BF4" w:rsidP="00842BF4">
      <w:pPr>
        <w:pStyle w:val="H23G"/>
      </w:pPr>
      <w:r>
        <w:tab/>
      </w:r>
      <w:r w:rsidRPr="00842BF4">
        <w:tab/>
        <w:t>Acceso a la justicia y discriminación racial en el sistema judicial (arts. 2 y 6)</w:t>
      </w:r>
    </w:p>
    <w:p w14:paraId="5E110193" w14:textId="5ADFEDA0" w:rsidR="00842BF4" w:rsidRPr="00842BF4" w:rsidRDefault="00842BF4" w:rsidP="00842BF4">
      <w:pPr>
        <w:pStyle w:val="SingleTxtG"/>
      </w:pPr>
      <w:r w:rsidRPr="00842BF4">
        <w:t>18.</w:t>
      </w:r>
      <w:r w:rsidRPr="00842BF4">
        <w:tab/>
        <w:t>Medidas adoptadas para facilitar el acceso de las víctimas de discriminación racial a la justicia y a recursos efectivos. Medidas adoptadas para combatir los prejuicios que conducen a la discriminación racial en el sistema judicial. Estadísticas sobre los casos de discriminación racial, incluidos los resultados de las investigaciones, las condenas impuestas y las indemnizaciones concedidas a las víctimas.</w:t>
      </w:r>
    </w:p>
    <w:p w14:paraId="4D7651A6" w14:textId="5BABF2BB" w:rsidR="00842BF4" w:rsidRPr="00842BF4" w:rsidRDefault="00842BF4" w:rsidP="00842BF4">
      <w:pPr>
        <w:pStyle w:val="SingleTxtG"/>
      </w:pPr>
      <w:r w:rsidRPr="00842BF4">
        <w:t>19.</w:t>
      </w:r>
      <w:r w:rsidRPr="00842BF4">
        <w:tab/>
        <w:t>Medidas para luchar contra la elaboración de perfiles raciales, el uso excesivo de la fuerza y los controles de identidad por la policía y demás fuerzas del orden que se basen únicamente en las características físicas asociadas al origen real o percibido. Información sobre la aplicación del Código de Ética de la Policía Nacional y la Gendarmería Nacional</w:t>
      </w:r>
      <w:r w:rsidRPr="00842BF4">
        <w:rPr>
          <w:rStyle w:val="Refdenotaalpie"/>
        </w:rPr>
        <w:footnoteReference w:id="15"/>
      </w:r>
      <w:r w:rsidRPr="00842BF4">
        <w:t>. Número de denuncias por violencia policial y controles policiales discriminatorios; número de investigaciones realizadas y su resultado. Evolución de la investigación de la muerte de Adama Traoré, ocurrida el 19 de julio de 2016.</w:t>
      </w:r>
    </w:p>
    <w:p w14:paraId="4F2720B3" w14:textId="6E8BE771" w:rsidR="00842BF4" w:rsidRPr="00842BF4" w:rsidRDefault="00842BF4" w:rsidP="00842BF4">
      <w:pPr>
        <w:pStyle w:val="H23G"/>
      </w:pPr>
      <w:r>
        <w:tab/>
      </w:r>
      <w:r w:rsidRPr="00842BF4">
        <w:tab/>
        <w:t>Lucha contra los estereotipos raciales (art. 7)</w:t>
      </w:r>
    </w:p>
    <w:p w14:paraId="61EA69D6" w14:textId="18A3887D" w:rsidR="00381C24" w:rsidRDefault="00842BF4" w:rsidP="00842BF4">
      <w:pPr>
        <w:pStyle w:val="SingleTxtG"/>
      </w:pPr>
      <w:r w:rsidRPr="00842BF4">
        <w:t>20.</w:t>
      </w:r>
      <w:r w:rsidRPr="00842BF4">
        <w:tab/>
        <w:t>Información detallada sobre las medidas concretas adoptadas para prevenir y combatir la discriminación racial, así como para combatir los prejuicios y estereotipos que conducen a la discriminación racial de las minorías, incluidos los romaníes, los nómadas, los árabes, los afrodescendientes, los migrantes, los solicitantes de asilo y los refugiados. Medidas adoptadas para concienciar a la población, los funcionarios públicos y los agentes de las fuerzas del orden de la importancia de la diversidad cultural, la tolerancia y el entendimiento entre grupos étnicos.</w:t>
      </w:r>
    </w:p>
    <w:p w14:paraId="54B7D802" w14:textId="2BE6B233" w:rsidR="00842BF4" w:rsidRPr="00842BF4" w:rsidRDefault="00842BF4" w:rsidP="00842BF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2BF4" w:rsidRPr="00842BF4" w:rsidSect="00842B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6CBA" w14:textId="77777777" w:rsidR="00E221DF" w:rsidRPr="00D43FF0" w:rsidRDefault="00E221DF" w:rsidP="00D43FF0">
      <w:pPr>
        <w:pStyle w:val="Piedepgina"/>
      </w:pPr>
    </w:p>
  </w:endnote>
  <w:endnote w:type="continuationSeparator" w:id="0">
    <w:p w14:paraId="1F3EADF8" w14:textId="77777777" w:rsidR="00E221DF" w:rsidRPr="00D43FF0" w:rsidRDefault="00E221DF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2D78" w14:textId="191F326F" w:rsidR="00842BF4" w:rsidRPr="00842BF4" w:rsidRDefault="00842BF4" w:rsidP="00842BF4">
    <w:pPr>
      <w:pStyle w:val="Piedepgina"/>
      <w:tabs>
        <w:tab w:val="right" w:pos="9638"/>
      </w:tabs>
    </w:pPr>
    <w:r w:rsidRPr="00842BF4">
      <w:rPr>
        <w:b/>
        <w:sz w:val="18"/>
      </w:rPr>
      <w:fldChar w:fldCharType="begin"/>
    </w:r>
    <w:r w:rsidRPr="00842BF4">
      <w:rPr>
        <w:b/>
        <w:sz w:val="18"/>
      </w:rPr>
      <w:instrText xml:space="preserve"> PAGE  \* MERGEFORMAT </w:instrText>
    </w:r>
    <w:r w:rsidRPr="00842BF4">
      <w:rPr>
        <w:b/>
        <w:sz w:val="18"/>
      </w:rPr>
      <w:fldChar w:fldCharType="separate"/>
    </w:r>
    <w:r w:rsidRPr="00842BF4">
      <w:rPr>
        <w:b/>
        <w:noProof/>
        <w:sz w:val="18"/>
      </w:rPr>
      <w:t>2</w:t>
    </w:r>
    <w:r w:rsidRPr="00842BF4">
      <w:rPr>
        <w:b/>
        <w:sz w:val="18"/>
      </w:rPr>
      <w:fldChar w:fldCharType="end"/>
    </w:r>
    <w:r>
      <w:rPr>
        <w:b/>
        <w:sz w:val="18"/>
      </w:rPr>
      <w:tab/>
    </w:r>
    <w:r>
      <w:t>GE.22-15677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BF" w14:textId="60FC9680" w:rsidR="00842BF4" w:rsidRPr="00842BF4" w:rsidRDefault="00842BF4" w:rsidP="00842BF4">
    <w:pPr>
      <w:pStyle w:val="Piedepgina"/>
      <w:tabs>
        <w:tab w:val="right" w:pos="9638"/>
      </w:tabs>
      <w:rPr>
        <w:b/>
        <w:sz w:val="18"/>
      </w:rPr>
    </w:pPr>
    <w:r>
      <w:t>GE.22-15677</w:t>
    </w:r>
    <w:r>
      <w:tab/>
    </w:r>
    <w:r w:rsidRPr="00842BF4">
      <w:rPr>
        <w:b/>
        <w:sz w:val="18"/>
      </w:rPr>
      <w:fldChar w:fldCharType="begin"/>
    </w:r>
    <w:r w:rsidRPr="00842BF4">
      <w:rPr>
        <w:b/>
        <w:sz w:val="18"/>
      </w:rPr>
      <w:instrText xml:space="preserve"> PAGE  \* MERGEFORMAT </w:instrText>
    </w:r>
    <w:r w:rsidRPr="00842BF4">
      <w:rPr>
        <w:b/>
        <w:sz w:val="18"/>
      </w:rPr>
      <w:fldChar w:fldCharType="separate"/>
    </w:r>
    <w:r w:rsidRPr="00842BF4">
      <w:rPr>
        <w:b/>
        <w:noProof/>
        <w:sz w:val="18"/>
      </w:rPr>
      <w:t>3</w:t>
    </w:r>
    <w:r w:rsidRPr="00842B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A227" w14:textId="6FE23B76" w:rsidR="00C63C2A" w:rsidRPr="00842BF4" w:rsidRDefault="00842BF4" w:rsidP="00842BF4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6BB0F6BB" wp14:editId="438561A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22-15677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6DAA53E" wp14:editId="6D0527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271022    271022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4E75" w14:textId="77777777" w:rsidR="00E221DF" w:rsidRPr="001075E9" w:rsidRDefault="00E221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60C7F0" w14:textId="77777777" w:rsidR="00E221DF" w:rsidRDefault="00E221DF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A7B465" w14:textId="37C2F1E4" w:rsidR="00842BF4" w:rsidRDefault="00842BF4" w:rsidP="00842BF4">
      <w:pPr>
        <w:pStyle w:val="Textonotapie"/>
      </w:pPr>
      <w:r>
        <w:tab/>
      </w:r>
      <w:r w:rsidRPr="00842BF4">
        <w:rPr>
          <w:rStyle w:val="Refdenotaalpie"/>
        </w:rPr>
        <w:footnoteRef/>
      </w:r>
      <w:r>
        <w:tab/>
      </w:r>
      <w:hyperlink r:id="rId1" w:history="1">
        <w:r w:rsidRPr="00842BF4">
          <w:rPr>
            <w:rStyle w:val="Hipervnculo"/>
          </w:rPr>
          <w:t>A/65/18</w:t>
        </w:r>
      </w:hyperlink>
      <w:r w:rsidRPr="00842BF4">
        <w:t>, párr. 85.</w:t>
      </w:r>
    </w:p>
  </w:footnote>
  <w:footnote w:id="2">
    <w:p w14:paraId="3522CD2C" w14:textId="587F55E7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hyperlink r:id="rId2" w:history="1">
        <w:r w:rsidRPr="00842BF4">
          <w:rPr>
            <w:rStyle w:val="Hipervnculo"/>
          </w:rPr>
          <w:t>CERD/C/FRA/22-23</w:t>
        </w:r>
      </w:hyperlink>
      <w:r w:rsidRPr="007C1818">
        <w:t>, párrs. 9 a 13.</w:t>
      </w:r>
    </w:p>
  </w:footnote>
  <w:footnote w:id="3">
    <w:p w14:paraId="1325E44F" w14:textId="282E6FFF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hyperlink r:id="rId3" w:history="1">
        <w:r w:rsidRPr="00842BF4">
          <w:rPr>
            <w:rStyle w:val="Hipervnculo"/>
          </w:rPr>
          <w:t>CERD/C/FRA/CO/20-21</w:t>
        </w:r>
      </w:hyperlink>
      <w:r w:rsidRPr="007C1818">
        <w:t>, párr. 5.</w:t>
      </w:r>
    </w:p>
  </w:footnote>
  <w:footnote w:id="4">
    <w:p w14:paraId="2FB45D94" w14:textId="188B47D4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hyperlink r:id="rId4" w:history="1">
        <w:r w:rsidRPr="00842BF4">
          <w:rPr>
            <w:rStyle w:val="Hipervnculo"/>
          </w:rPr>
          <w:t>CERD/C/FRA/22-23</w:t>
        </w:r>
      </w:hyperlink>
      <w:r w:rsidRPr="007C1818">
        <w:t>, párr. 49.</w:t>
      </w:r>
    </w:p>
  </w:footnote>
  <w:footnote w:id="5">
    <w:p w14:paraId="3576B70E" w14:textId="4A548992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hyperlink r:id="rId5" w:history="1">
        <w:r w:rsidRPr="00842BF4">
          <w:rPr>
            <w:rStyle w:val="Hipervnculo"/>
          </w:rPr>
          <w:t>CERD/C/FRA/CO/20-21</w:t>
        </w:r>
      </w:hyperlink>
      <w:r w:rsidRPr="007C1818">
        <w:t>, párr. 7.</w:t>
      </w:r>
    </w:p>
  </w:footnote>
  <w:footnote w:id="6">
    <w:p w14:paraId="26596815" w14:textId="772B03AE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hyperlink r:id="rId6" w:history="1">
        <w:r w:rsidRPr="00842BF4">
          <w:rPr>
            <w:rStyle w:val="Hipervnculo"/>
          </w:rPr>
          <w:t>CERD/C/FRA/22-23</w:t>
        </w:r>
      </w:hyperlink>
      <w:r w:rsidRPr="007C1818">
        <w:t>, párrs. 79 y 80.</w:t>
      </w:r>
    </w:p>
  </w:footnote>
  <w:footnote w:id="7">
    <w:p w14:paraId="4EFAB8DB" w14:textId="48391296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rPr>
          <w:i/>
          <w:iCs/>
        </w:rPr>
        <w:t>Ibid</w:t>
      </w:r>
      <w:r w:rsidRPr="007C1818">
        <w:t>., párrs. 22 y 23.</w:t>
      </w:r>
    </w:p>
  </w:footnote>
  <w:footnote w:id="8">
    <w:p w14:paraId="0392917D" w14:textId="77777777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rPr>
          <w:i/>
          <w:iCs/>
        </w:rPr>
        <w:t>Ibid.</w:t>
      </w:r>
      <w:r w:rsidRPr="007C1818">
        <w:t>, párr. 127.</w:t>
      </w:r>
    </w:p>
  </w:footnote>
  <w:footnote w:id="9">
    <w:p w14:paraId="28E4196A" w14:textId="662D1CE1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tab/>
      </w:r>
      <w:r w:rsidRPr="007C1818">
        <w:rPr>
          <w:i/>
          <w:iCs/>
        </w:rPr>
        <w:t>Ibid.</w:t>
      </w:r>
      <w:r w:rsidRPr="007C1818">
        <w:t>, párr. 131.</w:t>
      </w:r>
    </w:p>
  </w:footnote>
  <w:footnote w:id="10">
    <w:p w14:paraId="51AFC967" w14:textId="77777777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rPr>
          <w:i/>
          <w:iCs/>
        </w:rPr>
        <w:t>Ibid.</w:t>
      </w:r>
      <w:r w:rsidRPr="007C1818">
        <w:t>, párr. 133.</w:t>
      </w:r>
    </w:p>
  </w:footnote>
  <w:footnote w:id="11">
    <w:p w14:paraId="5FCE62B6" w14:textId="6BB9C598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rPr>
          <w:i/>
          <w:iCs/>
        </w:rPr>
        <w:t>Ibid</w:t>
      </w:r>
      <w:r w:rsidRPr="007C1818">
        <w:t>., párr. 169.</w:t>
      </w:r>
    </w:p>
  </w:footnote>
  <w:footnote w:id="12">
    <w:p w14:paraId="0BADC859" w14:textId="374E1AE9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hyperlink r:id="rId7" w:history="1">
        <w:r w:rsidRPr="00842BF4">
          <w:rPr>
            <w:rStyle w:val="Hipervnculo"/>
          </w:rPr>
          <w:tab/>
          <w:t>CERD/C/FRA/CO/20-21</w:t>
        </w:r>
      </w:hyperlink>
      <w:r w:rsidRPr="007C1818">
        <w:t>, párr. 12.</w:t>
      </w:r>
    </w:p>
  </w:footnote>
  <w:footnote w:id="13">
    <w:p w14:paraId="24EBA4D9" w14:textId="1EAB93B4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tab/>
      </w:r>
      <w:hyperlink r:id="rId8" w:history="1">
        <w:r w:rsidRPr="00842BF4">
          <w:rPr>
            <w:rStyle w:val="Hipervnculo"/>
          </w:rPr>
          <w:t>CERD/C/FRA/22-23</w:t>
        </w:r>
      </w:hyperlink>
      <w:r w:rsidRPr="007C1818">
        <w:t>, párr. 201.</w:t>
      </w:r>
    </w:p>
  </w:footnote>
  <w:footnote w:id="14">
    <w:p w14:paraId="7F1FDA3E" w14:textId="4C4F1077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tab/>
      </w:r>
      <w:r w:rsidRPr="007C1818">
        <w:rPr>
          <w:i/>
          <w:iCs/>
        </w:rPr>
        <w:t>Ibid</w:t>
      </w:r>
      <w:r w:rsidRPr="007C1818">
        <w:t>., párrs. 151 a 155.</w:t>
      </w:r>
    </w:p>
  </w:footnote>
  <w:footnote w:id="15">
    <w:p w14:paraId="04046C52" w14:textId="10377914" w:rsidR="00842BF4" w:rsidRPr="007C1818" w:rsidRDefault="00842BF4" w:rsidP="00842BF4">
      <w:pPr>
        <w:pStyle w:val="Textonotapie"/>
      </w:pPr>
      <w:r w:rsidRPr="007C1818">
        <w:tab/>
      </w:r>
      <w:r w:rsidRPr="00842BF4">
        <w:rPr>
          <w:rStyle w:val="Refdenotaalpie"/>
        </w:rPr>
        <w:footnoteRef/>
      </w:r>
      <w:r w:rsidRPr="007C1818">
        <w:tab/>
      </w:r>
      <w:r w:rsidRPr="007C1818">
        <w:tab/>
      </w:r>
      <w:r w:rsidRPr="007C1818">
        <w:rPr>
          <w:i/>
          <w:iCs/>
        </w:rPr>
        <w:t>Ibid</w:t>
      </w:r>
      <w:r w:rsidRPr="007C1818">
        <w:t>., párr. 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8824" w14:textId="5ED1CE17" w:rsidR="00842BF4" w:rsidRPr="00842BF4" w:rsidRDefault="00842BF4">
    <w:pPr>
      <w:pStyle w:val="Encabezado"/>
    </w:pPr>
    <w:fldSimple w:instr=" TITLE  \* MERGEFORMAT ">
      <w:r w:rsidR="0009161A">
        <w:t>CERD/C/FRA/Q/22-23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69F5" w14:textId="699F15B7" w:rsidR="00842BF4" w:rsidRPr="00842BF4" w:rsidRDefault="00842BF4" w:rsidP="00842BF4">
    <w:pPr>
      <w:pStyle w:val="Encabezado"/>
      <w:jc w:val="right"/>
    </w:pPr>
    <w:fldSimple w:instr=" TITLE  \* MERGEFORMAT ">
      <w:r w:rsidR="0009161A">
        <w:t>CERD/C/FRA/Q/22-23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E29D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F"/>
    <w:rsid w:val="00006BB9"/>
    <w:rsid w:val="000107A1"/>
    <w:rsid w:val="0002339D"/>
    <w:rsid w:val="00036733"/>
    <w:rsid w:val="00040024"/>
    <w:rsid w:val="0009161A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1368C"/>
    <w:rsid w:val="00322004"/>
    <w:rsid w:val="003402C2"/>
    <w:rsid w:val="00381C24"/>
    <w:rsid w:val="003958D0"/>
    <w:rsid w:val="003D7BF0"/>
    <w:rsid w:val="0040183B"/>
    <w:rsid w:val="004031F0"/>
    <w:rsid w:val="00454E07"/>
    <w:rsid w:val="00471CB3"/>
    <w:rsid w:val="004B5CEF"/>
    <w:rsid w:val="0050108D"/>
    <w:rsid w:val="0051740C"/>
    <w:rsid w:val="00535F7C"/>
    <w:rsid w:val="00572E19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21FF"/>
    <w:rsid w:val="007076CB"/>
    <w:rsid w:val="007967DF"/>
    <w:rsid w:val="007F6465"/>
    <w:rsid w:val="00834B71"/>
    <w:rsid w:val="00842BF4"/>
    <w:rsid w:val="00853ABF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CD5E3E"/>
    <w:rsid w:val="00D05347"/>
    <w:rsid w:val="00D43FF0"/>
    <w:rsid w:val="00D90138"/>
    <w:rsid w:val="00D90CD0"/>
    <w:rsid w:val="00DA26B8"/>
    <w:rsid w:val="00DD4E25"/>
    <w:rsid w:val="00E05C6B"/>
    <w:rsid w:val="00E221DF"/>
    <w:rsid w:val="00E2656E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B2184"/>
  <w15:docId w15:val="{F628F3D5-B438-455B-8EF7-5B8EC8EC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7F6465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7F646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7F6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7F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7F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7F646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7F64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7F64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7F6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7F646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7F64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7F646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7F646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7F646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7F646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7F646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7F646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7F6465"/>
    <w:pPr>
      <w:numPr>
        <w:numId w:val="3"/>
      </w:numPr>
    </w:pPr>
  </w:style>
  <w:style w:type="numbering" w:styleId="1ai">
    <w:name w:val="Outline List 1"/>
    <w:basedOn w:val="Sinlista"/>
    <w:rsid w:val="007F646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7F6465"/>
  </w:style>
  <w:style w:type="numbering" w:styleId="ArtculoSeccin">
    <w:name w:val="Outline List 3"/>
    <w:basedOn w:val="Sinlista"/>
    <w:rsid w:val="007F6465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7F6465"/>
    <w:pPr>
      <w:ind w:left="4252"/>
    </w:pPr>
  </w:style>
  <w:style w:type="character" w:styleId="CitaHTML">
    <w:name w:val="HTML Cite"/>
    <w:semiHidden/>
    <w:rsid w:val="007F6465"/>
    <w:rPr>
      <w:i/>
      <w:iCs/>
    </w:rPr>
  </w:style>
  <w:style w:type="character" w:styleId="CdigoHTML">
    <w:name w:val="HTML Code"/>
    <w:semiHidden/>
    <w:rsid w:val="007F646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7F6465"/>
    <w:pPr>
      <w:spacing w:after="120"/>
      <w:ind w:left="283"/>
    </w:pPr>
  </w:style>
  <w:style w:type="paragraph" w:styleId="Continuarlista2">
    <w:name w:val="List Continue 2"/>
    <w:basedOn w:val="Normal"/>
    <w:semiHidden/>
    <w:rsid w:val="007F6465"/>
    <w:pPr>
      <w:spacing w:after="120"/>
      <w:ind w:left="566"/>
    </w:pPr>
  </w:style>
  <w:style w:type="paragraph" w:styleId="Continuarlista3">
    <w:name w:val="List Continue 3"/>
    <w:basedOn w:val="Normal"/>
    <w:semiHidden/>
    <w:rsid w:val="007F6465"/>
    <w:pPr>
      <w:spacing w:after="120"/>
      <w:ind w:left="849"/>
    </w:pPr>
  </w:style>
  <w:style w:type="paragraph" w:styleId="Continuarlista4">
    <w:name w:val="List Continue 4"/>
    <w:basedOn w:val="Normal"/>
    <w:semiHidden/>
    <w:rsid w:val="007F6465"/>
    <w:pPr>
      <w:spacing w:after="120"/>
      <w:ind w:left="1132"/>
    </w:pPr>
  </w:style>
  <w:style w:type="paragraph" w:styleId="Continuarlista5">
    <w:name w:val="List Continue 5"/>
    <w:basedOn w:val="Normal"/>
    <w:semiHidden/>
    <w:rsid w:val="007F6465"/>
    <w:pPr>
      <w:spacing w:after="120"/>
      <w:ind w:left="1415"/>
    </w:pPr>
  </w:style>
  <w:style w:type="character" w:styleId="DefinicinHTML">
    <w:name w:val="HTML Definition"/>
    <w:semiHidden/>
    <w:rsid w:val="007F6465"/>
    <w:rPr>
      <w:i/>
      <w:iCs/>
    </w:rPr>
  </w:style>
  <w:style w:type="paragraph" w:styleId="DireccinHTML">
    <w:name w:val="HTML Address"/>
    <w:basedOn w:val="Normal"/>
    <w:link w:val="DireccinHTMLCar"/>
    <w:semiHidden/>
    <w:rsid w:val="007F6465"/>
    <w:rPr>
      <w:i/>
      <w:iCs/>
    </w:rPr>
  </w:style>
  <w:style w:type="paragraph" w:styleId="Direccinsobre">
    <w:name w:val="envelope address"/>
    <w:basedOn w:val="Normal"/>
    <w:semiHidden/>
    <w:rsid w:val="007F646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7F646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7F64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7F6465"/>
  </w:style>
  <w:style w:type="character" w:styleId="nfasis">
    <w:name w:val="Emphasis"/>
    <w:semiHidden/>
    <w:rsid w:val="007F6465"/>
    <w:rPr>
      <w:i/>
      <w:iCs/>
    </w:rPr>
  </w:style>
  <w:style w:type="paragraph" w:styleId="Fecha">
    <w:name w:val="Date"/>
    <w:basedOn w:val="Normal"/>
    <w:next w:val="Normal"/>
    <w:link w:val="FechaCar"/>
    <w:semiHidden/>
    <w:rsid w:val="007F6465"/>
  </w:style>
  <w:style w:type="paragraph" w:styleId="Firma">
    <w:name w:val="Signature"/>
    <w:basedOn w:val="Normal"/>
    <w:link w:val="FirmaCar"/>
    <w:semiHidden/>
    <w:rsid w:val="007F646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7F6465"/>
  </w:style>
  <w:style w:type="character" w:styleId="Hipervnculo">
    <w:name w:val="Hyperlink"/>
    <w:uiPriority w:val="4"/>
    <w:rsid w:val="007F6465"/>
    <w:rPr>
      <w:color w:val="0000FF"/>
      <w:u w:val="none"/>
    </w:rPr>
  </w:style>
  <w:style w:type="character" w:styleId="Hipervnculovisitado">
    <w:name w:val="FollowedHyperlink"/>
    <w:uiPriority w:val="4"/>
    <w:rsid w:val="007F646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7F6465"/>
    <w:rPr>
      <w:rFonts w:ascii="Courier New" w:hAnsi="Courier New" w:cs="Courier New"/>
    </w:rPr>
  </w:style>
  <w:style w:type="paragraph" w:styleId="Lista">
    <w:name w:val="List"/>
    <w:basedOn w:val="Normal"/>
    <w:semiHidden/>
    <w:rsid w:val="007F6465"/>
    <w:pPr>
      <w:ind w:left="283" w:hanging="283"/>
    </w:pPr>
  </w:style>
  <w:style w:type="paragraph" w:styleId="Lista2">
    <w:name w:val="List 2"/>
    <w:basedOn w:val="Normal"/>
    <w:semiHidden/>
    <w:rsid w:val="007F6465"/>
    <w:pPr>
      <w:ind w:left="566" w:hanging="283"/>
    </w:pPr>
  </w:style>
  <w:style w:type="paragraph" w:styleId="Lista3">
    <w:name w:val="List 3"/>
    <w:basedOn w:val="Normal"/>
    <w:semiHidden/>
    <w:rsid w:val="007F6465"/>
    <w:pPr>
      <w:ind w:left="849" w:hanging="283"/>
    </w:pPr>
  </w:style>
  <w:style w:type="paragraph" w:styleId="Lista4">
    <w:name w:val="List 4"/>
    <w:basedOn w:val="Normal"/>
    <w:semiHidden/>
    <w:rsid w:val="007F6465"/>
    <w:pPr>
      <w:ind w:left="1132" w:hanging="283"/>
    </w:pPr>
  </w:style>
  <w:style w:type="paragraph" w:styleId="Lista5">
    <w:name w:val="List 5"/>
    <w:basedOn w:val="Normal"/>
    <w:semiHidden/>
    <w:rsid w:val="007F6465"/>
    <w:pPr>
      <w:ind w:left="1415" w:hanging="283"/>
    </w:pPr>
  </w:style>
  <w:style w:type="paragraph" w:styleId="Listaconnmeros">
    <w:name w:val="List Number"/>
    <w:basedOn w:val="Normal"/>
    <w:semiHidden/>
    <w:rsid w:val="007F6465"/>
    <w:pPr>
      <w:numPr>
        <w:numId w:val="30"/>
      </w:numPr>
    </w:pPr>
  </w:style>
  <w:style w:type="paragraph" w:styleId="Listaconnmeros2">
    <w:name w:val="List Number 2"/>
    <w:basedOn w:val="Normal"/>
    <w:semiHidden/>
    <w:rsid w:val="007F6465"/>
    <w:pPr>
      <w:numPr>
        <w:numId w:val="31"/>
      </w:numPr>
    </w:pPr>
  </w:style>
  <w:style w:type="paragraph" w:styleId="Listaconnmeros3">
    <w:name w:val="List Number 3"/>
    <w:basedOn w:val="Normal"/>
    <w:semiHidden/>
    <w:rsid w:val="007F6465"/>
    <w:pPr>
      <w:numPr>
        <w:numId w:val="32"/>
      </w:numPr>
    </w:pPr>
  </w:style>
  <w:style w:type="paragraph" w:styleId="Listaconnmeros4">
    <w:name w:val="List Number 4"/>
    <w:basedOn w:val="Normal"/>
    <w:semiHidden/>
    <w:rsid w:val="007F6465"/>
    <w:pPr>
      <w:numPr>
        <w:numId w:val="33"/>
      </w:numPr>
    </w:pPr>
  </w:style>
  <w:style w:type="paragraph" w:styleId="Listaconnmeros5">
    <w:name w:val="List Number 5"/>
    <w:basedOn w:val="Normal"/>
    <w:semiHidden/>
    <w:rsid w:val="007F6465"/>
    <w:pPr>
      <w:numPr>
        <w:numId w:val="34"/>
      </w:numPr>
    </w:pPr>
  </w:style>
  <w:style w:type="paragraph" w:styleId="Listaconvietas">
    <w:name w:val="List Bullet"/>
    <w:basedOn w:val="Normal"/>
    <w:semiHidden/>
    <w:rsid w:val="007F6465"/>
    <w:pPr>
      <w:numPr>
        <w:numId w:val="25"/>
      </w:numPr>
    </w:pPr>
  </w:style>
  <w:style w:type="paragraph" w:styleId="Listaconvietas2">
    <w:name w:val="List Bullet 2"/>
    <w:basedOn w:val="Normal"/>
    <w:semiHidden/>
    <w:rsid w:val="007F6465"/>
    <w:pPr>
      <w:numPr>
        <w:numId w:val="26"/>
      </w:numPr>
    </w:pPr>
  </w:style>
  <w:style w:type="paragraph" w:styleId="Listaconvietas3">
    <w:name w:val="List Bullet 3"/>
    <w:basedOn w:val="Normal"/>
    <w:semiHidden/>
    <w:rsid w:val="007F6465"/>
    <w:pPr>
      <w:numPr>
        <w:numId w:val="27"/>
      </w:numPr>
    </w:pPr>
  </w:style>
  <w:style w:type="paragraph" w:styleId="Listaconvietas4">
    <w:name w:val="List Bullet 4"/>
    <w:basedOn w:val="Normal"/>
    <w:semiHidden/>
    <w:rsid w:val="007F6465"/>
    <w:pPr>
      <w:numPr>
        <w:numId w:val="28"/>
      </w:numPr>
    </w:pPr>
  </w:style>
  <w:style w:type="paragraph" w:styleId="Listaconvietas5">
    <w:name w:val="List Bullet 5"/>
    <w:basedOn w:val="Normal"/>
    <w:semiHidden/>
    <w:rsid w:val="007F6465"/>
    <w:pPr>
      <w:numPr>
        <w:numId w:val="29"/>
      </w:numPr>
    </w:pPr>
  </w:style>
  <w:style w:type="character" w:styleId="MquinadeescribirHTML">
    <w:name w:val="HTML Typewriter"/>
    <w:semiHidden/>
    <w:rsid w:val="007F646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7F6465"/>
    <w:rPr>
      <w:sz w:val="24"/>
      <w:szCs w:val="24"/>
    </w:rPr>
  </w:style>
  <w:style w:type="character" w:styleId="Nmerodelnea">
    <w:name w:val="line number"/>
    <w:basedOn w:val="Fuentedeprrafopredeter"/>
    <w:semiHidden/>
    <w:rsid w:val="007F6465"/>
  </w:style>
  <w:style w:type="character" w:styleId="Nmerodepgina">
    <w:name w:val="page number"/>
    <w:aliases w:val="7_G"/>
    <w:uiPriority w:val="3"/>
    <w:qFormat/>
    <w:rsid w:val="007F6465"/>
    <w:rPr>
      <w:b/>
      <w:sz w:val="18"/>
    </w:rPr>
  </w:style>
  <w:style w:type="character" w:styleId="Refdenotaalfinal">
    <w:name w:val="endnote reference"/>
    <w:aliases w:val="1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7F646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7F6465"/>
  </w:style>
  <w:style w:type="paragraph" w:styleId="Sangra2detindependiente">
    <w:name w:val="Body Text Indent 2"/>
    <w:basedOn w:val="Normal"/>
    <w:link w:val="Sangra2detindependienteCar"/>
    <w:semiHidden/>
    <w:rsid w:val="007F646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7F646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7F6465"/>
    <w:pPr>
      <w:spacing w:after="120"/>
      <w:ind w:left="283"/>
    </w:pPr>
  </w:style>
  <w:style w:type="paragraph" w:styleId="Sangranormal">
    <w:name w:val="Normal Indent"/>
    <w:basedOn w:val="Normal"/>
    <w:semiHidden/>
    <w:rsid w:val="007F6465"/>
    <w:pPr>
      <w:ind w:left="567"/>
    </w:pPr>
  </w:style>
  <w:style w:type="paragraph" w:styleId="Subttulo">
    <w:name w:val="Subtitle"/>
    <w:basedOn w:val="Normal"/>
    <w:link w:val="SubttuloCar"/>
    <w:semiHidden/>
    <w:rsid w:val="007F64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F646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F646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F646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F646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7F646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F646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F646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F646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F646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7F646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F646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F646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7F646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7F6465"/>
    <w:pPr>
      <w:spacing w:after="120"/>
      <w:ind w:left="1440" w:right="1440"/>
    </w:pPr>
  </w:style>
  <w:style w:type="character" w:styleId="Textoennegrita">
    <w:name w:val="Strong"/>
    <w:semiHidden/>
    <w:rsid w:val="007F646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7F646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7F646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7F646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7F646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7F646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7F6465"/>
  </w:style>
  <w:style w:type="paragraph" w:styleId="Textosinformato">
    <w:name w:val="Plain Text"/>
    <w:basedOn w:val="Normal"/>
    <w:link w:val="TextosinformatoCar"/>
    <w:semiHidden/>
    <w:rsid w:val="007F6465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7F6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7F6465"/>
    <w:rPr>
      <w:i/>
      <w:iCs/>
    </w:rPr>
  </w:style>
  <w:style w:type="paragraph" w:customStyle="1" w:styleId="Bullet1G">
    <w:name w:val="_Bullet 1_G"/>
    <w:basedOn w:val="Normal"/>
    <w:uiPriority w:val="1"/>
    <w:qFormat/>
    <w:rsid w:val="007F6465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7F6465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7F6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6465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7F6465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7F646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7F6465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7F6465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646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646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646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646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646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646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646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646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7F6465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7F646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646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7F646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7F646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7F646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7F6465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7F646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7F646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646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rsid w:val="007F646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7F64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F646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646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F646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646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7F646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7F646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7F646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7F646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7F646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7F646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7F646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7F646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7F646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7F646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7F6465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84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CERD/C/FRA/22-23" TargetMode="External"/><Relationship Id="rId3" Type="http://schemas.openxmlformats.org/officeDocument/2006/relationships/hyperlink" Target="https://undocs.org/es/CERD/C/FRA/CO/20-21" TargetMode="External"/><Relationship Id="rId7" Type="http://schemas.openxmlformats.org/officeDocument/2006/relationships/hyperlink" Target="https://undocs.org/es/%09CERD/C/FRA/CO/20-21" TargetMode="External"/><Relationship Id="rId2" Type="http://schemas.openxmlformats.org/officeDocument/2006/relationships/hyperlink" Target="https://undocs.org/es/CERD/C/FRA/22-23" TargetMode="External"/><Relationship Id="rId1" Type="http://schemas.openxmlformats.org/officeDocument/2006/relationships/hyperlink" Target="https://undocs.org/es/A/65/18" TargetMode="External"/><Relationship Id="rId6" Type="http://schemas.openxmlformats.org/officeDocument/2006/relationships/hyperlink" Target="https://undocs.org/es/CERD/C/FRA/22-23" TargetMode="External"/><Relationship Id="rId5" Type="http://schemas.openxmlformats.org/officeDocument/2006/relationships/hyperlink" Target="https://undocs.org/es/CERD/C/FRA/CO/20-21" TargetMode="External"/><Relationship Id="rId4" Type="http://schemas.openxmlformats.org/officeDocument/2006/relationships/hyperlink" Target="https://undocs.org/es/CERD/C/FRA/22-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</Pages>
  <Words>1207</Words>
  <Characters>6538</Characters>
  <Application>Microsoft Office Word</Application>
  <DocSecurity>0</DocSecurity>
  <Lines>115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CERD/C/FRA/Q/22-23</vt:lpstr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CERD/C/FRA/Q/22-23</dc:title>
  <dc:subject/>
  <dc:creator>Luz Maria URQUIZU MARROQUIN</dc:creator>
  <cp:keywords/>
  <cp:lastModifiedBy>Luz Urquizu Marroquin</cp:lastModifiedBy>
  <cp:revision>4</cp:revision>
  <cp:lastPrinted>2022-10-27T12:38:00Z</cp:lastPrinted>
  <dcterms:created xsi:type="dcterms:W3CDTF">2022-10-27T12:38:00Z</dcterms:created>
  <dcterms:modified xsi:type="dcterms:W3CDTF">2022-10-27T12:39:00Z</dcterms:modified>
</cp:coreProperties>
</file>