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49286A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49286A" w:rsidRDefault="00292480" w:rsidP="009C4E83">
            <w:pPr>
              <w:spacing w:after="80" w:line="300" w:lineRule="exact"/>
              <w:rPr>
                <w:sz w:val="28"/>
              </w:rPr>
            </w:pPr>
            <w:r w:rsidRPr="0049286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49286A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49286A" w:rsidRDefault="00292480" w:rsidP="009C4E83">
            <w:pPr>
              <w:jc w:val="right"/>
            </w:pPr>
            <w:r w:rsidRPr="0049286A">
              <w:rPr>
                <w:sz w:val="40"/>
                <w:szCs w:val="40"/>
              </w:rPr>
              <w:t>CRC</w:t>
            </w:r>
            <w:r w:rsidRPr="0049286A">
              <w:t>/</w:t>
            </w:r>
            <w:fldSimple w:instr=" FILLIN  &quot;Введите часть символа после CRC/&quot;  \* MERGEFORMAT ">
              <w:r w:rsidR="00195786" w:rsidRPr="0049286A">
                <w:t>C/DEU/CO/3-4</w:t>
              </w:r>
            </w:fldSimple>
          </w:p>
        </w:tc>
      </w:tr>
      <w:tr w:rsidR="00292480" w:rsidRPr="0049286A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49286A" w:rsidRDefault="00292480" w:rsidP="009C4E83">
            <w:pPr>
              <w:spacing w:before="120"/>
              <w:jc w:val="center"/>
            </w:pPr>
            <w:r w:rsidRPr="0049286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49286A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49286A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49286A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49286A" w:rsidRDefault="00292480" w:rsidP="009C4E83">
            <w:pPr>
              <w:spacing w:before="240"/>
            </w:pPr>
            <w:r w:rsidRPr="0049286A">
              <w:t xml:space="preserve">Distr.: </w:t>
            </w:r>
            <w:r w:rsidRPr="0049286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9286A">
              <w:instrText xml:space="preserve"> FORMDROPDOWN </w:instrText>
            </w:r>
            <w:r w:rsidRPr="0049286A">
              <w:fldChar w:fldCharType="end"/>
            </w:r>
          </w:p>
          <w:p w:rsidR="00292480" w:rsidRPr="0049286A" w:rsidRDefault="00292480" w:rsidP="009C4E83">
            <w:fldSimple w:instr=" FILLIN  &quot;Введите дату документа&quot; \* MERGEFORMAT ">
              <w:r w:rsidR="00195786" w:rsidRPr="0049286A">
                <w:t>25 February 2014</w:t>
              </w:r>
            </w:fldSimple>
          </w:p>
          <w:p w:rsidR="00292480" w:rsidRPr="0049286A" w:rsidRDefault="00292480" w:rsidP="009C4E83">
            <w:r w:rsidRPr="0049286A">
              <w:t>Russian</w:t>
            </w:r>
          </w:p>
          <w:p w:rsidR="00292480" w:rsidRPr="0049286A" w:rsidRDefault="00292480" w:rsidP="009C4E83">
            <w:r w:rsidRPr="0049286A">
              <w:t xml:space="preserve">Original: </w:t>
            </w:r>
            <w:r w:rsidRPr="0049286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9286A">
              <w:instrText xml:space="preserve"> FORMDROPDOWN </w:instrText>
            </w:r>
            <w:r w:rsidRPr="0049286A">
              <w:fldChar w:fldCharType="end"/>
            </w:r>
          </w:p>
          <w:p w:rsidR="00292480" w:rsidRPr="0049286A" w:rsidRDefault="00292480" w:rsidP="009C4E83"/>
        </w:tc>
      </w:tr>
    </w:tbl>
    <w:p w:rsidR="00195786" w:rsidRPr="0049286A" w:rsidRDefault="00195786" w:rsidP="00195786">
      <w:pPr>
        <w:spacing w:before="120"/>
        <w:rPr>
          <w:b/>
          <w:bCs/>
          <w:sz w:val="24"/>
          <w:szCs w:val="24"/>
        </w:rPr>
      </w:pPr>
      <w:r w:rsidRPr="0049286A">
        <w:rPr>
          <w:b/>
          <w:bCs/>
          <w:sz w:val="24"/>
          <w:szCs w:val="24"/>
        </w:rPr>
        <w:t>Комитет по правам ребенка</w:t>
      </w:r>
    </w:p>
    <w:p w:rsidR="00195786" w:rsidRPr="0049286A" w:rsidRDefault="00195786" w:rsidP="00195786">
      <w:pPr>
        <w:pStyle w:val="HChGR"/>
      </w:pPr>
      <w:r w:rsidRPr="0049286A">
        <w:tab/>
      </w:r>
      <w:r w:rsidRPr="0049286A">
        <w:tab/>
        <w:t>Заключительные замечания по объединенным третьему и четвертому периодическим докладам Германии</w:t>
      </w:r>
      <w:r w:rsidRPr="001D552E">
        <w:rPr>
          <w:rStyle w:val="FootnoteReference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</w:p>
    <w:p w:rsidR="00195786" w:rsidRPr="0049286A" w:rsidRDefault="00195786" w:rsidP="00195786">
      <w:pPr>
        <w:pStyle w:val="SingleTxtGR"/>
      </w:pPr>
      <w:r w:rsidRPr="0049286A">
        <w:t>1.</w:t>
      </w:r>
      <w:r w:rsidRPr="0049286A">
        <w:tab/>
      </w:r>
      <w:r w:rsidRPr="0049286A">
        <w:rPr>
          <w:rFonts w:eastAsia="Malgun Gothic"/>
        </w:rPr>
        <w:t>Комитет рассмотрел объединенные третий и четвертый периодические доклады Германии (</w:t>
      </w:r>
      <w:r w:rsidRPr="0049286A">
        <w:t>CRC/C/DEU/3-4</w:t>
      </w:r>
      <w:r w:rsidRPr="0049286A">
        <w:rPr>
          <w:rFonts w:eastAsia="Malgun Gothic"/>
        </w:rPr>
        <w:t xml:space="preserve">) на своих 1866-м и 1867-м заседаниях </w:t>
      </w:r>
      <w:r w:rsidR="008D4485">
        <w:rPr>
          <w:rFonts w:eastAsia="Malgun Gothic"/>
          <w:lang w:val="en-US"/>
        </w:rPr>
        <w:br/>
      </w:r>
      <w:r w:rsidRPr="0049286A">
        <w:rPr>
          <w:rFonts w:eastAsia="Malgun Gothic"/>
        </w:rPr>
        <w:t>(см.</w:t>
      </w:r>
      <w:r w:rsidR="0049286A" w:rsidRPr="0049286A">
        <w:rPr>
          <w:rFonts w:eastAsia="Malgun Gothic"/>
        </w:rPr>
        <w:t xml:space="preserve"> </w:t>
      </w:r>
      <w:r w:rsidRPr="0049286A">
        <w:t>CRC/C/SR.1866 и 1867</w:t>
      </w:r>
      <w:r w:rsidRPr="0049286A">
        <w:rPr>
          <w:rFonts w:eastAsia="Malgun Gothic"/>
        </w:rPr>
        <w:t>), состоявшихся 27</w:t>
      </w:r>
      <w:r w:rsidR="0049286A" w:rsidRPr="0049286A">
        <w:rPr>
          <w:rFonts w:eastAsia="Malgun Gothic"/>
        </w:rPr>
        <w:t xml:space="preserve"> </w:t>
      </w:r>
      <w:r w:rsidRPr="0049286A">
        <w:rPr>
          <w:rFonts w:eastAsia="Malgun Gothic"/>
        </w:rPr>
        <w:t xml:space="preserve">января 2014 года, и на своем 1875-м заседании </w:t>
      </w:r>
      <w:r w:rsidRPr="0049286A">
        <w:rPr>
          <w:lang w:eastAsia="de-DE"/>
        </w:rPr>
        <w:t xml:space="preserve">(см. CRC/C/SR.1875) </w:t>
      </w:r>
      <w:r w:rsidRPr="0049286A">
        <w:rPr>
          <w:rFonts w:eastAsia="Malgun Gothic"/>
        </w:rPr>
        <w:t>31 января 2014 года принял следующие закл</w:t>
      </w:r>
      <w:r w:rsidRPr="0049286A">
        <w:rPr>
          <w:rFonts w:eastAsia="Malgun Gothic"/>
        </w:rPr>
        <w:t>ю</w:t>
      </w:r>
      <w:r w:rsidRPr="0049286A">
        <w:rPr>
          <w:rFonts w:eastAsia="Malgun Gothic"/>
        </w:rPr>
        <w:t>чительные замечания.</w:t>
      </w:r>
    </w:p>
    <w:p w:rsidR="00195786" w:rsidRPr="0049286A" w:rsidRDefault="00195786" w:rsidP="00195786">
      <w:pPr>
        <w:pStyle w:val="HChGR"/>
      </w:pPr>
      <w:r w:rsidRPr="0049286A">
        <w:tab/>
        <w:t>I.</w:t>
      </w:r>
      <w:r w:rsidRPr="0049286A">
        <w:tab/>
        <w:t xml:space="preserve">Введение </w:t>
      </w:r>
    </w:p>
    <w:p w:rsidR="00195786" w:rsidRPr="0049286A" w:rsidRDefault="00195786" w:rsidP="00195786">
      <w:pPr>
        <w:pStyle w:val="SingleTxtGR"/>
      </w:pPr>
      <w:r w:rsidRPr="0049286A">
        <w:t>2.</w:t>
      </w:r>
      <w:r w:rsidRPr="0049286A">
        <w:tab/>
        <w:t>Комитет приветствует представление объединенных третьего и четверт</w:t>
      </w:r>
      <w:r w:rsidRPr="0049286A">
        <w:t>о</w:t>
      </w:r>
      <w:r w:rsidRPr="0049286A">
        <w:t>го периодических докладов Германии (CRC/C/DEU/3-4) и письменных ответов на перечень вопросов (CRC/C/DEU/Q/3-4/Add.1), которые позволили лучше п</w:t>
      </w:r>
      <w:r w:rsidRPr="0049286A">
        <w:t>о</w:t>
      </w:r>
      <w:r w:rsidRPr="0049286A">
        <w:t>нять положение в области прав детей в государстве-участнике. Комитет выр</w:t>
      </w:r>
      <w:r w:rsidRPr="0049286A">
        <w:t>а</w:t>
      </w:r>
      <w:r w:rsidRPr="0049286A">
        <w:t xml:space="preserve">жает удовлетворение конструктивным диалогом с многопрофильной делегацией высокого уровня государства-участника. </w:t>
      </w:r>
    </w:p>
    <w:p w:rsidR="00195786" w:rsidRPr="0049286A" w:rsidRDefault="00195786" w:rsidP="00195786">
      <w:pPr>
        <w:pStyle w:val="HChGR"/>
      </w:pPr>
      <w:r w:rsidRPr="0049286A">
        <w:tab/>
        <w:t>II.</w:t>
      </w:r>
      <w:r w:rsidRPr="0049286A">
        <w:tab/>
        <w:t>Последующие меры, принятые государством-участником, и достигнутый им прогресс</w:t>
      </w:r>
    </w:p>
    <w:p w:rsidR="00195786" w:rsidRPr="0049286A" w:rsidRDefault="00195786" w:rsidP="00195786">
      <w:pPr>
        <w:pStyle w:val="SingleTxtGR"/>
      </w:pPr>
      <w:r w:rsidRPr="0049286A">
        <w:t>3.</w:t>
      </w:r>
      <w:r w:rsidRPr="0049286A">
        <w:tab/>
        <w:t>Комитет приветствует принятие следующих законодательных мер, вкл</w:t>
      </w:r>
      <w:r w:rsidRPr="0049286A">
        <w:t>ю</w:t>
      </w:r>
      <w:r w:rsidRPr="0049286A">
        <w:t>чая: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Закон от 4</w:t>
      </w:r>
      <w:r w:rsidR="0049286A" w:rsidRPr="0049286A">
        <w:t xml:space="preserve"> </w:t>
      </w:r>
      <w:r w:rsidRPr="0049286A">
        <w:t>июля 2013 года о расширении прав биологических о</w:t>
      </w:r>
      <w:r w:rsidRPr="0049286A">
        <w:t>т</w:t>
      </w:r>
      <w:r w:rsidRPr="0049286A">
        <w:t>цов, не являющихся отцами юридическими;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Закон от 16</w:t>
      </w:r>
      <w:r w:rsidR="0049286A" w:rsidRPr="0049286A">
        <w:t xml:space="preserve"> </w:t>
      </w:r>
      <w:r w:rsidRPr="0049286A">
        <w:t>апреля 2013 года об изменении родительских прав на опеку над детьми родителей, не состоящих друг с другом в браке;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Закон от 29</w:t>
      </w:r>
      <w:r w:rsidR="0049286A" w:rsidRPr="0049286A">
        <w:t xml:space="preserve"> </w:t>
      </w:r>
      <w:r w:rsidRPr="0049286A">
        <w:t>июня 2011 года об изменении законодательства о поп</w:t>
      </w:r>
      <w:r w:rsidRPr="0049286A">
        <w:t>е</w:t>
      </w:r>
      <w:r w:rsidRPr="0049286A">
        <w:t>чительстве и опекунском уходе;</w:t>
      </w:r>
    </w:p>
    <w:p w:rsidR="00195786" w:rsidRPr="0049286A" w:rsidRDefault="00195786" w:rsidP="00195786">
      <w:pPr>
        <w:pStyle w:val="SingleTxtGR"/>
      </w:pPr>
      <w:r w:rsidRPr="0049286A">
        <w:tab/>
        <w:t>d)</w:t>
      </w:r>
      <w:r w:rsidRPr="0049286A">
        <w:tab/>
        <w:t>Федеральный закон о защите детей от 22</w:t>
      </w:r>
      <w:r w:rsidR="0049286A" w:rsidRPr="0049286A">
        <w:t xml:space="preserve"> </w:t>
      </w:r>
      <w:r w:rsidRPr="0049286A">
        <w:t>декабря 2011 года;</w:t>
      </w:r>
    </w:p>
    <w:p w:rsidR="00195786" w:rsidRPr="0049286A" w:rsidRDefault="00195786" w:rsidP="00195786">
      <w:pPr>
        <w:pStyle w:val="SingleTxtGR"/>
      </w:pPr>
      <w:r w:rsidRPr="0049286A">
        <w:tab/>
        <w:t>e)</w:t>
      </w:r>
      <w:r w:rsidRPr="0049286A">
        <w:tab/>
        <w:t>Закон о поддержке детей от 16</w:t>
      </w:r>
      <w:r w:rsidR="0049286A" w:rsidRPr="0049286A">
        <w:t xml:space="preserve"> </w:t>
      </w:r>
      <w:r w:rsidRPr="0049286A">
        <w:t>декабря 2008 года;</w:t>
      </w:r>
    </w:p>
    <w:p w:rsidR="00195786" w:rsidRPr="0049286A" w:rsidRDefault="00195786" w:rsidP="00195786">
      <w:pPr>
        <w:pStyle w:val="SingleTxtGR"/>
      </w:pPr>
      <w:r w:rsidRPr="0049286A">
        <w:tab/>
        <w:t>f)</w:t>
      </w:r>
      <w:r w:rsidRPr="0049286A">
        <w:tab/>
        <w:t>Закон от 12</w:t>
      </w:r>
      <w:r w:rsidR="0049286A" w:rsidRPr="0049286A">
        <w:t xml:space="preserve"> </w:t>
      </w:r>
      <w:r w:rsidRPr="0049286A">
        <w:t>июля 2008 года об оказании содействия семейным с</w:t>
      </w:r>
      <w:r w:rsidRPr="0049286A">
        <w:t>у</w:t>
      </w:r>
      <w:r w:rsidRPr="0049286A">
        <w:t xml:space="preserve">дам </w:t>
      </w:r>
      <w:r w:rsidR="0049286A">
        <w:t>в принятии мер при возникновени</w:t>
      </w:r>
      <w:r w:rsidR="0049286A">
        <w:rPr>
          <w:lang w:val="en-US"/>
        </w:rPr>
        <w:t>и</w:t>
      </w:r>
      <w:r w:rsidRPr="0049286A">
        <w:t xml:space="preserve"> угрозы для наилучших интересов р</w:t>
      </w:r>
      <w:r w:rsidRPr="0049286A">
        <w:t>е</w:t>
      </w:r>
      <w:r w:rsidRPr="0049286A">
        <w:t>бенка;</w:t>
      </w:r>
    </w:p>
    <w:p w:rsidR="00195786" w:rsidRPr="0049286A" w:rsidRDefault="00195786" w:rsidP="00195786">
      <w:pPr>
        <w:pStyle w:val="SingleTxtGR"/>
      </w:pPr>
      <w:r w:rsidRPr="0049286A">
        <w:tab/>
        <w:t>g)</w:t>
      </w:r>
      <w:r w:rsidRPr="0049286A">
        <w:tab/>
        <w:t>Федеральный закон о родительских льготах и отпуске родителей по уходу за ребенком от 1</w:t>
      </w:r>
      <w:r w:rsidR="0049286A" w:rsidRPr="0049286A">
        <w:t xml:space="preserve"> </w:t>
      </w:r>
      <w:r w:rsidRPr="0049286A">
        <w:t>января 2007 года;</w:t>
      </w:r>
    </w:p>
    <w:p w:rsidR="00195786" w:rsidRPr="0049286A" w:rsidRDefault="00195786" w:rsidP="00195786">
      <w:pPr>
        <w:pStyle w:val="SingleTxtGR"/>
      </w:pPr>
      <w:r w:rsidRPr="0049286A">
        <w:tab/>
        <w:t>h)</w:t>
      </w:r>
      <w:r w:rsidRPr="0049286A">
        <w:tab/>
        <w:t>Закон о дальнейшем развитии системы социального обеспечения детей и молодежи от 1</w:t>
      </w:r>
      <w:r w:rsidR="0049286A" w:rsidRPr="0049286A">
        <w:t xml:space="preserve"> </w:t>
      </w:r>
      <w:r w:rsidRPr="0049286A">
        <w:t>октября 2005 года.</w:t>
      </w:r>
    </w:p>
    <w:p w:rsidR="00195786" w:rsidRPr="0049286A" w:rsidRDefault="00195786" w:rsidP="00195786">
      <w:pPr>
        <w:pStyle w:val="SingleTxtGR"/>
      </w:pPr>
      <w:r w:rsidRPr="0049286A">
        <w:t>4.</w:t>
      </w:r>
      <w:r w:rsidRPr="0049286A">
        <w:tab/>
        <w:t>Комитет также с удовлетворением принимает во внимание ратификацию: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Факультативного протокола к Конвенции о правах ребенка, каса</w:t>
      </w:r>
      <w:r w:rsidRPr="0049286A">
        <w:t>ю</w:t>
      </w:r>
      <w:r w:rsidRPr="0049286A">
        <w:t>щегося процедуры сообщений, в феврале 2013 года;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Факультативного протокола к Конвенции о правах ребенка, каса</w:t>
      </w:r>
      <w:r w:rsidRPr="0049286A">
        <w:t>ю</w:t>
      </w:r>
      <w:r w:rsidRPr="0049286A">
        <w:t>щегося торговли детьми, детской проституции и детской порнографии, в июле 2009 года;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Международной конвенции о защите всех лиц от насильственных исчезновений, в сентябре 2009 года;</w:t>
      </w:r>
    </w:p>
    <w:p w:rsidR="00195786" w:rsidRPr="0049286A" w:rsidRDefault="00195786" w:rsidP="00195786">
      <w:pPr>
        <w:pStyle w:val="SingleTxtGR"/>
      </w:pPr>
      <w:r w:rsidRPr="0049286A">
        <w:tab/>
        <w:t>d)</w:t>
      </w:r>
      <w:r w:rsidRPr="0049286A">
        <w:tab/>
        <w:t>Конвенции о правах инвалидов, в феврале 2009 года;</w:t>
      </w:r>
    </w:p>
    <w:p w:rsidR="00195786" w:rsidRPr="0049286A" w:rsidRDefault="00195786" w:rsidP="00195786">
      <w:pPr>
        <w:pStyle w:val="SingleTxtGR"/>
      </w:pPr>
      <w:r w:rsidRPr="0049286A">
        <w:tab/>
        <w:t>e)</w:t>
      </w:r>
      <w:r w:rsidRPr="0049286A">
        <w:tab/>
        <w:t>Конвенции Совета Европы о противодействии торговле людьми, в декабре 2012 года.</w:t>
      </w:r>
    </w:p>
    <w:p w:rsidR="00195786" w:rsidRPr="0049286A" w:rsidRDefault="00195786" w:rsidP="00195786">
      <w:pPr>
        <w:pStyle w:val="SingleTxtGR"/>
      </w:pPr>
      <w:r w:rsidRPr="0049286A">
        <w:t>5.</w:t>
      </w:r>
      <w:r w:rsidRPr="0049286A">
        <w:tab/>
        <w:t>Комитет также приветствует следующие меры организационного и пол</w:t>
      </w:r>
      <w:r w:rsidRPr="0049286A">
        <w:t>и</w:t>
      </w:r>
      <w:r w:rsidRPr="0049286A">
        <w:t>тического характера: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принятие в 2012 году Федеральной инициативы по поддержке мер раннего вмешательства;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разработка Стратегии федерального правительства по укреплению здоровья детей в 2008 году;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принятие Национального плана действий на 2005–2010 годы под названием "Für ein kindergerechtes Deutschland" ("За дружественную детям Ге</w:t>
      </w:r>
      <w:r w:rsidRPr="0049286A">
        <w:t>р</w:t>
      </w:r>
      <w:r w:rsidRPr="0049286A">
        <w:t>манию").</w:t>
      </w:r>
    </w:p>
    <w:p w:rsidR="00195786" w:rsidRPr="0049286A" w:rsidRDefault="00195786" w:rsidP="00195786">
      <w:pPr>
        <w:pStyle w:val="SingleTxtGR"/>
      </w:pPr>
      <w:r w:rsidRPr="0049286A">
        <w:t>6.</w:t>
      </w:r>
      <w:r w:rsidRPr="0049286A">
        <w:tab/>
        <w:t>Комитет приветствует снятие государством-участником своей оговорки к пункту 2</w:t>
      </w:r>
      <w:r w:rsidR="0049286A" w:rsidRPr="0049286A">
        <w:t xml:space="preserve"> </w:t>
      </w:r>
      <w:r w:rsidRPr="0049286A">
        <w:t xml:space="preserve">b) (ii) и (v) статьи 40 Конвенции. </w:t>
      </w:r>
    </w:p>
    <w:p w:rsidR="00195786" w:rsidRPr="0049286A" w:rsidRDefault="00195786" w:rsidP="00195786">
      <w:pPr>
        <w:pStyle w:val="HChGR"/>
      </w:pPr>
      <w:r w:rsidRPr="0049286A">
        <w:tab/>
        <w:t>III.</w:t>
      </w:r>
      <w:r w:rsidRPr="0049286A">
        <w:tab/>
        <w:t xml:space="preserve">Основные вопросы, вызывающие озабоченность, </w:t>
      </w:r>
      <w:r w:rsidR="00FA6EE4">
        <w:rPr>
          <w:lang w:val="en-US"/>
        </w:rPr>
        <w:br/>
      </w:r>
      <w:r w:rsidRPr="0049286A">
        <w:t>и рекомендации</w:t>
      </w:r>
    </w:p>
    <w:p w:rsidR="00195786" w:rsidRPr="0049286A" w:rsidRDefault="00195786" w:rsidP="00195786">
      <w:pPr>
        <w:pStyle w:val="H1GR"/>
      </w:pPr>
      <w:r w:rsidRPr="0049286A">
        <w:tab/>
        <w:t>A.</w:t>
      </w:r>
      <w:r w:rsidRPr="0049286A">
        <w:tab/>
        <w:t>Общие меры по осуществлению (статьи 4, 42 и 44 (пункт 6) Конвенции)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Предыдущие рекомендации Комитета</w:t>
      </w:r>
    </w:p>
    <w:p w:rsidR="00195786" w:rsidRPr="0049286A" w:rsidRDefault="00195786" w:rsidP="00195786">
      <w:pPr>
        <w:pStyle w:val="SingleTxtGR"/>
      </w:pPr>
      <w:r w:rsidRPr="0049286A">
        <w:t>7.</w:t>
      </w:r>
      <w:r w:rsidRPr="0049286A">
        <w:tab/>
        <w:t>Приветствуя усилия государства-участника по выполнению его заключ</w:t>
      </w:r>
      <w:r w:rsidRPr="0049286A">
        <w:t>и</w:t>
      </w:r>
      <w:r w:rsidRPr="0049286A">
        <w:t>тельных замечаний 2004 года по второму докладу государства-участника (CRC/C/15/Add.226), Комитет с сожалением отмечает, что некоторые содерж</w:t>
      </w:r>
      <w:r w:rsidRPr="0049286A">
        <w:t>а</w:t>
      </w:r>
      <w:r w:rsidRPr="0049286A">
        <w:t xml:space="preserve">щиеся в них рекомендации не были полностью выполнены. </w:t>
      </w:r>
    </w:p>
    <w:p w:rsidR="00195786" w:rsidRPr="00FA6EE4" w:rsidRDefault="00195786" w:rsidP="00FA6EE4">
      <w:pPr>
        <w:pStyle w:val="SingleTxtGR"/>
        <w:rPr>
          <w:b/>
        </w:rPr>
      </w:pPr>
      <w:r w:rsidRPr="00FA6EE4">
        <w:t>8.</w:t>
      </w:r>
      <w:r w:rsidRPr="00FA6EE4">
        <w:tab/>
      </w:r>
      <w:r w:rsidRPr="00FA6EE4">
        <w:rPr>
          <w:b/>
        </w:rPr>
        <w:t>Комитет рекомендует государству-участнику принять все необход</w:t>
      </w:r>
      <w:r w:rsidRPr="00FA6EE4">
        <w:rPr>
          <w:b/>
        </w:rPr>
        <w:t>и</w:t>
      </w:r>
      <w:r w:rsidRPr="00FA6EE4">
        <w:rPr>
          <w:b/>
        </w:rPr>
        <w:t>мые меры для выполнения рекомендаций, содержащихся в заключител</w:t>
      </w:r>
      <w:r w:rsidRPr="00FA6EE4">
        <w:rPr>
          <w:b/>
        </w:rPr>
        <w:t>ь</w:t>
      </w:r>
      <w:r w:rsidRPr="00FA6EE4">
        <w:rPr>
          <w:b/>
        </w:rPr>
        <w:t>ных замеч</w:t>
      </w:r>
      <w:r w:rsidRPr="00FA6EE4">
        <w:rPr>
          <w:b/>
        </w:rPr>
        <w:t>а</w:t>
      </w:r>
      <w:r w:rsidRPr="00FA6EE4">
        <w:rPr>
          <w:b/>
        </w:rPr>
        <w:t>ниях по второму периодическому докладу в соответствии с Конвенцией, которые не были в достаточной степени выполнены, в час</w:t>
      </w:r>
      <w:r w:rsidRPr="00FA6EE4">
        <w:rPr>
          <w:b/>
        </w:rPr>
        <w:t>т</w:t>
      </w:r>
      <w:r w:rsidRPr="00FA6EE4">
        <w:rPr>
          <w:b/>
        </w:rPr>
        <w:t>ности касающихся координации, независимо</w:t>
      </w:r>
      <w:r w:rsidR="00FA6EE4">
        <w:rPr>
          <w:b/>
        </w:rPr>
        <w:t>го мониторинга, детей</w:t>
      </w:r>
      <w:r w:rsidR="00FA6EE4">
        <w:rPr>
          <w:b/>
          <w:lang w:val="en-US"/>
        </w:rPr>
        <w:t xml:space="preserve"> − </w:t>
      </w:r>
      <w:r w:rsidRPr="00FA6EE4">
        <w:rPr>
          <w:b/>
        </w:rPr>
        <w:t>пр</w:t>
      </w:r>
      <w:r w:rsidRPr="00FA6EE4">
        <w:rPr>
          <w:b/>
        </w:rPr>
        <w:t>о</w:t>
      </w:r>
      <w:r w:rsidRPr="00FA6EE4">
        <w:rPr>
          <w:b/>
        </w:rPr>
        <w:t>сителей убежища и детей-мигрантов.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Правовой статус Конвенции</w:t>
      </w:r>
    </w:p>
    <w:p w:rsidR="00195786" w:rsidRPr="0049286A" w:rsidRDefault="00195786" w:rsidP="00195786">
      <w:pPr>
        <w:pStyle w:val="SingleTxtGR"/>
      </w:pPr>
      <w:r w:rsidRPr="0049286A">
        <w:t>9.</w:t>
      </w:r>
      <w:r w:rsidRPr="0049286A">
        <w:tab/>
        <w:t>Комитет с удовлетворением принимает к сведению, что большинство з</w:t>
      </w:r>
      <w:r w:rsidRPr="0049286A">
        <w:t>е</w:t>
      </w:r>
      <w:r w:rsidRPr="0049286A">
        <w:t>мель прямо признают права детей в своих конституциях. Однако Комитет по-прежнему обеспокоен тем, что права детей не получили открытого признания в конституциях Гамбурга и Гессена, а также в Федеральной конституции (Осно</w:t>
      </w:r>
      <w:r w:rsidRPr="0049286A">
        <w:t>в</w:t>
      </w:r>
      <w:r w:rsidRPr="0049286A">
        <w:t>ном законе). Комитет также отмечает, что согласно пункту 2 статьи 59 Основн</w:t>
      </w:r>
      <w:r w:rsidRPr="0049286A">
        <w:t>о</w:t>
      </w:r>
      <w:r w:rsidRPr="0049286A">
        <w:t>го закона Конвенция считается равнозначной обычному федеральному закону.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10.</w:t>
      </w:r>
      <w:r w:rsidRPr="0049286A">
        <w:rPr>
          <w:b/>
        </w:rPr>
        <w:tab/>
        <w:t>В свете предыдущих рекомендаций (CRC/C/15/Add.226, пункт 10) Комитет настоятельно призывает государство-участник принять все нео</w:t>
      </w:r>
      <w:r w:rsidRPr="0049286A">
        <w:rPr>
          <w:b/>
        </w:rPr>
        <w:t>б</w:t>
      </w:r>
      <w:r w:rsidRPr="0049286A">
        <w:rPr>
          <w:b/>
        </w:rPr>
        <w:t xml:space="preserve">ходимые меры для обеспечения преимущественной силы Конвенции перед федеральными законами посредством ее включения в Основной закон или любой другой процедуры. 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Комплексная политика и стратегия</w:t>
      </w:r>
    </w:p>
    <w:p w:rsidR="00195786" w:rsidRPr="0049286A" w:rsidRDefault="00195786" w:rsidP="00195786">
      <w:pPr>
        <w:pStyle w:val="SingleTxtGR"/>
      </w:pPr>
      <w:r w:rsidRPr="0049286A">
        <w:t>11.</w:t>
      </w:r>
      <w:r w:rsidRPr="0049286A">
        <w:tab/>
        <w:t>Комитет отмечает, что Национальный план действий на 2005–2010 годы вызвал широкую дискуссию по правам детей. Однако он выражает глубокое сожаление по поводу того, что к практическому выполнению этого Плана на местном уровне недостаточно привлекались организации гражданского общ</w:t>
      </w:r>
      <w:r w:rsidRPr="0049286A">
        <w:t>е</w:t>
      </w:r>
      <w:r w:rsidRPr="0049286A">
        <w:t>ства и другие заинтересованные стороны. Принимая к сведению, что в 2011 г</w:t>
      </w:r>
      <w:r w:rsidRPr="0049286A">
        <w:t>о</w:t>
      </w:r>
      <w:r w:rsidRPr="0049286A">
        <w:t>ду было начато осуществление новой молодежной политики, ориентированной на потребности подростков и совершеннолетней молодежи, Комитет вновь в</w:t>
      </w:r>
      <w:r w:rsidRPr="0049286A">
        <w:t>ы</w:t>
      </w:r>
      <w:r w:rsidRPr="0049286A">
        <w:t>ражает обеспокоенность тем, что она, по-видимому, не охватывает все каса</w:t>
      </w:r>
      <w:r w:rsidRPr="0049286A">
        <w:t>ю</w:t>
      </w:r>
      <w:r w:rsidRPr="0049286A">
        <w:t xml:space="preserve">щиеся прав детей вопросы.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12.</w:t>
      </w:r>
      <w:r w:rsidRPr="0049286A">
        <w:rPr>
          <w:b/>
        </w:rPr>
        <w:tab/>
        <w:t>Комитет рекомендует государству-участнику принять меры для фо</w:t>
      </w:r>
      <w:r w:rsidRPr="0049286A">
        <w:rPr>
          <w:b/>
        </w:rPr>
        <w:t>р</w:t>
      </w:r>
      <w:r w:rsidRPr="0049286A">
        <w:rPr>
          <w:b/>
        </w:rPr>
        <w:t>мулирования комплексной политики в отношении прав детей, предост</w:t>
      </w:r>
      <w:r w:rsidRPr="0049286A">
        <w:rPr>
          <w:b/>
        </w:rPr>
        <w:t>а</w:t>
      </w:r>
      <w:r w:rsidRPr="0049286A">
        <w:rPr>
          <w:b/>
        </w:rPr>
        <w:t>вить соответствующим органам необходимые людские, технические и ф</w:t>
      </w:r>
      <w:r w:rsidRPr="0049286A">
        <w:rPr>
          <w:b/>
        </w:rPr>
        <w:t>и</w:t>
      </w:r>
      <w:r w:rsidRPr="0049286A">
        <w:rPr>
          <w:b/>
        </w:rPr>
        <w:t>нансовые ресурсы в целях содействия разработке программ и проектов, а также создать системы их мониторинга и оценки с четким указанием роли и обязанностей соответствующих федеральных и земельных органов.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Координация</w:t>
      </w:r>
    </w:p>
    <w:p w:rsidR="00195786" w:rsidRPr="0049286A" w:rsidRDefault="00195786" w:rsidP="00195786">
      <w:pPr>
        <w:pStyle w:val="SingleTxtGR"/>
      </w:pPr>
      <w:r w:rsidRPr="0049286A">
        <w:t>13.</w:t>
      </w:r>
      <w:r w:rsidRPr="0049286A">
        <w:tab/>
        <w:t>Комитет по-прежнему обеспокоен отсутствием центрального органа по координации усилий, направленных на осуществление Конвенции в государс</w:t>
      </w:r>
      <w:r w:rsidRPr="0049286A">
        <w:t>т</w:t>
      </w:r>
      <w:r w:rsidRPr="0049286A">
        <w:t xml:space="preserve">ве-участнике на федеральном, земельном и местном уровнях, что затрудняет выработку комплексной и согласованной политики в отношении прав детей.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14.</w:t>
      </w:r>
      <w:r w:rsidRPr="0049286A">
        <w:rPr>
          <w:b/>
        </w:rPr>
        <w:tab/>
        <w:t>В свете своего замечания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5</w:t>
      </w:r>
      <w:r w:rsidR="0049286A" w:rsidRPr="0049286A">
        <w:rPr>
          <w:b/>
        </w:rPr>
        <w:t xml:space="preserve"> </w:t>
      </w:r>
      <w:r w:rsidRPr="0049286A">
        <w:rPr>
          <w:b/>
        </w:rPr>
        <w:t>(2003) об общих мерах по осуществлению Конвенции Комитет напоминает своею предыдущую р</w:t>
      </w:r>
      <w:r w:rsidRPr="0049286A">
        <w:rPr>
          <w:b/>
        </w:rPr>
        <w:t>е</w:t>
      </w:r>
      <w:r w:rsidRPr="0049286A">
        <w:rPr>
          <w:b/>
        </w:rPr>
        <w:t>комендацию (CRC/C/15/Add.226, пункт 12) и призывает государство-участник создать или назначить надлежащий постоянно действующий н</w:t>
      </w:r>
      <w:r w:rsidRPr="0049286A">
        <w:rPr>
          <w:b/>
        </w:rPr>
        <w:t>а</w:t>
      </w:r>
      <w:r w:rsidRPr="0049286A">
        <w:rPr>
          <w:b/>
        </w:rPr>
        <w:t>циональный орган, обладающий полным потенциалом и полномочиями, а также достаточными людскими, техническими и финансовыми ресурсами для эффективной координации действий по осуществлению Конвенции. Сюда относится решение межотраслевых проблем между различными м</w:t>
      </w:r>
      <w:r w:rsidRPr="0049286A">
        <w:rPr>
          <w:b/>
        </w:rPr>
        <w:t>и</w:t>
      </w:r>
      <w:r w:rsidRPr="0049286A">
        <w:rPr>
          <w:b/>
        </w:rPr>
        <w:t>нистерствами на федеральном уровне, между федеральными и земельными органами и между землями.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Сбор данных</w:t>
      </w:r>
    </w:p>
    <w:p w:rsidR="00195786" w:rsidRPr="0049286A" w:rsidRDefault="00195786" w:rsidP="00195786">
      <w:pPr>
        <w:pStyle w:val="SingleTxtGR"/>
      </w:pPr>
      <w:r w:rsidRPr="0049286A">
        <w:t>15.</w:t>
      </w:r>
      <w:r w:rsidRPr="0049286A">
        <w:tab/>
        <w:t>Комитет отмечает, что государство-участник понимает важное значение создания всеобъемлющей системы сбора данных. Однако Комитет обеспокоен тем, государство-участник не располагает всеобъемлющей системой сбора да</w:t>
      </w:r>
      <w:r w:rsidRPr="0049286A">
        <w:t>н</w:t>
      </w:r>
      <w:r w:rsidRPr="0049286A">
        <w:t>ных по всем охватываемым Конвенцией аспектам. В этом состоит одно из о</w:t>
      </w:r>
      <w:r w:rsidRPr="0049286A">
        <w:t>с</w:t>
      </w:r>
      <w:r w:rsidRPr="0049286A">
        <w:t>новных препятствий для эффективного планирования, мониторинга и оценки политики, программ и проектов, осуществляемых в интересах детей, особенно в области насилия в отношении детей, детей-инвалидов, отправления правос</w:t>
      </w:r>
      <w:r w:rsidRPr="0049286A">
        <w:t>у</w:t>
      </w:r>
      <w:r w:rsidRPr="0049286A">
        <w:t>дия в отношении несовершеннолетних и детей-беженцев, в частности несопр</w:t>
      </w:r>
      <w:r w:rsidRPr="0049286A">
        <w:t>о</w:t>
      </w:r>
      <w:r w:rsidRPr="0049286A">
        <w:t xml:space="preserve">вождаемых детей-беженцев.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16.</w:t>
      </w:r>
      <w:r w:rsidRPr="0049286A">
        <w:rPr>
          <w:b/>
        </w:rPr>
        <w:tab/>
        <w:t>Ссылаясь на свое замечание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5</w:t>
      </w:r>
      <w:r w:rsidR="0049286A" w:rsidRPr="0049286A">
        <w:rPr>
          <w:b/>
        </w:rPr>
        <w:t xml:space="preserve"> </w:t>
      </w:r>
      <w:r w:rsidRPr="0049286A">
        <w:rPr>
          <w:b/>
        </w:rPr>
        <w:t>(2003) об общих м</w:t>
      </w:r>
      <w:r w:rsidRPr="0049286A">
        <w:rPr>
          <w:b/>
        </w:rPr>
        <w:t>е</w:t>
      </w:r>
      <w:r w:rsidRPr="0049286A">
        <w:rPr>
          <w:b/>
        </w:rPr>
        <w:t>рах по осуществлению Конвенции, Комитет настоятельно призывает гос</w:t>
      </w:r>
      <w:r w:rsidRPr="0049286A">
        <w:rPr>
          <w:b/>
        </w:rPr>
        <w:t>у</w:t>
      </w:r>
      <w:r w:rsidRPr="0049286A">
        <w:rPr>
          <w:b/>
        </w:rPr>
        <w:t>дарство-участник создать всеобъемлющую и комплексную систему сбора данных о детях, охватывающую все земли и весь период детства вплоть до достижения восемнадцатилетнего возраста, и установить показатели в о</w:t>
      </w:r>
      <w:r w:rsidRPr="0049286A">
        <w:rPr>
          <w:b/>
        </w:rPr>
        <w:t>б</w:t>
      </w:r>
      <w:r w:rsidRPr="0049286A">
        <w:rPr>
          <w:b/>
        </w:rPr>
        <w:t>ласти прав детей, которые могли бы использоваться для анализа и оценки в деле осуществления этих прав. Такие данные должны приводиться в ра</w:t>
      </w:r>
      <w:r w:rsidRPr="0049286A">
        <w:rPr>
          <w:b/>
        </w:rPr>
        <w:t>з</w:t>
      </w:r>
      <w:r w:rsidRPr="0049286A">
        <w:rPr>
          <w:b/>
        </w:rPr>
        <w:t>бивке по возрасту, полу, виду инвалидности, географическому местонахо</w:t>
      </w:r>
      <w:r w:rsidRPr="0049286A">
        <w:rPr>
          <w:b/>
        </w:rPr>
        <w:t>ж</w:t>
      </w:r>
      <w:r w:rsidRPr="0049286A">
        <w:rPr>
          <w:b/>
        </w:rPr>
        <w:t>дению, этническому происхождению, миграционному статусу и социально-экономическому положению для содействия оценке общего положения д</w:t>
      </w:r>
      <w:r w:rsidRPr="0049286A">
        <w:rPr>
          <w:b/>
        </w:rPr>
        <w:t>е</w:t>
      </w:r>
      <w:r w:rsidRPr="0049286A">
        <w:rPr>
          <w:b/>
        </w:rPr>
        <w:t xml:space="preserve">тей и выполнять функцию ориентиров при формулировании, мониторинге и анализе политики, программ и проектов, направленных на эффективное осуществление Конвенции. 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Независимый мониторинг</w:t>
      </w:r>
    </w:p>
    <w:p w:rsidR="00195786" w:rsidRPr="0049286A" w:rsidRDefault="00195786" w:rsidP="00195786">
      <w:pPr>
        <w:pStyle w:val="SingleTxtGR"/>
      </w:pPr>
      <w:r w:rsidRPr="0049286A">
        <w:t>17.</w:t>
      </w:r>
      <w:r w:rsidRPr="0049286A">
        <w:tab/>
        <w:t>Комитет сохраняет обеспокоенность по поводу того, что в государстве-участнике все еще не создан центральный независимый орган по мониторингу осуществления Конвенции на федеральном, земельном и низовом уровнях с полномочиями на получение и рассмотрение жалоб на нарушения прав детей.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18.</w:t>
      </w:r>
      <w:r w:rsidRPr="0049286A">
        <w:rPr>
          <w:b/>
        </w:rPr>
        <w:tab/>
        <w:t>В соответствии со своей предыдущей рекомендацией (CRC/C/15/Add.226, пункт 16) Комитет рекомендует государству-участнику предоставить Немецкому институту по правам человека мандат на мон</w:t>
      </w:r>
      <w:r w:rsidRPr="0049286A">
        <w:rPr>
          <w:b/>
        </w:rPr>
        <w:t>и</w:t>
      </w:r>
      <w:r w:rsidRPr="0049286A">
        <w:rPr>
          <w:b/>
        </w:rPr>
        <w:t>торинг хода осуществления Конвенции на федеральном, земельном и мес</w:t>
      </w:r>
      <w:r w:rsidRPr="0049286A">
        <w:rPr>
          <w:b/>
        </w:rPr>
        <w:t>т</w:t>
      </w:r>
      <w:r w:rsidRPr="0049286A">
        <w:rPr>
          <w:b/>
        </w:rPr>
        <w:t>ном уровнях. Комитет также рекомендует выделить этому Институту до</w:t>
      </w:r>
      <w:r w:rsidRPr="0049286A">
        <w:rPr>
          <w:b/>
        </w:rPr>
        <w:t>с</w:t>
      </w:r>
      <w:r w:rsidRPr="0049286A">
        <w:rPr>
          <w:b/>
        </w:rPr>
        <w:t>таточные людские, технические и финансовые ресурсы и предусмотреть в его мандате возможность получения, расследования и эффективного ра</w:t>
      </w:r>
      <w:r w:rsidRPr="0049286A">
        <w:rPr>
          <w:b/>
        </w:rPr>
        <w:t>с</w:t>
      </w:r>
      <w:r w:rsidRPr="0049286A">
        <w:rPr>
          <w:b/>
        </w:rPr>
        <w:t xml:space="preserve">смотрения жалоб на нарушения прав детей с учетом их индивидуальных потребностей.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Распространение информации, повышение осведомленности и подготовка кадров</w:t>
      </w:r>
    </w:p>
    <w:p w:rsidR="00195786" w:rsidRPr="0049286A" w:rsidRDefault="00195786" w:rsidP="00195786">
      <w:pPr>
        <w:pStyle w:val="SingleTxtGR"/>
      </w:pPr>
      <w:r w:rsidRPr="0049286A">
        <w:t>19.</w:t>
      </w:r>
      <w:r w:rsidRPr="0049286A">
        <w:tab/>
        <w:t>Приветствуя усилия государства-участника по распространению инфо</w:t>
      </w:r>
      <w:r w:rsidRPr="0049286A">
        <w:t>р</w:t>
      </w:r>
      <w:r w:rsidRPr="0049286A">
        <w:t>мации о Конвенции в удобной для детей форме, Комитет выражает обеспокое</w:t>
      </w:r>
      <w:r w:rsidRPr="0049286A">
        <w:t>н</w:t>
      </w:r>
      <w:r w:rsidRPr="0049286A">
        <w:t>ность по поводу недостаточного доступа к информации о правах детей, кот</w:t>
      </w:r>
      <w:r w:rsidRPr="0049286A">
        <w:t>о</w:t>
      </w:r>
      <w:r w:rsidRPr="0049286A">
        <w:t>рым располагают совершеннолетние и дети, особенно находящиеся в уязвимом положении. Комитет вновь подчеркивает ранее выраженную им обеспокое</w:t>
      </w:r>
      <w:r w:rsidRPr="0049286A">
        <w:t>н</w:t>
      </w:r>
      <w:r w:rsidRPr="0049286A">
        <w:t>ность относительно того, что государство-участник не проводит надлежащих мероприятий по распространению информации, повышению осведомленности и подготовке кадров по проблематике Конвенции на систематической и целен</w:t>
      </w:r>
      <w:r w:rsidRPr="0049286A">
        <w:t>а</w:t>
      </w:r>
      <w:r w:rsidRPr="0049286A">
        <w:t>правленной основе, особенно в школах и с работающими с детьми специал</w:t>
      </w:r>
      <w:r w:rsidRPr="0049286A">
        <w:t>и</w:t>
      </w:r>
      <w:r w:rsidRPr="0049286A">
        <w:t xml:space="preserve">стами.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20.</w:t>
      </w:r>
      <w:r w:rsidRPr="0049286A">
        <w:rPr>
          <w:b/>
        </w:rPr>
        <w:tab/>
        <w:t>В соответствии со своими предыдущими рекомендациями (CRC/C/15/</w:t>
      </w:r>
      <w:r w:rsidR="00FA6EE4">
        <w:rPr>
          <w:b/>
          <w:lang w:val="en-US"/>
        </w:rPr>
        <w:br/>
      </w:r>
      <w:r w:rsidRPr="0049286A">
        <w:rPr>
          <w:b/>
        </w:rPr>
        <w:t>Add.43, пункт 26, и CRC/C/15/Add.226, пункт 20) Комитет рекомендует г</w:t>
      </w:r>
      <w:r w:rsidRPr="0049286A">
        <w:rPr>
          <w:b/>
        </w:rPr>
        <w:t>о</w:t>
      </w:r>
      <w:r w:rsidRPr="0049286A">
        <w:rPr>
          <w:b/>
        </w:rPr>
        <w:t>сударству-участнику: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 xml:space="preserve">включить в школьные учебные планы обязательные модули о Конвенции и в целом о правах человека и сформулировать надлежащие инициативы по распространению этой информации среди таких уязвимых групп, как просители убежища, беженцы и этнические меньшинства;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  <w:bCs/>
        </w:rPr>
        <w:tab/>
        <w:t>b)</w:t>
      </w:r>
      <w:r w:rsidRPr="0049286A">
        <w:rPr>
          <w:b/>
          <w:bCs/>
        </w:rPr>
        <w:tab/>
        <w:t>разработать систематические и непрерывные программы по</w:t>
      </w:r>
      <w:r w:rsidRPr="0049286A">
        <w:rPr>
          <w:b/>
          <w:bCs/>
        </w:rPr>
        <w:t>д</w:t>
      </w:r>
      <w:r w:rsidRPr="0049286A">
        <w:rPr>
          <w:b/>
          <w:bCs/>
        </w:rPr>
        <w:t>готовки кадров по проблематике Конвенции для всех профессиональных групп, работающих с детьми и в их интересах, в частности для судей, адв</w:t>
      </w:r>
      <w:r w:rsidRPr="0049286A">
        <w:rPr>
          <w:b/>
          <w:bCs/>
        </w:rPr>
        <w:t>о</w:t>
      </w:r>
      <w:r w:rsidRPr="0049286A">
        <w:rPr>
          <w:b/>
          <w:bCs/>
        </w:rPr>
        <w:t>катов, сотрудников правоохранительных органов, гражданских служащих, преподавателей, медицинского персонала, включая психологов, и социал</w:t>
      </w:r>
      <w:r w:rsidRPr="0049286A">
        <w:rPr>
          <w:b/>
          <w:bCs/>
        </w:rPr>
        <w:t>ь</w:t>
      </w:r>
      <w:r w:rsidRPr="0049286A">
        <w:rPr>
          <w:b/>
          <w:bCs/>
        </w:rPr>
        <w:t>ных работников;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  <w:bCs/>
        </w:rPr>
        <w:tab/>
        <w:t>c)</w:t>
      </w:r>
      <w:r w:rsidRPr="0049286A">
        <w:rPr>
          <w:b/>
          <w:bCs/>
        </w:rPr>
        <w:tab/>
        <w:t>поощрять более активное привлечение средств массовой и</w:t>
      </w:r>
      <w:r w:rsidRPr="0049286A">
        <w:rPr>
          <w:b/>
          <w:bCs/>
        </w:rPr>
        <w:t>н</w:t>
      </w:r>
      <w:r w:rsidRPr="0049286A">
        <w:rPr>
          <w:b/>
          <w:bCs/>
        </w:rPr>
        <w:t>формации к работе по повышению осведомленности о Конвенции в удо</w:t>
      </w:r>
      <w:r w:rsidRPr="0049286A">
        <w:rPr>
          <w:b/>
          <w:bCs/>
        </w:rPr>
        <w:t>б</w:t>
      </w:r>
      <w:r w:rsidRPr="0049286A">
        <w:rPr>
          <w:b/>
          <w:bCs/>
        </w:rPr>
        <w:t>ной для детей форме, в частности на основе более широкого использования социальных сетей, но и через прессу, радио, телевидение и другие средства массовой информации, а также путем активного привлечения детей к о</w:t>
      </w:r>
      <w:r w:rsidRPr="0049286A">
        <w:rPr>
          <w:b/>
          <w:bCs/>
        </w:rPr>
        <w:t>б</w:t>
      </w:r>
      <w:r w:rsidRPr="0049286A">
        <w:rPr>
          <w:b/>
          <w:bCs/>
        </w:rPr>
        <w:t xml:space="preserve">щественным информационно-пропагандистским мероприятиям.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Международное сотрудничество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F6388C">
        <w:rPr>
          <w:bCs/>
        </w:rPr>
        <w:t>21.</w:t>
      </w:r>
      <w:r w:rsidRPr="00F6388C">
        <w:rPr>
          <w:bCs/>
        </w:rPr>
        <w:tab/>
      </w:r>
      <w:r w:rsidRPr="0049286A">
        <w:rPr>
          <w:b/>
          <w:bCs/>
        </w:rPr>
        <w:t>Комитет приветствует твердое намерение государства-участника до</w:t>
      </w:r>
      <w:r w:rsidRPr="0049286A">
        <w:rPr>
          <w:b/>
          <w:bCs/>
        </w:rPr>
        <w:t>с</w:t>
      </w:r>
      <w:r w:rsidRPr="0049286A">
        <w:rPr>
          <w:b/>
          <w:bCs/>
        </w:rPr>
        <w:t>тичь к 2015 году в рамках официальных целей Европейского союза в о</w:t>
      </w:r>
      <w:r w:rsidRPr="0049286A">
        <w:rPr>
          <w:b/>
          <w:bCs/>
        </w:rPr>
        <w:t>б</w:t>
      </w:r>
      <w:r w:rsidRPr="0049286A">
        <w:rPr>
          <w:b/>
          <w:bCs/>
        </w:rPr>
        <w:t>ласти помощи развитию согласованного на международном уровне целев</w:t>
      </w:r>
      <w:r w:rsidRPr="0049286A">
        <w:rPr>
          <w:b/>
          <w:bCs/>
        </w:rPr>
        <w:t>о</w:t>
      </w:r>
      <w:r w:rsidRPr="0049286A">
        <w:rPr>
          <w:b/>
          <w:bCs/>
        </w:rPr>
        <w:t>го показателя в 0,7</w:t>
      </w:r>
      <w:r w:rsidR="0049286A" w:rsidRPr="0049286A">
        <w:rPr>
          <w:b/>
          <w:bCs/>
        </w:rPr>
        <w:t xml:space="preserve"> </w:t>
      </w:r>
      <w:r w:rsidRPr="0049286A">
        <w:rPr>
          <w:b/>
          <w:bCs/>
        </w:rPr>
        <w:t>% валового национального дохода. Комитет предлагает государству-участнику добиться выполнения этого целевого показателя и обеспечить осуществление прав детей в качестве одной из первоочередных задач в рамках соглашений по международному сотрудничеству с разв</w:t>
      </w:r>
      <w:r w:rsidRPr="0049286A">
        <w:rPr>
          <w:b/>
          <w:bCs/>
        </w:rPr>
        <w:t>и</w:t>
      </w:r>
      <w:r w:rsidRPr="0049286A">
        <w:rPr>
          <w:b/>
          <w:bCs/>
        </w:rPr>
        <w:t>вающимися странами. Комитет предлагает государству-участнику при этом учитывать заключительные замечания Комитета по докладам соо</w:t>
      </w:r>
      <w:r w:rsidRPr="0049286A">
        <w:rPr>
          <w:b/>
          <w:bCs/>
        </w:rPr>
        <w:t>т</w:t>
      </w:r>
      <w:r w:rsidRPr="0049286A">
        <w:rPr>
          <w:b/>
          <w:bCs/>
        </w:rPr>
        <w:t>ветствующих принимающих стран. Кроме того Комитет рекомендует гос</w:t>
      </w:r>
      <w:r w:rsidRPr="0049286A">
        <w:rPr>
          <w:b/>
          <w:bCs/>
        </w:rPr>
        <w:t>у</w:t>
      </w:r>
      <w:r w:rsidRPr="0049286A">
        <w:rPr>
          <w:b/>
          <w:bCs/>
        </w:rPr>
        <w:t>дарству-участнику призвать Европейский союз обеспечить, чтобы реал</w:t>
      </w:r>
      <w:r w:rsidRPr="0049286A">
        <w:rPr>
          <w:b/>
          <w:bCs/>
        </w:rPr>
        <w:t>и</w:t>
      </w:r>
      <w:r w:rsidRPr="0049286A">
        <w:rPr>
          <w:b/>
          <w:bCs/>
        </w:rPr>
        <w:t>зация мер строгой экономии в заинтересованных странах не оказывала н</w:t>
      </w:r>
      <w:r w:rsidRPr="0049286A">
        <w:rPr>
          <w:b/>
          <w:bCs/>
        </w:rPr>
        <w:t>е</w:t>
      </w:r>
      <w:r w:rsidRPr="0049286A">
        <w:rPr>
          <w:b/>
          <w:bCs/>
        </w:rPr>
        <w:t xml:space="preserve">гативного влияния на выделение ресурсов на нужды проведения политики поддержки детей. 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Права детей и предпринимательский сектор</w:t>
      </w:r>
    </w:p>
    <w:p w:rsidR="00195786" w:rsidRPr="0049286A" w:rsidRDefault="00195786" w:rsidP="00195786">
      <w:pPr>
        <w:pStyle w:val="SingleTxtGR"/>
      </w:pPr>
      <w:r w:rsidRPr="0049286A">
        <w:t>22.</w:t>
      </w:r>
      <w:r w:rsidRPr="0049286A">
        <w:tab/>
        <w:t>Комитет отмечает, что государство-участник использует значительное к</w:t>
      </w:r>
      <w:r w:rsidRPr="0049286A">
        <w:t>о</w:t>
      </w:r>
      <w:r w:rsidRPr="0049286A">
        <w:t>личество угля для производства электроэнергии и выражает обеспокоенность негативным влиянием выбросов от сжигания угля на здоровье детей. Комитет также выражает озабоченность тем фактом, что государство-участник не пр</w:t>
      </w:r>
      <w:r w:rsidRPr="0049286A">
        <w:t>и</w:t>
      </w:r>
      <w:r w:rsidRPr="0049286A">
        <w:t>нимает надлежащих мер в отношении немецких компаний, которые ведут дел</w:t>
      </w:r>
      <w:r w:rsidRPr="0049286A">
        <w:t>о</w:t>
      </w:r>
      <w:r w:rsidRPr="0049286A">
        <w:t>вые операции за рубежом и, по сообщениям, нарушают при этом права детей и другие права человека.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23.</w:t>
      </w:r>
      <w:r w:rsidRPr="0049286A">
        <w:rPr>
          <w:b/>
        </w:rPr>
        <w:tab/>
        <w:t>В соответствии со своим замечанием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16 об обяз</w:t>
      </w:r>
      <w:r w:rsidRPr="0049286A">
        <w:rPr>
          <w:b/>
        </w:rPr>
        <w:t>а</w:t>
      </w:r>
      <w:r w:rsidRPr="0049286A">
        <w:rPr>
          <w:b/>
        </w:rPr>
        <w:t xml:space="preserve">тельствах государства, касающихся воздействия предпринимательской деятельности на права детей (2013) </w:t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>: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>установить четкие нормативно-правовые рамки деятельности предприятий в государстве-участнике для обеспечения того, чтобы их р</w:t>
      </w:r>
      <w:r w:rsidRPr="0049286A">
        <w:rPr>
          <w:b/>
          <w:bCs/>
        </w:rPr>
        <w:t>а</w:t>
      </w:r>
      <w:r w:rsidRPr="0049286A">
        <w:rPr>
          <w:b/>
          <w:bCs/>
        </w:rPr>
        <w:t>бота не оказывала негативного воздействия на права человека и не нар</w:t>
      </w:r>
      <w:r w:rsidRPr="0049286A">
        <w:rPr>
          <w:b/>
          <w:bCs/>
        </w:rPr>
        <w:t>у</w:t>
      </w:r>
      <w:r w:rsidRPr="0049286A">
        <w:rPr>
          <w:b/>
          <w:bCs/>
        </w:rPr>
        <w:t>шала экологические и другие стандарты, особенно касающиеся прав детей;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  <w:bCs/>
        </w:rPr>
        <w:tab/>
        <w:t>b)</w:t>
      </w:r>
      <w:r w:rsidRPr="0049286A">
        <w:rPr>
          <w:b/>
          <w:bCs/>
        </w:rPr>
        <w:tab/>
        <w:t>учитывать наилучшие интересы ребенка при принятии таких бюджетных мер, как выделение субсидий коммерческим предприятиям, деятельность которых затрагивает права детей;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рассмотреть и скорректировать свое гражданское, уголовное и административное законодательство для обеспечения юридической отве</w:t>
      </w:r>
      <w:r w:rsidRPr="0049286A">
        <w:rPr>
          <w:b/>
        </w:rPr>
        <w:t>т</w:t>
      </w:r>
      <w:r w:rsidRPr="0049286A">
        <w:rPr>
          <w:b/>
        </w:rPr>
        <w:t>ственности за любые нарушения прав детей и прав человека коммерч</w:t>
      </w:r>
      <w:r w:rsidRPr="0049286A">
        <w:rPr>
          <w:b/>
        </w:rPr>
        <w:t>е</w:t>
      </w:r>
      <w:r w:rsidRPr="0049286A">
        <w:rPr>
          <w:b/>
        </w:rPr>
        <w:t>скими предприятиями и их филиалами, осуществляющими свою деятел</w:t>
      </w:r>
      <w:r w:rsidRPr="0049286A">
        <w:rPr>
          <w:b/>
        </w:rPr>
        <w:t>ь</w:t>
      </w:r>
      <w:r w:rsidRPr="0049286A">
        <w:rPr>
          <w:b/>
        </w:rPr>
        <w:t>ность на территории государства-участника или управляемыми с его те</w:t>
      </w:r>
      <w:r w:rsidRPr="0049286A">
        <w:rPr>
          <w:b/>
        </w:rPr>
        <w:t>р</w:t>
      </w:r>
      <w:r w:rsidRPr="0049286A">
        <w:rPr>
          <w:b/>
        </w:rPr>
        <w:t>ритории;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d)</w:t>
      </w:r>
      <w:r w:rsidRPr="0049286A">
        <w:rPr>
          <w:b/>
        </w:rPr>
        <w:tab/>
        <w:t>соблюдать международные и внутренние нормы предприним</w:t>
      </w:r>
      <w:r w:rsidRPr="0049286A">
        <w:rPr>
          <w:b/>
        </w:rPr>
        <w:t>а</w:t>
      </w:r>
      <w:r w:rsidRPr="0049286A">
        <w:rPr>
          <w:b/>
        </w:rPr>
        <w:t>тельской деятельности и прав человека с целью защиты местных общин, особенно детей, от любых вредных последствий коммерческих операций в соответствии с Руководящими принципами предпринимательской де</w:t>
      </w:r>
      <w:r w:rsidRPr="0049286A">
        <w:rPr>
          <w:b/>
        </w:rPr>
        <w:t>я</w:t>
      </w:r>
      <w:r w:rsidRPr="0049286A">
        <w:rPr>
          <w:b/>
        </w:rPr>
        <w:t>тельности в аспекте прав человека: осуществление рамок Организации Объединенных Наций, касающихся "защиты, соблюдения и средств прав</w:t>
      </w:r>
      <w:r w:rsidRPr="0049286A">
        <w:rPr>
          <w:b/>
        </w:rPr>
        <w:t>о</w:t>
      </w:r>
      <w:r w:rsidRPr="0049286A">
        <w:rPr>
          <w:b/>
        </w:rPr>
        <w:t xml:space="preserve">вой защиты", принятых Советом по правам человека в 2011 году. </w:t>
      </w:r>
    </w:p>
    <w:p w:rsidR="00195786" w:rsidRPr="0049286A" w:rsidRDefault="00195786" w:rsidP="00195786">
      <w:pPr>
        <w:pStyle w:val="H1GR"/>
      </w:pPr>
      <w:r w:rsidRPr="0049286A">
        <w:tab/>
        <w:t>B.</w:t>
      </w:r>
      <w:r w:rsidRPr="0049286A">
        <w:tab/>
        <w:t>Общие принципы (статьи 2, 3, 6 и 12 Конвенции)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Недискриминация</w:t>
      </w:r>
    </w:p>
    <w:p w:rsidR="00195786" w:rsidRPr="0049286A" w:rsidRDefault="00195786" w:rsidP="00195786">
      <w:pPr>
        <w:pStyle w:val="SingleTxtGR"/>
      </w:pPr>
      <w:r w:rsidRPr="0049286A">
        <w:t>24.</w:t>
      </w:r>
      <w:r w:rsidRPr="0049286A">
        <w:tab/>
        <w:t>Комитет приветствует принимаемые государством-участником меры по борьбе с дискриминацией, особенно направленные на формирование культуры понимания и терпимости. Однако Комитет сохраняет обеспокоенность по пов</w:t>
      </w:r>
      <w:r w:rsidRPr="0049286A">
        <w:t>о</w:t>
      </w:r>
      <w:r w:rsidRPr="0049286A">
        <w:t>ду того, что дети-инвалиды и дети, являющиеся выходцами из среды мигра</w:t>
      </w:r>
      <w:r w:rsidRPr="0049286A">
        <w:t>н</w:t>
      </w:r>
      <w:r w:rsidRPr="0049286A">
        <w:t xml:space="preserve">тов, по-прежнему сталкиваются в государстве-участнике с дискриминацией, особенно в сфере образования и здравоохранения.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25.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активизировать усилия по борьбе с дискриминацией, особенно с дискриминацией в отношении д</w:t>
      </w:r>
      <w:r w:rsidRPr="0049286A">
        <w:rPr>
          <w:b/>
        </w:rPr>
        <w:t>е</w:t>
      </w:r>
      <w:r w:rsidRPr="0049286A">
        <w:rPr>
          <w:b/>
        </w:rPr>
        <w:t>тей-инвалидов и детей, являющихся выходцами из среды мигрантов, по линии программ и политики сокращения неравенства в доступе к образ</w:t>
      </w:r>
      <w:r w:rsidRPr="0049286A">
        <w:rPr>
          <w:b/>
        </w:rPr>
        <w:t>о</w:t>
      </w:r>
      <w:r w:rsidRPr="0049286A">
        <w:rPr>
          <w:b/>
        </w:rPr>
        <w:t xml:space="preserve">ванию, здравоохранению и развитию. </w:t>
      </w:r>
      <w:r w:rsidRPr="0049286A">
        <w:rPr>
          <w:b/>
          <w:bCs/>
        </w:rPr>
        <w:t>Комитет также рекомендует госуда</w:t>
      </w:r>
      <w:r w:rsidRPr="0049286A">
        <w:rPr>
          <w:b/>
          <w:bCs/>
        </w:rPr>
        <w:t>р</w:t>
      </w:r>
      <w:r w:rsidRPr="0049286A">
        <w:rPr>
          <w:b/>
          <w:bCs/>
        </w:rPr>
        <w:t xml:space="preserve">ству-участнику </w:t>
      </w:r>
      <w:r w:rsidRPr="0049286A">
        <w:rPr>
          <w:b/>
        </w:rPr>
        <w:t>продолжать работу по повышению осведомленности о ди</w:t>
      </w:r>
      <w:r w:rsidRPr="0049286A">
        <w:rPr>
          <w:b/>
        </w:rPr>
        <w:t>с</w:t>
      </w:r>
      <w:r w:rsidRPr="0049286A">
        <w:rPr>
          <w:b/>
        </w:rPr>
        <w:t>криминации и формированию инклюзивной и толерантной среды в шк</w:t>
      </w:r>
      <w:r w:rsidRPr="0049286A">
        <w:rPr>
          <w:b/>
        </w:rPr>
        <w:t>о</w:t>
      </w:r>
      <w:r w:rsidRPr="0049286A">
        <w:rPr>
          <w:b/>
        </w:rPr>
        <w:t xml:space="preserve">лах и других детских учреждениях.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Наилучшие интересы ребенка</w:t>
      </w:r>
    </w:p>
    <w:p w:rsidR="00195786" w:rsidRPr="0049286A" w:rsidRDefault="00195786" w:rsidP="00195786">
      <w:pPr>
        <w:pStyle w:val="SingleTxtGR"/>
      </w:pPr>
      <w:r w:rsidRPr="0049286A">
        <w:t>26.</w:t>
      </w:r>
      <w:r w:rsidRPr="0049286A">
        <w:tab/>
        <w:t>Принимая к сведению, что обеспечение благополучия детей является о</w:t>
      </w:r>
      <w:r w:rsidRPr="0049286A">
        <w:t>д</w:t>
      </w:r>
      <w:r w:rsidRPr="0049286A">
        <w:t>ним из основополагающих принципов правопорядка государства-участника, к</w:t>
      </w:r>
      <w:r w:rsidRPr="0049286A">
        <w:t>о</w:t>
      </w:r>
      <w:r w:rsidRPr="0049286A">
        <w:t>торый находит все более широкое применение, Комитет также с озабоченн</w:t>
      </w:r>
      <w:r w:rsidRPr="0049286A">
        <w:t>о</w:t>
      </w:r>
      <w:r w:rsidRPr="0049286A">
        <w:t>стью отмечает, что принцип наилучшего соблюдения интересов ребенка до сих пор полностью не включен в федеральное законодательство, а главенствующий характер наилучших интересов ребенка до сих пор не нашел отражения во всех аспектах деятельности законодательной, исполнительной и судебной ветвей власти. В частности, его часто игнорируют, когда речь заходит о детях из семей, ущемленных в образовательном отношении и находящихся в неблагоприятном социально-экономическом положении, включая детей-беженцев и детей-просителей убежища.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27.</w:t>
      </w:r>
      <w:r w:rsidRPr="0049286A">
        <w:rPr>
          <w:b/>
        </w:rPr>
        <w:tab/>
        <w:t>Комитет обращает внимание государства-участника на свое замеч</w:t>
      </w:r>
      <w:r w:rsidRPr="0049286A">
        <w:rPr>
          <w:b/>
        </w:rPr>
        <w:t>а</w:t>
      </w:r>
      <w:r w:rsidRPr="0049286A">
        <w:rPr>
          <w:b/>
        </w:rPr>
        <w:t>ние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14</w:t>
      </w:r>
      <w:r w:rsidR="0049286A" w:rsidRPr="0049286A">
        <w:rPr>
          <w:b/>
        </w:rPr>
        <w:t xml:space="preserve"> </w:t>
      </w:r>
      <w:r w:rsidRPr="0049286A">
        <w:rPr>
          <w:b/>
        </w:rPr>
        <w:t>(2013) о праве ребенка на уделение первоочере</w:t>
      </w:r>
      <w:r w:rsidRPr="0049286A">
        <w:rPr>
          <w:b/>
        </w:rPr>
        <w:t>д</w:t>
      </w:r>
      <w:r w:rsidRPr="0049286A">
        <w:rPr>
          <w:b/>
        </w:rPr>
        <w:t>ного внимания наилучшему обеспечению его интересов и в соответствии со своими предыдущими заключительными замечаниями (CRC/C/15/Add.226, пункт 27) рекомендует государству-участнику активизировать работу по обеспечению надлежащего интегрирования и последовательного осущест</w:t>
      </w:r>
      <w:r w:rsidRPr="0049286A">
        <w:rPr>
          <w:b/>
        </w:rPr>
        <w:t>в</w:t>
      </w:r>
      <w:r w:rsidRPr="0049286A">
        <w:rPr>
          <w:b/>
        </w:rPr>
        <w:t>ления этого права в рамках всех его законодательных, административных и судебных процедур, а также всей политики, программ и проектов, име</w:t>
      </w:r>
      <w:r w:rsidRPr="0049286A">
        <w:rPr>
          <w:b/>
        </w:rPr>
        <w:t>ю</w:t>
      </w:r>
      <w:r w:rsidRPr="0049286A">
        <w:rPr>
          <w:b/>
        </w:rPr>
        <w:t>щих отношение к детям или оказывающих на них влияние. В этой связи государству-участнику предлагается разработать процедуры и критерии обеспечения всех соответствующих должностных лиц руководящими ук</w:t>
      </w:r>
      <w:r w:rsidRPr="0049286A">
        <w:rPr>
          <w:b/>
        </w:rPr>
        <w:t>а</w:t>
      </w:r>
      <w:r w:rsidRPr="0049286A">
        <w:rPr>
          <w:b/>
        </w:rPr>
        <w:t>заниями по вопросу определения наилучших интересов ребенка в каждой области и уделения им должного внимания в качестве важнейшего факт</w:t>
      </w:r>
      <w:r w:rsidRPr="0049286A">
        <w:rPr>
          <w:b/>
        </w:rPr>
        <w:t>о</w:t>
      </w:r>
      <w:r w:rsidRPr="0049286A">
        <w:rPr>
          <w:b/>
        </w:rPr>
        <w:t xml:space="preserve">ра. Такие процедуры и критерии следует распространять среди частных учреждений сферы социального обеспечения, судов, административных и законодательных органов, а также широкой общественности. </w:t>
      </w:r>
    </w:p>
    <w:p w:rsidR="00195786" w:rsidRPr="0049286A" w:rsidRDefault="00195786" w:rsidP="00195786">
      <w:pPr>
        <w:pStyle w:val="H1GR"/>
      </w:pPr>
      <w:r w:rsidRPr="0049286A">
        <w:tab/>
        <w:t>C.</w:t>
      </w:r>
      <w:r w:rsidRPr="0049286A">
        <w:tab/>
        <w:t>Гражданские права и свободы (статьи 7, 8 и 13-17 Конвенции)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Регистрация рождений</w:t>
      </w:r>
    </w:p>
    <w:p w:rsidR="00195786" w:rsidRPr="0049286A" w:rsidRDefault="00195786" w:rsidP="00195786">
      <w:pPr>
        <w:pStyle w:val="SingleTxtGR"/>
      </w:pPr>
      <w:r w:rsidRPr="0049286A">
        <w:t>28.</w:t>
      </w:r>
      <w:r w:rsidRPr="0049286A">
        <w:tab/>
        <w:t>Комитет приветствует произошедшие в государстве-участнике позити</w:t>
      </w:r>
      <w:r w:rsidRPr="0049286A">
        <w:t>в</w:t>
      </w:r>
      <w:r w:rsidRPr="0049286A">
        <w:t>ные сдвиги в деле регистрации рождения всех детей, являющихся гражданами страны и иностранцами, включая детей беженцев и просителей убежища. Вм</w:t>
      </w:r>
      <w:r w:rsidRPr="0049286A">
        <w:t>е</w:t>
      </w:r>
      <w:r w:rsidRPr="0049286A">
        <w:t>сте с тем Комитет выражает обеспокоенность сохранением практических тру</w:t>
      </w:r>
      <w:r w:rsidRPr="0049286A">
        <w:t>д</w:t>
      </w:r>
      <w:r w:rsidRPr="0049286A">
        <w:t>ностей в получении свидетельств о рождении на детей, не имеющих законного статуса пребывания в стране, поскольку выдающие такие свидетельства с</w:t>
      </w:r>
      <w:r w:rsidRPr="0049286A">
        <w:t>о</w:t>
      </w:r>
      <w:r w:rsidRPr="0049286A">
        <w:t>трудники регистрационных органов обязаны проверять статус пребывания в стране и сообщать свое мнение иммиграционным властям.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29.</w:t>
      </w:r>
      <w:r w:rsidRPr="0049286A">
        <w:rPr>
          <w:b/>
        </w:rPr>
        <w:tab/>
      </w:r>
      <w:r w:rsidRPr="0049286A">
        <w:rPr>
          <w:b/>
          <w:bCs/>
        </w:rPr>
        <w:t xml:space="preserve">Комитет настоятельно призывает государство-участник </w:t>
      </w:r>
      <w:r w:rsidRPr="0049286A">
        <w:rPr>
          <w:b/>
        </w:rPr>
        <w:t>принять надлежащие меры для обеспечения как можно более оперативной регис</w:t>
      </w:r>
      <w:r w:rsidRPr="0049286A">
        <w:rPr>
          <w:b/>
        </w:rPr>
        <w:t>т</w:t>
      </w:r>
      <w:r w:rsidRPr="0049286A">
        <w:rPr>
          <w:b/>
        </w:rPr>
        <w:t>рации рождений всех детей независимо от правового статуса и/или прои</w:t>
      </w:r>
      <w:r w:rsidRPr="0049286A">
        <w:rPr>
          <w:b/>
        </w:rPr>
        <w:t>с</w:t>
      </w:r>
      <w:r w:rsidRPr="0049286A">
        <w:rPr>
          <w:b/>
        </w:rPr>
        <w:t>хождения их родителей. Комитет при этом рекомендует государству-участнику освободить сотрудников регистрационных органов от обязанн</w:t>
      </w:r>
      <w:r w:rsidRPr="0049286A">
        <w:rPr>
          <w:b/>
        </w:rPr>
        <w:t>о</w:t>
      </w:r>
      <w:r w:rsidRPr="0049286A">
        <w:rPr>
          <w:b/>
        </w:rPr>
        <w:t xml:space="preserve">сти информировать иммиграционные власти, как это было сделано в </w:t>
      </w:r>
      <w:r w:rsidR="00F6388C">
        <w:rPr>
          <w:b/>
          <w:lang w:val="en-US"/>
        </w:rPr>
        <w:br/>
      </w:r>
      <w:r w:rsidRPr="0049286A">
        <w:rPr>
          <w:b/>
        </w:rPr>
        <w:t xml:space="preserve">2011 году в отношении сотрудников учебных заведений.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Право на индивидуальность</w:t>
      </w:r>
    </w:p>
    <w:p w:rsidR="00195786" w:rsidRPr="0049286A" w:rsidRDefault="00195786" w:rsidP="00195786">
      <w:pPr>
        <w:pStyle w:val="SingleTxtGR"/>
      </w:pPr>
      <w:r w:rsidRPr="0049286A">
        <w:t>30.</w:t>
      </w:r>
      <w:r w:rsidRPr="0049286A">
        <w:tab/>
        <w:t>Комитет принимает к сведению решение не устанавливать новые корзины для младенцев и планы регулирования вопроса об анонимных родах, а также меры по поддержке беременных и недавно родивших женщин, направленные на сокращение числа оставленных новорожденных младенцев. Вместе с тем К</w:t>
      </w:r>
      <w:r w:rsidRPr="0049286A">
        <w:t>о</w:t>
      </w:r>
      <w:r w:rsidRPr="0049286A">
        <w:t>митет выражает обеспокоенность по поводу отсутствия регулирования этих в</w:t>
      </w:r>
      <w:r w:rsidRPr="0049286A">
        <w:t>о</w:t>
      </w:r>
      <w:r w:rsidRPr="0049286A">
        <w:t>просов, а также относительно использования корзин для младенцев, что нар</w:t>
      </w:r>
      <w:r w:rsidRPr="0049286A">
        <w:t>у</w:t>
      </w:r>
      <w:r w:rsidRPr="0049286A">
        <w:t xml:space="preserve">шает, в частности, статьи 6–9 и 19 Конвенции.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31.</w:t>
      </w:r>
      <w:r w:rsidRPr="0049286A">
        <w:rPr>
          <w:b/>
        </w:rPr>
        <w:tab/>
      </w:r>
      <w:r w:rsidRPr="0049286A">
        <w:rPr>
          <w:b/>
          <w:bCs/>
        </w:rPr>
        <w:t xml:space="preserve">Комитет настоятельно призывает государство-участник </w:t>
      </w:r>
      <w:r w:rsidRPr="0049286A">
        <w:rPr>
          <w:b/>
        </w:rPr>
        <w:t>принять все необходимые меры с тем, чтобы положить конец практике анонимного о</w:t>
      </w:r>
      <w:r w:rsidRPr="0049286A">
        <w:rPr>
          <w:b/>
        </w:rPr>
        <w:t>с</w:t>
      </w:r>
      <w:r w:rsidRPr="0049286A">
        <w:rPr>
          <w:b/>
        </w:rPr>
        <w:t>тавления детей, а также как можно скорее начать работу по активизации и поощрению альтернатив такой практике. Комитет также настоятельно призывает государство-участник расширить мероприятия по изучению и устранению основных причин оставления младенцев. Такая работа должна включать оказание услуг по планированию семьи и репродуктивному зд</w:t>
      </w:r>
      <w:r w:rsidRPr="0049286A">
        <w:rPr>
          <w:b/>
        </w:rPr>
        <w:t>о</w:t>
      </w:r>
      <w:r w:rsidRPr="0049286A">
        <w:rPr>
          <w:b/>
        </w:rPr>
        <w:t>ровью, организацию надлежащего консультирования и социальной по</w:t>
      </w:r>
      <w:r w:rsidRPr="0049286A">
        <w:rPr>
          <w:b/>
        </w:rPr>
        <w:t>д</w:t>
      </w:r>
      <w:r w:rsidRPr="0049286A">
        <w:rPr>
          <w:b/>
        </w:rPr>
        <w:t>держки в случаях незапланированной беременности, предотвращение опасной беременности, поддержку нуждающихся семей, а также предоста</w:t>
      </w:r>
      <w:r w:rsidRPr="0049286A">
        <w:rPr>
          <w:b/>
        </w:rPr>
        <w:t>в</w:t>
      </w:r>
      <w:r w:rsidRPr="0049286A">
        <w:rPr>
          <w:b/>
        </w:rPr>
        <w:t>ление в качестве крайней меры возможности анонимных родов в больн</w:t>
      </w:r>
      <w:r w:rsidRPr="0049286A">
        <w:rPr>
          <w:b/>
        </w:rPr>
        <w:t>и</w:t>
      </w:r>
      <w:r w:rsidRPr="0049286A">
        <w:rPr>
          <w:b/>
        </w:rPr>
        <w:t>цах. В этой связи с учетом обязательства полного соблюдения всех полож</w:t>
      </w:r>
      <w:r w:rsidRPr="0049286A">
        <w:rPr>
          <w:b/>
        </w:rPr>
        <w:t>е</w:t>
      </w:r>
      <w:r w:rsidRPr="0049286A">
        <w:rPr>
          <w:b/>
        </w:rPr>
        <w:t>ний Конвенции государство-участник должно вести конфиденциальный учет родителей, к которым ребенку позднее может быть предоставлен до</w:t>
      </w:r>
      <w:r w:rsidRPr="0049286A">
        <w:rPr>
          <w:b/>
        </w:rPr>
        <w:t>с</w:t>
      </w:r>
      <w:r w:rsidRPr="0049286A">
        <w:rPr>
          <w:b/>
        </w:rPr>
        <w:t>туп.</w:t>
      </w:r>
    </w:p>
    <w:p w:rsidR="00195786" w:rsidRPr="0049286A" w:rsidRDefault="00195786" w:rsidP="00195786">
      <w:pPr>
        <w:pStyle w:val="H1GR"/>
      </w:pPr>
      <w:r w:rsidRPr="0049286A">
        <w:tab/>
        <w:t>D.</w:t>
      </w:r>
      <w:r w:rsidRPr="0049286A">
        <w:tab/>
        <w:t>Насилие в отношении детей (статьи 19, 24</w:t>
      </w:r>
      <w:r w:rsidR="0049286A" w:rsidRPr="0049286A">
        <w:t xml:space="preserve"> </w:t>
      </w:r>
      <w:r w:rsidRPr="0049286A">
        <w:t>3), 28</w:t>
      </w:r>
      <w:r w:rsidR="0049286A" w:rsidRPr="0049286A">
        <w:t xml:space="preserve"> </w:t>
      </w:r>
      <w:r w:rsidRPr="0049286A">
        <w:t xml:space="preserve">2), 34, 37 a) </w:t>
      </w:r>
      <w:r w:rsidR="00F6388C">
        <w:rPr>
          <w:lang w:val="en-US"/>
        </w:rPr>
        <w:br/>
      </w:r>
      <w:r w:rsidRPr="0049286A">
        <w:t>и 39 Конвенции)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Телесные наказания</w:t>
      </w:r>
    </w:p>
    <w:p w:rsidR="00195786" w:rsidRPr="0049286A" w:rsidRDefault="00195786" w:rsidP="00195786">
      <w:pPr>
        <w:pStyle w:val="SingleTxtGR"/>
      </w:pPr>
      <w:r w:rsidRPr="0049286A">
        <w:t>32.</w:t>
      </w:r>
      <w:r w:rsidRPr="0049286A">
        <w:tab/>
        <w:t>Комитет с удовлетворением отмечает, что по закону дети пользуются пр</w:t>
      </w:r>
      <w:r w:rsidRPr="0049286A">
        <w:t>а</w:t>
      </w:r>
      <w:r w:rsidRPr="0049286A">
        <w:t>вом на воспитание без насилия. Тем не менее Комитет сохранят обеспокое</w:t>
      </w:r>
      <w:r w:rsidRPr="0049286A">
        <w:t>н</w:t>
      </w:r>
      <w:r w:rsidRPr="0049286A">
        <w:t>ность в связи с тем, что многие дети у себя дома</w:t>
      </w:r>
      <w:r w:rsidRPr="0049286A">
        <w:rPr>
          <w:b/>
        </w:rPr>
        <w:t xml:space="preserve"> </w:t>
      </w:r>
      <w:r w:rsidRPr="0049286A">
        <w:t xml:space="preserve">сталкиваются с различными формами насилия.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33.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предпринять все нео</w:t>
      </w:r>
      <w:r w:rsidRPr="0049286A">
        <w:rPr>
          <w:b/>
        </w:rPr>
        <w:t>б</w:t>
      </w:r>
      <w:r w:rsidRPr="0049286A">
        <w:rPr>
          <w:b/>
        </w:rPr>
        <w:t xml:space="preserve">ходимые шаги для обеспечения более эффективного осуществления права на воспитание без насилия. Кроме того </w:t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разработать и расширить существующие просветительские пр</w:t>
      </w:r>
      <w:r w:rsidRPr="0049286A">
        <w:rPr>
          <w:b/>
        </w:rPr>
        <w:t>о</w:t>
      </w:r>
      <w:r w:rsidRPr="0049286A">
        <w:rPr>
          <w:b/>
        </w:rPr>
        <w:t xml:space="preserve">граммы, направленные на поощрение позитивных ненасильственных и инклюзивных форм воспитания и поддержания дисциплины детей вместо телесных наказаний.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Сексуальная эксплуатация и надругательство</w:t>
      </w:r>
    </w:p>
    <w:p w:rsidR="00195786" w:rsidRPr="0049286A" w:rsidRDefault="00195786" w:rsidP="00195786">
      <w:pPr>
        <w:pStyle w:val="SingleTxtGR"/>
      </w:pPr>
      <w:r w:rsidRPr="0049286A">
        <w:t>34.</w:t>
      </w:r>
      <w:r w:rsidRPr="0049286A">
        <w:tab/>
        <w:t>Комитет обеспокоен недостаточными мерами по предотвращению секс</w:t>
      </w:r>
      <w:r w:rsidRPr="0049286A">
        <w:t>у</w:t>
      </w:r>
      <w:r w:rsidRPr="0049286A">
        <w:t>альной эксплуатации и сексуального надругательства, а также по оказанию п</w:t>
      </w:r>
      <w:r w:rsidRPr="0049286A">
        <w:t>о</w:t>
      </w:r>
      <w:r w:rsidRPr="0049286A">
        <w:t>мощи и поддержки жертвам сексуальных преступлений, в том числе: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недостаточной профилактической работой в школах и других п</w:t>
      </w:r>
      <w:r w:rsidRPr="0049286A">
        <w:t>о</w:t>
      </w:r>
      <w:r w:rsidRPr="0049286A">
        <w:t>сещаемых детьми учреждениях;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недостаточно широким оказанием консультационных услуг в нек</w:t>
      </w:r>
      <w:r w:rsidRPr="0049286A">
        <w:t>о</w:t>
      </w:r>
      <w:r w:rsidRPr="0049286A">
        <w:t>торых частях государства и нехваткой органов по работе с детьми-жертвами сексуального насилия, особенно в восточных землях и сельских районах;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недостаточным финансированием специализированных услуг;</w:t>
      </w:r>
    </w:p>
    <w:p w:rsidR="00195786" w:rsidRPr="0049286A" w:rsidRDefault="00195786" w:rsidP="00195786">
      <w:pPr>
        <w:pStyle w:val="SingleTxtGR"/>
      </w:pPr>
      <w:r w:rsidRPr="0049286A">
        <w:tab/>
        <w:t>d)</w:t>
      </w:r>
      <w:r w:rsidRPr="0049286A">
        <w:tab/>
        <w:t>неравным доступом к услугам по оказанию поддержки и консул</w:t>
      </w:r>
      <w:r w:rsidRPr="0049286A">
        <w:t>ь</w:t>
      </w:r>
      <w:r w:rsidRPr="0049286A">
        <w:t>тированию, особенно применительно к мальчикам, детям-инвалидам и детям-мигрантам, не владеющим или слабо владеющим немецким языком;</w:t>
      </w:r>
    </w:p>
    <w:p w:rsidR="00195786" w:rsidRPr="0049286A" w:rsidRDefault="00195786" w:rsidP="00195786">
      <w:pPr>
        <w:pStyle w:val="SingleTxtGR"/>
      </w:pPr>
      <w:r w:rsidRPr="0049286A">
        <w:tab/>
        <w:t>e)</w:t>
      </w:r>
      <w:r w:rsidRPr="0049286A">
        <w:tab/>
        <w:t>непостоянным статусом Независимого уполномоченного по вопр</w:t>
      </w:r>
      <w:r w:rsidRPr="0049286A">
        <w:t>о</w:t>
      </w:r>
      <w:r w:rsidRPr="0049286A">
        <w:t xml:space="preserve">сам сексуального надругательства над детьми.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35.</w:t>
      </w:r>
      <w:r w:rsidRPr="0049286A">
        <w:rPr>
          <w:b/>
        </w:rPr>
        <w:tab/>
      </w:r>
      <w:r w:rsidRPr="0049286A">
        <w:rPr>
          <w:b/>
          <w:bCs/>
        </w:rPr>
        <w:t xml:space="preserve">Комитет настоятельно призывает государство-участник </w:t>
      </w:r>
      <w:r w:rsidRPr="0049286A">
        <w:rPr>
          <w:b/>
        </w:rPr>
        <w:t>усилить к</w:t>
      </w:r>
      <w:r w:rsidRPr="0049286A">
        <w:rPr>
          <w:b/>
        </w:rPr>
        <w:t>о</w:t>
      </w:r>
      <w:r w:rsidRPr="0049286A">
        <w:rPr>
          <w:b/>
        </w:rPr>
        <w:t>ординацию деятельности всех участвующих в системе защиты сторон и выделить все необходимые людские, технические и финансовые ресурсы в целях обеспечения: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a)</w:t>
      </w:r>
      <w:r w:rsidRPr="0049286A">
        <w:rPr>
          <w:b/>
        </w:rPr>
        <w:tab/>
        <w:t>предотвращения сексуального насилия в отношении детей, ос</w:t>
      </w:r>
      <w:r w:rsidRPr="0049286A">
        <w:rPr>
          <w:b/>
        </w:rPr>
        <w:t>о</w:t>
      </w:r>
      <w:r w:rsidRPr="0049286A">
        <w:rPr>
          <w:b/>
        </w:rPr>
        <w:t>бенно в школах и в учреждениях для детей-инвалидов, а также в структ</w:t>
      </w:r>
      <w:r w:rsidRPr="0049286A">
        <w:rPr>
          <w:b/>
        </w:rPr>
        <w:t>у</w:t>
      </w:r>
      <w:r w:rsidRPr="0049286A">
        <w:rPr>
          <w:b/>
        </w:rPr>
        <w:t>рах социальной поддержки молодежи и в прочих органах, в частности в церковной, спортивной и культурной сферах;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b)</w:t>
      </w:r>
      <w:r w:rsidRPr="0049286A">
        <w:rPr>
          <w:b/>
        </w:rPr>
        <w:tab/>
        <w:t>предоставления неограниченного доступа к надлежащим усл</w:t>
      </w:r>
      <w:r w:rsidRPr="0049286A">
        <w:rPr>
          <w:b/>
        </w:rPr>
        <w:t>у</w:t>
      </w:r>
      <w:r w:rsidRPr="0049286A">
        <w:rPr>
          <w:b/>
        </w:rPr>
        <w:t>гам по консультированию и органам по работе с детьми-жертвами секс</w:t>
      </w:r>
      <w:r w:rsidRPr="0049286A">
        <w:rPr>
          <w:b/>
        </w:rPr>
        <w:t>у</w:t>
      </w:r>
      <w:r w:rsidRPr="0049286A">
        <w:rPr>
          <w:b/>
        </w:rPr>
        <w:t>альной эксплуатации и надругательств;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выделения ресурсов на оказание специализированных услуг;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d)</w:t>
      </w:r>
      <w:r w:rsidRPr="0049286A">
        <w:rPr>
          <w:b/>
        </w:rPr>
        <w:tab/>
        <w:t>предоставления беспрепятственного доступа к услугам по ко</w:t>
      </w:r>
      <w:r w:rsidRPr="0049286A">
        <w:rPr>
          <w:b/>
        </w:rPr>
        <w:t>н</w:t>
      </w:r>
      <w:r w:rsidRPr="0049286A">
        <w:rPr>
          <w:b/>
        </w:rPr>
        <w:t>сультированию и органам по работе с детьми-жертвами путем организации устного перевода на иностранные языки и сурдоперевода;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e)</w:t>
      </w:r>
      <w:r w:rsidRPr="0049286A">
        <w:rPr>
          <w:b/>
        </w:rPr>
        <w:tab/>
        <w:t xml:space="preserve">придания постоянного статуса Независимому уполномоченному по вопросам сексуального надругательства над детьми. </w:t>
      </w:r>
    </w:p>
    <w:p w:rsidR="00195786" w:rsidRPr="0049286A" w:rsidRDefault="00195786" w:rsidP="00195786">
      <w:pPr>
        <w:pStyle w:val="SingleTxtGR"/>
      </w:pPr>
      <w:r w:rsidRPr="0049286A">
        <w:t>36.</w:t>
      </w:r>
      <w:r w:rsidRPr="0049286A">
        <w:tab/>
        <w:t>Принимая во внимание меры государства-участника по расследованию сексуальных надругательств над детьми, совершенных церковными служащ</w:t>
      </w:r>
      <w:r w:rsidRPr="0049286A">
        <w:t>и</w:t>
      </w:r>
      <w:r w:rsidRPr="0049286A">
        <w:t xml:space="preserve">ми, Комитет выражает обеспокоенность по поводу ряда случаев, которые не были расследованы. 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t>37.</w:t>
      </w:r>
      <w:r w:rsidRPr="0049286A">
        <w:rPr>
          <w:b/>
          <w:bCs/>
        </w:rPr>
        <w:tab/>
        <w:t>Комитет рекомендует государству-участнику принять все необход</w:t>
      </w:r>
      <w:r w:rsidRPr="0049286A">
        <w:rPr>
          <w:b/>
          <w:bCs/>
        </w:rPr>
        <w:t>и</w:t>
      </w:r>
      <w:r w:rsidRPr="0049286A">
        <w:rPr>
          <w:b/>
          <w:bCs/>
        </w:rPr>
        <w:t>мые меры для ускорения расследования и судебного разбирательства по делам о сексуальных надругательствах над детьми, совершенных, предп</w:t>
      </w:r>
      <w:r w:rsidRPr="0049286A">
        <w:rPr>
          <w:b/>
          <w:bCs/>
        </w:rPr>
        <w:t>о</w:t>
      </w:r>
      <w:r w:rsidRPr="0049286A">
        <w:rPr>
          <w:b/>
          <w:bCs/>
        </w:rPr>
        <w:t>ложительно, церковными служащими.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Вредная практика</w:t>
      </w:r>
    </w:p>
    <w:p w:rsidR="00195786" w:rsidRPr="0049286A" w:rsidRDefault="00195786" w:rsidP="00195786">
      <w:pPr>
        <w:pStyle w:val="SingleTxtGR"/>
      </w:pPr>
      <w:r w:rsidRPr="0049286A">
        <w:t>38.</w:t>
      </w:r>
      <w:r w:rsidRPr="0049286A">
        <w:tab/>
        <w:t>Комитет обеспокоен значительным количеством проживающих в госуда</w:t>
      </w:r>
      <w:r w:rsidRPr="0049286A">
        <w:t>р</w:t>
      </w:r>
      <w:r w:rsidRPr="0049286A">
        <w:t>стве-участнике девочек, которые пострадали от калечения половых органов или могут быть временно отосланы в страну, где практикуется калечение половых органов, либо которые могут подвергнуться такой операции на территории г</w:t>
      </w:r>
      <w:r w:rsidRPr="0049286A">
        <w:t>о</w:t>
      </w:r>
      <w:r w:rsidRPr="0049286A">
        <w:t>сударства-участника. Комитет также с обеспокоенностью отмечает, что врачи, акушерки и больничный персонал часто не обладают достаточной информацией о практике калечения половых органов, а также о профилактических и защи</w:t>
      </w:r>
      <w:r w:rsidRPr="0049286A">
        <w:t>т</w:t>
      </w:r>
      <w:r w:rsidRPr="0049286A">
        <w:t xml:space="preserve">ных мерах и поэтому не могут оказать консультативное содействие и помощь.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39.</w:t>
      </w:r>
      <w:r w:rsidRPr="0049286A">
        <w:rPr>
          <w:b/>
        </w:rPr>
        <w:tab/>
        <w:t>Комитет вновь подчеркивает свои предыдущие рекомендации (CRC/C/15/Add.226, пункт 47) и настоятельно призывает государство-участник разработать национальную политику и стратегию по против</w:t>
      </w:r>
      <w:r w:rsidRPr="0049286A">
        <w:rPr>
          <w:b/>
        </w:rPr>
        <w:t>о</w:t>
      </w:r>
      <w:r w:rsidRPr="0049286A">
        <w:rPr>
          <w:b/>
        </w:rPr>
        <w:t>действию практике калечения женских половых органов и с этой целью: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>организовать подготовку кадров по вопросам предотвращения практики калечения женских половых органов и принятия в ее отношении надлежащих мер для всех соответствующих профессиональных групп, в частности врачей, акушерок, больничного персонала, преподавателей, с</w:t>
      </w:r>
      <w:r w:rsidRPr="0049286A">
        <w:rPr>
          <w:b/>
          <w:bCs/>
        </w:rPr>
        <w:t>о</w:t>
      </w:r>
      <w:r w:rsidRPr="0049286A">
        <w:rPr>
          <w:b/>
          <w:bCs/>
        </w:rPr>
        <w:t>циальных работников и консультантов, обслуживающих телефонные л</w:t>
      </w:r>
      <w:r w:rsidRPr="0049286A">
        <w:rPr>
          <w:b/>
          <w:bCs/>
        </w:rPr>
        <w:t>и</w:t>
      </w:r>
      <w:r w:rsidRPr="0049286A">
        <w:rPr>
          <w:b/>
          <w:bCs/>
        </w:rPr>
        <w:t>нии помощи детям;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b)</w:t>
      </w:r>
      <w:r w:rsidRPr="0049286A">
        <w:rPr>
          <w:b/>
          <w:bCs/>
        </w:rPr>
        <w:tab/>
        <w:t>расширить и организовать дополнительные программы ра</w:t>
      </w:r>
      <w:r w:rsidRPr="0049286A">
        <w:rPr>
          <w:b/>
          <w:bCs/>
        </w:rPr>
        <w:t>с</w:t>
      </w:r>
      <w:r w:rsidRPr="0049286A">
        <w:rPr>
          <w:b/>
          <w:bCs/>
        </w:rPr>
        <w:t>пространения информации и повышения осведомленности в целях предо</w:t>
      </w:r>
      <w:r w:rsidRPr="0049286A">
        <w:rPr>
          <w:b/>
          <w:bCs/>
        </w:rPr>
        <w:t>т</w:t>
      </w:r>
      <w:r w:rsidRPr="0049286A">
        <w:rPr>
          <w:b/>
          <w:bCs/>
        </w:rPr>
        <w:t>вращения упомянутой практики, в частности путем привлечения к такой работе гражданского общества и средств массовой информации. В этой связи особое внимание следует уделять информационным кампаниям для девочек из групп риска и информировать их о возможности получения с</w:t>
      </w:r>
      <w:r w:rsidRPr="0049286A">
        <w:rPr>
          <w:b/>
          <w:bCs/>
        </w:rPr>
        <w:t>о</w:t>
      </w:r>
      <w:r w:rsidRPr="0049286A">
        <w:rPr>
          <w:b/>
          <w:bCs/>
        </w:rPr>
        <w:t>действия и консультативной помощи;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c)</w:t>
      </w:r>
      <w:r w:rsidRPr="0049286A">
        <w:rPr>
          <w:b/>
          <w:bCs/>
        </w:rPr>
        <w:tab/>
        <w:t>проводить более настойчивую работу по искоренению практики калечения женских половых органов в рамках его программ междунаро</w:t>
      </w:r>
      <w:r w:rsidRPr="0049286A">
        <w:rPr>
          <w:b/>
          <w:bCs/>
        </w:rPr>
        <w:t>д</w:t>
      </w:r>
      <w:r w:rsidRPr="0049286A">
        <w:rPr>
          <w:b/>
          <w:bCs/>
        </w:rPr>
        <w:t>ного сотрудничества, в частности посредством оказания финансовой и те</w:t>
      </w:r>
      <w:r w:rsidRPr="0049286A">
        <w:rPr>
          <w:b/>
          <w:bCs/>
        </w:rPr>
        <w:t>х</w:t>
      </w:r>
      <w:r w:rsidRPr="0049286A">
        <w:rPr>
          <w:b/>
          <w:bCs/>
        </w:rPr>
        <w:t>нической помощи странам, в которых практикуется калечение женских половых органов.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Свобода ребенка от всех форм насилия</w:t>
      </w:r>
    </w:p>
    <w:p w:rsidR="00195786" w:rsidRPr="0049286A" w:rsidRDefault="00195786" w:rsidP="00195786">
      <w:pPr>
        <w:pStyle w:val="SingleTxtGR"/>
      </w:pPr>
      <w:r w:rsidRPr="0049286A">
        <w:t>40.</w:t>
      </w:r>
      <w:r w:rsidRPr="0049286A">
        <w:tab/>
        <w:t>Комитет заявляет о своей обеспокоенности насилием, совершаемым в о</w:t>
      </w:r>
      <w:r w:rsidRPr="0049286A">
        <w:t>т</w:t>
      </w:r>
      <w:r w:rsidRPr="0049286A">
        <w:t>ношении детей в школах и в других учреждениях, включая физическое насилие, издевательства, а также нарастание проявлений издевательства в киберпр</w:t>
      </w:r>
      <w:r w:rsidRPr="0049286A">
        <w:t>о</w:t>
      </w:r>
      <w:r w:rsidRPr="0049286A">
        <w:t>странстве. Кроме того Комитет обеспокоен нехваткой достаточно квалифицир</w:t>
      </w:r>
      <w:r w:rsidRPr="0049286A">
        <w:t>о</w:t>
      </w:r>
      <w:r w:rsidRPr="0049286A">
        <w:t>ванных педагогов и школьных социальных работников в некоторых школах для борьбы с этой проблемой, а также квалифицированного персонала в других у</w:t>
      </w:r>
      <w:r w:rsidRPr="0049286A">
        <w:t>ч</w:t>
      </w:r>
      <w:r w:rsidRPr="0049286A">
        <w:t>реждениях.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41.</w:t>
      </w:r>
      <w:r w:rsidRPr="0049286A">
        <w:rPr>
          <w:b/>
        </w:rPr>
        <w:tab/>
        <w:t>Ссылаясь на рекомендации проведенного в 2006 году Организацией Объединенных Наций исследования по вопросу о насилии в отношении д</w:t>
      </w:r>
      <w:r w:rsidRPr="0049286A">
        <w:rPr>
          <w:b/>
        </w:rPr>
        <w:t>е</w:t>
      </w:r>
      <w:r w:rsidRPr="0049286A">
        <w:rPr>
          <w:b/>
        </w:rPr>
        <w:t>тей (см. A/61/299) и замечание Комитета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13</w:t>
      </w:r>
      <w:r w:rsidR="0049286A" w:rsidRPr="0049286A">
        <w:rPr>
          <w:b/>
        </w:rPr>
        <w:t xml:space="preserve"> </w:t>
      </w:r>
      <w:r w:rsidRPr="0049286A">
        <w:rPr>
          <w:b/>
        </w:rPr>
        <w:t>(2011) о пр</w:t>
      </w:r>
      <w:r w:rsidRPr="0049286A">
        <w:rPr>
          <w:b/>
        </w:rPr>
        <w:t>а</w:t>
      </w:r>
      <w:r w:rsidRPr="0049286A">
        <w:rPr>
          <w:b/>
        </w:rPr>
        <w:t xml:space="preserve">ве ребенка на свободу от всех форм насилия, </w:t>
      </w:r>
      <w:r w:rsidRPr="0049286A">
        <w:rPr>
          <w:b/>
          <w:bCs/>
        </w:rPr>
        <w:t>Комитет рекомендует госуда</w:t>
      </w:r>
      <w:r w:rsidRPr="0049286A">
        <w:rPr>
          <w:b/>
          <w:bCs/>
        </w:rPr>
        <w:t>р</w:t>
      </w:r>
      <w:r w:rsidRPr="0049286A">
        <w:rPr>
          <w:b/>
          <w:bCs/>
        </w:rPr>
        <w:t>ству-участнику</w:t>
      </w:r>
      <w:r w:rsidRPr="0049286A">
        <w:rPr>
          <w:b/>
        </w:rPr>
        <w:t>: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a)</w:t>
      </w:r>
      <w:r w:rsidRPr="0049286A">
        <w:rPr>
          <w:b/>
        </w:rPr>
        <w:tab/>
        <w:t>разработать всеобъемлющую национальную стратегию пред</w:t>
      </w:r>
      <w:r w:rsidRPr="0049286A">
        <w:rPr>
          <w:b/>
        </w:rPr>
        <w:t>у</w:t>
      </w:r>
      <w:r w:rsidRPr="0049286A">
        <w:rPr>
          <w:b/>
        </w:rPr>
        <w:t>преждения и пресечения всех форм насилия в отношении детей;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b)</w:t>
      </w:r>
      <w:r w:rsidRPr="0049286A">
        <w:rPr>
          <w:b/>
        </w:rPr>
        <w:tab/>
        <w:t>принять национальные координационные рамки борьбы со всеми формами насилия в отношении детей;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 xml:space="preserve">организовать общенациональные </w:t>
      </w:r>
      <w:proofErr w:type="spellStart"/>
      <w:r w:rsidRPr="0049286A">
        <w:rPr>
          <w:b/>
        </w:rPr>
        <w:t>информационно-просвети</w:t>
      </w:r>
      <w:proofErr w:type="spellEnd"/>
      <w:r w:rsidR="007B5E61">
        <w:rPr>
          <w:b/>
          <w:lang w:val="en-US"/>
        </w:rPr>
        <w:t>-</w:t>
      </w:r>
      <w:proofErr w:type="spellStart"/>
      <w:r w:rsidRPr="0049286A">
        <w:rPr>
          <w:b/>
        </w:rPr>
        <w:t>тельские</w:t>
      </w:r>
      <w:proofErr w:type="spellEnd"/>
      <w:r w:rsidRPr="0049286A">
        <w:rPr>
          <w:b/>
        </w:rPr>
        <w:t xml:space="preserve"> и учебные программы для преподавателей и социальных рабо</w:t>
      </w:r>
      <w:r w:rsidRPr="0049286A">
        <w:rPr>
          <w:b/>
        </w:rPr>
        <w:t>т</w:t>
      </w:r>
      <w:r w:rsidRPr="0049286A">
        <w:rPr>
          <w:b/>
        </w:rPr>
        <w:t>ников, направленные на обучение их методам распознавания случаев пр</w:t>
      </w:r>
      <w:r w:rsidRPr="0049286A">
        <w:rPr>
          <w:b/>
        </w:rPr>
        <w:t>и</w:t>
      </w:r>
      <w:r w:rsidRPr="0049286A">
        <w:rPr>
          <w:b/>
        </w:rPr>
        <w:t>менения насилия и принятия в отношении них эффективных ответных мер;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d)</w:t>
      </w:r>
      <w:r w:rsidRPr="0049286A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с другими соответс</w:t>
      </w:r>
      <w:r w:rsidRPr="0049286A">
        <w:rPr>
          <w:b/>
        </w:rPr>
        <w:t>т</w:t>
      </w:r>
      <w:r w:rsidRPr="0049286A">
        <w:rPr>
          <w:b/>
        </w:rPr>
        <w:t xml:space="preserve">вующими учреждениями системы Организации Объединенных Наций. </w:t>
      </w:r>
    </w:p>
    <w:p w:rsidR="00195786" w:rsidRPr="0049286A" w:rsidRDefault="00195786" w:rsidP="00195786">
      <w:pPr>
        <w:pStyle w:val="H1GR"/>
      </w:pPr>
      <w:r w:rsidRPr="0049286A">
        <w:tab/>
        <w:t>E.</w:t>
      </w:r>
      <w:r w:rsidRPr="0049286A">
        <w:tab/>
        <w:t>Семейное окружение и альтернативный уход (статьи 5, 9–11, 18 (пункты 1 и</w:t>
      </w:r>
      <w:r w:rsidR="0049286A" w:rsidRPr="0049286A">
        <w:t xml:space="preserve"> </w:t>
      </w:r>
      <w:r w:rsidRPr="0049286A">
        <w:t>2), 20–21, 25 и 27 (пункт 4) Конвенции)</w:t>
      </w:r>
    </w:p>
    <w:p w:rsidR="00195786" w:rsidRPr="0049286A" w:rsidRDefault="00195786" w:rsidP="00195786">
      <w:pPr>
        <w:pStyle w:val="SingleTxtGR"/>
      </w:pPr>
      <w:r w:rsidRPr="0049286A">
        <w:t>42.</w:t>
      </w:r>
      <w:r w:rsidRPr="0049286A">
        <w:tab/>
        <w:t>Приветствуя существенные изменения, внесенные государством-участником в регулирование родительских отношений, в частности устойчивую тенденцию к установлению практики совместной опеки родителей над своими детьми, Комитет обращает внимание на то, что государство-участник все еще использует в своем законодательстве термин "опека", а не выражение "обяза</w:t>
      </w:r>
      <w:r w:rsidRPr="0049286A">
        <w:t>н</w:t>
      </w:r>
      <w:r w:rsidRPr="0049286A">
        <w:t>ность родителей", применяемое в Конвенции и в некоторых международных документах, которые были приняты после вступления в силу Конвенции о пр</w:t>
      </w:r>
      <w:r w:rsidRPr="0049286A">
        <w:t>а</w:t>
      </w:r>
      <w:r w:rsidRPr="0049286A">
        <w:t>вах ребенка.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43.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рассмотреть возмо</w:t>
      </w:r>
      <w:r w:rsidRPr="0049286A">
        <w:rPr>
          <w:b/>
        </w:rPr>
        <w:t>ж</w:t>
      </w:r>
      <w:r w:rsidRPr="0049286A">
        <w:rPr>
          <w:b/>
        </w:rPr>
        <w:t xml:space="preserve">ность замены термина "опека" выражением "обязанность родителей" в соответствии с объектом и целью Конвенции.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Дети, лишенные семейного окружения</w:t>
      </w:r>
    </w:p>
    <w:p w:rsidR="00195786" w:rsidRPr="0049286A" w:rsidRDefault="00195786" w:rsidP="00195786">
      <w:pPr>
        <w:pStyle w:val="SingleTxtGR"/>
      </w:pPr>
      <w:r w:rsidRPr="0049286A">
        <w:t>44.</w:t>
      </w:r>
      <w:r w:rsidRPr="0049286A">
        <w:tab/>
        <w:t>Комитет обеспокоен строгими правилами государства-участника в отн</w:t>
      </w:r>
      <w:r w:rsidRPr="0049286A">
        <w:t>о</w:t>
      </w:r>
      <w:r w:rsidRPr="0049286A">
        <w:t xml:space="preserve">шении воссоединения семей, которые допускают возможность присоединения оставленных в стране происхождения детей, не являющихся гражданами одной из стран Европейского союза, к своим родителям в государстве-участнике, только если они младше шестнадцати лет и при гарантии наличия у них средств к существованию.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45.</w:t>
      </w:r>
      <w:r w:rsidRPr="0049286A">
        <w:rPr>
          <w:b/>
        </w:rPr>
        <w:tab/>
        <w:t>С учетом своего замечания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14</w:t>
      </w:r>
      <w:r w:rsidR="0049286A" w:rsidRPr="0049286A">
        <w:rPr>
          <w:b/>
        </w:rPr>
        <w:t xml:space="preserve"> </w:t>
      </w:r>
      <w:r w:rsidRPr="0049286A">
        <w:rPr>
          <w:b/>
        </w:rPr>
        <w:t>(2013) о праве р</w:t>
      </w:r>
      <w:r w:rsidRPr="0049286A">
        <w:rPr>
          <w:b/>
        </w:rPr>
        <w:t>е</w:t>
      </w:r>
      <w:r w:rsidRPr="0049286A">
        <w:rPr>
          <w:b/>
        </w:rPr>
        <w:t xml:space="preserve">бенка на уделение первоочередного внимания его наилучшим интересам </w:t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обеспечить в законодательном порядке право детей иностранных граждан на воссоединение с семьей до достижения ими восемнадцати лет.</w:t>
      </w:r>
    </w:p>
    <w:p w:rsidR="00195786" w:rsidRPr="0049286A" w:rsidRDefault="00195786" w:rsidP="00195786">
      <w:pPr>
        <w:pStyle w:val="SingleTxtGR"/>
      </w:pPr>
      <w:r w:rsidRPr="0049286A">
        <w:t>46.</w:t>
      </w:r>
      <w:r w:rsidRPr="0049286A">
        <w:tab/>
        <w:t>Приветствуя принимаемые государством-участником законодательные меры по оказанию поддержки родителям в деле выполнения ими своих род</w:t>
      </w:r>
      <w:r w:rsidRPr="0049286A">
        <w:t>и</w:t>
      </w:r>
      <w:r w:rsidRPr="0049286A">
        <w:t>тельских обязанностей, Комитет выражает обеспокоенность по поводу: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увеличения числа детей, лишенных семейного окружения и пер</w:t>
      </w:r>
      <w:r w:rsidRPr="0049286A">
        <w:t>е</w:t>
      </w:r>
      <w:r w:rsidRPr="0049286A">
        <w:t>даваемых под государственную опеку;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отсутствия у государственных служб социального обеспечения м</w:t>
      </w:r>
      <w:r w:rsidRPr="0049286A">
        <w:t>о</w:t>
      </w:r>
      <w:r w:rsidRPr="0049286A">
        <w:t>лодежи достаточных ресурсов для поддержки находящихся в угрожаемом п</w:t>
      </w:r>
      <w:r w:rsidRPr="0049286A">
        <w:t>о</w:t>
      </w:r>
      <w:r w:rsidRPr="0049286A">
        <w:t>ложении семей и ограниченным количеством местных органов власти, которые оказывают услуги на языке родителей или обеспечивают устный перевод;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 xml:space="preserve">практики помещения детей с проблемным поведением в приемные семьи в других странах Европейского союза без осуществления надлежащего надзора и оценки.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47.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>: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>усовершенствовать систему поддержки семей и обеспечить и</w:t>
      </w:r>
      <w:r w:rsidRPr="0049286A">
        <w:rPr>
          <w:b/>
          <w:bCs/>
        </w:rPr>
        <w:t>с</w:t>
      </w:r>
      <w:r w:rsidRPr="0049286A">
        <w:rPr>
          <w:b/>
          <w:bCs/>
        </w:rPr>
        <w:t>пользование практики помещения детей в приемные семьи только с целью наилучшего обеспечения интересов ребенка;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b)</w:t>
      </w:r>
      <w:r w:rsidRPr="0049286A">
        <w:rPr>
          <w:b/>
          <w:bCs/>
        </w:rPr>
        <w:tab/>
        <w:t>предоставить службам социального обеспечения достаточные людские и финансовые ресурсы с тем, чтобы они могли оказывать помощь всем испытывающим социальные и экономические трудности семьям, включая семьи мигрантов, в частности трудности в преодолении языков</w:t>
      </w:r>
      <w:r w:rsidRPr="0049286A">
        <w:rPr>
          <w:b/>
          <w:bCs/>
        </w:rPr>
        <w:t>о</w:t>
      </w:r>
      <w:r w:rsidRPr="0049286A">
        <w:rPr>
          <w:b/>
          <w:bCs/>
        </w:rPr>
        <w:t>го барьера;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пересмотреть свою политику передачи детей под опеку в другие страны Европейского союза и обеспечивать надлежащий надзор, посл</w:t>
      </w:r>
      <w:r w:rsidRPr="0049286A">
        <w:rPr>
          <w:b/>
        </w:rPr>
        <w:t>е</w:t>
      </w:r>
      <w:r w:rsidRPr="0049286A">
        <w:rPr>
          <w:b/>
        </w:rPr>
        <w:t xml:space="preserve">дующее взаимодействие и оценку их положения. </w:t>
      </w:r>
    </w:p>
    <w:p w:rsidR="00195786" w:rsidRPr="0049286A" w:rsidRDefault="00195786" w:rsidP="00195786">
      <w:pPr>
        <w:pStyle w:val="SingleTxtGR"/>
      </w:pPr>
      <w:r w:rsidRPr="0049286A">
        <w:t>48.</w:t>
      </w:r>
      <w:r w:rsidRPr="0049286A">
        <w:tab/>
        <w:t>Приветствуя усилия государства-участника по расширению системы о</w:t>
      </w:r>
      <w:r w:rsidRPr="0049286A">
        <w:t>б</w:t>
      </w:r>
      <w:r w:rsidRPr="0049286A">
        <w:t>разования детей младшего возраста и ухода за ними, Комитет вновь заявляет о своей обеспокоенности по поводу ограниченного числа учебных заведений для детей младшего возраста и учреждений по уходу за ними в некоторых землях, особенно в части, касающейся детей в возрасте до трех лет, и по поводу разл</w:t>
      </w:r>
      <w:r w:rsidRPr="0049286A">
        <w:t>и</w:t>
      </w:r>
      <w:r w:rsidRPr="0049286A">
        <w:t>чий между землями в качественных стандартах таких учреждений. Комитет также обеспокоен теми трудностями, с которыми сталкиваются при доступе к их услугам находящиеся в уязвимом положении семьи, в частности семьи м</w:t>
      </w:r>
      <w:r w:rsidRPr="0049286A">
        <w:t>и</w:t>
      </w:r>
      <w:r w:rsidRPr="0049286A">
        <w:t xml:space="preserve">грантов.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49.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принять комплексную национальную политику в области образования детей младшего возраста и ухода за ними в соответствии с Европейской стратегией роста до 2020 года, а также обеспечивать доступ всех детей младшего возраста к высококач</w:t>
      </w:r>
      <w:r w:rsidRPr="0049286A">
        <w:rPr>
          <w:b/>
        </w:rPr>
        <w:t>е</w:t>
      </w:r>
      <w:r w:rsidRPr="0049286A">
        <w:rPr>
          <w:b/>
        </w:rPr>
        <w:t xml:space="preserve">ственному образованию и уходу без какой-либо дискриминации. </w:t>
      </w:r>
    </w:p>
    <w:p w:rsidR="00195786" w:rsidRPr="0049286A" w:rsidRDefault="00195786" w:rsidP="00195786">
      <w:pPr>
        <w:pStyle w:val="H1GR"/>
      </w:pPr>
      <w:r w:rsidRPr="0049286A">
        <w:tab/>
        <w:t>F.</w:t>
      </w:r>
      <w:r w:rsidRPr="0049286A">
        <w:tab/>
        <w:t>Инвалидность, основные медицинские услуги и социальное обеспечение (статьи 6, 18 (пункт 3),</w:t>
      </w:r>
      <w:r w:rsidR="007B5E61">
        <w:t xml:space="preserve"> 23, 24, 26, 27</w:t>
      </w:r>
      <w:r w:rsidR="007B5E61">
        <w:br/>
        <w:t>(пункты 1</w:t>
      </w:r>
      <w:r w:rsidR="007B5E61">
        <w:rPr>
          <w:lang w:val="en-US"/>
        </w:rPr>
        <w:t>−</w:t>
      </w:r>
      <w:r w:rsidRPr="0049286A">
        <w:t>3) и 33 Конвенции)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Дети-инвалиды</w:t>
      </w:r>
    </w:p>
    <w:p w:rsidR="00195786" w:rsidRPr="0049286A" w:rsidRDefault="00195786" w:rsidP="00195786">
      <w:pPr>
        <w:pStyle w:val="SingleTxtGR"/>
      </w:pPr>
      <w:r w:rsidRPr="0049286A">
        <w:t>50.</w:t>
      </w:r>
      <w:r w:rsidRPr="0049286A">
        <w:tab/>
        <w:t>Комитет приветствует предпринимаемые государством-участником шаги по анализу и улучшению положения детей-инвалидов. Комитет, однако, заявл</w:t>
      </w:r>
      <w:r w:rsidRPr="0049286A">
        <w:t>я</w:t>
      </w:r>
      <w:r w:rsidRPr="0049286A">
        <w:t>ет о своей обеспокоенности по поводу неинклюзивного характера образования, особенно на уровне средней школы. В этом контексте Комитет также с озаб</w:t>
      </w:r>
      <w:r w:rsidRPr="0049286A">
        <w:t>о</w:t>
      </w:r>
      <w:r w:rsidRPr="0049286A">
        <w:t>ченностью отмечает: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недостаточный уровень сотрудничества между федеральными и з</w:t>
      </w:r>
      <w:r w:rsidRPr="0049286A">
        <w:t>е</w:t>
      </w:r>
      <w:r w:rsidRPr="0049286A">
        <w:t>мельными властями в сфере образования и отсутствие адаптированных уче</w:t>
      </w:r>
      <w:r w:rsidRPr="0049286A">
        <w:t>б</w:t>
      </w:r>
      <w:r w:rsidRPr="0049286A">
        <w:t>ных планов и систематической подготовки всех педагогов и школьного перс</w:t>
      </w:r>
      <w:r w:rsidRPr="0049286A">
        <w:t>о</w:t>
      </w:r>
      <w:r w:rsidRPr="0049286A">
        <w:t>нала по вопросам инклюзивного подхода к образованию;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непризнание потребности в оказании индивидуальной поддержки и в достижении разумных компромиссов в области образования, а также указыв</w:t>
      </w:r>
      <w:r w:rsidRPr="0049286A">
        <w:t>а</w:t>
      </w:r>
      <w:r w:rsidRPr="0049286A">
        <w:t>ет на различия в нормативных положениях земель об использовании языка же</w:t>
      </w:r>
      <w:r w:rsidRPr="0049286A">
        <w:t>с</w:t>
      </w:r>
      <w:r w:rsidRPr="0049286A">
        <w:t>тов;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случаи направления в некоторых землях учащихся начальной шк</w:t>
      </w:r>
      <w:r w:rsidRPr="0049286A">
        <w:t>о</w:t>
      </w:r>
      <w:r w:rsidRPr="0049286A">
        <w:t>лы в специальные школы против воли их родителей, и обучение большинства детей-инвалидов в</w:t>
      </w:r>
      <w:r w:rsidR="0049286A" w:rsidRPr="0049286A">
        <w:t xml:space="preserve"> </w:t>
      </w:r>
      <w:r w:rsidRPr="0049286A">
        <w:t>специальных школах, а также уход многих детей-инвалидов из школы до получения диплома.</w:t>
      </w:r>
    </w:p>
    <w:p w:rsidR="00195786" w:rsidRPr="0049286A" w:rsidRDefault="00195786" w:rsidP="00195786">
      <w:pPr>
        <w:pStyle w:val="SingleTxtGR"/>
        <w:rPr>
          <w:b/>
        </w:rPr>
      </w:pPr>
      <w:r w:rsidRPr="007B5E61">
        <w:t>51.</w:t>
      </w:r>
      <w:r w:rsidRPr="0049286A">
        <w:rPr>
          <w:b/>
        </w:rPr>
        <w:tab/>
        <w:t>В свете статьи 23 Конвенции и замечания Комитета общего поря</w:t>
      </w:r>
      <w:r w:rsidRPr="0049286A">
        <w:rPr>
          <w:b/>
        </w:rPr>
        <w:t>д</w:t>
      </w:r>
      <w:r w:rsidRPr="0049286A">
        <w:rPr>
          <w:b/>
        </w:rPr>
        <w:t>ка</w:t>
      </w:r>
      <w:r w:rsidR="007B5E61">
        <w:rPr>
          <w:b/>
          <w:lang w:val="en-US"/>
        </w:rPr>
        <w:t> 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9</w:t>
      </w:r>
      <w:r w:rsidR="0049286A" w:rsidRPr="0049286A">
        <w:rPr>
          <w:b/>
        </w:rPr>
        <w:t xml:space="preserve"> </w:t>
      </w:r>
      <w:r w:rsidRPr="0049286A">
        <w:rPr>
          <w:b/>
        </w:rPr>
        <w:t xml:space="preserve">(2006) о правах детей-инвалидов </w:t>
      </w:r>
      <w:r w:rsidRPr="0049286A">
        <w:rPr>
          <w:b/>
          <w:bCs/>
        </w:rPr>
        <w:t xml:space="preserve">Комитет настоятельно призывает государство-участник </w:t>
      </w:r>
      <w:r w:rsidRPr="0049286A">
        <w:rPr>
          <w:b/>
        </w:rPr>
        <w:t>придерживаться правозащитного подхода к инвал</w:t>
      </w:r>
      <w:r w:rsidRPr="0049286A">
        <w:rPr>
          <w:b/>
        </w:rPr>
        <w:t>и</w:t>
      </w:r>
      <w:r w:rsidRPr="0049286A">
        <w:rPr>
          <w:b/>
        </w:rPr>
        <w:t>дам и, в частности, рекомендует государству-участнику: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>продолжать работу по введению в общегосударственном ма</w:t>
      </w:r>
      <w:r w:rsidRPr="0049286A">
        <w:rPr>
          <w:b/>
          <w:bCs/>
        </w:rPr>
        <w:t>с</w:t>
      </w:r>
      <w:r w:rsidRPr="0049286A">
        <w:rPr>
          <w:b/>
          <w:bCs/>
        </w:rPr>
        <w:t>штабе системы инклюзивного образования и обеспечить выделение нео</w:t>
      </w:r>
      <w:r w:rsidRPr="0049286A">
        <w:rPr>
          <w:b/>
          <w:bCs/>
        </w:rPr>
        <w:t>б</w:t>
      </w:r>
      <w:r w:rsidRPr="0049286A">
        <w:rPr>
          <w:b/>
          <w:bCs/>
        </w:rPr>
        <w:t>ходимых ресурсов, в том числе за счет использования средств, имеющихся в распоряжении специальных школ;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b)</w:t>
      </w:r>
      <w:r w:rsidRPr="0049286A">
        <w:rPr>
          <w:b/>
        </w:rPr>
        <w:tab/>
        <w:t>провести все необходимые законодательные и структурные р</w:t>
      </w:r>
      <w:r w:rsidRPr="0049286A">
        <w:rPr>
          <w:b/>
        </w:rPr>
        <w:t>е</w:t>
      </w:r>
      <w:r w:rsidRPr="0049286A">
        <w:rPr>
          <w:b/>
        </w:rPr>
        <w:t>формы для обеспечения права на инклюзивное образование детей-инвалидов, включая право на индивидуальную поддержку и достижение разумных компромиссов в области образования;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обеспечить учет мнений детей-инвалидов и их семей при пр</w:t>
      </w:r>
      <w:r w:rsidRPr="0049286A">
        <w:rPr>
          <w:b/>
        </w:rPr>
        <w:t>и</w:t>
      </w:r>
      <w:r w:rsidRPr="0049286A">
        <w:rPr>
          <w:b/>
        </w:rPr>
        <w:t>нятии решений о целесообразности обучения ребенка в специальной шк</w:t>
      </w:r>
      <w:r w:rsidRPr="0049286A">
        <w:rPr>
          <w:b/>
        </w:rPr>
        <w:t>о</w:t>
      </w:r>
      <w:r w:rsidRPr="0049286A">
        <w:rPr>
          <w:b/>
        </w:rPr>
        <w:t>ле.</w:t>
      </w:r>
    </w:p>
    <w:p w:rsidR="00195786" w:rsidRPr="0049286A" w:rsidRDefault="00195786" w:rsidP="00195786">
      <w:pPr>
        <w:pStyle w:val="SingleTxtGR"/>
      </w:pPr>
      <w:r w:rsidRPr="0049286A">
        <w:t>52.</w:t>
      </w:r>
      <w:r w:rsidRPr="0049286A">
        <w:tab/>
        <w:t>Комитет обеспокоен выводами недавно проведенного государством-участником исследования, в соответствии с которыми девочкам-инвалидам з</w:t>
      </w:r>
      <w:r w:rsidRPr="0049286A">
        <w:t>а</w:t>
      </w:r>
      <w:r w:rsidRPr="0049286A">
        <w:t xml:space="preserve">частую угрожает опасность насилия, включая сексуальное насилие.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53.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принять все необход</w:t>
      </w:r>
      <w:r w:rsidRPr="0049286A">
        <w:rPr>
          <w:b/>
        </w:rPr>
        <w:t>и</w:t>
      </w:r>
      <w:r w:rsidRPr="0049286A">
        <w:rPr>
          <w:b/>
        </w:rPr>
        <w:t xml:space="preserve">мые меры для предотвращения всех форм насилия в отношении детей-инвалидов, уделяя при этом особое внимание безопасности девочек-инвалидов. В этой связи </w:t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со</w:t>
      </w:r>
      <w:r w:rsidRPr="0049286A">
        <w:rPr>
          <w:b/>
        </w:rPr>
        <w:t>з</w:t>
      </w:r>
      <w:r w:rsidRPr="0049286A">
        <w:rPr>
          <w:b/>
        </w:rPr>
        <w:t>дать целевые механизмы защиты и рассмотрения жалоб детей-инвалидов, пострадавших от насилия.</w:t>
      </w:r>
    </w:p>
    <w:p w:rsidR="00195786" w:rsidRPr="0049286A" w:rsidRDefault="00195786" w:rsidP="00195786">
      <w:pPr>
        <w:pStyle w:val="SingleTxtGR"/>
      </w:pPr>
      <w:r w:rsidRPr="0049286A">
        <w:t>54.</w:t>
      </w:r>
      <w:r w:rsidRPr="0049286A">
        <w:tab/>
        <w:t>Комитет с озабоченностью указывает, что дети-инвалиды из семей м</w:t>
      </w:r>
      <w:r w:rsidRPr="0049286A">
        <w:t>и</w:t>
      </w:r>
      <w:r w:rsidRPr="0049286A">
        <w:t>грантов часто не получают такой же поддержки, как и дети, которые не являю</w:t>
      </w:r>
      <w:r w:rsidRPr="0049286A">
        <w:t>т</w:t>
      </w:r>
      <w:r w:rsidRPr="0049286A">
        <w:t xml:space="preserve">ся выходцами из миграционной среды, из-за отсутствия информации и/или трудностей, испытываемых их родителями при доступе к необходимым анкетам и заявлениям, и/или из-за незнания или непонимания проблемы инвалидности.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55.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принять все необход</w:t>
      </w:r>
      <w:r w:rsidRPr="0049286A">
        <w:rPr>
          <w:b/>
        </w:rPr>
        <w:t>и</w:t>
      </w:r>
      <w:r w:rsidRPr="0049286A">
        <w:rPr>
          <w:b/>
        </w:rPr>
        <w:t>мые меры для обеспечения семей с детьми-инвалидами из среды мигра</w:t>
      </w:r>
      <w:r w:rsidRPr="0049286A">
        <w:rPr>
          <w:b/>
        </w:rPr>
        <w:t>н</w:t>
      </w:r>
      <w:r w:rsidRPr="0049286A">
        <w:rPr>
          <w:b/>
        </w:rPr>
        <w:t>тов достаточной информацией и оказания им помощи в получении по</w:t>
      </w:r>
      <w:r w:rsidRPr="0049286A">
        <w:rPr>
          <w:b/>
        </w:rPr>
        <w:t>д</w:t>
      </w:r>
      <w:r w:rsidRPr="0049286A">
        <w:rPr>
          <w:b/>
        </w:rPr>
        <w:t>держки.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Охрана здоровья и медицинское обслуживание</w:t>
      </w:r>
    </w:p>
    <w:p w:rsidR="00195786" w:rsidRPr="0049286A" w:rsidRDefault="00195786" w:rsidP="00195786">
      <w:pPr>
        <w:pStyle w:val="SingleTxtGR"/>
      </w:pPr>
      <w:r w:rsidRPr="0049286A">
        <w:t>56.</w:t>
      </w:r>
      <w:r w:rsidRPr="0049286A">
        <w:tab/>
        <w:t>Комитет обеспокоен следующими вопросами: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новыми видами детских заболеваний, с которыми не ведется на</w:t>
      </w:r>
      <w:r w:rsidRPr="0049286A">
        <w:t>д</w:t>
      </w:r>
      <w:r w:rsidRPr="0049286A">
        <w:t>лежащая борьба и которые связаны с расстройством привязанности и могут объясняться сокращением практики исключительно грудного вскармливания, а также ростом у детей эмоциональных и поведенческих проблем из-за стремл</w:t>
      </w:r>
      <w:r w:rsidRPr="0049286A">
        <w:t>е</w:t>
      </w:r>
      <w:r w:rsidRPr="0049286A">
        <w:t>ния к успешной учебе в школе;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недостаточным доступом детей из числа просителей убежища и н</w:t>
      </w:r>
      <w:r w:rsidRPr="0049286A">
        <w:t>е</w:t>
      </w:r>
      <w:r w:rsidRPr="0049286A">
        <w:t>законных мигрантов к медицинскому обслуживанию, в том числе к лечению острых заболеваний, профилактической медицине и психосоциальной терапии.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57.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проводить пропаганд</w:t>
      </w:r>
      <w:r w:rsidRPr="0049286A">
        <w:rPr>
          <w:b/>
        </w:rPr>
        <w:t>и</w:t>
      </w:r>
      <w:r w:rsidRPr="0049286A">
        <w:rPr>
          <w:b/>
        </w:rPr>
        <w:t>стские и информационно-просветительские программы на уровне школ и отдельных семей, обращая в них особое внимание на потребность в физ</w:t>
      </w:r>
      <w:r w:rsidRPr="0049286A">
        <w:rPr>
          <w:b/>
        </w:rPr>
        <w:t>и</w:t>
      </w:r>
      <w:r w:rsidRPr="0049286A">
        <w:rPr>
          <w:b/>
        </w:rPr>
        <w:t>ческих упражнениях, здоровом питании и образе жизни. Ему также следует предпринять все необходимые шаги для устранения существующих разл</w:t>
      </w:r>
      <w:r w:rsidRPr="0049286A">
        <w:rPr>
          <w:b/>
        </w:rPr>
        <w:t>и</w:t>
      </w:r>
      <w:r w:rsidRPr="0049286A">
        <w:rPr>
          <w:b/>
        </w:rPr>
        <w:t>чий в показателях работы системы здравоохранения. Особое внимание следует уделять детям и молодежи, которые находятся в уязвимом полож</w:t>
      </w:r>
      <w:r w:rsidRPr="0049286A">
        <w:rPr>
          <w:b/>
        </w:rPr>
        <w:t>е</w:t>
      </w:r>
      <w:r w:rsidRPr="0049286A">
        <w:rPr>
          <w:b/>
        </w:rPr>
        <w:t>нии, особенно из среды социально незащищенных слоев населения или м</w:t>
      </w:r>
      <w:r w:rsidRPr="0049286A">
        <w:rPr>
          <w:b/>
        </w:rPr>
        <w:t>и</w:t>
      </w:r>
      <w:r w:rsidRPr="0049286A">
        <w:rPr>
          <w:b/>
        </w:rPr>
        <w:t>грантов. Кроме того Комитет обращает внимание государства-участника на свое замечание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15</w:t>
      </w:r>
      <w:r w:rsidR="0049286A" w:rsidRPr="0049286A">
        <w:rPr>
          <w:b/>
        </w:rPr>
        <w:t xml:space="preserve"> </w:t>
      </w:r>
      <w:r w:rsidRPr="0049286A">
        <w:rPr>
          <w:b/>
        </w:rPr>
        <w:t>(2013) о праве ребенка на наивы</w:t>
      </w:r>
      <w:r w:rsidRPr="0049286A">
        <w:rPr>
          <w:b/>
        </w:rPr>
        <w:t>с</w:t>
      </w:r>
      <w:r w:rsidRPr="0049286A">
        <w:rPr>
          <w:b/>
        </w:rPr>
        <w:t>ший достижимый уровень здоровья и рекомендует государству-участнику принять все необходимые законодательные и структурные меры для ко</w:t>
      </w:r>
      <w:r w:rsidRPr="0049286A">
        <w:rPr>
          <w:b/>
        </w:rPr>
        <w:t>н</w:t>
      </w:r>
      <w:r w:rsidRPr="0049286A">
        <w:rPr>
          <w:b/>
        </w:rPr>
        <w:t xml:space="preserve">троля за маркетингом заменителей грудного молока и поощрять матерей к грудному вскармливанию, что должно способствовать установлению более тесных связей между младенцами и их матерями. </w:t>
      </w:r>
    </w:p>
    <w:p w:rsidR="00195786" w:rsidRPr="0049286A" w:rsidRDefault="00195786" w:rsidP="00195786">
      <w:pPr>
        <w:pStyle w:val="H23GR"/>
        <w:rPr>
          <w:rFonts w:eastAsia="Malgun Gothic"/>
        </w:rPr>
      </w:pPr>
      <w:r w:rsidRPr="0049286A">
        <w:rPr>
          <w:rFonts w:eastAsia="Malgun Gothic"/>
        </w:rPr>
        <w:tab/>
      </w:r>
      <w:r w:rsidRPr="0049286A">
        <w:rPr>
          <w:rFonts w:eastAsia="Malgun Gothic"/>
        </w:rPr>
        <w:tab/>
        <w:t>Психическое здоровье</w:t>
      </w:r>
    </w:p>
    <w:p w:rsidR="00195786" w:rsidRPr="0049286A" w:rsidRDefault="00195786" w:rsidP="00195786">
      <w:pPr>
        <w:pStyle w:val="SingleTxtGR"/>
      </w:pPr>
      <w:r w:rsidRPr="0049286A">
        <w:t>58.</w:t>
      </w:r>
      <w:r w:rsidRPr="0049286A">
        <w:tab/>
        <w:t>Комитет обеспокоен расширением практики назначения детям психост</w:t>
      </w:r>
      <w:r w:rsidRPr="0049286A">
        <w:t>и</w:t>
      </w:r>
      <w:r w:rsidRPr="0049286A">
        <w:t>муляторов и чрезвычайно широким распространением случаев диагностиров</w:t>
      </w:r>
      <w:r w:rsidRPr="0049286A">
        <w:t>а</w:t>
      </w:r>
      <w:r w:rsidRPr="0049286A">
        <w:t>ния синдрома гиперактивности с дефицитом внимания (СГДВ) или синдрома дефицита внимания (СДВ), и в частности: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слишком частым назначением такого психостимулятора, как м</w:t>
      </w:r>
      <w:r w:rsidRPr="0049286A">
        <w:t>е</w:t>
      </w:r>
      <w:r w:rsidRPr="0049286A">
        <w:t>тилфенидат;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принудительным изъятием из семей детей с диагнозом/ошибочным диагнозом СГДВ или СДВ с их последующим помещением в приемные семьи или психиатрические лечебницы, где многим из них назначают психотропные препараты.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59.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>: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>обеспечивать помещение детей в приемные семьи или в псих</w:t>
      </w:r>
      <w:r w:rsidRPr="0049286A">
        <w:rPr>
          <w:b/>
          <w:bCs/>
        </w:rPr>
        <w:t>и</w:t>
      </w:r>
      <w:r w:rsidRPr="0049286A">
        <w:rPr>
          <w:b/>
          <w:bCs/>
        </w:rPr>
        <w:t>атрические лечебницы только в качестве крайней меры после установл</w:t>
      </w:r>
      <w:r w:rsidRPr="0049286A">
        <w:rPr>
          <w:b/>
          <w:bCs/>
        </w:rPr>
        <w:t>е</w:t>
      </w:r>
      <w:r w:rsidRPr="0049286A">
        <w:rPr>
          <w:b/>
          <w:bCs/>
        </w:rPr>
        <w:t>ния правильного диагноза;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b)</w:t>
      </w:r>
      <w:r w:rsidRPr="0049286A">
        <w:rPr>
          <w:b/>
          <w:bCs/>
        </w:rPr>
        <w:tab/>
        <w:t>предоставлять семьям доступ к услугам по психологическому консультированию и эмоциональной поддержке;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c)</w:t>
      </w:r>
      <w:r w:rsidRPr="0049286A">
        <w:rPr>
          <w:b/>
          <w:bCs/>
        </w:rPr>
        <w:tab/>
        <w:t>создать систему независимого экспертного мониторинга за д</w:t>
      </w:r>
      <w:r w:rsidRPr="0049286A">
        <w:rPr>
          <w:b/>
          <w:bCs/>
        </w:rPr>
        <w:t>и</w:t>
      </w:r>
      <w:r w:rsidRPr="0049286A">
        <w:rPr>
          <w:b/>
          <w:bCs/>
        </w:rPr>
        <w:t>агностикой СГДВ и СДВ и применением медикаментозных методов леч</w:t>
      </w:r>
      <w:r w:rsidRPr="0049286A">
        <w:rPr>
          <w:b/>
          <w:bCs/>
        </w:rPr>
        <w:t>е</w:t>
      </w:r>
      <w:r w:rsidRPr="0049286A">
        <w:rPr>
          <w:b/>
          <w:bCs/>
        </w:rPr>
        <w:t>ния детей;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d)</w:t>
      </w:r>
      <w:r w:rsidRPr="0049286A">
        <w:rPr>
          <w:b/>
          <w:bCs/>
        </w:rPr>
        <w:tab/>
        <w:t>обеспечить выявление соответствующими органами здрав</w:t>
      </w:r>
      <w:r w:rsidRPr="0049286A">
        <w:rPr>
          <w:b/>
          <w:bCs/>
        </w:rPr>
        <w:t>о</w:t>
      </w:r>
      <w:r w:rsidRPr="0049286A">
        <w:rPr>
          <w:b/>
          <w:bCs/>
        </w:rPr>
        <w:t>охранения основных причин невнимательности детей во время уроков и усовершенствовать диагностику у детей психических расстройств;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e)</w:t>
      </w:r>
      <w:r w:rsidRPr="0049286A">
        <w:rPr>
          <w:b/>
          <w:bCs/>
        </w:rPr>
        <w:tab/>
        <w:t>пресекать практику объявления детей "психиатрическими больными" в случаях, которые не подтверждаются медицинскими доказ</w:t>
      </w:r>
      <w:r w:rsidRPr="0049286A">
        <w:rPr>
          <w:b/>
          <w:bCs/>
        </w:rPr>
        <w:t>а</w:t>
      </w:r>
      <w:r w:rsidRPr="0049286A">
        <w:rPr>
          <w:b/>
          <w:bCs/>
        </w:rPr>
        <w:t>тельствами.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Здоровье подростков</w:t>
      </w:r>
    </w:p>
    <w:p w:rsidR="00195786" w:rsidRPr="0049286A" w:rsidRDefault="00195786" w:rsidP="00195786">
      <w:pPr>
        <w:pStyle w:val="SingleTxtGR"/>
      </w:pPr>
      <w:r w:rsidRPr="0049286A">
        <w:t>60.</w:t>
      </w:r>
      <w:r w:rsidRPr="0049286A">
        <w:tab/>
        <w:t>Приветствуя сокращение табакокурения среди подростков, Комитет вновь заявляет о своей обеспокоенности существенным ростом употребления алког</w:t>
      </w:r>
      <w:r w:rsidRPr="0049286A">
        <w:t>о</w:t>
      </w:r>
      <w:r w:rsidRPr="0049286A">
        <w:t>ля.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61.</w:t>
      </w:r>
      <w:r w:rsidRPr="0049286A">
        <w:rPr>
          <w:b/>
        </w:rPr>
        <w:tab/>
        <w:t>Ссылаясь на свое замечание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4</w:t>
      </w:r>
      <w:r w:rsidR="0049286A" w:rsidRPr="0049286A">
        <w:rPr>
          <w:b/>
        </w:rPr>
        <w:t xml:space="preserve"> </w:t>
      </w:r>
      <w:r w:rsidRPr="0049286A">
        <w:rPr>
          <w:b/>
        </w:rPr>
        <w:t xml:space="preserve">(2003) о здоровье и развитии подростков, </w:t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обесп</w:t>
      </w:r>
      <w:r w:rsidRPr="0049286A">
        <w:rPr>
          <w:b/>
        </w:rPr>
        <w:t>е</w:t>
      </w:r>
      <w:r w:rsidRPr="0049286A">
        <w:rPr>
          <w:b/>
        </w:rPr>
        <w:t>чивать детей достоверной информацией о негативных последствиях упо</w:t>
      </w:r>
      <w:r w:rsidRPr="0049286A">
        <w:rPr>
          <w:b/>
        </w:rPr>
        <w:t>т</w:t>
      </w:r>
      <w:r w:rsidRPr="0049286A">
        <w:rPr>
          <w:b/>
        </w:rPr>
        <w:t>ребления наркотиков, алкоголя и психоактивных веществ. Государство-участник должно обеспечить более органичное включение сведений о т</w:t>
      </w:r>
      <w:r w:rsidRPr="0049286A">
        <w:rPr>
          <w:b/>
        </w:rPr>
        <w:t>а</w:t>
      </w:r>
      <w:r w:rsidRPr="0049286A">
        <w:rPr>
          <w:b/>
        </w:rPr>
        <w:t>ких вредных последствиях в школьные учебные программы, которые сп</w:t>
      </w:r>
      <w:r w:rsidRPr="0049286A">
        <w:rPr>
          <w:b/>
        </w:rPr>
        <w:t>о</w:t>
      </w:r>
      <w:r w:rsidRPr="0049286A">
        <w:rPr>
          <w:b/>
        </w:rPr>
        <w:t>собствовали бы выработке у детей жизненных навыков по предотвращ</w:t>
      </w:r>
      <w:r w:rsidRPr="0049286A">
        <w:rPr>
          <w:b/>
        </w:rPr>
        <w:t>е</w:t>
      </w:r>
      <w:r w:rsidRPr="0049286A">
        <w:rPr>
          <w:b/>
        </w:rPr>
        <w:t>нию таких злоупотреблений, а также поощрять более широкое освещение в средствах массовой информации вопросов предотвращения злоупотребл</w:t>
      </w:r>
      <w:r w:rsidRPr="0049286A">
        <w:rPr>
          <w:b/>
        </w:rPr>
        <w:t>е</w:t>
      </w:r>
      <w:r w:rsidRPr="0049286A">
        <w:rPr>
          <w:b/>
        </w:rPr>
        <w:t xml:space="preserve">ния психоактивными веществами. </w:t>
      </w:r>
      <w:r w:rsidRPr="0049286A">
        <w:rPr>
          <w:b/>
          <w:bCs/>
        </w:rPr>
        <w:t>Комитет также рекомендует государс</w:t>
      </w:r>
      <w:r w:rsidRPr="0049286A">
        <w:rPr>
          <w:b/>
          <w:bCs/>
        </w:rPr>
        <w:t>т</w:t>
      </w:r>
      <w:r w:rsidRPr="0049286A">
        <w:rPr>
          <w:b/>
          <w:bCs/>
        </w:rPr>
        <w:t xml:space="preserve">ву-участнику </w:t>
      </w:r>
      <w:r w:rsidRPr="0049286A">
        <w:rPr>
          <w:b/>
        </w:rPr>
        <w:t>обеспечивать детям достаточный доступ к услугам по конф</w:t>
      </w:r>
      <w:r w:rsidRPr="0049286A">
        <w:rPr>
          <w:b/>
        </w:rPr>
        <w:t>и</w:t>
      </w:r>
      <w:r w:rsidRPr="0049286A">
        <w:rPr>
          <w:b/>
        </w:rPr>
        <w:t>денциальному консультированию и лечению от зависимости.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Грудное вскармливание</w:t>
      </w:r>
    </w:p>
    <w:p w:rsidR="00195786" w:rsidRPr="0049286A" w:rsidRDefault="00195786" w:rsidP="00195786">
      <w:pPr>
        <w:pStyle w:val="SingleTxtGR"/>
      </w:pPr>
      <w:r w:rsidRPr="0049286A">
        <w:t>62.</w:t>
      </w:r>
      <w:r w:rsidRPr="0049286A">
        <w:tab/>
        <w:t>Комитет отмечает сокращение практики грудного вскармливания в гос</w:t>
      </w:r>
      <w:r w:rsidRPr="0049286A">
        <w:t>у</w:t>
      </w:r>
      <w:r w:rsidRPr="0049286A">
        <w:t>дарстве-участнике, однако приветствует инициативу по пропаганде грудного вскармливания, в частности принятие в 2006 году Директивы Европейской к</w:t>
      </w:r>
      <w:r w:rsidRPr="0049286A">
        <w:t>о</w:t>
      </w:r>
      <w:r w:rsidRPr="0049286A">
        <w:t>миссии о детских смесях и смесях для детей более старшего возраста. Вместе с тем он обеспокоен недостаточными усилиями по улучшению показателей и</w:t>
      </w:r>
      <w:r w:rsidRPr="0049286A">
        <w:t>с</w:t>
      </w:r>
      <w:r w:rsidRPr="0049286A">
        <w:t xml:space="preserve">ключительно грудного вскармливания в течение первых шести месяцев жизни ребенка.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63.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активизировать работу по поощрению исключительного и непрерывного грудного вскармливания посредством предоставления доступа к информационным материалам и проведения просветительской работы среди общественности и повышения ее осведомленности о важности грудного вскармливания и опасности и</w:t>
      </w:r>
      <w:r w:rsidRPr="0049286A">
        <w:rPr>
          <w:b/>
        </w:rPr>
        <w:t>с</w:t>
      </w:r>
      <w:r w:rsidRPr="0049286A">
        <w:rPr>
          <w:b/>
        </w:rPr>
        <w:t xml:space="preserve">пользования детских смесей для питания ребенка. </w:t>
      </w:r>
      <w:r w:rsidRPr="0049286A">
        <w:rPr>
          <w:b/>
          <w:bCs/>
        </w:rPr>
        <w:t xml:space="preserve">Комитет настоятельно призывает государство-участник </w:t>
      </w:r>
      <w:r w:rsidRPr="0049286A">
        <w:rPr>
          <w:b/>
        </w:rPr>
        <w:t>обеспечивать строгое применение Ме</w:t>
      </w:r>
      <w:r w:rsidRPr="0049286A">
        <w:rPr>
          <w:b/>
        </w:rPr>
        <w:t>ж</w:t>
      </w:r>
      <w:r w:rsidRPr="0049286A">
        <w:rPr>
          <w:b/>
        </w:rPr>
        <w:t xml:space="preserve">дународного кодекса маркетинга заменителей грудного молока.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Уровень жизни</w:t>
      </w:r>
    </w:p>
    <w:p w:rsidR="00195786" w:rsidRPr="0049286A" w:rsidRDefault="00195786" w:rsidP="00195786">
      <w:pPr>
        <w:pStyle w:val="SingleTxtGR"/>
      </w:pPr>
      <w:r w:rsidRPr="0049286A">
        <w:t>64.</w:t>
      </w:r>
      <w:r w:rsidRPr="0049286A">
        <w:tab/>
        <w:t>Комитет выражает озабоченность по поводу расширения масштабов бе</w:t>
      </w:r>
      <w:r w:rsidRPr="0049286A">
        <w:t>д</w:t>
      </w:r>
      <w:r w:rsidRPr="0049286A">
        <w:t>ности, а также показателей угрозы бедности среди детей, особенно детей из с</w:t>
      </w:r>
      <w:r w:rsidRPr="0049286A">
        <w:t>е</w:t>
      </w:r>
      <w:r w:rsidRPr="0049286A">
        <w:t>мей с одним родителем, больших семей и семей из среды этнических мен</w:t>
      </w:r>
      <w:r w:rsidRPr="0049286A">
        <w:t>ь</w:t>
      </w:r>
      <w:r w:rsidRPr="0049286A">
        <w:t>шинств, прежде всего в тех случаях, когда их совершеннолетние члены являю</w:t>
      </w:r>
      <w:r w:rsidRPr="0049286A">
        <w:t>т</w:t>
      </w:r>
      <w:r w:rsidRPr="0049286A">
        <w:t>ся безработными или не имеют постоянной работы. Кроме того Комитет зая</w:t>
      </w:r>
      <w:r w:rsidRPr="0049286A">
        <w:t>в</w:t>
      </w:r>
      <w:r w:rsidRPr="0049286A">
        <w:t>ляет о своей озабоченности тем, что узаконенная практика применения санкций за невыполнение функциональных обязанностей в связи с оказанием помощи по безработице может сказываться на жизненном уровне детей в случае ее и</w:t>
      </w:r>
      <w:r w:rsidRPr="0049286A">
        <w:t>с</w:t>
      </w:r>
      <w:r w:rsidRPr="0049286A">
        <w:t>пользования в отношении семей или безработных подростков.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65.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выделить необходимые ресурсы и предпринять дополнительные усилия для устранения основных причин бедности среди детей и произвести комплексную оценку областей, в которых семьи особенно подвержены бедности, а также разработать и принять к исполнению соответствующие стратегии по исправлению пол</w:t>
      </w:r>
      <w:r w:rsidRPr="0049286A">
        <w:rPr>
          <w:b/>
        </w:rPr>
        <w:t>о</w:t>
      </w:r>
      <w:r w:rsidRPr="0049286A">
        <w:rPr>
          <w:b/>
        </w:rPr>
        <w:t xml:space="preserve">жения. </w:t>
      </w:r>
      <w:r w:rsidRPr="0049286A">
        <w:rPr>
          <w:b/>
          <w:bCs/>
        </w:rPr>
        <w:t>Комитет также рекомендует государству-участнику</w:t>
      </w:r>
      <w:r w:rsidRPr="0049286A">
        <w:rPr>
          <w:b/>
        </w:rPr>
        <w:t xml:space="preserve"> увеличить м</w:t>
      </w:r>
      <w:r w:rsidRPr="0049286A">
        <w:rPr>
          <w:b/>
        </w:rPr>
        <w:t>а</w:t>
      </w:r>
      <w:r w:rsidRPr="0049286A">
        <w:rPr>
          <w:b/>
        </w:rPr>
        <w:t>териальную помощь и поддержку малообеспеченных семей в целях обесп</w:t>
      </w:r>
      <w:r w:rsidRPr="0049286A">
        <w:rPr>
          <w:b/>
        </w:rPr>
        <w:t>е</w:t>
      </w:r>
      <w:r w:rsidRPr="0049286A">
        <w:rPr>
          <w:b/>
        </w:rPr>
        <w:t xml:space="preserve">чения надлежащего жизненного уровня всех детей. </w:t>
      </w:r>
    </w:p>
    <w:p w:rsidR="00195786" w:rsidRPr="0049286A" w:rsidRDefault="00195786" w:rsidP="00195786">
      <w:pPr>
        <w:pStyle w:val="H1GR"/>
      </w:pPr>
      <w:r w:rsidRPr="0049286A">
        <w:tab/>
        <w:t>G.</w:t>
      </w:r>
      <w:r w:rsidRPr="0049286A">
        <w:tab/>
        <w:t>Образование, досуг и культурная деятельность (статьи 28, 29, 30 и</w:t>
      </w:r>
      <w:r w:rsidR="0049286A" w:rsidRPr="0049286A">
        <w:t xml:space="preserve"> </w:t>
      </w:r>
      <w:r w:rsidRPr="0049286A">
        <w:t xml:space="preserve">31 Конвенции)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Образование, включая профессиональную подготовку и ориентацию</w:t>
      </w:r>
    </w:p>
    <w:p w:rsidR="00195786" w:rsidRPr="0049286A" w:rsidRDefault="00195786" w:rsidP="00195786">
      <w:pPr>
        <w:pStyle w:val="SingleTxtGR"/>
      </w:pPr>
      <w:r w:rsidRPr="0049286A">
        <w:t>66.</w:t>
      </w:r>
      <w:r w:rsidRPr="0049286A">
        <w:tab/>
        <w:t>Комитет отмечает, что за сферу образования ответственность почти по</w:t>
      </w:r>
      <w:r w:rsidRPr="0049286A">
        <w:t>л</w:t>
      </w:r>
      <w:r w:rsidRPr="0049286A">
        <w:t>ностью несут земли. Однако он обеспокоен тем, что их различные системы не были согласованы, в результате чего между землями возникли существенные расхождения в важных областях. Комитет также отмечает, что в большинстве земель школьная система состоит из школ низшей, средней и академической к</w:t>
      </w:r>
      <w:r w:rsidRPr="0049286A">
        <w:t>а</w:t>
      </w:r>
      <w:r w:rsidRPr="0049286A">
        <w:t>тегории, и выражает обеспокоенность тем, что уже в очень раннем возрасте д</w:t>
      </w:r>
      <w:r w:rsidRPr="0049286A">
        <w:t>е</w:t>
      </w:r>
      <w:r w:rsidRPr="0049286A">
        <w:t>ти вынуждены делать выбор и что категории школ позднее трудно поменять. Комитет также выражает сожаление по поводу того, что по сравнению с дет</w:t>
      </w:r>
      <w:r w:rsidRPr="0049286A">
        <w:t>ь</w:t>
      </w:r>
      <w:r w:rsidRPr="0049286A">
        <w:t>ми, которые не относятся к этническим меньшинствам, дети из среды этнич</w:t>
      </w:r>
      <w:r w:rsidRPr="0049286A">
        <w:t>е</w:t>
      </w:r>
      <w:r w:rsidRPr="0049286A">
        <w:t xml:space="preserve">ских меньшинств значительно хуже успевают в школах, и вдвое больше таких детей бросают школу без получения квалификационных оценок.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67.</w:t>
      </w:r>
      <w:r w:rsidRPr="0049286A">
        <w:rPr>
          <w:b/>
        </w:rPr>
        <w:tab/>
        <w:t>Принимая во внимание свое замечание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1</w:t>
      </w:r>
      <w:r w:rsidR="0049286A" w:rsidRPr="0049286A">
        <w:rPr>
          <w:b/>
        </w:rPr>
        <w:t xml:space="preserve"> </w:t>
      </w:r>
      <w:r w:rsidRPr="0049286A">
        <w:rPr>
          <w:b/>
        </w:rPr>
        <w:t xml:space="preserve">(2001) о целях образования и рекомендации Специального докладчика по вопросу о праве на образование, содержащиеся в докладе о его поездке в Германию в 2006 году (A/HRC/4/29/Add.3), </w:t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>: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a)</w:t>
      </w:r>
      <w:r w:rsidRPr="0049286A">
        <w:rPr>
          <w:b/>
        </w:rPr>
        <w:tab/>
        <w:t>принять необходимые меры для более тесного согласования школьных программ всех земель в целях возможности перемещения уч</w:t>
      </w:r>
      <w:r w:rsidRPr="0049286A">
        <w:rPr>
          <w:b/>
        </w:rPr>
        <w:t>а</w:t>
      </w:r>
      <w:r w:rsidRPr="0049286A">
        <w:rPr>
          <w:b/>
        </w:rPr>
        <w:t>щихся между землями;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b)</w:t>
      </w:r>
      <w:r w:rsidRPr="0049286A">
        <w:rPr>
          <w:b/>
        </w:rPr>
        <w:tab/>
        <w:t>пересмотреть действующую систему образования, в рамках к</w:t>
      </w:r>
      <w:r w:rsidRPr="0049286A">
        <w:rPr>
          <w:b/>
        </w:rPr>
        <w:t>о</w:t>
      </w:r>
      <w:r w:rsidRPr="0049286A">
        <w:rPr>
          <w:b/>
        </w:rPr>
        <w:t>торой учащиеся уже на самом раннем этапе разделены по различным кат</w:t>
      </w:r>
      <w:r w:rsidRPr="0049286A">
        <w:rPr>
          <w:b/>
        </w:rPr>
        <w:t>е</w:t>
      </w:r>
      <w:r w:rsidRPr="0049286A">
        <w:rPr>
          <w:b/>
        </w:rPr>
        <w:t>гориям и придать ей более инклюзивный характер;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выделить достаточные людские, технические и финансовые р</w:t>
      </w:r>
      <w:r w:rsidRPr="0049286A">
        <w:rPr>
          <w:b/>
        </w:rPr>
        <w:t>е</w:t>
      </w:r>
      <w:r w:rsidRPr="0049286A">
        <w:rPr>
          <w:b/>
        </w:rPr>
        <w:t>сурсы для оказания дополнительной поддержки в школах детям из среды этнических меньшинств.</w:t>
      </w:r>
    </w:p>
    <w:p w:rsidR="00195786" w:rsidRPr="0049286A" w:rsidRDefault="00195786" w:rsidP="00195786">
      <w:pPr>
        <w:pStyle w:val="H1GR"/>
      </w:pPr>
      <w:r w:rsidRPr="0049286A">
        <w:tab/>
        <w:t>H.</w:t>
      </w:r>
      <w:r w:rsidRPr="0049286A">
        <w:tab/>
        <w:t>Особые меры защиты (статьи 22, 30, 32–33, 35–36, 37</w:t>
      </w:r>
      <w:r w:rsidR="0049286A" w:rsidRPr="0049286A">
        <w:t xml:space="preserve"> </w:t>
      </w:r>
      <w:r w:rsidRPr="0049286A">
        <w:t>b)–d), 38, 39 и 40 Конвенции)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Дети из числа просителей убежища и беженцев</w:t>
      </w:r>
    </w:p>
    <w:p w:rsidR="00195786" w:rsidRPr="0049286A" w:rsidRDefault="00195786" w:rsidP="00195786">
      <w:pPr>
        <w:pStyle w:val="SingleTxtGR"/>
      </w:pPr>
      <w:r w:rsidRPr="0049286A">
        <w:t>68.</w:t>
      </w:r>
      <w:r w:rsidRPr="0049286A">
        <w:tab/>
        <w:t>Комитет приветствует снятие государством-участником заявления по ст</w:t>
      </w:r>
      <w:r w:rsidRPr="0049286A">
        <w:t>а</w:t>
      </w:r>
      <w:r w:rsidRPr="0049286A">
        <w:t>тье 22 Конвенции и принимает к сведению, что государство-участник приняло у себя тысячи детей просителей-убежища и детей-беженцев из разных стран. К</w:t>
      </w:r>
      <w:r w:rsidRPr="0049286A">
        <w:t>о</w:t>
      </w:r>
      <w:r w:rsidRPr="0049286A">
        <w:t>митет, однако, по-прежнему обеспокоен тем, что: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в соответствии с Законом о процедуре предоставления убежища д</w:t>
      </w:r>
      <w:r w:rsidRPr="0049286A">
        <w:t>е</w:t>
      </w:r>
      <w:r w:rsidRPr="0049286A">
        <w:t>ти в возрасте шестнадцати лет вправе самостоятельно инициировать процесс получения убежища. Вследствие этого, на практике дети в возрасте шестнадц</w:t>
      </w:r>
      <w:r w:rsidRPr="0049286A">
        <w:t>а</w:t>
      </w:r>
      <w:r w:rsidRPr="0049286A">
        <w:t>ти лет и старше часто не пользуются полной защитой по линии социального обеспечения молодежи и помещаются в центры, предназначенные для сове</w:t>
      </w:r>
      <w:r w:rsidRPr="0049286A">
        <w:t>р</w:t>
      </w:r>
      <w:r w:rsidRPr="0049286A">
        <w:t>шеннолетних просителей убежища;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процедура оценки возраста в государстве-участнике может быть связана с унижающей достоинство практикой и не позволяет получить точные результаты, и поэтому многие дети-просители убежища и дети-беженцы пр</w:t>
      </w:r>
      <w:r w:rsidRPr="0049286A">
        <w:t>и</w:t>
      </w:r>
      <w:r w:rsidRPr="0049286A">
        <w:t>знаются совершеннолетними;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несовершенство процесса выявления детей-солдат или детей, и</w:t>
      </w:r>
      <w:r w:rsidRPr="0049286A">
        <w:t>з</w:t>
      </w:r>
      <w:r w:rsidRPr="0049286A">
        <w:t>бежавших принудительной вербовки, а также отказы в удовлетворении прош</w:t>
      </w:r>
      <w:r w:rsidRPr="0049286A">
        <w:t>е</w:t>
      </w:r>
      <w:r w:rsidRPr="0049286A">
        <w:t>ний об убежище в таких случаях препятствуют надлежащей оценке их потре</w:t>
      </w:r>
      <w:r w:rsidRPr="0049286A">
        <w:t>б</w:t>
      </w:r>
      <w:r w:rsidRPr="0049286A">
        <w:t>ностей в защите и уделении им должного внимания;</w:t>
      </w:r>
    </w:p>
    <w:p w:rsidR="00195786" w:rsidRPr="0049286A" w:rsidRDefault="00195786" w:rsidP="00195786">
      <w:pPr>
        <w:pStyle w:val="SingleTxtGR"/>
      </w:pPr>
      <w:r w:rsidRPr="0049286A">
        <w:tab/>
        <w:t>d)</w:t>
      </w:r>
      <w:r w:rsidRPr="0049286A">
        <w:tab/>
        <w:t>содержание детей под стражей до высылки может длиться до в</w:t>
      </w:r>
      <w:r w:rsidRPr="0049286A">
        <w:t>о</w:t>
      </w:r>
      <w:r w:rsidRPr="0049286A">
        <w:t>семнадцати месяцев, что является прямым нарушением права ребенка на удел</w:t>
      </w:r>
      <w:r w:rsidRPr="0049286A">
        <w:t>е</w:t>
      </w:r>
      <w:r w:rsidRPr="0049286A">
        <w:t>ние первоочередного внимания соблюдению его наилучших интересов.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69.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>: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a)</w:t>
      </w:r>
      <w:r w:rsidRPr="0049286A">
        <w:rPr>
          <w:b/>
        </w:rPr>
        <w:tab/>
        <w:t xml:space="preserve">обеспечивать равное обращение с каждым ребенком в возрасте до восемнадцати лет с учетом его интересов;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b)</w:t>
      </w:r>
      <w:r w:rsidRPr="0049286A">
        <w:rPr>
          <w:b/>
        </w:rPr>
        <w:tab/>
        <w:t>обеспечивать, чтобы применяемая к детям-просителям убеж</w:t>
      </w:r>
      <w:r w:rsidRPr="0049286A">
        <w:rPr>
          <w:b/>
        </w:rPr>
        <w:t>и</w:t>
      </w:r>
      <w:r w:rsidRPr="0049286A">
        <w:rPr>
          <w:b/>
        </w:rPr>
        <w:t>ща и беженцам процедура оценки возраста основывалась на научно по</w:t>
      </w:r>
      <w:r w:rsidRPr="0049286A">
        <w:rPr>
          <w:b/>
        </w:rPr>
        <w:t>д</w:t>
      </w:r>
      <w:r w:rsidRPr="0049286A">
        <w:rPr>
          <w:b/>
        </w:rPr>
        <w:t>твержденных методах и осуществлялась с полным уважением достоинства детей, как это рекомендовано в замечании общего порядка</w:t>
      </w:r>
      <w:r w:rsidR="0049286A" w:rsidRPr="0049286A">
        <w:rPr>
          <w:b/>
        </w:rPr>
        <w:t xml:space="preserve"> </w:t>
      </w:r>
      <w:r w:rsidRPr="0049286A">
        <w:rPr>
          <w:b/>
        </w:rPr>
        <w:t>№</w:t>
      </w:r>
      <w:r w:rsidR="0049286A" w:rsidRPr="0049286A">
        <w:rPr>
          <w:b/>
        </w:rPr>
        <w:t xml:space="preserve"> </w:t>
      </w:r>
      <w:r w:rsidRPr="0049286A">
        <w:rPr>
          <w:b/>
        </w:rPr>
        <w:t>6</w:t>
      </w:r>
      <w:r w:rsidR="0049286A" w:rsidRPr="0049286A">
        <w:rPr>
          <w:b/>
        </w:rPr>
        <w:t xml:space="preserve"> </w:t>
      </w:r>
      <w:r w:rsidRPr="0049286A">
        <w:rPr>
          <w:b/>
        </w:rPr>
        <w:t>(2005) об обращении с несопровождаемыми и разлученными детьми за пределами страны их происхождения;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усовершенствовать методику выявления детей-солдат и детей, находящихся под угрозой вербовки, а также обеспечить предоставление им статуса беженцев в целях более эффективной оценки их потребностей в защите, а также добиваться получения ими надлежащей психологической и социальной поддержки;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d)</w:t>
      </w:r>
      <w:r w:rsidRPr="0049286A">
        <w:rPr>
          <w:b/>
        </w:rPr>
        <w:tab/>
        <w:t>обеспечивать, чтобы задержание детей-просителей убежища и мигрантов использовалось лишь в качестве крайней меры и в течение как можно более короткого соответствующего периода времени во исполнение статьи 37</w:t>
      </w:r>
      <w:r w:rsidR="0049286A" w:rsidRPr="0049286A">
        <w:rPr>
          <w:b/>
        </w:rPr>
        <w:t xml:space="preserve"> </w:t>
      </w:r>
      <w:r w:rsidRPr="0049286A">
        <w:rPr>
          <w:b/>
        </w:rPr>
        <w:t>b) Конвенции, и чтобы такое задержание ограничивалось ко</w:t>
      </w:r>
      <w:r w:rsidRPr="0049286A">
        <w:rPr>
          <w:b/>
        </w:rPr>
        <w:t>н</w:t>
      </w:r>
      <w:r w:rsidRPr="0049286A">
        <w:rPr>
          <w:b/>
        </w:rPr>
        <w:t xml:space="preserve">кретными сроками и подлежало судебному пересмотру. 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Дети-мигранты</w:t>
      </w:r>
    </w:p>
    <w:p w:rsidR="00195786" w:rsidRPr="0049286A" w:rsidRDefault="00195786" w:rsidP="00195786">
      <w:pPr>
        <w:pStyle w:val="SingleTxtGR"/>
      </w:pPr>
      <w:r w:rsidRPr="0049286A">
        <w:t>70.</w:t>
      </w:r>
      <w:r w:rsidRPr="0049286A">
        <w:tab/>
        <w:t>Комитет обеспокоен тем, что различные учреждения сферы обслужив</w:t>
      </w:r>
      <w:r w:rsidRPr="0049286A">
        <w:t>а</w:t>
      </w:r>
      <w:r w:rsidRPr="0049286A">
        <w:t>ния в государстве-участнике по федеральному законодательству обязаны и</w:t>
      </w:r>
      <w:r w:rsidRPr="0049286A">
        <w:t>н</w:t>
      </w:r>
      <w:r w:rsidRPr="0049286A">
        <w:t>формировать иммиграционные власти обо всех лицах, о которых им становится известно и которые не имеют разрешения на проживание в стране, в том числе о детях. На практике это препятствует детям, не имеющим законного права на проживание в стране, обращаться в учреждения сферы обслуживания из-за б</w:t>
      </w:r>
      <w:r w:rsidRPr="0049286A">
        <w:t>о</w:t>
      </w:r>
      <w:r w:rsidRPr="0049286A">
        <w:t>язни выявления их незаконного статуса, который может, в частности, стать пр</w:t>
      </w:r>
      <w:r w:rsidRPr="0049286A">
        <w:t>и</w:t>
      </w:r>
      <w:r w:rsidRPr="0049286A">
        <w:t xml:space="preserve">чиной их депортации.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71.</w:t>
      </w:r>
      <w:r w:rsidRPr="0049286A">
        <w:rPr>
          <w:b/>
        </w:rPr>
        <w:tab/>
      </w:r>
      <w:r w:rsidRPr="0049286A">
        <w:rPr>
          <w:b/>
          <w:bCs/>
        </w:rPr>
        <w:t xml:space="preserve">Комитет настоятельно призывает государство-участник </w:t>
      </w:r>
      <w:r w:rsidRPr="0049286A">
        <w:rPr>
          <w:b/>
        </w:rPr>
        <w:t>отменить узаконенное обязательство всех учреждений сферы обслуживания инфо</w:t>
      </w:r>
      <w:r w:rsidRPr="0049286A">
        <w:rPr>
          <w:b/>
        </w:rPr>
        <w:t>р</w:t>
      </w:r>
      <w:r w:rsidRPr="0049286A">
        <w:rPr>
          <w:b/>
        </w:rPr>
        <w:t>мировать иммиграционные власти о любом ребенке, являющемся незако</w:t>
      </w:r>
      <w:r w:rsidRPr="0049286A">
        <w:rPr>
          <w:b/>
        </w:rPr>
        <w:t>н</w:t>
      </w:r>
      <w:r w:rsidRPr="0049286A">
        <w:rPr>
          <w:b/>
        </w:rPr>
        <w:t>ным мигрантом.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Торговля людьми</w:t>
      </w:r>
    </w:p>
    <w:p w:rsidR="00195786" w:rsidRPr="0049286A" w:rsidRDefault="00195786" w:rsidP="00195786">
      <w:pPr>
        <w:pStyle w:val="SingleTxtGR"/>
      </w:pPr>
      <w:r w:rsidRPr="0049286A">
        <w:t>72.</w:t>
      </w:r>
      <w:r w:rsidRPr="0049286A">
        <w:tab/>
        <w:t xml:space="preserve">Комитет обеспокоен тем, что в соответствии с Законом о пребывании в стране предоставление вида на жительство жертвам торговли людьми, включая детей, зависит от их сотрудничества с правоохранительными органами.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73.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пересмотреть свой З</w:t>
      </w:r>
      <w:r w:rsidRPr="0049286A">
        <w:rPr>
          <w:b/>
        </w:rPr>
        <w:t>а</w:t>
      </w:r>
      <w:r w:rsidRPr="0049286A">
        <w:rPr>
          <w:b/>
        </w:rPr>
        <w:t>кон о пребывании в стране в целях исключения из него любых положений, обуславливающих предоставление вида на жительство детям-жертвам то</w:t>
      </w:r>
      <w:r w:rsidRPr="0049286A">
        <w:rPr>
          <w:b/>
        </w:rPr>
        <w:t>р</w:t>
      </w:r>
      <w:r w:rsidRPr="0049286A">
        <w:rPr>
          <w:b/>
        </w:rPr>
        <w:t>говли людьми.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>Отправление правосудия в отношении несовершеннолетних</w:t>
      </w:r>
    </w:p>
    <w:p w:rsidR="00195786" w:rsidRPr="0049286A" w:rsidRDefault="00195786" w:rsidP="00195786">
      <w:pPr>
        <w:pStyle w:val="SingleTxtGR"/>
      </w:pPr>
      <w:r w:rsidRPr="0049286A">
        <w:t>74.</w:t>
      </w:r>
      <w:r w:rsidRPr="0049286A">
        <w:tab/>
        <w:t>Комитет с удовлетворением отмечает внесение в законодательство п</w:t>
      </w:r>
      <w:r w:rsidRPr="0049286A">
        <w:t>о</w:t>
      </w:r>
      <w:r w:rsidRPr="0049286A">
        <w:t>правки о запрете размещения содержащихся под стражей детей совместно с л</w:t>
      </w:r>
      <w:r w:rsidRPr="0049286A">
        <w:t>и</w:t>
      </w:r>
      <w:r w:rsidRPr="0049286A">
        <w:t>цами в возрасте до двадцати четырех лет. Однако Комитет выражает сожаление по поводу того, что не все земли применяют принцип "лишения свободы в к</w:t>
      </w:r>
      <w:r w:rsidRPr="0049286A">
        <w:t>а</w:t>
      </w:r>
      <w:r w:rsidRPr="0049286A">
        <w:t>честве крайней меры".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75.</w:t>
      </w:r>
      <w:r w:rsidRPr="0049286A">
        <w:rPr>
          <w:b/>
        </w:rPr>
        <w:tab/>
        <w:t>В соответствии со своими предыдущими заключительными замеч</w:t>
      </w:r>
      <w:r w:rsidRPr="0049286A">
        <w:rPr>
          <w:b/>
        </w:rPr>
        <w:t>а</w:t>
      </w:r>
      <w:r w:rsidRPr="0049286A">
        <w:rPr>
          <w:b/>
        </w:rPr>
        <w:t xml:space="preserve">ниями (CRC/C/15/Add.226, пункт 61) Комитет рекомендует использовать лишение свободы в качестве крайней меры во всех случаях и на как можно более короткий период времени. В этой связи </w:t>
      </w:r>
      <w:r w:rsidRPr="0049286A">
        <w:rPr>
          <w:b/>
          <w:bCs/>
        </w:rPr>
        <w:t>Комитет рекомендует гос</w:t>
      </w:r>
      <w:r w:rsidRPr="0049286A">
        <w:rPr>
          <w:b/>
          <w:bCs/>
        </w:rPr>
        <w:t>у</w:t>
      </w:r>
      <w:r w:rsidRPr="0049286A">
        <w:rPr>
          <w:b/>
          <w:bCs/>
        </w:rPr>
        <w:t>дарству-участнику</w:t>
      </w:r>
      <w:r w:rsidRPr="0049286A">
        <w:rPr>
          <w:b/>
        </w:rPr>
        <w:t xml:space="preserve"> принять все необходимые меры для расширения во</w:t>
      </w:r>
      <w:r w:rsidRPr="0049286A">
        <w:rPr>
          <w:b/>
        </w:rPr>
        <w:t>з</w:t>
      </w:r>
      <w:r w:rsidRPr="0049286A">
        <w:rPr>
          <w:b/>
        </w:rPr>
        <w:t>можностей применения таких альтернативных мер наказания, как усло</w:t>
      </w:r>
      <w:r w:rsidRPr="0049286A">
        <w:rPr>
          <w:b/>
        </w:rPr>
        <w:t>в</w:t>
      </w:r>
      <w:r w:rsidRPr="0049286A">
        <w:rPr>
          <w:b/>
        </w:rPr>
        <w:t>ное освобождение на поруки или привлечение к общественным работам.</w:t>
      </w:r>
    </w:p>
    <w:p w:rsidR="00195786" w:rsidRPr="0049286A" w:rsidRDefault="00195786" w:rsidP="00195786">
      <w:pPr>
        <w:pStyle w:val="H23GR"/>
      </w:pPr>
      <w:r w:rsidRPr="0049286A">
        <w:tab/>
      </w:r>
      <w:r w:rsidRPr="0049286A">
        <w:tab/>
        <w:t xml:space="preserve">Последующие меры по выполнению первоначального доклада </w:t>
      </w:r>
      <w:r w:rsidR="00D25BC3">
        <w:rPr>
          <w:lang w:val="en-US"/>
        </w:rPr>
        <w:br/>
      </w:r>
      <w:r w:rsidRPr="0049286A">
        <w:t xml:space="preserve">государства-участника в соответствии с Факультативным </w:t>
      </w:r>
      <w:r w:rsidR="00D25BC3">
        <w:rPr>
          <w:lang w:val="en-US"/>
        </w:rPr>
        <w:br/>
      </w:r>
      <w:r w:rsidRPr="0049286A">
        <w:t xml:space="preserve">протоколом к Конвенции о правах ребенка, касающегося участия </w:t>
      </w:r>
      <w:r w:rsidR="00D25BC3">
        <w:rPr>
          <w:lang w:val="en-US"/>
        </w:rPr>
        <w:br/>
      </w:r>
      <w:r w:rsidRPr="0049286A">
        <w:t>детей в вооруженных конфликтах (CRC/C/OPAC/DEU/CO/1)</w:t>
      </w:r>
    </w:p>
    <w:p w:rsidR="00195786" w:rsidRPr="0049286A" w:rsidRDefault="00195786" w:rsidP="00195786">
      <w:pPr>
        <w:pStyle w:val="SingleTxtGR"/>
      </w:pPr>
      <w:r w:rsidRPr="0049286A">
        <w:t>76.</w:t>
      </w:r>
      <w:r w:rsidRPr="0049286A">
        <w:tab/>
        <w:t>Комитет приветствует усилия государства-участника по выполнению предыдущих рекомендаций Комитета в отношении Факультативного протокола к Конвенции о правах ребенка, касающегося участия детей в вооруженных ко</w:t>
      </w:r>
      <w:r w:rsidRPr="0049286A">
        <w:t>н</w:t>
      </w:r>
      <w:r w:rsidRPr="0049286A">
        <w:t>фликтах. Однако Комитет выражает обеспокоенность по поводу следующих в</w:t>
      </w:r>
      <w:r w:rsidRPr="0049286A">
        <w:t>о</w:t>
      </w:r>
      <w:r w:rsidRPr="0049286A">
        <w:t xml:space="preserve">просов: </w:t>
      </w:r>
    </w:p>
    <w:p w:rsidR="00195786" w:rsidRPr="0049286A" w:rsidRDefault="00195786" w:rsidP="00195786">
      <w:pPr>
        <w:pStyle w:val="SingleTxtGR"/>
      </w:pPr>
      <w:r w:rsidRPr="0049286A">
        <w:tab/>
        <w:t>a)</w:t>
      </w:r>
      <w:r w:rsidRPr="0049286A">
        <w:tab/>
        <w:t>минимальный возраст добровольного призыва в вооруженные силы для целей военной подготовки составляет семнадцать лет. Кроме того, дети, к</w:t>
      </w:r>
      <w:r w:rsidRPr="0049286A">
        <w:t>о</w:t>
      </w:r>
      <w:r w:rsidRPr="0049286A">
        <w:t>торые добровольно вступают в вооруженные силы, могут подлежать судебному преследованию, если решат покинуть вооруженные силы по истечению испыт</w:t>
      </w:r>
      <w:r w:rsidRPr="0049286A">
        <w:t>а</w:t>
      </w:r>
      <w:r w:rsidRPr="0049286A">
        <w:t>тельного периода;</w:t>
      </w:r>
    </w:p>
    <w:p w:rsidR="00195786" w:rsidRPr="0049286A" w:rsidRDefault="00195786" w:rsidP="00195786">
      <w:pPr>
        <w:pStyle w:val="SingleTxtGR"/>
      </w:pPr>
      <w:r w:rsidRPr="0049286A">
        <w:tab/>
        <w:t>b)</w:t>
      </w:r>
      <w:r w:rsidRPr="0049286A">
        <w:tab/>
        <w:t>некоторые рекламные кампании вооруженных сил целенаправленно ориентированы на детей, а представители вооруженных сил иногда присутс</w:t>
      </w:r>
      <w:r w:rsidRPr="0049286A">
        <w:t>т</w:t>
      </w:r>
      <w:r w:rsidRPr="0049286A">
        <w:t>вуют в школах, выступают перед учениками и проводят мероприятия;</w:t>
      </w:r>
    </w:p>
    <w:p w:rsidR="00195786" w:rsidRPr="0049286A" w:rsidRDefault="00195786" w:rsidP="00195786">
      <w:pPr>
        <w:pStyle w:val="SingleTxtGR"/>
      </w:pPr>
      <w:r w:rsidRPr="0049286A">
        <w:tab/>
        <w:t>c)</w:t>
      </w:r>
      <w:r w:rsidRPr="0049286A">
        <w:tab/>
        <w:t>в законодательстве нет четкого запрета на продажу оружия, если оно в конечном итоге предназначается для страны, в которой, как известно, д</w:t>
      </w:r>
      <w:r w:rsidRPr="0049286A">
        <w:t>е</w:t>
      </w:r>
      <w:r w:rsidRPr="0049286A">
        <w:t>ти могут подвергаться вербовке или использованию в военных действиях.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77.</w:t>
      </w:r>
      <w:r w:rsidRPr="0049286A">
        <w:rPr>
          <w:b/>
        </w:rPr>
        <w:tab/>
        <w:t>Комитет вновь ссылается на свои предыдущие рекомендации (CRC/C/OPAC/DEU/CO/1) и рекомендует государству-участнику: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49286A">
        <w:rPr>
          <w:b/>
          <w:bCs/>
        </w:rPr>
        <w:tab/>
        <w:t>a)</w:t>
      </w:r>
      <w:r w:rsidRPr="0049286A">
        <w:rPr>
          <w:b/>
          <w:bCs/>
        </w:rPr>
        <w:tab/>
        <w:t>повысить минимальный возраст призыва в вооруженные силы до восемнадцати лет;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b)</w:t>
      </w:r>
      <w:r w:rsidRPr="0049286A">
        <w:rPr>
          <w:b/>
        </w:rPr>
        <w:tab/>
        <w:t>запретить все формы ориентированных на детей рекламных кампаний в инт</w:t>
      </w:r>
      <w:r w:rsidR="00D25BC3">
        <w:rPr>
          <w:b/>
        </w:rPr>
        <w:t>ересах вооруженных сил Германии</w:t>
      </w:r>
      <w:r w:rsidRPr="0049286A">
        <w:rPr>
          <w:b/>
        </w:rPr>
        <w:t>;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rPr>
          <w:b/>
        </w:rPr>
        <w:tab/>
        <w:t>c)</w:t>
      </w:r>
      <w:r w:rsidRPr="0049286A">
        <w:rPr>
          <w:b/>
        </w:rPr>
        <w:tab/>
        <w:t>обеспечить максимальную транспарентность в отношении п</w:t>
      </w:r>
      <w:r w:rsidRPr="0049286A">
        <w:rPr>
          <w:b/>
        </w:rPr>
        <w:t>е</w:t>
      </w:r>
      <w:r w:rsidRPr="0049286A">
        <w:rPr>
          <w:b/>
        </w:rPr>
        <w:t>редачи вооружений и безоговорочно запретить по закону продажу оружия при опасности того, что страной назначения является страна, в которой детей вербуют или могу вербовать или использовать в военных действиях.</w:t>
      </w:r>
    </w:p>
    <w:p w:rsidR="00195786" w:rsidRPr="0049286A" w:rsidRDefault="00195786" w:rsidP="00195786">
      <w:pPr>
        <w:pStyle w:val="SingleTxtGR"/>
      </w:pPr>
      <w:r w:rsidRPr="0049286A">
        <w:t>78.</w:t>
      </w:r>
      <w:r w:rsidRPr="0049286A">
        <w:tab/>
        <w:t>Комитет с удовлетворением принимает к сведению положения о военных преступлениях раздела 8 Уголовного кодекса государства-участника и его зая</w:t>
      </w:r>
      <w:r w:rsidRPr="0049286A">
        <w:t>в</w:t>
      </w:r>
      <w:r w:rsidRPr="0049286A">
        <w:t>ления о том, что оно может осуществлять экстратерриториальную юрисдикцию в случае призыва детей младше пятнадцати лет в вооруженные силы или во</w:t>
      </w:r>
      <w:r w:rsidRPr="0049286A">
        <w:t>о</w:t>
      </w:r>
      <w:r w:rsidRPr="0049286A">
        <w:t>руженные группировки. Комитет отмечает, что юрисдикция может также уст</w:t>
      </w:r>
      <w:r w:rsidRPr="0049286A">
        <w:t>а</w:t>
      </w:r>
      <w:r w:rsidRPr="0049286A">
        <w:t>навливаться в отношении детей в возрасте от пятнадцати до семнадцати лет, однако выражает сожаление тем, что она обуславливается соблюдением при</w:t>
      </w:r>
      <w:r w:rsidRPr="0049286A">
        <w:t>н</w:t>
      </w:r>
      <w:r w:rsidRPr="0049286A">
        <w:t xml:space="preserve">ципа двойной подсудности. </w:t>
      </w:r>
    </w:p>
    <w:p w:rsidR="00195786" w:rsidRPr="0049286A" w:rsidRDefault="00195786" w:rsidP="00195786">
      <w:pPr>
        <w:pStyle w:val="SingleTxtGR"/>
        <w:rPr>
          <w:b/>
        </w:rPr>
      </w:pPr>
      <w:r w:rsidRPr="0049286A">
        <w:t>79.</w:t>
      </w:r>
      <w:r w:rsidRPr="0049286A">
        <w:rPr>
          <w:b/>
        </w:rPr>
        <w:tab/>
      </w:r>
      <w:r w:rsidRPr="0049286A">
        <w:rPr>
          <w:b/>
          <w:bCs/>
        </w:rPr>
        <w:t>Комитет рекомендует государству-участнику</w:t>
      </w:r>
      <w:r w:rsidRPr="0049286A">
        <w:rPr>
          <w:b/>
        </w:rPr>
        <w:t xml:space="preserve"> и далее активизировать международные меры, направленные на предотвращение вербовки детей и их использования в военных действиях. Комитет также рекомендует гос</w:t>
      </w:r>
      <w:r w:rsidRPr="0049286A">
        <w:rPr>
          <w:b/>
        </w:rPr>
        <w:t>у</w:t>
      </w:r>
      <w:r w:rsidRPr="0049286A">
        <w:rPr>
          <w:b/>
        </w:rPr>
        <w:t>дарству-участнику рассмотреть возможность распространения экстрате</w:t>
      </w:r>
      <w:r w:rsidRPr="0049286A">
        <w:rPr>
          <w:b/>
        </w:rPr>
        <w:t>р</w:t>
      </w:r>
      <w:r w:rsidRPr="0049286A">
        <w:rPr>
          <w:b/>
        </w:rPr>
        <w:t>риториальной юрисдикции на преступления, связанные с вербовкой детей и их использованием в военных действиях, не обуславливая ее установл</w:t>
      </w:r>
      <w:r w:rsidRPr="0049286A">
        <w:rPr>
          <w:b/>
        </w:rPr>
        <w:t>е</w:t>
      </w:r>
      <w:r w:rsidRPr="0049286A">
        <w:rPr>
          <w:b/>
        </w:rPr>
        <w:t xml:space="preserve">ние принципом двойной подсудности. </w:t>
      </w:r>
    </w:p>
    <w:p w:rsidR="00195786" w:rsidRPr="0049286A" w:rsidRDefault="00195786" w:rsidP="00195786">
      <w:pPr>
        <w:pStyle w:val="H1GR"/>
      </w:pPr>
      <w:r w:rsidRPr="0049286A">
        <w:tab/>
        <w:t>I.</w:t>
      </w:r>
      <w:r w:rsidRPr="0049286A">
        <w:tab/>
        <w:t>Ратификация международных документов о правах человека</w:t>
      </w:r>
    </w:p>
    <w:p w:rsidR="00195786" w:rsidRPr="0049286A" w:rsidRDefault="00195786" w:rsidP="00195786">
      <w:pPr>
        <w:pStyle w:val="SingleTxtGR"/>
        <w:rPr>
          <w:rFonts w:eastAsia="Malgun Gothic"/>
          <w:b/>
          <w:bCs/>
        </w:rPr>
      </w:pPr>
      <w:r w:rsidRPr="00D25BC3">
        <w:rPr>
          <w:bCs/>
        </w:rPr>
        <w:t>80.</w:t>
      </w:r>
      <w:r w:rsidRPr="00D25BC3">
        <w:rPr>
          <w:rFonts w:eastAsia="Malgun Gothic"/>
          <w:b/>
          <w:bCs/>
        </w:rPr>
        <w:tab/>
      </w:r>
      <w:r w:rsidRPr="0049286A">
        <w:rPr>
          <w:rFonts w:eastAsia="Malgun Gothic"/>
          <w:b/>
          <w:bCs/>
        </w:rPr>
        <w:t xml:space="preserve">Комитет рекомендует государству-участнику в целях дальнейшего содействия осуществлению </w:t>
      </w:r>
      <w:bookmarkStart w:id="0" w:name="_GoBack"/>
      <w:bookmarkEnd w:id="0"/>
      <w:r w:rsidRPr="0049286A">
        <w:rPr>
          <w:rFonts w:eastAsia="Malgun Gothic"/>
          <w:b/>
          <w:bCs/>
        </w:rPr>
        <w:t>прав детей ратифицировать все основные дог</w:t>
      </w:r>
      <w:r w:rsidRPr="0049286A">
        <w:rPr>
          <w:rFonts w:eastAsia="Malgun Gothic"/>
          <w:b/>
          <w:bCs/>
        </w:rPr>
        <w:t>о</w:t>
      </w:r>
      <w:r w:rsidRPr="0049286A">
        <w:rPr>
          <w:rFonts w:eastAsia="Malgun Gothic"/>
          <w:b/>
          <w:bCs/>
        </w:rPr>
        <w:t>воры о правах человека, к которым оно еще не присоединилось, а именно Факультативный протокол к Международному пакту об экономических, социальных и культурных правах и Международную конвенцию о защите прав всех трудящихся-мигрантов и членов их семей.</w:t>
      </w:r>
    </w:p>
    <w:p w:rsidR="00195786" w:rsidRPr="0049286A" w:rsidRDefault="00195786" w:rsidP="00195786">
      <w:pPr>
        <w:pStyle w:val="H1GR"/>
      </w:pPr>
      <w:r w:rsidRPr="0049286A">
        <w:tab/>
        <w:t>J.</w:t>
      </w:r>
      <w:r w:rsidRPr="0049286A">
        <w:tab/>
        <w:t>Сотрудничество с региональными и международными органами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D25BC3">
        <w:rPr>
          <w:bCs/>
        </w:rPr>
        <w:t>81.</w:t>
      </w:r>
      <w:r w:rsidRPr="00D25BC3">
        <w:rPr>
          <w:bCs/>
        </w:rPr>
        <w:tab/>
      </w:r>
      <w:r w:rsidRPr="0049286A">
        <w:rPr>
          <w:b/>
          <w:bCs/>
        </w:rPr>
        <w:t>Комитет рекомендует государству-участнику сотрудничать с Советом Европы в деле осуществления Конвенции о правах ребенка и других ме</w:t>
      </w:r>
      <w:r w:rsidRPr="0049286A">
        <w:rPr>
          <w:b/>
          <w:bCs/>
        </w:rPr>
        <w:t>ж</w:t>
      </w:r>
      <w:r w:rsidRPr="0049286A">
        <w:rPr>
          <w:b/>
          <w:bCs/>
        </w:rPr>
        <w:t>дународных документов о правах человека, как в самом государстве-участнике, так и в других государствах-членах Совета Европы.</w:t>
      </w:r>
    </w:p>
    <w:p w:rsidR="00195786" w:rsidRPr="0049286A" w:rsidRDefault="00195786" w:rsidP="00195786">
      <w:pPr>
        <w:pStyle w:val="H1GR"/>
        <w:rPr>
          <w:rFonts w:eastAsia="SimSun"/>
        </w:rPr>
      </w:pPr>
      <w:r w:rsidRPr="0049286A">
        <w:rPr>
          <w:rFonts w:eastAsia="SimSun"/>
        </w:rPr>
        <w:tab/>
        <w:t>K.</w:t>
      </w:r>
      <w:r w:rsidRPr="0049286A">
        <w:rPr>
          <w:rFonts w:eastAsia="SimSun"/>
        </w:rPr>
        <w:tab/>
        <w:t>Последующие меры и распространение информации</w:t>
      </w:r>
    </w:p>
    <w:p w:rsidR="00195786" w:rsidRPr="0049286A" w:rsidRDefault="00195786" w:rsidP="00195786">
      <w:pPr>
        <w:pStyle w:val="SingleTxtGR"/>
        <w:rPr>
          <w:rFonts w:eastAsia="Malgun Gothic"/>
          <w:b/>
          <w:bCs/>
        </w:rPr>
      </w:pPr>
      <w:r w:rsidRPr="00D25BC3">
        <w:rPr>
          <w:bCs/>
        </w:rPr>
        <w:t>82.</w:t>
      </w:r>
      <w:r w:rsidRPr="00D25BC3">
        <w:rPr>
          <w:bCs/>
        </w:rPr>
        <w:tab/>
      </w:r>
      <w:r w:rsidRPr="0049286A">
        <w:rPr>
          <w:rFonts w:eastAsia="Malgun Gothic"/>
          <w:b/>
          <w:bCs/>
          <w:lang w:eastAsia="zh-CN"/>
        </w:rPr>
        <w:t>Комитет рекомендует государству-участнику принять все надлеж</w:t>
      </w:r>
      <w:r w:rsidRPr="0049286A">
        <w:rPr>
          <w:rFonts w:eastAsia="Malgun Gothic"/>
          <w:b/>
          <w:bCs/>
          <w:lang w:eastAsia="zh-CN"/>
        </w:rPr>
        <w:t>а</w:t>
      </w:r>
      <w:r w:rsidRPr="0049286A">
        <w:rPr>
          <w:rFonts w:eastAsia="Malgun Gothic"/>
          <w:b/>
          <w:bCs/>
          <w:lang w:eastAsia="zh-CN"/>
        </w:rPr>
        <w:t>щие меры для обеспечения полного выполнения настоящих рекомендаций, в частности путем их препровождения главе государства, парламенту, с</w:t>
      </w:r>
      <w:r w:rsidRPr="0049286A">
        <w:rPr>
          <w:rFonts w:eastAsia="Malgun Gothic"/>
          <w:b/>
          <w:bCs/>
          <w:lang w:eastAsia="zh-CN"/>
        </w:rPr>
        <w:t>о</w:t>
      </w:r>
      <w:r w:rsidRPr="0049286A">
        <w:rPr>
          <w:rFonts w:eastAsia="Malgun Gothic"/>
          <w:b/>
          <w:bCs/>
          <w:lang w:eastAsia="zh-CN"/>
        </w:rPr>
        <w:t>ответствующим министерствам, Верховному суду, а также федеральным, земельным и местным органам власти для надлежащего рассмотрения и принятия последующих мер.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D25BC3">
        <w:rPr>
          <w:bCs/>
        </w:rPr>
        <w:t>83.</w:t>
      </w:r>
      <w:r w:rsidRPr="00D25BC3">
        <w:rPr>
          <w:bCs/>
        </w:rPr>
        <w:tab/>
      </w:r>
      <w:r w:rsidRPr="0049286A">
        <w:rPr>
          <w:rFonts w:eastAsia="Malgun Gothic"/>
          <w:b/>
          <w:bCs/>
          <w:lang w:eastAsia="zh-CN"/>
        </w:rPr>
        <w:t>Комитет также рекомендует обеспечить как можно более широкое распространение на применяемых в стране языках объединенных третьего и четвертого периодических докладов, письменных ответов государства-участника и настоящих заключительных замечаний, в том числе (но не и</w:t>
      </w:r>
      <w:r w:rsidRPr="0049286A">
        <w:rPr>
          <w:rFonts w:eastAsia="Malgun Gothic"/>
          <w:b/>
          <w:bCs/>
          <w:lang w:eastAsia="zh-CN"/>
        </w:rPr>
        <w:t>с</w:t>
      </w:r>
      <w:r w:rsidRPr="0049286A">
        <w:rPr>
          <w:rFonts w:eastAsia="Malgun Gothic"/>
          <w:b/>
          <w:bCs/>
          <w:lang w:eastAsia="zh-CN"/>
        </w:rPr>
        <w:t>ключительно) через Интернет, среди широкой общественности, организ</w:t>
      </w:r>
      <w:r w:rsidRPr="0049286A">
        <w:rPr>
          <w:rFonts w:eastAsia="Malgun Gothic"/>
          <w:b/>
          <w:bCs/>
          <w:lang w:eastAsia="zh-CN"/>
        </w:rPr>
        <w:t>а</w:t>
      </w:r>
      <w:r w:rsidRPr="0049286A">
        <w:rPr>
          <w:rFonts w:eastAsia="Malgun Gothic"/>
          <w:b/>
          <w:bCs/>
          <w:lang w:eastAsia="zh-CN"/>
        </w:rPr>
        <w:t>ций гражданского общества, средств массовой информации, молодежных групп, профессиональных групп и детей в целях содействия обсуждению и повышению осведомленности о Конвенции и Факультативных протоколах к ней, а также об их выполнении и мониторинге.</w:t>
      </w:r>
    </w:p>
    <w:p w:rsidR="00195786" w:rsidRPr="0049286A" w:rsidRDefault="00195786" w:rsidP="00195786">
      <w:pPr>
        <w:pStyle w:val="H1GR"/>
        <w:rPr>
          <w:rFonts w:eastAsia="SimSun"/>
        </w:rPr>
      </w:pPr>
      <w:r w:rsidRPr="0049286A">
        <w:rPr>
          <w:rFonts w:eastAsia="SimSun"/>
        </w:rPr>
        <w:tab/>
        <w:t>L.</w:t>
      </w:r>
      <w:r w:rsidRPr="0049286A">
        <w:rPr>
          <w:rFonts w:eastAsia="SimSun"/>
        </w:rPr>
        <w:tab/>
        <w:t>Следующий доклад</w:t>
      </w:r>
    </w:p>
    <w:p w:rsidR="00195786" w:rsidRPr="0049286A" w:rsidRDefault="00195786" w:rsidP="00195786">
      <w:pPr>
        <w:pStyle w:val="SingleTxtGR"/>
        <w:rPr>
          <w:b/>
          <w:bCs/>
        </w:rPr>
      </w:pPr>
      <w:r w:rsidRPr="00D25BC3">
        <w:rPr>
          <w:bCs/>
        </w:rPr>
        <w:t>84.</w:t>
      </w:r>
      <w:r w:rsidRPr="00D25BC3">
        <w:rPr>
          <w:bCs/>
        </w:rPr>
        <w:tab/>
      </w:r>
      <w:r w:rsidRPr="0049286A">
        <w:rPr>
          <w:rFonts w:eastAsia="Malgun Gothic"/>
          <w:b/>
          <w:bCs/>
          <w:lang w:eastAsia="zh-CN"/>
        </w:rPr>
        <w:t>Комитет предлагает государству-участнику представить объедине</w:t>
      </w:r>
      <w:r w:rsidRPr="0049286A">
        <w:rPr>
          <w:rFonts w:eastAsia="Malgun Gothic"/>
          <w:b/>
          <w:bCs/>
          <w:lang w:eastAsia="zh-CN"/>
        </w:rPr>
        <w:t>н</w:t>
      </w:r>
      <w:r w:rsidRPr="0049286A">
        <w:rPr>
          <w:rFonts w:eastAsia="Malgun Gothic"/>
          <w:b/>
          <w:bCs/>
          <w:lang w:eastAsia="zh-CN"/>
        </w:rPr>
        <w:t>ные пятый и шестой периодические доклады к 4</w:t>
      </w:r>
      <w:r w:rsidR="0049286A" w:rsidRPr="0049286A">
        <w:rPr>
          <w:rFonts w:eastAsia="Malgun Gothic"/>
          <w:b/>
          <w:bCs/>
          <w:lang w:eastAsia="zh-CN"/>
        </w:rPr>
        <w:t xml:space="preserve"> </w:t>
      </w:r>
      <w:r w:rsidRPr="0049286A">
        <w:rPr>
          <w:rFonts w:eastAsia="Malgun Gothic"/>
          <w:b/>
          <w:bCs/>
          <w:lang w:eastAsia="zh-CN"/>
        </w:rPr>
        <w:t>апреля 2019 года и вкл</w:t>
      </w:r>
      <w:r w:rsidRPr="0049286A">
        <w:rPr>
          <w:rFonts w:eastAsia="Malgun Gothic"/>
          <w:b/>
          <w:bCs/>
          <w:lang w:eastAsia="zh-CN"/>
        </w:rPr>
        <w:t>ю</w:t>
      </w:r>
      <w:r w:rsidRPr="0049286A">
        <w:rPr>
          <w:rFonts w:eastAsia="Malgun Gothic"/>
          <w:b/>
          <w:bCs/>
          <w:lang w:eastAsia="zh-CN"/>
        </w:rPr>
        <w:t>чить в них информацию о мерах по выполнению настоящих заключител</w:t>
      </w:r>
      <w:r w:rsidRPr="0049286A">
        <w:rPr>
          <w:rFonts w:eastAsia="Malgun Gothic"/>
          <w:b/>
          <w:bCs/>
          <w:lang w:eastAsia="zh-CN"/>
        </w:rPr>
        <w:t>ь</w:t>
      </w:r>
      <w:r w:rsidRPr="0049286A">
        <w:rPr>
          <w:rFonts w:eastAsia="Malgun Gothic"/>
          <w:b/>
          <w:bCs/>
          <w:lang w:eastAsia="zh-CN"/>
        </w:rPr>
        <w:t>ных замечаний. Комитет обращает внимание на его согласованные Руков</w:t>
      </w:r>
      <w:r w:rsidRPr="0049286A">
        <w:rPr>
          <w:rFonts w:eastAsia="Malgun Gothic"/>
          <w:b/>
          <w:bCs/>
          <w:lang w:eastAsia="zh-CN"/>
        </w:rPr>
        <w:t>о</w:t>
      </w:r>
      <w:r w:rsidRPr="0049286A">
        <w:rPr>
          <w:rFonts w:eastAsia="Malgun Gothic"/>
          <w:b/>
          <w:bCs/>
          <w:lang w:eastAsia="zh-CN"/>
        </w:rPr>
        <w:t>дящие принципы подготовки докладов по конкретным договорам, прин</w:t>
      </w:r>
      <w:r w:rsidRPr="0049286A">
        <w:rPr>
          <w:rFonts w:eastAsia="Malgun Gothic"/>
          <w:b/>
          <w:bCs/>
          <w:lang w:eastAsia="zh-CN"/>
        </w:rPr>
        <w:t>я</w:t>
      </w:r>
      <w:r w:rsidRPr="0049286A">
        <w:rPr>
          <w:rFonts w:eastAsia="Malgun Gothic"/>
          <w:b/>
          <w:bCs/>
          <w:lang w:eastAsia="zh-CN"/>
        </w:rPr>
        <w:t>тые 1</w:t>
      </w:r>
      <w:r w:rsidR="0049286A" w:rsidRPr="0049286A">
        <w:rPr>
          <w:rFonts w:eastAsia="Malgun Gothic"/>
          <w:b/>
          <w:bCs/>
          <w:lang w:eastAsia="zh-CN"/>
        </w:rPr>
        <w:t xml:space="preserve"> </w:t>
      </w:r>
      <w:r w:rsidRPr="0049286A">
        <w:rPr>
          <w:rFonts w:eastAsia="Malgun Gothic"/>
          <w:b/>
          <w:bCs/>
          <w:lang w:eastAsia="zh-CN"/>
        </w:rPr>
        <w:t>октября 2010 года (</w:t>
      </w:r>
      <w:r w:rsidRPr="0049286A">
        <w:rPr>
          <w:rFonts w:eastAsia="Malgun Gothic"/>
          <w:b/>
          <w:bCs/>
        </w:rPr>
        <w:t>CRC/C/58/Rev.2 и Corr. 1</w:t>
      </w:r>
      <w:r w:rsidRPr="0049286A">
        <w:rPr>
          <w:rFonts w:eastAsia="Malgun Gothic"/>
          <w:b/>
          <w:bCs/>
          <w:lang w:eastAsia="zh-CN"/>
        </w:rPr>
        <w:t>), и напоминает госуда</w:t>
      </w:r>
      <w:r w:rsidRPr="0049286A">
        <w:rPr>
          <w:rFonts w:eastAsia="Malgun Gothic"/>
          <w:b/>
          <w:bCs/>
          <w:lang w:eastAsia="zh-CN"/>
        </w:rPr>
        <w:t>р</w:t>
      </w:r>
      <w:r w:rsidRPr="0049286A">
        <w:rPr>
          <w:rFonts w:eastAsia="Malgun Gothic"/>
          <w:b/>
          <w:bCs/>
          <w:lang w:eastAsia="zh-CN"/>
        </w:rPr>
        <w:t>ству-участнику о том, что будущие доклады должны представляться в с</w:t>
      </w:r>
      <w:r w:rsidRPr="0049286A">
        <w:rPr>
          <w:rFonts w:eastAsia="Malgun Gothic"/>
          <w:b/>
          <w:bCs/>
          <w:lang w:eastAsia="zh-CN"/>
        </w:rPr>
        <w:t>о</w:t>
      </w:r>
      <w:r w:rsidRPr="0049286A">
        <w:rPr>
          <w:rFonts w:eastAsia="Malgun Gothic"/>
          <w:b/>
          <w:bCs/>
          <w:lang w:eastAsia="zh-CN"/>
        </w:rPr>
        <w:t>ответствии с этими Руководящими принципами и по объему не должны превышать 60 страниц. Комитет настоятельно призывает государство-участник представить свой доклад в соответствии с вышеупомянутыми Руководящими принципами. Согласно резолюции 67/167 Генеральной А</w:t>
      </w:r>
      <w:r w:rsidRPr="0049286A">
        <w:rPr>
          <w:rFonts w:eastAsia="Malgun Gothic"/>
          <w:b/>
          <w:bCs/>
          <w:lang w:eastAsia="zh-CN"/>
        </w:rPr>
        <w:t>с</w:t>
      </w:r>
      <w:r w:rsidRPr="0049286A">
        <w:rPr>
          <w:rFonts w:eastAsia="Malgun Gothic"/>
          <w:b/>
          <w:bCs/>
          <w:lang w:eastAsia="zh-CN"/>
        </w:rPr>
        <w:t>самблеи от 20</w:t>
      </w:r>
      <w:r w:rsidR="0049286A" w:rsidRPr="0049286A">
        <w:rPr>
          <w:rFonts w:eastAsia="Malgun Gothic"/>
          <w:b/>
          <w:bCs/>
          <w:lang w:eastAsia="zh-CN"/>
        </w:rPr>
        <w:t xml:space="preserve"> </w:t>
      </w:r>
      <w:r w:rsidRPr="0049286A">
        <w:rPr>
          <w:rFonts w:eastAsia="Malgun Gothic"/>
          <w:b/>
          <w:bCs/>
          <w:lang w:eastAsia="zh-CN"/>
        </w:rPr>
        <w:t>декабря 2012 года в случае представления доклада, объем к</w:t>
      </w:r>
      <w:r w:rsidRPr="0049286A">
        <w:rPr>
          <w:rFonts w:eastAsia="Malgun Gothic"/>
          <w:b/>
          <w:bCs/>
          <w:lang w:eastAsia="zh-CN"/>
        </w:rPr>
        <w:t>о</w:t>
      </w:r>
      <w:r w:rsidRPr="0049286A">
        <w:rPr>
          <w:rFonts w:eastAsia="Malgun Gothic"/>
          <w:b/>
          <w:bCs/>
          <w:lang w:eastAsia="zh-CN"/>
        </w:rPr>
        <w:t>торого превышает установленные ограничения, государству-участнику б</w:t>
      </w:r>
      <w:r w:rsidRPr="0049286A">
        <w:rPr>
          <w:rFonts w:eastAsia="Malgun Gothic"/>
          <w:b/>
          <w:bCs/>
          <w:lang w:eastAsia="zh-CN"/>
        </w:rPr>
        <w:t>у</w:t>
      </w:r>
      <w:r w:rsidRPr="0049286A">
        <w:rPr>
          <w:rFonts w:eastAsia="Malgun Gothic"/>
          <w:b/>
          <w:bCs/>
          <w:lang w:eastAsia="zh-CN"/>
        </w:rPr>
        <w:t>дет предложено пересмотреть и вновь представить доклад в соответствии с вышеупомянутыми Руководящими принципами. Комитет напоминает г</w:t>
      </w:r>
      <w:r w:rsidRPr="0049286A">
        <w:rPr>
          <w:rFonts w:eastAsia="Malgun Gothic"/>
          <w:b/>
          <w:bCs/>
          <w:lang w:eastAsia="zh-CN"/>
        </w:rPr>
        <w:t>о</w:t>
      </w:r>
      <w:r w:rsidRPr="0049286A">
        <w:rPr>
          <w:rFonts w:eastAsia="Malgun Gothic"/>
          <w:b/>
          <w:bCs/>
          <w:lang w:eastAsia="zh-CN"/>
        </w:rPr>
        <w:t>сударству-участнику о том, что если оно будет не в состоянии пересмотреть и вновь представить доклад, то перевод доклада для его последующего ра</w:t>
      </w:r>
      <w:r w:rsidRPr="0049286A">
        <w:rPr>
          <w:rFonts w:eastAsia="Malgun Gothic"/>
          <w:b/>
          <w:bCs/>
          <w:lang w:eastAsia="zh-CN"/>
        </w:rPr>
        <w:t>с</w:t>
      </w:r>
      <w:r w:rsidRPr="0049286A">
        <w:rPr>
          <w:rFonts w:eastAsia="Malgun Gothic"/>
          <w:b/>
          <w:bCs/>
          <w:lang w:eastAsia="zh-CN"/>
        </w:rPr>
        <w:t>смотрения договорным органом не может быть гарантирован.</w:t>
      </w:r>
    </w:p>
    <w:p w:rsidR="00195786" w:rsidRPr="0049286A" w:rsidRDefault="00D25BC3" w:rsidP="00195786">
      <w:pPr>
        <w:pStyle w:val="SingleTxtGR"/>
        <w:rPr>
          <w:b/>
          <w:bCs/>
        </w:rPr>
      </w:pPr>
      <w:r>
        <w:rPr>
          <w:bCs/>
        </w:rPr>
        <w:t>85.</w:t>
      </w:r>
      <w:r w:rsidR="00195786" w:rsidRPr="00D25BC3">
        <w:rPr>
          <w:bCs/>
        </w:rPr>
        <w:tab/>
      </w:r>
      <w:r w:rsidR="00195786" w:rsidRPr="0049286A">
        <w:rPr>
          <w:rFonts w:eastAsia="Malgun Gothic"/>
          <w:b/>
          <w:bCs/>
          <w:lang w:eastAsia="zh-CN"/>
        </w:rPr>
        <w:t>Комитет также предлагает государству-участнику представить о</w:t>
      </w:r>
      <w:r w:rsidR="00195786" w:rsidRPr="0049286A">
        <w:rPr>
          <w:rFonts w:eastAsia="Malgun Gothic"/>
          <w:b/>
          <w:bCs/>
          <w:lang w:eastAsia="zh-CN"/>
        </w:rPr>
        <w:t>б</w:t>
      </w:r>
      <w:r w:rsidR="00195786" w:rsidRPr="0049286A">
        <w:rPr>
          <w:rFonts w:eastAsia="Malgun Gothic"/>
          <w:b/>
          <w:bCs/>
          <w:lang w:eastAsia="zh-CN"/>
        </w:rPr>
        <w:t>новленный базовый документ в соответствии с требованиями в отношении подготовки общего базового документа, предусмотренными согласованн</w:t>
      </w:r>
      <w:r w:rsidR="00195786" w:rsidRPr="0049286A">
        <w:rPr>
          <w:rFonts w:eastAsia="Malgun Gothic"/>
          <w:b/>
          <w:bCs/>
          <w:lang w:eastAsia="zh-CN"/>
        </w:rPr>
        <w:t>ы</w:t>
      </w:r>
      <w:r w:rsidR="00195786" w:rsidRPr="0049286A">
        <w:rPr>
          <w:rFonts w:eastAsia="Malgun Gothic"/>
          <w:b/>
          <w:bCs/>
          <w:lang w:eastAsia="zh-CN"/>
        </w:rPr>
        <w:t>ми руководящими принципами представления докладов, которые были утверждены на пятом межкомитетском совещании договорных органов по правам человека в июне 2006 года (</w:t>
      </w:r>
      <w:r w:rsidR="00195786" w:rsidRPr="0049286A">
        <w:rPr>
          <w:b/>
          <w:bCs/>
        </w:rPr>
        <w:t>HRI/GEN/2/Rev.6, глава I</w:t>
      </w:r>
      <w:r w:rsidR="00195786" w:rsidRPr="0049286A">
        <w:rPr>
          <w:rFonts w:eastAsia="Malgun Gothic"/>
          <w:b/>
          <w:bCs/>
          <w:lang w:eastAsia="zh-CN"/>
        </w:rPr>
        <w:t>).</w:t>
      </w:r>
    </w:p>
    <w:p w:rsidR="008D4485" w:rsidRDefault="00195786" w:rsidP="00195786">
      <w:pPr>
        <w:pStyle w:val="SingleTxtG"/>
        <w:spacing w:before="240" w:after="0"/>
        <w:jc w:val="center"/>
        <w:rPr>
          <w:u w:val="single"/>
          <w:lang w:val="ru-RU"/>
        </w:rPr>
      </w:pPr>
      <w:r w:rsidRPr="0049286A">
        <w:rPr>
          <w:u w:val="single"/>
          <w:lang w:val="ru-RU"/>
        </w:rPr>
        <w:tab/>
      </w:r>
      <w:r w:rsidRPr="0049286A">
        <w:rPr>
          <w:u w:val="single"/>
          <w:lang w:val="ru-RU"/>
        </w:rPr>
        <w:tab/>
      </w:r>
      <w:r w:rsidRPr="0049286A">
        <w:rPr>
          <w:u w:val="single"/>
          <w:lang w:val="ru-RU"/>
        </w:rPr>
        <w:tab/>
      </w:r>
    </w:p>
    <w:p w:rsidR="00195786" w:rsidRPr="0049286A" w:rsidRDefault="00195786" w:rsidP="009C4E83"/>
    <w:sectPr w:rsidR="00195786" w:rsidRPr="0049286A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D7" w:rsidRDefault="003631D7">
      <w:r>
        <w:rPr>
          <w:lang w:val="en-US"/>
        </w:rPr>
        <w:tab/>
      </w:r>
      <w:r>
        <w:separator/>
      </w:r>
    </w:p>
  </w:endnote>
  <w:endnote w:type="continuationSeparator" w:id="0">
    <w:p w:rsidR="003631D7" w:rsidRDefault="0036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D7" w:rsidRPr="009A6F4A" w:rsidRDefault="003631D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10C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F31588">
      <w:rPr>
        <w:lang w:val="en-US"/>
      </w:rPr>
      <w:t>1</w:t>
    </w:r>
    <w:r w:rsidRPr="00F31588">
      <w:rPr>
        <w:lang w:val="ru-RU"/>
      </w:rPr>
      <w:t>4</w:t>
    </w:r>
    <w:r w:rsidRPr="00F31588">
      <w:rPr>
        <w:lang w:val="en-US"/>
      </w:rPr>
      <w:t>-</w:t>
    </w:r>
    <w:r w:rsidRPr="00F31588">
      <w:rPr>
        <w:lang w:val="ru-RU"/>
      </w:rPr>
      <w:t>41128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D7" w:rsidRPr="009A6F4A" w:rsidRDefault="003631D7">
    <w:pPr>
      <w:pStyle w:val="Footer"/>
      <w:rPr>
        <w:lang w:val="en-US"/>
      </w:rPr>
    </w:pPr>
    <w:r>
      <w:rPr>
        <w:lang w:val="en-US"/>
      </w:rPr>
      <w:t>GE.</w:t>
    </w:r>
    <w:r w:rsidRPr="00F31588">
      <w:rPr>
        <w:lang w:val="en-US"/>
      </w:rPr>
      <w:t>1</w:t>
    </w:r>
    <w:r w:rsidRPr="00F31588">
      <w:rPr>
        <w:lang w:val="ru-RU"/>
      </w:rPr>
      <w:t>4</w:t>
    </w:r>
    <w:r w:rsidRPr="00F31588">
      <w:rPr>
        <w:lang w:val="en-US"/>
      </w:rPr>
      <w:t>-</w:t>
    </w:r>
    <w:r w:rsidRPr="00F31588">
      <w:rPr>
        <w:lang w:val="ru-RU"/>
      </w:rPr>
      <w:t>41128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10C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631D7" w:rsidTr="00C50460">
      <w:trPr>
        <w:trHeight w:val="438"/>
      </w:trPr>
      <w:tc>
        <w:tcPr>
          <w:tcW w:w="4068" w:type="dxa"/>
          <w:vAlign w:val="bottom"/>
        </w:tcPr>
        <w:p w:rsidR="003631D7" w:rsidRPr="00334094" w:rsidRDefault="003631D7" w:rsidP="00C50460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41128</w:t>
          </w:r>
          <w:r>
            <w:rPr>
              <w:lang w:val="en-US"/>
            </w:rPr>
            <w:t xml:space="preserve">  (R)</w:t>
          </w:r>
          <w:r>
            <w:t xml:space="preserve">  220414  240414</w:t>
          </w:r>
        </w:p>
      </w:tc>
      <w:tc>
        <w:tcPr>
          <w:tcW w:w="4663" w:type="dxa"/>
          <w:vMerge w:val="restart"/>
          <w:vAlign w:val="bottom"/>
        </w:tcPr>
        <w:p w:rsidR="003631D7" w:rsidRDefault="003631D7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631D7" w:rsidRDefault="003631D7" w:rsidP="00C50460">
          <w:pPr>
            <w:jc w:val="right"/>
          </w:pPr>
          <w:r>
            <w:pict>
              <v:shape id="_x0000_i1027" type="#_x0000_t75" style="width:50.25pt;height:50.25pt">
                <v:imagedata r:id="rId2" o:title="3-4&amp;Size=2&amp;Lang=R"/>
              </v:shape>
            </w:pict>
          </w:r>
        </w:p>
      </w:tc>
    </w:tr>
    <w:tr w:rsidR="003631D7" w:rsidRPr="00797A78" w:rsidTr="00C50460">
      <w:tc>
        <w:tcPr>
          <w:tcW w:w="4068" w:type="dxa"/>
          <w:vAlign w:val="bottom"/>
        </w:tcPr>
        <w:p w:rsidR="003631D7" w:rsidRPr="00334094" w:rsidRDefault="003631D7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34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631D7" w:rsidRDefault="003631D7" w:rsidP="00C50460"/>
      </w:tc>
      <w:tc>
        <w:tcPr>
          <w:tcW w:w="1124" w:type="dxa"/>
          <w:vMerge/>
        </w:tcPr>
        <w:p w:rsidR="003631D7" w:rsidRDefault="003631D7" w:rsidP="00C50460"/>
      </w:tc>
    </w:tr>
  </w:tbl>
  <w:p w:rsidR="003631D7" w:rsidRDefault="003631D7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D7" w:rsidRPr="00F71F63" w:rsidRDefault="003631D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631D7" w:rsidRPr="00F71F63" w:rsidRDefault="003631D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631D7" w:rsidRPr="00635E86" w:rsidRDefault="003631D7" w:rsidP="00635E86">
      <w:pPr>
        <w:pStyle w:val="Footer"/>
      </w:pPr>
    </w:p>
  </w:footnote>
  <w:footnote w:id="1">
    <w:p w:rsidR="003631D7" w:rsidRPr="00195786" w:rsidRDefault="003631D7" w:rsidP="00195786">
      <w:pPr>
        <w:pStyle w:val="FootnoteText"/>
        <w:rPr>
          <w:lang w:val="ru-RU"/>
        </w:rPr>
      </w:pPr>
      <w:r>
        <w:tab/>
      </w:r>
      <w:r w:rsidRPr="001D552E">
        <w:rPr>
          <w:rStyle w:val="FootnoteReference"/>
          <w:sz w:val="20"/>
          <w:vertAlign w:val="baseline"/>
        </w:rPr>
        <w:t>*</w:t>
      </w:r>
      <w:r w:rsidRPr="001249AE">
        <w:rPr>
          <w:sz w:val="20"/>
          <w:lang w:val="ru-RU"/>
        </w:rPr>
        <w:tab/>
      </w:r>
      <w:r>
        <w:rPr>
          <w:sz w:val="20"/>
          <w:lang w:val="ru-RU"/>
        </w:rPr>
        <w:t>Принято Комитетом на его шестьдесят пятой сессии (13–31 января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D7" w:rsidRPr="005E0092" w:rsidRDefault="003631D7">
    <w:pPr>
      <w:pStyle w:val="Header"/>
      <w:rPr>
        <w:lang w:val="en-US"/>
      </w:rPr>
    </w:pPr>
    <w:r>
      <w:rPr>
        <w:lang w:val="en-US"/>
      </w:rPr>
      <w:t>CRC/C/DEU/CO/3-4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D7" w:rsidRPr="009A6F4A" w:rsidRDefault="003631D7">
    <w:pPr>
      <w:pStyle w:val="Header"/>
      <w:rPr>
        <w:lang w:val="en-US"/>
      </w:rPr>
    </w:pPr>
    <w:r>
      <w:rPr>
        <w:lang w:val="en-US"/>
      </w:rPr>
      <w:tab/>
    </w:r>
    <w:r w:rsidRPr="00F31588">
      <w:rPr>
        <w:lang w:val="en-US"/>
      </w:rPr>
      <w:t>CRC/C/DEU/CO/3-4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632B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C111EB"/>
    <w:multiLevelType w:val="hybridMultilevel"/>
    <w:tmpl w:val="B95A2A96"/>
    <w:lvl w:ilvl="0" w:tplc="1F76455E">
      <w:start w:val="1"/>
      <w:numFmt w:val="lowerLetter"/>
      <w:lvlText w:val="(%1)"/>
      <w:lvlJc w:val="left"/>
      <w:pPr>
        <w:ind w:left="2826" w:hanging="112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2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35D2D8F"/>
    <w:multiLevelType w:val="hybridMultilevel"/>
    <w:tmpl w:val="81BC8FBC"/>
    <w:lvl w:ilvl="0" w:tplc="85EE6740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30D16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7513DB"/>
    <w:multiLevelType w:val="hybridMultilevel"/>
    <w:tmpl w:val="46D49EFE"/>
    <w:lvl w:ilvl="0" w:tplc="6870FDFC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30CCE"/>
    <w:multiLevelType w:val="hybridMultilevel"/>
    <w:tmpl w:val="363CFBF6"/>
    <w:lvl w:ilvl="0" w:tplc="204E9406">
      <w:start w:val="1"/>
      <w:numFmt w:val="lowerLetter"/>
      <w:lvlText w:val="(%1)"/>
      <w:lvlJc w:val="left"/>
      <w:pPr>
        <w:ind w:left="2826" w:hanging="112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1">
    <w:nsid w:val="36E47AF6"/>
    <w:multiLevelType w:val="hybridMultilevel"/>
    <w:tmpl w:val="DE3EAD1A"/>
    <w:lvl w:ilvl="0" w:tplc="D4763B5E">
      <w:start w:val="1"/>
      <w:numFmt w:val="lowerLetter"/>
      <w:lvlText w:val="(%1)"/>
      <w:lvlJc w:val="left"/>
      <w:pPr>
        <w:ind w:left="204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0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6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  <w:rPr>
        <w:rFonts w:cs="Times New Roman"/>
      </w:rPr>
    </w:lvl>
  </w:abstractNum>
  <w:abstractNum w:abstractNumId="22">
    <w:nsid w:val="3A411EE9"/>
    <w:multiLevelType w:val="hybridMultilevel"/>
    <w:tmpl w:val="E9FAC418"/>
    <w:lvl w:ilvl="0" w:tplc="3B06E8FE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3C0A7D6B"/>
    <w:multiLevelType w:val="hybridMultilevel"/>
    <w:tmpl w:val="F9E43060"/>
    <w:lvl w:ilvl="0" w:tplc="17B27FC4">
      <w:start w:val="1"/>
      <w:numFmt w:val="lowerLetter"/>
      <w:lvlText w:val="(%1)"/>
      <w:lvlJc w:val="left"/>
      <w:pPr>
        <w:ind w:left="22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4">
    <w:nsid w:val="42881AFE"/>
    <w:multiLevelType w:val="hybridMultilevel"/>
    <w:tmpl w:val="614629E8"/>
    <w:lvl w:ilvl="0" w:tplc="7D8E20EA">
      <w:start w:val="1"/>
      <w:numFmt w:val="decimal"/>
      <w:lvlText w:val="%1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203ABC72">
      <w:start w:val="1"/>
      <w:numFmt w:val="decimal"/>
      <w:lvlText w:val="%3.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bCs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5">
    <w:nsid w:val="473B69B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D460B7"/>
    <w:multiLevelType w:val="hybridMultilevel"/>
    <w:tmpl w:val="D8BE77F2"/>
    <w:lvl w:ilvl="0" w:tplc="BF92CC86">
      <w:start w:val="1"/>
      <w:numFmt w:val="lowerLetter"/>
      <w:lvlText w:val="(%1)"/>
      <w:lvlJc w:val="left"/>
      <w:pPr>
        <w:ind w:left="14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83CB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9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569022E5"/>
    <w:multiLevelType w:val="hybridMultilevel"/>
    <w:tmpl w:val="D07478FA"/>
    <w:lvl w:ilvl="0" w:tplc="9F62138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96123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69D"/>
    <w:multiLevelType w:val="hybridMultilevel"/>
    <w:tmpl w:val="7A0EE282"/>
    <w:lvl w:ilvl="0" w:tplc="2550DD04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B05D2D"/>
    <w:multiLevelType w:val="hybridMultilevel"/>
    <w:tmpl w:val="80363440"/>
    <w:lvl w:ilvl="0" w:tplc="E90652E0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">
    <w:nsid w:val="77C3338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9172AD5"/>
    <w:multiLevelType w:val="hybridMultilevel"/>
    <w:tmpl w:val="51523E94"/>
    <w:lvl w:ilvl="0" w:tplc="A11EA946">
      <w:start w:val="1"/>
      <w:numFmt w:val="lowerLetter"/>
      <w:lvlText w:val="(%1)"/>
      <w:lvlJc w:val="left"/>
      <w:pPr>
        <w:ind w:left="22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40">
    <w:nsid w:val="798E16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27"/>
  </w:num>
  <w:num w:numId="3">
    <w:abstractNumId w:val="32"/>
  </w:num>
  <w:num w:numId="4">
    <w:abstractNumId w:val="35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34"/>
  </w:num>
  <w:num w:numId="18">
    <w:abstractNumId w:val="27"/>
  </w:num>
  <w:num w:numId="19">
    <w:abstractNumId w:val="27"/>
  </w:num>
  <w:num w:numId="20">
    <w:abstractNumId w:val="34"/>
  </w:num>
  <w:num w:numId="21">
    <w:abstractNumId w:val="27"/>
  </w:num>
  <w:num w:numId="22">
    <w:abstractNumId w:val="32"/>
  </w:num>
  <w:num w:numId="23">
    <w:abstractNumId w:val="32"/>
  </w:num>
  <w:num w:numId="24">
    <w:abstractNumId w:val="14"/>
  </w:num>
  <w:num w:numId="25">
    <w:abstractNumId w:val="36"/>
  </w:num>
  <w:num w:numId="26">
    <w:abstractNumId w:val="24"/>
  </w:num>
  <w:num w:numId="27">
    <w:abstractNumId w:val="19"/>
  </w:num>
  <w:num w:numId="28">
    <w:abstractNumId w:val="17"/>
  </w:num>
  <w:num w:numId="29">
    <w:abstractNumId w:val="12"/>
  </w:num>
  <w:num w:numId="30">
    <w:abstractNumId w:val="37"/>
  </w:num>
  <w:num w:numId="31">
    <w:abstractNumId w:val="23"/>
  </w:num>
  <w:num w:numId="32">
    <w:abstractNumId w:val="39"/>
  </w:num>
  <w:num w:numId="33">
    <w:abstractNumId w:val="13"/>
  </w:num>
  <w:num w:numId="34">
    <w:abstractNumId w:val="33"/>
  </w:num>
  <w:num w:numId="35">
    <w:abstractNumId w:val="18"/>
  </w:num>
  <w:num w:numId="36">
    <w:abstractNumId w:val="21"/>
  </w:num>
  <w:num w:numId="37">
    <w:abstractNumId w:val="30"/>
  </w:num>
  <w:num w:numId="38">
    <w:abstractNumId w:val="26"/>
  </w:num>
  <w:num w:numId="39">
    <w:abstractNumId w:val="22"/>
  </w:num>
  <w:num w:numId="40">
    <w:abstractNumId w:val="20"/>
  </w:num>
  <w:num w:numId="41">
    <w:abstractNumId w:val="11"/>
  </w:num>
  <w:num w:numId="42">
    <w:abstractNumId w:val="40"/>
  </w:num>
  <w:num w:numId="43">
    <w:abstractNumId w:val="31"/>
  </w:num>
  <w:num w:numId="44">
    <w:abstractNumId w:val="38"/>
  </w:num>
  <w:num w:numId="45">
    <w:abstractNumId w:val="28"/>
  </w:num>
  <w:num w:numId="46">
    <w:abstractNumId w:val="25"/>
  </w:num>
  <w:num w:numId="47">
    <w:abstractNumId w:val="10"/>
  </w:num>
  <w:num w:numId="48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8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95786"/>
    <w:rsid w:val="001A75D5"/>
    <w:rsid w:val="001A7D40"/>
    <w:rsid w:val="001C10C2"/>
    <w:rsid w:val="001D07F7"/>
    <w:rsid w:val="001D552E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05244"/>
    <w:rsid w:val="003215F5"/>
    <w:rsid w:val="00332891"/>
    <w:rsid w:val="00334094"/>
    <w:rsid w:val="00356BB2"/>
    <w:rsid w:val="00360477"/>
    <w:rsid w:val="003631D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379AE"/>
    <w:rsid w:val="00457634"/>
    <w:rsid w:val="00474F42"/>
    <w:rsid w:val="0048244D"/>
    <w:rsid w:val="0049286A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5E61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4485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5BC3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6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1588"/>
    <w:rsid w:val="00F33188"/>
    <w:rsid w:val="00F35BDE"/>
    <w:rsid w:val="00F52A0E"/>
    <w:rsid w:val="00F6388C"/>
    <w:rsid w:val="00F71F63"/>
    <w:rsid w:val="00F87506"/>
    <w:rsid w:val="00F92C41"/>
    <w:rsid w:val="00FA5522"/>
    <w:rsid w:val="00FA6E4A"/>
    <w:rsid w:val="00FA6EE4"/>
    <w:rsid w:val="00FB2B35"/>
    <w:rsid w:val="00FB6B8B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D84ECF"/>
  </w:style>
  <w:style w:type="paragraph" w:styleId="FootnoteText">
    <w:name w:val="footnote text"/>
    <w:aliases w:val="5_GR,5_G,Footnote Text Char1,Footnote Text Char Char,FOOTNOTES,fn,single space,single space Char,footnote text Char,ft Char,ft,fn Char Char,fn Char Char Char Char,fn Char Char Char,Footnote Text Char1 Char Cha,ADB,Char,ft Ch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,Fago Fußnotenzeichen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Table_GR Char,Table_G Char"/>
    <w:basedOn w:val="DefaultParagraphFont"/>
    <w:link w:val="Heading1"/>
    <w:locked/>
    <w:rsid w:val="00195786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link w:val="BodyTextFirstIndentChar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195786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195786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locked/>
    <w:rsid w:val="00195786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195786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95786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195786"/>
    <w:rPr>
      <w:spacing w:val="4"/>
      <w:w w:val="103"/>
      <w:kern w:val="14"/>
      <w:sz w:val="24"/>
      <w:lang w:val="ru-RU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195786"/>
    <w:rPr>
      <w:i/>
      <w:iCs/>
      <w:spacing w:val="4"/>
      <w:w w:val="103"/>
      <w:kern w:val="14"/>
      <w:sz w:val="24"/>
      <w:lang w:val="ru-RU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195786"/>
    <w:rPr>
      <w:rFonts w:ascii="Arial" w:hAnsi="Arial" w:cs="Arial"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195786"/>
    <w:rPr>
      <w:i/>
      <w:iCs/>
      <w:spacing w:val="4"/>
      <w:w w:val="103"/>
      <w:kern w:val="14"/>
      <w:lang w:val="ru-RU" w:eastAsia="en-US" w:bidi="ar-SA"/>
    </w:rPr>
  </w:style>
  <w:style w:type="character" w:customStyle="1" w:styleId="DateChar">
    <w:name w:val="Date Char"/>
    <w:basedOn w:val="DefaultParagraphFont"/>
    <w:link w:val="Date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HeaderChar">
    <w:name w:val="Header Char"/>
    <w:aliases w:val="6_GR Char,6_G Char"/>
    <w:basedOn w:val="DefaultParagraphFont"/>
    <w:link w:val="Header"/>
    <w:locked/>
    <w:rsid w:val="00195786"/>
    <w:rPr>
      <w:b/>
      <w:sz w:val="18"/>
      <w:lang w:val="en-GB" w:eastAsia="ru-RU" w:bidi="ar-SA"/>
    </w:rPr>
  </w:style>
  <w:style w:type="character" w:customStyle="1" w:styleId="FooterChar">
    <w:name w:val="Footer Char"/>
    <w:aliases w:val="3_GR Char,3_G Char"/>
    <w:basedOn w:val="DefaultParagraphFont"/>
    <w:link w:val="Footer"/>
    <w:locked/>
    <w:rsid w:val="00195786"/>
    <w:rPr>
      <w:sz w:val="16"/>
      <w:lang w:val="en-GB" w:eastAsia="ru-RU" w:bidi="ar-SA"/>
    </w:rPr>
  </w:style>
  <w:style w:type="character" w:customStyle="1" w:styleId="EndnoteTextChar">
    <w:name w:val="Endnote Text Char"/>
    <w:aliases w:val="2_GR Char,2_G Char"/>
    <w:basedOn w:val="DefaultParagraphFont"/>
    <w:link w:val="EndnoteText"/>
    <w:semiHidden/>
    <w:locked/>
    <w:rsid w:val="00195786"/>
    <w:rPr>
      <w:spacing w:val="5"/>
      <w:w w:val="104"/>
      <w:kern w:val="14"/>
      <w:sz w:val="18"/>
      <w:lang w:val="en-GB" w:eastAsia="ru-RU" w:bidi="ar-SA"/>
    </w:rPr>
  </w:style>
  <w:style w:type="character" w:customStyle="1" w:styleId="FootnoteTextChar">
    <w:name w:val="Footnote Text Char"/>
    <w:aliases w:val="5_GR Char,5_G Char,Footnote Text Char1 Char,Footnote Text Char Char Char,FOOTNOTES Char,fn Char,single space Char1,single space Char Char,footnote text Char Char,ft Char Char,ft Char1,fn Char Char Char1,fn Char Char Char Char Char"/>
    <w:basedOn w:val="DefaultParagraphFont"/>
    <w:link w:val="FootnoteText"/>
    <w:locked/>
    <w:rsid w:val="00195786"/>
    <w:rPr>
      <w:spacing w:val="5"/>
      <w:w w:val="104"/>
      <w:kern w:val="14"/>
      <w:sz w:val="18"/>
      <w:lang w:val="en-GB" w:eastAsia="ru-RU" w:bidi="ar-SA"/>
    </w:rPr>
  </w:style>
  <w:style w:type="paragraph" w:customStyle="1" w:styleId="SingleTxtG">
    <w:name w:val="_ Single Txt_G"/>
    <w:basedOn w:val="Normal"/>
    <w:link w:val="SingleTxtGChar"/>
    <w:rsid w:val="0019578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ru-RU"/>
    </w:rPr>
  </w:style>
  <w:style w:type="character" w:customStyle="1" w:styleId="NoteHeadingChar">
    <w:name w:val="Note Heading Char"/>
    <w:basedOn w:val="DefaultParagraphFont"/>
    <w:link w:val="NoteHeading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195786"/>
  </w:style>
  <w:style w:type="character" w:customStyle="1" w:styleId="BodyTextIndentChar">
    <w:name w:val="Body Text Indent Char"/>
    <w:basedOn w:val="DefaultParagraphFont"/>
    <w:link w:val="BodyTextIndent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195786"/>
  </w:style>
  <w:style w:type="character" w:customStyle="1" w:styleId="TitleChar">
    <w:name w:val="Title Char"/>
    <w:basedOn w:val="DefaultParagraphFont"/>
    <w:link w:val="Title"/>
    <w:locked/>
    <w:rsid w:val="00195786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195786"/>
    <w:rPr>
      <w:spacing w:val="4"/>
      <w:w w:val="103"/>
      <w:kern w:val="14"/>
      <w:sz w:val="16"/>
      <w:szCs w:val="16"/>
      <w:lang w:val="ru-RU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195786"/>
    <w:rPr>
      <w:spacing w:val="4"/>
      <w:w w:val="103"/>
      <w:kern w:val="14"/>
      <w:sz w:val="16"/>
      <w:szCs w:val="16"/>
      <w:lang w:val="ru-RU" w:eastAsia="en-US" w:bidi="ar-SA"/>
    </w:rPr>
  </w:style>
  <w:style w:type="character" w:customStyle="1" w:styleId="SubtitleChar">
    <w:name w:val="Subtitle Char"/>
    <w:basedOn w:val="DefaultParagraphFont"/>
    <w:link w:val="Subtitle"/>
    <w:locked/>
    <w:rsid w:val="00195786"/>
    <w:rPr>
      <w:rFonts w:ascii="Arial" w:hAnsi="Arial" w:cs="Arial"/>
      <w:spacing w:val="4"/>
      <w:w w:val="103"/>
      <w:kern w:val="14"/>
      <w:sz w:val="24"/>
      <w:lang w:val="ru-RU" w:eastAsia="en-US" w:bidi="ar-SA"/>
    </w:rPr>
  </w:style>
  <w:style w:type="character" w:customStyle="1" w:styleId="SignatureChar">
    <w:name w:val="Signature Char"/>
    <w:basedOn w:val="DefaultParagraphFont"/>
    <w:link w:val="Signature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SalutationChar">
    <w:name w:val="Salutation Char"/>
    <w:basedOn w:val="DefaultParagraphFont"/>
    <w:link w:val="Salutation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ClosingChar">
    <w:name w:val="Closing Char"/>
    <w:basedOn w:val="DefaultParagraphFont"/>
    <w:link w:val="Closing"/>
    <w:semiHidden/>
    <w:locked/>
    <w:rsid w:val="00195786"/>
    <w:rPr>
      <w:spacing w:val="4"/>
      <w:w w:val="103"/>
      <w:kern w:val="14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195786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195786"/>
    <w:rPr>
      <w:spacing w:val="4"/>
      <w:w w:val="103"/>
      <w:kern w:val="14"/>
      <w:lang w:val="ru-RU" w:eastAsia="en-US" w:bidi="ar-SA"/>
    </w:rPr>
  </w:style>
  <w:style w:type="paragraph" w:customStyle="1" w:styleId="HChG">
    <w:name w:val="_ H _Ch_G"/>
    <w:basedOn w:val="Normal"/>
    <w:next w:val="Normal"/>
    <w:link w:val="HChGChar"/>
    <w:rsid w:val="0019578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ru-RU"/>
    </w:rPr>
  </w:style>
  <w:style w:type="character" w:customStyle="1" w:styleId="PlainTextChar">
    <w:name w:val="Plain Text Char"/>
    <w:basedOn w:val="DefaultParagraphFont"/>
    <w:link w:val="PlainText"/>
    <w:locked/>
    <w:rsid w:val="00195786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195786"/>
    <w:rPr>
      <w:rFonts w:ascii="Arial" w:hAnsi="Arial" w:cs="Arial"/>
      <w:spacing w:val="4"/>
      <w:w w:val="103"/>
      <w:kern w:val="14"/>
      <w:sz w:val="24"/>
      <w:lang w:val="ru-RU" w:eastAsia="en-US" w:bidi="ar-SA"/>
    </w:rPr>
  </w:style>
  <w:style w:type="paragraph" w:customStyle="1" w:styleId="H1G">
    <w:name w:val="_ H_1_G"/>
    <w:basedOn w:val="Normal"/>
    <w:next w:val="Normal"/>
    <w:link w:val="H1GChar"/>
    <w:rsid w:val="0019578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 w:eastAsia="ru-RU"/>
    </w:rPr>
  </w:style>
  <w:style w:type="paragraph" w:customStyle="1" w:styleId="H23G">
    <w:name w:val="_ H_2/3_G"/>
    <w:basedOn w:val="Normal"/>
    <w:next w:val="Normal"/>
    <w:link w:val="H23GChar"/>
    <w:rsid w:val="0019578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 w:eastAsia="ru-RU"/>
    </w:rPr>
  </w:style>
  <w:style w:type="character" w:customStyle="1" w:styleId="SingleTxtGChar">
    <w:name w:val="_ Single Txt_G Char"/>
    <w:link w:val="SingleTxtG"/>
    <w:locked/>
    <w:rsid w:val="00195786"/>
    <w:rPr>
      <w:lang w:val="en-GB" w:eastAsia="ru-RU" w:bidi="ar-SA"/>
    </w:rPr>
  </w:style>
  <w:style w:type="character" w:customStyle="1" w:styleId="HChGChar">
    <w:name w:val="_ H _Ch_G Char"/>
    <w:link w:val="HChG"/>
    <w:locked/>
    <w:rsid w:val="00195786"/>
    <w:rPr>
      <w:b/>
      <w:sz w:val="28"/>
      <w:lang w:val="en-GB" w:eastAsia="ru-RU" w:bidi="ar-SA"/>
    </w:rPr>
  </w:style>
  <w:style w:type="character" w:customStyle="1" w:styleId="H1GChar">
    <w:name w:val="_ H_1_G Char"/>
    <w:link w:val="H1G"/>
    <w:locked/>
    <w:rsid w:val="00195786"/>
    <w:rPr>
      <w:b/>
      <w:sz w:val="24"/>
      <w:lang w:val="en-GB" w:eastAsia="ru-RU" w:bidi="ar-SA"/>
    </w:rPr>
  </w:style>
  <w:style w:type="paragraph" w:styleId="BalloonText">
    <w:name w:val="Balloon Text"/>
    <w:basedOn w:val="Normal"/>
    <w:link w:val="BalloonTextChar"/>
    <w:rsid w:val="0019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95786"/>
    <w:rPr>
      <w:rFonts w:ascii="Tahoma" w:hAnsi="Tahoma" w:cs="Tahoma"/>
      <w:spacing w:val="4"/>
      <w:w w:val="103"/>
      <w:kern w:val="14"/>
      <w:sz w:val="16"/>
      <w:szCs w:val="16"/>
      <w:lang w:val="ru-RU" w:eastAsia="en-US" w:bidi="ar-SA"/>
    </w:rPr>
  </w:style>
  <w:style w:type="character" w:customStyle="1" w:styleId="H23GChar">
    <w:name w:val="_ H_2/3_G Char"/>
    <w:link w:val="H23G"/>
    <w:locked/>
    <w:rsid w:val="00195786"/>
    <w:rPr>
      <w:b/>
      <w:lang w:val="en-GB" w:eastAsia="ru-RU" w:bidi="ar-SA"/>
    </w:rPr>
  </w:style>
  <w:style w:type="paragraph" w:customStyle="1" w:styleId="H4G">
    <w:name w:val="_ H_4_G"/>
    <w:basedOn w:val="Normal"/>
    <w:next w:val="Normal"/>
    <w:rsid w:val="0019578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19578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SMG">
    <w:name w:val="__S_M_G"/>
    <w:basedOn w:val="Normal"/>
    <w:next w:val="Normal"/>
    <w:rsid w:val="0019578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19578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19578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19578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195786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195786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19578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Default">
    <w:name w:val="Default"/>
    <w:rsid w:val="0019578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Bulletpoint1Char">
    <w:name w:val="Bulletpoint_1 Char"/>
    <w:link w:val="Bulletpoint1"/>
    <w:locked/>
    <w:rsid w:val="00195786"/>
    <w:rPr>
      <w:lang w:val="en-US" w:eastAsia="en-US" w:bidi="ar-SA"/>
    </w:rPr>
  </w:style>
  <w:style w:type="paragraph" w:customStyle="1" w:styleId="Bulletpoint1">
    <w:name w:val="Bulletpoint_1"/>
    <w:basedOn w:val="Normal"/>
    <w:link w:val="Bulletpoint1Char"/>
    <w:rsid w:val="00195786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spacing w:val="0"/>
      <w:w w:val="100"/>
      <w:kern w:val="0"/>
      <w:lang w:val="en-US"/>
    </w:rPr>
  </w:style>
  <w:style w:type="paragraph" w:customStyle="1" w:styleId="ColorfulList-Accent11">
    <w:name w:val="Colorful List - Accent 11"/>
    <w:basedOn w:val="Normal"/>
    <w:rsid w:val="00195786"/>
    <w:pPr>
      <w:spacing w:line="240" w:lineRule="auto"/>
      <w:ind w:left="708"/>
    </w:pPr>
    <w:rPr>
      <w:spacing w:val="0"/>
      <w:w w:val="100"/>
      <w:kern w:val="0"/>
      <w:sz w:val="24"/>
      <w:szCs w:val="24"/>
      <w:lang w:val="de-DE" w:eastAsia="de-DE"/>
    </w:rPr>
  </w:style>
  <w:style w:type="character" w:customStyle="1" w:styleId="st">
    <w:name w:val="st"/>
    <w:rsid w:val="00195786"/>
  </w:style>
  <w:style w:type="paragraph" w:styleId="CommentText">
    <w:name w:val="annotation text"/>
    <w:basedOn w:val="Normal"/>
    <w:link w:val="CommentTextChar"/>
    <w:rsid w:val="00195786"/>
    <w:pPr>
      <w:suppressAutoHyphens/>
    </w:pPr>
    <w:rPr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locked/>
    <w:rsid w:val="00195786"/>
    <w:rPr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195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95786"/>
    <w:rPr>
      <w:b/>
      <w:bCs/>
    </w:rPr>
  </w:style>
  <w:style w:type="paragraph" w:styleId="DocumentMap">
    <w:name w:val="Document Map"/>
    <w:basedOn w:val="Normal"/>
    <w:link w:val="DocumentMapChar"/>
    <w:rsid w:val="00195786"/>
    <w:pPr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locked/>
    <w:rsid w:val="00195786"/>
    <w:rPr>
      <w:rFonts w:ascii="Tahoma" w:hAnsi="Tahoma"/>
      <w:sz w:val="16"/>
      <w:szCs w:val="16"/>
      <w:lang w:val="en-US" w:eastAsia="zh-CN" w:bidi="ar-SA"/>
    </w:rPr>
  </w:style>
  <w:style w:type="character" w:customStyle="1" w:styleId="highlight1">
    <w:name w:val="highlight1"/>
    <w:rsid w:val="00195786"/>
    <w:rPr>
      <w:shd w:val="clear" w:color="auto" w:fill="FFCC33"/>
    </w:rPr>
  </w:style>
  <w:style w:type="character" w:customStyle="1" w:styleId="hps">
    <w:name w:val="hps"/>
    <w:rsid w:val="00195786"/>
  </w:style>
  <w:style w:type="character" w:customStyle="1" w:styleId="apple-converted-space">
    <w:name w:val="apple-converted-space"/>
    <w:rsid w:val="00195786"/>
  </w:style>
  <w:style w:type="character" w:customStyle="1" w:styleId="highlight">
    <w:name w:val="highlight"/>
    <w:rsid w:val="00195786"/>
  </w:style>
  <w:style w:type="paragraph" w:customStyle="1" w:styleId="ListParagraph1">
    <w:name w:val="List Paragraph1"/>
    <w:basedOn w:val="Normal"/>
    <w:rsid w:val="00195786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rsid w:val="00195786"/>
  </w:style>
  <w:style w:type="character" w:customStyle="1" w:styleId="apple-style-span">
    <w:name w:val="apple-style-span"/>
    <w:rsid w:val="00195786"/>
  </w:style>
  <w:style w:type="character" w:customStyle="1" w:styleId="subject2">
    <w:name w:val="subject2"/>
    <w:rsid w:val="00195786"/>
    <w:rPr>
      <w:color w:val="B92517"/>
      <w:sz w:val="34"/>
    </w:rPr>
  </w:style>
  <w:style w:type="character" w:customStyle="1" w:styleId="comment">
    <w:name w:val="comment"/>
    <w:rsid w:val="00195786"/>
  </w:style>
  <w:style w:type="paragraph" w:customStyle="1" w:styleId="TOCHeading1">
    <w:name w:val="TOC Heading1"/>
    <w:basedOn w:val="Heading1"/>
    <w:next w:val="Normal"/>
    <w:rsid w:val="00195786"/>
    <w:pPr>
      <w:keepNext w:val="0"/>
      <w:tabs>
        <w:tab w:val="clear" w:pos="567"/>
      </w:tabs>
      <w:spacing w:before="300" w:after="40" w:line="276" w:lineRule="auto"/>
      <w:jc w:val="left"/>
      <w:outlineLvl w:val="9"/>
    </w:pPr>
    <w:rPr>
      <w:rFonts w:ascii="Calibri" w:hAnsi="Calibri" w:cs="Times New Roman"/>
      <w:b w:val="0"/>
      <w:bCs w:val="0"/>
      <w:smallCaps/>
      <w:spacing w:val="5"/>
      <w:w w:val="100"/>
      <w:kern w:val="0"/>
      <w:sz w:val="32"/>
      <w:lang w:val="en-GB" w:eastAsia="en-US"/>
    </w:rPr>
  </w:style>
  <w:style w:type="paragraph" w:customStyle="1" w:styleId="MediumGrid21">
    <w:name w:val="Medium Grid 21"/>
    <w:link w:val="MediumGrid2Char"/>
    <w:rsid w:val="00195786"/>
    <w:rPr>
      <w:rFonts w:ascii="Calibri" w:eastAsia="MS Mincho" w:hAnsi="Calibri"/>
      <w:sz w:val="22"/>
      <w:szCs w:val="22"/>
      <w:lang w:val="ru-RU" w:eastAsia="ja-JP"/>
    </w:rPr>
  </w:style>
  <w:style w:type="character" w:customStyle="1" w:styleId="MediumGrid2Char">
    <w:name w:val="Medium Grid 2 Char"/>
    <w:link w:val="MediumGrid21"/>
    <w:locked/>
    <w:rsid w:val="00195786"/>
    <w:rPr>
      <w:rFonts w:ascii="Calibri" w:eastAsia="MS Mincho" w:hAnsi="Calibri"/>
      <w:sz w:val="22"/>
      <w:szCs w:val="22"/>
      <w:lang w:val="ru-RU" w:eastAsia="ja-JP" w:bidi="ar-SA"/>
    </w:rPr>
  </w:style>
  <w:style w:type="paragraph" w:customStyle="1" w:styleId="ColorfulShading-Accent11">
    <w:name w:val="Colorful Shading - Accent 11"/>
    <w:hidden/>
    <w:semiHidden/>
    <w:rsid w:val="00195786"/>
    <w:rPr>
      <w:lang w:val="en-GB"/>
    </w:rPr>
  </w:style>
  <w:style w:type="paragraph" w:customStyle="1" w:styleId="ParaNoG">
    <w:name w:val="_ParaNo._G"/>
    <w:basedOn w:val="SingleTxtG"/>
    <w:rsid w:val="00195786"/>
  </w:style>
  <w:style w:type="table" w:styleId="TableWeb3">
    <w:name w:val="Table Web 3"/>
    <w:basedOn w:val="TableNormal"/>
    <w:semiHidden/>
    <w:rsid w:val="00195786"/>
    <w:pPr>
      <w:suppressAutoHyphens/>
      <w:spacing w:line="240" w:lineRule="atLeast"/>
    </w:pPr>
    <w:rPr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TextChar1">
    <w:name w:val="Comment Text Char1"/>
    <w:rsid w:val="00195786"/>
    <w:rPr>
      <w:lang w:eastAsia="en-US"/>
    </w:rPr>
  </w:style>
  <w:style w:type="character" w:customStyle="1" w:styleId="txtnorma1">
    <w:name w:val="txtnorma1"/>
    <w:rsid w:val="00195786"/>
    <w:rPr>
      <w:rFonts w:ascii="Verdana" w:hAnsi="Verdana"/>
      <w:sz w:val="18"/>
    </w:rPr>
  </w:style>
  <w:style w:type="character" w:customStyle="1" w:styleId="caption1">
    <w:name w:val="caption1"/>
    <w:rsid w:val="00195786"/>
    <w:rPr>
      <w:i/>
      <w:color w:val="000000"/>
      <w:sz w:val="15"/>
    </w:rPr>
  </w:style>
  <w:style w:type="character" w:customStyle="1" w:styleId="PlainTextChar1">
    <w:name w:val="Plain Text Char1"/>
    <w:rsid w:val="00195786"/>
    <w:rPr>
      <w:rFonts w:ascii="Courier New" w:hAnsi="Courier New"/>
      <w:lang w:eastAsia="en-US"/>
    </w:rPr>
  </w:style>
  <w:style w:type="character" w:customStyle="1" w:styleId="SingleTxtGCar">
    <w:name w:val="_ Single Txt_G Car"/>
    <w:locked/>
    <w:rsid w:val="00195786"/>
    <w:rPr>
      <w:lang w:eastAsia="en-US"/>
    </w:rPr>
  </w:style>
  <w:style w:type="paragraph" w:customStyle="1" w:styleId="Pa0">
    <w:name w:val="Pa0"/>
    <w:basedOn w:val="Default"/>
    <w:next w:val="Default"/>
    <w:rsid w:val="00195786"/>
    <w:pPr>
      <w:spacing w:line="241" w:lineRule="atLeast"/>
    </w:pPr>
    <w:rPr>
      <w:rFonts w:ascii="Calibri" w:eastAsia="Times New Roman" w:hAnsi="Calibri"/>
      <w:color w:val="auto"/>
      <w:lang w:val="en-GB" w:eastAsia="en-GB"/>
    </w:rPr>
  </w:style>
  <w:style w:type="character" w:customStyle="1" w:styleId="A0">
    <w:name w:val="A0"/>
    <w:rsid w:val="00195786"/>
    <w:rPr>
      <w:color w:val="000000"/>
      <w:sz w:val="28"/>
    </w:rPr>
  </w:style>
  <w:style w:type="character" w:customStyle="1" w:styleId="A1">
    <w:name w:val="A1"/>
    <w:rsid w:val="00195786"/>
    <w:rPr>
      <w:b/>
      <w:color w:val="000000"/>
      <w:sz w:val="72"/>
    </w:rPr>
  </w:style>
  <w:style w:type="paragraph" w:styleId="ListParagraph">
    <w:name w:val="List Paragraph"/>
    <w:basedOn w:val="Normal"/>
    <w:qFormat/>
    <w:rsid w:val="00195786"/>
    <w:pPr>
      <w:suppressAutoHyphens/>
      <w:ind w:left="720"/>
    </w:pPr>
    <w:rPr>
      <w:spacing w:val="0"/>
      <w:w w:val="100"/>
      <w:kern w:val="0"/>
      <w:lang w:val="en-GB"/>
    </w:rPr>
  </w:style>
  <w:style w:type="numbering" w:customStyle="1" w:styleId="ArticleSection1">
    <w:name w:val="Article / Section1"/>
    <w:rsid w:val="0019578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20</Pages>
  <Words>6356</Words>
  <Characters>44939</Characters>
  <Application>Microsoft Office Outlook</Application>
  <DocSecurity>4</DocSecurity>
  <Lines>864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Степанова Нина</dc:creator>
  <cp:keywords/>
  <dc:description/>
  <cp:lastModifiedBy>Степанова Нина</cp:lastModifiedBy>
  <cp:revision>2</cp:revision>
  <cp:lastPrinted>1601-01-01T00:00:00Z</cp:lastPrinted>
  <dcterms:created xsi:type="dcterms:W3CDTF">2014-04-24T12:46:00Z</dcterms:created>
  <dcterms:modified xsi:type="dcterms:W3CDTF">2014-04-24T12:46:00Z</dcterms:modified>
</cp:coreProperties>
</file>