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F6EF8C4" w14:textId="77777777" w:rsidTr="008F3CA0">
        <w:trPr>
          <w:trHeight w:hRule="exact" w:val="851"/>
        </w:trPr>
        <w:tc>
          <w:tcPr>
            <w:tcW w:w="1276" w:type="dxa"/>
            <w:tcBorders>
              <w:bottom w:val="single" w:sz="4" w:space="0" w:color="auto"/>
            </w:tcBorders>
          </w:tcPr>
          <w:p w14:paraId="277CEB1E" w14:textId="77777777" w:rsidR="000354E9" w:rsidRPr="00DB58B5" w:rsidRDefault="000354E9" w:rsidP="009576FC"/>
        </w:tc>
        <w:tc>
          <w:tcPr>
            <w:tcW w:w="2268" w:type="dxa"/>
            <w:tcBorders>
              <w:bottom w:val="single" w:sz="4" w:space="0" w:color="auto"/>
            </w:tcBorders>
            <w:vAlign w:val="bottom"/>
          </w:tcPr>
          <w:p w14:paraId="7E54B6C3"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F44104" w14:textId="02483AF9" w:rsidR="000354E9" w:rsidRPr="00DB58B5" w:rsidRDefault="009576FC" w:rsidP="009576FC">
            <w:pPr>
              <w:jc w:val="right"/>
            </w:pPr>
            <w:r w:rsidRPr="009576FC">
              <w:rPr>
                <w:sz w:val="40"/>
              </w:rPr>
              <w:t>CRC</w:t>
            </w:r>
            <w:r>
              <w:t>/C/DEU/CO/5-6</w:t>
            </w:r>
          </w:p>
        </w:tc>
      </w:tr>
      <w:tr w:rsidR="000354E9" w:rsidRPr="00DB58B5" w14:paraId="2F269F37" w14:textId="77777777" w:rsidTr="008F3CA0">
        <w:trPr>
          <w:trHeight w:hRule="exact" w:val="2835"/>
        </w:trPr>
        <w:tc>
          <w:tcPr>
            <w:tcW w:w="1276" w:type="dxa"/>
            <w:tcBorders>
              <w:top w:val="single" w:sz="4" w:space="0" w:color="auto"/>
              <w:bottom w:val="single" w:sz="12" w:space="0" w:color="auto"/>
            </w:tcBorders>
          </w:tcPr>
          <w:p w14:paraId="1F4A4787" w14:textId="77777777" w:rsidR="000354E9" w:rsidRPr="00DB58B5" w:rsidRDefault="000354E9" w:rsidP="008F3CA0">
            <w:pPr>
              <w:spacing w:before="120"/>
              <w:jc w:val="center"/>
            </w:pPr>
            <w:r>
              <w:rPr>
                <w:noProof/>
                <w:lang w:eastAsia="fr-CH"/>
              </w:rPr>
              <w:drawing>
                <wp:inline distT="0" distB="0" distL="0" distR="0" wp14:anchorId="71F22F2E" wp14:editId="7308FD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6D517" w14:textId="311EE4FE"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576FC">
              <w:rPr>
                <w:b/>
                <w:sz w:val="40"/>
                <w:szCs w:val="40"/>
              </w:rPr>
              <w:t>’</w:t>
            </w:r>
            <w:r w:rsidRPr="00262665">
              <w:rPr>
                <w:b/>
                <w:sz w:val="40"/>
                <w:szCs w:val="40"/>
              </w:rPr>
              <w:t>enfant</w:t>
            </w:r>
          </w:p>
        </w:tc>
        <w:tc>
          <w:tcPr>
            <w:tcW w:w="2835" w:type="dxa"/>
            <w:tcBorders>
              <w:top w:val="single" w:sz="4" w:space="0" w:color="auto"/>
              <w:bottom w:val="single" w:sz="12" w:space="0" w:color="auto"/>
            </w:tcBorders>
          </w:tcPr>
          <w:p w14:paraId="4746DD91" w14:textId="77777777" w:rsidR="000354E9" w:rsidRDefault="009576FC" w:rsidP="008F3CA0">
            <w:pPr>
              <w:spacing w:before="240"/>
            </w:pPr>
            <w:proofErr w:type="spellStart"/>
            <w:r>
              <w:t>Distr</w:t>
            </w:r>
            <w:proofErr w:type="spellEnd"/>
            <w:r>
              <w:t>. générale</w:t>
            </w:r>
          </w:p>
          <w:p w14:paraId="0E30C15A" w14:textId="77777777" w:rsidR="009576FC" w:rsidRDefault="009576FC" w:rsidP="009576FC">
            <w:pPr>
              <w:spacing w:line="240" w:lineRule="exact"/>
            </w:pPr>
            <w:r>
              <w:t>13 octobre 2022</w:t>
            </w:r>
          </w:p>
          <w:p w14:paraId="0A8EFEAF" w14:textId="77777777" w:rsidR="009576FC" w:rsidRDefault="009576FC" w:rsidP="009576FC">
            <w:pPr>
              <w:spacing w:line="240" w:lineRule="exact"/>
            </w:pPr>
            <w:r>
              <w:t>Français</w:t>
            </w:r>
          </w:p>
          <w:p w14:paraId="3E49C566" w14:textId="1B941DC3" w:rsidR="009576FC" w:rsidRPr="00DB58B5" w:rsidRDefault="009576FC" w:rsidP="009576FC">
            <w:pPr>
              <w:spacing w:line="240" w:lineRule="exact"/>
            </w:pPr>
            <w:r>
              <w:t>Original : anglais</w:t>
            </w:r>
          </w:p>
        </w:tc>
      </w:tr>
    </w:tbl>
    <w:p w14:paraId="77B6CD8E" w14:textId="031E3B89" w:rsidR="002D14A3" w:rsidRDefault="002D14A3" w:rsidP="002D14A3">
      <w:pPr>
        <w:spacing w:before="120"/>
        <w:rPr>
          <w:b/>
          <w:sz w:val="24"/>
          <w:szCs w:val="24"/>
        </w:rPr>
      </w:pPr>
      <w:r w:rsidRPr="00DA3BE9">
        <w:rPr>
          <w:b/>
          <w:sz w:val="24"/>
          <w:szCs w:val="24"/>
        </w:rPr>
        <w:t>Comité des droits de l</w:t>
      </w:r>
      <w:r w:rsidR="009576FC">
        <w:rPr>
          <w:b/>
          <w:sz w:val="24"/>
          <w:szCs w:val="24"/>
        </w:rPr>
        <w:t>’</w:t>
      </w:r>
      <w:r w:rsidRPr="00DA3BE9">
        <w:rPr>
          <w:b/>
          <w:sz w:val="24"/>
          <w:szCs w:val="24"/>
        </w:rPr>
        <w:t>enfant</w:t>
      </w:r>
    </w:p>
    <w:p w14:paraId="332C0559" w14:textId="2E10A63E" w:rsidR="007341B7" w:rsidRDefault="009576FC" w:rsidP="009576FC">
      <w:pPr>
        <w:pStyle w:val="HChG"/>
        <w:rPr>
          <w:b w:val="0"/>
          <w:bCs/>
          <w:sz w:val="20"/>
          <w:lang w:val="fr-FR"/>
        </w:rPr>
      </w:pPr>
      <w:r>
        <w:rPr>
          <w:lang w:val="fr-FR"/>
        </w:rPr>
        <w:tab/>
      </w:r>
      <w:r>
        <w:rPr>
          <w:lang w:val="fr-FR"/>
        </w:rPr>
        <w:tab/>
      </w:r>
      <w:r w:rsidRPr="00AC4E01">
        <w:rPr>
          <w:lang w:val="fr-FR"/>
        </w:rPr>
        <w:t>Observations finales concernant le rapport de l</w:t>
      </w:r>
      <w:r>
        <w:rPr>
          <w:lang w:val="fr-FR"/>
        </w:rPr>
        <w:t>’</w:t>
      </w:r>
      <w:r w:rsidRPr="00AC4E01">
        <w:rPr>
          <w:lang w:val="fr-FR"/>
        </w:rPr>
        <w:t>Allemagne valant cinquième et sixième rapports périodiques</w:t>
      </w:r>
      <w:r w:rsidRPr="009576FC">
        <w:rPr>
          <w:b w:val="0"/>
          <w:bCs/>
          <w:sz w:val="20"/>
          <w:lang w:val="fr-FR"/>
        </w:rPr>
        <w:footnoteReference w:customMarkFollows="1" w:id="2"/>
        <w:t>*</w:t>
      </w:r>
    </w:p>
    <w:p w14:paraId="3D60B82F" w14:textId="1EF795C1" w:rsidR="009576FC" w:rsidRPr="00AC4E01" w:rsidRDefault="009576FC" w:rsidP="009576FC">
      <w:pPr>
        <w:pStyle w:val="HChG"/>
        <w:rPr>
          <w:lang w:val="fr-FR"/>
        </w:rPr>
      </w:pPr>
      <w:r>
        <w:rPr>
          <w:lang w:val="fr-FR"/>
        </w:rPr>
        <w:tab/>
      </w:r>
      <w:r w:rsidRPr="00AC4E01">
        <w:rPr>
          <w:lang w:val="fr-FR"/>
        </w:rPr>
        <w:t>I.</w:t>
      </w:r>
      <w:r w:rsidRPr="00AC4E01">
        <w:rPr>
          <w:lang w:val="fr-FR"/>
        </w:rPr>
        <w:tab/>
        <w:t>Introduction</w:t>
      </w:r>
    </w:p>
    <w:p w14:paraId="4286BFE9" w14:textId="21A8F48A" w:rsidR="009576FC" w:rsidRPr="00AC4E01" w:rsidRDefault="009576FC" w:rsidP="009576FC">
      <w:pPr>
        <w:pStyle w:val="SingleTxtG"/>
        <w:rPr>
          <w:lang w:val="fr-FR"/>
        </w:rPr>
      </w:pPr>
      <w:r w:rsidRPr="00AC4E01">
        <w:rPr>
          <w:lang w:val="fr-FR"/>
        </w:rPr>
        <w:t>1.</w:t>
      </w:r>
      <w:r w:rsidRPr="00AC4E01">
        <w:rPr>
          <w:lang w:val="fr-FR"/>
        </w:rPr>
        <w:tab/>
        <w:t>Le Comité a examiné le rapport de l</w:t>
      </w:r>
      <w:r>
        <w:rPr>
          <w:lang w:val="fr-FR"/>
        </w:rPr>
        <w:t>’</w:t>
      </w:r>
      <w:r w:rsidRPr="00AC4E01">
        <w:rPr>
          <w:lang w:val="fr-FR"/>
        </w:rPr>
        <w:t>Allemagne valant cinquième et sixième rapports périodiques</w:t>
      </w:r>
      <w:r w:rsidRPr="009576FC">
        <w:rPr>
          <w:rStyle w:val="Appelnotedebasdep"/>
        </w:rPr>
        <w:footnoteReference w:id="3"/>
      </w:r>
      <w:r w:rsidRPr="00AC4E01">
        <w:rPr>
          <w:lang w:val="fr-FR"/>
        </w:rPr>
        <w:t xml:space="preserve"> à ses 2642</w:t>
      </w:r>
      <w:r w:rsidRPr="009576FC">
        <w:rPr>
          <w:vertAlign w:val="superscript"/>
          <w:lang w:val="fr-FR"/>
        </w:rPr>
        <w:t>e</w:t>
      </w:r>
      <w:r w:rsidRPr="00AC4E01">
        <w:rPr>
          <w:lang w:val="fr-FR"/>
        </w:rPr>
        <w:t xml:space="preserve"> et 2643</w:t>
      </w:r>
      <w:r w:rsidRPr="009576FC">
        <w:rPr>
          <w:vertAlign w:val="superscript"/>
          <w:lang w:val="fr-FR"/>
        </w:rPr>
        <w:t>e</w:t>
      </w:r>
      <w:r w:rsidRPr="00AC4E01">
        <w:rPr>
          <w:lang w:val="fr-FR"/>
        </w:rPr>
        <w:t xml:space="preserve"> séances</w:t>
      </w:r>
      <w:r w:rsidRPr="009576FC">
        <w:rPr>
          <w:rStyle w:val="Appelnotedebasdep"/>
        </w:rPr>
        <w:footnoteReference w:id="4"/>
      </w:r>
      <w:r w:rsidRPr="00AC4E01">
        <w:rPr>
          <w:lang w:val="fr-FR"/>
        </w:rPr>
        <w:t>, les 5 et 6</w:t>
      </w:r>
      <w:r>
        <w:rPr>
          <w:lang w:val="fr-FR"/>
        </w:rPr>
        <w:t> </w:t>
      </w:r>
      <w:r w:rsidRPr="00AC4E01">
        <w:rPr>
          <w:lang w:val="fr-FR"/>
        </w:rPr>
        <w:t>septembre 2022, et a adopté les présentes observations finales à sa 2668</w:t>
      </w:r>
      <w:r w:rsidRPr="009576FC">
        <w:rPr>
          <w:vertAlign w:val="superscript"/>
          <w:lang w:val="fr-FR"/>
        </w:rPr>
        <w:t>e</w:t>
      </w:r>
      <w:r>
        <w:rPr>
          <w:lang w:val="fr-FR"/>
        </w:rPr>
        <w:t> </w:t>
      </w:r>
      <w:r w:rsidRPr="00AC4E01">
        <w:rPr>
          <w:lang w:val="fr-FR"/>
        </w:rPr>
        <w:t>séance, le 23</w:t>
      </w:r>
      <w:r>
        <w:rPr>
          <w:lang w:val="fr-FR"/>
        </w:rPr>
        <w:t> </w:t>
      </w:r>
      <w:r w:rsidRPr="00AC4E01">
        <w:rPr>
          <w:lang w:val="fr-FR"/>
        </w:rPr>
        <w:t>septembre 2022.</w:t>
      </w:r>
    </w:p>
    <w:p w14:paraId="467D2982" w14:textId="69C103FA" w:rsidR="009576FC" w:rsidRPr="00AC4E01" w:rsidRDefault="009576FC" w:rsidP="009576FC">
      <w:pPr>
        <w:pStyle w:val="SingleTxtG"/>
        <w:rPr>
          <w:lang w:val="fr-FR"/>
        </w:rPr>
      </w:pPr>
      <w:r w:rsidRPr="00AC4E01">
        <w:rPr>
          <w:lang w:val="fr-FR"/>
        </w:rPr>
        <w:t>2.</w:t>
      </w:r>
      <w:r w:rsidRPr="00AC4E01">
        <w:rPr>
          <w:lang w:val="fr-FR"/>
        </w:rPr>
        <w:tab/>
        <w:t>Le Comité accueille avec satisfaction le rapport de l</w:t>
      </w:r>
      <w:r>
        <w:rPr>
          <w:lang w:val="fr-FR"/>
        </w:rPr>
        <w:t>’</w:t>
      </w:r>
      <w:r w:rsidRPr="00AC4E01">
        <w:rPr>
          <w:lang w:val="fr-FR"/>
        </w:rPr>
        <w:t>État partie valant cinquième et sixième rapports périodiques, ainsi que les réponses écrites à la liste de points</w:t>
      </w:r>
      <w:r w:rsidRPr="009576FC">
        <w:rPr>
          <w:rStyle w:val="Appelnotedebasdep"/>
        </w:rPr>
        <w:footnoteReference w:id="5"/>
      </w:r>
      <w:r w:rsidRPr="00AC4E01">
        <w:rPr>
          <w:lang w:val="fr-FR"/>
        </w:rPr>
        <w:t>, qui lui ont permis de mieux appréhender la situation des droits de l</w:t>
      </w:r>
      <w:r>
        <w:rPr>
          <w:lang w:val="fr-FR"/>
        </w:rPr>
        <w:t>’</w:t>
      </w:r>
      <w:r w:rsidRPr="00AC4E01">
        <w:rPr>
          <w:lang w:val="fr-FR"/>
        </w:rPr>
        <w:t>enfant dans l</w:t>
      </w:r>
      <w:r>
        <w:rPr>
          <w:lang w:val="fr-FR"/>
        </w:rPr>
        <w:t>’</w:t>
      </w:r>
      <w:r w:rsidRPr="00AC4E01">
        <w:rPr>
          <w:lang w:val="fr-FR"/>
        </w:rPr>
        <w:t>État partie. Il se félicite du dialogue constructif qu</w:t>
      </w:r>
      <w:r>
        <w:rPr>
          <w:lang w:val="fr-FR"/>
        </w:rPr>
        <w:t>’</w:t>
      </w:r>
      <w:r w:rsidRPr="00AC4E01">
        <w:rPr>
          <w:lang w:val="fr-FR"/>
        </w:rPr>
        <w:t>il a eu avec la délégation multisectorielle de haut niveau de l</w:t>
      </w:r>
      <w:r>
        <w:rPr>
          <w:lang w:val="fr-FR"/>
        </w:rPr>
        <w:t>’</w:t>
      </w:r>
      <w:r w:rsidRPr="00AC4E01">
        <w:rPr>
          <w:lang w:val="fr-FR"/>
        </w:rPr>
        <w:t>État</w:t>
      </w:r>
      <w:r>
        <w:rPr>
          <w:lang w:val="fr-FR"/>
        </w:rPr>
        <w:t> </w:t>
      </w:r>
      <w:r w:rsidRPr="00AC4E01">
        <w:rPr>
          <w:lang w:val="fr-FR"/>
        </w:rPr>
        <w:t>partie.</w:t>
      </w:r>
    </w:p>
    <w:p w14:paraId="4AAE2E3A" w14:textId="23E357FD" w:rsidR="009576FC" w:rsidRPr="00AC4E01" w:rsidRDefault="009576FC" w:rsidP="009576FC">
      <w:pPr>
        <w:pStyle w:val="HChG"/>
        <w:rPr>
          <w:lang w:val="fr-FR"/>
        </w:rPr>
      </w:pPr>
      <w:r>
        <w:rPr>
          <w:lang w:val="fr-FR"/>
        </w:rPr>
        <w:tab/>
      </w:r>
      <w:r w:rsidRPr="00AC4E01">
        <w:rPr>
          <w:lang w:val="fr-FR"/>
        </w:rPr>
        <w:t>II.</w:t>
      </w:r>
      <w:r w:rsidRPr="00AC4E01">
        <w:rPr>
          <w:lang w:val="fr-FR"/>
        </w:rPr>
        <w:tab/>
      </w:r>
      <w:r w:rsidRPr="009576FC">
        <w:t>Mesures</w:t>
      </w:r>
      <w:r w:rsidRPr="00AC4E01">
        <w:rPr>
          <w:lang w:val="fr-FR"/>
        </w:rPr>
        <w:t xml:space="preserve"> de suivi adoptées et progrès réalisés par l</w:t>
      </w:r>
      <w:r>
        <w:rPr>
          <w:lang w:val="fr-FR"/>
        </w:rPr>
        <w:t>’</w:t>
      </w:r>
      <w:r w:rsidRPr="00AC4E01">
        <w:rPr>
          <w:lang w:val="fr-FR"/>
        </w:rPr>
        <w:t>État partie</w:t>
      </w:r>
    </w:p>
    <w:p w14:paraId="17304449" w14:textId="17698724" w:rsidR="009576FC" w:rsidRPr="00AC4E01" w:rsidRDefault="009576FC" w:rsidP="009576FC">
      <w:pPr>
        <w:pStyle w:val="SingleTxtG"/>
        <w:rPr>
          <w:lang w:val="fr-FR"/>
        </w:rPr>
      </w:pPr>
      <w:r w:rsidRPr="00AC4E01">
        <w:rPr>
          <w:lang w:val="fr-FR"/>
        </w:rPr>
        <w:t>3.</w:t>
      </w:r>
      <w:r w:rsidRPr="00AC4E01">
        <w:rPr>
          <w:lang w:val="fr-FR"/>
        </w:rPr>
        <w:tab/>
        <w:t>Le Comité salue les diverses mesures législatives prises pour mettre en œuvre la Convention, notamment l</w:t>
      </w:r>
      <w:r>
        <w:rPr>
          <w:lang w:val="fr-FR"/>
        </w:rPr>
        <w:t>’</w:t>
      </w:r>
      <w:r w:rsidRPr="00AC4E01">
        <w:rPr>
          <w:lang w:val="fr-FR"/>
        </w:rPr>
        <w:t xml:space="preserve">adoption de la loi visant à renforcer la protection active des enfants et des mineurs, de la deuxième loi </w:t>
      </w:r>
      <w:r>
        <w:rPr>
          <w:lang w:val="fr-FR"/>
        </w:rPr>
        <w:t>portant modification de</w:t>
      </w:r>
      <w:r w:rsidRPr="00AC4E01">
        <w:rPr>
          <w:lang w:val="fr-FR"/>
        </w:rPr>
        <w:t xml:space="preserve"> la loi sur la protection de la jeunesse, de la loi visant à lutter contre la violence sexualisée à l</w:t>
      </w:r>
      <w:r>
        <w:rPr>
          <w:lang w:val="fr-FR"/>
        </w:rPr>
        <w:t>’</w:t>
      </w:r>
      <w:r w:rsidRPr="00AC4E01">
        <w:rPr>
          <w:lang w:val="fr-FR"/>
        </w:rPr>
        <w:t>égard des enfants, de la loi sur la modernisation des procédures pénales, de la loi visant à lutter contre le mariage d</w:t>
      </w:r>
      <w:r>
        <w:rPr>
          <w:lang w:val="fr-FR"/>
        </w:rPr>
        <w:t>’</w:t>
      </w:r>
      <w:r w:rsidRPr="00AC4E01">
        <w:rPr>
          <w:lang w:val="fr-FR"/>
        </w:rPr>
        <w:t>enfants, de la loi sur la protection des enfants présentant des variantes du développement sexuel, de la loi sur la garde et l</w:t>
      </w:r>
      <w:r>
        <w:rPr>
          <w:lang w:val="fr-FR"/>
        </w:rPr>
        <w:t>’</w:t>
      </w:r>
      <w:r w:rsidRPr="00AC4E01">
        <w:rPr>
          <w:lang w:val="fr-FR"/>
        </w:rPr>
        <w:t>éducation tout au long de la journée pour les enfants du primaire et de la loi visant à renforcer la lutte contre la traite des êtres humains et à modifier la loi sur le registre central fédéral et le Livre VIII du Code social.</w:t>
      </w:r>
    </w:p>
    <w:p w14:paraId="31B8567F" w14:textId="1D7F1D01" w:rsidR="009576FC" w:rsidRPr="00AC4E01" w:rsidRDefault="009576FC" w:rsidP="009576FC">
      <w:pPr>
        <w:pStyle w:val="HChG"/>
        <w:rPr>
          <w:lang w:val="fr-FR"/>
        </w:rPr>
      </w:pPr>
      <w:r>
        <w:rPr>
          <w:lang w:val="fr-FR"/>
        </w:rPr>
        <w:tab/>
      </w:r>
      <w:r w:rsidRPr="00AC4E01">
        <w:rPr>
          <w:lang w:val="fr-FR"/>
        </w:rPr>
        <w:t>III.</w:t>
      </w:r>
      <w:r w:rsidRPr="00AC4E01">
        <w:rPr>
          <w:lang w:val="fr-FR"/>
        </w:rPr>
        <w:tab/>
      </w:r>
      <w:r w:rsidRPr="00AC4E01">
        <w:rPr>
          <w:lang w:val="fr-FR"/>
        </w:rPr>
        <w:tab/>
        <w:t>Principaux sujets de préoccupation et recommandations</w:t>
      </w:r>
    </w:p>
    <w:p w14:paraId="07DB25E6" w14:textId="0186121D" w:rsidR="009576FC" w:rsidRPr="00AC4E01" w:rsidRDefault="009576FC" w:rsidP="009576FC">
      <w:pPr>
        <w:pStyle w:val="SingleTxtG"/>
        <w:rPr>
          <w:lang w:val="fr-FR"/>
        </w:rPr>
      </w:pPr>
      <w:r w:rsidRPr="00AC4E01">
        <w:rPr>
          <w:lang w:val="fr-FR"/>
        </w:rPr>
        <w:t>4.</w:t>
      </w:r>
      <w:r w:rsidRPr="00AC4E01">
        <w:rPr>
          <w:lang w:val="fr-FR"/>
        </w:rPr>
        <w:tab/>
        <w:t>Le Comité rappelle à l</w:t>
      </w:r>
      <w:r>
        <w:rPr>
          <w:lang w:val="fr-FR"/>
        </w:rPr>
        <w:t>’</w:t>
      </w:r>
      <w:r w:rsidRPr="00AC4E01">
        <w:rPr>
          <w:lang w:val="fr-FR"/>
        </w:rPr>
        <w:t>État partie le caractère indivisible et interdépendant de tous les droits consacrés par la Convention et souligne l</w:t>
      </w:r>
      <w:r>
        <w:rPr>
          <w:lang w:val="fr-FR"/>
        </w:rPr>
        <w:t>’</w:t>
      </w:r>
      <w:r w:rsidRPr="00AC4E01">
        <w:rPr>
          <w:lang w:val="fr-FR"/>
        </w:rPr>
        <w:t xml:space="preserve">importance de toutes les recommandations figurant dans les présentes observations finales. Il appelle </w:t>
      </w:r>
      <w:r>
        <w:rPr>
          <w:lang w:val="fr-FR"/>
        </w:rPr>
        <w:t xml:space="preserve">son </w:t>
      </w:r>
      <w:r w:rsidRPr="00AC4E01">
        <w:rPr>
          <w:lang w:val="fr-FR"/>
        </w:rPr>
        <w:t xml:space="preserve">attention sur les recommandations concernant les domaines ci-après, dans lesquels il est urgent de prendre des mesures : </w:t>
      </w:r>
      <w:r>
        <w:rPr>
          <w:lang w:val="fr-FR"/>
        </w:rPr>
        <w:t xml:space="preserve">la </w:t>
      </w:r>
      <w:r w:rsidRPr="00AC4E01">
        <w:rPr>
          <w:lang w:val="fr-FR"/>
        </w:rPr>
        <w:t>violence à l</w:t>
      </w:r>
      <w:r>
        <w:rPr>
          <w:lang w:val="fr-FR"/>
        </w:rPr>
        <w:t>’</w:t>
      </w:r>
      <w:r w:rsidRPr="00AC4E01">
        <w:rPr>
          <w:lang w:val="fr-FR"/>
        </w:rPr>
        <w:t>égard des enfants (par.</w:t>
      </w:r>
      <w:r>
        <w:rPr>
          <w:lang w:val="fr-FR"/>
        </w:rPr>
        <w:t> </w:t>
      </w:r>
      <w:r w:rsidRPr="00AC4E01">
        <w:rPr>
          <w:lang w:val="fr-FR"/>
        </w:rPr>
        <w:t xml:space="preserve">23) ; </w:t>
      </w:r>
      <w:r>
        <w:rPr>
          <w:lang w:val="fr-FR"/>
        </w:rPr>
        <w:t xml:space="preserve">les </w:t>
      </w:r>
      <w:r w:rsidRPr="00AC4E01">
        <w:rPr>
          <w:lang w:val="fr-FR"/>
        </w:rPr>
        <w:t>enfants privés de milieu familial (par.</w:t>
      </w:r>
      <w:r>
        <w:rPr>
          <w:lang w:val="fr-FR"/>
        </w:rPr>
        <w:t> </w:t>
      </w:r>
      <w:r w:rsidRPr="00AC4E01">
        <w:rPr>
          <w:lang w:val="fr-FR"/>
        </w:rPr>
        <w:t xml:space="preserve">27) ; </w:t>
      </w:r>
      <w:r>
        <w:rPr>
          <w:lang w:val="fr-FR"/>
        </w:rPr>
        <w:t xml:space="preserve">la </w:t>
      </w:r>
      <w:r w:rsidRPr="00AC4E01">
        <w:rPr>
          <w:lang w:val="fr-FR"/>
        </w:rPr>
        <w:t xml:space="preserve">santé et </w:t>
      </w:r>
      <w:r>
        <w:rPr>
          <w:lang w:val="fr-FR"/>
        </w:rPr>
        <w:t xml:space="preserve">les </w:t>
      </w:r>
      <w:r w:rsidRPr="00AC4E01">
        <w:rPr>
          <w:lang w:val="fr-FR"/>
        </w:rPr>
        <w:t xml:space="preserve">services de santé (par. 31) ; </w:t>
      </w:r>
      <w:r>
        <w:rPr>
          <w:lang w:val="fr-FR"/>
        </w:rPr>
        <w:t>l’</w:t>
      </w:r>
      <w:r w:rsidRPr="00AC4E01">
        <w:rPr>
          <w:lang w:val="fr-FR"/>
        </w:rPr>
        <w:t>éducation, y compris la formation et l</w:t>
      </w:r>
      <w:r>
        <w:rPr>
          <w:lang w:val="fr-FR"/>
        </w:rPr>
        <w:t>’</w:t>
      </w:r>
      <w:r w:rsidRPr="00AC4E01">
        <w:rPr>
          <w:lang w:val="fr-FR"/>
        </w:rPr>
        <w:t xml:space="preserve">orientation professionnelles (par. 36) ; </w:t>
      </w:r>
      <w:r>
        <w:rPr>
          <w:lang w:val="fr-FR"/>
        </w:rPr>
        <w:t xml:space="preserve">les </w:t>
      </w:r>
      <w:r w:rsidRPr="00AC4E01">
        <w:rPr>
          <w:lang w:val="fr-FR"/>
        </w:rPr>
        <w:t>enfants demandeurs d</w:t>
      </w:r>
      <w:r>
        <w:rPr>
          <w:lang w:val="fr-FR"/>
        </w:rPr>
        <w:t>’</w:t>
      </w:r>
      <w:r w:rsidRPr="00AC4E01">
        <w:rPr>
          <w:lang w:val="fr-FR"/>
        </w:rPr>
        <w:t xml:space="preserve">asile, réfugiés ou migrants </w:t>
      </w:r>
      <w:r w:rsidRPr="00AC4E01">
        <w:rPr>
          <w:lang w:val="fr-FR"/>
        </w:rPr>
        <w:lastRenderedPageBreak/>
        <w:t>(par.</w:t>
      </w:r>
      <w:r>
        <w:rPr>
          <w:lang w:val="fr-FR"/>
        </w:rPr>
        <w:t> </w:t>
      </w:r>
      <w:r w:rsidRPr="00AC4E01">
        <w:rPr>
          <w:lang w:val="fr-FR"/>
        </w:rPr>
        <w:t>40)</w:t>
      </w:r>
      <w:r>
        <w:rPr>
          <w:lang w:val="fr-FR"/>
        </w:rPr>
        <w:t> </w:t>
      </w:r>
      <w:r w:rsidRPr="00AC4E01">
        <w:rPr>
          <w:lang w:val="fr-FR"/>
        </w:rPr>
        <w:t xml:space="preserve">; </w:t>
      </w:r>
      <w:r>
        <w:rPr>
          <w:lang w:val="fr-FR"/>
        </w:rPr>
        <w:t xml:space="preserve">le </w:t>
      </w:r>
      <w:r w:rsidRPr="00AC4E01">
        <w:rPr>
          <w:lang w:val="fr-FR"/>
        </w:rPr>
        <w:t>Protocole facultatif concernant l</w:t>
      </w:r>
      <w:r>
        <w:rPr>
          <w:lang w:val="fr-FR"/>
        </w:rPr>
        <w:t>’</w:t>
      </w:r>
      <w:r w:rsidRPr="00AC4E01">
        <w:rPr>
          <w:lang w:val="fr-FR"/>
        </w:rPr>
        <w:t>implication d</w:t>
      </w:r>
      <w:r>
        <w:rPr>
          <w:lang w:val="fr-FR"/>
        </w:rPr>
        <w:t>’</w:t>
      </w:r>
      <w:r w:rsidRPr="00AC4E01">
        <w:rPr>
          <w:lang w:val="fr-FR"/>
        </w:rPr>
        <w:t>enfants dans les conflits armés (par.</w:t>
      </w:r>
      <w:r>
        <w:rPr>
          <w:lang w:val="fr-FR"/>
        </w:rPr>
        <w:t> </w:t>
      </w:r>
      <w:r w:rsidRPr="00AC4E01">
        <w:rPr>
          <w:lang w:val="fr-FR"/>
        </w:rPr>
        <w:t>45).</w:t>
      </w:r>
    </w:p>
    <w:p w14:paraId="7D49A146" w14:textId="55397105" w:rsidR="009576FC" w:rsidRPr="00337E00" w:rsidRDefault="009576FC" w:rsidP="009576FC">
      <w:pPr>
        <w:pStyle w:val="SingleTxtG"/>
        <w:rPr>
          <w:b/>
          <w:bCs/>
          <w:spacing w:val="-1"/>
          <w:lang w:val="fr-FR"/>
        </w:rPr>
      </w:pPr>
      <w:r w:rsidRPr="00337E00">
        <w:rPr>
          <w:spacing w:val="-1"/>
          <w:lang w:val="fr-FR"/>
        </w:rPr>
        <w:t>5.</w:t>
      </w:r>
      <w:r w:rsidRPr="00337E00">
        <w:rPr>
          <w:spacing w:val="-1"/>
          <w:lang w:val="fr-FR"/>
        </w:rPr>
        <w:tab/>
      </w:r>
      <w:r w:rsidRPr="00337E00">
        <w:rPr>
          <w:b/>
          <w:bCs/>
          <w:spacing w:val="-1"/>
          <w:lang w:val="fr-FR"/>
        </w:rPr>
        <w:t>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du processus de mise en œuvre du Programme de développement durable à l’horizon 2030.</w:t>
      </w:r>
      <w:r w:rsidRPr="00337E00">
        <w:rPr>
          <w:spacing w:val="-1"/>
          <w:lang w:val="fr-FR"/>
        </w:rPr>
        <w:t xml:space="preserve"> </w:t>
      </w:r>
      <w:r w:rsidRPr="00337E00">
        <w:rPr>
          <w:b/>
          <w:bCs/>
          <w:spacing w:val="-1"/>
          <w:lang w:val="fr-FR"/>
        </w:rPr>
        <w:t>Il le prie instamment de faire en sorte que les enfants participent activement à la conception et à l’application des politiques et des programmes les concernant qui visent à atteindre les 17 objectifs de développement durable.</w:t>
      </w:r>
    </w:p>
    <w:p w14:paraId="0CBCE787" w14:textId="7AE4758F" w:rsidR="009576FC" w:rsidRPr="00AC4E01" w:rsidRDefault="009576FC" w:rsidP="009576FC">
      <w:pPr>
        <w:pStyle w:val="H1G"/>
        <w:rPr>
          <w:lang w:val="fr-FR"/>
        </w:rPr>
      </w:pPr>
      <w:r>
        <w:rPr>
          <w:lang w:val="fr-FR"/>
        </w:rPr>
        <w:tab/>
      </w:r>
      <w:r w:rsidRPr="00AC4E01">
        <w:rPr>
          <w:lang w:val="fr-FR"/>
        </w:rPr>
        <w:t>A.</w:t>
      </w:r>
      <w:r w:rsidRPr="00AC4E01">
        <w:rPr>
          <w:lang w:val="fr-FR"/>
        </w:rPr>
        <w:tab/>
        <w:t>Mesures d</w:t>
      </w:r>
      <w:r>
        <w:rPr>
          <w:lang w:val="fr-FR"/>
        </w:rPr>
        <w:t>’</w:t>
      </w:r>
      <w:r w:rsidRPr="00AC4E01">
        <w:rPr>
          <w:lang w:val="fr-FR"/>
        </w:rPr>
        <w:t>application générales (art. 4, 42 et 44 (par. 6))</w:t>
      </w:r>
    </w:p>
    <w:p w14:paraId="460AEB80"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Législation</w:t>
      </w:r>
    </w:p>
    <w:p w14:paraId="2BF975F4" w14:textId="297EE364" w:rsidR="009576FC" w:rsidRPr="00AC4E01" w:rsidRDefault="009576FC" w:rsidP="009576FC">
      <w:pPr>
        <w:pStyle w:val="SingleTxtG"/>
        <w:rPr>
          <w:b/>
          <w:lang w:val="fr-FR"/>
        </w:rPr>
      </w:pPr>
      <w:r w:rsidRPr="00AC4E01">
        <w:rPr>
          <w:lang w:val="fr-FR"/>
        </w:rPr>
        <w:t>6.</w:t>
      </w:r>
      <w:r w:rsidRPr="00AC4E01">
        <w:rPr>
          <w:lang w:val="fr-FR"/>
        </w:rPr>
        <w:tab/>
      </w:r>
      <w:r w:rsidRPr="00AC4E01">
        <w:rPr>
          <w:b/>
          <w:bCs/>
          <w:lang w:val="fr-FR"/>
        </w:rPr>
        <w:t>Le Comité recommande à l</w:t>
      </w:r>
      <w:r>
        <w:rPr>
          <w:b/>
          <w:bCs/>
          <w:lang w:val="fr-FR"/>
        </w:rPr>
        <w:t>’</w:t>
      </w:r>
      <w:r w:rsidRPr="00AC4E01">
        <w:rPr>
          <w:b/>
          <w:bCs/>
          <w:lang w:val="fr-FR"/>
        </w:rPr>
        <w:t xml:space="preserve">État partie de </w:t>
      </w:r>
      <w:r>
        <w:rPr>
          <w:b/>
          <w:bCs/>
          <w:lang w:val="fr-FR"/>
        </w:rPr>
        <w:t>redoubler d’efforts</w:t>
      </w:r>
      <w:r w:rsidRPr="00AC4E01">
        <w:rPr>
          <w:b/>
          <w:bCs/>
          <w:lang w:val="fr-FR"/>
        </w:rPr>
        <w:t xml:space="preserve"> pour intégrer expressément les droits de l</w:t>
      </w:r>
      <w:r>
        <w:rPr>
          <w:b/>
          <w:bCs/>
          <w:lang w:val="fr-FR"/>
        </w:rPr>
        <w:t>’</w:t>
      </w:r>
      <w:r w:rsidRPr="00AC4E01">
        <w:rPr>
          <w:b/>
          <w:bCs/>
          <w:lang w:val="fr-FR"/>
        </w:rPr>
        <w:t>enfant dans la Loi fondamentale.</w:t>
      </w:r>
    </w:p>
    <w:p w14:paraId="1C2ECD10" w14:textId="77777777" w:rsidR="009576FC" w:rsidRPr="00AC4E01" w:rsidRDefault="009576FC" w:rsidP="009576FC">
      <w:pPr>
        <w:pStyle w:val="H23G"/>
        <w:spacing w:line="240" w:lineRule="atLeast"/>
        <w:rPr>
          <w:b w:val="0"/>
          <w:lang w:val="fr-FR"/>
        </w:rPr>
      </w:pPr>
      <w:r w:rsidRPr="00AC4E01">
        <w:rPr>
          <w:lang w:val="fr-FR"/>
        </w:rPr>
        <w:tab/>
      </w:r>
      <w:r w:rsidRPr="00AC4E01">
        <w:rPr>
          <w:lang w:val="fr-FR"/>
        </w:rPr>
        <w:tab/>
      </w:r>
      <w:r w:rsidRPr="00AC4E01">
        <w:rPr>
          <w:bCs/>
          <w:lang w:val="fr-FR"/>
        </w:rPr>
        <w:t>Politique et stratégie globales</w:t>
      </w:r>
    </w:p>
    <w:p w14:paraId="4A7D93DD" w14:textId="1DB9395F" w:rsidR="009576FC" w:rsidRPr="00AC4E01" w:rsidRDefault="009576FC" w:rsidP="009576FC">
      <w:pPr>
        <w:pStyle w:val="SingleTxtG"/>
        <w:rPr>
          <w:b/>
          <w:bCs/>
          <w:lang w:val="fr-FR"/>
        </w:rPr>
      </w:pPr>
      <w:r w:rsidRPr="00AC4E01">
        <w:rPr>
          <w:lang w:val="fr-FR"/>
        </w:rPr>
        <w:t>7.</w:t>
      </w:r>
      <w:r w:rsidRPr="00AC4E01">
        <w:rPr>
          <w:lang w:val="fr-FR"/>
        </w:rPr>
        <w:tab/>
      </w:r>
      <w:r w:rsidRPr="00AC4E01">
        <w:rPr>
          <w:b/>
          <w:bCs/>
          <w:lang w:val="fr-FR"/>
        </w:rPr>
        <w:t>Le Comité prend note des diverses stratégies et mesures sectorielles relatives aux droits de l</w:t>
      </w:r>
      <w:r>
        <w:rPr>
          <w:b/>
          <w:bCs/>
          <w:lang w:val="fr-FR"/>
        </w:rPr>
        <w:t>’</w:t>
      </w:r>
      <w:r w:rsidRPr="00AC4E01">
        <w:rPr>
          <w:b/>
          <w:bCs/>
          <w:lang w:val="fr-FR"/>
        </w:rPr>
        <w:t>enfant adoptées au niveau fédéral</w:t>
      </w:r>
      <w:r>
        <w:rPr>
          <w:b/>
          <w:bCs/>
          <w:lang w:val="fr-FR"/>
        </w:rPr>
        <w:t xml:space="preserve"> et</w:t>
      </w:r>
      <w:r w:rsidRPr="00AC4E01">
        <w:rPr>
          <w:b/>
          <w:bCs/>
          <w:lang w:val="fr-FR"/>
        </w:rPr>
        <w:t xml:space="preserve"> au niveau des Länder et </w:t>
      </w:r>
      <w:r>
        <w:rPr>
          <w:b/>
          <w:bCs/>
          <w:lang w:val="fr-FR"/>
        </w:rPr>
        <w:t>des municipalités</w:t>
      </w:r>
      <w:r w:rsidRPr="00AC4E01">
        <w:rPr>
          <w:b/>
          <w:bCs/>
          <w:lang w:val="fr-FR"/>
        </w:rPr>
        <w:t>, mais il est d</w:t>
      </w:r>
      <w:r>
        <w:rPr>
          <w:b/>
          <w:bCs/>
          <w:lang w:val="fr-FR"/>
        </w:rPr>
        <w:t>’</w:t>
      </w:r>
      <w:r w:rsidRPr="00AC4E01">
        <w:rPr>
          <w:b/>
          <w:bCs/>
          <w:lang w:val="fr-FR"/>
        </w:rPr>
        <w:t>avis qu</w:t>
      </w:r>
      <w:r>
        <w:rPr>
          <w:b/>
          <w:bCs/>
          <w:lang w:val="fr-FR"/>
        </w:rPr>
        <w:t>’</w:t>
      </w:r>
      <w:r w:rsidRPr="00AC4E01">
        <w:rPr>
          <w:b/>
          <w:bCs/>
          <w:lang w:val="fr-FR"/>
        </w:rPr>
        <w:t>une politique et une stratégie globales relatives aux droits de l</w:t>
      </w:r>
      <w:r>
        <w:rPr>
          <w:b/>
          <w:bCs/>
          <w:lang w:val="fr-FR"/>
        </w:rPr>
        <w:t>’</w:t>
      </w:r>
      <w:r w:rsidRPr="00AC4E01">
        <w:rPr>
          <w:b/>
          <w:bCs/>
          <w:lang w:val="fr-FR"/>
        </w:rPr>
        <w:t>enfant qui seraient adoptées au niveau fédéral pourraient servir de base aux plans et aux stratégies adoptés au niveau des Länder et au niveau municipal. Rappelant sa précédente recommandation</w:t>
      </w:r>
      <w:r w:rsidRPr="009576FC">
        <w:rPr>
          <w:rStyle w:val="Appelnotedebasdep"/>
        </w:rPr>
        <w:footnoteReference w:id="6"/>
      </w:r>
      <w:r w:rsidRPr="00AC4E01">
        <w:rPr>
          <w:b/>
          <w:bCs/>
          <w:lang w:val="fr-FR"/>
        </w:rPr>
        <w:t xml:space="preserve">, </w:t>
      </w:r>
      <w:r>
        <w:rPr>
          <w:b/>
          <w:bCs/>
          <w:lang w:val="fr-FR"/>
        </w:rPr>
        <w:t>il</w:t>
      </w:r>
      <w:r w:rsidRPr="00AC4E01">
        <w:rPr>
          <w:b/>
          <w:bCs/>
          <w:lang w:val="fr-FR"/>
        </w:rPr>
        <w:t xml:space="preserve"> recommande à l</w:t>
      </w:r>
      <w:r>
        <w:rPr>
          <w:b/>
          <w:bCs/>
          <w:lang w:val="fr-FR"/>
        </w:rPr>
        <w:t>’</w:t>
      </w:r>
      <w:r w:rsidRPr="00AC4E01">
        <w:rPr>
          <w:b/>
          <w:bCs/>
          <w:lang w:val="fr-FR"/>
        </w:rPr>
        <w:t>État partie</w:t>
      </w:r>
      <w:r w:rsidR="00DE4710">
        <w:rPr>
          <w:b/>
          <w:bCs/>
          <w:lang w:val="fr-FR"/>
        </w:rPr>
        <w:t> </w:t>
      </w:r>
      <w:r w:rsidRPr="00AC4E01">
        <w:rPr>
          <w:b/>
          <w:bCs/>
          <w:lang w:val="fr-FR"/>
        </w:rPr>
        <w:t>:</w:t>
      </w:r>
    </w:p>
    <w:p w14:paraId="4E9E4FD7" w14:textId="64B70DA3" w:rsidR="009576FC" w:rsidRPr="00AC4E01" w:rsidRDefault="009576FC" w:rsidP="009576FC">
      <w:pPr>
        <w:pStyle w:val="SingleTxtG"/>
        <w:ind w:firstLine="567"/>
        <w:rPr>
          <w:b/>
          <w:bCs/>
          <w:lang w:val="fr-FR"/>
        </w:rPr>
      </w:pPr>
      <w:r w:rsidRPr="00AC4E01">
        <w:rPr>
          <w:b/>
          <w:bCs/>
          <w:lang w:val="fr-FR"/>
        </w:rPr>
        <w:t>a)</w:t>
      </w:r>
      <w:r w:rsidRPr="00AC4E01">
        <w:rPr>
          <w:b/>
          <w:bCs/>
          <w:lang w:val="fr-FR"/>
        </w:rPr>
        <w:tab/>
        <w:t>D</w:t>
      </w:r>
      <w:r>
        <w:rPr>
          <w:b/>
          <w:bCs/>
          <w:lang w:val="fr-FR"/>
        </w:rPr>
        <w:t>’</w:t>
      </w:r>
      <w:r w:rsidRPr="00AC4E01">
        <w:rPr>
          <w:b/>
          <w:bCs/>
          <w:lang w:val="fr-FR"/>
        </w:rPr>
        <w:t>élaborer et d</w:t>
      </w:r>
      <w:r>
        <w:rPr>
          <w:b/>
          <w:bCs/>
          <w:lang w:val="fr-FR"/>
        </w:rPr>
        <w:t>’</w:t>
      </w:r>
      <w:r w:rsidRPr="00AC4E01">
        <w:rPr>
          <w:b/>
          <w:bCs/>
          <w:lang w:val="fr-FR"/>
        </w:rPr>
        <w:t>adopter une politique globale en faveur de l</w:t>
      </w:r>
      <w:r>
        <w:rPr>
          <w:b/>
          <w:bCs/>
          <w:lang w:val="fr-FR"/>
        </w:rPr>
        <w:t>’</w:t>
      </w:r>
      <w:r w:rsidRPr="00AC4E01">
        <w:rPr>
          <w:b/>
          <w:bCs/>
          <w:lang w:val="fr-FR"/>
        </w:rPr>
        <w:t>enfance, qui couvre tous les domaines visés par la Convention et, sur la base de cette politique, de définir une stratégie de mise en œuvre à l</w:t>
      </w:r>
      <w:r>
        <w:rPr>
          <w:b/>
          <w:bCs/>
          <w:lang w:val="fr-FR"/>
        </w:rPr>
        <w:t>’</w:t>
      </w:r>
      <w:r w:rsidRPr="00AC4E01">
        <w:rPr>
          <w:b/>
          <w:bCs/>
          <w:lang w:val="fr-FR"/>
        </w:rPr>
        <w:t xml:space="preserve">échelle des Länder qui </w:t>
      </w:r>
      <w:r>
        <w:rPr>
          <w:b/>
          <w:bCs/>
          <w:lang w:val="fr-FR"/>
        </w:rPr>
        <w:t>soit dotée</w:t>
      </w:r>
      <w:r w:rsidRPr="00AC4E01">
        <w:rPr>
          <w:b/>
          <w:bCs/>
          <w:lang w:val="fr-FR"/>
        </w:rPr>
        <w:t xml:space="preserve"> de ressources humaines, techniques et financières suffisantes</w:t>
      </w:r>
      <w:r w:rsidR="00625BA5">
        <w:rPr>
          <w:b/>
          <w:bCs/>
          <w:lang w:val="fr-FR"/>
        </w:rPr>
        <w:t> </w:t>
      </w:r>
      <w:r w:rsidRPr="00AC4E01">
        <w:rPr>
          <w:b/>
          <w:bCs/>
          <w:lang w:val="fr-FR"/>
        </w:rPr>
        <w:t>;</w:t>
      </w:r>
    </w:p>
    <w:p w14:paraId="2A69BAAE" w14:textId="18726A3E" w:rsidR="009576FC" w:rsidRPr="00AC4E01" w:rsidRDefault="009576FC" w:rsidP="009576FC">
      <w:pPr>
        <w:pStyle w:val="SingleTxtG"/>
        <w:ind w:firstLine="567"/>
        <w:rPr>
          <w:b/>
          <w:bCs/>
          <w:lang w:val="fr-FR"/>
        </w:rPr>
      </w:pPr>
      <w:r w:rsidRPr="00AC4E01">
        <w:rPr>
          <w:b/>
          <w:bCs/>
          <w:lang w:val="fr-FR"/>
        </w:rPr>
        <w:t>b)</w:t>
      </w:r>
      <w:r w:rsidRPr="00AC4E01">
        <w:rPr>
          <w:b/>
          <w:bCs/>
          <w:lang w:val="fr-FR"/>
        </w:rPr>
        <w:tab/>
        <w:t xml:space="preserve">De veiller à ce que cette politique fournisse aux Länder des lignes directrices </w:t>
      </w:r>
      <w:r>
        <w:rPr>
          <w:b/>
          <w:bCs/>
          <w:lang w:val="fr-FR"/>
        </w:rPr>
        <w:t>aux fins de</w:t>
      </w:r>
      <w:r w:rsidRPr="00AC4E01">
        <w:rPr>
          <w:b/>
          <w:bCs/>
          <w:lang w:val="fr-FR"/>
        </w:rPr>
        <w:t xml:space="preserve"> </w:t>
      </w:r>
      <w:r>
        <w:rPr>
          <w:b/>
          <w:bCs/>
          <w:lang w:val="fr-FR"/>
        </w:rPr>
        <w:t>l’application</w:t>
      </w:r>
      <w:r w:rsidRPr="00AC4E01">
        <w:rPr>
          <w:b/>
          <w:bCs/>
          <w:lang w:val="fr-FR"/>
        </w:rPr>
        <w:t xml:space="preserve"> de la Convention et mette particulièrement l</w:t>
      </w:r>
      <w:r>
        <w:rPr>
          <w:b/>
          <w:bCs/>
          <w:lang w:val="fr-FR"/>
        </w:rPr>
        <w:t>’</w:t>
      </w:r>
      <w:r w:rsidRPr="00AC4E01">
        <w:rPr>
          <w:b/>
          <w:bCs/>
          <w:lang w:val="fr-FR"/>
        </w:rPr>
        <w:t>accent sur les enfants défavorisés, notamment les enfants demandeurs d</w:t>
      </w:r>
      <w:r>
        <w:rPr>
          <w:b/>
          <w:bCs/>
          <w:lang w:val="fr-FR"/>
        </w:rPr>
        <w:t>’</w:t>
      </w:r>
      <w:r w:rsidRPr="00AC4E01">
        <w:rPr>
          <w:b/>
          <w:bCs/>
          <w:lang w:val="fr-FR"/>
        </w:rPr>
        <w:t xml:space="preserve">asile, réfugiés ou migrants, les enfants appartenant à des groupes minoritaires, les enfants handicapés, les enfants lesbiennes, gays, bisexuels, transgenres et </w:t>
      </w:r>
      <w:proofErr w:type="spellStart"/>
      <w:r w:rsidRPr="00AC4E01">
        <w:rPr>
          <w:b/>
          <w:bCs/>
          <w:lang w:val="fr-FR"/>
        </w:rPr>
        <w:t>intersexes</w:t>
      </w:r>
      <w:proofErr w:type="spellEnd"/>
      <w:r w:rsidRPr="00AC4E01">
        <w:rPr>
          <w:b/>
          <w:bCs/>
          <w:lang w:val="fr-FR"/>
        </w:rPr>
        <w:t xml:space="preserve">, ainsi que les enfants défavorisés sur le plan </w:t>
      </w:r>
      <w:proofErr w:type="spellStart"/>
      <w:r w:rsidRPr="00AC4E01">
        <w:rPr>
          <w:b/>
          <w:bCs/>
          <w:lang w:val="fr-FR"/>
        </w:rPr>
        <w:t>socioéconomique</w:t>
      </w:r>
      <w:proofErr w:type="spellEnd"/>
      <w:r w:rsidRPr="00AC4E01">
        <w:rPr>
          <w:b/>
          <w:bCs/>
          <w:lang w:val="fr-FR"/>
        </w:rPr>
        <w:t>.</w:t>
      </w:r>
    </w:p>
    <w:p w14:paraId="352B7B4E" w14:textId="77777777" w:rsidR="009576FC" w:rsidRPr="00AC4E01" w:rsidRDefault="009576FC" w:rsidP="009576FC">
      <w:pPr>
        <w:pStyle w:val="H23G"/>
        <w:spacing w:line="240" w:lineRule="atLeast"/>
        <w:rPr>
          <w:bCs/>
          <w:lang w:val="fr-FR"/>
        </w:rPr>
      </w:pPr>
      <w:r w:rsidRPr="00AC4E01">
        <w:rPr>
          <w:bCs/>
          <w:lang w:val="fr-FR"/>
        </w:rPr>
        <w:tab/>
      </w:r>
      <w:r w:rsidRPr="00AC4E01">
        <w:rPr>
          <w:bCs/>
          <w:lang w:val="fr-FR"/>
        </w:rPr>
        <w:tab/>
        <w:t>Coordination</w:t>
      </w:r>
    </w:p>
    <w:p w14:paraId="60262DDC" w14:textId="5FE642D5" w:rsidR="009576FC" w:rsidRPr="00AC4E01" w:rsidRDefault="009576FC" w:rsidP="009576FC">
      <w:pPr>
        <w:pStyle w:val="SingleTxtG"/>
        <w:rPr>
          <w:b/>
          <w:bCs/>
          <w:lang w:val="fr-FR"/>
        </w:rPr>
      </w:pPr>
      <w:r w:rsidRPr="00337E00">
        <w:rPr>
          <w:lang w:val="fr-FR"/>
        </w:rPr>
        <w:t>8.</w:t>
      </w:r>
      <w:r w:rsidRPr="00AC4E01">
        <w:rPr>
          <w:b/>
          <w:bCs/>
          <w:lang w:val="fr-FR"/>
        </w:rPr>
        <w:tab/>
        <w:t>Rappelant sa précédente recommandation</w:t>
      </w:r>
      <w:r w:rsidRPr="009576FC">
        <w:rPr>
          <w:rStyle w:val="Appelnotedebasdep"/>
        </w:rPr>
        <w:footnoteReference w:id="7"/>
      </w:r>
      <w:r w:rsidRPr="00AC4E01">
        <w:rPr>
          <w:b/>
          <w:bCs/>
          <w:lang w:val="fr-FR"/>
        </w:rPr>
        <w:t>, le Comité recommande à l</w:t>
      </w:r>
      <w:r>
        <w:rPr>
          <w:b/>
          <w:bCs/>
          <w:lang w:val="fr-FR"/>
        </w:rPr>
        <w:t>’</w:t>
      </w:r>
      <w:r w:rsidRPr="00AC4E01">
        <w:rPr>
          <w:b/>
          <w:bCs/>
          <w:lang w:val="fr-FR"/>
        </w:rPr>
        <w:t>État partie de créer ou de désigner un organe fédéral, assorti de structures correspondantes au niveau des Länder, qui sera chargé d</w:t>
      </w:r>
      <w:r>
        <w:rPr>
          <w:b/>
          <w:bCs/>
          <w:lang w:val="fr-FR"/>
        </w:rPr>
        <w:t>’</w:t>
      </w:r>
      <w:r w:rsidRPr="00AC4E01">
        <w:rPr>
          <w:b/>
          <w:bCs/>
          <w:lang w:val="fr-FR"/>
        </w:rPr>
        <w:t xml:space="preserve">assurer un suivi et une coordination efficaces de toutes les activités liées à la mise en œuvre de la Convention dans tous les secteurs </w:t>
      </w:r>
      <w:r w:rsidR="00C25DD4">
        <w:rPr>
          <w:b/>
          <w:bCs/>
          <w:lang w:val="fr-FR"/>
        </w:rPr>
        <w:t>− </w:t>
      </w:r>
      <w:r w:rsidRPr="00AC4E01">
        <w:rPr>
          <w:b/>
          <w:bCs/>
          <w:lang w:val="fr-FR"/>
        </w:rPr>
        <w:t>que ce soit au niveau fédéral, au niveau des Länder ou au niveau des municipalités</w:t>
      </w:r>
      <w:r w:rsidR="00C25DD4">
        <w:rPr>
          <w:b/>
          <w:bCs/>
          <w:lang w:val="fr-FR"/>
        </w:rPr>
        <w:t> −</w:t>
      </w:r>
      <w:r w:rsidRPr="00AC4E01">
        <w:rPr>
          <w:b/>
          <w:bCs/>
          <w:lang w:val="fr-FR"/>
        </w:rPr>
        <w:t>, y compris la mise en œuvre des différentes stratégies sectorielles relatives aux droits de l</w:t>
      </w:r>
      <w:r>
        <w:rPr>
          <w:b/>
          <w:bCs/>
          <w:lang w:val="fr-FR"/>
        </w:rPr>
        <w:t>’</w:t>
      </w:r>
      <w:r w:rsidRPr="00AC4E01">
        <w:rPr>
          <w:b/>
          <w:bCs/>
          <w:lang w:val="fr-FR"/>
        </w:rPr>
        <w:t>enfant.</w:t>
      </w:r>
    </w:p>
    <w:p w14:paraId="33BA388C" w14:textId="75340C5D" w:rsidR="009576FC" w:rsidRPr="009576FC" w:rsidRDefault="009576FC" w:rsidP="009576FC">
      <w:pPr>
        <w:pStyle w:val="H23G"/>
      </w:pPr>
      <w:r w:rsidRPr="00AC4E01">
        <w:rPr>
          <w:lang w:val="fr-FR"/>
        </w:rPr>
        <w:tab/>
      </w:r>
      <w:r w:rsidRPr="00AC4E01">
        <w:rPr>
          <w:lang w:val="fr-FR"/>
        </w:rPr>
        <w:tab/>
        <w:t>Allocation de ressources</w:t>
      </w:r>
    </w:p>
    <w:p w14:paraId="0A1834B8" w14:textId="6BB99EFC" w:rsidR="009576FC" w:rsidRPr="00AC4E01" w:rsidRDefault="009576FC" w:rsidP="009576FC">
      <w:pPr>
        <w:pStyle w:val="SingleTxtG"/>
        <w:rPr>
          <w:b/>
          <w:bCs/>
          <w:lang w:val="fr-FR"/>
        </w:rPr>
      </w:pPr>
      <w:r w:rsidRPr="00337E00">
        <w:rPr>
          <w:lang w:val="fr-FR"/>
        </w:rPr>
        <w:t>9.</w:t>
      </w:r>
      <w:r w:rsidRPr="00AC4E01">
        <w:rPr>
          <w:b/>
          <w:bCs/>
          <w:lang w:val="fr-FR"/>
        </w:rPr>
        <w:tab/>
      </w:r>
      <w:r>
        <w:rPr>
          <w:b/>
          <w:bCs/>
          <w:lang w:val="fr-FR"/>
        </w:rPr>
        <w:t>Rappelant</w:t>
      </w:r>
      <w:r w:rsidRPr="00AC4E01">
        <w:rPr>
          <w:b/>
          <w:bCs/>
          <w:lang w:val="fr-FR"/>
        </w:rPr>
        <w:t xml:space="preserve"> son observation générale </w:t>
      </w:r>
      <w:r w:rsidR="00337E00" w:rsidRPr="00337E00">
        <w:rPr>
          <w:rFonts w:eastAsia="MS Mincho"/>
          <w:b/>
          <w:bCs/>
          <w:szCs w:val="22"/>
          <w:lang w:val="fr-FR"/>
        </w:rPr>
        <w:t>n</w:t>
      </w:r>
      <w:r w:rsidR="00337E00" w:rsidRPr="00337E00">
        <w:rPr>
          <w:rFonts w:eastAsia="MS Mincho"/>
          <w:b/>
          <w:bCs/>
          <w:szCs w:val="22"/>
          <w:vertAlign w:val="superscript"/>
          <w:lang w:val="fr-FR"/>
        </w:rPr>
        <w:t>o</w:t>
      </w:r>
      <w:r w:rsidR="00337E00">
        <w:rPr>
          <w:b/>
          <w:bCs/>
          <w:lang w:val="fr-FR"/>
        </w:rPr>
        <w:t> </w:t>
      </w:r>
      <w:r w:rsidRPr="00AC4E01">
        <w:rPr>
          <w:b/>
          <w:bCs/>
          <w:lang w:val="fr-FR"/>
        </w:rPr>
        <w:t>19 (2016) sur l</w:t>
      </w:r>
      <w:r>
        <w:rPr>
          <w:b/>
          <w:bCs/>
          <w:lang w:val="fr-FR"/>
        </w:rPr>
        <w:t>’</w:t>
      </w:r>
      <w:r w:rsidRPr="00AC4E01">
        <w:rPr>
          <w:b/>
          <w:bCs/>
          <w:lang w:val="fr-FR"/>
        </w:rPr>
        <w:t>élaboration des budgets publics aux fins de la réalisation des droits de l</w:t>
      </w:r>
      <w:r>
        <w:rPr>
          <w:b/>
          <w:bCs/>
          <w:lang w:val="fr-FR"/>
        </w:rPr>
        <w:t>’</w:t>
      </w:r>
      <w:r w:rsidRPr="00AC4E01">
        <w:rPr>
          <w:b/>
          <w:bCs/>
          <w:lang w:val="fr-FR"/>
        </w:rPr>
        <w:t>enfant, le Comité recommande à l</w:t>
      </w:r>
      <w:r>
        <w:rPr>
          <w:b/>
          <w:bCs/>
          <w:lang w:val="fr-FR"/>
        </w:rPr>
        <w:t>’</w:t>
      </w:r>
      <w:r w:rsidRPr="00AC4E01">
        <w:rPr>
          <w:b/>
          <w:bCs/>
          <w:lang w:val="fr-FR"/>
        </w:rPr>
        <w:t>État partie de mettre en place un processus budgétaire qui tienne compte des droits de l</w:t>
      </w:r>
      <w:r>
        <w:rPr>
          <w:b/>
          <w:bCs/>
          <w:lang w:val="fr-FR"/>
        </w:rPr>
        <w:t>’</w:t>
      </w:r>
      <w:r w:rsidRPr="00AC4E01">
        <w:rPr>
          <w:b/>
          <w:bCs/>
          <w:lang w:val="fr-FR"/>
        </w:rPr>
        <w:t>enfant et :</w:t>
      </w:r>
    </w:p>
    <w:p w14:paraId="5DAB32DC" w14:textId="3EAB1F1A" w:rsidR="009576FC" w:rsidRPr="00AC4E01" w:rsidRDefault="009576FC" w:rsidP="009576FC">
      <w:pPr>
        <w:pStyle w:val="SingleTxtG"/>
        <w:ind w:firstLine="567"/>
        <w:rPr>
          <w:b/>
          <w:bCs/>
          <w:lang w:val="fr-FR"/>
        </w:rPr>
      </w:pPr>
      <w:r w:rsidRPr="00AC4E01">
        <w:rPr>
          <w:b/>
          <w:bCs/>
          <w:lang w:val="fr-FR"/>
        </w:rPr>
        <w:t>a)</w:t>
      </w:r>
      <w:r w:rsidRPr="00AC4E01">
        <w:rPr>
          <w:b/>
          <w:bCs/>
          <w:lang w:val="fr-FR"/>
        </w:rPr>
        <w:tab/>
        <w:t>D</w:t>
      </w:r>
      <w:r>
        <w:rPr>
          <w:b/>
          <w:bCs/>
          <w:lang w:val="fr-FR"/>
        </w:rPr>
        <w:t>’</w:t>
      </w:r>
      <w:r w:rsidRPr="00AC4E01">
        <w:rPr>
          <w:b/>
          <w:bCs/>
          <w:lang w:val="fr-FR"/>
        </w:rPr>
        <w:t>instaurer un système de suivi pour l</w:t>
      </w:r>
      <w:r>
        <w:rPr>
          <w:b/>
          <w:bCs/>
          <w:lang w:val="fr-FR"/>
        </w:rPr>
        <w:t>’</w:t>
      </w:r>
      <w:r w:rsidRPr="00AC4E01">
        <w:rPr>
          <w:b/>
          <w:bCs/>
          <w:lang w:val="fr-FR"/>
        </w:rPr>
        <w:t>allocation, l</w:t>
      </w:r>
      <w:r>
        <w:rPr>
          <w:b/>
          <w:bCs/>
          <w:lang w:val="fr-FR"/>
        </w:rPr>
        <w:t>’</w:t>
      </w:r>
      <w:r w:rsidRPr="00AC4E01">
        <w:rPr>
          <w:b/>
          <w:bCs/>
          <w:lang w:val="fr-FR"/>
        </w:rPr>
        <w:t>utilisation et le contrôle des ressources destinées aux enfants dans l</w:t>
      </w:r>
      <w:r>
        <w:rPr>
          <w:b/>
          <w:bCs/>
          <w:lang w:val="fr-FR"/>
        </w:rPr>
        <w:t>’</w:t>
      </w:r>
      <w:r w:rsidRPr="00AC4E01">
        <w:rPr>
          <w:b/>
          <w:bCs/>
          <w:lang w:val="fr-FR"/>
        </w:rPr>
        <w:t xml:space="preserve">ensemble des Länder et des </w:t>
      </w:r>
      <w:r w:rsidRPr="00AC4E01">
        <w:rPr>
          <w:b/>
          <w:bCs/>
          <w:lang w:val="fr-FR"/>
        </w:rPr>
        <w:lastRenderedPageBreak/>
        <w:t>municipalités et d</w:t>
      </w:r>
      <w:r>
        <w:rPr>
          <w:b/>
          <w:bCs/>
          <w:lang w:val="fr-FR"/>
        </w:rPr>
        <w:t>’</w:t>
      </w:r>
      <w:r w:rsidRPr="00AC4E01">
        <w:rPr>
          <w:b/>
          <w:bCs/>
          <w:lang w:val="fr-FR"/>
        </w:rPr>
        <w:t>évaluer la manière dont les investissements faits dans tous les secteurs servent l</w:t>
      </w:r>
      <w:r>
        <w:rPr>
          <w:b/>
          <w:bCs/>
          <w:lang w:val="fr-FR"/>
        </w:rPr>
        <w:t>’</w:t>
      </w:r>
      <w:r w:rsidRPr="00AC4E01">
        <w:rPr>
          <w:b/>
          <w:bCs/>
          <w:lang w:val="fr-FR"/>
        </w:rPr>
        <w:t>intérêt supérieur de l</w:t>
      </w:r>
      <w:r>
        <w:rPr>
          <w:b/>
          <w:bCs/>
          <w:lang w:val="fr-FR"/>
        </w:rPr>
        <w:t>’</w:t>
      </w:r>
      <w:r w:rsidRPr="00AC4E01">
        <w:rPr>
          <w:b/>
          <w:bCs/>
          <w:lang w:val="fr-FR"/>
        </w:rPr>
        <w:t>enfant ;</w:t>
      </w:r>
    </w:p>
    <w:p w14:paraId="0BCB0EB9" w14:textId="77777777" w:rsidR="009576FC" w:rsidRPr="00AC4E01" w:rsidRDefault="009576FC" w:rsidP="009576FC">
      <w:pPr>
        <w:pStyle w:val="SingleTxtG"/>
        <w:ind w:firstLine="567"/>
        <w:rPr>
          <w:b/>
          <w:bCs/>
          <w:lang w:val="fr-FR"/>
        </w:rPr>
      </w:pPr>
      <w:r w:rsidRPr="00337E00">
        <w:rPr>
          <w:b/>
          <w:bCs/>
          <w:lang w:val="fr-FR"/>
        </w:rPr>
        <w:t>b)</w:t>
      </w:r>
      <w:r w:rsidRPr="00337E00">
        <w:rPr>
          <w:b/>
          <w:bCs/>
          <w:lang w:val="fr-FR"/>
        </w:rPr>
        <w:tab/>
        <w:t>De mettre en place, au niveau fédéral et au niveau des Länder et des municipalités, des processus budgétaires transparents et participatifs auxquels la société civile,</w:t>
      </w:r>
      <w:r w:rsidRPr="00AC4E01">
        <w:rPr>
          <w:b/>
          <w:bCs/>
          <w:lang w:val="fr-FR"/>
        </w:rPr>
        <w:t xml:space="preserve"> le public et les enfants puissent véritablement participer.</w:t>
      </w:r>
    </w:p>
    <w:p w14:paraId="080078CC"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Collecte de données</w:t>
      </w:r>
    </w:p>
    <w:p w14:paraId="1526D652" w14:textId="0ECCD8D9" w:rsidR="009576FC" w:rsidRPr="00AC4E01" w:rsidRDefault="009576FC" w:rsidP="009576FC">
      <w:pPr>
        <w:pStyle w:val="SingleTxtG"/>
        <w:rPr>
          <w:lang w:val="fr-FR"/>
        </w:rPr>
      </w:pPr>
      <w:r w:rsidRPr="00AC4E01">
        <w:rPr>
          <w:lang w:val="fr-FR"/>
        </w:rPr>
        <w:t>10.</w:t>
      </w:r>
      <w:r w:rsidRPr="00AC4E01">
        <w:rPr>
          <w:lang w:val="fr-FR"/>
        </w:rPr>
        <w:tab/>
      </w:r>
      <w:r w:rsidRPr="00AC4E01">
        <w:rPr>
          <w:b/>
          <w:bCs/>
          <w:lang w:val="fr-FR"/>
        </w:rPr>
        <w:t xml:space="preserve">Le Comité </w:t>
      </w:r>
      <w:r>
        <w:rPr>
          <w:b/>
          <w:bCs/>
          <w:lang w:val="fr-FR"/>
        </w:rPr>
        <w:t>prend note avec satisfaction du</w:t>
      </w:r>
      <w:r w:rsidRPr="00AC4E01">
        <w:rPr>
          <w:b/>
          <w:bCs/>
          <w:lang w:val="fr-FR"/>
        </w:rPr>
        <w:t xml:space="preserve"> grand nombre de données disponibles, dont seule une partie a été mise à sa disposition, mais il observe que des lacunes subsistent dans certains domaines relevant de la Convention.</w:t>
      </w:r>
      <w:r w:rsidRPr="00AC4E01">
        <w:rPr>
          <w:lang w:val="fr-FR"/>
        </w:rPr>
        <w:t xml:space="preserve"> </w:t>
      </w:r>
      <w:r w:rsidRPr="00AC4E01">
        <w:rPr>
          <w:b/>
          <w:bCs/>
          <w:lang w:val="fr-FR"/>
        </w:rPr>
        <w:t>Il recommande à l</w:t>
      </w:r>
      <w:r>
        <w:rPr>
          <w:b/>
          <w:bCs/>
          <w:lang w:val="fr-FR"/>
        </w:rPr>
        <w:t>’</w:t>
      </w:r>
      <w:r w:rsidRPr="00AC4E01">
        <w:rPr>
          <w:b/>
          <w:bCs/>
          <w:lang w:val="fr-FR"/>
        </w:rPr>
        <w:t>État partie</w:t>
      </w:r>
      <w:r>
        <w:rPr>
          <w:b/>
          <w:bCs/>
          <w:lang w:val="fr-FR"/>
        </w:rPr>
        <w:t> </w:t>
      </w:r>
      <w:r w:rsidRPr="00AC4E01">
        <w:rPr>
          <w:b/>
          <w:bCs/>
          <w:lang w:val="fr-FR"/>
        </w:rPr>
        <w:t>:</w:t>
      </w:r>
    </w:p>
    <w:p w14:paraId="0DF8C1B6" w14:textId="77777777" w:rsidR="009576FC" w:rsidRPr="009576FC" w:rsidRDefault="009576FC" w:rsidP="009576FC">
      <w:pPr>
        <w:pStyle w:val="SingleTxtG"/>
        <w:ind w:firstLine="567"/>
        <w:rPr>
          <w:b/>
          <w:bCs/>
          <w:lang w:val="fr-FR"/>
        </w:rPr>
      </w:pPr>
      <w:r w:rsidRPr="009576FC">
        <w:rPr>
          <w:b/>
          <w:bCs/>
          <w:lang w:val="fr-FR"/>
        </w:rPr>
        <w:t>a)</w:t>
      </w:r>
      <w:r w:rsidRPr="009576FC">
        <w:rPr>
          <w:b/>
          <w:bCs/>
          <w:lang w:val="fr-FR"/>
        </w:rPr>
        <w:tab/>
        <w:t xml:space="preserve">De renforcer son système de collecte de données en ce qui concerne les indicateurs qualitatifs comme les indicateurs quantitatifs pour tous les domaines visés par la Convention, et de veiller à ce que les données soient ventilées par âge, sexe, handicap, situation géographique, origine ethnique, nationalité et milieu </w:t>
      </w:r>
      <w:proofErr w:type="spellStart"/>
      <w:r w:rsidRPr="009576FC">
        <w:rPr>
          <w:b/>
          <w:bCs/>
          <w:lang w:val="fr-FR"/>
        </w:rPr>
        <w:t>socioéconomique</w:t>
      </w:r>
      <w:proofErr w:type="spellEnd"/>
      <w:r w:rsidRPr="009576FC">
        <w:rPr>
          <w:b/>
          <w:bCs/>
          <w:lang w:val="fr-FR"/>
        </w:rPr>
        <w:t xml:space="preserve"> ;</w:t>
      </w:r>
    </w:p>
    <w:p w14:paraId="1B2C2641" w14:textId="5FB1CF7C" w:rsidR="009576FC" w:rsidRPr="009576FC" w:rsidRDefault="009576FC" w:rsidP="009576FC">
      <w:pPr>
        <w:pStyle w:val="SingleTxtG"/>
        <w:ind w:firstLine="567"/>
        <w:rPr>
          <w:b/>
          <w:bCs/>
          <w:lang w:val="fr-FR"/>
        </w:rPr>
      </w:pPr>
      <w:r w:rsidRPr="009576FC">
        <w:rPr>
          <w:b/>
          <w:bCs/>
          <w:lang w:val="fr-FR"/>
        </w:rPr>
        <w:t>b)</w:t>
      </w:r>
      <w:r w:rsidRPr="009576FC">
        <w:rPr>
          <w:b/>
          <w:bCs/>
          <w:lang w:val="fr-FR"/>
        </w:rPr>
        <w:tab/>
        <w:t>D’améliorer la collecte et l’analyse des données concernant la violence à l’égard des enfants, y compris la maltraitance et la négligence, l’exploitation sexuelle et la violence en ligne, ainsi que des données concernant la situation des enfants défavorisés, parmi lesquels les enfants faisant l’objet d’une protection de remplacement, les enfants sans titre de séjour et les enfants dont les parents sont incarcérés ;</w:t>
      </w:r>
    </w:p>
    <w:p w14:paraId="07C45BDE" w14:textId="4BD2F1B2" w:rsidR="009576FC" w:rsidRPr="00AC4E01" w:rsidRDefault="009576FC" w:rsidP="009576FC">
      <w:pPr>
        <w:pStyle w:val="SingleTxtG"/>
        <w:ind w:firstLine="567"/>
        <w:rPr>
          <w:lang w:val="fr-FR"/>
        </w:rPr>
      </w:pPr>
      <w:r w:rsidRPr="009576FC">
        <w:rPr>
          <w:b/>
          <w:bCs/>
          <w:lang w:val="fr-FR"/>
        </w:rPr>
        <w:t>c)</w:t>
      </w:r>
      <w:r w:rsidRPr="009576FC">
        <w:rPr>
          <w:b/>
          <w:bCs/>
          <w:lang w:val="fr-FR"/>
        </w:rPr>
        <w:tab/>
        <w:t>De veiller à ce que les données soient communiquées aux ministères et aux groupes professionnels</w:t>
      </w:r>
      <w:r w:rsidRPr="00AC4E01">
        <w:rPr>
          <w:b/>
          <w:bCs/>
          <w:lang w:val="fr-FR"/>
        </w:rPr>
        <w:t xml:space="preserve"> concernés et à la société civile et soient utilisées pour l</w:t>
      </w:r>
      <w:r>
        <w:rPr>
          <w:b/>
          <w:bCs/>
          <w:lang w:val="fr-FR"/>
        </w:rPr>
        <w:t>’</w:t>
      </w:r>
      <w:r w:rsidRPr="00AC4E01">
        <w:rPr>
          <w:b/>
          <w:bCs/>
          <w:lang w:val="fr-FR"/>
        </w:rPr>
        <w:t>évaluation des politiques et des projets relatifs aux droits de l</w:t>
      </w:r>
      <w:r>
        <w:rPr>
          <w:b/>
          <w:bCs/>
          <w:lang w:val="fr-FR"/>
        </w:rPr>
        <w:t>’</w:t>
      </w:r>
      <w:r w:rsidRPr="00AC4E01">
        <w:rPr>
          <w:b/>
          <w:bCs/>
          <w:lang w:val="fr-FR"/>
        </w:rPr>
        <w:t>enfant.</w:t>
      </w:r>
    </w:p>
    <w:p w14:paraId="1304F55F"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Mécanisme de suivi indépendant</w:t>
      </w:r>
    </w:p>
    <w:p w14:paraId="4045E6F3" w14:textId="7A8F7BFB" w:rsidR="009576FC" w:rsidRPr="00AC4E01" w:rsidRDefault="009576FC" w:rsidP="009576FC">
      <w:pPr>
        <w:pStyle w:val="SingleTxtG"/>
        <w:rPr>
          <w:lang w:val="fr-FR"/>
        </w:rPr>
      </w:pPr>
      <w:r w:rsidRPr="00AC4E01">
        <w:rPr>
          <w:lang w:val="fr-FR"/>
        </w:rPr>
        <w:t>11.</w:t>
      </w:r>
      <w:r w:rsidRPr="00AC4E01">
        <w:rPr>
          <w:lang w:val="fr-FR"/>
        </w:rPr>
        <w:tab/>
      </w:r>
      <w:r w:rsidRPr="00AC4E01">
        <w:rPr>
          <w:b/>
          <w:bCs/>
          <w:lang w:val="fr-FR"/>
        </w:rPr>
        <w:t>Le Comité se félicite de la mise en place en 2015, au sein de l</w:t>
      </w:r>
      <w:r>
        <w:rPr>
          <w:b/>
          <w:bCs/>
          <w:lang w:val="fr-FR"/>
        </w:rPr>
        <w:t>’</w:t>
      </w:r>
      <w:r w:rsidRPr="00AC4E01">
        <w:rPr>
          <w:b/>
          <w:bCs/>
          <w:lang w:val="fr-FR"/>
        </w:rPr>
        <w:t>Institut allemand des droits de l</w:t>
      </w:r>
      <w:r>
        <w:rPr>
          <w:b/>
          <w:bCs/>
          <w:lang w:val="fr-FR"/>
        </w:rPr>
        <w:t>’</w:t>
      </w:r>
      <w:r w:rsidRPr="00AC4E01">
        <w:rPr>
          <w:b/>
          <w:bCs/>
          <w:lang w:val="fr-FR"/>
        </w:rPr>
        <w:t>homme, d</w:t>
      </w:r>
      <w:r>
        <w:rPr>
          <w:b/>
          <w:bCs/>
          <w:lang w:val="fr-FR"/>
        </w:rPr>
        <w:t>’</w:t>
      </w:r>
      <w:r w:rsidRPr="00AC4E01">
        <w:rPr>
          <w:b/>
          <w:bCs/>
          <w:lang w:val="fr-FR"/>
        </w:rPr>
        <w:t xml:space="preserve">un mécanisme de suivi indépendant chargé de surveiller </w:t>
      </w:r>
      <w:r>
        <w:rPr>
          <w:b/>
          <w:bCs/>
          <w:lang w:val="fr-FR"/>
        </w:rPr>
        <w:t>l’application</w:t>
      </w:r>
      <w:r w:rsidRPr="00AC4E01">
        <w:rPr>
          <w:b/>
          <w:bCs/>
          <w:lang w:val="fr-FR"/>
        </w:rPr>
        <w:t xml:space="preserve"> de la Convention.</w:t>
      </w:r>
      <w:r w:rsidRPr="00AC4E01">
        <w:rPr>
          <w:lang w:val="fr-FR"/>
        </w:rPr>
        <w:t xml:space="preserve"> </w:t>
      </w:r>
      <w:r w:rsidRPr="00AC4E01">
        <w:rPr>
          <w:b/>
          <w:bCs/>
          <w:lang w:val="fr-FR"/>
        </w:rPr>
        <w:t xml:space="preserve">Il reste cependant préoccupé par </w:t>
      </w:r>
      <w:r>
        <w:rPr>
          <w:b/>
          <w:bCs/>
          <w:lang w:val="fr-FR"/>
        </w:rPr>
        <w:t>le fait qu’aucun</w:t>
      </w:r>
      <w:r w:rsidRPr="00AC4E01">
        <w:rPr>
          <w:b/>
          <w:bCs/>
          <w:lang w:val="fr-FR"/>
        </w:rPr>
        <w:t xml:space="preserve"> mécanisme de plainte adapté aux enfants </w:t>
      </w:r>
      <w:r>
        <w:rPr>
          <w:b/>
          <w:bCs/>
          <w:lang w:val="fr-FR"/>
        </w:rPr>
        <w:t>et couvrant</w:t>
      </w:r>
      <w:r w:rsidRPr="00AC4E01">
        <w:rPr>
          <w:b/>
          <w:bCs/>
          <w:lang w:val="fr-FR"/>
        </w:rPr>
        <w:t xml:space="preserve"> tous les domaines </w:t>
      </w:r>
      <w:r>
        <w:rPr>
          <w:b/>
          <w:bCs/>
          <w:lang w:val="fr-FR"/>
        </w:rPr>
        <w:t>visés par</w:t>
      </w:r>
      <w:r w:rsidRPr="00AC4E01">
        <w:rPr>
          <w:b/>
          <w:bCs/>
          <w:lang w:val="fr-FR"/>
        </w:rPr>
        <w:t xml:space="preserve"> la Convention </w:t>
      </w:r>
      <w:r>
        <w:rPr>
          <w:b/>
          <w:bCs/>
          <w:lang w:val="fr-FR"/>
        </w:rPr>
        <w:t xml:space="preserve">n’a été créé </w:t>
      </w:r>
      <w:r w:rsidRPr="00AC4E01">
        <w:rPr>
          <w:b/>
          <w:bCs/>
          <w:lang w:val="fr-FR"/>
        </w:rPr>
        <w:t>et regrette la position de l</w:t>
      </w:r>
      <w:r>
        <w:rPr>
          <w:b/>
          <w:bCs/>
          <w:lang w:val="fr-FR"/>
        </w:rPr>
        <w:t>’</w:t>
      </w:r>
      <w:r w:rsidRPr="00AC4E01">
        <w:rPr>
          <w:b/>
          <w:bCs/>
          <w:lang w:val="fr-FR"/>
        </w:rPr>
        <w:t>État partie selon laquelle un tel mécanisme n</w:t>
      </w:r>
      <w:r>
        <w:rPr>
          <w:b/>
          <w:bCs/>
          <w:lang w:val="fr-FR"/>
        </w:rPr>
        <w:t>’</w:t>
      </w:r>
      <w:r w:rsidRPr="00AC4E01">
        <w:rPr>
          <w:b/>
          <w:bCs/>
          <w:lang w:val="fr-FR"/>
        </w:rPr>
        <w:t>est pas nécessaire.</w:t>
      </w:r>
      <w:r w:rsidRPr="00AC4E01">
        <w:rPr>
          <w:lang w:val="fr-FR"/>
        </w:rPr>
        <w:t xml:space="preserve"> </w:t>
      </w:r>
      <w:r w:rsidRPr="00AC4E01">
        <w:rPr>
          <w:b/>
          <w:bCs/>
          <w:lang w:val="fr-FR"/>
        </w:rPr>
        <w:t>Il recommande à l</w:t>
      </w:r>
      <w:r>
        <w:rPr>
          <w:b/>
          <w:bCs/>
          <w:lang w:val="fr-FR"/>
        </w:rPr>
        <w:t>’</w:t>
      </w:r>
      <w:r w:rsidRPr="00AC4E01">
        <w:rPr>
          <w:b/>
          <w:bCs/>
          <w:lang w:val="fr-FR"/>
        </w:rPr>
        <w:t>État partie</w:t>
      </w:r>
      <w:r>
        <w:rPr>
          <w:b/>
          <w:bCs/>
          <w:lang w:val="fr-FR"/>
        </w:rPr>
        <w:t> </w:t>
      </w:r>
      <w:r w:rsidRPr="00AC4E01">
        <w:rPr>
          <w:b/>
          <w:bCs/>
          <w:lang w:val="fr-FR"/>
        </w:rPr>
        <w:t>:</w:t>
      </w:r>
    </w:p>
    <w:p w14:paraId="54B9BCE9" w14:textId="1F59A4C8" w:rsidR="009576FC" w:rsidRPr="00AC4E01" w:rsidRDefault="009576FC" w:rsidP="009576FC">
      <w:pPr>
        <w:pStyle w:val="SingleTxtG"/>
        <w:ind w:firstLine="567"/>
        <w:rPr>
          <w:b/>
          <w:bCs/>
          <w:lang w:val="fr-FR"/>
        </w:rPr>
      </w:pPr>
      <w:r w:rsidRPr="00AC4E01">
        <w:rPr>
          <w:b/>
          <w:bCs/>
          <w:lang w:val="fr-FR"/>
        </w:rPr>
        <w:t>a)</w:t>
      </w:r>
      <w:r w:rsidRPr="00AC4E01">
        <w:rPr>
          <w:b/>
          <w:bCs/>
          <w:lang w:val="fr-FR"/>
        </w:rPr>
        <w:tab/>
        <w:t xml:space="preserve">De </w:t>
      </w:r>
      <w:r>
        <w:rPr>
          <w:b/>
          <w:bCs/>
          <w:lang w:val="fr-FR"/>
        </w:rPr>
        <w:t>faire du</w:t>
      </w:r>
      <w:r w:rsidRPr="00AC4E01">
        <w:rPr>
          <w:b/>
          <w:bCs/>
          <w:lang w:val="fr-FR"/>
        </w:rPr>
        <w:t xml:space="preserve"> mécanisme de </w:t>
      </w:r>
      <w:r>
        <w:rPr>
          <w:b/>
          <w:bCs/>
          <w:lang w:val="fr-FR"/>
        </w:rPr>
        <w:t>surveillance de l’application</w:t>
      </w:r>
      <w:r w:rsidRPr="00AC4E01">
        <w:rPr>
          <w:b/>
          <w:bCs/>
          <w:lang w:val="fr-FR"/>
        </w:rPr>
        <w:t xml:space="preserve"> de la Convention </w:t>
      </w:r>
      <w:r>
        <w:rPr>
          <w:b/>
          <w:bCs/>
          <w:lang w:val="fr-FR"/>
        </w:rPr>
        <w:t xml:space="preserve">un mécanisme </w:t>
      </w:r>
      <w:r w:rsidRPr="00AC4E01">
        <w:rPr>
          <w:b/>
          <w:bCs/>
          <w:lang w:val="fr-FR"/>
        </w:rPr>
        <w:t xml:space="preserve">permanent </w:t>
      </w:r>
      <w:r>
        <w:rPr>
          <w:b/>
          <w:bCs/>
          <w:lang w:val="fr-FR"/>
        </w:rPr>
        <w:t xml:space="preserve">qui soit </w:t>
      </w:r>
      <w:r w:rsidRPr="00AC4E01">
        <w:rPr>
          <w:b/>
          <w:bCs/>
          <w:lang w:val="fr-FR"/>
        </w:rPr>
        <w:t xml:space="preserve">indépendant dans son financement et </w:t>
      </w:r>
      <w:r>
        <w:rPr>
          <w:b/>
          <w:bCs/>
          <w:lang w:val="fr-FR"/>
        </w:rPr>
        <w:t>soit chargé</w:t>
      </w:r>
      <w:r w:rsidRPr="00AC4E01">
        <w:rPr>
          <w:b/>
          <w:bCs/>
          <w:lang w:val="fr-FR"/>
        </w:rPr>
        <w:t xml:space="preserve"> de recevoir, d</w:t>
      </w:r>
      <w:r>
        <w:rPr>
          <w:b/>
          <w:bCs/>
          <w:lang w:val="fr-FR"/>
        </w:rPr>
        <w:t>’</w:t>
      </w:r>
      <w:r w:rsidRPr="00AC4E01">
        <w:rPr>
          <w:b/>
          <w:bCs/>
          <w:lang w:val="fr-FR"/>
        </w:rPr>
        <w:t xml:space="preserve">examiner et de traiter avec </w:t>
      </w:r>
      <w:r>
        <w:rPr>
          <w:b/>
          <w:bCs/>
          <w:lang w:val="fr-FR"/>
        </w:rPr>
        <w:t>efficacité et d’une manière adaptée aux besoins des enfants</w:t>
      </w:r>
      <w:r w:rsidRPr="00AC4E01">
        <w:rPr>
          <w:b/>
          <w:bCs/>
          <w:lang w:val="fr-FR"/>
        </w:rPr>
        <w:t xml:space="preserve"> les plaintes émanant d</w:t>
      </w:r>
      <w:r>
        <w:rPr>
          <w:b/>
          <w:bCs/>
          <w:lang w:val="fr-FR"/>
        </w:rPr>
        <w:t>’</w:t>
      </w:r>
      <w:r w:rsidRPr="00AC4E01">
        <w:rPr>
          <w:b/>
          <w:bCs/>
          <w:lang w:val="fr-FR"/>
        </w:rPr>
        <w:t>enfants</w:t>
      </w:r>
      <w:r>
        <w:rPr>
          <w:b/>
          <w:bCs/>
          <w:lang w:val="fr-FR"/>
        </w:rPr>
        <w:t> </w:t>
      </w:r>
      <w:r w:rsidRPr="00AC4E01">
        <w:rPr>
          <w:b/>
          <w:bCs/>
          <w:lang w:val="fr-FR"/>
        </w:rPr>
        <w:t>;</w:t>
      </w:r>
    </w:p>
    <w:p w14:paraId="74911F2B" w14:textId="77777777"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veiller à ce que tous les enfants soient informés de leur droit de déposer une plainte dans le cadre des mécanismes existants.</w:t>
      </w:r>
    </w:p>
    <w:p w14:paraId="7E659D5E"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Diffusion, sensibilisation et formation</w:t>
      </w:r>
    </w:p>
    <w:p w14:paraId="1B531CF5" w14:textId="2BC41702" w:rsidR="009576FC" w:rsidRPr="00AC4E01" w:rsidRDefault="009576FC" w:rsidP="009576FC">
      <w:pPr>
        <w:pStyle w:val="SingleTxtG"/>
        <w:rPr>
          <w:b/>
          <w:bCs/>
          <w:lang w:val="fr-FR"/>
        </w:rPr>
      </w:pPr>
      <w:r w:rsidRPr="00AC4E01">
        <w:rPr>
          <w:lang w:val="fr-FR"/>
        </w:rPr>
        <w:t>12.</w:t>
      </w:r>
      <w:r w:rsidRPr="00AC4E01">
        <w:rPr>
          <w:lang w:val="fr-FR"/>
        </w:rPr>
        <w:tab/>
      </w:r>
      <w:r w:rsidRPr="00AC4E01">
        <w:rPr>
          <w:b/>
          <w:bCs/>
          <w:lang w:val="fr-FR"/>
        </w:rPr>
        <w:t>Le Comité salue les efforts déployés par l</w:t>
      </w:r>
      <w:r>
        <w:rPr>
          <w:b/>
          <w:bCs/>
          <w:lang w:val="fr-FR"/>
        </w:rPr>
        <w:t>’</w:t>
      </w:r>
      <w:r w:rsidRPr="00AC4E01">
        <w:rPr>
          <w:b/>
          <w:bCs/>
          <w:lang w:val="fr-FR"/>
        </w:rPr>
        <w:t>État partie pour former les groupes professionnels concernés aux droits de l</w:t>
      </w:r>
      <w:r>
        <w:rPr>
          <w:b/>
          <w:bCs/>
          <w:lang w:val="fr-FR"/>
        </w:rPr>
        <w:t>’</w:t>
      </w:r>
      <w:r w:rsidRPr="00AC4E01">
        <w:rPr>
          <w:b/>
          <w:bCs/>
          <w:lang w:val="fr-FR"/>
        </w:rPr>
        <w:t>enfant et pour sensibiliser le public à ces droits, notamment la diffusion d</w:t>
      </w:r>
      <w:r>
        <w:rPr>
          <w:b/>
          <w:bCs/>
          <w:lang w:val="fr-FR"/>
        </w:rPr>
        <w:t>’</w:t>
      </w:r>
      <w:r w:rsidRPr="00AC4E01">
        <w:rPr>
          <w:b/>
          <w:bCs/>
          <w:lang w:val="fr-FR"/>
        </w:rPr>
        <w:t>une version adaptée aux enfants de son rapport valant cinquième et sixième rapports périodiques, mais il note avec préoccupation que cette formation n</w:t>
      </w:r>
      <w:r>
        <w:rPr>
          <w:b/>
          <w:bCs/>
          <w:lang w:val="fr-FR"/>
        </w:rPr>
        <w:t>’</w:t>
      </w:r>
      <w:r w:rsidRPr="00AC4E01">
        <w:rPr>
          <w:b/>
          <w:bCs/>
          <w:lang w:val="fr-FR"/>
        </w:rPr>
        <w:t xml:space="preserve">est pas systématique et que </w:t>
      </w:r>
      <w:r>
        <w:rPr>
          <w:b/>
          <w:bCs/>
          <w:lang w:val="fr-FR"/>
        </w:rPr>
        <w:t>les enfants connaissent mal</w:t>
      </w:r>
      <w:r w:rsidRPr="00AC4E01">
        <w:rPr>
          <w:b/>
          <w:bCs/>
          <w:lang w:val="fr-FR"/>
        </w:rPr>
        <w:t xml:space="preserve"> la Convention. Il</w:t>
      </w:r>
      <w:r w:rsidR="00B27BB7">
        <w:rPr>
          <w:b/>
          <w:bCs/>
          <w:lang w:val="fr-FR"/>
        </w:rPr>
        <w:t> </w:t>
      </w:r>
      <w:r w:rsidRPr="00AC4E01">
        <w:rPr>
          <w:b/>
          <w:bCs/>
          <w:lang w:val="fr-FR"/>
        </w:rPr>
        <w:t>recommande à l</w:t>
      </w:r>
      <w:r>
        <w:rPr>
          <w:b/>
          <w:bCs/>
          <w:lang w:val="fr-FR"/>
        </w:rPr>
        <w:t>’</w:t>
      </w:r>
      <w:r w:rsidRPr="00AC4E01">
        <w:rPr>
          <w:b/>
          <w:bCs/>
          <w:lang w:val="fr-FR"/>
        </w:rPr>
        <w:t>État partie</w:t>
      </w:r>
      <w:r w:rsidR="00B27BB7">
        <w:rPr>
          <w:b/>
          <w:bCs/>
          <w:lang w:val="fr-FR"/>
        </w:rPr>
        <w:t> </w:t>
      </w:r>
      <w:r w:rsidRPr="00AC4E01">
        <w:rPr>
          <w:b/>
          <w:bCs/>
          <w:lang w:val="fr-FR"/>
        </w:rPr>
        <w:t>:</w:t>
      </w:r>
    </w:p>
    <w:p w14:paraId="5E8A9594" w14:textId="287C6307"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poursuivre les activités de sensibilisation du public aux droits de l</w:t>
      </w:r>
      <w:r>
        <w:rPr>
          <w:b/>
          <w:bCs/>
          <w:lang w:val="fr-FR"/>
        </w:rPr>
        <w:t>’</w:t>
      </w:r>
      <w:r w:rsidRPr="00AC4E01">
        <w:rPr>
          <w:b/>
          <w:bCs/>
          <w:lang w:val="fr-FR"/>
        </w:rPr>
        <w:t>enfant et d</w:t>
      </w:r>
      <w:r>
        <w:rPr>
          <w:b/>
          <w:bCs/>
          <w:lang w:val="fr-FR"/>
        </w:rPr>
        <w:t>’</w:t>
      </w:r>
      <w:r w:rsidRPr="00AC4E01">
        <w:rPr>
          <w:b/>
          <w:bCs/>
          <w:lang w:val="fr-FR"/>
        </w:rPr>
        <w:t>encourager la participation active des enfants à ces activités</w:t>
      </w:r>
      <w:r w:rsidR="00B27BB7">
        <w:rPr>
          <w:b/>
          <w:bCs/>
          <w:lang w:val="fr-FR"/>
        </w:rPr>
        <w:t> </w:t>
      </w:r>
      <w:r w:rsidRPr="00AC4E01">
        <w:rPr>
          <w:b/>
          <w:bCs/>
          <w:lang w:val="fr-FR"/>
        </w:rPr>
        <w:t>;</w:t>
      </w:r>
    </w:p>
    <w:p w14:paraId="05993FE9" w14:textId="2B7D0DF8"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veiller à ce qu</w:t>
      </w:r>
      <w:r>
        <w:rPr>
          <w:b/>
          <w:bCs/>
          <w:lang w:val="fr-FR"/>
        </w:rPr>
        <w:t>’</w:t>
      </w:r>
      <w:r w:rsidRPr="00AC4E01">
        <w:rPr>
          <w:b/>
          <w:bCs/>
          <w:lang w:val="fr-FR"/>
        </w:rPr>
        <w:t>une formation systématique sur les droits de l</w:t>
      </w:r>
      <w:r>
        <w:rPr>
          <w:b/>
          <w:bCs/>
          <w:lang w:val="fr-FR"/>
        </w:rPr>
        <w:t>’</w:t>
      </w:r>
      <w:r w:rsidRPr="00AC4E01">
        <w:rPr>
          <w:b/>
          <w:bCs/>
          <w:lang w:val="fr-FR"/>
        </w:rPr>
        <w:t>enfant et sur la Convention et les Protocoles facultatifs s</w:t>
      </w:r>
      <w:r>
        <w:rPr>
          <w:b/>
          <w:bCs/>
          <w:lang w:val="fr-FR"/>
        </w:rPr>
        <w:t>’</w:t>
      </w:r>
      <w:r w:rsidRPr="00AC4E01">
        <w:rPr>
          <w:b/>
          <w:bCs/>
          <w:lang w:val="fr-FR"/>
        </w:rPr>
        <w:t>y rapportant soit dispensée à tous les professionnels qui travaillent au service ou au contact des enfants, en particulier à ceux qui travaillent dans les domaines de l</w:t>
      </w:r>
      <w:r>
        <w:rPr>
          <w:b/>
          <w:bCs/>
          <w:lang w:val="fr-FR"/>
        </w:rPr>
        <w:t>’</w:t>
      </w:r>
      <w:r w:rsidRPr="00AC4E01">
        <w:rPr>
          <w:b/>
          <w:bCs/>
          <w:lang w:val="fr-FR"/>
        </w:rPr>
        <w:t>éducation, du travail social, des migrations et de la justice ;</w:t>
      </w:r>
    </w:p>
    <w:p w14:paraId="63358BC2" w14:textId="7CFD0962" w:rsidR="009576FC" w:rsidRPr="00AC4E01" w:rsidRDefault="009576FC" w:rsidP="009576FC">
      <w:pPr>
        <w:pStyle w:val="SingleTxtG"/>
        <w:ind w:firstLine="567"/>
        <w:rPr>
          <w:lang w:val="fr-FR"/>
        </w:rPr>
      </w:pPr>
      <w:r w:rsidRPr="00AC4E01">
        <w:rPr>
          <w:b/>
          <w:bCs/>
          <w:lang w:val="fr-FR"/>
        </w:rPr>
        <w:lastRenderedPageBreak/>
        <w:t>c)</w:t>
      </w:r>
      <w:r w:rsidRPr="00AC4E01">
        <w:rPr>
          <w:b/>
          <w:bCs/>
          <w:lang w:val="fr-FR"/>
        </w:rPr>
        <w:tab/>
        <w:t>D</w:t>
      </w:r>
      <w:r>
        <w:rPr>
          <w:b/>
          <w:bCs/>
          <w:lang w:val="fr-FR"/>
        </w:rPr>
        <w:t>’</w:t>
      </w:r>
      <w:r w:rsidRPr="00AC4E01">
        <w:rPr>
          <w:b/>
          <w:bCs/>
          <w:lang w:val="fr-FR"/>
        </w:rPr>
        <w:t>intégrer l</w:t>
      </w:r>
      <w:r>
        <w:rPr>
          <w:b/>
          <w:bCs/>
          <w:lang w:val="fr-FR"/>
        </w:rPr>
        <w:t>’</w:t>
      </w:r>
      <w:r w:rsidRPr="00AC4E01">
        <w:rPr>
          <w:b/>
          <w:bCs/>
          <w:lang w:val="fr-FR"/>
        </w:rPr>
        <w:t>éducation aux droits de l</w:t>
      </w:r>
      <w:r>
        <w:rPr>
          <w:b/>
          <w:bCs/>
          <w:lang w:val="fr-FR"/>
        </w:rPr>
        <w:t>’</w:t>
      </w:r>
      <w:r w:rsidRPr="00AC4E01">
        <w:rPr>
          <w:b/>
          <w:bCs/>
          <w:lang w:val="fr-FR"/>
        </w:rPr>
        <w:t>homme dans les programmes d</w:t>
      </w:r>
      <w:r>
        <w:rPr>
          <w:b/>
          <w:bCs/>
          <w:lang w:val="fr-FR"/>
        </w:rPr>
        <w:t>’</w:t>
      </w:r>
      <w:r w:rsidRPr="00AC4E01">
        <w:rPr>
          <w:b/>
          <w:bCs/>
          <w:lang w:val="fr-FR"/>
        </w:rPr>
        <w:t xml:space="preserve">étude des groupes professionnels concernés et de </w:t>
      </w:r>
      <w:r>
        <w:rPr>
          <w:b/>
          <w:bCs/>
          <w:lang w:val="fr-FR"/>
        </w:rPr>
        <w:t>fournir</w:t>
      </w:r>
      <w:r w:rsidRPr="00AC4E01">
        <w:rPr>
          <w:b/>
          <w:bCs/>
          <w:lang w:val="fr-FR"/>
        </w:rPr>
        <w:t xml:space="preserve"> un soutien financier et des incitations </w:t>
      </w:r>
      <w:r>
        <w:rPr>
          <w:b/>
          <w:bCs/>
          <w:lang w:val="fr-FR"/>
        </w:rPr>
        <w:t>pour favoriser</w:t>
      </w:r>
      <w:r w:rsidRPr="00AC4E01">
        <w:rPr>
          <w:b/>
          <w:bCs/>
          <w:lang w:val="fr-FR"/>
        </w:rPr>
        <w:t xml:space="preserve"> la recherche dans le domaine de l</w:t>
      </w:r>
      <w:r>
        <w:rPr>
          <w:b/>
          <w:bCs/>
          <w:lang w:val="fr-FR"/>
        </w:rPr>
        <w:t>’</w:t>
      </w:r>
      <w:r w:rsidRPr="00AC4E01">
        <w:rPr>
          <w:b/>
          <w:bCs/>
          <w:lang w:val="fr-FR"/>
        </w:rPr>
        <w:t>éducation aux droits de l</w:t>
      </w:r>
      <w:r>
        <w:rPr>
          <w:b/>
          <w:bCs/>
          <w:lang w:val="fr-FR"/>
        </w:rPr>
        <w:t>’</w:t>
      </w:r>
      <w:r w:rsidRPr="00AC4E01">
        <w:rPr>
          <w:b/>
          <w:bCs/>
          <w:lang w:val="fr-FR"/>
        </w:rPr>
        <w:t>homme</w:t>
      </w:r>
      <w:r>
        <w:rPr>
          <w:b/>
          <w:bCs/>
          <w:lang w:val="fr-FR"/>
        </w:rPr>
        <w:t xml:space="preserve"> destinée aux groupes professionnels concernés</w:t>
      </w:r>
      <w:r w:rsidRPr="00AC4E01">
        <w:rPr>
          <w:b/>
          <w:bCs/>
          <w:lang w:val="fr-FR"/>
        </w:rPr>
        <w:t>.</w:t>
      </w:r>
    </w:p>
    <w:p w14:paraId="183F8192"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Coopération internationale</w:t>
      </w:r>
    </w:p>
    <w:p w14:paraId="575A8DB0" w14:textId="797B0FC8" w:rsidR="009576FC" w:rsidRPr="00AC4E01" w:rsidRDefault="009576FC" w:rsidP="009576FC">
      <w:pPr>
        <w:pStyle w:val="SingleTxtG"/>
        <w:rPr>
          <w:b/>
          <w:bCs/>
          <w:lang w:val="fr-FR"/>
        </w:rPr>
      </w:pPr>
      <w:r w:rsidRPr="00AC4E01">
        <w:rPr>
          <w:lang w:val="fr-FR"/>
        </w:rPr>
        <w:t>13.</w:t>
      </w:r>
      <w:r w:rsidRPr="00AC4E01">
        <w:rPr>
          <w:lang w:val="fr-FR"/>
        </w:rPr>
        <w:tab/>
      </w:r>
      <w:r w:rsidRPr="00AC4E01">
        <w:rPr>
          <w:b/>
          <w:bCs/>
          <w:lang w:val="fr-FR"/>
        </w:rPr>
        <w:t>Le Comité félicite l</w:t>
      </w:r>
      <w:r>
        <w:rPr>
          <w:b/>
          <w:bCs/>
          <w:lang w:val="fr-FR"/>
        </w:rPr>
        <w:t>’</w:t>
      </w:r>
      <w:r w:rsidRPr="00AC4E01">
        <w:rPr>
          <w:b/>
          <w:bCs/>
          <w:lang w:val="fr-FR"/>
        </w:rPr>
        <w:t>État partie d</w:t>
      </w:r>
      <w:r>
        <w:rPr>
          <w:b/>
          <w:bCs/>
          <w:lang w:val="fr-FR"/>
        </w:rPr>
        <w:t>’</w:t>
      </w:r>
      <w:r w:rsidRPr="00AC4E01">
        <w:rPr>
          <w:b/>
          <w:bCs/>
          <w:lang w:val="fr-FR"/>
        </w:rPr>
        <w:t>avoir atteint l</w:t>
      </w:r>
      <w:r>
        <w:rPr>
          <w:b/>
          <w:bCs/>
          <w:lang w:val="fr-FR"/>
        </w:rPr>
        <w:t>’</w:t>
      </w:r>
      <w:r w:rsidRPr="00AC4E01">
        <w:rPr>
          <w:b/>
          <w:bCs/>
          <w:lang w:val="fr-FR"/>
        </w:rPr>
        <w:t>objectif convenu au niveau international d</w:t>
      </w:r>
      <w:r>
        <w:rPr>
          <w:b/>
          <w:bCs/>
          <w:lang w:val="fr-FR"/>
        </w:rPr>
        <w:t>’</w:t>
      </w:r>
      <w:r w:rsidRPr="00AC4E01">
        <w:rPr>
          <w:b/>
          <w:bCs/>
          <w:lang w:val="fr-FR"/>
        </w:rPr>
        <w:t>allouer 0,7</w:t>
      </w:r>
      <w:r>
        <w:rPr>
          <w:b/>
          <w:bCs/>
          <w:lang w:val="fr-FR"/>
        </w:rPr>
        <w:t> </w:t>
      </w:r>
      <w:r w:rsidRPr="00AC4E01">
        <w:rPr>
          <w:b/>
          <w:bCs/>
          <w:lang w:val="fr-FR"/>
        </w:rPr>
        <w:t>% du revenu national brut à l</w:t>
      </w:r>
      <w:r>
        <w:rPr>
          <w:b/>
          <w:bCs/>
          <w:lang w:val="fr-FR"/>
        </w:rPr>
        <w:t>’</w:t>
      </w:r>
      <w:r w:rsidRPr="00AC4E01">
        <w:rPr>
          <w:b/>
          <w:bCs/>
          <w:lang w:val="fr-FR"/>
        </w:rPr>
        <w:t xml:space="preserve">aide publique au développement en 2020 et 2021, et </w:t>
      </w:r>
      <w:r>
        <w:rPr>
          <w:b/>
          <w:bCs/>
          <w:lang w:val="fr-FR"/>
        </w:rPr>
        <w:t xml:space="preserve">prend </w:t>
      </w:r>
      <w:r w:rsidRPr="00AC4E01">
        <w:rPr>
          <w:b/>
          <w:bCs/>
          <w:lang w:val="fr-FR"/>
        </w:rPr>
        <w:t xml:space="preserve">note avec satisfaction </w:t>
      </w:r>
      <w:r>
        <w:rPr>
          <w:b/>
          <w:bCs/>
          <w:lang w:val="fr-FR"/>
        </w:rPr>
        <w:t xml:space="preserve">de </w:t>
      </w:r>
      <w:r w:rsidRPr="00AC4E01">
        <w:rPr>
          <w:b/>
          <w:bCs/>
          <w:lang w:val="fr-FR"/>
        </w:rPr>
        <w:t>l</w:t>
      </w:r>
      <w:r>
        <w:rPr>
          <w:b/>
          <w:bCs/>
          <w:lang w:val="fr-FR"/>
        </w:rPr>
        <w:t>’</w:t>
      </w:r>
      <w:r w:rsidRPr="00AC4E01">
        <w:rPr>
          <w:b/>
          <w:bCs/>
          <w:lang w:val="fr-FR"/>
        </w:rPr>
        <w:t>adoption en 2017 du plan d</w:t>
      </w:r>
      <w:r>
        <w:rPr>
          <w:b/>
          <w:bCs/>
          <w:lang w:val="fr-FR"/>
        </w:rPr>
        <w:t>’</w:t>
      </w:r>
      <w:r w:rsidRPr="00AC4E01">
        <w:rPr>
          <w:b/>
          <w:bCs/>
          <w:lang w:val="fr-FR"/>
        </w:rPr>
        <w:t xml:space="preserve">action pour les droits des enfants et des jeunes dans les activités de coopération pour le développement. Rappelant la cible 17.2 des objectifs de développement durable, </w:t>
      </w:r>
      <w:r>
        <w:rPr>
          <w:b/>
          <w:bCs/>
          <w:lang w:val="fr-FR"/>
        </w:rPr>
        <w:t>il</w:t>
      </w:r>
      <w:r w:rsidRPr="00AC4E01">
        <w:rPr>
          <w:b/>
          <w:bCs/>
          <w:lang w:val="fr-FR"/>
        </w:rPr>
        <w:t xml:space="preserve"> encourage l</w:t>
      </w:r>
      <w:r>
        <w:rPr>
          <w:b/>
          <w:bCs/>
          <w:lang w:val="fr-FR"/>
        </w:rPr>
        <w:t>’</w:t>
      </w:r>
      <w:r w:rsidRPr="00AC4E01">
        <w:rPr>
          <w:b/>
          <w:bCs/>
          <w:lang w:val="fr-FR"/>
        </w:rPr>
        <w:t>État partie à adopter une approche fondée sur les droits de l</w:t>
      </w:r>
      <w:r>
        <w:rPr>
          <w:b/>
          <w:bCs/>
          <w:lang w:val="fr-FR"/>
        </w:rPr>
        <w:t>’</w:t>
      </w:r>
      <w:r w:rsidRPr="00AC4E01">
        <w:rPr>
          <w:b/>
          <w:bCs/>
          <w:lang w:val="fr-FR"/>
        </w:rPr>
        <w:t>enfant dans le cadre de ses accords commerciaux et de ses politiques et programmes d</w:t>
      </w:r>
      <w:r>
        <w:rPr>
          <w:b/>
          <w:bCs/>
          <w:lang w:val="fr-FR"/>
        </w:rPr>
        <w:t>’</w:t>
      </w:r>
      <w:r w:rsidRPr="00AC4E01">
        <w:rPr>
          <w:b/>
          <w:bCs/>
          <w:lang w:val="fr-FR"/>
        </w:rPr>
        <w:t>aide au développement, notamment en ce qui concerne les changements climatiques.</w:t>
      </w:r>
    </w:p>
    <w:p w14:paraId="47FA7600" w14:textId="15ACF43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Droits de l</w:t>
      </w:r>
      <w:r>
        <w:rPr>
          <w:bCs/>
          <w:lang w:val="fr-FR"/>
        </w:rPr>
        <w:t>’</w:t>
      </w:r>
      <w:r w:rsidRPr="00AC4E01">
        <w:rPr>
          <w:bCs/>
          <w:lang w:val="fr-FR"/>
        </w:rPr>
        <w:t>enfant et entreprises</w:t>
      </w:r>
    </w:p>
    <w:p w14:paraId="6E8DA867" w14:textId="0ABB089E" w:rsidR="009576FC" w:rsidRPr="00AC4E01" w:rsidRDefault="009576FC" w:rsidP="009576FC">
      <w:pPr>
        <w:pStyle w:val="SingleTxtG"/>
        <w:rPr>
          <w:lang w:val="fr-FR"/>
        </w:rPr>
      </w:pPr>
      <w:r w:rsidRPr="00AC4E01">
        <w:rPr>
          <w:lang w:val="fr-FR"/>
        </w:rPr>
        <w:t>14.</w:t>
      </w:r>
      <w:r w:rsidRPr="00AC4E01">
        <w:rPr>
          <w:lang w:val="fr-FR"/>
        </w:rPr>
        <w:tab/>
      </w:r>
      <w:r>
        <w:rPr>
          <w:b/>
          <w:bCs/>
          <w:lang w:val="fr-FR"/>
        </w:rPr>
        <w:t>S</w:t>
      </w:r>
      <w:r w:rsidRPr="00AC4E01">
        <w:rPr>
          <w:b/>
          <w:bCs/>
          <w:lang w:val="fr-FR"/>
        </w:rPr>
        <w:t>aluant l</w:t>
      </w:r>
      <w:r>
        <w:rPr>
          <w:b/>
          <w:bCs/>
          <w:lang w:val="fr-FR"/>
        </w:rPr>
        <w:t>’</w:t>
      </w:r>
      <w:r w:rsidRPr="00AC4E01">
        <w:rPr>
          <w:b/>
          <w:bCs/>
          <w:lang w:val="fr-FR"/>
        </w:rPr>
        <w:t>adoption de la loi sur la diligence raisonnable des entreprises dans les chaînes d</w:t>
      </w:r>
      <w:r>
        <w:rPr>
          <w:b/>
          <w:bCs/>
          <w:lang w:val="fr-FR"/>
        </w:rPr>
        <w:t>’</w:t>
      </w:r>
      <w:r w:rsidRPr="00AC4E01">
        <w:rPr>
          <w:b/>
          <w:bCs/>
          <w:lang w:val="fr-FR"/>
        </w:rPr>
        <w:t xml:space="preserve">approvisionnement, </w:t>
      </w:r>
      <w:r>
        <w:rPr>
          <w:b/>
          <w:bCs/>
          <w:lang w:val="fr-FR"/>
        </w:rPr>
        <w:t>l</w:t>
      </w:r>
      <w:r w:rsidRPr="00AC4E01">
        <w:rPr>
          <w:b/>
          <w:bCs/>
          <w:lang w:val="fr-FR"/>
        </w:rPr>
        <w:t xml:space="preserve">e Comité rappelle son observation générale </w:t>
      </w:r>
      <w:r w:rsidRPr="009576FC">
        <w:rPr>
          <w:rFonts w:eastAsia="MS Mincho"/>
          <w:b/>
          <w:bCs/>
          <w:szCs w:val="22"/>
          <w:lang w:val="fr-FR"/>
        </w:rPr>
        <w:t>n</w:t>
      </w:r>
      <w:r w:rsidRPr="009576FC">
        <w:rPr>
          <w:rFonts w:eastAsia="MS Mincho"/>
          <w:b/>
          <w:bCs/>
          <w:szCs w:val="22"/>
          <w:vertAlign w:val="superscript"/>
          <w:lang w:val="fr-FR"/>
        </w:rPr>
        <w:t>o</w:t>
      </w:r>
      <w:r>
        <w:rPr>
          <w:b/>
          <w:bCs/>
          <w:lang w:val="fr-FR"/>
        </w:rPr>
        <w:t> </w:t>
      </w:r>
      <w:r w:rsidRPr="00AC4E01">
        <w:rPr>
          <w:b/>
          <w:bCs/>
          <w:lang w:val="fr-FR"/>
        </w:rPr>
        <w:t>16</w:t>
      </w:r>
      <w:r>
        <w:rPr>
          <w:b/>
          <w:bCs/>
          <w:lang w:val="fr-FR"/>
        </w:rPr>
        <w:t> </w:t>
      </w:r>
      <w:r w:rsidRPr="00AC4E01">
        <w:rPr>
          <w:b/>
          <w:bCs/>
          <w:lang w:val="fr-FR"/>
        </w:rPr>
        <w:t>(2013) sur les obligations des États concernant les incidences du secteur des entreprises sur les droits de l</w:t>
      </w:r>
      <w:r>
        <w:rPr>
          <w:b/>
          <w:bCs/>
          <w:lang w:val="fr-FR"/>
        </w:rPr>
        <w:t>’</w:t>
      </w:r>
      <w:r w:rsidRPr="00AC4E01">
        <w:rPr>
          <w:b/>
          <w:bCs/>
          <w:lang w:val="fr-FR"/>
        </w:rPr>
        <w:t>enfant et recommande à l</w:t>
      </w:r>
      <w:r>
        <w:rPr>
          <w:b/>
          <w:bCs/>
          <w:lang w:val="fr-FR"/>
        </w:rPr>
        <w:t>’</w:t>
      </w:r>
      <w:r w:rsidRPr="00AC4E01">
        <w:rPr>
          <w:b/>
          <w:bCs/>
          <w:lang w:val="fr-FR"/>
        </w:rPr>
        <w:t>État partie </w:t>
      </w:r>
      <w:r w:rsidRPr="00AC4E01">
        <w:rPr>
          <w:lang w:val="fr-FR"/>
        </w:rPr>
        <w:t>:</w:t>
      </w:r>
    </w:p>
    <w:p w14:paraId="4B825F6B" w14:textId="58C6BEAD" w:rsidR="009576FC" w:rsidRPr="009576FC" w:rsidRDefault="009576FC" w:rsidP="009576FC">
      <w:pPr>
        <w:pStyle w:val="SingleTxtG"/>
        <w:ind w:firstLine="567"/>
        <w:rPr>
          <w:b/>
          <w:bCs/>
          <w:lang w:val="fr-FR"/>
        </w:rPr>
      </w:pPr>
      <w:r w:rsidRPr="009576FC">
        <w:rPr>
          <w:b/>
          <w:bCs/>
          <w:lang w:val="fr-FR"/>
        </w:rPr>
        <w:t>a)</w:t>
      </w:r>
      <w:r w:rsidRPr="009576FC">
        <w:rPr>
          <w:b/>
          <w:bCs/>
          <w:lang w:val="fr-FR"/>
        </w:rPr>
        <w:tab/>
        <w:t>De garantir que les entreprises et leurs filiales qui exercent des activités sur son territoire ou sont gérées à partir de celui-ci ont l’obligation de rendre des comptes, eu égard aux normes internationales et nationales relatives aux droits de l’homme, au travail et à l’environnement, entre autres ;</w:t>
      </w:r>
    </w:p>
    <w:p w14:paraId="63936A34" w14:textId="44465A1C" w:rsidR="009576FC" w:rsidRPr="009576FC" w:rsidRDefault="009576FC" w:rsidP="009576FC">
      <w:pPr>
        <w:pStyle w:val="SingleTxtG"/>
        <w:ind w:firstLine="567"/>
        <w:rPr>
          <w:b/>
          <w:bCs/>
          <w:lang w:val="fr-FR"/>
        </w:rPr>
      </w:pPr>
      <w:r w:rsidRPr="009576FC">
        <w:rPr>
          <w:b/>
          <w:bCs/>
          <w:lang w:val="fr-FR"/>
        </w:rPr>
        <w:t>b)</w:t>
      </w:r>
      <w:r w:rsidRPr="009576FC">
        <w:rPr>
          <w:b/>
          <w:bCs/>
          <w:lang w:val="fr-FR"/>
        </w:rPr>
        <w:tab/>
        <w:t>D’adopter le projet de loi visant à renforcer l’intégrité des entreprises et d’établir des mécanismes de surveillance pour que les violations des droits de l’enfant fassent l’objet d’enquêtes et donnent lieu à réparation de façon à améliorer le respect de l’obligation de rendre des comptes et la transparence</w:t>
      </w:r>
      <w:r>
        <w:rPr>
          <w:b/>
          <w:bCs/>
          <w:lang w:val="fr-FR"/>
        </w:rPr>
        <w:t> </w:t>
      </w:r>
      <w:r w:rsidRPr="009576FC">
        <w:rPr>
          <w:b/>
          <w:bCs/>
          <w:lang w:val="fr-FR"/>
        </w:rPr>
        <w:t>;</w:t>
      </w:r>
    </w:p>
    <w:p w14:paraId="295E4108" w14:textId="526B5FEF" w:rsidR="009576FC" w:rsidRPr="00AC4E01" w:rsidRDefault="009576FC" w:rsidP="009576FC">
      <w:pPr>
        <w:pStyle w:val="SingleTxtG"/>
        <w:ind w:firstLine="567"/>
        <w:rPr>
          <w:b/>
          <w:bCs/>
          <w:lang w:val="fr-FR"/>
        </w:rPr>
      </w:pPr>
      <w:r w:rsidRPr="009576FC">
        <w:rPr>
          <w:b/>
          <w:bCs/>
          <w:lang w:val="fr-FR"/>
        </w:rPr>
        <w:t>c)</w:t>
      </w:r>
      <w:r w:rsidRPr="009576FC">
        <w:rPr>
          <w:b/>
          <w:bCs/>
          <w:lang w:val="fr-FR"/>
        </w:rPr>
        <w:tab/>
      </w:r>
      <w:r w:rsidRPr="00AC4E01">
        <w:rPr>
          <w:b/>
          <w:bCs/>
          <w:lang w:val="fr-FR"/>
        </w:rPr>
        <w:t>D</w:t>
      </w:r>
      <w:r>
        <w:rPr>
          <w:b/>
          <w:bCs/>
          <w:lang w:val="fr-FR"/>
        </w:rPr>
        <w:t>’</w:t>
      </w:r>
      <w:r w:rsidRPr="00AC4E01">
        <w:rPr>
          <w:b/>
          <w:bCs/>
          <w:lang w:val="fr-FR"/>
        </w:rPr>
        <w:t>exiger des entreprises qu</w:t>
      </w:r>
      <w:r>
        <w:rPr>
          <w:b/>
          <w:bCs/>
          <w:lang w:val="fr-FR"/>
        </w:rPr>
        <w:t>’</w:t>
      </w:r>
      <w:r w:rsidRPr="00AC4E01">
        <w:rPr>
          <w:b/>
          <w:bCs/>
          <w:lang w:val="fr-FR"/>
        </w:rPr>
        <w:t>elles évaluent les effets de leurs activités sur l</w:t>
      </w:r>
      <w:r>
        <w:rPr>
          <w:b/>
          <w:bCs/>
          <w:lang w:val="fr-FR"/>
        </w:rPr>
        <w:t>’</w:t>
      </w:r>
      <w:r w:rsidRPr="00AC4E01">
        <w:rPr>
          <w:b/>
          <w:bCs/>
          <w:lang w:val="fr-FR"/>
        </w:rPr>
        <w:t>environnement, la santé et les droits de l</w:t>
      </w:r>
      <w:r>
        <w:rPr>
          <w:b/>
          <w:bCs/>
          <w:lang w:val="fr-FR"/>
        </w:rPr>
        <w:t>’</w:t>
      </w:r>
      <w:r w:rsidRPr="00AC4E01">
        <w:rPr>
          <w:b/>
          <w:bCs/>
          <w:lang w:val="fr-FR"/>
        </w:rPr>
        <w:t>enfant, qu</w:t>
      </w:r>
      <w:r>
        <w:rPr>
          <w:b/>
          <w:bCs/>
          <w:lang w:val="fr-FR"/>
        </w:rPr>
        <w:t>’</w:t>
      </w:r>
      <w:r w:rsidRPr="00AC4E01">
        <w:rPr>
          <w:b/>
          <w:bCs/>
          <w:lang w:val="fr-FR"/>
        </w:rPr>
        <w:t>elles procèdent à des consultations sur ces questions et qu</w:t>
      </w:r>
      <w:r>
        <w:rPr>
          <w:b/>
          <w:bCs/>
          <w:lang w:val="fr-FR"/>
        </w:rPr>
        <w:t>’</w:t>
      </w:r>
      <w:r w:rsidRPr="00AC4E01">
        <w:rPr>
          <w:b/>
          <w:bCs/>
          <w:lang w:val="fr-FR"/>
        </w:rPr>
        <w:t>elles rendent publiques toutes les informations y relatives ainsi que les mesures qu</w:t>
      </w:r>
      <w:r>
        <w:rPr>
          <w:b/>
          <w:bCs/>
          <w:lang w:val="fr-FR"/>
        </w:rPr>
        <w:t>’</w:t>
      </w:r>
      <w:r w:rsidRPr="00AC4E01">
        <w:rPr>
          <w:b/>
          <w:bCs/>
          <w:lang w:val="fr-FR"/>
        </w:rPr>
        <w:t>elles prévoient de prendre pour réduire ces effets.</w:t>
      </w:r>
    </w:p>
    <w:p w14:paraId="1FF19837" w14:textId="1C98F296" w:rsidR="009576FC" w:rsidRPr="00AC4E01" w:rsidRDefault="009576FC" w:rsidP="009576FC">
      <w:pPr>
        <w:pStyle w:val="H1G"/>
        <w:rPr>
          <w:lang w:val="fr-FR"/>
        </w:rPr>
      </w:pPr>
      <w:r>
        <w:rPr>
          <w:lang w:val="fr-FR"/>
        </w:rPr>
        <w:tab/>
      </w:r>
      <w:r w:rsidRPr="00AC4E01">
        <w:rPr>
          <w:lang w:val="fr-FR"/>
        </w:rPr>
        <w:t>B.</w:t>
      </w:r>
      <w:r w:rsidRPr="00AC4E01">
        <w:rPr>
          <w:lang w:val="fr-FR"/>
        </w:rPr>
        <w:tab/>
        <w:t>Principes généraux (art. 2, 3, 6 et 12)</w:t>
      </w:r>
    </w:p>
    <w:p w14:paraId="12693453"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Non-discrimination</w:t>
      </w:r>
    </w:p>
    <w:p w14:paraId="69090C6C" w14:textId="46BD3ADC" w:rsidR="009576FC" w:rsidRPr="00AC4E01" w:rsidRDefault="009576FC" w:rsidP="009576FC">
      <w:pPr>
        <w:pStyle w:val="SingleTxtG"/>
        <w:rPr>
          <w:lang w:val="fr-FR"/>
        </w:rPr>
      </w:pPr>
      <w:r w:rsidRPr="00AC4E01">
        <w:rPr>
          <w:lang w:val="fr-FR"/>
        </w:rPr>
        <w:t>15.</w:t>
      </w:r>
      <w:r w:rsidRPr="00AC4E01">
        <w:rPr>
          <w:lang w:val="fr-FR"/>
        </w:rPr>
        <w:tab/>
      </w:r>
      <w:r w:rsidRPr="00AC4E01">
        <w:rPr>
          <w:b/>
          <w:bCs/>
          <w:lang w:val="fr-FR"/>
        </w:rPr>
        <w:t>Le Comité salue les efforts déployés pour lutter contre la discrimination à l</w:t>
      </w:r>
      <w:r>
        <w:rPr>
          <w:b/>
          <w:bCs/>
          <w:lang w:val="fr-FR"/>
        </w:rPr>
        <w:t>’</w:t>
      </w:r>
      <w:r w:rsidRPr="00AC4E01">
        <w:rPr>
          <w:b/>
          <w:bCs/>
          <w:lang w:val="fr-FR"/>
        </w:rPr>
        <w:t>égard des enfants défavorisés, mais il est préoccupé par l</w:t>
      </w:r>
      <w:r>
        <w:rPr>
          <w:b/>
          <w:bCs/>
          <w:lang w:val="fr-FR"/>
        </w:rPr>
        <w:t>’</w:t>
      </w:r>
      <w:r w:rsidRPr="00AC4E01">
        <w:rPr>
          <w:b/>
          <w:bCs/>
          <w:lang w:val="fr-FR"/>
        </w:rPr>
        <w:t xml:space="preserve">effet disproportionné de la discrimination de fait </w:t>
      </w:r>
      <w:r>
        <w:rPr>
          <w:b/>
          <w:bCs/>
          <w:lang w:val="fr-FR"/>
        </w:rPr>
        <w:t>sur</w:t>
      </w:r>
      <w:r w:rsidRPr="00AC4E01">
        <w:rPr>
          <w:b/>
          <w:bCs/>
          <w:lang w:val="fr-FR"/>
        </w:rPr>
        <w:t xml:space="preserve"> ces enfants, notamment en termes d</w:t>
      </w:r>
      <w:r>
        <w:rPr>
          <w:b/>
          <w:bCs/>
          <w:lang w:val="fr-FR"/>
        </w:rPr>
        <w:t>’</w:t>
      </w:r>
      <w:r w:rsidRPr="00AC4E01">
        <w:rPr>
          <w:b/>
          <w:bCs/>
          <w:lang w:val="fr-FR"/>
        </w:rPr>
        <w:t>accès à l</w:t>
      </w:r>
      <w:r>
        <w:rPr>
          <w:b/>
          <w:bCs/>
          <w:lang w:val="fr-FR"/>
        </w:rPr>
        <w:t>’</w:t>
      </w:r>
      <w:r w:rsidRPr="00AC4E01">
        <w:rPr>
          <w:b/>
          <w:bCs/>
          <w:lang w:val="fr-FR"/>
        </w:rPr>
        <w:t>éducation et à la santé.</w:t>
      </w:r>
      <w:r w:rsidRPr="00AC4E01">
        <w:rPr>
          <w:lang w:val="fr-FR"/>
        </w:rPr>
        <w:t xml:space="preserve"> </w:t>
      </w:r>
      <w:r w:rsidRPr="00AC4E01">
        <w:rPr>
          <w:b/>
          <w:bCs/>
          <w:lang w:val="fr-FR"/>
        </w:rPr>
        <w:t xml:space="preserve">Rappelant la cible 10.3 des objectifs de développement durable, </w:t>
      </w:r>
      <w:r>
        <w:rPr>
          <w:b/>
          <w:bCs/>
          <w:lang w:val="fr-FR"/>
        </w:rPr>
        <w:t>il</w:t>
      </w:r>
      <w:r w:rsidRPr="00AC4E01">
        <w:rPr>
          <w:b/>
          <w:bCs/>
          <w:lang w:val="fr-FR"/>
        </w:rPr>
        <w:t xml:space="preserve"> recommande à l</w:t>
      </w:r>
      <w:r>
        <w:rPr>
          <w:b/>
          <w:bCs/>
          <w:lang w:val="fr-FR"/>
        </w:rPr>
        <w:t>’</w:t>
      </w:r>
      <w:r w:rsidRPr="00AC4E01">
        <w:rPr>
          <w:b/>
          <w:bCs/>
          <w:lang w:val="fr-FR"/>
        </w:rPr>
        <w:t>État partie :</w:t>
      </w:r>
    </w:p>
    <w:p w14:paraId="1B2E74E3" w14:textId="75AE90BD" w:rsidR="009576FC" w:rsidRPr="00AC4E01" w:rsidRDefault="009576FC" w:rsidP="009576FC">
      <w:pPr>
        <w:pStyle w:val="SingleTxtG"/>
        <w:ind w:firstLine="567"/>
        <w:rPr>
          <w:lang w:val="fr-FR"/>
        </w:rPr>
      </w:pPr>
      <w:r w:rsidRPr="00D1441C">
        <w:rPr>
          <w:b/>
          <w:bCs/>
          <w:lang w:val="fr-FR"/>
        </w:rPr>
        <w:t>a)</w:t>
      </w:r>
      <w:r w:rsidRPr="00AC4E01">
        <w:rPr>
          <w:lang w:val="fr-FR"/>
        </w:rPr>
        <w:tab/>
      </w:r>
      <w:r w:rsidRPr="00AC4E01">
        <w:rPr>
          <w:b/>
          <w:bCs/>
          <w:lang w:val="fr-FR"/>
        </w:rPr>
        <w:t>De renforcer les politiques et les mesures de sensibilisation qui visent à combattre les causes profondes de la discrimination de fait de manière à éradiquer la discrimination à l</w:t>
      </w:r>
      <w:r>
        <w:rPr>
          <w:b/>
          <w:bCs/>
          <w:lang w:val="fr-FR"/>
        </w:rPr>
        <w:t>’</w:t>
      </w:r>
      <w:r w:rsidRPr="00AC4E01">
        <w:rPr>
          <w:b/>
          <w:bCs/>
          <w:lang w:val="fr-FR"/>
        </w:rPr>
        <w:t>égard des enfants défavorisés, et notamment des enfants demandeurs d</w:t>
      </w:r>
      <w:r>
        <w:rPr>
          <w:b/>
          <w:bCs/>
          <w:lang w:val="fr-FR"/>
        </w:rPr>
        <w:t>’</w:t>
      </w:r>
      <w:r w:rsidRPr="00AC4E01">
        <w:rPr>
          <w:b/>
          <w:bCs/>
          <w:lang w:val="fr-FR"/>
        </w:rPr>
        <w:t xml:space="preserve">asile, réfugiés ou migrants, des enfants </w:t>
      </w:r>
      <w:proofErr w:type="spellStart"/>
      <w:r w:rsidRPr="00AC4E01">
        <w:rPr>
          <w:b/>
          <w:bCs/>
          <w:lang w:val="fr-FR"/>
        </w:rPr>
        <w:t>sintis</w:t>
      </w:r>
      <w:proofErr w:type="spellEnd"/>
      <w:r w:rsidRPr="00AC4E01">
        <w:rPr>
          <w:b/>
          <w:bCs/>
          <w:lang w:val="fr-FR"/>
        </w:rPr>
        <w:t xml:space="preserve"> et roms et des enfants </w:t>
      </w:r>
      <w:r>
        <w:rPr>
          <w:b/>
          <w:bCs/>
          <w:lang w:val="fr-FR"/>
        </w:rPr>
        <w:t>appartenant à</w:t>
      </w:r>
      <w:r w:rsidRPr="00AC4E01">
        <w:rPr>
          <w:b/>
          <w:bCs/>
          <w:lang w:val="fr-FR"/>
        </w:rPr>
        <w:t xml:space="preserve"> d</w:t>
      </w:r>
      <w:r>
        <w:rPr>
          <w:b/>
          <w:bCs/>
          <w:lang w:val="fr-FR"/>
        </w:rPr>
        <w:t>’</w:t>
      </w:r>
      <w:r w:rsidRPr="00AC4E01">
        <w:rPr>
          <w:b/>
          <w:bCs/>
          <w:lang w:val="fr-FR"/>
        </w:rPr>
        <w:t xml:space="preserve">autres groupes minoritaires, des enfants handicapés, des enfants lesbiennes, gays, bisexuels, transgenres ou </w:t>
      </w:r>
      <w:proofErr w:type="spellStart"/>
      <w:r w:rsidRPr="00AC4E01">
        <w:rPr>
          <w:b/>
          <w:bCs/>
          <w:lang w:val="fr-FR"/>
        </w:rPr>
        <w:t>intersexes</w:t>
      </w:r>
      <w:proofErr w:type="spellEnd"/>
      <w:r w:rsidRPr="00AC4E01">
        <w:rPr>
          <w:b/>
          <w:bCs/>
          <w:lang w:val="fr-FR"/>
        </w:rPr>
        <w:t xml:space="preserve">, et des enfants défavorisés sur le plan </w:t>
      </w:r>
      <w:proofErr w:type="spellStart"/>
      <w:r w:rsidRPr="00AC4E01">
        <w:rPr>
          <w:b/>
          <w:bCs/>
          <w:lang w:val="fr-FR"/>
        </w:rPr>
        <w:t>socioéconomique</w:t>
      </w:r>
      <w:proofErr w:type="spellEnd"/>
      <w:r w:rsidRPr="00AC4E01">
        <w:rPr>
          <w:b/>
          <w:bCs/>
          <w:lang w:val="fr-FR"/>
        </w:rPr>
        <w:t> ;</w:t>
      </w:r>
    </w:p>
    <w:p w14:paraId="6046E049" w14:textId="765FD8FD" w:rsidR="009576FC" w:rsidRPr="00AC4E01" w:rsidRDefault="009576FC" w:rsidP="009576FC">
      <w:pPr>
        <w:pStyle w:val="SingleTxtG"/>
        <w:ind w:firstLine="567"/>
        <w:rPr>
          <w:b/>
          <w:bCs/>
          <w:lang w:val="fr-FR"/>
        </w:rPr>
      </w:pPr>
      <w:r w:rsidRPr="00AC4E01">
        <w:rPr>
          <w:b/>
          <w:bCs/>
          <w:lang w:val="fr-FR"/>
        </w:rPr>
        <w:t>b)</w:t>
      </w:r>
      <w:r w:rsidRPr="00AC4E01">
        <w:rPr>
          <w:b/>
          <w:bCs/>
          <w:lang w:val="fr-FR"/>
        </w:rPr>
        <w:tab/>
        <w:t>D</w:t>
      </w:r>
      <w:r>
        <w:rPr>
          <w:b/>
          <w:bCs/>
          <w:lang w:val="fr-FR"/>
        </w:rPr>
        <w:t>’</w:t>
      </w:r>
      <w:r w:rsidRPr="00AC4E01">
        <w:rPr>
          <w:b/>
          <w:bCs/>
          <w:lang w:val="fr-FR"/>
        </w:rPr>
        <w:t xml:space="preserve">évaluer, avec la participation </w:t>
      </w:r>
      <w:r>
        <w:rPr>
          <w:b/>
          <w:bCs/>
          <w:lang w:val="fr-FR"/>
        </w:rPr>
        <w:t>d’</w:t>
      </w:r>
      <w:r w:rsidRPr="00AC4E01">
        <w:rPr>
          <w:b/>
          <w:bCs/>
          <w:lang w:val="fr-FR"/>
        </w:rPr>
        <w:t xml:space="preserve">enfants et </w:t>
      </w:r>
      <w:r>
        <w:rPr>
          <w:b/>
          <w:bCs/>
          <w:lang w:val="fr-FR"/>
        </w:rPr>
        <w:t>d’</w:t>
      </w:r>
      <w:r w:rsidRPr="00AC4E01">
        <w:rPr>
          <w:b/>
          <w:bCs/>
          <w:lang w:val="fr-FR"/>
        </w:rPr>
        <w:t>acteurs de la société civile, les mesures visant à combattre la discrimination à l</w:t>
      </w:r>
      <w:r>
        <w:rPr>
          <w:b/>
          <w:bCs/>
          <w:lang w:val="fr-FR"/>
        </w:rPr>
        <w:t>’</w:t>
      </w:r>
      <w:r w:rsidRPr="00AC4E01">
        <w:rPr>
          <w:b/>
          <w:bCs/>
          <w:lang w:val="fr-FR"/>
        </w:rPr>
        <w:t>égard des enfants défavorisés, de mesurer leurs effets et de revoir ces mesures si nécessaire.</w:t>
      </w:r>
    </w:p>
    <w:p w14:paraId="1A1736B9" w14:textId="66B447E7" w:rsidR="009576FC" w:rsidRPr="00AC4E01" w:rsidRDefault="009576FC" w:rsidP="009576FC">
      <w:pPr>
        <w:pStyle w:val="H23G"/>
        <w:spacing w:line="240" w:lineRule="atLeast"/>
        <w:rPr>
          <w:rFonts w:eastAsia="Malgun Gothic"/>
          <w:bCs/>
          <w:lang w:val="fr-FR"/>
        </w:rPr>
      </w:pPr>
      <w:r w:rsidRPr="00AC4E01">
        <w:rPr>
          <w:bCs/>
          <w:lang w:val="fr-FR"/>
        </w:rPr>
        <w:lastRenderedPageBreak/>
        <w:tab/>
      </w:r>
      <w:r w:rsidRPr="00AC4E01">
        <w:rPr>
          <w:bCs/>
          <w:lang w:val="fr-FR"/>
        </w:rPr>
        <w:tab/>
        <w:t>Intérêt supérieur de l</w:t>
      </w:r>
      <w:r>
        <w:rPr>
          <w:bCs/>
          <w:lang w:val="fr-FR"/>
        </w:rPr>
        <w:t>’</w:t>
      </w:r>
      <w:r w:rsidRPr="00AC4E01">
        <w:rPr>
          <w:bCs/>
          <w:lang w:val="fr-FR"/>
        </w:rPr>
        <w:t>enfant</w:t>
      </w:r>
    </w:p>
    <w:p w14:paraId="079B27C2" w14:textId="3B1B0F92" w:rsidR="009576FC" w:rsidRPr="00AC4E01" w:rsidRDefault="009576FC" w:rsidP="009576FC">
      <w:pPr>
        <w:pStyle w:val="SingleTxtG"/>
        <w:rPr>
          <w:b/>
          <w:bCs/>
          <w:lang w:val="fr-FR"/>
        </w:rPr>
      </w:pPr>
      <w:r w:rsidRPr="00AC4E01">
        <w:rPr>
          <w:lang w:val="fr-FR"/>
        </w:rPr>
        <w:t>16.</w:t>
      </w:r>
      <w:r w:rsidRPr="00AC4E01">
        <w:rPr>
          <w:lang w:val="fr-FR"/>
        </w:rPr>
        <w:tab/>
      </w:r>
      <w:r w:rsidRPr="00AC4E01">
        <w:rPr>
          <w:b/>
          <w:bCs/>
          <w:lang w:val="fr-FR"/>
        </w:rPr>
        <w:t>Le Comité note que la loi sur la procédure applicable aux affaires familiales et aux affaires non contentieuses permet d</w:t>
      </w:r>
      <w:r>
        <w:rPr>
          <w:b/>
          <w:bCs/>
          <w:lang w:val="fr-FR"/>
        </w:rPr>
        <w:t>’</w:t>
      </w:r>
      <w:r w:rsidRPr="00AC4E01">
        <w:rPr>
          <w:b/>
          <w:bCs/>
          <w:lang w:val="fr-FR"/>
        </w:rPr>
        <w:t>accélérer certaines procédures concernant les enfants, mais il est préoccupé par le fait que le principe de l</w:t>
      </w:r>
      <w:r>
        <w:rPr>
          <w:b/>
          <w:bCs/>
          <w:lang w:val="fr-FR"/>
        </w:rPr>
        <w:t>’</w:t>
      </w:r>
      <w:r w:rsidRPr="00AC4E01">
        <w:rPr>
          <w:b/>
          <w:bCs/>
          <w:lang w:val="fr-FR"/>
        </w:rPr>
        <w:t>intérêt supérieur de l</w:t>
      </w:r>
      <w:r>
        <w:rPr>
          <w:b/>
          <w:bCs/>
          <w:lang w:val="fr-FR"/>
        </w:rPr>
        <w:t>’</w:t>
      </w:r>
      <w:r w:rsidRPr="00AC4E01">
        <w:rPr>
          <w:b/>
          <w:bCs/>
          <w:lang w:val="fr-FR"/>
        </w:rPr>
        <w:t>enfant n</w:t>
      </w:r>
      <w:r>
        <w:rPr>
          <w:b/>
          <w:bCs/>
          <w:lang w:val="fr-FR"/>
        </w:rPr>
        <w:t>’</w:t>
      </w:r>
      <w:r w:rsidRPr="00AC4E01">
        <w:rPr>
          <w:b/>
          <w:bCs/>
          <w:lang w:val="fr-FR"/>
        </w:rPr>
        <w:t>est pas appliqué dans toutes les procédures concernant des enfants.</w:t>
      </w:r>
      <w:r w:rsidRPr="00AC4E01">
        <w:rPr>
          <w:lang w:val="fr-FR"/>
        </w:rPr>
        <w:t xml:space="preserve"> </w:t>
      </w:r>
      <w:r w:rsidRPr="00AC4E01">
        <w:rPr>
          <w:b/>
          <w:bCs/>
          <w:lang w:val="fr-FR"/>
        </w:rPr>
        <w:t>Il recommande à l</w:t>
      </w:r>
      <w:r>
        <w:rPr>
          <w:b/>
          <w:bCs/>
          <w:lang w:val="fr-FR"/>
        </w:rPr>
        <w:t>’</w:t>
      </w:r>
      <w:r w:rsidRPr="00AC4E01">
        <w:rPr>
          <w:b/>
          <w:bCs/>
          <w:lang w:val="fr-FR"/>
        </w:rPr>
        <w:t>État partie de :</w:t>
      </w:r>
    </w:p>
    <w:p w14:paraId="6650FB11" w14:textId="40D025B4" w:rsidR="009576FC" w:rsidRPr="00AC4E01" w:rsidRDefault="009576FC" w:rsidP="009576FC">
      <w:pPr>
        <w:pStyle w:val="SingleTxtG"/>
        <w:ind w:firstLine="567"/>
        <w:rPr>
          <w:b/>
          <w:bCs/>
          <w:lang w:val="fr-FR"/>
        </w:rPr>
      </w:pPr>
      <w:r w:rsidRPr="00AC4E01">
        <w:rPr>
          <w:b/>
          <w:bCs/>
          <w:lang w:val="fr-FR"/>
        </w:rPr>
        <w:t>a)</w:t>
      </w:r>
      <w:r w:rsidRPr="00AC4E01">
        <w:rPr>
          <w:b/>
          <w:bCs/>
          <w:lang w:val="fr-FR"/>
        </w:rPr>
        <w:tab/>
        <w:t>Faire en sorte que le principe de l</w:t>
      </w:r>
      <w:r>
        <w:rPr>
          <w:b/>
          <w:bCs/>
          <w:lang w:val="fr-FR"/>
        </w:rPr>
        <w:t>’</w:t>
      </w:r>
      <w:r w:rsidRPr="00AC4E01">
        <w:rPr>
          <w:b/>
          <w:bCs/>
          <w:lang w:val="fr-FR"/>
        </w:rPr>
        <w:t>intérêt supérieur de l</w:t>
      </w:r>
      <w:r>
        <w:rPr>
          <w:b/>
          <w:bCs/>
          <w:lang w:val="fr-FR"/>
        </w:rPr>
        <w:t>’</w:t>
      </w:r>
      <w:r w:rsidRPr="00AC4E01">
        <w:rPr>
          <w:b/>
          <w:bCs/>
          <w:lang w:val="fr-FR"/>
        </w:rPr>
        <w:t>enfant soit systématiquement appliqué dans toutes les politiques, tous les programmes et toutes les procédures législatives, administratives et judiciaires concernant des enfants, y compris s</w:t>
      </w:r>
      <w:r>
        <w:rPr>
          <w:b/>
          <w:bCs/>
          <w:lang w:val="fr-FR"/>
        </w:rPr>
        <w:t>’</w:t>
      </w:r>
      <w:r w:rsidRPr="00AC4E01">
        <w:rPr>
          <w:b/>
          <w:bCs/>
          <w:lang w:val="fr-FR"/>
        </w:rPr>
        <w:t>agissant de la traite et des procédures de migration et d</w:t>
      </w:r>
      <w:r>
        <w:rPr>
          <w:b/>
          <w:bCs/>
          <w:lang w:val="fr-FR"/>
        </w:rPr>
        <w:t>’</w:t>
      </w:r>
      <w:r w:rsidRPr="00AC4E01">
        <w:rPr>
          <w:b/>
          <w:bCs/>
          <w:lang w:val="fr-FR"/>
        </w:rPr>
        <w:t>asile ;</w:t>
      </w:r>
    </w:p>
    <w:p w14:paraId="4BBCA0DA" w14:textId="03482B47" w:rsidR="009576FC" w:rsidRPr="00AC4E01" w:rsidRDefault="009576FC" w:rsidP="009576FC">
      <w:pPr>
        <w:pStyle w:val="SingleTxtG"/>
        <w:ind w:firstLine="567"/>
        <w:rPr>
          <w:b/>
          <w:bCs/>
          <w:lang w:val="fr-FR"/>
        </w:rPr>
      </w:pPr>
      <w:r w:rsidRPr="00AC4E01">
        <w:rPr>
          <w:b/>
          <w:bCs/>
          <w:lang w:val="fr-FR"/>
        </w:rPr>
        <w:t>b)</w:t>
      </w:r>
      <w:r w:rsidRPr="00AC4E01">
        <w:rPr>
          <w:b/>
          <w:bCs/>
          <w:lang w:val="fr-FR"/>
        </w:rPr>
        <w:tab/>
        <w:t xml:space="preserve">Renforcer la formation et </w:t>
      </w:r>
      <w:r>
        <w:rPr>
          <w:b/>
          <w:bCs/>
          <w:lang w:val="fr-FR"/>
        </w:rPr>
        <w:t xml:space="preserve">les </w:t>
      </w:r>
      <w:r w:rsidRPr="00AC4E01">
        <w:rPr>
          <w:b/>
          <w:bCs/>
          <w:lang w:val="fr-FR"/>
        </w:rPr>
        <w:t>orientation</w:t>
      </w:r>
      <w:r>
        <w:rPr>
          <w:b/>
          <w:bCs/>
          <w:lang w:val="fr-FR"/>
        </w:rPr>
        <w:t>s</w:t>
      </w:r>
      <w:r w:rsidRPr="00AC4E01">
        <w:rPr>
          <w:b/>
          <w:bCs/>
          <w:lang w:val="fr-FR"/>
        </w:rPr>
        <w:t xml:space="preserve"> données à tous les professionnels concernés afin qu</w:t>
      </w:r>
      <w:r>
        <w:rPr>
          <w:b/>
          <w:bCs/>
          <w:lang w:val="fr-FR"/>
        </w:rPr>
        <w:t>’</w:t>
      </w:r>
      <w:r w:rsidRPr="00AC4E01">
        <w:rPr>
          <w:b/>
          <w:bCs/>
          <w:lang w:val="fr-FR"/>
        </w:rPr>
        <w:t>ils soient en mesure de déterminer l</w:t>
      </w:r>
      <w:r>
        <w:rPr>
          <w:b/>
          <w:bCs/>
          <w:lang w:val="fr-FR"/>
        </w:rPr>
        <w:t>’</w:t>
      </w:r>
      <w:r w:rsidRPr="00AC4E01">
        <w:rPr>
          <w:b/>
          <w:bCs/>
          <w:lang w:val="fr-FR"/>
        </w:rPr>
        <w:t>intérêt supérieur de l</w:t>
      </w:r>
      <w:r>
        <w:rPr>
          <w:b/>
          <w:bCs/>
          <w:lang w:val="fr-FR"/>
        </w:rPr>
        <w:t>’</w:t>
      </w:r>
      <w:r w:rsidRPr="00AC4E01">
        <w:rPr>
          <w:b/>
          <w:bCs/>
          <w:lang w:val="fr-FR"/>
        </w:rPr>
        <w:t>enfant et d</w:t>
      </w:r>
      <w:r>
        <w:rPr>
          <w:b/>
          <w:bCs/>
          <w:lang w:val="fr-FR"/>
        </w:rPr>
        <w:t>’</w:t>
      </w:r>
      <w:r w:rsidRPr="00AC4E01">
        <w:rPr>
          <w:b/>
          <w:bCs/>
          <w:lang w:val="fr-FR"/>
        </w:rPr>
        <w:t>en faire une considération primordiale.</w:t>
      </w:r>
    </w:p>
    <w:p w14:paraId="1E73B7B2" w14:textId="0758A828"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Respect de l</w:t>
      </w:r>
      <w:r>
        <w:rPr>
          <w:bCs/>
          <w:lang w:val="fr-FR"/>
        </w:rPr>
        <w:t>’</w:t>
      </w:r>
      <w:r w:rsidRPr="00AC4E01">
        <w:rPr>
          <w:bCs/>
          <w:lang w:val="fr-FR"/>
        </w:rPr>
        <w:t>opinion de l</w:t>
      </w:r>
      <w:r>
        <w:rPr>
          <w:bCs/>
          <w:lang w:val="fr-FR"/>
        </w:rPr>
        <w:t>’</w:t>
      </w:r>
      <w:r w:rsidRPr="00AC4E01">
        <w:rPr>
          <w:bCs/>
          <w:lang w:val="fr-FR"/>
        </w:rPr>
        <w:t>enfant</w:t>
      </w:r>
    </w:p>
    <w:p w14:paraId="585ADBBD" w14:textId="54EC0A39" w:rsidR="009576FC" w:rsidRPr="00AC4E01" w:rsidRDefault="009576FC" w:rsidP="009576FC">
      <w:pPr>
        <w:pStyle w:val="SingleTxtG"/>
        <w:rPr>
          <w:b/>
          <w:bCs/>
          <w:lang w:val="fr-FR"/>
        </w:rPr>
      </w:pPr>
      <w:r w:rsidRPr="00AC4E01">
        <w:rPr>
          <w:lang w:val="fr-FR"/>
        </w:rPr>
        <w:t>17.</w:t>
      </w:r>
      <w:r w:rsidRPr="00AC4E01">
        <w:rPr>
          <w:lang w:val="fr-FR"/>
        </w:rPr>
        <w:tab/>
      </w:r>
      <w:r w:rsidRPr="00AC4E01">
        <w:rPr>
          <w:b/>
          <w:bCs/>
          <w:lang w:val="fr-FR"/>
        </w:rPr>
        <w:t>Le Comité prend note avec satisfaction des diverses réglementations et stratégies visant à promouvoir la participation des enfants dans les domaines qui les concernent, parmi lesquelles la stratégie interdépartementale pour la jeunesse du Gouvernement fédéral intitulée «</w:t>
      </w:r>
      <w:r w:rsidR="00E57E25">
        <w:rPr>
          <w:b/>
          <w:bCs/>
          <w:lang w:val="fr-FR"/>
        </w:rPr>
        <w:t> </w:t>
      </w:r>
      <w:r w:rsidRPr="00AC4E01">
        <w:rPr>
          <w:b/>
          <w:bCs/>
          <w:lang w:val="fr-FR"/>
        </w:rPr>
        <w:t>Responsabilité partagée : une politique pour, avec et par les jeunes</w:t>
      </w:r>
      <w:r w:rsidR="00E57E25">
        <w:rPr>
          <w:b/>
          <w:bCs/>
          <w:lang w:val="fr-FR"/>
        </w:rPr>
        <w:t> </w:t>
      </w:r>
      <w:r w:rsidRPr="00AC4E01">
        <w:rPr>
          <w:b/>
          <w:bCs/>
          <w:lang w:val="fr-FR"/>
        </w:rPr>
        <w:t>» et l</w:t>
      </w:r>
      <w:r>
        <w:rPr>
          <w:b/>
          <w:bCs/>
          <w:lang w:val="fr-FR"/>
        </w:rPr>
        <w:t>’</w:t>
      </w:r>
      <w:r w:rsidRPr="00AC4E01">
        <w:rPr>
          <w:b/>
          <w:bCs/>
          <w:lang w:val="fr-FR"/>
        </w:rPr>
        <w:t>abaissement à 16</w:t>
      </w:r>
      <w:r w:rsidR="00B94258">
        <w:rPr>
          <w:b/>
          <w:bCs/>
          <w:lang w:val="fr-FR"/>
        </w:rPr>
        <w:t> </w:t>
      </w:r>
      <w:r w:rsidRPr="00AC4E01">
        <w:rPr>
          <w:b/>
          <w:bCs/>
          <w:lang w:val="fr-FR"/>
        </w:rPr>
        <w:t>ans de l</w:t>
      </w:r>
      <w:r>
        <w:rPr>
          <w:b/>
          <w:bCs/>
          <w:lang w:val="fr-FR"/>
        </w:rPr>
        <w:t>’</w:t>
      </w:r>
      <w:r w:rsidRPr="00AC4E01">
        <w:rPr>
          <w:b/>
          <w:bCs/>
          <w:lang w:val="fr-FR"/>
        </w:rPr>
        <w:t>âge du droit de voter aux élections municipales dans certains Länder, mais il est préoccupé par le fait que l</w:t>
      </w:r>
      <w:r>
        <w:rPr>
          <w:b/>
          <w:bCs/>
          <w:lang w:val="fr-FR"/>
        </w:rPr>
        <w:t>’</w:t>
      </w:r>
      <w:r w:rsidRPr="00AC4E01">
        <w:rPr>
          <w:b/>
          <w:bCs/>
          <w:lang w:val="fr-FR"/>
        </w:rPr>
        <w:t xml:space="preserve">opinion des </w:t>
      </w:r>
      <w:r w:rsidRPr="002764A7">
        <w:rPr>
          <w:b/>
          <w:bCs/>
          <w:lang w:val="fr-FR"/>
        </w:rPr>
        <w:t xml:space="preserve">enfants </w:t>
      </w:r>
      <w:r w:rsidR="002764A7" w:rsidRPr="002764A7">
        <w:rPr>
          <w:b/>
          <w:bCs/>
          <w:lang w:val="fr-FR"/>
        </w:rPr>
        <w:t xml:space="preserve">n’est pas </w:t>
      </w:r>
      <w:r w:rsidRPr="002764A7">
        <w:rPr>
          <w:b/>
          <w:bCs/>
          <w:lang w:val="fr-FR"/>
        </w:rPr>
        <w:t>toujours prise en compte devant les juridictions et dans les procédures admini</w:t>
      </w:r>
      <w:r w:rsidRPr="00AC4E01">
        <w:rPr>
          <w:b/>
          <w:bCs/>
          <w:lang w:val="fr-FR"/>
        </w:rPr>
        <w:t>stratives. Il recommande à l</w:t>
      </w:r>
      <w:r>
        <w:rPr>
          <w:b/>
          <w:bCs/>
          <w:lang w:val="fr-FR"/>
        </w:rPr>
        <w:t>’</w:t>
      </w:r>
      <w:r w:rsidRPr="00AC4E01">
        <w:rPr>
          <w:b/>
          <w:bCs/>
          <w:lang w:val="fr-FR"/>
        </w:rPr>
        <w:t>État partie :</w:t>
      </w:r>
    </w:p>
    <w:p w14:paraId="30ACC4B7" w14:textId="1C76A1CE"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veiller à ce que tous les enfants, y compris ceux de moins de 14</w:t>
      </w:r>
      <w:r>
        <w:rPr>
          <w:b/>
          <w:bCs/>
          <w:lang w:val="fr-FR"/>
        </w:rPr>
        <w:t> </w:t>
      </w:r>
      <w:r w:rsidRPr="00AC4E01">
        <w:rPr>
          <w:b/>
          <w:bCs/>
          <w:lang w:val="fr-FR"/>
        </w:rPr>
        <w:t>ans, puissent exprimer leur opinion et être entendus dans toutes les décisions qui les concernent, notamment devant les juridictions et dans les procédures administratives et civiles, et d</w:t>
      </w:r>
      <w:r>
        <w:rPr>
          <w:b/>
          <w:bCs/>
          <w:lang w:val="fr-FR"/>
        </w:rPr>
        <w:t>’</w:t>
      </w:r>
      <w:r w:rsidRPr="00AC4E01">
        <w:rPr>
          <w:b/>
          <w:bCs/>
          <w:lang w:val="fr-FR"/>
        </w:rPr>
        <w:t>instaurer des normes juridiques propres à garantir que ces procédures sont adaptées aux enfants ;</w:t>
      </w:r>
    </w:p>
    <w:p w14:paraId="6F037F43" w14:textId="2D97C8DE"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renforcer les mesures visant à promouvoir une participation active et autonome des enfants, y compris des enfants défavorisés, dans le cadre familial, communautaire et scolaire, ainsi que dans l</w:t>
      </w:r>
      <w:r>
        <w:rPr>
          <w:b/>
          <w:bCs/>
          <w:lang w:val="fr-FR"/>
        </w:rPr>
        <w:t>’</w:t>
      </w:r>
      <w:r w:rsidRPr="00AC4E01">
        <w:rPr>
          <w:b/>
          <w:bCs/>
          <w:lang w:val="fr-FR"/>
        </w:rPr>
        <w:t>élaboration des politiques au niveau fédéral, au niveau des Länder et au niveau des municipalités, et de veiller à ce que les autorités compétentes prennent l</w:t>
      </w:r>
      <w:r>
        <w:rPr>
          <w:b/>
          <w:bCs/>
          <w:lang w:val="fr-FR"/>
        </w:rPr>
        <w:t>’</w:t>
      </w:r>
      <w:r w:rsidRPr="00AC4E01">
        <w:rPr>
          <w:b/>
          <w:bCs/>
          <w:lang w:val="fr-FR"/>
        </w:rPr>
        <w:t>opinion des enfants en considération ;</w:t>
      </w:r>
    </w:p>
    <w:p w14:paraId="743624EC" w14:textId="4B00B48B" w:rsidR="009576FC" w:rsidRPr="00AC4E01" w:rsidRDefault="009576FC" w:rsidP="009576FC">
      <w:pPr>
        <w:pStyle w:val="SingleTxtG"/>
        <w:ind w:firstLine="567"/>
        <w:rPr>
          <w:b/>
          <w:bCs/>
          <w:lang w:val="fr-FR"/>
        </w:rPr>
      </w:pPr>
      <w:r w:rsidRPr="00AC4E01">
        <w:rPr>
          <w:b/>
          <w:bCs/>
          <w:lang w:val="fr-FR"/>
        </w:rPr>
        <w:t>c)</w:t>
      </w:r>
      <w:r w:rsidRPr="00AC4E01">
        <w:rPr>
          <w:b/>
          <w:bCs/>
          <w:lang w:val="fr-FR"/>
        </w:rPr>
        <w:tab/>
        <w:t xml:space="preserve">De veiller à ce que tous les professionnels concernés qui travaillent au contact ou au service </w:t>
      </w:r>
      <w:r>
        <w:rPr>
          <w:b/>
          <w:bCs/>
          <w:lang w:val="fr-FR"/>
        </w:rPr>
        <w:t>d’</w:t>
      </w:r>
      <w:r w:rsidRPr="00AC4E01">
        <w:rPr>
          <w:b/>
          <w:bCs/>
          <w:lang w:val="fr-FR"/>
        </w:rPr>
        <w:t>enfants reçoivent systématiquement une formation appropriée sur le droit de l</w:t>
      </w:r>
      <w:r>
        <w:rPr>
          <w:b/>
          <w:bCs/>
          <w:lang w:val="fr-FR"/>
        </w:rPr>
        <w:t>’</w:t>
      </w:r>
      <w:r w:rsidRPr="00AC4E01">
        <w:rPr>
          <w:b/>
          <w:bCs/>
          <w:lang w:val="fr-FR"/>
        </w:rPr>
        <w:t>enfant d</w:t>
      </w:r>
      <w:r>
        <w:rPr>
          <w:b/>
          <w:bCs/>
          <w:lang w:val="fr-FR"/>
        </w:rPr>
        <w:t>’</w:t>
      </w:r>
      <w:r w:rsidRPr="00AC4E01">
        <w:rPr>
          <w:b/>
          <w:bCs/>
          <w:lang w:val="fr-FR"/>
        </w:rPr>
        <w:t xml:space="preserve">être entendu et de voir son opinion prise en considération, </w:t>
      </w:r>
      <w:r>
        <w:rPr>
          <w:b/>
          <w:bCs/>
          <w:lang w:val="fr-FR"/>
        </w:rPr>
        <w:t>compte tenu</w:t>
      </w:r>
      <w:r w:rsidRPr="00AC4E01">
        <w:rPr>
          <w:b/>
          <w:bCs/>
          <w:lang w:val="fr-FR"/>
        </w:rPr>
        <w:t xml:space="preserve"> de son âge et de son degré de maturité.</w:t>
      </w:r>
    </w:p>
    <w:p w14:paraId="5C336E0A" w14:textId="451761A8" w:rsidR="009576FC" w:rsidRPr="00AC4E01" w:rsidRDefault="009576FC" w:rsidP="009576FC">
      <w:pPr>
        <w:pStyle w:val="H1G"/>
        <w:rPr>
          <w:lang w:val="fr-FR"/>
        </w:rPr>
      </w:pPr>
      <w:r>
        <w:rPr>
          <w:lang w:val="fr-FR"/>
        </w:rPr>
        <w:tab/>
      </w:r>
      <w:r w:rsidRPr="00AC4E01">
        <w:rPr>
          <w:lang w:val="fr-FR"/>
        </w:rPr>
        <w:t>C.</w:t>
      </w:r>
      <w:r w:rsidRPr="00AC4E01">
        <w:rPr>
          <w:lang w:val="fr-FR"/>
        </w:rPr>
        <w:tab/>
        <w:t>Libertés et droits civils (art. 7, 8 et 13 à 17)</w:t>
      </w:r>
    </w:p>
    <w:p w14:paraId="3C115CA9"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Enregistrement des naissances</w:t>
      </w:r>
    </w:p>
    <w:p w14:paraId="011C8FDF" w14:textId="6C456B05" w:rsidR="009576FC" w:rsidRPr="00AC4E01" w:rsidRDefault="009576FC" w:rsidP="009576FC">
      <w:pPr>
        <w:pStyle w:val="SingleTxtG"/>
        <w:rPr>
          <w:b/>
          <w:bCs/>
          <w:lang w:val="fr-FR"/>
        </w:rPr>
      </w:pPr>
      <w:r w:rsidRPr="00AC4E01">
        <w:rPr>
          <w:lang w:val="fr-FR"/>
        </w:rPr>
        <w:t>18.</w:t>
      </w:r>
      <w:r w:rsidRPr="00AC4E01">
        <w:rPr>
          <w:lang w:val="fr-FR"/>
        </w:rPr>
        <w:tab/>
      </w:r>
      <w:r w:rsidRPr="00AC4E01">
        <w:rPr>
          <w:b/>
          <w:bCs/>
          <w:lang w:val="fr-FR"/>
        </w:rPr>
        <w:t xml:space="preserve">Le Comité est préoccupé par le fait que certains enfants, en particulier ceux dont les parents ne sont pas en mesure de présenter des documents prouvant leur identité ou leur nationalité, reçoivent une </w:t>
      </w:r>
      <w:r>
        <w:rPr>
          <w:b/>
          <w:bCs/>
          <w:lang w:val="fr-FR"/>
        </w:rPr>
        <w:t>copie</w:t>
      </w:r>
      <w:r w:rsidRPr="00AC4E01">
        <w:rPr>
          <w:b/>
          <w:bCs/>
          <w:lang w:val="fr-FR"/>
        </w:rPr>
        <w:t xml:space="preserve"> certifiée du registre au lieu d</w:t>
      </w:r>
      <w:r>
        <w:rPr>
          <w:b/>
          <w:bCs/>
          <w:lang w:val="fr-FR"/>
        </w:rPr>
        <w:t>’</w:t>
      </w:r>
      <w:r w:rsidRPr="00AC4E01">
        <w:rPr>
          <w:b/>
          <w:bCs/>
          <w:lang w:val="fr-FR"/>
        </w:rPr>
        <w:t>un certificat de naissance, ce qui limite leur accès à certains services.</w:t>
      </w:r>
      <w:r w:rsidRPr="00AC4E01">
        <w:rPr>
          <w:lang w:val="fr-FR"/>
        </w:rPr>
        <w:t xml:space="preserve"> </w:t>
      </w:r>
      <w:r w:rsidRPr="00AC4E01">
        <w:rPr>
          <w:b/>
          <w:bCs/>
          <w:lang w:val="fr-FR"/>
        </w:rPr>
        <w:t>Rappelant la cible 16.9 des objectifs de développement durable, le Comité recommande à l</w:t>
      </w:r>
      <w:r>
        <w:rPr>
          <w:b/>
          <w:bCs/>
          <w:lang w:val="fr-FR"/>
        </w:rPr>
        <w:t>’</w:t>
      </w:r>
      <w:r w:rsidRPr="00AC4E01">
        <w:rPr>
          <w:b/>
          <w:bCs/>
          <w:lang w:val="fr-FR"/>
        </w:rPr>
        <w:t xml:space="preserve">État partie de </w:t>
      </w:r>
      <w:r>
        <w:rPr>
          <w:b/>
          <w:bCs/>
          <w:lang w:val="fr-FR"/>
        </w:rPr>
        <w:t>redoubler d’efforts</w:t>
      </w:r>
      <w:r w:rsidRPr="00AC4E01">
        <w:rPr>
          <w:b/>
          <w:bCs/>
          <w:lang w:val="fr-FR"/>
        </w:rPr>
        <w:t xml:space="preserve"> pour garantir</w:t>
      </w:r>
      <w:r>
        <w:rPr>
          <w:b/>
          <w:bCs/>
          <w:lang w:val="fr-FR"/>
        </w:rPr>
        <w:t> </w:t>
      </w:r>
      <w:r w:rsidRPr="00AC4E01">
        <w:rPr>
          <w:b/>
          <w:bCs/>
          <w:lang w:val="fr-FR"/>
        </w:rPr>
        <w:t>:</w:t>
      </w:r>
    </w:p>
    <w:p w14:paraId="3FC814A3" w14:textId="33E4D17D" w:rsidR="009576FC" w:rsidRPr="00AC4E01" w:rsidRDefault="009576FC" w:rsidP="009576FC">
      <w:pPr>
        <w:pStyle w:val="SingleTxtG"/>
        <w:ind w:firstLine="567"/>
        <w:rPr>
          <w:b/>
          <w:bCs/>
          <w:lang w:val="fr-FR"/>
        </w:rPr>
      </w:pPr>
      <w:r w:rsidRPr="00AC4E01">
        <w:rPr>
          <w:b/>
          <w:bCs/>
          <w:lang w:val="fr-FR"/>
        </w:rPr>
        <w:t>a)</w:t>
      </w:r>
      <w:r w:rsidRPr="00AC4E01">
        <w:rPr>
          <w:b/>
          <w:bCs/>
          <w:lang w:val="fr-FR"/>
        </w:rPr>
        <w:tab/>
      </w:r>
      <w:r>
        <w:rPr>
          <w:b/>
          <w:bCs/>
          <w:lang w:val="fr-FR"/>
        </w:rPr>
        <w:t>Que t</w:t>
      </w:r>
      <w:r w:rsidRPr="00AC4E01">
        <w:rPr>
          <w:b/>
          <w:bCs/>
          <w:lang w:val="fr-FR"/>
        </w:rPr>
        <w:t>ous les enfants nés dans l</w:t>
      </w:r>
      <w:r>
        <w:rPr>
          <w:b/>
          <w:bCs/>
          <w:lang w:val="fr-FR"/>
        </w:rPr>
        <w:t>’</w:t>
      </w:r>
      <w:r w:rsidRPr="00AC4E01">
        <w:rPr>
          <w:b/>
          <w:bCs/>
          <w:lang w:val="fr-FR"/>
        </w:rPr>
        <w:t>État partie, quel que soit le statut juridique ou le pays d</w:t>
      </w:r>
      <w:r>
        <w:rPr>
          <w:b/>
          <w:bCs/>
          <w:lang w:val="fr-FR"/>
        </w:rPr>
        <w:t>’</w:t>
      </w:r>
      <w:r w:rsidRPr="00AC4E01">
        <w:rPr>
          <w:b/>
          <w:bCs/>
          <w:lang w:val="fr-FR"/>
        </w:rPr>
        <w:t>origine de leurs parents, reçoivent rapidement un certificat de naissance ;</w:t>
      </w:r>
    </w:p>
    <w:p w14:paraId="79CC74A6" w14:textId="7348334C" w:rsidR="009576FC" w:rsidRPr="00AC4E01" w:rsidRDefault="009576FC" w:rsidP="009576FC">
      <w:pPr>
        <w:pStyle w:val="SingleTxtG"/>
        <w:ind w:firstLine="567"/>
        <w:rPr>
          <w:b/>
          <w:bCs/>
          <w:lang w:val="fr-FR"/>
        </w:rPr>
      </w:pPr>
      <w:r w:rsidRPr="00AC4E01">
        <w:rPr>
          <w:b/>
          <w:bCs/>
          <w:lang w:val="fr-FR"/>
        </w:rPr>
        <w:t>b)</w:t>
      </w:r>
      <w:r w:rsidRPr="00AC4E01">
        <w:rPr>
          <w:b/>
          <w:bCs/>
          <w:lang w:val="fr-FR"/>
        </w:rPr>
        <w:tab/>
      </w:r>
      <w:r>
        <w:rPr>
          <w:b/>
          <w:bCs/>
          <w:lang w:val="fr-FR"/>
        </w:rPr>
        <w:t>Que l</w:t>
      </w:r>
      <w:r w:rsidRPr="00AC4E01">
        <w:rPr>
          <w:b/>
          <w:bCs/>
          <w:lang w:val="fr-FR"/>
        </w:rPr>
        <w:t>e personnel des services de l</w:t>
      </w:r>
      <w:r>
        <w:rPr>
          <w:b/>
          <w:bCs/>
          <w:lang w:val="fr-FR"/>
        </w:rPr>
        <w:t>’</w:t>
      </w:r>
      <w:r w:rsidRPr="00AC4E01">
        <w:rPr>
          <w:b/>
          <w:bCs/>
          <w:lang w:val="fr-FR"/>
        </w:rPr>
        <w:t xml:space="preserve">état civil reçoit une formation sur les </w:t>
      </w:r>
      <w:r>
        <w:rPr>
          <w:b/>
          <w:bCs/>
          <w:lang w:val="fr-FR"/>
        </w:rPr>
        <w:t xml:space="preserve">différentes </w:t>
      </w:r>
      <w:r w:rsidRPr="00AC4E01">
        <w:rPr>
          <w:b/>
          <w:bCs/>
          <w:lang w:val="fr-FR"/>
        </w:rPr>
        <w:t xml:space="preserve">manières </w:t>
      </w:r>
      <w:r>
        <w:rPr>
          <w:b/>
          <w:bCs/>
          <w:lang w:val="fr-FR"/>
        </w:rPr>
        <w:t>dont</w:t>
      </w:r>
      <w:r w:rsidRPr="00AC4E01">
        <w:rPr>
          <w:b/>
          <w:bCs/>
          <w:lang w:val="fr-FR"/>
        </w:rPr>
        <w:t xml:space="preserve"> les parents </w:t>
      </w:r>
      <w:r>
        <w:rPr>
          <w:b/>
          <w:bCs/>
          <w:lang w:val="fr-FR"/>
        </w:rPr>
        <w:t>peuvent</w:t>
      </w:r>
      <w:r w:rsidRPr="00AC4E01">
        <w:rPr>
          <w:b/>
          <w:bCs/>
          <w:lang w:val="fr-FR"/>
        </w:rPr>
        <w:t xml:space="preserve"> prouver leur identité, par exemple </w:t>
      </w:r>
      <w:r>
        <w:rPr>
          <w:b/>
          <w:bCs/>
          <w:lang w:val="fr-FR"/>
        </w:rPr>
        <w:t>la présentation de</w:t>
      </w:r>
      <w:r w:rsidRPr="00AC4E01">
        <w:rPr>
          <w:b/>
          <w:bCs/>
          <w:lang w:val="fr-FR"/>
        </w:rPr>
        <w:t xml:space="preserve"> documents autres </w:t>
      </w:r>
      <w:r>
        <w:rPr>
          <w:b/>
          <w:bCs/>
          <w:lang w:val="fr-FR"/>
        </w:rPr>
        <w:t>qu’une</w:t>
      </w:r>
      <w:r w:rsidRPr="00AC4E01">
        <w:rPr>
          <w:b/>
          <w:bCs/>
          <w:lang w:val="fr-FR"/>
        </w:rPr>
        <w:t xml:space="preserve"> pièce d</w:t>
      </w:r>
      <w:r>
        <w:rPr>
          <w:b/>
          <w:bCs/>
          <w:lang w:val="fr-FR"/>
        </w:rPr>
        <w:t>’</w:t>
      </w:r>
      <w:r w:rsidRPr="00AC4E01">
        <w:rPr>
          <w:b/>
          <w:bCs/>
          <w:lang w:val="fr-FR"/>
        </w:rPr>
        <w:t xml:space="preserve">identité officielle ou </w:t>
      </w:r>
      <w:r>
        <w:rPr>
          <w:b/>
          <w:bCs/>
          <w:lang w:val="fr-FR"/>
        </w:rPr>
        <w:t>d’</w:t>
      </w:r>
      <w:r w:rsidRPr="00AC4E01">
        <w:rPr>
          <w:b/>
          <w:bCs/>
          <w:lang w:val="fr-FR"/>
        </w:rPr>
        <w:t>une attestation sur l</w:t>
      </w:r>
      <w:r>
        <w:rPr>
          <w:b/>
          <w:bCs/>
          <w:lang w:val="fr-FR"/>
        </w:rPr>
        <w:t>’</w:t>
      </w:r>
      <w:r w:rsidRPr="00AC4E01">
        <w:rPr>
          <w:b/>
          <w:bCs/>
          <w:lang w:val="fr-FR"/>
        </w:rPr>
        <w:t>honneur signée par eux ;</w:t>
      </w:r>
    </w:p>
    <w:p w14:paraId="33A3FBE4" w14:textId="6355D560" w:rsidR="009576FC" w:rsidRPr="00AC4E01" w:rsidRDefault="009576FC" w:rsidP="009576FC">
      <w:pPr>
        <w:pStyle w:val="SingleTxtG"/>
        <w:ind w:firstLine="567"/>
        <w:rPr>
          <w:b/>
          <w:bCs/>
          <w:lang w:val="fr-FR"/>
        </w:rPr>
      </w:pPr>
      <w:r w:rsidRPr="00AC4E01">
        <w:rPr>
          <w:b/>
          <w:bCs/>
          <w:lang w:val="fr-FR"/>
        </w:rPr>
        <w:lastRenderedPageBreak/>
        <w:t>c)</w:t>
      </w:r>
      <w:r w:rsidRPr="00AC4E01">
        <w:rPr>
          <w:b/>
          <w:bCs/>
          <w:lang w:val="fr-FR"/>
        </w:rPr>
        <w:tab/>
      </w:r>
      <w:r>
        <w:rPr>
          <w:b/>
          <w:bCs/>
          <w:lang w:val="fr-FR"/>
        </w:rPr>
        <w:t>Que l</w:t>
      </w:r>
      <w:r w:rsidRPr="00AC4E01">
        <w:rPr>
          <w:b/>
          <w:bCs/>
          <w:lang w:val="fr-FR"/>
        </w:rPr>
        <w:t xml:space="preserve">es parents sans titre de séjour qui </w:t>
      </w:r>
      <w:r>
        <w:rPr>
          <w:b/>
          <w:bCs/>
          <w:lang w:val="fr-FR"/>
        </w:rPr>
        <w:t>font enregistrer la naissance de</w:t>
      </w:r>
      <w:r w:rsidRPr="00AC4E01">
        <w:rPr>
          <w:b/>
          <w:bCs/>
          <w:lang w:val="fr-FR"/>
        </w:rPr>
        <w:t xml:space="preserve"> leurs enfants ne sont pas dénoncés aux services de l</w:t>
      </w:r>
      <w:r>
        <w:rPr>
          <w:b/>
          <w:bCs/>
          <w:lang w:val="fr-FR"/>
        </w:rPr>
        <w:t>’</w:t>
      </w:r>
      <w:r w:rsidRPr="00AC4E01">
        <w:rPr>
          <w:b/>
          <w:bCs/>
          <w:lang w:val="fr-FR"/>
        </w:rPr>
        <w:t>immigration.</w:t>
      </w:r>
    </w:p>
    <w:p w14:paraId="35032FC6" w14:textId="46B1461E" w:rsidR="009576FC" w:rsidRPr="00AC4E01" w:rsidRDefault="009576FC" w:rsidP="009576FC">
      <w:pPr>
        <w:pStyle w:val="H23G"/>
        <w:spacing w:line="240" w:lineRule="atLeast"/>
        <w:rPr>
          <w:bCs/>
          <w:lang w:val="fr-FR"/>
        </w:rPr>
      </w:pPr>
      <w:r w:rsidRPr="00AC4E01">
        <w:rPr>
          <w:bCs/>
          <w:lang w:val="fr-FR"/>
        </w:rPr>
        <w:tab/>
      </w:r>
      <w:r w:rsidRPr="00AC4E01">
        <w:rPr>
          <w:bCs/>
          <w:lang w:val="fr-FR"/>
        </w:rPr>
        <w:tab/>
        <w:t>Droit à l</w:t>
      </w:r>
      <w:r>
        <w:rPr>
          <w:bCs/>
          <w:lang w:val="fr-FR"/>
        </w:rPr>
        <w:t>’</w:t>
      </w:r>
      <w:r w:rsidRPr="00AC4E01">
        <w:rPr>
          <w:bCs/>
          <w:lang w:val="fr-FR"/>
        </w:rPr>
        <w:t>identité</w:t>
      </w:r>
    </w:p>
    <w:p w14:paraId="564C7F84" w14:textId="475922F9" w:rsidR="009576FC" w:rsidRPr="00AC4E01" w:rsidRDefault="009576FC" w:rsidP="009576FC">
      <w:pPr>
        <w:pStyle w:val="SingleTxtG"/>
        <w:rPr>
          <w:lang w:val="fr-FR"/>
        </w:rPr>
      </w:pPr>
      <w:r w:rsidRPr="00231001">
        <w:rPr>
          <w:lang w:val="fr-FR"/>
        </w:rPr>
        <w:t>19.</w:t>
      </w:r>
      <w:r w:rsidRPr="00AC4E01">
        <w:rPr>
          <w:b/>
          <w:bCs/>
          <w:lang w:val="fr-FR"/>
        </w:rPr>
        <w:tab/>
      </w:r>
      <w:r>
        <w:rPr>
          <w:b/>
          <w:bCs/>
          <w:lang w:val="fr-FR"/>
        </w:rPr>
        <w:t>S</w:t>
      </w:r>
      <w:r w:rsidRPr="00AC4E01">
        <w:rPr>
          <w:b/>
          <w:bCs/>
          <w:lang w:val="fr-FR"/>
        </w:rPr>
        <w:t>aluant l</w:t>
      </w:r>
      <w:r>
        <w:rPr>
          <w:b/>
          <w:bCs/>
          <w:lang w:val="fr-FR"/>
        </w:rPr>
        <w:t>’</w:t>
      </w:r>
      <w:r w:rsidRPr="00AC4E01">
        <w:rPr>
          <w:b/>
          <w:bCs/>
          <w:lang w:val="fr-FR"/>
        </w:rPr>
        <w:t>adoption de la loi sur le renforcement de l</w:t>
      </w:r>
      <w:r>
        <w:rPr>
          <w:b/>
          <w:bCs/>
          <w:lang w:val="fr-FR"/>
        </w:rPr>
        <w:t>’</w:t>
      </w:r>
      <w:r w:rsidRPr="00AC4E01">
        <w:rPr>
          <w:b/>
          <w:bCs/>
          <w:lang w:val="fr-FR"/>
        </w:rPr>
        <w:t>aide aux femmes enceintes et sur la réglementation des accouchements confidentiels et la diminution du nombre de cas d</w:t>
      </w:r>
      <w:r>
        <w:rPr>
          <w:b/>
          <w:bCs/>
          <w:lang w:val="fr-FR"/>
        </w:rPr>
        <w:t>’</w:t>
      </w:r>
      <w:r w:rsidRPr="00AC4E01">
        <w:rPr>
          <w:b/>
          <w:bCs/>
          <w:lang w:val="fr-FR"/>
        </w:rPr>
        <w:t>abandon anonyme d</w:t>
      </w:r>
      <w:r>
        <w:rPr>
          <w:b/>
          <w:bCs/>
          <w:lang w:val="fr-FR"/>
        </w:rPr>
        <w:t>’</w:t>
      </w:r>
      <w:r w:rsidRPr="00AC4E01">
        <w:rPr>
          <w:b/>
          <w:bCs/>
          <w:lang w:val="fr-FR"/>
        </w:rPr>
        <w:t xml:space="preserve">enfants au cours de la période considérée, </w:t>
      </w:r>
      <w:r>
        <w:rPr>
          <w:b/>
          <w:bCs/>
          <w:lang w:val="fr-FR"/>
        </w:rPr>
        <w:t>l</w:t>
      </w:r>
      <w:r w:rsidRPr="00AC4E01">
        <w:rPr>
          <w:b/>
          <w:bCs/>
          <w:lang w:val="fr-FR"/>
        </w:rPr>
        <w:t>e Comité recommande à l</w:t>
      </w:r>
      <w:r>
        <w:rPr>
          <w:b/>
          <w:bCs/>
          <w:lang w:val="fr-FR"/>
        </w:rPr>
        <w:t>’</w:t>
      </w:r>
      <w:r w:rsidRPr="00AC4E01">
        <w:rPr>
          <w:b/>
          <w:bCs/>
          <w:lang w:val="fr-FR"/>
        </w:rPr>
        <w:t>État partie de continuer à renforcer les mesures visant à promouvoir le recours à l</w:t>
      </w:r>
      <w:r>
        <w:rPr>
          <w:b/>
          <w:bCs/>
          <w:lang w:val="fr-FR"/>
        </w:rPr>
        <w:t>’</w:t>
      </w:r>
      <w:r w:rsidRPr="00AC4E01">
        <w:rPr>
          <w:b/>
          <w:bCs/>
          <w:lang w:val="fr-FR"/>
        </w:rPr>
        <w:t>accouchement confidentiel et de veiller à ce que les informations sur l</w:t>
      </w:r>
      <w:r>
        <w:rPr>
          <w:b/>
          <w:bCs/>
          <w:lang w:val="fr-FR"/>
        </w:rPr>
        <w:t>’</w:t>
      </w:r>
      <w:r w:rsidRPr="00AC4E01">
        <w:rPr>
          <w:b/>
          <w:bCs/>
          <w:lang w:val="fr-FR"/>
        </w:rPr>
        <w:t xml:space="preserve">origine biologique des </w:t>
      </w:r>
      <w:r>
        <w:rPr>
          <w:b/>
          <w:bCs/>
          <w:lang w:val="fr-FR"/>
        </w:rPr>
        <w:t>enfants</w:t>
      </w:r>
      <w:r w:rsidRPr="00AC4E01">
        <w:rPr>
          <w:b/>
          <w:bCs/>
          <w:lang w:val="fr-FR"/>
        </w:rPr>
        <w:t xml:space="preserve"> soient préservées, en vue de mettre fin à l</w:t>
      </w:r>
      <w:r>
        <w:rPr>
          <w:b/>
          <w:bCs/>
          <w:lang w:val="fr-FR"/>
        </w:rPr>
        <w:t>’</w:t>
      </w:r>
      <w:r w:rsidRPr="00AC4E01">
        <w:rPr>
          <w:b/>
          <w:bCs/>
          <w:lang w:val="fr-FR"/>
        </w:rPr>
        <w:t>utilisation des boîtes à bébés.</w:t>
      </w:r>
    </w:p>
    <w:p w14:paraId="4FC4DAD2"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Droit à la liberté de religion</w:t>
      </w:r>
    </w:p>
    <w:p w14:paraId="4E0B8B65" w14:textId="4FA1339A" w:rsidR="009576FC" w:rsidRPr="00AC4E01" w:rsidRDefault="009576FC" w:rsidP="009576FC">
      <w:pPr>
        <w:pStyle w:val="SingleTxtG"/>
        <w:rPr>
          <w:lang w:val="fr-FR"/>
        </w:rPr>
      </w:pPr>
      <w:r w:rsidRPr="00AC4E01">
        <w:rPr>
          <w:lang w:val="fr-FR"/>
        </w:rPr>
        <w:t>20.</w:t>
      </w:r>
      <w:r w:rsidRPr="00AC4E01">
        <w:rPr>
          <w:lang w:val="fr-FR"/>
        </w:rPr>
        <w:tab/>
      </w:r>
      <w:r w:rsidRPr="00AC4E01">
        <w:rPr>
          <w:b/>
          <w:bCs/>
          <w:lang w:val="fr-FR"/>
        </w:rPr>
        <w:t>Le Comité est préoccupé par les affaires portées devant les juridictions et par les débats publics concernant la possibilité d</w:t>
      </w:r>
      <w:r>
        <w:rPr>
          <w:b/>
          <w:bCs/>
          <w:lang w:val="fr-FR"/>
        </w:rPr>
        <w:t>’</w:t>
      </w:r>
      <w:r w:rsidRPr="00AC4E01">
        <w:rPr>
          <w:b/>
          <w:bCs/>
          <w:lang w:val="fr-FR"/>
        </w:rPr>
        <w:t>interdire le port de tenues religieuses couvrant le visage dans les écoles</w:t>
      </w:r>
      <w:r>
        <w:rPr>
          <w:b/>
          <w:bCs/>
          <w:lang w:val="fr-FR"/>
        </w:rPr>
        <w:t>, et</w:t>
      </w:r>
      <w:r w:rsidRPr="00AC4E01">
        <w:rPr>
          <w:b/>
          <w:bCs/>
          <w:lang w:val="fr-FR"/>
        </w:rPr>
        <w:t xml:space="preserve"> recommande à l</w:t>
      </w:r>
      <w:r>
        <w:rPr>
          <w:b/>
          <w:bCs/>
          <w:lang w:val="fr-FR"/>
        </w:rPr>
        <w:t>’</w:t>
      </w:r>
      <w:r w:rsidRPr="00AC4E01">
        <w:rPr>
          <w:b/>
          <w:bCs/>
          <w:lang w:val="fr-FR"/>
        </w:rPr>
        <w:t>État partie d</w:t>
      </w:r>
      <w:r>
        <w:rPr>
          <w:b/>
          <w:bCs/>
          <w:lang w:val="fr-FR"/>
        </w:rPr>
        <w:t>’</w:t>
      </w:r>
      <w:r w:rsidRPr="00AC4E01">
        <w:rPr>
          <w:b/>
          <w:bCs/>
          <w:lang w:val="fr-FR"/>
        </w:rPr>
        <w:t>évaluer les effets potentiels d</w:t>
      </w:r>
      <w:r>
        <w:rPr>
          <w:b/>
          <w:bCs/>
          <w:lang w:val="fr-FR"/>
        </w:rPr>
        <w:t>’</w:t>
      </w:r>
      <w:r w:rsidRPr="00AC4E01">
        <w:rPr>
          <w:b/>
          <w:bCs/>
          <w:lang w:val="fr-FR"/>
        </w:rPr>
        <w:t>une telle interdiction sur les droits de l</w:t>
      </w:r>
      <w:r>
        <w:rPr>
          <w:b/>
          <w:bCs/>
          <w:lang w:val="fr-FR"/>
        </w:rPr>
        <w:t>’</w:t>
      </w:r>
      <w:r w:rsidRPr="00AC4E01">
        <w:rPr>
          <w:b/>
          <w:bCs/>
          <w:lang w:val="fr-FR"/>
        </w:rPr>
        <w:t>enfant tels qu</w:t>
      </w:r>
      <w:r>
        <w:rPr>
          <w:b/>
          <w:bCs/>
          <w:lang w:val="fr-FR"/>
        </w:rPr>
        <w:t>’</w:t>
      </w:r>
      <w:r w:rsidRPr="00AC4E01">
        <w:rPr>
          <w:b/>
          <w:bCs/>
          <w:lang w:val="fr-FR"/>
        </w:rPr>
        <w:t>ils sont énoncés dans la Convention et les Protocoles facultatifs s</w:t>
      </w:r>
      <w:r>
        <w:rPr>
          <w:b/>
          <w:bCs/>
          <w:lang w:val="fr-FR"/>
        </w:rPr>
        <w:t>’</w:t>
      </w:r>
      <w:r w:rsidRPr="00AC4E01">
        <w:rPr>
          <w:b/>
          <w:bCs/>
          <w:lang w:val="fr-FR"/>
        </w:rPr>
        <w:t>y rapportant.</w:t>
      </w:r>
    </w:p>
    <w:p w14:paraId="2BEF8B1E"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Droit à la protection de la vie privée et accès à une information appropriée</w:t>
      </w:r>
    </w:p>
    <w:p w14:paraId="1FB8C72E" w14:textId="7D0B8E74" w:rsidR="009576FC" w:rsidRPr="00AC4E01" w:rsidRDefault="009576FC" w:rsidP="009576FC">
      <w:pPr>
        <w:pStyle w:val="SingleTxtG"/>
        <w:rPr>
          <w:b/>
          <w:bCs/>
          <w:lang w:val="fr-FR"/>
        </w:rPr>
      </w:pPr>
      <w:r w:rsidRPr="0017353E">
        <w:rPr>
          <w:lang w:val="fr-FR"/>
        </w:rPr>
        <w:t>21.</w:t>
      </w:r>
      <w:r w:rsidRPr="00AC4E01">
        <w:rPr>
          <w:b/>
          <w:bCs/>
          <w:lang w:val="fr-FR"/>
        </w:rPr>
        <w:tab/>
        <w:t xml:space="preserve">Rappelant son observation générale </w:t>
      </w:r>
      <w:r w:rsidRPr="009576FC">
        <w:rPr>
          <w:rFonts w:eastAsia="MS Mincho"/>
          <w:b/>
          <w:bCs/>
          <w:szCs w:val="22"/>
          <w:lang w:val="fr-FR"/>
        </w:rPr>
        <w:t>n</w:t>
      </w:r>
      <w:r w:rsidRPr="009576FC">
        <w:rPr>
          <w:rFonts w:eastAsia="MS Mincho"/>
          <w:b/>
          <w:bCs/>
          <w:szCs w:val="22"/>
          <w:vertAlign w:val="superscript"/>
          <w:lang w:val="fr-FR"/>
        </w:rPr>
        <w:t>o</w:t>
      </w:r>
      <w:r>
        <w:rPr>
          <w:b/>
          <w:bCs/>
          <w:lang w:val="fr-FR"/>
        </w:rPr>
        <w:t> </w:t>
      </w:r>
      <w:r w:rsidRPr="00AC4E01">
        <w:rPr>
          <w:b/>
          <w:bCs/>
          <w:lang w:val="fr-FR"/>
        </w:rPr>
        <w:t>25 (2021) sur les droits de l</w:t>
      </w:r>
      <w:r>
        <w:rPr>
          <w:b/>
          <w:bCs/>
          <w:lang w:val="fr-FR"/>
        </w:rPr>
        <w:t>’</w:t>
      </w:r>
      <w:r w:rsidRPr="00AC4E01">
        <w:rPr>
          <w:b/>
          <w:bCs/>
          <w:lang w:val="fr-FR"/>
        </w:rPr>
        <w:t>enfant en relation avec l</w:t>
      </w:r>
      <w:r>
        <w:rPr>
          <w:b/>
          <w:bCs/>
          <w:lang w:val="fr-FR"/>
        </w:rPr>
        <w:t>’</w:t>
      </w:r>
      <w:r w:rsidRPr="00AC4E01">
        <w:rPr>
          <w:b/>
          <w:bCs/>
          <w:lang w:val="fr-FR"/>
        </w:rPr>
        <w:t>environnement numérique, le Comité recommande à l</w:t>
      </w:r>
      <w:r>
        <w:rPr>
          <w:b/>
          <w:bCs/>
          <w:lang w:val="fr-FR"/>
        </w:rPr>
        <w:t>’</w:t>
      </w:r>
      <w:r w:rsidRPr="00AC4E01">
        <w:rPr>
          <w:b/>
          <w:bCs/>
          <w:lang w:val="fr-FR"/>
        </w:rPr>
        <w:t>État partie :</w:t>
      </w:r>
    </w:p>
    <w:p w14:paraId="0EBDFBEB" w14:textId="16EDF11E" w:rsidR="009576FC" w:rsidRPr="00AC4E01" w:rsidRDefault="009576FC" w:rsidP="009576FC">
      <w:pPr>
        <w:pStyle w:val="SingleTxtG"/>
        <w:ind w:firstLine="567"/>
        <w:rPr>
          <w:b/>
          <w:bCs/>
          <w:lang w:val="fr-FR"/>
        </w:rPr>
      </w:pPr>
      <w:r w:rsidRPr="00AC4E01">
        <w:rPr>
          <w:b/>
          <w:bCs/>
          <w:lang w:val="fr-FR"/>
        </w:rPr>
        <w:t>a)</w:t>
      </w:r>
      <w:r w:rsidRPr="00AC4E01">
        <w:rPr>
          <w:b/>
          <w:bCs/>
          <w:lang w:val="fr-FR"/>
        </w:rPr>
        <w:tab/>
        <w:t>D</w:t>
      </w:r>
      <w:r>
        <w:rPr>
          <w:b/>
          <w:bCs/>
          <w:lang w:val="fr-FR"/>
        </w:rPr>
        <w:t>’</w:t>
      </w:r>
      <w:r w:rsidRPr="00AC4E01">
        <w:rPr>
          <w:b/>
          <w:bCs/>
          <w:lang w:val="fr-FR"/>
        </w:rPr>
        <w:t>allouer des ressources techniques, financières et humaines suffisantes à la nouvelle Agence fédérale pour la protection de l</w:t>
      </w:r>
      <w:r>
        <w:rPr>
          <w:b/>
          <w:bCs/>
          <w:lang w:val="fr-FR"/>
        </w:rPr>
        <w:t>’</w:t>
      </w:r>
      <w:r w:rsidRPr="00AC4E01">
        <w:rPr>
          <w:b/>
          <w:bCs/>
          <w:lang w:val="fr-FR"/>
        </w:rPr>
        <w:t xml:space="preserve">enfance et de la jeunesse dans les </w:t>
      </w:r>
      <w:proofErr w:type="spellStart"/>
      <w:r w:rsidRPr="00AC4E01">
        <w:rPr>
          <w:b/>
          <w:bCs/>
          <w:lang w:val="fr-FR"/>
        </w:rPr>
        <w:t>médias</w:t>
      </w:r>
      <w:proofErr w:type="spellEnd"/>
      <w:r w:rsidRPr="00AC4E01">
        <w:rPr>
          <w:b/>
          <w:bCs/>
          <w:lang w:val="fr-FR"/>
        </w:rPr>
        <w:t xml:space="preserve"> et de veiller à ce que celle-ci élabore une réglementation et des mesures de sauvegarde pour protéger les droits, la vie privée et la sécurité des enfants dans l</w:t>
      </w:r>
      <w:r>
        <w:rPr>
          <w:b/>
          <w:bCs/>
          <w:lang w:val="fr-FR"/>
        </w:rPr>
        <w:t>’</w:t>
      </w:r>
      <w:r w:rsidRPr="00AC4E01">
        <w:rPr>
          <w:b/>
          <w:bCs/>
          <w:lang w:val="fr-FR"/>
        </w:rPr>
        <w:t>environnement numérique et protéger les enfants contre les contenus préjudiciables et les risques auxquels ils sont exposés en ligne ;</w:t>
      </w:r>
    </w:p>
    <w:p w14:paraId="29760F6F" w14:textId="2E20DBBF"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renforcer l</w:t>
      </w:r>
      <w:r>
        <w:rPr>
          <w:b/>
          <w:bCs/>
          <w:lang w:val="fr-FR"/>
        </w:rPr>
        <w:t>’</w:t>
      </w:r>
      <w:r w:rsidRPr="00AC4E01">
        <w:rPr>
          <w:b/>
          <w:bCs/>
          <w:lang w:val="fr-FR"/>
        </w:rPr>
        <w:t>application des lois qui protègent les enfants dans l</w:t>
      </w:r>
      <w:r>
        <w:rPr>
          <w:b/>
          <w:bCs/>
          <w:lang w:val="fr-FR"/>
        </w:rPr>
        <w:t>’</w:t>
      </w:r>
      <w:r w:rsidRPr="00AC4E01">
        <w:rPr>
          <w:b/>
          <w:bCs/>
          <w:lang w:val="fr-FR"/>
        </w:rPr>
        <w:t>environnement numérique, notamment la loi sur la protection de la jeunesse telle que révisée et la loi visant à améliorer l</w:t>
      </w:r>
      <w:r>
        <w:rPr>
          <w:b/>
          <w:bCs/>
          <w:lang w:val="fr-FR"/>
        </w:rPr>
        <w:t>’</w:t>
      </w:r>
      <w:r w:rsidRPr="00AC4E01">
        <w:rPr>
          <w:b/>
          <w:bCs/>
          <w:lang w:val="fr-FR"/>
        </w:rPr>
        <w:t>affirmation des droits reconnus par la loi sur les réseaux sociaux, par exemple en mettant en place des mécanismes qui permettent d</w:t>
      </w:r>
      <w:r>
        <w:rPr>
          <w:b/>
          <w:bCs/>
          <w:lang w:val="fr-FR"/>
        </w:rPr>
        <w:t>’</w:t>
      </w:r>
      <w:r w:rsidRPr="00AC4E01">
        <w:rPr>
          <w:b/>
          <w:bCs/>
          <w:lang w:val="fr-FR"/>
        </w:rPr>
        <w:t>engager des poursuites en cas de violation des droits de l</w:t>
      </w:r>
      <w:r>
        <w:rPr>
          <w:b/>
          <w:bCs/>
          <w:lang w:val="fr-FR"/>
        </w:rPr>
        <w:t>’</w:t>
      </w:r>
      <w:r w:rsidRPr="00AC4E01">
        <w:rPr>
          <w:b/>
          <w:bCs/>
          <w:lang w:val="fr-FR"/>
        </w:rPr>
        <w:t>enfant dans l</w:t>
      </w:r>
      <w:r>
        <w:rPr>
          <w:b/>
          <w:bCs/>
          <w:lang w:val="fr-FR"/>
        </w:rPr>
        <w:t>’</w:t>
      </w:r>
      <w:r w:rsidRPr="00AC4E01">
        <w:rPr>
          <w:b/>
          <w:bCs/>
          <w:lang w:val="fr-FR"/>
        </w:rPr>
        <w:t>environnement numérique ;</w:t>
      </w:r>
    </w:p>
    <w:p w14:paraId="313ADD7B" w14:textId="268F0D03" w:rsidR="009576FC" w:rsidRPr="00AC4E01" w:rsidRDefault="009576FC" w:rsidP="009576FC">
      <w:pPr>
        <w:pStyle w:val="SingleTxtG"/>
        <w:ind w:firstLine="567"/>
        <w:rPr>
          <w:lang w:val="fr-FR"/>
        </w:rPr>
      </w:pPr>
      <w:r w:rsidRPr="00AC4E01">
        <w:rPr>
          <w:b/>
          <w:bCs/>
          <w:lang w:val="fr-FR"/>
        </w:rPr>
        <w:t>c)</w:t>
      </w:r>
      <w:r w:rsidRPr="00AC4E01">
        <w:rPr>
          <w:b/>
          <w:bCs/>
          <w:lang w:val="fr-FR"/>
        </w:rPr>
        <w:tab/>
        <w:t>D</w:t>
      </w:r>
      <w:r>
        <w:rPr>
          <w:b/>
          <w:bCs/>
          <w:lang w:val="fr-FR"/>
        </w:rPr>
        <w:t>’</w:t>
      </w:r>
      <w:r w:rsidRPr="00AC4E01">
        <w:rPr>
          <w:b/>
          <w:bCs/>
          <w:lang w:val="fr-FR"/>
        </w:rPr>
        <w:t>améliorer l</w:t>
      </w:r>
      <w:r>
        <w:rPr>
          <w:b/>
          <w:bCs/>
          <w:lang w:val="fr-FR"/>
        </w:rPr>
        <w:t>’</w:t>
      </w:r>
      <w:r w:rsidRPr="00AC4E01">
        <w:rPr>
          <w:b/>
          <w:bCs/>
          <w:lang w:val="fr-FR"/>
        </w:rPr>
        <w:t>habileté et les compétences numériques des enfants, des parents et des enseignants, notamment en intégrant la culture numérique dans les programmes scolaires.</w:t>
      </w:r>
    </w:p>
    <w:p w14:paraId="3A4F8E74" w14:textId="4E7057B5" w:rsidR="009576FC" w:rsidRPr="00AC4E01" w:rsidRDefault="009576FC" w:rsidP="009576FC">
      <w:pPr>
        <w:pStyle w:val="H1G"/>
        <w:rPr>
          <w:lang w:val="fr-FR"/>
        </w:rPr>
      </w:pPr>
      <w:r>
        <w:rPr>
          <w:lang w:val="fr-FR"/>
        </w:rPr>
        <w:tab/>
      </w:r>
      <w:r w:rsidRPr="00AC4E01">
        <w:rPr>
          <w:lang w:val="fr-FR"/>
        </w:rPr>
        <w:t>D.</w:t>
      </w:r>
      <w:r w:rsidRPr="00AC4E01">
        <w:rPr>
          <w:lang w:val="fr-FR"/>
        </w:rPr>
        <w:tab/>
      </w:r>
      <w:r w:rsidRPr="009576FC">
        <w:t>Violence</w:t>
      </w:r>
      <w:r w:rsidRPr="00AC4E01">
        <w:rPr>
          <w:lang w:val="fr-FR"/>
        </w:rPr>
        <w:t xml:space="preserve"> à l</w:t>
      </w:r>
      <w:r>
        <w:rPr>
          <w:lang w:val="fr-FR"/>
        </w:rPr>
        <w:t>’</w:t>
      </w:r>
      <w:r w:rsidRPr="00AC4E01">
        <w:rPr>
          <w:lang w:val="fr-FR"/>
        </w:rPr>
        <w:t xml:space="preserve">égard des enfants (art. 19, 24 (par. 3), 28 (par. 2), 34, </w:t>
      </w:r>
      <w:r>
        <w:rPr>
          <w:lang w:val="fr-FR"/>
        </w:rPr>
        <w:br/>
      </w:r>
      <w:r w:rsidRPr="00AC4E01">
        <w:rPr>
          <w:lang w:val="fr-FR"/>
        </w:rPr>
        <w:t>37 (al. a)) et 39)</w:t>
      </w:r>
    </w:p>
    <w:p w14:paraId="1918B8A8" w14:textId="5807B829"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Violence à l</w:t>
      </w:r>
      <w:r>
        <w:rPr>
          <w:bCs/>
          <w:lang w:val="fr-FR"/>
        </w:rPr>
        <w:t>’</w:t>
      </w:r>
      <w:r w:rsidRPr="00AC4E01">
        <w:rPr>
          <w:bCs/>
          <w:lang w:val="fr-FR"/>
        </w:rPr>
        <w:t>égard des enfants</w:t>
      </w:r>
    </w:p>
    <w:p w14:paraId="6470C791" w14:textId="617C968F" w:rsidR="009576FC" w:rsidRPr="00AC4E01" w:rsidRDefault="009576FC" w:rsidP="009576FC">
      <w:pPr>
        <w:pStyle w:val="SingleTxtG"/>
        <w:rPr>
          <w:lang w:val="fr-FR"/>
        </w:rPr>
      </w:pPr>
      <w:r w:rsidRPr="00AC4E01">
        <w:rPr>
          <w:lang w:val="fr-FR"/>
        </w:rPr>
        <w:t>22.</w:t>
      </w:r>
      <w:r w:rsidRPr="00AC4E01">
        <w:rPr>
          <w:lang w:val="fr-FR"/>
        </w:rPr>
        <w:tab/>
        <w:t xml:space="preserve">Le Comité salue les diverses mesures législatives et </w:t>
      </w:r>
      <w:r>
        <w:rPr>
          <w:lang w:val="fr-FR"/>
        </w:rPr>
        <w:t>générales</w:t>
      </w:r>
      <w:r w:rsidRPr="00AC4E01">
        <w:rPr>
          <w:lang w:val="fr-FR"/>
        </w:rPr>
        <w:t xml:space="preserve"> visant à lutter contre toutes les formes de violence à l</w:t>
      </w:r>
      <w:r>
        <w:rPr>
          <w:lang w:val="fr-FR"/>
        </w:rPr>
        <w:t>’</w:t>
      </w:r>
      <w:r w:rsidRPr="00AC4E01">
        <w:rPr>
          <w:lang w:val="fr-FR"/>
        </w:rPr>
        <w:t>égard des enfants, notamment la création d</w:t>
      </w:r>
      <w:r>
        <w:rPr>
          <w:lang w:val="fr-FR"/>
        </w:rPr>
        <w:t>’</w:t>
      </w:r>
      <w:r w:rsidRPr="00AC4E01">
        <w:rPr>
          <w:lang w:val="fr-FR"/>
        </w:rPr>
        <w:t xml:space="preserve">un bureau fédéral </w:t>
      </w:r>
      <w:r>
        <w:rPr>
          <w:lang w:val="fr-FR"/>
        </w:rPr>
        <w:t>chargé de la</w:t>
      </w:r>
      <w:r w:rsidRPr="00AC4E01">
        <w:rPr>
          <w:lang w:val="fr-FR"/>
        </w:rPr>
        <w:t xml:space="preserve"> coordination entre les centres de consultation spécialisés dans la lutte contre l</w:t>
      </w:r>
      <w:r>
        <w:rPr>
          <w:lang w:val="fr-FR"/>
        </w:rPr>
        <w:t>’</w:t>
      </w:r>
      <w:r w:rsidRPr="00AC4E01">
        <w:rPr>
          <w:lang w:val="fr-FR"/>
        </w:rPr>
        <w:t>exploitation sexuelle et d</w:t>
      </w:r>
      <w:r>
        <w:rPr>
          <w:lang w:val="fr-FR"/>
        </w:rPr>
        <w:t>’</w:t>
      </w:r>
      <w:r w:rsidRPr="00AC4E01">
        <w:rPr>
          <w:lang w:val="fr-FR"/>
        </w:rPr>
        <w:t>un conseil national sur la violence sexuelle à l</w:t>
      </w:r>
      <w:r>
        <w:rPr>
          <w:lang w:val="fr-FR"/>
        </w:rPr>
        <w:t>’</w:t>
      </w:r>
      <w:r w:rsidRPr="00AC4E01">
        <w:rPr>
          <w:lang w:val="fr-FR"/>
        </w:rPr>
        <w:t>égard des enfants et des adolescents, la ratification de la Convention du Conseil de l</w:t>
      </w:r>
      <w:r>
        <w:rPr>
          <w:lang w:val="fr-FR"/>
        </w:rPr>
        <w:t>’</w:t>
      </w:r>
      <w:r w:rsidRPr="00AC4E01">
        <w:rPr>
          <w:lang w:val="fr-FR"/>
        </w:rPr>
        <w:t>Europe sur la prévention et la lutte contre la violence à l</w:t>
      </w:r>
      <w:r>
        <w:rPr>
          <w:lang w:val="fr-FR"/>
        </w:rPr>
        <w:t>’</w:t>
      </w:r>
      <w:r w:rsidRPr="00AC4E01">
        <w:rPr>
          <w:lang w:val="fr-FR"/>
        </w:rPr>
        <w:t xml:space="preserve">égard des femmes et la violence domestique et la mise en œuvre de divers programmes et activités de sensibilisation. Il reste cependant gravement préoccupé par </w:t>
      </w:r>
      <w:r>
        <w:rPr>
          <w:lang w:val="fr-FR"/>
        </w:rPr>
        <w:t>l’ampleur de la</w:t>
      </w:r>
      <w:r w:rsidRPr="00AC4E01">
        <w:rPr>
          <w:lang w:val="fr-FR"/>
        </w:rPr>
        <w:t xml:space="preserve"> violence à l</w:t>
      </w:r>
      <w:r>
        <w:rPr>
          <w:lang w:val="fr-FR"/>
        </w:rPr>
        <w:t>’</w:t>
      </w:r>
      <w:r w:rsidRPr="00AC4E01">
        <w:rPr>
          <w:lang w:val="fr-FR"/>
        </w:rPr>
        <w:t>égard d</w:t>
      </w:r>
      <w:r>
        <w:rPr>
          <w:lang w:val="fr-FR"/>
        </w:rPr>
        <w:t>’</w:t>
      </w:r>
      <w:r w:rsidRPr="00AC4E01">
        <w:rPr>
          <w:lang w:val="fr-FR"/>
        </w:rPr>
        <w:t>enfants, y compris l</w:t>
      </w:r>
      <w:r>
        <w:rPr>
          <w:lang w:val="fr-FR"/>
        </w:rPr>
        <w:t>’</w:t>
      </w:r>
      <w:r w:rsidRPr="00AC4E01">
        <w:rPr>
          <w:lang w:val="fr-FR"/>
        </w:rPr>
        <w:t>exploitation sexuelle et la violence en ligne.</w:t>
      </w:r>
    </w:p>
    <w:p w14:paraId="55A4EAE7" w14:textId="7B234AC4" w:rsidR="009576FC" w:rsidRPr="00AC4E01" w:rsidRDefault="009576FC" w:rsidP="00B71F4A">
      <w:pPr>
        <w:pStyle w:val="SingleTxtG"/>
        <w:keepNext/>
        <w:rPr>
          <w:b/>
          <w:bCs/>
          <w:lang w:val="fr-FR"/>
        </w:rPr>
      </w:pPr>
      <w:r w:rsidRPr="00AC4E01">
        <w:rPr>
          <w:lang w:val="fr-FR"/>
        </w:rPr>
        <w:lastRenderedPageBreak/>
        <w:t>23.</w:t>
      </w:r>
      <w:r w:rsidRPr="00AC4E01">
        <w:rPr>
          <w:lang w:val="fr-FR"/>
        </w:rPr>
        <w:tab/>
      </w:r>
      <w:r w:rsidRPr="00AC4E01">
        <w:rPr>
          <w:b/>
          <w:bCs/>
          <w:lang w:val="fr-FR"/>
        </w:rPr>
        <w:t>Rappelant les cibles 5.2, 16.1 et 16.2 des objectifs de développement durable, le Comité prie instamment l</w:t>
      </w:r>
      <w:r>
        <w:rPr>
          <w:b/>
          <w:bCs/>
          <w:lang w:val="fr-FR"/>
        </w:rPr>
        <w:t>’</w:t>
      </w:r>
      <w:r w:rsidRPr="00AC4E01">
        <w:rPr>
          <w:b/>
          <w:bCs/>
          <w:lang w:val="fr-FR"/>
        </w:rPr>
        <w:t>État partie</w:t>
      </w:r>
      <w:r w:rsidR="00A56387">
        <w:rPr>
          <w:b/>
          <w:bCs/>
          <w:lang w:val="fr-FR"/>
        </w:rPr>
        <w:t> </w:t>
      </w:r>
      <w:r w:rsidRPr="00AC4E01">
        <w:rPr>
          <w:b/>
          <w:bCs/>
          <w:lang w:val="fr-FR"/>
        </w:rPr>
        <w:t>:</w:t>
      </w:r>
    </w:p>
    <w:p w14:paraId="32D488F8" w14:textId="0FF342EE" w:rsidR="009576FC" w:rsidRPr="00AC4E01" w:rsidRDefault="009576FC" w:rsidP="009576FC">
      <w:pPr>
        <w:pStyle w:val="SingleTxtG"/>
        <w:ind w:firstLine="567"/>
        <w:rPr>
          <w:b/>
          <w:bCs/>
          <w:lang w:val="fr-FR"/>
        </w:rPr>
      </w:pPr>
      <w:r w:rsidRPr="00AC4E01">
        <w:rPr>
          <w:b/>
          <w:bCs/>
          <w:lang w:val="fr-FR"/>
        </w:rPr>
        <w:t>a)</w:t>
      </w:r>
      <w:r w:rsidRPr="00AC4E01">
        <w:rPr>
          <w:b/>
          <w:bCs/>
          <w:lang w:val="fr-FR"/>
        </w:rPr>
        <w:tab/>
        <w:t>D</w:t>
      </w:r>
      <w:r>
        <w:rPr>
          <w:b/>
          <w:bCs/>
          <w:lang w:val="fr-FR"/>
        </w:rPr>
        <w:t>’</w:t>
      </w:r>
      <w:r w:rsidRPr="00AC4E01">
        <w:rPr>
          <w:b/>
          <w:bCs/>
          <w:lang w:val="fr-FR"/>
        </w:rPr>
        <w:t>élaborer, avec la participation des Länder, des municipalités et des enfants, une stratégie nationale globale</w:t>
      </w:r>
      <w:r>
        <w:rPr>
          <w:b/>
          <w:bCs/>
          <w:lang w:val="fr-FR"/>
        </w:rPr>
        <w:t xml:space="preserve"> visant à prévenir, à combattre et à surveiller </w:t>
      </w:r>
      <w:r w:rsidRPr="00AC4E01">
        <w:rPr>
          <w:b/>
          <w:bCs/>
          <w:lang w:val="fr-FR"/>
        </w:rPr>
        <w:t>toutes les formes de violence à l</w:t>
      </w:r>
      <w:r>
        <w:rPr>
          <w:b/>
          <w:bCs/>
          <w:lang w:val="fr-FR"/>
        </w:rPr>
        <w:t>’</w:t>
      </w:r>
      <w:r w:rsidRPr="00AC4E01">
        <w:rPr>
          <w:b/>
          <w:bCs/>
          <w:lang w:val="fr-FR"/>
        </w:rPr>
        <w:t>égard d</w:t>
      </w:r>
      <w:r>
        <w:rPr>
          <w:b/>
          <w:bCs/>
          <w:lang w:val="fr-FR"/>
        </w:rPr>
        <w:t>’</w:t>
      </w:r>
      <w:r w:rsidRPr="00AC4E01">
        <w:rPr>
          <w:b/>
          <w:bCs/>
          <w:lang w:val="fr-FR"/>
        </w:rPr>
        <w:t xml:space="preserve">enfants et entre les enfants, </w:t>
      </w:r>
      <w:r>
        <w:rPr>
          <w:b/>
          <w:bCs/>
          <w:lang w:val="fr-FR"/>
        </w:rPr>
        <w:t>y compris la</w:t>
      </w:r>
      <w:r w:rsidRPr="00AC4E01">
        <w:rPr>
          <w:b/>
          <w:bCs/>
          <w:lang w:val="fr-FR"/>
        </w:rPr>
        <w:t xml:space="preserve"> négligence, </w:t>
      </w:r>
      <w:r>
        <w:rPr>
          <w:b/>
          <w:bCs/>
          <w:lang w:val="fr-FR"/>
        </w:rPr>
        <w:t>l’</w:t>
      </w:r>
      <w:r w:rsidRPr="00AC4E01">
        <w:rPr>
          <w:b/>
          <w:bCs/>
          <w:lang w:val="fr-FR"/>
        </w:rPr>
        <w:t xml:space="preserve">exploitation sexuelle, </w:t>
      </w:r>
      <w:r>
        <w:rPr>
          <w:b/>
          <w:bCs/>
          <w:lang w:val="fr-FR"/>
        </w:rPr>
        <w:t>la</w:t>
      </w:r>
      <w:r w:rsidRPr="00AC4E01">
        <w:rPr>
          <w:b/>
          <w:bCs/>
          <w:lang w:val="fr-FR"/>
        </w:rPr>
        <w:t xml:space="preserve"> violence en ligne, </w:t>
      </w:r>
      <w:r>
        <w:rPr>
          <w:b/>
          <w:bCs/>
          <w:lang w:val="fr-FR"/>
        </w:rPr>
        <w:t>la</w:t>
      </w:r>
      <w:r w:rsidRPr="00AC4E01">
        <w:rPr>
          <w:b/>
          <w:bCs/>
          <w:lang w:val="fr-FR"/>
        </w:rPr>
        <w:t xml:space="preserve"> violence émotionnelle </w:t>
      </w:r>
      <w:r>
        <w:rPr>
          <w:b/>
          <w:bCs/>
          <w:lang w:val="fr-FR"/>
        </w:rPr>
        <w:t>et le</w:t>
      </w:r>
      <w:r w:rsidRPr="00AC4E01">
        <w:rPr>
          <w:b/>
          <w:bCs/>
          <w:lang w:val="fr-FR"/>
        </w:rPr>
        <w:t xml:space="preserve"> harcèlement, en vue d</w:t>
      </w:r>
      <w:r>
        <w:rPr>
          <w:b/>
          <w:bCs/>
          <w:lang w:val="fr-FR"/>
        </w:rPr>
        <w:t>’</w:t>
      </w:r>
      <w:r w:rsidRPr="00AC4E01">
        <w:rPr>
          <w:b/>
          <w:bCs/>
          <w:lang w:val="fr-FR"/>
        </w:rPr>
        <w:t>assurer la complémentarité et la cohérence de toutes les mesures et de tous les programmes de lutte contre la violence à l</w:t>
      </w:r>
      <w:r>
        <w:rPr>
          <w:b/>
          <w:bCs/>
          <w:lang w:val="fr-FR"/>
        </w:rPr>
        <w:t>’</w:t>
      </w:r>
      <w:r w:rsidRPr="00AC4E01">
        <w:rPr>
          <w:b/>
          <w:bCs/>
          <w:lang w:val="fr-FR"/>
        </w:rPr>
        <w:t>égard des enfants ;</w:t>
      </w:r>
    </w:p>
    <w:p w14:paraId="1E975EE6" w14:textId="33A4E637" w:rsidR="009576FC" w:rsidRPr="00AC4E01" w:rsidRDefault="009576FC" w:rsidP="009576FC">
      <w:pPr>
        <w:pStyle w:val="SingleTxtG"/>
        <w:ind w:firstLine="567"/>
        <w:rPr>
          <w:b/>
          <w:bCs/>
          <w:lang w:val="fr-FR"/>
        </w:rPr>
      </w:pPr>
      <w:r w:rsidRPr="00AC4E01">
        <w:rPr>
          <w:b/>
          <w:bCs/>
          <w:lang w:val="fr-FR"/>
        </w:rPr>
        <w:t>b)</w:t>
      </w:r>
      <w:r w:rsidRPr="00AC4E01">
        <w:rPr>
          <w:b/>
          <w:bCs/>
          <w:lang w:val="fr-FR"/>
        </w:rPr>
        <w:tab/>
        <w:t xml:space="preserve">De veiller à ce que tous les </w:t>
      </w:r>
      <w:r>
        <w:rPr>
          <w:b/>
          <w:bCs/>
          <w:lang w:val="fr-FR"/>
        </w:rPr>
        <w:t>faits</w:t>
      </w:r>
      <w:r w:rsidRPr="00AC4E01">
        <w:rPr>
          <w:b/>
          <w:bCs/>
          <w:lang w:val="fr-FR"/>
        </w:rPr>
        <w:t xml:space="preserve"> d</w:t>
      </w:r>
      <w:r>
        <w:rPr>
          <w:b/>
          <w:bCs/>
          <w:lang w:val="fr-FR"/>
        </w:rPr>
        <w:t>’</w:t>
      </w:r>
      <w:r w:rsidRPr="00AC4E01">
        <w:rPr>
          <w:b/>
          <w:bCs/>
          <w:lang w:val="fr-FR"/>
        </w:rPr>
        <w:t xml:space="preserve">exploitation </w:t>
      </w:r>
      <w:r>
        <w:rPr>
          <w:b/>
          <w:bCs/>
          <w:lang w:val="fr-FR"/>
        </w:rPr>
        <w:t xml:space="preserve">sexuelle d’enfants </w:t>
      </w:r>
      <w:r w:rsidRPr="00AC4E01">
        <w:rPr>
          <w:b/>
          <w:bCs/>
          <w:lang w:val="fr-FR"/>
        </w:rPr>
        <w:t xml:space="preserve">et </w:t>
      </w:r>
      <w:r>
        <w:rPr>
          <w:b/>
          <w:bCs/>
          <w:lang w:val="fr-FR"/>
        </w:rPr>
        <w:t xml:space="preserve">abus </w:t>
      </w:r>
      <w:r w:rsidRPr="00AC4E01">
        <w:rPr>
          <w:b/>
          <w:bCs/>
          <w:lang w:val="fr-FR"/>
        </w:rPr>
        <w:t xml:space="preserve">sexuels </w:t>
      </w:r>
      <w:r>
        <w:rPr>
          <w:b/>
          <w:bCs/>
          <w:lang w:val="fr-FR"/>
        </w:rPr>
        <w:t>sur</w:t>
      </w:r>
      <w:r w:rsidRPr="00AC4E01">
        <w:rPr>
          <w:b/>
          <w:bCs/>
          <w:lang w:val="fr-FR"/>
        </w:rPr>
        <w:t xml:space="preserve"> enfants, </w:t>
      </w:r>
      <w:r>
        <w:rPr>
          <w:b/>
          <w:bCs/>
          <w:lang w:val="fr-FR"/>
        </w:rPr>
        <w:t>commis</w:t>
      </w:r>
      <w:r w:rsidRPr="00AC4E01">
        <w:rPr>
          <w:b/>
          <w:bCs/>
          <w:lang w:val="fr-FR"/>
        </w:rPr>
        <w:t xml:space="preserve"> dans </w:t>
      </w:r>
      <w:r>
        <w:rPr>
          <w:b/>
          <w:bCs/>
          <w:lang w:val="fr-FR"/>
        </w:rPr>
        <w:t>la famille</w:t>
      </w:r>
      <w:r w:rsidRPr="00AC4E01">
        <w:rPr>
          <w:b/>
          <w:bCs/>
          <w:lang w:val="fr-FR"/>
        </w:rPr>
        <w:t xml:space="preserve"> ou à l</w:t>
      </w:r>
      <w:r>
        <w:rPr>
          <w:b/>
          <w:bCs/>
          <w:lang w:val="fr-FR"/>
        </w:rPr>
        <w:t>’</w:t>
      </w:r>
      <w:r w:rsidRPr="00AC4E01">
        <w:rPr>
          <w:b/>
          <w:bCs/>
          <w:lang w:val="fr-FR"/>
        </w:rPr>
        <w:t>extérieur, dans l</w:t>
      </w:r>
      <w:r>
        <w:rPr>
          <w:b/>
          <w:bCs/>
          <w:lang w:val="fr-FR"/>
        </w:rPr>
        <w:t>’</w:t>
      </w:r>
      <w:r w:rsidRPr="00AC4E01">
        <w:rPr>
          <w:b/>
          <w:bCs/>
          <w:lang w:val="fr-FR"/>
        </w:rPr>
        <w:t>environnement numérique, dans les institutions religieuses et les établissements d</w:t>
      </w:r>
      <w:r>
        <w:rPr>
          <w:b/>
          <w:bCs/>
          <w:lang w:val="fr-FR"/>
        </w:rPr>
        <w:t>’</w:t>
      </w:r>
      <w:r w:rsidRPr="00AC4E01">
        <w:rPr>
          <w:b/>
          <w:bCs/>
          <w:lang w:val="fr-FR"/>
        </w:rPr>
        <w:t>enseignement ou dans les centres de protection de l</w:t>
      </w:r>
      <w:r>
        <w:rPr>
          <w:b/>
          <w:bCs/>
          <w:lang w:val="fr-FR"/>
        </w:rPr>
        <w:t>’</w:t>
      </w:r>
      <w:r w:rsidRPr="00AC4E01">
        <w:rPr>
          <w:b/>
          <w:bCs/>
          <w:lang w:val="fr-FR"/>
        </w:rPr>
        <w:t xml:space="preserve">enfance et de la jeunesse </w:t>
      </w:r>
      <w:r>
        <w:rPr>
          <w:b/>
          <w:bCs/>
          <w:lang w:val="fr-FR"/>
        </w:rPr>
        <w:t xml:space="preserve">donnent lieu à </w:t>
      </w:r>
      <w:r w:rsidRPr="00AC4E01">
        <w:rPr>
          <w:b/>
          <w:bCs/>
          <w:lang w:val="fr-FR"/>
        </w:rPr>
        <w:t xml:space="preserve">une enquête et </w:t>
      </w:r>
      <w:r>
        <w:rPr>
          <w:b/>
          <w:bCs/>
          <w:lang w:val="fr-FR"/>
        </w:rPr>
        <w:t xml:space="preserve">à </w:t>
      </w:r>
      <w:r w:rsidRPr="00AC4E01">
        <w:rPr>
          <w:b/>
          <w:bCs/>
          <w:lang w:val="fr-FR"/>
        </w:rPr>
        <w:t xml:space="preserve">une intervention efficaces, notamment en </w:t>
      </w:r>
      <w:r>
        <w:rPr>
          <w:b/>
          <w:bCs/>
          <w:lang w:val="fr-FR"/>
        </w:rPr>
        <w:t xml:space="preserve">chargeant </w:t>
      </w:r>
      <w:r w:rsidRPr="00AC4E01">
        <w:rPr>
          <w:b/>
          <w:bCs/>
          <w:lang w:val="fr-FR"/>
        </w:rPr>
        <w:t xml:space="preserve">des services de police et </w:t>
      </w:r>
      <w:r>
        <w:rPr>
          <w:b/>
          <w:bCs/>
          <w:lang w:val="fr-FR"/>
        </w:rPr>
        <w:t>des parquets</w:t>
      </w:r>
      <w:r w:rsidRPr="00AC4E01">
        <w:rPr>
          <w:b/>
          <w:bCs/>
          <w:lang w:val="fr-FR"/>
        </w:rPr>
        <w:t xml:space="preserve"> spécialisés d</w:t>
      </w:r>
      <w:r>
        <w:rPr>
          <w:b/>
          <w:bCs/>
          <w:lang w:val="fr-FR"/>
        </w:rPr>
        <w:t>’</w:t>
      </w:r>
      <w:r w:rsidRPr="00AC4E01">
        <w:rPr>
          <w:b/>
          <w:bCs/>
          <w:lang w:val="fr-FR"/>
        </w:rPr>
        <w:t>enquêter sur ces infractions ;</w:t>
      </w:r>
    </w:p>
    <w:p w14:paraId="30205800" w14:textId="457C77A8" w:rsidR="009576FC" w:rsidRPr="00AC4E01" w:rsidRDefault="009576FC" w:rsidP="009576FC">
      <w:pPr>
        <w:pStyle w:val="SingleTxtG"/>
        <w:ind w:firstLine="567"/>
        <w:rPr>
          <w:b/>
          <w:bCs/>
          <w:lang w:val="fr-FR"/>
        </w:rPr>
      </w:pPr>
      <w:r w:rsidRPr="00AC4E01">
        <w:rPr>
          <w:b/>
          <w:bCs/>
          <w:lang w:val="fr-FR"/>
        </w:rPr>
        <w:t>c)</w:t>
      </w:r>
      <w:r w:rsidRPr="00AC4E01">
        <w:rPr>
          <w:b/>
          <w:bCs/>
          <w:lang w:val="fr-FR"/>
        </w:rPr>
        <w:tab/>
        <w:t xml:space="preserve">De renforcer les mesures visant à </w:t>
      </w:r>
      <w:r>
        <w:rPr>
          <w:b/>
          <w:bCs/>
          <w:lang w:val="fr-FR"/>
        </w:rPr>
        <w:t>faire en sorte</w:t>
      </w:r>
      <w:r w:rsidRPr="00AC4E01">
        <w:rPr>
          <w:b/>
          <w:bCs/>
          <w:lang w:val="fr-FR"/>
        </w:rPr>
        <w:t xml:space="preserve"> que les enfants victimes ou témoins de violences </w:t>
      </w:r>
      <w:r w:rsidRPr="00505ADF">
        <w:rPr>
          <w:b/>
          <w:bCs/>
          <w:lang w:val="fr-FR"/>
        </w:rPr>
        <w:t>bénéficient rapidement d</w:t>
      </w:r>
      <w:r>
        <w:rPr>
          <w:b/>
          <w:bCs/>
          <w:lang w:val="fr-FR"/>
        </w:rPr>
        <w:t>’</w:t>
      </w:r>
      <w:r w:rsidRPr="00505ADF">
        <w:rPr>
          <w:b/>
          <w:bCs/>
          <w:lang w:val="fr-FR"/>
        </w:rPr>
        <w:t xml:space="preserve">interventions, de services et de mesures de soutien qui soient multisectoriels, complets et adaptés aux enfants, </w:t>
      </w:r>
      <w:r w:rsidRPr="00AC4E01">
        <w:rPr>
          <w:b/>
          <w:bCs/>
          <w:lang w:val="fr-FR"/>
        </w:rPr>
        <w:t>y compris des consultations médico</w:t>
      </w:r>
      <w:r w:rsidR="006614CB">
        <w:rPr>
          <w:b/>
          <w:bCs/>
          <w:lang w:val="fr-FR"/>
        </w:rPr>
        <w:t>-</w:t>
      </w:r>
      <w:r w:rsidRPr="00AC4E01">
        <w:rPr>
          <w:b/>
          <w:bCs/>
          <w:lang w:val="fr-FR"/>
        </w:rPr>
        <w:t xml:space="preserve">légales et psychothérapeutiques, par exemple par </w:t>
      </w:r>
      <w:r>
        <w:rPr>
          <w:b/>
          <w:bCs/>
          <w:lang w:val="fr-FR"/>
        </w:rPr>
        <w:t xml:space="preserve">l’intermédiaire des </w:t>
      </w:r>
      <w:proofErr w:type="spellStart"/>
      <w:r w:rsidRPr="00AC4E01">
        <w:rPr>
          <w:b/>
          <w:bCs/>
          <w:lang w:val="fr-FR"/>
        </w:rPr>
        <w:t>Childhood-Häuser</w:t>
      </w:r>
      <w:proofErr w:type="spellEnd"/>
      <w:r w:rsidRPr="00AC4E01">
        <w:rPr>
          <w:b/>
          <w:bCs/>
          <w:lang w:val="fr-FR"/>
        </w:rPr>
        <w:t xml:space="preserve">, dans le but de prévenir la victimisation secondaire de ces enfants, </w:t>
      </w:r>
      <w:r>
        <w:rPr>
          <w:b/>
          <w:bCs/>
          <w:lang w:val="fr-FR"/>
        </w:rPr>
        <w:t>et de veiller</w:t>
      </w:r>
      <w:r w:rsidRPr="00AC4E01">
        <w:rPr>
          <w:b/>
          <w:bCs/>
          <w:lang w:val="fr-FR"/>
        </w:rPr>
        <w:t xml:space="preserve"> à ce que ces services et ce soutien soient également offerts aux enfants défavorisés et </w:t>
      </w:r>
      <w:r>
        <w:rPr>
          <w:b/>
          <w:bCs/>
          <w:lang w:val="fr-FR"/>
        </w:rPr>
        <w:t xml:space="preserve">soient </w:t>
      </w:r>
      <w:r w:rsidRPr="00AC4E01">
        <w:rPr>
          <w:b/>
          <w:bCs/>
          <w:lang w:val="fr-FR"/>
        </w:rPr>
        <w:t xml:space="preserve">adaptés à leurs besoins </w:t>
      </w:r>
      <w:r>
        <w:rPr>
          <w:b/>
          <w:bCs/>
          <w:lang w:val="fr-FR"/>
        </w:rPr>
        <w:t>particuliers </w:t>
      </w:r>
      <w:r w:rsidRPr="00AC4E01">
        <w:rPr>
          <w:b/>
          <w:bCs/>
          <w:lang w:val="fr-FR"/>
        </w:rPr>
        <w:t>;</w:t>
      </w:r>
    </w:p>
    <w:p w14:paraId="63DCC58D" w14:textId="7079193E" w:rsidR="009576FC" w:rsidRPr="00AC4E01" w:rsidRDefault="009576FC" w:rsidP="009576FC">
      <w:pPr>
        <w:pStyle w:val="SingleTxtG"/>
        <w:ind w:firstLine="567"/>
        <w:rPr>
          <w:b/>
          <w:bCs/>
          <w:lang w:val="fr-FR"/>
        </w:rPr>
      </w:pPr>
      <w:r w:rsidRPr="00AC4E01">
        <w:rPr>
          <w:b/>
          <w:bCs/>
          <w:lang w:val="fr-FR"/>
        </w:rPr>
        <w:t>d)</w:t>
      </w:r>
      <w:r w:rsidRPr="00AC4E01">
        <w:rPr>
          <w:b/>
          <w:bCs/>
          <w:lang w:val="fr-FR"/>
        </w:rPr>
        <w:tab/>
        <w:t xml:space="preserve">De </w:t>
      </w:r>
      <w:r>
        <w:rPr>
          <w:b/>
          <w:bCs/>
          <w:lang w:val="fr-FR"/>
        </w:rPr>
        <w:t>sensibiliser</w:t>
      </w:r>
      <w:r w:rsidRPr="00AC4E01">
        <w:rPr>
          <w:b/>
          <w:bCs/>
          <w:lang w:val="fr-FR"/>
        </w:rPr>
        <w:t xml:space="preserve"> le public et les professionnels qui travaillent au service ou au contact </w:t>
      </w:r>
      <w:r>
        <w:rPr>
          <w:b/>
          <w:bCs/>
          <w:lang w:val="fr-FR"/>
        </w:rPr>
        <w:t>d’</w:t>
      </w:r>
      <w:r w:rsidRPr="00AC4E01">
        <w:rPr>
          <w:b/>
          <w:bCs/>
          <w:lang w:val="fr-FR"/>
        </w:rPr>
        <w:t xml:space="preserve">enfants </w:t>
      </w:r>
      <w:r>
        <w:rPr>
          <w:b/>
          <w:bCs/>
          <w:lang w:val="fr-FR"/>
        </w:rPr>
        <w:t>au problème de</w:t>
      </w:r>
      <w:r w:rsidRPr="00AC4E01">
        <w:rPr>
          <w:b/>
          <w:bCs/>
          <w:lang w:val="fr-FR"/>
        </w:rPr>
        <w:t xml:space="preserve"> la violence et de l</w:t>
      </w:r>
      <w:r>
        <w:rPr>
          <w:b/>
          <w:bCs/>
          <w:lang w:val="fr-FR"/>
        </w:rPr>
        <w:t>’</w:t>
      </w:r>
      <w:r w:rsidRPr="00AC4E01">
        <w:rPr>
          <w:b/>
          <w:bCs/>
          <w:lang w:val="fr-FR"/>
        </w:rPr>
        <w:t>exploitation sexuelle, notamment en promouvant des mécanismes accessibles, adaptés aux enfants et efficaces qui permettent de dénoncer toutes les formes d</w:t>
      </w:r>
      <w:r>
        <w:rPr>
          <w:b/>
          <w:bCs/>
          <w:lang w:val="fr-FR"/>
        </w:rPr>
        <w:t>’</w:t>
      </w:r>
      <w:r w:rsidRPr="00AC4E01">
        <w:rPr>
          <w:b/>
          <w:bCs/>
          <w:lang w:val="fr-FR"/>
        </w:rPr>
        <w:t xml:space="preserve">exploitation </w:t>
      </w:r>
      <w:r>
        <w:rPr>
          <w:b/>
          <w:bCs/>
          <w:lang w:val="fr-FR"/>
        </w:rPr>
        <w:t xml:space="preserve">sexuelle </w:t>
      </w:r>
      <w:r w:rsidRPr="00AC4E01">
        <w:rPr>
          <w:b/>
          <w:bCs/>
          <w:lang w:val="fr-FR"/>
        </w:rPr>
        <w:t xml:space="preserve">et </w:t>
      </w:r>
      <w:r>
        <w:rPr>
          <w:b/>
          <w:bCs/>
          <w:lang w:val="fr-FR"/>
        </w:rPr>
        <w:t>d’abus sexuels</w:t>
      </w:r>
      <w:r w:rsidRPr="00AC4E01">
        <w:rPr>
          <w:b/>
          <w:bCs/>
          <w:lang w:val="fr-FR"/>
        </w:rPr>
        <w:t xml:space="preserve"> en toute confidentialité ;</w:t>
      </w:r>
    </w:p>
    <w:p w14:paraId="27938BFD" w14:textId="09418CAA" w:rsidR="009576FC" w:rsidRPr="00AC4E01" w:rsidRDefault="009576FC" w:rsidP="009576FC">
      <w:pPr>
        <w:pStyle w:val="SingleTxtG"/>
        <w:ind w:firstLine="567"/>
        <w:rPr>
          <w:b/>
          <w:bCs/>
          <w:lang w:val="fr-FR"/>
        </w:rPr>
      </w:pPr>
      <w:r w:rsidRPr="00AC4E01">
        <w:rPr>
          <w:b/>
          <w:bCs/>
          <w:lang w:val="fr-FR"/>
        </w:rPr>
        <w:t>e)</w:t>
      </w:r>
      <w:r w:rsidRPr="00AC4E01">
        <w:rPr>
          <w:b/>
          <w:bCs/>
          <w:lang w:val="fr-FR"/>
        </w:rPr>
        <w:tab/>
        <w:t>De redoubler d</w:t>
      </w:r>
      <w:r>
        <w:rPr>
          <w:b/>
          <w:bCs/>
          <w:lang w:val="fr-FR"/>
        </w:rPr>
        <w:t>’</w:t>
      </w:r>
      <w:r w:rsidRPr="00AC4E01">
        <w:rPr>
          <w:b/>
          <w:bCs/>
          <w:lang w:val="fr-FR"/>
        </w:rPr>
        <w:t>efforts pour former les professionnels qui travaillent au service ou au contact d</w:t>
      </w:r>
      <w:r>
        <w:rPr>
          <w:b/>
          <w:bCs/>
          <w:lang w:val="fr-FR"/>
        </w:rPr>
        <w:t>’</w:t>
      </w:r>
      <w:r w:rsidRPr="00AC4E01">
        <w:rPr>
          <w:b/>
          <w:bCs/>
          <w:lang w:val="fr-FR"/>
        </w:rPr>
        <w:t xml:space="preserve">enfants </w:t>
      </w:r>
      <w:r>
        <w:rPr>
          <w:b/>
          <w:bCs/>
          <w:lang w:val="fr-FR"/>
        </w:rPr>
        <w:t>à</w:t>
      </w:r>
      <w:r w:rsidRPr="00AC4E01">
        <w:rPr>
          <w:b/>
          <w:bCs/>
          <w:lang w:val="fr-FR"/>
        </w:rPr>
        <w:t xml:space="preserve"> </w:t>
      </w:r>
      <w:r>
        <w:rPr>
          <w:b/>
          <w:bCs/>
          <w:lang w:val="fr-FR"/>
        </w:rPr>
        <w:t>repérer</w:t>
      </w:r>
      <w:r w:rsidRPr="00AC4E01">
        <w:rPr>
          <w:b/>
          <w:bCs/>
          <w:lang w:val="fr-FR"/>
        </w:rPr>
        <w:t xml:space="preserve"> les cas de violence, y compris </w:t>
      </w:r>
      <w:r>
        <w:rPr>
          <w:b/>
          <w:bCs/>
          <w:lang w:val="fr-FR"/>
        </w:rPr>
        <w:t xml:space="preserve">les cas </w:t>
      </w:r>
      <w:r w:rsidRPr="00AC4E01">
        <w:rPr>
          <w:b/>
          <w:bCs/>
          <w:lang w:val="fr-FR"/>
        </w:rPr>
        <w:t>d</w:t>
      </w:r>
      <w:r>
        <w:rPr>
          <w:b/>
          <w:bCs/>
          <w:lang w:val="fr-FR"/>
        </w:rPr>
        <w:t>’</w:t>
      </w:r>
      <w:r w:rsidRPr="00AC4E01">
        <w:rPr>
          <w:b/>
          <w:bCs/>
          <w:lang w:val="fr-FR"/>
        </w:rPr>
        <w:t xml:space="preserve">exploitation sexuelle, et </w:t>
      </w:r>
      <w:r>
        <w:rPr>
          <w:b/>
          <w:bCs/>
          <w:lang w:val="fr-FR"/>
        </w:rPr>
        <w:t>à</w:t>
      </w:r>
      <w:r w:rsidRPr="00AC4E01">
        <w:rPr>
          <w:b/>
          <w:bCs/>
          <w:lang w:val="fr-FR"/>
        </w:rPr>
        <w:t xml:space="preserve"> </w:t>
      </w:r>
      <w:r>
        <w:rPr>
          <w:b/>
          <w:bCs/>
          <w:lang w:val="fr-FR"/>
        </w:rPr>
        <w:t>leur donner la suite voulue</w:t>
      </w:r>
      <w:r w:rsidRPr="00AC4E01">
        <w:rPr>
          <w:b/>
          <w:bCs/>
          <w:lang w:val="fr-FR"/>
        </w:rPr>
        <w:t>, notamment dans le cadre de la formation obligatoire des enseignants et des travailleurs sociaux</w:t>
      </w:r>
      <w:r>
        <w:rPr>
          <w:b/>
          <w:bCs/>
          <w:lang w:val="fr-FR"/>
        </w:rPr>
        <w:t> </w:t>
      </w:r>
      <w:r w:rsidRPr="00AC4E01">
        <w:rPr>
          <w:b/>
          <w:bCs/>
          <w:lang w:val="fr-FR"/>
        </w:rPr>
        <w:t>;</w:t>
      </w:r>
    </w:p>
    <w:p w14:paraId="626E339D" w14:textId="7799B542" w:rsidR="009576FC" w:rsidRPr="00AC4E01" w:rsidRDefault="009576FC" w:rsidP="009576FC">
      <w:pPr>
        <w:pStyle w:val="SingleTxtG"/>
        <w:ind w:firstLine="567"/>
        <w:rPr>
          <w:b/>
          <w:bCs/>
          <w:lang w:val="fr-FR"/>
        </w:rPr>
      </w:pPr>
      <w:r w:rsidRPr="00AC4E01">
        <w:rPr>
          <w:b/>
          <w:bCs/>
          <w:lang w:val="fr-FR"/>
        </w:rPr>
        <w:t>f)</w:t>
      </w:r>
      <w:r w:rsidRPr="00AC4E01">
        <w:rPr>
          <w:b/>
          <w:bCs/>
          <w:lang w:val="fr-FR"/>
        </w:rPr>
        <w:tab/>
        <w:t xml:space="preserve">De veiller à ce que les mesures visant à prévenir la violence comprennent des campagnes de sensibilisation </w:t>
      </w:r>
      <w:r>
        <w:rPr>
          <w:b/>
          <w:bCs/>
          <w:lang w:val="fr-FR"/>
        </w:rPr>
        <w:t>visant à promouvoir</w:t>
      </w:r>
      <w:r w:rsidRPr="00AC4E01">
        <w:rPr>
          <w:b/>
          <w:bCs/>
          <w:lang w:val="fr-FR"/>
        </w:rPr>
        <w:t xml:space="preserve"> des formes positives, non violentes et participatives de discipline et d</w:t>
      </w:r>
      <w:r>
        <w:rPr>
          <w:b/>
          <w:bCs/>
          <w:lang w:val="fr-FR"/>
        </w:rPr>
        <w:t>’</w:t>
      </w:r>
      <w:r w:rsidRPr="00AC4E01">
        <w:rPr>
          <w:b/>
          <w:bCs/>
          <w:lang w:val="fr-FR"/>
        </w:rPr>
        <w:t>éducation des enfants ;</w:t>
      </w:r>
    </w:p>
    <w:p w14:paraId="38BEEB8C" w14:textId="4A53AEB2" w:rsidR="009576FC" w:rsidRPr="00AC4E01" w:rsidRDefault="009576FC" w:rsidP="009576FC">
      <w:pPr>
        <w:pStyle w:val="SingleTxtG"/>
        <w:ind w:firstLine="567"/>
        <w:rPr>
          <w:b/>
          <w:bCs/>
          <w:lang w:val="fr-FR"/>
        </w:rPr>
      </w:pPr>
      <w:r w:rsidRPr="00AC4E01">
        <w:rPr>
          <w:b/>
          <w:bCs/>
          <w:lang w:val="fr-FR"/>
        </w:rPr>
        <w:t>g)</w:t>
      </w:r>
      <w:r w:rsidRPr="00AC4E01">
        <w:rPr>
          <w:b/>
          <w:bCs/>
          <w:lang w:val="fr-FR"/>
        </w:rPr>
        <w:tab/>
        <w:t>D</w:t>
      </w:r>
      <w:r>
        <w:rPr>
          <w:b/>
          <w:bCs/>
          <w:lang w:val="fr-FR"/>
        </w:rPr>
        <w:t>’</w:t>
      </w:r>
      <w:r w:rsidRPr="00AC4E01">
        <w:rPr>
          <w:b/>
          <w:bCs/>
          <w:lang w:val="fr-FR"/>
        </w:rPr>
        <w:t>élargir l</w:t>
      </w:r>
      <w:r>
        <w:rPr>
          <w:b/>
          <w:bCs/>
          <w:lang w:val="fr-FR"/>
        </w:rPr>
        <w:t>’</w:t>
      </w:r>
      <w:r w:rsidRPr="00AC4E01">
        <w:rPr>
          <w:b/>
          <w:bCs/>
          <w:lang w:val="fr-FR"/>
        </w:rPr>
        <w:t>accès aux traitements pour les enfants qui ont un comportement sexuellement inapproprié, y compris les enfants qui peuvent avoir commis des infractions à caractère sexuel, et de veiller à ce que ces enfants reçoivent un suivi thérapeutique approprié et bénéficient de services de protection de l</w:t>
      </w:r>
      <w:r>
        <w:rPr>
          <w:b/>
          <w:bCs/>
          <w:lang w:val="fr-FR"/>
        </w:rPr>
        <w:t>’</w:t>
      </w:r>
      <w:r w:rsidRPr="00AC4E01">
        <w:rPr>
          <w:b/>
          <w:bCs/>
          <w:lang w:val="fr-FR"/>
        </w:rPr>
        <w:t>enfance.</w:t>
      </w:r>
    </w:p>
    <w:p w14:paraId="0F5F27B7"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Pratiques préjudiciables</w:t>
      </w:r>
    </w:p>
    <w:p w14:paraId="50834064" w14:textId="57322F42" w:rsidR="009576FC" w:rsidRPr="00A2334A" w:rsidRDefault="009576FC" w:rsidP="009576FC">
      <w:pPr>
        <w:pStyle w:val="SingleTxtG"/>
        <w:rPr>
          <w:b/>
          <w:bCs/>
          <w:spacing w:val="-1"/>
          <w:lang w:val="fr-FR"/>
        </w:rPr>
      </w:pPr>
      <w:r w:rsidRPr="00A2334A">
        <w:rPr>
          <w:spacing w:val="-1"/>
          <w:lang w:val="fr-FR"/>
        </w:rPr>
        <w:t>24.</w:t>
      </w:r>
      <w:r w:rsidRPr="00A2334A">
        <w:rPr>
          <w:b/>
          <w:bCs/>
          <w:spacing w:val="-1"/>
          <w:lang w:val="fr-FR"/>
        </w:rPr>
        <w:tab/>
        <w:t xml:space="preserve">Rappelant la recommandation générale </w:t>
      </w:r>
      <w:r w:rsidRPr="00A2334A">
        <w:rPr>
          <w:rFonts w:eastAsia="MS Mincho"/>
          <w:b/>
          <w:bCs/>
          <w:spacing w:val="-1"/>
          <w:szCs w:val="22"/>
          <w:lang w:val="fr-FR"/>
        </w:rPr>
        <w:t>n</w:t>
      </w:r>
      <w:r w:rsidRPr="00A2334A">
        <w:rPr>
          <w:rFonts w:eastAsia="MS Mincho"/>
          <w:b/>
          <w:bCs/>
          <w:spacing w:val="-1"/>
          <w:szCs w:val="22"/>
          <w:vertAlign w:val="superscript"/>
          <w:lang w:val="fr-FR"/>
        </w:rPr>
        <w:t>o</w:t>
      </w:r>
      <w:r w:rsidRPr="00A2334A">
        <w:rPr>
          <w:b/>
          <w:bCs/>
          <w:spacing w:val="-1"/>
          <w:lang w:val="fr-FR"/>
        </w:rPr>
        <w:t xml:space="preserve"> 31 du Comité pour l’élimination de la discrimination à l’égard des femmes et </w:t>
      </w:r>
      <w:r w:rsidR="00A2334A" w:rsidRPr="00A2334A">
        <w:rPr>
          <w:b/>
          <w:bCs/>
          <w:spacing w:val="-1"/>
          <w:lang w:val="fr-FR"/>
        </w:rPr>
        <w:t>l’</w:t>
      </w:r>
      <w:r w:rsidRPr="00A2334A">
        <w:rPr>
          <w:b/>
          <w:bCs/>
          <w:spacing w:val="-1"/>
          <w:lang w:val="fr-FR"/>
        </w:rPr>
        <w:t xml:space="preserve">observation générale </w:t>
      </w:r>
      <w:r w:rsidRPr="00A2334A">
        <w:rPr>
          <w:rFonts w:eastAsia="MS Mincho"/>
          <w:b/>
          <w:bCs/>
          <w:spacing w:val="-1"/>
          <w:szCs w:val="22"/>
          <w:lang w:val="fr-FR"/>
        </w:rPr>
        <w:t>n</w:t>
      </w:r>
      <w:r w:rsidRPr="00A2334A">
        <w:rPr>
          <w:rFonts w:eastAsia="MS Mincho"/>
          <w:b/>
          <w:bCs/>
          <w:spacing w:val="-1"/>
          <w:szCs w:val="22"/>
          <w:vertAlign w:val="superscript"/>
          <w:lang w:val="fr-FR"/>
        </w:rPr>
        <w:t>o</w:t>
      </w:r>
      <w:r w:rsidRPr="00A2334A">
        <w:rPr>
          <w:b/>
          <w:bCs/>
          <w:spacing w:val="-1"/>
          <w:lang w:val="fr-FR"/>
        </w:rPr>
        <w:t> 18 du Comité des droits de l’enfant, adoptées conjointement (2019), le Comité recommande à l’État partie :</w:t>
      </w:r>
    </w:p>
    <w:p w14:paraId="564A1CE9" w14:textId="1B519110"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prendre toutes les mesures nécessaires pour éliminer les mariages d</w:t>
      </w:r>
      <w:r>
        <w:rPr>
          <w:b/>
          <w:bCs/>
          <w:lang w:val="fr-FR"/>
        </w:rPr>
        <w:t>’</w:t>
      </w:r>
      <w:r w:rsidRPr="00AC4E01">
        <w:rPr>
          <w:b/>
          <w:bCs/>
          <w:lang w:val="fr-FR"/>
        </w:rPr>
        <w:t xml:space="preserve">enfants, notamment les mariages forcés et </w:t>
      </w:r>
      <w:r>
        <w:rPr>
          <w:b/>
          <w:bCs/>
          <w:lang w:val="fr-FR"/>
        </w:rPr>
        <w:t xml:space="preserve">les mariages </w:t>
      </w:r>
      <w:r w:rsidRPr="00AC4E01">
        <w:rPr>
          <w:b/>
          <w:bCs/>
          <w:lang w:val="fr-FR"/>
        </w:rPr>
        <w:t>religieux, et d</w:t>
      </w:r>
      <w:r>
        <w:rPr>
          <w:b/>
          <w:bCs/>
          <w:lang w:val="fr-FR"/>
        </w:rPr>
        <w:t>’</w:t>
      </w:r>
      <w:r w:rsidRPr="00AC4E01">
        <w:rPr>
          <w:b/>
          <w:bCs/>
          <w:lang w:val="fr-FR"/>
        </w:rPr>
        <w:t>élaborer des campagnes de sensibilisation à l</w:t>
      </w:r>
      <w:r>
        <w:rPr>
          <w:b/>
          <w:bCs/>
          <w:lang w:val="fr-FR"/>
        </w:rPr>
        <w:t>’</w:t>
      </w:r>
      <w:r w:rsidRPr="00AC4E01">
        <w:rPr>
          <w:b/>
          <w:bCs/>
          <w:lang w:val="fr-FR"/>
        </w:rPr>
        <w:t xml:space="preserve">intention des communautés religieuses qui </w:t>
      </w:r>
      <w:r>
        <w:rPr>
          <w:b/>
          <w:bCs/>
          <w:lang w:val="fr-FR"/>
        </w:rPr>
        <w:t>célèbrent de tels</w:t>
      </w:r>
      <w:r w:rsidRPr="00AC4E01">
        <w:rPr>
          <w:b/>
          <w:bCs/>
          <w:lang w:val="fr-FR"/>
        </w:rPr>
        <w:t xml:space="preserve"> mariages, afin de leur faire prendre conscience de leurs effets néfastes sur la santé physique et mentale et le bien-être des filles ;</w:t>
      </w:r>
    </w:p>
    <w:p w14:paraId="7443F5A7" w14:textId="4B19F962" w:rsidR="009576FC" w:rsidRPr="00AC4E01" w:rsidRDefault="009576FC" w:rsidP="009576FC">
      <w:pPr>
        <w:pStyle w:val="SingleTxtG"/>
        <w:ind w:firstLine="567"/>
        <w:rPr>
          <w:b/>
          <w:bCs/>
          <w:lang w:val="fr-FR"/>
        </w:rPr>
      </w:pPr>
      <w:r w:rsidRPr="00AC4E01">
        <w:rPr>
          <w:b/>
          <w:bCs/>
          <w:lang w:val="fr-FR"/>
        </w:rPr>
        <w:t>b)</w:t>
      </w:r>
      <w:r w:rsidRPr="00AC4E01">
        <w:rPr>
          <w:b/>
          <w:bCs/>
          <w:lang w:val="fr-FR"/>
        </w:rPr>
        <w:tab/>
        <w:t xml:space="preserve">De renforcer les mesures </w:t>
      </w:r>
      <w:r>
        <w:rPr>
          <w:b/>
          <w:bCs/>
          <w:lang w:val="fr-FR"/>
        </w:rPr>
        <w:t>visant à prévenir les</w:t>
      </w:r>
      <w:r w:rsidRPr="00AC4E01">
        <w:rPr>
          <w:b/>
          <w:bCs/>
          <w:lang w:val="fr-FR"/>
        </w:rPr>
        <w:t xml:space="preserve"> mutilations génitales féminines, notamment en allouant des ressources suffisantes à la protection et au soutien des victimes, aux campagnes de sensibilisation et à la formation des groupes professionnels concernés, notamment les professionnels de la santé, les fonctionnaires des services de l</w:t>
      </w:r>
      <w:r>
        <w:rPr>
          <w:b/>
          <w:bCs/>
          <w:lang w:val="fr-FR"/>
        </w:rPr>
        <w:t>’</w:t>
      </w:r>
      <w:r w:rsidRPr="00AC4E01">
        <w:rPr>
          <w:b/>
          <w:bCs/>
          <w:lang w:val="fr-FR"/>
        </w:rPr>
        <w:t xml:space="preserve">immigration et le personnel des services </w:t>
      </w:r>
      <w:r>
        <w:rPr>
          <w:b/>
          <w:bCs/>
          <w:lang w:val="fr-FR"/>
        </w:rPr>
        <w:t>destinés aux</w:t>
      </w:r>
      <w:r w:rsidRPr="00AC4E01">
        <w:rPr>
          <w:b/>
          <w:bCs/>
          <w:lang w:val="fr-FR"/>
        </w:rPr>
        <w:t xml:space="preserve"> jeunes</w:t>
      </w:r>
      <w:r w:rsidR="005B6852">
        <w:rPr>
          <w:b/>
          <w:bCs/>
          <w:lang w:val="fr-FR"/>
        </w:rPr>
        <w:t xml:space="preserve"> </w:t>
      </w:r>
      <w:r>
        <w:rPr>
          <w:b/>
          <w:bCs/>
          <w:lang w:val="fr-FR"/>
        </w:rPr>
        <w:t>issus de l’immigration </w:t>
      </w:r>
      <w:r w:rsidRPr="00AC4E01">
        <w:rPr>
          <w:b/>
          <w:bCs/>
          <w:lang w:val="fr-FR"/>
        </w:rPr>
        <w:t>;</w:t>
      </w:r>
    </w:p>
    <w:p w14:paraId="6E33EDCB" w14:textId="43A3A788" w:rsidR="009576FC" w:rsidRPr="00AC4E01" w:rsidRDefault="009576FC" w:rsidP="009576FC">
      <w:pPr>
        <w:pStyle w:val="SingleTxtG"/>
        <w:ind w:firstLine="567"/>
        <w:rPr>
          <w:b/>
          <w:bCs/>
          <w:lang w:val="fr-FR"/>
        </w:rPr>
      </w:pPr>
      <w:r w:rsidRPr="00AC4E01">
        <w:rPr>
          <w:b/>
          <w:bCs/>
          <w:lang w:val="fr-FR"/>
        </w:rPr>
        <w:lastRenderedPageBreak/>
        <w:t>c)</w:t>
      </w:r>
      <w:r w:rsidRPr="00AC4E01">
        <w:rPr>
          <w:b/>
          <w:bCs/>
          <w:lang w:val="fr-FR"/>
        </w:rPr>
        <w:tab/>
        <w:t>D</w:t>
      </w:r>
      <w:r>
        <w:rPr>
          <w:b/>
          <w:bCs/>
          <w:lang w:val="fr-FR"/>
        </w:rPr>
        <w:t>’</w:t>
      </w:r>
      <w:r w:rsidRPr="00AC4E01">
        <w:rPr>
          <w:b/>
          <w:bCs/>
          <w:lang w:val="fr-FR"/>
        </w:rPr>
        <w:t xml:space="preserve">appliquer </w:t>
      </w:r>
      <w:r>
        <w:rPr>
          <w:b/>
          <w:bCs/>
          <w:lang w:val="fr-FR"/>
        </w:rPr>
        <w:t xml:space="preserve">la </w:t>
      </w:r>
      <w:r w:rsidRPr="00AC4E01">
        <w:rPr>
          <w:b/>
          <w:bCs/>
          <w:lang w:val="fr-FR"/>
        </w:rPr>
        <w:t>loi sur la protection des enfants présentant des variantes du développement sexuel et de mettre en place des garanties procédurales et des mécanismes de responsabilisation des médecins.</w:t>
      </w:r>
    </w:p>
    <w:p w14:paraId="593674C3" w14:textId="4D7BE21B" w:rsidR="009576FC" w:rsidRPr="009576FC" w:rsidRDefault="009576FC" w:rsidP="009576FC">
      <w:pPr>
        <w:pStyle w:val="H1G"/>
      </w:pPr>
      <w:r>
        <w:rPr>
          <w:lang w:val="fr-FR"/>
        </w:rPr>
        <w:tab/>
      </w:r>
      <w:r w:rsidRPr="00AC4E01">
        <w:rPr>
          <w:lang w:val="fr-FR"/>
        </w:rPr>
        <w:t>E.</w:t>
      </w:r>
      <w:r w:rsidRPr="00AC4E01">
        <w:rPr>
          <w:lang w:val="fr-FR"/>
        </w:rPr>
        <w:tab/>
        <w:t xml:space="preserve">Milieu familial et protection de remplacement (art. 5, 9 à 11, </w:t>
      </w:r>
      <w:r>
        <w:rPr>
          <w:lang w:val="fr-FR"/>
        </w:rPr>
        <w:br/>
      </w:r>
      <w:r w:rsidRPr="00AC4E01">
        <w:rPr>
          <w:lang w:val="fr-FR"/>
        </w:rPr>
        <w:t>18 (par. 1 et 2), 20, 21, 25 et 27 (par. 4))</w:t>
      </w:r>
    </w:p>
    <w:p w14:paraId="192A4BF6" w14:textId="77777777" w:rsidR="009576FC" w:rsidRPr="00AC4E01" w:rsidRDefault="009576FC" w:rsidP="009576FC">
      <w:pPr>
        <w:pStyle w:val="H23G"/>
        <w:spacing w:line="240" w:lineRule="atLeast"/>
        <w:rPr>
          <w:b w:val="0"/>
          <w:lang w:val="fr-FR"/>
        </w:rPr>
      </w:pPr>
      <w:r w:rsidRPr="00AC4E01">
        <w:rPr>
          <w:lang w:val="fr-FR"/>
        </w:rPr>
        <w:tab/>
      </w:r>
      <w:r w:rsidRPr="00AC4E01">
        <w:rPr>
          <w:lang w:val="fr-FR"/>
        </w:rPr>
        <w:tab/>
      </w:r>
      <w:r w:rsidRPr="00AC4E01">
        <w:rPr>
          <w:bCs/>
          <w:lang w:val="fr-FR"/>
        </w:rPr>
        <w:t>Milieu familial</w:t>
      </w:r>
    </w:p>
    <w:p w14:paraId="06B0DE28" w14:textId="249E04E5" w:rsidR="009576FC" w:rsidRPr="00AC4E01" w:rsidRDefault="009576FC" w:rsidP="009576FC">
      <w:pPr>
        <w:pStyle w:val="SingleTxtG"/>
        <w:rPr>
          <w:b/>
          <w:bCs/>
          <w:lang w:val="fr-FR"/>
        </w:rPr>
      </w:pPr>
      <w:r w:rsidRPr="00CE4B96">
        <w:rPr>
          <w:lang w:val="fr-FR"/>
        </w:rPr>
        <w:t>25.</w:t>
      </w:r>
      <w:r w:rsidRPr="00AC4E01">
        <w:rPr>
          <w:b/>
          <w:bCs/>
          <w:lang w:val="fr-FR"/>
        </w:rPr>
        <w:tab/>
        <w:t>Le Comité recommande à l</w:t>
      </w:r>
      <w:r>
        <w:rPr>
          <w:b/>
          <w:bCs/>
          <w:lang w:val="fr-FR"/>
        </w:rPr>
        <w:t>’</w:t>
      </w:r>
      <w:r w:rsidRPr="00AC4E01">
        <w:rPr>
          <w:b/>
          <w:bCs/>
          <w:lang w:val="fr-FR"/>
        </w:rPr>
        <w:t>État partie</w:t>
      </w:r>
      <w:r>
        <w:rPr>
          <w:b/>
          <w:bCs/>
          <w:lang w:val="fr-FR"/>
        </w:rPr>
        <w:t> </w:t>
      </w:r>
      <w:r w:rsidRPr="00AC4E01">
        <w:rPr>
          <w:b/>
          <w:bCs/>
          <w:lang w:val="fr-FR"/>
        </w:rPr>
        <w:t>:</w:t>
      </w:r>
    </w:p>
    <w:p w14:paraId="4A476A70" w14:textId="028839B1"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renforcer encore sa législation afin de promouvoir le rôle des deux parents dans l</w:t>
      </w:r>
      <w:r>
        <w:rPr>
          <w:b/>
          <w:bCs/>
          <w:lang w:val="fr-FR"/>
        </w:rPr>
        <w:t>’</w:t>
      </w:r>
      <w:r w:rsidRPr="00AC4E01">
        <w:rPr>
          <w:b/>
          <w:bCs/>
          <w:lang w:val="fr-FR"/>
        </w:rPr>
        <w:t>éducation des enfants, en particulier en cas de divorce ou de séparation, conformément à la Convention ;</w:t>
      </w:r>
    </w:p>
    <w:p w14:paraId="30CB3696" w14:textId="069F2A0A"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remédier aux disparités régionales dans la qualité des services fournis par les bureaux locaux de protection de la jeunesse et dans l</w:t>
      </w:r>
      <w:r>
        <w:rPr>
          <w:b/>
          <w:bCs/>
          <w:lang w:val="fr-FR"/>
        </w:rPr>
        <w:t>’</w:t>
      </w:r>
      <w:r w:rsidRPr="00AC4E01">
        <w:rPr>
          <w:b/>
          <w:bCs/>
          <w:lang w:val="fr-FR"/>
        </w:rPr>
        <w:t>accès à ces services, notamment en augmentant les ressources financières et humaines</w:t>
      </w:r>
      <w:r>
        <w:rPr>
          <w:b/>
          <w:bCs/>
          <w:lang w:val="fr-FR"/>
        </w:rPr>
        <w:t>, et</w:t>
      </w:r>
      <w:r w:rsidR="00CE4B96">
        <w:rPr>
          <w:b/>
          <w:bCs/>
          <w:lang w:val="fr-FR"/>
        </w:rPr>
        <w:t xml:space="preserve"> </w:t>
      </w:r>
      <w:r>
        <w:rPr>
          <w:b/>
          <w:bCs/>
          <w:lang w:val="fr-FR"/>
        </w:rPr>
        <w:t>de renforcer les</w:t>
      </w:r>
      <w:r w:rsidRPr="00AC4E01">
        <w:rPr>
          <w:b/>
          <w:bCs/>
          <w:lang w:val="fr-FR"/>
        </w:rPr>
        <w:t xml:space="preserve"> compétences linguistiques et la compréhension culturelle des travailleurs sociaux et des spécialistes de la protection de la jeunesse afin de répondre comme il convient aux besoins des enfants qui appartiennent à des groupes minoritaires.</w:t>
      </w:r>
    </w:p>
    <w:p w14:paraId="7EF9E18B" w14:textId="77777777" w:rsidR="009576FC" w:rsidRPr="00CE4B96" w:rsidRDefault="009576FC" w:rsidP="009576FC">
      <w:pPr>
        <w:pStyle w:val="H23G"/>
        <w:spacing w:line="240" w:lineRule="atLeast"/>
        <w:rPr>
          <w:lang w:val="fr-FR"/>
        </w:rPr>
      </w:pPr>
      <w:r w:rsidRPr="00AC4E01">
        <w:rPr>
          <w:lang w:val="fr-FR"/>
        </w:rPr>
        <w:tab/>
      </w:r>
      <w:r w:rsidRPr="00AC4E01">
        <w:rPr>
          <w:lang w:val="fr-FR"/>
        </w:rPr>
        <w:tab/>
      </w:r>
      <w:r w:rsidRPr="00AC4E01">
        <w:rPr>
          <w:lang w:val="fr-FR"/>
        </w:rPr>
        <w:tab/>
      </w:r>
      <w:r w:rsidRPr="00CE4B96">
        <w:rPr>
          <w:bCs/>
          <w:lang w:val="fr-FR"/>
        </w:rPr>
        <w:t>Enfants privés de milieu familial</w:t>
      </w:r>
    </w:p>
    <w:p w14:paraId="534E9585" w14:textId="156DF910" w:rsidR="009576FC" w:rsidRPr="00CE4B96" w:rsidRDefault="009576FC" w:rsidP="009576FC">
      <w:pPr>
        <w:pStyle w:val="SingleTxtG"/>
        <w:rPr>
          <w:lang w:val="fr-FR"/>
        </w:rPr>
      </w:pPr>
      <w:r w:rsidRPr="00CE4B96">
        <w:rPr>
          <w:lang w:val="fr-FR"/>
        </w:rPr>
        <w:t>26.</w:t>
      </w:r>
      <w:r w:rsidRPr="00CE4B96">
        <w:rPr>
          <w:lang w:val="fr-FR"/>
        </w:rPr>
        <w:tab/>
        <w:t>Le Comité est préoccupé par</w:t>
      </w:r>
      <w:r w:rsidR="00CE4B96">
        <w:rPr>
          <w:lang w:val="fr-FR"/>
        </w:rPr>
        <w:t> </w:t>
      </w:r>
      <w:r w:rsidRPr="00CE4B96">
        <w:rPr>
          <w:lang w:val="fr-FR"/>
        </w:rPr>
        <w:t>:</w:t>
      </w:r>
    </w:p>
    <w:p w14:paraId="08CAEB42" w14:textId="76CD067C" w:rsidR="009576FC" w:rsidRPr="00CE4B96" w:rsidRDefault="009576FC" w:rsidP="009576FC">
      <w:pPr>
        <w:pStyle w:val="SingleTxtG"/>
        <w:ind w:firstLine="567"/>
        <w:rPr>
          <w:lang w:val="fr-FR"/>
        </w:rPr>
      </w:pPr>
      <w:r w:rsidRPr="00CE4B96">
        <w:rPr>
          <w:lang w:val="fr-FR"/>
        </w:rPr>
        <w:t>a)</w:t>
      </w:r>
      <w:r w:rsidRPr="00CE4B96">
        <w:rPr>
          <w:lang w:val="fr-FR"/>
        </w:rPr>
        <w:tab/>
        <w:t xml:space="preserve">Le nombre croissant d’enfants qui vivent dans une structure de protection de remplacement, en particulier dans des institutions fermées, et le placement d’enfants dans une structure de protection de remplacement sans évaluation adéquate de leur intérêt supérieur ; </w:t>
      </w:r>
    </w:p>
    <w:p w14:paraId="6BAFF194" w14:textId="4B9EA9A1" w:rsidR="009576FC" w:rsidRPr="00AC4E01" w:rsidRDefault="009576FC" w:rsidP="009576FC">
      <w:pPr>
        <w:pStyle w:val="SingleTxtG"/>
        <w:ind w:firstLine="567"/>
        <w:rPr>
          <w:lang w:val="fr-FR"/>
        </w:rPr>
      </w:pPr>
      <w:r w:rsidRPr="00CE4B96">
        <w:rPr>
          <w:lang w:val="fr-FR"/>
        </w:rPr>
        <w:t>b)</w:t>
      </w:r>
      <w:r w:rsidRPr="00CE4B96">
        <w:rPr>
          <w:lang w:val="fr-FR"/>
        </w:rPr>
        <w:tab/>
        <w:t>L’absence de normes et de critères de qualité uniformes et l’insuffisance de la protection des enfants placés en famille d’accueil ;</w:t>
      </w:r>
    </w:p>
    <w:p w14:paraId="57D3BA38" w14:textId="14087D2A" w:rsidR="009576FC" w:rsidRPr="00AC4E01" w:rsidRDefault="009576FC" w:rsidP="009576FC">
      <w:pPr>
        <w:pStyle w:val="SingleTxtG"/>
        <w:ind w:firstLine="567"/>
        <w:rPr>
          <w:lang w:val="fr-FR"/>
        </w:rPr>
      </w:pPr>
      <w:r w:rsidRPr="00AC4E01">
        <w:rPr>
          <w:lang w:val="fr-FR"/>
        </w:rPr>
        <w:t>c)</w:t>
      </w:r>
      <w:r w:rsidRPr="00AC4E01">
        <w:rPr>
          <w:lang w:val="fr-FR"/>
        </w:rPr>
        <w:tab/>
        <w:t>Les disparités régionales dans la qualité des services fournis par les bureaux locaux de protection de l</w:t>
      </w:r>
      <w:r>
        <w:rPr>
          <w:lang w:val="fr-FR"/>
        </w:rPr>
        <w:t>’</w:t>
      </w:r>
      <w:r w:rsidRPr="00AC4E01">
        <w:rPr>
          <w:lang w:val="fr-FR"/>
        </w:rPr>
        <w:t>enfance et de la jeunesse et l</w:t>
      </w:r>
      <w:r>
        <w:rPr>
          <w:lang w:val="fr-FR"/>
        </w:rPr>
        <w:t>’</w:t>
      </w:r>
      <w:r w:rsidRPr="00AC4E01">
        <w:rPr>
          <w:lang w:val="fr-FR"/>
        </w:rPr>
        <w:t>accès à ces services ;</w:t>
      </w:r>
    </w:p>
    <w:p w14:paraId="709BCF22" w14:textId="0896335C" w:rsidR="009576FC" w:rsidRPr="00AC4E01" w:rsidRDefault="009576FC" w:rsidP="009576FC">
      <w:pPr>
        <w:pStyle w:val="SingleTxtG"/>
        <w:ind w:firstLine="567"/>
        <w:rPr>
          <w:lang w:val="fr-FR"/>
        </w:rPr>
      </w:pPr>
      <w:r w:rsidRPr="00AC4E01">
        <w:rPr>
          <w:lang w:val="fr-FR"/>
        </w:rPr>
        <w:t>d)</w:t>
      </w:r>
      <w:r w:rsidRPr="00AC4E01">
        <w:rPr>
          <w:lang w:val="fr-FR"/>
        </w:rPr>
        <w:tab/>
        <w:t>L</w:t>
      </w:r>
      <w:r>
        <w:rPr>
          <w:lang w:val="fr-FR"/>
        </w:rPr>
        <w:t>’</w:t>
      </w:r>
      <w:r w:rsidRPr="00AC4E01">
        <w:rPr>
          <w:lang w:val="fr-FR"/>
        </w:rPr>
        <w:t xml:space="preserve">insuffisance du soutien apporté aux enfants qui quittent </w:t>
      </w:r>
      <w:r>
        <w:rPr>
          <w:lang w:val="fr-FR"/>
        </w:rPr>
        <w:t xml:space="preserve">le système </w:t>
      </w:r>
      <w:r w:rsidRPr="00AC4E01">
        <w:rPr>
          <w:lang w:val="fr-FR"/>
        </w:rPr>
        <w:t>de protection de remplacement.</w:t>
      </w:r>
    </w:p>
    <w:p w14:paraId="24662E8F" w14:textId="10E27F0F" w:rsidR="009576FC" w:rsidRPr="00AC4E01" w:rsidRDefault="009576FC" w:rsidP="009576FC">
      <w:pPr>
        <w:pStyle w:val="SingleTxtG"/>
        <w:rPr>
          <w:b/>
          <w:bCs/>
          <w:lang w:val="fr-FR"/>
        </w:rPr>
      </w:pPr>
      <w:r w:rsidRPr="009576FC">
        <w:rPr>
          <w:lang w:val="fr-FR"/>
        </w:rPr>
        <w:t>27.</w:t>
      </w:r>
      <w:r w:rsidRPr="00AC4E01">
        <w:rPr>
          <w:b/>
          <w:bCs/>
          <w:lang w:val="fr-FR"/>
        </w:rPr>
        <w:tab/>
        <w:t>Appelant son attention sur l</w:t>
      </w:r>
      <w:r>
        <w:rPr>
          <w:b/>
          <w:bCs/>
          <w:lang w:val="fr-FR"/>
        </w:rPr>
        <w:t>’</w:t>
      </w:r>
      <w:r w:rsidRPr="00AC4E01">
        <w:rPr>
          <w:b/>
          <w:bCs/>
          <w:lang w:val="fr-FR"/>
        </w:rPr>
        <w:t>étude mondiale sur les enfants privés de liberté et sur les Lignes directrices relatives à la protection de remplacement pour les enfants, le Comité recommande à l</w:t>
      </w:r>
      <w:r>
        <w:rPr>
          <w:b/>
          <w:bCs/>
          <w:lang w:val="fr-FR"/>
        </w:rPr>
        <w:t>’</w:t>
      </w:r>
      <w:r w:rsidRPr="00AC4E01">
        <w:rPr>
          <w:b/>
          <w:bCs/>
          <w:lang w:val="fr-FR"/>
        </w:rPr>
        <w:t>État partie :</w:t>
      </w:r>
    </w:p>
    <w:p w14:paraId="7F14EA4E" w14:textId="4546B065"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rétablir la culture du travail social axé sur les besoins, de reconsidérer d</w:t>
      </w:r>
      <w:r>
        <w:rPr>
          <w:b/>
          <w:bCs/>
          <w:lang w:val="fr-FR"/>
        </w:rPr>
        <w:t>’</w:t>
      </w:r>
      <w:r w:rsidRPr="00AC4E01">
        <w:rPr>
          <w:b/>
          <w:bCs/>
          <w:lang w:val="fr-FR"/>
        </w:rPr>
        <w:t>urgence le recours à l</w:t>
      </w:r>
      <w:r>
        <w:rPr>
          <w:b/>
          <w:bCs/>
          <w:lang w:val="fr-FR"/>
        </w:rPr>
        <w:t>’</w:t>
      </w:r>
      <w:r w:rsidR="00CA48FC">
        <w:rPr>
          <w:b/>
          <w:bCs/>
          <w:lang w:val="fr-FR"/>
        </w:rPr>
        <w:t>« </w:t>
      </w:r>
      <w:r w:rsidRPr="00AC4E01">
        <w:rPr>
          <w:b/>
          <w:bCs/>
          <w:lang w:val="fr-FR"/>
        </w:rPr>
        <w:t>éducation intensive</w:t>
      </w:r>
      <w:r w:rsidR="00CA48FC">
        <w:rPr>
          <w:b/>
          <w:bCs/>
          <w:lang w:val="fr-FR"/>
        </w:rPr>
        <w:t> »</w:t>
      </w:r>
      <w:r w:rsidRPr="00AC4E01">
        <w:rPr>
          <w:b/>
          <w:bCs/>
          <w:lang w:val="fr-FR"/>
        </w:rPr>
        <w:t>, qui entraîne la privation de liberté des enfants faisant l</w:t>
      </w:r>
      <w:r>
        <w:rPr>
          <w:b/>
          <w:bCs/>
          <w:lang w:val="fr-FR"/>
        </w:rPr>
        <w:t>’</w:t>
      </w:r>
      <w:r w:rsidRPr="00AC4E01">
        <w:rPr>
          <w:b/>
          <w:bCs/>
          <w:lang w:val="fr-FR"/>
        </w:rPr>
        <w:t>objet d</w:t>
      </w:r>
      <w:r>
        <w:rPr>
          <w:b/>
          <w:bCs/>
          <w:lang w:val="fr-FR"/>
        </w:rPr>
        <w:t>’</w:t>
      </w:r>
      <w:r w:rsidRPr="00AC4E01">
        <w:rPr>
          <w:b/>
          <w:bCs/>
          <w:lang w:val="fr-FR"/>
        </w:rPr>
        <w:t>une protection de remplacement, et d</w:t>
      </w:r>
      <w:r>
        <w:rPr>
          <w:b/>
          <w:bCs/>
          <w:lang w:val="fr-FR"/>
        </w:rPr>
        <w:t>’</w:t>
      </w:r>
      <w:r w:rsidRPr="00AC4E01">
        <w:rPr>
          <w:b/>
          <w:bCs/>
          <w:lang w:val="fr-FR"/>
        </w:rPr>
        <w:t>assurer un suivi régulier de chaque placement</w:t>
      </w:r>
      <w:r>
        <w:rPr>
          <w:b/>
          <w:bCs/>
          <w:lang w:val="fr-FR"/>
        </w:rPr>
        <w:t> </w:t>
      </w:r>
      <w:r w:rsidRPr="00AC4E01">
        <w:rPr>
          <w:b/>
          <w:bCs/>
          <w:lang w:val="fr-FR"/>
        </w:rPr>
        <w:t>;</w:t>
      </w:r>
    </w:p>
    <w:p w14:paraId="606DA1AE" w14:textId="7F84EE6E"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renforcer les structures de protection de remplacement de sorte qu</w:t>
      </w:r>
      <w:r>
        <w:rPr>
          <w:b/>
          <w:bCs/>
          <w:lang w:val="fr-FR"/>
        </w:rPr>
        <w:t>’</w:t>
      </w:r>
      <w:r w:rsidRPr="00AC4E01">
        <w:rPr>
          <w:b/>
          <w:bCs/>
          <w:lang w:val="fr-FR"/>
        </w:rPr>
        <w:t xml:space="preserve">elles soient aussi un espace social </w:t>
      </w:r>
      <w:r>
        <w:rPr>
          <w:b/>
          <w:bCs/>
          <w:lang w:val="fr-FR"/>
        </w:rPr>
        <w:t>permettant aux enfants de recevoir</w:t>
      </w:r>
      <w:r w:rsidRPr="00AC4E01">
        <w:rPr>
          <w:b/>
          <w:bCs/>
          <w:lang w:val="fr-FR"/>
        </w:rPr>
        <w:t xml:space="preserve"> un soutien individualisé en fonction </w:t>
      </w:r>
      <w:r>
        <w:rPr>
          <w:b/>
          <w:bCs/>
          <w:lang w:val="fr-FR"/>
        </w:rPr>
        <w:t>de leurs</w:t>
      </w:r>
      <w:r w:rsidRPr="00AC4E01">
        <w:rPr>
          <w:b/>
          <w:bCs/>
          <w:lang w:val="fr-FR"/>
        </w:rPr>
        <w:t xml:space="preserve"> besoins, grâce à une combinaison de mesures de soutien interdépendantes ;</w:t>
      </w:r>
    </w:p>
    <w:p w14:paraId="68E0670D" w14:textId="4BD5FDDC" w:rsidR="009576FC" w:rsidRPr="00AC4E01" w:rsidRDefault="009576FC" w:rsidP="009576FC">
      <w:pPr>
        <w:pStyle w:val="SingleTxtG"/>
        <w:ind w:firstLine="567"/>
        <w:rPr>
          <w:b/>
          <w:bCs/>
          <w:lang w:val="fr-FR"/>
        </w:rPr>
      </w:pPr>
      <w:r w:rsidRPr="00AC4E01">
        <w:rPr>
          <w:b/>
          <w:bCs/>
          <w:lang w:val="fr-FR"/>
        </w:rPr>
        <w:t>c)</w:t>
      </w:r>
      <w:r w:rsidRPr="00AC4E01">
        <w:rPr>
          <w:b/>
          <w:bCs/>
          <w:lang w:val="fr-FR"/>
        </w:rPr>
        <w:tab/>
        <w:t>De renforcer encore son système de placement en famille d</w:t>
      </w:r>
      <w:r>
        <w:rPr>
          <w:b/>
          <w:bCs/>
          <w:lang w:val="fr-FR"/>
        </w:rPr>
        <w:t>’</w:t>
      </w:r>
      <w:r w:rsidRPr="00AC4E01">
        <w:rPr>
          <w:b/>
          <w:bCs/>
          <w:lang w:val="fr-FR"/>
        </w:rPr>
        <w:t>accueil, d</w:t>
      </w:r>
      <w:r>
        <w:rPr>
          <w:b/>
          <w:bCs/>
          <w:lang w:val="fr-FR"/>
        </w:rPr>
        <w:t>’</w:t>
      </w:r>
      <w:r w:rsidRPr="00AC4E01">
        <w:rPr>
          <w:b/>
          <w:bCs/>
          <w:lang w:val="fr-FR"/>
        </w:rPr>
        <w:t>introduire des normes et des critères de qualité uniformes et de faire en sorte que les enfants ne changent pas fréquemment de famille d</w:t>
      </w:r>
      <w:r>
        <w:rPr>
          <w:b/>
          <w:bCs/>
          <w:lang w:val="fr-FR"/>
        </w:rPr>
        <w:t>’</w:t>
      </w:r>
      <w:r w:rsidRPr="00AC4E01">
        <w:rPr>
          <w:b/>
          <w:bCs/>
          <w:lang w:val="fr-FR"/>
        </w:rPr>
        <w:t>accueil ou d</w:t>
      </w:r>
      <w:r>
        <w:rPr>
          <w:b/>
          <w:bCs/>
          <w:lang w:val="fr-FR"/>
        </w:rPr>
        <w:t>’</w:t>
      </w:r>
      <w:r w:rsidRPr="00AC4E01">
        <w:rPr>
          <w:b/>
          <w:bCs/>
          <w:lang w:val="fr-FR"/>
        </w:rPr>
        <w:t>autre structure de protection de remplacement, d</w:t>
      </w:r>
      <w:r>
        <w:rPr>
          <w:b/>
          <w:bCs/>
          <w:lang w:val="fr-FR"/>
        </w:rPr>
        <w:t>’</w:t>
      </w:r>
      <w:r w:rsidRPr="00AC4E01">
        <w:rPr>
          <w:b/>
          <w:bCs/>
          <w:lang w:val="fr-FR"/>
        </w:rPr>
        <w:t>encourager l</w:t>
      </w:r>
      <w:r>
        <w:rPr>
          <w:b/>
          <w:bCs/>
          <w:lang w:val="fr-FR"/>
        </w:rPr>
        <w:t>’</w:t>
      </w:r>
      <w:r w:rsidRPr="00AC4E01">
        <w:rPr>
          <w:b/>
          <w:bCs/>
          <w:lang w:val="fr-FR"/>
        </w:rPr>
        <w:t>application de ces normes et critères dans tous les Länder et d</w:t>
      </w:r>
      <w:r>
        <w:rPr>
          <w:b/>
          <w:bCs/>
          <w:lang w:val="fr-FR"/>
        </w:rPr>
        <w:t>’</w:t>
      </w:r>
      <w:r w:rsidRPr="00AC4E01">
        <w:rPr>
          <w:b/>
          <w:bCs/>
          <w:lang w:val="fr-FR"/>
        </w:rPr>
        <w:t>allouer des fonds suffisants aux familles pour promouvoir et soutenir la prise en charge en milieu familial ;</w:t>
      </w:r>
    </w:p>
    <w:p w14:paraId="03DE4B92" w14:textId="1102C7F0" w:rsidR="009576FC" w:rsidRPr="00AC4E01" w:rsidRDefault="009576FC" w:rsidP="009576FC">
      <w:pPr>
        <w:pStyle w:val="SingleTxtG"/>
        <w:ind w:firstLine="567"/>
        <w:rPr>
          <w:b/>
          <w:bCs/>
          <w:lang w:val="fr-FR"/>
        </w:rPr>
      </w:pPr>
      <w:r w:rsidRPr="00AC4E01">
        <w:rPr>
          <w:b/>
          <w:bCs/>
          <w:lang w:val="fr-FR"/>
        </w:rPr>
        <w:t>d)</w:t>
      </w:r>
      <w:r w:rsidRPr="00AC4E01">
        <w:rPr>
          <w:b/>
          <w:bCs/>
          <w:lang w:val="fr-FR"/>
        </w:rPr>
        <w:tab/>
        <w:t>De veiller à ce que les enfants faisant l</w:t>
      </w:r>
      <w:r>
        <w:rPr>
          <w:b/>
          <w:bCs/>
          <w:lang w:val="fr-FR"/>
        </w:rPr>
        <w:t>’</w:t>
      </w:r>
      <w:r w:rsidRPr="00AC4E01">
        <w:rPr>
          <w:b/>
          <w:bCs/>
          <w:lang w:val="fr-FR"/>
        </w:rPr>
        <w:t>objet d</w:t>
      </w:r>
      <w:r>
        <w:rPr>
          <w:b/>
          <w:bCs/>
          <w:lang w:val="fr-FR"/>
        </w:rPr>
        <w:t>’</w:t>
      </w:r>
      <w:r w:rsidRPr="00AC4E01">
        <w:rPr>
          <w:b/>
          <w:bCs/>
          <w:lang w:val="fr-FR"/>
        </w:rPr>
        <w:t xml:space="preserve">une protection de remplacement soient entendus dans le cadre des décisions qui les concernent, et ce tout au long de leur placement, et à ce que les autorités et les professionnels concernés </w:t>
      </w:r>
      <w:r>
        <w:rPr>
          <w:b/>
          <w:bCs/>
          <w:lang w:val="fr-FR"/>
        </w:rPr>
        <w:t>aient les capacités</w:t>
      </w:r>
      <w:r w:rsidRPr="00AC4E01">
        <w:rPr>
          <w:b/>
          <w:bCs/>
          <w:lang w:val="fr-FR"/>
        </w:rPr>
        <w:t xml:space="preserve"> techniques nécessaires pour garantir le respect de l</w:t>
      </w:r>
      <w:r>
        <w:rPr>
          <w:b/>
          <w:bCs/>
          <w:lang w:val="fr-FR"/>
        </w:rPr>
        <w:t>’</w:t>
      </w:r>
      <w:r w:rsidRPr="00AC4E01">
        <w:rPr>
          <w:b/>
          <w:bCs/>
          <w:lang w:val="fr-FR"/>
        </w:rPr>
        <w:t>opinion de ces enfants</w:t>
      </w:r>
      <w:r>
        <w:rPr>
          <w:b/>
          <w:bCs/>
          <w:lang w:val="fr-FR"/>
        </w:rPr>
        <w:t> </w:t>
      </w:r>
      <w:r w:rsidRPr="00AC4E01">
        <w:rPr>
          <w:b/>
          <w:bCs/>
          <w:lang w:val="fr-FR"/>
        </w:rPr>
        <w:t>;</w:t>
      </w:r>
    </w:p>
    <w:p w14:paraId="0205DE75" w14:textId="494865E7" w:rsidR="009576FC" w:rsidRPr="00AC4E01" w:rsidRDefault="009576FC" w:rsidP="009576FC">
      <w:pPr>
        <w:pStyle w:val="SingleTxtG"/>
        <w:ind w:firstLine="567"/>
        <w:rPr>
          <w:b/>
          <w:bCs/>
          <w:lang w:val="fr-FR"/>
        </w:rPr>
      </w:pPr>
      <w:r w:rsidRPr="00AC4E01">
        <w:rPr>
          <w:b/>
          <w:bCs/>
          <w:lang w:val="fr-FR"/>
        </w:rPr>
        <w:lastRenderedPageBreak/>
        <w:t>e)</w:t>
      </w:r>
      <w:r w:rsidRPr="00AC4E01">
        <w:rPr>
          <w:b/>
          <w:bCs/>
          <w:lang w:val="fr-FR"/>
        </w:rPr>
        <w:tab/>
        <w:t>De renforcer</w:t>
      </w:r>
      <w:r w:rsidRPr="008236EF">
        <w:rPr>
          <w:b/>
          <w:bCs/>
          <w:lang w:val="fr-FR"/>
        </w:rPr>
        <w:t xml:space="preserve"> les mesures visant à ce que les enfants qui sortent du système de protection de remplacement aient accès à l</w:t>
      </w:r>
      <w:r>
        <w:rPr>
          <w:b/>
          <w:bCs/>
          <w:lang w:val="fr-FR"/>
        </w:rPr>
        <w:t>’</w:t>
      </w:r>
      <w:r w:rsidRPr="008236EF">
        <w:rPr>
          <w:b/>
          <w:bCs/>
          <w:lang w:val="fr-FR"/>
        </w:rPr>
        <w:t>éducation, puissent acquérir des compétences et aient des possibilités de vivre de manière autonome, par exemple en augmentant les fonds alloués à cet effet</w:t>
      </w:r>
      <w:r>
        <w:rPr>
          <w:b/>
          <w:bCs/>
          <w:lang w:val="fr-FR"/>
        </w:rPr>
        <w:t>.</w:t>
      </w:r>
    </w:p>
    <w:p w14:paraId="3633EDBF" w14:textId="77777777" w:rsidR="009576FC" w:rsidRPr="00CA48FC" w:rsidRDefault="009576FC" w:rsidP="009576FC">
      <w:pPr>
        <w:pStyle w:val="H23G"/>
        <w:spacing w:line="240" w:lineRule="atLeast"/>
        <w:rPr>
          <w:lang w:val="fr-FR"/>
        </w:rPr>
      </w:pPr>
      <w:r w:rsidRPr="00AC4E01">
        <w:rPr>
          <w:lang w:val="fr-FR"/>
        </w:rPr>
        <w:tab/>
      </w:r>
      <w:r w:rsidRPr="00AC4E01">
        <w:rPr>
          <w:lang w:val="fr-FR"/>
        </w:rPr>
        <w:tab/>
      </w:r>
      <w:r w:rsidRPr="00AC4E01">
        <w:rPr>
          <w:lang w:val="fr-FR"/>
        </w:rPr>
        <w:tab/>
      </w:r>
      <w:r w:rsidRPr="00CA48FC">
        <w:rPr>
          <w:bCs/>
          <w:lang w:val="fr-FR"/>
        </w:rPr>
        <w:t>Enfants dont les parents sont incarcérés</w:t>
      </w:r>
    </w:p>
    <w:p w14:paraId="0134778F" w14:textId="6C9C631B" w:rsidR="009576FC" w:rsidRPr="00CA48FC" w:rsidRDefault="009576FC" w:rsidP="009576FC">
      <w:pPr>
        <w:pStyle w:val="SingleTxtG"/>
        <w:rPr>
          <w:b/>
          <w:bCs/>
          <w:lang w:val="fr-FR"/>
        </w:rPr>
      </w:pPr>
      <w:r w:rsidRPr="00CA48FC">
        <w:rPr>
          <w:lang w:val="fr-FR"/>
        </w:rPr>
        <w:t>28.</w:t>
      </w:r>
      <w:r w:rsidRPr="00CA48FC">
        <w:rPr>
          <w:b/>
          <w:bCs/>
          <w:lang w:val="fr-FR"/>
        </w:rPr>
        <w:tab/>
        <w:t>Le Comité recommande à l’État partie :</w:t>
      </w:r>
    </w:p>
    <w:p w14:paraId="54DB51C9" w14:textId="46DBE6C3" w:rsidR="009576FC" w:rsidRPr="00AC4E01" w:rsidRDefault="009576FC" w:rsidP="009576FC">
      <w:pPr>
        <w:pStyle w:val="SingleTxtG"/>
        <w:ind w:firstLine="567"/>
        <w:rPr>
          <w:b/>
          <w:bCs/>
          <w:lang w:val="fr-FR"/>
        </w:rPr>
      </w:pPr>
      <w:r w:rsidRPr="00CA48FC">
        <w:rPr>
          <w:b/>
          <w:bCs/>
          <w:lang w:val="fr-FR"/>
        </w:rPr>
        <w:t>a)</w:t>
      </w:r>
      <w:r w:rsidRPr="00CA48FC">
        <w:rPr>
          <w:b/>
          <w:bCs/>
          <w:lang w:val="fr-FR"/>
        </w:rPr>
        <w:tab/>
        <w:t>De garantir le droit des enfants de personnes incarcérées de rendre visite à leurs parents, notamment en augmentant la fréquence et la durée des visites et en complétant</w:t>
      </w:r>
      <w:r>
        <w:rPr>
          <w:b/>
          <w:bCs/>
          <w:lang w:val="fr-FR"/>
        </w:rPr>
        <w:t xml:space="preserve"> ces visites</w:t>
      </w:r>
      <w:r w:rsidRPr="00AC4E01">
        <w:rPr>
          <w:b/>
          <w:bCs/>
          <w:lang w:val="fr-FR"/>
        </w:rPr>
        <w:t xml:space="preserve"> par des contacts à distance réguliers, conformément à la recommandation du Comité des Ministres du Conseil de l</w:t>
      </w:r>
      <w:r>
        <w:rPr>
          <w:b/>
          <w:bCs/>
          <w:lang w:val="fr-FR"/>
        </w:rPr>
        <w:t>’</w:t>
      </w:r>
      <w:r w:rsidRPr="00AC4E01">
        <w:rPr>
          <w:b/>
          <w:bCs/>
          <w:lang w:val="fr-FR"/>
        </w:rPr>
        <w:t xml:space="preserve">Europe concernant les enfants </w:t>
      </w:r>
      <w:r>
        <w:rPr>
          <w:b/>
          <w:bCs/>
          <w:lang w:val="fr-FR"/>
        </w:rPr>
        <w:t>de détenus</w:t>
      </w:r>
      <w:r w:rsidRPr="00AC4E01">
        <w:rPr>
          <w:b/>
          <w:bCs/>
          <w:lang w:val="fr-FR"/>
        </w:rPr>
        <w:t xml:space="preserve"> (2019) ;</w:t>
      </w:r>
    </w:p>
    <w:p w14:paraId="7CDD65A2" w14:textId="6B83FFA0" w:rsidR="009576FC" w:rsidRPr="00AC4E01" w:rsidRDefault="009576FC" w:rsidP="009576FC">
      <w:pPr>
        <w:pStyle w:val="SingleTxtG"/>
        <w:ind w:firstLine="567"/>
        <w:rPr>
          <w:b/>
          <w:bCs/>
          <w:lang w:val="fr-FR"/>
        </w:rPr>
      </w:pPr>
      <w:r w:rsidRPr="00AC4E01">
        <w:rPr>
          <w:b/>
          <w:bCs/>
          <w:lang w:val="fr-FR"/>
        </w:rPr>
        <w:t>b)</w:t>
      </w:r>
      <w:r w:rsidRPr="00AC4E01">
        <w:rPr>
          <w:b/>
          <w:bCs/>
          <w:lang w:val="fr-FR"/>
        </w:rPr>
        <w:tab/>
        <w:t>D</w:t>
      </w:r>
      <w:r>
        <w:rPr>
          <w:b/>
          <w:bCs/>
          <w:lang w:val="fr-FR"/>
        </w:rPr>
        <w:t>’</w:t>
      </w:r>
      <w:r w:rsidRPr="00AC4E01">
        <w:rPr>
          <w:b/>
          <w:bCs/>
          <w:lang w:val="fr-FR"/>
        </w:rPr>
        <w:t xml:space="preserve">évaluer, avec la participation des enfants </w:t>
      </w:r>
      <w:r w:rsidRPr="00645B93">
        <w:rPr>
          <w:b/>
          <w:bCs/>
          <w:lang w:val="fr-FR"/>
        </w:rPr>
        <w:t xml:space="preserve">dont les parents sont </w:t>
      </w:r>
      <w:r w:rsidRPr="00AC4E01">
        <w:rPr>
          <w:b/>
          <w:bCs/>
          <w:lang w:val="fr-FR"/>
        </w:rPr>
        <w:t>incarcérés et de leur famille, les politiques existantes relatives au droit de visite de ces enfants en vue d</w:t>
      </w:r>
      <w:r>
        <w:rPr>
          <w:b/>
          <w:bCs/>
          <w:lang w:val="fr-FR"/>
        </w:rPr>
        <w:t>’</w:t>
      </w:r>
      <w:r w:rsidRPr="00AC4E01">
        <w:rPr>
          <w:b/>
          <w:bCs/>
          <w:lang w:val="fr-FR"/>
        </w:rPr>
        <w:t>élaborer des normes fédérales qui garantissent que les intéressés peuvent entretenir des relations personnelles avec leurs parents et avoir accès à des services adaptés et à un soutien approprié.</w:t>
      </w:r>
    </w:p>
    <w:p w14:paraId="5490E672" w14:textId="233D609A" w:rsidR="009576FC" w:rsidRPr="00AC4E01" w:rsidRDefault="009576FC" w:rsidP="009576FC">
      <w:pPr>
        <w:pStyle w:val="H1G"/>
        <w:rPr>
          <w:lang w:val="fr-FR"/>
        </w:rPr>
      </w:pPr>
      <w:r>
        <w:rPr>
          <w:lang w:val="fr-FR"/>
        </w:rPr>
        <w:tab/>
      </w:r>
      <w:r w:rsidRPr="00AC4E01">
        <w:rPr>
          <w:lang w:val="fr-FR"/>
        </w:rPr>
        <w:t>F.</w:t>
      </w:r>
      <w:r w:rsidRPr="00AC4E01">
        <w:rPr>
          <w:lang w:val="fr-FR"/>
        </w:rPr>
        <w:tab/>
        <w:t>Enfants handicapés (art. 23)</w:t>
      </w:r>
    </w:p>
    <w:p w14:paraId="55E58126" w14:textId="6E812CB1" w:rsidR="009576FC" w:rsidRPr="00AC4E01" w:rsidRDefault="009576FC" w:rsidP="009576FC">
      <w:pPr>
        <w:pStyle w:val="SingleTxtG"/>
        <w:rPr>
          <w:b/>
          <w:bCs/>
          <w:lang w:val="fr-FR"/>
        </w:rPr>
      </w:pPr>
      <w:r w:rsidRPr="00AC4E01">
        <w:rPr>
          <w:lang w:val="fr-FR"/>
        </w:rPr>
        <w:t>29.</w:t>
      </w:r>
      <w:r w:rsidRPr="00AC4E01">
        <w:rPr>
          <w:lang w:val="fr-FR"/>
        </w:rPr>
        <w:tab/>
      </w:r>
      <w:r w:rsidRPr="00AC4E01">
        <w:rPr>
          <w:b/>
          <w:bCs/>
          <w:lang w:val="fr-FR"/>
        </w:rPr>
        <w:t>Le Comité recommande à l</w:t>
      </w:r>
      <w:r>
        <w:rPr>
          <w:b/>
          <w:bCs/>
          <w:lang w:val="fr-FR"/>
        </w:rPr>
        <w:t>’</w:t>
      </w:r>
      <w:r w:rsidRPr="00AC4E01">
        <w:rPr>
          <w:b/>
          <w:bCs/>
          <w:lang w:val="fr-FR"/>
        </w:rPr>
        <w:t>État partie</w:t>
      </w:r>
      <w:r>
        <w:rPr>
          <w:b/>
          <w:bCs/>
          <w:lang w:val="fr-FR"/>
        </w:rPr>
        <w:t> </w:t>
      </w:r>
      <w:r w:rsidRPr="00AC4E01">
        <w:rPr>
          <w:b/>
          <w:bCs/>
          <w:lang w:val="fr-FR"/>
        </w:rPr>
        <w:t>:</w:t>
      </w:r>
    </w:p>
    <w:p w14:paraId="6098718F" w14:textId="0F542739"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regrouper toutes les aides destinées aux enfants handicapés au sein d</w:t>
      </w:r>
      <w:r>
        <w:rPr>
          <w:b/>
          <w:bCs/>
          <w:lang w:val="fr-FR"/>
        </w:rPr>
        <w:t>’</w:t>
      </w:r>
      <w:r w:rsidRPr="00AC4E01">
        <w:rPr>
          <w:b/>
          <w:bCs/>
          <w:lang w:val="fr-FR"/>
        </w:rPr>
        <w:t xml:space="preserve">un seul organisme, comme </w:t>
      </w:r>
      <w:r>
        <w:rPr>
          <w:b/>
          <w:bCs/>
          <w:lang w:val="fr-FR"/>
        </w:rPr>
        <w:t>les</w:t>
      </w:r>
      <w:r w:rsidRPr="00AC4E01">
        <w:rPr>
          <w:b/>
          <w:bCs/>
          <w:lang w:val="fr-FR"/>
        </w:rPr>
        <w:t xml:space="preserve"> services d</w:t>
      </w:r>
      <w:r>
        <w:rPr>
          <w:b/>
          <w:bCs/>
          <w:lang w:val="fr-FR"/>
        </w:rPr>
        <w:t>’</w:t>
      </w:r>
      <w:r w:rsidRPr="00AC4E01">
        <w:rPr>
          <w:b/>
          <w:bCs/>
          <w:lang w:val="fr-FR"/>
        </w:rPr>
        <w:t>aide à l</w:t>
      </w:r>
      <w:r>
        <w:rPr>
          <w:b/>
          <w:bCs/>
          <w:lang w:val="fr-FR"/>
        </w:rPr>
        <w:t>’</w:t>
      </w:r>
      <w:r w:rsidRPr="00AC4E01">
        <w:rPr>
          <w:b/>
          <w:bCs/>
          <w:lang w:val="fr-FR"/>
        </w:rPr>
        <w:t>enfance et à la jeunesse, afin de garantir à tous les enfants handicapés l</w:t>
      </w:r>
      <w:r>
        <w:rPr>
          <w:b/>
          <w:bCs/>
          <w:lang w:val="fr-FR"/>
        </w:rPr>
        <w:t>’</w:t>
      </w:r>
      <w:r w:rsidRPr="00AC4E01">
        <w:rPr>
          <w:b/>
          <w:bCs/>
          <w:lang w:val="fr-FR"/>
        </w:rPr>
        <w:t>égalité d</w:t>
      </w:r>
      <w:r>
        <w:rPr>
          <w:b/>
          <w:bCs/>
          <w:lang w:val="fr-FR"/>
        </w:rPr>
        <w:t>’</w:t>
      </w:r>
      <w:r w:rsidRPr="00AC4E01">
        <w:rPr>
          <w:b/>
          <w:bCs/>
          <w:lang w:val="fr-FR"/>
        </w:rPr>
        <w:t>accès aux prestations prévues par le Livre VIII du Code social ;</w:t>
      </w:r>
    </w:p>
    <w:p w14:paraId="53496439" w14:textId="5EBFC082" w:rsidR="009576FC" w:rsidRPr="00AC4E01" w:rsidRDefault="009576FC" w:rsidP="009576FC">
      <w:pPr>
        <w:pStyle w:val="SingleTxtG"/>
        <w:ind w:firstLine="567"/>
        <w:rPr>
          <w:b/>
          <w:bCs/>
          <w:lang w:val="fr-FR"/>
        </w:rPr>
      </w:pPr>
      <w:r w:rsidRPr="00AC4E01">
        <w:rPr>
          <w:b/>
          <w:bCs/>
          <w:lang w:val="fr-FR"/>
        </w:rPr>
        <w:t>b)</w:t>
      </w:r>
      <w:r w:rsidRPr="00AC4E01">
        <w:rPr>
          <w:b/>
          <w:bCs/>
          <w:lang w:val="fr-FR"/>
        </w:rPr>
        <w:tab/>
        <w:t xml:space="preserve">De définir des règles juridiques fédérales </w:t>
      </w:r>
      <w:r>
        <w:rPr>
          <w:b/>
          <w:bCs/>
          <w:lang w:val="fr-FR"/>
        </w:rPr>
        <w:t>garantissant</w:t>
      </w:r>
      <w:r w:rsidRPr="00AC4E01">
        <w:rPr>
          <w:b/>
          <w:bCs/>
          <w:lang w:val="fr-FR"/>
        </w:rPr>
        <w:t xml:space="preserve"> que toutes les infrastructures et tous les services d</w:t>
      </w:r>
      <w:r>
        <w:rPr>
          <w:b/>
          <w:bCs/>
          <w:lang w:val="fr-FR"/>
        </w:rPr>
        <w:t>’</w:t>
      </w:r>
      <w:r w:rsidRPr="00AC4E01">
        <w:rPr>
          <w:b/>
          <w:bCs/>
          <w:lang w:val="fr-FR"/>
        </w:rPr>
        <w:t xml:space="preserve">accompagnement destinés aux personnes handicapées </w:t>
      </w:r>
      <w:r>
        <w:rPr>
          <w:b/>
          <w:bCs/>
          <w:lang w:val="fr-FR"/>
        </w:rPr>
        <w:t xml:space="preserve">mettent en place des </w:t>
      </w:r>
      <w:r w:rsidRPr="00AC4E01">
        <w:rPr>
          <w:b/>
          <w:bCs/>
          <w:lang w:val="fr-FR"/>
        </w:rPr>
        <w:t>mesures et de</w:t>
      </w:r>
      <w:r>
        <w:rPr>
          <w:b/>
          <w:bCs/>
          <w:lang w:val="fr-FR"/>
        </w:rPr>
        <w:t>s</w:t>
      </w:r>
      <w:r w:rsidRPr="00AC4E01">
        <w:rPr>
          <w:b/>
          <w:bCs/>
          <w:lang w:val="fr-FR"/>
        </w:rPr>
        <w:t xml:space="preserve"> mécanismes spéciaux pour protéger les filles et les jeunes femmes handicapées de la violence, y compris la violence sexuelle ;</w:t>
      </w:r>
    </w:p>
    <w:p w14:paraId="4196C06A" w14:textId="79EA85A0" w:rsidR="009576FC" w:rsidRPr="00AC4E01" w:rsidRDefault="009576FC" w:rsidP="009576FC">
      <w:pPr>
        <w:pStyle w:val="SingleTxtG"/>
        <w:ind w:firstLine="567"/>
        <w:rPr>
          <w:b/>
          <w:bCs/>
          <w:lang w:val="fr-FR"/>
        </w:rPr>
      </w:pPr>
      <w:r w:rsidRPr="00AC4E01">
        <w:rPr>
          <w:b/>
          <w:bCs/>
          <w:lang w:val="fr-FR"/>
        </w:rPr>
        <w:t>c)</w:t>
      </w:r>
      <w:r w:rsidRPr="00AC4E01">
        <w:rPr>
          <w:b/>
          <w:bCs/>
          <w:lang w:val="fr-FR"/>
        </w:rPr>
        <w:tab/>
        <w:t>De renforcer l</w:t>
      </w:r>
      <w:r>
        <w:rPr>
          <w:b/>
          <w:bCs/>
          <w:lang w:val="fr-FR"/>
        </w:rPr>
        <w:t>’</w:t>
      </w:r>
      <w:r w:rsidRPr="00AC4E01">
        <w:rPr>
          <w:b/>
          <w:bCs/>
          <w:lang w:val="fr-FR"/>
        </w:rPr>
        <w:t>accompagnement des enfants handicapés, y compris les enfants handicapés migrants, en vue de leur intégration sociale et de leur développement individuel, et de veiller à ce que les familles de ces enfants sachent comment obtenir le soutien nécessaire.</w:t>
      </w:r>
    </w:p>
    <w:p w14:paraId="4F6076F4" w14:textId="3181BAEA" w:rsidR="009576FC" w:rsidRPr="00AC4E01" w:rsidRDefault="009576FC" w:rsidP="009576FC">
      <w:pPr>
        <w:pStyle w:val="H1G"/>
        <w:rPr>
          <w:lang w:val="fr-FR"/>
        </w:rPr>
      </w:pPr>
      <w:r>
        <w:rPr>
          <w:lang w:val="fr-FR"/>
        </w:rPr>
        <w:tab/>
      </w:r>
      <w:r w:rsidRPr="00AC4E01">
        <w:rPr>
          <w:lang w:val="fr-FR"/>
        </w:rPr>
        <w:t>G.</w:t>
      </w:r>
      <w:r w:rsidRPr="00AC4E01">
        <w:rPr>
          <w:lang w:val="fr-FR"/>
        </w:rPr>
        <w:tab/>
        <w:t>Santé de base et bien-être (art. 6, 18 (par. 3), 24, 26, 27 (par. 1 à 3) et 33)</w:t>
      </w:r>
    </w:p>
    <w:p w14:paraId="42C03D51"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lang w:val="fr-FR"/>
        </w:rPr>
        <w:tab/>
      </w:r>
      <w:r w:rsidRPr="00AC4E01">
        <w:rPr>
          <w:bCs/>
          <w:lang w:val="fr-FR"/>
        </w:rPr>
        <w:t>Santé et services de santé</w:t>
      </w:r>
    </w:p>
    <w:p w14:paraId="63FD1BA0" w14:textId="79F70BD9" w:rsidR="009576FC" w:rsidRPr="00AC4E01" w:rsidRDefault="009576FC" w:rsidP="009576FC">
      <w:pPr>
        <w:pStyle w:val="SingleTxtG"/>
        <w:rPr>
          <w:lang w:val="fr-FR"/>
        </w:rPr>
      </w:pPr>
      <w:r w:rsidRPr="00AC4E01">
        <w:rPr>
          <w:lang w:val="fr-FR"/>
        </w:rPr>
        <w:t>30.</w:t>
      </w:r>
      <w:r w:rsidRPr="00AC4E01">
        <w:rPr>
          <w:lang w:val="fr-FR"/>
        </w:rPr>
        <w:tab/>
        <w:t>Le Comité est préoccupé par</w:t>
      </w:r>
      <w:r w:rsidR="0099215A">
        <w:rPr>
          <w:lang w:val="fr-FR"/>
        </w:rPr>
        <w:t> </w:t>
      </w:r>
      <w:r w:rsidRPr="00AC4E01">
        <w:rPr>
          <w:lang w:val="fr-FR"/>
        </w:rPr>
        <w:t>:</w:t>
      </w:r>
    </w:p>
    <w:p w14:paraId="0019A2BE" w14:textId="58EC737B" w:rsidR="009576FC" w:rsidRPr="00AC4E01" w:rsidRDefault="009576FC" w:rsidP="009576FC">
      <w:pPr>
        <w:pStyle w:val="SingleTxtG"/>
        <w:ind w:firstLine="567"/>
        <w:rPr>
          <w:lang w:val="fr-FR"/>
        </w:rPr>
      </w:pPr>
      <w:r w:rsidRPr="00AC4E01">
        <w:rPr>
          <w:lang w:val="fr-FR"/>
        </w:rPr>
        <w:t>a)</w:t>
      </w:r>
      <w:r w:rsidRPr="00AC4E01">
        <w:rPr>
          <w:lang w:val="fr-FR"/>
        </w:rPr>
        <w:tab/>
        <w:t>Les informations selon lesquelles il manque des professionnels de santé qualifiés spécialisés dans les soins pédiatriques ;</w:t>
      </w:r>
    </w:p>
    <w:p w14:paraId="72850FCA" w14:textId="021712AC" w:rsidR="009576FC" w:rsidRPr="00AC4E01" w:rsidRDefault="009576FC" w:rsidP="009576FC">
      <w:pPr>
        <w:pStyle w:val="SingleTxtG"/>
        <w:ind w:firstLine="567"/>
        <w:rPr>
          <w:lang w:val="fr-FR"/>
        </w:rPr>
      </w:pPr>
      <w:r w:rsidRPr="00AC4E01">
        <w:rPr>
          <w:lang w:val="fr-FR"/>
        </w:rPr>
        <w:t>b)</w:t>
      </w:r>
      <w:r w:rsidRPr="00AC4E01">
        <w:rPr>
          <w:lang w:val="fr-FR"/>
        </w:rPr>
        <w:tab/>
        <w:t>Le fait que les enfants demandeurs d</w:t>
      </w:r>
      <w:r>
        <w:rPr>
          <w:lang w:val="fr-FR"/>
        </w:rPr>
        <w:t>’</w:t>
      </w:r>
      <w:r w:rsidRPr="00AC4E01">
        <w:rPr>
          <w:lang w:val="fr-FR"/>
        </w:rPr>
        <w:t xml:space="preserve">asile ou migrants et les enfants sans </w:t>
      </w:r>
      <w:r>
        <w:rPr>
          <w:lang w:val="fr-FR"/>
        </w:rPr>
        <w:t>titre</w:t>
      </w:r>
      <w:r w:rsidRPr="00AC4E01">
        <w:rPr>
          <w:lang w:val="fr-FR"/>
        </w:rPr>
        <w:t xml:space="preserve"> de séjour n</w:t>
      </w:r>
      <w:r>
        <w:rPr>
          <w:lang w:val="fr-FR"/>
        </w:rPr>
        <w:t>’</w:t>
      </w:r>
      <w:r w:rsidRPr="00AC4E01">
        <w:rPr>
          <w:lang w:val="fr-FR"/>
        </w:rPr>
        <w:t>ont accès qu</w:t>
      </w:r>
      <w:r>
        <w:rPr>
          <w:lang w:val="fr-FR"/>
        </w:rPr>
        <w:t>’</w:t>
      </w:r>
      <w:r w:rsidRPr="00AC4E01">
        <w:rPr>
          <w:lang w:val="fr-FR"/>
        </w:rPr>
        <w:t>à des services de santé limités ;</w:t>
      </w:r>
    </w:p>
    <w:p w14:paraId="75BB9E22" w14:textId="4A3413EB" w:rsidR="009576FC" w:rsidRPr="00AC4E01" w:rsidRDefault="009576FC" w:rsidP="009576FC">
      <w:pPr>
        <w:pStyle w:val="SingleTxtG"/>
        <w:ind w:firstLine="567"/>
        <w:rPr>
          <w:lang w:val="fr-FR"/>
        </w:rPr>
      </w:pPr>
      <w:r w:rsidRPr="00AC4E01">
        <w:rPr>
          <w:lang w:val="fr-FR"/>
        </w:rPr>
        <w:t>c)</w:t>
      </w:r>
      <w:r w:rsidRPr="00AC4E01">
        <w:rPr>
          <w:lang w:val="fr-FR"/>
        </w:rPr>
        <w:tab/>
        <w:t>Le grand nombre d</w:t>
      </w:r>
      <w:r>
        <w:rPr>
          <w:lang w:val="fr-FR"/>
        </w:rPr>
        <w:t>’</w:t>
      </w:r>
      <w:r w:rsidRPr="00AC4E01">
        <w:rPr>
          <w:lang w:val="fr-FR"/>
        </w:rPr>
        <w:t>enfants, en particulier d</w:t>
      </w:r>
      <w:r>
        <w:rPr>
          <w:lang w:val="fr-FR"/>
        </w:rPr>
        <w:t>’</w:t>
      </w:r>
      <w:r w:rsidRPr="00AC4E01">
        <w:rPr>
          <w:lang w:val="fr-FR"/>
        </w:rPr>
        <w:t xml:space="preserve">enfants défavorisés sur le plan </w:t>
      </w:r>
      <w:proofErr w:type="spellStart"/>
      <w:r w:rsidRPr="00AC4E01">
        <w:rPr>
          <w:lang w:val="fr-FR"/>
        </w:rPr>
        <w:t>socioéconomique</w:t>
      </w:r>
      <w:proofErr w:type="spellEnd"/>
      <w:r w:rsidRPr="00AC4E01">
        <w:rPr>
          <w:lang w:val="fr-FR"/>
        </w:rPr>
        <w:t>, qui sont exposés au tabagisme passif ;</w:t>
      </w:r>
    </w:p>
    <w:p w14:paraId="39AE7F9B" w14:textId="6616887A" w:rsidR="009576FC" w:rsidRPr="00AC4E01" w:rsidRDefault="009576FC" w:rsidP="009576FC">
      <w:pPr>
        <w:pStyle w:val="SingleTxtG"/>
        <w:ind w:firstLine="567"/>
        <w:rPr>
          <w:lang w:val="fr-FR"/>
        </w:rPr>
      </w:pPr>
      <w:r w:rsidRPr="00AC4E01">
        <w:rPr>
          <w:lang w:val="fr-FR"/>
        </w:rPr>
        <w:t>d)</w:t>
      </w:r>
      <w:r w:rsidRPr="00AC4E01">
        <w:rPr>
          <w:lang w:val="fr-FR"/>
        </w:rPr>
        <w:tab/>
        <w:t xml:space="preserve">La </w:t>
      </w:r>
      <w:r>
        <w:rPr>
          <w:lang w:val="fr-FR"/>
        </w:rPr>
        <w:t xml:space="preserve">prévalence </w:t>
      </w:r>
      <w:r w:rsidRPr="00AC4E01">
        <w:rPr>
          <w:lang w:val="fr-FR"/>
        </w:rPr>
        <w:t>du trouble du jeu vidéo et d</w:t>
      </w:r>
      <w:r>
        <w:rPr>
          <w:lang w:val="fr-FR"/>
        </w:rPr>
        <w:t>’</w:t>
      </w:r>
      <w:r w:rsidRPr="00AC4E01">
        <w:rPr>
          <w:lang w:val="fr-FR"/>
        </w:rPr>
        <w:t>autres formes de dépendance en ligne parmi les enfants.</w:t>
      </w:r>
    </w:p>
    <w:p w14:paraId="76621D85" w14:textId="6685E795" w:rsidR="009576FC" w:rsidRPr="00AC4E01" w:rsidRDefault="009576FC" w:rsidP="009576FC">
      <w:pPr>
        <w:pStyle w:val="SingleTxtG"/>
        <w:rPr>
          <w:b/>
          <w:bCs/>
          <w:lang w:val="fr-FR"/>
        </w:rPr>
      </w:pPr>
      <w:r w:rsidRPr="002260E4">
        <w:rPr>
          <w:lang w:val="fr-FR"/>
        </w:rPr>
        <w:t>31.</w:t>
      </w:r>
      <w:r w:rsidRPr="00AC4E01">
        <w:rPr>
          <w:b/>
          <w:bCs/>
          <w:lang w:val="fr-FR"/>
        </w:rPr>
        <w:tab/>
        <w:t xml:space="preserve">Rappelant son observation générale </w:t>
      </w:r>
      <w:r w:rsidR="004279EC" w:rsidRPr="004279EC">
        <w:rPr>
          <w:rFonts w:eastAsia="MS Mincho"/>
          <w:b/>
          <w:bCs/>
          <w:szCs w:val="22"/>
          <w:lang w:val="fr-FR"/>
        </w:rPr>
        <w:t>n</w:t>
      </w:r>
      <w:r w:rsidR="004279EC" w:rsidRPr="004279EC">
        <w:rPr>
          <w:rFonts w:eastAsia="MS Mincho"/>
          <w:b/>
          <w:bCs/>
          <w:szCs w:val="22"/>
          <w:vertAlign w:val="superscript"/>
          <w:lang w:val="fr-FR"/>
        </w:rPr>
        <w:t>o</w:t>
      </w:r>
      <w:r w:rsidR="004279EC">
        <w:rPr>
          <w:b/>
          <w:bCs/>
          <w:lang w:val="fr-FR"/>
        </w:rPr>
        <w:t> </w:t>
      </w:r>
      <w:r w:rsidRPr="00AC4E01">
        <w:rPr>
          <w:b/>
          <w:bCs/>
          <w:lang w:val="fr-FR"/>
        </w:rPr>
        <w:t>15 (2013) sur le droit de l</w:t>
      </w:r>
      <w:r>
        <w:rPr>
          <w:b/>
          <w:bCs/>
          <w:lang w:val="fr-FR"/>
        </w:rPr>
        <w:t>’</w:t>
      </w:r>
      <w:r w:rsidRPr="00AC4E01">
        <w:rPr>
          <w:b/>
          <w:bCs/>
          <w:lang w:val="fr-FR"/>
        </w:rPr>
        <w:t>enfant de jouir du meilleur état de santé possible, le Comité recommande à l</w:t>
      </w:r>
      <w:r>
        <w:rPr>
          <w:b/>
          <w:bCs/>
          <w:lang w:val="fr-FR"/>
        </w:rPr>
        <w:t>’</w:t>
      </w:r>
      <w:r w:rsidRPr="00AC4E01">
        <w:rPr>
          <w:b/>
          <w:bCs/>
          <w:lang w:val="fr-FR"/>
        </w:rPr>
        <w:t>État partie :</w:t>
      </w:r>
    </w:p>
    <w:p w14:paraId="2D136AB5" w14:textId="06FDC433"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garantir l</w:t>
      </w:r>
      <w:r>
        <w:rPr>
          <w:b/>
          <w:bCs/>
          <w:lang w:val="fr-FR"/>
        </w:rPr>
        <w:t>’</w:t>
      </w:r>
      <w:r w:rsidRPr="00AC4E01">
        <w:rPr>
          <w:b/>
          <w:bCs/>
          <w:lang w:val="fr-FR"/>
        </w:rPr>
        <w:t xml:space="preserve">accès de tous les enfants, en particulier </w:t>
      </w:r>
      <w:r>
        <w:rPr>
          <w:b/>
          <w:bCs/>
          <w:lang w:val="fr-FR"/>
        </w:rPr>
        <w:t>de ceux qui sont</w:t>
      </w:r>
      <w:r w:rsidRPr="00AC4E01">
        <w:rPr>
          <w:b/>
          <w:bCs/>
          <w:lang w:val="fr-FR"/>
        </w:rPr>
        <w:t xml:space="preserve"> défavorisés </w:t>
      </w:r>
      <w:r>
        <w:rPr>
          <w:b/>
          <w:bCs/>
          <w:lang w:val="fr-FR"/>
        </w:rPr>
        <w:t>ou vivent</w:t>
      </w:r>
      <w:r w:rsidRPr="00AC4E01">
        <w:rPr>
          <w:b/>
          <w:bCs/>
          <w:lang w:val="fr-FR"/>
        </w:rPr>
        <w:t xml:space="preserve"> dans les zones rurales,</w:t>
      </w:r>
      <w:r>
        <w:rPr>
          <w:b/>
          <w:bCs/>
          <w:lang w:val="fr-FR"/>
        </w:rPr>
        <w:t xml:space="preserve"> </w:t>
      </w:r>
      <w:r w:rsidRPr="00AC4E01">
        <w:rPr>
          <w:b/>
          <w:bCs/>
          <w:lang w:val="fr-FR"/>
        </w:rPr>
        <w:t xml:space="preserve">à des soins de santé primaires pédiatriques de qualité, notamment </w:t>
      </w:r>
      <w:r>
        <w:rPr>
          <w:b/>
          <w:bCs/>
          <w:lang w:val="fr-FR"/>
        </w:rPr>
        <w:t>en organisant</w:t>
      </w:r>
      <w:r w:rsidRPr="00AC4E01">
        <w:rPr>
          <w:b/>
          <w:bCs/>
          <w:lang w:val="fr-FR"/>
        </w:rPr>
        <w:t xml:space="preserve"> la relève</w:t>
      </w:r>
      <w:r>
        <w:rPr>
          <w:b/>
          <w:bCs/>
          <w:lang w:val="fr-FR"/>
        </w:rPr>
        <w:t xml:space="preserve"> et</w:t>
      </w:r>
      <w:r w:rsidRPr="00AC4E01">
        <w:rPr>
          <w:b/>
          <w:bCs/>
          <w:lang w:val="fr-FR"/>
        </w:rPr>
        <w:t xml:space="preserve"> en veillant à ce que le nombre de </w:t>
      </w:r>
      <w:r w:rsidRPr="00AC4E01">
        <w:rPr>
          <w:b/>
          <w:bCs/>
          <w:lang w:val="fr-FR"/>
        </w:rPr>
        <w:lastRenderedPageBreak/>
        <w:t>professionnels de santé qualifiés soit suffisant pour répondre aux besoins des enfants en matière de santé ;</w:t>
      </w:r>
    </w:p>
    <w:p w14:paraId="5CF1711A" w14:textId="1D3D8095" w:rsidR="009576FC" w:rsidRPr="004279EC" w:rsidRDefault="009576FC" w:rsidP="009576FC">
      <w:pPr>
        <w:pStyle w:val="SingleTxtG"/>
        <w:ind w:firstLine="567"/>
        <w:rPr>
          <w:b/>
          <w:bCs/>
          <w:lang w:val="fr-FR"/>
        </w:rPr>
      </w:pPr>
      <w:r w:rsidRPr="004279EC">
        <w:rPr>
          <w:b/>
          <w:bCs/>
          <w:lang w:val="fr-FR"/>
        </w:rPr>
        <w:t>b)</w:t>
      </w:r>
      <w:r w:rsidRPr="004279EC">
        <w:rPr>
          <w:b/>
          <w:bCs/>
          <w:lang w:val="fr-FR"/>
        </w:rPr>
        <w:tab/>
        <w:t>D’envisager d’élargir les services de santé auxquels enfants demandeurs d’asile ou migrants et aux enfants sans titre de séjour ont accès, de sorte qu’ils aient accès à des services complets de santé, y compris de santé mentale ;</w:t>
      </w:r>
    </w:p>
    <w:p w14:paraId="358CD9FF" w14:textId="391DF196" w:rsidR="009576FC" w:rsidRPr="00AC4E01" w:rsidRDefault="009576FC" w:rsidP="009576FC">
      <w:pPr>
        <w:pStyle w:val="SingleTxtG"/>
        <w:ind w:firstLine="567"/>
        <w:rPr>
          <w:b/>
          <w:bCs/>
          <w:lang w:val="fr-FR"/>
        </w:rPr>
      </w:pPr>
      <w:r w:rsidRPr="004279EC">
        <w:rPr>
          <w:b/>
          <w:bCs/>
          <w:lang w:val="fr-FR"/>
        </w:rPr>
        <w:t>c)</w:t>
      </w:r>
      <w:r w:rsidRPr="004279EC">
        <w:rPr>
          <w:b/>
          <w:bCs/>
          <w:lang w:val="fr-FR"/>
        </w:rPr>
        <w:tab/>
        <w:t>De mener</w:t>
      </w:r>
      <w:r w:rsidRPr="00AC4E01">
        <w:rPr>
          <w:b/>
          <w:bCs/>
          <w:lang w:val="fr-FR"/>
        </w:rPr>
        <w:t xml:space="preserve"> à l</w:t>
      </w:r>
      <w:r>
        <w:rPr>
          <w:b/>
          <w:bCs/>
          <w:lang w:val="fr-FR"/>
        </w:rPr>
        <w:t>’</w:t>
      </w:r>
      <w:r w:rsidRPr="00AC4E01">
        <w:rPr>
          <w:b/>
          <w:bCs/>
          <w:lang w:val="fr-FR"/>
        </w:rPr>
        <w:t xml:space="preserve">intention des parents, notamment des </w:t>
      </w:r>
      <w:r>
        <w:rPr>
          <w:b/>
          <w:bCs/>
          <w:lang w:val="fr-FR"/>
        </w:rPr>
        <w:t>femmes</w:t>
      </w:r>
      <w:r w:rsidRPr="00AC4E01">
        <w:rPr>
          <w:b/>
          <w:bCs/>
          <w:lang w:val="fr-FR"/>
        </w:rPr>
        <w:t xml:space="preserve"> enceintes, des activités de sensibilisation </w:t>
      </w:r>
      <w:r>
        <w:rPr>
          <w:b/>
          <w:bCs/>
          <w:lang w:val="fr-FR"/>
        </w:rPr>
        <w:t>aux</w:t>
      </w:r>
      <w:r w:rsidRPr="00AC4E01">
        <w:rPr>
          <w:b/>
          <w:bCs/>
          <w:lang w:val="fr-FR"/>
        </w:rPr>
        <w:t xml:space="preserve"> effets néfastes de l</w:t>
      </w:r>
      <w:r>
        <w:rPr>
          <w:b/>
          <w:bCs/>
          <w:lang w:val="fr-FR"/>
        </w:rPr>
        <w:t>’</w:t>
      </w:r>
      <w:r w:rsidRPr="00AC4E01">
        <w:rPr>
          <w:b/>
          <w:bCs/>
          <w:lang w:val="fr-FR"/>
        </w:rPr>
        <w:t>usage de substance</w:t>
      </w:r>
      <w:r>
        <w:rPr>
          <w:b/>
          <w:bCs/>
          <w:lang w:val="fr-FR"/>
        </w:rPr>
        <w:t>s psychoactives</w:t>
      </w:r>
      <w:r w:rsidRPr="00AC4E01">
        <w:rPr>
          <w:b/>
          <w:bCs/>
          <w:lang w:val="fr-FR"/>
        </w:rPr>
        <w:t xml:space="preserve"> et du tabagisme passif sur la santé des enfants ;</w:t>
      </w:r>
    </w:p>
    <w:p w14:paraId="7793E686" w14:textId="1281E009" w:rsidR="009576FC" w:rsidRPr="00AC4E01" w:rsidRDefault="009576FC" w:rsidP="009576FC">
      <w:pPr>
        <w:pStyle w:val="SingleTxtG"/>
        <w:ind w:firstLine="567"/>
        <w:rPr>
          <w:b/>
          <w:bCs/>
          <w:lang w:val="fr-FR"/>
        </w:rPr>
      </w:pPr>
      <w:r w:rsidRPr="00AC4E01">
        <w:rPr>
          <w:b/>
          <w:bCs/>
          <w:lang w:val="fr-FR"/>
        </w:rPr>
        <w:t>d)</w:t>
      </w:r>
      <w:r w:rsidRPr="00AC4E01">
        <w:rPr>
          <w:b/>
          <w:bCs/>
          <w:lang w:val="fr-FR"/>
        </w:rPr>
        <w:tab/>
        <w:t xml:space="preserve">De réglementer </w:t>
      </w:r>
      <w:r>
        <w:rPr>
          <w:b/>
          <w:bCs/>
          <w:lang w:val="fr-FR"/>
        </w:rPr>
        <w:t>le marketing</w:t>
      </w:r>
      <w:r w:rsidRPr="00AC4E01">
        <w:rPr>
          <w:b/>
          <w:bCs/>
          <w:lang w:val="fr-FR"/>
        </w:rPr>
        <w:t xml:space="preserve"> du tabac auprès des enfants et de continuer à renforcer les mesures visant à fournir aux adolescents des informations sur la prévention de l</w:t>
      </w:r>
      <w:r>
        <w:rPr>
          <w:b/>
          <w:bCs/>
          <w:lang w:val="fr-FR"/>
        </w:rPr>
        <w:t>’</w:t>
      </w:r>
      <w:r w:rsidRPr="00AC4E01">
        <w:rPr>
          <w:b/>
          <w:bCs/>
          <w:lang w:val="fr-FR"/>
        </w:rPr>
        <w:t>usage de substance</w:t>
      </w:r>
      <w:r>
        <w:rPr>
          <w:b/>
          <w:bCs/>
          <w:lang w:val="fr-FR"/>
        </w:rPr>
        <w:t>s psychoactives</w:t>
      </w:r>
      <w:r w:rsidRPr="00AC4E01">
        <w:rPr>
          <w:b/>
          <w:bCs/>
          <w:lang w:val="fr-FR"/>
        </w:rPr>
        <w:t>, y compris le tabac et l</w:t>
      </w:r>
      <w:r>
        <w:rPr>
          <w:b/>
          <w:bCs/>
          <w:lang w:val="fr-FR"/>
        </w:rPr>
        <w:t>’</w:t>
      </w:r>
      <w:r w:rsidRPr="00AC4E01">
        <w:rPr>
          <w:b/>
          <w:bCs/>
          <w:lang w:val="fr-FR"/>
        </w:rPr>
        <w:t>alcool, et de faire en sorte que les adolescents qui ont besoin d</w:t>
      </w:r>
      <w:r>
        <w:rPr>
          <w:b/>
          <w:bCs/>
          <w:lang w:val="fr-FR"/>
        </w:rPr>
        <w:t>’</w:t>
      </w:r>
      <w:r w:rsidRPr="00AC4E01">
        <w:rPr>
          <w:b/>
          <w:bCs/>
          <w:lang w:val="fr-FR"/>
        </w:rPr>
        <w:t>un traitement à cet égard soient repérés assez tôt et orientés comme il convient ;</w:t>
      </w:r>
    </w:p>
    <w:p w14:paraId="7FFF892E" w14:textId="15DAE023" w:rsidR="009576FC" w:rsidRPr="00AC4E01" w:rsidRDefault="009576FC" w:rsidP="009576FC">
      <w:pPr>
        <w:pStyle w:val="SingleTxtG"/>
        <w:ind w:firstLine="567"/>
        <w:rPr>
          <w:b/>
          <w:bCs/>
          <w:lang w:val="fr-FR"/>
        </w:rPr>
      </w:pPr>
      <w:r w:rsidRPr="00AC4E01">
        <w:rPr>
          <w:b/>
          <w:bCs/>
          <w:lang w:val="fr-FR"/>
        </w:rPr>
        <w:t>e)</w:t>
      </w:r>
      <w:r w:rsidRPr="00AC4E01">
        <w:rPr>
          <w:b/>
          <w:bCs/>
          <w:lang w:val="fr-FR"/>
        </w:rPr>
        <w:tab/>
        <w:t xml:space="preserve">De veiller à ce que les adolescents qui risquent de </w:t>
      </w:r>
      <w:r>
        <w:rPr>
          <w:b/>
          <w:bCs/>
          <w:lang w:val="fr-FR"/>
        </w:rPr>
        <w:t>présenter</w:t>
      </w:r>
      <w:r w:rsidRPr="00AC4E01">
        <w:rPr>
          <w:b/>
          <w:bCs/>
          <w:lang w:val="fr-FR"/>
        </w:rPr>
        <w:t xml:space="preserve"> ou qui </w:t>
      </w:r>
      <w:r>
        <w:rPr>
          <w:b/>
          <w:bCs/>
          <w:lang w:val="fr-FR"/>
        </w:rPr>
        <w:t>présentent</w:t>
      </w:r>
      <w:r w:rsidRPr="00AC4E01">
        <w:rPr>
          <w:b/>
          <w:bCs/>
          <w:lang w:val="fr-FR"/>
        </w:rPr>
        <w:t xml:space="preserve"> déjà </w:t>
      </w:r>
      <w:r>
        <w:rPr>
          <w:b/>
          <w:bCs/>
          <w:lang w:val="fr-FR"/>
        </w:rPr>
        <w:t>un</w:t>
      </w:r>
      <w:r w:rsidRPr="00AC4E01">
        <w:rPr>
          <w:b/>
          <w:bCs/>
          <w:lang w:val="fr-FR"/>
        </w:rPr>
        <w:t xml:space="preserve"> trouble du jeu vidéo ou d</w:t>
      </w:r>
      <w:r>
        <w:rPr>
          <w:b/>
          <w:bCs/>
          <w:lang w:val="fr-FR"/>
        </w:rPr>
        <w:t>’</w:t>
      </w:r>
      <w:r w:rsidRPr="00AC4E01">
        <w:rPr>
          <w:b/>
          <w:bCs/>
          <w:lang w:val="fr-FR"/>
        </w:rPr>
        <w:t xml:space="preserve">autres formes de dépendance en ligne soient conscients des risques </w:t>
      </w:r>
      <w:r>
        <w:rPr>
          <w:b/>
          <w:bCs/>
          <w:lang w:val="fr-FR"/>
        </w:rPr>
        <w:t>d’</w:t>
      </w:r>
      <w:r w:rsidRPr="00AC4E01">
        <w:rPr>
          <w:b/>
          <w:bCs/>
          <w:lang w:val="fr-FR"/>
        </w:rPr>
        <w:t xml:space="preserve">un usage excessif des </w:t>
      </w:r>
      <w:proofErr w:type="spellStart"/>
      <w:r w:rsidRPr="00AC4E01">
        <w:rPr>
          <w:b/>
          <w:bCs/>
          <w:lang w:val="fr-FR"/>
        </w:rPr>
        <w:t>médias</w:t>
      </w:r>
      <w:proofErr w:type="spellEnd"/>
      <w:r w:rsidRPr="00AC4E01">
        <w:rPr>
          <w:b/>
          <w:bCs/>
          <w:lang w:val="fr-FR"/>
        </w:rPr>
        <w:t xml:space="preserve"> </w:t>
      </w:r>
      <w:r>
        <w:rPr>
          <w:b/>
          <w:bCs/>
          <w:lang w:val="fr-FR"/>
        </w:rPr>
        <w:t xml:space="preserve">pour leur santé </w:t>
      </w:r>
      <w:r w:rsidRPr="00AC4E01">
        <w:rPr>
          <w:b/>
          <w:bCs/>
          <w:lang w:val="fr-FR"/>
        </w:rPr>
        <w:t>et bénéficient d</w:t>
      </w:r>
      <w:r>
        <w:rPr>
          <w:b/>
          <w:bCs/>
          <w:lang w:val="fr-FR"/>
        </w:rPr>
        <w:t>’</w:t>
      </w:r>
      <w:r w:rsidRPr="00AC4E01">
        <w:rPr>
          <w:b/>
          <w:bCs/>
          <w:lang w:val="fr-FR"/>
        </w:rPr>
        <w:t>un soutien approprié.</w:t>
      </w:r>
    </w:p>
    <w:p w14:paraId="093E9623" w14:textId="777777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Santé mentale</w:t>
      </w:r>
    </w:p>
    <w:p w14:paraId="411269E6" w14:textId="4B671825" w:rsidR="009576FC" w:rsidRPr="00AC4E01" w:rsidRDefault="009576FC" w:rsidP="009576FC">
      <w:pPr>
        <w:pStyle w:val="SingleTxtG"/>
        <w:rPr>
          <w:b/>
          <w:bCs/>
          <w:lang w:val="fr-FR"/>
        </w:rPr>
      </w:pPr>
      <w:r w:rsidRPr="00F42745">
        <w:rPr>
          <w:lang w:val="fr-FR"/>
        </w:rPr>
        <w:t>32.</w:t>
      </w:r>
      <w:r w:rsidRPr="00AC4E01">
        <w:rPr>
          <w:b/>
          <w:bCs/>
          <w:lang w:val="fr-FR"/>
        </w:rPr>
        <w:tab/>
        <w:t xml:space="preserve">Rappelant la cible 3.4 des objectifs de développement durable, le Comité exprime sa préoccupation face </w:t>
      </w:r>
      <w:r>
        <w:rPr>
          <w:b/>
          <w:bCs/>
          <w:lang w:val="fr-FR"/>
        </w:rPr>
        <w:t>à la forte prévalence</w:t>
      </w:r>
      <w:r w:rsidRPr="00AC4E01">
        <w:rPr>
          <w:b/>
          <w:bCs/>
          <w:lang w:val="fr-FR"/>
        </w:rPr>
        <w:t xml:space="preserve"> de</w:t>
      </w:r>
      <w:r>
        <w:rPr>
          <w:b/>
          <w:bCs/>
          <w:lang w:val="fr-FR"/>
        </w:rPr>
        <w:t>s</w:t>
      </w:r>
      <w:r w:rsidRPr="00AC4E01">
        <w:rPr>
          <w:b/>
          <w:bCs/>
          <w:lang w:val="fr-FR"/>
        </w:rPr>
        <w:t xml:space="preserve"> troubles somatiques, de</w:t>
      </w:r>
      <w:r>
        <w:rPr>
          <w:b/>
          <w:bCs/>
          <w:lang w:val="fr-FR"/>
        </w:rPr>
        <w:t>s</w:t>
      </w:r>
      <w:r w:rsidRPr="00AC4E01">
        <w:rPr>
          <w:b/>
          <w:bCs/>
          <w:lang w:val="fr-FR"/>
        </w:rPr>
        <w:t xml:space="preserve"> troubles alimentaires et d</w:t>
      </w:r>
      <w:r>
        <w:rPr>
          <w:b/>
          <w:bCs/>
          <w:lang w:val="fr-FR"/>
        </w:rPr>
        <w:t>’</w:t>
      </w:r>
      <w:r w:rsidRPr="00AC4E01">
        <w:rPr>
          <w:b/>
          <w:bCs/>
          <w:lang w:val="fr-FR"/>
        </w:rPr>
        <w:t>autres comportements autodestructeurs chez les enfants et recommande à l</w:t>
      </w:r>
      <w:r>
        <w:rPr>
          <w:b/>
          <w:bCs/>
          <w:lang w:val="fr-FR"/>
        </w:rPr>
        <w:t>’</w:t>
      </w:r>
      <w:r w:rsidRPr="00AC4E01">
        <w:rPr>
          <w:b/>
          <w:bCs/>
          <w:lang w:val="fr-FR"/>
        </w:rPr>
        <w:t>État partie :</w:t>
      </w:r>
    </w:p>
    <w:p w14:paraId="7A756455" w14:textId="3C8ABF8B"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redoubler d</w:t>
      </w:r>
      <w:r>
        <w:rPr>
          <w:b/>
          <w:bCs/>
          <w:lang w:val="fr-FR"/>
        </w:rPr>
        <w:t>’</w:t>
      </w:r>
      <w:r w:rsidRPr="00AC4E01">
        <w:rPr>
          <w:b/>
          <w:bCs/>
          <w:lang w:val="fr-FR"/>
        </w:rPr>
        <w:t xml:space="preserve">efforts pour améliorer le bien-être mental des enfants, notamment en développant les services de santé mentale de proximité et </w:t>
      </w:r>
      <w:r>
        <w:rPr>
          <w:b/>
          <w:bCs/>
          <w:lang w:val="fr-FR"/>
        </w:rPr>
        <w:t>les actions d’accompagnement</w:t>
      </w:r>
      <w:r w:rsidRPr="00AC4E01">
        <w:rPr>
          <w:b/>
          <w:bCs/>
          <w:lang w:val="fr-FR"/>
        </w:rPr>
        <w:t xml:space="preserve"> et de prévention à l</w:t>
      </w:r>
      <w:r>
        <w:rPr>
          <w:b/>
          <w:bCs/>
          <w:lang w:val="fr-FR"/>
        </w:rPr>
        <w:t>’</w:t>
      </w:r>
      <w:r w:rsidRPr="00AC4E01">
        <w:rPr>
          <w:b/>
          <w:bCs/>
          <w:lang w:val="fr-FR"/>
        </w:rPr>
        <w:t>école, à la maison et dans les structures de protection de remplacement ;</w:t>
      </w:r>
    </w:p>
    <w:p w14:paraId="04971189" w14:textId="7782DF75" w:rsidR="009576FC" w:rsidRPr="00AC4E01" w:rsidRDefault="009576FC" w:rsidP="009576FC">
      <w:pPr>
        <w:pStyle w:val="SingleTxtG"/>
        <w:ind w:firstLine="567"/>
        <w:rPr>
          <w:b/>
          <w:bCs/>
          <w:lang w:val="fr-FR"/>
        </w:rPr>
      </w:pPr>
      <w:r w:rsidRPr="00AC4E01">
        <w:rPr>
          <w:b/>
          <w:bCs/>
          <w:lang w:val="fr-FR"/>
        </w:rPr>
        <w:t>b)</w:t>
      </w:r>
      <w:r w:rsidRPr="00AC4E01">
        <w:rPr>
          <w:b/>
          <w:bCs/>
          <w:lang w:val="fr-FR"/>
        </w:rPr>
        <w:tab/>
        <w:t xml:space="preserve">De </w:t>
      </w:r>
      <w:r>
        <w:rPr>
          <w:b/>
          <w:bCs/>
          <w:lang w:val="fr-FR"/>
        </w:rPr>
        <w:t xml:space="preserve">veiller à ce que tout </w:t>
      </w:r>
      <w:r w:rsidRPr="00AC4E01">
        <w:rPr>
          <w:b/>
          <w:bCs/>
          <w:lang w:val="fr-FR"/>
        </w:rPr>
        <w:t xml:space="preserve">diagnostic </w:t>
      </w:r>
      <w:r>
        <w:rPr>
          <w:b/>
          <w:bCs/>
          <w:lang w:val="fr-FR"/>
        </w:rPr>
        <w:t xml:space="preserve">initial </w:t>
      </w:r>
      <w:r w:rsidRPr="00AC4E01">
        <w:rPr>
          <w:b/>
          <w:bCs/>
          <w:lang w:val="fr-FR"/>
        </w:rPr>
        <w:t>d</w:t>
      </w:r>
      <w:r>
        <w:rPr>
          <w:b/>
          <w:bCs/>
          <w:lang w:val="fr-FR"/>
        </w:rPr>
        <w:t>’</w:t>
      </w:r>
      <w:r w:rsidRPr="00AC4E01">
        <w:rPr>
          <w:b/>
          <w:bCs/>
          <w:lang w:val="fr-FR"/>
        </w:rPr>
        <w:t>un trouble de la santé mentale, d</w:t>
      </w:r>
      <w:r>
        <w:rPr>
          <w:b/>
          <w:bCs/>
          <w:lang w:val="fr-FR"/>
        </w:rPr>
        <w:t>’</w:t>
      </w:r>
      <w:r w:rsidRPr="00AC4E01">
        <w:rPr>
          <w:b/>
          <w:bCs/>
          <w:lang w:val="fr-FR"/>
        </w:rPr>
        <w:t>un trouble du déficit de l</w:t>
      </w:r>
      <w:r>
        <w:rPr>
          <w:b/>
          <w:bCs/>
          <w:lang w:val="fr-FR"/>
        </w:rPr>
        <w:t>’</w:t>
      </w:r>
      <w:r w:rsidRPr="00AC4E01">
        <w:rPr>
          <w:b/>
          <w:bCs/>
          <w:lang w:val="fr-FR"/>
        </w:rPr>
        <w:t>attention avec ou sans hyperactivité ou d</w:t>
      </w:r>
      <w:r>
        <w:rPr>
          <w:b/>
          <w:bCs/>
          <w:lang w:val="fr-FR"/>
        </w:rPr>
        <w:t>’</w:t>
      </w:r>
      <w:r w:rsidRPr="00AC4E01">
        <w:rPr>
          <w:b/>
          <w:bCs/>
          <w:lang w:val="fr-FR"/>
        </w:rPr>
        <w:t>autres troubles du comportement</w:t>
      </w:r>
      <w:r w:rsidRPr="00F738CE">
        <w:rPr>
          <w:b/>
          <w:bCs/>
          <w:lang w:val="fr-FR"/>
        </w:rPr>
        <w:t xml:space="preserve"> </w:t>
      </w:r>
      <w:r>
        <w:rPr>
          <w:b/>
          <w:bCs/>
          <w:lang w:val="fr-FR"/>
        </w:rPr>
        <w:t>fasse l’objet d’</w:t>
      </w:r>
      <w:r w:rsidRPr="00AC4E01">
        <w:rPr>
          <w:b/>
          <w:bCs/>
          <w:lang w:val="fr-FR"/>
        </w:rPr>
        <w:t xml:space="preserve">une évaluation précoce et indépendante, et </w:t>
      </w:r>
      <w:r>
        <w:rPr>
          <w:b/>
          <w:bCs/>
          <w:lang w:val="fr-FR"/>
        </w:rPr>
        <w:t>d’assurer</w:t>
      </w:r>
      <w:r w:rsidRPr="00AC4E01">
        <w:rPr>
          <w:b/>
          <w:bCs/>
          <w:lang w:val="fr-FR"/>
        </w:rPr>
        <w:t xml:space="preserve"> aux enfants concernés, à leurs parents et à leurs enseignants </w:t>
      </w:r>
      <w:r>
        <w:rPr>
          <w:b/>
          <w:bCs/>
          <w:lang w:val="fr-FR"/>
        </w:rPr>
        <w:t>un accompagnement psychiatrique</w:t>
      </w:r>
      <w:r w:rsidRPr="00AC4E01">
        <w:rPr>
          <w:b/>
          <w:bCs/>
          <w:lang w:val="fr-FR"/>
        </w:rPr>
        <w:t xml:space="preserve"> et un soutien spécialisé</w:t>
      </w:r>
      <w:r>
        <w:rPr>
          <w:b/>
          <w:bCs/>
          <w:lang w:val="fr-FR"/>
        </w:rPr>
        <w:t xml:space="preserve"> appropriés qui ne reposent pas sur l’usage de médicaments et soient fondés</w:t>
      </w:r>
      <w:r w:rsidRPr="00AC4E01">
        <w:rPr>
          <w:b/>
          <w:bCs/>
          <w:lang w:val="fr-FR"/>
        </w:rPr>
        <w:t xml:space="preserve"> sur des éléments scientifiques.</w:t>
      </w:r>
    </w:p>
    <w:p w14:paraId="3288639A" w14:textId="53B0C67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Incidences des changements climatiques sur les droits de l</w:t>
      </w:r>
      <w:r>
        <w:rPr>
          <w:bCs/>
          <w:lang w:val="fr-FR"/>
        </w:rPr>
        <w:t>’</w:t>
      </w:r>
      <w:r w:rsidRPr="00AC4E01">
        <w:rPr>
          <w:bCs/>
          <w:lang w:val="fr-FR"/>
        </w:rPr>
        <w:t>enfant</w:t>
      </w:r>
    </w:p>
    <w:p w14:paraId="3561D294" w14:textId="20AD7EAA" w:rsidR="009576FC" w:rsidRPr="00AC4E01" w:rsidRDefault="009576FC" w:rsidP="009576FC">
      <w:pPr>
        <w:pStyle w:val="SingleTxtG"/>
        <w:rPr>
          <w:b/>
          <w:bCs/>
          <w:lang w:val="fr-FR"/>
        </w:rPr>
      </w:pPr>
      <w:r w:rsidRPr="00AC4E01">
        <w:rPr>
          <w:lang w:val="fr-FR"/>
        </w:rPr>
        <w:t>33.</w:t>
      </w:r>
      <w:r w:rsidRPr="00AC4E01">
        <w:rPr>
          <w:lang w:val="fr-FR"/>
        </w:rPr>
        <w:tab/>
      </w:r>
      <w:r w:rsidRPr="00AC4E01">
        <w:rPr>
          <w:b/>
          <w:bCs/>
          <w:lang w:val="fr-FR"/>
        </w:rPr>
        <w:t xml:space="preserve">Le Comité </w:t>
      </w:r>
      <w:r>
        <w:rPr>
          <w:b/>
          <w:bCs/>
          <w:lang w:val="fr-FR"/>
        </w:rPr>
        <w:t>prend note avec satisfaction de</w:t>
      </w:r>
      <w:r w:rsidRPr="00AC4E01">
        <w:rPr>
          <w:b/>
          <w:bCs/>
          <w:lang w:val="fr-FR"/>
        </w:rPr>
        <w:t xml:space="preserve"> l</w:t>
      </w:r>
      <w:r>
        <w:rPr>
          <w:b/>
          <w:bCs/>
          <w:lang w:val="fr-FR"/>
        </w:rPr>
        <w:t>’</w:t>
      </w:r>
      <w:r w:rsidRPr="00AC4E01">
        <w:rPr>
          <w:b/>
          <w:bCs/>
          <w:lang w:val="fr-FR"/>
        </w:rPr>
        <w:t>adoption de la loi sur l</w:t>
      </w:r>
      <w:r>
        <w:rPr>
          <w:b/>
          <w:bCs/>
          <w:lang w:val="fr-FR"/>
        </w:rPr>
        <w:t>’</w:t>
      </w:r>
      <w:r w:rsidRPr="00AC4E01">
        <w:rPr>
          <w:b/>
          <w:bCs/>
          <w:lang w:val="fr-FR"/>
        </w:rPr>
        <w:t>action climatique.</w:t>
      </w:r>
      <w:r w:rsidRPr="00AC4E01">
        <w:rPr>
          <w:lang w:val="fr-FR"/>
        </w:rPr>
        <w:t xml:space="preserve"> </w:t>
      </w:r>
      <w:r w:rsidRPr="00AC4E01">
        <w:rPr>
          <w:b/>
          <w:bCs/>
          <w:lang w:val="fr-FR"/>
        </w:rPr>
        <w:t>Néanmoins, il s</w:t>
      </w:r>
      <w:r>
        <w:rPr>
          <w:b/>
          <w:bCs/>
          <w:lang w:val="fr-FR"/>
        </w:rPr>
        <w:t>’</w:t>
      </w:r>
      <w:r w:rsidRPr="00AC4E01">
        <w:rPr>
          <w:b/>
          <w:bCs/>
          <w:lang w:val="fr-FR"/>
        </w:rPr>
        <w:t>inquiète des effets néfastes des émissions de carbone sur la jouissance des droits de l</w:t>
      </w:r>
      <w:r>
        <w:rPr>
          <w:b/>
          <w:bCs/>
          <w:lang w:val="fr-FR"/>
        </w:rPr>
        <w:t>’</w:t>
      </w:r>
      <w:r w:rsidRPr="00AC4E01">
        <w:rPr>
          <w:b/>
          <w:bCs/>
          <w:lang w:val="fr-FR"/>
        </w:rPr>
        <w:t>enfant, du manque d</w:t>
      </w:r>
      <w:r>
        <w:rPr>
          <w:b/>
          <w:bCs/>
          <w:lang w:val="fr-FR"/>
        </w:rPr>
        <w:t>’</w:t>
      </w:r>
      <w:r w:rsidRPr="00AC4E01">
        <w:rPr>
          <w:b/>
          <w:bCs/>
          <w:lang w:val="fr-FR"/>
        </w:rPr>
        <w:t>ambition des plans de réduction des émissions et de l</w:t>
      </w:r>
      <w:r>
        <w:rPr>
          <w:b/>
          <w:bCs/>
          <w:lang w:val="fr-FR"/>
        </w:rPr>
        <w:t>’</w:t>
      </w:r>
      <w:r w:rsidRPr="00AC4E01">
        <w:rPr>
          <w:b/>
          <w:bCs/>
          <w:lang w:val="fr-FR"/>
        </w:rPr>
        <w:t xml:space="preserve">insuffisance des mesures </w:t>
      </w:r>
      <w:r>
        <w:rPr>
          <w:b/>
          <w:bCs/>
          <w:lang w:val="fr-FR"/>
        </w:rPr>
        <w:t>visant à</w:t>
      </w:r>
      <w:r w:rsidRPr="00AC4E01">
        <w:rPr>
          <w:b/>
          <w:bCs/>
          <w:lang w:val="fr-FR"/>
        </w:rPr>
        <w:t xml:space="preserve"> mettre en œuvre plusieurs plans sectoriels de réduction des émissions de dioxyde de carbone. Rappelant les cibles 13.2 et 13.3 des objectifs de développement durable, le Comité recommande à l</w:t>
      </w:r>
      <w:r>
        <w:rPr>
          <w:b/>
          <w:bCs/>
          <w:lang w:val="fr-FR"/>
        </w:rPr>
        <w:t>’</w:t>
      </w:r>
      <w:r w:rsidRPr="00AC4E01">
        <w:rPr>
          <w:b/>
          <w:bCs/>
          <w:lang w:val="fr-FR"/>
        </w:rPr>
        <w:t>État partie :</w:t>
      </w:r>
    </w:p>
    <w:p w14:paraId="04D8441F" w14:textId="77777777"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réduire ses émissions de gaz à effet de serre conformément à ses engagements internationaux ;</w:t>
      </w:r>
    </w:p>
    <w:p w14:paraId="77BA1042" w14:textId="5A768FB7" w:rsidR="009576FC" w:rsidRPr="00AC4E01" w:rsidRDefault="009576FC" w:rsidP="009576FC">
      <w:pPr>
        <w:pStyle w:val="SingleTxtG"/>
        <w:ind w:firstLine="567"/>
        <w:rPr>
          <w:b/>
          <w:bCs/>
          <w:lang w:val="fr-FR"/>
        </w:rPr>
      </w:pPr>
      <w:r w:rsidRPr="00AC4E01">
        <w:rPr>
          <w:b/>
          <w:bCs/>
          <w:lang w:val="fr-FR"/>
        </w:rPr>
        <w:t>b)</w:t>
      </w:r>
      <w:r w:rsidRPr="00AC4E01">
        <w:rPr>
          <w:b/>
          <w:bCs/>
          <w:lang w:val="fr-FR"/>
        </w:rPr>
        <w:tab/>
        <w:t>De veiller à ce que les politiques et programmes nationaux de protection de l</w:t>
      </w:r>
      <w:r>
        <w:rPr>
          <w:b/>
          <w:bCs/>
          <w:lang w:val="fr-FR"/>
        </w:rPr>
        <w:t>’</w:t>
      </w:r>
      <w:r w:rsidRPr="00AC4E01">
        <w:rPr>
          <w:b/>
          <w:bCs/>
          <w:lang w:val="fr-FR"/>
        </w:rPr>
        <w:t xml:space="preserve">environnement et de lutte contre les changements climatiques soient mis en œuvre conformément aux principes de la Convention et tiennent compte des besoins et </w:t>
      </w:r>
      <w:r>
        <w:rPr>
          <w:b/>
          <w:bCs/>
          <w:lang w:val="fr-FR"/>
        </w:rPr>
        <w:t>de l’</w:t>
      </w:r>
      <w:r w:rsidRPr="00AC4E01">
        <w:rPr>
          <w:b/>
          <w:bCs/>
          <w:lang w:val="fr-FR"/>
        </w:rPr>
        <w:t>opinion des enfants ;</w:t>
      </w:r>
    </w:p>
    <w:p w14:paraId="380E9A41" w14:textId="36CD4B7E" w:rsidR="009576FC" w:rsidRPr="00AC4E01" w:rsidRDefault="009576FC" w:rsidP="009576FC">
      <w:pPr>
        <w:pStyle w:val="SingleTxtG"/>
        <w:ind w:firstLine="567"/>
        <w:rPr>
          <w:b/>
          <w:bCs/>
          <w:lang w:val="fr-FR"/>
        </w:rPr>
      </w:pPr>
      <w:r w:rsidRPr="00AC4E01">
        <w:rPr>
          <w:b/>
          <w:bCs/>
          <w:lang w:val="fr-FR"/>
        </w:rPr>
        <w:t>c)</w:t>
      </w:r>
      <w:r w:rsidRPr="00AC4E01">
        <w:rPr>
          <w:b/>
          <w:bCs/>
          <w:lang w:val="fr-FR"/>
        </w:rPr>
        <w:tab/>
        <w:t xml:space="preserve">De procéder à une évaluation des politiques et des pratiques de divers secteurs </w:t>
      </w:r>
      <w:r>
        <w:rPr>
          <w:b/>
          <w:bCs/>
          <w:lang w:val="fr-FR"/>
        </w:rPr>
        <w:t>ainsi que</w:t>
      </w:r>
      <w:r w:rsidRPr="00AC4E01">
        <w:rPr>
          <w:b/>
          <w:bCs/>
          <w:lang w:val="fr-FR"/>
        </w:rPr>
        <w:t xml:space="preserve"> des incidences sur les droits de l</w:t>
      </w:r>
      <w:r>
        <w:rPr>
          <w:b/>
          <w:bCs/>
          <w:lang w:val="fr-FR"/>
        </w:rPr>
        <w:t>’</w:t>
      </w:r>
      <w:r w:rsidRPr="00AC4E01">
        <w:rPr>
          <w:b/>
          <w:bCs/>
          <w:lang w:val="fr-FR"/>
        </w:rPr>
        <w:t>enfant des émissions de gaz à effet de serre qui résultent</w:t>
      </w:r>
      <w:r>
        <w:rPr>
          <w:b/>
          <w:bCs/>
          <w:lang w:val="fr-FR"/>
        </w:rPr>
        <w:t xml:space="preserve"> de ces politiques et pratiques</w:t>
      </w:r>
      <w:r w:rsidRPr="00AC4E01">
        <w:rPr>
          <w:b/>
          <w:bCs/>
          <w:lang w:val="fr-FR"/>
        </w:rPr>
        <w:t xml:space="preserve">, afin de définir un objectif de réduction des émissions </w:t>
      </w:r>
      <w:r>
        <w:rPr>
          <w:b/>
          <w:bCs/>
          <w:lang w:val="fr-FR"/>
        </w:rPr>
        <w:t>à la réalisation duquel</w:t>
      </w:r>
      <w:r w:rsidRPr="00AC4E01">
        <w:rPr>
          <w:b/>
          <w:bCs/>
          <w:lang w:val="fr-FR"/>
        </w:rPr>
        <w:t xml:space="preserve"> </w:t>
      </w:r>
      <w:r>
        <w:rPr>
          <w:b/>
          <w:bCs/>
          <w:lang w:val="fr-FR"/>
        </w:rPr>
        <w:t xml:space="preserve">des </w:t>
      </w:r>
      <w:r w:rsidRPr="00AC4E01">
        <w:rPr>
          <w:b/>
          <w:bCs/>
          <w:lang w:val="fr-FR"/>
        </w:rPr>
        <w:t xml:space="preserve">ressources suffisantes </w:t>
      </w:r>
      <w:r>
        <w:rPr>
          <w:b/>
          <w:bCs/>
          <w:lang w:val="fr-FR"/>
        </w:rPr>
        <w:t xml:space="preserve">seront allouées, </w:t>
      </w:r>
      <w:r w:rsidRPr="00AC4E01">
        <w:rPr>
          <w:b/>
          <w:bCs/>
          <w:lang w:val="fr-FR"/>
        </w:rPr>
        <w:t xml:space="preserve">et </w:t>
      </w:r>
      <w:r>
        <w:rPr>
          <w:b/>
          <w:bCs/>
          <w:lang w:val="fr-FR"/>
        </w:rPr>
        <w:t xml:space="preserve">d’élaborer </w:t>
      </w:r>
      <w:r w:rsidRPr="00AC4E01">
        <w:rPr>
          <w:b/>
          <w:bCs/>
          <w:lang w:val="fr-FR"/>
        </w:rPr>
        <w:t xml:space="preserve">une stratégie pour remédier à la situation, et de veiller à ce que cette stratégie </w:t>
      </w:r>
      <w:r>
        <w:rPr>
          <w:b/>
          <w:bCs/>
          <w:lang w:val="fr-FR"/>
        </w:rPr>
        <w:t>prévoie</w:t>
      </w:r>
      <w:r w:rsidRPr="00AC4E01">
        <w:rPr>
          <w:b/>
          <w:bCs/>
          <w:lang w:val="fr-FR"/>
        </w:rPr>
        <w:t xml:space="preserve"> des garanties spéciales et une protection juridique adaptée aux enfants ;</w:t>
      </w:r>
    </w:p>
    <w:p w14:paraId="23408735" w14:textId="0F5D3834" w:rsidR="009576FC" w:rsidRPr="00AC4E01" w:rsidRDefault="009576FC" w:rsidP="009576FC">
      <w:pPr>
        <w:pStyle w:val="SingleTxtG"/>
        <w:ind w:firstLine="567"/>
        <w:rPr>
          <w:b/>
          <w:bCs/>
          <w:lang w:val="fr-FR"/>
        </w:rPr>
      </w:pPr>
      <w:r w:rsidRPr="00C50A3D">
        <w:rPr>
          <w:b/>
          <w:bCs/>
          <w:lang w:val="fr-FR"/>
        </w:rPr>
        <w:lastRenderedPageBreak/>
        <w:t>d)</w:t>
      </w:r>
      <w:r w:rsidRPr="00C50A3D">
        <w:rPr>
          <w:b/>
          <w:bCs/>
          <w:lang w:val="fr-FR"/>
        </w:rPr>
        <w:tab/>
        <w:t>De renforcer, avec la participation active des écoles, les connaissances qu’ont les enfants des changements climatiques et de la santé environnementale, notamment en ce qui concerne la législation relative à la qualité de l’air et au climat et le droit des enfants de jouir du meilleur état de santé possible, et d’allouer suffisamment de ressources à la mise en œuvre du plan d’action national pour l’éducation au service du développement durable</w:t>
      </w:r>
      <w:r w:rsidRPr="00AC4E01">
        <w:rPr>
          <w:b/>
          <w:bCs/>
          <w:lang w:val="fr-FR"/>
        </w:rPr>
        <w:t> ;</w:t>
      </w:r>
    </w:p>
    <w:p w14:paraId="7D8FBCB0" w14:textId="5D9D4D86" w:rsidR="009576FC" w:rsidRPr="00AC4E01" w:rsidRDefault="009576FC" w:rsidP="009576FC">
      <w:pPr>
        <w:pStyle w:val="SingleTxtG"/>
        <w:ind w:firstLine="567"/>
        <w:rPr>
          <w:b/>
          <w:bCs/>
          <w:lang w:val="fr-FR"/>
        </w:rPr>
      </w:pPr>
      <w:r w:rsidRPr="00AC4E01">
        <w:rPr>
          <w:b/>
          <w:bCs/>
          <w:lang w:val="fr-FR"/>
        </w:rPr>
        <w:t>e)</w:t>
      </w:r>
      <w:r w:rsidRPr="00AC4E01">
        <w:rPr>
          <w:b/>
          <w:bCs/>
          <w:lang w:val="fr-FR"/>
        </w:rPr>
        <w:tab/>
        <w:t>De prendre des mesures législatives</w:t>
      </w:r>
      <w:r>
        <w:rPr>
          <w:b/>
          <w:bCs/>
          <w:lang w:val="fr-FR"/>
        </w:rPr>
        <w:t xml:space="preserve"> et d’autres mesures pour s’acquitter de</w:t>
      </w:r>
      <w:r w:rsidRPr="00AC4E01">
        <w:rPr>
          <w:b/>
          <w:bCs/>
          <w:lang w:val="fr-FR"/>
        </w:rPr>
        <w:t xml:space="preserve"> ses obligations extraterritoriales concernant les incidences sur l</w:t>
      </w:r>
      <w:r>
        <w:rPr>
          <w:b/>
          <w:bCs/>
          <w:lang w:val="fr-FR"/>
        </w:rPr>
        <w:t>’</w:t>
      </w:r>
      <w:r w:rsidRPr="00AC4E01">
        <w:rPr>
          <w:b/>
          <w:bCs/>
          <w:lang w:val="fr-FR"/>
        </w:rPr>
        <w:t>environnement, y</w:t>
      </w:r>
      <w:r>
        <w:rPr>
          <w:b/>
          <w:bCs/>
          <w:lang w:val="fr-FR"/>
        </w:rPr>
        <w:t> </w:t>
      </w:r>
      <w:r w:rsidRPr="00AC4E01">
        <w:rPr>
          <w:b/>
          <w:bCs/>
          <w:lang w:val="fr-FR"/>
        </w:rPr>
        <w:t>compris dans le cadre de la coopération internationale ;</w:t>
      </w:r>
    </w:p>
    <w:p w14:paraId="0E46B43C" w14:textId="40395611" w:rsidR="009576FC" w:rsidRPr="00AC4E01" w:rsidRDefault="009576FC" w:rsidP="009576FC">
      <w:pPr>
        <w:pStyle w:val="SingleTxtG"/>
        <w:ind w:firstLine="567"/>
        <w:rPr>
          <w:lang w:val="fr-FR"/>
        </w:rPr>
      </w:pPr>
      <w:r w:rsidRPr="00AC4E01">
        <w:rPr>
          <w:b/>
          <w:bCs/>
          <w:lang w:val="fr-FR"/>
        </w:rPr>
        <w:t>f)</w:t>
      </w:r>
      <w:r w:rsidRPr="00AC4E01">
        <w:rPr>
          <w:b/>
          <w:bCs/>
          <w:lang w:val="fr-FR"/>
        </w:rPr>
        <w:tab/>
        <w:t>De collecter des données sur les incidences des changements climatiques sur les enfants et de fournir, dans son prochain rapport, des informations sur les mesures prises pour atténuer ces incidences.</w:t>
      </w:r>
    </w:p>
    <w:p w14:paraId="497D24DC" w14:textId="77777777" w:rsidR="009576FC" w:rsidRPr="00C50A3D" w:rsidRDefault="009576FC" w:rsidP="009576FC">
      <w:pPr>
        <w:pStyle w:val="H23G"/>
        <w:spacing w:line="240" w:lineRule="atLeast"/>
        <w:rPr>
          <w:lang w:val="fr-FR"/>
        </w:rPr>
      </w:pPr>
      <w:r w:rsidRPr="00AC4E01">
        <w:rPr>
          <w:lang w:val="fr-FR"/>
        </w:rPr>
        <w:tab/>
      </w:r>
      <w:r w:rsidRPr="00AC4E01">
        <w:rPr>
          <w:lang w:val="fr-FR"/>
        </w:rPr>
        <w:tab/>
      </w:r>
      <w:r w:rsidRPr="00AC4E01">
        <w:rPr>
          <w:lang w:val="fr-FR"/>
        </w:rPr>
        <w:tab/>
      </w:r>
      <w:r w:rsidRPr="00C50A3D">
        <w:rPr>
          <w:bCs/>
          <w:lang w:val="fr-FR"/>
        </w:rPr>
        <w:t>Niveau de vie</w:t>
      </w:r>
    </w:p>
    <w:p w14:paraId="60FBD533" w14:textId="51C07DDF" w:rsidR="009576FC" w:rsidRPr="00C50A3D" w:rsidRDefault="009576FC" w:rsidP="009576FC">
      <w:pPr>
        <w:pStyle w:val="SingleTxtG"/>
        <w:rPr>
          <w:lang w:val="fr-FR"/>
        </w:rPr>
      </w:pPr>
      <w:r w:rsidRPr="00C50A3D">
        <w:rPr>
          <w:lang w:val="fr-FR"/>
        </w:rPr>
        <w:t>34.</w:t>
      </w:r>
      <w:r w:rsidRPr="00C50A3D">
        <w:rPr>
          <w:lang w:val="fr-FR"/>
        </w:rPr>
        <w:tab/>
      </w:r>
      <w:r w:rsidRPr="00C50A3D">
        <w:rPr>
          <w:b/>
          <w:bCs/>
          <w:lang w:val="fr-FR"/>
        </w:rPr>
        <w:t>Le Comité salue les mesures prises pour que davantage de parents isolés et de familles à faible revenu bénéficient d’une allocation supplémentaire pour enfant à charge, mais il note avec préoccupation qu’un grand nombre d’enfants vivent encore dans la pauvreté ou sont exposés au risque de pauvreté dans l’État partie.</w:t>
      </w:r>
      <w:r w:rsidRPr="00C50A3D">
        <w:rPr>
          <w:lang w:val="fr-FR"/>
        </w:rPr>
        <w:t xml:space="preserve"> </w:t>
      </w:r>
      <w:r w:rsidRPr="00C50A3D">
        <w:rPr>
          <w:b/>
          <w:bCs/>
          <w:lang w:val="fr-FR"/>
        </w:rPr>
        <w:t>Rappelant la cible 1.2 des objectifs de développement durable, il recommande à l’État partie :</w:t>
      </w:r>
    </w:p>
    <w:p w14:paraId="382EF818" w14:textId="7B2FE013" w:rsidR="009576FC" w:rsidRPr="00AC4E01" w:rsidRDefault="009576FC" w:rsidP="009576FC">
      <w:pPr>
        <w:pStyle w:val="SingleTxtG"/>
        <w:ind w:firstLine="567"/>
        <w:rPr>
          <w:b/>
          <w:bCs/>
          <w:lang w:val="fr-FR"/>
        </w:rPr>
      </w:pPr>
      <w:r w:rsidRPr="00C50A3D">
        <w:rPr>
          <w:b/>
          <w:bCs/>
          <w:lang w:val="fr-FR"/>
        </w:rPr>
        <w:t>a)</w:t>
      </w:r>
      <w:r w:rsidRPr="00AC4E01">
        <w:rPr>
          <w:b/>
          <w:bCs/>
          <w:lang w:val="fr-FR"/>
        </w:rPr>
        <w:tab/>
        <w:t>D</w:t>
      </w:r>
      <w:r>
        <w:rPr>
          <w:b/>
          <w:bCs/>
          <w:lang w:val="fr-FR"/>
        </w:rPr>
        <w:t>’</w:t>
      </w:r>
      <w:r w:rsidRPr="00AC4E01">
        <w:rPr>
          <w:b/>
          <w:bCs/>
          <w:lang w:val="fr-FR"/>
        </w:rPr>
        <w:t xml:space="preserve">élaborer une stratégie nationale, avec la participation des enfants, pour combattre les causes profondes de la pauvreté qui les touche et de faire en sorte que tous les enfants aient un niveau de vie suffisant. </w:t>
      </w:r>
      <w:r>
        <w:rPr>
          <w:b/>
          <w:bCs/>
          <w:lang w:val="fr-FR"/>
        </w:rPr>
        <w:t>Cette</w:t>
      </w:r>
      <w:r w:rsidRPr="00AC4E01">
        <w:rPr>
          <w:b/>
          <w:bCs/>
          <w:lang w:val="fr-FR"/>
        </w:rPr>
        <w:t xml:space="preserve"> stratégie devrait comprendre une réforme des prestations sociales prévoyant un minimum vital suffisant et </w:t>
      </w:r>
      <w:r>
        <w:rPr>
          <w:b/>
          <w:bCs/>
          <w:lang w:val="fr-FR"/>
        </w:rPr>
        <w:t>reposant sur</w:t>
      </w:r>
      <w:r w:rsidRPr="00AC4E01">
        <w:rPr>
          <w:b/>
          <w:bCs/>
          <w:lang w:val="fr-FR"/>
        </w:rPr>
        <w:t xml:space="preserve"> une méthode de calcul plus rigoureuse qui </w:t>
      </w:r>
      <w:r>
        <w:rPr>
          <w:b/>
          <w:bCs/>
          <w:lang w:val="fr-FR"/>
        </w:rPr>
        <w:t>prenne</w:t>
      </w:r>
      <w:r w:rsidRPr="00AC4E01">
        <w:rPr>
          <w:b/>
          <w:bCs/>
          <w:lang w:val="fr-FR"/>
        </w:rPr>
        <w:t xml:space="preserve"> en compte</w:t>
      </w:r>
      <w:r>
        <w:rPr>
          <w:b/>
          <w:bCs/>
          <w:lang w:val="fr-FR"/>
        </w:rPr>
        <w:t xml:space="preserve"> </w:t>
      </w:r>
      <w:r w:rsidRPr="00AC4E01">
        <w:rPr>
          <w:b/>
          <w:bCs/>
          <w:lang w:val="fr-FR"/>
        </w:rPr>
        <w:t>d</w:t>
      </w:r>
      <w:r>
        <w:rPr>
          <w:b/>
          <w:bCs/>
          <w:lang w:val="fr-FR"/>
        </w:rPr>
        <w:t>’</w:t>
      </w:r>
      <w:r w:rsidRPr="00AC4E01">
        <w:rPr>
          <w:b/>
          <w:bCs/>
          <w:lang w:val="fr-FR"/>
        </w:rPr>
        <w:t>autres facteurs</w:t>
      </w:r>
      <w:r>
        <w:rPr>
          <w:b/>
          <w:bCs/>
          <w:lang w:val="fr-FR"/>
        </w:rPr>
        <w:t xml:space="preserve"> aux fins de l’éligibilité</w:t>
      </w:r>
      <w:r w:rsidRPr="00AC4E01">
        <w:rPr>
          <w:b/>
          <w:bCs/>
          <w:lang w:val="fr-FR"/>
        </w:rPr>
        <w:t>, et devrait mettre l</w:t>
      </w:r>
      <w:r>
        <w:rPr>
          <w:b/>
          <w:bCs/>
          <w:lang w:val="fr-FR"/>
        </w:rPr>
        <w:t>’</w:t>
      </w:r>
      <w:r w:rsidRPr="00AC4E01">
        <w:rPr>
          <w:b/>
          <w:bCs/>
          <w:lang w:val="fr-FR"/>
        </w:rPr>
        <w:t>accent sur les enfants de familles défavorisées, y</w:t>
      </w:r>
      <w:r w:rsidR="00A93E4F">
        <w:rPr>
          <w:b/>
          <w:bCs/>
          <w:lang w:val="fr-FR"/>
        </w:rPr>
        <w:t> </w:t>
      </w:r>
      <w:r w:rsidRPr="00AC4E01">
        <w:rPr>
          <w:b/>
          <w:bCs/>
          <w:lang w:val="fr-FR"/>
        </w:rPr>
        <w:t xml:space="preserve">compris les enfants migrants, les enfants sans </w:t>
      </w:r>
      <w:r>
        <w:rPr>
          <w:b/>
          <w:bCs/>
          <w:lang w:val="fr-FR"/>
        </w:rPr>
        <w:t>titre</w:t>
      </w:r>
      <w:r w:rsidRPr="00AC4E01">
        <w:rPr>
          <w:b/>
          <w:bCs/>
          <w:lang w:val="fr-FR"/>
        </w:rPr>
        <w:t xml:space="preserve"> de séjour et les enfants de parents isolés ;</w:t>
      </w:r>
    </w:p>
    <w:p w14:paraId="7CF08024" w14:textId="13C451CA" w:rsidR="009576FC" w:rsidRPr="00AC4E01" w:rsidRDefault="009576FC" w:rsidP="009576FC">
      <w:pPr>
        <w:pStyle w:val="SingleTxtG"/>
        <w:ind w:firstLine="567"/>
        <w:rPr>
          <w:lang w:val="fr-FR"/>
        </w:rPr>
      </w:pPr>
      <w:r w:rsidRPr="00AC4E01">
        <w:rPr>
          <w:b/>
          <w:bCs/>
          <w:lang w:val="fr-FR"/>
        </w:rPr>
        <w:t>b)</w:t>
      </w:r>
      <w:r w:rsidRPr="00AC4E01">
        <w:rPr>
          <w:b/>
          <w:bCs/>
          <w:lang w:val="fr-FR"/>
        </w:rPr>
        <w:tab/>
        <w:t>De veiller à ce que toutes les familles, y compris les parents isolés, qui ont des enfants en droit de recevoir l</w:t>
      </w:r>
      <w:r>
        <w:rPr>
          <w:b/>
          <w:bCs/>
          <w:lang w:val="fr-FR"/>
        </w:rPr>
        <w:t>’</w:t>
      </w:r>
      <w:r w:rsidRPr="00AC4E01">
        <w:rPr>
          <w:b/>
          <w:bCs/>
          <w:lang w:val="fr-FR"/>
        </w:rPr>
        <w:t>allocation pour enfant à charge la reçoivent effectivement, indépendamment des autres prestations sociales qu</w:t>
      </w:r>
      <w:r>
        <w:rPr>
          <w:b/>
          <w:bCs/>
          <w:lang w:val="fr-FR"/>
        </w:rPr>
        <w:t>’</w:t>
      </w:r>
      <w:r w:rsidRPr="00AC4E01">
        <w:rPr>
          <w:b/>
          <w:bCs/>
          <w:lang w:val="fr-FR"/>
        </w:rPr>
        <w:t>elles perçoivent.</w:t>
      </w:r>
    </w:p>
    <w:p w14:paraId="3170D399" w14:textId="340D890B" w:rsidR="009576FC" w:rsidRPr="00AC4E01" w:rsidRDefault="00A93E4F" w:rsidP="00A93E4F">
      <w:pPr>
        <w:pStyle w:val="H1G"/>
        <w:rPr>
          <w:lang w:val="fr-FR"/>
        </w:rPr>
      </w:pPr>
      <w:r>
        <w:rPr>
          <w:lang w:val="fr-FR"/>
        </w:rPr>
        <w:tab/>
      </w:r>
      <w:r w:rsidR="009576FC" w:rsidRPr="00AC4E01">
        <w:rPr>
          <w:lang w:val="fr-FR"/>
        </w:rPr>
        <w:t>H.</w:t>
      </w:r>
      <w:r w:rsidR="009576FC" w:rsidRPr="00AC4E01">
        <w:rPr>
          <w:lang w:val="fr-FR"/>
        </w:rPr>
        <w:tab/>
        <w:t>Éducation, loisirs et activités culturelles (art. 28 à 31)</w:t>
      </w:r>
    </w:p>
    <w:p w14:paraId="50726B6C" w14:textId="3EC9B7C0"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Éducation, y compris la formation et l</w:t>
      </w:r>
      <w:r>
        <w:rPr>
          <w:bCs/>
          <w:lang w:val="fr-FR"/>
        </w:rPr>
        <w:t>’</w:t>
      </w:r>
      <w:r w:rsidRPr="00AC4E01">
        <w:rPr>
          <w:bCs/>
          <w:lang w:val="fr-FR"/>
        </w:rPr>
        <w:t>orientation professionnelles</w:t>
      </w:r>
    </w:p>
    <w:p w14:paraId="508FFC14" w14:textId="57DD0967" w:rsidR="009576FC" w:rsidRPr="00AC4E01" w:rsidRDefault="009576FC" w:rsidP="009576FC">
      <w:pPr>
        <w:pStyle w:val="SingleTxtG"/>
        <w:rPr>
          <w:lang w:val="fr-FR"/>
        </w:rPr>
      </w:pPr>
      <w:r w:rsidRPr="00AC4E01">
        <w:rPr>
          <w:lang w:val="fr-FR"/>
        </w:rPr>
        <w:t>35.</w:t>
      </w:r>
      <w:r w:rsidRPr="00AC4E01">
        <w:rPr>
          <w:lang w:val="fr-FR"/>
        </w:rPr>
        <w:tab/>
        <w:t>Le Comité salue les efforts que fait l</w:t>
      </w:r>
      <w:r>
        <w:rPr>
          <w:lang w:val="fr-FR"/>
        </w:rPr>
        <w:t>’</w:t>
      </w:r>
      <w:r w:rsidRPr="00AC4E01">
        <w:rPr>
          <w:lang w:val="fr-FR"/>
        </w:rPr>
        <w:t>État partie pour développer le système d</w:t>
      </w:r>
      <w:r>
        <w:rPr>
          <w:lang w:val="fr-FR"/>
        </w:rPr>
        <w:t>’</w:t>
      </w:r>
      <w:r w:rsidRPr="00AC4E01">
        <w:rPr>
          <w:lang w:val="fr-FR"/>
        </w:rPr>
        <w:t>éducation inclusive, pour combler les lacunes d</w:t>
      </w:r>
      <w:r>
        <w:rPr>
          <w:lang w:val="fr-FR"/>
        </w:rPr>
        <w:t>’</w:t>
      </w:r>
      <w:r w:rsidRPr="00AC4E01">
        <w:rPr>
          <w:lang w:val="fr-FR"/>
        </w:rPr>
        <w:t>apprentissage dont les enfants ont pâti pendant la pandémie de maladie à coronavirus (COVID-19), pour développer la numérisation dans les écoles, pour promouvoir l</w:t>
      </w:r>
      <w:r>
        <w:rPr>
          <w:lang w:val="fr-FR"/>
        </w:rPr>
        <w:t>’</w:t>
      </w:r>
      <w:r w:rsidRPr="00AC4E01">
        <w:rPr>
          <w:lang w:val="fr-FR"/>
        </w:rPr>
        <w:t>apprentissage des langues à la crèche et pour lutter contre la violence à l</w:t>
      </w:r>
      <w:r>
        <w:rPr>
          <w:lang w:val="fr-FR"/>
        </w:rPr>
        <w:t>’</w:t>
      </w:r>
      <w:r w:rsidRPr="00AC4E01">
        <w:rPr>
          <w:lang w:val="fr-FR"/>
        </w:rPr>
        <w:t>école. Il est néanmoins préoccupé par</w:t>
      </w:r>
      <w:r w:rsidR="00D56E76">
        <w:rPr>
          <w:lang w:val="fr-FR"/>
        </w:rPr>
        <w:t> </w:t>
      </w:r>
      <w:r w:rsidRPr="00AC4E01">
        <w:rPr>
          <w:lang w:val="fr-FR"/>
        </w:rPr>
        <w:t>:</w:t>
      </w:r>
    </w:p>
    <w:p w14:paraId="3EC6700B" w14:textId="0F067343" w:rsidR="009576FC" w:rsidRPr="00AC4E01" w:rsidRDefault="009576FC" w:rsidP="009576FC">
      <w:pPr>
        <w:pStyle w:val="SingleTxtG"/>
        <w:ind w:firstLine="567"/>
        <w:rPr>
          <w:lang w:val="fr-FR"/>
        </w:rPr>
      </w:pPr>
      <w:r w:rsidRPr="00AC4E01">
        <w:rPr>
          <w:lang w:val="fr-FR"/>
        </w:rPr>
        <w:t>a)</w:t>
      </w:r>
      <w:r w:rsidRPr="00AC4E01">
        <w:rPr>
          <w:lang w:val="fr-FR"/>
        </w:rPr>
        <w:tab/>
        <w:t>Les inégalités dans l</w:t>
      </w:r>
      <w:r>
        <w:rPr>
          <w:lang w:val="fr-FR"/>
        </w:rPr>
        <w:t>’</w:t>
      </w:r>
      <w:r w:rsidRPr="00AC4E01">
        <w:rPr>
          <w:lang w:val="fr-FR"/>
        </w:rPr>
        <w:t>accès à une éducation et à une formation professionnelle de qualité entre les Länder et parmi les enfants de groupes défavorisés ;</w:t>
      </w:r>
    </w:p>
    <w:p w14:paraId="5DC53B99" w14:textId="1A9D37B7" w:rsidR="009576FC" w:rsidRPr="00AC4E01" w:rsidRDefault="009576FC" w:rsidP="009576FC">
      <w:pPr>
        <w:pStyle w:val="SingleTxtG"/>
        <w:ind w:firstLine="567"/>
        <w:rPr>
          <w:lang w:val="fr-FR"/>
        </w:rPr>
      </w:pPr>
      <w:r w:rsidRPr="00AC4E01">
        <w:rPr>
          <w:lang w:val="fr-FR"/>
        </w:rPr>
        <w:t>b)</w:t>
      </w:r>
      <w:r w:rsidRPr="00AC4E01">
        <w:rPr>
          <w:lang w:val="fr-FR"/>
        </w:rPr>
        <w:tab/>
        <w:t>Le manque d</w:t>
      </w:r>
      <w:r>
        <w:rPr>
          <w:lang w:val="fr-FR"/>
        </w:rPr>
        <w:t>’</w:t>
      </w:r>
      <w:r w:rsidRPr="00AC4E01">
        <w:rPr>
          <w:lang w:val="fr-FR"/>
        </w:rPr>
        <w:t>établissements d</w:t>
      </w:r>
      <w:r>
        <w:rPr>
          <w:lang w:val="fr-FR"/>
        </w:rPr>
        <w:t>’</w:t>
      </w:r>
      <w:r w:rsidRPr="00AC4E01">
        <w:rPr>
          <w:lang w:val="fr-FR"/>
        </w:rPr>
        <w:t>enseignement secondaire inclusifs et le grand nombre d</w:t>
      </w:r>
      <w:r>
        <w:rPr>
          <w:lang w:val="fr-FR"/>
        </w:rPr>
        <w:t>’</w:t>
      </w:r>
      <w:r w:rsidRPr="00AC4E01">
        <w:rPr>
          <w:lang w:val="fr-FR"/>
        </w:rPr>
        <w:t>enfants handicapés qui quittent l</w:t>
      </w:r>
      <w:r>
        <w:rPr>
          <w:lang w:val="fr-FR"/>
        </w:rPr>
        <w:t>’</w:t>
      </w:r>
      <w:r w:rsidRPr="00AC4E01">
        <w:rPr>
          <w:lang w:val="fr-FR"/>
        </w:rPr>
        <w:t>école sans diplôme de fin d</w:t>
      </w:r>
      <w:r>
        <w:rPr>
          <w:lang w:val="fr-FR"/>
        </w:rPr>
        <w:t>’</w:t>
      </w:r>
      <w:r w:rsidRPr="00AC4E01">
        <w:rPr>
          <w:lang w:val="fr-FR"/>
        </w:rPr>
        <w:t>études ;</w:t>
      </w:r>
    </w:p>
    <w:p w14:paraId="728C421B" w14:textId="56E579D5" w:rsidR="009576FC" w:rsidRPr="00AC4E01" w:rsidRDefault="009576FC" w:rsidP="009576FC">
      <w:pPr>
        <w:pStyle w:val="SingleTxtG"/>
        <w:ind w:firstLine="567"/>
        <w:rPr>
          <w:lang w:val="fr-FR"/>
        </w:rPr>
      </w:pPr>
      <w:r w:rsidRPr="00AC4E01">
        <w:rPr>
          <w:lang w:val="fr-FR"/>
        </w:rPr>
        <w:t>c)</w:t>
      </w:r>
      <w:r w:rsidRPr="00AC4E01">
        <w:rPr>
          <w:lang w:val="fr-FR"/>
        </w:rPr>
        <w:tab/>
        <w:t>La pénurie d</w:t>
      </w:r>
      <w:r>
        <w:rPr>
          <w:lang w:val="fr-FR"/>
        </w:rPr>
        <w:t>’</w:t>
      </w:r>
      <w:r w:rsidRPr="00AC4E01">
        <w:rPr>
          <w:lang w:val="fr-FR"/>
        </w:rPr>
        <w:t xml:space="preserve">enseignants </w:t>
      </w:r>
      <w:r>
        <w:rPr>
          <w:lang w:val="fr-FR"/>
        </w:rPr>
        <w:t>sur tout le territoire de</w:t>
      </w:r>
      <w:r w:rsidRPr="00AC4E01">
        <w:rPr>
          <w:lang w:val="fr-FR"/>
        </w:rPr>
        <w:t xml:space="preserve"> l</w:t>
      </w:r>
      <w:r>
        <w:rPr>
          <w:lang w:val="fr-FR"/>
        </w:rPr>
        <w:t>’</w:t>
      </w:r>
      <w:r w:rsidRPr="00AC4E01">
        <w:rPr>
          <w:lang w:val="fr-FR"/>
        </w:rPr>
        <w:t xml:space="preserve">État partie et </w:t>
      </w:r>
      <w:r>
        <w:rPr>
          <w:lang w:val="fr-FR"/>
        </w:rPr>
        <w:t>le</w:t>
      </w:r>
      <w:r w:rsidRPr="00AC4E01">
        <w:rPr>
          <w:lang w:val="fr-FR"/>
        </w:rPr>
        <w:t xml:space="preserve"> stress </w:t>
      </w:r>
      <w:r>
        <w:rPr>
          <w:lang w:val="fr-FR"/>
        </w:rPr>
        <w:t>important que</w:t>
      </w:r>
      <w:r w:rsidRPr="00AC4E01">
        <w:rPr>
          <w:lang w:val="fr-FR"/>
        </w:rPr>
        <w:t xml:space="preserve"> les élèves </w:t>
      </w:r>
      <w:r>
        <w:rPr>
          <w:lang w:val="fr-FR"/>
        </w:rPr>
        <w:t xml:space="preserve">disent ressentir </w:t>
      </w:r>
      <w:r w:rsidRPr="00AC4E01">
        <w:rPr>
          <w:lang w:val="fr-FR"/>
        </w:rPr>
        <w:t xml:space="preserve">en raison de la pression scolaire et </w:t>
      </w:r>
      <w:r>
        <w:rPr>
          <w:lang w:val="fr-FR"/>
        </w:rPr>
        <w:t>du</w:t>
      </w:r>
      <w:r w:rsidRPr="00AC4E01">
        <w:rPr>
          <w:lang w:val="fr-FR"/>
        </w:rPr>
        <w:t xml:space="preserve"> harcèlement.</w:t>
      </w:r>
    </w:p>
    <w:p w14:paraId="09D10ABC" w14:textId="0D0ED163" w:rsidR="009576FC" w:rsidRPr="00AC4E01" w:rsidRDefault="009576FC" w:rsidP="009576FC">
      <w:pPr>
        <w:pStyle w:val="SingleTxtG"/>
        <w:rPr>
          <w:b/>
          <w:bCs/>
          <w:lang w:val="fr-FR"/>
        </w:rPr>
      </w:pPr>
      <w:r w:rsidRPr="00A93E4F">
        <w:rPr>
          <w:lang w:val="fr-FR"/>
        </w:rPr>
        <w:t>36.</w:t>
      </w:r>
      <w:r w:rsidRPr="00AC4E01">
        <w:rPr>
          <w:b/>
          <w:bCs/>
          <w:lang w:val="fr-FR"/>
        </w:rPr>
        <w:tab/>
        <w:t>Rappelant les cibles 4.5 et 4.a des objectifs de développement durable, le Comité recommande à l</w:t>
      </w:r>
      <w:r>
        <w:rPr>
          <w:b/>
          <w:bCs/>
          <w:lang w:val="fr-FR"/>
        </w:rPr>
        <w:t>’</w:t>
      </w:r>
      <w:r w:rsidRPr="00AC4E01">
        <w:rPr>
          <w:b/>
          <w:bCs/>
          <w:lang w:val="fr-FR"/>
        </w:rPr>
        <w:t>État partie :</w:t>
      </w:r>
    </w:p>
    <w:p w14:paraId="33958AC4" w14:textId="03889BD7" w:rsidR="009576FC" w:rsidRPr="00AC4E01" w:rsidRDefault="009576FC" w:rsidP="009576FC">
      <w:pPr>
        <w:pStyle w:val="SingleTxtG"/>
        <w:ind w:firstLine="567"/>
        <w:rPr>
          <w:b/>
          <w:bCs/>
          <w:lang w:val="fr-FR"/>
        </w:rPr>
      </w:pPr>
      <w:r w:rsidRPr="00AC4E01">
        <w:rPr>
          <w:b/>
          <w:bCs/>
          <w:lang w:val="fr-FR"/>
        </w:rPr>
        <w:t>a)</w:t>
      </w:r>
      <w:r w:rsidRPr="00AC4E01">
        <w:rPr>
          <w:b/>
          <w:bCs/>
          <w:lang w:val="fr-FR"/>
        </w:rPr>
        <w:tab/>
        <w:t>De renforcer les mesures visant à garantir l</w:t>
      </w:r>
      <w:r>
        <w:rPr>
          <w:b/>
          <w:bCs/>
          <w:lang w:val="fr-FR"/>
        </w:rPr>
        <w:t>’</w:t>
      </w:r>
      <w:r w:rsidRPr="00AC4E01">
        <w:rPr>
          <w:b/>
          <w:bCs/>
          <w:lang w:val="fr-FR"/>
        </w:rPr>
        <w:t>égalité d</w:t>
      </w:r>
      <w:r>
        <w:rPr>
          <w:b/>
          <w:bCs/>
          <w:lang w:val="fr-FR"/>
        </w:rPr>
        <w:t>’</w:t>
      </w:r>
      <w:r w:rsidRPr="00AC4E01">
        <w:rPr>
          <w:b/>
          <w:bCs/>
          <w:lang w:val="fr-FR"/>
        </w:rPr>
        <w:t>accès aux établissements d</w:t>
      </w:r>
      <w:r>
        <w:rPr>
          <w:b/>
          <w:bCs/>
          <w:lang w:val="fr-FR"/>
        </w:rPr>
        <w:t>’</w:t>
      </w:r>
      <w:r w:rsidRPr="00AC4E01">
        <w:rPr>
          <w:b/>
          <w:bCs/>
          <w:lang w:val="fr-FR"/>
        </w:rPr>
        <w:t>enseignement général, à l</w:t>
      </w:r>
      <w:r>
        <w:rPr>
          <w:b/>
          <w:bCs/>
          <w:lang w:val="fr-FR"/>
        </w:rPr>
        <w:t>’</w:t>
      </w:r>
      <w:r w:rsidRPr="00AC4E01">
        <w:rPr>
          <w:b/>
          <w:bCs/>
          <w:lang w:val="fr-FR"/>
        </w:rPr>
        <w:t xml:space="preserve">enseignement supérieur et à la formation professionnelle </w:t>
      </w:r>
      <w:r>
        <w:rPr>
          <w:b/>
          <w:bCs/>
          <w:lang w:val="fr-FR"/>
        </w:rPr>
        <w:t>pour les</w:t>
      </w:r>
      <w:r w:rsidRPr="00AC4E01">
        <w:rPr>
          <w:b/>
          <w:bCs/>
          <w:lang w:val="fr-FR"/>
        </w:rPr>
        <w:t xml:space="preserve"> enfants de groupes défavorisés, notamment les enfants demandeurs d</w:t>
      </w:r>
      <w:r>
        <w:rPr>
          <w:b/>
          <w:bCs/>
          <w:lang w:val="fr-FR"/>
        </w:rPr>
        <w:t>’</w:t>
      </w:r>
      <w:r w:rsidRPr="00AC4E01">
        <w:rPr>
          <w:b/>
          <w:bCs/>
          <w:lang w:val="fr-FR"/>
        </w:rPr>
        <w:t xml:space="preserve">asile, réfugiés ou migrants, les enfants handicapés et les enfants issus de familles défavorisées sur le plan </w:t>
      </w:r>
      <w:proofErr w:type="spellStart"/>
      <w:r w:rsidRPr="00AC4E01">
        <w:rPr>
          <w:b/>
          <w:bCs/>
          <w:lang w:val="fr-FR"/>
        </w:rPr>
        <w:t>socioéconomique</w:t>
      </w:r>
      <w:proofErr w:type="spellEnd"/>
      <w:r w:rsidRPr="00AC4E01">
        <w:rPr>
          <w:b/>
          <w:bCs/>
          <w:lang w:val="fr-FR"/>
        </w:rPr>
        <w:t> ;</w:t>
      </w:r>
    </w:p>
    <w:p w14:paraId="0AF94B16" w14:textId="0C5B4DC5" w:rsidR="009576FC" w:rsidRPr="00AC4E01" w:rsidRDefault="009576FC" w:rsidP="009576FC">
      <w:pPr>
        <w:pStyle w:val="SingleTxtG"/>
        <w:ind w:firstLine="567"/>
        <w:rPr>
          <w:b/>
          <w:bCs/>
          <w:lang w:val="fr-FR"/>
        </w:rPr>
      </w:pPr>
      <w:r w:rsidRPr="00AC4E01">
        <w:rPr>
          <w:b/>
          <w:bCs/>
          <w:lang w:val="fr-FR"/>
        </w:rPr>
        <w:lastRenderedPageBreak/>
        <w:t>b)</w:t>
      </w:r>
      <w:r w:rsidRPr="00AC4E01">
        <w:rPr>
          <w:b/>
          <w:bCs/>
          <w:lang w:val="fr-FR"/>
        </w:rPr>
        <w:tab/>
        <w:t>D</w:t>
      </w:r>
      <w:r>
        <w:rPr>
          <w:b/>
          <w:bCs/>
          <w:lang w:val="fr-FR"/>
        </w:rPr>
        <w:t>’</w:t>
      </w:r>
      <w:r w:rsidRPr="00AC4E01">
        <w:rPr>
          <w:b/>
          <w:bCs/>
          <w:lang w:val="fr-FR"/>
        </w:rPr>
        <w:t>établir des normes nationales propres à garantir le droit de tous les enfants handicapés à une éducation inclusive, et d</w:t>
      </w:r>
      <w:r>
        <w:rPr>
          <w:b/>
          <w:bCs/>
          <w:lang w:val="fr-FR"/>
        </w:rPr>
        <w:t>’</w:t>
      </w:r>
      <w:r w:rsidRPr="00AC4E01">
        <w:rPr>
          <w:b/>
          <w:bCs/>
          <w:lang w:val="fr-FR"/>
        </w:rPr>
        <w:t>encourager tous les Länder à élaborer des stratégies en vue de garantir l</w:t>
      </w:r>
      <w:r>
        <w:rPr>
          <w:b/>
          <w:bCs/>
          <w:lang w:val="fr-FR"/>
        </w:rPr>
        <w:t>’</w:t>
      </w:r>
      <w:r w:rsidRPr="00AC4E01">
        <w:rPr>
          <w:b/>
          <w:bCs/>
          <w:lang w:val="fr-FR"/>
        </w:rPr>
        <w:t xml:space="preserve">accès des enfants handicapés à une éducation inclusive de qualité dans les écoles ordinaires à tous les niveaux, y compris au niveau secondaire, en veillant à ce que </w:t>
      </w:r>
      <w:r>
        <w:rPr>
          <w:b/>
          <w:bCs/>
          <w:lang w:val="fr-FR"/>
        </w:rPr>
        <w:t>ces enfants bénéficient</w:t>
      </w:r>
      <w:r w:rsidRPr="00AC4E01">
        <w:rPr>
          <w:b/>
          <w:bCs/>
          <w:lang w:val="fr-FR"/>
        </w:rPr>
        <w:t xml:space="preserve"> de programmes adaptés, </w:t>
      </w:r>
      <w:r>
        <w:rPr>
          <w:b/>
          <w:bCs/>
          <w:lang w:val="fr-FR"/>
        </w:rPr>
        <w:t>d’</w:t>
      </w:r>
      <w:r w:rsidRPr="00AC4E01">
        <w:rPr>
          <w:b/>
          <w:bCs/>
          <w:lang w:val="fr-FR"/>
        </w:rPr>
        <w:t xml:space="preserve">un accompagnement individuel </w:t>
      </w:r>
      <w:r>
        <w:rPr>
          <w:b/>
          <w:bCs/>
          <w:lang w:val="fr-FR"/>
        </w:rPr>
        <w:t>assuré par du personnel</w:t>
      </w:r>
      <w:r w:rsidRPr="00AC4E01">
        <w:rPr>
          <w:b/>
          <w:bCs/>
          <w:lang w:val="fr-FR"/>
        </w:rPr>
        <w:t xml:space="preserve"> spécialisé et </w:t>
      </w:r>
      <w:r>
        <w:rPr>
          <w:b/>
          <w:bCs/>
          <w:lang w:val="fr-FR"/>
        </w:rPr>
        <w:t>d’</w:t>
      </w:r>
      <w:r w:rsidRPr="00AC4E01">
        <w:rPr>
          <w:b/>
          <w:bCs/>
          <w:lang w:val="fr-FR"/>
        </w:rPr>
        <w:t xml:space="preserve">aménagements raisonnables </w:t>
      </w:r>
      <w:r>
        <w:rPr>
          <w:b/>
          <w:bCs/>
          <w:lang w:val="fr-FR"/>
        </w:rPr>
        <w:t>visant à répondre à leurs</w:t>
      </w:r>
      <w:r w:rsidRPr="00AC4E01">
        <w:rPr>
          <w:b/>
          <w:bCs/>
          <w:lang w:val="fr-FR"/>
        </w:rPr>
        <w:t xml:space="preserve"> besoins éducatifs</w:t>
      </w:r>
      <w:r w:rsidR="00A93E4F">
        <w:rPr>
          <w:b/>
          <w:bCs/>
          <w:lang w:val="fr-FR"/>
        </w:rPr>
        <w:t> </w:t>
      </w:r>
      <w:r w:rsidRPr="00AC4E01">
        <w:rPr>
          <w:b/>
          <w:bCs/>
          <w:lang w:val="fr-FR"/>
        </w:rPr>
        <w:t>;</w:t>
      </w:r>
    </w:p>
    <w:p w14:paraId="18C24238" w14:textId="4D12F9C7" w:rsidR="009576FC" w:rsidRPr="00AC4E01" w:rsidRDefault="009576FC" w:rsidP="009576FC">
      <w:pPr>
        <w:pStyle w:val="SingleTxtG"/>
        <w:ind w:firstLine="567"/>
        <w:rPr>
          <w:b/>
          <w:bCs/>
          <w:lang w:val="fr-FR"/>
        </w:rPr>
      </w:pPr>
      <w:r w:rsidRPr="00AC4E01">
        <w:rPr>
          <w:b/>
          <w:bCs/>
          <w:lang w:val="fr-FR"/>
        </w:rPr>
        <w:t>c)</w:t>
      </w:r>
      <w:r w:rsidRPr="00AC4E01">
        <w:rPr>
          <w:b/>
          <w:bCs/>
          <w:lang w:val="fr-FR"/>
        </w:rPr>
        <w:tab/>
        <w:t>De renforcer les mesures visant à remédier à la pénurie d</w:t>
      </w:r>
      <w:r>
        <w:rPr>
          <w:b/>
          <w:bCs/>
          <w:lang w:val="fr-FR"/>
        </w:rPr>
        <w:t>’</w:t>
      </w:r>
      <w:r w:rsidRPr="00AC4E01">
        <w:rPr>
          <w:b/>
          <w:bCs/>
          <w:lang w:val="fr-FR"/>
        </w:rPr>
        <w:t xml:space="preserve">enseignants, </w:t>
      </w:r>
      <w:r>
        <w:rPr>
          <w:b/>
          <w:bCs/>
          <w:lang w:val="fr-FR"/>
        </w:rPr>
        <w:t>y</w:t>
      </w:r>
      <w:r w:rsidR="00A93E4F">
        <w:rPr>
          <w:b/>
          <w:bCs/>
          <w:lang w:val="fr-FR"/>
        </w:rPr>
        <w:t> </w:t>
      </w:r>
      <w:r>
        <w:rPr>
          <w:b/>
          <w:bCs/>
          <w:lang w:val="fr-FR"/>
        </w:rPr>
        <w:t>compris l’adoption de mesures novatrices visant à promouvoir les carrières de l’enseignement</w:t>
      </w:r>
      <w:r w:rsidRPr="00AC4E01">
        <w:rPr>
          <w:b/>
          <w:bCs/>
          <w:lang w:val="fr-FR"/>
        </w:rPr>
        <w:t xml:space="preserve">, et de lutter contre les causes profondes </w:t>
      </w:r>
      <w:r>
        <w:rPr>
          <w:b/>
          <w:bCs/>
          <w:lang w:val="fr-FR"/>
        </w:rPr>
        <w:t xml:space="preserve">du stress important </w:t>
      </w:r>
      <w:r w:rsidRPr="00AC4E01">
        <w:rPr>
          <w:b/>
          <w:bCs/>
          <w:lang w:val="fr-FR"/>
        </w:rPr>
        <w:t>ressenti par les élèves en raison de la pression scolaire ;</w:t>
      </w:r>
    </w:p>
    <w:p w14:paraId="6F730CCC" w14:textId="2232105A" w:rsidR="009576FC" w:rsidRPr="00AC4E01" w:rsidRDefault="009576FC" w:rsidP="009576FC">
      <w:pPr>
        <w:pStyle w:val="SingleTxtG"/>
        <w:ind w:firstLine="567"/>
        <w:rPr>
          <w:b/>
          <w:bCs/>
          <w:lang w:val="fr-FR"/>
        </w:rPr>
      </w:pPr>
      <w:r w:rsidRPr="00AC4E01">
        <w:rPr>
          <w:b/>
          <w:bCs/>
          <w:lang w:val="fr-FR"/>
        </w:rPr>
        <w:t>d)</w:t>
      </w:r>
      <w:r w:rsidRPr="00AC4E01">
        <w:rPr>
          <w:b/>
          <w:bCs/>
          <w:lang w:val="fr-FR"/>
        </w:rPr>
        <w:tab/>
        <w:t>De continuer à combattre le harcèlement à l</w:t>
      </w:r>
      <w:r>
        <w:rPr>
          <w:b/>
          <w:bCs/>
          <w:lang w:val="fr-FR"/>
        </w:rPr>
        <w:t>’</w:t>
      </w:r>
      <w:r w:rsidRPr="00AC4E01">
        <w:rPr>
          <w:b/>
          <w:bCs/>
          <w:lang w:val="fr-FR"/>
        </w:rPr>
        <w:t xml:space="preserve">école, y compris le </w:t>
      </w:r>
      <w:proofErr w:type="spellStart"/>
      <w:r w:rsidRPr="00AC4E01">
        <w:rPr>
          <w:b/>
          <w:bCs/>
          <w:lang w:val="fr-FR"/>
        </w:rPr>
        <w:t>cyberharcèlement</w:t>
      </w:r>
      <w:proofErr w:type="spellEnd"/>
      <w:r w:rsidRPr="00AC4E01">
        <w:rPr>
          <w:b/>
          <w:bCs/>
          <w:lang w:val="fr-FR"/>
        </w:rPr>
        <w:t xml:space="preserve">, en veillant à ce que les mesures prises englobent la prévention, </w:t>
      </w:r>
      <w:r>
        <w:rPr>
          <w:b/>
          <w:bCs/>
          <w:lang w:val="fr-FR"/>
        </w:rPr>
        <w:t>la mise en place de</w:t>
      </w:r>
      <w:r w:rsidRPr="00AC4E01">
        <w:rPr>
          <w:b/>
          <w:bCs/>
          <w:lang w:val="fr-FR"/>
        </w:rPr>
        <w:t xml:space="preserve"> mécanismes de détection précoce</w:t>
      </w:r>
      <w:r>
        <w:rPr>
          <w:b/>
          <w:bCs/>
          <w:lang w:val="fr-FR"/>
        </w:rPr>
        <w:t xml:space="preserve"> et de</w:t>
      </w:r>
      <w:r w:rsidRPr="00AC4E01">
        <w:rPr>
          <w:b/>
          <w:bCs/>
          <w:lang w:val="fr-FR"/>
        </w:rPr>
        <w:t xml:space="preserve"> protocoles d</w:t>
      </w:r>
      <w:r>
        <w:rPr>
          <w:b/>
          <w:bCs/>
          <w:lang w:val="fr-FR"/>
        </w:rPr>
        <w:t>’</w:t>
      </w:r>
      <w:r w:rsidRPr="00AC4E01">
        <w:rPr>
          <w:b/>
          <w:bCs/>
          <w:lang w:val="fr-FR"/>
        </w:rPr>
        <w:t xml:space="preserve">intervention, la formation obligatoire des enseignants, </w:t>
      </w:r>
      <w:r>
        <w:rPr>
          <w:b/>
          <w:bCs/>
          <w:lang w:val="fr-FR"/>
        </w:rPr>
        <w:t>l’adoption de</w:t>
      </w:r>
      <w:r w:rsidRPr="00AC4E01">
        <w:rPr>
          <w:b/>
          <w:bCs/>
          <w:lang w:val="fr-FR"/>
        </w:rPr>
        <w:t xml:space="preserve"> directives harmonisées pour la collecte de données relatives aux cas et la sensibilisation aux effets néfastes du harcèlement ;</w:t>
      </w:r>
    </w:p>
    <w:p w14:paraId="2BBEDFA1" w14:textId="17E371FE" w:rsidR="009576FC" w:rsidRPr="00AC4E01" w:rsidRDefault="009576FC" w:rsidP="009576FC">
      <w:pPr>
        <w:pStyle w:val="SingleTxtG"/>
        <w:ind w:firstLine="567"/>
        <w:rPr>
          <w:lang w:val="fr-FR"/>
        </w:rPr>
      </w:pPr>
      <w:r w:rsidRPr="00AC4E01">
        <w:rPr>
          <w:b/>
          <w:bCs/>
          <w:lang w:val="fr-FR"/>
        </w:rPr>
        <w:t>e)</w:t>
      </w:r>
      <w:r w:rsidRPr="00AC4E01">
        <w:rPr>
          <w:b/>
          <w:bCs/>
          <w:lang w:val="fr-FR"/>
        </w:rPr>
        <w:tab/>
        <w:t xml:space="preserve">De promulguer, au niveau fédéral et au niveau des Länder, une législation </w:t>
      </w:r>
      <w:r>
        <w:rPr>
          <w:b/>
          <w:bCs/>
          <w:lang w:val="fr-FR"/>
        </w:rPr>
        <w:t>prévoyant la mise en place de</w:t>
      </w:r>
      <w:r w:rsidRPr="00AC4E01">
        <w:rPr>
          <w:b/>
          <w:bCs/>
          <w:lang w:val="fr-FR"/>
        </w:rPr>
        <w:t xml:space="preserve"> procédures de plainte adaptées aux enfants dans tous les établissements d</w:t>
      </w:r>
      <w:r>
        <w:rPr>
          <w:b/>
          <w:bCs/>
          <w:lang w:val="fr-FR"/>
        </w:rPr>
        <w:t>’</w:t>
      </w:r>
      <w:r w:rsidRPr="00AC4E01">
        <w:rPr>
          <w:b/>
          <w:bCs/>
          <w:lang w:val="fr-FR"/>
        </w:rPr>
        <w:t>enseignement.</w:t>
      </w:r>
    </w:p>
    <w:p w14:paraId="5495DE28" w14:textId="6C0531D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Éducation aux droits de l</w:t>
      </w:r>
      <w:r>
        <w:rPr>
          <w:bCs/>
          <w:lang w:val="fr-FR"/>
        </w:rPr>
        <w:t>’</w:t>
      </w:r>
      <w:r w:rsidRPr="00AC4E01">
        <w:rPr>
          <w:bCs/>
          <w:lang w:val="fr-FR"/>
        </w:rPr>
        <w:t>homme</w:t>
      </w:r>
    </w:p>
    <w:p w14:paraId="147886FD" w14:textId="3AAC2E5A" w:rsidR="009576FC" w:rsidRPr="00AC4E01" w:rsidRDefault="009576FC" w:rsidP="009576FC">
      <w:pPr>
        <w:pStyle w:val="SingleTxtG"/>
        <w:rPr>
          <w:b/>
          <w:bCs/>
          <w:lang w:val="fr-FR"/>
        </w:rPr>
      </w:pPr>
      <w:r w:rsidRPr="00A93E4F">
        <w:rPr>
          <w:lang w:val="fr-FR"/>
        </w:rPr>
        <w:t>37.</w:t>
      </w:r>
      <w:r w:rsidRPr="00AC4E01">
        <w:rPr>
          <w:b/>
          <w:bCs/>
          <w:lang w:val="fr-FR"/>
        </w:rPr>
        <w:tab/>
        <w:t xml:space="preserve">Le Comité </w:t>
      </w:r>
      <w:r>
        <w:rPr>
          <w:b/>
          <w:bCs/>
          <w:lang w:val="fr-FR"/>
        </w:rPr>
        <w:t>note</w:t>
      </w:r>
      <w:r w:rsidRPr="00AC4E01">
        <w:rPr>
          <w:b/>
          <w:bCs/>
          <w:lang w:val="fr-FR"/>
        </w:rPr>
        <w:t xml:space="preserve"> que l</w:t>
      </w:r>
      <w:r>
        <w:rPr>
          <w:b/>
          <w:bCs/>
          <w:lang w:val="fr-FR"/>
        </w:rPr>
        <w:t>’</w:t>
      </w:r>
      <w:r w:rsidRPr="00AC4E01">
        <w:rPr>
          <w:b/>
          <w:bCs/>
          <w:lang w:val="fr-FR"/>
        </w:rPr>
        <w:t>éducation relève principalement de la responsabilité des Länder, mais il est préoccupé par le fait que les lois relatives à l</w:t>
      </w:r>
      <w:r>
        <w:rPr>
          <w:b/>
          <w:bCs/>
          <w:lang w:val="fr-FR"/>
        </w:rPr>
        <w:t>’</w:t>
      </w:r>
      <w:r w:rsidRPr="00AC4E01">
        <w:rPr>
          <w:b/>
          <w:bCs/>
          <w:lang w:val="fr-FR"/>
        </w:rPr>
        <w:t xml:space="preserve">enseignement </w:t>
      </w:r>
      <w:r>
        <w:rPr>
          <w:b/>
          <w:bCs/>
          <w:lang w:val="fr-FR"/>
        </w:rPr>
        <w:t>font expressément référence</w:t>
      </w:r>
      <w:r w:rsidRPr="00AC4E01">
        <w:rPr>
          <w:b/>
          <w:bCs/>
          <w:lang w:val="fr-FR"/>
        </w:rPr>
        <w:t xml:space="preserve"> aux droits de l</w:t>
      </w:r>
      <w:r>
        <w:rPr>
          <w:b/>
          <w:bCs/>
          <w:lang w:val="fr-FR"/>
        </w:rPr>
        <w:t>’</w:t>
      </w:r>
      <w:r w:rsidRPr="00AC4E01">
        <w:rPr>
          <w:b/>
          <w:bCs/>
          <w:lang w:val="fr-FR"/>
        </w:rPr>
        <w:t>enfant et aux droits de l</w:t>
      </w:r>
      <w:r>
        <w:rPr>
          <w:b/>
          <w:bCs/>
          <w:lang w:val="fr-FR"/>
        </w:rPr>
        <w:t>’</w:t>
      </w:r>
      <w:r w:rsidRPr="00AC4E01">
        <w:rPr>
          <w:b/>
          <w:bCs/>
          <w:lang w:val="fr-FR"/>
        </w:rPr>
        <w:t>homme</w:t>
      </w:r>
      <w:r w:rsidRPr="00151221">
        <w:rPr>
          <w:b/>
          <w:bCs/>
          <w:lang w:val="fr-FR"/>
        </w:rPr>
        <w:t xml:space="preserve"> </w:t>
      </w:r>
      <w:r>
        <w:rPr>
          <w:b/>
          <w:bCs/>
          <w:lang w:val="fr-FR"/>
        </w:rPr>
        <w:t>dans</w:t>
      </w:r>
      <w:r w:rsidRPr="00AC4E01">
        <w:rPr>
          <w:b/>
          <w:bCs/>
          <w:lang w:val="fr-FR"/>
        </w:rPr>
        <w:t xml:space="preserve"> seulement trois Länder. </w:t>
      </w:r>
      <w:r>
        <w:rPr>
          <w:b/>
          <w:bCs/>
          <w:lang w:val="fr-FR"/>
        </w:rPr>
        <w:t>Il</w:t>
      </w:r>
      <w:r w:rsidRPr="00AC4E01">
        <w:rPr>
          <w:b/>
          <w:bCs/>
          <w:lang w:val="fr-FR"/>
        </w:rPr>
        <w:t xml:space="preserve"> appelle l</w:t>
      </w:r>
      <w:r>
        <w:rPr>
          <w:b/>
          <w:bCs/>
          <w:lang w:val="fr-FR"/>
        </w:rPr>
        <w:t>’</w:t>
      </w:r>
      <w:r w:rsidRPr="00AC4E01">
        <w:rPr>
          <w:b/>
          <w:bCs/>
          <w:lang w:val="fr-FR"/>
        </w:rPr>
        <w:t>attention de l</w:t>
      </w:r>
      <w:r>
        <w:rPr>
          <w:b/>
          <w:bCs/>
          <w:lang w:val="fr-FR"/>
        </w:rPr>
        <w:t>’</w:t>
      </w:r>
      <w:r w:rsidRPr="00AC4E01">
        <w:rPr>
          <w:b/>
          <w:bCs/>
          <w:lang w:val="fr-FR"/>
        </w:rPr>
        <w:t>État partie sur la cible 4.7 des objectifs de développement durable et lui recommande de redoubler d</w:t>
      </w:r>
      <w:r>
        <w:rPr>
          <w:b/>
          <w:bCs/>
          <w:lang w:val="fr-FR"/>
        </w:rPr>
        <w:t>’</w:t>
      </w:r>
      <w:r w:rsidRPr="00AC4E01">
        <w:rPr>
          <w:b/>
          <w:bCs/>
          <w:lang w:val="fr-FR"/>
        </w:rPr>
        <w:t>efforts pour promouvoir l</w:t>
      </w:r>
      <w:r>
        <w:rPr>
          <w:b/>
          <w:bCs/>
          <w:lang w:val="fr-FR"/>
        </w:rPr>
        <w:t>’</w:t>
      </w:r>
      <w:r w:rsidRPr="00AC4E01">
        <w:rPr>
          <w:b/>
          <w:bCs/>
          <w:lang w:val="fr-FR"/>
        </w:rPr>
        <w:t>instauration d</w:t>
      </w:r>
      <w:r>
        <w:rPr>
          <w:b/>
          <w:bCs/>
          <w:lang w:val="fr-FR"/>
        </w:rPr>
        <w:t>’</w:t>
      </w:r>
      <w:r w:rsidRPr="00AC4E01">
        <w:rPr>
          <w:b/>
          <w:bCs/>
          <w:lang w:val="fr-FR"/>
        </w:rPr>
        <w:t>une culture des droits de l</w:t>
      </w:r>
      <w:r>
        <w:rPr>
          <w:b/>
          <w:bCs/>
          <w:lang w:val="fr-FR"/>
        </w:rPr>
        <w:t>’</w:t>
      </w:r>
      <w:r w:rsidRPr="00AC4E01">
        <w:rPr>
          <w:b/>
          <w:bCs/>
          <w:lang w:val="fr-FR"/>
        </w:rPr>
        <w:t>homme et de la paix dans le système éducatif</w:t>
      </w:r>
      <w:r w:rsidR="00A93E4F">
        <w:rPr>
          <w:b/>
          <w:bCs/>
          <w:lang w:val="fr-FR"/>
        </w:rPr>
        <w:t> </w:t>
      </w:r>
      <w:r w:rsidRPr="00AC4E01">
        <w:rPr>
          <w:b/>
          <w:bCs/>
          <w:lang w:val="fr-FR"/>
        </w:rPr>
        <w:t>et :</w:t>
      </w:r>
    </w:p>
    <w:p w14:paraId="6EDF654F" w14:textId="4F156896" w:rsidR="009576FC" w:rsidRPr="00AC4E01" w:rsidRDefault="009576FC" w:rsidP="00A93E4F">
      <w:pPr>
        <w:pStyle w:val="SingleTxtG"/>
        <w:ind w:firstLine="567"/>
        <w:rPr>
          <w:b/>
          <w:bCs/>
          <w:lang w:val="fr-FR"/>
        </w:rPr>
      </w:pPr>
      <w:r w:rsidRPr="00AC4E01">
        <w:rPr>
          <w:b/>
          <w:bCs/>
          <w:lang w:val="fr-FR"/>
        </w:rPr>
        <w:t>a)</w:t>
      </w:r>
      <w:r w:rsidRPr="00AC4E01">
        <w:rPr>
          <w:b/>
          <w:bCs/>
          <w:lang w:val="fr-FR"/>
        </w:rPr>
        <w:tab/>
        <w:t>D</w:t>
      </w:r>
      <w:r>
        <w:rPr>
          <w:b/>
          <w:bCs/>
          <w:lang w:val="fr-FR"/>
        </w:rPr>
        <w:t>’</w:t>
      </w:r>
      <w:r w:rsidRPr="00AC4E01">
        <w:rPr>
          <w:b/>
          <w:bCs/>
          <w:lang w:val="fr-FR"/>
        </w:rPr>
        <w:t>encourager tous les Länder à intégrer l</w:t>
      </w:r>
      <w:r>
        <w:rPr>
          <w:b/>
          <w:bCs/>
          <w:lang w:val="fr-FR"/>
        </w:rPr>
        <w:t>’</w:t>
      </w:r>
      <w:r w:rsidRPr="00AC4E01">
        <w:rPr>
          <w:b/>
          <w:bCs/>
          <w:lang w:val="fr-FR"/>
        </w:rPr>
        <w:t>éducation aux droits de l</w:t>
      </w:r>
      <w:r>
        <w:rPr>
          <w:b/>
          <w:bCs/>
          <w:lang w:val="fr-FR"/>
        </w:rPr>
        <w:t>’</w:t>
      </w:r>
      <w:r w:rsidRPr="00AC4E01">
        <w:rPr>
          <w:b/>
          <w:bCs/>
          <w:lang w:val="fr-FR"/>
        </w:rPr>
        <w:t>homme en tant qu</w:t>
      </w:r>
      <w:r>
        <w:rPr>
          <w:b/>
          <w:bCs/>
          <w:lang w:val="fr-FR"/>
        </w:rPr>
        <w:t>’</w:t>
      </w:r>
      <w:r w:rsidRPr="00AC4E01">
        <w:rPr>
          <w:b/>
          <w:bCs/>
          <w:lang w:val="fr-FR"/>
        </w:rPr>
        <w:t>objectif éducatif dans leurs lois relatives à l</w:t>
      </w:r>
      <w:r>
        <w:rPr>
          <w:b/>
          <w:bCs/>
          <w:lang w:val="fr-FR"/>
        </w:rPr>
        <w:t>’</w:t>
      </w:r>
      <w:r w:rsidRPr="00AC4E01">
        <w:rPr>
          <w:b/>
          <w:bCs/>
          <w:lang w:val="fr-FR"/>
        </w:rPr>
        <w:t>enseignement, afin de garantir que tous les enfants, dans tous les contextes éducatifs, reçoivent un enseignement sur les droits de l</w:t>
      </w:r>
      <w:r>
        <w:rPr>
          <w:b/>
          <w:bCs/>
          <w:lang w:val="fr-FR"/>
        </w:rPr>
        <w:t>’</w:t>
      </w:r>
      <w:r w:rsidRPr="00AC4E01">
        <w:rPr>
          <w:b/>
          <w:bCs/>
          <w:lang w:val="fr-FR"/>
        </w:rPr>
        <w:t>enfant et la Convention, de développer des supports d</w:t>
      </w:r>
      <w:r>
        <w:rPr>
          <w:b/>
          <w:bCs/>
          <w:lang w:val="fr-FR"/>
        </w:rPr>
        <w:t>’</w:t>
      </w:r>
      <w:r w:rsidRPr="00AC4E01">
        <w:rPr>
          <w:b/>
          <w:bCs/>
          <w:lang w:val="fr-FR"/>
        </w:rPr>
        <w:t>éducation aux droits de l</w:t>
      </w:r>
      <w:r>
        <w:rPr>
          <w:b/>
          <w:bCs/>
          <w:lang w:val="fr-FR"/>
        </w:rPr>
        <w:t>’</w:t>
      </w:r>
      <w:r w:rsidRPr="00AC4E01">
        <w:rPr>
          <w:b/>
          <w:bCs/>
          <w:lang w:val="fr-FR"/>
        </w:rPr>
        <w:t xml:space="preserve">homme qui </w:t>
      </w:r>
      <w:r>
        <w:rPr>
          <w:b/>
          <w:bCs/>
          <w:lang w:val="fr-FR"/>
        </w:rPr>
        <w:t>promeuvent</w:t>
      </w:r>
      <w:r w:rsidRPr="00AC4E01">
        <w:rPr>
          <w:b/>
          <w:bCs/>
          <w:lang w:val="fr-FR"/>
        </w:rPr>
        <w:t xml:space="preserve"> le respect et l</w:t>
      </w:r>
      <w:r>
        <w:rPr>
          <w:b/>
          <w:bCs/>
          <w:lang w:val="fr-FR"/>
        </w:rPr>
        <w:t>’</w:t>
      </w:r>
      <w:r w:rsidRPr="00AC4E01">
        <w:rPr>
          <w:b/>
          <w:bCs/>
          <w:lang w:val="fr-FR"/>
        </w:rPr>
        <w:t>appréciation de la diversité et de veiller à ce que les enseignants reçoivent le soutien nécessaire pour enseigner les droits de l</w:t>
      </w:r>
      <w:r>
        <w:rPr>
          <w:b/>
          <w:bCs/>
          <w:lang w:val="fr-FR"/>
        </w:rPr>
        <w:t>’</w:t>
      </w:r>
      <w:r w:rsidRPr="00AC4E01">
        <w:rPr>
          <w:b/>
          <w:bCs/>
          <w:lang w:val="fr-FR"/>
        </w:rPr>
        <w:t>enfant à l</w:t>
      </w:r>
      <w:r>
        <w:rPr>
          <w:b/>
          <w:bCs/>
          <w:lang w:val="fr-FR"/>
        </w:rPr>
        <w:t>’</w:t>
      </w:r>
      <w:r w:rsidRPr="00AC4E01">
        <w:rPr>
          <w:b/>
          <w:bCs/>
          <w:lang w:val="fr-FR"/>
        </w:rPr>
        <w:t>école ;</w:t>
      </w:r>
    </w:p>
    <w:p w14:paraId="0B3E79E5" w14:textId="4AC61D83" w:rsidR="009576FC" w:rsidRPr="00AC4E01" w:rsidRDefault="009576FC" w:rsidP="00A93E4F">
      <w:pPr>
        <w:pStyle w:val="SingleTxtG"/>
        <w:ind w:firstLine="567"/>
        <w:rPr>
          <w:b/>
          <w:bCs/>
          <w:lang w:val="fr-FR"/>
        </w:rPr>
      </w:pPr>
      <w:r w:rsidRPr="00AC4E01">
        <w:rPr>
          <w:b/>
          <w:bCs/>
          <w:lang w:val="fr-FR"/>
        </w:rPr>
        <w:t>b)</w:t>
      </w:r>
      <w:r w:rsidRPr="00AC4E01">
        <w:rPr>
          <w:b/>
          <w:bCs/>
          <w:lang w:val="fr-FR"/>
        </w:rPr>
        <w:tab/>
        <w:t>De soutenir le lancement national d</w:t>
      </w:r>
      <w:r>
        <w:rPr>
          <w:b/>
          <w:bCs/>
          <w:lang w:val="fr-FR"/>
        </w:rPr>
        <w:t>’</w:t>
      </w:r>
      <w:r w:rsidRPr="00AC4E01">
        <w:rPr>
          <w:b/>
          <w:bCs/>
          <w:lang w:val="fr-FR"/>
        </w:rPr>
        <w:t>initiatives d</w:t>
      </w:r>
      <w:r>
        <w:rPr>
          <w:b/>
          <w:bCs/>
          <w:lang w:val="fr-FR"/>
        </w:rPr>
        <w:t>’</w:t>
      </w:r>
      <w:r w:rsidRPr="00AC4E01">
        <w:rPr>
          <w:b/>
          <w:bCs/>
          <w:lang w:val="fr-FR"/>
        </w:rPr>
        <w:t>éducation aux droits de l</w:t>
      </w:r>
      <w:r>
        <w:rPr>
          <w:b/>
          <w:bCs/>
          <w:lang w:val="fr-FR"/>
        </w:rPr>
        <w:t>’</w:t>
      </w:r>
      <w:r w:rsidRPr="00AC4E01">
        <w:rPr>
          <w:b/>
          <w:bCs/>
          <w:lang w:val="fr-FR"/>
        </w:rPr>
        <w:t xml:space="preserve">homme, telles que les projets </w:t>
      </w:r>
      <w:r w:rsidR="001D6F33">
        <w:rPr>
          <w:b/>
          <w:bCs/>
          <w:lang w:val="fr-FR"/>
        </w:rPr>
        <w:t>« </w:t>
      </w:r>
      <w:r w:rsidRPr="00AC4E01">
        <w:rPr>
          <w:b/>
          <w:bCs/>
          <w:lang w:val="fr-FR"/>
        </w:rPr>
        <w:t>Écoles sur les droits de l</w:t>
      </w:r>
      <w:r>
        <w:rPr>
          <w:b/>
          <w:bCs/>
          <w:lang w:val="fr-FR"/>
        </w:rPr>
        <w:t>’</w:t>
      </w:r>
      <w:r w:rsidRPr="00AC4E01">
        <w:rPr>
          <w:b/>
          <w:bCs/>
          <w:lang w:val="fr-FR"/>
        </w:rPr>
        <w:t>enfant</w:t>
      </w:r>
      <w:r w:rsidR="001D6F33">
        <w:rPr>
          <w:b/>
          <w:bCs/>
          <w:lang w:val="fr-FR"/>
        </w:rPr>
        <w:t> »</w:t>
      </w:r>
      <w:r w:rsidRPr="00AC4E01">
        <w:rPr>
          <w:b/>
          <w:bCs/>
          <w:lang w:val="fr-FR"/>
        </w:rPr>
        <w:t xml:space="preserve"> et </w:t>
      </w:r>
      <w:r w:rsidR="001D6F33">
        <w:rPr>
          <w:b/>
          <w:bCs/>
          <w:lang w:val="fr-FR"/>
        </w:rPr>
        <w:t>« </w:t>
      </w:r>
      <w:r w:rsidRPr="00AC4E01">
        <w:rPr>
          <w:b/>
          <w:bCs/>
          <w:lang w:val="fr-FR"/>
        </w:rPr>
        <w:t>Démocratie vivante !</w:t>
      </w:r>
      <w:r w:rsidR="001D6F33">
        <w:rPr>
          <w:b/>
          <w:bCs/>
          <w:lang w:val="fr-FR"/>
        </w:rPr>
        <w:t> »</w:t>
      </w:r>
      <w:r w:rsidRPr="00AC4E01">
        <w:rPr>
          <w:b/>
          <w:bCs/>
          <w:lang w:val="fr-FR"/>
        </w:rPr>
        <w:t>.</w:t>
      </w:r>
    </w:p>
    <w:p w14:paraId="76D6F2C5" w14:textId="77777777" w:rsidR="009576FC" w:rsidRPr="00AC4E01" w:rsidRDefault="009576FC" w:rsidP="009576FC">
      <w:pPr>
        <w:pStyle w:val="H23G"/>
        <w:spacing w:line="240" w:lineRule="atLeast"/>
        <w:rPr>
          <w:bCs/>
          <w:lang w:val="fr-FR"/>
        </w:rPr>
      </w:pPr>
      <w:r w:rsidRPr="00AC4E01">
        <w:rPr>
          <w:bCs/>
          <w:lang w:val="fr-FR"/>
        </w:rPr>
        <w:tab/>
      </w:r>
      <w:r w:rsidRPr="00AC4E01">
        <w:rPr>
          <w:bCs/>
          <w:lang w:val="fr-FR"/>
        </w:rPr>
        <w:tab/>
        <w:t>Repos, loisirs et activités récréatives, culturelles et artistiques</w:t>
      </w:r>
    </w:p>
    <w:p w14:paraId="2F2C72B1" w14:textId="2E3E701F" w:rsidR="009576FC" w:rsidRPr="00AC4E01" w:rsidRDefault="009576FC" w:rsidP="009576FC">
      <w:pPr>
        <w:pStyle w:val="SingleTxtG"/>
        <w:rPr>
          <w:b/>
          <w:bCs/>
          <w:lang w:val="fr-FR"/>
        </w:rPr>
      </w:pPr>
      <w:r w:rsidRPr="001D6F33">
        <w:rPr>
          <w:lang w:val="fr-FR"/>
        </w:rPr>
        <w:t>38.</w:t>
      </w:r>
      <w:r w:rsidRPr="00AC4E01">
        <w:rPr>
          <w:b/>
          <w:bCs/>
          <w:lang w:val="fr-FR"/>
        </w:rPr>
        <w:tab/>
        <w:t>Le Comité recommande à l</w:t>
      </w:r>
      <w:r>
        <w:rPr>
          <w:b/>
          <w:bCs/>
          <w:lang w:val="fr-FR"/>
        </w:rPr>
        <w:t>’</w:t>
      </w:r>
      <w:r w:rsidRPr="00AC4E01">
        <w:rPr>
          <w:b/>
          <w:bCs/>
          <w:lang w:val="fr-FR"/>
        </w:rPr>
        <w:t>État partie</w:t>
      </w:r>
      <w:r>
        <w:rPr>
          <w:b/>
          <w:bCs/>
          <w:lang w:val="fr-FR"/>
        </w:rPr>
        <w:t xml:space="preserve"> </w:t>
      </w:r>
      <w:r w:rsidRPr="00AC4E01">
        <w:rPr>
          <w:b/>
          <w:bCs/>
          <w:lang w:val="fr-FR"/>
        </w:rPr>
        <w:t>ou aux Länder, selon le cas :</w:t>
      </w:r>
    </w:p>
    <w:p w14:paraId="5738C558" w14:textId="77777777" w:rsidR="009576FC" w:rsidRPr="00AC4E01" w:rsidRDefault="009576FC" w:rsidP="00A93E4F">
      <w:pPr>
        <w:pStyle w:val="SingleTxtG"/>
        <w:ind w:firstLine="567"/>
        <w:rPr>
          <w:b/>
          <w:bCs/>
          <w:lang w:val="fr-FR"/>
        </w:rPr>
      </w:pPr>
      <w:r w:rsidRPr="00AC4E01">
        <w:rPr>
          <w:b/>
          <w:bCs/>
          <w:lang w:val="fr-FR"/>
        </w:rPr>
        <w:t>a)</w:t>
      </w:r>
      <w:r w:rsidRPr="00AC4E01">
        <w:rPr>
          <w:b/>
          <w:bCs/>
          <w:lang w:val="fr-FR"/>
        </w:rPr>
        <w:tab/>
        <w:t xml:space="preserve">De veiller à ce que les enfants disposent de suffisamment de temps pour participer à des activités ludiques et récréatives inclusives et adaptées à leur âge, et à ce que leur participation à ces activités soit volontaire et ne soit pas influencée par la pression </w:t>
      </w:r>
      <w:r>
        <w:rPr>
          <w:b/>
          <w:bCs/>
          <w:lang w:val="fr-FR"/>
        </w:rPr>
        <w:t>liée à la réussite</w:t>
      </w:r>
      <w:r w:rsidRPr="00AC4E01">
        <w:rPr>
          <w:b/>
          <w:bCs/>
          <w:lang w:val="fr-FR"/>
        </w:rPr>
        <w:t xml:space="preserve"> scolaire ;</w:t>
      </w:r>
    </w:p>
    <w:p w14:paraId="37F7A107" w14:textId="64CE39DF" w:rsidR="009576FC" w:rsidRPr="00AC4E01" w:rsidRDefault="009576FC" w:rsidP="00A93E4F">
      <w:pPr>
        <w:pStyle w:val="SingleTxtG"/>
        <w:ind w:firstLine="567"/>
        <w:rPr>
          <w:b/>
          <w:bCs/>
          <w:lang w:val="fr-FR"/>
        </w:rPr>
      </w:pPr>
      <w:r w:rsidRPr="00AC4E01">
        <w:rPr>
          <w:b/>
          <w:bCs/>
          <w:lang w:val="fr-FR"/>
        </w:rPr>
        <w:t>b)</w:t>
      </w:r>
      <w:r w:rsidRPr="00AC4E01">
        <w:rPr>
          <w:b/>
          <w:bCs/>
          <w:lang w:val="fr-FR"/>
        </w:rPr>
        <w:tab/>
      </w:r>
      <w:r>
        <w:rPr>
          <w:b/>
          <w:bCs/>
          <w:lang w:val="fr-FR"/>
        </w:rPr>
        <w:t>D’associer</w:t>
      </w:r>
      <w:r w:rsidRPr="00AC4E01">
        <w:rPr>
          <w:b/>
          <w:bCs/>
          <w:lang w:val="fr-FR"/>
        </w:rPr>
        <w:t xml:space="preserve"> les enfants aux décisions </w:t>
      </w:r>
      <w:r>
        <w:rPr>
          <w:b/>
          <w:bCs/>
          <w:lang w:val="fr-FR"/>
        </w:rPr>
        <w:t xml:space="preserve">relatives aux </w:t>
      </w:r>
      <w:r w:rsidRPr="00AC4E01">
        <w:rPr>
          <w:b/>
          <w:bCs/>
          <w:lang w:val="fr-FR"/>
        </w:rPr>
        <w:t xml:space="preserve">aménagement urbains et </w:t>
      </w:r>
      <w:r>
        <w:rPr>
          <w:b/>
          <w:bCs/>
          <w:lang w:val="fr-FR"/>
        </w:rPr>
        <w:t xml:space="preserve">à </w:t>
      </w:r>
      <w:r w:rsidRPr="00AC4E01">
        <w:rPr>
          <w:b/>
          <w:bCs/>
          <w:lang w:val="fr-FR"/>
        </w:rPr>
        <w:t>l</w:t>
      </w:r>
      <w:r>
        <w:rPr>
          <w:b/>
          <w:bCs/>
          <w:lang w:val="fr-FR"/>
        </w:rPr>
        <w:t>’</w:t>
      </w:r>
      <w:r w:rsidRPr="00AC4E01">
        <w:rPr>
          <w:b/>
          <w:bCs/>
          <w:lang w:val="fr-FR"/>
        </w:rPr>
        <w:t>aménagement d</w:t>
      </w:r>
      <w:r>
        <w:rPr>
          <w:b/>
          <w:bCs/>
          <w:lang w:val="fr-FR"/>
        </w:rPr>
        <w:t>’</w:t>
      </w:r>
      <w:r w:rsidRPr="00AC4E01">
        <w:rPr>
          <w:b/>
          <w:bCs/>
          <w:lang w:val="fr-FR"/>
        </w:rPr>
        <w:t>aires de jeux pour les enfants</w:t>
      </w:r>
      <w:r w:rsidR="001D6F33">
        <w:rPr>
          <w:b/>
          <w:bCs/>
          <w:lang w:val="fr-FR"/>
        </w:rPr>
        <w:t> </w:t>
      </w:r>
      <w:r w:rsidRPr="00AC4E01">
        <w:rPr>
          <w:b/>
          <w:bCs/>
          <w:lang w:val="fr-FR"/>
        </w:rPr>
        <w:t>;</w:t>
      </w:r>
    </w:p>
    <w:p w14:paraId="31E95E23" w14:textId="568F0EAE" w:rsidR="009576FC" w:rsidRPr="00AC4E01" w:rsidRDefault="009576FC" w:rsidP="00A93E4F">
      <w:pPr>
        <w:pStyle w:val="SingleTxtG"/>
        <w:ind w:firstLine="567"/>
        <w:rPr>
          <w:b/>
          <w:bCs/>
          <w:lang w:val="fr-FR"/>
        </w:rPr>
      </w:pPr>
      <w:r w:rsidRPr="00AC4E01">
        <w:rPr>
          <w:b/>
          <w:bCs/>
          <w:lang w:val="fr-FR"/>
        </w:rPr>
        <w:t>c)</w:t>
      </w:r>
      <w:r w:rsidRPr="00AC4E01">
        <w:rPr>
          <w:b/>
          <w:bCs/>
          <w:lang w:val="fr-FR"/>
        </w:rPr>
        <w:tab/>
        <w:t>De veiller à ce que</w:t>
      </w:r>
      <w:r>
        <w:rPr>
          <w:b/>
          <w:bCs/>
          <w:lang w:val="fr-FR"/>
        </w:rPr>
        <w:t>, dans le cadre de</w:t>
      </w:r>
      <w:r w:rsidRPr="00AC4E01">
        <w:rPr>
          <w:b/>
          <w:bCs/>
          <w:lang w:val="fr-FR"/>
        </w:rPr>
        <w:t xml:space="preserve"> l</w:t>
      </w:r>
      <w:r>
        <w:rPr>
          <w:b/>
          <w:bCs/>
          <w:lang w:val="fr-FR"/>
        </w:rPr>
        <w:t>’</w:t>
      </w:r>
      <w:r w:rsidRPr="00AC4E01">
        <w:rPr>
          <w:b/>
          <w:bCs/>
          <w:lang w:val="fr-FR"/>
        </w:rPr>
        <w:t>expansion prévue des services de garde d</w:t>
      </w:r>
      <w:r>
        <w:rPr>
          <w:b/>
          <w:bCs/>
          <w:lang w:val="fr-FR"/>
        </w:rPr>
        <w:t>’</w:t>
      </w:r>
      <w:r w:rsidRPr="00AC4E01">
        <w:rPr>
          <w:b/>
          <w:bCs/>
          <w:lang w:val="fr-FR"/>
        </w:rPr>
        <w:t>enfants et d</w:t>
      </w:r>
      <w:r>
        <w:rPr>
          <w:b/>
          <w:bCs/>
          <w:lang w:val="fr-FR"/>
        </w:rPr>
        <w:t>’</w:t>
      </w:r>
      <w:r w:rsidRPr="00AC4E01">
        <w:rPr>
          <w:b/>
          <w:bCs/>
          <w:lang w:val="fr-FR"/>
        </w:rPr>
        <w:t xml:space="preserve">éducation à temps plein pour les enfants </w:t>
      </w:r>
      <w:r>
        <w:rPr>
          <w:b/>
          <w:bCs/>
          <w:lang w:val="fr-FR"/>
        </w:rPr>
        <w:t>du</w:t>
      </w:r>
      <w:r w:rsidRPr="00AC4E01">
        <w:rPr>
          <w:b/>
          <w:bCs/>
          <w:lang w:val="fr-FR"/>
        </w:rPr>
        <w:t xml:space="preserve"> primaire</w:t>
      </w:r>
      <w:r>
        <w:rPr>
          <w:b/>
          <w:bCs/>
          <w:lang w:val="fr-FR"/>
        </w:rPr>
        <w:t>,</w:t>
      </w:r>
      <w:r w:rsidRPr="00AC4E01">
        <w:rPr>
          <w:b/>
          <w:bCs/>
          <w:lang w:val="fr-FR"/>
        </w:rPr>
        <w:t xml:space="preserve"> </w:t>
      </w:r>
      <w:r>
        <w:rPr>
          <w:b/>
          <w:bCs/>
          <w:lang w:val="fr-FR"/>
        </w:rPr>
        <w:t>des mesures soient prises pour</w:t>
      </w:r>
      <w:r w:rsidRPr="00AC4E01">
        <w:rPr>
          <w:b/>
          <w:bCs/>
          <w:lang w:val="fr-FR"/>
        </w:rPr>
        <w:t xml:space="preserve"> </w:t>
      </w:r>
      <w:r>
        <w:rPr>
          <w:b/>
          <w:bCs/>
          <w:lang w:val="fr-FR"/>
        </w:rPr>
        <w:t>ménager</w:t>
      </w:r>
      <w:r w:rsidRPr="00AC4E01">
        <w:rPr>
          <w:b/>
          <w:bCs/>
          <w:lang w:val="fr-FR"/>
        </w:rPr>
        <w:t xml:space="preserve"> des périodes de jeu libre et non structuré </w:t>
      </w:r>
      <w:r>
        <w:rPr>
          <w:b/>
          <w:bCs/>
          <w:lang w:val="fr-FR"/>
        </w:rPr>
        <w:t>à l’</w:t>
      </w:r>
      <w:r w:rsidRPr="00AC4E01">
        <w:rPr>
          <w:b/>
          <w:bCs/>
          <w:lang w:val="fr-FR"/>
        </w:rPr>
        <w:t>école</w:t>
      </w:r>
      <w:r>
        <w:rPr>
          <w:b/>
          <w:bCs/>
          <w:lang w:val="fr-FR"/>
        </w:rPr>
        <w:t>,</w:t>
      </w:r>
      <w:r w:rsidRPr="00AC4E01">
        <w:rPr>
          <w:b/>
          <w:bCs/>
          <w:lang w:val="fr-FR"/>
        </w:rPr>
        <w:t xml:space="preserve"> </w:t>
      </w:r>
      <w:r>
        <w:rPr>
          <w:b/>
          <w:bCs/>
          <w:lang w:val="fr-FR"/>
        </w:rPr>
        <w:t>à la</w:t>
      </w:r>
      <w:r w:rsidRPr="00AC4E01">
        <w:rPr>
          <w:b/>
          <w:bCs/>
          <w:lang w:val="fr-FR"/>
        </w:rPr>
        <w:t xml:space="preserve"> crèche </w:t>
      </w:r>
      <w:r>
        <w:rPr>
          <w:b/>
          <w:bCs/>
          <w:lang w:val="fr-FR"/>
        </w:rPr>
        <w:t xml:space="preserve">et </w:t>
      </w:r>
      <w:r w:rsidRPr="00AC4E01">
        <w:rPr>
          <w:b/>
          <w:bCs/>
          <w:lang w:val="fr-FR"/>
        </w:rPr>
        <w:t>à la maison.</w:t>
      </w:r>
    </w:p>
    <w:p w14:paraId="60CD4153" w14:textId="461E0583" w:rsidR="009576FC" w:rsidRPr="00AC4E01" w:rsidRDefault="00A93E4F" w:rsidP="00A93E4F">
      <w:pPr>
        <w:pStyle w:val="H1G"/>
        <w:rPr>
          <w:lang w:val="fr-FR"/>
        </w:rPr>
      </w:pPr>
      <w:r>
        <w:rPr>
          <w:lang w:val="fr-FR"/>
        </w:rPr>
        <w:lastRenderedPageBreak/>
        <w:tab/>
      </w:r>
      <w:r w:rsidR="009576FC" w:rsidRPr="00AC4E01">
        <w:rPr>
          <w:lang w:val="fr-FR"/>
        </w:rPr>
        <w:t>I.</w:t>
      </w:r>
      <w:r w:rsidR="009576FC" w:rsidRPr="00AC4E01">
        <w:rPr>
          <w:lang w:val="fr-FR"/>
        </w:rPr>
        <w:tab/>
      </w:r>
      <w:r w:rsidR="009576FC" w:rsidRPr="00A93E4F">
        <w:t>Mesures</w:t>
      </w:r>
      <w:r w:rsidR="009576FC" w:rsidRPr="00AC4E01">
        <w:rPr>
          <w:lang w:val="fr-FR"/>
        </w:rPr>
        <w:t xml:space="preserve"> de protection spéciales (art. 22, 30, 32, 33, 35, 36, </w:t>
      </w:r>
      <w:r>
        <w:rPr>
          <w:lang w:val="fr-FR"/>
        </w:rPr>
        <w:br/>
      </w:r>
      <w:r w:rsidR="009576FC" w:rsidRPr="00AC4E01">
        <w:rPr>
          <w:lang w:val="fr-FR"/>
        </w:rPr>
        <w:t>37 (al. b) à d)) et 38 à 40)</w:t>
      </w:r>
    </w:p>
    <w:p w14:paraId="3D4FFA79" w14:textId="5D1A2207" w:rsidR="009576FC" w:rsidRPr="00AC4E01" w:rsidRDefault="009576FC" w:rsidP="009576FC">
      <w:pPr>
        <w:pStyle w:val="H23G"/>
        <w:spacing w:line="240" w:lineRule="atLeast"/>
        <w:rPr>
          <w:lang w:val="fr-FR"/>
        </w:rPr>
      </w:pPr>
      <w:r w:rsidRPr="00AC4E01">
        <w:rPr>
          <w:lang w:val="fr-FR"/>
        </w:rPr>
        <w:tab/>
      </w:r>
      <w:r w:rsidRPr="00AC4E01">
        <w:rPr>
          <w:lang w:val="fr-FR"/>
        </w:rPr>
        <w:tab/>
      </w:r>
      <w:r w:rsidRPr="00AC4E01">
        <w:rPr>
          <w:bCs/>
          <w:lang w:val="fr-FR"/>
        </w:rPr>
        <w:t>Enfants demandeurs d</w:t>
      </w:r>
      <w:r>
        <w:rPr>
          <w:bCs/>
          <w:lang w:val="fr-FR"/>
        </w:rPr>
        <w:t>’</w:t>
      </w:r>
      <w:r w:rsidRPr="00AC4E01">
        <w:rPr>
          <w:bCs/>
          <w:lang w:val="fr-FR"/>
        </w:rPr>
        <w:t>asile, réfugiés ou migrants</w:t>
      </w:r>
    </w:p>
    <w:p w14:paraId="4048CE52" w14:textId="38190489" w:rsidR="009576FC" w:rsidRPr="000701A4" w:rsidRDefault="009576FC" w:rsidP="009576FC">
      <w:pPr>
        <w:pStyle w:val="SingleTxtG"/>
        <w:rPr>
          <w:lang w:val="fr-FR"/>
        </w:rPr>
      </w:pPr>
      <w:r w:rsidRPr="000701A4">
        <w:rPr>
          <w:lang w:val="fr-FR"/>
        </w:rPr>
        <w:t>39.</w:t>
      </w:r>
      <w:r w:rsidRPr="000701A4">
        <w:rPr>
          <w:lang w:val="fr-FR"/>
        </w:rPr>
        <w:tab/>
        <w:t>Le Comité salue les mesures que l’État partie a prises pour donner une base légale aux procédures d’évaluation de l’âge, pour que les audiences des enfants non accompagnés demandeurs d’asile soient menées par des commissaires spéciaux et pour garantir l’accès des enfants demandeurs d’asile ou réfugiés à l’éducation. Il félicite l’État partie d’avoir accueilli un grand nombre d’enfants réfugiés en provenance d’Ukraine et d’avoir pris des mesures pour garantir leurs droits, notamment leur droit à l’éducation. Il est toutefois préoccupé par</w:t>
      </w:r>
      <w:r w:rsidR="00A93E4F" w:rsidRPr="000701A4">
        <w:rPr>
          <w:lang w:val="fr-FR"/>
        </w:rPr>
        <w:t> </w:t>
      </w:r>
      <w:r w:rsidRPr="000701A4">
        <w:rPr>
          <w:lang w:val="fr-FR"/>
        </w:rPr>
        <w:t>:</w:t>
      </w:r>
    </w:p>
    <w:p w14:paraId="441FFBE0" w14:textId="5211971E" w:rsidR="009576FC" w:rsidRPr="00AC4E01" w:rsidRDefault="009576FC" w:rsidP="00A93E4F">
      <w:pPr>
        <w:pStyle w:val="SingleTxtG"/>
        <w:ind w:firstLine="567"/>
        <w:rPr>
          <w:lang w:val="fr-FR"/>
        </w:rPr>
      </w:pPr>
      <w:r w:rsidRPr="000701A4">
        <w:rPr>
          <w:lang w:val="fr-FR"/>
        </w:rPr>
        <w:t>a)</w:t>
      </w:r>
      <w:r w:rsidRPr="000701A4">
        <w:rPr>
          <w:lang w:val="fr-FR"/>
        </w:rPr>
        <w:tab/>
        <w:t>Le</w:t>
      </w:r>
      <w:r w:rsidRPr="00AC4E01">
        <w:rPr>
          <w:lang w:val="fr-FR"/>
        </w:rPr>
        <w:t xml:space="preserve"> recours à des examens médicaux pour déterminer l</w:t>
      </w:r>
      <w:r>
        <w:rPr>
          <w:lang w:val="fr-FR"/>
        </w:rPr>
        <w:t>’</w:t>
      </w:r>
      <w:r w:rsidRPr="00AC4E01">
        <w:rPr>
          <w:lang w:val="fr-FR"/>
        </w:rPr>
        <w:t>âge d</w:t>
      </w:r>
      <w:r>
        <w:rPr>
          <w:lang w:val="fr-FR"/>
        </w:rPr>
        <w:t>’</w:t>
      </w:r>
      <w:r w:rsidRPr="00AC4E01">
        <w:rPr>
          <w:lang w:val="fr-FR"/>
        </w:rPr>
        <w:t xml:space="preserve">un enfant en cas de doute, et </w:t>
      </w:r>
      <w:r>
        <w:rPr>
          <w:lang w:val="fr-FR"/>
        </w:rPr>
        <w:t xml:space="preserve">le fait que </w:t>
      </w:r>
      <w:r w:rsidRPr="00AC4E01">
        <w:rPr>
          <w:lang w:val="fr-FR"/>
        </w:rPr>
        <w:t>l</w:t>
      </w:r>
      <w:r>
        <w:rPr>
          <w:lang w:val="fr-FR"/>
        </w:rPr>
        <w:t>’</w:t>
      </w:r>
      <w:r w:rsidRPr="00AC4E01">
        <w:rPr>
          <w:lang w:val="fr-FR"/>
        </w:rPr>
        <w:t>application des procédures de détermination de l</w:t>
      </w:r>
      <w:r>
        <w:rPr>
          <w:lang w:val="fr-FR"/>
        </w:rPr>
        <w:t>’</w:t>
      </w:r>
      <w:r w:rsidRPr="00AC4E01">
        <w:rPr>
          <w:lang w:val="fr-FR"/>
        </w:rPr>
        <w:t xml:space="preserve">âge </w:t>
      </w:r>
      <w:r>
        <w:rPr>
          <w:lang w:val="fr-FR"/>
        </w:rPr>
        <w:t>diffère d’un</w:t>
      </w:r>
      <w:r w:rsidRPr="00AC4E01">
        <w:rPr>
          <w:lang w:val="fr-FR"/>
        </w:rPr>
        <w:t xml:space="preserve"> Land</w:t>
      </w:r>
      <w:r>
        <w:rPr>
          <w:lang w:val="fr-FR"/>
        </w:rPr>
        <w:t xml:space="preserve"> à l’autre</w:t>
      </w:r>
      <w:r w:rsidRPr="00AC4E01">
        <w:rPr>
          <w:lang w:val="fr-FR"/>
        </w:rPr>
        <w:t> ;</w:t>
      </w:r>
    </w:p>
    <w:p w14:paraId="1A0EA348" w14:textId="09E5E069" w:rsidR="009576FC" w:rsidRPr="00AC4E01" w:rsidRDefault="009576FC" w:rsidP="00A93E4F">
      <w:pPr>
        <w:pStyle w:val="SingleTxtG"/>
        <w:ind w:firstLine="567"/>
        <w:rPr>
          <w:lang w:val="fr-FR"/>
        </w:rPr>
      </w:pPr>
      <w:r w:rsidRPr="00AC4E01">
        <w:rPr>
          <w:lang w:val="fr-FR"/>
        </w:rPr>
        <w:t>b)</w:t>
      </w:r>
      <w:r w:rsidRPr="00AC4E01">
        <w:rPr>
          <w:lang w:val="fr-FR"/>
        </w:rPr>
        <w:tab/>
        <w:t>Le séjour prolongé de certains enfants demandeurs d</w:t>
      </w:r>
      <w:r>
        <w:rPr>
          <w:lang w:val="fr-FR"/>
        </w:rPr>
        <w:t>’</w:t>
      </w:r>
      <w:r w:rsidRPr="00AC4E01">
        <w:rPr>
          <w:lang w:val="fr-FR"/>
        </w:rPr>
        <w:t>asile ou réfugiés dans des centres d</w:t>
      </w:r>
      <w:r>
        <w:rPr>
          <w:lang w:val="fr-FR"/>
        </w:rPr>
        <w:t>’</w:t>
      </w:r>
      <w:r w:rsidRPr="00AC4E01">
        <w:rPr>
          <w:lang w:val="fr-FR"/>
        </w:rPr>
        <w:t xml:space="preserve">accueil </w:t>
      </w:r>
      <w:r>
        <w:rPr>
          <w:lang w:val="fr-FR"/>
        </w:rPr>
        <w:t>ou</w:t>
      </w:r>
      <w:r w:rsidRPr="00AC4E01">
        <w:rPr>
          <w:lang w:val="fr-FR"/>
        </w:rPr>
        <w:t xml:space="preserve"> des </w:t>
      </w:r>
      <w:r>
        <w:rPr>
          <w:lang w:val="fr-FR"/>
        </w:rPr>
        <w:t>logements</w:t>
      </w:r>
      <w:r w:rsidRPr="00AC4E01">
        <w:rPr>
          <w:lang w:val="fr-FR"/>
        </w:rPr>
        <w:t xml:space="preserve"> collectif</w:t>
      </w:r>
      <w:r>
        <w:rPr>
          <w:lang w:val="fr-FR"/>
        </w:rPr>
        <w:t>s</w:t>
      </w:r>
      <w:r w:rsidRPr="00AC4E01">
        <w:rPr>
          <w:lang w:val="fr-FR"/>
        </w:rPr>
        <w:t>, y compris des centres qui ne sont pas adaptés aux enfants, ce qui re</w:t>
      </w:r>
      <w:r>
        <w:rPr>
          <w:lang w:val="fr-FR"/>
        </w:rPr>
        <w:t>s</w:t>
      </w:r>
      <w:r w:rsidRPr="00AC4E01">
        <w:rPr>
          <w:lang w:val="fr-FR"/>
        </w:rPr>
        <w:t>treint leur accès à l</w:t>
      </w:r>
      <w:r>
        <w:rPr>
          <w:lang w:val="fr-FR"/>
        </w:rPr>
        <w:t>’</w:t>
      </w:r>
      <w:r w:rsidRPr="00AC4E01">
        <w:rPr>
          <w:lang w:val="fr-FR"/>
        </w:rPr>
        <w:t>éducation ;</w:t>
      </w:r>
    </w:p>
    <w:p w14:paraId="3E9AD201" w14:textId="666B7F92" w:rsidR="009576FC" w:rsidRPr="00AC4E01" w:rsidRDefault="009576FC" w:rsidP="00A93E4F">
      <w:pPr>
        <w:pStyle w:val="SingleTxtG"/>
        <w:ind w:firstLine="567"/>
        <w:rPr>
          <w:lang w:val="fr-FR"/>
        </w:rPr>
      </w:pPr>
      <w:r w:rsidRPr="00AC4E01">
        <w:rPr>
          <w:lang w:val="fr-FR"/>
        </w:rPr>
        <w:t>c)</w:t>
      </w:r>
      <w:r w:rsidRPr="00AC4E01">
        <w:rPr>
          <w:lang w:val="fr-FR"/>
        </w:rPr>
        <w:tab/>
        <w:t>Les informations selon lesquelles le nombre d</w:t>
      </w:r>
      <w:r>
        <w:rPr>
          <w:lang w:val="fr-FR"/>
        </w:rPr>
        <w:t>’</w:t>
      </w:r>
      <w:r w:rsidRPr="00AC4E01">
        <w:rPr>
          <w:lang w:val="fr-FR"/>
        </w:rPr>
        <w:t xml:space="preserve">expulsions de familles a augmenté au cours de la période considérée, ce qui a </w:t>
      </w:r>
      <w:r>
        <w:rPr>
          <w:lang w:val="fr-FR"/>
        </w:rPr>
        <w:t>eu pour conséquence</w:t>
      </w:r>
      <w:r w:rsidRPr="00AC4E01">
        <w:rPr>
          <w:lang w:val="fr-FR"/>
        </w:rPr>
        <w:t xml:space="preserve"> que des enfants </w:t>
      </w:r>
      <w:r>
        <w:rPr>
          <w:lang w:val="fr-FR"/>
        </w:rPr>
        <w:t>ont été</w:t>
      </w:r>
      <w:r w:rsidRPr="00AC4E01">
        <w:rPr>
          <w:lang w:val="fr-FR"/>
        </w:rPr>
        <w:t xml:space="preserve"> séparés de leur famille, que des enfants non accompagnés </w:t>
      </w:r>
      <w:r>
        <w:rPr>
          <w:lang w:val="fr-FR"/>
        </w:rPr>
        <w:t>ont été</w:t>
      </w:r>
      <w:r w:rsidRPr="00AC4E01">
        <w:rPr>
          <w:lang w:val="fr-FR"/>
        </w:rPr>
        <w:t xml:space="preserve"> refoulés à la frontière ou </w:t>
      </w:r>
      <w:r>
        <w:rPr>
          <w:lang w:val="fr-FR"/>
        </w:rPr>
        <w:t>encore</w:t>
      </w:r>
      <w:r w:rsidRPr="00AC4E01">
        <w:rPr>
          <w:lang w:val="fr-FR"/>
        </w:rPr>
        <w:t xml:space="preserve"> que des enfants non accompagnés </w:t>
      </w:r>
      <w:r>
        <w:rPr>
          <w:lang w:val="fr-FR"/>
        </w:rPr>
        <w:t>ont</w:t>
      </w:r>
      <w:r w:rsidRPr="00AC4E01">
        <w:rPr>
          <w:lang w:val="fr-FR"/>
        </w:rPr>
        <w:t xml:space="preserve"> </w:t>
      </w:r>
      <w:r>
        <w:rPr>
          <w:lang w:val="fr-FR"/>
        </w:rPr>
        <w:t>été considérés</w:t>
      </w:r>
      <w:r w:rsidRPr="00AC4E01">
        <w:rPr>
          <w:lang w:val="fr-FR"/>
        </w:rPr>
        <w:t xml:space="preserve"> comme accompagnés </w:t>
      </w:r>
      <w:r>
        <w:rPr>
          <w:lang w:val="fr-FR"/>
        </w:rPr>
        <w:t>parce que</w:t>
      </w:r>
      <w:r w:rsidRPr="00AC4E01">
        <w:rPr>
          <w:lang w:val="fr-FR"/>
        </w:rPr>
        <w:t xml:space="preserve"> des adultes</w:t>
      </w:r>
      <w:r>
        <w:rPr>
          <w:lang w:val="fr-FR"/>
        </w:rPr>
        <w:t>,</w:t>
      </w:r>
      <w:r w:rsidRPr="00AC4E01">
        <w:rPr>
          <w:lang w:val="fr-FR"/>
        </w:rPr>
        <w:t xml:space="preserve"> </w:t>
      </w:r>
      <w:r>
        <w:rPr>
          <w:lang w:val="fr-FR"/>
        </w:rPr>
        <w:t>qui</w:t>
      </w:r>
      <w:r w:rsidRPr="00AC4E01">
        <w:rPr>
          <w:lang w:val="fr-FR"/>
        </w:rPr>
        <w:t xml:space="preserve"> n</w:t>
      </w:r>
      <w:r>
        <w:rPr>
          <w:lang w:val="fr-FR"/>
        </w:rPr>
        <w:t>’</w:t>
      </w:r>
      <w:r w:rsidRPr="00AC4E01">
        <w:rPr>
          <w:lang w:val="fr-FR"/>
        </w:rPr>
        <w:t>étaient ni leurs parents ni leurs représentants légaux</w:t>
      </w:r>
      <w:r>
        <w:rPr>
          <w:lang w:val="fr-FR"/>
        </w:rPr>
        <w:t>,</w:t>
      </w:r>
      <w:r w:rsidRPr="00AC4E01">
        <w:rPr>
          <w:lang w:val="fr-FR"/>
        </w:rPr>
        <w:t xml:space="preserve"> voyageaient avec</w:t>
      </w:r>
      <w:r w:rsidR="00A93E4F">
        <w:rPr>
          <w:lang w:val="fr-FR"/>
        </w:rPr>
        <w:t> </w:t>
      </w:r>
      <w:r w:rsidRPr="00AC4E01">
        <w:rPr>
          <w:lang w:val="fr-FR"/>
        </w:rPr>
        <w:t>eux</w:t>
      </w:r>
      <w:r>
        <w:rPr>
          <w:lang w:val="fr-FR"/>
        </w:rPr>
        <w:t xml:space="preserve"> </w:t>
      </w:r>
      <w:r w:rsidRPr="00AC4E01">
        <w:rPr>
          <w:lang w:val="fr-FR"/>
        </w:rPr>
        <w:t>;</w:t>
      </w:r>
    </w:p>
    <w:p w14:paraId="547749D4" w14:textId="3CA74057" w:rsidR="009576FC" w:rsidRPr="00AC4E01" w:rsidRDefault="009576FC" w:rsidP="00A93E4F">
      <w:pPr>
        <w:pStyle w:val="SingleTxtG"/>
        <w:ind w:firstLine="567"/>
        <w:rPr>
          <w:lang w:val="fr-FR"/>
        </w:rPr>
      </w:pPr>
      <w:r w:rsidRPr="00AC4E01">
        <w:rPr>
          <w:lang w:val="fr-FR"/>
        </w:rPr>
        <w:t>d)</w:t>
      </w:r>
      <w:r w:rsidRPr="00AC4E01">
        <w:rPr>
          <w:lang w:val="fr-FR"/>
        </w:rPr>
        <w:tab/>
        <w:t>L</w:t>
      </w:r>
      <w:r>
        <w:rPr>
          <w:lang w:val="fr-FR"/>
        </w:rPr>
        <w:t>’</w:t>
      </w:r>
      <w:r w:rsidRPr="00AC4E01">
        <w:rPr>
          <w:lang w:val="fr-FR"/>
        </w:rPr>
        <w:t>accès limité à l</w:t>
      </w:r>
      <w:r>
        <w:rPr>
          <w:lang w:val="fr-FR"/>
        </w:rPr>
        <w:t>’</w:t>
      </w:r>
      <w:r w:rsidRPr="00AC4E01">
        <w:rPr>
          <w:lang w:val="fr-FR"/>
        </w:rPr>
        <w:t>école des enfants qui se trouvent dans les centres de premier accueil.</w:t>
      </w:r>
    </w:p>
    <w:p w14:paraId="7F581F35" w14:textId="75CA44F4" w:rsidR="009576FC" w:rsidRPr="00AC4E01" w:rsidRDefault="009576FC" w:rsidP="009576FC">
      <w:pPr>
        <w:pStyle w:val="SingleTxtG"/>
        <w:rPr>
          <w:b/>
          <w:bCs/>
          <w:lang w:val="fr-FR"/>
        </w:rPr>
      </w:pPr>
      <w:r w:rsidRPr="00A93E4F">
        <w:rPr>
          <w:lang w:val="fr-FR"/>
        </w:rPr>
        <w:t>40.</w:t>
      </w:r>
      <w:r w:rsidRPr="00AC4E01">
        <w:rPr>
          <w:b/>
          <w:bCs/>
          <w:lang w:val="fr-FR"/>
        </w:rPr>
        <w:tab/>
      </w:r>
      <w:r>
        <w:rPr>
          <w:b/>
          <w:bCs/>
          <w:lang w:val="fr-FR"/>
        </w:rPr>
        <w:t>Renvoyant</w:t>
      </w:r>
      <w:r w:rsidRPr="00AC4E01">
        <w:rPr>
          <w:b/>
          <w:bCs/>
          <w:lang w:val="fr-FR"/>
        </w:rPr>
        <w:t xml:space="preserve"> aux </w:t>
      </w:r>
      <w:bookmarkStart w:id="0" w:name="_Hlk132639822"/>
      <w:r w:rsidRPr="00AC4E01">
        <w:rPr>
          <w:b/>
          <w:bCs/>
          <w:lang w:val="fr-FR"/>
        </w:rPr>
        <w:t xml:space="preserve">observations générales conjointes </w:t>
      </w:r>
      <w:r w:rsidR="00A93E4F" w:rsidRPr="00A93E4F">
        <w:rPr>
          <w:rFonts w:eastAsia="MS Mincho"/>
          <w:b/>
          <w:bCs/>
          <w:szCs w:val="22"/>
          <w:lang w:val="fr-FR"/>
        </w:rPr>
        <w:t>n</w:t>
      </w:r>
      <w:r w:rsidR="00A93E4F" w:rsidRPr="00A93E4F">
        <w:rPr>
          <w:rFonts w:eastAsia="MS Mincho"/>
          <w:b/>
          <w:bCs/>
          <w:szCs w:val="22"/>
          <w:vertAlign w:val="superscript"/>
          <w:lang w:val="fr-FR"/>
        </w:rPr>
        <w:t>o</w:t>
      </w:r>
      <w:r w:rsidR="00A93E4F">
        <w:rPr>
          <w:rFonts w:eastAsia="MS Mincho"/>
          <w:b/>
          <w:bCs/>
          <w:szCs w:val="22"/>
          <w:vertAlign w:val="superscript"/>
          <w:lang w:val="fr-FR"/>
        </w:rPr>
        <w:t>s</w:t>
      </w:r>
      <w:r w:rsidR="00A93E4F">
        <w:rPr>
          <w:b/>
          <w:bCs/>
          <w:lang w:val="fr-FR"/>
        </w:rPr>
        <w:t> </w:t>
      </w:r>
      <w:r w:rsidRPr="00AC4E01">
        <w:rPr>
          <w:b/>
          <w:bCs/>
          <w:lang w:val="fr-FR"/>
        </w:rPr>
        <w:t xml:space="preserve">3 et 4 du Comité pour la protection des droits de tous les travailleurs migrants et des membres de leur famille et </w:t>
      </w:r>
      <w:r w:rsidR="00A93E4F" w:rsidRPr="00A93E4F">
        <w:rPr>
          <w:rFonts w:eastAsia="MS Mincho"/>
          <w:b/>
          <w:bCs/>
          <w:szCs w:val="22"/>
          <w:lang w:val="fr-FR"/>
        </w:rPr>
        <w:t>n</w:t>
      </w:r>
      <w:r w:rsidR="00A93E4F" w:rsidRPr="00A93E4F">
        <w:rPr>
          <w:rFonts w:eastAsia="MS Mincho"/>
          <w:b/>
          <w:bCs/>
          <w:szCs w:val="22"/>
          <w:vertAlign w:val="superscript"/>
          <w:lang w:val="fr-FR"/>
        </w:rPr>
        <w:t>o</w:t>
      </w:r>
      <w:r w:rsidR="00A93E4F">
        <w:rPr>
          <w:rFonts w:eastAsia="MS Mincho"/>
          <w:b/>
          <w:bCs/>
          <w:szCs w:val="22"/>
          <w:vertAlign w:val="superscript"/>
          <w:lang w:val="fr-FR"/>
        </w:rPr>
        <w:t>s</w:t>
      </w:r>
      <w:r w:rsidR="00A93E4F">
        <w:rPr>
          <w:b/>
          <w:bCs/>
          <w:lang w:val="fr-FR"/>
        </w:rPr>
        <w:t> </w:t>
      </w:r>
      <w:r w:rsidRPr="00AC4E01">
        <w:rPr>
          <w:b/>
          <w:bCs/>
          <w:lang w:val="fr-FR"/>
        </w:rPr>
        <w:t>22 et 23 du Comité des droits de l</w:t>
      </w:r>
      <w:r>
        <w:rPr>
          <w:b/>
          <w:bCs/>
          <w:lang w:val="fr-FR"/>
        </w:rPr>
        <w:t>’</w:t>
      </w:r>
      <w:r w:rsidRPr="00AC4E01">
        <w:rPr>
          <w:b/>
          <w:bCs/>
          <w:lang w:val="fr-FR"/>
        </w:rPr>
        <w:t>enfant (2017) sur les droits de l</w:t>
      </w:r>
      <w:r>
        <w:rPr>
          <w:b/>
          <w:bCs/>
          <w:lang w:val="fr-FR"/>
        </w:rPr>
        <w:t>’</w:t>
      </w:r>
      <w:r w:rsidRPr="00AC4E01">
        <w:rPr>
          <w:b/>
          <w:bCs/>
          <w:lang w:val="fr-FR"/>
        </w:rPr>
        <w:t>homme des enfants dans le contexte des migrations internationales</w:t>
      </w:r>
      <w:bookmarkEnd w:id="0"/>
      <w:r w:rsidRPr="00AC4E01">
        <w:rPr>
          <w:b/>
          <w:bCs/>
          <w:lang w:val="fr-FR"/>
        </w:rPr>
        <w:t>, le Comité recommande à l</w:t>
      </w:r>
      <w:r>
        <w:rPr>
          <w:b/>
          <w:bCs/>
          <w:lang w:val="fr-FR"/>
        </w:rPr>
        <w:t>’</w:t>
      </w:r>
      <w:r w:rsidRPr="00AC4E01">
        <w:rPr>
          <w:b/>
          <w:bCs/>
          <w:lang w:val="fr-FR"/>
        </w:rPr>
        <w:t>État partie</w:t>
      </w:r>
      <w:r w:rsidR="00A93E4F">
        <w:rPr>
          <w:b/>
          <w:bCs/>
          <w:lang w:val="fr-FR"/>
        </w:rPr>
        <w:t> </w:t>
      </w:r>
      <w:r w:rsidRPr="00AC4E01">
        <w:rPr>
          <w:b/>
          <w:bCs/>
          <w:lang w:val="fr-FR"/>
        </w:rPr>
        <w:t>:</w:t>
      </w:r>
    </w:p>
    <w:p w14:paraId="72B2223F" w14:textId="7B7130A0" w:rsidR="009576FC" w:rsidRPr="00AC4E01" w:rsidRDefault="009576FC" w:rsidP="00A93E4F">
      <w:pPr>
        <w:pStyle w:val="SingleTxtG"/>
        <w:ind w:firstLine="567"/>
        <w:rPr>
          <w:b/>
          <w:bCs/>
          <w:lang w:val="fr-FR"/>
        </w:rPr>
      </w:pPr>
      <w:r w:rsidRPr="00AC4E01">
        <w:rPr>
          <w:b/>
          <w:bCs/>
          <w:lang w:val="fr-FR"/>
        </w:rPr>
        <w:t>a)</w:t>
      </w:r>
      <w:r w:rsidRPr="00AC4E01">
        <w:rPr>
          <w:b/>
          <w:bCs/>
          <w:lang w:val="fr-FR"/>
        </w:rPr>
        <w:tab/>
        <w:t>De renforcer les mesures visant à garantir que les enfants demandeurs d</w:t>
      </w:r>
      <w:r>
        <w:rPr>
          <w:b/>
          <w:bCs/>
          <w:lang w:val="fr-FR"/>
        </w:rPr>
        <w:t>’</w:t>
      </w:r>
      <w:r w:rsidRPr="00AC4E01">
        <w:rPr>
          <w:b/>
          <w:bCs/>
          <w:lang w:val="fr-FR"/>
        </w:rPr>
        <w:t>asile sont interrogés d</w:t>
      </w:r>
      <w:r>
        <w:rPr>
          <w:b/>
          <w:bCs/>
          <w:lang w:val="fr-FR"/>
        </w:rPr>
        <w:t>’</w:t>
      </w:r>
      <w:r w:rsidRPr="00AC4E01">
        <w:rPr>
          <w:b/>
          <w:bCs/>
          <w:lang w:val="fr-FR"/>
        </w:rPr>
        <w:t>une manière adaptée aux enfants par des professionnels spécialement formés, qu</w:t>
      </w:r>
      <w:r>
        <w:rPr>
          <w:b/>
          <w:bCs/>
          <w:lang w:val="fr-FR"/>
        </w:rPr>
        <w:t>’</w:t>
      </w:r>
      <w:r w:rsidRPr="00AC4E01">
        <w:rPr>
          <w:b/>
          <w:bCs/>
          <w:lang w:val="fr-FR"/>
        </w:rPr>
        <w:t>ils reçoivent des informations et des conseils juridiques adaptés à leur âge sur leurs droits, les procédures d</w:t>
      </w:r>
      <w:r>
        <w:rPr>
          <w:b/>
          <w:bCs/>
          <w:lang w:val="fr-FR"/>
        </w:rPr>
        <w:t>’</w:t>
      </w:r>
      <w:r w:rsidRPr="00AC4E01">
        <w:rPr>
          <w:b/>
          <w:bCs/>
          <w:lang w:val="fr-FR"/>
        </w:rPr>
        <w:t xml:space="preserve">asile et les </w:t>
      </w:r>
      <w:r>
        <w:rPr>
          <w:b/>
          <w:bCs/>
          <w:lang w:val="fr-FR"/>
        </w:rPr>
        <w:t>pièces</w:t>
      </w:r>
      <w:r w:rsidRPr="00AC4E01">
        <w:rPr>
          <w:b/>
          <w:bCs/>
          <w:lang w:val="fr-FR"/>
        </w:rPr>
        <w:t xml:space="preserve"> à fournir, que leur intérêt supérieur est une considération primordiale dans toutes les procédures d</w:t>
      </w:r>
      <w:r>
        <w:rPr>
          <w:b/>
          <w:bCs/>
          <w:lang w:val="fr-FR"/>
        </w:rPr>
        <w:t>’</w:t>
      </w:r>
      <w:r w:rsidRPr="00AC4E01">
        <w:rPr>
          <w:b/>
          <w:bCs/>
          <w:lang w:val="fr-FR"/>
        </w:rPr>
        <w:t xml:space="preserve">asile et que leur </w:t>
      </w:r>
      <w:r>
        <w:rPr>
          <w:b/>
          <w:bCs/>
          <w:lang w:val="fr-FR"/>
        </w:rPr>
        <w:t>opinion</w:t>
      </w:r>
      <w:r w:rsidRPr="00AC4E01">
        <w:rPr>
          <w:b/>
          <w:bCs/>
          <w:lang w:val="fr-FR"/>
        </w:rPr>
        <w:t xml:space="preserve"> est entendu</w:t>
      </w:r>
      <w:r>
        <w:rPr>
          <w:b/>
          <w:bCs/>
          <w:lang w:val="fr-FR"/>
        </w:rPr>
        <w:t xml:space="preserve">e et </w:t>
      </w:r>
      <w:r w:rsidRPr="00AC4E01">
        <w:rPr>
          <w:b/>
          <w:bCs/>
          <w:lang w:val="fr-FR"/>
        </w:rPr>
        <w:t>pris</w:t>
      </w:r>
      <w:r>
        <w:rPr>
          <w:b/>
          <w:bCs/>
          <w:lang w:val="fr-FR"/>
        </w:rPr>
        <w:t>e</w:t>
      </w:r>
      <w:r w:rsidRPr="00AC4E01">
        <w:rPr>
          <w:b/>
          <w:bCs/>
          <w:lang w:val="fr-FR"/>
        </w:rPr>
        <w:t xml:space="preserve"> en compte et que le poids voulu lui est accordé</w:t>
      </w:r>
      <w:r w:rsidR="00A93E4F">
        <w:rPr>
          <w:b/>
          <w:bCs/>
          <w:lang w:val="fr-FR"/>
        </w:rPr>
        <w:t> </w:t>
      </w:r>
      <w:r w:rsidRPr="00AC4E01">
        <w:rPr>
          <w:b/>
          <w:bCs/>
          <w:lang w:val="fr-FR"/>
        </w:rPr>
        <w:t>;</w:t>
      </w:r>
    </w:p>
    <w:p w14:paraId="36D8BD9A" w14:textId="13D247F6" w:rsidR="009576FC" w:rsidRPr="00AC4E01" w:rsidRDefault="009576FC" w:rsidP="00A93E4F">
      <w:pPr>
        <w:pStyle w:val="SingleTxtG"/>
        <w:ind w:firstLine="567"/>
        <w:rPr>
          <w:b/>
          <w:bCs/>
          <w:lang w:val="fr-FR"/>
        </w:rPr>
      </w:pPr>
      <w:r w:rsidRPr="00AC4E01">
        <w:rPr>
          <w:b/>
          <w:bCs/>
          <w:lang w:val="fr-FR"/>
        </w:rPr>
        <w:t>b)</w:t>
      </w:r>
      <w:r w:rsidRPr="00AC4E01">
        <w:rPr>
          <w:b/>
          <w:bCs/>
          <w:lang w:val="fr-FR"/>
        </w:rPr>
        <w:tab/>
        <w:t xml:space="preserve">De veiller à ce que tous les Länder </w:t>
      </w:r>
      <w:r>
        <w:rPr>
          <w:b/>
          <w:bCs/>
          <w:lang w:val="fr-FR"/>
        </w:rPr>
        <w:t>appliquent</w:t>
      </w:r>
      <w:r w:rsidRPr="00AC4E01">
        <w:rPr>
          <w:b/>
          <w:bCs/>
          <w:lang w:val="fr-FR"/>
        </w:rPr>
        <w:t xml:space="preserve"> un protocole uniforme </w:t>
      </w:r>
      <w:r>
        <w:rPr>
          <w:b/>
          <w:bCs/>
          <w:lang w:val="fr-FR"/>
        </w:rPr>
        <w:t>pour la</w:t>
      </w:r>
      <w:r w:rsidRPr="00AC4E01">
        <w:rPr>
          <w:b/>
          <w:bCs/>
          <w:lang w:val="fr-FR"/>
        </w:rPr>
        <w:t xml:space="preserve"> détermination de l</w:t>
      </w:r>
      <w:r>
        <w:rPr>
          <w:b/>
          <w:bCs/>
          <w:lang w:val="fr-FR"/>
        </w:rPr>
        <w:t>’</w:t>
      </w:r>
      <w:r w:rsidRPr="00AC4E01">
        <w:rPr>
          <w:b/>
          <w:bCs/>
          <w:lang w:val="fr-FR"/>
        </w:rPr>
        <w:t xml:space="preserve">âge, qui </w:t>
      </w:r>
      <w:r>
        <w:rPr>
          <w:b/>
          <w:bCs/>
          <w:lang w:val="fr-FR"/>
        </w:rPr>
        <w:t>comprenne</w:t>
      </w:r>
      <w:r w:rsidRPr="00AC4E01">
        <w:rPr>
          <w:b/>
          <w:bCs/>
          <w:lang w:val="fr-FR"/>
        </w:rPr>
        <w:t xml:space="preserve"> des évaluations </w:t>
      </w:r>
      <w:r>
        <w:rPr>
          <w:b/>
          <w:bCs/>
          <w:lang w:val="fr-FR"/>
        </w:rPr>
        <w:t>pluri</w:t>
      </w:r>
      <w:r w:rsidRPr="00AC4E01">
        <w:rPr>
          <w:b/>
          <w:bCs/>
          <w:lang w:val="fr-FR"/>
        </w:rPr>
        <w:t>disciplinaires de la maturité et du niveau de développement de l</w:t>
      </w:r>
      <w:r>
        <w:rPr>
          <w:b/>
          <w:bCs/>
          <w:lang w:val="fr-FR"/>
        </w:rPr>
        <w:t>’</w:t>
      </w:r>
      <w:r w:rsidRPr="00AC4E01">
        <w:rPr>
          <w:b/>
          <w:bCs/>
          <w:lang w:val="fr-FR"/>
        </w:rPr>
        <w:t>enfant, et qui respecte le principe juridique du bénéfice du doute ;</w:t>
      </w:r>
    </w:p>
    <w:p w14:paraId="33EE9A62" w14:textId="21316578" w:rsidR="009576FC" w:rsidRPr="00AC4E01" w:rsidRDefault="009576FC" w:rsidP="00A93E4F">
      <w:pPr>
        <w:pStyle w:val="SingleTxtG"/>
        <w:ind w:firstLine="567"/>
        <w:rPr>
          <w:b/>
          <w:bCs/>
          <w:lang w:val="fr-FR"/>
        </w:rPr>
      </w:pPr>
      <w:r w:rsidRPr="00AC4E01">
        <w:rPr>
          <w:b/>
          <w:bCs/>
          <w:lang w:val="fr-FR"/>
        </w:rPr>
        <w:t>c)</w:t>
      </w:r>
      <w:r w:rsidRPr="00AC4E01">
        <w:rPr>
          <w:b/>
          <w:bCs/>
          <w:lang w:val="fr-FR"/>
        </w:rPr>
        <w:tab/>
        <w:t>D</w:t>
      </w:r>
      <w:r>
        <w:rPr>
          <w:b/>
          <w:bCs/>
          <w:lang w:val="fr-FR"/>
        </w:rPr>
        <w:t>’allouer</w:t>
      </w:r>
      <w:r w:rsidRPr="00AC4E01">
        <w:rPr>
          <w:b/>
          <w:bCs/>
          <w:lang w:val="fr-FR"/>
        </w:rPr>
        <w:t xml:space="preserve"> les ressources nécessaires pour que les centres d</w:t>
      </w:r>
      <w:r>
        <w:rPr>
          <w:b/>
          <w:bCs/>
          <w:lang w:val="fr-FR"/>
        </w:rPr>
        <w:t>’</w:t>
      </w:r>
      <w:r w:rsidRPr="00AC4E01">
        <w:rPr>
          <w:b/>
          <w:bCs/>
          <w:lang w:val="fr-FR"/>
        </w:rPr>
        <w:t>accueil soient adaptés aux enfants et de donner la priorité au transfert immédiat des enfants demandeurs d</w:t>
      </w:r>
      <w:r>
        <w:rPr>
          <w:b/>
          <w:bCs/>
          <w:lang w:val="fr-FR"/>
        </w:rPr>
        <w:t>’</w:t>
      </w:r>
      <w:r w:rsidRPr="00AC4E01">
        <w:rPr>
          <w:b/>
          <w:bCs/>
          <w:lang w:val="fr-FR"/>
        </w:rPr>
        <w:t>asile ou réfugiés, notamment les enfants non accompagnés, des centres d</w:t>
      </w:r>
      <w:r>
        <w:rPr>
          <w:b/>
          <w:bCs/>
          <w:lang w:val="fr-FR"/>
        </w:rPr>
        <w:t>’</w:t>
      </w:r>
      <w:r w:rsidRPr="00AC4E01">
        <w:rPr>
          <w:b/>
          <w:bCs/>
          <w:lang w:val="fr-FR"/>
        </w:rPr>
        <w:t>accueil vers d</w:t>
      </w:r>
      <w:r>
        <w:rPr>
          <w:b/>
          <w:bCs/>
          <w:lang w:val="fr-FR"/>
        </w:rPr>
        <w:t>’</w:t>
      </w:r>
      <w:r w:rsidRPr="00AC4E01">
        <w:rPr>
          <w:b/>
          <w:bCs/>
          <w:lang w:val="fr-FR"/>
        </w:rPr>
        <w:t>autres structures afin que les intéressés aient rapidement accès à l</w:t>
      </w:r>
      <w:r>
        <w:rPr>
          <w:b/>
          <w:bCs/>
          <w:lang w:val="fr-FR"/>
        </w:rPr>
        <w:t>’</w:t>
      </w:r>
      <w:r w:rsidRPr="00AC4E01">
        <w:rPr>
          <w:b/>
          <w:bCs/>
          <w:lang w:val="fr-FR"/>
        </w:rPr>
        <w:t>éducation et au soutien dont ils ont besoin ;</w:t>
      </w:r>
    </w:p>
    <w:p w14:paraId="63A5687B" w14:textId="40636CA7" w:rsidR="009576FC" w:rsidRPr="00AC4E01" w:rsidRDefault="009576FC" w:rsidP="00A93E4F">
      <w:pPr>
        <w:pStyle w:val="SingleTxtG"/>
        <w:ind w:firstLine="567"/>
        <w:rPr>
          <w:b/>
          <w:bCs/>
          <w:lang w:val="fr-FR"/>
        </w:rPr>
      </w:pPr>
      <w:r w:rsidRPr="00AC4E01">
        <w:rPr>
          <w:b/>
          <w:bCs/>
          <w:lang w:val="fr-FR"/>
        </w:rPr>
        <w:t>d)</w:t>
      </w:r>
      <w:r w:rsidRPr="00AC4E01">
        <w:rPr>
          <w:b/>
          <w:bCs/>
          <w:lang w:val="fr-FR"/>
        </w:rPr>
        <w:tab/>
        <w:t>D</w:t>
      </w:r>
      <w:r>
        <w:rPr>
          <w:b/>
          <w:bCs/>
          <w:lang w:val="fr-FR"/>
        </w:rPr>
        <w:t>’</w:t>
      </w:r>
      <w:r w:rsidRPr="00AC4E01">
        <w:rPr>
          <w:b/>
          <w:bCs/>
          <w:lang w:val="fr-FR"/>
        </w:rPr>
        <w:t xml:space="preserve">empêcher </w:t>
      </w:r>
      <w:r>
        <w:rPr>
          <w:b/>
          <w:bCs/>
          <w:lang w:val="fr-FR"/>
        </w:rPr>
        <w:t xml:space="preserve">que </w:t>
      </w:r>
      <w:r w:rsidRPr="00AC4E01">
        <w:rPr>
          <w:b/>
          <w:bCs/>
          <w:lang w:val="fr-FR"/>
        </w:rPr>
        <w:t xml:space="preserve">des enfants migrants </w:t>
      </w:r>
      <w:r>
        <w:rPr>
          <w:b/>
          <w:bCs/>
          <w:lang w:val="fr-FR"/>
        </w:rPr>
        <w:t xml:space="preserve">soient séparés </w:t>
      </w:r>
      <w:r w:rsidRPr="00AC4E01">
        <w:rPr>
          <w:b/>
          <w:bCs/>
          <w:lang w:val="fr-FR"/>
        </w:rPr>
        <w:t>de leurs parents ;</w:t>
      </w:r>
    </w:p>
    <w:p w14:paraId="5BA63071" w14:textId="36BF7C36" w:rsidR="009576FC" w:rsidRPr="00AC4E01" w:rsidRDefault="009576FC" w:rsidP="00A93E4F">
      <w:pPr>
        <w:pStyle w:val="SingleTxtG"/>
        <w:ind w:firstLine="567"/>
        <w:rPr>
          <w:b/>
          <w:bCs/>
          <w:lang w:val="fr-FR"/>
        </w:rPr>
      </w:pPr>
      <w:r w:rsidRPr="00AC4E01">
        <w:rPr>
          <w:b/>
          <w:bCs/>
          <w:lang w:val="fr-FR"/>
        </w:rPr>
        <w:t>e)</w:t>
      </w:r>
      <w:r w:rsidRPr="00AC4E01">
        <w:rPr>
          <w:b/>
          <w:bCs/>
          <w:lang w:val="fr-FR"/>
        </w:rPr>
        <w:tab/>
        <w:t>D</w:t>
      </w:r>
      <w:r>
        <w:rPr>
          <w:b/>
          <w:bCs/>
          <w:lang w:val="fr-FR"/>
        </w:rPr>
        <w:t>’</w:t>
      </w:r>
      <w:r w:rsidRPr="00AC4E01">
        <w:rPr>
          <w:b/>
          <w:bCs/>
          <w:lang w:val="fr-FR"/>
        </w:rPr>
        <w:t>interdire l</w:t>
      </w:r>
      <w:r>
        <w:rPr>
          <w:b/>
          <w:bCs/>
          <w:lang w:val="fr-FR"/>
        </w:rPr>
        <w:t>’</w:t>
      </w:r>
      <w:r w:rsidRPr="00AC4E01">
        <w:rPr>
          <w:b/>
          <w:bCs/>
          <w:lang w:val="fr-FR"/>
        </w:rPr>
        <w:t xml:space="preserve">arrestation et </w:t>
      </w:r>
      <w:r>
        <w:rPr>
          <w:b/>
          <w:bCs/>
          <w:lang w:val="fr-FR"/>
        </w:rPr>
        <w:t>le placement en</w:t>
      </w:r>
      <w:r w:rsidRPr="00AC4E01">
        <w:rPr>
          <w:b/>
          <w:bCs/>
          <w:lang w:val="fr-FR"/>
        </w:rPr>
        <w:t xml:space="preserve"> détention d</w:t>
      </w:r>
      <w:r>
        <w:rPr>
          <w:b/>
          <w:bCs/>
          <w:lang w:val="fr-FR"/>
        </w:rPr>
        <w:t>’</w:t>
      </w:r>
      <w:r w:rsidRPr="00AC4E01">
        <w:rPr>
          <w:b/>
          <w:bCs/>
          <w:lang w:val="fr-FR"/>
        </w:rPr>
        <w:t>enfants demandeurs d</w:t>
      </w:r>
      <w:r>
        <w:rPr>
          <w:b/>
          <w:bCs/>
          <w:lang w:val="fr-FR"/>
        </w:rPr>
        <w:t>’</w:t>
      </w:r>
      <w:r w:rsidRPr="00AC4E01">
        <w:rPr>
          <w:b/>
          <w:bCs/>
          <w:lang w:val="fr-FR"/>
        </w:rPr>
        <w:t>asile ou migrants en raison de leur statut migratoire ou de celui de leurs parents ;</w:t>
      </w:r>
    </w:p>
    <w:p w14:paraId="119D3F43" w14:textId="6C67230B" w:rsidR="009576FC" w:rsidRPr="00AC4E01" w:rsidRDefault="009576FC" w:rsidP="00A93E4F">
      <w:pPr>
        <w:pStyle w:val="SingleTxtG"/>
        <w:ind w:firstLine="567"/>
        <w:rPr>
          <w:b/>
          <w:bCs/>
          <w:lang w:val="fr-FR"/>
        </w:rPr>
      </w:pPr>
      <w:r w:rsidRPr="00AC4E01">
        <w:rPr>
          <w:b/>
          <w:bCs/>
          <w:lang w:val="fr-FR"/>
        </w:rPr>
        <w:t>f)</w:t>
      </w:r>
      <w:r w:rsidRPr="00AC4E01">
        <w:rPr>
          <w:b/>
          <w:bCs/>
          <w:lang w:val="fr-FR"/>
        </w:rPr>
        <w:tab/>
        <w:t>De continuer à veiller à ce que tous les enfants non accompagnés soient rapidement identifiés et se voient désigner un représentant légal compétent en matière d</w:t>
      </w:r>
      <w:r>
        <w:rPr>
          <w:b/>
          <w:bCs/>
          <w:lang w:val="fr-FR"/>
        </w:rPr>
        <w:t>’</w:t>
      </w:r>
      <w:r w:rsidRPr="00AC4E01">
        <w:rPr>
          <w:b/>
          <w:bCs/>
          <w:lang w:val="fr-FR"/>
        </w:rPr>
        <w:t>asile ;</w:t>
      </w:r>
    </w:p>
    <w:p w14:paraId="5890A982" w14:textId="7A2FC708" w:rsidR="009576FC" w:rsidRPr="00AC4E01" w:rsidRDefault="009576FC" w:rsidP="00A93E4F">
      <w:pPr>
        <w:pStyle w:val="SingleTxtG"/>
        <w:ind w:firstLine="567"/>
        <w:rPr>
          <w:b/>
          <w:bCs/>
          <w:lang w:val="fr-FR"/>
        </w:rPr>
      </w:pPr>
      <w:r w:rsidRPr="00AC4E01">
        <w:rPr>
          <w:b/>
          <w:bCs/>
          <w:lang w:val="fr-FR"/>
        </w:rPr>
        <w:t>g)</w:t>
      </w:r>
      <w:r w:rsidRPr="00AC4E01">
        <w:rPr>
          <w:b/>
          <w:bCs/>
          <w:lang w:val="fr-FR"/>
        </w:rPr>
        <w:tab/>
        <w:t>De veiller à ce que les enfants placés dans les centres de premier accueil aient rapidement accès à l</w:t>
      </w:r>
      <w:r>
        <w:rPr>
          <w:b/>
          <w:bCs/>
          <w:lang w:val="fr-FR"/>
        </w:rPr>
        <w:t>’</w:t>
      </w:r>
      <w:r w:rsidRPr="00AC4E01">
        <w:rPr>
          <w:b/>
          <w:bCs/>
          <w:lang w:val="fr-FR"/>
        </w:rPr>
        <w:t>éducation dans le système scolaire ordinaire ;</w:t>
      </w:r>
    </w:p>
    <w:p w14:paraId="40C3B499" w14:textId="125BADFD" w:rsidR="009576FC" w:rsidRPr="00AC4E01" w:rsidRDefault="009576FC" w:rsidP="00A93E4F">
      <w:pPr>
        <w:pStyle w:val="SingleTxtG"/>
        <w:ind w:firstLine="567"/>
        <w:rPr>
          <w:b/>
          <w:bCs/>
          <w:lang w:val="fr-FR"/>
        </w:rPr>
      </w:pPr>
      <w:r w:rsidRPr="00AC4E01">
        <w:rPr>
          <w:b/>
          <w:bCs/>
          <w:lang w:val="fr-FR"/>
        </w:rPr>
        <w:lastRenderedPageBreak/>
        <w:t>h)</w:t>
      </w:r>
      <w:r w:rsidRPr="00AC4E01">
        <w:rPr>
          <w:b/>
          <w:bCs/>
          <w:lang w:val="fr-FR"/>
        </w:rPr>
        <w:tab/>
        <w:t>D</w:t>
      </w:r>
      <w:r>
        <w:rPr>
          <w:b/>
          <w:bCs/>
          <w:lang w:val="fr-FR"/>
        </w:rPr>
        <w:t>’</w:t>
      </w:r>
      <w:r w:rsidRPr="00AC4E01">
        <w:rPr>
          <w:b/>
          <w:bCs/>
          <w:lang w:val="fr-FR"/>
        </w:rPr>
        <w:t xml:space="preserve">abroger les dispositions qui obligent tous les services à </w:t>
      </w:r>
      <w:r>
        <w:rPr>
          <w:b/>
          <w:bCs/>
          <w:lang w:val="fr-FR"/>
        </w:rPr>
        <w:t xml:space="preserve">signaler </w:t>
      </w:r>
      <w:r w:rsidRPr="00AC4E01">
        <w:rPr>
          <w:b/>
          <w:bCs/>
          <w:lang w:val="fr-FR"/>
        </w:rPr>
        <w:t>aux autorités d</w:t>
      </w:r>
      <w:r>
        <w:rPr>
          <w:b/>
          <w:bCs/>
          <w:lang w:val="fr-FR"/>
        </w:rPr>
        <w:t>’</w:t>
      </w:r>
      <w:r w:rsidRPr="00AC4E01">
        <w:rPr>
          <w:b/>
          <w:bCs/>
          <w:lang w:val="fr-FR"/>
        </w:rPr>
        <w:t xml:space="preserve">immigration tout enfant </w:t>
      </w:r>
      <w:r>
        <w:rPr>
          <w:b/>
          <w:bCs/>
          <w:lang w:val="fr-FR"/>
        </w:rPr>
        <w:t>sans titre</w:t>
      </w:r>
      <w:r w:rsidRPr="00AC4E01">
        <w:rPr>
          <w:b/>
          <w:bCs/>
          <w:lang w:val="fr-FR"/>
        </w:rPr>
        <w:t xml:space="preserve"> de séjour.</w:t>
      </w:r>
    </w:p>
    <w:p w14:paraId="2EF4194A" w14:textId="672D0015" w:rsidR="009576FC" w:rsidRPr="00A93E4F" w:rsidRDefault="00A93E4F" w:rsidP="00A93E4F">
      <w:pPr>
        <w:pStyle w:val="H23G"/>
      </w:pPr>
      <w:r>
        <w:rPr>
          <w:lang w:val="fr-FR"/>
        </w:rPr>
        <w:tab/>
      </w:r>
      <w:r>
        <w:rPr>
          <w:lang w:val="fr-FR"/>
        </w:rPr>
        <w:tab/>
      </w:r>
      <w:r w:rsidR="009576FC" w:rsidRPr="00AC4E01">
        <w:rPr>
          <w:lang w:val="fr-FR"/>
        </w:rPr>
        <w:t>Traite</w:t>
      </w:r>
    </w:p>
    <w:p w14:paraId="657AFF33" w14:textId="35843FE9" w:rsidR="009576FC" w:rsidRPr="00AC4E01" w:rsidRDefault="009576FC" w:rsidP="009576FC">
      <w:pPr>
        <w:pStyle w:val="SingleTxtG"/>
        <w:rPr>
          <w:b/>
          <w:bCs/>
          <w:lang w:val="fr-FR"/>
        </w:rPr>
      </w:pPr>
      <w:r w:rsidRPr="00AC4E01">
        <w:rPr>
          <w:lang w:val="fr-FR"/>
        </w:rPr>
        <w:t>41.</w:t>
      </w:r>
      <w:r w:rsidRPr="00AC4E01">
        <w:rPr>
          <w:lang w:val="fr-FR"/>
        </w:rPr>
        <w:tab/>
      </w:r>
      <w:r>
        <w:rPr>
          <w:b/>
          <w:bCs/>
          <w:lang w:val="fr-FR"/>
        </w:rPr>
        <w:t>Prenant note avec satisfaction de</w:t>
      </w:r>
      <w:r w:rsidRPr="00AC4E01">
        <w:rPr>
          <w:b/>
          <w:bCs/>
          <w:lang w:val="fr-FR"/>
        </w:rPr>
        <w:t xml:space="preserve"> l</w:t>
      </w:r>
      <w:r>
        <w:rPr>
          <w:b/>
          <w:bCs/>
          <w:lang w:val="fr-FR"/>
        </w:rPr>
        <w:t>’</w:t>
      </w:r>
      <w:r w:rsidRPr="00AC4E01">
        <w:rPr>
          <w:b/>
          <w:bCs/>
          <w:lang w:val="fr-FR"/>
        </w:rPr>
        <w:t>adoption d</w:t>
      </w:r>
      <w:r>
        <w:rPr>
          <w:b/>
          <w:bCs/>
          <w:lang w:val="fr-FR"/>
        </w:rPr>
        <w:t>’</w:t>
      </w:r>
      <w:r w:rsidRPr="00AC4E01">
        <w:rPr>
          <w:b/>
          <w:bCs/>
          <w:lang w:val="fr-FR"/>
        </w:rPr>
        <w:t>un modèle fédéral de coopération pour la protection et le soutien des enfants victimes de la traite et de l</w:t>
      </w:r>
      <w:r>
        <w:rPr>
          <w:b/>
          <w:bCs/>
          <w:lang w:val="fr-FR"/>
        </w:rPr>
        <w:t>’</w:t>
      </w:r>
      <w:r w:rsidRPr="00AC4E01">
        <w:rPr>
          <w:b/>
          <w:bCs/>
          <w:lang w:val="fr-FR"/>
        </w:rPr>
        <w:t>exploitation, le Comité rappelle la cible 8.7 des objectifs de développement durable et recommande à l</w:t>
      </w:r>
      <w:r>
        <w:rPr>
          <w:b/>
          <w:bCs/>
          <w:lang w:val="fr-FR"/>
        </w:rPr>
        <w:t>’</w:t>
      </w:r>
      <w:r w:rsidRPr="00AC4E01">
        <w:rPr>
          <w:b/>
          <w:bCs/>
          <w:lang w:val="fr-FR"/>
        </w:rPr>
        <w:t>État partie :</w:t>
      </w:r>
    </w:p>
    <w:p w14:paraId="3A9D4722" w14:textId="37B12479" w:rsidR="009576FC" w:rsidRPr="00AC4E01" w:rsidRDefault="009576FC" w:rsidP="00A93E4F">
      <w:pPr>
        <w:pStyle w:val="SingleTxtG"/>
        <w:ind w:firstLine="567"/>
        <w:rPr>
          <w:b/>
          <w:bCs/>
          <w:lang w:val="fr-FR"/>
        </w:rPr>
      </w:pPr>
      <w:r w:rsidRPr="00AC4E01">
        <w:rPr>
          <w:b/>
          <w:bCs/>
          <w:lang w:val="fr-FR"/>
        </w:rPr>
        <w:t>a)</w:t>
      </w:r>
      <w:r w:rsidRPr="00AC4E01">
        <w:rPr>
          <w:b/>
          <w:bCs/>
          <w:lang w:val="fr-FR"/>
        </w:rPr>
        <w:tab/>
        <w:t xml:space="preserve">De modifier la loi relative au séjour des étrangers afin que tous les enfants qui </w:t>
      </w:r>
      <w:r>
        <w:rPr>
          <w:b/>
          <w:bCs/>
          <w:lang w:val="fr-FR"/>
        </w:rPr>
        <w:t>pourraient être</w:t>
      </w:r>
      <w:r w:rsidRPr="00AC4E01">
        <w:rPr>
          <w:b/>
          <w:bCs/>
          <w:lang w:val="fr-FR"/>
        </w:rPr>
        <w:t xml:space="preserve"> victimes de traite reçoivent un </w:t>
      </w:r>
      <w:r>
        <w:rPr>
          <w:b/>
          <w:bCs/>
          <w:lang w:val="fr-FR"/>
        </w:rPr>
        <w:t>titre</w:t>
      </w:r>
      <w:r w:rsidRPr="00AC4E01">
        <w:rPr>
          <w:b/>
          <w:bCs/>
          <w:lang w:val="fr-FR"/>
        </w:rPr>
        <w:t xml:space="preserve"> de séjour, qu</w:t>
      </w:r>
      <w:r>
        <w:rPr>
          <w:b/>
          <w:bCs/>
          <w:lang w:val="fr-FR"/>
        </w:rPr>
        <w:t>’</w:t>
      </w:r>
      <w:r w:rsidRPr="00AC4E01">
        <w:rPr>
          <w:b/>
          <w:bCs/>
          <w:lang w:val="fr-FR"/>
        </w:rPr>
        <w:t xml:space="preserve">ils </w:t>
      </w:r>
      <w:r>
        <w:rPr>
          <w:b/>
          <w:bCs/>
          <w:lang w:val="fr-FR"/>
        </w:rPr>
        <w:t>coopèrent ou non</w:t>
      </w:r>
      <w:r w:rsidRPr="00AC4E01">
        <w:rPr>
          <w:b/>
          <w:bCs/>
          <w:lang w:val="fr-FR"/>
        </w:rPr>
        <w:t xml:space="preserve"> aux enquêtes pénales, et </w:t>
      </w:r>
      <w:r>
        <w:rPr>
          <w:b/>
          <w:bCs/>
          <w:lang w:val="fr-FR"/>
        </w:rPr>
        <w:t xml:space="preserve">afin </w:t>
      </w:r>
      <w:r w:rsidRPr="00AC4E01">
        <w:rPr>
          <w:b/>
          <w:bCs/>
          <w:lang w:val="fr-FR"/>
        </w:rPr>
        <w:t>que leur intérêt supérieur soit une considération primordiale dans les décisions concernant leur lieu de séjour ;</w:t>
      </w:r>
    </w:p>
    <w:p w14:paraId="3EBEA3A4" w14:textId="05FE1D9C" w:rsidR="009576FC" w:rsidRPr="00AC4E01" w:rsidRDefault="009576FC" w:rsidP="00A93E4F">
      <w:pPr>
        <w:pStyle w:val="SingleTxtG"/>
        <w:ind w:firstLine="567"/>
        <w:rPr>
          <w:lang w:val="fr-FR"/>
        </w:rPr>
      </w:pPr>
      <w:r w:rsidRPr="00AC4E01">
        <w:rPr>
          <w:b/>
          <w:bCs/>
          <w:lang w:val="fr-FR"/>
        </w:rPr>
        <w:t>b)</w:t>
      </w:r>
      <w:r w:rsidRPr="00AC4E01">
        <w:rPr>
          <w:b/>
          <w:bCs/>
          <w:lang w:val="fr-FR"/>
        </w:rPr>
        <w:tab/>
        <w:t xml:space="preserve">De </w:t>
      </w:r>
      <w:r>
        <w:rPr>
          <w:b/>
          <w:bCs/>
          <w:lang w:val="fr-FR"/>
        </w:rPr>
        <w:t>faire en sorte</w:t>
      </w:r>
      <w:r w:rsidRPr="00AC4E01">
        <w:rPr>
          <w:b/>
          <w:bCs/>
          <w:lang w:val="fr-FR"/>
        </w:rPr>
        <w:t xml:space="preserve"> que les enfants victimes de traite so</w:t>
      </w:r>
      <w:r>
        <w:rPr>
          <w:b/>
          <w:bCs/>
          <w:lang w:val="fr-FR"/>
        </w:rPr>
        <w:t>ie</w:t>
      </w:r>
      <w:r w:rsidRPr="00AC4E01">
        <w:rPr>
          <w:b/>
          <w:bCs/>
          <w:lang w:val="fr-FR"/>
        </w:rPr>
        <w:t>nt identifiés et orientés vers des services appropriés et adaptés aux enfants, notamment en veillant à l</w:t>
      </w:r>
      <w:r>
        <w:rPr>
          <w:b/>
          <w:bCs/>
          <w:lang w:val="fr-FR"/>
        </w:rPr>
        <w:t>’</w:t>
      </w:r>
      <w:r w:rsidRPr="00AC4E01">
        <w:rPr>
          <w:b/>
          <w:bCs/>
          <w:lang w:val="fr-FR"/>
        </w:rPr>
        <w:t xml:space="preserve">application effective du modèle </w:t>
      </w:r>
      <w:r>
        <w:rPr>
          <w:b/>
          <w:bCs/>
          <w:lang w:val="fr-FR"/>
        </w:rPr>
        <w:t xml:space="preserve">fédéral </w:t>
      </w:r>
      <w:r w:rsidRPr="00AC4E01">
        <w:rPr>
          <w:b/>
          <w:bCs/>
          <w:lang w:val="fr-FR"/>
        </w:rPr>
        <w:t>de coopération</w:t>
      </w:r>
      <w:r w:rsidR="00A93E4F">
        <w:rPr>
          <w:b/>
          <w:bCs/>
          <w:lang w:val="fr-FR"/>
        </w:rPr>
        <w:t> </w:t>
      </w:r>
      <w:r w:rsidRPr="00AC4E01">
        <w:rPr>
          <w:b/>
          <w:bCs/>
          <w:lang w:val="fr-FR"/>
        </w:rPr>
        <w:t>;</w:t>
      </w:r>
    </w:p>
    <w:p w14:paraId="32989E93" w14:textId="478BC18A" w:rsidR="009576FC" w:rsidRPr="00AC4E01" w:rsidRDefault="009576FC" w:rsidP="00A93E4F">
      <w:pPr>
        <w:pStyle w:val="SingleTxtG"/>
        <w:ind w:firstLine="567"/>
        <w:rPr>
          <w:lang w:val="fr-FR"/>
        </w:rPr>
      </w:pPr>
      <w:r w:rsidRPr="00A93E4F">
        <w:rPr>
          <w:b/>
          <w:bCs/>
          <w:lang w:val="fr-FR"/>
        </w:rPr>
        <w:t>c)</w:t>
      </w:r>
      <w:r w:rsidRPr="00AC4E01">
        <w:rPr>
          <w:lang w:val="fr-FR"/>
        </w:rPr>
        <w:tab/>
      </w:r>
      <w:r w:rsidRPr="00AC4E01">
        <w:rPr>
          <w:b/>
          <w:bCs/>
          <w:lang w:val="fr-FR"/>
        </w:rPr>
        <w:t>D</w:t>
      </w:r>
      <w:r>
        <w:rPr>
          <w:b/>
          <w:bCs/>
          <w:lang w:val="fr-FR"/>
        </w:rPr>
        <w:t>’</w:t>
      </w:r>
      <w:r w:rsidRPr="00AC4E01">
        <w:rPr>
          <w:b/>
          <w:bCs/>
          <w:lang w:val="fr-FR"/>
        </w:rPr>
        <w:t>enquêter sur tous les cas de traite d</w:t>
      </w:r>
      <w:r>
        <w:rPr>
          <w:b/>
          <w:bCs/>
          <w:lang w:val="fr-FR"/>
        </w:rPr>
        <w:t>’</w:t>
      </w:r>
      <w:r w:rsidRPr="00AC4E01">
        <w:rPr>
          <w:b/>
          <w:bCs/>
          <w:lang w:val="fr-FR"/>
        </w:rPr>
        <w:t>enfants, dans le cadre de procédures intersectorielles adaptées aux enfants, et de traduire les responsables en justice.</w:t>
      </w:r>
    </w:p>
    <w:p w14:paraId="240838A2" w14:textId="77777777" w:rsidR="009576FC" w:rsidRPr="00AC4E01" w:rsidRDefault="009576FC" w:rsidP="009576FC">
      <w:pPr>
        <w:pStyle w:val="H23G"/>
        <w:spacing w:line="240" w:lineRule="atLeast"/>
        <w:rPr>
          <w:bCs/>
          <w:lang w:val="fr-FR"/>
        </w:rPr>
      </w:pPr>
      <w:r w:rsidRPr="00AC4E01">
        <w:rPr>
          <w:lang w:val="fr-FR"/>
        </w:rPr>
        <w:tab/>
      </w:r>
      <w:r w:rsidRPr="00AC4E01">
        <w:rPr>
          <w:lang w:val="fr-FR"/>
        </w:rPr>
        <w:tab/>
      </w:r>
      <w:r w:rsidRPr="00AC4E01">
        <w:rPr>
          <w:bCs/>
          <w:lang w:val="fr-FR"/>
        </w:rPr>
        <w:t>Administration de la justice pour enfants</w:t>
      </w:r>
    </w:p>
    <w:p w14:paraId="6A716069" w14:textId="2767E8EE" w:rsidR="009576FC" w:rsidRPr="00AC4E01" w:rsidRDefault="009576FC" w:rsidP="009576FC">
      <w:pPr>
        <w:pStyle w:val="SingleTxtG"/>
        <w:rPr>
          <w:b/>
          <w:bCs/>
          <w:lang w:val="fr-FR"/>
        </w:rPr>
      </w:pPr>
      <w:r w:rsidRPr="00AC4E01">
        <w:rPr>
          <w:lang w:val="fr-FR"/>
        </w:rPr>
        <w:t>42.</w:t>
      </w:r>
      <w:r w:rsidRPr="00AC4E01">
        <w:rPr>
          <w:lang w:val="fr-FR"/>
        </w:rPr>
        <w:tab/>
      </w:r>
      <w:r w:rsidRPr="00AC4E01">
        <w:rPr>
          <w:b/>
          <w:bCs/>
          <w:lang w:val="fr-FR"/>
        </w:rPr>
        <w:t xml:space="preserve">Le Comité </w:t>
      </w:r>
      <w:r>
        <w:rPr>
          <w:b/>
          <w:bCs/>
          <w:lang w:val="fr-FR"/>
        </w:rPr>
        <w:t>prend note avec satisfaction des</w:t>
      </w:r>
      <w:r w:rsidRPr="00AC4E01">
        <w:rPr>
          <w:b/>
          <w:bCs/>
          <w:lang w:val="fr-FR"/>
        </w:rPr>
        <w:t xml:space="preserve"> mesures prises par l</w:t>
      </w:r>
      <w:r>
        <w:rPr>
          <w:b/>
          <w:bCs/>
          <w:lang w:val="fr-FR"/>
        </w:rPr>
        <w:t>’</w:t>
      </w:r>
      <w:r w:rsidRPr="00AC4E01">
        <w:rPr>
          <w:b/>
          <w:bCs/>
          <w:lang w:val="fr-FR"/>
        </w:rPr>
        <w:t xml:space="preserve">État partie pour rendre son système de justice pour enfants conforme à la Convention, notamment la transposition en droit interne de la Directive (UE) 2016/800 du Parlement européen et du Conseil relative à la mise en place de garanties procédurales en faveur des enfants qui sont des suspects ou des personnes poursuivies dans le cadre des procédures pénales. </w:t>
      </w:r>
      <w:r>
        <w:rPr>
          <w:b/>
          <w:bCs/>
          <w:lang w:val="fr-FR"/>
        </w:rPr>
        <w:t>Renvoyant</w:t>
      </w:r>
      <w:r w:rsidRPr="00AC4E01">
        <w:rPr>
          <w:b/>
          <w:bCs/>
          <w:lang w:val="fr-FR"/>
        </w:rPr>
        <w:t xml:space="preserve"> à son observation générale </w:t>
      </w:r>
      <w:r w:rsidR="00A93E4F" w:rsidRPr="00A93E4F">
        <w:rPr>
          <w:rFonts w:eastAsia="MS Mincho"/>
          <w:b/>
          <w:bCs/>
          <w:szCs w:val="22"/>
          <w:lang w:val="fr-FR"/>
        </w:rPr>
        <w:t>n</w:t>
      </w:r>
      <w:r w:rsidR="00A93E4F" w:rsidRPr="00A93E4F">
        <w:rPr>
          <w:rFonts w:eastAsia="MS Mincho"/>
          <w:b/>
          <w:bCs/>
          <w:szCs w:val="22"/>
          <w:vertAlign w:val="superscript"/>
          <w:lang w:val="fr-FR"/>
        </w:rPr>
        <w:t>o</w:t>
      </w:r>
      <w:r w:rsidR="00A93E4F">
        <w:rPr>
          <w:b/>
          <w:bCs/>
          <w:lang w:val="fr-FR"/>
        </w:rPr>
        <w:t> </w:t>
      </w:r>
      <w:r w:rsidRPr="00AC4E01">
        <w:rPr>
          <w:b/>
          <w:bCs/>
          <w:lang w:val="fr-FR"/>
        </w:rPr>
        <w:t>24 (2019) sur les droits de l</w:t>
      </w:r>
      <w:r>
        <w:rPr>
          <w:b/>
          <w:bCs/>
          <w:lang w:val="fr-FR"/>
        </w:rPr>
        <w:t>’</w:t>
      </w:r>
      <w:r w:rsidRPr="00AC4E01">
        <w:rPr>
          <w:b/>
          <w:bCs/>
          <w:lang w:val="fr-FR"/>
        </w:rPr>
        <w:t xml:space="preserve">enfant dans le système de justice pour enfants, </w:t>
      </w:r>
      <w:r>
        <w:rPr>
          <w:b/>
          <w:bCs/>
          <w:lang w:val="fr-FR"/>
        </w:rPr>
        <w:t>il</w:t>
      </w:r>
      <w:r w:rsidRPr="00AC4E01">
        <w:rPr>
          <w:b/>
          <w:bCs/>
          <w:lang w:val="fr-FR"/>
        </w:rPr>
        <w:t xml:space="preserve"> recommande à l</w:t>
      </w:r>
      <w:r>
        <w:rPr>
          <w:b/>
          <w:bCs/>
          <w:lang w:val="fr-FR"/>
        </w:rPr>
        <w:t>’</w:t>
      </w:r>
      <w:r w:rsidRPr="00AC4E01">
        <w:rPr>
          <w:b/>
          <w:bCs/>
          <w:lang w:val="fr-FR"/>
        </w:rPr>
        <w:t>État partie de continuer à promouvoir activement, dans tous les Länder, l</w:t>
      </w:r>
      <w:r>
        <w:rPr>
          <w:b/>
          <w:bCs/>
          <w:lang w:val="fr-FR"/>
        </w:rPr>
        <w:t>’</w:t>
      </w:r>
      <w:r w:rsidRPr="00AC4E01">
        <w:rPr>
          <w:b/>
          <w:bCs/>
          <w:lang w:val="fr-FR"/>
        </w:rPr>
        <w:t xml:space="preserve">application de mesures non judiciaires, comme la déjudiciarisation, la médiation et </w:t>
      </w:r>
      <w:r>
        <w:rPr>
          <w:b/>
          <w:bCs/>
          <w:lang w:val="fr-FR"/>
        </w:rPr>
        <w:t>l’</w:t>
      </w:r>
      <w:r w:rsidRPr="00AC4E01">
        <w:rPr>
          <w:b/>
          <w:bCs/>
          <w:lang w:val="fr-FR"/>
        </w:rPr>
        <w:t>accompagnement, et, chaque fois que cela est possible, d</w:t>
      </w:r>
      <w:r>
        <w:rPr>
          <w:b/>
          <w:bCs/>
          <w:lang w:val="fr-FR"/>
        </w:rPr>
        <w:t>’</w:t>
      </w:r>
      <w:r w:rsidRPr="00AC4E01">
        <w:rPr>
          <w:b/>
          <w:bCs/>
          <w:lang w:val="fr-FR"/>
        </w:rPr>
        <w:t>appliquer des peines non privatives de liberté telles que la liberté surveillée ou le travail d</w:t>
      </w:r>
      <w:r>
        <w:rPr>
          <w:b/>
          <w:bCs/>
          <w:lang w:val="fr-FR"/>
        </w:rPr>
        <w:t>’</w:t>
      </w:r>
      <w:r w:rsidRPr="00AC4E01">
        <w:rPr>
          <w:b/>
          <w:bCs/>
          <w:lang w:val="fr-FR"/>
        </w:rPr>
        <w:t>intérêt général, notamment en dispensant aux juges, aux procureurs, aux policiers et aux autres professionnels concernés une formation sur les droits de l</w:t>
      </w:r>
      <w:r>
        <w:rPr>
          <w:b/>
          <w:bCs/>
          <w:lang w:val="fr-FR"/>
        </w:rPr>
        <w:t>’</w:t>
      </w:r>
      <w:r w:rsidRPr="00AC4E01">
        <w:rPr>
          <w:b/>
          <w:bCs/>
          <w:lang w:val="fr-FR"/>
        </w:rPr>
        <w:t>enfant, la Convention et l</w:t>
      </w:r>
      <w:r>
        <w:rPr>
          <w:b/>
          <w:bCs/>
          <w:lang w:val="fr-FR"/>
        </w:rPr>
        <w:t>’</w:t>
      </w:r>
      <w:r w:rsidRPr="00AC4E01">
        <w:rPr>
          <w:b/>
          <w:bCs/>
          <w:lang w:val="fr-FR"/>
        </w:rPr>
        <w:t xml:space="preserve">observation générale </w:t>
      </w:r>
      <w:r w:rsidR="00A93E4F" w:rsidRPr="00A93E4F">
        <w:rPr>
          <w:rFonts w:eastAsia="MS Mincho"/>
          <w:b/>
          <w:bCs/>
          <w:szCs w:val="22"/>
          <w:lang w:val="fr-FR"/>
        </w:rPr>
        <w:t>n</w:t>
      </w:r>
      <w:r w:rsidR="00A93E4F" w:rsidRPr="00A93E4F">
        <w:rPr>
          <w:rFonts w:eastAsia="MS Mincho"/>
          <w:b/>
          <w:bCs/>
          <w:szCs w:val="22"/>
          <w:vertAlign w:val="superscript"/>
          <w:lang w:val="fr-FR"/>
        </w:rPr>
        <w:t>o</w:t>
      </w:r>
      <w:r w:rsidR="00A93E4F">
        <w:rPr>
          <w:b/>
          <w:bCs/>
          <w:lang w:val="fr-FR"/>
        </w:rPr>
        <w:t> </w:t>
      </w:r>
      <w:r w:rsidRPr="00AC4E01">
        <w:rPr>
          <w:b/>
          <w:bCs/>
          <w:lang w:val="fr-FR"/>
        </w:rPr>
        <w:t>24 (2019) du Comité.</w:t>
      </w:r>
    </w:p>
    <w:p w14:paraId="1A8C99E0" w14:textId="4D2D5179" w:rsidR="009576FC" w:rsidRPr="00AC4E01" w:rsidRDefault="00A93E4F" w:rsidP="00A93E4F">
      <w:pPr>
        <w:pStyle w:val="H1G"/>
        <w:rPr>
          <w:lang w:val="fr-FR"/>
        </w:rPr>
      </w:pPr>
      <w:r>
        <w:rPr>
          <w:lang w:val="fr-FR"/>
        </w:rPr>
        <w:tab/>
      </w:r>
      <w:r w:rsidR="009576FC" w:rsidRPr="00AC4E01">
        <w:rPr>
          <w:lang w:val="fr-FR"/>
        </w:rPr>
        <w:t>J.</w:t>
      </w:r>
      <w:r w:rsidR="009576FC" w:rsidRPr="00AC4E01">
        <w:rPr>
          <w:lang w:val="fr-FR"/>
        </w:rPr>
        <w:tab/>
        <w:t xml:space="preserve">Suite donnée aux précédentes observations finales et recommandations du Comité </w:t>
      </w:r>
      <w:r w:rsidR="009576FC" w:rsidRPr="00A93E4F">
        <w:t>portant</w:t>
      </w:r>
      <w:r w:rsidR="009576FC" w:rsidRPr="00AC4E01">
        <w:rPr>
          <w:lang w:val="fr-FR"/>
        </w:rPr>
        <w:t xml:space="preserve"> sur l</w:t>
      </w:r>
      <w:r w:rsidR="009576FC">
        <w:rPr>
          <w:lang w:val="fr-FR"/>
        </w:rPr>
        <w:t>’</w:t>
      </w:r>
      <w:r w:rsidR="009576FC" w:rsidRPr="00AC4E01">
        <w:rPr>
          <w:lang w:val="fr-FR"/>
        </w:rPr>
        <w:t xml:space="preserve">application des Protocoles facultatifs </w:t>
      </w:r>
      <w:r>
        <w:rPr>
          <w:lang w:val="fr-FR"/>
        </w:rPr>
        <w:br/>
      </w:r>
      <w:r w:rsidR="009576FC" w:rsidRPr="00AC4E01">
        <w:rPr>
          <w:lang w:val="fr-FR"/>
        </w:rPr>
        <w:t>à la Convention</w:t>
      </w:r>
    </w:p>
    <w:p w14:paraId="1EF7F846" w14:textId="179FA522" w:rsidR="009576FC" w:rsidRPr="00AC4E01" w:rsidRDefault="009576FC" w:rsidP="00A93E4F">
      <w:pPr>
        <w:pStyle w:val="H23G"/>
        <w:rPr>
          <w:lang w:val="fr-FR"/>
        </w:rPr>
      </w:pPr>
      <w:r w:rsidRPr="00AC4E01">
        <w:rPr>
          <w:lang w:val="fr-FR"/>
        </w:rPr>
        <w:tab/>
      </w:r>
      <w:r w:rsidRPr="00AC4E01">
        <w:rPr>
          <w:lang w:val="fr-FR"/>
        </w:rPr>
        <w:tab/>
        <w:t>Protocole facultatif concernant la vente d</w:t>
      </w:r>
      <w:r>
        <w:rPr>
          <w:lang w:val="fr-FR"/>
        </w:rPr>
        <w:t>’</w:t>
      </w:r>
      <w:r w:rsidRPr="00AC4E01">
        <w:rPr>
          <w:lang w:val="fr-FR"/>
        </w:rPr>
        <w:t xml:space="preserve">enfants, la prostitution des enfants </w:t>
      </w:r>
      <w:r w:rsidR="00A93E4F">
        <w:rPr>
          <w:lang w:val="fr-FR"/>
        </w:rPr>
        <w:br/>
      </w:r>
      <w:r w:rsidRPr="00AC4E01">
        <w:rPr>
          <w:lang w:val="fr-FR"/>
        </w:rPr>
        <w:t xml:space="preserve">et la pornographie </w:t>
      </w:r>
      <w:r w:rsidRPr="00A93E4F">
        <w:t>mettant</w:t>
      </w:r>
      <w:r w:rsidRPr="00AC4E01">
        <w:rPr>
          <w:lang w:val="fr-FR"/>
        </w:rPr>
        <w:t xml:space="preserve"> en scène des enfants</w:t>
      </w:r>
    </w:p>
    <w:p w14:paraId="29FC5D5D" w14:textId="1D3AF58E" w:rsidR="009576FC" w:rsidRPr="00AC4E01" w:rsidRDefault="009576FC" w:rsidP="009576FC">
      <w:pPr>
        <w:pStyle w:val="SingleTxtG"/>
        <w:rPr>
          <w:b/>
          <w:bCs/>
          <w:lang w:val="fr-FR"/>
        </w:rPr>
      </w:pPr>
      <w:r w:rsidRPr="00834B7B">
        <w:rPr>
          <w:lang w:val="fr-FR"/>
        </w:rPr>
        <w:t>43.</w:t>
      </w:r>
      <w:r w:rsidRPr="00AC4E01">
        <w:rPr>
          <w:b/>
          <w:bCs/>
          <w:lang w:val="fr-FR"/>
        </w:rPr>
        <w:tab/>
      </w:r>
      <w:r>
        <w:rPr>
          <w:b/>
          <w:bCs/>
          <w:lang w:val="fr-FR"/>
        </w:rPr>
        <w:t>Renvoyant</w:t>
      </w:r>
      <w:r w:rsidRPr="00AC4E01">
        <w:rPr>
          <w:b/>
          <w:bCs/>
          <w:lang w:val="fr-FR"/>
        </w:rPr>
        <w:t xml:space="preserve"> à ses lignes directrices concernant l</w:t>
      </w:r>
      <w:r>
        <w:rPr>
          <w:b/>
          <w:bCs/>
          <w:lang w:val="fr-FR"/>
        </w:rPr>
        <w:t>’</w:t>
      </w:r>
      <w:r w:rsidRPr="00AC4E01">
        <w:rPr>
          <w:b/>
          <w:bCs/>
          <w:lang w:val="fr-FR"/>
        </w:rPr>
        <w:t>application du Protocole facultatif</w:t>
      </w:r>
      <w:r w:rsidRPr="009576FC">
        <w:rPr>
          <w:rStyle w:val="Appelnotedebasdep"/>
        </w:rPr>
        <w:footnoteReference w:id="8"/>
      </w:r>
      <w:r w:rsidRPr="00AC4E01">
        <w:rPr>
          <w:b/>
          <w:bCs/>
          <w:lang w:val="fr-FR"/>
        </w:rPr>
        <w:t>, le Comité recommande à l</w:t>
      </w:r>
      <w:r>
        <w:rPr>
          <w:b/>
          <w:bCs/>
          <w:lang w:val="fr-FR"/>
        </w:rPr>
        <w:t>’</w:t>
      </w:r>
      <w:r w:rsidRPr="00AC4E01">
        <w:rPr>
          <w:b/>
          <w:bCs/>
          <w:lang w:val="fr-FR"/>
        </w:rPr>
        <w:t>État partie</w:t>
      </w:r>
      <w:r w:rsidR="00750485">
        <w:rPr>
          <w:b/>
          <w:bCs/>
          <w:lang w:val="fr-FR"/>
        </w:rPr>
        <w:t> </w:t>
      </w:r>
      <w:r w:rsidRPr="00AC4E01">
        <w:rPr>
          <w:b/>
          <w:bCs/>
          <w:lang w:val="fr-FR"/>
        </w:rPr>
        <w:t>:</w:t>
      </w:r>
    </w:p>
    <w:p w14:paraId="51967AA5" w14:textId="497B24F7" w:rsidR="009576FC" w:rsidRPr="00AC4E01" w:rsidRDefault="009576FC" w:rsidP="00A93E4F">
      <w:pPr>
        <w:pStyle w:val="SingleTxtG"/>
        <w:ind w:firstLine="567"/>
        <w:rPr>
          <w:rFonts w:eastAsia="SimSun"/>
          <w:b/>
          <w:bCs/>
          <w:lang w:val="fr-FR" w:eastAsia="zh-CN"/>
        </w:rPr>
      </w:pPr>
      <w:r w:rsidRPr="00AC4E01">
        <w:rPr>
          <w:rFonts w:eastAsia="SimSun"/>
          <w:b/>
          <w:bCs/>
          <w:lang w:val="fr-FR" w:eastAsia="zh-CN"/>
        </w:rPr>
        <w:t>a)</w:t>
      </w:r>
      <w:r w:rsidRPr="00AC4E01">
        <w:rPr>
          <w:rFonts w:eastAsia="SimSun"/>
          <w:b/>
          <w:bCs/>
          <w:lang w:val="fr-FR" w:eastAsia="zh-CN"/>
        </w:rPr>
        <w:tab/>
        <w:t>D</w:t>
      </w:r>
      <w:r>
        <w:rPr>
          <w:rFonts w:eastAsia="SimSun"/>
          <w:b/>
          <w:bCs/>
          <w:lang w:val="fr-FR" w:eastAsia="zh-CN"/>
        </w:rPr>
        <w:t>’</w:t>
      </w:r>
      <w:r w:rsidRPr="00AC4E01">
        <w:rPr>
          <w:rFonts w:eastAsia="SimSun"/>
          <w:b/>
          <w:bCs/>
          <w:lang w:val="fr-FR" w:eastAsia="zh-CN"/>
        </w:rPr>
        <w:t>étendre le champ d</w:t>
      </w:r>
      <w:r>
        <w:rPr>
          <w:rFonts w:eastAsia="SimSun"/>
          <w:b/>
          <w:bCs/>
          <w:lang w:val="fr-FR" w:eastAsia="zh-CN"/>
        </w:rPr>
        <w:t>’</w:t>
      </w:r>
      <w:r w:rsidRPr="00AC4E01">
        <w:rPr>
          <w:rFonts w:eastAsia="SimSun"/>
          <w:b/>
          <w:bCs/>
          <w:lang w:val="fr-FR" w:eastAsia="zh-CN"/>
        </w:rPr>
        <w:t xml:space="preserve">application de la loi sur la protection de la jeunesse dans les </w:t>
      </w:r>
      <w:proofErr w:type="spellStart"/>
      <w:r w:rsidRPr="00AC4E01">
        <w:rPr>
          <w:rFonts w:eastAsia="SimSun"/>
          <w:b/>
          <w:bCs/>
          <w:lang w:val="fr-FR" w:eastAsia="zh-CN"/>
        </w:rPr>
        <w:t>médias</w:t>
      </w:r>
      <w:proofErr w:type="spellEnd"/>
      <w:r w:rsidRPr="00AC4E01">
        <w:rPr>
          <w:rFonts w:eastAsia="SimSun"/>
          <w:b/>
          <w:bCs/>
          <w:lang w:val="fr-FR" w:eastAsia="zh-CN"/>
        </w:rPr>
        <w:t xml:space="preserve"> à l</w:t>
      </w:r>
      <w:r>
        <w:rPr>
          <w:rFonts w:eastAsia="SimSun"/>
          <w:b/>
          <w:bCs/>
          <w:lang w:val="fr-FR" w:eastAsia="zh-CN"/>
        </w:rPr>
        <w:t>’</w:t>
      </w:r>
      <w:r w:rsidRPr="00AC4E01">
        <w:rPr>
          <w:rFonts w:eastAsia="SimSun"/>
          <w:b/>
          <w:bCs/>
          <w:lang w:val="fr-FR" w:eastAsia="zh-CN"/>
        </w:rPr>
        <w:t>ensemble des applications et services en ligne utilisés par les enfants et d</w:t>
      </w:r>
      <w:r>
        <w:rPr>
          <w:rFonts w:eastAsia="SimSun"/>
          <w:b/>
          <w:bCs/>
          <w:lang w:val="fr-FR" w:eastAsia="zh-CN"/>
        </w:rPr>
        <w:t>’</w:t>
      </w:r>
      <w:r w:rsidRPr="00AC4E01">
        <w:rPr>
          <w:rFonts w:eastAsia="SimSun"/>
          <w:b/>
          <w:bCs/>
          <w:lang w:val="fr-FR" w:eastAsia="zh-CN"/>
        </w:rPr>
        <w:t xml:space="preserve">élargir la définition du contenu </w:t>
      </w:r>
      <w:r>
        <w:rPr>
          <w:rFonts w:eastAsia="SimSun"/>
          <w:b/>
          <w:bCs/>
          <w:lang w:val="fr-FR" w:eastAsia="zh-CN"/>
        </w:rPr>
        <w:t>illicite</w:t>
      </w:r>
      <w:r w:rsidRPr="00AC4E01">
        <w:rPr>
          <w:rFonts w:eastAsia="SimSun"/>
          <w:b/>
          <w:bCs/>
          <w:lang w:val="fr-FR" w:eastAsia="zh-CN"/>
        </w:rPr>
        <w:t xml:space="preserve"> à la production de contenus montrant des violences sexuelles sur des enfants âgés de 14 à 17</w:t>
      </w:r>
      <w:r w:rsidR="00750485">
        <w:rPr>
          <w:rFonts w:eastAsia="SimSun"/>
          <w:b/>
          <w:bCs/>
          <w:lang w:val="fr-FR" w:eastAsia="zh-CN"/>
        </w:rPr>
        <w:t> </w:t>
      </w:r>
      <w:r w:rsidRPr="00AC4E01">
        <w:rPr>
          <w:rFonts w:eastAsia="SimSun"/>
          <w:b/>
          <w:bCs/>
          <w:lang w:val="fr-FR" w:eastAsia="zh-CN"/>
        </w:rPr>
        <w:t>ans ;</w:t>
      </w:r>
    </w:p>
    <w:p w14:paraId="14EBFF2F" w14:textId="18BCF79B" w:rsidR="009576FC" w:rsidRPr="00AC4E01" w:rsidRDefault="009576FC" w:rsidP="00A93E4F">
      <w:pPr>
        <w:pStyle w:val="SingleTxtG"/>
        <w:ind w:firstLine="567"/>
        <w:rPr>
          <w:rFonts w:eastAsia="SimSun"/>
          <w:lang w:val="fr-FR" w:eastAsia="zh-CN"/>
        </w:rPr>
      </w:pPr>
      <w:r w:rsidRPr="00AC4E01">
        <w:rPr>
          <w:rFonts w:eastAsia="SimSun"/>
          <w:b/>
          <w:bCs/>
          <w:lang w:val="fr-FR" w:eastAsia="zh-CN"/>
        </w:rPr>
        <w:t>b)</w:t>
      </w:r>
      <w:r w:rsidRPr="00AC4E01">
        <w:rPr>
          <w:rFonts w:eastAsia="SimSun"/>
          <w:b/>
          <w:bCs/>
          <w:lang w:val="fr-FR" w:eastAsia="zh-CN"/>
        </w:rPr>
        <w:tab/>
        <w:t>De prendre toutes les mesures nécessaires pour prévenir et éliminer l</w:t>
      </w:r>
      <w:r>
        <w:rPr>
          <w:rFonts w:eastAsia="SimSun"/>
          <w:b/>
          <w:bCs/>
          <w:lang w:val="fr-FR" w:eastAsia="zh-CN"/>
        </w:rPr>
        <w:t>’</w:t>
      </w:r>
      <w:r w:rsidRPr="00AC4E01">
        <w:rPr>
          <w:rFonts w:eastAsia="SimSun"/>
          <w:b/>
          <w:bCs/>
          <w:lang w:val="fr-FR" w:eastAsia="zh-CN"/>
        </w:rPr>
        <w:t>exploitation d</w:t>
      </w:r>
      <w:r>
        <w:rPr>
          <w:rFonts w:eastAsia="SimSun"/>
          <w:b/>
          <w:bCs/>
          <w:lang w:val="fr-FR" w:eastAsia="zh-CN"/>
        </w:rPr>
        <w:t>’</w:t>
      </w:r>
      <w:r w:rsidRPr="00AC4E01">
        <w:rPr>
          <w:rFonts w:eastAsia="SimSun"/>
          <w:b/>
          <w:bCs/>
          <w:lang w:val="fr-FR" w:eastAsia="zh-CN"/>
        </w:rPr>
        <w:t xml:space="preserve">enfants en ligne ainsi que dans </w:t>
      </w:r>
      <w:r>
        <w:rPr>
          <w:rFonts w:eastAsia="SimSun"/>
          <w:b/>
          <w:bCs/>
          <w:lang w:val="fr-FR" w:eastAsia="zh-CN"/>
        </w:rPr>
        <w:t>le contexte des</w:t>
      </w:r>
      <w:r w:rsidRPr="00AC4E01">
        <w:rPr>
          <w:rFonts w:eastAsia="SimSun"/>
          <w:b/>
          <w:bCs/>
          <w:lang w:val="fr-FR" w:eastAsia="zh-CN"/>
        </w:rPr>
        <w:t xml:space="preserve"> voyages, </w:t>
      </w:r>
      <w:r>
        <w:rPr>
          <w:rFonts w:eastAsia="SimSun"/>
          <w:b/>
          <w:bCs/>
          <w:lang w:val="fr-FR" w:eastAsia="zh-CN"/>
        </w:rPr>
        <w:t>du</w:t>
      </w:r>
      <w:r w:rsidRPr="00AC4E01">
        <w:rPr>
          <w:rFonts w:eastAsia="SimSun"/>
          <w:b/>
          <w:bCs/>
          <w:lang w:val="fr-FR" w:eastAsia="zh-CN"/>
        </w:rPr>
        <w:t xml:space="preserve"> tourisme et </w:t>
      </w:r>
      <w:r>
        <w:rPr>
          <w:rFonts w:eastAsia="SimSun"/>
          <w:b/>
          <w:bCs/>
          <w:lang w:val="fr-FR" w:eastAsia="zh-CN"/>
        </w:rPr>
        <w:t xml:space="preserve">de </w:t>
      </w:r>
      <w:r w:rsidRPr="00AC4E01">
        <w:rPr>
          <w:rFonts w:eastAsia="SimSun"/>
          <w:b/>
          <w:bCs/>
          <w:lang w:val="fr-FR" w:eastAsia="zh-CN"/>
        </w:rPr>
        <w:t xml:space="preserve">la prostitution, et de poursuivre les auteurs de tels actes, </w:t>
      </w:r>
      <w:r>
        <w:rPr>
          <w:rFonts w:eastAsia="SimSun"/>
          <w:b/>
          <w:bCs/>
          <w:lang w:val="fr-FR" w:eastAsia="zh-CN"/>
        </w:rPr>
        <w:t xml:space="preserve">et </w:t>
      </w:r>
      <w:r w:rsidRPr="00AC4E01">
        <w:rPr>
          <w:rFonts w:eastAsia="SimSun"/>
          <w:b/>
          <w:bCs/>
          <w:lang w:val="fr-FR" w:eastAsia="zh-CN"/>
        </w:rPr>
        <w:t>notamment</w:t>
      </w:r>
      <w:r w:rsidR="00A93E4F">
        <w:rPr>
          <w:rFonts w:eastAsia="SimSun"/>
          <w:b/>
          <w:bCs/>
          <w:lang w:val="fr-FR" w:eastAsia="zh-CN"/>
        </w:rPr>
        <w:t> </w:t>
      </w:r>
      <w:r w:rsidRPr="00AC4E01">
        <w:rPr>
          <w:rFonts w:eastAsia="SimSun"/>
          <w:b/>
          <w:bCs/>
          <w:lang w:val="fr-FR" w:eastAsia="zh-CN"/>
        </w:rPr>
        <w:t>:</w:t>
      </w:r>
    </w:p>
    <w:p w14:paraId="3CA96F7D" w14:textId="76B43CB3" w:rsidR="009576FC" w:rsidRPr="00AC4E01" w:rsidRDefault="009576FC" w:rsidP="00A93E4F">
      <w:pPr>
        <w:pStyle w:val="SingleTxtG"/>
        <w:ind w:left="1701"/>
        <w:rPr>
          <w:rFonts w:eastAsia="SimSun"/>
          <w:b/>
          <w:lang w:val="fr-FR" w:eastAsia="zh-CN"/>
        </w:rPr>
      </w:pPr>
      <w:r w:rsidRPr="00A93E4F">
        <w:rPr>
          <w:rFonts w:eastAsia="SimSun"/>
          <w:b/>
          <w:bCs/>
          <w:lang w:val="fr-FR" w:eastAsia="zh-CN"/>
        </w:rPr>
        <w:t>i)</w:t>
      </w:r>
      <w:r w:rsidRPr="00AC4E01">
        <w:rPr>
          <w:rFonts w:eastAsia="SimSun"/>
          <w:lang w:val="fr-FR" w:eastAsia="zh-CN"/>
        </w:rPr>
        <w:tab/>
      </w:r>
      <w:r w:rsidRPr="00D11236">
        <w:rPr>
          <w:rFonts w:eastAsia="SimSun"/>
          <w:b/>
          <w:bCs/>
          <w:lang w:val="fr-FR" w:eastAsia="zh-CN"/>
        </w:rPr>
        <w:t>D</w:t>
      </w:r>
      <w:r>
        <w:rPr>
          <w:rFonts w:eastAsia="SimSun"/>
          <w:b/>
          <w:bCs/>
          <w:lang w:val="fr-FR" w:eastAsia="zh-CN"/>
        </w:rPr>
        <w:t>’</w:t>
      </w:r>
      <w:r w:rsidRPr="00D11236">
        <w:rPr>
          <w:rFonts w:eastAsia="SimSun"/>
          <w:b/>
          <w:bCs/>
          <w:lang w:val="fr-FR" w:eastAsia="zh-CN"/>
        </w:rPr>
        <w:t>imposer au</w:t>
      </w:r>
      <w:r>
        <w:rPr>
          <w:rFonts w:eastAsia="SimSun"/>
          <w:lang w:val="fr-FR" w:eastAsia="zh-CN"/>
        </w:rPr>
        <w:t xml:space="preserve"> </w:t>
      </w:r>
      <w:r w:rsidRPr="00AC4E01">
        <w:rPr>
          <w:rFonts w:eastAsia="SimSun"/>
          <w:b/>
          <w:bCs/>
          <w:lang w:val="fr-FR" w:eastAsia="zh-CN"/>
        </w:rPr>
        <w:t xml:space="preserve">secteur des entreprises numériques </w:t>
      </w:r>
      <w:r>
        <w:rPr>
          <w:rFonts w:eastAsia="SimSun"/>
          <w:b/>
          <w:bCs/>
          <w:lang w:val="fr-FR" w:eastAsia="zh-CN"/>
        </w:rPr>
        <w:t>de</w:t>
      </w:r>
      <w:r w:rsidRPr="00AC4E01">
        <w:rPr>
          <w:rFonts w:eastAsia="SimSun"/>
          <w:b/>
          <w:bCs/>
          <w:lang w:val="fr-FR" w:eastAsia="zh-CN"/>
        </w:rPr>
        <w:t xml:space="preserve"> mettre en place des normes de protection de l</w:t>
      </w:r>
      <w:r>
        <w:rPr>
          <w:rFonts w:eastAsia="SimSun"/>
          <w:b/>
          <w:bCs/>
          <w:lang w:val="fr-FR" w:eastAsia="zh-CN"/>
        </w:rPr>
        <w:t>’</w:t>
      </w:r>
      <w:r w:rsidRPr="00AC4E01">
        <w:rPr>
          <w:rFonts w:eastAsia="SimSun"/>
          <w:b/>
          <w:bCs/>
          <w:lang w:val="fr-FR" w:eastAsia="zh-CN"/>
        </w:rPr>
        <w:t>enfance ;</w:t>
      </w:r>
    </w:p>
    <w:p w14:paraId="4B26D7D7" w14:textId="2473BA9F" w:rsidR="009576FC" w:rsidRPr="00A93E4F" w:rsidRDefault="009576FC" w:rsidP="009576FC">
      <w:pPr>
        <w:tabs>
          <w:tab w:val="left" w:pos="1701"/>
          <w:tab w:val="left" w:pos="2268"/>
        </w:tabs>
        <w:spacing w:after="120"/>
        <w:ind w:left="1701" w:right="1134"/>
        <w:jc w:val="both"/>
        <w:rPr>
          <w:rFonts w:eastAsia="SimSun"/>
          <w:b/>
          <w:bCs/>
          <w:lang w:val="fr-FR" w:eastAsia="zh-CN"/>
        </w:rPr>
      </w:pPr>
      <w:r w:rsidRPr="00A93E4F">
        <w:rPr>
          <w:rFonts w:eastAsia="SimSun"/>
          <w:b/>
          <w:bCs/>
          <w:lang w:val="fr-FR" w:eastAsia="zh-CN"/>
        </w:rPr>
        <w:lastRenderedPageBreak/>
        <w:t>ii)</w:t>
      </w:r>
      <w:r w:rsidRPr="00A93E4F">
        <w:rPr>
          <w:rFonts w:eastAsia="SimSun"/>
          <w:b/>
          <w:bCs/>
          <w:lang w:val="fr-FR" w:eastAsia="zh-CN"/>
        </w:rPr>
        <w:tab/>
        <w:t>De faire en sorte que les fournisseurs d’accès à Internet contrôlent, bloquent et suppriment rapidement les contenus montrant des violences sexuelles en ligne ;</w:t>
      </w:r>
    </w:p>
    <w:p w14:paraId="2C332D3F" w14:textId="0D9C6A49" w:rsidR="009576FC" w:rsidRPr="00A93E4F" w:rsidRDefault="009576FC" w:rsidP="009576FC">
      <w:pPr>
        <w:tabs>
          <w:tab w:val="left" w:pos="1701"/>
          <w:tab w:val="left" w:pos="2268"/>
        </w:tabs>
        <w:spacing w:after="120"/>
        <w:ind w:left="1701" w:right="1134"/>
        <w:jc w:val="both"/>
        <w:rPr>
          <w:rFonts w:eastAsia="SimSun"/>
          <w:b/>
          <w:bCs/>
          <w:lang w:val="fr-FR" w:eastAsia="zh-CN"/>
        </w:rPr>
      </w:pPr>
      <w:r w:rsidRPr="00A93E4F">
        <w:rPr>
          <w:rFonts w:eastAsia="SimSun"/>
          <w:b/>
          <w:bCs/>
          <w:lang w:val="fr-FR" w:eastAsia="zh-CN"/>
        </w:rPr>
        <w:t>iii)</w:t>
      </w:r>
      <w:r w:rsidRPr="00A93E4F">
        <w:rPr>
          <w:rFonts w:eastAsia="SimSun"/>
          <w:b/>
          <w:bCs/>
          <w:lang w:val="fr-FR" w:eastAsia="zh-CN"/>
        </w:rPr>
        <w:tab/>
        <w:t>D’engager les agences de voyage à signer le Code de conduite pour la protection des enfants contre l’exploitation sexuelle dans le tourisme et l’industrie des voyages</w:t>
      </w:r>
      <w:r w:rsidR="00A93E4F">
        <w:rPr>
          <w:rFonts w:eastAsia="SimSun"/>
          <w:b/>
          <w:bCs/>
          <w:lang w:val="fr-FR" w:eastAsia="zh-CN"/>
        </w:rPr>
        <w:t xml:space="preserve"> </w:t>
      </w:r>
      <w:r w:rsidRPr="00A93E4F">
        <w:rPr>
          <w:rFonts w:eastAsia="SimSun"/>
          <w:b/>
          <w:bCs/>
          <w:lang w:val="fr-FR" w:eastAsia="zh-CN"/>
        </w:rPr>
        <w:t>;</w:t>
      </w:r>
    </w:p>
    <w:p w14:paraId="425B9112" w14:textId="44A625B2" w:rsidR="009576FC" w:rsidRPr="00AC4E01" w:rsidRDefault="009576FC" w:rsidP="009576FC">
      <w:pPr>
        <w:tabs>
          <w:tab w:val="left" w:pos="1701"/>
          <w:tab w:val="left" w:pos="2268"/>
        </w:tabs>
        <w:spacing w:after="120"/>
        <w:ind w:left="1701" w:right="1134"/>
        <w:jc w:val="both"/>
        <w:rPr>
          <w:rFonts w:eastAsia="SimSun"/>
          <w:lang w:val="fr-FR" w:eastAsia="zh-CN"/>
        </w:rPr>
      </w:pPr>
      <w:r w:rsidRPr="00A93E4F">
        <w:rPr>
          <w:rFonts w:eastAsia="SimSun"/>
          <w:b/>
          <w:bCs/>
          <w:lang w:val="fr-FR" w:eastAsia="zh-CN"/>
        </w:rPr>
        <w:t>iv)</w:t>
      </w:r>
      <w:r w:rsidRPr="00A93E4F">
        <w:rPr>
          <w:rFonts w:eastAsia="SimSun"/>
          <w:b/>
          <w:bCs/>
          <w:lang w:val="fr-FR" w:eastAsia="zh-CN"/>
        </w:rPr>
        <w:tab/>
        <w:t>De mener, à l’intention des professionnels qui travaillent au service et au contact</w:t>
      </w:r>
      <w:r w:rsidRPr="00AC4E01">
        <w:rPr>
          <w:rFonts w:eastAsia="SimSun"/>
          <w:b/>
          <w:bCs/>
          <w:lang w:val="fr-FR" w:eastAsia="zh-CN"/>
        </w:rPr>
        <w:t xml:space="preserve"> </w:t>
      </w:r>
      <w:r>
        <w:rPr>
          <w:rFonts w:eastAsia="SimSun"/>
          <w:b/>
          <w:bCs/>
          <w:lang w:val="fr-FR" w:eastAsia="zh-CN"/>
        </w:rPr>
        <w:t>d’</w:t>
      </w:r>
      <w:r w:rsidRPr="00AC4E01">
        <w:rPr>
          <w:rFonts w:eastAsia="SimSun"/>
          <w:b/>
          <w:bCs/>
          <w:lang w:val="fr-FR" w:eastAsia="zh-CN"/>
        </w:rPr>
        <w:t>enfants, des parents et du grand public, des campagnes de sensibilisation à des fins de prévention ;</w:t>
      </w:r>
    </w:p>
    <w:p w14:paraId="4DD92872" w14:textId="18D8FAB4" w:rsidR="009576FC" w:rsidRPr="00AC4E01" w:rsidRDefault="009576FC" w:rsidP="00A93E4F">
      <w:pPr>
        <w:pStyle w:val="SingleTxtG"/>
        <w:ind w:firstLine="567"/>
        <w:rPr>
          <w:rFonts w:eastAsia="SimSun"/>
          <w:lang w:val="fr-FR" w:eastAsia="zh-CN"/>
        </w:rPr>
      </w:pPr>
      <w:r w:rsidRPr="00A93E4F">
        <w:rPr>
          <w:rFonts w:eastAsia="SimSun"/>
          <w:b/>
          <w:bCs/>
          <w:lang w:val="fr-FR" w:eastAsia="zh-CN"/>
        </w:rPr>
        <w:t>c)</w:t>
      </w:r>
      <w:r w:rsidRPr="00A93E4F">
        <w:rPr>
          <w:rFonts w:eastAsia="SimSun"/>
          <w:b/>
          <w:bCs/>
          <w:lang w:val="fr-FR" w:eastAsia="zh-CN"/>
        </w:rPr>
        <w:tab/>
      </w:r>
      <w:r w:rsidRPr="00AC4E01">
        <w:rPr>
          <w:rFonts w:eastAsia="SimSun"/>
          <w:b/>
          <w:bCs/>
          <w:lang w:val="fr-FR" w:eastAsia="zh-CN"/>
        </w:rPr>
        <w:t>De veiller à ce que tous les enfants victimes d</w:t>
      </w:r>
      <w:r>
        <w:rPr>
          <w:rFonts w:eastAsia="SimSun"/>
          <w:b/>
          <w:bCs/>
          <w:lang w:val="fr-FR" w:eastAsia="zh-CN"/>
        </w:rPr>
        <w:t>’</w:t>
      </w:r>
      <w:r w:rsidRPr="00AC4E01">
        <w:rPr>
          <w:rFonts w:eastAsia="SimSun"/>
          <w:b/>
          <w:bCs/>
          <w:lang w:val="fr-FR" w:eastAsia="zh-CN"/>
        </w:rPr>
        <w:t xml:space="preserve">infractions </w:t>
      </w:r>
      <w:r>
        <w:rPr>
          <w:rFonts w:eastAsia="SimSun"/>
          <w:b/>
          <w:bCs/>
          <w:lang w:val="fr-FR" w:eastAsia="zh-CN"/>
        </w:rPr>
        <w:t>visées par le</w:t>
      </w:r>
      <w:r w:rsidRPr="00AC4E01">
        <w:rPr>
          <w:rFonts w:eastAsia="SimSun"/>
          <w:b/>
          <w:bCs/>
          <w:lang w:val="fr-FR" w:eastAsia="zh-CN"/>
        </w:rPr>
        <w:t xml:space="preserve"> Protocole facultatif aient accès à des voies de recours, notamment en élargissant le champ d</w:t>
      </w:r>
      <w:r>
        <w:rPr>
          <w:rFonts w:eastAsia="SimSun"/>
          <w:b/>
          <w:bCs/>
          <w:lang w:val="fr-FR" w:eastAsia="zh-CN"/>
        </w:rPr>
        <w:t>’</w:t>
      </w:r>
      <w:r w:rsidRPr="00AC4E01">
        <w:rPr>
          <w:rFonts w:eastAsia="SimSun"/>
          <w:b/>
          <w:bCs/>
          <w:lang w:val="fr-FR" w:eastAsia="zh-CN"/>
        </w:rPr>
        <w:t>application de la loi sur la protection des victimes de sorte que les victimes qui n</w:t>
      </w:r>
      <w:r>
        <w:rPr>
          <w:rFonts w:eastAsia="SimSun"/>
          <w:b/>
          <w:bCs/>
          <w:lang w:val="fr-FR" w:eastAsia="zh-CN"/>
        </w:rPr>
        <w:t>’</w:t>
      </w:r>
      <w:r w:rsidRPr="00AC4E01">
        <w:rPr>
          <w:rFonts w:eastAsia="SimSun"/>
          <w:b/>
          <w:bCs/>
          <w:lang w:val="fr-FR" w:eastAsia="zh-CN"/>
        </w:rPr>
        <w:t xml:space="preserve">ont pas de </w:t>
      </w:r>
      <w:r>
        <w:rPr>
          <w:rFonts w:eastAsia="SimSun"/>
          <w:b/>
          <w:bCs/>
          <w:lang w:val="fr-FR" w:eastAsia="zh-CN"/>
        </w:rPr>
        <w:t>titre</w:t>
      </w:r>
      <w:r w:rsidRPr="00AC4E01">
        <w:rPr>
          <w:rFonts w:eastAsia="SimSun"/>
          <w:b/>
          <w:bCs/>
          <w:lang w:val="fr-FR" w:eastAsia="zh-CN"/>
        </w:rPr>
        <w:t xml:space="preserve"> de séjour </w:t>
      </w:r>
      <w:r w:rsidRPr="00750485">
        <w:rPr>
          <w:rFonts w:eastAsia="SimSun"/>
          <w:b/>
          <w:bCs/>
          <w:lang w:val="fr-FR" w:eastAsia="zh-CN"/>
        </w:rPr>
        <w:t>puissent demander</w:t>
      </w:r>
      <w:r w:rsidRPr="00AC4E01">
        <w:rPr>
          <w:rFonts w:eastAsia="SimSun"/>
          <w:b/>
          <w:bCs/>
          <w:lang w:val="fr-FR" w:eastAsia="zh-CN"/>
        </w:rPr>
        <w:t xml:space="preserve"> une indemnisation.</w:t>
      </w:r>
    </w:p>
    <w:p w14:paraId="1EF16D24" w14:textId="44F6BFED" w:rsidR="009576FC" w:rsidRPr="00AC4E01" w:rsidRDefault="009576FC" w:rsidP="009576FC">
      <w:pPr>
        <w:keepNext/>
        <w:keepLines/>
        <w:tabs>
          <w:tab w:val="right" w:pos="851"/>
        </w:tabs>
        <w:spacing w:before="240" w:after="120"/>
        <w:ind w:left="1134" w:right="1134" w:hanging="1134"/>
        <w:outlineLvl w:val="3"/>
        <w:rPr>
          <w:b/>
          <w:lang w:val="fr-FR"/>
        </w:rPr>
      </w:pPr>
      <w:r w:rsidRPr="00AC4E01">
        <w:rPr>
          <w:b/>
          <w:lang w:val="fr-FR"/>
        </w:rPr>
        <w:tab/>
      </w:r>
      <w:r w:rsidRPr="00AC4E01">
        <w:rPr>
          <w:b/>
          <w:lang w:val="fr-FR"/>
        </w:rPr>
        <w:tab/>
      </w:r>
      <w:r w:rsidRPr="00AC4E01">
        <w:rPr>
          <w:b/>
          <w:bCs/>
          <w:lang w:val="fr-FR"/>
        </w:rPr>
        <w:t>Protocole facultatif concernant l</w:t>
      </w:r>
      <w:r>
        <w:rPr>
          <w:b/>
          <w:bCs/>
          <w:lang w:val="fr-FR"/>
        </w:rPr>
        <w:t>’</w:t>
      </w:r>
      <w:r w:rsidRPr="00AC4E01">
        <w:rPr>
          <w:b/>
          <w:bCs/>
          <w:lang w:val="fr-FR"/>
        </w:rPr>
        <w:t>implication d</w:t>
      </w:r>
      <w:r>
        <w:rPr>
          <w:b/>
          <w:bCs/>
          <w:lang w:val="fr-FR"/>
        </w:rPr>
        <w:t>’</w:t>
      </w:r>
      <w:r w:rsidRPr="00AC4E01">
        <w:rPr>
          <w:b/>
          <w:bCs/>
          <w:lang w:val="fr-FR"/>
        </w:rPr>
        <w:t>enfants dans les conflits armés</w:t>
      </w:r>
    </w:p>
    <w:p w14:paraId="2EF4BBBF" w14:textId="393FBA76" w:rsidR="009576FC" w:rsidRPr="00AC4E01" w:rsidRDefault="009576FC" w:rsidP="009576FC">
      <w:pPr>
        <w:tabs>
          <w:tab w:val="left" w:pos="1701"/>
          <w:tab w:val="left" w:pos="2268"/>
        </w:tabs>
        <w:spacing w:after="120"/>
        <w:ind w:left="1134" w:right="1134"/>
        <w:jc w:val="both"/>
        <w:rPr>
          <w:rFonts w:eastAsia="SimSun"/>
          <w:lang w:val="fr-FR" w:eastAsia="zh-CN"/>
        </w:rPr>
      </w:pPr>
      <w:r w:rsidRPr="00AC4E01">
        <w:rPr>
          <w:rFonts w:eastAsia="SimSun"/>
          <w:lang w:val="fr-FR" w:eastAsia="zh-CN"/>
        </w:rPr>
        <w:t>44.</w:t>
      </w:r>
      <w:r w:rsidRPr="00AC4E01">
        <w:rPr>
          <w:rFonts w:eastAsia="SimSun"/>
          <w:lang w:val="fr-FR" w:eastAsia="zh-CN"/>
        </w:rPr>
        <w:tab/>
        <w:t>Le Comité prend note de la position de l</w:t>
      </w:r>
      <w:r>
        <w:rPr>
          <w:rFonts w:eastAsia="SimSun"/>
          <w:lang w:val="fr-FR" w:eastAsia="zh-CN"/>
        </w:rPr>
        <w:t>’</w:t>
      </w:r>
      <w:r w:rsidRPr="00AC4E01">
        <w:rPr>
          <w:rFonts w:eastAsia="SimSun"/>
          <w:lang w:val="fr-FR" w:eastAsia="zh-CN"/>
        </w:rPr>
        <w:t>État partie selon laquelle l</w:t>
      </w:r>
      <w:r>
        <w:rPr>
          <w:rFonts w:eastAsia="SimSun"/>
          <w:lang w:val="fr-FR" w:eastAsia="zh-CN"/>
        </w:rPr>
        <w:t>’</w:t>
      </w:r>
      <w:r w:rsidRPr="00AC4E01">
        <w:rPr>
          <w:rFonts w:eastAsia="SimSun"/>
          <w:lang w:val="fr-FR" w:eastAsia="zh-CN"/>
        </w:rPr>
        <w:t>engagement volontaire dans les forces armées à partir de 17</w:t>
      </w:r>
      <w:r w:rsidR="006974C0">
        <w:rPr>
          <w:rFonts w:eastAsia="SimSun"/>
          <w:lang w:val="fr-FR" w:eastAsia="zh-CN"/>
        </w:rPr>
        <w:t> </w:t>
      </w:r>
      <w:r w:rsidRPr="00AC4E01">
        <w:rPr>
          <w:rFonts w:eastAsia="SimSun"/>
          <w:lang w:val="fr-FR" w:eastAsia="zh-CN"/>
        </w:rPr>
        <w:t>ans est conforme aux obligations qui sont les siennes en droit international, mais il estime que les enfants ne devraient en aucun cas être enrôlés dans les forces armées. Il est préoccupé par :</w:t>
      </w:r>
    </w:p>
    <w:p w14:paraId="7DD354AA" w14:textId="3F3B2C6C" w:rsidR="009576FC" w:rsidRPr="00AC4E01" w:rsidRDefault="009576FC" w:rsidP="00A93E4F">
      <w:pPr>
        <w:pStyle w:val="SingleTxtG"/>
        <w:ind w:firstLine="567"/>
        <w:rPr>
          <w:rFonts w:eastAsia="SimSun"/>
          <w:lang w:val="fr-FR" w:eastAsia="zh-CN"/>
        </w:rPr>
      </w:pPr>
      <w:r w:rsidRPr="00AC4E01">
        <w:rPr>
          <w:rFonts w:eastAsia="SimSun"/>
          <w:lang w:val="fr-FR" w:eastAsia="zh-CN"/>
        </w:rPr>
        <w:t>a)</w:t>
      </w:r>
      <w:r w:rsidRPr="00AC4E01">
        <w:rPr>
          <w:rFonts w:eastAsia="SimSun"/>
          <w:lang w:val="fr-FR" w:eastAsia="zh-CN"/>
        </w:rPr>
        <w:tab/>
        <w:t>Les informations selon lesquelles des campagnes publicitaires et des campagnes de démarchage pour le service militaire sont menées à l</w:t>
      </w:r>
      <w:r>
        <w:rPr>
          <w:rFonts w:eastAsia="SimSun"/>
          <w:lang w:val="fr-FR" w:eastAsia="zh-CN"/>
        </w:rPr>
        <w:t>’</w:t>
      </w:r>
      <w:r w:rsidRPr="00AC4E01">
        <w:rPr>
          <w:rFonts w:eastAsia="SimSun"/>
          <w:lang w:val="fr-FR" w:eastAsia="zh-CN"/>
        </w:rPr>
        <w:t>intention des enfants, y</w:t>
      </w:r>
      <w:r w:rsidR="006974C0">
        <w:rPr>
          <w:rFonts w:eastAsia="SimSun"/>
          <w:lang w:val="fr-FR" w:eastAsia="zh-CN"/>
        </w:rPr>
        <w:t> </w:t>
      </w:r>
      <w:r w:rsidRPr="00AC4E01">
        <w:rPr>
          <w:rFonts w:eastAsia="SimSun"/>
          <w:lang w:val="fr-FR" w:eastAsia="zh-CN"/>
        </w:rPr>
        <w:t>compris dans les écoles ;</w:t>
      </w:r>
    </w:p>
    <w:p w14:paraId="2F640C7F" w14:textId="77777777" w:rsidR="009576FC" w:rsidRPr="00AC4E01" w:rsidRDefault="009576FC" w:rsidP="00A93E4F">
      <w:pPr>
        <w:pStyle w:val="SingleTxtG"/>
        <w:ind w:firstLine="567"/>
        <w:rPr>
          <w:rFonts w:eastAsia="SimSun"/>
          <w:lang w:val="fr-FR" w:eastAsia="zh-CN"/>
        </w:rPr>
      </w:pPr>
      <w:r w:rsidRPr="00AC4E01">
        <w:rPr>
          <w:rFonts w:eastAsia="SimSun"/>
          <w:lang w:val="fr-FR" w:eastAsia="zh-CN"/>
        </w:rPr>
        <w:t>b)</w:t>
      </w:r>
      <w:r w:rsidRPr="00AC4E01">
        <w:rPr>
          <w:rFonts w:eastAsia="SimSun"/>
          <w:lang w:val="fr-FR" w:eastAsia="zh-CN"/>
        </w:rPr>
        <w:tab/>
        <w:t xml:space="preserve">Les informations </w:t>
      </w:r>
      <w:r>
        <w:rPr>
          <w:rFonts w:eastAsia="SimSun"/>
          <w:lang w:val="fr-FR" w:eastAsia="zh-CN"/>
        </w:rPr>
        <w:t xml:space="preserve">selon lesquelles des enfants seraient victimes de </w:t>
      </w:r>
      <w:r w:rsidRPr="00AC4E01">
        <w:rPr>
          <w:rFonts w:eastAsia="SimSun"/>
          <w:lang w:val="fr-FR" w:eastAsia="zh-CN"/>
        </w:rPr>
        <w:t>violences sexuelles et de harcèlement dans les forces armées ;</w:t>
      </w:r>
    </w:p>
    <w:p w14:paraId="2C403F07" w14:textId="76702E11" w:rsidR="009576FC" w:rsidRPr="00AC4E01" w:rsidRDefault="009576FC" w:rsidP="00A93E4F">
      <w:pPr>
        <w:pStyle w:val="SingleTxtG"/>
        <w:ind w:firstLine="567"/>
        <w:rPr>
          <w:rFonts w:eastAsia="SimSun"/>
          <w:lang w:val="fr-FR" w:eastAsia="zh-CN"/>
        </w:rPr>
      </w:pPr>
      <w:r w:rsidRPr="00AC4E01">
        <w:rPr>
          <w:rFonts w:eastAsia="SimSun"/>
          <w:lang w:val="fr-FR" w:eastAsia="zh-CN"/>
        </w:rPr>
        <w:t>c)</w:t>
      </w:r>
      <w:r w:rsidRPr="00AC4E01">
        <w:rPr>
          <w:rFonts w:eastAsia="SimSun"/>
          <w:lang w:val="fr-FR" w:eastAsia="zh-CN"/>
        </w:rPr>
        <w:tab/>
        <w:t>Le fait que les services de l</w:t>
      </w:r>
      <w:r>
        <w:rPr>
          <w:rFonts w:eastAsia="SimSun"/>
          <w:lang w:val="fr-FR" w:eastAsia="zh-CN"/>
        </w:rPr>
        <w:t>’</w:t>
      </w:r>
      <w:r w:rsidRPr="00AC4E01">
        <w:rPr>
          <w:rFonts w:eastAsia="SimSun"/>
          <w:lang w:val="fr-FR" w:eastAsia="zh-CN"/>
        </w:rPr>
        <w:t xml:space="preserve">immigration ne considèrent pas systématiquement la participation effective </w:t>
      </w:r>
      <w:r>
        <w:rPr>
          <w:rFonts w:eastAsia="SimSun"/>
          <w:lang w:val="fr-FR" w:eastAsia="zh-CN"/>
        </w:rPr>
        <w:t xml:space="preserve">d’un enfant à des combats </w:t>
      </w:r>
      <w:r w:rsidRPr="00AC4E01">
        <w:rPr>
          <w:rFonts w:eastAsia="SimSun"/>
          <w:lang w:val="fr-FR" w:eastAsia="zh-CN"/>
        </w:rPr>
        <w:t xml:space="preserve">ou </w:t>
      </w:r>
      <w:r>
        <w:rPr>
          <w:rFonts w:eastAsia="SimSun"/>
          <w:lang w:val="fr-FR" w:eastAsia="zh-CN"/>
        </w:rPr>
        <w:t>la menace d’une telle</w:t>
      </w:r>
      <w:r w:rsidRPr="00AC4E01">
        <w:rPr>
          <w:rFonts w:eastAsia="SimSun"/>
          <w:lang w:val="fr-FR" w:eastAsia="zh-CN"/>
        </w:rPr>
        <w:t xml:space="preserve"> participation comme une forme de persécution </w:t>
      </w:r>
      <w:r>
        <w:rPr>
          <w:rFonts w:eastAsia="SimSun"/>
          <w:lang w:val="fr-FR" w:eastAsia="zh-CN"/>
        </w:rPr>
        <w:t>visant</w:t>
      </w:r>
      <w:r w:rsidRPr="00AC4E01">
        <w:rPr>
          <w:rFonts w:eastAsia="SimSun"/>
          <w:lang w:val="fr-FR" w:eastAsia="zh-CN"/>
        </w:rPr>
        <w:t xml:space="preserve"> spécialement les enfants dans les décisions de protection ;</w:t>
      </w:r>
    </w:p>
    <w:p w14:paraId="37BEAFAF" w14:textId="5F3784B5" w:rsidR="009576FC" w:rsidRPr="00AC4E01" w:rsidRDefault="009576FC" w:rsidP="00A93E4F">
      <w:pPr>
        <w:pStyle w:val="SingleTxtG"/>
        <w:ind w:firstLine="567"/>
        <w:rPr>
          <w:rFonts w:eastAsia="SimSun"/>
          <w:lang w:val="fr-FR" w:eastAsia="zh-CN"/>
        </w:rPr>
      </w:pPr>
      <w:r w:rsidRPr="00AC4E01">
        <w:rPr>
          <w:rFonts w:eastAsia="SimSun"/>
          <w:lang w:val="fr-FR" w:eastAsia="zh-CN"/>
        </w:rPr>
        <w:t>d)</w:t>
      </w:r>
      <w:r w:rsidRPr="00AC4E01">
        <w:rPr>
          <w:rFonts w:eastAsia="SimSun"/>
          <w:lang w:val="fr-FR" w:eastAsia="zh-CN"/>
        </w:rPr>
        <w:tab/>
        <w:t>Les informations selon lesquelles des enfants ressortissants de l</w:t>
      </w:r>
      <w:r>
        <w:rPr>
          <w:rFonts w:eastAsia="SimSun"/>
          <w:lang w:val="fr-FR" w:eastAsia="zh-CN"/>
        </w:rPr>
        <w:t>’</w:t>
      </w:r>
      <w:r w:rsidRPr="00AC4E01">
        <w:rPr>
          <w:rFonts w:eastAsia="SimSun"/>
          <w:lang w:val="fr-FR" w:eastAsia="zh-CN"/>
        </w:rPr>
        <w:t>État partie vivent dans des camps en République arabe syrienne ;</w:t>
      </w:r>
    </w:p>
    <w:p w14:paraId="296692A2" w14:textId="6FE3BF04" w:rsidR="009576FC" w:rsidRPr="00AC4E01" w:rsidRDefault="009576FC" w:rsidP="00A93E4F">
      <w:pPr>
        <w:pStyle w:val="SingleTxtG"/>
        <w:ind w:firstLine="567"/>
        <w:rPr>
          <w:rFonts w:eastAsia="SimSun"/>
          <w:lang w:val="fr-FR" w:eastAsia="zh-CN"/>
        </w:rPr>
      </w:pPr>
      <w:r w:rsidRPr="00AC4E01">
        <w:rPr>
          <w:rFonts w:eastAsia="SimSun"/>
          <w:lang w:val="fr-FR" w:eastAsia="zh-CN"/>
        </w:rPr>
        <w:t>e)</w:t>
      </w:r>
      <w:r w:rsidRPr="00AC4E01">
        <w:rPr>
          <w:rFonts w:eastAsia="SimSun"/>
          <w:lang w:val="fr-FR" w:eastAsia="zh-CN"/>
        </w:rPr>
        <w:tab/>
        <w:t>L</w:t>
      </w:r>
      <w:r>
        <w:rPr>
          <w:rFonts w:eastAsia="SimSun"/>
          <w:lang w:val="fr-FR" w:eastAsia="zh-CN"/>
        </w:rPr>
        <w:t>’</w:t>
      </w:r>
      <w:r w:rsidRPr="00AC4E01">
        <w:rPr>
          <w:rFonts w:eastAsia="SimSun"/>
          <w:lang w:val="fr-FR" w:eastAsia="zh-CN"/>
        </w:rPr>
        <w:t>insuffisance des informations sur les mesures prises pour identifier les enfants demandeurs d</w:t>
      </w:r>
      <w:r>
        <w:rPr>
          <w:rFonts w:eastAsia="SimSun"/>
          <w:lang w:val="fr-FR" w:eastAsia="zh-CN"/>
        </w:rPr>
        <w:t>’</w:t>
      </w:r>
      <w:r w:rsidRPr="00AC4E01">
        <w:rPr>
          <w:rFonts w:eastAsia="SimSun"/>
          <w:lang w:val="fr-FR" w:eastAsia="zh-CN"/>
        </w:rPr>
        <w:t>asile ou réfugiés susceptibles d</w:t>
      </w:r>
      <w:r>
        <w:rPr>
          <w:rFonts w:eastAsia="SimSun"/>
          <w:lang w:val="fr-FR" w:eastAsia="zh-CN"/>
        </w:rPr>
        <w:t>’</w:t>
      </w:r>
      <w:r w:rsidRPr="00AC4E01">
        <w:rPr>
          <w:rFonts w:eastAsia="SimSun"/>
          <w:lang w:val="fr-FR" w:eastAsia="zh-CN"/>
        </w:rPr>
        <w:t>avoir été impliqués dans des conflits armés à l</w:t>
      </w:r>
      <w:r>
        <w:rPr>
          <w:rFonts w:eastAsia="SimSun"/>
          <w:lang w:val="fr-FR" w:eastAsia="zh-CN"/>
        </w:rPr>
        <w:t>’</w:t>
      </w:r>
      <w:r w:rsidRPr="00AC4E01">
        <w:rPr>
          <w:rFonts w:eastAsia="SimSun"/>
          <w:lang w:val="fr-FR" w:eastAsia="zh-CN"/>
        </w:rPr>
        <w:t xml:space="preserve">étranger, et pour que des armes ne soient pas exportées vers des pays où </w:t>
      </w:r>
      <w:r>
        <w:rPr>
          <w:rFonts w:eastAsia="SimSun"/>
          <w:lang w:val="fr-FR" w:eastAsia="zh-CN"/>
        </w:rPr>
        <w:t>il est notoire</w:t>
      </w:r>
      <w:r w:rsidRPr="00AC4E01">
        <w:rPr>
          <w:rFonts w:eastAsia="SimSun"/>
          <w:lang w:val="fr-FR" w:eastAsia="zh-CN"/>
        </w:rPr>
        <w:t xml:space="preserve"> que des enfants sont </w:t>
      </w:r>
      <w:r>
        <w:rPr>
          <w:rFonts w:eastAsia="SimSun"/>
          <w:lang w:val="fr-FR" w:eastAsia="zh-CN"/>
        </w:rPr>
        <w:t>enrôlés</w:t>
      </w:r>
      <w:r w:rsidRPr="00AC4E01">
        <w:rPr>
          <w:rFonts w:eastAsia="SimSun"/>
          <w:lang w:val="fr-FR" w:eastAsia="zh-CN"/>
        </w:rPr>
        <w:t xml:space="preserve"> ou utilisés dans des hostilités.</w:t>
      </w:r>
    </w:p>
    <w:p w14:paraId="5F142452" w14:textId="1669489C" w:rsidR="009576FC" w:rsidRPr="00AC4E01" w:rsidRDefault="009576FC" w:rsidP="009576FC">
      <w:pPr>
        <w:tabs>
          <w:tab w:val="left" w:pos="1701"/>
          <w:tab w:val="left" w:pos="2268"/>
        </w:tabs>
        <w:spacing w:after="120"/>
        <w:ind w:left="1134" w:right="1134"/>
        <w:jc w:val="both"/>
        <w:rPr>
          <w:rFonts w:eastAsia="SimSun"/>
          <w:b/>
          <w:bCs/>
          <w:lang w:val="fr-FR" w:eastAsia="zh-CN"/>
        </w:rPr>
      </w:pPr>
      <w:r w:rsidRPr="00A93E4F">
        <w:rPr>
          <w:rFonts w:eastAsia="SimSun"/>
          <w:lang w:val="fr-FR" w:eastAsia="zh-CN"/>
        </w:rPr>
        <w:t>45.</w:t>
      </w:r>
      <w:r w:rsidRPr="00AC4E01">
        <w:rPr>
          <w:rFonts w:eastAsia="SimSun"/>
          <w:b/>
          <w:bCs/>
          <w:lang w:val="fr-FR" w:eastAsia="zh-CN"/>
        </w:rPr>
        <w:tab/>
        <w:t>Rappelant ses précédentes recommandations</w:t>
      </w:r>
      <w:r w:rsidRPr="009576FC">
        <w:rPr>
          <w:rStyle w:val="Appelnotedebasdep"/>
        </w:rPr>
        <w:footnoteReference w:id="9"/>
      </w:r>
      <w:r w:rsidRPr="00AC4E01">
        <w:rPr>
          <w:rFonts w:eastAsia="SimSun"/>
          <w:b/>
          <w:bCs/>
          <w:lang w:val="fr-FR" w:eastAsia="zh-CN"/>
        </w:rPr>
        <w:t>, le Comité demande instamment à l</w:t>
      </w:r>
      <w:r>
        <w:rPr>
          <w:rFonts w:eastAsia="SimSun"/>
          <w:b/>
          <w:bCs/>
          <w:lang w:val="fr-FR" w:eastAsia="zh-CN"/>
        </w:rPr>
        <w:t>’</w:t>
      </w:r>
      <w:r w:rsidRPr="00AC4E01">
        <w:rPr>
          <w:rFonts w:eastAsia="SimSun"/>
          <w:b/>
          <w:bCs/>
          <w:lang w:val="fr-FR" w:eastAsia="zh-CN"/>
        </w:rPr>
        <w:t>État partie de reconsidérer sa position concernant l</w:t>
      </w:r>
      <w:r>
        <w:rPr>
          <w:rFonts w:eastAsia="SimSun"/>
          <w:b/>
          <w:bCs/>
          <w:lang w:val="fr-FR" w:eastAsia="zh-CN"/>
        </w:rPr>
        <w:t>’</w:t>
      </w:r>
      <w:r w:rsidRPr="00AC4E01">
        <w:rPr>
          <w:rFonts w:eastAsia="SimSun"/>
          <w:b/>
          <w:bCs/>
          <w:lang w:val="fr-FR" w:eastAsia="zh-CN"/>
        </w:rPr>
        <w:t>âge minimum de l</w:t>
      </w:r>
      <w:r>
        <w:rPr>
          <w:rFonts w:eastAsia="SimSun"/>
          <w:b/>
          <w:bCs/>
          <w:lang w:val="fr-FR" w:eastAsia="zh-CN"/>
        </w:rPr>
        <w:t>’</w:t>
      </w:r>
      <w:r w:rsidRPr="00AC4E01">
        <w:rPr>
          <w:rFonts w:eastAsia="SimSun"/>
          <w:b/>
          <w:bCs/>
          <w:lang w:val="fr-FR" w:eastAsia="zh-CN"/>
        </w:rPr>
        <w:t>engagement volontaire dans les forces armées et lui recommande :</w:t>
      </w:r>
    </w:p>
    <w:p w14:paraId="22C244F8" w14:textId="6D1FD8DB" w:rsidR="009576FC" w:rsidRPr="00AC4E01" w:rsidRDefault="009576FC" w:rsidP="00A93E4F">
      <w:pPr>
        <w:pStyle w:val="SingleTxtG"/>
        <w:ind w:firstLine="567"/>
        <w:rPr>
          <w:rFonts w:eastAsia="SimSun"/>
          <w:b/>
          <w:bCs/>
          <w:lang w:val="fr-FR" w:eastAsia="zh-CN"/>
        </w:rPr>
      </w:pPr>
      <w:r w:rsidRPr="00AC4E01">
        <w:rPr>
          <w:rFonts w:eastAsia="SimSun"/>
          <w:b/>
          <w:bCs/>
          <w:lang w:val="fr-FR" w:eastAsia="zh-CN"/>
        </w:rPr>
        <w:t>a)</w:t>
      </w:r>
      <w:r w:rsidRPr="00AC4E01">
        <w:rPr>
          <w:rFonts w:eastAsia="SimSun"/>
          <w:b/>
          <w:bCs/>
          <w:lang w:val="fr-FR" w:eastAsia="zh-CN"/>
        </w:rPr>
        <w:tab/>
        <w:t>De relever l</w:t>
      </w:r>
      <w:r>
        <w:rPr>
          <w:rFonts w:eastAsia="SimSun"/>
          <w:b/>
          <w:bCs/>
          <w:lang w:val="fr-FR" w:eastAsia="zh-CN"/>
        </w:rPr>
        <w:t>’</w:t>
      </w:r>
      <w:r w:rsidRPr="00AC4E01">
        <w:rPr>
          <w:rFonts w:eastAsia="SimSun"/>
          <w:b/>
          <w:bCs/>
          <w:lang w:val="fr-FR" w:eastAsia="zh-CN"/>
        </w:rPr>
        <w:t>âge minimum de l</w:t>
      </w:r>
      <w:r>
        <w:rPr>
          <w:rFonts w:eastAsia="SimSun"/>
          <w:b/>
          <w:bCs/>
          <w:lang w:val="fr-FR" w:eastAsia="zh-CN"/>
        </w:rPr>
        <w:t>’</w:t>
      </w:r>
      <w:r w:rsidRPr="00AC4E01">
        <w:rPr>
          <w:rFonts w:eastAsia="SimSun"/>
          <w:b/>
          <w:bCs/>
          <w:lang w:val="fr-FR" w:eastAsia="zh-CN"/>
        </w:rPr>
        <w:t>engagement volontaire dans les forces armées à 18</w:t>
      </w:r>
      <w:r w:rsidR="006974C0">
        <w:rPr>
          <w:rFonts w:eastAsia="SimSun"/>
          <w:b/>
          <w:bCs/>
          <w:lang w:val="fr-FR" w:eastAsia="zh-CN"/>
        </w:rPr>
        <w:t> </w:t>
      </w:r>
      <w:r w:rsidRPr="00AC4E01">
        <w:rPr>
          <w:rFonts w:eastAsia="SimSun"/>
          <w:b/>
          <w:bCs/>
          <w:lang w:val="fr-FR" w:eastAsia="zh-CN"/>
        </w:rPr>
        <w:t>ans et d</w:t>
      </w:r>
      <w:r>
        <w:rPr>
          <w:rFonts w:eastAsia="SimSun"/>
          <w:b/>
          <w:bCs/>
          <w:lang w:val="fr-FR" w:eastAsia="zh-CN"/>
        </w:rPr>
        <w:t>’</w:t>
      </w:r>
      <w:r w:rsidRPr="00AC4E01">
        <w:rPr>
          <w:rFonts w:eastAsia="SimSun"/>
          <w:b/>
          <w:bCs/>
          <w:lang w:val="fr-FR" w:eastAsia="zh-CN"/>
        </w:rPr>
        <w:t>interdire toute forme de publicité et de démarchage pour le service militaire à l</w:t>
      </w:r>
      <w:r>
        <w:rPr>
          <w:rFonts w:eastAsia="SimSun"/>
          <w:b/>
          <w:bCs/>
          <w:lang w:val="fr-FR" w:eastAsia="zh-CN"/>
        </w:rPr>
        <w:t>’</w:t>
      </w:r>
      <w:r w:rsidRPr="00AC4E01">
        <w:rPr>
          <w:rFonts w:eastAsia="SimSun"/>
          <w:b/>
          <w:bCs/>
          <w:lang w:val="fr-FR" w:eastAsia="zh-CN"/>
        </w:rPr>
        <w:t>intention des enfants, en particulier dans les écoles ;</w:t>
      </w:r>
    </w:p>
    <w:p w14:paraId="11DC9625" w14:textId="789CAC3E" w:rsidR="009576FC" w:rsidRPr="00AC4E01" w:rsidRDefault="009576FC" w:rsidP="00A93E4F">
      <w:pPr>
        <w:pStyle w:val="SingleTxtG"/>
        <w:ind w:firstLine="567"/>
        <w:rPr>
          <w:rFonts w:eastAsia="SimSun"/>
          <w:b/>
          <w:bCs/>
          <w:lang w:val="fr-FR" w:eastAsia="zh-CN"/>
        </w:rPr>
      </w:pPr>
      <w:r w:rsidRPr="00AC4E01">
        <w:rPr>
          <w:rFonts w:eastAsia="SimSun"/>
          <w:b/>
          <w:bCs/>
          <w:lang w:val="fr-FR" w:eastAsia="zh-CN"/>
        </w:rPr>
        <w:t>b)</w:t>
      </w:r>
      <w:r w:rsidRPr="00AC4E01">
        <w:rPr>
          <w:rFonts w:eastAsia="SimSun"/>
          <w:b/>
          <w:bCs/>
          <w:lang w:val="fr-FR" w:eastAsia="zh-CN"/>
        </w:rPr>
        <w:tab/>
        <w:t>D</w:t>
      </w:r>
      <w:r>
        <w:rPr>
          <w:rFonts w:eastAsia="SimSun"/>
          <w:b/>
          <w:bCs/>
          <w:lang w:val="fr-FR" w:eastAsia="zh-CN"/>
        </w:rPr>
        <w:t>’</w:t>
      </w:r>
      <w:r w:rsidRPr="00AC4E01">
        <w:rPr>
          <w:rFonts w:eastAsia="SimSun"/>
          <w:b/>
          <w:bCs/>
          <w:lang w:val="fr-FR" w:eastAsia="zh-CN"/>
        </w:rPr>
        <w:t>enquêter rapidement sur tout signalement de violence sexuelle, de harcèlement sexuel ou d</w:t>
      </w:r>
      <w:r>
        <w:rPr>
          <w:rFonts w:eastAsia="SimSun"/>
          <w:b/>
          <w:bCs/>
          <w:lang w:val="fr-FR" w:eastAsia="zh-CN"/>
        </w:rPr>
        <w:t>’</w:t>
      </w:r>
      <w:r w:rsidRPr="00AC4E01">
        <w:rPr>
          <w:rFonts w:eastAsia="SimSun"/>
          <w:b/>
          <w:bCs/>
          <w:lang w:val="fr-FR" w:eastAsia="zh-CN"/>
        </w:rPr>
        <w:t>autres formes de violence à l</w:t>
      </w:r>
      <w:r>
        <w:rPr>
          <w:rFonts w:eastAsia="SimSun"/>
          <w:b/>
          <w:bCs/>
          <w:lang w:val="fr-FR" w:eastAsia="zh-CN"/>
        </w:rPr>
        <w:t>’</w:t>
      </w:r>
      <w:r w:rsidRPr="00AC4E01">
        <w:rPr>
          <w:rFonts w:eastAsia="SimSun"/>
          <w:b/>
          <w:bCs/>
          <w:lang w:val="fr-FR" w:eastAsia="zh-CN"/>
        </w:rPr>
        <w:t>égard d</w:t>
      </w:r>
      <w:r>
        <w:rPr>
          <w:rFonts w:eastAsia="SimSun"/>
          <w:b/>
          <w:bCs/>
          <w:lang w:val="fr-FR" w:eastAsia="zh-CN"/>
        </w:rPr>
        <w:t>’</w:t>
      </w:r>
      <w:r w:rsidRPr="00AC4E01">
        <w:rPr>
          <w:rFonts w:eastAsia="SimSun"/>
          <w:b/>
          <w:bCs/>
          <w:lang w:val="fr-FR" w:eastAsia="zh-CN"/>
        </w:rPr>
        <w:t xml:space="preserve">enfants dans les forces armées, et de faire en sorte que les auteurs de </w:t>
      </w:r>
      <w:r>
        <w:rPr>
          <w:rFonts w:eastAsia="SimSun"/>
          <w:b/>
          <w:bCs/>
          <w:lang w:val="fr-FR" w:eastAsia="zh-CN"/>
        </w:rPr>
        <w:t>tels</w:t>
      </w:r>
      <w:r w:rsidRPr="00AC4E01">
        <w:rPr>
          <w:rFonts w:eastAsia="SimSun"/>
          <w:b/>
          <w:bCs/>
          <w:lang w:val="fr-FR" w:eastAsia="zh-CN"/>
        </w:rPr>
        <w:t xml:space="preserve"> actes soient poursuivis et sanctionnés ;</w:t>
      </w:r>
    </w:p>
    <w:p w14:paraId="5678B7D2" w14:textId="7B7E5403" w:rsidR="009576FC" w:rsidRPr="00AC4E01" w:rsidRDefault="009576FC" w:rsidP="00A93E4F">
      <w:pPr>
        <w:pStyle w:val="SingleTxtG"/>
        <w:ind w:firstLine="567"/>
        <w:rPr>
          <w:rFonts w:eastAsia="SimSun"/>
          <w:b/>
          <w:bCs/>
          <w:lang w:val="fr-FR" w:eastAsia="zh-CN"/>
        </w:rPr>
      </w:pPr>
      <w:r w:rsidRPr="00AC4E01">
        <w:rPr>
          <w:rFonts w:eastAsia="SimSun"/>
          <w:b/>
          <w:bCs/>
          <w:lang w:val="fr-FR" w:eastAsia="zh-CN"/>
        </w:rPr>
        <w:t>c)</w:t>
      </w:r>
      <w:r w:rsidRPr="00AC4E01">
        <w:rPr>
          <w:rFonts w:eastAsia="SimSun"/>
          <w:b/>
          <w:bCs/>
          <w:lang w:val="fr-FR" w:eastAsia="zh-CN"/>
        </w:rPr>
        <w:tab/>
        <w:t>De veiller à ce que tous les enfants demandeurs d</w:t>
      </w:r>
      <w:r>
        <w:rPr>
          <w:rFonts w:eastAsia="SimSun"/>
          <w:b/>
          <w:bCs/>
          <w:lang w:val="fr-FR" w:eastAsia="zh-CN"/>
        </w:rPr>
        <w:t>’</w:t>
      </w:r>
      <w:r w:rsidRPr="00AC4E01">
        <w:rPr>
          <w:rFonts w:eastAsia="SimSun"/>
          <w:b/>
          <w:bCs/>
          <w:lang w:val="fr-FR" w:eastAsia="zh-CN"/>
        </w:rPr>
        <w:t>asile, réfugiés ou migrants susceptibles d</w:t>
      </w:r>
      <w:r>
        <w:rPr>
          <w:rFonts w:eastAsia="SimSun"/>
          <w:b/>
          <w:bCs/>
          <w:lang w:val="fr-FR" w:eastAsia="zh-CN"/>
        </w:rPr>
        <w:t>’</w:t>
      </w:r>
      <w:r w:rsidRPr="00AC4E01">
        <w:rPr>
          <w:rFonts w:eastAsia="SimSun"/>
          <w:b/>
          <w:bCs/>
          <w:lang w:val="fr-FR" w:eastAsia="zh-CN"/>
        </w:rPr>
        <w:t>avoir été impliqués dans des conflits armés à l</w:t>
      </w:r>
      <w:r>
        <w:rPr>
          <w:rFonts w:eastAsia="SimSun"/>
          <w:b/>
          <w:bCs/>
          <w:lang w:val="fr-FR" w:eastAsia="zh-CN"/>
        </w:rPr>
        <w:t>’</w:t>
      </w:r>
      <w:r w:rsidRPr="00AC4E01">
        <w:rPr>
          <w:rFonts w:eastAsia="SimSun"/>
          <w:b/>
          <w:bCs/>
          <w:lang w:val="fr-FR" w:eastAsia="zh-CN"/>
        </w:rPr>
        <w:t>étranger soient rapidement identifiés, grâce à une procédure efficace, à leur entrée dans l</w:t>
      </w:r>
      <w:r>
        <w:rPr>
          <w:rFonts w:eastAsia="SimSun"/>
          <w:b/>
          <w:bCs/>
          <w:lang w:val="fr-FR" w:eastAsia="zh-CN"/>
        </w:rPr>
        <w:t>’</w:t>
      </w:r>
      <w:r w:rsidRPr="00AC4E01">
        <w:rPr>
          <w:rFonts w:eastAsia="SimSun"/>
          <w:b/>
          <w:bCs/>
          <w:lang w:val="fr-FR" w:eastAsia="zh-CN"/>
        </w:rPr>
        <w:t xml:space="preserve">État partie, et de faire en sorte que tous les cas de participation effective ou de </w:t>
      </w:r>
      <w:r>
        <w:rPr>
          <w:rFonts w:eastAsia="SimSun"/>
          <w:b/>
          <w:bCs/>
          <w:lang w:val="fr-FR" w:eastAsia="zh-CN"/>
        </w:rPr>
        <w:t>menace</w:t>
      </w:r>
      <w:r w:rsidRPr="00AC4E01">
        <w:rPr>
          <w:rFonts w:eastAsia="SimSun"/>
          <w:b/>
          <w:bCs/>
          <w:lang w:val="fr-FR" w:eastAsia="zh-CN"/>
        </w:rPr>
        <w:t xml:space="preserve"> de participation à des conflits armés soient considérés comme une forme de persécution qui vise spécialement les enfants ;</w:t>
      </w:r>
    </w:p>
    <w:p w14:paraId="7030DDD6" w14:textId="0BC033B9" w:rsidR="009576FC" w:rsidRPr="00AC4E01" w:rsidRDefault="009576FC" w:rsidP="00A93E4F">
      <w:pPr>
        <w:pStyle w:val="SingleTxtG"/>
        <w:ind w:firstLine="567"/>
        <w:rPr>
          <w:rFonts w:eastAsia="SimSun"/>
          <w:b/>
          <w:bCs/>
          <w:lang w:val="fr-FR" w:eastAsia="zh-CN"/>
        </w:rPr>
      </w:pPr>
      <w:r w:rsidRPr="00AC4E01">
        <w:rPr>
          <w:rFonts w:eastAsia="SimSun"/>
          <w:b/>
          <w:bCs/>
          <w:lang w:val="fr-FR" w:eastAsia="zh-CN"/>
        </w:rPr>
        <w:lastRenderedPageBreak/>
        <w:t>d)</w:t>
      </w:r>
      <w:r w:rsidRPr="00AC4E01">
        <w:rPr>
          <w:rFonts w:eastAsia="SimSun"/>
          <w:b/>
          <w:bCs/>
          <w:lang w:val="fr-FR" w:eastAsia="zh-CN"/>
        </w:rPr>
        <w:tab/>
        <w:t>D</w:t>
      </w:r>
      <w:r>
        <w:rPr>
          <w:rFonts w:eastAsia="SimSun"/>
          <w:b/>
          <w:bCs/>
          <w:lang w:val="fr-FR" w:eastAsia="zh-CN"/>
        </w:rPr>
        <w:t>’</w:t>
      </w:r>
      <w:r w:rsidRPr="00AC4E01">
        <w:rPr>
          <w:rFonts w:eastAsia="SimSun"/>
          <w:b/>
          <w:bCs/>
          <w:lang w:val="fr-FR" w:eastAsia="zh-CN"/>
        </w:rPr>
        <w:t>envisager d</w:t>
      </w:r>
      <w:r>
        <w:rPr>
          <w:rFonts w:eastAsia="SimSun"/>
          <w:b/>
          <w:bCs/>
          <w:lang w:val="fr-FR" w:eastAsia="zh-CN"/>
        </w:rPr>
        <w:t>’</w:t>
      </w:r>
      <w:r w:rsidRPr="00AC4E01">
        <w:rPr>
          <w:rFonts w:eastAsia="SimSun"/>
          <w:b/>
          <w:bCs/>
          <w:lang w:val="fr-FR" w:eastAsia="zh-CN"/>
        </w:rPr>
        <w:t>étendre sa compétence extraterritoriale aux infractions relatives à l</w:t>
      </w:r>
      <w:r>
        <w:rPr>
          <w:rFonts w:eastAsia="SimSun"/>
          <w:b/>
          <w:bCs/>
          <w:lang w:val="fr-FR" w:eastAsia="zh-CN"/>
        </w:rPr>
        <w:t>’</w:t>
      </w:r>
      <w:r w:rsidRPr="00AC4E01">
        <w:rPr>
          <w:rFonts w:eastAsia="SimSun"/>
          <w:b/>
          <w:bCs/>
          <w:lang w:val="fr-FR" w:eastAsia="zh-CN"/>
        </w:rPr>
        <w:t xml:space="preserve">enrôlement </w:t>
      </w:r>
      <w:r>
        <w:rPr>
          <w:rFonts w:eastAsia="SimSun"/>
          <w:b/>
          <w:bCs/>
          <w:lang w:val="fr-FR" w:eastAsia="zh-CN"/>
        </w:rPr>
        <w:t xml:space="preserve">d’enfants </w:t>
      </w:r>
      <w:r w:rsidRPr="00AC4E01">
        <w:rPr>
          <w:rFonts w:eastAsia="SimSun"/>
          <w:b/>
          <w:bCs/>
          <w:lang w:val="fr-FR" w:eastAsia="zh-CN"/>
        </w:rPr>
        <w:t xml:space="preserve">et à </w:t>
      </w:r>
      <w:r>
        <w:rPr>
          <w:rFonts w:eastAsia="SimSun"/>
          <w:b/>
          <w:bCs/>
          <w:lang w:val="fr-FR" w:eastAsia="zh-CN"/>
        </w:rPr>
        <w:t xml:space="preserve">leur </w:t>
      </w:r>
      <w:r w:rsidRPr="00AC4E01">
        <w:rPr>
          <w:rFonts w:eastAsia="SimSun"/>
          <w:b/>
          <w:bCs/>
          <w:lang w:val="fr-FR" w:eastAsia="zh-CN"/>
        </w:rPr>
        <w:t>implication dans des hostilités, sans la soumettre à la condition de la double incrimination</w:t>
      </w:r>
      <w:r w:rsidR="00A93E4F">
        <w:rPr>
          <w:rFonts w:eastAsia="SimSun"/>
          <w:b/>
          <w:bCs/>
          <w:lang w:val="fr-FR" w:eastAsia="zh-CN"/>
        </w:rPr>
        <w:t> </w:t>
      </w:r>
      <w:r w:rsidRPr="00AC4E01">
        <w:rPr>
          <w:rFonts w:eastAsia="SimSun"/>
          <w:b/>
          <w:bCs/>
          <w:lang w:val="fr-FR" w:eastAsia="zh-CN"/>
        </w:rPr>
        <w:t>;</w:t>
      </w:r>
    </w:p>
    <w:p w14:paraId="1DBB3FD3" w14:textId="678CF93A" w:rsidR="009576FC" w:rsidRPr="00DD314B" w:rsidRDefault="009576FC" w:rsidP="00A93E4F">
      <w:pPr>
        <w:pStyle w:val="SingleTxtG"/>
        <w:ind w:firstLine="567"/>
        <w:rPr>
          <w:rFonts w:eastAsia="SimSun"/>
          <w:b/>
          <w:bCs/>
          <w:spacing w:val="-1"/>
          <w:lang w:val="fr-FR" w:eastAsia="zh-CN"/>
        </w:rPr>
      </w:pPr>
      <w:r w:rsidRPr="00DD314B">
        <w:rPr>
          <w:rFonts w:eastAsia="SimSun"/>
          <w:b/>
          <w:bCs/>
          <w:spacing w:val="-1"/>
          <w:lang w:val="fr-FR" w:eastAsia="zh-CN"/>
        </w:rPr>
        <w:t>e)</w:t>
      </w:r>
      <w:r w:rsidRPr="00DD314B">
        <w:rPr>
          <w:rFonts w:eastAsia="SimSun"/>
          <w:b/>
          <w:bCs/>
          <w:spacing w:val="-1"/>
          <w:lang w:val="fr-FR" w:eastAsia="zh-CN"/>
        </w:rPr>
        <w:tab/>
        <w:t>De prendre d’urgence des mesures propres à assurer le rapatriement des enfants ressortissants de l’État partie depuis les camps de la République arabe syrienne ;</w:t>
      </w:r>
    </w:p>
    <w:p w14:paraId="338C367A" w14:textId="0B0C365F" w:rsidR="009576FC" w:rsidRPr="00AC4E01" w:rsidRDefault="009576FC" w:rsidP="00A93E4F">
      <w:pPr>
        <w:pStyle w:val="SingleTxtG"/>
        <w:ind w:firstLine="567"/>
        <w:rPr>
          <w:rFonts w:eastAsia="SimSun"/>
          <w:b/>
          <w:bCs/>
          <w:lang w:val="fr-FR" w:eastAsia="zh-CN"/>
        </w:rPr>
      </w:pPr>
      <w:r w:rsidRPr="00AC4E01">
        <w:rPr>
          <w:rFonts w:eastAsia="SimSun"/>
          <w:b/>
          <w:bCs/>
          <w:lang w:val="fr-FR" w:eastAsia="zh-CN"/>
        </w:rPr>
        <w:t>f)</w:t>
      </w:r>
      <w:r w:rsidRPr="00AC4E01">
        <w:rPr>
          <w:rFonts w:eastAsia="SimSun"/>
          <w:b/>
          <w:bCs/>
          <w:lang w:val="fr-FR" w:eastAsia="zh-CN"/>
        </w:rPr>
        <w:tab/>
        <w:t>D</w:t>
      </w:r>
      <w:r>
        <w:rPr>
          <w:rFonts w:eastAsia="SimSun"/>
          <w:b/>
          <w:bCs/>
          <w:lang w:val="fr-FR" w:eastAsia="zh-CN"/>
        </w:rPr>
        <w:t>’</w:t>
      </w:r>
      <w:r w:rsidRPr="00AC4E01">
        <w:rPr>
          <w:rFonts w:eastAsia="SimSun"/>
          <w:b/>
          <w:bCs/>
          <w:lang w:val="fr-FR" w:eastAsia="zh-CN"/>
        </w:rPr>
        <w:t>interdire l</w:t>
      </w:r>
      <w:r>
        <w:rPr>
          <w:rFonts w:eastAsia="SimSun"/>
          <w:b/>
          <w:bCs/>
          <w:lang w:val="fr-FR" w:eastAsia="zh-CN"/>
        </w:rPr>
        <w:t>’</w:t>
      </w:r>
      <w:r w:rsidRPr="00AC4E01">
        <w:rPr>
          <w:rFonts w:eastAsia="SimSun"/>
          <w:b/>
          <w:bCs/>
          <w:lang w:val="fr-FR" w:eastAsia="zh-CN"/>
        </w:rPr>
        <w:t>exportation d</w:t>
      </w:r>
      <w:r>
        <w:rPr>
          <w:rFonts w:eastAsia="SimSun"/>
          <w:b/>
          <w:bCs/>
          <w:lang w:val="fr-FR" w:eastAsia="zh-CN"/>
        </w:rPr>
        <w:t>’</w:t>
      </w:r>
      <w:r w:rsidRPr="00AC4E01">
        <w:rPr>
          <w:rFonts w:eastAsia="SimSun"/>
          <w:b/>
          <w:bCs/>
          <w:lang w:val="fr-FR" w:eastAsia="zh-CN"/>
        </w:rPr>
        <w:t>armes, y compris d</w:t>
      </w:r>
      <w:r>
        <w:rPr>
          <w:rFonts w:eastAsia="SimSun"/>
          <w:b/>
          <w:bCs/>
          <w:lang w:val="fr-FR" w:eastAsia="zh-CN"/>
        </w:rPr>
        <w:t>’</w:t>
      </w:r>
      <w:r w:rsidRPr="00AC4E01">
        <w:rPr>
          <w:rFonts w:eastAsia="SimSun"/>
          <w:b/>
          <w:bCs/>
          <w:lang w:val="fr-FR" w:eastAsia="zh-CN"/>
        </w:rPr>
        <w:t>armes légères et de composants de systèmes d</w:t>
      </w:r>
      <w:r>
        <w:rPr>
          <w:rFonts w:eastAsia="SimSun"/>
          <w:b/>
          <w:bCs/>
          <w:lang w:val="fr-FR" w:eastAsia="zh-CN"/>
        </w:rPr>
        <w:t>’</w:t>
      </w:r>
      <w:r w:rsidRPr="00AC4E01">
        <w:rPr>
          <w:rFonts w:eastAsia="SimSun"/>
          <w:b/>
          <w:bCs/>
          <w:lang w:val="fr-FR" w:eastAsia="zh-CN"/>
        </w:rPr>
        <w:t xml:space="preserve">armes, à destination de pays où </w:t>
      </w:r>
      <w:r>
        <w:rPr>
          <w:rFonts w:eastAsia="SimSun"/>
          <w:b/>
          <w:bCs/>
          <w:lang w:val="fr-FR" w:eastAsia="zh-CN"/>
        </w:rPr>
        <w:t>il est notoire</w:t>
      </w:r>
      <w:r w:rsidRPr="00AC4E01">
        <w:rPr>
          <w:rFonts w:eastAsia="SimSun"/>
          <w:b/>
          <w:bCs/>
          <w:lang w:val="fr-FR" w:eastAsia="zh-CN"/>
        </w:rPr>
        <w:t xml:space="preserve"> que des enfants sont enrôlés ou utilisés dans des hostilités.</w:t>
      </w:r>
    </w:p>
    <w:p w14:paraId="2512C256" w14:textId="27AC1B25" w:rsidR="009576FC" w:rsidRPr="00A93E4F" w:rsidRDefault="00A93E4F" w:rsidP="00A93E4F">
      <w:pPr>
        <w:pStyle w:val="H1G"/>
        <w:rPr>
          <w:spacing w:val="-2"/>
          <w:lang w:val="fr-FR"/>
        </w:rPr>
      </w:pPr>
      <w:r>
        <w:rPr>
          <w:lang w:val="fr-FR"/>
        </w:rPr>
        <w:tab/>
      </w:r>
      <w:r w:rsidR="009576FC" w:rsidRPr="00AC4E01">
        <w:rPr>
          <w:lang w:val="fr-FR"/>
        </w:rPr>
        <w:t>K.</w:t>
      </w:r>
      <w:r w:rsidR="009576FC" w:rsidRPr="00AC4E01">
        <w:rPr>
          <w:lang w:val="fr-FR"/>
        </w:rPr>
        <w:tab/>
      </w:r>
      <w:r w:rsidR="009576FC" w:rsidRPr="00A93E4F">
        <w:rPr>
          <w:spacing w:val="-2"/>
          <w:lang w:val="fr-FR"/>
        </w:rPr>
        <w:t xml:space="preserve">Ratification </w:t>
      </w:r>
      <w:r w:rsidR="009576FC" w:rsidRPr="00A93E4F">
        <w:rPr>
          <w:spacing w:val="-2"/>
        </w:rPr>
        <w:t>d’instruments</w:t>
      </w:r>
      <w:r w:rsidR="009576FC" w:rsidRPr="00A93E4F">
        <w:rPr>
          <w:spacing w:val="-2"/>
          <w:lang w:val="fr-FR"/>
        </w:rPr>
        <w:t xml:space="preserve"> internationaux relatifs aux droits de l’homme</w:t>
      </w:r>
    </w:p>
    <w:p w14:paraId="5BB612D1" w14:textId="101E7844" w:rsidR="009576FC" w:rsidRPr="00AC4E01" w:rsidRDefault="009576FC" w:rsidP="009576FC">
      <w:pPr>
        <w:pStyle w:val="SingleTxtG"/>
        <w:rPr>
          <w:b/>
          <w:bCs/>
          <w:color w:val="000000"/>
          <w:u w:val="single"/>
          <w:lang w:val="fr-FR"/>
        </w:rPr>
      </w:pPr>
      <w:r w:rsidRPr="00A93E4F">
        <w:rPr>
          <w:lang w:val="fr-FR"/>
        </w:rPr>
        <w:t>46.</w:t>
      </w:r>
      <w:r w:rsidRPr="00AC4E01">
        <w:rPr>
          <w:b/>
          <w:bCs/>
          <w:lang w:val="fr-FR"/>
        </w:rPr>
        <w:tab/>
        <w:t>Le Comité recommande à l</w:t>
      </w:r>
      <w:r>
        <w:rPr>
          <w:b/>
          <w:bCs/>
          <w:lang w:val="fr-FR"/>
        </w:rPr>
        <w:t>’</w:t>
      </w:r>
      <w:r w:rsidRPr="00AC4E01">
        <w:rPr>
          <w:b/>
          <w:bCs/>
          <w:lang w:val="fr-FR"/>
        </w:rPr>
        <w:t>État partie d</w:t>
      </w:r>
      <w:r>
        <w:rPr>
          <w:b/>
          <w:bCs/>
          <w:lang w:val="fr-FR"/>
        </w:rPr>
        <w:t>’</w:t>
      </w:r>
      <w:r w:rsidRPr="00AC4E01">
        <w:rPr>
          <w:b/>
          <w:bCs/>
          <w:lang w:val="fr-FR"/>
        </w:rPr>
        <w:t>envisager de ratifier la Convention internationale sur la protection des droits de tous les travailleurs migrants et des membres de leur famille, afin de renforcer encore le respect des droits de l</w:t>
      </w:r>
      <w:r>
        <w:rPr>
          <w:b/>
          <w:bCs/>
          <w:lang w:val="fr-FR"/>
        </w:rPr>
        <w:t>’</w:t>
      </w:r>
      <w:r w:rsidRPr="00AC4E01">
        <w:rPr>
          <w:b/>
          <w:bCs/>
          <w:lang w:val="fr-FR"/>
        </w:rPr>
        <w:t>enfant.</w:t>
      </w:r>
    </w:p>
    <w:p w14:paraId="72FCB0E4" w14:textId="002E6D29" w:rsidR="009576FC" w:rsidRPr="00AC4E01" w:rsidRDefault="00DD314B" w:rsidP="009576FC">
      <w:pPr>
        <w:pStyle w:val="H1G"/>
        <w:spacing w:line="240" w:lineRule="atLeast"/>
        <w:rPr>
          <w:bCs/>
          <w:lang w:val="fr-FR"/>
        </w:rPr>
      </w:pPr>
      <w:r>
        <w:rPr>
          <w:bCs/>
          <w:lang w:val="fr-FR"/>
        </w:rPr>
        <w:tab/>
      </w:r>
      <w:r w:rsidR="009576FC" w:rsidRPr="00AC4E01">
        <w:rPr>
          <w:bCs/>
          <w:lang w:val="fr-FR"/>
        </w:rPr>
        <w:t>L.</w:t>
      </w:r>
      <w:r w:rsidR="009576FC" w:rsidRPr="00AC4E01">
        <w:rPr>
          <w:bCs/>
          <w:lang w:val="fr-FR"/>
        </w:rPr>
        <w:tab/>
        <w:t>Coopération avec les organismes régionaux</w:t>
      </w:r>
    </w:p>
    <w:p w14:paraId="631B1A48" w14:textId="75F22605" w:rsidR="009576FC" w:rsidRPr="00AC4E01" w:rsidRDefault="009576FC" w:rsidP="009576FC">
      <w:pPr>
        <w:pStyle w:val="SingleTxtG"/>
        <w:rPr>
          <w:b/>
          <w:bCs/>
          <w:lang w:val="fr-FR"/>
        </w:rPr>
      </w:pPr>
      <w:r w:rsidRPr="00DD314B">
        <w:rPr>
          <w:lang w:val="fr-FR"/>
        </w:rPr>
        <w:t>47.</w:t>
      </w:r>
      <w:r w:rsidRPr="00AC4E01">
        <w:rPr>
          <w:b/>
          <w:bCs/>
          <w:lang w:val="fr-FR"/>
        </w:rPr>
        <w:tab/>
        <w:t>Le Comité recommande à l</w:t>
      </w:r>
      <w:r>
        <w:rPr>
          <w:b/>
          <w:bCs/>
          <w:lang w:val="fr-FR"/>
        </w:rPr>
        <w:t>’</w:t>
      </w:r>
      <w:r w:rsidRPr="00AC4E01">
        <w:rPr>
          <w:b/>
          <w:bCs/>
          <w:lang w:val="fr-FR"/>
        </w:rPr>
        <w:t>État partie de continuer à coopérer avec le Conseil de l</w:t>
      </w:r>
      <w:r>
        <w:rPr>
          <w:b/>
          <w:bCs/>
          <w:lang w:val="fr-FR"/>
        </w:rPr>
        <w:t>’</w:t>
      </w:r>
      <w:r w:rsidRPr="00AC4E01">
        <w:rPr>
          <w:b/>
          <w:bCs/>
          <w:lang w:val="fr-FR"/>
        </w:rPr>
        <w:t>Europe en vue d</w:t>
      </w:r>
      <w:r>
        <w:rPr>
          <w:b/>
          <w:bCs/>
          <w:lang w:val="fr-FR"/>
        </w:rPr>
        <w:t>’</w:t>
      </w:r>
      <w:r w:rsidRPr="00AC4E01">
        <w:rPr>
          <w:b/>
          <w:bCs/>
          <w:lang w:val="fr-FR"/>
        </w:rPr>
        <w:t>appliquer la Convention et d</w:t>
      </w:r>
      <w:r>
        <w:rPr>
          <w:b/>
          <w:bCs/>
          <w:lang w:val="fr-FR"/>
        </w:rPr>
        <w:t>’</w:t>
      </w:r>
      <w:r w:rsidRPr="00AC4E01">
        <w:rPr>
          <w:b/>
          <w:bCs/>
          <w:lang w:val="fr-FR"/>
        </w:rPr>
        <w:t>autres instruments relatifs aux droits de l</w:t>
      </w:r>
      <w:r>
        <w:rPr>
          <w:b/>
          <w:bCs/>
          <w:lang w:val="fr-FR"/>
        </w:rPr>
        <w:t>’</w:t>
      </w:r>
      <w:r w:rsidRPr="00AC4E01">
        <w:rPr>
          <w:b/>
          <w:bCs/>
          <w:lang w:val="fr-FR"/>
        </w:rPr>
        <w:t>homme, tant sur son territoire que dans d</w:t>
      </w:r>
      <w:r>
        <w:rPr>
          <w:b/>
          <w:bCs/>
          <w:lang w:val="fr-FR"/>
        </w:rPr>
        <w:t>’</w:t>
      </w:r>
      <w:r w:rsidRPr="00AC4E01">
        <w:rPr>
          <w:b/>
          <w:bCs/>
          <w:lang w:val="fr-FR"/>
        </w:rPr>
        <w:t>autres États membres du Conseil.</w:t>
      </w:r>
    </w:p>
    <w:p w14:paraId="21CC14F3" w14:textId="32EEF950" w:rsidR="009576FC" w:rsidRPr="00AC4E01" w:rsidRDefault="00A93E4F" w:rsidP="00A93E4F">
      <w:pPr>
        <w:pStyle w:val="HChG"/>
        <w:rPr>
          <w:lang w:val="fr-FR"/>
        </w:rPr>
      </w:pPr>
      <w:r>
        <w:rPr>
          <w:bCs/>
          <w:lang w:val="fr-FR"/>
        </w:rPr>
        <w:tab/>
      </w:r>
      <w:r w:rsidR="009576FC" w:rsidRPr="00AC4E01">
        <w:rPr>
          <w:bCs/>
          <w:lang w:val="fr-FR"/>
        </w:rPr>
        <w:t>IV.</w:t>
      </w:r>
      <w:r w:rsidR="009576FC" w:rsidRPr="00AC4E01">
        <w:rPr>
          <w:lang w:val="fr-FR"/>
        </w:rPr>
        <w:tab/>
      </w:r>
      <w:r w:rsidR="009576FC" w:rsidRPr="00A93E4F">
        <w:t>Application</w:t>
      </w:r>
      <w:r w:rsidR="009576FC" w:rsidRPr="00AC4E01">
        <w:rPr>
          <w:lang w:val="fr-FR"/>
        </w:rPr>
        <w:t xml:space="preserve"> des recommandations et soumission de rapports</w:t>
      </w:r>
    </w:p>
    <w:p w14:paraId="2D4C6B1F" w14:textId="23C44BE1" w:rsidR="009576FC" w:rsidRPr="00AC4E01" w:rsidRDefault="00A93E4F" w:rsidP="00A93E4F">
      <w:pPr>
        <w:pStyle w:val="H1G"/>
        <w:rPr>
          <w:lang w:val="fr-FR"/>
        </w:rPr>
      </w:pPr>
      <w:r>
        <w:rPr>
          <w:lang w:val="fr-FR"/>
        </w:rPr>
        <w:tab/>
      </w:r>
      <w:r w:rsidR="009576FC" w:rsidRPr="00AC4E01">
        <w:rPr>
          <w:lang w:val="fr-FR"/>
        </w:rPr>
        <w:t>A.</w:t>
      </w:r>
      <w:r w:rsidR="009576FC" w:rsidRPr="00AC4E01">
        <w:rPr>
          <w:lang w:val="fr-FR"/>
        </w:rPr>
        <w:tab/>
        <w:t xml:space="preserve">Suivi </w:t>
      </w:r>
      <w:r w:rsidR="009576FC" w:rsidRPr="00A93E4F">
        <w:t>et</w:t>
      </w:r>
      <w:r w:rsidR="009576FC" w:rsidRPr="00AC4E01">
        <w:rPr>
          <w:lang w:val="fr-FR"/>
        </w:rPr>
        <w:t xml:space="preserve"> diffusion</w:t>
      </w:r>
    </w:p>
    <w:p w14:paraId="67B64A9E" w14:textId="3C9FC843" w:rsidR="009576FC" w:rsidRPr="00AC4E01" w:rsidRDefault="009576FC" w:rsidP="009576FC">
      <w:pPr>
        <w:pStyle w:val="SingleTxtG"/>
        <w:rPr>
          <w:bCs/>
          <w:lang w:val="fr-FR"/>
        </w:rPr>
      </w:pPr>
      <w:r w:rsidRPr="00AC4E01">
        <w:rPr>
          <w:lang w:val="fr-FR"/>
        </w:rPr>
        <w:t>48.</w:t>
      </w:r>
      <w:r w:rsidRPr="00AC4E01">
        <w:rPr>
          <w:lang w:val="fr-FR"/>
        </w:rPr>
        <w:tab/>
      </w:r>
      <w:r w:rsidRPr="00AC4E01">
        <w:rPr>
          <w:b/>
          <w:bCs/>
          <w:lang w:val="fr-FR"/>
        </w:rPr>
        <w:t>Le Comité recommande à l</w:t>
      </w:r>
      <w:r>
        <w:rPr>
          <w:b/>
          <w:bCs/>
          <w:lang w:val="fr-FR"/>
        </w:rPr>
        <w:t>’</w:t>
      </w:r>
      <w:r w:rsidRPr="00AC4E01">
        <w:rPr>
          <w:b/>
          <w:bCs/>
          <w:lang w:val="fr-FR"/>
        </w:rPr>
        <w:t>État partie de prendre toutes les mesures voulues pour que les recommandations figurant dans les présentes observations finales soient pleinement appliquées et pour qu</w:t>
      </w:r>
      <w:r>
        <w:rPr>
          <w:b/>
          <w:bCs/>
          <w:lang w:val="fr-FR"/>
        </w:rPr>
        <w:t>’</w:t>
      </w:r>
      <w:r w:rsidRPr="00AC4E01">
        <w:rPr>
          <w:b/>
          <w:bCs/>
          <w:lang w:val="fr-FR"/>
        </w:rPr>
        <w:t>une version adaptée soit diffusée auprès des enfants, y compris les plus défavorisés d</w:t>
      </w:r>
      <w:r>
        <w:rPr>
          <w:b/>
          <w:bCs/>
          <w:lang w:val="fr-FR"/>
        </w:rPr>
        <w:t>’</w:t>
      </w:r>
      <w:r w:rsidRPr="00AC4E01">
        <w:rPr>
          <w:b/>
          <w:bCs/>
          <w:lang w:val="fr-FR"/>
        </w:rPr>
        <w:t>entre eux, et leur soit largement accessible. Il recommande également que le rapport valant cinquième et sixième rapports périodiques et les présentes observations finales soient largement diffusés dans les langues du pays.</w:t>
      </w:r>
    </w:p>
    <w:p w14:paraId="57597EBE" w14:textId="1AE95A28" w:rsidR="009576FC" w:rsidRPr="00AC4E01" w:rsidRDefault="00A93E4F" w:rsidP="00A93E4F">
      <w:pPr>
        <w:pStyle w:val="H1G"/>
        <w:rPr>
          <w:lang w:val="fr-FR"/>
        </w:rPr>
      </w:pPr>
      <w:r>
        <w:rPr>
          <w:lang w:val="fr-FR"/>
        </w:rPr>
        <w:tab/>
      </w:r>
      <w:r w:rsidR="009576FC" w:rsidRPr="00AC4E01">
        <w:rPr>
          <w:lang w:val="fr-FR"/>
        </w:rPr>
        <w:t>B.</w:t>
      </w:r>
      <w:r w:rsidR="009576FC" w:rsidRPr="00AC4E01">
        <w:rPr>
          <w:lang w:val="fr-FR"/>
        </w:rPr>
        <w:tab/>
      </w:r>
      <w:r w:rsidR="009576FC" w:rsidRPr="00AC4E01">
        <w:rPr>
          <w:lang w:val="fr-FR"/>
        </w:rPr>
        <w:tab/>
      </w:r>
      <w:r w:rsidR="009576FC" w:rsidRPr="00A93E4F">
        <w:t>Mécanisme</w:t>
      </w:r>
      <w:r w:rsidR="009576FC" w:rsidRPr="00AC4E01">
        <w:rPr>
          <w:lang w:val="fr-FR"/>
        </w:rPr>
        <w:t xml:space="preserve"> national d</w:t>
      </w:r>
      <w:r w:rsidR="009576FC">
        <w:rPr>
          <w:lang w:val="fr-FR"/>
        </w:rPr>
        <w:t>’</w:t>
      </w:r>
      <w:r w:rsidR="009576FC" w:rsidRPr="00AC4E01">
        <w:rPr>
          <w:lang w:val="fr-FR"/>
        </w:rPr>
        <w:t>établissement des rapports et de suivi</w:t>
      </w:r>
    </w:p>
    <w:p w14:paraId="1F6015B8" w14:textId="05346655" w:rsidR="009576FC" w:rsidRPr="00AC4E01" w:rsidRDefault="009576FC" w:rsidP="009576FC">
      <w:pPr>
        <w:pStyle w:val="SingleTxtG"/>
        <w:rPr>
          <w:b/>
          <w:bCs/>
          <w:lang w:val="fr-FR"/>
        </w:rPr>
      </w:pPr>
      <w:r w:rsidRPr="00AC4E01">
        <w:rPr>
          <w:lang w:val="fr-FR"/>
        </w:rPr>
        <w:t>49.</w:t>
      </w:r>
      <w:r w:rsidRPr="00AC4E01">
        <w:rPr>
          <w:lang w:val="fr-FR"/>
        </w:rPr>
        <w:tab/>
      </w:r>
      <w:r w:rsidRPr="00AC4E01">
        <w:rPr>
          <w:b/>
          <w:bCs/>
          <w:lang w:val="fr-FR"/>
        </w:rPr>
        <w:t>Le Comité recommande à l</w:t>
      </w:r>
      <w:r>
        <w:rPr>
          <w:b/>
          <w:bCs/>
          <w:lang w:val="fr-FR"/>
        </w:rPr>
        <w:t>’</w:t>
      </w:r>
      <w:r w:rsidRPr="00AC4E01">
        <w:rPr>
          <w:b/>
          <w:bCs/>
          <w:lang w:val="fr-FR"/>
        </w:rPr>
        <w:t>État partie de mettre en place une structure permanente qui soit chargée de coordonner et d</w:t>
      </w:r>
      <w:r>
        <w:rPr>
          <w:b/>
          <w:bCs/>
          <w:lang w:val="fr-FR"/>
        </w:rPr>
        <w:t>’</w:t>
      </w:r>
      <w:r w:rsidRPr="00AC4E01">
        <w:rPr>
          <w:b/>
          <w:bCs/>
          <w:lang w:val="fr-FR"/>
        </w:rPr>
        <w:t>élaborer les rapports devant être soumis aux mécanismes internationaux et régionaux des droits de l</w:t>
      </w:r>
      <w:r>
        <w:rPr>
          <w:b/>
          <w:bCs/>
          <w:lang w:val="fr-FR"/>
        </w:rPr>
        <w:t>’</w:t>
      </w:r>
      <w:r w:rsidRPr="00AC4E01">
        <w:rPr>
          <w:b/>
          <w:bCs/>
          <w:lang w:val="fr-FR"/>
        </w:rPr>
        <w:t>homme et de nouer un dialogue avec ces mécanismes, et de coordonner et suivre l</w:t>
      </w:r>
      <w:r>
        <w:rPr>
          <w:b/>
          <w:bCs/>
          <w:lang w:val="fr-FR"/>
        </w:rPr>
        <w:t>’</w:t>
      </w:r>
      <w:r w:rsidRPr="00AC4E01">
        <w:rPr>
          <w:b/>
          <w:bCs/>
          <w:lang w:val="fr-FR"/>
        </w:rPr>
        <w:t>exécution des obligations conventionnelles et l</w:t>
      </w:r>
      <w:r>
        <w:rPr>
          <w:b/>
          <w:bCs/>
          <w:lang w:val="fr-FR"/>
        </w:rPr>
        <w:t>’</w:t>
      </w:r>
      <w:r w:rsidRPr="00AC4E01">
        <w:rPr>
          <w:b/>
          <w:bCs/>
          <w:lang w:val="fr-FR"/>
        </w:rPr>
        <w:t>application des recommandations et des décisions émanant desdits mécanismes. Il souligne que cette structure devrait être appuyée de manière appropriée et en permanence par un personnel qui lui soit spécialement affecté et devrait être à même de consulter systématiquement l</w:t>
      </w:r>
      <w:r>
        <w:rPr>
          <w:b/>
          <w:bCs/>
          <w:lang w:val="fr-FR"/>
        </w:rPr>
        <w:t>’</w:t>
      </w:r>
      <w:r w:rsidRPr="00AC4E01">
        <w:rPr>
          <w:b/>
          <w:bCs/>
          <w:lang w:val="fr-FR"/>
        </w:rPr>
        <w:t>institution nationale des droits de l</w:t>
      </w:r>
      <w:r>
        <w:rPr>
          <w:b/>
          <w:bCs/>
          <w:lang w:val="fr-FR"/>
        </w:rPr>
        <w:t>’</w:t>
      </w:r>
      <w:r w:rsidRPr="00AC4E01">
        <w:rPr>
          <w:b/>
          <w:bCs/>
          <w:lang w:val="fr-FR"/>
        </w:rPr>
        <w:t>homme et la société civile.</w:t>
      </w:r>
    </w:p>
    <w:p w14:paraId="442DED64" w14:textId="4B1966B3" w:rsidR="009576FC" w:rsidRPr="00AC4E01" w:rsidRDefault="00A93E4F" w:rsidP="00A93E4F">
      <w:pPr>
        <w:pStyle w:val="H1G"/>
        <w:rPr>
          <w:lang w:val="fr-FR"/>
        </w:rPr>
      </w:pPr>
      <w:r>
        <w:rPr>
          <w:lang w:val="fr-FR"/>
        </w:rPr>
        <w:tab/>
      </w:r>
      <w:r w:rsidR="009576FC" w:rsidRPr="00AC4E01">
        <w:rPr>
          <w:lang w:val="fr-FR"/>
        </w:rPr>
        <w:t>C.</w:t>
      </w:r>
      <w:r w:rsidR="009576FC" w:rsidRPr="00AC4E01">
        <w:rPr>
          <w:lang w:val="fr-FR"/>
        </w:rPr>
        <w:tab/>
        <w:t>Prochain rapport</w:t>
      </w:r>
    </w:p>
    <w:p w14:paraId="30F8DBFD" w14:textId="283B6A1A" w:rsidR="009576FC" w:rsidRPr="00384737" w:rsidRDefault="009576FC" w:rsidP="009576FC">
      <w:pPr>
        <w:pStyle w:val="SingleTxtG"/>
        <w:rPr>
          <w:b/>
          <w:bCs/>
          <w:lang w:val="fr-FR"/>
        </w:rPr>
      </w:pPr>
      <w:r w:rsidRPr="00384737">
        <w:rPr>
          <w:lang w:val="fr-FR"/>
        </w:rPr>
        <w:t>50.</w:t>
      </w:r>
      <w:r w:rsidRPr="00AC4E01">
        <w:rPr>
          <w:b/>
          <w:bCs/>
          <w:lang w:val="fr-FR"/>
        </w:rPr>
        <w:tab/>
        <w:t>Le Comité invite l</w:t>
      </w:r>
      <w:r>
        <w:rPr>
          <w:b/>
          <w:bCs/>
          <w:lang w:val="fr-FR"/>
        </w:rPr>
        <w:t>’</w:t>
      </w:r>
      <w:r w:rsidRPr="00AC4E01">
        <w:rPr>
          <w:b/>
          <w:bCs/>
          <w:lang w:val="fr-FR"/>
        </w:rPr>
        <w:t>État partie à soumettre son rapport valant septième et huitième rapports périodiques le 24</w:t>
      </w:r>
      <w:r w:rsidR="00A93E4F">
        <w:rPr>
          <w:b/>
          <w:bCs/>
          <w:lang w:val="fr-FR"/>
        </w:rPr>
        <w:t> </w:t>
      </w:r>
      <w:r w:rsidRPr="00AC4E01">
        <w:rPr>
          <w:b/>
          <w:bCs/>
          <w:lang w:val="fr-FR"/>
        </w:rPr>
        <w:t>avril 2027 au plus tard et à y faire figurer des renseignements sur la suite donnée aux présentes observations finales. Ce rapport devra être conforme aux directives spécifiques à l</w:t>
      </w:r>
      <w:r>
        <w:rPr>
          <w:b/>
          <w:bCs/>
          <w:lang w:val="fr-FR"/>
        </w:rPr>
        <w:t>’</w:t>
      </w:r>
      <w:r w:rsidRPr="00AC4E01">
        <w:rPr>
          <w:b/>
          <w:bCs/>
          <w:lang w:val="fr-FR"/>
        </w:rPr>
        <w:t>instrument</w:t>
      </w:r>
      <w:r w:rsidRPr="009576FC">
        <w:rPr>
          <w:rStyle w:val="Appelnotedebasdep"/>
        </w:rPr>
        <w:footnoteReference w:id="10"/>
      </w:r>
      <w:r w:rsidRPr="00AC4E01">
        <w:rPr>
          <w:b/>
          <w:bCs/>
          <w:lang w:val="fr-FR"/>
        </w:rPr>
        <w:t xml:space="preserve"> concernant l</w:t>
      </w:r>
      <w:r>
        <w:rPr>
          <w:b/>
          <w:bCs/>
          <w:lang w:val="fr-FR"/>
        </w:rPr>
        <w:t>’</w:t>
      </w:r>
      <w:r w:rsidRPr="00AC4E01">
        <w:rPr>
          <w:b/>
          <w:bCs/>
          <w:lang w:val="fr-FR"/>
        </w:rPr>
        <w:t xml:space="preserve">établissement de </w:t>
      </w:r>
      <w:r w:rsidRPr="00AC4E01">
        <w:rPr>
          <w:b/>
          <w:bCs/>
          <w:lang w:val="fr-FR"/>
        </w:rPr>
        <w:lastRenderedPageBreak/>
        <w:t>rapports et ne pas dépasser 21</w:t>
      </w:r>
      <w:r w:rsidR="00384737">
        <w:rPr>
          <w:b/>
          <w:bCs/>
          <w:lang w:val="fr-FR"/>
        </w:rPr>
        <w:t> </w:t>
      </w:r>
      <w:r w:rsidRPr="00AC4E01">
        <w:rPr>
          <w:b/>
          <w:bCs/>
          <w:lang w:val="fr-FR"/>
        </w:rPr>
        <w:t>200 mots</w:t>
      </w:r>
      <w:r w:rsidRPr="00384737">
        <w:rPr>
          <w:rStyle w:val="Appelnotedebasdep"/>
        </w:rPr>
        <w:footnoteReference w:id="11"/>
      </w:r>
      <w:r w:rsidRPr="00384737">
        <w:rPr>
          <w:b/>
          <w:bCs/>
          <w:lang w:val="fr-FR"/>
        </w:rPr>
        <w:t>. Si l’État partie soumet un rapport dont le nombre de mots excède la limite fixée, il sera invité à en réduire la longueur. S’il n’est pas en mesure de remanier son rapport et de le soumettre à nouveau, la traduction de ce rapport aux fins d’examen par le Comité ne pourra pas être garantie.</w:t>
      </w:r>
    </w:p>
    <w:p w14:paraId="045EBF2E" w14:textId="321E895C" w:rsidR="009576FC" w:rsidRDefault="009576FC" w:rsidP="009576FC">
      <w:pPr>
        <w:pStyle w:val="SingleTxtG"/>
        <w:rPr>
          <w:b/>
          <w:bCs/>
          <w:lang w:val="fr-FR"/>
        </w:rPr>
      </w:pPr>
      <w:r w:rsidRPr="00384737">
        <w:rPr>
          <w:lang w:val="fr-FR"/>
        </w:rPr>
        <w:t>51.</w:t>
      </w:r>
      <w:r w:rsidRPr="00384737">
        <w:rPr>
          <w:lang w:val="fr-FR"/>
        </w:rPr>
        <w:tab/>
      </w:r>
      <w:r w:rsidRPr="00384737">
        <w:rPr>
          <w:b/>
          <w:bCs/>
          <w:lang w:val="fr-FR"/>
        </w:rPr>
        <w:t>Le Comité invite en outre l’État partie</w:t>
      </w:r>
      <w:r w:rsidRPr="009576FC">
        <w:rPr>
          <w:b/>
          <w:bCs/>
          <w:lang w:val="fr-FR"/>
        </w:rPr>
        <w:t xml:space="preserve"> à soumettre un document de base actualisé qui ne dépasse pas 42</w:t>
      </w:r>
      <w:r w:rsidR="00AB316E">
        <w:rPr>
          <w:b/>
          <w:bCs/>
          <w:lang w:val="fr-FR"/>
        </w:rPr>
        <w:t> </w:t>
      </w:r>
      <w:r w:rsidRPr="009576FC">
        <w:rPr>
          <w:b/>
          <w:bCs/>
          <w:lang w:val="fr-FR"/>
        </w:rPr>
        <w:t>400 mots et soit conforme aux prescriptions applicables aux documents de base figurant dans les directives harmonisées concernant l</w:t>
      </w:r>
      <w:r>
        <w:rPr>
          <w:b/>
          <w:bCs/>
          <w:lang w:val="fr-FR"/>
        </w:rPr>
        <w:t>’</w:t>
      </w:r>
      <w:r w:rsidRPr="009576FC">
        <w:rPr>
          <w:b/>
          <w:bCs/>
          <w:lang w:val="fr-FR"/>
        </w:rPr>
        <w:t>établissement des rapports destinés aux organes créés en vertu d</w:t>
      </w:r>
      <w:r>
        <w:rPr>
          <w:b/>
          <w:bCs/>
          <w:lang w:val="fr-FR"/>
        </w:rPr>
        <w:t>’</w:t>
      </w:r>
      <w:r w:rsidRPr="009576FC">
        <w:rPr>
          <w:b/>
          <w:bCs/>
          <w:lang w:val="fr-FR"/>
        </w:rPr>
        <w:t>instruments internationaux relatifs aux droits de l</w:t>
      </w:r>
      <w:r>
        <w:rPr>
          <w:b/>
          <w:bCs/>
          <w:lang w:val="fr-FR"/>
        </w:rPr>
        <w:t>’</w:t>
      </w:r>
      <w:r w:rsidRPr="009576FC">
        <w:rPr>
          <w:b/>
          <w:bCs/>
          <w:lang w:val="fr-FR"/>
        </w:rPr>
        <w:t>homme, englobant le document de base commun et les rapports pour chaque instrument</w:t>
      </w:r>
      <w:r w:rsidRPr="009576FC">
        <w:rPr>
          <w:rStyle w:val="Appelnotedebasdep"/>
        </w:rPr>
        <w:footnoteReference w:id="12"/>
      </w:r>
      <w:r w:rsidRPr="009576FC">
        <w:rPr>
          <w:b/>
          <w:bCs/>
          <w:lang w:val="fr-FR"/>
        </w:rPr>
        <w:t>, et au paragraphe 16 de la résolution 68/268 de l</w:t>
      </w:r>
      <w:r>
        <w:rPr>
          <w:b/>
          <w:bCs/>
          <w:lang w:val="fr-FR"/>
        </w:rPr>
        <w:t>’</w:t>
      </w:r>
      <w:r w:rsidRPr="009576FC">
        <w:rPr>
          <w:b/>
          <w:bCs/>
          <w:lang w:val="fr-FR"/>
        </w:rPr>
        <w:t>Assemblée générale.</w:t>
      </w:r>
    </w:p>
    <w:p w14:paraId="4E6BD70B" w14:textId="160CFF0F" w:rsidR="009576FC" w:rsidRPr="009576FC" w:rsidRDefault="009576FC" w:rsidP="009576F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576FC" w:rsidRPr="009576FC" w:rsidSect="009576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5FBB" w14:textId="77777777" w:rsidR="00AE0846" w:rsidRDefault="00AE0846" w:rsidP="00F95C08">
      <w:pPr>
        <w:spacing w:line="240" w:lineRule="auto"/>
      </w:pPr>
    </w:p>
  </w:endnote>
  <w:endnote w:type="continuationSeparator" w:id="0">
    <w:p w14:paraId="08D1A5AF" w14:textId="77777777" w:rsidR="00AE0846" w:rsidRPr="00AC3823" w:rsidRDefault="00AE0846" w:rsidP="00AC3823">
      <w:pPr>
        <w:pStyle w:val="Pieddepage"/>
      </w:pPr>
    </w:p>
  </w:endnote>
  <w:endnote w:type="continuationNotice" w:id="1">
    <w:p w14:paraId="10CEC7BD" w14:textId="77777777" w:rsidR="00AE0846" w:rsidRDefault="00AE08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D4EC" w14:textId="25150AA8" w:rsidR="009576FC" w:rsidRPr="009576FC" w:rsidRDefault="009576FC" w:rsidP="009576FC">
    <w:pPr>
      <w:pStyle w:val="Pieddepage"/>
      <w:tabs>
        <w:tab w:val="right" w:pos="9638"/>
      </w:tabs>
    </w:pPr>
    <w:r w:rsidRPr="009576FC">
      <w:rPr>
        <w:b/>
        <w:sz w:val="18"/>
      </w:rPr>
      <w:fldChar w:fldCharType="begin"/>
    </w:r>
    <w:r w:rsidRPr="009576FC">
      <w:rPr>
        <w:b/>
        <w:sz w:val="18"/>
      </w:rPr>
      <w:instrText xml:space="preserve"> PAGE  \* MERGEFORMAT </w:instrText>
    </w:r>
    <w:r w:rsidRPr="009576FC">
      <w:rPr>
        <w:b/>
        <w:sz w:val="18"/>
      </w:rPr>
      <w:fldChar w:fldCharType="separate"/>
    </w:r>
    <w:r w:rsidRPr="009576FC">
      <w:rPr>
        <w:b/>
        <w:noProof/>
        <w:sz w:val="18"/>
      </w:rPr>
      <w:t>2</w:t>
    </w:r>
    <w:r w:rsidRPr="009576FC">
      <w:rPr>
        <w:b/>
        <w:sz w:val="18"/>
      </w:rPr>
      <w:fldChar w:fldCharType="end"/>
    </w:r>
    <w:r>
      <w:rPr>
        <w:b/>
        <w:sz w:val="18"/>
      </w:rPr>
      <w:tab/>
    </w:r>
    <w:r>
      <w:t>GE.22-16691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4AFB" w14:textId="757C935D" w:rsidR="009576FC" w:rsidRPr="009576FC" w:rsidRDefault="009576FC" w:rsidP="009576FC">
    <w:pPr>
      <w:pStyle w:val="Pieddepage"/>
      <w:tabs>
        <w:tab w:val="right" w:pos="9638"/>
      </w:tabs>
      <w:rPr>
        <w:b/>
        <w:sz w:val="18"/>
      </w:rPr>
    </w:pPr>
    <w:r>
      <w:t>GE.22-16691</w:t>
    </w:r>
    <w:r>
      <w:tab/>
    </w:r>
    <w:r w:rsidRPr="009576FC">
      <w:rPr>
        <w:b/>
        <w:sz w:val="18"/>
      </w:rPr>
      <w:fldChar w:fldCharType="begin"/>
    </w:r>
    <w:r w:rsidRPr="009576FC">
      <w:rPr>
        <w:b/>
        <w:sz w:val="18"/>
      </w:rPr>
      <w:instrText xml:space="preserve"> PAGE  \* MERGEFORMAT </w:instrText>
    </w:r>
    <w:r w:rsidRPr="009576FC">
      <w:rPr>
        <w:b/>
        <w:sz w:val="18"/>
      </w:rPr>
      <w:fldChar w:fldCharType="separate"/>
    </w:r>
    <w:r w:rsidRPr="009576FC">
      <w:rPr>
        <w:b/>
        <w:noProof/>
        <w:sz w:val="18"/>
      </w:rPr>
      <w:t>3</w:t>
    </w:r>
    <w:r w:rsidRPr="009576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6FEF" w14:textId="0F91FCFD" w:rsidR="002D14A3" w:rsidRPr="009576FC" w:rsidRDefault="009576FC" w:rsidP="009576FC">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9141FA6" wp14:editId="25ACB2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22-16691  (F)</w:t>
    </w:r>
    <w:r>
      <w:rPr>
        <w:noProof/>
        <w:sz w:val="20"/>
      </w:rPr>
      <w:drawing>
        <wp:anchor distT="0" distB="0" distL="114300" distR="114300" simplePos="0" relativeHeight="251660288" behindDoc="0" locked="0" layoutInCell="1" allowOverlap="1" wp14:anchorId="23DDF54E" wp14:editId="4C31ED0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180423    190423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F3B9" w14:textId="77777777" w:rsidR="00AE0846" w:rsidRPr="00AC3823" w:rsidRDefault="00AE0846" w:rsidP="00AC3823">
      <w:pPr>
        <w:pStyle w:val="Pieddepage"/>
        <w:tabs>
          <w:tab w:val="right" w:pos="2155"/>
        </w:tabs>
        <w:spacing w:after="80" w:line="240" w:lineRule="atLeast"/>
        <w:ind w:left="680"/>
        <w:rPr>
          <w:u w:val="single"/>
        </w:rPr>
      </w:pPr>
      <w:r>
        <w:rPr>
          <w:u w:val="single"/>
        </w:rPr>
        <w:tab/>
      </w:r>
    </w:p>
  </w:footnote>
  <w:footnote w:type="continuationSeparator" w:id="0">
    <w:p w14:paraId="62DDE2A7" w14:textId="77777777" w:rsidR="00AE0846" w:rsidRPr="00AC3823" w:rsidRDefault="00AE0846" w:rsidP="00AC3823">
      <w:pPr>
        <w:pStyle w:val="Pieddepage"/>
        <w:tabs>
          <w:tab w:val="right" w:pos="2155"/>
        </w:tabs>
        <w:spacing w:after="80" w:line="240" w:lineRule="atLeast"/>
        <w:ind w:left="680"/>
        <w:rPr>
          <w:u w:val="single"/>
        </w:rPr>
      </w:pPr>
      <w:r>
        <w:rPr>
          <w:u w:val="single"/>
        </w:rPr>
        <w:tab/>
      </w:r>
    </w:p>
  </w:footnote>
  <w:footnote w:type="continuationNotice" w:id="1">
    <w:p w14:paraId="27D98061" w14:textId="77777777" w:rsidR="00AE0846" w:rsidRPr="00AC3823" w:rsidRDefault="00AE0846">
      <w:pPr>
        <w:spacing w:line="240" w:lineRule="auto"/>
        <w:rPr>
          <w:sz w:val="2"/>
          <w:szCs w:val="2"/>
        </w:rPr>
      </w:pPr>
    </w:p>
  </w:footnote>
  <w:footnote w:id="2">
    <w:p w14:paraId="0CA3EF5B" w14:textId="77EDD35E" w:rsidR="009576FC" w:rsidRPr="0098685A" w:rsidRDefault="009576FC" w:rsidP="009576FC">
      <w:pPr>
        <w:pStyle w:val="Notedebasdepage"/>
        <w:rPr>
          <w:lang w:val="fr-FR"/>
        </w:rPr>
      </w:pPr>
      <w:r>
        <w:rPr>
          <w:lang w:val="fr-FR"/>
        </w:rPr>
        <w:tab/>
      </w:r>
      <w:r w:rsidRPr="009576FC">
        <w:rPr>
          <w:sz w:val="20"/>
          <w:lang w:val="fr-FR"/>
        </w:rPr>
        <w:t>*</w:t>
      </w:r>
      <w:r>
        <w:rPr>
          <w:lang w:val="fr-FR"/>
        </w:rPr>
        <w:tab/>
        <w:t xml:space="preserve">Adoptées par le Comité à sa </w:t>
      </w:r>
      <w:r w:rsidRPr="00625BA5">
        <w:rPr>
          <w:lang w:val="fr-FR"/>
        </w:rPr>
        <w:t>quatre-vingt-</w:t>
      </w:r>
      <w:r w:rsidR="00625BA5" w:rsidRPr="00625BA5">
        <w:rPr>
          <w:lang w:val="fr-FR"/>
        </w:rPr>
        <w:t>onzième</w:t>
      </w:r>
      <w:r>
        <w:rPr>
          <w:lang w:val="fr-FR"/>
        </w:rPr>
        <w:t xml:space="preserve"> session (29 août-23 septembre 2022).</w:t>
      </w:r>
    </w:p>
  </w:footnote>
  <w:footnote w:id="3">
    <w:p w14:paraId="138630A1" w14:textId="07F5AD6E" w:rsidR="009576FC" w:rsidRPr="0098685A" w:rsidRDefault="009576FC" w:rsidP="009576FC">
      <w:pPr>
        <w:pStyle w:val="Notedebasdepage"/>
        <w:rPr>
          <w:lang w:val="fr-FR"/>
        </w:rPr>
      </w:pPr>
      <w:r>
        <w:rPr>
          <w:lang w:val="fr-FR"/>
        </w:rPr>
        <w:tab/>
      </w:r>
      <w:r w:rsidRPr="009576FC">
        <w:rPr>
          <w:rStyle w:val="Appelnotedebasdep"/>
        </w:rPr>
        <w:footnoteRef/>
      </w:r>
      <w:r>
        <w:rPr>
          <w:lang w:val="fr-FR"/>
        </w:rPr>
        <w:tab/>
      </w:r>
      <w:hyperlink r:id="rId1" w:history="1">
        <w:r w:rsidRPr="00DE4710">
          <w:rPr>
            <w:rStyle w:val="Lienhypertexte"/>
            <w:lang w:val="fr-FR"/>
          </w:rPr>
          <w:t>CRC/C/DEU/5-6</w:t>
        </w:r>
      </w:hyperlink>
      <w:r>
        <w:rPr>
          <w:lang w:val="fr-FR"/>
        </w:rPr>
        <w:t>.</w:t>
      </w:r>
    </w:p>
  </w:footnote>
  <w:footnote w:id="4">
    <w:p w14:paraId="1E044B89" w14:textId="7F4703AF" w:rsidR="009576FC" w:rsidRPr="0098685A" w:rsidRDefault="009576FC" w:rsidP="009576FC">
      <w:pPr>
        <w:pStyle w:val="Notedebasdepage"/>
        <w:rPr>
          <w:lang w:val="fr-FR"/>
        </w:rPr>
      </w:pPr>
      <w:r>
        <w:rPr>
          <w:lang w:val="fr-FR"/>
        </w:rPr>
        <w:tab/>
      </w:r>
      <w:r w:rsidRPr="009576FC">
        <w:rPr>
          <w:rStyle w:val="Appelnotedebasdep"/>
        </w:rPr>
        <w:footnoteRef/>
      </w:r>
      <w:r>
        <w:rPr>
          <w:lang w:val="fr-FR"/>
        </w:rPr>
        <w:tab/>
      </w:r>
      <w:r w:rsidR="00625BA5">
        <w:rPr>
          <w:lang w:val="fr-FR"/>
        </w:rPr>
        <w:t xml:space="preserve">Voir </w:t>
      </w:r>
      <w:hyperlink r:id="rId2" w:history="1">
        <w:r w:rsidRPr="00DE4710">
          <w:rPr>
            <w:rStyle w:val="Lienhypertexte"/>
            <w:lang w:val="fr-FR"/>
          </w:rPr>
          <w:t>CRC/C/SR.2642</w:t>
        </w:r>
      </w:hyperlink>
      <w:r>
        <w:rPr>
          <w:lang w:val="fr-FR"/>
        </w:rPr>
        <w:t xml:space="preserve"> et </w:t>
      </w:r>
      <w:hyperlink r:id="rId3" w:history="1">
        <w:r w:rsidRPr="00DE4710">
          <w:rPr>
            <w:rStyle w:val="Lienhypertexte"/>
            <w:lang w:val="fr-FR"/>
          </w:rPr>
          <w:t>CRC/C/SR.2643</w:t>
        </w:r>
      </w:hyperlink>
      <w:r>
        <w:rPr>
          <w:lang w:val="fr-FR"/>
        </w:rPr>
        <w:t>.</w:t>
      </w:r>
    </w:p>
  </w:footnote>
  <w:footnote w:id="5">
    <w:p w14:paraId="25D27F58" w14:textId="71C1CD4A" w:rsidR="009576FC" w:rsidRPr="0098685A" w:rsidRDefault="009576FC" w:rsidP="009576FC">
      <w:pPr>
        <w:pStyle w:val="Notedebasdepage"/>
        <w:rPr>
          <w:lang w:val="fr-FR"/>
        </w:rPr>
      </w:pPr>
      <w:r>
        <w:rPr>
          <w:lang w:val="fr-FR"/>
        </w:rPr>
        <w:tab/>
      </w:r>
      <w:r w:rsidRPr="009576FC">
        <w:rPr>
          <w:rStyle w:val="Appelnotedebasdep"/>
        </w:rPr>
        <w:footnoteRef/>
      </w:r>
      <w:r>
        <w:rPr>
          <w:lang w:val="fr-FR"/>
        </w:rPr>
        <w:tab/>
      </w:r>
      <w:hyperlink r:id="rId4" w:history="1">
        <w:r w:rsidRPr="00DE4710">
          <w:rPr>
            <w:rStyle w:val="Lienhypertexte"/>
            <w:lang w:val="fr-FR"/>
          </w:rPr>
          <w:t>CRC/C/DEU/RQ/5-6</w:t>
        </w:r>
      </w:hyperlink>
      <w:r>
        <w:rPr>
          <w:lang w:val="fr-FR"/>
        </w:rPr>
        <w:t>.</w:t>
      </w:r>
    </w:p>
  </w:footnote>
  <w:footnote w:id="6">
    <w:p w14:paraId="176C0BC4" w14:textId="1D6E6E2A" w:rsidR="009576FC" w:rsidRPr="0098685A" w:rsidRDefault="009576FC" w:rsidP="009576FC">
      <w:pPr>
        <w:pStyle w:val="Notedebasdepage"/>
        <w:rPr>
          <w:lang w:val="fr-FR"/>
        </w:rPr>
      </w:pPr>
      <w:r w:rsidRPr="001E196B">
        <w:rPr>
          <w:lang w:val="fr-FR"/>
        </w:rPr>
        <w:tab/>
      </w:r>
      <w:r w:rsidRPr="009576FC">
        <w:rPr>
          <w:rStyle w:val="Appelnotedebasdep"/>
        </w:rPr>
        <w:footnoteRef/>
      </w:r>
      <w:r>
        <w:rPr>
          <w:lang w:val="fr-FR"/>
        </w:rPr>
        <w:tab/>
      </w:r>
      <w:hyperlink r:id="rId5" w:history="1">
        <w:r w:rsidRPr="00DE4710">
          <w:rPr>
            <w:rStyle w:val="Lienhypertexte"/>
            <w:lang w:val="fr-FR"/>
          </w:rPr>
          <w:t>CRC/C/DEU/CO/3-4</w:t>
        </w:r>
      </w:hyperlink>
      <w:r>
        <w:rPr>
          <w:lang w:val="fr-FR"/>
        </w:rPr>
        <w:t>, par. 12.</w:t>
      </w:r>
    </w:p>
  </w:footnote>
  <w:footnote w:id="7">
    <w:p w14:paraId="270C2BE8" w14:textId="77777777" w:rsidR="009576FC" w:rsidRPr="00D764DB" w:rsidRDefault="009576FC" w:rsidP="009576FC">
      <w:pPr>
        <w:pStyle w:val="Notedebasdepage"/>
        <w:rPr>
          <w:lang w:val="fr-FR"/>
        </w:rPr>
      </w:pPr>
      <w:r w:rsidRPr="001E196B">
        <w:rPr>
          <w:lang w:val="fr-FR"/>
        </w:rPr>
        <w:tab/>
      </w:r>
      <w:r w:rsidRPr="009576FC">
        <w:rPr>
          <w:rStyle w:val="Appelnotedebasdep"/>
        </w:rPr>
        <w:footnoteRef/>
      </w:r>
      <w:r w:rsidRPr="00D764DB">
        <w:rPr>
          <w:lang w:val="fr-FR"/>
        </w:rPr>
        <w:tab/>
        <w:t>Ibid., par. 14.</w:t>
      </w:r>
    </w:p>
  </w:footnote>
  <w:footnote w:id="8">
    <w:p w14:paraId="18FD249F" w14:textId="33EF560B" w:rsidR="009576FC" w:rsidRPr="00D764DB" w:rsidRDefault="009576FC" w:rsidP="009576FC">
      <w:pPr>
        <w:pStyle w:val="Notedebasdepage"/>
        <w:rPr>
          <w:lang w:val="fr-FR"/>
        </w:rPr>
      </w:pPr>
      <w:r w:rsidRPr="00873672">
        <w:rPr>
          <w:lang w:val="fr-FR"/>
        </w:rPr>
        <w:tab/>
      </w:r>
      <w:r w:rsidRPr="009576FC">
        <w:rPr>
          <w:rStyle w:val="Appelnotedebasdep"/>
        </w:rPr>
        <w:footnoteRef/>
      </w:r>
      <w:r>
        <w:rPr>
          <w:lang w:val="fr-FR"/>
        </w:rPr>
        <w:tab/>
      </w:r>
      <w:hyperlink r:id="rId6" w:history="1">
        <w:r w:rsidRPr="00DE4710">
          <w:rPr>
            <w:rStyle w:val="Lienhypertexte"/>
            <w:lang w:val="fr-FR"/>
          </w:rPr>
          <w:t>CRC/C/156</w:t>
        </w:r>
      </w:hyperlink>
      <w:r>
        <w:rPr>
          <w:lang w:val="fr-FR"/>
        </w:rPr>
        <w:t>.</w:t>
      </w:r>
    </w:p>
  </w:footnote>
  <w:footnote w:id="9">
    <w:p w14:paraId="4272AA39" w14:textId="1A7C6267" w:rsidR="009576FC" w:rsidRPr="002835FE" w:rsidRDefault="009576FC" w:rsidP="009576FC">
      <w:pPr>
        <w:pStyle w:val="Notedebasdepage"/>
        <w:rPr>
          <w:lang w:val="fr-FR"/>
        </w:rPr>
      </w:pPr>
      <w:r w:rsidRPr="00B92621">
        <w:rPr>
          <w:lang w:val="fr-FR"/>
        </w:rPr>
        <w:tab/>
      </w:r>
      <w:r w:rsidRPr="009576FC">
        <w:rPr>
          <w:rStyle w:val="Appelnotedebasdep"/>
        </w:rPr>
        <w:footnoteRef/>
      </w:r>
      <w:r>
        <w:rPr>
          <w:lang w:val="fr-FR"/>
        </w:rPr>
        <w:tab/>
        <w:t xml:space="preserve">Voir </w:t>
      </w:r>
      <w:hyperlink r:id="rId7" w:history="1">
        <w:r w:rsidRPr="00DE4710">
          <w:rPr>
            <w:rStyle w:val="Lienhypertexte"/>
            <w:lang w:val="fr-FR"/>
          </w:rPr>
          <w:t>CRC/C/OPAC/DEU/CO/1</w:t>
        </w:r>
      </w:hyperlink>
      <w:r>
        <w:rPr>
          <w:lang w:val="fr-FR"/>
        </w:rPr>
        <w:t>.</w:t>
      </w:r>
    </w:p>
  </w:footnote>
  <w:footnote w:id="10">
    <w:p w14:paraId="43F92AF8" w14:textId="4A58F733" w:rsidR="009576FC" w:rsidRPr="00172017" w:rsidRDefault="009576FC" w:rsidP="009576FC">
      <w:pPr>
        <w:pStyle w:val="Notedebasdepage"/>
        <w:rPr>
          <w:lang w:val="fr-FR"/>
        </w:rPr>
      </w:pPr>
      <w:r w:rsidRPr="00873672">
        <w:rPr>
          <w:lang w:val="fr-FR"/>
        </w:rPr>
        <w:tab/>
      </w:r>
      <w:r w:rsidRPr="009576FC">
        <w:rPr>
          <w:rStyle w:val="Appelnotedebasdep"/>
        </w:rPr>
        <w:footnoteRef/>
      </w:r>
      <w:r>
        <w:rPr>
          <w:lang w:val="fr-FR"/>
        </w:rPr>
        <w:tab/>
      </w:r>
      <w:hyperlink r:id="rId8" w:history="1">
        <w:r w:rsidRPr="00DE4710">
          <w:rPr>
            <w:rStyle w:val="Lienhypertexte"/>
            <w:lang w:val="fr-FR"/>
          </w:rPr>
          <w:t>CRC/C/58/Rev.3</w:t>
        </w:r>
      </w:hyperlink>
      <w:r>
        <w:rPr>
          <w:lang w:val="fr-FR"/>
        </w:rPr>
        <w:t>.</w:t>
      </w:r>
    </w:p>
  </w:footnote>
  <w:footnote w:id="11">
    <w:p w14:paraId="48F232E7" w14:textId="21D5B4FE" w:rsidR="009576FC" w:rsidRPr="00172017" w:rsidRDefault="009576FC" w:rsidP="009576FC">
      <w:pPr>
        <w:pStyle w:val="Notedebasdepage"/>
        <w:rPr>
          <w:lang w:val="fr-FR"/>
        </w:rPr>
      </w:pPr>
      <w:r>
        <w:rPr>
          <w:lang w:val="fr-FR"/>
        </w:rPr>
        <w:tab/>
      </w:r>
      <w:r w:rsidRPr="009576FC">
        <w:rPr>
          <w:rStyle w:val="Appelnotedebasdep"/>
        </w:rPr>
        <w:footnoteRef/>
      </w:r>
      <w:r>
        <w:rPr>
          <w:lang w:val="fr-FR"/>
        </w:rPr>
        <w:tab/>
        <w:t>Résolution 68/268 de l’Assemblée générale, par.</w:t>
      </w:r>
      <w:r w:rsidR="00384737">
        <w:rPr>
          <w:lang w:val="fr-FR"/>
        </w:rPr>
        <w:t> </w:t>
      </w:r>
      <w:r>
        <w:rPr>
          <w:lang w:val="fr-FR"/>
        </w:rPr>
        <w:t>16.</w:t>
      </w:r>
    </w:p>
  </w:footnote>
  <w:footnote w:id="12">
    <w:p w14:paraId="0E979459" w14:textId="2D67E6CE" w:rsidR="009576FC" w:rsidRPr="009576FC" w:rsidRDefault="009576FC" w:rsidP="009576FC">
      <w:pPr>
        <w:pStyle w:val="Notedebasdepage"/>
        <w:rPr>
          <w:lang w:val="en-US"/>
        </w:rPr>
      </w:pPr>
      <w:r>
        <w:rPr>
          <w:lang w:val="fr-FR"/>
        </w:rPr>
        <w:tab/>
      </w:r>
      <w:r w:rsidRPr="009576FC">
        <w:rPr>
          <w:rStyle w:val="Appelnotedebasdep"/>
        </w:rPr>
        <w:footnoteRef/>
      </w:r>
      <w:r w:rsidRPr="00172017">
        <w:rPr>
          <w:lang w:val="en-US"/>
        </w:rPr>
        <w:tab/>
      </w:r>
      <w:hyperlink r:id="rId9" w:history="1">
        <w:r w:rsidRPr="00DE4710">
          <w:rPr>
            <w:rStyle w:val="Lienhypertexte"/>
            <w:lang w:val="en-US"/>
          </w:rPr>
          <w:t>HRI/GEN/2/Rev.6</w:t>
        </w:r>
      </w:hyperlink>
      <w:r w:rsidRPr="00172017">
        <w:rPr>
          <w:lang w:val="en-US"/>
        </w:rPr>
        <w:t>, chap.</w:t>
      </w:r>
      <w:r w:rsidR="00384737">
        <w:rPr>
          <w:lang w:val="en-US"/>
        </w:rPr>
        <w:t> </w:t>
      </w:r>
      <w:r w:rsidRPr="00172017">
        <w:rPr>
          <w:lang w:val="en-US"/>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91BB" w14:textId="01269B45" w:rsidR="009576FC" w:rsidRPr="009576FC" w:rsidRDefault="00834B7B">
    <w:pPr>
      <w:pStyle w:val="En-tte"/>
    </w:pPr>
    <w:r>
      <w:fldChar w:fldCharType="begin"/>
    </w:r>
    <w:r>
      <w:instrText xml:space="preserve"> TITLE  \* MERGEFORMAT </w:instrText>
    </w:r>
    <w:r>
      <w:fldChar w:fldCharType="separate"/>
    </w:r>
    <w:r>
      <w:t>CRC/C/DEU/CO/5-6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A93" w14:textId="69848922" w:rsidR="009576FC" w:rsidRPr="009576FC" w:rsidRDefault="00834B7B" w:rsidP="009576FC">
    <w:pPr>
      <w:pStyle w:val="En-tte"/>
      <w:jc w:val="right"/>
    </w:pPr>
    <w:r>
      <w:fldChar w:fldCharType="begin"/>
    </w:r>
    <w:r>
      <w:instrText xml:space="preserve"> TITLE  \* MERGEFORMAT </w:instrText>
    </w:r>
    <w:r>
      <w:fldChar w:fldCharType="separate"/>
    </w:r>
    <w:r>
      <w:t>CRC/C/DEU/CO/5-6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74EF1"/>
    <w:multiLevelType w:val="hybridMultilevel"/>
    <w:tmpl w:val="72F6BCCE"/>
    <w:lvl w:ilvl="0" w:tplc="D564FE10">
      <w:start w:val="1"/>
      <w:numFmt w:val="lowerLetter"/>
      <w:lvlText w:val="(%1)"/>
      <w:lvlJc w:val="left"/>
      <w:pPr>
        <w:ind w:left="2421" w:hanging="360"/>
      </w:pPr>
      <w:rPr>
        <w:rFonts w:hint="default"/>
      </w:rPr>
    </w:lvl>
    <w:lvl w:ilvl="1" w:tplc="D564FE10">
      <w:start w:val="1"/>
      <w:numFmt w:val="lowerLetter"/>
      <w:lvlText w:val="(%2)"/>
      <w:lvlJc w:val="left"/>
      <w:pPr>
        <w:ind w:left="4330"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172272"/>
    <w:multiLevelType w:val="hybridMultilevel"/>
    <w:tmpl w:val="478C377E"/>
    <w:lvl w:ilvl="0" w:tplc="D564FE1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0F9631A7"/>
    <w:multiLevelType w:val="hybridMultilevel"/>
    <w:tmpl w:val="5C4A0DEE"/>
    <w:lvl w:ilvl="0" w:tplc="B2CCCC32">
      <w:start w:val="1"/>
      <w:numFmt w:val="decimal"/>
      <w:lvlText w:val="%1."/>
      <w:lvlJc w:val="left"/>
      <w:pPr>
        <w:ind w:left="1689" w:hanging="555"/>
      </w:pPr>
      <w:rPr>
        <w:rFonts w:hint="default"/>
        <w:b w:val="0"/>
        <w:bCs/>
      </w:rPr>
    </w:lvl>
    <w:lvl w:ilvl="1" w:tplc="CBCE2AE4">
      <w:start w:val="1"/>
      <w:numFmt w:val="lowerLetter"/>
      <w:lvlText w:val="(%2)"/>
      <w:lvlJc w:val="left"/>
      <w:pPr>
        <w:ind w:left="2424" w:hanging="57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0DE567F"/>
    <w:multiLevelType w:val="hybridMultilevel"/>
    <w:tmpl w:val="09A0B28E"/>
    <w:lvl w:ilvl="0" w:tplc="D564FE10">
      <w:start w:val="1"/>
      <w:numFmt w:val="lowerLetter"/>
      <w:lvlText w:val="(%1)"/>
      <w:lvlJc w:val="left"/>
      <w:pPr>
        <w:ind w:left="2421" w:hanging="360"/>
      </w:pPr>
      <w:rPr>
        <w:rFonts w:hint="default"/>
      </w:rPr>
    </w:lvl>
    <w:lvl w:ilvl="1" w:tplc="D564FE1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111765A7"/>
    <w:multiLevelType w:val="hybridMultilevel"/>
    <w:tmpl w:val="18CCC524"/>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1DD7258"/>
    <w:multiLevelType w:val="hybridMultilevel"/>
    <w:tmpl w:val="E6445372"/>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7A197D"/>
    <w:multiLevelType w:val="hybridMultilevel"/>
    <w:tmpl w:val="F5ECDEAC"/>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D574A0F"/>
    <w:multiLevelType w:val="hybridMultilevel"/>
    <w:tmpl w:val="13E6BE04"/>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A50B40"/>
    <w:multiLevelType w:val="hybridMultilevel"/>
    <w:tmpl w:val="DE88C23A"/>
    <w:lvl w:ilvl="0" w:tplc="20A0029E">
      <w:start w:val="1"/>
      <w:numFmt w:val="lowerLetter"/>
      <w:lvlText w:val="(%1)"/>
      <w:lvlJc w:val="left"/>
      <w:pPr>
        <w:ind w:left="1494" w:hanging="360"/>
      </w:pPr>
      <w:rPr>
        <w:rFonts w:eastAsia="Malgun Gothic"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37F3289"/>
    <w:multiLevelType w:val="hybridMultilevel"/>
    <w:tmpl w:val="0010CD9E"/>
    <w:lvl w:ilvl="0" w:tplc="D564FE10">
      <w:start w:val="1"/>
      <w:numFmt w:val="lowerLetter"/>
      <w:lvlText w:val="(%1)"/>
      <w:lvlJc w:val="left"/>
      <w:pPr>
        <w:ind w:left="1854" w:hanging="360"/>
      </w:pPr>
      <w:rPr>
        <w:rFonts w:hint="default"/>
      </w:rPr>
    </w:lvl>
    <w:lvl w:ilvl="1" w:tplc="0C22B0C8">
      <w:start w:val="1"/>
      <w:numFmt w:val="lowerLetter"/>
      <w:lvlText w:val="(%2)"/>
      <w:lvlJc w:val="left"/>
      <w:pPr>
        <w:ind w:left="2574" w:hanging="360"/>
      </w:pPr>
      <w:rPr>
        <w:rFonts w:ascii="Times New Roman" w:hAnsi="Times New Roman" w:cs="Times New Roman" w:hint="default"/>
        <w:sz w:val="20"/>
        <w:szCs w:val="2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615848"/>
    <w:multiLevelType w:val="hybridMultilevel"/>
    <w:tmpl w:val="4A0652F4"/>
    <w:lvl w:ilvl="0" w:tplc="5E3EF1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EA67EED"/>
    <w:multiLevelType w:val="hybridMultilevel"/>
    <w:tmpl w:val="230ABBC2"/>
    <w:lvl w:ilvl="0" w:tplc="D564FE10">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532508F1"/>
    <w:multiLevelType w:val="hybridMultilevel"/>
    <w:tmpl w:val="4DEE1550"/>
    <w:lvl w:ilvl="0" w:tplc="D564FE10">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3FA619A"/>
    <w:multiLevelType w:val="hybridMultilevel"/>
    <w:tmpl w:val="B7CED3A8"/>
    <w:lvl w:ilvl="0" w:tplc="D564FE10">
      <w:start w:val="1"/>
      <w:numFmt w:val="lowerLetter"/>
      <w:lvlText w:val="(%1)"/>
      <w:lvlJc w:val="left"/>
      <w:pPr>
        <w:ind w:left="2421" w:hanging="360"/>
      </w:pPr>
      <w:rPr>
        <w:rFonts w:hint="default"/>
      </w:rPr>
    </w:lvl>
    <w:lvl w:ilvl="1" w:tplc="D564FE10">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55AB5198"/>
    <w:multiLevelType w:val="hybridMultilevel"/>
    <w:tmpl w:val="821CDB22"/>
    <w:lvl w:ilvl="0" w:tplc="8FAEAC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5FF4F1D"/>
    <w:multiLevelType w:val="hybridMultilevel"/>
    <w:tmpl w:val="A79812A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70C37EF"/>
    <w:multiLevelType w:val="hybridMultilevel"/>
    <w:tmpl w:val="C62AE2CA"/>
    <w:lvl w:ilvl="0" w:tplc="998CF4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8E76C79"/>
    <w:multiLevelType w:val="hybridMultilevel"/>
    <w:tmpl w:val="375ABE66"/>
    <w:lvl w:ilvl="0" w:tplc="D564FE1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15:restartNumberingAfterBreak="0">
    <w:nsid w:val="5B08050D"/>
    <w:multiLevelType w:val="hybridMultilevel"/>
    <w:tmpl w:val="2216EC0A"/>
    <w:lvl w:ilvl="0" w:tplc="9800D7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1F7D3E"/>
    <w:multiLevelType w:val="hybridMultilevel"/>
    <w:tmpl w:val="0FB4B4F2"/>
    <w:lvl w:ilvl="0" w:tplc="3F564CB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A92BCD"/>
    <w:multiLevelType w:val="hybridMultilevel"/>
    <w:tmpl w:val="77CC5A58"/>
    <w:lvl w:ilvl="0" w:tplc="AC082B0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79A57D37"/>
    <w:multiLevelType w:val="hybridMultilevel"/>
    <w:tmpl w:val="D402DA4C"/>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C54744C"/>
    <w:multiLevelType w:val="hybridMultilevel"/>
    <w:tmpl w:val="2730C456"/>
    <w:lvl w:ilvl="0" w:tplc="FE2ECC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00358609">
    <w:abstractNumId w:val="37"/>
  </w:num>
  <w:num w:numId="2" w16cid:durableId="2005082145">
    <w:abstractNumId w:val="24"/>
  </w:num>
  <w:num w:numId="3" w16cid:durableId="1575512628">
    <w:abstractNumId w:val="12"/>
  </w:num>
  <w:num w:numId="4" w16cid:durableId="919365599">
    <w:abstractNumId w:val="8"/>
  </w:num>
  <w:num w:numId="5" w16cid:durableId="492062184">
    <w:abstractNumId w:val="3"/>
  </w:num>
  <w:num w:numId="6" w16cid:durableId="1018045618">
    <w:abstractNumId w:val="2"/>
  </w:num>
  <w:num w:numId="7" w16cid:durableId="1917209006">
    <w:abstractNumId w:val="1"/>
  </w:num>
  <w:num w:numId="8" w16cid:durableId="574517248">
    <w:abstractNumId w:val="0"/>
  </w:num>
  <w:num w:numId="9" w16cid:durableId="1989237443">
    <w:abstractNumId w:val="9"/>
  </w:num>
  <w:num w:numId="10" w16cid:durableId="1216547274">
    <w:abstractNumId w:val="7"/>
  </w:num>
  <w:num w:numId="11" w16cid:durableId="592663459">
    <w:abstractNumId w:val="6"/>
  </w:num>
  <w:num w:numId="12" w16cid:durableId="2136243388">
    <w:abstractNumId w:val="5"/>
  </w:num>
  <w:num w:numId="13" w16cid:durableId="508524207">
    <w:abstractNumId w:val="4"/>
  </w:num>
  <w:num w:numId="14" w16cid:durableId="197398516">
    <w:abstractNumId w:val="37"/>
  </w:num>
  <w:num w:numId="15" w16cid:durableId="1364138884">
    <w:abstractNumId w:val="24"/>
  </w:num>
  <w:num w:numId="16" w16cid:durableId="384180304">
    <w:abstractNumId w:val="12"/>
  </w:num>
  <w:num w:numId="17" w16cid:durableId="922186289">
    <w:abstractNumId w:val="37"/>
  </w:num>
  <w:num w:numId="18" w16cid:durableId="427896657">
    <w:abstractNumId w:val="24"/>
  </w:num>
  <w:num w:numId="19" w16cid:durableId="807741284">
    <w:abstractNumId w:val="12"/>
  </w:num>
  <w:num w:numId="20" w16cid:durableId="669871498">
    <w:abstractNumId w:val="23"/>
  </w:num>
  <w:num w:numId="21" w16cid:durableId="579606816">
    <w:abstractNumId w:val="21"/>
  </w:num>
  <w:num w:numId="22" w16cid:durableId="271128622">
    <w:abstractNumId w:val="11"/>
  </w:num>
  <w:num w:numId="23" w16cid:durableId="1095055076">
    <w:abstractNumId w:val="35"/>
  </w:num>
  <w:num w:numId="24" w16cid:durableId="2078357851">
    <w:abstractNumId w:val="36"/>
  </w:num>
  <w:num w:numId="25" w16cid:durableId="570507422">
    <w:abstractNumId w:val="39"/>
  </w:num>
  <w:num w:numId="26" w16cid:durableId="537669519">
    <w:abstractNumId w:val="18"/>
  </w:num>
  <w:num w:numId="27" w16cid:durableId="1157569848">
    <w:abstractNumId w:val="14"/>
  </w:num>
  <w:num w:numId="28" w16cid:durableId="773596559">
    <w:abstractNumId w:val="32"/>
  </w:num>
  <w:num w:numId="29" w16cid:durableId="596443507">
    <w:abstractNumId w:val="30"/>
  </w:num>
  <w:num w:numId="30" w16cid:durableId="1392582646">
    <w:abstractNumId w:val="22"/>
  </w:num>
  <w:num w:numId="31" w16cid:durableId="1605067894">
    <w:abstractNumId w:val="40"/>
  </w:num>
  <w:num w:numId="32" w16cid:durableId="1324774109">
    <w:abstractNumId w:val="34"/>
  </w:num>
  <w:num w:numId="33" w16cid:durableId="1543247110">
    <w:abstractNumId w:val="26"/>
  </w:num>
  <w:num w:numId="34" w16cid:durableId="947857133">
    <w:abstractNumId w:val="17"/>
  </w:num>
  <w:num w:numId="35" w16cid:durableId="389498684">
    <w:abstractNumId w:val="38"/>
  </w:num>
  <w:num w:numId="36" w16cid:durableId="94177825">
    <w:abstractNumId w:val="27"/>
  </w:num>
  <w:num w:numId="37" w16cid:durableId="916326408">
    <w:abstractNumId w:val="15"/>
  </w:num>
  <w:num w:numId="38" w16cid:durableId="1256597003">
    <w:abstractNumId w:val="29"/>
  </w:num>
  <w:num w:numId="39" w16cid:durableId="865556205">
    <w:abstractNumId w:val="33"/>
  </w:num>
  <w:num w:numId="40" w16cid:durableId="316811348">
    <w:abstractNumId w:val="10"/>
  </w:num>
  <w:num w:numId="41" w16cid:durableId="1785420384">
    <w:abstractNumId w:val="20"/>
  </w:num>
  <w:num w:numId="42" w16cid:durableId="1338464881">
    <w:abstractNumId w:val="25"/>
  </w:num>
  <w:num w:numId="43" w16cid:durableId="1560553921">
    <w:abstractNumId w:val="16"/>
  </w:num>
  <w:num w:numId="44" w16cid:durableId="156580035">
    <w:abstractNumId w:val="13"/>
  </w:num>
  <w:num w:numId="45" w16cid:durableId="1044333717">
    <w:abstractNumId w:val="41"/>
  </w:num>
  <w:num w:numId="46" w16cid:durableId="1077553642">
    <w:abstractNumId w:val="28"/>
  </w:num>
  <w:num w:numId="47" w16cid:durableId="541209265">
    <w:abstractNumId w:val="31"/>
  </w:num>
  <w:num w:numId="48" w16cid:durableId="2071996898">
    <w:abstractNumId w:val="19"/>
  </w:num>
  <w:num w:numId="49" w16cid:durableId="113467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46"/>
    <w:rsid w:val="00017F94"/>
    <w:rsid w:val="00023842"/>
    <w:rsid w:val="000334F9"/>
    <w:rsid w:val="000354E9"/>
    <w:rsid w:val="000701A4"/>
    <w:rsid w:val="0007796D"/>
    <w:rsid w:val="000B7790"/>
    <w:rsid w:val="00111F2F"/>
    <w:rsid w:val="0014365E"/>
    <w:rsid w:val="00151A69"/>
    <w:rsid w:val="0017353E"/>
    <w:rsid w:val="00176178"/>
    <w:rsid w:val="001800DE"/>
    <w:rsid w:val="00181018"/>
    <w:rsid w:val="001D6F33"/>
    <w:rsid w:val="001F525A"/>
    <w:rsid w:val="00223272"/>
    <w:rsid w:val="002260E4"/>
    <w:rsid w:val="00231001"/>
    <w:rsid w:val="0024779E"/>
    <w:rsid w:val="00260A30"/>
    <w:rsid w:val="002764A7"/>
    <w:rsid w:val="002C707E"/>
    <w:rsid w:val="002D14A3"/>
    <w:rsid w:val="00311E81"/>
    <w:rsid w:val="00337E00"/>
    <w:rsid w:val="00340ED0"/>
    <w:rsid w:val="003548DA"/>
    <w:rsid w:val="00384737"/>
    <w:rsid w:val="00411C8E"/>
    <w:rsid w:val="00426D34"/>
    <w:rsid w:val="004279EC"/>
    <w:rsid w:val="00446FE5"/>
    <w:rsid w:val="00452396"/>
    <w:rsid w:val="0048526F"/>
    <w:rsid w:val="00485B35"/>
    <w:rsid w:val="004D7A2C"/>
    <w:rsid w:val="00530733"/>
    <w:rsid w:val="005505B7"/>
    <w:rsid w:val="00565D9A"/>
    <w:rsid w:val="00573BE5"/>
    <w:rsid w:val="00586ED3"/>
    <w:rsid w:val="00596AA9"/>
    <w:rsid w:val="005B6852"/>
    <w:rsid w:val="00607E0E"/>
    <w:rsid w:val="0061430C"/>
    <w:rsid w:val="00625BA5"/>
    <w:rsid w:val="006614CB"/>
    <w:rsid w:val="006629B8"/>
    <w:rsid w:val="006974C0"/>
    <w:rsid w:val="006A0216"/>
    <w:rsid w:val="0071601D"/>
    <w:rsid w:val="007341B7"/>
    <w:rsid w:val="00750485"/>
    <w:rsid w:val="00760CBC"/>
    <w:rsid w:val="007A62E6"/>
    <w:rsid w:val="007F61AD"/>
    <w:rsid w:val="0080684C"/>
    <w:rsid w:val="00834B7B"/>
    <w:rsid w:val="00840413"/>
    <w:rsid w:val="00871C75"/>
    <w:rsid w:val="008776DC"/>
    <w:rsid w:val="008C54BD"/>
    <w:rsid w:val="008E59F6"/>
    <w:rsid w:val="008F3CA0"/>
    <w:rsid w:val="009576FC"/>
    <w:rsid w:val="009705C8"/>
    <w:rsid w:val="0099215A"/>
    <w:rsid w:val="009A7969"/>
    <w:rsid w:val="00A2334A"/>
    <w:rsid w:val="00A30353"/>
    <w:rsid w:val="00A56387"/>
    <w:rsid w:val="00A93E4F"/>
    <w:rsid w:val="00AB316E"/>
    <w:rsid w:val="00AC3823"/>
    <w:rsid w:val="00AE0846"/>
    <w:rsid w:val="00AE323C"/>
    <w:rsid w:val="00AE330F"/>
    <w:rsid w:val="00B00181"/>
    <w:rsid w:val="00B24A9B"/>
    <w:rsid w:val="00B27BB7"/>
    <w:rsid w:val="00B71F4A"/>
    <w:rsid w:val="00B765F7"/>
    <w:rsid w:val="00B94258"/>
    <w:rsid w:val="00BA0CA9"/>
    <w:rsid w:val="00C02897"/>
    <w:rsid w:val="00C25DD4"/>
    <w:rsid w:val="00C50A3D"/>
    <w:rsid w:val="00CA48FC"/>
    <w:rsid w:val="00CE4B96"/>
    <w:rsid w:val="00D1441C"/>
    <w:rsid w:val="00D322AD"/>
    <w:rsid w:val="00D3439C"/>
    <w:rsid w:val="00D56E76"/>
    <w:rsid w:val="00DB1831"/>
    <w:rsid w:val="00DD314B"/>
    <w:rsid w:val="00DD3BFD"/>
    <w:rsid w:val="00DE4710"/>
    <w:rsid w:val="00DF6678"/>
    <w:rsid w:val="00E37251"/>
    <w:rsid w:val="00E57E25"/>
    <w:rsid w:val="00F078F1"/>
    <w:rsid w:val="00F4274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3E248"/>
  <w15:docId w15:val="{6AE95723-9C45-4A6B-9B6D-6383A3E1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311E81"/>
    <w:pPr>
      <w:spacing w:line="240" w:lineRule="auto"/>
    </w:pPr>
    <w:rPr>
      <w:sz w:val="16"/>
    </w:rPr>
  </w:style>
  <w:style w:type="character" w:customStyle="1" w:styleId="PieddepageCar">
    <w:name w:val="Pied de page Car"/>
    <w:aliases w:val="3_G Car"/>
    <w:basedOn w:val="Policepardfaut"/>
    <w:link w:val="Pieddepage"/>
    <w:uiPriority w:val="99"/>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9576FC"/>
    <w:pPr>
      <w:numPr>
        <w:numId w:val="22"/>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9576FC"/>
    <w:pPr>
      <w:numPr>
        <w:numId w:val="24"/>
      </w:numPr>
    </w:pPr>
  </w:style>
  <w:style w:type="numbering" w:styleId="1ai">
    <w:name w:val="Outline List 1"/>
    <w:basedOn w:val="Aucuneliste"/>
    <w:semiHidden/>
    <w:rsid w:val="009576FC"/>
    <w:pPr>
      <w:numPr>
        <w:numId w:val="25"/>
      </w:numPr>
    </w:pPr>
  </w:style>
  <w:style w:type="character" w:styleId="Titredulivre">
    <w:name w:val="Book Title"/>
    <w:basedOn w:val="Policepardfaut"/>
    <w:uiPriority w:val="33"/>
    <w:semiHidden/>
    <w:rsid w:val="009576FC"/>
    <w:rPr>
      <w:b/>
      <w:bCs/>
      <w:smallCaps/>
      <w:spacing w:val="5"/>
    </w:rPr>
  </w:style>
  <w:style w:type="character" w:customStyle="1" w:styleId="SingleTxtGChar">
    <w:name w:val="_ Single Txt_G Char"/>
    <w:link w:val="SingleTxtG"/>
    <w:locked/>
    <w:rsid w:val="009576FC"/>
    <w:rPr>
      <w:rFonts w:ascii="Times New Roman" w:eastAsiaTheme="minorHAnsi" w:hAnsi="Times New Roman" w:cs="Times New Roman"/>
      <w:sz w:val="20"/>
      <w:szCs w:val="20"/>
      <w:lang w:eastAsia="en-US"/>
    </w:rPr>
  </w:style>
  <w:style w:type="paragraph" w:styleId="Rvision">
    <w:name w:val="Revision"/>
    <w:hidden/>
    <w:uiPriority w:val="99"/>
    <w:semiHidden/>
    <w:rsid w:val="009576FC"/>
    <w:pPr>
      <w:spacing w:after="0" w:line="240" w:lineRule="auto"/>
    </w:pPr>
    <w:rPr>
      <w:rFonts w:ascii="Times New Roman" w:hAnsi="Times New Roman" w:cs="Times New Roman"/>
      <w:sz w:val="20"/>
      <w:szCs w:val="20"/>
      <w:lang w:val="en-GB" w:eastAsia="en-US"/>
    </w:rPr>
  </w:style>
  <w:style w:type="character" w:customStyle="1" w:styleId="FootnoteAnchor">
    <w:name w:val="Footnote Anchor"/>
    <w:semiHidden/>
    <w:rsid w:val="009576FC"/>
    <w:rPr>
      <w:vertAlign w:val="superscript"/>
    </w:rPr>
  </w:style>
  <w:style w:type="character" w:styleId="Mentionnonrsolue">
    <w:name w:val="Unresolved Mention"/>
    <w:basedOn w:val="Policepardfaut"/>
    <w:uiPriority w:val="99"/>
    <w:semiHidden/>
    <w:unhideWhenUsed/>
    <w:rsid w:val="009576FC"/>
    <w:rPr>
      <w:color w:val="605E5C"/>
      <w:shd w:val="clear" w:color="auto" w:fill="E1DFDD"/>
    </w:rPr>
  </w:style>
  <w:style w:type="paragraph" w:styleId="Commentaire">
    <w:name w:val="annotation text"/>
    <w:basedOn w:val="Normal"/>
    <w:link w:val="CommentaireCar"/>
    <w:uiPriority w:val="99"/>
    <w:semiHidden/>
    <w:unhideWhenUsed/>
    <w:rsid w:val="009576FC"/>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9576FC"/>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9576FC"/>
    <w:rPr>
      <w:sz w:val="16"/>
      <w:szCs w:val="16"/>
    </w:rPr>
  </w:style>
  <w:style w:type="paragraph" w:styleId="Objetducommentaire">
    <w:name w:val="annotation subject"/>
    <w:basedOn w:val="Commentaire"/>
    <w:next w:val="Commentaire"/>
    <w:link w:val="ObjetducommentaireCar"/>
    <w:uiPriority w:val="99"/>
    <w:semiHidden/>
    <w:unhideWhenUsed/>
    <w:rsid w:val="009576FC"/>
    <w:rPr>
      <w:b/>
      <w:bCs/>
    </w:rPr>
  </w:style>
  <w:style w:type="character" w:customStyle="1" w:styleId="ObjetducommentaireCar">
    <w:name w:val="Objet du commentaire Car"/>
    <w:basedOn w:val="CommentaireCar"/>
    <w:link w:val="Objetducommentaire"/>
    <w:uiPriority w:val="99"/>
    <w:semiHidden/>
    <w:rsid w:val="009576FC"/>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58/Rev.3" TargetMode="External"/><Relationship Id="rId3" Type="http://schemas.openxmlformats.org/officeDocument/2006/relationships/hyperlink" Target="http://undocs.org/fr/CRC/C/SR.2643" TargetMode="External"/><Relationship Id="rId7" Type="http://schemas.openxmlformats.org/officeDocument/2006/relationships/hyperlink" Target="http://undocs.org/fr/CRC/C/OPAC/DEU/CO/1" TargetMode="External"/><Relationship Id="rId2" Type="http://schemas.openxmlformats.org/officeDocument/2006/relationships/hyperlink" Target="http://undocs.org/fr/CRC/C/SR.2642" TargetMode="External"/><Relationship Id="rId1" Type="http://schemas.openxmlformats.org/officeDocument/2006/relationships/hyperlink" Target="http://undocs.org/fr/CRC/C/DEU/5-6" TargetMode="External"/><Relationship Id="rId6" Type="http://schemas.openxmlformats.org/officeDocument/2006/relationships/hyperlink" Target="http://undocs.org/fr/CRC/C/156" TargetMode="External"/><Relationship Id="rId5" Type="http://schemas.openxmlformats.org/officeDocument/2006/relationships/hyperlink" Target="http://undocs.org/fr/CRC/C/DEU/CO/3-4" TargetMode="External"/><Relationship Id="rId4" Type="http://schemas.openxmlformats.org/officeDocument/2006/relationships/hyperlink" Target="http://undocs.org/fr/CRC/C/DEU/RQ/5-6" TargetMode="External"/><Relationship Id="rId9" Type="http://schemas.openxmlformats.org/officeDocument/2006/relationships/hyperlink" Target="http://undocs.org/fr/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17</Pages>
  <Words>8432</Words>
  <Characters>47139</Characters>
  <Application>Microsoft Office Word</Application>
  <DocSecurity>0</DocSecurity>
  <Lines>4713</Lines>
  <Paragraphs>2222</Paragraphs>
  <ScaleCrop>false</ScaleCrop>
  <HeadingPairs>
    <vt:vector size="2" baseType="variant">
      <vt:variant>
        <vt:lpstr>Titre</vt:lpstr>
      </vt:variant>
      <vt:variant>
        <vt:i4>1</vt:i4>
      </vt:variant>
    </vt:vector>
  </HeadingPairs>
  <TitlesOfParts>
    <vt:vector size="1" baseType="lpstr">
      <vt:lpstr>CRC/C/DEU/CO/5-6</vt:lpstr>
    </vt:vector>
  </TitlesOfParts>
  <Company>DCM</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CRC/C/DEU/CO/5-6</dc:title>
  <dc:subject/>
  <dc:creator>Corinne ROBERT</dc:creator>
  <cp:keywords/>
  <cp:lastModifiedBy>Corinne Robert</cp:lastModifiedBy>
  <cp:revision>3</cp:revision>
  <cp:lastPrinted>2023-04-19T11:06:00Z</cp:lastPrinted>
  <dcterms:created xsi:type="dcterms:W3CDTF">2023-04-19T11:06:00Z</dcterms:created>
  <dcterms:modified xsi:type="dcterms:W3CDTF">2023-04-19T11:10:00Z</dcterms:modified>
</cp:coreProperties>
</file>