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9093B" w:rsidP="0089093B">
            <w:pPr>
              <w:suppressAutoHyphens w:val="0"/>
              <w:spacing w:after="20"/>
              <w:jc w:val="right"/>
            </w:pPr>
            <w:r w:rsidRPr="0089093B">
              <w:rPr>
                <w:sz w:val="40"/>
              </w:rPr>
              <w:t>CCPR</w:t>
            </w:r>
            <w:r>
              <w:t>/C/NLD/CO/5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9093B" w:rsidP="0089093B">
            <w:pPr>
              <w:suppressAutoHyphens w:val="0"/>
              <w:spacing w:before="240"/>
            </w:pPr>
            <w:r>
              <w:t>Distr.: General</w:t>
            </w:r>
          </w:p>
          <w:p w:rsidR="0089093B" w:rsidRDefault="00797872" w:rsidP="0089093B">
            <w:pPr>
              <w:suppressAutoHyphens w:val="0"/>
            </w:pPr>
            <w:r>
              <w:t>22</w:t>
            </w:r>
            <w:r w:rsidR="00E41022">
              <w:t xml:space="preserve"> </w:t>
            </w:r>
            <w:r w:rsidR="0089093B">
              <w:t>August 2019</w:t>
            </w:r>
          </w:p>
          <w:p w:rsidR="0089093B" w:rsidRDefault="0089093B" w:rsidP="0089093B">
            <w:pPr>
              <w:suppressAutoHyphens w:val="0"/>
            </w:pPr>
          </w:p>
          <w:p w:rsidR="0089093B" w:rsidRDefault="0089093B" w:rsidP="0089093B">
            <w:pPr>
              <w:suppressAutoHyphens w:val="0"/>
            </w:pPr>
            <w:r>
              <w:t>Original: English</w:t>
            </w:r>
          </w:p>
        </w:tc>
      </w:tr>
    </w:tbl>
    <w:p w:rsidR="0089093B" w:rsidRPr="0089093B" w:rsidRDefault="0089093B" w:rsidP="0089093B">
      <w:pPr>
        <w:spacing w:before="120"/>
        <w:rPr>
          <w:rFonts w:eastAsiaTheme="minorEastAsia"/>
          <w:b/>
          <w:bCs/>
          <w:sz w:val="24"/>
          <w:szCs w:val="24"/>
          <w:lang w:eastAsia="zh-CN"/>
        </w:rPr>
      </w:pPr>
      <w:r w:rsidRPr="0089093B">
        <w:rPr>
          <w:rFonts w:eastAsiaTheme="minorEastAsia"/>
          <w:b/>
          <w:bCs/>
          <w:sz w:val="24"/>
          <w:szCs w:val="24"/>
          <w:lang w:eastAsia="zh-CN"/>
        </w:rPr>
        <w:t>Human Rights Committee</w:t>
      </w:r>
    </w:p>
    <w:p w:rsidR="0089093B" w:rsidRPr="00DF2609" w:rsidRDefault="0089093B" w:rsidP="0089093B">
      <w:pPr>
        <w:pStyle w:val="HChG"/>
      </w:pPr>
      <w:r>
        <w:tab/>
      </w:r>
      <w:r>
        <w:tab/>
      </w:r>
      <w:r w:rsidRPr="00DF2609">
        <w:t>Concluding observations on the fifth periodic report of the Netherlands</w:t>
      </w:r>
      <w:r w:rsidRPr="0089093B">
        <w:rPr>
          <w:b w:val="0"/>
          <w:bCs/>
          <w:sz w:val="20"/>
        </w:rPr>
        <w:footnoteReference w:customMarkFollows="1" w:id="1"/>
        <w:t>*</w:t>
      </w:r>
    </w:p>
    <w:p w:rsidR="0089093B" w:rsidRPr="00DF2609" w:rsidRDefault="0089093B" w:rsidP="005B2E32">
      <w:pPr>
        <w:pStyle w:val="SingleTxtG"/>
      </w:pPr>
      <w:r w:rsidRPr="00DF2609">
        <w:t>1.</w:t>
      </w:r>
      <w:r w:rsidRPr="00DF2609">
        <w:tab/>
        <w:t xml:space="preserve">The Committee considered the fifth periodic report submitted by the Netherlands </w:t>
      </w:r>
      <w:bookmarkStart w:id="0" w:name="_GoBack"/>
      <w:r w:rsidRPr="00DF2609">
        <w:t>(</w:t>
      </w:r>
      <w:bookmarkEnd w:id="0"/>
      <w:r w:rsidRPr="00DF2609">
        <w:t>CCPR/C/NLD/5) at its 3609th and 3610th meetings (CCPR/C/SR.3609 and 3610), held on 1 and 2 July 2019. At its 3635th meeting, held on 18 July 2019, it adopted the following concluding observations.</w:t>
      </w:r>
    </w:p>
    <w:p w:rsidR="0089093B" w:rsidRPr="00DF2609" w:rsidRDefault="0089093B" w:rsidP="0095362F">
      <w:pPr>
        <w:pStyle w:val="H1G"/>
      </w:pPr>
      <w:r w:rsidRPr="00DF2609">
        <w:tab/>
        <w:t>A.</w:t>
      </w:r>
      <w:r w:rsidRPr="00DF2609">
        <w:tab/>
        <w:t>Introduction</w:t>
      </w:r>
    </w:p>
    <w:p w:rsidR="0089093B" w:rsidRPr="00DF2609" w:rsidRDefault="0089093B" w:rsidP="005B2E32">
      <w:pPr>
        <w:pStyle w:val="SingleTxtG"/>
      </w:pPr>
      <w:r w:rsidRPr="00DF2609">
        <w:t>2.</w:t>
      </w:r>
      <w:r w:rsidRPr="00DF2609">
        <w:tab/>
        <w:t>The Committee is grateful to the State party for having accepted the simplified reporting procedure and for submitting its fifth periodic report in response to the list of issues prior to reporting prepared under that procedure (CCPR/C/NLD/QPR/5). It expresses appreciation for the opportunity to renew its constructive dialogue with the State party</w:t>
      </w:r>
      <w:r w:rsidR="000915FE">
        <w:t>’</w:t>
      </w:r>
      <w:r w:rsidRPr="00DF2609">
        <w:t>s high level delegation on the measures taken during the reporting period to implement the provisions of the Covenant. The Committee thanks the State party for the oral responses provided by the delegation and for the extensive supplementary information provided to it in writing.</w:t>
      </w:r>
    </w:p>
    <w:p w:rsidR="0089093B" w:rsidRPr="00DF2609" w:rsidRDefault="0089093B" w:rsidP="0095362F">
      <w:pPr>
        <w:pStyle w:val="H1G"/>
      </w:pPr>
      <w:r w:rsidRPr="00DF2609">
        <w:tab/>
        <w:t>B.</w:t>
      </w:r>
      <w:r w:rsidRPr="00DF2609">
        <w:tab/>
        <w:t>Positive aspects</w:t>
      </w:r>
    </w:p>
    <w:p w:rsidR="0089093B" w:rsidRPr="00DF2609" w:rsidRDefault="0089093B" w:rsidP="005B2E32">
      <w:pPr>
        <w:pStyle w:val="SingleTxtG"/>
      </w:pPr>
      <w:r w:rsidRPr="00DF2609">
        <w:t>3.</w:t>
      </w:r>
      <w:r w:rsidRPr="00DF2609">
        <w:tab/>
        <w:t>The Committee welcomes the following legislative, institutional and policy measures taken by the State party:</w:t>
      </w:r>
    </w:p>
    <w:p w:rsidR="0089093B" w:rsidRPr="00DF2609" w:rsidRDefault="0095362F" w:rsidP="005B2E32">
      <w:pPr>
        <w:pStyle w:val="SingleTxtG"/>
      </w:pPr>
      <w:r>
        <w:tab/>
      </w:r>
      <w:r w:rsidR="0089093B" w:rsidRPr="00DF2609">
        <w:t>(</w:t>
      </w:r>
      <w:r w:rsidR="0089093B" w:rsidRPr="00DF2609">
        <w:rPr>
          <w:rFonts w:hint="eastAsia"/>
        </w:rPr>
        <w:t>a</w:t>
      </w:r>
      <w:r w:rsidR="0089093B" w:rsidRPr="00DF2609">
        <w:t>)</w:t>
      </w:r>
      <w:r w:rsidR="0089093B" w:rsidRPr="00DF2609">
        <w:tab/>
        <w:t xml:space="preserve">The new Criminal Code, which aims to expand the definition of </w:t>
      </w:r>
      <w:r w:rsidR="000915FE">
        <w:t>“</w:t>
      </w:r>
      <w:r w:rsidR="0089093B" w:rsidRPr="00DF2609">
        <w:t>victim of domestic abuse</w:t>
      </w:r>
      <w:r w:rsidR="000915FE">
        <w:t>”</w:t>
      </w:r>
      <w:r w:rsidR="0089093B" w:rsidRPr="00DF2609">
        <w:t xml:space="preserve"> to include partners or companions, in 2015 in </w:t>
      </w:r>
      <w:proofErr w:type="spellStart"/>
      <w:r w:rsidR="0089093B" w:rsidRPr="00DF2609">
        <w:t>Sint</w:t>
      </w:r>
      <w:proofErr w:type="spellEnd"/>
      <w:r w:rsidR="0089093B" w:rsidRPr="00DF2609">
        <w:t xml:space="preserve"> Maarten;</w:t>
      </w:r>
    </w:p>
    <w:p w:rsidR="0089093B" w:rsidRPr="00DF2609" w:rsidRDefault="0095362F" w:rsidP="005B2E32">
      <w:pPr>
        <w:pStyle w:val="SingleTxtG"/>
      </w:pPr>
      <w:r>
        <w:tab/>
      </w:r>
      <w:r w:rsidR="0089093B" w:rsidRPr="00DF2609">
        <w:t>(b)</w:t>
      </w:r>
      <w:r w:rsidR="0089093B" w:rsidRPr="00DF2609">
        <w:tab/>
        <w:t xml:space="preserve">The introduction of human trafficking as a criminal offence in the Criminal Code of </w:t>
      </w:r>
      <w:proofErr w:type="spellStart"/>
      <w:r w:rsidR="0089093B" w:rsidRPr="00DF2609">
        <w:t>Curaçao</w:t>
      </w:r>
      <w:proofErr w:type="spellEnd"/>
      <w:r w:rsidR="0089093B" w:rsidRPr="00DF2609">
        <w:t xml:space="preserve"> in 2011;</w:t>
      </w:r>
    </w:p>
    <w:p w:rsidR="0089093B" w:rsidRPr="00DF2609" w:rsidRDefault="0095362F" w:rsidP="005B2E32">
      <w:pPr>
        <w:pStyle w:val="SingleTxtG"/>
      </w:pPr>
      <w:r>
        <w:tab/>
      </w:r>
      <w:r w:rsidR="0089093B" w:rsidRPr="00DF2609">
        <w:t>(c)</w:t>
      </w:r>
      <w:r w:rsidR="0089093B" w:rsidRPr="00DF2609">
        <w:tab/>
        <w:t xml:space="preserve">The establishment of the intercountry taskforce in the Caribbean part of the Kingdom of the Netherlands, in response to the 2016 judgment by the Grand Chamber of the European Court of Human Rights in the case of </w:t>
      </w:r>
      <w:r w:rsidR="0089093B" w:rsidRPr="00777436">
        <w:rPr>
          <w:i/>
          <w:iCs/>
        </w:rPr>
        <w:t>Murray v. The Netherlands</w:t>
      </w:r>
      <w:r w:rsidR="0089093B" w:rsidRPr="00DF2609">
        <w:t xml:space="preserve"> (application No. 10511/10);</w:t>
      </w:r>
    </w:p>
    <w:p w:rsidR="0089093B" w:rsidRPr="00DF2609" w:rsidRDefault="0089093B" w:rsidP="005B2E32">
      <w:pPr>
        <w:pStyle w:val="SingleTxtG"/>
      </w:pPr>
      <w:r w:rsidRPr="00DF2609">
        <w:tab/>
        <w:t>(d)</w:t>
      </w:r>
      <w:r w:rsidRPr="00DF2609">
        <w:tab/>
        <w:t>The establishment of the Netherlands Institute for Human Rights in 2012;</w:t>
      </w:r>
    </w:p>
    <w:p w:rsidR="0089093B" w:rsidRPr="00DF2609" w:rsidRDefault="0089093B" w:rsidP="005B2E32">
      <w:pPr>
        <w:pStyle w:val="SingleTxtG"/>
      </w:pPr>
      <w:r w:rsidRPr="00DF2609">
        <w:tab/>
        <w:t>(e)</w:t>
      </w:r>
      <w:r w:rsidRPr="00DF2609">
        <w:tab/>
        <w:t>The adoption of a national action plan for human rights in 2013 and the adoptions of specific national action plans on business and human rights (2013), on combating discrimination (2016), and against labour market discrimination (2018);</w:t>
      </w:r>
    </w:p>
    <w:p w:rsidR="0089093B" w:rsidRPr="00DF2609" w:rsidRDefault="0089093B" w:rsidP="005B2E32">
      <w:pPr>
        <w:pStyle w:val="SingleTxtG"/>
      </w:pPr>
      <w:r w:rsidRPr="00DF2609">
        <w:lastRenderedPageBreak/>
        <w:tab/>
        <w:t>(f)</w:t>
      </w:r>
      <w:r w:rsidRPr="00DF2609">
        <w:tab/>
        <w:t>The administrative agreement signed by the European and Caribbean Netherlands, which aims to strengthen policy on combating domestic violence for the period 2017–2020.</w:t>
      </w:r>
    </w:p>
    <w:p w:rsidR="0089093B" w:rsidRPr="00DF2609" w:rsidRDefault="0089093B" w:rsidP="005B2E32">
      <w:pPr>
        <w:pStyle w:val="SingleTxtG"/>
      </w:pPr>
      <w:r w:rsidRPr="00DF2609">
        <w:t>4.</w:t>
      </w:r>
      <w:r w:rsidRPr="00DF2609">
        <w:tab/>
        <w:t>The Committee welcomes the State party</w:t>
      </w:r>
      <w:r w:rsidR="000915FE">
        <w:t>’</w:t>
      </w:r>
      <w:r w:rsidRPr="00DF2609">
        <w:t>s ratification of:</w:t>
      </w:r>
    </w:p>
    <w:p w:rsidR="0089093B" w:rsidRPr="00DF2609" w:rsidRDefault="0089093B" w:rsidP="005B2E32">
      <w:pPr>
        <w:pStyle w:val="SingleTxtG"/>
      </w:pPr>
      <w:r w:rsidRPr="00DF2609">
        <w:tab/>
      </w:r>
      <w:r w:rsidRPr="00DF2609">
        <w:rPr>
          <w:rFonts w:hint="eastAsia"/>
        </w:rPr>
        <w:t>(a)</w:t>
      </w:r>
      <w:r w:rsidRPr="00DF2609">
        <w:tab/>
        <w:t>The Convention on the Rights of Persons with Disabilities in 2016</w:t>
      </w:r>
      <w:r w:rsidRPr="00DF2609">
        <w:rPr>
          <w:rFonts w:hint="eastAsia"/>
        </w:rPr>
        <w:t>;</w:t>
      </w:r>
    </w:p>
    <w:p w:rsidR="0089093B" w:rsidRPr="00DF2609" w:rsidRDefault="0089093B" w:rsidP="005B2E32">
      <w:pPr>
        <w:pStyle w:val="SingleTxtG"/>
      </w:pPr>
      <w:r w:rsidRPr="00DF2609">
        <w:tab/>
      </w:r>
      <w:r w:rsidRPr="00DF2609">
        <w:rPr>
          <w:rFonts w:hint="eastAsia"/>
        </w:rPr>
        <w:t>(b)</w:t>
      </w:r>
      <w:r w:rsidRPr="00DF2609">
        <w:tab/>
        <w:t>The International Convention for the Protection of all Persons from Enforced Disappearance in 2011</w:t>
      </w:r>
      <w:r w:rsidRPr="00DF2609">
        <w:rPr>
          <w:rFonts w:hint="eastAsia"/>
        </w:rPr>
        <w:t>;</w:t>
      </w:r>
      <w:r w:rsidRPr="00DF2609">
        <w:t xml:space="preserve"> </w:t>
      </w:r>
    </w:p>
    <w:p w:rsidR="0089093B" w:rsidRPr="00DF2609" w:rsidRDefault="0089093B" w:rsidP="005B2E32">
      <w:pPr>
        <w:pStyle w:val="SingleTxtG"/>
      </w:pPr>
      <w:r w:rsidRPr="00DF2609">
        <w:tab/>
      </w:r>
      <w:r w:rsidRPr="00DF2609">
        <w:rPr>
          <w:rFonts w:hint="eastAsia"/>
        </w:rPr>
        <w:t>(c)</w:t>
      </w:r>
      <w:r w:rsidRPr="00DF2609">
        <w:tab/>
        <w:t>The Optional Protocol to the Convention against Torture and Other Cruel, Inhuman or Degrading Treatment or Punishment in 2010.</w:t>
      </w:r>
    </w:p>
    <w:p w:rsidR="0089093B" w:rsidRPr="00DF2609" w:rsidRDefault="0089093B" w:rsidP="00663475">
      <w:pPr>
        <w:pStyle w:val="H1G"/>
      </w:pPr>
      <w:r w:rsidRPr="00DF2609">
        <w:tab/>
        <w:t>C.</w:t>
      </w:r>
      <w:r w:rsidRPr="00DF2609">
        <w:tab/>
        <w:t>Principal matters of concern and recommendations</w:t>
      </w:r>
    </w:p>
    <w:p w:rsidR="0089093B" w:rsidRPr="00DF2609" w:rsidRDefault="0089093B" w:rsidP="00663475">
      <w:pPr>
        <w:pStyle w:val="H23G"/>
      </w:pPr>
      <w:r w:rsidRPr="00DF2609">
        <w:tab/>
      </w:r>
      <w:r w:rsidRPr="00DF2609">
        <w:tab/>
        <w:t>Implementation of the Covenant</w:t>
      </w:r>
    </w:p>
    <w:p w:rsidR="0089093B" w:rsidRPr="00DF2609" w:rsidRDefault="0089093B" w:rsidP="005B2E32">
      <w:pPr>
        <w:pStyle w:val="SingleTxtG"/>
      </w:pPr>
      <w:bookmarkStart w:id="1" w:name="_Hlk13266809"/>
      <w:r w:rsidRPr="00DF2609">
        <w:t>5.</w:t>
      </w:r>
      <w:r w:rsidRPr="00DF2609">
        <w:tab/>
        <w:t>While noting the transformation of the Netherlands Antilles into two autonomous constituent countries (</w:t>
      </w:r>
      <w:proofErr w:type="spellStart"/>
      <w:r w:rsidRPr="00DF2609">
        <w:t>Curaçao</w:t>
      </w:r>
      <w:proofErr w:type="spellEnd"/>
      <w:r w:rsidRPr="00DF2609">
        <w:t xml:space="preserve"> and </w:t>
      </w:r>
      <w:proofErr w:type="spellStart"/>
      <w:r w:rsidRPr="00DF2609">
        <w:t>Sint</w:t>
      </w:r>
      <w:proofErr w:type="spellEnd"/>
      <w:r w:rsidRPr="00DF2609">
        <w:t xml:space="preserve"> Maarten) and three special municipalities (Bonaire, </w:t>
      </w:r>
      <w:proofErr w:type="spellStart"/>
      <w:r w:rsidRPr="00DF2609">
        <w:t>Sint</w:t>
      </w:r>
      <w:proofErr w:type="spellEnd"/>
      <w:r w:rsidRPr="00DF2609">
        <w:t xml:space="preserve"> Eustatius and </w:t>
      </w:r>
      <w:proofErr w:type="spellStart"/>
      <w:r w:rsidRPr="00DF2609">
        <w:t>Saba</w:t>
      </w:r>
      <w:proofErr w:type="spellEnd"/>
      <w:r w:rsidRPr="00DF2609">
        <w:t xml:space="preserve">) of the Netherlands through constitutional reform in 2010, the Committee is concerned about gaps in protection in the legislative and institutional frameworks and different levels of protection afforded to individuals in the four constituent countries (Netherlands, Aruba, </w:t>
      </w:r>
      <w:proofErr w:type="spellStart"/>
      <w:r w:rsidRPr="00DF2609">
        <w:t>Curaçao</w:t>
      </w:r>
      <w:proofErr w:type="spellEnd"/>
      <w:r w:rsidRPr="00DF2609">
        <w:t xml:space="preserve"> and </w:t>
      </w:r>
      <w:proofErr w:type="spellStart"/>
      <w:r w:rsidRPr="00DF2609">
        <w:t>Sint</w:t>
      </w:r>
      <w:proofErr w:type="spellEnd"/>
      <w:r w:rsidRPr="00DF2609">
        <w:t xml:space="preserve"> Maarten) (art. 2).</w:t>
      </w:r>
    </w:p>
    <w:bookmarkEnd w:id="1"/>
    <w:p w:rsidR="0089093B" w:rsidRPr="0044582E" w:rsidRDefault="0089093B" w:rsidP="005B2E32">
      <w:pPr>
        <w:pStyle w:val="SingleTxtG"/>
        <w:rPr>
          <w:b/>
          <w:bCs/>
        </w:rPr>
      </w:pPr>
      <w:r w:rsidRPr="00DF2609">
        <w:t>6.</w:t>
      </w:r>
      <w:r w:rsidRPr="00DF2609">
        <w:tab/>
      </w:r>
      <w:r w:rsidRPr="0044582E">
        <w:rPr>
          <w:b/>
          <w:bCs/>
        </w:rPr>
        <w:t>The State party should intensify its efforts to put in place a legislative, policy and institutional framework to ensure the protection of and to promote human rights in the Caribbean constituent countries and harmonize human rights protection standards across all its constituent countries and municipalities, including through funding programmes and institutions, with a view to addressing existing protection gaps.</w:t>
      </w:r>
    </w:p>
    <w:p w:rsidR="0089093B" w:rsidRPr="00DF2609" w:rsidRDefault="0089093B" w:rsidP="00663475">
      <w:pPr>
        <w:pStyle w:val="H23G"/>
      </w:pPr>
      <w:r w:rsidRPr="00DF2609">
        <w:tab/>
      </w:r>
      <w:r w:rsidRPr="00DF2609">
        <w:tab/>
        <w:t>Implementation of the Committee</w:t>
      </w:r>
      <w:r w:rsidR="000915FE">
        <w:t>’</w:t>
      </w:r>
      <w:r w:rsidRPr="00DF2609">
        <w:t>s Views</w:t>
      </w:r>
    </w:p>
    <w:p w:rsidR="0089093B" w:rsidRPr="00DF2609" w:rsidRDefault="0089093B" w:rsidP="005B2E32">
      <w:pPr>
        <w:pStyle w:val="SingleTxtG"/>
      </w:pPr>
      <w:r w:rsidRPr="00DF2609">
        <w:t>7.</w:t>
      </w:r>
      <w:r w:rsidRPr="00DF2609">
        <w:tab/>
        <w:t xml:space="preserve">The Committee appreciates the positive steps taken by the State party to implement some of its Views on individual communications under the Optional Protocol. The Committee, however, regrets that the State party has not provided information about concrete steps taken to implement the Views in four cases (CCPR/C/66/D/786/1997, CCPR/C/80/D/976/2001, CCPR/C/102/D/1564/2007 and CCPR/C/99/D/1797/2008), which have remained pending implementation for over 10 years. It is also concerned about the evacuation of the community occupying the </w:t>
      </w:r>
      <w:proofErr w:type="spellStart"/>
      <w:r w:rsidRPr="00777436">
        <w:rPr>
          <w:i/>
          <w:iCs/>
        </w:rPr>
        <w:t>Amserdamsche</w:t>
      </w:r>
      <w:proofErr w:type="spellEnd"/>
      <w:r w:rsidRPr="00777436">
        <w:rPr>
          <w:i/>
          <w:iCs/>
        </w:rPr>
        <w:t xml:space="preserve"> </w:t>
      </w:r>
      <w:proofErr w:type="spellStart"/>
      <w:r w:rsidRPr="00777436">
        <w:rPr>
          <w:i/>
          <w:iCs/>
        </w:rPr>
        <w:t>Droogdok</w:t>
      </w:r>
      <w:proofErr w:type="spellEnd"/>
      <w:r w:rsidRPr="00777436">
        <w:rPr>
          <w:i/>
          <w:iCs/>
        </w:rPr>
        <w:t xml:space="preserve"> </w:t>
      </w:r>
      <w:proofErr w:type="spellStart"/>
      <w:r w:rsidRPr="00777436">
        <w:rPr>
          <w:i/>
          <w:iCs/>
        </w:rPr>
        <w:t>Maatschappij</w:t>
      </w:r>
      <w:proofErr w:type="spellEnd"/>
      <w:r w:rsidRPr="00DF2609">
        <w:t xml:space="preserve"> site in Amsterdam on 7 January 2019 by the State party, despite a pending request for interim protection measures relating to certain aspects of the evacuation (art. 2).</w:t>
      </w:r>
    </w:p>
    <w:p w:rsidR="0089093B" w:rsidRPr="0044582E" w:rsidRDefault="0089093B" w:rsidP="005B2E32">
      <w:pPr>
        <w:pStyle w:val="SingleTxtG"/>
        <w:rPr>
          <w:b/>
          <w:bCs/>
        </w:rPr>
      </w:pPr>
      <w:r w:rsidRPr="00DF2609">
        <w:t>8.</w:t>
      </w:r>
      <w:r w:rsidRPr="00DF2609">
        <w:tab/>
      </w:r>
      <w:r w:rsidRPr="0044582E">
        <w:rPr>
          <w:b/>
          <w:bCs/>
        </w:rPr>
        <w:t>The State party should fully implement all pending Views adopted, as well as requests for interim protection measures made by the Committee, so as to guarantee the right of victims to an effective remedy when there has been a violation of the Covenant.</w:t>
      </w:r>
    </w:p>
    <w:p w:rsidR="0089093B" w:rsidRPr="00DF2609" w:rsidRDefault="0089093B" w:rsidP="00663475">
      <w:pPr>
        <w:pStyle w:val="H23G"/>
      </w:pPr>
      <w:r w:rsidRPr="00DF2609">
        <w:tab/>
      </w:r>
      <w:r w:rsidRPr="00DF2609">
        <w:tab/>
        <w:t>Reservations</w:t>
      </w:r>
    </w:p>
    <w:p w:rsidR="0089093B" w:rsidRPr="00DF2609" w:rsidRDefault="0089093B" w:rsidP="005B2E32">
      <w:pPr>
        <w:pStyle w:val="SingleTxtG"/>
      </w:pPr>
      <w:r w:rsidRPr="00DF2609">
        <w:t>9.</w:t>
      </w:r>
      <w:r w:rsidRPr="00DF2609">
        <w:tab/>
        <w:t>The Committee notes that the State party maintains its reservation, inter alia, to article 10 (1) and (2) of the Covenant. The Committee regrets that there has been no change in the State party</w:t>
      </w:r>
      <w:r w:rsidR="000915FE">
        <w:t>’</w:t>
      </w:r>
      <w:r w:rsidRPr="00DF2609">
        <w:t>s position in this regard since the last review (art. 2).</w:t>
      </w:r>
    </w:p>
    <w:p w:rsidR="0089093B" w:rsidRPr="0044582E" w:rsidRDefault="0089093B" w:rsidP="005B2E32">
      <w:pPr>
        <w:pStyle w:val="SingleTxtG"/>
        <w:rPr>
          <w:b/>
          <w:bCs/>
        </w:rPr>
      </w:pPr>
      <w:r w:rsidRPr="00DF2609">
        <w:t>10.</w:t>
      </w:r>
      <w:r w:rsidRPr="00DF2609">
        <w:tab/>
      </w:r>
      <w:r w:rsidRPr="0044582E">
        <w:rPr>
          <w:b/>
          <w:bCs/>
        </w:rPr>
        <w:t>The State party should withdraw its reservation to article 10 (1) and (2) and should consider withdrawing other reservations to the Covenant.</w:t>
      </w:r>
    </w:p>
    <w:p w:rsidR="0089093B" w:rsidRPr="00DF2609" w:rsidRDefault="0089093B" w:rsidP="00663475">
      <w:pPr>
        <w:pStyle w:val="H23G"/>
      </w:pPr>
      <w:r w:rsidRPr="00DF2609">
        <w:tab/>
      </w:r>
      <w:r w:rsidRPr="00DF2609">
        <w:tab/>
        <w:t>National human rights institution</w:t>
      </w:r>
    </w:p>
    <w:p w:rsidR="0089093B" w:rsidRPr="00DF2609" w:rsidRDefault="0089093B" w:rsidP="005B2E32">
      <w:pPr>
        <w:pStyle w:val="SingleTxtG"/>
      </w:pPr>
      <w:r w:rsidRPr="00DF2609">
        <w:t>11.</w:t>
      </w:r>
      <w:r w:rsidRPr="00DF2609">
        <w:tab/>
        <w:t>While noting the efforts made and challenges faced by the constituent countries in the Caribbean to establish a national human rights institution, the Committee remains concerned that these countries have not yet established a national human rights institution (art. 2).</w:t>
      </w:r>
    </w:p>
    <w:p w:rsidR="0089093B" w:rsidRPr="00DF2609" w:rsidRDefault="0089093B" w:rsidP="005B2E32">
      <w:pPr>
        <w:pStyle w:val="SingleTxtG"/>
      </w:pPr>
      <w:r w:rsidRPr="00DF2609">
        <w:lastRenderedPageBreak/>
        <w:t>12.</w:t>
      </w:r>
      <w:r w:rsidRPr="00DF2609">
        <w:tab/>
      </w:r>
      <w:r w:rsidRPr="0044582E">
        <w:rPr>
          <w:b/>
          <w:bCs/>
        </w:rPr>
        <w:t xml:space="preserve">The State party should establish a national human rights institution in Aruba, </w:t>
      </w:r>
      <w:proofErr w:type="spellStart"/>
      <w:r w:rsidRPr="0044582E">
        <w:rPr>
          <w:b/>
          <w:bCs/>
        </w:rPr>
        <w:t>Curaçao</w:t>
      </w:r>
      <w:proofErr w:type="spellEnd"/>
      <w:r w:rsidRPr="0044582E">
        <w:rPr>
          <w:b/>
          <w:bCs/>
        </w:rPr>
        <w:t xml:space="preserve"> and </w:t>
      </w:r>
      <w:proofErr w:type="spellStart"/>
      <w:r w:rsidRPr="0044582E">
        <w:rPr>
          <w:b/>
          <w:bCs/>
        </w:rPr>
        <w:t>Sint</w:t>
      </w:r>
      <w:proofErr w:type="spellEnd"/>
      <w:r w:rsidRPr="0044582E">
        <w:rPr>
          <w:b/>
          <w:bCs/>
        </w:rPr>
        <w:t xml:space="preserve"> Maarten in accordance with the principles relating to the status of national institutions for the promotion and protection of human rights (the Paris Principles) as a matter of priority, including, inter alia, through considering the possibility of expanding the mandate of the existing institutions, such as the Ombudsperson, to protect and promote human rights. It should consider granting such new national human rights institutions the power to review individual complaints.</w:t>
      </w:r>
    </w:p>
    <w:p w:rsidR="0089093B" w:rsidRPr="00DF2609" w:rsidRDefault="0089093B" w:rsidP="00663475">
      <w:pPr>
        <w:pStyle w:val="H23G"/>
      </w:pPr>
      <w:r w:rsidRPr="00DF2609">
        <w:tab/>
      </w:r>
      <w:r w:rsidRPr="00DF2609">
        <w:tab/>
        <w:t>Anti-discrimination legislation</w:t>
      </w:r>
    </w:p>
    <w:p w:rsidR="0089093B" w:rsidRPr="00DF2609" w:rsidRDefault="0089093B" w:rsidP="005B2E32">
      <w:pPr>
        <w:pStyle w:val="SingleTxtG"/>
      </w:pPr>
      <w:r w:rsidRPr="00DF2609">
        <w:t>13.</w:t>
      </w:r>
      <w:r w:rsidRPr="00DF2609">
        <w:tab/>
        <w:t xml:space="preserve">The Committee is concerned that </w:t>
      </w:r>
      <w:bookmarkStart w:id="2" w:name="_Hlk13210274"/>
      <w:r w:rsidRPr="00DF2609">
        <w:t xml:space="preserve">the anti-discrimination provisions </w:t>
      </w:r>
      <w:bookmarkEnd w:id="2"/>
      <w:r w:rsidRPr="00DF2609">
        <w:t>of the Netherlands, including the Equal Treatment Act 1994, do not prohibit discrimination based on all grounds, including colour, language, social origin, property, birth or other status (arts. 2 and 26).</w:t>
      </w:r>
    </w:p>
    <w:p w:rsidR="0089093B" w:rsidRPr="0044582E" w:rsidRDefault="0089093B" w:rsidP="005B2E32">
      <w:pPr>
        <w:pStyle w:val="SingleTxtG"/>
        <w:rPr>
          <w:b/>
          <w:bCs/>
        </w:rPr>
      </w:pPr>
      <w:r w:rsidRPr="00DF2609">
        <w:t>14.</w:t>
      </w:r>
      <w:r w:rsidRPr="00DF2609">
        <w:tab/>
      </w:r>
      <w:r w:rsidRPr="0044582E">
        <w:rPr>
          <w:b/>
          <w:bCs/>
        </w:rPr>
        <w:t>The State party should review its anti-discrimination legislation, including the Equal Treatment Act of 1994, with a view to ensuring that its anti-discrimination legislation:</w:t>
      </w:r>
    </w:p>
    <w:p w:rsidR="0089093B" w:rsidRPr="0044582E" w:rsidRDefault="00663475" w:rsidP="005B2E32">
      <w:pPr>
        <w:pStyle w:val="SingleTxtG"/>
        <w:rPr>
          <w:b/>
          <w:bCs/>
        </w:rPr>
      </w:pPr>
      <w:r w:rsidRPr="0044582E">
        <w:tab/>
      </w:r>
      <w:r w:rsidR="0089093B" w:rsidRPr="0044582E">
        <w:t>(a)</w:t>
      </w:r>
      <w:r w:rsidR="0089093B" w:rsidRPr="0044582E">
        <w:tab/>
      </w:r>
      <w:r w:rsidR="0089093B" w:rsidRPr="0044582E">
        <w:rPr>
          <w:b/>
          <w:bCs/>
        </w:rPr>
        <w:t>Provides full and effective protection against discrimination on all the prohibited grounds under the Covenant in all spheres, including the private sphere, and prohibits direct, indirect and multiple discrimination;</w:t>
      </w:r>
    </w:p>
    <w:p w:rsidR="0089093B" w:rsidRPr="0044582E" w:rsidRDefault="00663475" w:rsidP="005B2E32">
      <w:pPr>
        <w:pStyle w:val="SingleTxtG"/>
        <w:rPr>
          <w:b/>
          <w:bCs/>
        </w:rPr>
      </w:pPr>
      <w:r w:rsidRPr="0044582E">
        <w:tab/>
      </w:r>
      <w:r w:rsidR="0089093B" w:rsidRPr="0044582E">
        <w:t>(b)</w:t>
      </w:r>
      <w:r w:rsidR="0089093B" w:rsidRPr="0044582E">
        <w:rPr>
          <w:b/>
          <w:bCs/>
        </w:rPr>
        <w:tab/>
        <w:t>Provides for effective remedies in cases of violation, including effective complaints mechanisms in all the constituent countries.</w:t>
      </w:r>
    </w:p>
    <w:p w:rsidR="0089093B" w:rsidRPr="00DF2609" w:rsidRDefault="0089093B" w:rsidP="00663475">
      <w:pPr>
        <w:pStyle w:val="H23G"/>
      </w:pPr>
      <w:r w:rsidRPr="00DF2609">
        <w:tab/>
      </w:r>
      <w:r w:rsidRPr="00DF2609">
        <w:tab/>
        <w:t>Racial discrimination, hate speech and hate crimes</w:t>
      </w:r>
    </w:p>
    <w:p w:rsidR="0089093B" w:rsidRPr="00DF2609" w:rsidRDefault="0089093B" w:rsidP="005B2E32">
      <w:pPr>
        <w:pStyle w:val="SingleTxtG"/>
      </w:pPr>
      <w:r w:rsidRPr="00DF2609">
        <w:t>15.</w:t>
      </w:r>
      <w:r w:rsidRPr="00DF2609">
        <w:tab/>
        <w:t>While acknowledging the clear denunciation of racial discrimination, hate speech and hate crimes by the Government of the European Netherlands, the Committee remains concerned at the persistent racist hate speech used against migrants, refugees, Muslims, Jews and other ethnic and religious minorities in the Netherlands by politicians and high-level public officials, through social media and at public events, such as football matches. It is also concerned that hate speech has not only led to significant harm to the rights or reputations of persons and groups of persons subjected to it, but has also contributed to a growing climate of intolerance and to hate crimes. It is further concerned that persons belonging to ethnic minority groups continue to face discrimination in the labour market in the Netherlands. The Committee regrets the lack of information on the prosecution of hate crimes in recent years (arts. 2, 19, 20 and 26).</w:t>
      </w:r>
    </w:p>
    <w:p w:rsidR="0089093B" w:rsidRPr="00F04C25" w:rsidRDefault="0089093B" w:rsidP="005B2E32">
      <w:pPr>
        <w:pStyle w:val="SingleTxtG"/>
        <w:rPr>
          <w:b/>
          <w:bCs/>
        </w:rPr>
      </w:pPr>
      <w:r w:rsidRPr="00DF2609">
        <w:t>16.</w:t>
      </w:r>
      <w:r w:rsidRPr="00DF2609">
        <w:tab/>
      </w:r>
      <w:r w:rsidRPr="00F04C25">
        <w:rPr>
          <w:b/>
          <w:bCs/>
        </w:rPr>
        <w:t>The State party should strengthen its efforts, through both law enforcement and awareness-raising activities, to combat racial discrimination, hate speech and incitement to discrimination or violence on racial, ethnic or religious grounds, in accordance with articles 19 and 20 of the Covenant and the Committee</w:t>
      </w:r>
      <w:r w:rsidR="000915FE">
        <w:rPr>
          <w:b/>
          <w:bCs/>
        </w:rPr>
        <w:t>’</w:t>
      </w:r>
      <w:r w:rsidRPr="00F04C25">
        <w:rPr>
          <w:b/>
          <w:bCs/>
        </w:rPr>
        <w:t xml:space="preserve">s general comment No. 34 (2011) on the freedoms of opinion and expression. In particular, it should: </w:t>
      </w:r>
    </w:p>
    <w:p w:rsidR="0089093B" w:rsidRPr="00F04C25" w:rsidRDefault="00663475" w:rsidP="005B2E32">
      <w:pPr>
        <w:pStyle w:val="SingleTxtG"/>
        <w:rPr>
          <w:b/>
          <w:bCs/>
        </w:rPr>
      </w:pPr>
      <w:r w:rsidRPr="00F04C25">
        <w:rPr>
          <w:b/>
          <w:bCs/>
        </w:rPr>
        <w:tab/>
      </w:r>
      <w:r w:rsidR="0089093B" w:rsidRPr="00F04C25">
        <w:t>(a)</w:t>
      </w:r>
      <w:r w:rsidR="0089093B" w:rsidRPr="00F04C25">
        <w:rPr>
          <w:b/>
          <w:bCs/>
        </w:rPr>
        <w:tab/>
        <w:t>Intensify its efforts to prevent hate speech, particularly by politicians and high-level public officials;</w:t>
      </w:r>
    </w:p>
    <w:p w:rsidR="0089093B" w:rsidRPr="00F04C25" w:rsidRDefault="00663475" w:rsidP="005B2E32">
      <w:pPr>
        <w:pStyle w:val="SingleTxtG"/>
        <w:rPr>
          <w:b/>
          <w:bCs/>
        </w:rPr>
      </w:pPr>
      <w:r w:rsidRPr="00F04C25">
        <w:tab/>
        <w:t>(b)</w:t>
      </w:r>
      <w:r w:rsidR="0089093B" w:rsidRPr="00F04C25">
        <w:rPr>
          <w:b/>
          <w:bCs/>
        </w:rPr>
        <w:tab/>
        <w:t>Develop an effective strategy, in cooperation with digital technology companies, to reduce online hate speech, and develop effective programmes for addressing manifestations of racial discrimination and hate speech at public events, including football matches;</w:t>
      </w:r>
      <w:r w:rsidR="0089093B" w:rsidRPr="00F04C25" w:rsidDel="00804CFF">
        <w:rPr>
          <w:b/>
          <w:bCs/>
        </w:rPr>
        <w:t xml:space="preserve"> </w:t>
      </w:r>
    </w:p>
    <w:p w:rsidR="0089093B" w:rsidRPr="00F04C25" w:rsidRDefault="00663475" w:rsidP="005B2E32">
      <w:pPr>
        <w:pStyle w:val="SingleTxtG"/>
        <w:rPr>
          <w:b/>
          <w:bCs/>
        </w:rPr>
      </w:pPr>
      <w:r w:rsidRPr="00F04C25">
        <w:tab/>
      </w:r>
      <w:r w:rsidR="0089093B" w:rsidRPr="00F04C25">
        <w:t>(c)</w:t>
      </w:r>
      <w:r w:rsidR="0089093B" w:rsidRPr="00F04C25">
        <w:tab/>
      </w:r>
      <w:r w:rsidR="0089093B" w:rsidRPr="00F04C25">
        <w:rPr>
          <w:b/>
          <w:bCs/>
        </w:rPr>
        <w:t>Investigate hate crimes thoroughly, prosecute suspected perpetrators where appropriate and, if they are convicted, punish them and provide victims with adequate remedies;</w:t>
      </w:r>
    </w:p>
    <w:p w:rsidR="0089093B" w:rsidRPr="00F04C25" w:rsidRDefault="00663475" w:rsidP="005B2E32">
      <w:pPr>
        <w:pStyle w:val="SingleTxtG"/>
        <w:rPr>
          <w:b/>
          <w:bCs/>
        </w:rPr>
      </w:pPr>
      <w:r w:rsidRPr="00F04C25">
        <w:tab/>
      </w:r>
      <w:r w:rsidR="0089093B" w:rsidRPr="00F04C25">
        <w:t>(d)</w:t>
      </w:r>
      <w:r w:rsidR="0089093B" w:rsidRPr="00F04C25">
        <w:rPr>
          <w:b/>
          <w:bCs/>
        </w:rPr>
        <w:tab/>
        <w:t>Provide adequate training to law enforcement officials, judges and prosecutors on the promotion of racial, ethnic and religious diversity;</w:t>
      </w:r>
    </w:p>
    <w:p w:rsidR="0089093B" w:rsidRPr="00F04C25" w:rsidRDefault="00663475" w:rsidP="005B2E32">
      <w:pPr>
        <w:pStyle w:val="SingleTxtG"/>
        <w:rPr>
          <w:b/>
          <w:bCs/>
        </w:rPr>
      </w:pPr>
      <w:r w:rsidRPr="00F04C25">
        <w:rPr>
          <w:b/>
          <w:bCs/>
        </w:rPr>
        <w:tab/>
      </w:r>
      <w:r w:rsidR="0089093B" w:rsidRPr="00F04C25">
        <w:rPr>
          <w:rFonts w:hint="eastAsia"/>
        </w:rPr>
        <w:t>(</w:t>
      </w:r>
      <w:r w:rsidR="0089093B" w:rsidRPr="00F04C25">
        <w:t>e)</w:t>
      </w:r>
      <w:r w:rsidR="0089093B" w:rsidRPr="00F04C25">
        <w:rPr>
          <w:b/>
          <w:bCs/>
        </w:rPr>
        <w:tab/>
        <w:t xml:space="preserve">Intensify its efforts to effectively implement the action plan against labour market discrimination (2018) and the national action programme to combat </w:t>
      </w:r>
      <w:r w:rsidR="0089093B" w:rsidRPr="00F04C25">
        <w:rPr>
          <w:b/>
          <w:bCs/>
        </w:rPr>
        <w:lastRenderedPageBreak/>
        <w:t>discrimination (2016), with a view to increasing the actual participation of target groups in the labour market;</w:t>
      </w:r>
    </w:p>
    <w:p w:rsidR="0089093B" w:rsidRPr="00F04C25" w:rsidRDefault="00663475" w:rsidP="005B2E32">
      <w:pPr>
        <w:pStyle w:val="SingleTxtG"/>
        <w:rPr>
          <w:b/>
          <w:bCs/>
        </w:rPr>
      </w:pPr>
      <w:r w:rsidRPr="00F04C25">
        <w:rPr>
          <w:b/>
          <w:bCs/>
        </w:rPr>
        <w:tab/>
      </w:r>
      <w:r w:rsidR="0089093B" w:rsidRPr="00F04C25">
        <w:t>(f)</w:t>
      </w:r>
      <w:r w:rsidR="0089093B" w:rsidRPr="00F04C25">
        <w:rPr>
          <w:b/>
          <w:bCs/>
        </w:rPr>
        <w:tab/>
        <w:t xml:space="preserve">Continue its efforts to bring about the end or transform the nature of parades involving the character of </w:t>
      </w:r>
      <w:r w:rsidR="000915FE">
        <w:rPr>
          <w:b/>
          <w:bCs/>
        </w:rPr>
        <w:t>“</w:t>
      </w:r>
      <w:r w:rsidR="0089093B" w:rsidRPr="00F04C25">
        <w:rPr>
          <w:b/>
          <w:bCs/>
        </w:rPr>
        <w:t>Black Pete</w:t>
      </w:r>
      <w:r w:rsidR="000915FE">
        <w:rPr>
          <w:b/>
          <w:bCs/>
        </w:rPr>
        <w:t>”</w:t>
      </w:r>
      <w:r w:rsidR="0089093B" w:rsidRPr="00F04C25">
        <w:rPr>
          <w:b/>
          <w:bCs/>
        </w:rPr>
        <w:t>;</w:t>
      </w:r>
    </w:p>
    <w:p w:rsidR="0089093B" w:rsidRPr="00F04C25" w:rsidRDefault="0089093B" w:rsidP="005B2E32">
      <w:pPr>
        <w:pStyle w:val="SingleTxtG"/>
        <w:rPr>
          <w:b/>
          <w:bCs/>
        </w:rPr>
      </w:pPr>
      <w:r w:rsidRPr="00F04C25">
        <w:tab/>
        <w:t>(g)</w:t>
      </w:r>
      <w:r w:rsidRPr="00F04C25">
        <w:tab/>
      </w:r>
      <w:r w:rsidRPr="00F04C25">
        <w:rPr>
          <w:b/>
          <w:bCs/>
        </w:rPr>
        <w:t>Collect disaggregated data relating to the investigation and prosecution of hate crimes.</w:t>
      </w:r>
    </w:p>
    <w:p w:rsidR="0089093B" w:rsidRPr="00DF2609" w:rsidRDefault="0089093B" w:rsidP="00663475">
      <w:pPr>
        <w:pStyle w:val="H23G"/>
      </w:pPr>
      <w:r w:rsidRPr="00DF2609">
        <w:tab/>
      </w:r>
      <w:r w:rsidR="00663475">
        <w:tab/>
      </w:r>
      <w:r w:rsidRPr="00DF2609">
        <w:t xml:space="preserve">Refugees and asylum seekers </w:t>
      </w:r>
    </w:p>
    <w:p w:rsidR="0089093B" w:rsidRPr="00DF2609" w:rsidRDefault="0089093B" w:rsidP="005B2E32">
      <w:pPr>
        <w:pStyle w:val="SingleTxtG"/>
      </w:pPr>
      <w:r w:rsidRPr="00DF2609">
        <w:t>17.</w:t>
      </w:r>
      <w:r w:rsidRPr="00DF2609">
        <w:tab/>
        <w:t>The Committee appreciates the continued efforts of the Netherlands to deal with asylum seekers, including a family reunification policy that allows family reunification for persons granted subsidiary protection and the provision of free legal aid to asylum seekers at all stages of the asylum procedure. The Committee is, however, concerned about reports of forced returns of asylum seekers, whose applications have been rejected, to Afghanistan, Bahrain and the Sudan, allegedly in breach of the principle of non-</w:t>
      </w:r>
      <w:proofErr w:type="spellStart"/>
      <w:r w:rsidRPr="00DF2609">
        <w:t>refoulement</w:t>
      </w:r>
      <w:proofErr w:type="spellEnd"/>
      <w:r w:rsidRPr="00DF2609">
        <w:t>. It is also concerned by the substantial numbers of asylum cases and family reunification cases pending decisions. The Committee regrets the paucity of data relating to asylum seekers in the Netherlands (arts. 7, 9, 12, 13 and 14).</w:t>
      </w:r>
    </w:p>
    <w:p w:rsidR="0089093B" w:rsidRPr="00DF2609" w:rsidRDefault="0089093B" w:rsidP="005B2E32">
      <w:pPr>
        <w:pStyle w:val="SingleTxtG"/>
      </w:pPr>
      <w:r w:rsidRPr="00DF2609">
        <w:t>18.</w:t>
      </w:r>
      <w:r w:rsidRPr="00DF2609">
        <w:tab/>
        <w:t xml:space="preserve">The Committee notes the challenges posed by the large influx of Venezuelan nationals seeking international protection in the Caribbean constituent countries in recent years. While noting that only Aruba among the three Caribbean constituent countries has acceded to the 1967 Protocol Relating to the Status of Refugees, the Committee is concerned about the limits of the legal framework governing asylum, which has resulted in shortcomings in dealing with asylum seekers. It is also concerned by the lack of clarity regarding the availability of legal protections against </w:t>
      </w:r>
      <w:proofErr w:type="spellStart"/>
      <w:r w:rsidRPr="00DF2609">
        <w:t>refoulement</w:t>
      </w:r>
      <w:proofErr w:type="spellEnd"/>
      <w:r w:rsidRPr="00DF2609">
        <w:t xml:space="preserve"> and at allegations that some Venezuelans seeking asylum in </w:t>
      </w:r>
      <w:proofErr w:type="spellStart"/>
      <w:r w:rsidRPr="00DF2609">
        <w:t>Curaçao</w:t>
      </w:r>
      <w:proofErr w:type="spellEnd"/>
      <w:r w:rsidRPr="00DF2609">
        <w:t xml:space="preserve"> were returned to the Bolivarian Republic of Venezuela. It is further concerned by the poor conditions of detention and reports of ill-treatment and abuse in closed detention centres and police cells. The Committee regrets the absence of data relating to asylum seekers in the constituent countries (arts. 3, 7, 9, 12, 13 and 14).</w:t>
      </w:r>
    </w:p>
    <w:p w:rsidR="0089093B" w:rsidRPr="00F04C25" w:rsidRDefault="0089093B" w:rsidP="005B2E32">
      <w:pPr>
        <w:pStyle w:val="SingleTxtG"/>
        <w:rPr>
          <w:b/>
          <w:bCs/>
        </w:rPr>
      </w:pPr>
      <w:r w:rsidRPr="00DF2609">
        <w:t>19.</w:t>
      </w:r>
      <w:r w:rsidRPr="00DF2609">
        <w:tab/>
      </w:r>
      <w:r w:rsidRPr="00F04C25">
        <w:rPr>
          <w:b/>
          <w:bCs/>
        </w:rPr>
        <w:t>The State party should:</w:t>
      </w:r>
    </w:p>
    <w:p w:rsidR="0089093B" w:rsidRPr="00F04C25" w:rsidRDefault="00663475" w:rsidP="005B2E32">
      <w:pPr>
        <w:pStyle w:val="SingleTxtG"/>
        <w:rPr>
          <w:b/>
          <w:bCs/>
        </w:rPr>
      </w:pPr>
      <w:r w:rsidRPr="00F04C25">
        <w:tab/>
      </w:r>
      <w:r w:rsidR="0089093B" w:rsidRPr="00F04C25">
        <w:t>(a)</w:t>
      </w:r>
      <w:r w:rsidR="0089093B" w:rsidRPr="00F04C25">
        <w:tab/>
      </w:r>
      <w:r w:rsidR="0089093B" w:rsidRPr="00F04C25">
        <w:rPr>
          <w:b/>
          <w:bCs/>
        </w:rPr>
        <w:t>Continue its efforts relating to the family reunification policy and the provision of free legal aid;</w:t>
      </w:r>
    </w:p>
    <w:p w:rsidR="0089093B" w:rsidRPr="00F04C25" w:rsidRDefault="00663475" w:rsidP="005B2E32">
      <w:pPr>
        <w:pStyle w:val="SingleTxtG"/>
        <w:rPr>
          <w:b/>
          <w:bCs/>
        </w:rPr>
      </w:pPr>
      <w:r w:rsidRPr="00F04C25">
        <w:tab/>
      </w:r>
      <w:r w:rsidR="0089093B" w:rsidRPr="00F04C25">
        <w:t>(b)</w:t>
      </w:r>
      <w:r w:rsidR="0089093B" w:rsidRPr="00F04C25">
        <w:tab/>
      </w:r>
      <w:r w:rsidR="0089093B" w:rsidRPr="00F04C25">
        <w:rPr>
          <w:b/>
          <w:bCs/>
        </w:rPr>
        <w:t>Introduce legislation governing asylum in line with international human rights and refugee laws, establish or strengthen asylum procedures in the Caribbean constituent countries and consider the ratification of the 1951 Convention relating to the Status of Refugees and the 1967 Protocol Relating to the Status of Refugees by all constituent countries that have not done so already;</w:t>
      </w:r>
    </w:p>
    <w:p w:rsidR="0089093B" w:rsidRPr="00F04C25" w:rsidRDefault="00663475" w:rsidP="005B2E32">
      <w:pPr>
        <w:pStyle w:val="SingleTxtG"/>
        <w:rPr>
          <w:b/>
          <w:bCs/>
        </w:rPr>
      </w:pPr>
      <w:r w:rsidRPr="00F04C25">
        <w:tab/>
      </w:r>
      <w:r w:rsidR="0089093B" w:rsidRPr="00F04C25">
        <w:t>(c)</w:t>
      </w:r>
      <w:r w:rsidR="0089093B" w:rsidRPr="00F04C25">
        <w:tab/>
      </w:r>
      <w:r w:rsidR="0089093B" w:rsidRPr="00F04C25">
        <w:rPr>
          <w:b/>
          <w:bCs/>
        </w:rPr>
        <w:t>Ensure that the</w:t>
      </w:r>
      <w:r w:rsidR="0089093B" w:rsidRPr="00F04C25" w:rsidDel="003D717B">
        <w:rPr>
          <w:b/>
          <w:bCs/>
        </w:rPr>
        <w:t xml:space="preserve"> </w:t>
      </w:r>
      <w:r w:rsidR="0089093B" w:rsidRPr="00F04C25">
        <w:rPr>
          <w:b/>
          <w:bCs/>
        </w:rPr>
        <w:t>principle of non-</w:t>
      </w:r>
      <w:proofErr w:type="spellStart"/>
      <w:r w:rsidR="0089093B" w:rsidRPr="00F04C25">
        <w:rPr>
          <w:b/>
          <w:bCs/>
        </w:rPr>
        <w:t>refoulement</w:t>
      </w:r>
      <w:proofErr w:type="spellEnd"/>
      <w:r w:rsidR="0089093B" w:rsidRPr="00F04C25">
        <w:rPr>
          <w:b/>
          <w:bCs/>
        </w:rPr>
        <w:t xml:space="preserve"> is secured in law and strictly adhered to in practice in all circumstances by all constituent countries; </w:t>
      </w:r>
    </w:p>
    <w:p w:rsidR="0089093B" w:rsidRPr="00F04C25" w:rsidRDefault="00663475" w:rsidP="005B2E32">
      <w:pPr>
        <w:pStyle w:val="SingleTxtG"/>
        <w:rPr>
          <w:b/>
          <w:bCs/>
        </w:rPr>
      </w:pPr>
      <w:r w:rsidRPr="00F04C25">
        <w:tab/>
      </w:r>
      <w:r w:rsidR="0089093B" w:rsidRPr="00F04C25">
        <w:t>(d)</w:t>
      </w:r>
      <w:r w:rsidR="0089093B" w:rsidRPr="00F04C25">
        <w:rPr>
          <w:b/>
          <w:bCs/>
        </w:rPr>
        <w:tab/>
        <w:t>Ensure that investigations are carried out into the cases of breach of the principle of non-</w:t>
      </w:r>
      <w:proofErr w:type="spellStart"/>
      <w:r w:rsidR="0089093B" w:rsidRPr="00F04C25">
        <w:rPr>
          <w:b/>
          <w:bCs/>
        </w:rPr>
        <w:t>refoulement</w:t>
      </w:r>
      <w:proofErr w:type="spellEnd"/>
      <w:r w:rsidR="0089093B" w:rsidRPr="00F04C25">
        <w:rPr>
          <w:b/>
          <w:bCs/>
        </w:rPr>
        <w:t xml:space="preserve">; </w:t>
      </w:r>
    </w:p>
    <w:p w:rsidR="0089093B" w:rsidRPr="00F04C25" w:rsidRDefault="00663475" w:rsidP="005B2E32">
      <w:pPr>
        <w:pStyle w:val="SingleTxtG"/>
        <w:rPr>
          <w:b/>
          <w:bCs/>
        </w:rPr>
      </w:pPr>
      <w:r w:rsidRPr="00F04C25">
        <w:rPr>
          <w:b/>
          <w:bCs/>
        </w:rPr>
        <w:tab/>
      </w:r>
      <w:r w:rsidR="0089093B" w:rsidRPr="00F04C25">
        <w:t>(e)</w:t>
      </w:r>
      <w:r w:rsidR="0089093B" w:rsidRPr="00F04C25">
        <w:tab/>
      </w:r>
      <w:r w:rsidR="0089093B" w:rsidRPr="00F04C25">
        <w:rPr>
          <w:b/>
          <w:bCs/>
        </w:rPr>
        <w:t xml:space="preserve">Intensify its efforts to reduce the backlogs in the asylum application process and the family reunification process, including by strengthening the capacity of the immigration and naturalization services in all constituent countries; </w:t>
      </w:r>
    </w:p>
    <w:p w:rsidR="0089093B" w:rsidRPr="00F04C25" w:rsidRDefault="00663475" w:rsidP="005B2E32">
      <w:pPr>
        <w:pStyle w:val="SingleTxtG"/>
        <w:rPr>
          <w:b/>
          <w:bCs/>
        </w:rPr>
      </w:pPr>
      <w:r w:rsidRPr="00F04C25">
        <w:tab/>
      </w:r>
      <w:r w:rsidR="0089093B" w:rsidRPr="00F04C25">
        <w:t>(</w:t>
      </w:r>
      <w:r w:rsidR="00797872">
        <w:t>f</w:t>
      </w:r>
      <w:r w:rsidR="0089093B" w:rsidRPr="00F04C25">
        <w:t>)</w:t>
      </w:r>
      <w:r w:rsidR="0089093B" w:rsidRPr="00F04C25">
        <w:tab/>
      </w:r>
      <w:r w:rsidR="0089093B" w:rsidRPr="00F04C25">
        <w:rPr>
          <w:b/>
          <w:bCs/>
        </w:rPr>
        <w:t>Collect comprehensive data on asylum seekers throughout the State party.</w:t>
      </w:r>
    </w:p>
    <w:p w:rsidR="0089093B" w:rsidRPr="00DF2609" w:rsidRDefault="0089093B" w:rsidP="00663475">
      <w:pPr>
        <w:pStyle w:val="H23G"/>
      </w:pPr>
      <w:r w:rsidRPr="00DF2609">
        <w:tab/>
      </w:r>
      <w:r w:rsidRPr="00DF2609">
        <w:tab/>
        <w:t xml:space="preserve">Children in migration </w:t>
      </w:r>
    </w:p>
    <w:p w:rsidR="0089093B" w:rsidRPr="00DF2609" w:rsidRDefault="0089093B" w:rsidP="005B2E32">
      <w:pPr>
        <w:pStyle w:val="SingleTxtG"/>
      </w:pPr>
      <w:r w:rsidRPr="00DF2609">
        <w:t>20.</w:t>
      </w:r>
      <w:r w:rsidRPr="00DF2609">
        <w:tab/>
        <w:t xml:space="preserve">The Committee is concerned about reports of a high number of unaccompanied minors who have gone missing from State-run asylum reception centres. It is also concerned about the conditions of undocumented migrant children living in family centres. While noting that the rejected asylum applications of 700 children have been re-examined under the </w:t>
      </w:r>
      <w:r w:rsidR="000915FE">
        <w:t>“</w:t>
      </w:r>
      <w:r w:rsidRPr="00DF2609">
        <w:t>final regulation</w:t>
      </w:r>
      <w:r w:rsidR="000915FE">
        <w:t>”</w:t>
      </w:r>
      <w:r w:rsidRPr="00DF2609">
        <w:t xml:space="preserve"> </w:t>
      </w:r>
      <w:r w:rsidRPr="003D2EAA">
        <w:t>(</w:t>
      </w:r>
      <w:proofErr w:type="spellStart"/>
      <w:r w:rsidRPr="003D2EAA">
        <w:rPr>
          <w:i/>
          <w:iCs/>
        </w:rPr>
        <w:t>afsluitingsregeling</w:t>
      </w:r>
      <w:proofErr w:type="spellEnd"/>
      <w:r w:rsidRPr="003D2EAA">
        <w:t>)</w:t>
      </w:r>
      <w:r w:rsidRPr="00DF2609">
        <w:t xml:space="preserve"> regarding the </w:t>
      </w:r>
      <w:proofErr w:type="spellStart"/>
      <w:r w:rsidRPr="003D2EAA">
        <w:rPr>
          <w:i/>
          <w:iCs/>
        </w:rPr>
        <w:t>kinderpardon</w:t>
      </w:r>
      <w:proofErr w:type="spellEnd"/>
      <w:r w:rsidRPr="00DF2609">
        <w:t xml:space="preserve">, the </w:t>
      </w:r>
      <w:r w:rsidRPr="00DF2609">
        <w:lastRenderedPageBreak/>
        <w:t>Committee remains concerned by the number of children living in the Netherlands without a residence permit and the uncertainty about children whose application under the final regulation has been rejected (arts. 7, 9, 12, 13 and 24).</w:t>
      </w:r>
    </w:p>
    <w:p w:rsidR="0089093B" w:rsidRPr="003D2EAA" w:rsidRDefault="0089093B" w:rsidP="005B2E32">
      <w:pPr>
        <w:pStyle w:val="SingleTxtG"/>
        <w:rPr>
          <w:b/>
          <w:bCs/>
        </w:rPr>
      </w:pPr>
      <w:r w:rsidRPr="00DF2609">
        <w:t>21.</w:t>
      </w:r>
      <w:r w:rsidRPr="00DF2609">
        <w:tab/>
      </w:r>
      <w:r w:rsidRPr="003D2EAA">
        <w:rPr>
          <w:b/>
          <w:bCs/>
        </w:rPr>
        <w:t>The State party should:</w:t>
      </w:r>
    </w:p>
    <w:p w:rsidR="0089093B" w:rsidRPr="003D2EAA" w:rsidRDefault="00663475" w:rsidP="005B2E32">
      <w:pPr>
        <w:pStyle w:val="SingleTxtG"/>
        <w:rPr>
          <w:b/>
          <w:bCs/>
        </w:rPr>
      </w:pPr>
      <w:r w:rsidRPr="003D2EAA">
        <w:tab/>
      </w:r>
      <w:r w:rsidR="0089093B" w:rsidRPr="003D2EAA">
        <w:t>(a)</w:t>
      </w:r>
      <w:r w:rsidR="0089093B" w:rsidRPr="003D2EAA">
        <w:tab/>
      </w:r>
      <w:r w:rsidR="0089093B" w:rsidRPr="003D2EAA">
        <w:rPr>
          <w:b/>
          <w:bCs/>
        </w:rPr>
        <w:t>Intensify its efforts to investigate the phenomenon of missing unaccompanied minors, address its underlining causes and prevent future occurrences;</w:t>
      </w:r>
    </w:p>
    <w:p w:rsidR="0089093B" w:rsidRPr="003D2EAA" w:rsidRDefault="00663475" w:rsidP="005B2E32">
      <w:pPr>
        <w:pStyle w:val="SingleTxtG"/>
        <w:rPr>
          <w:b/>
          <w:bCs/>
        </w:rPr>
      </w:pPr>
      <w:r w:rsidRPr="003D2EAA">
        <w:rPr>
          <w:b/>
          <w:bCs/>
        </w:rPr>
        <w:tab/>
      </w:r>
      <w:r w:rsidR="0089093B" w:rsidRPr="003D2EAA">
        <w:rPr>
          <w:rFonts w:hint="eastAsia"/>
        </w:rPr>
        <w:t>(</w:t>
      </w:r>
      <w:r w:rsidR="0089093B" w:rsidRPr="003D2EAA">
        <w:t>b)</w:t>
      </w:r>
      <w:r w:rsidR="0089093B" w:rsidRPr="003D2EAA">
        <w:rPr>
          <w:b/>
          <w:bCs/>
        </w:rPr>
        <w:tab/>
        <w:t>Intensify its efforts to improve the living conditions in family centres, with special attention to the needs of children, including through the full implementation of the recommendations made by the Central Agency for Reception of Asylum Seekers;</w:t>
      </w:r>
    </w:p>
    <w:p w:rsidR="0089093B" w:rsidRPr="003D2EAA" w:rsidRDefault="00663475" w:rsidP="005B2E32">
      <w:pPr>
        <w:pStyle w:val="SingleTxtG"/>
        <w:rPr>
          <w:b/>
          <w:bCs/>
        </w:rPr>
      </w:pPr>
      <w:r w:rsidRPr="003D2EAA">
        <w:tab/>
      </w:r>
      <w:r w:rsidR="0089093B" w:rsidRPr="003D2EAA">
        <w:rPr>
          <w:rFonts w:hint="eastAsia"/>
        </w:rPr>
        <w:t>(</w:t>
      </w:r>
      <w:r w:rsidR="0089093B" w:rsidRPr="003D2EAA">
        <w:t>c)</w:t>
      </w:r>
      <w:r w:rsidR="0089093B" w:rsidRPr="003D2EAA">
        <w:tab/>
      </w:r>
      <w:r w:rsidR="0089093B" w:rsidRPr="003D2EAA">
        <w:rPr>
          <w:b/>
          <w:bCs/>
        </w:rPr>
        <w:t>Develop viable solutions for those children who have been living in the country without residence permits;</w:t>
      </w:r>
    </w:p>
    <w:p w:rsidR="0089093B" w:rsidRPr="003D2EAA" w:rsidRDefault="00663475" w:rsidP="005B2E32">
      <w:pPr>
        <w:pStyle w:val="SingleTxtG"/>
        <w:rPr>
          <w:b/>
          <w:bCs/>
        </w:rPr>
      </w:pPr>
      <w:r w:rsidRPr="003D2EAA">
        <w:tab/>
      </w:r>
      <w:r w:rsidR="0089093B" w:rsidRPr="003D2EAA">
        <w:t>(d)</w:t>
      </w:r>
      <w:r w:rsidR="0089093B" w:rsidRPr="003D2EAA">
        <w:rPr>
          <w:b/>
          <w:bCs/>
        </w:rPr>
        <w:tab/>
        <w:t xml:space="preserve">Ensure that the principle of the best interests of the child is given primary consideration in all decisions concerning asylum-seeking children, particularly unaccompanied minors. </w:t>
      </w:r>
    </w:p>
    <w:p w:rsidR="0089093B" w:rsidRPr="00DF2609" w:rsidRDefault="0089093B" w:rsidP="00663475">
      <w:pPr>
        <w:pStyle w:val="H23G"/>
      </w:pPr>
      <w:r w:rsidRPr="00DF2609">
        <w:tab/>
      </w:r>
      <w:r w:rsidRPr="00DF2609">
        <w:tab/>
        <w:t>Statelessness</w:t>
      </w:r>
    </w:p>
    <w:p w:rsidR="0089093B" w:rsidRPr="00DF2609" w:rsidRDefault="0089093B" w:rsidP="005B2E32">
      <w:pPr>
        <w:pStyle w:val="SingleTxtG"/>
      </w:pPr>
      <w:r w:rsidRPr="00DF2609">
        <w:t>22.</w:t>
      </w:r>
      <w:r w:rsidRPr="00DF2609">
        <w:tab/>
        <w:t>The Committee is concerned by reports that the draft legislation establishing a statelessness determination procedure does not grant a residence permit to a person recognized as stateless and that the stateless determination procedure envisaged in the draft legislation, including the criteria for the acquisition of Dutch citizenship by children with stateless parents, is not in line with international standards (art. 24).</w:t>
      </w:r>
    </w:p>
    <w:p w:rsidR="0089093B" w:rsidRPr="003D2EAA" w:rsidRDefault="0089093B" w:rsidP="005B2E32">
      <w:pPr>
        <w:pStyle w:val="SingleTxtG"/>
        <w:rPr>
          <w:b/>
          <w:bCs/>
        </w:rPr>
      </w:pPr>
      <w:r w:rsidRPr="00DF2609">
        <w:t>23.</w:t>
      </w:r>
      <w:r w:rsidRPr="00DF2609">
        <w:tab/>
      </w:r>
      <w:r w:rsidRPr="003D2EAA">
        <w:rPr>
          <w:b/>
          <w:bCs/>
        </w:rPr>
        <w:t>The State party should review and amend the draft legislation with a view to ensuring that a person recognized as stateless is granted a residence permit so as to fully enjoy the rights enshrined in the Covenant and that the stateless determination procedure is fully in line with international standards, is aimed at reducing statelessness and considers the best interests of the child in cases involving children.</w:t>
      </w:r>
    </w:p>
    <w:p w:rsidR="0089093B" w:rsidRPr="00DF2609" w:rsidRDefault="0089093B" w:rsidP="00663475">
      <w:pPr>
        <w:pStyle w:val="H23G"/>
      </w:pPr>
      <w:r w:rsidRPr="00DF2609">
        <w:tab/>
      </w:r>
      <w:r w:rsidRPr="00DF2609">
        <w:tab/>
        <w:t xml:space="preserve">Administrative detention of asylum seekers and migrants </w:t>
      </w:r>
    </w:p>
    <w:p w:rsidR="0089093B" w:rsidRPr="00DF2609" w:rsidRDefault="0089093B" w:rsidP="005B2E32">
      <w:pPr>
        <w:pStyle w:val="SingleTxtG"/>
      </w:pPr>
      <w:bookmarkStart w:id="3" w:name="_Hlk13231121"/>
      <w:r w:rsidRPr="00DF2609">
        <w:t>24.</w:t>
      </w:r>
      <w:r w:rsidRPr="00DF2609">
        <w:tab/>
      </w:r>
      <w:bookmarkEnd w:id="3"/>
      <w:r w:rsidRPr="00DF2609">
        <w:t xml:space="preserve">The Committee is concerned that the number of persons in immigration detention, including those in vulnerable situations, has significantly increased in recent years and that the duration of such detention is often prolonged and, at times, exceeds the maximum timeline laid down in the European Union so-called Return Directive on common standards and procedures in Member States for returning illegally staying third-country nationals. It is also concerned by the limited attention paid by the authorities to non-custodial alternative measures, including with regard to asylum seekers arriving at Schiphol International Airport, and the long delay in judicial reviews of immigration detention decisions. Furthermore, it is concerned by the shortcomings of the Repatriation and Detention of Aliens Act (Wet </w:t>
      </w:r>
      <w:proofErr w:type="spellStart"/>
      <w:r w:rsidRPr="00DF2609">
        <w:t>Terugkeer</w:t>
      </w:r>
      <w:proofErr w:type="spellEnd"/>
      <w:r w:rsidRPr="00DF2609">
        <w:t xml:space="preserve"> </w:t>
      </w:r>
      <w:proofErr w:type="spellStart"/>
      <w:r w:rsidRPr="00DF2609">
        <w:t>en</w:t>
      </w:r>
      <w:proofErr w:type="spellEnd"/>
      <w:r w:rsidRPr="00DF2609">
        <w:t xml:space="preserve"> </w:t>
      </w:r>
      <w:proofErr w:type="spellStart"/>
      <w:r w:rsidRPr="00DF2609">
        <w:t>Vreemdelingenbewaring</w:t>
      </w:r>
      <w:proofErr w:type="spellEnd"/>
      <w:r w:rsidRPr="00DF2609">
        <w:t xml:space="preserve">), which does not prescribe a vulnerability assessment; allows isolation to be used as a disciplinary measure, including for children above the age of </w:t>
      </w:r>
      <w:r w:rsidR="00797872">
        <w:t>12</w:t>
      </w:r>
      <w:r w:rsidRPr="00DF2609">
        <w:t>; and places all newly arriving migrants in a restrictive regime under which individuals may be locked in a cell for a maximum of 17 hours per day with limited rights to receive visitors and to outdoor activities (arts. 7, 9, 12, 13 and 14).</w:t>
      </w:r>
    </w:p>
    <w:p w:rsidR="0089093B" w:rsidRPr="003D2EAA" w:rsidRDefault="0089093B" w:rsidP="005B2E32">
      <w:pPr>
        <w:pStyle w:val="SingleTxtG"/>
        <w:rPr>
          <w:b/>
          <w:bCs/>
        </w:rPr>
      </w:pPr>
      <w:r w:rsidRPr="00DF2609">
        <w:t>25.</w:t>
      </w:r>
      <w:r w:rsidRPr="00DF2609">
        <w:tab/>
      </w:r>
      <w:r w:rsidRPr="003D2EAA">
        <w:rPr>
          <w:b/>
          <w:bCs/>
        </w:rPr>
        <w:t xml:space="preserve">The State party should: </w:t>
      </w:r>
    </w:p>
    <w:p w:rsidR="0089093B" w:rsidRPr="003D2EAA" w:rsidRDefault="00663475" w:rsidP="005B2E32">
      <w:pPr>
        <w:pStyle w:val="SingleTxtG"/>
        <w:rPr>
          <w:b/>
          <w:bCs/>
        </w:rPr>
      </w:pPr>
      <w:r w:rsidRPr="003D2EAA">
        <w:tab/>
      </w:r>
      <w:r w:rsidR="0089093B" w:rsidRPr="003D2EAA">
        <w:t>(a)</w:t>
      </w:r>
      <w:r w:rsidR="0089093B" w:rsidRPr="003D2EAA">
        <w:tab/>
      </w:r>
      <w:r w:rsidR="0089093B" w:rsidRPr="003D2EAA">
        <w:rPr>
          <w:b/>
          <w:bCs/>
        </w:rPr>
        <w:t>Ensure that immigration detention is used only as a measure of last resort and for as short a period as possible;</w:t>
      </w:r>
    </w:p>
    <w:p w:rsidR="0089093B" w:rsidRPr="003D2EAA" w:rsidRDefault="00663475" w:rsidP="005B2E32">
      <w:pPr>
        <w:pStyle w:val="SingleTxtG"/>
        <w:rPr>
          <w:b/>
          <w:bCs/>
        </w:rPr>
      </w:pPr>
      <w:r w:rsidRPr="003D2EAA">
        <w:tab/>
      </w:r>
      <w:r w:rsidR="0089093B" w:rsidRPr="003D2EAA">
        <w:t>(b)</w:t>
      </w:r>
      <w:r w:rsidR="0089093B" w:rsidRPr="003D2EAA">
        <w:tab/>
      </w:r>
      <w:r w:rsidR="0089093B" w:rsidRPr="003D2EAA">
        <w:rPr>
          <w:b/>
          <w:bCs/>
        </w:rPr>
        <w:t>Strictly limit the use of isolation or solitary confinement in immigration detention;</w:t>
      </w:r>
    </w:p>
    <w:p w:rsidR="0089093B" w:rsidRPr="003D2EAA" w:rsidRDefault="00663475" w:rsidP="005B2E32">
      <w:pPr>
        <w:pStyle w:val="SingleTxtG"/>
        <w:rPr>
          <w:b/>
          <w:bCs/>
        </w:rPr>
      </w:pPr>
      <w:r w:rsidRPr="003D2EAA">
        <w:tab/>
      </w:r>
      <w:r w:rsidR="0089093B" w:rsidRPr="003D2EAA">
        <w:t>(c)</w:t>
      </w:r>
      <w:r w:rsidR="0089093B" w:rsidRPr="003D2EAA">
        <w:tab/>
      </w:r>
      <w:r w:rsidR="0089093B" w:rsidRPr="003D2EAA">
        <w:rPr>
          <w:b/>
          <w:bCs/>
        </w:rPr>
        <w:t>Promote and apply non-custodial alternative measures in a systematic manner and strive to extend it to asylum seekers arriving at Schiphol International Airport;</w:t>
      </w:r>
    </w:p>
    <w:p w:rsidR="0089093B" w:rsidRPr="003D2EAA" w:rsidRDefault="00663475" w:rsidP="005B2E32">
      <w:pPr>
        <w:pStyle w:val="SingleTxtG"/>
        <w:rPr>
          <w:b/>
          <w:bCs/>
        </w:rPr>
      </w:pPr>
      <w:r w:rsidRPr="003D2EAA">
        <w:tab/>
      </w:r>
      <w:r w:rsidR="0089093B" w:rsidRPr="003D2EAA">
        <w:t>(d)</w:t>
      </w:r>
      <w:r w:rsidR="0089093B" w:rsidRPr="003D2EAA">
        <w:rPr>
          <w:b/>
          <w:bCs/>
        </w:rPr>
        <w:tab/>
        <w:t>Facilitate prompt judicial review of immigration detention decisions;</w:t>
      </w:r>
    </w:p>
    <w:p w:rsidR="0089093B" w:rsidRPr="00DF2609" w:rsidRDefault="00663475" w:rsidP="005B2E32">
      <w:pPr>
        <w:pStyle w:val="SingleTxtG"/>
      </w:pPr>
      <w:r w:rsidRPr="003D2EAA">
        <w:lastRenderedPageBreak/>
        <w:tab/>
      </w:r>
      <w:r w:rsidR="0089093B" w:rsidRPr="003D2EAA">
        <w:t>(e)</w:t>
      </w:r>
      <w:r w:rsidR="0089093B" w:rsidRPr="003D2EAA">
        <w:tab/>
      </w:r>
      <w:r w:rsidR="0089093B" w:rsidRPr="003D2EAA">
        <w:rPr>
          <w:b/>
          <w:bCs/>
        </w:rPr>
        <w:t>Review the Repatriation and Detention of Aliens Act (</w:t>
      </w:r>
      <w:r w:rsidR="0089093B" w:rsidRPr="00777436">
        <w:rPr>
          <w:b/>
          <w:bCs/>
          <w:i/>
          <w:iCs/>
        </w:rPr>
        <w:t xml:space="preserve">Wet </w:t>
      </w:r>
      <w:proofErr w:type="spellStart"/>
      <w:r w:rsidR="0089093B" w:rsidRPr="00777436">
        <w:rPr>
          <w:b/>
          <w:bCs/>
          <w:i/>
          <w:iCs/>
        </w:rPr>
        <w:t>Terugkeer</w:t>
      </w:r>
      <w:proofErr w:type="spellEnd"/>
      <w:r w:rsidR="0089093B" w:rsidRPr="00777436">
        <w:rPr>
          <w:b/>
          <w:bCs/>
          <w:i/>
          <w:iCs/>
        </w:rPr>
        <w:t xml:space="preserve"> </w:t>
      </w:r>
      <w:proofErr w:type="spellStart"/>
      <w:r w:rsidR="0089093B" w:rsidRPr="00777436">
        <w:rPr>
          <w:b/>
          <w:bCs/>
          <w:i/>
          <w:iCs/>
        </w:rPr>
        <w:t>en</w:t>
      </w:r>
      <w:proofErr w:type="spellEnd"/>
      <w:r w:rsidR="0089093B" w:rsidRPr="003D2EAA">
        <w:rPr>
          <w:b/>
          <w:bCs/>
        </w:rPr>
        <w:t xml:space="preserve"> </w:t>
      </w:r>
      <w:proofErr w:type="spellStart"/>
      <w:r w:rsidR="0089093B" w:rsidRPr="00777436">
        <w:rPr>
          <w:b/>
          <w:bCs/>
          <w:i/>
          <w:iCs/>
        </w:rPr>
        <w:t>Vreemdelingenbewaring</w:t>
      </w:r>
      <w:proofErr w:type="spellEnd"/>
      <w:r w:rsidR="0089093B" w:rsidRPr="003D2EAA">
        <w:rPr>
          <w:b/>
          <w:bCs/>
        </w:rPr>
        <w:t>) with a view to bringing it in line with international human rights law, including but not limited to a review of the treatment of children under the Act.</w:t>
      </w:r>
      <w:r w:rsidR="0089093B" w:rsidRPr="00DF2609">
        <w:t xml:space="preserve"> </w:t>
      </w:r>
    </w:p>
    <w:p w:rsidR="0089093B" w:rsidRPr="00DF2609" w:rsidRDefault="0089093B" w:rsidP="00663475">
      <w:pPr>
        <w:pStyle w:val="H23G"/>
      </w:pPr>
      <w:r w:rsidRPr="00DF2609">
        <w:tab/>
      </w:r>
      <w:r w:rsidRPr="00DF2609">
        <w:tab/>
        <w:t>Elimination of slavery, servitude and trafficking in persons</w:t>
      </w:r>
    </w:p>
    <w:p w:rsidR="0089093B" w:rsidRPr="00DF2609" w:rsidRDefault="0089093B" w:rsidP="005B2E32">
      <w:pPr>
        <w:pStyle w:val="SingleTxtG"/>
      </w:pPr>
      <w:r w:rsidRPr="00DF2609">
        <w:t>26.</w:t>
      </w:r>
      <w:r w:rsidRPr="00DF2609">
        <w:tab/>
        <w:t>While noting the efforts made by the State party to curb trafficking in persons, the Committee remains concerned by the low level of reporting about such crimes, as well as the low rate of prosecutions and convictions. It is also concerned by the growing number of migrant workers, particularly from Poland and Hungary, who are coerced by employment agencies to work under exploitative conditions. As regards the Caribbean part of the Kingdom, the Committee is concerned that there are growing reports of human smuggling and trafficking; that victims of trafficking, especially women, have reportedly been subjected to inhumane and degrading treatment, including sexual violence; and that the response of the relevant authorities is not adequate and often fails to identify and protect victims or to prosecute perpetrators (arts. 3, 7, 8, 12 and 13).</w:t>
      </w:r>
    </w:p>
    <w:p w:rsidR="0089093B" w:rsidRPr="003D2EAA" w:rsidRDefault="0089093B" w:rsidP="005B2E32">
      <w:pPr>
        <w:pStyle w:val="SingleTxtG"/>
        <w:rPr>
          <w:b/>
          <w:bCs/>
        </w:rPr>
      </w:pPr>
      <w:r w:rsidRPr="00DF2609">
        <w:t>27.</w:t>
      </w:r>
      <w:r w:rsidRPr="00DF2609">
        <w:tab/>
      </w:r>
      <w:r w:rsidRPr="003D2EAA">
        <w:rPr>
          <w:b/>
          <w:bCs/>
        </w:rPr>
        <w:t xml:space="preserve">The State party should: </w:t>
      </w:r>
    </w:p>
    <w:p w:rsidR="0089093B" w:rsidRPr="003D2EAA" w:rsidRDefault="00663475" w:rsidP="005B2E32">
      <w:pPr>
        <w:pStyle w:val="SingleTxtG"/>
        <w:rPr>
          <w:b/>
          <w:bCs/>
        </w:rPr>
      </w:pPr>
      <w:r w:rsidRPr="003D2EAA">
        <w:tab/>
      </w:r>
      <w:r w:rsidR="0089093B" w:rsidRPr="003D2EAA">
        <w:t>(a)</w:t>
      </w:r>
      <w:r w:rsidR="0089093B" w:rsidRPr="003D2EAA">
        <w:rPr>
          <w:b/>
          <w:bCs/>
        </w:rPr>
        <w:tab/>
        <w:t xml:space="preserve">Establish effective complaint procedures to allow migrant workers, including those in irregular situations and victims of trafficking, to file complaints without fear of reprisal or deportation; </w:t>
      </w:r>
    </w:p>
    <w:p w:rsidR="0089093B" w:rsidRPr="003D2EAA" w:rsidRDefault="00663475" w:rsidP="005B2E32">
      <w:pPr>
        <w:pStyle w:val="SingleTxtG"/>
        <w:rPr>
          <w:b/>
          <w:bCs/>
        </w:rPr>
      </w:pPr>
      <w:r w:rsidRPr="003D2EAA">
        <w:tab/>
      </w:r>
      <w:r w:rsidR="0089093B" w:rsidRPr="003D2EAA">
        <w:t>(b)</w:t>
      </w:r>
      <w:r w:rsidR="0089093B" w:rsidRPr="003D2EAA">
        <w:rPr>
          <w:b/>
          <w:bCs/>
        </w:rPr>
        <w:tab/>
        <w:t>Ensure that cases of trafficking and labour exploitation are thoroughly investigated, those responsible are prosecuted and, if found guilty, are sentenced appropriately, and victims are provided with full reparation and appropriate protection and assistance;</w:t>
      </w:r>
    </w:p>
    <w:p w:rsidR="0089093B" w:rsidRPr="003D2EAA" w:rsidRDefault="00663475" w:rsidP="005B2E32">
      <w:pPr>
        <w:pStyle w:val="SingleTxtG"/>
        <w:rPr>
          <w:b/>
          <w:bCs/>
        </w:rPr>
      </w:pPr>
      <w:r w:rsidRPr="003D2EAA">
        <w:rPr>
          <w:b/>
          <w:bCs/>
        </w:rPr>
        <w:tab/>
      </w:r>
      <w:r w:rsidR="0089093B" w:rsidRPr="003D2EAA">
        <w:t>(c)</w:t>
      </w:r>
      <w:r w:rsidR="0089093B" w:rsidRPr="003D2EAA">
        <w:rPr>
          <w:b/>
          <w:bCs/>
        </w:rPr>
        <w:tab/>
        <w:t>Strengthen labour inspections in those sectors where most migrant workers are prevalent, particularly those from Poland and Hungary;</w:t>
      </w:r>
    </w:p>
    <w:p w:rsidR="0089093B" w:rsidRPr="003D2EAA" w:rsidRDefault="00663475" w:rsidP="005B2E32">
      <w:pPr>
        <w:pStyle w:val="SingleTxtG"/>
        <w:rPr>
          <w:b/>
          <w:bCs/>
        </w:rPr>
      </w:pPr>
      <w:r w:rsidRPr="003D2EAA">
        <w:rPr>
          <w:b/>
          <w:bCs/>
        </w:rPr>
        <w:tab/>
      </w:r>
      <w:r w:rsidR="0089093B" w:rsidRPr="003D2EAA">
        <w:t>(d)</w:t>
      </w:r>
      <w:r w:rsidR="0089093B" w:rsidRPr="003D2EAA">
        <w:rPr>
          <w:b/>
          <w:bCs/>
        </w:rPr>
        <w:tab/>
        <w:t>Provide adequate training to judges, prosecutors, law enforcement officials, immigration officers and staff working in all reception facilities, including on procedures for identifying victims of human trafficking.</w:t>
      </w:r>
    </w:p>
    <w:p w:rsidR="0089093B" w:rsidRPr="00DF2609" w:rsidRDefault="0089093B" w:rsidP="00663475">
      <w:pPr>
        <w:pStyle w:val="H23G"/>
      </w:pPr>
      <w:r w:rsidRPr="00DF2609">
        <w:tab/>
      </w:r>
      <w:r w:rsidRPr="00DF2609">
        <w:tab/>
        <w:t>Termination of life (euthanasia, assisted suicide)</w:t>
      </w:r>
    </w:p>
    <w:p w:rsidR="0089093B" w:rsidRPr="00DF2609" w:rsidRDefault="0089093B" w:rsidP="005B2E32">
      <w:pPr>
        <w:pStyle w:val="SingleTxtG"/>
      </w:pPr>
      <w:r w:rsidRPr="00DF2609">
        <w:t>28.</w:t>
      </w:r>
      <w:r w:rsidRPr="00DF2609">
        <w:tab/>
        <w:t xml:space="preserve">The Committee notes that the Law on the Termination of Life on Request and Assisted Suicide provides for a number of substantive and procedural safeguards relating to the performance of euthanasia, including ex post facto review of the procedure followed by regional euthanasia committees. The Committee is concerned, however, at the limited ex ante review of decisions to terminate life, including the legal and ethical implications of such decisions (art. 6). </w:t>
      </w:r>
    </w:p>
    <w:p w:rsidR="0089093B" w:rsidRPr="00DF2609" w:rsidRDefault="0089093B" w:rsidP="005B2E32">
      <w:pPr>
        <w:pStyle w:val="SingleTxtG"/>
      </w:pPr>
      <w:r w:rsidRPr="00DF2609">
        <w:t>29.</w:t>
      </w:r>
      <w:r w:rsidRPr="00DF2609">
        <w:tab/>
      </w:r>
      <w:r w:rsidRPr="003D2EAA">
        <w:rPr>
          <w:b/>
          <w:bCs/>
        </w:rPr>
        <w:t>The State party should strengthen the institutional safeguards to regulate euthanasia (assisted suicide) in accordance with the Committee</w:t>
      </w:r>
      <w:r w:rsidR="000915FE">
        <w:rPr>
          <w:b/>
          <w:bCs/>
        </w:rPr>
        <w:t>’</w:t>
      </w:r>
      <w:r w:rsidRPr="003D2EAA">
        <w:rPr>
          <w:b/>
          <w:bCs/>
        </w:rPr>
        <w:t>s general comment No. 36 (2018) on the right to life, including by considering the introduction of an independent ethics committee to conduct ex ante reviews of medical decisions on requests for termination of life or assisted suicides.</w:t>
      </w:r>
      <w:r w:rsidRPr="00DF2609">
        <w:t xml:space="preserve"> </w:t>
      </w:r>
    </w:p>
    <w:p w:rsidR="0089093B" w:rsidRPr="00DF2609" w:rsidRDefault="0089093B" w:rsidP="00663475">
      <w:pPr>
        <w:pStyle w:val="H23G"/>
      </w:pPr>
      <w:r w:rsidRPr="00DF2609">
        <w:tab/>
      </w:r>
      <w:r w:rsidRPr="00DF2609">
        <w:tab/>
        <w:t>Voluntary termination of pregnancy</w:t>
      </w:r>
    </w:p>
    <w:p w:rsidR="0089093B" w:rsidRPr="00DF2609" w:rsidRDefault="0089093B" w:rsidP="005B2E32">
      <w:pPr>
        <w:pStyle w:val="SingleTxtG"/>
      </w:pPr>
      <w:r w:rsidRPr="00DF2609">
        <w:t>30.</w:t>
      </w:r>
      <w:r w:rsidRPr="00DF2609">
        <w:tab/>
        <w:t xml:space="preserve">The Committee is concerned that the Criminal Code of </w:t>
      </w:r>
      <w:proofErr w:type="spellStart"/>
      <w:r w:rsidRPr="00DF2609">
        <w:t>Sint</w:t>
      </w:r>
      <w:proofErr w:type="spellEnd"/>
      <w:r w:rsidRPr="00DF2609">
        <w:t xml:space="preserve"> Maarten criminalizes the provision of abortion-related information or services. It regrets the lack of information on the legislation relating to abortion and the sexual and reproductive services and information in other constituent countries (arts. 3 and 6). </w:t>
      </w:r>
    </w:p>
    <w:p w:rsidR="0089093B" w:rsidRPr="003D2EAA" w:rsidRDefault="0089093B" w:rsidP="005B2E32">
      <w:pPr>
        <w:pStyle w:val="SingleTxtG"/>
        <w:rPr>
          <w:b/>
          <w:bCs/>
        </w:rPr>
      </w:pPr>
      <w:r w:rsidRPr="00DF2609">
        <w:t>31.</w:t>
      </w:r>
      <w:r w:rsidRPr="00DF2609">
        <w:tab/>
      </w:r>
      <w:r w:rsidRPr="003D2EAA">
        <w:rPr>
          <w:b/>
          <w:bCs/>
        </w:rPr>
        <w:t>The State party should ensure that:</w:t>
      </w:r>
    </w:p>
    <w:p w:rsidR="0089093B" w:rsidRPr="003D2EAA" w:rsidRDefault="00663475" w:rsidP="005B2E32">
      <w:pPr>
        <w:pStyle w:val="SingleTxtG"/>
        <w:rPr>
          <w:b/>
          <w:bCs/>
        </w:rPr>
      </w:pPr>
      <w:r w:rsidRPr="003D2EAA">
        <w:tab/>
      </w:r>
      <w:r w:rsidR="0089093B" w:rsidRPr="003D2EAA">
        <w:t>(a)</w:t>
      </w:r>
      <w:r w:rsidR="0089093B" w:rsidRPr="003D2EAA">
        <w:tab/>
      </w:r>
      <w:r w:rsidR="0089093B" w:rsidRPr="003D2EAA">
        <w:rPr>
          <w:b/>
          <w:bCs/>
        </w:rPr>
        <w:t xml:space="preserve">The Criminal Code of </w:t>
      </w:r>
      <w:proofErr w:type="spellStart"/>
      <w:r w:rsidR="0089093B" w:rsidRPr="003D2EAA">
        <w:rPr>
          <w:b/>
          <w:bCs/>
        </w:rPr>
        <w:t>Sint</w:t>
      </w:r>
      <w:proofErr w:type="spellEnd"/>
      <w:r w:rsidR="0089093B" w:rsidRPr="003D2EAA">
        <w:rPr>
          <w:b/>
          <w:bCs/>
        </w:rPr>
        <w:t xml:space="preserve"> Maarten is revised, with a view to decriminalizing the provision of abortion-related information; </w:t>
      </w:r>
    </w:p>
    <w:p w:rsidR="0089093B" w:rsidRPr="003D2EAA" w:rsidRDefault="00663475" w:rsidP="005B2E32">
      <w:pPr>
        <w:pStyle w:val="SingleTxtG"/>
        <w:rPr>
          <w:b/>
          <w:bCs/>
        </w:rPr>
      </w:pPr>
      <w:r w:rsidRPr="003D2EAA">
        <w:tab/>
      </w:r>
      <w:r w:rsidR="0089093B" w:rsidRPr="003D2EAA">
        <w:t>(b)</w:t>
      </w:r>
      <w:r w:rsidR="0089093B" w:rsidRPr="003D2EAA">
        <w:tab/>
      </w:r>
      <w:r w:rsidR="0089093B" w:rsidRPr="003D2EAA">
        <w:rPr>
          <w:b/>
          <w:bCs/>
        </w:rPr>
        <w:t xml:space="preserve">Abortion is legalized throughout the State party in cases in which the life and health of pregnant women or girls are at risk, the pregnancy was the result of </w:t>
      </w:r>
      <w:r w:rsidR="0089093B" w:rsidRPr="003D2EAA">
        <w:rPr>
          <w:b/>
          <w:bCs/>
        </w:rPr>
        <w:lastRenderedPageBreak/>
        <w:t>incest or rape, or is not viable and that any other regulation of abortion does not run contrary to the duty to ensure that women and girls do not have to undertake unsafe abortions;</w:t>
      </w:r>
    </w:p>
    <w:p w:rsidR="0089093B" w:rsidRPr="003D2EAA" w:rsidRDefault="00663475" w:rsidP="005B2E32">
      <w:pPr>
        <w:pStyle w:val="SingleTxtG"/>
        <w:rPr>
          <w:b/>
          <w:bCs/>
        </w:rPr>
      </w:pPr>
      <w:r>
        <w:tab/>
      </w:r>
      <w:r w:rsidR="0089093B" w:rsidRPr="00DF2609">
        <w:t>(c)</w:t>
      </w:r>
      <w:r w:rsidR="0089093B" w:rsidRPr="00DF2609">
        <w:tab/>
      </w:r>
      <w:r w:rsidR="0089093B" w:rsidRPr="003D2EAA">
        <w:rPr>
          <w:b/>
          <w:bCs/>
        </w:rPr>
        <w:t>Adequate sexual and reproductive health-care services and information are accessible to all men, women and adolescents throughout the State party.</w:t>
      </w:r>
    </w:p>
    <w:p w:rsidR="0089093B" w:rsidRPr="00DF2609" w:rsidRDefault="0089093B" w:rsidP="00663475">
      <w:pPr>
        <w:pStyle w:val="H23G"/>
      </w:pPr>
      <w:r w:rsidRPr="00DF2609">
        <w:tab/>
      </w:r>
      <w:r w:rsidRPr="00DF2609">
        <w:tab/>
        <w:t>Violence against women, including domestic violence</w:t>
      </w:r>
    </w:p>
    <w:p w:rsidR="0089093B" w:rsidRPr="00DF2609" w:rsidRDefault="0089093B" w:rsidP="005B2E32">
      <w:pPr>
        <w:pStyle w:val="SingleTxtG"/>
      </w:pPr>
      <w:r w:rsidRPr="00DF2609">
        <w:t>32.</w:t>
      </w:r>
      <w:r w:rsidRPr="00DF2609">
        <w:tab/>
        <w:t>While noting the efforts made by the State party, including the ratification of the Council of Europe Convention on Preventing and Combating Violence against Women and Domestic Violence (the Istanbul Convention), the Committee remains concerned by the persistence of violence against women, including domestic violence, across the State party. It is also concerned about:</w:t>
      </w:r>
    </w:p>
    <w:p w:rsidR="0089093B" w:rsidRPr="00DF2609" w:rsidRDefault="00663475" w:rsidP="005B2E32">
      <w:pPr>
        <w:pStyle w:val="SingleTxtG"/>
      </w:pPr>
      <w:r>
        <w:tab/>
      </w:r>
      <w:r w:rsidR="0089093B" w:rsidRPr="00DF2609">
        <w:t>(a)</w:t>
      </w:r>
      <w:r w:rsidR="0089093B" w:rsidRPr="00DF2609">
        <w:tab/>
        <w:t>The incompatibility of provisions on sexual violence in the Dutch Criminal Code, particularly those defining rape, with international human rights standards, including the Istanbul Convention;</w:t>
      </w:r>
    </w:p>
    <w:p w:rsidR="0089093B" w:rsidRPr="00DF2609" w:rsidRDefault="00663475" w:rsidP="005B2E32">
      <w:pPr>
        <w:pStyle w:val="SingleTxtG"/>
      </w:pPr>
      <w:r>
        <w:tab/>
      </w:r>
      <w:r w:rsidR="0089093B" w:rsidRPr="00DF2609">
        <w:t>(b)</w:t>
      </w:r>
      <w:r w:rsidR="0089093B" w:rsidRPr="00DF2609">
        <w:tab/>
        <w:t xml:space="preserve">The different levels of protection and support for victims provided by different municipalities and different constituent countries, particularly for women in irregular migration situations, and at the lack of monitoring and coordination at the national level; </w:t>
      </w:r>
    </w:p>
    <w:p w:rsidR="0089093B" w:rsidRPr="00DF2609" w:rsidRDefault="00663475" w:rsidP="005B2E32">
      <w:pPr>
        <w:pStyle w:val="SingleTxtG"/>
      </w:pPr>
      <w:r>
        <w:tab/>
      </w:r>
      <w:r w:rsidR="0089093B" w:rsidRPr="00DF2609">
        <w:t>(c)</w:t>
      </w:r>
      <w:r w:rsidR="0089093B" w:rsidRPr="00DF2609">
        <w:tab/>
        <w:t>The limited access of victims of domestic violence to free legal aid;</w:t>
      </w:r>
    </w:p>
    <w:p w:rsidR="0089093B" w:rsidRPr="00DF2609" w:rsidRDefault="00663475" w:rsidP="005B2E32">
      <w:pPr>
        <w:pStyle w:val="SingleTxtG"/>
      </w:pPr>
      <w:r>
        <w:tab/>
      </w:r>
      <w:r w:rsidR="0089093B" w:rsidRPr="00DF2609">
        <w:rPr>
          <w:rFonts w:hint="eastAsia"/>
        </w:rPr>
        <w:t>(</w:t>
      </w:r>
      <w:r w:rsidR="0089093B" w:rsidRPr="00DF2609">
        <w:t>d)</w:t>
      </w:r>
      <w:r w:rsidR="0089093B" w:rsidRPr="00DF2609">
        <w:tab/>
        <w:t>The absence of comprehensive data collection relating to violence against women, including domestic violence (arts. 2, 3, 7 and 26).</w:t>
      </w:r>
    </w:p>
    <w:p w:rsidR="0089093B" w:rsidRPr="003D2EAA" w:rsidRDefault="0089093B" w:rsidP="005B2E32">
      <w:pPr>
        <w:pStyle w:val="SingleTxtG"/>
        <w:rPr>
          <w:b/>
          <w:bCs/>
        </w:rPr>
      </w:pPr>
      <w:r w:rsidRPr="00DF2609">
        <w:t>33.</w:t>
      </w:r>
      <w:r w:rsidRPr="00DF2609">
        <w:tab/>
      </w:r>
      <w:r w:rsidRPr="003D2EAA">
        <w:rPr>
          <w:b/>
          <w:bCs/>
        </w:rPr>
        <w:t>The State party should step up its efforts to combat violence against women, including domestic violence, in particular:</w:t>
      </w:r>
    </w:p>
    <w:p w:rsidR="0089093B" w:rsidRPr="003D2EAA" w:rsidRDefault="0089093B" w:rsidP="005B2E32">
      <w:pPr>
        <w:pStyle w:val="SingleTxtG"/>
        <w:rPr>
          <w:b/>
          <w:bCs/>
        </w:rPr>
      </w:pPr>
      <w:r w:rsidRPr="00DF2609">
        <w:tab/>
        <w:t>(a)</w:t>
      </w:r>
      <w:r w:rsidRPr="00DF2609">
        <w:tab/>
      </w:r>
      <w:r w:rsidRPr="003D2EAA">
        <w:rPr>
          <w:b/>
          <w:bCs/>
        </w:rPr>
        <w:t>Revise provisions on sexual violence and domestic violence, particularly those relating to the definition of rape and other sexual violence offences, in the criminal laws of all four constituent countries in line with international human rights standards, including the Istanbul Convention, and ensure that the harmonized legal standards are applied across the State party;</w:t>
      </w:r>
    </w:p>
    <w:p w:rsidR="0089093B" w:rsidRPr="003D2EAA" w:rsidRDefault="00663475" w:rsidP="005B2E32">
      <w:pPr>
        <w:pStyle w:val="SingleTxtG"/>
        <w:rPr>
          <w:b/>
          <w:bCs/>
        </w:rPr>
      </w:pPr>
      <w:r>
        <w:tab/>
      </w:r>
      <w:r w:rsidR="0089093B" w:rsidRPr="00DF2609">
        <w:t>(b)</w:t>
      </w:r>
      <w:r w:rsidR="0089093B" w:rsidRPr="00DF2609">
        <w:tab/>
      </w:r>
      <w:r w:rsidR="0089093B" w:rsidRPr="003D2EAA">
        <w:rPr>
          <w:b/>
          <w:bCs/>
        </w:rPr>
        <w:t>Enhance the capacities of municipalities to provide adequate services and shelters and protection for victims, with special attention paid to women and children in vulnerable situations, and put in place an oversight mechanism for the services and protection provided by municipalities at the national level;</w:t>
      </w:r>
    </w:p>
    <w:p w:rsidR="0089093B" w:rsidRPr="003D2EAA" w:rsidRDefault="00663475" w:rsidP="005B2E32">
      <w:pPr>
        <w:pStyle w:val="SingleTxtG"/>
        <w:rPr>
          <w:b/>
          <w:bCs/>
        </w:rPr>
      </w:pPr>
      <w:r>
        <w:tab/>
      </w:r>
      <w:r w:rsidR="0089093B" w:rsidRPr="00DF2609">
        <w:rPr>
          <w:rFonts w:hint="eastAsia"/>
        </w:rPr>
        <w:t>(</w:t>
      </w:r>
      <w:r w:rsidR="0089093B" w:rsidRPr="00DF2609">
        <w:t>c)</w:t>
      </w:r>
      <w:r w:rsidR="0089093B" w:rsidRPr="00DF2609">
        <w:tab/>
      </w:r>
      <w:r w:rsidR="0089093B" w:rsidRPr="003D2EAA">
        <w:rPr>
          <w:b/>
          <w:bCs/>
        </w:rPr>
        <w:t>Ensure that free legal aid is provided to all victims of domestic violence;</w:t>
      </w:r>
    </w:p>
    <w:p w:rsidR="0089093B" w:rsidRPr="00DF2609" w:rsidRDefault="00663475" w:rsidP="005B2E32">
      <w:pPr>
        <w:pStyle w:val="SingleTxtG"/>
      </w:pPr>
      <w:r>
        <w:tab/>
      </w:r>
      <w:r w:rsidR="0089093B" w:rsidRPr="00DF2609">
        <w:t>(d)</w:t>
      </w:r>
      <w:r w:rsidR="0089093B" w:rsidRPr="00DF2609">
        <w:tab/>
      </w:r>
      <w:r w:rsidR="0089093B" w:rsidRPr="003D2EAA">
        <w:rPr>
          <w:b/>
          <w:bCs/>
        </w:rPr>
        <w:t>Collect comprehensive data relating to cases of violence against women and domestic violence.</w:t>
      </w:r>
    </w:p>
    <w:p w:rsidR="0089093B" w:rsidRPr="00DF2609" w:rsidRDefault="0089093B" w:rsidP="00663475">
      <w:pPr>
        <w:pStyle w:val="H23G"/>
      </w:pPr>
      <w:r w:rsidRPr="00DF2609">
        <w:tab/>
      </w:r>
      <w:r w:rsidRPr="00DF2609">
        <w:tab/>
        <w:t>Gas extraction operations in Groningen</w:t>
      </w:r>
    </w:p>
    <w:p w:rsidR="0089093B" w:rsidRPr="00DF2609" w:rsidRDefault="0089093B" w:rsidP="005B2E32">
      <w:pPr>
        <w:pStyle w:val="SingleTxtG"/>
      </w:pPr>
      <w:r w:rsidRPr="00DF2609">
        <w:t>34.</w:t>
      </w:r>
      <w:r w:rsidRPr="00DF2609">
        <w:tab/>
        <w:t>While noting the commitment of the State party to phasing out gas extraction in Groningen by the end of 2022, the Committee remains concerned by the serious effects that gas extraction operations have had on the safety and well-being of inhabitants in the region as well as on their private lives in their homes (arts. 6, 17 and 23).</w:t>
      </w:r>
    </w:p>
    <w:p w:rsidR="0089093B" w:rsidRPr="003D2EAA" w:rsidRDefault="0089093B" w:rsidP="005B2E32">
      <w:pPr>
        <w:pStyle w:val="SingleTxtG"/>
        <w:rPr>
          <w:b/>
          <w:bCs/>
        </w:rPr>
      </w:pPr>
      <w:r w:rsidRPr="00DF2609">
        <w:t>35.</w:t>
      </w:r>
      <w:r w:rsidRPr="00DF2609">
        <w:tab/>
      </w:r>
      <w:r w:rsidRPr="003D2EAA">
        <w:rPr>
          <w:b/>
          <w:bCs/>
        </w:rPr>
        <w:t xml:space="preserve">The State party should: </w:t>
      </w:r>
    </w:p>
    <w:p w:rsidR="0089093B" w:rsidRPr="003D2EAA" w:rsidRDefault="00663475" w:rsidP="005B2E32">
      <w:pPr>
        <w:pStyle w:val="SingleTxtG"/>
        <w:rPr>
          <w:b/>
          <w:bCs/>
        </w:rPr>
      </w:pPr>
      <w:r w:rsidRPr="003D2EAA">
        <w:tab/>
      </w:r>
      <w:r w:rsidR="0089093B" w:rsidRPr="003D2EAA">
        <w:t>(a)</w:t>
      </w:r>
      <w:r w:rsidR="0089093B" w:rsidRPr="003D2EAA">
        <w:tab/>
      </w:r>
      <w:r w:rsidR="0089093B" w:rsidRPr="003D2EAA">
        <w:rPr>
          <w:b/>
          <w:bCs/>
        </w:rPr>
        <w:t xml:space="preserve">Take the necessary measures to ensure the physical safety and mental well-being of people residing in the area of gas extraction in Groningen and the security and safety of their homes; </w:t>
      </w:r>
    </w:p>
    <w:p w:rsidR="0089093B" w:rsidRPr="003D2EAA" w:rsidRDefault="00663475" w:rsidP="005B2E32">
      <w:pPr>
        <w:pStyle w:val="SingleTxtG"/>
        <w:rPr>
          <w:b/>
          <w:bCs/>
        </w:rPr>
      </w:pPr>
      <w:r w:rsidRPr="003D2EAA">
        <w:tab/>
      </w:r>
      <w:r w:rsidR="0089093B" w:rsidRPr="003D2EAA">
        <w:t>(b)</w:t>
      </w:r>
      <w:r w:rsidR="0089093B" w:rsidRPr="003D2EAA">
        <w:rPr>
          <w:b/>
          <w:bCs/>
        </w:rPr>
        <w:tab/>
        <w:t xml:space="preserve">Provide adequate compensation to the victims and prevent future occurrences of damages related to gas extraction; </w:t>
      </w:r>
    </w:p>
    <w:p w:rsidR="0089093B" w:rsidRPr="003D2EAA" w:rsidRDefault="00663475" w:rsidP="005B2E32">
      <w:pPr>
        <w:pStyle w:val="SingleTxtG"/>
        <w:rPr>
          <w:b/>
          <w:bCs/>
        </w:rPr>
      </w:pPr>
      <w:r w:rsidRPr="003D2EAA">
        <w:tab/>
      </w:r>
      <w:r w:rsidR="0089093B" w:rsidRPr="003D2EAA">
        <w:t>(c)</w:t>
      </w:r>
      <w:r w:rsidR="0089093B" w:rsidRPr="003D2EAA">
        <w:tab/>
      </w:r>
      <w:r w:rsidR="0089093B" w:rsidRPr="003D2EAA">
        <w:rPr>
          <w:b/>
          <w:bCs/>
        </w:rPr>
        <w:t xml:space="preserve">Ensure the meaningful participation of, and consultation with, inhabitants of Groningen in designing and implementing the phase-out plan. </w:t>
      </w:r>
    </w:p>
    <w:p w:rsidR="0089093B" w:rsidRPr="00DF2609" w:rsidRDefault="0089093B" w:rsidP="00663475">
      <w:pPr>
        <w:pStyle w:val="H23G"/>
      </w:pPr>
      <w:r w:rsidRPr="00DF2609">
        <w:lastRenderedPageBreak/>
        <w:tab/>
      </w:r>
      <w:r w:rsidRPr="00DF2609">
        <w:tab/>
        <w:t xml:space="preserve">Use of force </w:t>
      </w:r>
    </w:p>
    <w:p w:rsidR="0089093B" w:rsidRPr="00DF2609" w:rsidRDefault="0089093B" w:rsidP="005B2E32">
      <w:pPr>
        <w:pStyle w:val="SingleTxtG"/>
      </w:pPr>
      <w:r w:rsidRPr="00DF2609">
        <w:t>36.</w:t>
      </w:r>
      <w:r w:rsidRPr="00DF2609">
        <w:tab/>
        <w:t>The Committee is concerned that the criteria and thresholds for the use of force provided in the new draft guidance on the use of force and firearms by law enforcement officials (</w:t>
      </w:r>
      <w:proofErr w:type="spellStart"/>
      <w:r w:rsidRPr="00777436">
        <w:rPr>
          <w:i/>
          <w:iCs/>
        </w:rPr>
        <w:t>ambtsinstructie</w:t>
      </w:r>
      <w:proofErr w:type="spellEnd"/>
      <w:r w:rsidRPr="00DF2609">
        <w:t>) are not compliant with the international standards</w:t>
      </w:r>
      <w:r w:rsidR="00AD7236">
        <w:t xml:space="preserve"> </w:t>
      </w:r>
      <w:r w:rsidRPr="00DF2609">
        <w:t>of necessity and proportionality and the requirements about when firearms may be used (arts. 6, 7 and 14). While noting that the State party intends to introduce electrical discharge weapons (</w:t>
      </w:r>
      <w:proofErr w:type="spellStart"/>
      <w:r w:rsidRPr="00DF2609">
        <w:t>tasers</w:t>
      </w:r>
      <w:proofErr w:type="spellEnd"/>
      <w:r w:rsidRPr="00DF2609">
        <w:t>) into day-to-day policing in the Netherlands and that pilot testing was conducted in 2017–2018, the Committee is concerned that the official evaluation of the pilot testing indicates that the guidance and training provided to the participating officers on their use was not sufficient. (arts. 6, 7 and 14).</w:t>
      </w:r>
    </w:p>
    <w:p w:rsidR="0089093B" w:rsidRPr="003D2EAA" w:rsidRDefault="0089093B" w:rsidP="005B2E32">
      <w:pPr>
        <w:pStyle w:val="SingleTxtG"/>
        <w:rPr>
          <w:b/>
          <w:bCs/>
        </w:rPr>
      </w:pPr>
      <w:r w:rsidRPr="00DF2609">
        <w:t>37.</w:t>
      </w:r>
      <w:r w:rsidRPr="00DF2609">
        <w:tab/>
      </w:r>
      <w:r w:rsidRPr="003D2EAA">
        <w:rPr>
          <w:b/>
          <w:bCs/>
        </w:rPr>
        <w:t xml:space="preserve">The State party should: </w:t>
      </w:r>
    </w:p>
    <w:p w:rsidR="0089093B" w:rsidRPr="003D2EAA" w:rsidRDefault="00663475" w:rsidP="005B2E32">
      <w:pPr>
        <w:pStyle w:val="SingleTxtG"/>
        <w:rPr>
          <w:b/>
          <w:bCs/>
        </w:rPr>
      </w:pPr>
      <w:r>
        <w:tab/>
      </w:r>
      <w:r w:rsidR="0089093B" w:rsidRPr="00DF2609">
        <w:t>(a)</w:t>
      </w:r>
      <w:r w:rsidR="0089093B" w:rsidRPr="00DF2609">
        <w:tab/>
      </w:r>
      <w:r w:rsidR="0089093B" w:rsidRPr="003D2EAA">
        <w:rPr>
          <w:b/>
          <w:bCs/>
        </w:rPr>
        <w:t>Bring the draft guidance (</w:t>
      </w:r>
      <w:proofErr w:type="spellStart"/>
      <w:r w:rsidR="0089093B" w:rsidRPr="00777436">
        <w:rPr>
          <w:b/>
          <w:bCs/>
          <w:i/>
          <w:iCs/>
        </w:rPr>
        <w:t>ambtsinstructie</w:t>
      </w:r>
      <w:proofErr w:type="spellEnd"/>
      <w:r w:rsidR="0089093B" w:rsidRPr="003D2EAA">
        <w:rPr>
          <w:b/>
          <w:bCs/>
        </w:rPr>
        <w:t xml:space="preserve">) on the use of force and firearms by law enforcement officials in line with the Basic Principles on the Use of Force and Firearms by Law Enforcement Officials and other relevant standards; </w:t>
      </w:r>
    </w:p>
    <w:p w:rsidR="0089093B" w:rsidRPr="003D2EAA" w:rsidRDefault="00663475" w:rsidP="005B2E32">
      <w:pPr>
        <w:pStyle w:val="SingleTxtG"/>
        <w:rPr>
          <w:b/>
          <w:bCs/>
        </w:rPr>
      </w:pPr>
      <w:r>
        <w:tab/>
      </w:r>
      <w:r w:rsidR="0089093B" w:rsidRPr="00DF2609">
        <w:t>(b)</w:t>
      </w:r>
      <w:r w:rsidR="0089093B" w:rsidRPr="00DF2609">
        <w:tab/>
      </w:r>
      <w:r w:rsidR="0089093B" w:rsidRPr="003D2EAA">
        <w:rPr>
          <w:b/>
          <w:bCs/>
        </w:rPr>
        <w:t>Ensure that proper training of law enforcement officials on the use of electrical discharge weapons in accordance with the standards on the use of force is conducted before they use such weapons.</w:t>
      </w:r>
    </w:p>
    <w:p w:rsidR="0089093B" w:rsidRPr="00DF2609" w:rsidRDefault="0089093B" w:rsidP="00663475">
      <w:pPr>
        <w:pStyle w:val="H23G"/>
      </w:pPr>
      <w:r w:rsidRPr="00DF2609">
        <w:tab/>
      </w:r>
      <w:r w:rsidRPr="00DF2609">
        <w:tab/>
        <w:t>Right to liberty and security of persons</w:t>
      </w:r>
    </w:p>
    <w:p w:rsidR="0089093B" w:rsidRPr="00DF2609" w:rsidRDefault="000915FE" w:rsidP="005B2E32">
      <w:pPr>
        <w:pStyle w:val="SingleTxtG"/>
      </w:pPr>
      <w:r>
        <w:t>38.</w:t>
      </w:r>
      <w:r>
        <w:tab/>
      </w:r>
      <w:r w:rsidR="0089093B" w:rsidRPr="00DF2609">
        <w:t>The Committee is concerned that the interests of the investigation provided for in section 62 (2) of the Dutch Criminal Procedure Code concerning the right of notification of custody is unduly vague and that the exceptions and safeguards are not clearly specified. It is also concerned about reports that the right of notification of custody of persons deprived of liberty, who are not subject to the regime of section 62 (2), is not always respected in practice. The Committee is also concerned about allegations of the lack of a clear rule on the role of lawyers during questioning, which may unduly hinder their assistance to their clients (art. 9).</w:t>
      </w:r>
    </w:p>
    <w:p w:rsidR="0089093B" w:rsidRPr="003D2EAA" w:rsidRDefault="0089093B" w:rsidP="005B2E32">
      <w:pPr>
        <w:pStyle w:val="SingleTxtG"/>
        <w:rPr>
          <w:b/>
          <w:bCs/>
        </w:rPr>
      </w:pPr>
      <w:r w:rsidRPr="00DF2609">
        <w:t>39.</w:t>
      </w:r>
      <w:r w:rsidRPr="00DF2609">
        <w:tab/>
      </w:r>
      <w:r w:rsidRPr="003D2EAA">
        <w:rPr>
          <w:b/>
          <w:bCs/>
        </w:rPr>
        <w:t>The State party should review the Dutch Criminal Procedure Code with a view to ensuring that provisions on the right of persons deprived of liberty of notification of custody are clearly defined in line with the Covenant, and ensure that this right is respected in practice. It should also provide clear guidance on the role of lawyers during interrogation, in line with the Covenant.</w:t>
      </w:r>
    </w:p>
    <w:p w:rsidR="0089093B" w:rsidRPr="00DF2609" w:rsidRDefault="0089093B" w:rsidP="00663475">
      <w:pPr>
        <w:pStyle w:val="H23G"/>
      </w:pPr>
      <w:r w:rsidRPr="00DF2609">
        <w:tab/>
      </w:r>
      <w:r w:rsidRPr="00DF2609">
        <w:tab/>
        <w:t>Conditions of detention</w:t>
      </w:r>
    </w:p>
    <w:p w:rsidR="0089093B" w:rsidRPr="00DF2609" w:rsidRDefault="0089093B" w:rsidP="005B2E32">
      <w:pPr>
        <w:pStyle w:val="SingleTxtG"/>
      </w:pPr>
      <w:r w:rsidRPr="00DF2609">
        <w:t>40.</w:t>
      </w:r>
      <w:r w:rsidRPr="00DF2609">
        <w:tab/>
        <w:t xml:space="preserve">While welcoming the reopening of Alkmaar police station with improved conditions in 2018, the Committee remains concerned about the poor conditions of some detention facilities in the Caribbean constituent countries, including the Point Blanche and the Philipsburg police stations in St Maarten, the correctional institution in Aruba and Block 1 of the Centre for Correction and Detention in </w:t>
      </w:r>
      <w:proofErr w:type="spellStart"/>
      <w:r w:rsidRPr="00DF2609">
        <w:t>Curaçao</w:t>
      </w:r>
      <w:proofErr w:type="spellEnd"/>
      <w:r w:rsidRPr="00DF2609">
        <w:t>. It is also concerned by reportedly frequent incidents of inter-prisoner violence. It is further concerned about the insufficient health-care services, including psychiatric services, provided in detention facilities as well as inadequate health care provided to drug-dependent inmates (arts. 7, and 9).</w:t>
      </w:r>
    </w:p>
    <w:p w:rsidR="0089093B" w:rsidRPr="003D2EAA" w:rsidRDefault="0089093B" w:rsidP="005B2E32">
      <w:pPr>
        <w:pStyle w:val="SingleTxtG"/>
        <w:rPr>
          <w:b/>
          <w:bCs/>
        </w:rPr>
      </w:pPr>
      <w:r w:rsidRPr="00DF2609">
        <w:t>41.</w:t>
      </w:r>
      <w:r w:rsidRPr="00DF2609">
        <w:tab/>
      </w:r>
      <w:r w:rsidRPr="003D2EAA">
        <w:rPr>
          <w:b/>
          <w:bCs/>
        </w:rPr>
        <w:t>The State party should:</w:t>
      </w:r>
    </w:p>
    <w:p w:rsidR="0089093B" w:rsidRPr="003D2EAA" w:rsidRDefault="00663475" w:rsidP="005B2E32">
      <w:pPr>
        <w:pStyle w:val="SingleTxtG"/>
        <w:rPr>
          <w:b/>
          <w:bCs/>
        </w:rPr>
      </w:pPr>
      <w:r w:rsidRPr="003D2EAA">
        <w:rPr>
          <w:b/>
          <w:bCs/>
        </w:rPr>
        <w:tab/>
      </w:r>
      <w:r w:rsidR="0089093B" w:rsidRPr="003D2EAA">
        <w:t>(a)</w:t>
      </w:r>
      <w:r w:rsidR="0089093B" w:rsidRPr="003D2EAA">
        <w:tab/>
      </w:r>
      <w:r w:rsidR="0089093B" w:rsidRPr="003D2EAA">
        <w:rPr>
          <w:b/>
          <w:bCs/>
        </w:rPr>
        <w:t xml:space="preserve">Continue its efforts to improve detention conditions in prisons and police stations, particularly in Aruba, </w:t>
      </w:r>
      <w:proofErr w:type="spellStart"/>
      <w:r w:rsidR="0089093B" w:rsidRPr="003D2EAA">
        <w:rPr>
          <w:b/>
          <w:bCs/>
        </w:rPr>
        <w:t>Curaçao</w:t>
      </w:r>
      <w:proofErr w:type="spellEnd"/>
      <w:r w:rsidR="0089093B" w:rsidRPr="003D2EAA">
        <w:rPr>
          <w:b/>
          <w:bCs/>
        </w:rPr>
        <w:t xml:space="preserve"> and </w:t>
      </w:r>
      <w:proofErr w:type="spellStart"/>
      <w:r w:rsidR="0089093B" w:rsidRPr="003D2EAA">
        <w:rPr>
          <w:b/>
          <w:bCs/>
        </w:rPr>
        <w:t>Sint</w:t>
      </w:r>
      <w:proofErr w:type="spellEnd"/>
      <w:r w:rsidR="0089093B" w:rsidRPr="003D2EAA">
        <w:rPr>
          <w:b/>
          <w:bCs/>
        </w:rPr>
        <w:t xml:space="preserve"> Maarten, to meet international human rights standards;</w:t>
      </w:r>
    </w:p>
    <w:p w:rsidR="0089093B" w:rsidRPr="003D2EAA" w:rsidRDefault="00663475" w:rsidP="005B2E32">
      <w:pPr>
        <w:pStyle w:val="SingleTxtG"/>
        <w:rPr>
          <w:b/>
          <w:bCs/>
        </w:rPr>
      </w:pPr>
      <w:r w:rsidRPr="003D2EAA">
        <w:tab/>
      </w:r>
      <w:r w:rsidR="0089093B" w:rsidRPr="003D2EAA">
        <w:t>(b)</w:t>
      </w:r>
      <w:r w:rsidR="0089093B" w:rsidRPr="003D2EAA">
        <w:rPr>
          <w:b/>
          <w:bCs/>
        </w:rPr>
        <w:tab/>
        <w:t>Adopt preventive measures to reduce inter-prisoner violence, including by providing prison officers with training on appropriate and effective responses to inter-prisoner violence, improving prison management and strengthening the monitoring and protection of vulnerable prisoners;</w:t>
      </w:r>
    </w:p>
    <w:p w:rsidR="0089093B" w:rsidRPr="003D2EAA" w:rsidRDefault="00663475" w:rsidP="005B2E32">
      <w:pPr>
        <w:pStyle w:val="SingleTxtG"/>
        <w:rPr>
          <w:b/>
          <w:bCs/>
        </w:rPr>
      </w:pPr>
      <w:r w:rsidRPr="003D2EAA">
        <w:tab/>
      </w:r>
      <w:r w:rsidR="0089093B" w:rsidRPr="003D2EAA">
        <w:t>(c)</w:t>
      </w:r>
      <w:r w:rsidR="0089093B" w:rsidRPr="003D2EAA">
        <w:rPr>
          <w:b/>
          <w:bCs/>
        </w:rPr>
        <w:tab/>
        <w:t>Ensure that inmates have access to an adequate level of health-care services, including psychiatric services, and that harm reduction programmes, including opioid substitution therapy and needle and syringe programmes, are available to drug-dependent inmates;</w:t>
      </w:r>
    </w:p>
    <w:p w:rsidR="0089093B" w:rsidRPr="00DF2609" w:rsidRDefault="00663475" w:rsidP="005B2E32">
      <w:pPr>
        <w:pStyle w:val="SingleTxtG"/>
      </w:pPr>
      <w:r>
        <w:lastRenderedPageBreak/>
        <w:tab/>
      </w:r>
      <w:r w:rsidR="0089093B" w:rsidRPr="00DF2609">
        <w:t>(d)</w:t>
      </w:r>
      <w:r w:rsidR="0089093B" w:rsidRPr="00DF2609">
        <w:tab/>
      </w:r>
      <w:r w:rsidR="0089093B" w:rsidRPr="003D2EAA">
        <w:rPr>
          <w:b/>
          <w:bCs/>
        </w:rPr>
        <w:t>Ensure that effective monitoring is carried out by national preventive mechanisms into the conditions and treatment in detention and that detainees have free access to those mechanisms to file complaints.</w:t>
      </w:r>
      <w:r w:rsidR="00AD7236">
        <w:t xml:space="preserve"> </w:t>
      </w:r>
    </w:p>
    <w:p w:rsidR="0089093B" w:rsidRPr="00DF2609" w:rsidRDefault="0089093B" w:rsidP="00663475">
      <w:pPr>
        <w:pStyle w:val="H23G"/>
      </w:pPr>
      <w:r w:rsidRPr="00DF2609">
        <w:tab/>
      </w:r>
      <w:r w:rsidRPr="00DF2609">
        <w:tab/>
        <w:t>Psychiatric institutions</w:t>
      </w:r>
    </w:p>
    <w:p w:rsidR="0089093B" w:rsidRPr="00DF2609" w:rsidRDefault="0089093B" w:rsidP="005B2E32">
      <w:pPr>
        <w:pStyle w:val="SingleTxtG"/>
      </w:pPr>
      <w:r w:rsidRPr="00DF2609">
        <w:t>42.</w:t>
      </w:r>
      <w:r w:rsidRPr="00DF2609">
        <w:tab/>
        <w:t>The Committee notes that the State party has adopted the Compulsory Mental Health Care Bill and the Care and Compulsion Bill, which provide for the use of involuntary measures in residential and outpatient care settings. However, it is concerned by the practice of calling upon police officers, who are not adequately trained to deal with psychiatric patients, to deal with agitated patients in psychiatric institutions. It is also concerned about the right of such patients to access complaint procedures and appropriate remedies (arts. 7, and 9).</w:t>
      </w:r>
    </w:p>
    <w:p w:rsidR="0089093B" w:rsidRPr="00D06588" w:rsidRDefault="0089093B" w:rsidP="005B2E32">
      <w:pPr>
        <w:pStyle w:val="SingleTxtG"/>
        <w:rPr>
          <w:b/>
          <w:bCs/>
        </w:rPr>
      </w:pPr>
      <w:r w:rsidRPr="00DF2609">
        <w:t>43.</w:t>
      </w:r>
      <w:r w:rsidRPr="00DF2609">
        <w:tab/>
      </w:r>
      <w:r w:rsidRPr="00D06588">
        <w:rPr>
          <w:b/>
          <w:bCs/>
        </w:rPr>
        <w:t>The State party should strive to put an end to the practice of involving police officers to deal with agitated patients in psychiatric institutions and secure a sufficient number of staff specifically trained to deal with such situations. It should also ensure adequate legal safeguards and training for the use of involuntary measures in residential and outpatient care, as well as effective access to complaint procedures by psychiatric patients and regular monitoring of their conditions by an independent body.</w:t>
      </w:r>
    </w:p>
    <w:p w:rsidR="0089093B" w:rsidRPr="00DF2609" w:rsidRDefault="0089093B" w:rsidP="00663475">
      <w:pPr>
        <w:pStyle w:val="H23G"/>
      </w:pPr>
      <w:r w:rsidRPr="00DF2609">
        <w:tab/>
      </w:r>
      <w:r w:rsidRPr="00DF2609">
        <w:tab/>
      </w:r>
      <w:proofErr w:type="spellStart"/>
      <w:r w:rsidRPr="00DF2609">
        <w:t>Pretrial</w:t>
      </w:r>
      <w:proofErr w:type="spellEnd"/>
      <w:r w:rsidRPr="00DF2609">
        <w:t xml:space="preserve"> detention</w:t>
      </w:r>
    </w:p>
    <w:p w:rsidR="0089093B" w:rsidRPr="00DF2609" w:rsidRDefault="0089093B" w:rsidP="005B2E32">
      <w:pPr>
        <w:pStyle w:val="SingleTxtG"/>
      </w:pPr>
      <w:r w:rsidRPr="00DF2609">
        <w:t>44.</w:t>
      </w:r>
      <w:r w:rsidRPr="00DF2609">
        <w:tab/>
        <w:t xml:space="preserve">While noting the efforts made by the State party to reduce the use of </w:t>
      </w:r>
      <w:proofErr w:type="spellStart"/>
      <w:r w:rsidRPr="00DF2609">
        <w:t>pretrial</w:t>
      </w:r>
      <w:proofErr w:type="spellEnd"/>
      <w:r w:rsidRPr="00DF2609">
        <w:t xml:space="preserve"> detention, including the introduction of non-custodial alternative measures, the Committee remains concerned that the level of </w:t>
      </w:r>
      <w:proofErr w:type="spellStart"/>
      <w:r w:rsidRPr="00DF2609">
        <w:t>pretrial</w:t>
      </w:r>
      <w:proofErr w:type="spellEnd"/>
      <w:r w:rsidRPr="00DF2609">
        <w:t xml:space="preserve"> detention remains high; that the initial duration of </w:t>
      </w:r>
      <w:proofErr w:type="spellStart"/>
      <w:r w:rsidRPr="00DF2609">
        <w:t>pretrial</w:t>
      </w:r>
      <w:proofErr w:type="spellEnd"/>
      <w:r w:rsidRPr="00DF2609">
        <w:t xml:space="preserve"> detention, especially in police custody (for up to three days and 18 hours), is longer than prescribed in the Committee</w:t>
      </w:r>
      <w:r w:rsidR="000915FE">
        <w:t>’</w:t>
      </w:r>
      <w:r w:rsidRPr="00DF2609">
        <w:t>s general comment No.</w:t>
      </w:r>
      <w:r w:rsidR="000915FE">
        <w:t xml:space="preserve"> </w:t>
      </w:r>
      <w:r w:rsidRPr="00DF2609">
        <w:t xml:space="preserve">35 (2014) on liberty and security of person (para. 33). It is further concerned about the proposed amendments to the Code of Criminal Procedure to extend the grounds for </w:t>
      </w:r>
      <w:proofErr w:type="spellStart"/>
      <w:r w:rsidRPr="00DF2609">
        <w:t>pretrial</w:t>
      </w:r>
      <w:proofErr w:type="spellEnd"/>
      <w:r w:rsidRPr="00DF2609">
        <w:t xml:space="preserve"> detention. Furthermore, the Committee is concerned by the insufficient reasoning provided in judicial decisions ordering </w:t>
      </w:r>
      <w:proofErr w:type="spellStart"/>
      <w:r w:rsidRPr="00DF2609">
        <w:t>pretrial</w:t>
      </w:r>
      <w:proofErr w:type="spellEnd"/>
      <w:r w:rsidRPr="00DF2609">
        <w:t xml:space="preserve"> detention (arts. 9, 14 and 15).</w:t>
      </w:r>
    </w:p>
    <w:p w:rsidR="0089093B" w:rsidRPr="00D06588" w:rsidRDefault="0089093B" w:rsidP="005B2E32">
      <w:pPr>
        <w:pStyle w:val="SingleTxtG"/>
        <w:rPr>
          <w:b/>
          <w:bCs/>
        </w:rPr>
      </w:pPr>
      <w:r w:rsidRPr="00DF2609">
        <w:t>45.</w:t>
      </w:r>
      <w:r w:rsidRPr="00DF2609">
        <w:tab/>
      </w:r>
      <w:r w:rsidRPr="00D06588">
        <w:rPr>
          <w:b/>
          <w:bCs/>
        </w:rPr>
        <w:t xml:space="preserve">The State party should: </w:t>
      </w:r>
      <w:bookmarkStart w:id="4" w:name="_Hlk13218546"/>
    </w:p>
    <w:p w:rsidR="0089093B" w:rsidRPr="00D06588" w:rsidRDefault="00663475" w:rsidP="005B2E32">
      <w:pPr>
        <w:pStyle w:val="SingleTxtG"/>
        <w:rPr>
          <w:b/>
          <w:bCs/>
        </w:rPr>
      </w:pPr>
      <w:r w:rsidRPr="00D06588">
        <w:tab/>
      </w:r>
      <w:r w:rsidR="0089093B" w:rsidRPr="00D06588">
        <w:t>(a)</w:t>
      </w:r>
      <w:r w:rsidR="0089093B" w:rsidRPr="00D06588">
        <w:tab/>
      </w:r>
      <w:r w:rsidR="0089093B" w:rsidRPr="00D06588">
        <w:rPr>
          <w:b/>
          <w:bCs/>
        </w:rPr>
        <w:t xml:space="preserve">Ensure that </w:t>
      </w:r>
      <w:proofErr w:type="spellStart"/>
      <w:r w:rsidR="0089093B" w:rsidRPr="00D06588">
        <w:rPr>
          <w:b/>
          <w:bCs/>
        </w:rPr>
        <w:t>pretrial</w:t>
      </w:r>
      <w:proofErr w:type="spellEnd"/>
      <w:r w:rsidR="0089093B" w:rsidRPr="00D06588">
        <w:rPr>
          <w:b/>
          <w:bCs/>
        </w:rPr>
        <w:t xml:space="preserve"> detention is used as a measure of last resort and for the shortest possible time, in line with the provisions of the Covenant, and that it is reviewed on a regular basis;</w:t>
      </w:r>
    </w:p>
    <w:p w:rsidR="0089093B" w:rsidRPr="00D06588" w:rsidRDefault="00663475" w:rsidP="005B2E32">
      <w:pPr>
        <w:pStyle w:val="SingleTxtG"/>
        <w:rPr>
          <w:b/>
          <w:bCs/>
        </w:rPr>
      </w:pPr>
      <w:r w:rsidRPr="00D06588">
        <w:tab/>
      </w:r>
      <w:r w:rsidR="0089093B" w:rsidRPr="00D06588">
        <w:t>(b)</w:t>
      </w:r>
      <w:r w:rsidR="0089093B" w:rsidRPr="00D06588">
        <w:rPr>
          <w:b/>
          <w:bCs/>
        </w:rPr>
        <w:tab/>
        <w:t>Promote non-custodial alternative measures and apply the measures in a systematic manner;</w:t>
      </w:r>
    </w:p>
    <w:p w:rsidR="0089093B" w:rsidRPr="00D06588" w:rsidRDefault="00663475" w:rsidP="005B2E32">
      <w:pPr>
        <w:pStyle w:val="SingleTxtG"/>
        <w:rPr>
          <w:b/>
          <w:bCs/>
        </w:rPr>
      </w:pPr>
      <w:r w:rsidRPr="00D06588">
        <w:tab/>
      </w:r>
      <w:r w:rsidR="0089093B" w:rsidRPr="00D06588">
        <w:rPr>
          <w:rFonts w:hint="eastAsia"/>
        </w:rPr>
        <w:t>(</w:t>
      </w:r>
      <w:r w:rsidR="0089093B" w:rsidRPr="00D06588">
        <w:t>c)</w:t>
      </w:r>
      <w:r w:rsidR="0089093B" w:rsidRPr="00D06588">
        <w:rPr>
          <w:b/>
          <w:bCs/>
        </w:rPr>
        <w:tab/>
        <w:t xml:space="preserve">Reduce the grounds for </w:t>
      </w:r>
      <w:proofErr w:type="spellStart"/>
      <w:r w:rsidR="0089093B" w:rsidRPr="00D06588">
        <w:rPr>
          <w:b/>
          <w:bCs/>
        </w:rPr>
        <w:t>pretrial</w:t>
      </w:r>
      <w:proofErr w:type="spellEnd"/>
      <w:r w:rsidR="0089093B" w:rsidRPr="00D06588">
        <w:rPr>
          <w:b/>
          <w:bCs/>
        </w:rPr>
        <w:t xml:space="preserve"> detention and revise the proposed amendments to the Code of Criminal Procedure accordingly;</w:t>
      </w:r>
    </w:p>
    <w:p w:rsidR="0089093B" w:rsidRPr="00D06588" w:rsidRDefault="00663475" w:rsidP="005B2E32">
      <w:pPr>
        <w:pStyle w:val="SingleTxtG"/>
        <w:rPr>
          <w:b/>
          <w:bCs/>
        </w:rPr>
      </w:pPr>
      <w:r w:rsidRPr="00D06588">
        <w:tab/>
      </w:r>
      <w:r w:rsidR="0089093B" w:rsidRPr="00D06588">
        <w:t>(d)</w:t>
      </w:r>
      <w:r w:rsidR="0089093B" w:rsidRPr="00D06588">
        <w:tab/>
      </w:r>
      <w:r w:rsidR="0089093B" w:rsidRPr="00D06588">
        <w:rPr>
          <w:b/>
          <w:bCs/>
        </w:rPr>
        <w:t xml:space="preserve">Strengthen the reasoning provided in judicial decisions ordering </w:t>
      </w:r>
      <w:proofErr w:type="spellStart"/>
      <w:r w:rsidR="0089093B" w:rsidRPr="00D06588">
        <w:rPr>
          <w:b/>
          <w:bCs/>
        </w:rPr>
        <w:t>pretrial</w:t>
      </w:r>
      <w:proofErr w:type="spellEnd"/>
      <w:r w:rsidR="0089093B" w:rsidRPr="00D06588">
        <w:rPr>
          <w:b/>
          <w:bCs/>
        </w:rPr>
        <w:t xml:space="preserve"> detention.</w:t>
      </w:r>
    </w:p>
    <w:bookmarkEnd w:id="4"/>
    <w:p w:rsidR="0089093B" w:rsidRPr="00DF2609" w:rsidRDefault="0089093B" w:rsidP="00663475">
      <w:pPr>
        <w:pStyle w:val="H23G"/>
      </w:pPr>
      <w:r w:rsidRPr="00DF2609">
        <w:tab/>
      </w:r>
      <w:r w:rsidRPr="00DF2609">
        <w:tab/>
        <w:t xml:space="preserve">Access to justice and a fair trial </w:t>
      </w:r>
    </w:p>
    <w:p w:rsidR="0089093B" w:rsidRPr="00DF2609" w:rsidRDefault="0089093B" w:rsidP="005B2E32">
      <w:pPr>
        <w:pStyle w:val="SingleTxtG"/>
      </w:pPr>
      <w:bookmarkStart w:id="5" w:name="_Hlk13229256"/>
      <w:r w:rsidRPr="00DF2609">
        <w:t>46.</w:t>
      </w:r>
      <w:r w:rsidRPr="00DF2609">
        <w:tab/>
        <w:t>While noting the efforts of the State party to reform the legal aid system, the Committee is concerned at the decrease in funding allocated in the legal aid sector during the reporting period and is concerned about the measures that the State party is contemplating, including a competitive tendering system for subsidized legal aid and an advisory body that can decide which cases qualify for subsidized legal aid and legal -aid packages (</w:t>
      </w:r>
      <w:proofErr w:type="spellStart"/>
      <w:r w:rsidRPr="00777436">
        <w:rPr>
          <w:i/>
          <w:iCs/>
        </w:rPr>
        <w:t>rechtshulppakket</w:t>
      </w:r>
      <w:proofErr w:type="spellEnd"/>
      <w:r w:rsidRPr="00DF2609">
        <w:t xml:space="preserve">), which may have significant adverse effects on persons in a vulnerable position who are in most need. It is also concerned about the weak state of the structures in place to provide legal aid in Aruba, Curacao and </w:t>
      </w:r>
      <w:proofErr w:type="spellStart"/>
      <w:r w:rsidRPr="00DF2609">
        <w:t>Sint</w:t>
      </w:r>
      <w:proofErr w:type="spellEnd"/>
      <w:r w:rsidRPr="00DF2609">
        <w:t xml:space="preserve"> Maarten (arts. 2 and 14).</w:t>
      </w:r>
    </w:p>
    <w:bookmarkEnd w:id="5"/>
    <w:p w:rsidR="0089093B" w:rsidRPr="00EA0EBB" w:rsidRDefault="0089093B" w:rsidP="005B2E32">
      <w:pPr>
        <w:pStyle w:val="SingleTxtG"/>
        <w:rPr>
          <w:b/>
          <w:bCs/>
        </w:rPr>
      </w:pPr>
      <w:r w:rsidRPr="00DF2609">
        <w:t>47.</w:t>
      </w:r>
      <w:r w:rsidRPr="00DF2609">
        <w:tab/>
      </w:r>
      <w:r w:rsidRPr="00EA0EBB">
        <w:rPr>
          <w:b/>
          <w:bCs/>
        </w:rPr>
        <w:t>The State party should review the ongoing reform measures in the legal aid system, with a view to ensuring that people, including the most vulnerable in all constituent countries, can benefit from the new system on an equal footing and to enhancing access to justice for all, including in the constituent countries.</w:t>
      </w:r>
    </w:p>
    <w:p w:rsidR="0089093B" w:rsidRPr="00DF2609" w:rsidRDefault="0089093B" w:rsidP="00663475">
      <w:pPr>
        <w:pStyle w:val="H23G"/>
      </w:pPr>
      <w:r w:rsidRPr="00DF2609">
        <w:lastRenderedPageBreak/>
        <w:tab/>
      </w:r>
      <w:r w:rsidRPr="00DF2609">
        <w:tab/>
        <w:t xml:space="preserve">Racial discrimination in the administration of justice </w:t>
      </w:r>
    </w:p>
    <w:p w:rsidR="0089093B" w:rsidRPr="00DF2609" w:rsidRDefault="0089093B" w:rsidP="005B2E32">
      <w:pPr>
        <w:pStyle w:val="SingleTxtG"/>
      </w:pPr>
      <w:r w:rsidRPr="00DF2609">
        <w:t>48.</w:t>
      </w:r>
      <w:r w:rsidRPr="00DF2609">
        <w:tab/>
        <w:t xml:space="preserve">While recognizing the efforts by the State party to curb racial profiling in law enforcement, the Committee remains concerned about the disproportionate use of </w:t>
      </w:r>
      <w:bookmarkStart w:id="6" w:name="_Hlk13226362"/>
      <w:r w:rsidRPr="00DF2609">
        <w:t xml:space="preserve">stop-and-search powers by law enforcement officials </w:t>
      </w:r>
      <w:bookmarkEnd w:id="6"/>
      <w:r w:rsidRPr="00DF2609">
        <w:t>targeting persons belonging to ethnic minority groups (racial profiling). It is particularly concerned about the use of a person</w:t>
      </w:r>
      <w:r w:rsidR="000915FE">
        <w:t>’</w:t>
      </w:r>
      <w:r w:rsidRPr="00DF2609">
        <w:t xml:space="preserve">s external appearance, including ethnicity, and of information and communications technology (ICT), such as mobile applications, which may further such practice if applied without precaution. It is also concerned by the absence of a mechanism to monitor the use of </w:t>
      </w:r>
      <w:bookmarkStart w:id="7" w:name="_Hlk13226180"/>
      <w:r w:rsidRPr="00DF2609">
        <w:t xml:space="preserve">stop-and-search powers by law enforcement officials </w:t>
      </w:r>
      <w:bookmarkEnd w:id="7"/>
      <w:r w:rsidRPr="00DF2609">
        <w:t>and the lack of record on the use of such powers. It is further concerned by the disproportionately high representation of persons belonging to ethnic minority groups, particularly persons of African descent, in the prison population in the Netherlands (arts. 2, 9, 14, 15 and 17).</w:t>
      </w:r>
    </w:p>
    <w:p w:rsidR="0089093B" w:rsidRPr="00EA0EBB" w:rsidRDefault="0089093B" w:rsidP="005B2E32">
      <w:pPr>
        <w:pStyle w:val="SingleTxtG"/>
        <w:rPr>
          <w:b/>
          <w:bCs/>
        </w:rPr>
      </w:pPr>
      <w:r w:rsidRPr="00DF2609">
        <w:t>49.</w:t>
      </w:r>
      <w:r w:rsidRPr="00DF2609">
        <w:tab/>
      </w:r>
      <w:r w:rsidRPr="00EA0EBB">
        <w:rPr>
          <w:b/>
          <w:bCs/>
        </w:rPr>
        <w:t>The State party should:</w:t>
      </w:r>
    </w:p>
    <w:p w:rsidR="0089093B" w:rsidRPr="00EA0EBB" w:rsidRDefault="00663475" w:rsidP="005B2E32">
      <w:pPr>
        <w:pStyle w:val="SingleTxtG"/>
        <w:rPr>
          <w:b/>
          <w:bCs/>
        </w:rPr>
      </w:pPr>
      <w:r w:rsidRPr="00EA0EBB">
        <w:tab/>
      </w:r>
      <w:r w:rsidR="0089093B" w:rsidRPr="00EA0EBB">
        <w:t>(a)</w:t>
      </w:r>
      <w:r w:rsidR="0089093B" w:rsidRPr="00EA0EBB">
        <w:tab/>
      </w:r>
      <w:r w:rsidR="0089093B" w:rsidRPr="00EA0EBB">
        <w:rPr>
          <w:b/>
          <w:bCs/>
        </w:rPr>
        <w:t>Ensure that its legislation clearly prohibits racial profiling by the police and that Article 27 of the Code of Criminal Procedure and Section 3 of the Police Act as well as the rules on the lawful stopping of persons (</w:t>
      </w:r>
      <w:proofErr w:type="spellStart"/>
      <w:r w:rsidR="0089093B" w:rsidRPr="00777436">
        <w:rPr>
          <w:b/>
          <w:bCs/>
          <w:i/>
          <w:iCs/>
        </w:rPr>
        <w:t>staandehouding</w:t>
      </w:r>
      <w:proofErr w:type="spellEnd"/>
      <w:r w:rsidR="0089093B" w:rsidRPr="00EA0EBB">
        <w:rPr>
          <w:b/>
          <w:bCs/>
        </w:rPr>
        <w:t>) are applied in accordance with the Covenant;</w:t>
      </w:r>
    </w:p>
    <w:p w:rsidR="0089093B" w:rsidRPr="00EA0EBB" w:rsidRDefault="00663475" w:rsidP="005B2E32">
      <w:pPr>
        <w:pStyle w:val="SingleTxtG"/>
        <w:rPr>
          <w:b/>
          <w:bCs/>
        </w:rPr>
      </w:pPr>
      <w:r w:rsidRPr="00EA0EBB">
        <w:tab/>
      </w:r>
      <w:r w:rsidR="0089093B" w:rsidRPr="00EA0EBB">
        <w:t>(b)</w:t>
      </w:r>
      <w:r w:rsidR="0089093B" w:rsidRPr="00EA0EBB">
        <w:rPr>
          <w:b/>
          <w:bCs/>
        </w:rPr>
        <w:tab/>
        <w:t xml:space="preserve">Continue its efforts to provide all law enforcement personnel with effective training and sensitization in order to curb racial profiling, including the use of ICT in stop-and-search operations; </w:t>
      </w:r>
    </w:p>
    <w:p w:rsidR="0089093B" w:rsidRPr="00EA0EBB" w:rsidRDefault="00663475" w:rsidP="005B2E32">
      <w:pPr>
        <w:pStyle w:val="SingleTxtG"/>
        <w:rPr>
          <w:b/>
          <w:bCs/>
        </w:rPr>
      </w:pPr>
      <w:r w:rsidRPr="00EA0EBB">
        <w:tab/>
      </w:r>
      <w:r w:rsidR="0089093B" w:rsidRPr="00EA0EBB">
        <w:t>(c)</w:t>
      </w:r>
      <w:r w:rsidR="0089093B" w:rsidRPr="00EA0EBB">
        <w:rPr>
          <w:b/>
          <w:bCs/>
        </w:rPr>
        <w:tab/>
        <w:t xml:space="preserve">Set up a mechanism to monitor and collect data on the use of stop-and-search powers by law enforcement officials; </w:t>
      </w:r>
    </w:p>
    <w:p w:rsidR="0089093B" w:rsidRPr="00EA0EBB" w:rsidRDefault="00663475" w:rsidP="005B2E32">
      <w:pPr>
        <w:pStyle w:val="SingleTxtG"/>
        <w:rPr>
          <w:b/>
          <w:bCs/>
        </w:rPr>
      </w:pPr>
      <w:r w:rsidRPr="00EA0EBB">
        <w:tab/>
      </w:r>
      <w:r w:rsidR="0089093B" w:rsidRPr="00EA0EBB">
        <w:rPr>
          <w:rFonts w:hint="eastAsia"/>
        </w:rPr>
        <w:t>(</w:t>
      </w:r>
      <w:r w:rsidR="0089093B" w:rsidRPr="00EA0EBB">
        <w:t>d)</w:t>
      </w:r>
      <w:r w:rsidR="0089093B" w:rsidRPr="00EA0EBB">
        <w:rPr>
          <w:b/>
          <w:bCs/>
        </w:rPr>
        <w:tab/>
        <w:t>Study and tackle the socioeconomic and other root causes of the overrepresentation of persons belonging to ethnic minority groups in the prison population;</w:t>
      </w:r>
    </w:p>
    <w:p w:rsidR="0089093B" w:rsidRPr="00EA0EBB" w:rsidRDefault="00663475" w:rsidP="005B2E32">
      <w:pPr>
        <w:pStyle w:val="SingleTxtG"/>
        <w:rPr>
          <w:b/>
          <w:bCs/>
        </w:rPr>
      </w:pPr>
      <w:r w:rsidRPr="00EA0EBB">
        <w:tab/>
      </w:r>
      <w:r w:rsidR="0089093B" w:rsidRPr="00EA0EBB">
        <w:rPr>
          <w:rFonts w:hint="eastAsia"/>
        </w:rPr>
        <w:t>(</w:t>
      </w:r>
      <w:r w:rsidR="0089093B" w:rsidRPr="00EA0EBB">
        <w:t>e)</w:t>
      </w:r>
      <w:r w:rsidR="0089093B" w:rsidRPr="00EA0EBB">
        <w:tab/>
      </w:r>
      <w:r w:rsidR="0089093B" w:rsidRPr="00EA0EBB">
        <w:rPr>
          <w:b/>
          <w:bCs/>
        </w:rPr>
        <w:t>Continue to increase the proportion of law enforcement officials from an ethnic minority background.</w:t>
      </w:r>
    </w:p>
    <w:p w:rsidR="0089093B" w:rsidRPr="00DF2609" w:rsidRDefault="0089093B" w:rsidP="00663475">
      <w:pPr>
        <w:pStyle w:val="H23G"/>
      </w:pPr>
      <w:r w:rsidRPr="00DF2609">
        <w:tab/>
      </w:r>
      <w:r w:rsidRPr="00DF2609">
        <w:tab/>
        <w:t>Counter-terrorism measures</w:t>
      </w:r>
    </w:p>
    <w:p w:rsidR="0089093B" w:rsidRPr="00DF2609" w:rsidRDefault="0089093B" w:rsidP="005B2E32">
      <w:pPr>
        <w:pStyle w:val="SingleTxtG"/>
      </w:pPr>
      <w:r w:rsidRPr="00DF2609">
        <w:t>50.</w:t>
      </w:r>
      <w:r w:rsidRPr="00DF2609">
        <w:tab/>
      </w:r>
      <w:r w:rsidRPr="00DF2609">
        <w:rPr>
          <w:rFonts w:hint="eastAsia"/>
        </w:rPr>
        <w:t>T</w:t>
      </w:r>
      <w:r w:rsidRPr="00DF2609">
        <w:t xml:space="preserve">he Committee is concerned about the amendments to the Dutch Nationality Act, which provide for the revocation, in absentia, of the Dutch nationality of dual nationals based on information that they have left the country to voluntarily join the military service of a foreign State or a terrorist organization, and the implications that this would have for their family members. </w:t>
      </w:r>
      <w:r w:rsidRPr="00DF2609">
        <w:rPr>
          <w:rFonts w:hint="eastAsia"/>
        </w:rPr>
        <w:t>I</w:t>
      </w:r>
      <w:r w:rsidRPr="00DF2609">
        <w:t xml:space="preserve">t is particularly concerned about the barriers faced by affected persons who are outside the country to appeal such a decision, which is based on classified information to which they or their legal representatives have no access. It is further concerned by the bill on strengthening the criminal law approach to countering terrorism, which provides for detention without an indictment based on a reasonable suspicion for a maximum duration of 44 days (arts. 2, 3, 9, 10, 12, 13, 14, 15, 23 and 26). </w:t>
      </w:r>
    </w:p>
    <w:p w:rsidR="0089093B" w:rsidRPr="00EA0EBB" w:rsidRDefault="0089093B" w:rsidP="005B2E32">
      <w:pPr>
        <w:pStyle w:val="SingleTxtG"/>
        <w:rPr>
          <w:b/>
          <w:bCs/>
        </w:rPr>
      </w:pPr>
      <w:r w:rsidRPr="00DF2609">
        <w:t>51.</w:t>
      </w:r>
      <w:r w:rsidRPr="00DF2609">
        <w:tab/>
      </w:r>
      <w:r w:rsidRPr="00EA0EBB">
        <w:rPr>
          <w:b/>
          <w:bCs/>
        </w:rPr>
        <w:t xml:space="preserve">The State party should regularly review its counter-terrorism legislative measures, with a view to assessing their human rights impact and bringing those measures and judicial safeguards on their manner of application into line with international due process standards and the provisions of the Covenant, and ensure meaningful participation of civil society in the process. In particular, it should revise the Dutch Nationality Act with a view to ensuring effective safeguards against arbitrary loss of nationality and discriminatory effects as well as the effective exercise of the right to appeal. </w:t>
      </w:r>
    </w:p>
    <w:p w:rsidR="0089093B" w:rsidRPr="00DF2609" w:rsidRDefault="0089093B" w:rsidP="00663475">
      <w:pPr>
        <w:pStyle w:val="H23G"/>
      </w:pPr>
      <w:r w:rsidRPr="00DF2609">
        <w:tab/>
      </w:r>
      <w:r w:rsidRPr="00DF2609">
        <w:tab/>
        <w:t>Right to freedom to choose one</w:t>
      </w:r>
      <w:r w:rsidR="000915FE">
        <w:t>’</w:t>
      </w:r>
      <w:r w:rsidRPr="00DF2609">
        <w:t>s residence</w:t>
      </w:r>
    </w:p>
    <w:p w:rsidR="0089093B" w:rsidRPr="00DF2609" w:rsidRDefault="0089093B" w:rsidP="005B2E32">
      <w:pPr>
        <w:pStyle w:val="SingleTxtG"/>
      </w:pPr>
      <w:r w:rsidRPr="00DF2609">
        <w:t>52.</w:t>
      </w:r>
      <w:r w:rsidRPr="00DF2609">
        <w:tab/>
        <w:t>Despite the explanation provided by the delegation, the Committee is concerned that the 2016 amendment to the Urban Areas (Special Measures) Act, which allows Dutch municipalities to screen persons for antisocial or criminal behaviour and requires prospective residents to provide a certificate of good conduct, does not fully comply with articles 12 and 17 of the Covenant (arts. 12 and 17).</w:t>
      </w:r>
    </w:p>
    <w:p w:rsidR="0089093B" w:rsidRPr="00EA0EBB" w:rsidRDefault="0089093B" w:rsidP="005B2E32">
      <w:pPr>
        <w:pStyle w:val="SingleTxtG"/>
        <w:rPr>
          <w:b/>
          <w:bCs/>
        </w:rPr>
      </w:pPr>
      <w:r w:rsidRPr="00DF2609">
        <w:lastRenderedPageBreak/>
        <w:t>53.</w:t>
      </w:r>
      <w:r w:rsidRPr="00DF2609">
        <w:tab/>
      </w:r>
      <w:r w:rsidRPr="00EA0EBB">
        <w:rPr>
          <w:rFonts w:hint="eastAsia"/>
          <w:b/>
          <w:bCs/>
        </w:rPr>
        <w:t>T</w:t>
      </w:r>
      <w:r w:rsidRPr="00EA0EBB">
        <w:rPr>
          <w:b/>
          <w:bCs/>
        </w:rPr>
        <w:t>he State party should review the Act and its application with a view to ensuring their compliance with the Covenant and take effective measures to ensure that the right to freedom to choose one</w:t>
      </w:r>
      <w:r w:rsidR="000915FE">
        <w:rPr>
          <w:b/>
          <w:bCs/>
        </w:rPr>
        <w:t>’</w:t>
      </w:r>
      <w:r w:rsidRPr="00EA0EBB">
        <w:rPr>
          <w:b/>
          <w:bCs/>
        </w:rPr>
        <w:t xml:space="preserve">s residence and the privacy of prospective residents is fully respected. </w:t>
      </w:r>
    </w:p>
    <w:p w:rsidR="0089093B" w:rsidRPr="00DF2609" w:rsidRDefault="0089093B" w:rsidP="00663475">
      <w:pPr>
        <w:pStyle w:val="H23G"/>
      </w:pPr>
      <w:r w:rsidRPr="00DF2609">
        <w:tab/>
      </w:r>
      <w:r w:rsidRPr="00DF2609">
        <w:tab/>
        <w:t>Intelligence and Security Services Act</w:t>
      </w:r>
    </w:p>
    <w:p w:rsidR="0089093B" w:rsidRPr="00DF2609" w:rsidRDefault="0089093B" w:rsidP="005B2E32">
      <w:pPr>
        <w:pStyle w:val="SingleTxtG"/>
      </w:pPr>
      <w:r w:rsidRPr="00DF2609">
        <w:t>54.</w:t>
      </w:r>
      <w:r w:rsidRPr="00DF2609">
        <w:tab/>
      </w:r>
      <w:r w:rsidRPr="00DF2609">
        <w:rPr>
          <w:rFonts w:hint="eastAsia"/>
        </w:rPr>
        <w:t>T</w:t>
      </w:r>
      <w:r w:rsidRPr="00DF2609">
        <w:t xml:space="preserve">he Committee is concerned about the Intelligence and Security Services Act 2017, which provides the intelligence and security services with sweeping surveillance and interception powers, including bulk data collection. It is particularly concerned that the Act does not provide for a clear definition of case-specific bulk data collection; clear grounds for extending retention periods for information collected; and adequate safeguards against bulk data hacking. It is also concerned by the limited practical possibilities for complaining, in the absence of a comprehensive notification regime, to the Review Committee on the Intelligence and Security Services (art. 17). </w:t>
      </w:r>
    </w:p>
    <w:p w:rsidR="0089093B" w:rsidRPr="00DF2609" w:rsidRDefault="0089093B" w:rsidP="005B2E32">
      <w:pPr>
        <w:pStyle w:val="SingleTxtG"/>
      </w:pPr>
      <w:r w:rsidRPr="00DF2609">
        <w:t>55.</w:t>
      </w:r>
      <w:r w:rsidRPr="00DF2609">
        <w:tab/>
      </w:r>
      <w:r w:rsidRPr="00EA0EBB">
        <w:rPr>
          <w:b/>
          <w:bCs/>
        </w:rPr>
        <w:t>The State party should review the Act with a view to bringing its definitions and the powers and limits on their exercise in line with the Covenant and strengthen the independence and effectiveness of the two new bodies established by the Act, the Evaluation Committee on the Use of Powers and the Review Committee on the Intelligence and Security Services.</w:t>
      </w:r>
    </w:p>
    <w:p w:rsidR="0089093B" w:rsidRPr="00DF2609" w:rsidRDefault="0089093B" w:rsidP="00663475">
      <w:pPr>
        <w:pStyle w:val="H23G"/>
      </w:pPr>
      <w:r w:rsidRPr="00DF2609">
        <w:tab/>
      </w:r>
      <w:r w:rsidRPr="00DF2609">
        <w:tab/>
        <w:t>Market Regulation (Healthcare) Act</w:t>
      </w:r>
    </w:p>
    <w:p w:rsidR="0089093B" w:rsidRPr="00DF2609" w:rsidRDefault="0089093B" w:rsidP="005B2E32">
      <w:pPr>
        <w:pStyle w:val="SingleTxtG"/>
      </w:pPr>
      <w:r w:rsidRPr="00DF2609">
        <w:t>56.</w:t>
      </w:r>
      <w:r w:rsidRPr="00DF2609">
        <w:tab/>
        <w:t>The Committee is concerned that the Act to amend the Market Regulation (Healthcare) Act allows health insurance company medical consultants access to individual records in the electronic patient register without obtaining the prior, informed and specific consent of the insured and that such practices have been carried out by health insurance companies for many years (art. 17).</w:t>
      </w:r>
    </w:p>
    <w:p w:rsidR="0089093B" w:rsidRPr="00EA0EBB" w:rsidRDefault="0089093B" w:rsidP="005B2E32">
      <w:pPr>
        <w:pStyle w:val="SingleTxtG"/>
        <w:rPr>
          <w:b/>
          <w:bCs/>
        </w:rPr>
      </w:pPr>
      <w:r w:rsidRPr="00DF2609">
        <w:t>57.</w:t>
      </w:r>
      <w:r w:rsidRPr="00DF2609">
        <w:tab/>
      </w:r>
      <w:r w:rsidRPr="00EA0EBB">
        <w:rPr>
          <w:b/>
          <w:bCs/>
        </w:rPr>
        <w:t>The State party should require insurance companies to refrain from consulting individual medical records without the consent of the insured and ensure that the Act requires health insurance companies to obtain the prior and informed consent of the insured to consult their records in the electronic patient register and provide for an opt-out option for patients who oppose allowing access to their records.</w:t>
      </w:r>
    </w:p>
    <w:p w:rsidR="0089093B" w:rsidRPr="00DF2609" w:rsidRDefault="0089093B" w:rsidP="00663475">
      <w:pPr>
        <w:pStyle w:val="H23G"/>
      </w:pPr>
      <w:r w:rsidRPr="00DF2609">
        <w:tab/>
      </w:r>
      <w:r w:rsidRPr="00DF2609">
        <w:tab/>
        <w:t>Ban on face-covering clothing</w:t>
      </w:r>
    </w:p>
    <w:p w:rsidR="0089093B" w:rsidRPr="00DF2609" w:rsidRDefault="0089093B" w:rsidP="005B2E32">
      <w:pPr>
        <w:pStyle w:val="SingleTxtG"/>
      </w:pPr>
      <w:r w:rsidRPr="00DF2609">
        <w:t>58.</w:t>
      </w:r>
      <w:r w:rsidRPr="00DF2609">
        <w:tab/>
        <w:t xml:space="preserve">Considering that the number of women wearing a </w:t>
      </w:r>
      <w:proofErr w:type="spellStart"/>
      <w:r w:rsidRPr="00DF2609">
        <w:t>niqab</w:t>
      </w:r>
      <w:proofErr w:type="spellEnd"/>
      <w:r w:rsidRPr="00DF2609">
        <w:t xml:space="preserve"> or burka is minimal in the State party and that various situations can exist in public places in which no interaction with an official is involved or required, the Committee is concerned by legislation that provides for a ban on face-covering clothing in public buildings and on public transport, which might restrict the right to freedom of religion beyond the level of necessity and proportionality. It is also concerned that the legislation, if enforced, may exacerbate the marginalization of Muslim women in the Netherlands (art. 2, 3 and 18).</w:t>
      </w:r>
    </w:p>
    <w:p w:rsidR="0089093B" w:rsidRPr="00EA0EBB" w:rsidRDefault="00EA0EBB" w:rsidP="005B2E32">
      <w:pPr>
        <w:pStyle w:val="SingleTxtG"/>
        <w:rPr>
          <w:b/>
          <w:bCs/>
        </w:rPr>
      </w:pPr>
      <w:r>
        <w:t>59.</w:t>
      </w:r>
      <w:r w:rsidR="0089093B" w:rsidRPr="00DF2609">
        <w:tab/>
      </w:r>
      <w:r w:rsidR="0089093B" w:rsidRPr="00EA0EBB">
        <w:rPr>
          <w:b/>
          <w:bCs/>
        </w:rPr>
        <w:t>The State party should consider reviewing the legislation on face-covering clothing in light of the State party</w:t>
      </w:r>
      <w:r w:rsidR="000915FE">
        <w:rPr>
          <w:b/>
          <w:bCs/>
        </w:rPr>
        <w:t>’</w:t>
      </w:r>
      <w:r w:rsidR="0089093B" w:rsidRPr="00EA0EBB">
        <w:rPr>
          <w:b/>
          <w:bCs/>
        </w:rPr>
        <w:t>s obligations under the Covenant.</w:t>
      </w:r>
    </w:p>
    <w:p w:rsidR="0089093B" w:rsidRPr="00DF2609" w:rsidRDefault="0089093B" w:rsidP="00663475">
      <w:pPr>
        <w:pStyle w:val="H23G"/>
      </w:pPr>
      <w:r w:rsidRPr="00DF2609">
        <w:tab/>
      </w:r>
      <w:r w:rsidRPr="00DF2609">
        <w:tab/>
        <w:t>Right to peaceful assembly</w:t>
      </w:r>
    </w:p>
    <w:p w:rsidR="0089093B" w:rsidRPr="00DF2609" w:rsidRDefault="0089093B" w:rsidP="005B2E32">
      <w:pPr>
        <w:pStyle w:val="SingleTxtG"/>
      </w:pPr>
      <w:r w:rsidRPr="00DF2609">
        <w:t>60.</w:t>
      </w:r>
      <w:r w:rsidRPr="00DF2609">
        <w:tab/>
        <w:t xml:space="preserve">The Committee is concerned that the provisions of the Public Assemblies Act, including the provision that allows mayors to end and prohibit an assembly in the absence of prior notification, are not consistent with the Covenant. It is also concerned about the increasing degree of police surveillance and the use of identity checks during peaceful demonstrations, which reportedly have a chilling effect on demonstrators (art. 21). </w:t>
      </w:r>
    </w:p>
    <w:p w:rsidR="0089093B" w:rsidRPr="00DF2609" w:rsidRDefault="0089093B" w:rsidP="005B2E32">
      <w:pPr>
        <w:pStyle w:val="SingleTxtG"/>
      </w:pPr>
      <w:r w:rsidRPr="00DF2609">
        <w:t>61.</w:t>
      </w:r>
      <w:r w:rsidRPr="00DF2609">
        <w:tab/>
      </w:r>
      <w:r w:rsidRPr="00EA0EBB">
        <w:rPr>
          <w:b/>
          <w:bCs/>
        </w:rPr>
        <w:t>The State party should review the Public Assemblies Act, with a view to removing the prohibition on demonstrations due to a lack of prior notification and to bringing the Act in line with article 21 of the Covenant and other relevant international standards. It should also provide local authorities and police officials with clear guidance on dealing with demonstrations so as to ensure a safe and enabling environment to exercise the right to peaceful assembly.</w:t>
      </w:r>
    </w:p>
    <w:p w:rsidR="0089093B" w:rsidRPr="00DF2609" w:rsidRDefault="0089093B" w:rsidP="00663475">
      <w:pPr>
        <w:pStyle w:val="H23G"/>
      </w:pPr>
      <w:r w:rsidRPr="00DF2609">
        <w:lastRenderedPageBreak/>
        <w:tab/>
      </w:r>
      <w:r w:rsidRPr="00DF2609">
        <w:tab/>
        <w:t>Dissemination and follow-up</w:t>
      </w:r>
    </w:p>
    <w:p w:rsidR="0089093B" w:rsidRPr="00DF2609" w:rsidRDefault="0089093B" w:rsidP="005B2E32">
      <w:pPr>
        <w:pStyle w:val="SingleTxtG"/>
      </w:pPr>
      <w:r w:rsidRPr="00DF2609">
        <w:t>62.</w:t>
      </w:r>
      <w:r w:rsidRPr="00DF2609">
        <w:tab/>
        <w:t>The State party should widely disseminate the Covenant, its Optional Protocol,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its official language.</w:t>
      </w:r>
    </w:p>
    <w:p w:rsidR="0089093B" w:rsidRPr="00DF2609" w:rsidRDefault="0089093B" w:rsidP="005B2E32">
      <w:pPr>
        <w:pStyle w:val="SingleTxtG"/>
      </w:pPr>
      <w:r w:rsidRPr="00DF2609">
        <w:t>63.</w:t>
      </w:r>
      <w:r w:rsidRPr="00DF2609">
        <w:tab/>
        <w:t>In accordance with rule 71, paragraph 5, of the Committee</w:t>
      </w:r>
      <w:r w:rsidR="000915FE">
        <w:t>’</w:t>
      </w:r>
      <w:r w:rsidRPr="00DF2609">
        <w:t>s rules of procedure, the State party is requested to provide, by 26 July 2021, information on the implementation of the recommendations made by the Committee in paragraphs 16 (racial discrimination, hate speech and hate crimes), 19 (refugees and asylum seekers) and 35 (gas extraction operations in Groningen) above.</w:t>
      </w:r>
    </w:p>
    <w:p w:rsidR="0089093B" w:rsidRPr="00DF2609" w:rsidRDefault="0089093B" w:rsidP="005B2E32">
      <w:pPr>
        <w:pStyle w:val="SingleTxtG"/>
      </w:pPr>
      <w:r w:rsidRPr="00DF2609">
        <w:t>64.</w:t>
      </w:r>
      <w:r w:rsidRPr="00DF2609">
        <w:tab/>
        <w:t>The Committee requests the State party to submit its next periodic report by 26 July 2025. Given that the State party has accepted the simplified reporting procedure, the Committee will transmit to it a list of issues prior to the submission of the report in due course. The State party</w:t>
      </w:r>
      <w:r w:rsidR="000915FE">
        <w:t>’</w:t>
      </w:r>
      <w:r w:rsidRPr="00DF2609">
        <w:t>s replies to that list will constitute its sixth periodic report. In accordance with General Assembly resolution 68/268, the word limit for the report is 21,200 words.</w:t>
      </w:r>
    </w:p>
    <w:p w:rsidR="0089093B" w:rsidRPr="00DF2609" w:rsidRDefault="00663475" w:rsidP="00663475">
      <w:pPr>
        <w:pStyle w:val="SingleTxtG"/>
        <w:jc w:val="center"/>
      </w:pPr>
      <w:r>
        <w:rPr>
          <w:u w:val="single"/>
        </w:rPr>
        <w:tab/>
      </w:r>
      <w:r>
        <w:rPr>
          <w:u w:val="single"/>
        </w:rPr>
        <w:tab/>
      </w:r>
      <w:r>
        <w:rPr>
          <w:u w:val="single"/>
        </w:rPr>
        <w:tab/>
      </w:r>
    </w:p>
    <w:sectPr w:rsidR="0089093B" w:rsidRPr="00DF260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97" w:rsidRPr="00B903E5" w:rsidRDefault="001D0597" w:rsidP="00B903E5">
      <w:pPr>
        <w:pStyle w:val="Footer"/>
      </w:pPr>
    </w:p>
  </w:endnote>
  <w:endnote w:type="continuationSeparator" w:id="0">
    <w:p w:rsidR="001D0597" w:rsidRPr="00B903E5" w:rsidRDefault="001D059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3B" w:rsidRDefault="0089093B" w:rsidP="0095362F">
    <w:pPr>
      <w:pStyle w:val="Footer"/>
      <w:tabs>
        <w:tab w:val="right" w:pos="9638"/>
      </w:tabs>
    </w:pPr>
    <w:r w:rsidRPr="0089093B">
      <w:rPr>
        <w:b/>
        <w:bCs/>
        <w:sz w:val="18"/>
      </w:rPr>
      <w:fldChar w:fldCharType="begin"/>
    </w:r>
    <w:r w:rsidRPr="0089093B">
      <w:rPr>
        <w:b/>
        <w:bCs/>
        <w:sz w:val="18"/>
      </w:rPr>
      <w:instrText xml:space="preserve"> PAGE  \* MERGEFORMAT </w:instrText>
    </w:r>
    <w:r w:rsidRPr="0089093B">
      <w:rPr>
        <w:b/>
        <w:bCs/>
        <w:sz w:val="18"/>
      </w:rPr>
      <w:fldChar w:fldCharType="separate"/>
    </w:r>
    <w:r w:rsidR="003C7402">
      <w:rPr>
        <w:b/>
        <w:bCs/>
        <w:noProof/>
        <w:sz w:val="18"/>
      </w:rPr>
      <w:t>12</w:t>
    </w:r>
    <w:r w:rsidRPr="008909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3B" w:rsidRDefault="0089093B" w:rsidP="0089093B">
    <w:pPr>
      <w:pStyle w:val="Footer"/>
      <w:tabs>
        <w:tab w:val="right" w:pos="9638"/>
      </w:tabs>
    </w:pPr>
    <w:r>
      <w:tab/>
    </w:r>
    <w:r w:rsidRPr="0089093B">
      <w:rPr>
        <w:b/>
        <w:bCs/>
        <w:sz w:val="18"/>
      </w:rPr>
      <w:fldChar w:fldCharType="begin"/>
    </w:r>
    <w:r w:rsidRPr="0089093B">
      <w:rPr>
        <w:b/>
        <w:bCs/>
        <w:sz w:val="18"/>
      </w:rPr>
      <w:instrText xml:space="preserve"> PAGE  \* MERGEFORMAT </w:instrText>
    </w:r>
    <w:r w:rsidRPr="0089093B">
      <w:rPr>
        <w:b/>
        <w:bCs/>
        <w:sz w:val="18"/>
      </w:rPr>
      <w:fldChar w:fldCharType="separate"/>
    </w:r>
    <w:r w:rsidR="003C7402">
      <w:rPr>
        <w:b/>
        <w:bCs/>
        <w:noProof/>
        <w:sz w:val="18"/>
      </w:rPr>
      <w:t>11</w:t>
    </w:r>
    <w:r w:rsidRPr="008909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02" w:rsidRDefault="003C7402" w:rsidP="003C740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C7402" w:rsidRDefault="003C7402" w:rsidP="003C7402">
    <w:pPr>
      <w:pStyle w:val="Footer"/>
      <w:ind w:right="1134"/>
      <w:rPr>
        <w:sz w:val="20"/>
      </w:rPr>
    </w:pPr>
    <w:r>
      <w:rPr>
        <w:sz w:val="20"/>
      </w:rPr>
      <w:t>GE.19-14306(E)</w:t>
    </w:r>
  </w:p>
  <w:p w:rsidR="003C7402" w:rsidRPr="003C7402" w:rsidRDefault="003C7402" w:rsidP="003C740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NLD/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97" w:rsidRPr="00B903E5" w:rsidRDefault="001D0597" w:rsidP="00B903E5">
      <w:pPr>
        <w:tabs>
          <w:tab w:val="right" w:pos="2155"/>
        </w:tabs>
        <w:spacing w:after="80" w:line="240" w:lineRule="auto"/>
        <w:ind w:left="680"/>
      </w:pPr>
      <w:r>
        <w:rPr>
          <w:u w:val="single"/>
        </w:rPr>
        <w:tab/>
      </w:r>
    </w:p>
  </w:footnote>
  <w:footnote w:type="continuationSeparator" w:id="0">
    <w:p w:rsidR="001D0597" w:rsidRPr="00B903E5" w:rsidRDefault="001D0597" w:rsidP="00B903E5">
      <w:pPr>
        <w:tabs>
          <w:tab w:val="right" w:pos="2155"/>
        </w:tabs>
        <w:spacing w:after="80" w:line="240" w:lineRule="auto"/>
        <w:ind w:left="680"/>
      </w:pPr>
      <w:r>
        <w:rPr>
          <w:u w:val="single"/>
        </w:rPr>
        <w:tab/>
      </w:r>
    </w:p>
  </w:footnote>
  <w:footnote w:id="1">
    <w:p w:rsidR="0089093B" w:rsidRPr="00A42B7C" w:rsidRDefault="0089093B" w:rsidP="0089093B">
      <w:pPr>
        <w:pStyle w:val="FootnoteText"/>
        <w:spacing w:line="240" w:lineRule="auto"/>
        <w:rPr>
          <w:sz w:val="28"/>
          <w:szCs w:val="28"/>
        </w:rPr>
      </w:pPr>
      <w:r>
        <w:tab/>
      </w:r>
      <w:r w:rsidRPr="0089093B">
        <w:rPr>
          <w:rStyle w:val="FootnoteReference"/>
          <w:sz w:val="20"/>
          <w:vertAlign w:val="baseline"/>
        </w:rPr>
        <w:t>*</w:t>
      </w:r>
      <w:r w:rsidRPr="0089093B">
        <w:rPr>
          <w:sz w:val="20"/>
        </w:rPr>
        <w:tab/>
      </w:r>
      <w:r w:rsidRPr="0089093B">
        <w:t>Adopted by the Committee at its 126th session (1–26 July 2019).</w:t>
      </w:r>
      <w:r w:rsidRPr="00A42B7C">
        <w:rPr>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3B" w:rsidRDefault="0089093B" w:rsidP="0089093B">
    <w:pPr>
      <w:pStyle w:val="Header"/>
    </w:pPr>
    <w:r>
      <w:t>CCPR/C/NLD/CO/5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3B" w:rsidRDefault="0089093B" w:rsidP="0089093B">
    <w:pPr>
      <w:pStyle w:val="Header"/>
      <w:jc w:val="right"/>
    </w:pPr>
    <w:r>
      <w:t>CCPR/C/NLD/CO/5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0597"/>
    <w:rsid w:val="00046E92"/>
    <w:rsid w:val="0006523D"/>
    <w:rsid w:val="000915FE"/>
    <w:rsid w:val="00131D7A"/>
    <w:rsid w:val="00165C15"/>
    <w:rsid w:val="001D0597"/>
    <w:rsid w:val="00247E2C"/>
    <w:rsid w:val="002D6C53"/>
    <w:rsid w:val="002F5595"/>
    <w:rsid w:val="00334F6A"/>
    <w:rsid w:val="00342AC8"/>
    <w:rsid w:val="003B4550"/>
    <w:rsid w:val="003C7402"/>
    <w:rsid w:val="003D2EAA"/>
    <w:rsid w:val="00432531"/>
    <w:rsid w:val="0044582E"/>
    <w:rsid w:val="00461253"/>
    <w:rsid w:val="00472FED"/>
    <w:rsid w:val="005042C2"/>
    <w:rsid w:val="005B2E32"/>
    <w:rsid w:val="00663475"/>
    <w:rsid w:val="00671529"/>
    <w:rsid w:val="006A5507"/>
    <w:rsid w:val="007268F9"/>
    <w:rsid w:val="007327A0"/>
    <w:rsid w:val="00777436"/>
    <w:rsid w:val="00797872"/>
    <w:rsid w:val="007C52B0"/>
    <w:rsid w:val="00817E57"/>
    <w:rsid w:val="00840DC5"/>
    <w:rsid w:val="0089093B"/>
    <w:rsid w:val="008C7DF6"/>
    <w:rsid w:val="008D3450"/>
    <w:rsid w:val="009411B4"/>
    <w:rsid w:val="0095362F"/>
    <w:rsid w:val="009D0139"/>
    <w:rsid w:val="009F5CDC"/>
    <w:rsid w:val="00A23459"/>
    <w:rsid w:val="00A775CF"/>
    <w:rsid w:val="00AA354B"/>
    <w:rsid w:val="00AD7236"/>
    <w:rsid w:val="00B06045"/>
    <w:rsid w:val="00B2777A"/>
    <w:rsid w:val="00B903E5"/>
    <w:rsid w:val="00C35A27"/>
    <w:rsid w:val="00CA1AEA"/>
    <w:rsid w:val="00D06588"/>
    <w:rsid w:val="00DF1CFD"/>
    <w:rsid w:val="00E02C2B"/>
    <w:rsid w:val="00E41022"/>
    <w:rsid w:val="00E75470"/>
    <w:rsid w:val="00EA0EBB"/>
    <w:rsid w:val="00ED6C48"/>
    <w:rsid w:val="00F04C2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297B786-01CB-4B2E-916E-70AC203D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t,Text,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t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Fußnotenzeichen_Rax"/>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uiPriority w:val="99"/>
    <w:rsid w:val="0089093B"/>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476C-BEA8-4BE2-8D37-BC92364A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6064</Words>
  <Characters>33828</Characters>
  <Application>Microsoft Office Word</Application>
  <DocSecurity>0</DocSecurity>
  <Lines>566</Lines>
  <Paragraphs>170</Paragraphs>
  <ScaleCrop>false</ScaleCrop>
  <HeadingPairs>
    <vt:vector size="2" baseType="variant">
      <vt:variant>
        <vt:lpstr>Title</vt:lpstr>
      </vt:variant>
      <vt:variant>
        <vt:i4>1</vt:i4>
      </vt:variant>
    </vt:vector>
  </HeadingPairs>
  <TitlesOfParts>
    <vt:vector size="1" baseType="lpstr">
      <vt:lpstr>CCPR/C/NLD/CO/5</vt:lpstr>
    </vt:vector>
  </TitlesOfParts>
  <Company>DCM</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CCPR/C/NLD/CO/5</dc:title>
  <dc:subject>1914306</dc:subject>
  <dc:creator>Indra</dc:creator>
  <cp:keywords/>
  <dc:description/>
  <cp:lastModifiedBy>Generic Pdf eng</cp:lastModifiedBy>
  <cp:revision>2</cp:revision>
  <cp:lastPrinted>2019-08-21T14:41:00Z</cp:lastPrinted>
  <dcterms:created xsi:type="dcterms:W3CDTF">2019-08-23T06:17:00Z</dcterms:created>
  <dcterms:modified xsi:type="dcterms:W3CDTF">2019-08-23T06:17:00Z</dcterms:modified>
</cp:coreProperties>
</file>