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84CB9" w14:paraId="6C3A25EA" w14:textId="77777777" w:rsidTr="00660CE8">
        <w:trPr>
          <w:trHeight w:hRule="exact" w:val="851"/>
        </w:trPr>
        <w:tc>
          <w:tcPr>
            <w:tcW w:w="1276" w:type="dxa"/>
            <w:tcBorders>
              <w:bottom w:val="single" w:sz="4" w:space="0" w:color="auto"/>
            </w:tcBorders>
          </w:tcPr>
          <w:p w14:paraId="6D565B21" w14:textId="77777777" w:rsidR="002D5AAC" w:rsidRPr="007A0D9C" w:rsidRDefault="002D5AAC" w:rsidP="00A33022">
            <w:pPr>
              <w:kinsoku w:val="0"/>
              <w:overflowPunct w:val="0"/>
              <w:autoSpaceDE w:val="0"/>
              <w:autoSpaceDN w:val="0"/>
              <w:adjustRightInd w:val="0"/>
              <w:snapToGrid w:val="0"/>
              <w:ind w:left="567"/>
              <w:rPr>
                <w:rStyle w:val="Hipervnculovisitado"/>
              </w:rPr>
            </w:pPr>
          </w:p>
        </w:tc>
        <w:tc>
          <w:tcPr>
            <w:tcW w:w="2268" w:type="dxa"/>
            <w:tcBorders>
              <w:bottom w:val="single" w:sz="4" w:space="0" w:color="auto"/>
            </w:tcBorders>
            <w:vAlign w:val="bottom"/>
          </w:tcPr>
          <w:p w14:paraId="24F2EEFC" w14:textId="6E23320D" w:rsidR="002D5AAC" w:rsidRPr="00BD33EE" w:rsidRDefault="00A93CD6" w:rsidP="00660CE8">
            <w:pPr>
              <w:spacing w:after="80" w:line="300" w:lineRule="exact"/>
              <w:rPr>
                <w:sz w:val="28"/>
              </w:rPr>
            </w:pPr>
            <w:r w:rsidRPr="00B0020D">
              <w:rPr>
                <w:sz w:val="28"/>
              </w:rPr>
              <w:t>Naciones Unidas</w:t>
            </w:r>
          </w:p>
        </w:tc>
        <w:tc>
          <w:tcPr>
            <w:tcW w:w="6073" w:type="dxa"/>
            <w:gridSpan w:val="2"/>
            <w:tcBorders>
              <w:bottom w:val="single" w:sz="4" w:space="0" w:color="auto"/>
            </w:tcBorders>
            <w:vAlign w:val="bottom"/>
          </w:tcPr>
          <w:p w14:paraId="16C705E7" w14:textId="1F0CC7C3" w:rsidR="002D5AAC" w:rsidRPr="0061365E" w:rsidRDefault="0061365E" w:rsidP="0061365E">
            <w:pPr>
              <w:jc w:val="right"/>
              <w:rPr>
                <w:lang w:val="en-US"/>
              </w:rPr>
            </w:pPr>
            <w:proofErr w:type="spellStart"/>
            <w:r w:rsidRPr="0061365E">
              <w:rPr>
                <w:sz w:val="40"/>
                <w:lang w:val="en-US"/>
              </w:rPr>
              <w:t>CCPR</w:t>
            </w:r>
            <w:proofErr w:type="spellEnd"/>
            <w:r>
              <w:rPr>
                <w:lang w:val="en-US"/>
              </w:rPr>
              <w:t>/C/NIC/CO/4</w:t>
            </w:r>
          </w:p>
        </w:tc>
      </w:tr>
      <w:tr w:rsidR="002D5AAC" w14:paraId="7C8EFA63" w14:textId="77777777" w:rsidTr="00660CE8">
        <w:trPr>
          <w:trHeight w:hRule="exact" w:val="2835"/>
        </w:trPr>
        <w:tc>
          <w:tcPr>
            <w:tcW w:w="1276" w:type="dxa"/>
            <w:tcBorders>
              <w:top w:val="single" w:sz="4" w:space="0" w:color="auto"/>
              <w:bottom w:val="single" w:sz="12" w:space="0" w:color="auto"/>
            </w:tcBorders>
          </w:tcPr>
          <w:p w14:paraId="0DCD684A" w14:textId="08CEA221" w:rsidR="002D5AAC" w:rsidRDefault="00A93CD6" w:rsidP="00660CE8">
            <w:pPr>
              <w:spacing w:before="120"/>
              <w:jc w:val="center"/>
            </w:pPr>
            <w:r w:rsidRPr="00B0020D">
              <w:rPr>
                <w:noProof/>
                <w:lang w:val="en-GB" w:eastAsia="en-GB"/>
              </w:rPr>
              <w:drawing>
                <wp:inline distT="0" distB="0" distL="0" distR="0" wp14:anchorId="7A2E8D8C" wp14:editId="66F9319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26901D" w14:textId="12BEB10F" w:rsidR="00DD5762" w:rsidRPr="007967DF" w:rsidRDefault="00A93CD6" w:rsidP="00A93CD6">
            <w:pPr>
              <w:spacing w:before="120" w:line="360" w:lineRule="exact"/>
              <w:rPr>
                <w:b/>
                <w:sz w:val="34"/>
                <w:szCs w:val="34"/>
              </w:rPr>
            </w:pPr>
            <w:r w:rsidRPr="00B0020D">
              <w:rPr>
                <w:b/>
                <w:sz w:val="34"/>
                <w:szCs w:val="34"/>
              </w:rPr>
              <w:t>Pacto Internacional de Derechos</w:t>
            </w:r>
            <w:r w:rsidRPr="00B0020D">
              <w:rPr>
                <w:b/>
                <w:sz w:val="34"/>
                <w:szCs w:val="34"/>
              </w:rPr>
              <w:br/>
              <w:t>Civiles y Políticos</w:t>
            </w:r>
          </w:p>
        </w:tc>
        <w:tc>
          <w:tcPr>
            <w:tcW w:w="2813" w:type="dxa"/>
            <w:tcBorders>
              <w:top w:val="single" w:sz="4" w:space="0" w:color="auto"/>
              <w:bottom w:val="single" w:sz="12" w:space="0" w:color="auto"/>
            </w:tcBorders>
          </w:tcPr>
          <w:p w14:paraId="6AC9A718" w14:textId="5649F43D" w:rsidR="002D5AAC" w:rsidRDefault="00BC2881" w:rsidP="00660CE8">
            <w:pPr>
              <w:spacing w:before="240"/>
            </w:pPr>
            <w:proofErr w:type="spellStart"/>
            <w:r>
              <w:t>Distr</w:t>
            </w:r>
            <w:proofErr w:type="spellEnd"/>
            <w:r>
              <w:t xml:space="preserve">. </w:t>
            </w:r>
            <w:r w:rsidR="00076D7F">
              <w:t>general</w:t>
            </w:r>
          </w:p>
          <w:p w14:paraId="39311210" w14:textId="5F406162" w:rsidR="00BC2881" w:rsidRDefault="007340DD" w:rsidP="00BC2881">
            <w:pPr>
              <w:spacing w:line="240" w:lineRule="exact"/>
            </w:pPr>
            <w:r>
              <w:t>30</w:t>
            </w:r>
            <w:r w:rsidR="00BC2881">
              <w:t xml:space="preserve"> de </w:t>
            </w:r>
            <w:r w:rsidR="00076D7F">
              <w:t>noviem</w:t>
            </w:r>
            <w:r w:rsidR="00FB305C">
              <w:t>bre</w:t>
            </w:r>
            <w:r w:rsidR="00BC2881">
              <w:t xml:space="preserve"> de 2022</w:t>
            </w:r>
          </w:p>
          <w:p w14:paraId="492056EE" w14:textId="77777777" w:rsidR="00DD5762" w:rsidRDefault="00DD5762" w:rsidP="00DD5762">
            <w:pPr>
              <w:spacing w:line="240" w:lineRule="exact"/>
            </w:pPr>
          </w:p>
          <w:p w14:paraId="61B8A6FC" w14:textId="45468FB0" w:rsidR="00BC2881" w:rsidRDefault="00BC2881" w:rsidP="00DD5762">
            <w:pPr>
              <w:spacing w:line="240" w:lineRule="exact"/>
            </w:pPr>
            <w:r>
              <w:t>Original:</w:t>
            </w:r>
            <w:r w:rsidR="00DD5762">
              <w:t xml:space="preserve"> español</w:t>
            </w:r>
          </w:p>
          <w:p w14:paraId="0E7368FA" w14:textId="386BE91F" w:rsidR="00613A55" w:rsidRDefault="00613A55" w:rsidP="00BC2881">
            <w:pPr>
              <w:spacing w:line="240" w:lineRule="exact"/>
            </w:pPr>
          </w:p>
        </w:tc>
      </w:tr>
    </w:tbl>
    <w:p w14:paraId="14289151" w14:textId="77777777" w:rsidR="006F35EE" w:rsidRPr="00411A36" w:rsidRDefault="00411A36" w:rsidP="0036261E">
      <w:pPr>
        <w:spacing w:before="120"/>
        <w:rPr>
          <w:b/>
          <w:sz w:val="24"/>
          <w:szCs w:val="24"/>
        </w:rPr>
      </w:pPr>
      <w:r w:rsidRPr="00411A36">
        <w:rPr>
          <w:b/>
          <w:sz w:val="24"/>
          <w:szCs w:val="24"/>
        </w:rPr>
        <w:t>Comité de Derechos Humanos</w:t>
      </w:r>
    </w:p>
    <w:p w14:paraId="3AC1D8FC" w14:textId="1F1B4534" w:rsidR="008E6767" w:rsidRPr="00076D7F" w:rsidRDefault="008E6767" w:rsidP="00076D7F">
      <w:pPr>
        <w:pStyle w:val="HChG"/>
        <w:rPr>
          <w:lang w:val="es-ES_tradnl"/>
        </w:rPr>
      </w:pPr>
      <w:r>
        <w:rPr>
          <w:lang w:val="es-ES_tradnl"/>
        </w:rPr>
        <w:tab/>
      </w:r>
      <w:r>
        <w:rPr>
          <w:lang w:val="es-ES_tradnl"/>
        </w:rPr>
        <w:tab/>
      </w:r>
      <w:r w:rsidR="00DD5762" w:rsidRPr="00B95DBE">
        <w:t xml:space="preserve">Observaciones finales sobre el </w:t>
      </w:r>
      <w:r w:rsidR="009C68FD">
        <w:t>cuarto</w:t>
      </w:r>
      <w:r w:rsidR="00DD5762" w:rsidRPr="00B95DBE">
        <w:t xml:space="preserve"> informe periódico de</w:t>
      </w:r>
      <w:r w:rsidR="00764C45">
        <w:t> </w:t>
      </w:r>
      <w:r w:rsidR="009C68FD">
        <w:t>Nicaragua</w:t>
      </w:r>
      <w:r w:rsidR="00E25E08" w:rsidRPr="004566C1">
        <w:rPr>
          <w:b w:val="0"/>
          <w:bCs/>
          <w:sz w:val="20"/>
        </w:rPr>
        <w:t>*</w:t>
      </w:r>
      <w:r w:rsidRPr="008E6767">
        <w:rPr>
          <w:rStyle w:val="Refdenotaalpie"/>
          <w:b w:val="0"/>
          <w:bCs/>
          <w:sz w:val="20"/>
          <w:vertAlign w:val="baseline"/>
          <w:lang w:val="es-ES_tradnl"/>
        </w:rPr>
        <w:footnoteReference w:customMarkFollows="1" w:id="1"/>
        <w:t>*</w:t>
      </w:r>
    </w:p>
    <w:p w14:paraId="45B35811" w14:textId="1C822BA3" w:rsidR="00811D91" w:rsidRPr="00184CB9" w:rsidRDefault="00811D91" w:rsidP="00811D91">
      <w:pPr>
        <w:pStyle w:val="SingleTxtG"/>
        <w:rPr>
          <w:rFonts w:ascii="Times" w:hAnsi="Times"/>
        </w:rPr>
      </w:pPr>
      <w:r w:rsidRPr="00184CB9">
        <w:rPr>
          <w:rFonts w:ascii="Times" w:hAnsi="Times"/>
        </w:rPr>
        <w:t>1.</w:t>
      </w:r>
      <w:r w:rsidRPr="00184CB9">
        <w:rPr>
          <w:rFonts w:ascii="Times" w:hAnsi="Times"/>
        </w:rPr>
        <w:tab/>
        <w:t>El Comité examinó el cuarto informe periódico del Nicaragua</w:t>
      </w:r>
      <w:r w:rsidRPr="007D14C9">
        <w:rPr>
          <w:rStyle w:val="Refdenotaalpie"/>
          <w:rFonts w:ascii="Times" w:hAnsi="Times"/>
          <w:szCs w:val="18"/>
        </w:rPr>
        <w:footnoteReference w:id="2"/>
      </w:r>
      <w:r w:rsidRPr="00184CB9">
        <w:rPr>
          <w:rFonts w:ascii="Times" w:hAnsi="Times"/>
        </w:rPr>
        <w:t xml:space="preserve"> en su sesión 39</w:t>
      </w:r>
      <w:r w:rsidR="003333D1">
        <w:rPr>
          <w:rFonts w:ascii="Times" w:hAnsi="Times"/>
        </w:rPr>
        <w:t>33</w:t>
      </w:r>
      <w:r w:rsidRPr="00184CB9">
        <w:rPr>
          <w:rFonts w:ascii="Times" w:hAnsi="Times"/>
        </w:rPr>
        <w:t>ª</w:t>
      </w:r>
      <w:r w:rsidR="00656009" w:rsidRPr="007D14C9">
        <w:rPr>
          <w:rStyle w:val="Refdenotaalpie"/>
          <w:rFonts w:ascii="Times" w:hAnsi="Times"/>
          <w:szCs w:val="18"/>
        </w:rPr>
        <w:footnoteReference w:id="3"/>
      </w:r>
      <w:r w:rsidR="007E0EFF">
        <w:rPr>
          <w:rFonts w:ascii="Times" w:hAnsi="Times"/>
        </w:rPr>
        <w:t>,</w:t>
      </w:r>
      <w:r w:rsidRPr="00184CB9">
        <w:rPr>
          <w:rFonts w:ascii="Times" w:hAnsi="Times"/>
        </w:rPr>
        <w:t xml:space="preserve"> celebrada el día 19 de octubre de 2022. En su</w:t>
      </w:r>
      <w:r w:rsidR="003333D1">
        <w:rPr>
          <w:rFonts w:ascii="Times" w:hAnsi="Times"/>
        </w:rPr>
        <w:t>s</w:t>
      </w:r>
      <w:r w:rsidRPr="00184CB9">
        <w:rPr>
          <w:rFonts w:ascii="Times" w:hAnsi="Times"/>
        </w:rPr>
        <w:t xml:space="preserve"> </w:t>
      </w:r>
      <w:r w:rsidR="00A70326" w:rsidRPr="00184CB9">
        <w:rPr>
          <w:rFonts w:ascii="Times" w:hAnsi="Times"/>
        </w:rPr>
        <w:t>sesion</w:t>
      </w:r>
      <w:r w:rsidR="00A70326">
        <w:rPr>
          <w:rFonts w:ascii="Times" w:hAnsi="Times"/>
        </w:rPr>
        <w:t>es</w:t>
      </w:r>
      <w:r w:rsidRPr="00184CB9">
        <w:rPr>
          <w:rFonts w:ascii="Times" w:hAnsi="Times"/>
        </w:rPr>
        <w:t xml:space="preserve"> </w:t>
      </w:r>
      <w:r w:rsidR="003333D1">
        <w:rPr>
          <w:rFonts w:ascii="Times" w:hAnsi="Times"/>
        </w:rPr>
        <w:t>3946</w:t>
      </w:r>
      <w:r w:rsidR="003333D1" w:rsidRPr="003333D1">
        <w:rPr>
          <w:rFonts w:ascii="Times" w:hAnsi="Times"/>
        </w:rPr>
        <w:t xml:space="preserve">ª </w:t>
      </w:r>
      <w:r w:rsidR="003333D1">
        <w:rPr>
          <w:rFonts w:ascii="Times" w:hAnsi="Times"/>
        </w:rPr>
        <w:t xml:space="preserve">y </w:t>
      </w:r>
      <w:r w:rsidRPr="00184CB9">
        <w:rPr>
          <w:rFonts w:ascii="Times" w:hAnsi="Times"/>
        </w:rPr>
        <w:t>3947</w:t>
      </w:r>
      <w:r w:rsidR="003333D1" w:rsidRPr="003333D1">
        <w:rPr>
          <w:rFonts w:ascii="Times" w:hAnsi="Times"/>
        </w:rPr>
        <w:t>ª</w:t>
      </w:r>
      <w:r w:rsidRPr="00184CB9">
        <w:rPr>
          <w:rFonts w:ascii="Times" w:hAnsi="Times"/>
        </w:rPr>
        <w:t>, celebrada</w:t>
      </w:r>
      <w:r w:rsidR="007E0EFF">
        <w:rPr>
          <w:rFonts w:ascii="Times" w:hAnsi="Times"/>
        </w:rPr>
        <w:t>s</w:t>
      </w:r>
      <w:r w:rsidRPr="00184CB9">
        <w:rPr>
          <w:rFonts w:ascii="Times" w:hAnsi="Times"/>
        </w:rPr>
        <w:t xml:space="preserve"> el 31 de octubre de 2022, el Comité aprobó las presentes observaciones finales.</w:t>
      </w:r>
    </w:p>
    <w:p w14:paraId="2B026FE0" w14:textId="77777777" w:rsidR="00C174E6" w:rsidRPr="00184CB9" w:rsidRDefault="00C174E6" w:rsidP="00C174E6">
      <w:pPr>
        <w:pStyle w:val="H1G"/>
      </w:pPr>
      <w:r w:rsidRPr="00184CB9">
        <w:tab/>
        <w:t>A.</w:t>
      </w:r>
      <w:r w:rsidRPr="00184CB9">
        <w:tab/>
        <w:t>Introducción</w:t>
      </w:r>
    </w:p>
    <w:p w14:paraId="043D927D" w14:textId="026AD1C1" w:rsidR="007D78EB" w:rsidRPr="00184CB9" w:rsidRDefault="00811D91" w:rsidP="00811D91">
      <w:pPr>
        <w:pStyle w:val="SingleTxtG"/>
        <w:tabs>
          <w:tab w:val="clear" w:pos="2268"/>
          <w:tab w:val="clear" w:pos="2835"/>
        </w:tabs>
      </w:pPr>
      <w:r w:rsidRPr="00184CB9">
        <w:rPr>
          <w:rFonts w:ascii="Times" w:hAnsi="Times"/>
          <w:color w:val="000000" w:themeColor="text1"/>
        </w:rPr>
        <w:t xml:space="preserve">2. </w:t>
      </w:r>
      <w:r w:rsidRPr="00184CB9">
        <w:rPr>
          <w:rFonts w:ascii="Times" w:hAnsi="Times"/>
          <w:color w:val="000000" w:themeColor="text1"/>
        </w:rPr>
        <w:tab/>
        <w:t xml:space="preserve">El Comité celebra la presentación del </w:t>
      </w:r>
      <w:r w:rsidR="007E0EFF">
        <w:rPr>
          <w:rFonts w:ascii="Times" w:hAnsi="Times"/>
          <w:color w:val="000000" w:themeColor="text1"/>
        </w:rPr>
        <w:t xml:space="preserve">cuarto </w:t>
      </w:r>
      <w:r w:rsidRPr="00184CB9">
        <w:rPr>
          <w:rFonts w:ascii="Times" w:hAnsi="Times"/>
          <w:color w:val="000000" w:themeColor="text1"/>
        </w:rPr>
        <w:t>informe periódico</w:t>
      </w:r>
      <w:r w:rsidR="007E0EFF">
        <w:rPr>
          <w:rFonts w:ascii="Times" w:hAnsi="Times"/>
          <w:color w:val="000000" w:themeColor="text1"/>
        </w:rPr>
        <w:t xml:space="preserve"> de Nicaragua</w:t>
      </w:r>
      <w:r w:rsidRPr="00184CB9">
        <w:rPr>
          <w:rFonts w:ascii="Times" w:hAnsi="Times"/>
          <w:color w:val="000000" w:themeColor="text1"/>
        </w:rPr>
        <w:t xml:space="preserve">, si bien se recibió con siete años de retraso. </w:t>
      </w:r>
      <w:r w:rsidRPr="007345B8">
        <w:rPr>
          <w:rFonts w:ascii="Times" w:hAnsi="Times"/>
          <w:color w:val="000000" w:themeColor="text1"/>
        </w:rPr>
        <w:t xml:space="preserve">Lamenta, no obstante, </w:t>
      </w:r>
      <w:r w:rsidR="00A545B3" w:rsidRPr="007345B8">
        <w:rPr>
          <w:rFonts w:ascii="Times" w:hAnsi="Times"/>
          <w:color w:val="000000" w:themeColor="text1"/>
        </w:rPr>
        <w:t>que el Estado parte no haya presentado sus respuestas escritas a la lista de cuestiones</w:t>
      </w:r>
      <w:r w:rsidR="007345B8" w:rsidRPr="007D14C9">
        <w:rPr>
          <w:rStyle w:val="Refdenotaalpie"/>
          <w:rFonts w:ascii="Times" w:hAnsi="Times"/>
          <w:szCs w:val="18"/>
        </w:rPr>
        <w:footnoteReference w:id="4"/>
      </w:r>
      <w:r w:rsidRPr="007345B8">
        <w:rPr>
          <w:rFonts w:ascii="Times" w:hAnsi="Times"/>
          <w:color w:val="000000" w:themeColor="text1"/>
        </w:rPr>
        <w:t xml:space="preserve"> </w:t>
      </w:r>
      <w:r w:rsidR="00A545B3" w:rsidRPr="007345B8">
        <w:rPr>
          <w:rFonts w:ascii="Times" w:hAnsi="Times"/>
          <w:color w:val="000000" w:themeColor="text1"/>
        </w:rPr>
        <w:t>ni haya</w:t>
      </w:r>
      <w:r w:rsidRPr="007345B8">
        <w:rPr>
          <w:rFonts w:ascii="Times" w:hAnsi="Times"/>
          <w:color w:val="000000" w:themeColor="text1"/>
        </w:rPr>
        <w:t xml:space="preserve"> participa</w:t>
      </w:r>
      <w:r w:rsidR="00A545B3" w:rsidRPr="007345B8">
        <w:rPr>
          <w:rFonts w:ascii="Times" w:hAnsi="Times"/>
          <w:color w:val="000000" w:themeColor="text1"/>
        </w:rPr>
        <w:t>do</w:t>
      </w:r>
      <w:r w:rsidRPr="007345B8">
        <w:rPr>
          <w:rFonts w:ascii="Times" w:hAnsi="Times"/>
          <w:color w:val="000000" w:themeColor="text1"/>
        </w:rPr>
        <w:t xml:space="preserve"> en el diálogo constructivo con el Comité.</w:t>
      </w:r>
      <w:r w:rsidRPr="00184CB9">
        <w:rPr>
          <w:rFonts w:ascii="Times" w:hAnsi="Times"/>
          <w:color w:val="000000" w:themeColor="text1"/>
        </w:rPr>
        <w:t xml:space="preserve"> El Comité recuerda al Estado parte que la obligación de presentar informes que impone el artículo 40 del Pacto entraña la expectativa de que los representantes de los Estados partes estén presentes en las reuniones del Comité cuando se examinen sus informes (artículo 68 del </w:t>
      </w:r>
      <w:r w:rsidR="007345B8">
        <w:rPr>
          <w:rFonts w:ascii="Times" w:hAnsi="Times"/>
          <w:color w:val="000000" w:themeColor="text1"/>
        </w:rPr>
        <w:t>R</w:t>
      </w:r>
      <w:r w:rsidRPr="00184CB9">
        <w:rPr>
          <w:rFonts w:ascii="Times" w:hAnsi="Times"/>
          <w:color w:val="000000" w:themeColor="text1"/>
        </w:rPr>
        <w:t xml:space="preserve">eglamento del Comité). El Comité </w:t>
      </w:r>
      <w:r w:rsidR="004A3FD9">
        <w:rPr>
          <w:rFonts w:ascii="Times" w:hAnsi="Times"/>
          <w:color w:val="000000" w:themeColor="text1"/>
        </w:rPr>
        <w:t>subraya</w:t>
      </w:r>
      <w:r w:rsidR="004A3FD9" w:rsidRPr="00184CB9">
        <w:rPr>
          <w:rFonts w:ascii="Times" w:hAnsi="Times"/>
          <w:color w:val="000000" w:themeColor="text1"/>
        </w:rPr>
        <w:t xml:space="preserve"> </w:t>
      </w:r>
      <w:r w:rsidRPr="00184CB9">
        <w:rPr>
          <w:rFonts w:ascii="Times" w:hAnsi="Times"/>
          <w:color w:val="000000" w:themeColor="text1"/>
        </w:rPr>
        <w:t>que la plena participación de los Estados partes en los diálogos interactivos con los órganos creados en virtud de tratados de derechos humanos es un componente clave del proceso de examen periódico</w:t>
      </w:r>
      <w:r w:rsidR="007345B8" w:rsidRPr="007D14C9">
        <w:rPr>
          <w:rStyle w:val="Refdenotaalpie"/>
          <w:rFonts w:ascii="Times" w:hAnsi="Times"/>
          <w:szCs w:val="18"/>
        </w:rPr>
        <w:footnoteReference w:id="5"/>
      </w:r>
      <w:r w:rsidRPr="00184CB9">
        <w:rPr>
          <w:rFonts w:ascii="Times" w:hAnsi="Times"/>
          <w:color w:val="000000" w:themeColor="text1"/>
        </w:rPr>
        <w:t xml:space="preserve">. </w:t>
      </w:r>
    </w:p>
    <w:p w14:paraId="1144CD5C" w14:textId="50B0998F" w:rsidR="00811D91" w:rsidRPr="00184CB9" w:rsidRDefault="00076D7F" w:rsidP="00076D7F">
      <w:pPr>
        <w:pStyle w:val="H1G"/>
      </w:pPr>
      <w:r>
        <w:tab/>
      </w:r>
      <w:r w:rsidR="00811D91" w:rsidRPr="00184CB9">
        <w:t xml:space="preserve">B. </w:t>
      </w:r>
      <w:r>
        <w:tab/>
      </w:r>
      <w:r w:rsidR="00811D91" w:rsidRPr="00184CB9">
        <w:t>Aspectos positivos</w:t>
      </w:r>
    </w:p>
    <w:p w14:paraId="5FF748BF" w14:textId="4CE99BB4" w:rsidR="00A539E7" w:rsidRPr="00184CB9" w:rsidRDefault="00811D91" w:rsidP="00A539E7">
      <w:pPr>
        <w:pStyle w:val="SingleTxtG"/>
        <w:rPr>
          <w:rFonts w:ascii="Times" w:hAnsi="Times"/>
          <w:color w:val="000000" w:themeColor="text1"/>
        </w:rPr>
      </w:pPr>
      <w:r w:rsidRPr="00184CB9">
        <w:rPr>
          <w:rFonts w:ascii="Times" w:hAnsi="Times"/>
          <w:color w:val="000000" w:themeColor="text1"/>
        </w:rPr>
        <w:t xml:space="preserve">3. </w:t>
      </w:r>
      <w:r w:rsidRPr="00184CB9">
        <w:rPr>
          <w:rFonts w:ascii="Times" w:hAnsi="Times"/>
          <w:color w:val="000000" w:themeColor="text1"/>
        </w:rPr>
        <w:tab/>
      </w:r>
      <w:r w:rsidR="00D47CE7" w:rsidRPr="00184CB9">
        <w:rPr>
          <w:rFonts w:ascii="Times" w:hAnsi="Times"/>
          <w:color w:val="000000" w:themeColor="text1"/>
        </w:rPr>
        <w:t>El Comité acoge con satisfacción las siguientes medidas legislativas adoptadas por el Estado parte</w:t>
      </w:r>
      <w:r w:rsidR="00A539E7" w:rsidRPr="00184CB9">
        <w:rPr>
          <w:rFonts w:ascii="Times" w:hAnsi="Times"/>
          <w:color w:val="000000" w:themeColor="text1"/>
        </w:rPr>
        <w:t>:</w:t>
      </w:r>
    </w:p>
    <w:p w14:paraId="7366B872" w14:textId="0904B382" w:rsidR="00A539E7" w:rsidRPr="00184CB9" w:rsidRDefault="00A539E7" w:rsidP="00A539E7">
      <w:pPr>
        <w:pStyle w:val="SingleTxtG"/>
        <w:rPr>
          <w:rFonts w:ascii="Times" w:hAnsi="Times"/>
          <w:color w:val="000000" w:themeColor="text1"/>
          <w:lang w:val="es-AR"/>
        </w:rPr>
      </w:pPr>
      <w:r w:rsidRPr="00184CB9">
        <w:rPr>
          <w:rFonts w:ascii="Times" w:hAnsi="Times"/>
          <w:color w:val="000000" w:themeColor="text1"/>
        </w:rPr>
        <w:tab/>
      </w:r>
      <w:r w:rsidRPr="00184CB9">
        <w:rPr>
          <w:rFonts w:ascii="Times" w:hAnsi="Times"/>
          <w:color w:val="000000" w:themeColor="text1"/>
          <w:lang w:val="es-AR"/>
        </w:rPr>
        <w:t>a)</w:t>
      </w:r>
      <w:r w:rsidRPr="00184CB9">
        <w:rPr>
          <w:rFonts w:ascii="Times" w:hAnsi="Times"/>
          <w:color w:val="000000" w:themeColor="text1"/>
          <w:lang w:val="es-AR"/>
        </w:rPr>
        <w:tab/>
        <w:t>La promulgación en 2015 de la Ley contra la Trata de Personas (</w:t>
      </w:r>
      <w:r w:rsidR="007345B8">
        <w:rPr>
          <w:rFonts w:ascii="Times" w:hAnsi="Times"/>
          <w:color w:val="000000" w:themeColor="text1"/>
          <w:lang w:val="es-AR"/>
        </w:rPr>
        <w:t xml:space="preserve">Ley </w:t>
      </w:r>
      <w:r w:rsidRPr="00184CB9">
        <w:rPr>
          <w:rFonts w:ascii="Times" w:hAnsi="Times"/>
          <w:color w:val="000000" w:themeColor="text1"/>
          <w:lang w:val="es-AR"/>
        </w:rPr>
        <w:t>núm.</w:t>
      </w:r>
      <w:r w:rsidR="00764C45">
        <w:rPr>
          <w:rFonts w:ascii="Times" w:hAnsi="Times"/>
          <w:color w:val="000000" w:themeColor="text1"/>
          <w:lang w:val="es-AR"/>
        </w:rPr>
        <w:t> </w:t>
      </w:r>
      <w:r w:rsidRPr="00184CB9">
        <w:rPr>
          <w:rFonts w:ascii="Times" w:hAnsi="Times"/>
          <w:color w:val="000000" w:themeColor="text1"/>
          <w:lang w:val="es-AR"/>
        </w:rPr>
        <w:t>896);</w:t>
      </w:r>
    </w:p>
    <w:p w14:paraId="4426ABD3" w14:textId="79900B41" w:rsidR="00A539E7" w:rsidRPr="00184CB9" w:rsidRDefault="00A539E7" w:rsidP="00A13853">
      <w:pPr>
        <w:pStyle w:val="SingleTxtG"/>
        <w:rPr>
          <w:rFonts w:ascii="Times" w:hAnsi="Times"/>
          <w:color w:val="000000" w:themeColor="text1"/>
          <w:lang w:val="es-AR"/>
        </w:rPr>
      </w:pPr>
      <w:r w:rsidRPr="00184CB9">
        <w:rPr>
          <w:rFonts w:ascii="Times" w:hAnsi="Times"/>
          <w:color w:val="000000" w:themeColor="text1"/>
          <w:lang w:val="es-AR"/>
        </w:rPr>
        <w:tab/>
        <w:t>b)</w:t>
      </w:r>
      <w:r w:rsidRPr="00184CB9">
        <w:rPr>
          <w:rFonts w:ascii="Times" w:hAnsi="Times"/>
          <w:color w:val="000000" w:themeColor="text1"/>
          <w:lang w:val="es-AR"/>
        </w:rPr>
        <w:tab/>
        <w:t>La promulgación en 201</w:t>
      </w:r>
      <w:r w:rsidR="007345B8">
        <w:rPr>
          <w:rFonts w:ascii="Times" w:hAnsi="Times"/>
          <w:color w:val="000000" w:themeColor="text1"/>
          <w:lang w:val="es-AR"/>
        </w:rPr>
        <w:t>4</w:t>
      </w:r>
      <w:r w:rsidRPr="00184CB9">
        <w:rPr>
          <w:rFonts w:ascii="Times" w:hAnsi="Times"/>
          <w:color w:val="000000" w:themeColor="text1"/>
          <w:lang w:val="es-AR"/>
        </w:rPr>
        <w:t xml:space="preserve"> del Código de Familia</w:t>
      </w:r>
      <w:r w:rsidR="007345B8">
        <w:rPr>
          <w:rFonts w:ascii="Times" w:hAnsi="Times"/>
          <w:color w:val="000000" w:themeColor="text1"/>
          <w:lang w:val="es-AR"/>
        </w:rPr>
        <w:t xml:space="preserve"> </w:t>
      </w:r>
      <w:r w:rsidR="007345B8" w:rsidRPr="00184CB9">
        <w:rPr>
          <w:rFonts w:ascii="Times" w:hAnsi="Times"/>
          <w:color w:val="000000" w:themeColor="text1"/>
          <w:lang w:val="es-AR"/>
        </w:rPr>
        <w:t>(</w:t>
      </w:r>
      <w:r w:rsidR="007345B8">
        <w:rPr>
          <w:rFonts w:ascii="Times" w:hAnsi="Times"/>
          <w:color w:val="000000" w:themeColor="text1"/>
          <w:lang w:val="es-AR"/>
        </w:rPr>
        <w:t xml:space="preserve">Ley </w:t>
      </w:r>
      <w:r w:rsidR="007345B8" w:rsidRPr="00184CB9">
        <w:rPr>
          <w:rFonts w:ascii="Times" w:hAnsi="Times"/>
          <w:color w:val="000000" w:themeColor="text1"/>
          <w:lang w:val="es-AR"/>
        </w:rPr>
        <w:t>núm.</w:t>
      </w:r>
      <w:r w:rsidR="00F55163">
        <w:rPr>
          <w:rFonts w:ascii="Times" w:hAnsi="Times"/>
          <w:color w:val="000000" w:themeColor="text1"/>
          <w:lang w:val="es-AR"/>
        </w:rPr>
        <w:t> </w:t>
      </w:r>
      <w:r w:rsidR="007345B8" w:rsidRPr="00184CB9">
        <w:rPr>
          <w:rFonts w:ascii="Times" w:hAnsi="Times"/>
          <w:color w:val="000000" w:themeColor="text1"/>
          <w:lang w:val="es-AR"/>
        </w:rPr>
        <w:t>8</w:t>
      </w:r>
      <w:r w:rsidR="007345B8">
        <w:rPr>
          <w:rFonts w:ascii="Times" w:hAnsi="Times"/>
          <w:color w:val="000000" w:themeColor="text1"/>
          <w:lang w:val="es-AR"/>
        </w:rPr>
        <w:t>70</w:t>
      </w:r>
      <w:r w:rsidR="007345B8" w:rsidRPr="00184CB9">
        <w:rPr>
          <w:rFonts w:ascii="Times" w:hAnsi="Times"/>
          <w:color w:val="000000" w:themeColor="text1"/>
          <w:lang w:val="es-AR"/>
        </w:rPr>
        <w:t>)</w:t>
      </w:r>
      <w:r w:rsidRPr="00184CB9">
        <w:rPr>
          <w:rFonts w:ascii="Times" w:hAnsi="Times"/>
          <w:color w:val="000000" w:themeColor="text1"/>
          <w:lang w:val="es-AR"/>
        </w:rPr>
        <w:t>, que consagra la obligación de prevenir, sancionar y erradicar la violencia doméstica o intrafamiliar;</w:t>
      </w:r>
    </w:p>
    <w:p w14:paraId="1A9AA894" w14:textId="260CA823" w:rsidR="00A539E7" w:rsidRPr="00184CB9" w:rsidRDefault="00A539E7" w:rsidP="00A13853">
      <w:pPr>
        <w:pStyle w:val="SingleTxtG"/>
        <w:rPr>
          <w:rFonts w:ascii="Times" w:hAnsi="Times"/>
          <w:color w:val="000000" w:themeColor="text1"/>
          <w:lang w:val="es-AR"/>
        </w:rPr>
      </w:pPr>
      <w:r w:rsidRPr="00184CB9">
        <w:rPr>
          <w:rFonts w:ascii="Times" w:hAnsi="Times"/>
          <w:color w:val="000000" w:themeColor="text1"/>
          <w:lang w:val="es-AR"/>
        </w:rPr>
        <w:tab/>
        <w:t>c)</w:t>
      </w:r>
      <w:r w:rsidRPr="00184CB9">
        <w:rPr>
          <w:rFonts w:ascii="Times" w:hAnsi="Times"/>
          <w:color w:val="000000" w:themeColor="text1"/>
          <w:lang w:val="es-AR"/>
        </w:rPr>
        <w:tab/>
        <w:t>La promulgación en 2011 de la Ley General de Migración y Extranjería (</w:t>
      </w:r>
      <w:r w:rsidR="0002156A">
        <w:rPr>
          <w:rFonts w:ascii="Times" w:hAnsi="Times"/>
          <w:color w:val="000000" w:themeColor="text1"/>
          <w:lang w:val="es-AR"/>
        </w:rPr>
        <w:t xml:space="preserve">Ley </w:t>
      </w:r>
      <w:r w:rsidRPr="00184CB9">
        <w:rPr>
          <w:rFonts w:ascii="Times" w:hAnsi="Times"/>
          <w:color w:val="000000" w:themeColor="text1"/>
          <w:lang w:val="es-AR"/>
        </w:rPr>
        <w:t>núm. 761);</w:t>
      </w:r>
    </w:p>
    <w:p w14:paraId="3A41F0F6" w14:textId="587275D1" w:rsidR="00A539E7" w:rsidRPr="00184CB9" w:rsidRDefault="00A539E7" w:rsidP="00A13853">
      <w:pPr>
        <w:pStyle w:val="SingleTxtG"/>
        <w:rPr>
          <w:rFonts w:ascii="Times" w:hAnsi="Times"/>
          <w:color w:val="000000" w:themeColor="text1"/>
          <w:lang w:val="es-AR"/>
        </w:rPr>
      </w:pPr>
      <w:r w:rsidRPr="00184CB9">
        <w:rPr>
          <w:rFonts w:ascii="Times" w:hAnsi="Times"/>
          <w:color w:val="000000" w:themeColor="text1"/>
          <w:lang w:val="es-AR"/>
        </w:rPr>
        <w:tab/>
        <w:t>d)</w:t>
      </w:r>
      <w:r w:rsidRPr="00184CB9">
        <w:rPr>
          <w:rFonts w:ascii="Times" w:hAnsi="Times"/>
          <w:color w:val="000000" w:themeColor="text1"/>
          <w:lang w:val="es-AR"/>
        </w:rPr>
        <w:tab/>
        <w:t>La promulgación en 2011 de la Ley de Ejecución, Beneficios y Control Jurisdiccional de la Sanción Penal (</w:t>
      </w:r>
      <w:r w:rsidR="0002156A">
        <w:rPr>
          <w:rFonts w:ascii="Times" w:hAnsi="Times"/>
          <w:color w:val="000000" w:themeColor="text1"/>
          <w:lang w:val="es-AR"/>
        </w:rPr>
        <w:t xml:space="preserve">Ley </w:t>
      </w:r>
      <w:r w:rsidRPr="00184CB9">
        <w:rPr>
          <w:rFonts w:ascii="Times" w:hAnsi="Times"/>
          <w:color w:val="000000" w:themeColor="text1"/>
          <w:lang w:val="es-AR"/>
        </w:rPr>
        <w:t>núm.</w:t>
      </w:r>
      <w:r w:rsidR="00764C45">
        <w:rPr>
          <w:rFonts w:ascii="Times" w:hAnsi="Times"/>
          <w:color w:val="000000" w:themeColor="text1"/>
          <w:lang w:val="es-AR"/>
        </w:rPr>
        <w:t xml:space="preserve"> </w:t>
      </w:r>
      <w:r w:rsidRPr="00184CB9">
        <w:rPr>
          <w:rFonts w:ascii="Times" w:hAnsi="Times"/>
          <w:color w:val="000000" w:themeColor="text1"/>
          <w:lang w:val="es-AR"/>
        </w:rPr>
        <w:t>745).</w:t>
      </w:r>
    </w:p>
    <w:p w14:paraId="3123D840" w14:textId="2A605CD0" w:rsidR="00811D91" w:rsidRPr="00184CB9" w:rsidRDefault="00A539E7" w:rsidP="00811D91">
      <w:pPr>
        <w:pStyle w:val="SingleTxtG"/>
        <w:rPr>
          <w:rFonts w:ascii="Times" w:hAnsi="Times"/>
          <w:color w:val="000000" w:themeColor="text1"/>
        </w:rPr>
      </w:pPr>
      <w:r w:rsidRPr="00184CB9">
        <w:rPr>
          <w:rFonts w:ascii="Times" w:hAnsi="Times"/>
          <w:color w:val="000000" w:themeColor="text1"/>
        </w:rPr>
        <w:lastRenderedPageBreak/>
        <w:t xml:space="preserve">4. </w:t>
      </w:r>
      <w:r w:rsidRPr="00184CB9">
        <w:rPr>
          <w:rFonts w:ascii="Times" w:hAnsi="Times"/>
          <w:color w:val="000000" w:themeColor="text1"/>
        </w:rPr>
        <w:tab/>
      </w:r>
      <w:r w:rsidR="00811D91" w:rsidRPr="00184CB9">
        <w:rPr>
          <w:rFonts w:ascii="Times" w:hAnsi="Times"/>
          <w:color w:val="000000" w:themeColor="text1"/>
        </w:rPr>
        <w:t xml:space="preserve">El Comité celebra la ratificación de los siguientes instrumentos o la adhesión del Estado parte a ellos: </w:t>
      </w:r>
    </w:p>
    <w:p w14:paraId="472BEB43" w14:textId="1B44A9CE" w:rsidR="00811D91" w:rsidRPr="00184CB9" w:rsidRDefault="00CF58FC" w:rsidP="00CF58FC">
      <w:pPr>
        <w:pStyle w:val="SingleTxtG"/>
        <w:rPr>
          <w:rFonts w:ascii="Times" w:hAnsi="Times"/>
          <w:color w:val="000000" w:themeColor="text1"/>
          <w:lang w:val="es-AR"/>
        </w:rPr>
      </w:pPr>
      <w:r w:rsidRPr="00184CB9">
        <w:rPr>
          <w:rFonts w:ascii="Times" w:hAnsi="Times"/>
          <w:color w:val="000000" w:themeColor="text1"/>
          <w:lang w:val="es-AR"/>
        </w:rPr>
        <w:tab/>
      </w:r>
      <w:r w:rsidR="00A539E7" w:rsidRPr="00184CB9">
        <w:rPr>
          <w:rFonts w:ascii="Times" w:hAnsi="Times"/>
          <w:color w:val="000000" w:themeColor="text1"/>
          <w:lang w:val="es-AR"/>
        </w:rPr>
        <w:t xml:space="preserve">a) </w:t>
      </w:r>
      <w:r w:rsidR="00A539E7" w:rsidRPr="00184CB9">
        <w:rPr>
          <w:rFonts w:ascii="Times" w:hAnsi="Times"/>
          <w:color w:val="000000" w:themeColor="text1"/>
          <w:lang w:val="es-AR"/>
        </w:rPr>
        <w:tab/>
      </w:r>
      <w:r w:rsidR="00811D91" w:rsidRPr="00184CB9">
        <w:rPr>
          <w:rFonts w:ascii="Times" w:hAnsi="Times"/>
          <w:color w:val="000000" w:themeColor="text1"/>
          <w:lang w:val="es-AR"/>
        </w:rPr>
        <w:t>El Segundo Protocolo Facultativo del Pacto Internacional de Derechos Civiles y Políticos</w:t>
      </w:r>
      <w:r w:rsidR="0002156A">
        <w:rPr>
          <w:rFonts w:ascii="Times" w:hAnsi="Times"/>
          <w:color w:val="000000" w:themeColor="text1"/>
          <w:lang w:val="es-AR"/>
        </w:rPr>
        <w:t>,</w:t>
      </w:r>
      <w:r w:rsidR="00811D91" w:rsidRPr="00184CB9">
        <w:rPr>
          <w:rFonts w:ascii="Times" w:hAnsi="Times"/>
          <w:color w:val="000000" w:themeColor="text1"/>
          <w:lang w:val="es-AR"/>
        </w:rPr>
        <w:t xml:space="preserve"> destinado a abolir la pena de muerte, el 25 de febrero de 2009;</w:t>
      </w:r>
    </w:p>
    <w:p w14:paraId="7AED4546" w14:textId="2E42D005" w:rsidR="00811D91" w:rsidRPr="00184CB9" w:rsidRDefault="00CF58FC" w:rsidP="00CF58FC">
      <w:pPr>
        <w:pStyle w:val="SingleTxtG"/>
        <w:rPr>
          <w:rFonts w:ascii="Times" w:hAnsi="Times"/>
          <w:color w:val="000000" w:themeColor="text1"/>
          <w:lang w:val="es-AR"/>
        </w:rPr>
      </w:pPr>
      <w:r w:rsidRPr="00184CB9">
        <w:rPr>
          <w:rFonts w:ascii="Times" w:hAnsi="Times"/>
          <w:color w:val="000000" w:themeColor="text1"/>
          <w:lang w:val="es-AR"/>
        </w:rPr>
        <w:tab/>
      </w:r>
      <w:r w:rsidR="00A539E7" w:rsidRPr="00184CB9">
        <w:rPr>
          <w:rFonts w:ascii="Times" w:hAnsi="Times"/>
          <w:color w:val="000000" w:themeColor="text1"/>
          <w:lang w:val="es-AR"/>
        </w:rPr>
        <w:t xml:space="preserve">b) </w:t>
      </w:r>
      <w:r w:rsidR="00A539E7" w:rsidRPr="00184CB9">
        <w:rPr>
          <w:rFonts w:ascii="Times" w:hAnsi="Times"/>
          <w:color w:val="000000" w:themeColor="text1"/>
          <w:lang w:val="es-AR"/>
        </w:rPr>
        <w:tab/>
      </w:r>
      <w:r w:rsidR="00811D91" w:rsidRPr="00184CB9">
        <w:rPr>
          <w:rFonts w:ascii="Times" w:hAnsi="Times"/>
          <w:color w:val="000000" w:themeColor="text1"/>
          <w:lang w:val="es-AR"/>
        </w:rPr>
        <w:t xml:space="preserve">El Protocolo Facultativo de la Convención contra la Tortura y </w:t>
      </w:r>
      <w:r w:rsidR="0002156A">
        <w:rPr>
          <w:rFonts w:ascii="Times" w:hAnsi="Times"/>
          <w:color w:val="000000" w:themeColor="text1"/>
          <w:lang w:val="es-AR"/>
        </w:rPr>
        <w:t>O</w:t>
      </w:r>
      <w:r w:rsidR="00811D91" w:rsidRPr="00184CB9">
        <w:rPr>
          <w:rFonts w:ascii="Times" w:hAnsi="Times"/>
          <w:color w:val="000000" w:themeColor="text1"/>
          <w:lang w:val="es-AR"/>
        </w:rPr>
        <w:t>tros Tratos o Penas Crueles, Inhumanos o Degradantes, el 25 de febrero de 2009;</w:t>
      </w:r>
    </w:p>
    <w:p w14:paraId="7B8789C2" w14:textId="7DD25B65" w:rsidR="00811D91" w:rsidRPr="00184CB9" w:rsidRDefault="00CF58FC" w:rsidP="00CF58FC">
      <w:pPr>
        <w:pStyle w:val="SingleTxtG"/>
        <w:rPr>
          <w:rFonts w:ascii="Times" w:hAnsi="Times"/>
          <w:color w:val="000000" w:themeColor="text1"/>
          <w:lang w:val="es-AR"/>
        </w:rPr>
      </w:pPr>
      <w:r w:rsidRPr="00184CB9">
        <w:rPr>
          <w:rFonts w:ascii="Times" w:hAnsi="Times"/>
          <w:color w:val="000000" w:themeColor="text1"/>
          <w:lang w:val="es-AR"/>
        </w:rPr>
        <w:tab/>
      </w:r>
      <w:r w:rsidR="00A539E7" w:rsidRPr="00184CB9">
        <w:rPr>
          <w:rFonts w:ascii="Times" w:hAnsi="Times"/>
          <w:color w:val="000000" w:themeColor="text1"/>
          <w:lang w:val="es-AR"/>
        </w:rPr>
        <w:t xml:space="preserve">c) </w:t>
      </w:r>
      <w:r w:rsidR="00A539E7" w:rsidRPr="00184CB9">
        <w:rPr>
          <w:rFonts w:ascii="Times" w:hAnsi="Times"/>
          <w:color w:val="000000" w:themeColor="text1"/>
          <w:lang w:val="es-AR"/>
        </w:rPr>
        <w:tab/>
      </w:r>
      <w:r w:rsidR="00811D91" w:rsidRPr="00184CB9">
        <w:rPr>
          <w:rFonts w:ascii="Times" w:hAnsi="Times"/>
          <w:color w:val="000000" w:themeColor="text1"/>
          <w:lang w:val="es-AR"/>
        </w:rPr>
        <w:t>La Convención para Reducir los Casos de Apatridia, en 2013;</w:t>
      </w:r>
    </w:p>
    <w:p w14:paraId="19BCD715" w14:textId="6014D7F3" w:rsidR="00811D91" w:rsidRPr="00184CB9" w:rsidRDefault="00CF58FC" w:rsidP="00CF58FC">
      <w:pPr>
        <w:pStyle w:val="SingleTxtG"/>
        <w:rPr>
          <w:rFonts w:ascii="Times" w:hAnsi="Times"/>
          <w:color w:val="000000" w:themeColor="text1"/>
          <w:lang w:val="es-AR"/>
        </w:rPr>
      </w:pPr>
      <w:r w:rsidRPr="00184CB9">
        <w:rPr>
          <w:rFonts w:ascii="Times" w:hAnsi="Times"/>
          <w:color w:val="000000" w:themeColor="text1"/>
          <w:lang w:val="es-AR"/>
        </w:rPr>
        <w:tab/>
      </w:r>
      <w:r w:rsidR="00A539E7" w:rsidRPr="00184CB9">
        <w:rPr>
          <w:rFonts w:ascii="Times" w:hAnsi="Times"/>
          <w:color w:val="000000" w:themeColor="text1"/>
          <w:lang w:val="es-AR"/>
        </w:rPr>
        <w:t xml:space="preserve">d) </w:t>
      </w:r>
      <w:r w:rsidR="00A539E7" w:rsidRPr="00184CB9">
        <w:rPr>
          <w:rFonts w:ascii="Times" w:hAnsi="Times"/>
          <w:color w:val="000000" w:themeColor="text1"/>
          <w:lang w:val="es-AR"/>
        </w:rPr>
        <w:tab/>
      </w:r>
      <w:r w:rsidR="00811D91" w:rsidRPr="00184CB9">
        <w:rPr>
          <w:rFonts w:ascii="Times" w:hAnsi="Times"/>
          <w:color w:val="000000" w:themeColor="text1"/>
          <w:lang w:val="es-AR"/>
        </w:rPr>
        <w:t>La Convención sobre el Estatuto de los Apátridas, en 2013;</w:t>
      </w:r>
    </w:p>
    <w:p w14:paraId="1E0E6AD9" w14:textId="771760EE" w:rsidR="00811D91" w:rsidRPr="00184CB9" w:rsidRDefault="00CF58FC" w:rsidP="00A33022">
      <w:pPr>
        <w:pStyle w:val="SingleTxtG"/>
        <w:rPr>
          <w:rFonts w:ascii="Times" w:hAnsi="Times"/>
          <w:color w:val="000000" w:themeColor="text1"/>
          <w:lang w:val="es-AR"/>
        </w:rPr>
      </w:pPr>
      <w:r w:rsidRPr="00184CB9">
        <w:rPr>
          <w:rFonts w:ascii="Times" w:hAnsi="Times"/>
          <w:color w:val="000000" w:themeColor="text1"/>
          <w:lang w:val="es-AR"/>
        </w:rPr>
        <w:tab/>
      </w:r>
      <w:r w:rsidR="00A539E7" w:rsidRPr="00184CB9">
        <w:rPr>
          <w:rFonts w:ascii="Times" w:hAnsi="Times"/>
          <w:color w:val="000000" w:themeColor="text1"/>
          <w:lang w:val="es-AR"/>
        </w:rPr>
        <w:t xml:space="preserve">e) </w:t>
      </w:r>
      <w:r w:rsidR="00A539E7" w:rsidRPr="00184CB9">
        <w:rPr>
          <w:rFonts w:ascii="Times" w:hAnsi="Times"/>
          <w:color w:val="000000" w:themeColor="text1"/>
          <w:lang w:val="es-AR"/>
        </w:rPr>
        <w:tab/>
      </w:r>
      <w:r w:rsidR="00811D91" w:rsidRPr="00184CB9">
        <w:rPr>
          <w:rFonts w:ascii="Times" w:hAnsi="Times"/>
          <w:color w:val="000000" w:themeColor="text1"/>
          <w:lang w:val="es-AR"/>
        </w:rPr>
        <w:t xml:space="preserve">El Convenio sobre </w:t>
      </w:r>
      <w:r w:rsidR="0002156A">
        <w:rPr>
          <w:rFonts w:ascii="Times" w:hAnsi="Times"/>
          <w:color w:val="000000" w:themeColor="text1"/>
          <w:lang w:val="es-AR"/>
        </w:rPr>
        <w:t>P</w:t>
      </w:r>
      <w:r w:rsidR="00811D91" w:rsidRPr="00184CB9">
        <w:rPr>
          <w:rFonts w:ascii="Times" w:hAnsi="Times"/>
          <w:color w:val="000000" w:themeColor="text1"/>
          <w:lang w:val="es-AR"/>
        </w:rPr>
        <w:t xml:space="preserve">ueblos </w:t>
      </w:r>
      <w:r w:rsidR="0002156A">
        <w:rPr>
          <w:rFonts w:ascii="Times" w:hAnsi="Times"/>
          <w:color w:val="000000" w:themeColor="text1"/>
          <w:lang w:val="es-AR"/>
        </w:rPr>
        <w:t>I</w:t>
      </w:r>
      <w:r w:rsidR="00811D91" w:rsidRPr="00184CB9">
        <w:rPr>
          <w:rFonts w:ascii="Times" w:hAnsi="Times"/>
          <w:color w:val="000000" w:themeColor="text1"/>
          <w:lang w:val="es-AR"/>
        </w:rPr>
        <w:t xml:space="preserve">ndígenas y </w:t>
      </w:r>
      <w:r w:rsidR="0002156A">
        <w:rPr>
          <w:rFonts w:ascii="Times" w:hAnsi="Times"/>
          <w:color w:val="000000" w:themeColor="text1"/>
          <w:lang w:val="es-AR"/>
        </w:rPr>
        <w:t>T</w:t>
      </w:r>
      <w:r w:rsidR="00811D91" w:rsidRPr="00184CB9">
        <w:rPr>
          <w:rFonts w:ascii="Times" w:hAnsi="Times"/>
          <w:color w:val="000000" w:themeColor="text1"/>
          <w:lang w:val="es-AR"/>
        </w:rPr>
        <w:t>ribales</w:t>
      </w:r>
      <w:r w:rsidR="0002156A">
        <w:rPr>
          <w:rFonts w:ascii="Times" w:hAnsi="Times"/>
          <w:color w:val="000000" w:themeColor="text1"/>
          <w:lang w:val="es-AR"/>
        </w:rPr>
        <w:t>, 1989 (núm. 169),</w:t>
      </w:r>
      <w:r w:rsidR="00811D91" w:rsidRPr="00184CB9">
        <w:rPr>
          <w:rFonts w:ascii="Times" w:hAnsi="Times"/>
          <w:color w:val="000000" w:themeColor="text1"/>
          <w:lang w:val="es-AR"/>
        </w:rPr>
        <w:t xml:space="preserve"> de la Organización Internacional del Trabajo, el 25 de agosto de 2010.</w:t>
      </w:r>
    </w:p>
    <w:p w14:paraId="589E7227" w14:textId="1B45B713" w:rsidR="00E27F3D" w:rsidRPr="00184CB9" w:rsidRDefault="00076D7F" w:rsidP="00076D7F">
      <w:pPr>
        <w:pStyle w:val="H23G"/>
        <w:rPr>
          <w:lang w:val="es-CO"/>
        </w:rPr>
      </w:pPr>
      <w:r>
        <w:rPr>
          <w:lang w:val="es-CO"/>
        </w:rPr>
        <w:tab/>
      </w:r>
      <w:r>
        <w:rPr>
          <w:lang w:val="es-CO"/>
        </w:rPr>
        <w:tab/>
      </w:r>
      <w:r w:rsidR="00E27F3D" w:rsidRPr="00F55163">
        <w:rPr>
          <w:lang w:val="es-CO"/>
        </w:rPr>
        <w:t>Marco constitucional y jurídico de la aplicación del Pacto</w:t>
      </w:r>
    </w:p>
    <w:p w14:paraId="613E0502" w14:textId="12512168" w:rsidR="00811D91" w:rsidRPr="00184CB9" w:rsidRDefault="00811D91" w:rsidP="00811D91">
      <w:pPr>
        <w:pStyle w:val="SingleTxtG"/>
        <w:rPr>
          <w:rFonts w:ascii="Times" w:hAnsi="Times"/>
          <w:color w:val="000000" w:themeColor="text1"/>
          <w:lang w:val="es-CO"/>
        </w:rPr>
      </w:pPr>
      <w:r w:rsidRPr="00184CB9">
        <w:rPr>
          <w:rFonts w:ascii="Times" w:hAnsi="Times"/>
          <w:color w:val="000000" w:themeColor="text1"/>
          <w:lang w:val="es-CO"/>
        </w:rPr>
        <w:t xml:space="preserve">5. </w:t>
      </w:r>
      <w:r w:rsidRPr="00184CB9">
        <w:rPr>
          <w:rFonts w:ascii="Times" w:hAnsi="Times"/>
          <w:color w:val="000000" w:themeColor="text1"/>
          <w:lang w:val="es-CO"/>
        </w:rPr>
        <w:tab/>
        <w:t>El Comité toma nota del artículo 46 de la Constitución Política</w:t>
      </w:r>
      <w:r w:rsidR="00F55163">
        <w:rPr>
          <w:rFonts w:ascii="Times" w:hAnsi="Times"/>
          <w:color w:val="000000" w:themeColor="text1"/>
          <w:lang w:val="es-CO"/>
        </w:rPr>
        <w:t>,</w:t>
      </w:r>
      <w:r w:rsidRPr="00184CB9">
        <w:rPr>
          <w:rFonts w:ascii="Times" w:hAnsi="Times"/>
          <w:color w:val="000000" w:themeColor="text1"/>
          <w:lang w:val="es-CO"/>
        </w:rPr>
        <w:t xml:space="preserve"> que establece la plena vigencia de los </w:t>
      </w:r>
      <w:r w:rsidR="00F55163">
        <w:rPr>
          <w:rFonts w:ascii="Times" w:hAnsi="Times"/>
          <w:color w:val="000000" w:themeColor="text1"/>
          <w:lang w:val="es-CO"/>
        </w:rPr>
        <w:t>derechos</w:t>
      </w:r>
      <w:r w:rsidR="00F55163" w:rsidRPr="00184CB9">
        <w:rPr>
          <w:rFonts w:ascii="Times" w:hAnsi="Times"/>
          <w:color w:val="000000" w:themeColor="text1"/>
          <w:lang w:val="es-CO"/>
        </w:rPr>
        <w:t xml:space="preserve"> </w:t>
      </w:r>
      <w:r w:rsidRPr="00184CB9">
        <w:rPr>
          <w:rFonts w:ascii="Times" w:hAnsi="Times"/>
          <w:color w:val="000000" w:themeColor="text1"/>
          <w:lang w:val="es-CO"/>
        </w:rPr>
        <w:t xml:space="preserve">consignados en el Pacto. Sin embargo, el Comité lamenta la falta de información acerca de </w:t>
      </w:r>
      <w:r w:rsidR="00F55163">
        <w:rPr>
          <w:rFonts w:ascii="Times" w:hAnsi="Times"/>
          <w:color w:val="000000" w:themeColor="text1"/>
          <w:lang w:val="es-CO"/>
        </w:rPr>
        <w:t>su</w:t>
      </w:r>
      <w:r w:rsidR="00F55163" w:rsidRPr="00184CB9">
        <w:rPr>
          <w:rFonts w:ascii="Times" w:hAnsi="Times"/>
          <w:color w:val="000000" w:themeColor="text1"/>
          <w:lang w:val="es-CO"/>
        </w:rPr>
        <w:t xml:space="preserve"> </w:t>
      </w:r>
      <w:r w:rsidRPr="00184CB9">
        <w:rPr>
          <w:rFonts w:ascii="Times" w:hAnsi="Times"/>
          <w:color w:val="000000" w:themeColor="text1"/>
          <w:lang w:val="es-CO"/>
        </w:rPr>
        <w:t xml:space="preserve">aplicación y sobre el número de casos en los que </w:t>
      </w:r>
      <w:r w:rsidR="00F55163">
        <w:rPr>
          <w:rFonts w:ascii="Times" w:hAnsi="Times"/>
          <w:color w:val="000000" w:themeColor="text1"/>
          <w:lang w:val="es-CO"/>
        </w:rPr>
        <w:t>este</w:t>
      </w:r>
      <w:r w:rsidR="00F55163" w:rsidRPr="00184CB9">
        <w:rPr>
          <w:rFonts w:ascii="Times" w:hAnsi="Times"/>
          <w:color w:val="000000" w:themeColor="text1"/>
          <w:lang w:val="es-CO"/>
        </w:rPr>
        <w:t xml:space="preserve"> </w:t>
      </w:r>
      <w:r w:rsidR="00F55163">
        <w:rPr>
          <w:rFonts w:ascii="Times" w:hAnsi="Times"/>
          <w:color w:val="000000" w:themeColor="text1"/>
          <w:lang w:val="es-CO"/>
        </w:rPr>
        <w:t>instrumento</w:t>
      </w:r>
      <w:r w:rsidR="00F55163" w:rsidRPr="00184CB9">
        <w:rPr>
          <w:rFonts w:ascii="Times" w:hAnsi="Times"/>
          <w:color w:val="000000" w:themeColor="text1"/>
          <w:lang w:val="es-CO"/>
        </w:rPr>
        <w:t xml:space="preserve"> </w:t>
      </w:r>
      <w:r w:rsidRPr="00184CB9">
        <w:rPr>
          <w:rFonts w:ascii="Times" w:hAnsi="Times"/>
          <w:color w:val="000000" w:themeColor="text1"/>
          <w:lang w:val="es-CO"/>
        </w:rPr>
        <w:t>ha sido invocad</w:t>
      </w:r>
      <w:r w:rsidR="00F55163">
        <w:rPr>
          <w:rFonts w:ascii="Times" w:hAnsi="Times"/>
          <w:color w:val="000000" w:themeColor="text1"/>
          <w:lang w:val="es-CO"/>
        </w:rPr>
        <w:t>o</w:t>
      </w:r>
      <w:r w:rsidRPr="00184CB9">
        <w:rPr>
          <w:rFonts w:ascii="Times" w:hAnsi="Times"/>
          <w:color w:val="000000" w:themeColor="text1"/>
          <w:lang w:val="es-CO"/>
        </w:rPr>
        <w:t xml:space="preserve"> y aplicad</w:t>
      </w:r>
      <w:r w:rsidR="00F55163">
        <w:rPr>
          <w:rFonts w:ascii="Times" w:hAnsi="Times"/>
          <w:color w:val="000000" w:themeColor="text1"/>
          <w:lang w:val="es-CO"/>
        </w:rPr>
        <w:t>o</w:t>
      </w:r>
      <w:r w:rsidRPr="00184CB9">
        <w:rPr>
          <w:rFonts w:ascii="Times" w:hAnsi="Times"/>
          <w:color w:val="000000" w:themeColor="text1"/>
          <w:lang w:val="es-CO"/>
        </w:rPr>
        <w:t xml:space="preserve"> en decisiones judiciales. Asimismo, le preocupa la falta de cooperación e interacción del Estado parte con los sistemas de derechos humanos universales y regionales</w:t>
      </w:r>
      <w:r w:rsidR="00A33022" w:rsidRPr="00184CB9">
        <w:rPr>
          <w:rFonts w:ascii="Times" w:hAnsi="Times"/>
          <w:color w:val="000000" w:themeColor="text1"/>
          <w:lang w:val="es-CO"/>
        </w:rPr>
        <w:t xml:space="preserve"> </w:t>
      </w:r>
      <w:r w:rsidRPr="00F55163">
        <w:rPr>
          <w:rFonts w:ascii="Times" w:hAnsi="Times"/>
          <w:color w:val="000000" w:themeColor="text1"/>
          <w:lang w:val="es-CO"/>
        </w:rPr>
        <w:t>(art. 2)</w:t>
      </w:r>
      <w:r w:rsidRPr="00184CB9">
        <w:rPr>
          <w:rFonts w:ascii="Times" w:hAnsi="Times"/>
          <w:color w:val="000000" w:themeColor="text1"/>
          <w:lang w:val="es-CO"/>
        </w:rPr>
        <w:t>.</w:t>
      </w:r>
    </w:p>
    <w:p w14:paraId="4437A196" w14:textId="23F77C64" w:rsidR="00811D91" w:rsidRPr="00184CB9" w:rsidRDefault="00811D91" w:rsidP="00811D91">
      <w:pPr>
        <w:pStyle w:val="SingleTxtG"/>
        <w:rPr>
          <w:rFonts w:ascii="Times" w:hAnsi="Times"/>
          <w:b/>
          <w:bCs/>
          <w:color w:val="000000" w:themeColor="text1"/>
          <w:lang w:val="es-CO"/>
        </w:rPr>
      </w:pPr>
      <w:r w:rsidRPr="00CC5B46">
        <w:rPr>
          <w:rFonts w:ascii="Times" w:hAnsi="Times"/>
          <w:bCs/>
          <w:color w:val="000000" w:themeColor="text1"/>
          <w:lang w:val="es-CO"/>
        </w:rPr>
        <w:t>6.</w:t>
      </w:r>
      <w:r w:rsidRPr="00184CB9">
        <w:rPr>
          <w:rFonts w:ascii="Times" w:hAnsi="Times"/>
          <w:b/>
          <w:bCs/>
          <w:color w:val="000000" w:themeColor="text1"/>
          <w:lang w:val="es-CO"/>
        </w:rPr>
        <w:t xml:space="preserve"> </w:t>
      </w:r>
      <w:r w:rsidRPr="00184CB9">
        <w:rPr>
          <w:rFonts w:ascii="Times" w:hAnsi="Times"/>
          <w:b/>
          <w:bCs/>
          <w:color w:val="000000" w:themeColor="text1"/>
          <w:lang w:val="es-CO"/>
        </w:rPr>
        <w:tab/>
        <w:t>El Estado parte debe:</w:t>
      </w:r>
    </w:p>
    <w:p w14:paraId="253EC2CC" w14:textId="5843BE4E" w:rsidR="00811D91" w:rsidRPr="00764C45" w:rsidRDefault="00811D91" w:rsidP="00811D91">
      <w:pPr>
        <w:pStyle w:val="SingleTxtG"/>
        <w:rPr>
          <w:rFonts w:ascii="Times" w:hAnsi="Times"/>
          <w:b/>
          <w:color w:val="000000" w:themeColor="text1"/>
          <w:lang w:val="es-CO"/>
        </w:rPr>
      </w:pPr>
      <w:r w:rsidRPr="00184CB9">
        <w:rPr>
          <w:rFonts w:ascii="Times" w:hAnsi="Times"/>
          <w:b/>
          <w:bCs/>
          <w:color w:val="000000" w:themeColor="text1"/>
          <w:lang w:val="es-CO"/>
        </w:rPr>
        <w:tab/>
      </w:r>
      <w:r w:rsidRPr="00764C45">
        <w:rPr>
          <w:rFonts w:ascii="Times" w:hAnsi="Times"/>
          <w:b/>
          <w:color w:val="000000" w:themeColor="text1"/>
          <w:lang w:val="es-CO"/>
        </w:rPr>
        <w:t>a)</w:t>
      </w:r>
      <w:r w:rsidR="00CC5B46" w:rsidRPr="00764C45">
        <w:rPr>
          <w:rFonts w:ascii="Times" w:hAnsi="Times"/>
          <w:b/>
          <w:color w:val="000000" w:themeColor="text1"/>
          <w:lang w:val="es-CO"/>
        </w:rPr>
        <w:tab/>
      </w:r>
      <w:r w:rsidRPr="00764C45">
        <w:rPr>
          <w:rFonts w:ascii="Times" w:hAnsi="Times"/>
          <w:b/>
          <w:color w:val="000000" w:themeColor="text1"/>
          <w:lang w:val="es-CO"/>
        </w:rPr>
        <w:t>Tomar medidas para difundir el Pacto entre los jueces, abogados y fiscales, con objeto de que los tribunales nacionales tengan en cuenta sus disposiciones y las apliquen</w:t>
      </w:r>
      <w:r w:rsidR="00CF58FC" w:rsidRPr="00764C45">
        <w:rPr>
          <w:rFonts w:ascii="Times" w:hAnsi="Times"/>
          <w:b/>
          <w:color w:val="000000" w:themeColor="text1"/>
          <w:lang w:val="es-CO"/>
        </w:rPr>
        <w:t>;</w:t>
      </w:r>
    </w:p>
    <w:p w14:paraId="292BF300" w14:textId="3FCA23A5" w:rsidR="00811D91" w:rsidRPr="00184CB9" w:rsidRDefault="00811D91" w:rsidP="00811D91">
      <w:pPr>
        <w:pStyle w:val="SingleTxtG"/>
        <w:rPr>
          <w:rFonts w:ascii="Times" w:hAnsi="Times"/>
          <w:b/>
          <w:bCs/>
          <w:color w:val="000000" w:themeColor="text1"/>
          <w:lang w:val="es-CO"/>
        </w:rPr>
      </w:pPr>
      <w:r w:rsidRPr="00764C45">
        <w:rPr>
          <w:rFonts w:ascii="Times" w:hAnsi="Times"/>
          <w:b/>
          <w:color w:val="000000" w:themeColor="text1"/>
          <w:lang w:val="es-CO"/>
        </w:rPr>
        <w:tab/>
      </w:r>
      <w:r w:rsidR="00657317" w:rsidRPr="00764C45">
        <w:rPr>
          <w:rFonts w:ascii="Times" w:hAnsi="Times"/>
          <w:b/>
          <w:color w:val="000000" w:themeColor="text1"/>
          <w:lang w:val="es-CO"/>
        </w:rPr>
        <w:t>b</w:t>
      </w:r>
      <w:r w:rsidRPr="00764C45">
        <w:rPr>
          <w:rFonts w:ascii="Times" w:hAnsi="Times"/>
          <w:b/>
          <w:color w:val="000000" w:themeColor="text1"/>
          <w:lang w:val="es-CO"/>
        </w:rPr>
        <w:t>)</w:t>
      </w:r>
      <w:r w:rsidR="00CC5B46">
        <w:rPr>
          <w:rFonts w:ascii="Times" w:hAnsi="Times"/>
          <w:b/>
          <w:bCs/>
          <w:color w:val="000000" w:themeColor="text1"/>
          <w:lang w:val="es-CO"/>
        </w:rPr>
        <w:tab/>
      </w:r>
      <w:r w:rsidR="00A429E9" w:rsidRPr="00184CB9">
        <w:rPr>
          <w:rFonts w:ascii="Times" w:hAnsi="Times"/>
          <w:b/>
          <w:bCs/>
          <w:color w:val="000000" w:themeColor="text1"/>
          <w:lang w:val="es-CO"/>
        </w:rPr>
        <w:t xml:space="preserve">Restablecer el diálogo y la cooperación </w:t>
      </w:r>
      <w:r w:rsidR="00A429E9" w:rsidRPr="00756060">
        <w:rPr>
          <w:rFonts w:ascii="Times" w:hAnsi="Times"/>
          <w:b/>
          <w:bCs/>
          <w:color w:val="000000" w:themeColor="text1"/>
          <w:lang w:val="es-CO"/>
        </w:rPr>
        <w:t xml:space="preserve">con el sistema universal y regional de derechos humanos, </w:t>
      </w:r>
      <w:r w:rsidR="00A429E9" w:rsidRPr="00184CB9">
        <w:rPr>
          <w:rFonts w:ascii="Times" w:hAnsi="Times"/>
          <w:b/>
          <w:bCs/>
          <w:color w:val="000000" w:themeColor="text1"/>
          <w:lang w:val="es-CO"/>
        </w:rPr>
        <w:t xml:space="preserve">y en particular permitir el acceso </w:t>
      </w:r>
      <w:r w:rsidR="00F55163">
        <w:rPr>
          <w:rFonts w:ascii="Times" w:hAnsi="Times"/>
          <w:b/>
          <w:bCs/>
          <w:color w:val="000000" w:themeColor="text1"/>
          <w:lang w:val="es-CO"/>
        </w:rPr>
        <w:t xml:space="preserve">a </w:t>
      </w:r>
      <w:r w:rsidR="00A429E9" w:rsidRPr="00184CB9">
        <w:rPr>
          <w:rFonts w:ascii="Times" w:hAnsi="Times"/>
          <w:b/>
          <w:bCs/>
          <w:color w:val="000000" w:themeColor="text1"/>
          <w:lang w:val="es-CO"/>
        </w:rPr>
        <w:t>los titulares de mandatos de los procedimientos especiales que han solicitado visitas</w:t>
      </w:r>
      <w:r w:rsidR="00F55163" w:rsidRPr="00F55163">
        <w:rPr>
          <w:rFonts w:ascii="Times" w:hAnsi="Times"/>
          <w:b/>
          <w:bCs/>
          <w:color w:val="000000" w:themeColor="text1"/>
          <w:lang w:val="es-CO"/>
        </w:rPr>
        <w:t xml:space="preserve"> </w:t>
      </w:r>
      <w:r w:rsidR="00F55163" w:rsidRPr="00184CB9">
        <w:rPr>
          <w:rFonts w:ascii="Times" w:hAnsi="Times"/>
          <w:b/>
          <w:bCs/>
          <w:color w:val="000000" w:themeColor="text1"/>
          <w:lang w:val="es-CO"/>
        </w:rPr>
        <w:t>y colaborar con</w:t>
      </w:r>
      <w:r w:rsidR="00F55163">
        <w:rPr>
          <w:rFonts w:ascii="Times" w:hAnsi="Times"/>
          <w:b/>
          <w:bCs/>
          <w:color w:val="000000" w:themeColor="text1"/>
          <w:lang w:val="es-CO"/>
        </w:rPr>
        <w:t xml:space="preserve"> ellos</w:t>
      </w:r>
      <w:r w:rsidR="00A429E9" w:rsidRPr="00184CB9">
        <w:rPr>
          <w:rFonts w:ascii="Times" w:hAnsi="Times"/>
          <w:b/>
          <w:bCs/>
          <w:color w:val="000000" w:themeColor="text1"/>
          <w:lang w:val="es-CO"/>
        </w:rPr>
        <w:t>.</w:t>
      </w:r>
    </w:p>
    <w:p w14:paraId="1DEA110D" w14:textId="09414693" w:rsidR="00811D91" w:rsidRPr="00184CB9" w:rsidRDefault="00076D7F" w:rsidP="00076D7F">
      <w:pPr>
        <w:pStyle w:val="H23G"/>
        <w:rPr>
          <w:lang w:val="es-CO"/>
        </w:rPr>
      </w:pPr>
      <w:r>
        <w:rPr>
          <w:lang w:val="es-CO"/>
        </w:rPr>
        <w:tab/>
      </w:r>
      <w:r>
        <w:rPr>
          <w:lang w:val="es-CO"/>
        </w:rPr>
        <w:tab/>
      </w:r>
      <w:r w:rsidR="00811D91" w:rsidRPr="00184CB9">
        <w:rPr>
          <w:lang w:val="es-CO"/>
        </w:rPr>
        <w:t>Institución nacional de derechos humanos</w:t>
      </w:r>
    </w:p>
    <w:p w14:paraId="5406062D" w14:textId="48C651D3" w:rsidR="00811D91" w:rsidRPr="00184CB9" w:rsidRDefault="00811D91" w:rsidP="00811D91">
      <w:pPr>
        <w:pStyle w:val="SingleTxtG"/>
        <w:rPr>
          <w:rFonts w:ascii="Times" w:hAnsi="Times"/>
          <w:color w:val="000000" w:themeColor="text1"/>
        </w:rPr>
      </w:pPr>
      <w:r w:rsidRPr="00184CB9">
        <w:rPr>
          <w:rFonts w:ascii="Times" w:hAnsi="Times"/>
          <w:color w:val="000000" w:themeColor="text1"/>
        </w:rPr>
        <w:t xml:space="preserve">7. </w:t>
      </w:r>
      <w:r w:rsidRPr="00184CB9">
        <w:rPr>
          <w:rFonts w:ascii="Times" w:hAnsi="Times"/>
          <w:color w:val="000000" w:themeColor="text1"/>
        </w:rPr>
        <w:tab/>
        <w:t>El Comité observa con preocupación que el Subcomité de Acreditación de la Alianza Global de las Instituciones Nacionales de Derechos Humanos recomendó, en marzo de 2019, rebajar la Procuraduría para la Defensa de los Derechos Humanos a la categoría B. En particular, le preocupa</w:t>
      </w:r>
      <w:r w:rsidR="00F55163">
        <w:rPr>
          <w:rFonts w:ascii="Times" w:hAnsi="Times"/>
          <w:color w:val="000000" w:themeColor="text1"/>
        </w:rPr>
        <w:t>n</w:t>
      </w:r>
      <w:r w:rsidRPr="00184CB9">
        <w:rPr>
          <w:rFonts w:ascii="Times" w:hAnsi="Times"/>
          <w:color w:val="000000" w:themeColor="text1"/>
        </w:rPr>
        <w:t xml:space="preserve"> al Comité los informes que indican que la Procuraduría mantiene estrechos vínculos con la Asamblea Nacional, poniendo en duda la independencia de esa institución (art. 2).</w:t>
      </w:r>
    </w:p>
    <w:p w14:paraId="3233EB46" w14:textId="3C22D34C" w:rsidR="008A0DDD" w:rsidRPr="00184CB9" w:rsidRDefault="00811D91" w:rsidP="00A33022">
      <w:pPr>
        <w:pStyle w:val="SingleTxtG"/>
        <w:rPr>
          <w:rFonts w:ascii="Times" w:hAnsi="Times"/>
          <w:b/>
          <w:bCs/>
          <w:color w:val="000000" w:themeColor="text1"/>
        </w:rPr>
      </w:pPr>
      <w:r w:rsidRPr="00076D7F">
        <w:rPr>
          <w:rFonts w:ascii="Times" w:hAnsi="Times"/>
          <w:color w:val="000000" w:themeColor="text1"/>
        </w:rPr>
        <w:t>8.</w:t>
      </w:r>
      <w:r w:rsidRPr="00184CB9">
        <w:rPr>
          <w:rFonts w:ascii="Times" w:hAnsi="Times"/>
          <w:b/>
          <w:bCs/>
          <w:color w:val="000000" w:themeColor="text1"/>
        </w:rPr>
        <w:t xml:space="preserve"> </w:t>
      </w:r>
      <w:r w:rsidRPr="00184CB9">
        <w:rPr>
          <w:rFonts w:ascii="Times" w:hAnsi="Times"/>
          <w:b/>
          <w:bCs/>
          <w:color w:val="000000" w:themeColor="text1"/>
        </w:rPr>
        <w:tab/>
        <w:t>El Estado parte debe adoptar todas las medidas necesarias para asegurar que la Procuraduría para la Defensa de los Derechos Humanos cumpla plenamente los principios relativos al estatuto de las instituciones nacionales de promoción y protección de los derechos humanos (Principios de París) y pueda desempeñar su mandato de manera cabal, eficaz e independiente.</w:t>
      </w:r>
      <w:r w:rsidRPr="00184CB9" w:rsidDel="002A3706">
        <w:rPr>
          <w:rFonts w:ascii="Times" w:hAnsi="Times"/>
          <w:b/>
          <w:bCs/>
          <w:color w:val="000000" w:themeColor="text1"/>
        </w:rPr>
        <w:t xml:space="preserve"> </w:t>
      </w:r>
    </w:p>
    <w:p w14:paraId="52B26FBE" w14:textId="4C843ADA" w:rsidR="00811D91" w:rsidRPr="00184CB9" w:rsidRDefault="00076D7F" w:rsidP="00076D7F">
      <w:pPr>
        <w:pStyle w:val="H23G"/>
      </w:pPr>
      <w:r>
        <w:tab/>
      </w:r>
      <w:r>
        <w:tab/>
      </w:r>
      <w:r w:rsidR="00DD401E" w:rsidRPr="00184CB9">
        <w:t>Lucha</w:t>
      </w:r>
      <w:r w:rsidR="00CE655D" w:rsidRPr="00184CB9">
        <w:t xml:space="preserve"> contra la corrupción</w:t>
      </w:r>
    </w:p>
    <w:p w14:paraId="72064C5F" w14:textId="7B9D0B41" w:rsidR="00811D91" w:rsidRPr="00184CB9" w:rsidRDefault="00811D91" w:rsidP="00811D91">
      <w:pPr>
        <w:pStyle w:val="SingleTxtG"/>
        <w:tabs>
          <w:tab w:val="clear" w:pos="2268"/>
          <w:tab w:val="clear" w:pos="2835"/>
        </w:tabs>
        <w:rPr>
          <w:rFonts w:ascii="Times" w:hAnsi="Times"/>
          <w:color w:val="000000" w:themeColor="text1"/>
          <w:lang w:val="es-CO"/>
        </w:rPr>
      </w:pPr>
      <w:r w:rsidRPr="00184CB9">
        <w:rPr>
          <w:rFonts w:ascii="Times" w:hAnsi="Times"/>
          <w:color w:val="000000" w:themeColor="text1"/>
          <w:lang w:val="es-CO"/>
        </w:rPr>
        <w:t xml:space="preserve">9. </w:t>
      </w:r>
      <w:r w:rsidRPr="00184CB9">
        <w:rPr>
          <w:rFonts w:ascii="Times" w:hAnsi="Times"/>
          <w:color w:val="000000" w:themeColor="text1"/>
          <w:lang w:val="es-CO"/>
        </w:rPr>
        <w:tab/>
        <w:t xml:space="preserve">El Comité lamenta la </w:t>
      </w:r>
      <w:r w:rsidR="00F55163">
        <w:rPr>
          <w:rFonts w:ascii="Times" w:hAnsi="Times"/>
          <w:color w:val="000000" w:themeColor="text1"/>
          <w:lang w:val="es-CO"/>
        </w:rPr>
        <w:t>ausencia</w:t>
      </w:r>
      <w:r w:rsidR="00F55163" w:rsidRPr="00184CB9">
        <w:rPr>
          <w:rFonts w:ascii="Times" w:hAnsi="Times"/>
          <w:color w:val="000000" w:themeColor="text1"/>
          <w:lang w:val="es-CO"/>
        </w:rPr>
        <w:t xml:space="preserve"> </w:t>
      </w:r>
      <w:r w:rsidRPr="00184CB9">
        <w:rPr>
          <w:rFonts w:ascii="Times" w:hAnsi="Times"/>
          <w:color w:val="000000" w:themeColor="text1"/>
          <w:lang w:val="es-CO"/>
        </w:rPr>
        <w:t xml:space="preserve">de información en el </w:t>
      </w:r>
      <w:r w:rsidR="009F0CDA">
        <w:rPr>
          <w:rFonts w:ascii="Times" w:hAnsi="Times"/>
          <w:color w:val="000000" w:themeColor="text1"/>
          <w:lang w:val="es-CO"/>
        </w:rPr>
        <w:t xml:space="preserve">cuarto </w:t>
      </w:r>
      <w:r w:rsidRPr="00184CB9">
        <w:rPr>
          <w:rFonts w:ascii="Times" w:hAnsi="Times"/>
          <w:color w:val="000000" w:themeColor="text1"/>
          <w:lang w:val="es-CO"/>
        </w:rPr>
        <w:t xml:space="preserve">informe </w:t>
      </w:r>
      <w:r w:rsidR="00756006">
        <w:rPr>
          <w:rFonts w:ascii="Times" w:hAnsi="Times"/>
          <w:color w:val="000000" w:themeColor="text1"/>
          <w:lang w:val="es-CO"/>
        </w:rPr>
        <w:t xml:space="preserve">periódico </w:t>
      </w:r>
      <w:r w:rsidRPr="00184CB9">
        <w:rPr>
          <w:rFonts w:ascii="Times" w:hAnsi="Times"/>
          <w:color w:val="000000" w:themeColor="text1"/>
          <w:lang w:val="es-CO"/>
        </w:rPr>
        <w:t xml:space="preserve">del Estado parte sobre las medidas adoptadas para luchar contra la corrupción en ámbitos políticos y en la judicatura, así como sobre las investigaciones de los casos de corrupción y las medidas disciplinarias y sanciones judiciales adoptadas. El Comité observa con preocupación las alegaciones recibidas sobre las restricciones impuestas al acceso a la información pública sobre la utilización del </w:t>
      </w:r>
      <w:r w:rsidR="00F55163">
        <w:rPr>
          <w:rFonts w:ascii="Times" w:hAnsi="Times"/>
          <w:color w:val="000000" w:themeColor="text1"/>
          <w:lang w:val="es-CO"/>
        </w:rPr>
        <w:t>p</w:t>
      </w:r>
      <w:r w:rsidRPr="00184CB9">
        <w:rPr>
          <w:rFonts w:ascii="Times" w:hAnsi="Times"/>
          <w:color w:val="000000" w:themeColor="text1"/>
          <w:lang w:val="es-CO"/>
        </w:rPr>
        <w:t xml:space="preserve">resupuesto </w:t>
      </w:r>
      <w:r w:rsidR="00F55163">
        <w:rPr>
          <w:rFonts w:ascii="Times" w:hAnsi="Times"/>
          <w:color w:val="000000" w:themeColor="text1"/>
          <w:lang w:val="es-CO"/>
        </w:rPr>
        <w:t>g</w:t>
      </w:r>
      <w:r w:rsidRPr="00184CB9">
        <w:rPr>
          <w:rFonts w:ascii="Times" w:hAnsi="Times"/>
          <w:color w:val="000000" w:themeColor="text1"/>
          <w:lang w:val="es-CO"/>
        </w:rPr>
        <w:t xml:space="preserve">eneral del Estado y el funcionamiento de la Contraloría General </w:t>
      </w:r>
      <w:r w:rsidR="00F55163">
        <w:rPr>
          <w:rFonts w:ascii="Times" w:hAnsi="Times"/>
          <w:color w:val="000000" w:themeColor="text1"/>
          <w:lang w:val="es-CO"/>
        </w:rPr>
        <w:t xml:space="preserve">de la República </w:t>
      </w:r>
      <w:r w:rsidRPr="00184CB9">
        <w:rPr>
          <w:rFonts w:ascii="Times" w:hAnsi="Times"/>
          <w:color w:val="000000" w:themeColor="text1"/>
          <w:lang w:val="es-CO"/>
        </w:rPr>
        <w:t xml:space="preserve">(art. 25), así como las denuncias de nepotismo, corrupción, tráfico de influencias y otros </w:t>
      </w:r>
      <w:r w:rsidR="00452224" w:rsidRPr="00184CB9">
        <w:rPr>
          <w:rFonts w:ascii="Times" w:hAnsi="Times"/>
          <w:color w:val="000000" w:themeColor="text1"/>
          <w:lang w:val="es-CO"/>
        </w:rPr>
        <w:t xml:space="preserve">delitos </w:t>
      </w:r>
      <w:r w:rsidRPr="00184CB9">
        <w:rPr>
          <w:rFonts w:ascii="Times" w:hAnsi="Times"/>
          <w:color w:val="000000" w:themeColor="text1"/>
          <w:lang w:val="es-CO"/>
        </w:rPr>
        <w:t>económicos ocurridos tanto a nivel central como local.</w:t>
      </w:r>
    </w:p>
    <w:p w14:paraId="561F0CB6" w14:textId="73E3301B" w:rsidR="00811D91" w:rsidRPr="00184CB9" w:rsidRDefault="00811D91" w:rsidP="00811D91">
      <w:pPr>
        <w:pStyle w:val="SingleTxtG"/>
        <w:tabs>
          <w:tab w:val="clear" w:pos="2268"/>
          <w:tab w:val="clear" w:pos="2835"/>
        </w:tabs>
        <w:rPr>
          <w:rFonts w:ascii="Times" w:hAnsi="Times"/>
          <w:color w:val="000000" w:themeColor="text1"/>
          <w:lang w:val="es-AR"/>
        </w:rPr>
      </w:pPr>
      <w:r w:rsidRPr="00076D7F">
        <w:rPr>
          <w:rFonts w:ascii="Times" w:hAnsi="Times"/>
          <w:color w:val="000000" w:themeColor="text1"/>
          <w:lang w:val="es-CO"/>
        </w:rPr>
        <w:t>10</w:t>
      </w:r>
      <w:r w:rsidRPr="00CC5B46">
        <w:rPr>
          <w:rFonts w:ascii="Times" w:hAnsi="Times"/>
          <w:bCs/>
          <w:color w:val="000000" w:themeColor="text1"/>
          <w:lang w:val="es-CO"/>
        </w:rPr>
        <w:t>.</w:t>
      </w:r>
      <w:r w:rsidRPr="00184CB9">
        <w:rPr>
          <w:rFonts w:ascii="Times" w:hAnsi="Times"/>
          <w:color w:val="000000" w:themeColor="text1"/>
          <w:lang w:val="es-CO"/>
        </w:rPr>
        <w:t xml:space="preserve"> </w:t>
      </w:r>
      <w:r w:rsidRPr="00184CB9">
        <w:rPr>
          <w:rFonts w:ascii="Times" w:hAnsi="Times"/>
          <w:color w:val="000000" w:themeColor="text1"/>
          <w:lang w:val="es-CO"/>
        </w:rPr>
        <w:tab/>
      </w:r>
      <w:r w:rsidRPr="00184CB9">
        <w:rPr>
          <w:rFonts w:ascii="Times" w:hAnsi="Times"/>
          <w:b/>
          <w:bCs/>
          <w:color w:val="000000" w:themeColor="text1"/>
          <w:lang w:val="es-CO"/>
        </w:rPr>
        <w:t xml:space="preserve">El Estado parte debe intensificar sus esfuerzos para </w:t>
      </w:r>
      <w:r w:rsidR="009D72AD">
        <w:rPr>
          <w:rFonts w:ascii="Times" w:hAnsi="Times"/>
          <w:b/>
          <w:bCs/>
          <w:color w:val="000000" w:themeColor="text1"/>
          <w:lang w:val="es-CO"/>
        </w:rPr>
        <w:t>incrementar</w:t>
      </w:r>
      <w:r w:rsidR="009D72AD" w:rsidRPr="00184CB9">
        <w:rPr>
          <w:rFonts w:ascii="Times" w:hAnsi="Times"/>
          <w:b/>
          <w:bCs/>
          <w:color w:val="000000" w:themeColor="text1"/>
          <w:lang w:val="es-CO"/>
        </w:rPr>
        <w:t xml:space="preserve"> </w:t>
      </w:r>
      <w:r w:rsidRPr="00184CB9">
        <w:rPr>
          <w:rFonts w:ascii="Times" w:hAnsi="Times"/>
          <w:b/>
          <w:bCs/>
          <w:color w:val="000000" w:themeColor="text1"/>
          <w:lang w:val="es-CO"/>
        </w:rPr>
        <w:t xml:space="preserve">la transparencia y la rendición de cuentas de la </w:t>
      </w:r>
      <w:r w:rsidR="009D72AD">
        <w:rPr>
          <w:rFonts w:ascii="Times" w:hAnsi="Times"/>
          <w:b/>
          <w:bCs/>
          <w:color w:val="000000" w:themeColor="text1"/>
          <w:lang w:val="es-CO"/>
        </w:rPr>
        <w:t>A</w:t>
      </w:r>
      <w:r w:rsidRPr="00184CB9">
        <w:rPr>
          <w:rFonts w:ascii="Times" w:hAnsi="Times"/>
          <w:b/>
          <w:bCs/>
          <w:color w:val="000000" w:themeColor="text1"/>
          <w:lang w:val="es-CO"/>
        </w:rPr>
        <w:t xml:space="preserve">dministración pública y los funcionarios públicos, y debe considerar la posibilidad de promulgar legislación sobre el acceso a la información pública. Además, debe tomar medidas concretas relativas a la lucha contra </w:t>
      </w:r>
      <w:r w:rsidRPr="00184CB9">
        <w:rPr>
          <w:rFonts w:ascii="Times" w:hAnsi="Times"/>
          <w:b/>
          <w:bCs/>
          <w:color w:val="000000" w:themeColor="text1"/>
          <w:lang w:val="es-CO"/>
        </w:rPr>
        <w:lastRenderedPageBreak/>
        <w:t>la corrupción</w:t>
      </w:r>
      <w:r w:rsidR="00A545B3" w:rsidRPr="00184CB9">
        <w:rPr>
          <w:rFonts w:ascii="Times" w:hAnsi="Times"/>
          <w:b/>
          <w:bCs/>
          <w:color w:val="000000" w:themeColor="text1"/>
          <w:lang w:val="es-CO"/>
        </w:rPr>
        <w:t xml:space="preserve"> a nivel estatal</w:t>
      </w:r>
      <w:r w:rsidRPr="00184CB9">
        <w:rPr>
          <w:rFonts w:ascii="Times" w:hAnsi="Times"/>
          <w:b/>
          <w:bCs/>
          <w:color w:val="000000" w:themeColor="text1"/>
          <w:lang w:val="es-CO"/>
        </w:rPr>
        <w:t xml:space="preserve">, especialmente entre </w:t>
      </w:r>
      <w:r w:rsidR="00D36B6D" w:rsidRPr="00184CB9">
        <w:rPr>
          <w:rFonts w:ascii="Times" w:hAnsi="Times"/>
          <w:b/>
          <w:bCs/>
          <w:color w:val="000000" w:themeColor="text1"/>
          <w:lang w:val="es-CO"/>
        </w:rPr>
        <w:t>oficiales judiciales y policiales</w:t>
      </w:r>
      <w:r w:rsidRPr="00184CB9">
        <w:rPr>
          <w:rFonts w:ascii="Times" w:hAnsi="Times"/>
          <w:b/>
          <w:bCs/>
          <w:color w:val="000000" w:themeColor="text1"/>
          <w:lang w:val="es-CO"/>
        </w:rPr>
        <w:t>, investigando sin demora y de forma exhaustiva, independiente e imparcial todos los casos de corrupción, y aplica</w:t>
      </w:r>
      <w:r w:rsidR="009D72AD">
        <w:rPr>
          <w:rFonts w:ascii="Times" w:hAnsi="Times"/>
          <w:b/>
          <w:bCs/>
          <w:color w:val="000000" w:themeColor="text1"/>
          <w:lang w:val="es-CO"/>
        </w:rPr>
        <w:t>ndo</w:t>
      </w:r>
      <w:r w:rsidRPr="00184CB9">
        <w:rPr>
          <w:rFonts w:ascii="Times" w:hAnsi="Times"/>
          <w:b/>
          <w:bCs/>
          <w:color w:val="000000" w:themeColor="text1"/>
          <w:lang w:val="es-CO"/>
        </w:rPr>
        <w:t xml:space="preserve"> a los culpables sanciones penales </w:t>
      </w:r>
      <w:r w:rsidR="00452224" w:rsidRPr="00184CB9">
        <w:rPr>
          <w:rFonts w:ascii="Times" w:hAnsi="Times"/>
          <w:b/>
          <w:bCs/>
          <w:color w:val="000000" w:themeColor="text1"/>
          <w:lang w:val="es-CO"/>
        </w:rPr>
        <w:t>además de</w:t>
      </w:r>
      <w:r w:rsidRPr="00184CB9">
        <w:rPr>
          <w:rFonts w:ascii="Times" w:hAnsi="Times"/>
          <w:b/>
          <w:bCs/>
          <w:color w:val="000000" w:themeColor="text1"/>
          <w:lang w:val="es-CO"/>
        </w:rPr>
        <w:t xml:space="preserve"> disciplinarias.</w:t>
      </w:r>
    </w:p>
    <w:p w14:paraId="5469ABC2" w14:textId="33FEF132" w:rsidR="00811D91" w:rsidRPr="00184CB9" w:rsidRDefault="00076D7F" w:rsidP="00076D7F">
      <w:pPr>
        <w:pStyle w:val="H23G"/>
        <w:rPr>
          <w:lang w:val="es-CO"/>
        </w:rPr>
      </w:pPr>
      <w:r>
        <w:rPr>
          <w:lang w:val="es-CO"/>
        </w:rPr>
        <w:tab/>
      </w:r>
      <w:r>
        <w:rPr>
          <w:lang w:val="es-CO"/>
        </w:rPr>
        <w:tab/>
      </w:r>
      <w:r w:rsidR="00E63F63" w:rsidRPr="00184CB9">
        <w:rPr>
          <w:lang w:val="es-CO"/>
        </w:rPr>
        <w:t>Lucha contra la impunidad y violaciones pasadas de los derechos humanos</w:t>
      </w:r>
    </w:p>
    <w:p w14:paraId="09C53020" w14:textId="0F56A838" w:rsidR="00E63F63" w:rsidRPr="00184CB9" w:rsidRDefault="00E63F63" w:rsidP="00E63F63">
      <w:pPr>
        <w:pStyle w:val="SingleTxtG"/>
        <w:rPr>
          <w:rFonts w:ascii="Times" w:hAnsi="Times"/>
          <w:b/>
          <w:bCs/>
          <w:color w:val="000000" w:themeColor="text1"/>
          <w:lang w:val="es-CO"/>
        </w:rPr>
      </w:pPr>
      <w:r w:rsidRPr="00076D7F">
        <w:rPr>
          <w:rFonts w:ascii="Times" w:hAnsi="Times"/>
          <w:color w:val="000000" w:themeColor="text1"/>
          <w:lang w:val="es-CO"/>
        </w:rPr>
        <w:t>11.</w:t>
      </w:r>
      <w:r w:rsidRPr="00184CB9">
        <w:rPr>
          <w:rFonts w:ascii="Times" w:hAnsi="Times"/>
          <w:b/>
          <w:bCs/>
          <w:color w:val="000000" w:themeColor="text1"/>
          <w:lang w:val="es-CO"/>
        </w:rPr>
        <w:t xml:space="preserve"> </w:t>
      </w:r>
      <w:r w:rsidRPr="00184CB9">
        <w:rPr>
          <w:rFonts w:ascii="Times" w:hAnsi="Times"/>
          <w:b/>
          <w:bCs/>
          <w:color w:val="000000" w:themeColor="text1"/>
          <w:lang w:val="es-CO"/>
        </w:rPr>
        <w:tab/>
      </w:r>
      <w:r w:rsidRPr="00184CB9">
        <w:rPr>
          <w:rFonts w:ascii="Times" w:hAnsi="Times"/>
          <w:color w:val="000000" w:themeColor="text1"/>
          <w:lang w:val="es-CO"/>
        </w:rPr>
        <w:t>Preocupa al Comité la falta de información sobre el funcionamiento de la Comisión de la Verdad, Justicia y Paz y las alegaciones sobre su falta de independencia. Además, le preocupa la compatibilidad de la Ley de Amnistía</w:t>
      </w:r>
      <w:r w:rsidR="009D72AD">
        <w:rPr>
          <w:rFonts w:ascii="Times" w:hAnsi="Times"/>
          <w:color w:val="000000" w:themeColor="text1"/>
          <w:lang w:val="es-CO"/>
        </w:rPr>
        <w:t xml:space="preserve"> (</w:t>
      </w:r>
      <w:r w:rsidR="009D72AD" w:rsidRPr="00184CB9">
        <w:rPr>
          <w:rFonts w:ascii="Times" w:hAnsi="Times"/>
          <w:color w:val="000000" w:themeColor="text1"/>
          <w:lang w:val="es-CO"/>
        </w:rPr>
        <w:t xml:space="preserve">Ley </w:t>
      </w:r>
      <w:r w:rsidR="009D72AD">
        <w:rPr>
          <w:rFonts w:ascii="Times" w:hAnsi="Times"/>
          <w:color w:val="000000" w:themeColor="text1"/>
          <w:lang w:val="es-CO"/>
        </w:rPr>
        <w:t>núm</w:t>
      </w:r>
      <w:r w:rsidR="009D72AD" w:rsidRPr="00184CB9">
        <w:rPr>
          <w:rFonts w:ascii="Times" w:hAnsi="Times"/>
          <w:color w:val="000000" w:themeColor="text1"/>
          <w:lang w:val="es-CO"/>
        </w:rPr>
        <w:t>.</w:t>
      </w:r>
      <w:r w:rsidR="009D72AD">
        <w:rPr>
          <w:rFonts w:ascii="Times" w:hAnsi="Times"/>
          <w:color w:val="000000" w:themeColor="text1"/>
          <w:lang w:val="es-CO"/>
        </w:rPr>
        <w:t> </w:t>
      </w:r>
      <w:r w:rsidR="009D72AD" w:rsidRPr="00184CB9">
        <w:rPr>
          <w:rFonts w:ascii="Times" w:hAnsi="Times"/>
          <w:color w:val="000000" w:themeColor="text1"/>
          <w:lang w:val="es-CO"/>
        </w:rPr>
        <w:t>996</w:t>
      </w:r>
      <w:r w:rsidR="009D72AD">
        <w:rPr>
          <w:rFonts w:ascii="Times" w:hAnsi="Times"/>
          <w:color w:val="000000" w:themeColor="text1"/>
          <w:lang w:val="es-CO"/>
        </w:rPr>
        <w:t>)</w:t>
      </w:r>
      <w:r w:rsidRPr="00184CB9">
        <w:rPr>
          <w:rFonts w:ascii="Times" w:hAnsi="Times"/>
          <w:color w:val="000000" w:themeColor="text1"/>
          <w:lang w:val="es-CO"/>
        </w:rPr>
        <w:t xml:space="preserve"> y la Ley de Atención Integral a Víctimas </w:t>
      </w:r>
      <w:r w:rsidR="009D72AD">
        <w:rPr>
          <w:rFonts w:ascii="Times" w:hAnsi="Times"/>
          <w:color w:val="000000" w:themeColor="text1"/>
          <w:lang w:val="es-CO"/>
        </w:rPr>
        <w:t>(</w:t>
      </w:r>
      <w:r w:rsidR="009D72AD" w:rsidRPr="00184CB9">
        <w:rPr>
          <w:rFonts w:ascii="Times" w:hAnsi="Times"/>
          <w:color w:val="000000" w:themeColor="text1"/>
          <w:lang w:val="es-CO"/>
        </w:rPr>
        <w:t xml:space="preserve">Ley </w:t>
      </w:r>
      <w:r w:rsidR="009D72AD">
        <w:rPr>
          <w:rFonts w:ascii="Times" w:hAnsi="Times"/>
          <w:color w:val="000000" w:themeColor="text1"/>
          <w:lang w:val="es-CO"/>
        </w:rPr>
        <w:t>núm</w:t>
      </w:r>
      <w:r w:rsidR="009D72AD" w:rsidRPr="00184CB9">
        <w:rPr>
          <w:rFonts w:ascii="Times" w:hAnsi="Times"/>
          <w:color w:val="000000" w:themeColor="text1"/>
          <w:lang w:val="es-CO"/>
        </w:rPr>
        <w:t>.</w:t>
      </w:r>
      <w:r w:rsidR="009D72AD">
        <w:rPr>
          <w:rFonts w:ascii="Times" w:hAnsi="Times"/>
          <w:color w:val="000000" w:themeColor="text1"/>
          <w:lang w:val="es-CO"/>
        </w:rPr>
        <w:t> </w:t>
      </w:r>
      <w:r w:rsidR="009D72AD" w:rsidRPr="00184CB9">
        <w:rPr>
          <w:rFonts w:ascii="Times" w:hAnsi="Times"/>
          <w:color w:val="000000" w:themeColor="text1"/>
          <w:lang w:val="es-CO"/>
        </w:rPr>
        <w:t>994</w:t>
      </w:r>
      <w:r w:rsidR="009D72AD">
        <w:rPr>
          <w:rFonts w:ascii="Times" w:hAnsi="Times"/>
          <w:color w:val="000000" w:themeColor="text1"/>
          <w:lang w:val="es-CO"/>
        </w:rPr>
        <w:t xml:space="preserve">) </w:t>
      </w:r>
      <w:r w:rsidRPr="00184CB9">
        <w:rPr>
          <w:rFonts w:ascii="Times" w:hAnsi="Times"/>
          <w:color w:val="000000" w:themeColor="text1"/>
          <w:lang w:val="es-CO"/>
        </w:rPr>
        <w:t xml:space="preserve">con el Pacto. </w:t>
      </w:r>
      <w:r w:rsidRPr="00955519">
        <w:rPr>
          <w:rFonts w:ascii="Times" w:hAnsi="Times"/>
          <w:color w:val="000000" w:themeColor="text1"/>
          <w:lang w:val="es-CO"/>
        </w:rPr>
        <w:t>Respecto a la primera, preocupa la ausencia de una prohibición expresa de amnistía por violaciones graves de los</w:t>
      </w:r>
      <w:r w:rsidRPr="00184CB9">
        <w:rPr>
          <w:rFonts w:ascii="Times" w:hAnsi="Times"/>
          <w:color w:val="000000" w:themeColor="text1"/>
          <w:lang w:val="es-CO"/>
        </w:rPr>
        <w:t xml:space="preserve"> derechos humanos y la falta de claridad de las disposiciones contenidas en los artículos 2 y 3. En lo que concierne a la Ley </w:t>
      </w:r>
      <w:r w:rsidR="00955519">
        <w:rPr>
          <w:rFonts w:ascii="Times" w:hAnsi="Times"/>
          <w:color w:val="000000" w:themeColor="text1"/>
          <w:lang w:val="es-CO"/>
        </w:rPr>
        <w:t>núm</w:t>
      </w:r>
      <w:r w:rsidRPr="00184CB9">
        <w:rPr>
          <w:rFonts w:ascii="Times" w:hAnsi="Times"/>
          <w:color w:val="000000" w:themeColor="text1"/>
          <w:lang w:val="es-CO"/>
        </w:rPr>
        <w:t>.</w:t>
      </w:r>
      <w:r w:rsidR="00955519">
        <w:rPr>
          <w:rFonts w:ascii="Times" w:hAnsi="Times"/>
          <w:color w:val="000000" w:themeColor="text1"/>
          <w:lang w:val="es-CO"/>
        </w:rPr>
        <w:t> </w:t>
      </w:r>
      <w:r w:rsidRPr="00184CB9">
        <w:rPr>
          <w:rFonts w:ascii="Times" w:hAnsi="Times"/>
          <w:color w:val="000000" w:themeColor="text1"/>
          <w:lang w:val="es-CO"/>
        </w:rPr>
        <w:t>994, preocupa al Comité la ausencia de claridad de la expresión sobre la “voluntad de atender los daños y secuelas provocadas en los nicaragüenses por el intento de golpe de estado fallido”</w:t>
      </w:r>
      <w:r w:rsidR="00955519">
        <w:rPr>
          <w:rFonts w:ascii="Times" w:hAnsi="Times"/>
          <w:color w:val="000000" w:themeColor="text1"/>
          <w:lang w:val="es-CO"/>
        </w:rPr>
        <w:t>,</w:t>
      </w:r>
      <w:r w:rsidRPr="00184CB9">
        <w:rPr>
          <w:rFonts w:ascii="Times" w:hAnsi="Times"/>
          <w:color w:val="000000" w:themeColor="text1"/>
          <w:lang w:val="es-CO"/>
        </w:rPr>
        <w:t xml:space="preserve"> </w:t>
      </w:r>
      <w:r w:rsidR="00E50CFF" w:rsidRPr="00184CB9">
        <w:rPr>
          <w:rFonts w:ascii="Times" w:hAnsi="Times"/>
          <w:color w:val="000000" w:themeColor="text1"/>
          <w:lang w:val="es-CO"/>
        </w:rPr>
        <w:t xml:space="preserve">que sugiere que las personas que se opusieron al Gobierno durante las protestas de 2018 son vistas por las autoridades como perpetradores del "golpe de estado", en lugar de víctimas, así como la ausencia </w:t>
      </w:r>
      <w:r w:rsidRPr="00184CB9">
        <w:rPr>
          <w:rFonts w:ascii="Times" w:hAnsi="Times"/>
          <w:color w:val="000000" w:themeColor="text1"/>
          <w:lang w:val="es-CO"/>
        </w:rPr>
        <w:t xml:space="preserve">de una disposición que asegure el derecho de las víctimas </w:t>
      </w:r>
      <w:r w:rsidR="00955519">
        <w:rPr>
          <w:rFonts w:ascii="Times" w:hAnsi="Times"/>
          <w:color w:val="000000" w:themeColor="text1"/>
          <w:lang w:val="es-CO"/>
        </w:rPr>
        <w:t>a</w:t>
      </w:r>
      <w:r w:rsidR="00955519" w:rsidRPr="00184CB9">
        <w:rPr>
          <w:rFonts w:ascii="Times" w:hAnsi="Times"/>
          <w:color w:val="000000" w:themeColor="text1"/>
          <w:lang w:val="es-CO"/>
        </w:rPr>
        <w:t xml:space="preserve"> </w:t>
      </w:r>
      <w:r w:rsidRPr="00184CB9">
        <w:rPr>
          <w:rFonts w:ascii="Times" w:hAnsi="Times"/>
          <w:color w:val="000000" w:themeColor="text1"/>
          <w:lang w:val="es-CO"/>
        </w:rPr>
        <w:t xml:space="preserve">interponer recursos y </w:t>
      </w:r>
      <w:r w:rsidR="00955519">
        <w:rPr>
          <w:rFonts w:ascii="Times" w:hAnsi="Times"/>
          <w:color w:val="000000" w:themeColor="text1"/>
          <w:lang w:val="es-CO"/>
        </w:rPr>
        <w:t xml:space="preserve">obtener </w:t>
      </w:r>
      <w:r w:rsidRPr="00184CB9">
        <w:rPr>
          <w:rFonts w:ascii="Times" w:hAnsi="Times"/>
          <w:color w:val="000000" w:themeColor="text1"/>
          <w:lang w:val="es-CO"/>
        </w:rPr>
        <w:t>medidas de reparación efectivas</w:t>
      </w:r>
      <w:r w:rsidRPr="00184CB9">
        <w:rPr>
          <w:rFonts w:ascii="Times" w:hAnsi="Times"/>
          <w:b/>
          <w:bCs/>
          <w:color w:val="000000" w:themeColor="text1"/>
          <w:lang w:val="es-CO"/>
        </w:rPr>
        <w:t xml:space="preserve"> </w:t>
      </w:r>
      <w:r w:rsidRPr="00184CB9">
        <w:rPr>
          <w:rFonts w:ascii="Times" w:hAnsi="Times"/>
          <w:color w:val="000000" w:themeColor="text1"/>
          <w:lang w:val="es-CO"/>
        </w:rPr>
        <w:t>(arts. 2, 6, 7 y 14</w:t>
      </w:r>
      <w:r w:rsidR="00C215EA" w:rsidRPr="00184CB9">
        <w:rPr>
          <w:rFonts w:ascii="Times" w:hAnsi="Times"/>
          <w:color w:val="000000" w:themeColor="text1"/>
          <w:lang w:val="es-CO"/>
        </w:rPr>
        <w:t>).</w:t>
      </w:r>
    </w:p>
    <w:p w14:paraId="1C0C6D27" w14:textId="530F1AE1" w:rsidR="00E63F63" w:rsidRPr="00184CB9" w:rsidRDefault="00A5373D" w:rsidP="00C215EA">
      <w:pPr>
        <w:pStyle w:val="SingleTxtG"/>
        <w:rPr>
          <w:rFonts w:ascii="Times" w:hAnsi="Times"/>
          <w:b/>
          <w:bCs/>
          <w:color w:val="000000" w:themeColor="text1"/>
          <w:lang w:val="es-CO"/>
        </w:rPr>
      </w:pPr>
      <w:r w:rsidRPr="00076D7F">
        <w:rPr>
          <w:rFonts w:ascii="Times" w:hAnsi="Times"/>
          <w:color w:val="000000" w:themeColor="text1"/>
          <w:lang w:val="es-CO"/>
        </w:rPr>
        <w:t>12</w:t>
      </w:r>
      <w:r w:rsidR="00E63F63" w:rsidRPr="00076D7F">
        <w:rPr>
          <w:rFonts w:ascii="Times" w:hAnsi="Times"/>
          <w:color w:val="000000" w:themeColor="text1"/>
          <w:lang w:val="es-CO"/>
        </w:rPr>
        <w:t>.</w:t>
      </w:r>
      <w:r w:rsidR="00E63F63" w:rsidRPr="00184CB9">
        <w:rPr>
          <w:rFonts w:ascii="Times" w:hAnsi="Times"/>
          <w:b/>
          <w:bCs/>
          <w:color w:val="000000" w:themeColor="text1"/>
          <w:lang w:val="es-CO"/>
        </w:rPr>
        <w:t xml:space="preserve"> </w:t>
      </w:r>
      <w:r w:rsidR="00C215EA" w:rsidRPr="00184CB9">
        <w:rPr>
          <w:rFonts w:ascii="Times" w:hAnsi="Times"/>
          <w:b/>
          <w:bCs/>
          <w:color w:val="000000" w:themeColor="text1"/>
          <w:lang w:val="es-CO"/>
        </w:rPr>
        <w:tab/>
      </w:r>
      <w:r w:rsidR="00E63F63" w:rsidRPr="00184CB9">
        <w:rPr>
          <w:rFonts w:ascii="Times" w:hAnsi="Times"/>
          <w:b/>
          <w:bCs/>
          <w:color w:val="000000" w:themeColor="text1"/>
          <w:lang w:val="es-CO"/>
        </w:rPr>
        <w:t>El Estado parte debe:</w:t>
      </w:r>
    </w:p>
    <w:p w14:paraId="36572445" w14:textId="36574C8D" w:rsidR="00E63F63" w:rsidRPr="00184CB9" w:rsidRDefault="00E63F63" w:rsidP="008B254F">
      <w:pPr>
        <w:pStyle w:val="SingleTxtG"/>
        <w:numPr>
          <w:ilvl w:val="0"/>
          <w:numId w:val="54"/>
        </w:numPr>
        <w:ind w:left="1134" w:firstLine="567"/>
        <w:rPr>
          <w:rFonts w:ascii="Times" w:hAnsi="Times"/>
          <w:b/>
          <w:bCs/>
          <w:color w:val="000000" w:themeColor="text1"/>
          <w:lang w:val="es-CO"/>
        </w:rPr>
      </w:pPr>
      <w:r w:rsidRPr="00184CB9">
        <w:rPr>
          <w:rFonts w:ascii="Times" w:hAnsi="Times"/>
          <w:b/>
          <w:bCs/>
          <w:color w:val="000000" w:themeColor="text1"/>
          <w:lang w:val="es-CO"/>
        </w:rPr>
        <w:t xml:space="preserve">Velar por que la Comisión de la Verdad, Justicia y Paz desempeñe su labor de manera eficaz e independiente, con arreglo al derecho y </w:t>
      </w:r>
      <w:r w:rsidR="00955519">
        <w:rPr>
          <w:rFonts w:ascii="Times" w:hAnsi="Times"/>
          <w:b/>
          <w:bCs/>
          <w:color w:val="000000" w:themeColor="text1"/>
          <w:lang w:val="es-CO"/>
        </w:rPr>
        <w:t xml:space="preserve">a </w:t>
      </w:r>
      <w:r w:rsidRPr="00184CB9">
        <w:rPr>
          <w:rFonts w:ascii="Times" w:hAnsi="Times"/>
          <w:b/>
          <w:bCs/>
          <w:color w:val="000000" w:themeColor="text1"/>
          <w:lang w:val="es-CO"/>
        </w:rPr>
        <w:t>las normas internacionales, entre otras cosas prohibiendo la amnistía por violaciones graves de derechos humanos;</w:t>
      </w:r>
    </w:p>
    <w:p w14:paraId="1D69A662" w14:textId="4C47B227" w:rsidR="00C215EA" w:rsidRPr="00184CB9" w:rsidRDefault="00E63F63" w:rsidP="008B254F">
      <w:pPr>
        <w:pStyle w:val="SingleTxtG"/>
        <w:numPr>
          <w:ilvl w:val="0"/>
          <w:numId w:val="54"/>
        </w:numPr>
        <w:ind w:left="1134" w:firstLine="567"/>
        <w:rPr>
          <w:rFonts w:ascii="Times" w:hAnsi="Times"/>
          <w:b/>
          <w:bCs/>
          <w:color w:val="000000" w:themeColor="text1"/>
          <w:lang w:val="es-CO"/>
        </w:rPr>
      </w:pPr>
      <w:r w:rsidRPr="00184CB9">
        <w:rPr>
          <w:rFonts w:ascii="Times" w:hAnsi="Times"/>
          <w:b/>
          <w:bCs/>
          <w:color w:val="000000" w:themeColor="text1"/>
          <w:lang w:val="es-CO"/>
        </w:rPr>
        <w:t xml:space="preserve">Revisar la Ley núm. 996 en consulta con todos los actores involucrados, para hacerla plenamente compatible con las disposiciones del Pacto y con el propósito de resolver las ambigüedades que subsisten en el marco legal y que perjudican el derecho a la protesta pacífica y los principio de legalidad y </w:t>
      </w:r>
      <w:proofErr w:type="spellStart"/>
      <w:r w:rsidRPr="00184CB9">
        <w:rPr>
          <w:rFonts w:ascii="Times" w:hAnsi="Times"/>
          <w:b/>
          <w:bCs/>
          <w:i/>
          <w:iCs/>
          <w:color w:val="000000" w:themeColor="text1"/>
          <w:lang w:val="es-CO"/>
        </w:rPr>
        <w:t>ne</w:t>
      </w:r>
      <w:proofErr w:type="spellEnd"/>
      <w:r w:rsidRPr="00184CB9">
        <w:rPr>
          <w:rFonts w:ascii="Times" w:hAnsi="Times"/>
          <w:b/>
          <w:bCs/>
          <w:i/>
          <w:iCs/>
          <w:color w:val="000000" w:themeColor="text1"/>
          <w:lang w:val="es-CO"/>
        </w:rPr>
        <w:t xml:space="preserve"> bis in </w:t>
      </w:r>
      <w:proofErr w:type="spellStart"/>
      <w:r w:rsidRPr="00184CB9">
        <w:rPr>
          <w:rFonts w:ascii="Times" w:hAnsi="Times"/>
          <w:b/>
          <w:bCs/>
          <w:i/>
          <w:iCs/>
          <w:color w:val="000000" w:themeColor="text1"/>
          <w:lang w:val="es-CO"/>
        </w:rPr>
        <w:t>idem</w:t>
      </w:r>
      <w:proofErr w:type="spellEnd"/>
      <w:r w:rsidR="00C215EA" w:rsidRPr="00184CB9">
        <w:rPr>
          <w:rFonts w:ascii="Times" w:hAnsi="Times"/>
          <w:b/>
          <w:bCs/>
          <w:color w:val="000000" w:themeColor="text1"/>
          <w:lang w:val="es-CO"/>
        </w:rPr>
        <w:t>;</w:t>
      </w:r>
    </w:p>
    <w:p w14:paraId="40C7FC4D" w14:textId="77777777" w:rsidR="00C215EA" w:rsidRPr="00184CB9" w:rsidRDefault="00C215EA" w:rsidP="008B254F">
      <w:pPr>
        <w:pStyle w:val="SingleTxtG"/>
        <w:numPr>
          <w:ilvl w:val="0"/>
          <w:numId w:val="54"/>
        </w:numPr>
        <w:ind w:left="1134" w:firstLine="567"/>
        <w:rPr>
          <w:rFonts w:ascii="Times" w:hAnsi="Times"/>
          <w:b/>
          <w:bCs/>
          <w:color w:val="000000" w:themeColor="text1"/>
          <w:lang w:val="es-CO"/>
        </w:rPr>
      </w:pPr>
      <w:r w:rsidRPr="00184CB9">
        <w:rPr>
          <w:rFonts w:ascii="Times" w:hAnsi="Times"/>
          <w:b/>
          <w:bCs/>
          <w:color w:val="000000" w:themeColor="text1"/>
          <w:lang w:val="es-CO"/>
        </w:rPr>
        <w:t>Garantizar</w:t>
      </w:r>
      <w:r w:rsidR="00E63F63" w:rsidRPr="00184CB9">
        <w:rPr>
          <w:rFonts w:ascii="Times" w:hAnsi="Times"/>
          <w:b/>
          <w:bCs/>
          <w:color w:val="000000" w:themeColor="text1"/>
          <w:lang w:val="es-CO"/>
        </w:rPr>
        <w:t xml:space="preserve"> que todos los autores de violaciones graves de los derechos humanos sean enjuiciados y, de ser declarados culpables, sean condenados a penas acordes con la gravedad de sus actos</w:t>
      </w:r>
      <w:r w:rsidRPr="00184CB9">
        <w:rPr>
          <w:rFonts w:ascii="Times" w:hAnsi="Times"/>
          <w:b/>
          <w:bCs/>
          <w:color w:val="000000" w:themeColor="text1"/>
          <w:lang w:val="es-CO"/>
        </w:rPr>
        <w:t>;</w:t>
      </w:r>
    </w:p>
    <w:p w14:paraId="3A6B6E35" w14:textId="55F321AD" w:rsidR="00E63F63" w:rsidRPr="00184CB9" w:rsidRDefault="00C215EA" w:rsidP="008B254F">
      <w:pPr>
        <w:pStyle w:val="SingleTxtG"/>
        <w:numPr>
          <w:ilvl w:val="0"/>
          <w:numId w:val="54"/>
        </w:numPr>
        <w:ind w:left="1134" w:firstLine="567"/>
        <w:rPr>
          <w:rFonts w:ascii="Times" w:hAnsi="Times"/>
          <w:b/>
          <w:bCs/>
          <w:color w:val="000000" w:themeColor="text1"/>
          <w:lang w:val="es-CO"/>
        </w:rPr>
      </w:pPr>
      <w:r w:rsidRPr="00184CB9">
        <w:rPr>
          <w:rFonts w:ascii="Times" w:hAnsi="Times"/>
          <w:b/>
          <w:bCs/>
          <w:color w:val="000000" w:themeColor="text1"/>
          <w:lang w:val="es-CO"/>
        </w:rPr>
        <w:t xml:space="preserve">Hacer efectivos los derechos a la verdad, justicia y reparación integral de las víctimas de los hechos ocurridos a partir del 18 de abril de 2018, entre otros, mediante la revisión de la Ley </w:t>
      </w:r>
      <w:r w:rsidR="00955519">
        <w:rPr>
          <w:rFonts w:ascii="Times" w:hAnsi="Times"/>
          <w:b/>
          <w:bCs/>
          <w:color w:val="000000" w:themeColor="text1"/>
          <w:lang w:val="es-CO"/>
        </w:rPr>
        <w:t>núm</w:t>
      </w:r>
      <w:r w:rsidRPr="00184CB9">
        <w:rPr>
          <w:rFonts w:ascii="Times" w:hAnsi="Times"/>
          <w:b/>
          <w:bCs/>
          <w:color w:val="000000" w:themeColor="text1"/>
          <w:lang w:val="es-CO"/>
        </w:rPr>
        <w:t>. 994 con el objetivo de asegurar el derecho de las víctimas a interponer recursos judiciales y medidas de reparación efectivas</w:t>
      </w:r>
      <w:r w:rsidR="00955519">
        <w:rPr>
          <w:rFonts w:ascii="Times" w:hAnsi="Times"/>
          <w:b/>
          <w:bCs/>
          <w:color w:val="000000" w:themeColor="text1"/>
          <w:lang w:val="es-CO"/>
        </w:rPr>
        <w:t>.</w:t>
      </w:r>
    </w:p>
    <w:p w14:paraId="7EE9FCC7" w14:textId="4CC4F523" w:rsidR="00A5373D" w:rsidRPr="00184CB9" w:rsidRDefault="00076D7F" w:rsidP="00076D7F">
      <w:pPr>
        <w:pStyle w:val="H23G"/>
        <w:rPr>
          <w:lang w:val="es-CO"/>
        </w:rPr>
      </w:pPr>
      <w:r>
        <w:rPr>
          <w:lang w:val="es-CO"/>
        </w:rPr>
        <w:tab/>
      </w:r>
      <w:r>
        <w:rPr>
          <w:lang w:val="es-CO"/>
        </w:rPr>
        <w:tab/>
      </w:r>
      <w:r w:rsidR="00A5373D" w:rsidRPr="00184CB9">
        <w:rPr>
          <w:lang w:val="es-CO"/>
        </w:rPr>
        <w:t>No discriminación</w:t>
      </w:r>
    </w:p>
    <w:p w14:paraId="3F604B81" w14:textId="69FD0218" w:rsidR="00A5373D" w:rsidRPr="00184CB9" w:rsidRDefault="00A5373D" w:rsidP="00A539E7">
      <w:pPr>
        <w:pStyle w:val="SingleTxtG"/>
        <w:rPr>
          <w:rFonts w:ascii="Times" w:hAnsi="Times"/>
          <w:b/>
          <w:bCs/>
          <w:color w:val="000000" w:themeColor="text1"/>
          <w:lang w:val="es-CO"/>
        </w:rPr>
      </w:pPr>
      <w:r w:rsidRPr="00184CB9">
        <w:rPr>
          <w:rFonts w:ascii="Times" w:hAnsi="Times"/>
          <w:color w:val="000000" w:themeColor="text1"/>
          <w:lang w:val="es-CO"/>
        </w:rPr>
        <w:t xml:space="preserve">13. </w:t>
      </w:r>
      <w:r w:rsidRPr="00184CB9">
        <w:rPr>
          <w:rFonts w:ascii="Times" w:hAnsi="Times"/>
          <w:color w:val="000000" w:themeColor="text1"/>
          <w:lang w:val="es-CO"/>
        </w:rPr>
        <w:tab/>
        <w:t xml:space="preserve">Si bien observa que la Constitución del Estado parte proclama los principios de igualdad y no discriminación en el artículo 27, al Comité le preocupa que el marco jurídico nacional vigente no brinde una protección completa contra la discriminación basada en cualquiera de los motivos prohibidos en el Pacto, y particularmente por razón de orientación sexual e identidad de género. Asimismo, </w:t>
      </w:r>
      <w:r w:rsidR="00955519">
        <w:rPr>
          <w:rFonts w:ascii="Times" w:hAnsi="Times"/>
          <w:color w:val="000000" w:themeColor="text1"/>
          <w:lang w:val="es-CO"/>
        </w:rPr>
        <w:t>observa</w:t>
      </w:r>
      <w:r w:rsidR="00955519" w:rsidRPr="00184CB9">
        <w:rPr>
          <w:rFonts w:ascii="Times" w:hAnsi="Times"/>
          <w:color w:val="000000" w:themeColor="text1"/>
          <w:lang w:val="es-CO"/>
        </w:rPr>
        <w:t xml:space="preserve"> </w:t>
      </w:r>
      <w:r w:rsidRPr="00184CB9">
        <w:rPr>
          <w:rFonts w:ascii="Times" w:hAnsi="Times"/>
          <w:color w:val="000000" w:themeColor="text1"/>
          <w:lang w:val="es-CO"/>
        </w:rPr>
        <w:t>con preocupación las informaciones que señalan que las personas lesbianas, gais, bisexuales</w:t>
      </w:r>
      <w:r w:rsidR="000B3CBC" w:rsidRPr="00184CB9">
        <w:rPr>
          <w:rFonts w:ascii="Times" w:hAnsi="Times"/>
          <w:color w:val="000000" w:themeColor="text1"/>
          <w:lang w:val="es-CO"/>
        </w:rPr>
        <w:t xml:space="preserve"> y</w:t>
      </w:r>
      <w:r w:rsidRPr="00184CB9">
        <w:rPr>
          <w:rFonts w:ascii="Times" w:hAnsi="Times"/>
          <w:color w:val="000000" w:themeColor="text1"/>
          <w:lang w:val="es-CO"/>
        </w:rPr>
        <w:t xml:space="preserve"> transgénero, miembros de pueblos indígenas y personas afrodescendientes continúan sufriendo discriminación y violencia, especialmente en </w:t>
      </w:r>
      <w:r w:rsidR="00955519">
        <w:rPr>
          <w:rFonts w:ascii="Times" w:hAnsi="Times"/>
          <w:color w:val="000000" w:themeColor="text1"/>
          <w:lang w:val="es-CO"/>
        </w:rPr>
        <w:t xml:space="preserve">situaciones de </w:t>
      </w:r>
      <w:r w:rsidRPr="00184CB9">
        <w:rPr>
          <w:rFonts w:ascii="Times" w:hAnsi="Times"/>
          <w:color w:val="000000" w:themeColor="text1"/>
          <w:lang w:val="es-CO"/>
        </w:rPr>
        <w:t>detención. Lamenta</w:t>
      </w:r>
      <w:r w:rsidR="00955519">
        <w:rPr>
          <w:rFonts w:ascii="Times" w:hAnsi="Times"/>
          <w:color w:val="000000" w:themeColor="text1"/>
          <w:lang w:val="es-CO"/>
        </w:rPr>
        <w:t>,</w:t>
      </w:r>
      <w:r w:rsidRPr="00184CB9">
        <w:rPr>
          <w:rFonts w:ascii="Times" w:hAnsi="Times"/>
          <w:color w:val="000000" w:themeColor="text1"/>
          <w:lang w:val="es-CO"/>
        </w:rPr>
        <w:t xml:space="preserve"> además</w:t>
      </w:r>
      <w:r w:rsidR="00955519">
        <w:rPr>
          <w:rFonts w:ascii="Times" w:hAnsi="Times"/>
          <w:color w:val="000000" w:themeColor="text1"/>
          <w:lang w:val="es-CO"/>
        </w:rPr>
        <w:t>,</w:t>
      </w:r>
      <w:r w:rsidRPr="00184CB9">
        <w:rPr>
          <w:rFonts w:ascii="Times" w:hAnsi="Times"/>
          <w:color w:val="000000" w:themeColor="text1"/>
          <w:lang w:val="es-CO"/>
        </w:rPr>
        <w:t xml:space="preserve"> la falta de datos consolidados</w:t>
      </w:r>
      <w:r w:rsidR="00965ECA">
        <w:rPr>
          <w:rFonts w:ascii="Times" w:hAnsi="Times"/>
          <w:color w:val="000000" w:themeColor="text1"/>
          <w:lang w:val="es-CO"/>
        </w:rPr>
        <w:t xml:space="preserve"> y desglosados</w:t>
      </w:r>
      <w:r w:rsidRPr="00184CB9">
        <w:rPr>
          <w:rFonts w:ascii="Times" w:hAnsi="Times"/>
          <w:color w:val="000000" w:themeColor="text1"/>
          <w:lang w:val="es-CO"/>
        </w:rPr>
        <w:t xml:space="preserve"> sobre las investigaciones, </w:t>
      </w:r>
      <w:r w:rsidR="00955519">
        <w:rPr>
          <w:rFonts w:ascii="Times" w:hAnsi="Times"/>
          <w:color w:val="000000" w:themeColor="text1"/>
          <w:lang w:val="es-CO"/>
        </w:rPr>
        <w:t xml:space="preserve">los </w:t>
      </w:r>
      <w:r w:rsidRPr="00184CB9">
        <w:rPr>
          <w:rFonts w:ascii="Times" w:hAnsi="Times"/>
          <w:color w:val="000000" w:themeColor="text1"/>
          <w:lang w:val="es-CO"/>
        </w:rPr>
        <w:t xml:space="preserve">procesamientos, </w:t>
      </w:r>
      <w:r w:rsidR="00955519">
        <w:rPr>
          <w:rFonts w:ascii="Times" w:hAnsi="Times"/>
          <w:color w:val="000000" w:themeColor="text1"/>
          <w:lang w:val="es-CO"/>
        </w:rPr>
        <w:t xml:space="preserve">los </w:t>
      </w:r>
      <w:r w:rsidRPr="00184CB9">
        <w:rPr>
          <w:rFonts w:ascii="Times" w:hAnsi="Times"/>
          <w:color w:val="000000" w:themeColor="text1"/>
          <w:lang w:val="es-CO"/>
        </w:rPr>
        <w:t xml:space="preserve">enjuiciamientos, </w:t>
      </w:r>
      <w:r w:rsidR="00955519">
        <w:rPr>
          <w:rFonts w:ascii="Times" w:hAnsi="Times"/>
          <w:color w:val="000000" w:themeColor="text1"/>
          <w:lang w:val="es-CO"/>
        </w:rPr>
        <w:t xml:space="preserve">las </w:t>
      </w:r>
      <w:r w:rsidRPr="00184CB9">
        <w:rPr>
          <w:rFonts w:ascii="Times" w:hAnsi="Times"/>
          <w:color w:val="000000" w:themeColor="text1"/>
          <w:lang w:val="es-CO"/>
        </w:rPr>
        <w:t xml:space="preserve">sanciones y </w:t>
      </w:r>
      <w:r w:rsidR="00955519">
        <w:rPr>
          <w:rFonts w:ascii="Times" w:hAnsi="Times"/>
          <w:color w:val="000000" w:themeColor="text1"/>
          <w:lang w:val="es-CO"/>
        </w:rPr>
        <w:t xml:space="preserve">las </w:t>
      </w:r>
      <w:r w:rsidRPr="00184CB9">
        <w:rPr>
          <w:rFonts w:ascii="Times" w:hAnsi="Times"/>
          <w:color w:val="000000" w:themeColor="text1"/>
          <w:lang w:val="es-CO"/>
        </w:rPr>
        <w:t xml:space="preserve">reparaciones otorgadas en casos de discriminación y </w:t>
      </w:r>
      <w:r w:rsidRPr="00E25E08">
        <w:rPr>
          <w:rFonts w:ascii="Times" w:hAnsi="Times"/>
          <w:color w:val="000000" w:themeColor="text1"/>
          <w:lang w:val="es-CO"/>
        </w:rPr>
        <w:t>viol</w:t>
      </w:r>
      <w:r w:rsidR="0065680F" w:rsidRPr="00E25E08">
        <w:rPr>
          <w:rFonts w:ascii="Times" w:hAnsi="Times"/>
          <w:color w:val="000000" w:themeColor="text1"/>
          <w:lang w:val="es-CO"/>
        </w:rPr>
        <w:t>encia</w:t>
      </w:r>
      <w:r w:rsidRPr="00184CB9">
        <w:rPr>
          <w:rFonts w:ascii="Times" w:hAnsi="Times"/>
          <w:color w:val="000000" w:themeColor="text1"/>
          <w:lang w:val="es-CO"/>
        </w:rPr>
        <w:t xml:space="preserve"> contra personas lesbianas, gais, bisexuales</w:t>
      </w:r>
      <w:r w:rsidR="000B3CBC" w:rsidRPr="00184CB9">
        <w:rPr>
          <w:rFonts w:ascii="Times" w:hAnsi="Times"/>
          <w:color w:val="000000" w:themeColor="text1"/>
          <w:lang w:val="es-CO"/>
        </w:rPr>
        <w:t xml:space="preserve"> y</w:t>
      </w:r>
      <w:r w:rsidRPr="00184CB9">
        <w:rPr>
          <w:rFonts w:ascii="Times" w:hAnsi="Times"/>
          <w:color w:val="000000" w:themeColor="text1"/>
          <w:lang w:val="es-CO"/>
        </w:rPr>
        <w:t xml:space="preserve"> transgénero (</w:t>
      </w:r>
      <w:r w:rsidRPr="00184CB9">
        <w:rPr>
          <w:rFonts w:ascii="Times" w:hAnsi="Times"/>
          <w:color w:val="000000" w:themeColor="text1"/>
        </w:rPr>
        <w:t>arts. 2, 3, 6, 7 y 26).</w:t>
      </w:r>
    </w:p>
    <w:p w14:paraId="0C5E5BCA" w14:textId="075DBEE7" w:rsidR="00A5373D" w:rsidRPr="00184CB9" w:rsidRDefault="00A5373D" w:rsidP="00B1039E">
      <w:pPr>
        <w:pStyle w:val="SingleTxtG"/>
        <w:rPr>
          <w:rFonts w:ascii="Times" w:hAnsi="Times"/>
          <w:b/>
          <w:bCs/>
          <w:color w:val="000000" w:themeColor="text1"/>
          <w:lang w:val="es-CO"/>
        </w:rPr>
      </w:pPr>
      <w:r w:rsidRPr="00076D7F">
        <w:rPr>
          <w:rFonts w:ascii="Times" w:hAnsi="Times"/>
          <w:color w:val="000000" w:themeColor="text1"/>
          <w:lang w:val="es-CO"/>
        </w:rPr>
        <w:t>1</w:t>
      </w:r>
      <w:r w:rsidR="00B1039E" w:rsidRPr="00076D7F">
        <w:rPr>
          <w:rFonts w:ascii="Times" w:hAnsi="Times"/>
          <w:color w:val="000000" w:themeColor="text1"/>
          <w:lang w:val="es-CO"/>
        </w:rPr>
        <w:t>4</w:t>
      </w:r>
      <w:r w:rsidRPr="00076D7F">
        <w:rPr>
          <w:rFonts w:ascii="Times" w:hAnsi="Times"/>
          <w:color w:val="000000" w:themeColor="text1"/>
          <w:lang w:val="es-CO"/>
        </w:rPr>
        <w:t>.</w:t>
      </w:r>
      <w:r w:rsidRPr="00184CB9">
        <w:rPr>
          <w:rFonts w:ascii="Times" w:hAnsi="Times"/>
          <w:b/>
          <w:bCs/>
          <w:color w:val="000000" w:themeColor="text1"/>
          <w:lang w:val="es-CO"/>
        </w:rPr>
        <w:t xml:space="preserve"> </w:t>
      </w:r>
      <w:r w:rsidR="00B1039E" w:rsidRPr="00184CB9">
        <w:rPr>
          <w:rFonts w:ascii="Times" w:hAnsi="Times"/>
          <w:b/>
          <w:bCs/>
          <w:color w:val="000000" w:themeColor="text1"/>
          <w:lang w:val="es-CO"/>
        </w:rPr>
        <w:tab/>
      </w:r>
      <w:r w:rsidRPr="00184CB9">
        <w:rPr>
          <w:rFonts w:ascii="Times" w:hAnsi="Times"/>
          <w:b/>
          <w:bCs/>
          <w:color w:val="000000" w:themeColor="text1"/>
          <w:lang w:val="es-CO"/>
        </w:rPr>
        <w:t>El Estado parte debe:</w:t>
      </w:r>
    </w:p>
    <w:p w14:paraId="1F8ACCD6" w14:textId="55C5F2E2" w:rsidR="00A5373D" w:rsidRPr="00184CB9" w:rsidRDefault="00E50CFF" w:rsidP="00B1039E">
      <w:pPr>
        <w:pStyle w:val="SingleTxtG"/>
        <w:numPr>
          <w:ilvl w:val="0"/>
          <w:numId w:val="56"/>
        </w:numPr>
        <w:ind w:left="1134" w:firstLine="567"/>
        <w:rPr>
          <w:rFonts w:ascii="Times" w:hAnsi="Times"/>
          <w:b/>
          <w:bCs/>
          <w:color w:val="000000" w:themeColor="text1"/>
          <w:lang w:val="es-CO"/>
        </w:rPr>
      </w:pPr>
      <w:r w:rsidRPr="00184CB9">
        <w:rPr>
          <w:rFonts w:ascii="Times" w:hAnsi="Times"/>
          <w:b/>
          <w:bCs/>
          <w:color w:val="000000" w:themeColor="text1"/>
          <w:lang w:val="es-CO"/>
        </w:rPr>
        <w:t xml:space="preserve">Aprobar legislación integral que prohíba la discriminación en todos los ámbitos, incluida la discriminación múltiple, directa e indirecta, tanto en el sector público como en el privado, por todos los motivos prohibidos en el Pacto, </w:t>
      </w:r>
      <w:r w:rsidR="00A5373D" w:rsidRPr="00184CB9">
        <w:rPr>
          <w:rFonts w:ascii="Times" w:hAnsi="Times"/>
          <w:b/>
          <w:bCs/>
          <w:color w:val="000000" w:themeColor="text1"/>
          <w:lang w:val="es-CO"/>
        </w:rPr>
        <w:t>incluidos el sexo</w:t>
      </w:r>
      <w:r w:rsidR="00D36B6D" w:rsidRPr="00184CB9">
        <w:rPr>
          <w:rFonts w:ascii="Times" w:hAnsi="Times"/>
          <w:b/>
          <w:bCs/>
          <w:color w:val="000000" w:themeColor="text1"/>
          <w:lang w:val="es-CO"/>
        </w:rPr>
        <w:t xml:space="preserve">, </w:t>
      </w:r>
      <w:r w:rsidR="00A5373D" w:rsidRPr="00184CB9">
        <w:rPr>
          <w:rFonts w:ascii="Times" w:hAnsi="Times"/>
          <w:b/>
          <w:bCs/>
          <w:color w:val="000000" w:themeColor="text1"/>
          <w:lang w:val="es-CO"/>
        </w:rPr>
        <w:t>la orientación sexual</w:t>
      </w:r>
      <w:r w:rsidR="00D36B6D" w:rsidRPr="00184CB9">
        <w:rPr>
          <w:rFonts w:ascii="Times" w:hAnsi="Times"/>
          <w:b/>
          <w:bCs/>
          <w:color w:val="000000" w:themeColor="text1"/>
          <w:lang w:val="es-CO"/>
        </w:rPr>
        <w:t xml:space="preserve"> </w:t>
      </w:r>
      <w:r w:rsidR="00955519">
        <w:rPr>
          <w:rFonts w:ascii="Times" w:hAnsi="Times"/>
          <w:b/>
          <w:bCs/>
          <w:color w:val="000000" w:themeColor="text1"/>
          <w:lang w:val="es-CO"/>
        </w:rPr>
        <w:t>y la</w:t>
      </w:r>
      <w:r w:rsidR="00955519" w:rsidRPr="00184CB9">
        <w:rPr>
          <w:rFonts w:ascii="Times" w:hAnsi="Times"/>
          <w:b/>
          <w:bCs/>
          <w:color w:val="000000" w:themeColor="text1"/>
          <w:lang w:val="es-CO"/>
        </w:rPr>
        <w:t xml:space="preserve"> </w:t>
      </w:r>
      <w:r w:rsidR="00D36B6D" w:rsidRPr="00184CB9">
        <w:rPr>
          <w:rFonts w:ascii="Times" w:hAnsi="Times"/>
          <w:b/>
          <w:bCs/>
          <w:color w:val="000000" w:themeColor="text1"/>
          <w:lang w:val="es-CO"/>
        </w:rPr>
        <w:t>identidad de género</w:t>
      </w:r>
      <w:r w:rsidR="00A5373D" w:rsidRPr="00184CB9">
        <w:rPr>
          <w:rFonts w:ascii="Times" w:hAnsi="Times"/>
          <w:b/>
          <w:bCs/>
          <w:color w:val="000000" w:themeColor="text1"/>
          <w:lang w:val="es-CO"/>
        </w:rPr>
        <w:t xml:space="preserve">; </w:t>
      </w:r>
    </w:p>
    <w:p w14:paraId="134C0F11" w14:textId="33EA6AAF" w:rsidR="00A5373D" w:rsidRPr="00184CB9" w:rsidRDefault="00A5373D" w:rsidP="00B1039E">
      <w:pPr>
        <w:pStyle w:val="SingleTxtG"/>
        <w:numPr>
          <w:ilvl w:val="0"/>
          <w:numId w:val="56"/>
        </w:numPr>
        <w:ind w:left="1134" w:firstLine="567"/>
        <w:rPr>
          <w:rFonts w:ascii="Times" w:hAnsi="Times"/>
          <w:b/>
          <w:bCs/>
          <w:color w:val="000000" w:themeColor="text1"/>
          <w:lang w:val="es-CO"/>
        </w:rPr>
      </w:pPr>
      <w:proofErr w:type="gramStart"/>
      <w:r w:rsidRPr="00184CB9">
        <w:rPr>
          <w:rFonts w:ascii="Times" w:hAnsi="Times"/>
          <w:b/>
          <w:bCs/>
          <w:color w:val="000000" w:themeColor="text1"/>
        </w:rPr>
        <w:t>Asegurar</w:t>
      </w:r>
      <w:proofErr w:type="gramEnd"/>
      <w:r w:rsidRPr="00184CB9">
        <w:rPr>
          <w:rFonts w:ascii="Times" w:hAnsi="Times"/>
          <w:b/>
          <w:bCs/>
          <w:color w:val="000000" w:themeColor="text1"/>
        </w:rPr>
        <w:t xml:space="preserve"> que las denuncias por los delitos por discriminación, en particular </w:t>
      </w:r>
      <w:r w:rsidRPr="00184CB9">
        <w:rPr>
          <w:rFonts w:ascii="Times" w:hAnsi="Times"/>
          <w:b/>
          <w:bCs/>
          <w:color w:val="000000" w:themeColor="text1"/>
          <w:lang w:val="es-CO"/>
        </w:rPr>
        <w:t>los delitos motivados por la orientación sexual o identidad de género,</w:t>
      </w:r>
      <w:r w:rsidRPr="00184CB9">
        <w:rPr>
          <w:rFonts w:ascii="Times" w:hAnsi="Times"/>
          <w:b/>
          <w:bCs/>
          <w:color w:val="000000" w:themeColor="text1"/>
        </w:rPr>
        <w:t xml:space="preserve"> sean </w:t>
      </w:r>
      <w:r w:rsidRPr="00184CB9">
        <w:rPr>
          <w:rFonts w:ascii="Times" w:hAnsi="Times"/>
          <w:b/>
          <w:bCs/>
          <w:color w:val="000000" w:themeColor="text1"/>
        </w:rPr>
        <w:lastRenderedPageBreak/>
        <w:t>investigadas de manera pronta, exhaustiva e imparcial, que los responsables rindan cuenta</w:t>
      </w:r>
      <w:r w:rsidR="00756006">
        <w:rPr>
          <w:rFonts w:ascii="Times" w:hAnsi="Times"/>
          <w:b/>
          <w:bCs/>
          <w:color w:val="000000" w:themeColor="text1"/>
        </w:rPr>
        <w:t>s</w:t>
      </w:r>
      <w:r w:rsidRPr="00184CB9">
        <w:rPr>
          <w:rFonts w:ascii="Times" w:hAnsi="Times"/>
          <w:b/>
          <w:bCs/>
          <w:color w:val="000000" w:themeColor="text1"/>
        </w:rPr>
        <w:t xml:space="preserve"> de sus actos y</w:t>
      </w:r>
      <w:r w:rsidR="00756006">
        <w:rPr>
          <w:rFonts w:ascii="Times" w:hAnsi="Times"/>
          <w:b/>
          <w:bCs/>
          <w:color w:val="000000" w:themeColor="text1"/>
        </w:rPr>
        <w:t xml:space="preserve"> </w:t>
      </w:r>
      <w:r w:rsidRPr="00184CB9">
        <w:rPr>
          <w:rFonts w:ascii="Times" w:hAnsi="Times"/>
          <w:b/>
          <w:bCs/>
          <w:color w:val="000000" w:themeColor="text1"/>
          <w:lang w:val="es-CO"/>
        </w:rPr>
        <w:t>que las víctimas reciban una reparación integral;</w:t>
      </w:r>
    </w:p>
    <w:p w14:paraId="328C7A10" w14:textId="26039FD8" w:rsidR="00A5373D" w:rsidRPr="00184CB9" w:rsidRDefault="00A5373D" w:rsidP="00B1039E">
      <w:pPr>
        <w:pStyle w:val="SingleTxtG"/>
        <w:numPr>
          <w:ilvl w:val="0"/>
          <w:numId w:val="56"/>
        </w:numPr>
        <w:ind w:left="1134" w:firstLine="567"/>
        <w:rPr>
          <w:rFonts w:ascii="Times" w:hAnsi="Times"/>
          <w:b/>
          <w:bCs/>
          <w:color w:val="000000" w:themeColor="text1"/>
          <w:lang w:val="es-CO"/>
        </w:rPr>
      </w:pPr>
      <w:r w:rsidRPr="00184CB9">
        <w:rPr>
          <w:rFonts w:ascii="Times" w:hAnsi="Times"/>
          <w:b/>
          <w:bCs/>
          <w:color w:val="000000" w:themeColor="text1"/>
        </w:rPr>
        <w:t>Redoblar sus esfuerzos con miras a prevenir, combatir y erradicar toda forma de discriminación</w:t>
      </w:r>
      <w:r w:rsidRPr="00184CB9">
        <w:rPr>
          <w:rFonts w:ascii="Times" w:hAnsi="Times"/>
          <w:b/>
          <w:bCs/>
          <w:color w:val="000000" w:themeColor="text1"/>
          <w:lang w:val="es-CO"/>
        </w:rPr>
        <w:t xml:space="preserve">, entre otras cosas aumentando la capacitación del personal de las fuerzas del orden, las fiscalías y </w:t>
      </w:r>
      <w:r w:rsidR="00756006">
        <w:rPr>
          <w:rFonts w:ascii="Times" w:hAnsi="Times"/>
          <w:b/>
          <w:bCs/>
          <w:color w:val="000000" w:themeColor="text1"/>
          <w:lang w:val="es-CO"/>
        </w:rPr>
        <w:t xml:space="preserve">los </w:t>
      </w:r>
      <w:r w:rsidRPr="00184CB9">
        <w:rPr>
          <w:rFonts w:ascii="Times" w:hAnsi="Times"/>
          <w:b/>
          <w:bCs/>
          <w:color w:val="000000" w:themeColor="text1"/>
          <w:lang w:val="es-CO"/>
        </w:rPr>
        <w:t>miembros del poder judicial</w:t>
      </w:r>
      <w:r w:rsidR="00955519">
        <w:rPr>
          <w:rFonts w:ascii="Times" w:hAnsi="Times"/>
          <w:b/>
          <w:bCs/>
          <w:color w:val="000000" w:themeColor="text1"/>
          <w:lang w:val="es-CO"/>
        </w:rPr>
        <w:t>,</w:t>
      </w:r>
      <w:r w:rsidRPr="00184CB9">
        <w:rPr>
          <w:rFonts w:ascii="Times" w:hAnsi="Times"/>
          <w:b/>
          <w:bCs/>
          <w:color w:val="000000" w:themeColor="text1"/>
          <w:lang w:val="es-CO"/>
        </w:rPr>
        <w:t xml:space="preserve"> y realizando campañas de sensibilización</w:t>
      </w:r>
      <w:r w:rsidR="00E50CFF" w:rsidRPr="00184CB9">
        <w:rPr>
          <w:rFonts w:ascii="Times" w:hAnsi="Times"/>
          <w:b/>
          <w:bCs/>
          <w:color w:val="000000" w:themeColor="text1"/>
          <w:lang w:val="es-CO"/>
        </w:rPr>
        <w:t xml:space="preserve"> efectivas</w:t>
      </w:r>
      <w:r w:rsidRPr="00184CB9">
        <w:rPr>
          <w:rFonts w:ascii="Times" w:hAnsi="Times"/>
          <w:b/>
          <w:bCs/>
          <w:color w:val="000000" w:themeColor="text1"/>
          <w:lang w:val="es-CO"/>
        </w:rPr>
        <w:t xml:space="preserve">; </w:t>
      </w:r>
    </w:p>
    <w:p w14:paraId="3BCCE39C" w14:textId="36CEDE84" w:rsidR="00A70CE1" w:rsidRPr="00184CB9" w:rsidRDefault="00A5373D" w:rsidP="00A70CE1">
      <w:pPr>
        <w:pStyle w:val="SingleTxtG"/>
        <w:numPr>
          <w:ilvl w:val="0"/>
          <w:numId w:val="56"/>
        </w:numPr>
        <w:ind w:left="1134" w:firstLine="567"/>
        <w:rPr>
          <w:rFonts w:ascii="Times" w:hAnsi="Times"/>
          <w:b/>
          <w:bCs/>
          <w:color w:val="000000" w:themeColor="text1"/>
          <w:lang w:val="es-CO"/>
        </w:rPr>
      </w:pPr>
      <w:r w:rsidRPr="00184CB9">
        <w:rPr>
          <w:rFonts w:ascii="Times" w:hAnsi="Times"/>
          <w:b/>
          <w:bCs/>
          <w:color w:val="000000" w:themeColor="text1"/>
          <w:lang w:val="es-CO"/>
        </w:rPr>
        <w:t>Establecer un sistema fiable de recopilación de datos estadísticos desglosados sobre la discriminación y violencia contra personas lesbianas, gais, bisexuales</w:t>
      </w:r>
      <w:r w:rsidR="000B3CBC" w:rsidRPr="00184CB9">
        <w:rPr>
          <w:rFonts w:ascii="Times" w:hAnsi="Times"/>
          <w:b/>
          <w:bCs/>
          <w:color w:val="000000" w:themeColor="text1"/>
          <w:lang w:val="es-CO"/>
        </w:rPr>
        <w:t xml:space="preserve"> y</w:t>
      </w:r>
      <w:r w:rsidRPr="00184CB9">
        <w:rPr>
          <w:rFonts w:ascii="Times" w:hAnsi="Times"/>
          <w:b/>
          <w:bCs/>
          <w:color w:val="000000" w:themeColor="text1"/>
          <w:lang w:val="es-CO"/>
        </w:rPr>
        <w:t xml:space="preserve"> transgénero. </w:t>
      </w:r>
    </w:p>
    <w:p w14:paraId="77A1CDE0" w14:textId="1899A77B" w:rsidR="00A70CE1" w:rsidRPr="00184CB9" w:rsidRDefault="00076D7F" w:rsidP="00076D7F">
      <w:pPr>
        <w:pStyle w:val="H23G"/>
        <w:rPr>
          <w:lang w:val="es-CO"/>
        </w:rPr>
      </w:pPr>
      <w:r>
        <w:rPr>
          <w:lang w:val="es-CO"/>
        </w:rPr>
        <w:tab/>
      </w:r>
      <w:r>
        <w:rPr>
          <w:lang w:val="es-CO"/>
        </w:rPr>
        <w:tab/>
      </w:r>
      <w:r w:rsidR="00A70CE1" w:rsidRPr="00184CB9">
        <w:rPr>
          <w:lang w:val="es-CO"/>
        </w:rPr>
        <w:t>Lucha contra el terrorismo</w:t>
      </w:r>
    </w:p>
    <w:p w14:paraId="5AF8D24B" w14:textId="540DE7B4" w:rsidR="00A70CE1" w:rsidRPr="00184CB9" w:rsidRDefault="00A70CE1" w:rsidP="00A70CE1">
      <w:pPr>
        <w:pStyle w:val="SingleTxtG"/>
        <w:rPr>
          <w:lang w:val="es-CO"/>
        </w:rPr>
      </w:pPr>
      <w:r w:rsidRPr="005B221D">
        <w:rPr>
          <w:rFonts w:ascii="Times" w:hAnsi="Times"/>
          <w:color w:val="000000" w:themeColor="text1"/>
          <w:lang w:val="es-CO"/>
        </w:rPr>
        <w:t xml:space="preserve">15. </w:t>
      </w:r>
      <w:r w:rsidRPr="005B221D">
        <w:rPr>
          <w:rFonts w:ascii="Times" w:hAnsi="Times"/>
          <w:color w:val="000000" w:themeColor="text1"/>
          <w:lang w:val="es-CO"/>
        </w:rPr>
        <w:tab/>
      </w:r>
      <w:r w:rsidRPr="005B221D">
        <w:rPr>
          <w:lang w:val="es-CO"/>
        </w:rPr>
        <w:t xml:space="preserve">Preocupa al Comité la definición excesivamente amplia e imprecisa del acto de terrorismo que figura en la Ley </w:t>
      </w:r>
      <w:r w:rsidR="005B221D">
        <w:rPr>
          <w:bCs/>
        </w:rPr>
        <w:t>c</w:t>
      </w:r>
      <w:r w:rsidRPr="005B221D">
        <w:rPr>
          <w:bCs/>
        </w:rPr>
        <w:t>ontra el Lavado de Activos, el Financiamiento al Terrorismo y el Financiamiento a la Proliferación de Armas de Destrucción Masiva</w:t>
      </w:r>
      <w:r w:rsidR="005B221D">
        <w:rPr>
          <w:bCs/>
        </w:rPr>
        <w:t xml:space="preserve"> (</w:t>
      </w:r>
      <w:r w:rsidR="005B221D" w:rsidRPr="00FF6018">
        <w:rPr>
          <w:lang w:val="es-CO"/>
        </w:rPr>
        <w:t xml:space="preserve">Ley </w:t>
      </w:r>
      <w:r w:rsidR="005B221D">
        <w:rPr>
          <w:lang w:val="es-CO"/>
        </w:rPr>
        <w:t>núm</w:t>
      </w:r>
      <w:r w:rsidR="005B221D" w:rsidRPr="00FF6018">
        <w:rPr>
          <w:lang w:val="es-CO"/>
        </w:rPr>
        <w:t>.</w:t>
      </w:r>
      <w:r w:rsidR="005B221D">
        <w:rPr>
          <w:lang w:val="es-CO"/>
        </w:rPr>
        <w:t> </w:t>
      </w:r>
      <w:r w:rsidR="005B221D" w:rsidRPr="00FF6018">
        <w:rPr>
          <w:lang w:val="es-CO"/>
        </w:rPr>
        <w:t>977</w:t>
      </w:r>
      <w:r w:rsidR="005B221D">
        <w:rPr>
          <w:lang w:val="es-CO"/>
        </w:rPr>
        <w:t>)</w:t>
      </w:r>
      <w:r w:rsidRPr="005B221D">
        <w:rPr>
          <w:lang w:val="es-CO"/>
        </w:rPr>
        <w:t>. Asimismo, inquieta</w:t>
      </w:r>
      <w:r w:rsidR="005B221D">
        <w:rPr>
          <w:lang w:val="es-CO"/>
        </w:rPr>
        <w:t>n</w:t>
      </w:r>
      <w:r w:rsidRPr="005B221D">
        <w:rPr>
          <w:lang w:val="es-CO"/>
        </w:rPr>
        <w:t xml:space="preserve"> al Comité las denuncias recibidas sobre el uso indebido de la legislación antiterrorista para tipificar como delitos comportamientos enmarcados en el ejercicio de los derechos a la libertad de expresión y de asociación (arts. 2, 4, 19, 21</w:t>
      </w:r>
      <w:r w:rsidR="005B221D">
        <w:rPr>
          <w:lang w:val="es-CO"/>
        </w:rPr>
        <w:t xml:space="preserve"> y</w:t>
      </w:r>
      <w:r w:rsidRPr="005B221D">
        <w:rPr>
          <w:lang w:val="es-CO"/>
        </w:rPr>
        <w:t xml:space="preserve"> 22).</w:t>
      </w:r>
    </w:p>
    <w:p w14:paraId="56508AD3" w14:textId="7F8AF5A0" w:rsidR="00092F99" w:rsidRPr="00184CB9" w:rsidRDefault="00A70CE1" w:rsidP="00CF58FC">
      <w:pPr>
        <w:pStyle w:val="SingleTxtG"/>
        <w:rPr>
          <w:lang w:val="es-CO"/>
        </w:rPr>
      </w:pPr>
      <w:r w:rsidRPr="00076D7F">
        <w:rPr>
          <w:rFonts w:ascii="Times" w:hAnsi="Times"/>
          <w:color w:val="000000" w:themeColor="text1"/>
          <w:lang w:val="es-CO"/>
        </w:rPr>
        <w:t>16.</w:t>
      </w:r>
      <w:r w:rsidRPr="00184CB9">
        <w:rPr>
          <w:rFonts w:ascii="Times" w:hAnsi="Times"/>
          <w:b/>
          <w:bCs/>
          <w:color w:val="000000" w:themeColor="text1"/>
          <w:lang w:val="es-CO"/>
        </w:rPr>
        <w:t xml:space="preserve"> </w:t>
      </w:r>
      <w:r w:rsidRPr="00184CB9">
        <w:rPr>
          <w:rFonts w:ascii="Times" w:hAnsi="Times"/>
          <w:b/>
          <w:bCs/>
          <w:color w:val="000000" w:themeColor="text1"/>
          <w:lang w:val="es-CO"/>
        </w:rPr>
        <w:tab/>
      </w:r>
      <w:r w:rsidRPr="00184CB9">
        <w:rPr>
          <w:b/>
          <w:bCs/>
          <w:lang w:val="es-CO"/>
        </w:rPr>
        <w:t xml:space="preserve">El Estado parte debe revisar la Ley </w:t>
      </w:r>
      <w:r w:rsidR="005B221D" w:rsidRPr="005F0378">
        <w:rPr>
          <w:b/>
          <w:bCs/>
          <w:lang w:val="es-CO"/>
        </w:rPr>
        <w:t>núm. </w:t>
      </w:r>
      <w:r w:rsidRPr="00184CB9">
        <w:rPr>
          <w:b/>
          <w:bCs/>
          <w:lang w:val="es-CO"/>
        </w:rPr>
        <w:t>977 a fin de definir estrictamente el acto de terrorismo y garantizar que la legislación antiterrorista no se utilice para limitar los derechos consagrados en el Pacto. También debe impedir toda injerencia injustificada o desproporcionada en la libertad de expresión de los medios de comunicación y los defensores de los derechos humanos en virtud de la legislación contra el terrorismo.</w:t>
      </w:r>
    </w:p>
    <w:p w14:paraId="26E1B888" w14:textId="6DFE93D5" w:rsidR="00092F99" w:rsidRPr="00184CB9" w:rsidRDefault="00076D7F" w:rsidP="00076D7F">
      <w:pPr>
        <w:pStyle w:val="H23G"/>
        <w:rPr>
          <w:lang w:val="es-CO"/>
        </w:rPr>
      </w:pPr>
      <w:r>
        <w:rPr>
          <w:lang w:val="es-CO"/>
        </w:rPr>
        <w:tab/>
      </w:r>
      <w:r>
        <w:rPr>
          <w:lang w:val="es-CO"/>
        </w:rPr>
        <w:tab/>
      </w:r>
      <w:r w:rsidR="00092F99" w:rsidRPr="00184CB9">
        <w:rPr>
          <w:lang w:val="es-CO"/>
        </w:rPr>
        <w:t xml:space="preserve">Violencia contra las mujeres </w:t>
      </w:r>
    </w:p>
    <w:p w14:paraId="57D13702" w14:textId="02689D16" w:rsidR="00092F99" w:rsidRPr="00184CB9" w:rsidRDefault="00092F99" w:rsidP="00A539E7">
      <w:pPr>
        <w:pStyle w:val="SingleTxtG"/>
        <w:rPr>
          <w:rFonts w:ascii="Times" w:hAnsi="Times"/>
          <w:b/>
          <w:bCs/>
          <w:color w:val="000000" w:themeColor="text1"/>
          <w:lang w:val="es-CO"/>
        </w:rPr>
      </w:pPr>
      <w:r w:rsidRPr="00184CB9">
        <w:rPr>
          <w:rFonts w:ascii="Times" w:hAnsi="Times"/>
          <w:color w:val="000000" w:themeColor="text1"/>
          <w:lang w:val="es-CO"/>
        </w:rPr>
        <w:t xml:space="preserve">17. </w:t>
      </w:r>
      <w:r w:rsidRPr="00184CB9">
        <w:rPr>
          <w:rFonts w:ascii="Times" w:hAnsi="Times"/>
          <w:color w:val="000000" w:themeColor="text1"/>
          <w:lang w:val="es-CO"/>
        </w:rPr>
        <w:tab/>
        <w:t xml:space="preserve">El Comité toma nota de las medidas adoptadas para hacer frente a la violencia contra la mujer, como </w:t>
      </w:r>
      <w:r w:rsidRPr="00184CB9">
        <w:rPr>
          <w:rFonts w:ascii="Times" w:hAnsi="Times"/>
          <w:color w:val="000000" w:themeColor="text1"/>
        </w:rPr>
        <w:t xml:space="preserve">la adopción de la Ley </w:t>
      </w:r>
      <w:r w:rsidR="005B221D">
        <w:rPr>
          <w:lang w:val="es-CO"/>
        </w:rPr>
        <w:t>núm</w:t>
      </w:r>
      <w:r w:rsidR="005B221D" w:rsidRPr="00FF6018">
        <w:rPr>
          <w:lang w:val="es-CO"/>
        </w:rPr>
        <w:t>.</w:t>
      </w:r>
      <w:r w:rsidR="005B221D">
        <w:rPr>
          <w:lang w:val="es-CO"/>
        </w:rPr>
        <w:t> </w:t>
      </w:r>
      <w:r w:rsidRPr="00184CB9">
        <w:rPr>
          <w:rFonts w:ascii="Times" w:hAnsi="Times"/>
          <w:color w:val="000000" w:themeColor="text1"/>
        </w:rPr>
        <w:t>870 y el fortalecimiento de las medidas de protección especial a las mujeres víctimas de violencia, así como la creación de nuevos órganos jurisdiccionales especializados en materia de violencia y derecho de familia.</w:t>
      </w:r>
      <w:r w:rsidRPr="00184CB9">
        <w:rPr>
          <w:rFonts w:ascii="Times" w:hAnsi="Times"/>
          <w:color w:val="000000" w:themeColor="text1"/>
          <w:lang w:val="es-CO"/>
        </w:rPr>
        <w:t xml:space="preserve"> Sin embargo, el Comité sigue preocupado por las elevadas tasas de violencia contra la mujer, y en particular el elevado número de </w:t>
      </w:r>
      <w:r w:rsidR="00452224" w:rsidRPr="00184CB9">
        <w:rPr>
          <w:rFonts w:ascii="Times" w:hAnsi="Times"/>
          <w:color w:val="000000" w:themeColor="text1"/>
          <w:lang w:val="es-CO"/>
        </w:rPr>
        <w:t>feminicidios</w:t>
      </w:r>
      <w:r w:rsidRPr="00184CB9">
        <w:rPr>
          <w:rFonts w:ascii="Times" w:hAnsi="Times"/>
          <w:color w:val="000000" w:themeColor="text1"/>
          <w:lang w:val="es-CO"/>
        </w:rPr>
        <w:t xml:space="preserve">. Asimismo, le preocupan las reformas a la Ley </w:t>
      </w:r>
      <w:r w:rsidR="005B221D">
        <w:rPr>
          <w:rFonts w:ascii="Times" w:hAnsi="Times"/>
          <w:color w:val="000000" w:themeColor="text1"/>
          <w:lang w:val="es-CO"/>
        </w:rPr>
        <w:t xml:space="preserve">Integral contra la Violencia hacia las Mujeres (Ley </w:t>
      </w:r>
      <w:r w:rsidR="005B221D">
        <w:rPr>
          <w:lang w:val="es-CO"/>
        </w:rPr>
        <w:t>núm</w:t>
      </w:r>
      <w:r w:rsidR="005B221D" w:rsidRPr="00FF6018">
        <w:rPr>
          <w:lang w:val="es-CO"/>
        </w:rPr>
        <w:t>.</w:t>
      </w:r>
      <w:r w:rsidR="005B221D">
        <w:rPr>
          <w:lang w:val="es-CO"/>
        </w:rPr>
        <w:t> </w:t>
      </w:r>
      <w:r w:rsidRPr="00184CB9">
        <w:rPr>
          <w:rFonts w:ascii="Times" w:hAnsi="Times"/>
          <w:color w:val="000000" w:themeColor="text1"/>
          <w:lang w:val="es-CO"/>
        </w:rPr>
        <w:t>779</w:t>
      </w:r>
      <w:r w:rsidR="005B221D">
        <w:rPr>
          <w:rFonts w:ascii="Times" w:hAnsi="Times"/>
          <w:color w:val="000000" w:themeColor="text1"/>
          <w:lang w:val="es-CO"/>
        </w:rPr>
        <w:t>)</w:t>
      </w:r>
      <w:r w:rsidRPr="00184CB9">
        <w:rPr>
          <w:rFonts w:ascii="Times" w:hAnsi="Times"/>
          <w:color w:val="000000" w:themeColor="text1"/>
          <w:lang w:val="es-CO"/>
        </w:rPr>
        <w:t xml:space="preserve"> </w:t>
      </w:r>
      <w:r w:rsidR="005B221D">
        <w:rPr>
          <w:rFonts w:ascii="Times" w:hAnsi="Times"/>
          <w:color w:val="000000" w:themeColor="text1"/>
          <w:lang w:val="es-CO"/>
        </w:rPr>
        <w:t xml:space="preserve">que </w:t>
      </w:r>
      <w:r w:rsidRPr="00184CB9">
        <w:rPr>
          <w:rFonts w:ascii="Times" w:hAnsi="Times"/>
          <w:color w:val="000000" w:themeColor="text1"/>
          <w:lang w:val="es-CO"/>
        </w:rPr>
        <w:t xml:space="preserve">eliminan la jurisdicción especializada y limitan la definición de </w:t>
      </w:r>
      <w:r w:rsidR="00452224" w:rsidRPr="00184CB9">
        <w:rPr>
          <w:rFonts w:ascii="Times" w:hAnsi="Times"/>
          <w:color w:val="000000" w:themeColor="text1"/>
          <w:lang w:val="es-CO"/>
        </w:rPr>
        <w:t xml:space="preserve">feminicidio </w:t>
      </w:r>
      <w:r w:rsidRPr="00184CB9">
        <w:rPr>
          <w:rFonts w:ascii="Times" w:hAnsi="Times"/>
          <w:color w:val="000000" w:themeColor="text1"/>
          <w:lang w:val="es-CO"/>
        </w:rPr>
        <w:t xml:space="preserve">al asesinato de mujeres en el contexto de una relación. Si bien celebra la reapertura de la Dirección de Comisarías de la Mujer y </w:t>
      </w:r>
      <w:r w:rsidR="005B221D">
        <w:rPr>
          <w:rFonts w:ascii="Times" w:hAnsi="Times"/>
          <w:color w:val="000000" w:themeColor="text1"/>
          <w:lang w:val="es-CO"/>
        </w:rPr>
        <w:t xml:space="preserve">la </w:t>
      </w:r>
      <w:r w:rsidRPr="00184CB9">
        <w:rPr>
          <w:rFonts w:ascii="Times" w:hAnsi="Times"/>
          <w:color w:val="000000" w:themeColor="text1"/>
          <w:lang w:val="es-CO"/>
        </w:rPr>
        <w:t xml:space="preserve">Niñez, le preocupa el número considerable de años transcurridos sin que las víctimas recibieran asistencia y las denuncias sobre </w:t>
      </w:r>
      <w:r w:rsidR="009B71F8" w:rsidRPr="00184CB9">
        <w:rPr>
          <w:rFonts w:ascii="Times" w:hAnsi="Times"/>
          <w:color w:val="000000" w:themeColor="text1"/>
          <w:lang w:val="es-CO"/>
        </w:rPr>
        <w:t>el uso persistente</w:t>
      </w:r>
      <w:r w:rsidRPr="00184CB9">
        <w:rPr>
          <w:rFonts w:ascii="Times" w:hAnsi="Times"/>
          <w:color w:val="000000" w:themeColor="text1"/>
          <w:lang w:val="es-CO"/>
        </w:rPr>
        <w:t xml:space="preserve"> de la conciliación y la mediación </w:t>
      </w:r>
      <w:r w:rsidR="00452224" w:rsidRPr="00184CB9">
        <w:rPr>
          <w:rFonts w:ascii="Times" w:hAnsi="Times"/>
          <w:color w:val="000000" w:themeColor="text1"/>
          <w:lang w:val="es-CO"/>
        </w:rPr>
        <w:t xml:space="preserve">sin intervención judicial </w:t>
      </w:r>
      <w:r w:rsidRPr="00184CB9">
        <w:rPr>
          <w:rFonts w:ascii="Times" w:hAnsi="Times"/>
          <w:color w:val="000000" w:themeColor="text1"/>
          <w:lang w:val="es-CO"/>
        </w:rPr>
        <w:t>(arts. 2, 3, 6, 7 y 26).</w:t>
      </w:r>
    </w:p>
    <w:p w14:paraId="55583EBE" w14:textId="025EF823" w:rsidR="00092F99" w:rsidRPr="00184CB9" w:rsidRDefault="00092F99" w:rsidP="00AB5182">
      <w:pPr>
        <w:pStyle w:val="SingleTxtG"/>
        <w:rPr>
          <w:rFonts w:ascii="Times" w:hAnsi="Times"/>
          <w:b/>
          <w:bCs/>
          <w:color w:val="000000" w:themeColor="text1"/>
          <w:lang w:val="es-CO"/>
        </w:rPr>
      </w:pPr>
      <w:r w:rsidRPr="00076D7F">
        <w:rPr>
          <w:rFonts w:ascii="Times" w:hAnsi="Times"/>
          <w:color w:val="000000" w:themeColor="text1"/>
          <w:lang w:val="es-CO"/>
        </w:rPr>
        <w:t>18.</w:t>
      </w:r>
      <w:r w:rsidRPr="00184CB9">
        <w:rPr>
          <w:rFonts w:ascii="Times" w:hAnsi="Times"/>
          <w:b/>
          <w:bCs/>
          <w:color w:val="000000" w:themeColor="text1"/>
          <w:lang w:val="es-CO"/>
        </w:rPr>
        <w:t xml:space="preserve"> </w:t>
      </w:r>
      <w:r w:rsidRPr="00184CB9">
        <w:rPr>
          <w:rFonts w:ascii="Times" w:hAnsi="Times"/>
          <w:b/>
          <w:bCs/>
          <w:color w:val="000000" w:themeColor="text1"/>
          <w:lang w:val="es-CO"/>
        </w:rPr>
        <w:tab/>
        <w:t>El Estado parte debe redoblar sus esfuerzos por prevenir y combatir de manera eficaz todas las formas de violencia contra la mujer</w:t>
      </w:r>
      <w:r w:rsidR="00756006">
        <w:rPr>
          <w:rFonts w:ascii="Times" w:hAnsi="Times"/>
          <w:b/>
          <w:bCs/>
          <w:color w:val="000000" w:themeColor="text1"/>
          <w:lang w:val="es-CO"/>
        </w:rPr>
        <w:t>. E</w:t>
      </w:r>
      <w:r w:rsidRPr="00184CB9">
        <w:rPr>
          <w:rFonts w:ascii="Times" w:hAnsi="Times"/>
          <w:b/>
          <w:bCs/>
          <w:color w:val="000000" w:themeColor="text1"/>
          <w:lang w:val="es-CO"/>
        </w:rPr>
        <w:t>ntre otras cosas</w:t>
      </w:r>
      <w:r w:rsidR="00756006">
        <w:rPr>
          <w:rFonts w:ascii="Times" w:hAnsi="Times"/>
          <w:b/>
          <w:bCs/>
          <w:color w:val="000000" w:themeColor="text1"/>
          <w:lang w:val="es-CO"/>
        </w:rPr>
        <w:t>, el Estado parte debe</w:t>
      </w:r>
      <w:r w:rsidRPr="00184CB9">
        <w:rPr>
          <w:rFonts w:ascii="Times" w:hAnsi="Times"/>
          <w:b/>
          <w:bCs/>
          <w:color w:val="000000" w:themeColor="text1"/>
          <w:lang w:val="es-CO"/>
        </w:rPr>
        <w:t>:</w:t>
      </w:r>
    </w:p>
    <w:p w14:paraId="356BDFC2" w14:textId="7004240C" w:rsidR="00092F99" w:rsidRPr="00184CB9" w:rsidRDefault="004055D9" w:rsidP="00A13853">
      <w:pPr>
        <w:pStyle w:val="SingleTxtG"/>
        <w:tabs>
          <w:tab w:val="clear" w:pos="2835"/>
          <w:tab w:val="left" w:pos="2127"/>
        </w:tabs>
        <w:rPr>
          <w:rFonts w:ascii="Times" w:hAnsi="Times"/>
          <w:b/>
          <w:bCs/>
          <w:color w:val="000000" w:themeColor="text1"/>
          <w:lang w:val="es-CO"/>
        </w:rPr>
      </w:pPr>
      <w:r w:rsidRPr="00184CB9">
        <w:rPr>
          <w:rFonts w:ascii="Times" w:hAnsi="Times"/>
          <w:b/>
          <w:bCs/>
          <w:color w:val="000000" w:themeColor="text1"/>
          <w:lang w:val="es-CO"/>
        </w:rPr>
        <w:tab/>
      </w:r>
      <w:r w:rsidRPr="00CC5B46">
        <w:rPr>
          <w:rFonts w:ascii="Times" w:hAnsi="Times"/>
          <w:bCs/>
          <w:color w:val="000000" w:themeColor="text1"/>
          <w:lang w:val="es-CO"/>
        </w:rPr>
        <w:t>a)</w:t>
      </w:r>
      <w:r w:rsidRPr="00184CB9">
        <w:rPr>
          <w:rFonts w:ascii="Times" w:hAnsi="Times"/>
          <w:b/>
          <w:bCs/>
          <w:color w:val="000000" w:themeColor="text1"/>
          <w:lang w:val="es-CO"/>
        </w:rPr>
        <w:t xml:space="preserve"> </w:t>
      </w:r>
      <w:r w:rsidRPr="00184CB9">
        <w:rPr>
          <w:rFonts w:ascii="Times" w:hAnsi="Times"/>
          <w:b/>
          <w:bCs/>
          <w:color w:val="000000" w:themeColor="text1"/>
          <w:lang w:val="es-CO"/>
        </w:rPr>
        <w:tab/>
      </w:r>
      <w:r w:rsidR="00BE1D60" w:rsidRPr="00184CB9">
        <w:rPr>
          <w:rFonts w:ascii="Times" w:hAnsi="Times"/>
          <w:b/>
          <w:bCs/>
          <w:color w:val="000000" w:themeColor="text1"/>
          <w:lang w:val="es-CO"/>
        </w:rPr>
        <w:t xml:space="preserve">Enmendar la Ley </w:t>
      </w:r>
      <w:r w:rsidR="005B221D">
        <w:rPr>
          <w:rFonts w:ascii="Times" w:hAnsi="Times"/>
          <w:b/>
          <w:bCs/>
          <w:color w:val="000000" w:themeColor="text1"/>
          <w:lang w:val="es-CO"/>
        </w:rPr>
        <w:t>núm</w:t>
      </w:r>
      <w:r w:rsidR="00BE1D60" w:rsidRPr="00184CB9">
        <w:rPr>
          <w:rFonts w:ascii="Times" w:hAnsi="Times"/>
          <w:b/>
          <w:bCs/>
          <w:color w:val="000000" w:themeColor="text1"/>
          <w:lang w:val="es-CO"/>
        </w:rPr>
        <w:t>.</w:t>
      </w:r>
      <w:r w:rsidR="00E90438">
        <w:rPr>
          <w:rFonts w:ascii="Times" w:hAnsi="Times"/>
          <w:b/>
          <w:bCs/>
          <w:color w:val="000000" w:themeColor="text1"/>
          <w:lang w:val="es-CO"/>
        </w:rPr>
        <w:t> </w:t>
      </w:r>
      <w:r w:rsidR="00BE1D60" w:rsidRPr="00184CB9">
        <w:rPr>
          <w:rFonts w:ascii="Times" w:hAnsi="Times"/>
          <w:b/>
          <w:bCs/>
          <w:color w:val="000000" w:themeColor="text1"/>
          <w:lang w:val="es-CO"/>
        </w:rPr>
        <w:t xml:space="preserve">779 de modo que </w:t>
      </w:r>
      <w:r w:rsidR="000E0E64" w:rsidRPr="00184CB9">
        <w:rPr>
          <w:rFonts w:ascii="Times" w:hAnsi="Times"/>
          <w:b/>
          <w:bCs/>
          <w:color w:val="000000" w:themeColor="text1"/>
          <w:lang w:val="es-CO"/>
        </w:rPr>
        <w:t xml:space="preserve">se mantenga la jurisdicción especializada en materia de violencia contra la mujer en todo el territorio </w:t>
      </w:r>
      <w:r w:rsidR="00452224" w:rsidRPr="00184CB9">
        <w:rPr>
          <w:rFonts w:ascii="Times" w:hAnsi="Times"/>
          <w:b/>
          <w:bCs/>
          <w:color w:val="000000" w:themeColor="text1"/>
          <w:lang w:val="es-CO"/>
        </w:rPr>
        <w:t xml:space="preserve">del </w:t>
      </w:r>
      <w:r w:rsidR="000E0E64" w:rsidRPr="00184CB9">
        <w:rPr>
          <w:rFonts w:ascii="Times" w:hAnsi="Times"/>
          <w:b/>
          <w:bCs/>
          <w:color w:val="000000" w:themeColor="text1"/>
          <w:lang w:val="es-CO"/>
        </w:rPr>
        <w:t xml:space="preserve">Estado parte y </w:t>
      </w:r>
      <w:r w:rsidR="0037235F" w:rsidRPr="00184CB9">
        <w:rPr>
          <w:rFonts w:ascii="Times" w:hAnsi="Times"/>
          <w:b/>
          <w:bCs/>
          <w:color w:val="000000" w:themeColor="text1"/>
          <w:lang w:val="es-CO"/>
        </w:rPr>
        <w:t>se armonice la</w:t>
      </w:r>
      <w:r w:rsidR="000E0E64" w:rsidRPr="00184CB9">
        <w:rPr>
          <w:rFonts w:ascii="Times" w:hAnsi="Times"/>
          <w:b/>
          <w:bCs/>
          <w:color w:val="000000" w:themeColor="text1"/>
          <w:lang w:val="es-CO"/>
        </w:rPr>
        <w:t xml:space="preserve"> definición de </w:t>
      </w:r>
      <w:r w:rsidR="00452224" w:rsidRPr="00184CB9">
        <w:rPr>
          <w:rFonts w:ascii="Times" w:hAnsi="Times"/>
          <w:b/>
          <w:bCs/>
          <w:color w:val="000000" w:themeColor="text1"/>
          <w:lang w:val="es-CO"/>
        </w:rPr>
        <w:t xml:space="preserve">feminicidio </w:t>
      </w:r>
      <w:r w:rsidR="0037235F" w:rsidRPr="00184CB9">
        <w:rPr>
          <w:rFonts w:ascii="Times" w:hAnsi="Times"/>
          <w:b/>
          <w:bCs/>
          <w:color w:val="000000" w:themeColor="text1"/>
          <w:lang w:val="es-CO"/>
        </w:rPr>
        <w:t>con las normas internacionales, a fin de que no se limite</w:t>
      </w:r>
      <w:r w:rsidR="000E0E64" w:rsidRPr="00184CB9">
        <w:rPr>
          <w:rFonts w:ascii="Times" w:hAnsi="Times"/>
          <w:b/>
          <w:bCs/>
          <w:color w:val="000000" w:themeColor="text1"/>
          <w:lang w:val="es-CO"/>
        </w:rPr>
        <w:t xml:space="preserve"> únicamente al asesinato de mujeres en el contexto de una relación</w:t>
      </w:r>
      <w:r w:rsidR="00092F99" w:rsidRPr="00184CB9">
        <w:rPr>
          <w:rFonts w:ascii="Times" w:hAnsi="Times"/>
          <w:b/>
          <w:bCs/>
          <w:color w:val="000000" w:themeColor="text1"/>
          <w:lang w:val="es-CO"/>
        </w:rPr>
        <w:t xml:space="preserve">; </w:t>
      </w:r>
    </w:p>
    <w:p w14:paraId="6C48F292" w14:textId="5C8BDE07" w:rsidR="00092F99" w:rsidRPr="00184CB9" w:rsidRDefault="004055D9" w:rsidP="00A13853">
      <w:pPr>
        <w:pStyle w:val="SingleTxtG"/>
        <w:tabs>
          <w:tab w:val="clear" w:pos="2835"/>
        </w:tabs>
        <w:rPr>
          <w:rFonts w:ascii="Times" w:hAnsi="Times"/>
          <w:b/>
          <w:bCs/>
          <w:color w:val="000000" w:themeColor="text1"/>
          <w:lang w:val="es-CO"/>
        </w:rPr>
      </w:pPr>
      <w:r w:rsidRPr="00184CB9">
        <w:rPr>
          <w:rFonts w:ascii="Times" w:hAnsi="Times"/>
          <w:b/>
          <w:bCs/>
          <w:color w:val="000000" w:themeColor="text1"/>
          <w:lang w:val="es-CO"/>
        </w:rPr>
        <w:tab/>
      </w:r>
      <w:r w:rsidRPr="00CC5B46">
        <w:rPr>
          <w:rFonts w:ascii="Times" w:hAnsi="Times"/>
          <w:bCs/>
          <w:color w:val="000000" w:themeColor="text1"/>
          <w:lang w:val="es-CO"/>
        </w:rPr>
        <w:t>b)</w:t>
      </w:r>
      <w:r w:rsidRPr="00184CB9">
        <w:rPr>
          <w:rFonts w:ascii="Times" w:hAnsi="Times"/>
          <w:b/>
          <w:bCs/>
          <w:color w:val="000000" w:themeColor="text1"/>
          <w:lang w:val="es-CO"/>
        </w:rPr>
        <w:t xml:space="preserve"> </w:t>
      </w:r>
      <w:r w:rsidRPr="00184CB9">
        <w:rPr>
          <w:rFonts w:ascii="Times" w:hAnsi="Times"/>
          <w:b/>
          <w:bCs/>
          <w:color w:val="000000" w:themeColor="text1"/>
          <w:lang w:val="es-CO"/>
        </w:rPr>
        <w:tab/>
      </w:r>
      <w:r w:rsidR="00092F99" w:rsidRPr="00184CB9">
        <w:rPr>
          <w:rFonts w:ascii="Times" w:hAnsi="Times"/>
          <w:b/>
          <w:bCs/>
          <w:color w:val="000000" w:themeColor="text1"/>
          <w:lang w:val="es-CO"/>
        </w:rPr>
        <w:t xml:space="preserve">Asignar los recursos financieros, técnicos y humanos que resulten necesarios en materia de prevención, protección, sanción y reparación de la violencia contra las mujeres, particularmente a las Comisarías de la Mujer y </w:t>
      </w:r>
      <w:r w:rsidR="005B221D">
        <w:rPr>
          <w:rFonts w:ascii="Times" w:hAnsi="Times"/>
          <w:b/>
          <w:bCs/>
          <w:color w:val="000000" w:themeColor="text1"/>
          <w:lang w:val="es-CO"/>
        </w:rPr>
        <w:t xml:space="preserve">la </w:t>
      </w:r>
      <w:r w:rsidR="00092F99" w:rsidRPr="00184CB9">
        <w:rPr>
          <w:rFonts w:ascii="Times" w:hAnsi="Times"/>
          <w:b/>
          <w:bCs/>
          <w:color w:val="000000" w:themeColor="text1"/>
          <w:lang w:val="es-CO"/>
        </w:rPr>
        <w:t>Niñez, eliminando además cualquier tipo de obligación</w:t>
      </w:r>
      <w:r w:rsidR="0037235F" w:rsidRPr="00184CB9">
        <w:rPr>
          <w:rFonts w:ascii="Times" w:hAnsi="Times"/>
          <w:b/>
          <w:bCs/>
          <w:color w:val="000000" w:themeColor="text1"/>
          <w:lang w:val="es-CO"/>
        </w:rPr>
        <w:t xml:space="preserve"> o presión</w:t>
      </w:r>
      <w:r w:rsidR="00092F99" w:rsidRPr="00184CB9">
        <w:rPr>
          <w:rFonts w:ascii="Times" w:hAnsi="Times"/>
          <w:b/>
          <w:bCs/>
          <w:color w:val="000000" w:themeColor="text1"/>
          <w:lang w:val="es-CO"/>
        </w:rPr>
        <w:t xml:space="preserve"> para las víctimas de recurrir a la mediación conciliatoria;</w:t>
      </w:r>
      <w:r w:rsidR="00092F99" w:rsidRPr="00184CB9">
        <w:rPr>
          <w:rFonts w:ascii="Times" w:hAnsi="Times"/>
          <w:b/>
          <w:bCs/>
          <w:color w:val="000000" w:themeColor="text1"/>
        </w:rPr>
        <w:t xml:space="preserve"> </w:t>
      </w:r>
    </w:p>
    <w:p w14:paraId="0D6C1113" w14:textId="2074243E" w:rsidR="00092F99" w:rsidRPr="00184CB9" w:rsidRDefault="004055D9" w:rsidP="00A13853">
      <w:pPr>
        <w:pStyle w:val="SingleTxtG"/>
        <w:rPr>
          <w:rFonts w:ascii="Times" w:hAnsi="Times"/>
          <w:b/>
          <w:bCs/>
          <w:color w:val="000000" w:themeColor="text1"/>
          <w:lang w:val="es-CO"/>
        </w:rPr>
      </w:pPr>
      <w:r w:rsidRPr="00184CB9">
        <w:rPr>
          <w:rFonts w:ascii="Times" w:hAnsi="Times"/>
          <w:b/>
          <w:bCs/>
          <w:color w:val="000000" w:themeColor="text1"/>
          <w:lang w:val="es-CO"/>
        </w:rPr>
        <w:tab/>
      </w:r>
      <w:r w:rsidRPr="00CC5B46">
        <w:rPr>
          <w:rFonts w:ascii="Times" w:hAnsi="Times"/>
          <w:bCs/>
          <w:color w:val="000000" w:themeColor="text1"/>
          <w:lang w:val="es-CO"/>
        </w:rPr>
        <w:t>c)</w:t>
      </w:r>
      <w:r w:rsidRPr="00184CB9">
        <w:rPr>
          <w:rFonts w:ascii="Times" w:hAnsi="Times"/>
          <w:b/>
          <w:bCs/>
          <w:color w:val="000000" w:themeColor="text1"/>
          <w:lang w:val="es-CO"/>
        </w:rPr>
        <w:t xml:space="preserve"> </w:t>
      </w:r>
      <w:r w:rsidRPr="00184CB9">
        <w:rPr>
          <w:rFonts w:ascii="Times" w:hAnsi="Times"/>
          <w:b/>
          <w:bCs/>
          <w:color w:val="000000" w:themeColor="text1"/>
          <w:lang w:val="es-CO"/>
        </w:rPr>
        <w:tab/>
      </w:r>
      <w:r w:rsidR="00092F99" w:rsidRPr="00184CB9">
        <w:rPr>
          <w:rFonts w:ascii="Times" w:hAnsi="Times"/>
          <w:b/>
          <w:bCs/>
          <w:color w:val="000000" w:themeColor="text1"/>
          <w:lang w:val="es-CO"/>
        </w:rPr>
        <w:t>Impartir capacitaciones adecuadas a las autoridades centrales y locales, los agentes del orden, los jueces y los fiscales sobre los derechos de las mujeres y la violencia de género;</w:t>
      </w:r>
    </w:p>
    <w:p w14:paraId="3F1DB95A" w14:textId="69E7DE03" w:rsidR="00092F99" w:rsidRPr="00184CB9" w:rsidRDefault="004055D9" w:rsidP="00A13853">
      <w:pPr>
        <w:pStyle w:val="SingleTxtG"/>
        <w:tabs>
          <w:tab w:val="clear" w:pos="2835"/>
          <w:tab w:val="left" w:pos="2410"/>
        </w:tabs>
        <w:rPr>
          <w:rFonts w:ascii="Times" w:hAnsi="Times"/>
          <w:b/>
          <w:bCs/>
          <w:color w:val="000000" w:themeColor="text1"/>
          <w:lang w:val="es-CO"/>
        </w:rPr>
      </w:pPr>
      <w:r w:rsidRPr="00184CB9">
        <w:rPr>
          <w:rFonts w:ascii="Times" w:hAnsi="Times"/>
          <w:b/>
          <w:bCs/>
          <w:color w:val="000000" w:themeColor="text1"/>
          <w:lang w:val="es-CO"/>
        </w:rPr>
        <w:tab/>
      </w:r>
      <w:r w:rsidRPr="00CC5B46">
        <w:rPr>
          <w:rFonts w:ascii="Times" w:hAnsi="Times"/>
          <w:bCs/>
          <w:color w:val="000000" w:themeColor="text1"/>
          <w:lang w:val="es-CO"/>
        </w:rPr>
        <w:t>d</w:t>
      </w:r>
      <w:r w:rsidRPr="00184CB9">
        <w:rPr>
          <w:rFonts w:ascii="Times" w:hAnsi="Times"/>
          <w:b/>
          <w:bCs/>
          <w:color w:val="000000" w:themeColor="text1"/>
          <w:lang w:val="es-CO"/>
        </w:rPr>
        <w:t xml:space="preserve">) </w:t>
      </w:r>
      <w:r w:rsidRPr="00184CB9">
        <w:rPr>
          <w:rFonts w:ascii="Times" w:hAnsi="Times"/>
          <w:b/>
          <w:bCs/>
          <w:color w:val="000000" w:themeColor="text1"/>
          <w:lang w:val="es-CO"/>
        </w:rPr>
        <w:tab/>
      </w:r>
      <w:r w:rsidR="00092F99" w:rsidRPr="00184CB9">
        <w:rPr>
          <w:rFonts w:ascii="Times" w:hAnsi="Times"/>
          <w:b/>
          <w:bCs/>
          <w:color w:val="000000" w:themeColor="text1"/>
          <w:lang w:val="es-CO"/>
        </w:rPr>
        <w:t xml:space="preserve">Garantizar que los casos de violencia contra la mujer sean investigados rápida y eficazmente, que los autores de estos actos sean llevados ante la justicia y que </w:t>
      </w:r>
      <w:r w:rsidR="00092F99" w:rsidRPr="00184CB9">
        <w:rPr>
          <w:rFonts w:ascii="Times" w:hAnsi="Times"/>
          <w:b/>
          <w:bCs/>
          <w:color w:val="000000" w:themeColor="text1"/>
          <w:lang w:val="es-CO"/>
        </w:rPr>
        <w:lastRenderedPageBreak/>
        <w:t xml:space="preserve">las víctimas tengan acceso a recursos efectivos y medios de protección, incluidos suficientes albergues y centros de asesoramiento y asistencia; </w:t>
      </w:r>
    </w:p>
    <w:p w14:paraId="0FC8AD31" w14:textId="63C6FD86" w:rsidR="00092F99" w:rsidRPr="00184CB9" w:rsidRDefault="004055D9" w:rsidP="00A13853">
      <w:pPr>
        <w:pStyle w:val="SingleTxtG"/>
        <w:rPr>
          <w:rFonts w:ascii="Times" w:hAnsi="Times"/>
          <w:b/>
          <w:bCs/>
          <w:color w:val="000000" w:themeColor="text1"/>
          <w:lang w:val="es-CO"/>
        </w:rPr>
      </w:pPr>
      <w:r w:rsidRPr="00184CB9">
        <w:rPr>
          <w:rFonts w:ascii="Times" w:hAnsi="Times"/>
          <w:b/>
          <w:bCs/>
          <w:color w:val="000000" w:themeColor="text1"/>
          <w:lang w:val="es-CO"/>
        </w:rPr>
        <w:tab/>
      </w:r>
      <w:r w:rsidRPr="00CC5B46">
        <w:rPr>
          <w:rFonts w:ascii="Times" w:hAnsi="Times"/>
          <w:bCs/>
          <w:color w:val="000000" w:themeColor="text1"/>
          <w:lang w:val="es-CO"/>
        </w:rPr>
        <w:t>e)</w:t>
      </w:r>
      <w:r w:rsidRPr="00184CB9">
        <w:rPr>
          <w:rFonts w:ascii="Times" w:hAnsi="Times"/>
          <w:b/>
          <w:bCs/>
          <w:color w:val="000000" w:themeColor="text1"/>
          <w:lang w:val="es-CO"/>
        </w:rPr>
        <w:t xml:space="preserve"> </w:t>
      </w:r>
      <w:r w:rsidRPr="00184CB9">
        <w:rPr>
          <w:rFonts w:ascii="Times" w:hAnsi="Times"/>
          <w:b/>
          <w:bCs/>
          <w:color w:val="000000" w:themeColor="text1"/>
          <w:lang w:val="es-CO"/>
        </w:rPr>
        <w:tab/>
      </w:r>
      <w:r w:rsidR="00092F99" w:rsidRPr="00184CB9">
        <w:rPr>
          <w:rFonts w:ascii="Times" w:hAnsi="Times"/>
          <w:b/>
          <w:bCs/>
          <w:color w:val="000000" w:themeColor="text1"/>
          <w:lang w:val="es-CO"/>
        </w:rPr>
        <w:t xml:space="preserve">Asegurar la creación de un sistema de </w:t>
      </w:r>
      <w:r w:rsidR="005B221D">
        <w:rPr>
          <w:rFonts w:ascii="Times" w:hAnsi="Times"/>
          <w:b/>
          <w:bCs/>
          <w:color w:val="000000" w:themeColor="text1"/>
          <w:lang w:val="es-CO"/>
        </w:rPr>
        <w:t>recopilación</w:t>
      </w:r>
      <w:r w:rsidR="005B221D" w:rsidRPr="00184CB9">
        <w:rPr>
          <w:rFonts w:ascii="Times" w:hAnsi="Times"/>
          <w:b/>
          <w:bCs/>
          <w:color w:val="000000" w:themeColor="text1"/>
          <w:lang w:val="es-CO"/>
        </w:rPr>
        <w:t xml:space="preserve"> </w:t>
      </w:r>
      <w:r w:rsidR="00092F99" w:rsidRPr="00184CB9">
        <w:rPr>
          <w:rFonts w:ascii="Times" w:hAnsi="Times"/>
          <w:b/>
          <w:bCs/>
          <w:color w:val="000000" w:themeColor="text1"/>
          <w:lang w:val="es-CO"/>
        </w:rPr>
        <w:t>de datos completos y desglosados por edad y origen étnico o nacionalidad sobre denuncias, investigaciones, enjuiciamientos, condenas y sentencias vinculad</w:t>
      </w:r>
      <w:r w:rsidR="00E90438">
        <w:rPr>
          <w:rFonts w:ascii="Times" w:hAnsi="Times"/>
          <w:b/>
          <w:bCs/>
          <w:color w:val="000000" w:themeColor="text1"/>
          <w:lang w:val="es-CO"/>
        </w:rPr>
        <w:t>o</w:t>
      </w:r>
      <w:r w:rsidR="00092F99" w:rsidRPr="00184CB9">
        <w:rPr>
          <w:rFonts w:ascii="Times" w:hAnsi="Times"/>
          <w:b/>
          <w:bCs/>
          <w:color w:val="000000" w:themeColor="text1"/>
          <w:lang w:val="es-CO"/>
        </w:rPr>
        <w:t xml:space="preserve">s a </w:t>
      </w:r>
      <w:r w:rsidR="005B221D">
        <w:rPr>
          <w:rFonts w:ascii="Times" w:hAnsi="Times"/>
          <w:b/>
          <w:bCs/>
          <w:color w:val="000000" w:themeColor="text1"/>
          <w:lang w:val="es-CO"/>
        </w:rPr>
        <w:t xml:space="preserve">la </w:t>
      </w:r>
      <w:r w:rsidR="00092F99" w:rsidRPr="00184CB9">
        <w:rPr>
          <w:rFonts w:ascii="Times" w:hAnsi="Times"/>
          <w:b/>
          <w:bCs/>
          <w:color w:val="000000" w:themeColor="text1"/>
          <w:lang w:val="es-CO"/>
        </w:rPr>
        <w:t>violencia de género.</w:t>
      </w:r>
    </w:p>
    <w:p w14:paraId="02605560" w14:textId="414588FE" w:rsidR="00A539E7" w:rsidRPr="00184CB9" w:rsidRDefault="00076D7F" w:rsidP="00076D7F">
      <w:pPr>
        <w:pStyle w:val="H23G"/>
        <w:rPr>
          <w:lang w:val="es-CO"/>
        </w:rPr>
      </w:pPr>
      <w:r>
        <w:rPr>
          <w:lang w:val="es-CO"/>
        </w:rPr>
        <w:tab/>
      </w:r>
      <w:r>
        <w:rPr>
          <w:lang w:val="es-CO"/>
        </w:rPr>
        <w:tab/>
      </w:r>
      <w:r w:rsidR="00AE02C7" w:rsidRPr="00184CB9">
        <w:rPr>
          <w:lang w:val="es-CO"/>
        </w:rPr>
        <w:tab/>
        <w:t xml:space="preserve">Interrupción voluntaria del embarazo y derechos </w:t>
      </w:r>
      <w:r w:rsidR="00DD2A33" w:rsidRPr="00184CB9">
        <w:rPr>
          <w:lang w:val="es-CO"/>
        </w:rPr>
        <w:t xml:space="preserve">sexuales y </w:t>
      </w:r>
      <w:r w:rsidR="00AE02C7" w:rsidRPr="00184CB9">
        <w:rPr>
          <w:lang w:val="es-CO"/>
        </w:rPr>
        <w:t>reproductivos</w:t>
      </w:r>
    </w:p>
    <w:p w14:paraId="4CF87C75" w14:textId="3F21A6C9" w:rsidR="00AE02C7" w:rsidRPr="00184CB9" w:rsidRDefault="00AE02C7" w:rsidP="00CF58FC">
      <w:pPr>
        <w:tabs>
          <w:tab w:val="left" w:pos="1701"/>
          <w:tab w:val="left" w:pos="1985"/>
          <w:tab w:val="left" w:pos="8505"/>
          <w:tab w:val="left" w:pos="8647"/>
        </w:tabs>
        <w:spacing w:after="120"/>
        <w:ind w:left="1134" w:right="992"/>
        <w:jc w:val="both"/>
        <w:rPr>
          <w:lang w:val="es-CO"/>
        </w:rPr>
      </w:pPr>
      <w:r w:rsidRPr="00184CB9">
        <w:rPr>
          <w:rFonts w:ascii="Times" w:hAnsi="Times"/>
        </w:rPr>
        <w:t xml:space="preserve">19. </w:t>
      </w:r>
      <w:r w:rsidRPr="00184CB9">
        <w:rPr>
          <w:rFonts w:ascii="Times" w:hAnsi="Times"/>
        </w:rPr>
        <w:tab/>
        <w:t>Al Comité le preocupa que el Estado parte no haya tomado ninguna medida para dar seguimiento a la</w:t>
      </w:r>
      <w:r w:rsidR="005B221D">
        <w:rPr>
          <w:rFonts w:ascii="Times" w:hAnsi="Times"/>
        </w:rPr>
        <w:t>s</w:t>
      </w:r>
      <w:r w:rsidRPr="00184CB9">
        <w:rPr>
          <w:rFonts w:ascii="Times" w:hAnsi="Times"/>
        </w:rPr>
        <w:t xml:space="preserve"> recomendaci</w:t>
      </w:r>
      <w:r w:rsidR="005B221D">
        <w:rPr>
          <w:rFonts w:ascii="Times" w:hAnsi="Times"/>
        </w:rPr>
        <w:t>ones</w:t>
      </w:r>
      <w:r w:rsidRPr="00184CB9">
        <w:rPr>
          <w:rFonts w:ascii="Times" w:hAnsi="Times"/>
        </w:rPr>
        <w:t xml:space="preserve"> anteriores del Comité</w:t>
      </w:r>
      <w:r w:rsidR="005B221D" w:rsidRPr="007D14C9">
        <w:rPr>
          <w:rStyle w:val="Refdenotaalpie"/>
          <w:rFonts w:ascii="Times" w:hAnsi="Times"/>
          <w:szCs w:val="18"/>
        </w:rPr>
        <w:footnoteReference w:id="6"/>
      </w:r>
      <w:r w:rsidRPr="00184CB9">
        <w:rPr>
          <w:rFonts w:ascii="Times" w:hAnsi="Times"/>
        </w:rPr>
        <w:t xml:space="preserve"> </w:t>
      </w:r>
      <w:r w:rsidRPr="00184CB9">
        <w:rPr>
          <w:rFonts w:ascii="Times" w:hAnsi="Times"/>
          <w:lang w:val="es-CO"/>
        </w:rPr>
        <w:t>y que el aborto continú</w:t>
      </w:r>
      <w:r w:rsidR="005B221D">
        <w:rPr>
          <w:rFonts w:ascii="Times" w:hAnsi="Times"/>
          <w:lang w:val="es-CO"/>
        </w:rPr>
        <w:t>e</w:t>
      </w:r>
      <w:r w:rsidRPr="00184CB9">
        <w:rPr>
          <w:rFonts w:ascii="Times" w:hAnsi="Times"/>
          <w:lang w:val="es-CO"/>
        </w:rPr>
        <w:t xml:space="preserve"> siendo penalizado sin ningún tipo de excepción permitida, ni siquiera </w:t>
      </w:r>
      <w:r w:rsidRPr="00184CB9">
        <w:rPr>
          <w:bCs/>
          <w:lang w:val="es-ES_tradnl"/>
        </w:rPr>
        <w:t xml:space="preserve">cuando el embarazo </w:t>
      </w:r>
      <w:r w:rsidR="005B221D">
        <w:rPr>
          <w:bCs/>
          <w:lang w:val="es-ES_tradnl"/>
        </w:rPr>
        <w:t>sea</w:t>
      </w:r>
      <w:r w:rsidR="005B221D" w:rsidRPr="00184CB9">
        <w:rPr>
          <w:bCs/>
          <w:lang w:val="es-ES_tradnl"/>
        </w:rPr>
        <w:t xml:space="preserve"> </w:t>
      </w:r>
      <w:r w:rsidRPr="00184CB9">
        <w:rPr>
          <w:bCs/>
          <w:lang w:val="es-ES_tradnl"/>
        </w:rPr>
        <w:t>producto de una violación</w:t>
      </w:r>
      <w:r w:rsidR="00E90438">
        <w:rPr>
          <w:bCs/>
          <w:lang w:val="es-ES_tradnl"/>
        </w:rPr>
        <w:t xml:space="preserve"> o de</w:t>
      </w:r>
      <w:r w:rsidR="005B221D">
        <w:rPr>
          <w:bCs/>
          <w:lang w:val="es-ES_tradnl"/>
        </w:rPr>
        <w:t xml:space="preserve"> </w:t>
      </w:r>
      <w:r w:rsidRPr="00184CB9">
        <w:rPr>
          <w:bCs/>
          <w:lang w:val="es-ES_tradnl"/>
        </w:rPr>
        <w:t>incesto</w:t>
      </w:r>
      <w:r w:rsidR="00E90438">
        <w:rPr>
          <w:bCs/>
          <w:lang w:val="es-ES_tradnl"/>
        </w:rPr>
        <w:t>,</w:t>
      </w:r>
      <w:r w:rsidRPr="00184CB9">
        <w:rPr>
          <w:bCs/>
          <w:lang w:val="es-ES_tradnl"/>
        </w:rPr>
        <w:t xml:space="preserve"> o cuando exista un riesgo para la vida o la salud </w:t>
      </w:r>
      <w:r w:rsidRPr="00896E27">
        <w:rPr>
          <w:bCs/>
          <w:lang w:val="es-ES_tradnl"/>
        </w:rPr>
        <w:t>de la mujer</w:t>
      </w:r>
      <w:r w:rsidR="00896E27">
        <w:rPr>
          <w:bCs/>
          <w:lang w:val="es-ES_tradnl"/>
        </w:rPr>
        <w:t xml:space="preserve"> y la niña</w:t>
      </w:r>
      <w:r w:rsidRPr="00184CB9">
        <w:rPr>
          <w:bCs/>
          <w:lang w:val="es-ES_tradnl"/>
        </w:rPr>
        <w:t xml:space="preserve"> gestante</w:t>
      </w:r>
      <w:r w:rsidR="000348D1" w:rsidRPr="00184CB9">
        <w:rPr>
          <w:bCs/>
          <w:lang w:val="es-ES_tradnl"/>
        </w:rPr>
        <w:t xml:space="preserve">, </w:t>
      </w:r>
      <w:r w:rsidR="000348D1" w:rsidRPr="00184CB9">
        <w:rPr>
          <w:lang w:val="es-ES_tradnl"/>
        </w:rPr>
        <w:t>lo que lleva a las mujeres que desean abortar a recurrir a servicios clandestinos que ponen en peligro su vida y su salud</w:t>
      </w:r>
      <w:r w:rsidRPr="00184CB9">
        <w:rPr>
          <w:bCs/>
          <w:lang w:val="es-ES_tradnl"/>
        </w:rPr>
        <w:t>.</w:t>
      </w:r>
      <w:r w:rsidRPr="00184CB9">
        <w:rPr>
          <w:rFonts w:ascii="Times" w:hAnsi="Times"/>
          <w:lang w:val="es-CO"/>
        </w:rPr>
        <w:t xml:space="preserve"> El Comité l</w:t>
      </w:r>
      <w:r w:rsidR="000348D1" w:rsidRPr="00184CB9">
        <w:rPr>
          <w:rFonts w:ascii="Times" w:hAnsi="Times"/>
          <w:lang w:val="es-CO"/>
        </w:rPr>
        <w:t>amenta la</w:t>
      </w:r>
      <w:r w:rsidRPr="00184CB9">
        <w:rPr>
          <w:rFonts w:ascii="Times" w:hAnsi="Times"/>
          <w:lang w:val="es-CO"/>
        </w:rPr>
        <w:t xml:space="preserve"> falta de información sobre el número</w:t>
      </w:r>
      <w:r w:rsidRPr="00184CB9">
        <w:rPr>
          <w:lang w:val="es-CO"/>
        </w:rPr>
        <w:t xml:space="preserve"> de mujeres investigadas y sentenciadas por haber cometido aborto (arts. 6</w:t>
      </w:r>
      <w:r w:rsidR="00A539E7" w:rsidRPr="00184CB9">
        <w:rPr>
          <w:lang w:val="es-CO"/>
        </w:rPr>
        <w:t xml:space="preserve"> a</w:t>
      </w:r>
      <w:r w:rsidRPr="00184CB9">
        <w:rPr>
          <w:lang w:val="es-CO"/>
        </w:rPr>
        <w:t xml:space="preserve"> 8).</w:t>
      </w:r>
    </w:p>
    <w:p w14:paraId="5E4F37E6" w14:textId="675ED2D1" w:rsidR="00AE02C7" w:rsidRPr="00184CB9" w:rsidRDefault="00AE02C7" w:rsidP="004055D9">
      <w:pPr>
        <w:tabs>
          <w:tab w:val="left" w:pos="1701"/>
          <w:tab w:val="left" w:pos="8505"/>
          <w:tab w:val="left" w:pos="8647"/>
        </w:tabs>
        <w:spacing w:after="120"/>
        <w:ind w:left="1134" w:right="992"/>
        <w:jc w:val="both"/>
        <w:rPr>
          <w:b/>
          <w:bCs/>
          <w:lang w:val="es-CO"/>
        </w:rPr>
      </w:pPr>
      <w:r w:rsidRPr="00076D7F">
        <w:rPr>
          <w:lang w:val="es-CO"/>
        </w:rPr>
        <w:t>20.</w:t>
      </w:r>
      <w:r w:rsidRPr="00184CB9">
        <w:rPr>
          <w:b/>
          <w:bCs/>
          <w:lang w:val="es-CO"/>
        </w:rPr>
        <w:t xml:space="preserve"> </w:t>
      </w:r>
      <w:r w:rsidRPr="00184CB9">
        <w:rPr>
          <w:b/>
          <w:bCs/>
          <w:lang w:val="es-CO"/>
        </w:rPr>
        <w:tab/>
        <w:t xml:space="preserve">Teniendo presente el párrafo 9 de la observación general núm. </w:t>
      </w:r>
      <w:hyperlink r:id="rId9" w:history="1">
        <w:r w:rsidRPr="007D14C9">
          <w:rPr>
            <w:rStyle w:val="Hipervnculo"/>
            <w:b/>
            <w:bCs/>
            <w:lang w:val="es-CO"/>
          </w:rPr>
          <w:t>36 (2018)</w:t>
        </w:r>
      </w:hyperlink>
      <w:r w:rsidRPr="00184CB9">
        <w:rPr>
          <w:b/>
          <w:bCs/>
          <w:lang w:val="es-CO"/>
        </w:rPr>
        <w:t xml:space="preserve"> del Comité, el Estado parte debe:</w:t>
      </w:r>
    </w:p>
    <w:p w14:paraId="134A82EB" w14:textId="3812D82A" w:rsidR="00AE02C7" w:rsidRPr="00184CB9" w:rsidRDefault="00A539E7" w:rsidP="004055D9">
      <w:pPr>
        <w:tabs>
          <w:tab w:val="left" w:pos="1701"/>
        </w:tabs>
        <w:spacing w:after="120"/>
        <w:ind w:left="1134" w:right="992"/>
        <w:jc w:val="both"/>
        <w:rPr>
          <w:b/>
          <w:bCs/>
          <w:lang w:val="es-CO"/>
        </w:rPr>
      </w:pPr>
      <w:r w:rsidRPr="00184CB9">
        <w:rPr>
          <w:b/>
          <w:bCs/>
          <w:lang w:val="es-CO"/>
        </w:rPr>
        <w:tab/>
      </w:r>
      <w:r w:rsidRPr="00CC5B46">
        <w:rPr>
          <w:bCs/>
          <w:lang w:val="es-CO"/>
        </w:rPr>
        <w:t>a)</w:t>
      </w:r>
      <w:r w:rsidRPr="00184CB9">
        <w:rPr>
          <w:b/>
          <w:bCs/>
          <w:lang w:val="es-CO"/>
        </w:rPr>
        <w:t xml:space="preserve"> </w:t>
      </w:r>
      <w:r w:rsidRPr="00184CB9">
        <w:rPr>
          <w:b/>
          <w:bCs/>
          <w:lang w:val="es-CO"/>
        </w:rPr>
        <w:tab/>
      </w:r>
      <w:r w:rsidR="000348D1" w:rsidRPr="00184CB9">
        <w:rPr>
          <w:b/>
          <w:bCs/>
          <w:lang w:val="es-ES_tradnl"/>
        </w:rPr>
        <w:t>Mod</w:t>
      </w:r>
      <w:r w:rsidR="000348D1" w:rsidRPr="00184CB9">
        <w:rPr>
          <w:b/>
          <w:lang w:val="es-ES_tradnl"/>
        </w:rPr>
        <w:t xml:space="preserve">ificar su legislación para garantizar el acceso seguro, legal y efectivo al aborto cuando la vida </w:t>
      </w:r>
      <w:r w:rsidR="005B221D">
        <w:rPr>
          <w:b/>
          <w:lang w:val="es-ES_tradnl"/>
        </w:rPr>
        <w:t>o</w:t>
      </w:r>
      <w:r w:rsidR="005B221D" w:rsidRPr="00184CB9">
        <w:rPr>
          <w:b/>
          <w:lang w:val="es-ES_tradnl"/>
        </w:rPr>
        <w:t xml:space="preserve"> </w:t>
      </w:r>
      <w:r w:rsidR="000348D1" w:rsidRPr="00184CB9">
        <w:rPr>
          <w:b/>
          <w:lang w:val="es-ES_tradnl"/>
        </w:rPr>
        <w:t xml:space="preserve">la salud de la mujer o niña embarazada estén en peligro, o cuando llevar el embarazo a término pueda causar a la mujer o niña un dolor o sufrimiento considerables, especialmente cuando el embarazo sea </w:t>
      </w:r>
      <w:r w:rsidR="000F5818" w:rsidRPr="00184CB9">
        <w:rPr>
          <w:b/>
          <w:lang w:val="es-ES_tradnl"/>
        </w:rPr>
        <w:t>producto de</w:t>
      </w:r>
      <w:r w:rsidR="000348D1" w:rsidRPr="00184CB9">
        <w:rPr>
          <w:b/>
          <w:lang w:val="es-ES_tradnl"/>
        </w:rPr>
        <w:t xml:space="preserve"> una violación o</w:t>
      </w:r>
      <w:r w:rsidR="000F5818" w:rsidRPr="00184CB9">
        <w:rPr>
          <w:b/>
          <w:lang w:val="es-ES_tradnl"/>
        </w:rPr>
        <w:t xml:space="preserve"> </w:t>
      </w:r>
      <w:r w:rsidR="005B221D">
        <w:rPr>
          <w:b/>
          <w:lang w:val="es-ES_tradnl"/>
        </w:rPr>
        <w:t xml:space="preserve">de </w:t>
      </w:r>
      <w:r w:rsidR="000348D1" w:rsidRPr="00184CB9">
        <w:rPr>
          <w:b/>
          <w:lang w:val="es-ES_tradnl"/>
        </w:rPr>
        <w:t>incesto</w:t>
      </w:r>
      <w:r w:rsidR="00E90438">
        <w:rPr>
          <w:b/>
          <w:lang w:val="es-ES_tradnl"/>
        </w:rPr>
        <w:t>,</w:t>
      </w:r>
      <w:r w:rsidR="000348D1" w:rsidRPr="00184CB9">
        <w:rPr>
          <w:b/>
          <w:lang w:val="es-ES_tradnl"/>
        </w:rPr>
        <w:t xml:space="preserve"> </w:t>
      </w:r>
      <w:r w:rsidR="000F5818" w:rsidRPr="00184CB9">
        <w:rPr>
          <w:b/>
          <w:lang w:val="es-ES_tradnl"/>
        </w:rPr>
        <w:t xml:space="preserve">o cuando exista un riesgo para la vida o la salud </w:t>
      </w:r>
      <w:r w:rsidR="000F5818" w:rsidRPr="00896E27">
        <w:rPr>
          <w:b/>
          <w:lang w:val="es-ES_tradnl"/>
        </w:rPr>
        <w:t>de la mujer</w:t>
      </w:r>
      <w:r w:rsidR="000F5818" w:rsidRPr="00184CB9">
        <w:rPr>
          <w:b/>
          <w:lang w:val="es-ES_tradnl"/>
        </w:rPr>
        <w:t xml:space="preserve"> </w:t>
      </w:r>
      <w:r w:rsidR="00896E27">
        <w:rPr>
          <w:b/>
          <w:lang w:val="es-ES_tradnl"/>
        </w:rPr>
        <w:t xml:space="preserve">o niña </w:t>
      </w:r>
      <w:r w:rsidR="000F5818" w:rsidRPr="00184CB9">
        <w:rPr>
          <w:b/>
          <w:lang w:val="es-ES_tradnl"/>
        </w:rPr>
        <w:t>gestante</w:t>
      </w:r>
      <w:r w:rsidR="000348D1" w:rsidRPr="00184CB9">
        <w:rPr>
          <w:b/>
          <w:lang w:val="es-ES_tradnl"/>
        </w:rPr>
        <w:t>;</w:t>
      </w:r>
    </w:p>
    <w:p w14:paraId="3CBD36A9" w14:textId="287DFC44" w:rsidR="00AE02C7" w:rsidRPr="00184CB9" w:rsidRDefault="00A539E7" w:rsidP="004055D9">
      <w:pPr>
        <w:tabs>
          <w:tab w:val="left" w:pos="1701"/>
        </w:tabs>
        <w:spacing w:after="120"/>
        <w:ind w:left="1134" w:right="992"/>
        <w:jc w:val="both"/>
        <w:rPr>
          <w:b/>
          <w:bCs/>
          <w:lang w:val="es-CO"/>
        </w:rPr>
      </w:pPr>
      <w:r w:rsidRPr="00184CB9">
        <w:rPr>
          <w:b/>
          <w:bCs/>
          <w:lang w:val="es-CO"/>
        </w:rPr>
        <w:tab/>
      </w:r>
      <w:r w:rsidRPr="00CC5B46">
        <w:rPr>
          <w:bCs/>
          <w:lang w:val="es-CO"/>
        </w:rPr>
        <w:t>b)</w:t>
      </w:r>
      <w:r w:rsidRPr="00184CB9">
        <w:rPr>
          <w:b/>
          <w:bCs/>
          <w:lang w:val="es-CO"/>
        </w:rPr>
        <w:t xml:space="preserve"> </w:t>
      </w:r>
      <w:r w:rsidRPr="00184CB9">
        <w:rPr>
          <w:b/>
          <w:bCs/>
          <w:lang w:val="es-CO"/>
        </w:rPr>
        <w:tab/>
      </w:r>
      <w:r w:rsidR="00D15125" w:rsidRPr="00184CB9">
        <w:rPr>
          <w:b/>
          <w:bCs/>
          <w:lang w:val="es-ES_tradnl"/>
        </w:rPr>
        <w:t>Derogar las sanciones penales impuestas a las mujeres y niñas que se someten a un aborto y a los proveedores de servicios médicos que las ayudan a hacerlo</w:t>
      </w:r>
      <w:r w:rsidR="00D15125" w:rsidRPr="00184CB9">
        <w:rPr>
          <w:b/>
          <w:bCs/>
          <w:lang w:val="es-CO"/>
        </w:rPr>
        <w:t xml:space="preserve"> </w:t>
      </w:r>
      <w:r w:rsidR="00AE02C7" w:rsidRPr="00184CB9">
        <w:rPr>
          <w:b/>
          <w:bCs/>
          <w:lang w:val="es-CO"/>
        </w:rPr>
        <w:t xml:space="preserve">(Ley </w:t>
      </w:r>
      <w:r w:rsidR="005B221D">
        <w:rPr>
          <w:b/>
          <w:bCs/>
          <w:lang w:val="es-CO"/>
        </w:rPr>
        <w:t>núm.</w:t>
      </w:r>
      <w:r w:rsidR="00E90438">
        <w:rPr>
          <w:b/>
          <w:bCs/>
          <w:lang w:val="es-CO"/>
        </w:rPr>
        <w:t> </w:t>
      </w:r>
      <w:r w:rsidR="00AE02C7" w:rsidRPr="00184CB9">
        <w:rPr>
          <w:b/>
          <w:bCs/>
          <w:lang w:val="es-CO"/>
        </w:rPr>
        <w:t xml:space="preserve">641, </w:t>
      </w:r>
      <w:r w:rsidR="005B221D">
        <w:rPr>
          <w:b/>
          <w:bCs/>
          <w:lang w:val="es-CO"/>
        </w:rPr>
        <w:t>a</w:t>
      </w:r>
      <w:r w:rsidR="00AE02C7" w:rsidRPr="00184CB9">
        <w:rPr>
          <w:b/>
          <w:bCs/>
          <w:lang w:val="es-CO"/>
        </w:rPr>
        <w:t>rt. 143);</w:t>
      </w:r>
    </w:p>
    <w:p w14:paraId="3CCB616E" w14:textId="33B9B3C9" w:rsidR="009B4288" w:rsidRPr="00184CB9" w:rsidRDefault="00A539E7" w:rsidP="00A13853">
      <w:pPr>
        <w:tabs>
          <w:tab w:val="left" w:pos="1701"/>
        </w:tabs>
        <w:spacing w:after="120"/>
        <w:ind w:left="1134" w:right="992"/>
        <w:jc w:val="both"/>
        <w:rPr>
          <w:b/>
          <w:bCs/>
          <w:lang w:val="es-CO"/>
        </w:rPr>
      </w:pPr>
      <w:r w:rsidRPr="00184CB9">
        <w:rPr>
          <w:b/>
          <w:bCs/>
          <w:lang w:val="es-CO"/>
        </w:rPr>
        <w:tab/>
      </w:r>
      <w:r w:rsidRPr="00CC5B46">
        <w:rPr>
          <w:bCs/>
          <w:lang w:val="es-CO"/>
        </w:rPr>
        <w:t>c)</w:t>
      </w:r>
      <w:r w:rsidRPr="00184CB9">
        <w:rPr>
          <w:b/>
          <w:bCs/>
          <w:lang w:val="es-CO"/>
        </w:rPr>
        <w:t xml:space="preserve"> </w:t>
      </w:r>
      <w:r w:rsidRPr="00184CB9">
        <w:rPr>
          <w:b/>
          <w:bCs/>
          <w:lang w:val="es-CO"/>
        </w:rPr>
        <w:tab/>
      </w:r>
      <w:r w:rsidR="00AE02C7" w:rsidRPr="00184CB9">
        <w:rPr>
          <w:b/>
          <w:bCs/>
          <w:lang w:val="es-CO"/>
        </w:rPr>
        <w:t xml:space="preserve">Contar con datos estadísticos desglosados sobre el número </w:t>
      </w:r>
      <w:r w:rsidR="00AE02C7" w:rsidRPr="00896E27">
        <w:rPr>
          <w:b/>
          <w:bCs/>
          <w:lang w:val="es-CO"/>
        </w:rPr>
        <w:t>de mujeres</w:t>
      </w:r>
      <w:r w:rsidR="00896E27">
        <w:rPr>
          <w:b/>
          <w:bCs/>
          <w:lang w:val="es-CO"/>
        </w:rPr>
        <w:t xml:space="preserve"> y niñas</w:t>
      </w:r>
      <w:r w:rsidR="00AE02C7" w:rsidRPr="00184CB9">
        <w:rPr>
          <w:b/>
          <w:bCs/>
          <w:lang w:val="es-CO"/>
        </w:rPr>
        <w:t xml:space="preserve"> investigadas y sentenciadas por haber cometido aborto</w:t>
      </w:r>
      <w:r w:rsidR="00257C11" w:rsidRPr="00184CB9">
        <w:rPr>
          <w:b/>
          <w:bCs/>
          <w:lang w:val="es-CO"/>
        </w:rPr>
        <w:t>.</w:t>
      </w:r>
    </w:p>
    <w:p w14:paraId="0AD5B3FE" w14:textId="044396B2" w:rsidR="009B4288" w:rsidRPr="00184CB9" w:rsidRDefault="00076D7F" w:rsidP="00076D7F">
      <w:pPr>
        <w:pStyle w:val="H23G"/>
        <w:rPr>
          <w:lang w:val="es-CO"/>
        </w:rPr>
      </w:pPr>
      <w:r>
        <w:rPr>
          <w:lang w:val="es-CO"/>
        </w:rPr>
        <w:tab/>
      </w:r>
      <w:r>
        <w:rPr>
          <w:lang w:val="es-CO"/>
        </w:rPr>
        <w:tab/>
      </w:r>
      <w:r w:rsidR="009B4288" w:rsidRPr="00184CB9">
        <w:rPr>
          <w:lang w:val="es-CO"/>
        </w:rPr>
        <w:t>Derecho a la vida</w:t>
      </w:r>
      <w:r w:rsidR="009F0CDA">
        <w:rPr>
          <w:lang w:val="es-CO"/>
        </w:rPr>
        <w:t xml:space="preserve"> y</w:t>
      </w:r>
      <w:r w:rsidR="009B4288" w:rsidRPr="00184CB9">
        <w:rPr>
          <w:lang w:val="es-CO"/>
        </w:rPr>
        <w:t xml:space="preserve"> prohibición de la tortura y otros tratos crueles, inhumanos o degradantes </w:t>
      </w:r>
    </w:p>
    <w:p w14:paraId="5B238669" w14:textId="342E25CD" w:rsidR="009B4288" w:rsidRPr="00184CB9" w:rsidRDefault="009B4288" w:rsidP="00A13853">
      <w:pPr>
        <w:spacing w:after="120"/>
        <w:ind w:left="1134" w:right="991"/>
        <w:jc w:val="both"/>
        <w:rPr>
          <w:lang w:val="es-CO"/>
        </w:rPr>
      </w:pPr>
      <w:r w:rsidRPr="00184CB9">
        <w:rPr>
          <w:lang w:val="es-CO"/>
        </w:rPr>
        <w:t xml:space="preserve">21. </w:t>
      </w:r>
      <w:r w:rsidRPr="00184CB9">
        <w:rPr>
          <w:lang w:val="es-CO"/>
        </w:rPr>
        <w:tab/>
        <w:t xml:space="preserve">Si bien el Comité toma nota del marco legislativo </w:t>
      </w:r>
      <w:r w:rsidR="00E90438">
        <w:rPr>
          <w:lang w:val="es-CO"/>
        </w:rPr>
        <w:t>d</w:t>
      </w:r>
      <w:r w:rsidRPr="00184CB9">
        <w:rPr>
          <w:lang w:val="es-CO"/>
        </w:rPr>
        <w:t xml:space="preserve">el Estado parte </w:t>
      </w:r>
      <w:r w:rsidR="00E90438">
        <w:rPr>
          <w:lang w:val="es-CO"/>
        </w:rPr>
        <w:t xml:space="preserve">que </w:t>
      </w:r>
      <w:r w:rsidRPr="00184CB9">
        <w:rPr>
          <w:lang w:val="es-CO"/>
        </w:rPr>
        <w:t>prohíbe la tortura y otros tratos crueles, inhumanos o degradantes, el Comité recuerda sus anteriores recomendaciones</w:t>
      </w:r>
      <w:r w:rsidR="005B221D" w:rsidRPr="007D14C9">
        <w:rPr>
          <w:rStyle w:val="Refdenotaalpie"/>
          <w:rFonts w:ascii="Times" w:hAnsi="Times"/>
          <w:szCs w:val="18"/>
        </w:rPr>
        <w:footnoteReference w:id="7"/>
      </w:r>
      <w:r w:rsidRPr="00184CB9">
        <w:rPr>
          <w:lang w:val="es-CO"/>
        </w:rPr>
        <w:t xml:space="preserve"> y reitera su preocupación por las continuas denuncias de tortura y/o malos tratos ocurridos tanto en el momento de </w:t>
      </w:r>
      <w:r w:rsidR="005B221D">
        <w:rPr>
          <w:lang w:val="es-CO"/>
        </w:rPr>
        <w:t xml:space="preserve">la </w:t>
      </w:r>
      <w:r w:rsidRPr="00184CB9">
        <w:rPr>
          <w:lang w:val="es-CO"/>
        </w:rPr>
        <w:t xml:space="preserve">detención como </w:t>
      </w:r>
      <w:r w:rsidR="00E90438">
        <w:rPr>
          <w:lang w:val="es-CO"/>
        </w:rPr>
        <w:t xml:space="preserve">posteriormente </w:t>
      </w:r>
      <w:r w:rsidRPr="00184CB9">
        <w:rPr>
          <w:lang w:val="es-CO"/>
        </w:rPr>
        <w:t>en las comisarías de policía y centros de privación de libertad como las cárceles de La Modelo</w:t>
      </w:r>
      <w:r w:rsidR="00965ECA">
        <w:rPr>
          <w:lang w:val="es-CO"/>
        </w:rPr>
        <w:t xml:space="preserve">, </w:t>
      </w:r>
      <w:r w:rsidRPr="00184CB9">
        <w:rPr>
          <w:lang w:val="es-CO"/>
        </w:rPr>
        <w:t>La Esperanza</w:t>
      </w:r>
      <w:r w:rsidR="00965ECA">
        <w:rPr>
          <w:lang w:val="es-CO"/>
        </w:rPr>
        <w:t xml:space="preserve"> y el </w:t>
      </w:r>
      <w:r w:rsidR="009C77A7">
        <w:rPr>
          <w:lang w:val="es-CO"/>
        </w:rPr>
        <w:t>c</w:t>
      </w:r>
      <w:r w:rsidR="00965ECA" w:rsidRPr="00965ECA">
        <w:rPr>
          <w:lang w:val="es-CO"/>
        </w:rPr>
        <w:t xml:space="preserve">omplejo </w:t>
      </w:r>
      <w:r w:rsidR="009C77A7">
        <w:rPr>
          <w:lang w:val="es-CO"/>
        </w:rPr>
        <w:t>p</w:t>
      </w:r>
      <w:r w:rsidR="00965ECA" w:rsidRPr="00965ECA">
        <w:rPr>
          <w:lang w:val="es-CO"/>
        </w:rPr>
        <w:t>olicial Evaristo Vásquez</w:t>
      </w:r>
      <w:r w:rsidR="00965ECA">
        <w:rPr>
          <w:lang w:val="es-CO"/>
        </w:rPr>
        <w:t xml:space="preserve"> (“El Chipote”)</w:t>
      </w:r>
      <w:r w:rsidRPr="00184CB9">
        <w:rPr>
          <w:lang w:val="es-CO"/>
        </w:rPr>
        <w:t xml:space="preserve"> (arts. 6 y 7). </w:t>
      </w:r>
    </w:p>
    <w:p w14:paraId="76A73F27" w14:textId="559BDBE8" w:rsidR="009B4288" w:rsidRPr="00184CB9" w:rsidRDefault="009B4288" w:rsidP="00A13853">
      <w:pPr>
        <w:spacing w:after="120"/>
        <w:ind w:left="1134" w:right="992"/>
        <w:jc w:val="both"/>
        <w:rPr>
          <w:b/>
          <w:bCs/>
          <w:lang w:val="es-CO"/>
        </w:rPr>
      </w:pPr>
      <w:r w:rsidRPr="00076D7F">
        <w:rPr>
          <w:lang w:val="es-CO"/>
        </w:rPr>
        <w:t>22.</w:t>
      </w:r>
      <w:r w:rsidR="00DE5DEB" w:rsidRPr="00184CB9">
        <w:rPr>
          <w:b/>
          <w:bCs/>
          <w:lang w:val="es-CO"/>
        </w:rPr>
        <w:t xml:space="preserve"> </w:t>
      </w:r>
      <w:r w:rsidR="00DE5DEB" w:rsidRPr="00184CB9">
        <w:rPr>
          <w:b/>
          <w:bCs/>
          <w:lang w:val="es-CO"/>
        </w:rPr>
        <w:tab/>
      </w:r>
      <w:r w:rsidR="00204E0F">
        <w:rPr>
          <w:b/>
          <w:bCs/>
          <w:lang w:val="es-CO"/>
        </w:rPr>
        <w:t>Con el fin de erradicar la tortura y los malos tratos, e</w:t>
      </w:r>
      <w:r w:rsidRPr="00184CB9">
        <w:rPr>
          <w:b/>
          <w:bCs/>
          <w:lang w:val="es-CO"/>
        </w:rPr>
        <w:t>l Estado parte debe adoptar medidas enérgicas como, por ejemplo:</w:t>
      </w:r>
    </w:p>
    <w:p w14:paraId="61A5F3F2" w14:textId="40BEAE71" w:rsidR="009B4288" w:rsidRPr="00184CB9" w:rsidRDefault="004055D9" w:rsidP="00A13853">
      <w:pPr>
        <w:tabs>
          <w:tab w:val="left" w:pos="1701"/>
        </w:tabs>
        <w:spacing w:after="120"/>
        <w:ind w:left="1134" w:right="992"/>
        <w:jc w:val="both"/>
        <w:rPr>
          <w:b/>
          <w:bCs/>
          <w:lang w:val="es-CO"/>
        </w:rPr>
      </w:pPr>
      <w:r w:rsidRPr="00184CB9">
        <w:rPr>
          <w:b/>
          <w:bCs/>
          <w:lang w:val="es-CO"/>
        </w:rPr>
        <w:tab/>
      </w:r>
      <w:r w:rsidR="00A539E7" w:rsidRPr="00CC5B46">
        <w:rPr>
          <w:bCs/>
          <w:lang w:val="es-CO"/>
        </w:rPr>
        <w:t>a)</w:t>
      </w:r>
      <w:r w:rsidR="00A539E7" w:rsidRPr="00184CB9">
        <w:rPr>
          <w:b/>
          <w:bCs/>
          <w:lang w:val="es-CO"/>
        </w:rPr>
        <w:t xml:space="preserve"> </w:t>
      </w:r>
      <w:r w:rsidR="00A539E7" w:rsidRPr="00184CB9">
        <w:rPr>
          <w:b/>
          <w:bCs/>
          <w:lang w:val="es-CO"/>
        </w:rPr>
        <w:tab/>
      </w:r>
      <w:r w:rsidR="009B4288" w:rsidRPr="00184CB9">
        <w:rPr>
          <w:b/>
          <w:bCs/>
          <w:lang w:val="es-CO"/>
        </w:rPr>
        <w:t xml:space="preserve">Realizar investigaciones rápidas, exhaustivas, eficaces, independientes e imparciales de todas las denuncias de tortura y malos tratos y las muertes durante la detención, de conformidad con el Manual para la </w:t>
      </w:r>
      <w:r w:rsidR="009C77A7">
        <w:rPr>
          <w:b/>
          <w:bCs/>
          <w:lang w:val="es-CO"/>
        </w:rPr>
        <w:t>I</w:t>
      </w:r>
      <w:r w:rsidR="009B4288" w:rsidRPr="00184CB9">
        <w:rPr>
          <w:b/>
          <w:bCs/>
          <w:lang w:val="es-CO"/>
        </w:rPr>
        <w:t xml:space="preserve">nvestigación y </w:t>
      </w:r>
      <w:r w:rsidR="009C77A7">
        <w:rPr>
          <w:b/>
          <w:bCs/>
          <w:lang w:val="es-CO"/>
        </w:rPr>
        <w:t>D</w:t>
      </w:r>
      <w:r w:rsidR="009B4288" w:rsidRPr="00184CB9">
        <w:rPr>
          <w:b/>
          <w:bCs/>
          <w:lang w:val="es-CO"/>
        </w:rPr>
        <w:t xml:space="preserve">ocumentación </w:t>
      </w:r>
      <w:r w:rsidR="009C77A7">
        <w:rPr>
          <w:b/>
          <w:bCs/>
          <w:lang w:val="es-CO"/>
        </w:rPr>
        <w:t>E</w:t>
      </w:r>
      <w:r w:rsidR="009B4288" w:rsidRPr="00184CB9">
        <w:rPr>
          <w:b/>
          <w:bCs/>
          <w:lang w:val="es-CO"/>
        </w:rPr>
        <w:t xml:space="preserve">ficaces de la </w:t>
      </w:r>
      <w:r w:rsidR="009C77A7">
        <w:rPr>
          <w:b/>
          <w:bCs/>
          <w:lang w:val="es-CO"/>
        </w:rPr>
        <w:t>T</w:t>
      </w:r>
      <w:r w:rsidR="009B4288" w:rsidRPr="00184CB9">
        <w:rPr>
          <w:b/>
          <w:bCs/>
          <w:lang w:val="es-CO"/>
        </w:rPr>
        <w:t xml:space="preserve">ortura y </w:t>
      </w:r>
      <w:r w:rsidR="009C77A7">
        <w:rPr>
          <w:b/>
          <w:bCs/>
          <w:lang w:val="es-CO"/>
        </w:rPr>
        <w:t>O</w:t>
      </w:r>
      <w:r w:rsidR="009B4288" w:rsidRPr="00184CB9">
        <w:rPr>
          <w:b/>
          <w:bCs/>
          <w:lang w:val="es-CO"/>
        </w:rPr>
        <w:t xml:space="preserve">tros </w:t>
      </w:r>
      <w:r w:rsidR="009C77A7">
        <w:rPr>
          <w:b/>
          <w:bCs/>
          <w:lang w:val="es-CO"/>
        </w:rPr>
        <w:t>T</w:t>
      </w:r>
      <w:r w:rsidR="009B4288" w:rsidRPr="00184CB9">
        <w:rPr>
          <w:b/>
          <w:bCs/>
          <w:lang w:val="es-CO"/>
        </w:rPr>
        <w:t xml:space="preserve">ratos o </w:t>
      </w:r>
      <w:r w:rsidR="009C77A7">
        <w:rPr>
          <w:b/>
          <w:bCs/>
          <w:lang w:val="es-CO"/>
        </w:rPr>
        <w:t>P</w:t>
      </w:r>
      <w:r w:rsidR="009B4288" w:rsidRPr="00184CB9">
        <w:rPr>
          <w:b/>
          <w:bCs/>
          <w:lang w:val="es-CO"/>
        </w:rPr>
        <w:t xml:space="preserve">enas </w:t>
      </w:r>
      <w:r w:rsidR="009C77A7">
        <w:rPr>
          <w:b/>
          <w:bCs/>
          <w:lang w:val="es-CO"/>
        </w:rPr>
        <w:t>C</w:t>
      </w:r>
      <w:r w:rsidR="009B4288" w:rsidRPr="00184CB9">
        <w:rPr>
          <w:b/>
          <w:bCs/>
          <w:lang w:val="es-CO"/>
        </w:rPr>
        <w:t xml:space="preserve">rueles, </w:t>
      </w:r>
      <w:r w:rsidR="009C77A7">
        <w:rPr>
          <w:b/>
          <w:bCs/>
          <w:lang w:val="es-CO"/>
        </w:rPr>
        <w:t>I</w:t>
      </w:r>
      <w:r w:rsidR="009B4288" w:rsidRPr="00184CB9">
        <w:rPr>
          <w:b/>
          <w:bCs/>
          <w:lang w:val="es-CO"/>
        </w:rPr>
        <w:t xml:space="preserve">nhumanos o </w:t>
      </w:r>
      <w:r w:rsidR="009C77A7">
        <w:rPr>
          <w:b/>
          <w:bCs/>
          <w:lang w:val="es-CO"/>
        </w:rPr>
        <w:t>D</w:t>
      </w:r>
      <w:r w:rsidR="009B4288" w:rsidRPr="00184CB9">
        <w:rPr>
          <w:b/>
          <w:bCs/>
          <w:lang w:val="es-CO"/>
        </w:rPr>
        <w:t>egradantes (Protocolo de Estambul), así como de todos los actos de violencia cometidos por la policía y los funcionarios de prisiones durante la detención</w:t>
      </w:r>
      <w:r w:rsidR="00402AEE">
        <w:rPr>
          <w:b/>
          <w:bCs/>
          <w:lang w:val="es-CO"/>
        </w:rPr>
        <w:t xml:space="preserve"> y</w:t>
      </w:r>
      <w:r w:rsidR="009B4288" w:rsidRPr="00184CB9">
        <w:rPr>
          <w:b/>
          <w:bCs/>
          <w:lang w:val="es-CO"/>
        </w:rPr>
        <w:t xml:space="preserve"> en las comisarías de policía y centros de privación de libertad, velando por que se enjuicie a los autores y se les castigue debidamente si son declarados culpables y </w:t>
      </w:r>
      <w:proofErr w:type="spellStart"/>
      <w:r w:rsidR="009B4288" w:rsidRPr="00184CB9">
        <w:rPr>
          <w:b/>
          <w:bCs/>
          <w:lang w:val="es-CO"/>
        </w:rPr>
        <w:t xml:space="preserve">por </w:t>
      </w:r>
      <w:r w:rsidR="00452224" w:rsidRPr="00184CB9">
        <w:rPr>
          <w:b/>
          <w:bCs/>
          <w:lang w:val="es-CO"/>
        </w:rPr>
        <w:t>que</w:t>
      </w:r>
      <w:proofErr w:type="spellEnd"/>
      <w:r w:rsidR="00452224" w:rsidRPr="00184CB9">
        <w:rPr>
          <w:b/>
          <w:bCs/>
          <w:lang w:val="es-CO"/>
        </w:rPr>
        <w:t xml:space="preserve"> </w:t>
      </w:r>
      <w:r w:rsidR="009B4288" w:rsidRPr="00184CB9">
        <w:rPr>
          <w:b/>
          <w:bCs/>
          <w:lang w:val="es-CO"/>
        </w:rPr>
        <w:t>las víctimas reciban una reparación integral;</w:t>
      </w:r>
    </w:p>
    <w:p w14:paraId="458314F2" w14:textId="1FF1942D" w:rsidR="009B4288" w:rsidRPr="00184CB9" w:rsidRDefault="004055D9" w:rsidP="00A13853">
      <w:pPr>
        <w:tabs>
          <w:tab w:val="left" w:pos="1701"/>
        </w:tabs>
        <w:spacing w:after="120"/>
        <w:ind w:left="1134" w:right="992"/>
        <w:jc w:val="both"/>
        <w:rPr>
          <w:b/>
          <w:bCs/>
          <w:lang w:val="es-CO"/>
        </w:rPr>
      </w:pPr>
      <w:r w:rsidRPr="00184CB9">
        <w:rPr>
          <w:b/>
          <w:bCs/>
          <w:lang w:val="es-CO"/>
        </w:rPr>
        <w:tab/>
      </w:r>
      <w:r w:rsidR="00A539E7" w:rsidRPr="00CC5B46">
        <w:rPr>
          <w:bCs/>
          <w:lang w:val="es-CO"/>
        </w:rPr>
        <w:t>b)</w:t>
      </w:r>
      <w:r w:rsidR="00A539E7" w:rsidRPr="00184CB9">
        <w:rPr>
          <w:b/>
          <w:bCs/>
          <w:lang w:val="es-CO"/>
        </w:rPr>
        <w:t xml:space="preserve"> </w:t>
      </w:r>
      <w:r w:rsidR="00A539E7" w:rsidRPr="00184CB9">
        <w:rPr>
          <w:b/>
          <w:bCs/>
          <w:lang w:val="es-CO"/>
        </w:rPr>
        <w:tab/>
      </w:r>
      <w:r w:rsidR="009B4288" w:rsidRPr="00184CB9">
        <w:rPr>
          <w:b/>
          <w:bCs/>
          <w:lang w:val="es-CO"/>
        </w:rPr>
        <w:t xml:space="preserve">Velar por que todas las personas privadas de libertad tengan acceso a un mecanismo de denuncia independiente y eficaz que permita investigar las </w:t>
      </w:r>
      <w:r w:rsidR="00402AEE">
        <w:rPr>
          <w:b/>
          <w:bCs/>
          <w:lang w:val="es-CO"/>
        </w:rPr>
        <w:t>alegaciones</w:t>
      </w:r>
      <w:r w:rsidR="00402AEE" w:rsidRPr="00184CB9">
        <w:rPr>
          <w:b/>
          <w:bCs/>
          <w:lang w:val="es-CO"/>
        </w:rPr>
        <w:t xml:space="preserve"> </w:t>
      </w:r>
      <w:r w:rsidR="009B4288" w:rsidRPr="00184CB9">
        <w:rPr>
          <w:b/>
          <w:bCs/>
          <w:lang w:val="es-CO"/>
        </w:rPr>
        <w:t xml:space="preserve">de tortura y malos tratos y garantice un acceso rápido, eficaz y directo a los órganos </w:t>
      </w:r>
      <w:r w:rsidR="009B4288" w:rsidRPr="00184CB9">
        <w:rPr>
          <w:b/>
          <w:bCs/>
          <w:lang w:val="es-CO"/>
        </w:rPr>
        <w:lastRenderedPageBreak/>
        <w:t xml:space="preserve">encargados de tramitar esas denuncias </w:t>
      </w:r>
      <w:r w:rsidR="00055FBE" w:rsidRPr="00184CB9">
        <w:rPr>
          <w:b/>
          <w:bCs/>
          <w:lang w:val="es-CO"/>
        </w:rPr>
        <w:t>y a los recursos previstos en el artículo 2</w:t>
      </w:r>
      <w:r w:rsidR="009C77A7">
        <w:rPr>
          <w:b/>
          <w:bCs/>
          <w:lang w:val="es-CO"/>
        </w:rPr>
        <w:t xml:space="preserve">, párrafo </w:t>
      </w:r>
      <w:r w:rsidR="00055FBE" w:rsidRPr="00184CB9">
        <w:rPr>
          <w:b/>
          <w:bCs/>
          <w:lang w:val="es-CO"/>
        </w:rPr>
        <w:t>3</w:t>
      </w:r>
      <w:r w:rsidR="009C77A7">
        <w:rPr>
          <w:b/>
          <w:bCs/>
          <w:lang w:val="es-CO"/>
        </w:rPr>
        <w:t>,</w:t>
      </w:r>
      <w:r w:rsidR="00055FBE" w:rsidRPr="00184CB9">
        <w:rPr>
          <w:b/>
          <w:bCs/>
          <w:lang w:val="es-CO"/>
        </w:rPr>
        <w:t xml:space="preserve"> del Pacto;</w:t>
      </w:r>
    </w:p>
    <w:p w14:paraId="50C76307" w14:textId="11CE3BAC" w:rsidR="009B4288" w:rsidRPr="00184CB9" w:rsidRDefault="004055D9" w:rsidP="00A13853">
      <w:pPr>
        <w:tabs>
          <w:tab w:val="left" w:pos="1701"/>
        </w:tabs>
        <w:spacing w:after="120"/>
        <w:ind w:left="1134" w:right="992"/>
        <w:jc w:val="both"/>
        <w:rPr>
          <w:b/>
          <w:bCs/>
          <w:lang w:val="es-CO"/>
        </w:rPr>
      </w:pPr>
      <w:r w:rsidRPr="00184CB9">
        <w:rPr>
          <w:b/>
          <w:bCs/>
          <w:lang w:val="es-CO"/>
        </w:rPr>
        <w:tab/>
      </w:r>
      <w:r w:rsidR="00A539E7" w:rsidRPr="009C77A7">
        <w:rPr>
          <w:bCs/>
          <w:lang w:val="es-CO"/>
        </w:rPr>
        <w:t>c)</w:t>
      </w:r>
      <w:r w:rsidR="00A539E7" w:rsidRPr="009C77A7">
        <w:rPr>
          <w:b/>
          <w:bCs/>
          <w:lang w:val="es-CO"/>
        </w:rPr>
        <w:t xml:space="preserve"> </w:t>
      </w:r>
      <w:r w:rsidR="00A539E7" w:rsidRPr="009C77A7">
        <w:rPr>
          <w:b/>
          <w:bCs/>
          <w:lang w:val="es-CO"/>
        </w:rPr>
        <w:tab/>
      </w:r>
      <w:r w:rsidR="009B4288" w:rsidRPr="009C77A7">
        <w:rPr>
          <w:b/>
          <w:bCs/>
          <w:lang w:val="es-CO"/>
        </w:rPr>
        <w:t xml:space="preserve">Investigar de manera pronta y exhaustiva todas las muertes de personas </w:t>
      </w:r>
      <w:r w:rsidR="009C77A7" w:rsidRPr="009C77A7">
        <w:rPr>
          <w:b/>
          <w:bCs/>
          <w:lang w:val="es-CO"/>
        </w:rPr>
        <w:t xml:space="preserve">sometidas a </w:t>
      </w:r>
      <w:r w:rsidR="009B4288" w:rsidRPr="009C77A7">
        <w:rPr>
          <w:b/>
          <w:bCs/>
          <w:lang w:val="es-CO"/>
        </w:rPr>
        <w:t>detención que puedan ser ilegales, enjuiciar y, si procede, castigar a los responsables de las mismas, y otorgar reparación integral a los familiares de las víctimas.</w:t>
      </w:r>
    </w:p>
    <w:p w14:paraId="407BF304" w14:textId="0CB8E274" w:rsidR="00C43048" w:rsidRPr="00184CB9" w:rsidRDefault="00076D7F" w:rsidP="00076D7F">
      <w:pPr>
        <w:pStyle w:val="H23G"/>
      </w:pPr>
      <w:r>
        <w:tab/>
      </w:r>
      <w:r>
        <w:tab/>
      </w:r>
      <w:r w:rsidR="00C43048" w:rsidRPr="00184CB9">
        <w:t>Tratamiento de las personas privadas de libertad</w:t>
      </w:r>
    </w:p>
    <w:p w14:paraId="5F0D7DAF" w14:textId="567DDB72" w:rsidR="00C43048" w:rsidRPr="00184CB9" w:rsidRDefault="00C43048" w:rsidP="00A13853">
      <w:pPr>
        <w:tabs>
          <w:tab w:val="left" w:pos="1701"/>
          <w:tab w:val="left" w:pos="8505"/>
        </w:tabs>
        <w:spacing w:after="120"/>
        <w:ind w:left="1134" w:right="992"/>
        <w:jc w:val="both"/>
        <w:rPr>
          <w:i/>
          <w:lang w:val="es-CO"/>
        </w:rPr>
      </w:pPr>
      <w:r w:rsidRPr="00184CB9">
        <w:rPr>
          <w:lang w:val="es-CO"/>
        </w:rPr>
        <w:t>2</w:t>
      </w:r>
      <w:r w:rsidR="00BB5715" w:rsidRPr="00184CB9">
        <w:rPr>
          <w:lang w:val="es-CO"/>
        </w:rPr>
        <w:t>3</w:t>
      </w:r>
      <w:r w:rsidRPr="00184CB9">
        <w:rPr>
          <w:lang w:val="es-CO"/>
        </w:rPr>
        <w:t xml:space="preserve">. </w:t>
      </w:r>
      <w:r w:rsidR="008D0F7F" w:rsidRPr="00184CB9">
        <w:rPr>
          <w:lang w:val="es-CO"/>
        </w:rPr>
        <w:tab/>
      </w:r>
      <w:r w:rsidR="00200596" w:rsidRPr="00184CB9">
        <w:rPr>
          <w:lang w:val="es-CO"/>
        </w:rPr>
        <w:t xml:space="preserve">Si bien </w:t>
      </w:r>
      <w:r w:rsidR="005748E1" w:rsidRPr="00184CB9">
        <w:rPr>
          <w:lang w:val="es-CO"/>
        </w:rPr>
        <w:t xml:space="preserve">el </w:t>
      </w:r>
      <w:r w:rsidRPr="00184CB9">
        <w:rPr>
          <w:lang w:val="es-CO"/>
        </w:rPr>
        <w:t xml:space="preserve">Comité toma nota del avance en la reducción del hacinamiento </w:t>
      </w:r>
      <w:r w:rsidR="00402AEE" w:rsidRPr="00184CB9">
        <w:t>de las personas privadas de libertad</w:t>
      </w:r>
      <w:r w:rsidR="00402AEE" w:rsidRPr="00184CB9">
        <w:rPr>
          <w:lang w:val="es-CO"/>
        </w:rPr>
        <w:t xml:space="preserve"> </w:t>
      </w:r>
      <w:r w:rsidRPr="00184CB9">
        <w:rPr>
          <w:lang w:val="es-CO"/>
        </w:rPr>
        <w:t xml:space="preserve">al que hizo referencia el Estado parte en su </w:t>
      </w:r>
      <w:r w:rsidR="009C77A7">
        <w:rPr>
          <w:lang w:val="es-CO"/>
        </w:rPr>
        <w:t xml:space="preserve">cuarto </w:t>
      </w:r>
      <w:r w:rsidRPr="00184CB9">
        <w:rPr>
          <w:lang w:val="es-CO"/>
        </w:rPr>
        <w:t>informe periódico</w:t>
      </w:r>
      <w:r w:rsidR="009F0CDA" w:rsidRPr="007D14C9">
        <w:rPr>
          <w:rStyle w:val="Refdenotaalpie"/>
          <w:rFonts w:ascii="Times" w:hAnsi="Times"/>
          <w:szCs w:val="18"/>
        </w:rPr>
        <w:footnoteReference w:id="8"/>
      </w:r>
      <w:r w:rsidRPr="00184CB9">
        <w:rPr>
          <w:lang w:val="es-CO"/>
        </w:rPr>
        <w:t>, así como de las medidas adoptadas para mejorar las condiciones de detención</w:t>
      </w:r>
      <w:r w:rsidR="005748E1" w:rsidRPr="00184CB9">
        <w:rPr>
          <w:lang w:val="es-CO"/>
        </w:rPr>
        <w:t xml:space="preserve">, </w:t>
      </w:r>
      <w:r w:rsidR="00200596" w:rsidRPr="00184CB9">
        <w:rPr>
          <w:lang w:val="es-CO"/>
        </w:rPr>
        <w:t xml:space="preserve">le preocupa </w:t>
      </w:r>
      <w:r w:rsidRPr="00184CB9">
        <w:rPr>
          <w:lang w:val="es-CO"/>
        </w:rPr>
        <w:t xml:space="preserve">la información recibida sobre el nivel de hacinamiento que se mantiene en centros de detención como La Modelo y </w:t>
      </w:r>
      <w:r w:rsidR="009C77A7">
        <w:rPr>
          <w:lang w:val="es-CO"/>
        </w:rPr>
        <w:t>L</w:t>
      </w:r>
      <w:r w:rsidRPr="00184CB9">
        <w:rPr>
          <w:lang w:val="es-CO"/>
        </w:rPr>
        <w:t>a Esperanza</w:t>
      </w:r>
      <w:r w:rsidR="0080502D" w:rsidRPr="00184CB9">
        <w:rPr>
          <w:lang w:val="es-CO"/>
        </w:rPr>
        <w:t xml:space="preserve">, </w:t>
      </w:r>
      <w:r w:rsidR="005748E1" w:rsidRPr="00184CB9">
        <w:rPr>
          <w:rFonts w:ascii="Times" w:hAnsi="Times"/>
          <w:color w:val="000000" w:themeColor="text1"/>
          <w:shd w:val="clear" w:color="auto" w:fill="FFFFFF"/>
        </w:rPr>
        <w:t xml:space="preserve">la deficiente atención de la salud en centros de reclusión como </w:t>
      </w:r>
      <w:r w:rsidR="009C77A7">
        <w:rPr>
          <w:rFonts w:ascii="Times" w:hAnsi="Times"/>
          <w:color w:val="000000" w:themeColor="text1"/>
          <w:shd w:val="clear" w:color="auto" w:fill="FFFFFF"/>
        </w:rPr>
        <w:t>E</w:t>
      </w:r>
      <w:r w:rsidR="005748E1" w:rsidRPr="00184CB9">
        <w:rPr>
          <w:rFonts w:ascii="Times" w:hAnsi="Times"/>
          <w:color w:val="000000" w:themeColor="text1"/>
          <w:shd w:val="clear" w:color="auto" w:fill="FFFFFF"/>
        </w:rPr>
        <w:t>l Chipote</w:t>
      </w:r>
      <w:r w:rsidR="00EF007D" w:rsidRPr="00184CB9">
        <w:rPr>
          <w:rFonts w:ascii="Times" w:hAnsi="Times"/>
          <w:color w:val="000000" w:themeColor="text1"/>
          <w:shd w:val="clear" w:color="auto" w:fill="FFFFFF"/>
        </w:rPr>
        <w:t xml:space="preserve"> y </w:t>
      </w:r>
      <w:r w:rsidR="00D06971" w:rsidRPr="00184CB9">
        <w:rPr>
          <w:rFonts w:ascii="Times" w:hAnsi="Times"/>
          <w:color w:val="000000" w:themeColor="text1"/>
          <w:shd w:val="clear" w:color="auto" w:fill="FFFFFF"/>
        </w:rPr>
        <w:t xml:space="preserve">los </w:t>
      </w:r>
      <w:r w:rsidR="0080502D" w:rsidRPr="00184CB9">
        <w:rPr>
          <w:rFonts w:ascii="Times" w:hAnsi="Times"/>
          <w:color w:val="000000" w:themeColor="text1"/>
          <w:shd w:val="clear" w:color="auto" w:fill="FFFFFF"/>
        </w:rPr>
        <w:t>casos de muerte</w:t>
      </w:r>
      <w:r w:rsidR="009C77A7">
        <w:rPr>
          <w:rFonts w:ascii="Times" w:hAnsi="Times"/>
          <w:color w:val="000000" w:themeColor="text1"/>
          <w:shd w:val="clear" w:color="auto" w:fill="FFFFFF"/>
        </w:rPr>
        <w:t>s</w:t>
      </w:r>
      <w:r w:rsidR="0080502D" w:rsidRPr="00184CB9">
        <w:rPr>
          <w:rFonts w:ascii="Times" w:hAnsi="Times"/>
          <w:color w:val="000000" w:themeColor="text1"/>
          <w:shd w:val="clear" w:color="auto" w:fill="FFFFFF"/>
        </w:rPr>
        <w:t xml:space="preserve"> </w:t>
      </w:r>
      <w:r w:rsidR="00402AEE">
        <w:rPr>
          <w:rFonts w:ascii="Times" w:hAnsi="Times"/>
          <w:color w:val="000000" w:themeColor="text1"/>
          <w:shd w:val="clear" w:color="auto" w:fill="FFFFFF"/>
        </w:rPr>
        <w:t>durante</w:t>
      </w:r>
      <w:r w:rsidR="009C77A7">
        <w:rPr>
          <w:rFonts w:ascii="Times" w:hAnsi="Times"/>
          <w:color w:val="000000" w:themeColor="text1"/>
          <w:shd w:val="clear" w:color="auto" w:fill="FFFFFF"/>
        </w:rPr>
        <w:t xml:space="preserve"> </w:t>
      </w:r>
      <w:r w:rsidR="00402AEE">
        <w:rPr>
          <w:rFonts w:ascii="Times" w:hAnsi="Times"/>
          <w:color w:val="000000" w:themeColor="text1"/>
          <w:shd w:val="clear" w:color="auto" w:fill="FFFFFF"/>
        </w:rPr>
        <w:t>l</w:t>
      </w:r>
      <w:r w:rsidR="009C77A7">
        <w:rPr>
          <w:rFonts w:ascii="Times" w:hAnsi="Times"/>
          <w:color w:val="000000" w:themeColor="text1"/>
          <w:shd w:val="clear" w:color="auto" w:fill="FFFFFF"/>
        </w:rPr>
        <w:t>a</w:t>
      </w:r>
      <w:r w:rsidR="009C77A7" w:rsidRPr="00184CB9">
        <w:rPr>
          <w:rFonts w:ascii="Times" w:hAnsi="Times"/>
          <w:color w:val="000000" w:themeColor="text1"/>
          <w:shd w:val="clear" w:color="auto" w:fill="FFFFFF"/>
        </w:rPr>
        <w:t xml:space="preserve"> </w:t>
      </w:r>
      <w:r w:rsidR="0080502D" w:rsidRPr="00184CB9">
        <w:rPr>
          <w:rFonts w:ascii="Times" w:hAnsi="Times"/>
          <w:color w:val="000000" w:themeColor="text1"/>
          <w:shd w:val="clear" w:color="auto" w:fill="FFFFFF"/>
        </w:rPr>
        <w:t>detención</w:t>
      </w:r>
      <w:r w:rsidR="005748E1" w:rsidRPr="00184CB9">
        <w:rPr>
          <w:lang w:val="es-CO"/>
        </w:rPr>
        <w:t xml:space="preserve">. Asimismo, le inquieta la falta de información sobre los registros de detención y las alegaciones </w:t>
      </w:r>
      <w:r w:rsidR="0080502D" w:rsidRPr="00184CB9">
        <w:rPr>
          <w:lang w:val="es-CO"/>
        </w:rPr>
        <w:t xml:space="preserve">recibidas sobre </w:t>
      </w:r>
      <w:r w:rsidRPr="00184CB9">
        <w:rPr>
          <w:lang w:val="es-CO"/>
        </w:rPr>
        <w:t>la suspensión de las visitas familiares, especialmente de hijos menores de edad</w:t>
      </w:r>
      <w:r w:rsidR="009C77A7">
        <w:rPr>
          <w:lang w:val="es-CO"/>
        </w:rPr>
        <w:t>,</w:t>
      </w:r>
      <w:r w:rsidRPr="00184CB9">
        <w:rPr>
          <w:lang w:val="es-CO"/>
        </w:rPr>
        <w:t xml:space="preserve"> el racionamiento de comida</w:t>
      </w:r>
      <w:r w:rsidR="009C77A7">
        <w:rPr>
          <w:lang w:val="es-CO"/>
        </w:rPr>
        <w:t>,</w:t>
      </w:r>
      <w:r w:rsidRPr="00184CB9">
        <w:rPr>
          <w:lang w:val="es-CO"/>
        </w:rPr>
        <w:t xml:space="preserve"> la realización de registros corporales rutinarios sin vestimenta y las inspecciones visuales injustificadas y degradantes que se practican en los lugares de detención.</w:t>
      </w:r>
      <w:r w:rsidRPr="00184CB9">
        <w:rPr>
          <w:color w:val="000000" w:themeColor="text1"/>
          <w:lang w:val="es-CO"/>
        </w:rPr>
        <w:t xml:space="preserve"> </w:t>
      </w:r>
      <w:r w:rsidRPr="00184CB9">
        <w:rPr>
          <w:lang w:val="es-CO"/>
        </w:rPr>
        <w:t>También le preocupa la imposición de la reclusión en régimen de aislamiento como medida disciplinaria</w:t>
      </w:r>
      <w:r w:rsidR="003F05C5" w:rsidRPr="00184CB9">
        <w:rPr>
          <w:lang w:val="es-CO"/>
        </w:rPr>
        <w:t xml:space="preserve"> </w:t>
      </w:r>
      <w:r w:rsidRPr="00184CB9">
        <w:rPr>
          <w:lang w:val="es-CO"/>
        </w:rPr>
        <w:t>(arts. 7 y 10)</w:t>
      </w:r>
      <w:r w:rsidRPr="00184CB9">
        <w:rPr>
          <w:i/>
          <w:lang w:val="es-CO"/>
        </w:rPr>
        <w:t>.</w:t>
      </w:r>
    </w:p>
    <w:p w14:paraId="62D8BAC9" w14:textId="63FBE777" w:rsidR="00FD0A77" w:rsidRPr="00184CB9" w:rsidRDefault="00C43048" w:rsidP="00A13853">
      <w:pPr>
        <w:tabs>
          <w:tab w:val="left" w:pos="1701"/>
        </w:tabs>
        <w:spacing w:after="120"/>
        <w:ind w:left="1134" w:right="992"/>
        <w:jc w:val="both"/>
        <w:rPr>
          <w:b/>
          <w:bCs/>
          <w:iCs/>
          <w:lang w:val="es-CO"/>
        </w:rPr>
      </w:pPr>
      <w:r w:rsidRPr="00076D7F">
        <w:rPr>
          <w:iCs/>
          <w:lang w:val="es-CO"/>
        </w:rPr>
        <w:t>2</w:t>
      </w:r>
      <w:r w:rsidR="00BB5715" w:rsidRPr="00076D7F">
        <w:rPr>
          <w:iCs/>
          <w:lang w:val="es-CO"/>
        </w:rPr>
        <w:t>4</w:t>
      </w:r>
      <w:r w:rsidRPr="00076D7F">
        <w:rPr>
          <w:iCs/>
          <w:lang w:val="es-CO"/>
        </w:rPr>
        <w:t xml:space="preserve">. </w:t>
      </w:r>
      <w:r w:rsidR="008D0F7F" w:rsidRPr="00076D7F">
        <w:rPr>
          <w:iCs/>
          <w:lang w:val="es-CO"/>
        </w:rPr>
        <w:tab/>
      </w:r>
      <w:r w:rsidR="00FD0A77" w:rsidRPr="00184CB9">
        <w:rPr>
          <w:b/>
          <w:bCs/>
          <w:lang w:val="es-CO"/>
        </w:rPr>
        <w:t xml:space="preserve">Conforme a las Reglas Mínimas de las Naciones Unidas para el Tratamiento de los Reclusos (Reglas Nelson Mandela), </w:t>
      </w:r>
      <w:r w:rsidR="00FD0A77" w:rsidRPr="00184CB9">
        <w:rPr>
          <w:b/>
          <w:bCs/>
          <w:iCs/>
          <w:lang w:val="es-CO"/>
        </w:rPr>
        <w:t>e</w:t>
      </w:r>
      <w:r w:rsidRPr="00184CB9">
        <w:rPr>
          <w:b/>
          <w:bCs/>
          <w:iCs/>
          <w:lang w:val="es-CO"/>
        </w:rPr>
        <w:t>l Estado parte debe</w:t>
      </w:r>
      <w:r w:rsidR="00FD0A77" w:rsidRPr="00184CB9">
        <w:rPr>
          <w:b/>
          <w:bCs/>
          <w:iCs/>
          <w:lang w:val="es-CO"/>
        </w:rPr>
        <w:t>:</w:t>
      </w:r>
    </w:p>
    <w:p w14:paraId="0D3B4665" w14:textId="355884EC" w:rsidR="00FD0A77" w:rsidRPr="00184CB9" w:rsidRDefault="00A539E7" w:rsidP="00A13853">
      <w:pPr>
        <w:tabs>
          <w:tab w:val="left" w:pos="1701"/>
        </w:tabs>
        <w:spacing w:after="120"/>
        <w:ind w:left="1134" w:right="992"/>
        <w:jc w:val="both"/>
        <w:rPr>
          <w:b/>
          <w:bCs/>
          <w:iCs/>
          <w:lang w:val="es-CO"/>
        </w:rPr>
      </w:pPr>
      <w:r w:rsidRPr="00184CB9">
        <w:rPr>
          <w:b/>
          <w:bCs/>
          <w:iCs/>
          <w:lang w:val="es-CO"/>
        </w:rPr>
        <w:tab/>
      </w:r>
      <w:r w:rsidRPr="00CC5B46">
        <w:rPr>
          <w:bCs/>
          <w:iCs/>
          <w:lang w:val="es-CO"/>
        </w:rPr>
        <w:t>a)</w:t>
      </w:r>
      <w:r w:rsidRPr="00184CB9">
        <w:rPr>
          <w:b/>
          <w:bCs/>
          <w:iCs/>
          <w:lang w:val="es-CO"/>
        </w:rPr>
        <w:t xml:space="preserve"> </w:t>
      </w:r>
      <w:r w:rsidRPr="00184CB9">
        <w:rPr>
          <w:b/>
          <w:bCs/>
          <w:iCs/>
          <w:lang w:val="es-CO"/>
        </w:rPr>
        <w:tab/>
      </w:r>
      <w:r w:rsidR="00FD0A77" w:rsidRPr="00184CB9">
        <w:rPr>
          <w:b/>
          <w:bCs/>
          <w:iCs/>
          <w:lang w:val="es-CO"/>
        </w:rPr>
        <w:t>E</w:t>
      </w:r>
      <w:r w:rsidR="00C43048" w:rsidRPr="00184CB9">
        <w:rPr>
          <w:b/>
          <w:bCs/>
          <w:iCs/>
          <w:lang w:val="es-CO"/>
        </w:rPr>
        <w:t xml:space="preserve">stablecer un mecanismo de registro de los casos de personas detenidas, incluyendo aquellas </w:t>
      </w:r>
      <w:r w:rsidR="00402AEE">
        <w:rPr>
          <w:b/>
          <w:bCs/>
          <w:iCs/>
          <w:lang w:val="es-CO"/>
        </w:rPr>
        <w:t xml:space="preserve">que fueron </w:t>
      </w:r>
      <w:r w:rsidR="00C43048" w:rsidRPr="00184CB9">
        <w:rPr>
          <w:b/>
          <w:bCs/>
          <w:iCs/>
          <w:lang w:val="es-CO"/>
        </w:rPr>
        <w:t>detenidas en el contexto de l</w:t>
      </w:r>
      <w:r w:rsidR="00FD0A77" w:rsidRPr="00184CB9">
        <w:rPr>
          <w:b/>
          <w:bCs/>
          <w:iCs/>
          <w:lang w:val="es-CO"/>
        </w:rPr>
        <w:t xml:space="preserve">a crisis sociopolítica iniciada en 2018, </w:t>
      </w:r>
      <w:r w:rsidR="00C43048" w:rsidRPr="00184CB9">
        <w:rPr>
          <w:b/>
          <w:bCs/>
          <w:iCs/>
          <w:lang w:val="es-CO"/>
        </w:rPr>
        <w:t xml:space="preserve">que incluya información detallada sobre su identidad, circunstancias y motivos de </w:t>
      </w:r>
      <w:r w:rsidR="00880F2E">
        <w:rPr>
          <w:b/>
          <w:bCs/>
          <w:iCs/>
          <w:lang w:val="es-CO"/>
        </w:rPr>
        <w:t xml:space="preserve">su </w:t>
      </w:r>
      <w:r w:rsidR="00C43048" w:rsidRPr="00184CB9">
        <w:rPr>
          <w:b/>
          <w:bCs/>
          <w:iCs/>
          <w:lang w:val="es-CO"/>
        </w:rPr>
        <w:t>detención, y lugar de detención</w:t>
      </w:r>
      <w:r w:rsidR="00880F2E">
        <w:rPr>
          <w:b/>
          <w:bCs/>
          <w:iCs/>
          <w:lang w:val="es-CO"/>
        </w:rPr>
        <w:t>,</w:t>
      </w:r>
      <w:r w:rsidR="00C43048" w:rsidRPr="00184CB9">
        <w:rPr>
          <w:b/>
          <w:bCs/>
          <w:iCs/>
          <w:lang w:val="es-CO"/>
        </w:rPr>
        <w:t xml:space="preserve"> y que además sea accesible a las familias de los detenidos</w:t>
      </w:r>
      <w:r w:rsidR="00583C2D" w:rsidRPr="00184CB9">
        <w:rPr>
          <w:b/>
          <w:bCs/>
          <w:iCs/>
          <w:lang w:val="es-CO"/>
        </w:rPr>
        <w:t>;</w:t>
      </w:r>
    </w:p>
    <w:p w14:paraId="2D1E966F" w14:textId="1FF029C7" w:rsidR="00FD0A77" w:rsidRPr="00184CB9" w:rsidRDefault="00A539E7" w:rsidP="00A13853">
      <w:pPr>
        <w:tabs>
          <w:tab w:val="left" w:pos="1701"/>
        </w:tabs>
        <w:spacing w:after="120"/>
        <w:ind w:left="1134" w:right="992"/>
        <w:jc w:val="both"/>
        <w:rPr>
          <w:b/>
          <w:bCs/>
          <w:iCs/>
          <w:lang w:val="es-CO"/>
        </w:rPr>
      </w:pPr>
      <w:r w:rsidRPr="00184CB9">
        <w:rPr>
          <w:b/>
          <w:bCs/>
          <w:iCs/>
          <w:lang w:val="es-CO"/>
        </w:rPr>
        <w:tab/>
      </w:r>
      <w:r w:rsidRPr="00CC5B46">
        <w:rPr>
          <w:bCs/>
          <w:iCs/>
          <w:lang w:val="es-CO"/>
        </w:rPr>
        <w:t>b)</w:t>
      </w:r>
      <w:r w:rsidRPr="00184CB9">
        <w:rPr>
          <w:b/>
          <w:bCs/>
          <w:iCs/>
          <w:lang w:val="es-CO"/>
        </w:rPr>
        <w:t xml:space="preserve"> </w:t>
      </w:r>
      <w:r w:rsidRPr="00184CB9">
        <w:rPr>
          <w:b/>
          <w:bCs/>
          <w:iCs/>
          <w:lang w:val="es-CO"/>
        </w:rPr>
        <w:tab/>
      </w:r>
      <w:r w:rsidR="00FD0A77" w:rsidRPr="00184CB9">
        <w:rPr>
          <w:b/>
          <w:bCs/>
          <w:iCs/>
          <w:lang w:val="es-CO"/>
        </w:rPr>
        <w:t>E</w:t>
      </w:r>
      <w:r w:rsidR="00C43048" w:rsidRPr="00184CB9">
        <w:rPr>
          <w:b/>
          <w:bCs/>
          <w:iCs/>
          <w:lang w:val="es-CO"/>
        </w:rPr>
        <w:t xml:space="preserve">jercer una supervisión estricta de los procedimientos de registro personales, incluidos los registros </w:t>
      </w:r>
      <w:r w:rsidR="00402AEE">
        <w:rPr>
          <w:b/>
          <w:bCs/>
          <w:iCs/>
          <w:lang w:val="es-CO"/>
        </w:rPr>
        <w:t>para</w:t>
      </w:r>
      <w:r w:rsidR="00880F2E">
        <w:rPr>
          <w:b/>
          <w:bCs/>
          <w:iCs/>
          <w:lang w:val="es-CO"/>
        </w:rPr>
        <w:t xml:space="preserve"> las</w:t>
      </w:r>
      <w:r w:rsidR="00880F2E" w:rsidRPr="00184CB9">
        <w:rPr>
          <w:b/>
          <w:bCs/>
          <w:iCs/>
          <w:lang w:val="es-CO"/>
        </w:rPr>
        <w:t xml:space="preserve"> </w:t>
      </w:r>
      <w:r w:rsidR="00C43048" w:rsidRPr="00184CB9">
        <w:rPr>
          <w:b/>
          <w:bCs/>
          <w:iCs/>
          <w:lang w:val="es-CO"/>
        </w:rPr>
        <w:t>visitas íntimas, velando por que los registros invasivos solo se efectúen en casos excepcionales, de la manera menos intrusiva posible</w:t>
      </w:r>
      <w:r w:rsidR="00FD0A77" w:rsidRPr="00184CB9">
        <w:rPr>
          <w:b/>
          <w:bCs/>
          <w:iCs/>
          <w:lang w:val="es-CO"/>
        </w:rPr>
        <w:t xml:space="preserve"> </w:t>
      </w:r>
      <w:r w:rsidR="00C43048" w:rsidRPr="00184CB9">
        <w:rPr>
          <w:b/>
          <w:bCs/>
          <w:iCs/>
          <w:lang w:val="es-CO"/>
        </w:rPr>
        <w:t>y respetando plenamente la dignidad de la persona y su identidad de género</w:t>
      </w:r>
      <w:r w:rsidR="00583C2D" w:rsidRPr="00184CB9">
        <w:rPr>
          <w:b/>
          <w:bCs/>
          <w:iCs/>
          <w:lang w:val="es-CO"/>
        </w:rPr>
        <w:t>;</w:t>
      </w:r>
    </w:p>
    <w:p w14:paraId="20420008" w14:textId="5B7F7B2D" w:rsidR="00742364" w:rsidRPr="00184CB9" w:rsidRDefault="00A539E7" w:rsidP="00A13853">
      <w:pPr>
        <w:tabs>
          <w:tab w:val="left" w:pos="1701"/>
        </w:tabs>
        <w:spacing w:after="120"/>
        <w:ind w:left="1134" w:right="992"/>
        <w:jc w:val="both"/>
        <w:rPr>
          <w:b/>
          <w:bCs/>
          <w:iCs/>
          <w:lang w:val="es-CO"/>
        </w:rPr>
      </w:pPr>
      <w:r w:rsidRPr="00184CB9">
        <w:rPr>
          <w:b/>
          <w:bCs/>
          <w:lang w:val="es-CO"/>
        </w:rPr>
        <w:tab/>
      </w:r>
      <w:r w:rsidRPr="00CC5B46">
        <w:rPr>
          <w:bCs/>
          <w:lang w:val="es-CO"/>
        </w:rPr>
        <w:t>c)</w:t>
      </w:r>
      <w:r w:rsidRPr="00184CB9">
        <w:rPr>
          <w:b/>
          <w:bCs/>
          <w:lang w:val="es-CO"/>
        </w:rPr>
        <w:t xml:space="preserve"> </w:t>
      </w:r>
      <w:r w:rsidRPr="00184CB9">
        <w:rPr>
          <w:b/>
          <w:bCs/>
          <w:lang w:val="es-CO"/>
        </w:rPr>
        <w:tab/>
      </w:r>
      <w:r w:rsidR="00FD0A77" w:rsidRPr="00184CB9">
        <w:rPr>
          <w:b/>
          <w:bCs/>
          <w:lang w:val="es-CO"/>
        </w:rPr>
        <w:t>A</w:t>
      </w:r>
      <w:r w:rsidR="00C43048" w:rsidRPr="00184CB9">
        <w:rPr>
          <w:b/>
          <w:bCs/>
          <w:lang w:val="es-CO"/>
        </w:rPr>
        <w:t>bstenerse de imponer el régimen de aislamiento, salvo en las circunstancias más excepcionales y por períodos estrictamente limitados</w:t>
      </w:r>
      <w:r w:rsidR="00880F2E">
        <w:rPr>
          <w:b/>
          <w:bCs/>
          <w:lang w:val="es-CO"/>
        </w:rPr>
        <w:t xml:space="preserve"> y</w:t>
      </w:r>
      <w:r w:rsidR="00C43048" w:rsidRPr="00184CB9">
        <w:rPr>
          <w:b/>
          <w:bCs/>
          <w:lang w:val="es-CO"/>
        </w:rPr>
        <w:t xml:space="preserve"> cuando sea objetivamente justificable y proporcionado</w:t>
      </w:r>
      <w:r w:rsidR="00583C2D" w:rsidRPr="00184CB9">
        <w:rPr>
          <w:b/>
          <w:bCs/>
          <w:lang w:val="es-CO"/>
        </w:rPr>
        <w:t>;</w:t>
      </w:r>
    </w:p>
    <w:p w14:paraId="5EACCFFE" w14:textId="7607FA56" w:rsidR="00742364" w:rsidRPr="00184CB9" w:rsidRDefault="00A539E7" w:rsidP="00A13853">
      <w:pPr>
        <w:spacing w:after="120"/>
        <w:ind w:left="1134" w:right="992" w:firstLine="567"/>
        <w:jc w:val="both"/>
        <w:rPr>
          <w:b/>
          <w:bCs/>
          <w:lang w:val="es-CO"/>
        </w:rPr>
      </w:pPr>
      <w:r w:rsidRPr="00CC5B46">
        <w:rPr>
          <w:bCs/>
          <w:lang w:val="es-CO"/>
        </w:rPr>
        <w:t>d)</w:t>
      </w:r>
      <w:r w:rsidRPr="00184CB9">
        <w:rPr>
          <w:b/>
          <w:bCs/>
          <w:lang w:val="es-CO"/>
        </w:rPr>
        <w:t xml:space="preserve"> </w:t>
      </w:r>
      <w:r w:rsidRPr="00184CB9">
        <w:rPr>
          <w:b/>
          <w:bCs/>
          <w:lang w:val="es-CO"/>
        </w:rPr>
        <w:tab/>
      </w:r>
      <w:r w:rsidR="00742364" w:rsidRPr="00184CB9">
        <w:rPr>
          <w:b/>
          <w:bCs/>
          <w:lang w:val="es-CO"/>
        </w:rPr>
        <w:t>Proseguir sus esfuerzos para mejorar las condiciones de reclusión en las cárceles y comisarías de policía</w:t>
      </w:r>
      <w:r w:rsidR="00880F2E">
        <w:rPr>
          <w:b/>
          <w:bCs/>
          <w:lang w:val="es-CO"/>
        </w:rPr>
        <w:t>,</w:t>
      </w:r>
      <w:r w:rsidR="00D06971" w:rsidRPr="00184CB9">
        <w:rPr>
          <w:b/>
          <w:bCs/>
          <w:lang w:val="es-CO"/>
        </w:rPr>
        <w:t xml:space="preserve"> garantizando el acceso adecuado </w:t>
      </w:r>
      <w:r w:rsidR="00402AEE">
        <w:rPr>
          <w:b/>
          <w:bCs/>
          <w:lang w:val="es-CO"/>
        </w:rPr>
        <w:t xml:space="preserve">de las personas recluidas </w:t>
      </w:r>
      <w:r w:rsidR="00D06971" w:rsidRPr="00184CB9">
        <w:rPr>
          <w:b/>
          <w:bCs/>
          <w:lang w:val="es-CO"/>
        </w:rPr>
        <w:t>a la alimentación, agua limpia y un adecuado nivel de servicios de atención de la salud</w:t>
      </w:r>
      <w:r w:rsidR="00880F2E">
        <w:rPr>
          <w:b/>
          <w:bCs/>
          <w:lang w:val="es-CO"/>
        </w:rPr>
        <w:t>,</w:t>
      </w:r>
      <w:r w:rsidR="00D06971" w:rsidRPr="00184CB9">
        <w:rPr>
          <w:b/>
          <w:bCs/>
          <w:lang w:val="es-CO"/>
        </w:rPr>
        <w:t xml:space="preserve"> </w:t>
      </w:r>
      <w:r w:rsidR="00742364" w:rsidRPr="00184CB9">
        <w:rPr>
          <w:b/>
          <w:bCs/>
          <w:lang w:val="es-CO"/>
        </w:rPr>
        <w:t xml:space="preserve">a fin de que </w:t>
      </w:r>
      <w:r w:rsidR="00880F2E">
        <w:rPr>
          <w:b/>
          <w:bCs/>
          <w:lang w:val="es-CO"/>
        </w:rPr>
        <w:t xml:space="preserve">se </w:t>
      </w:r>
      <w:r w:rsidR="00742364" w:rsidRPr="00184CB9">
        <w:rPr>
          <w:b/>
          <w:bCs/>
          <w:lang w:val="es-CO"/>
        </w:rPr>
        <w:t>cumplan las normas internacionales de derechos humanos y se</w:t>
      </w:r>
      <w:r w:rsidR="00884B19" w:rsidRPr="00184CB9">
        <w:rPr>
          <w:b/>
          <w:bCs/>
          <w:lang w:val="es-CO"/>
        </w:rPr>
        <w:t xml:space="preserve"> tomen medidas para la</w:t>
      </w:r>
      <w:r w:rsidR="00742364" w:rsidRPr="00184CB9">
        <w:rPr>
          <w:b/>
          <w:bCs/>
          <w:lang w:val="es-CO"/>
        </w:rPr>
        <w:t xml:space="preserve"> </w:t>
      </w:r>
      <w:r w:rsidR="00884B19" w:rsidRPr="00184CB9">
        <w:rPr>
          <w:b/>
          <w:bCs/>
          <w:lang w:val="es-CO"/>
        </w:rPr>
        <w:t xml:space="preserve">prevención de </w:t>
      </w:r>
      <w:r w:rsidR="00742364" w:rsidRPr="00184CB9">
        <w:rPr>
          <w:b/>
          <w:bCs/>
          <w:lang w:val="es-CO"/>
        </w:rPr>
        <w:t>las muertes durante la detención</w:t>
      </w:r>
      <w:r w:rsidR="009F0CDA">
        <w:rPr>
          <w:b/>
          <w:bCs/>
          <w:lang w:val="es-CO"/>
        </w:rPr>
        <w:t>.</w:t>
      </w:r>
    </w:p>
    <w:p w14:paraId="6013AEED" w14:textId="18DFD710" w:rsidR="00E16E9A" w:rsidRPr="00184CB9" w:rsidRDefault="008B59A6" w:rsidP="00076D7F">
      <w:pPr>
        <w:pStyle w:val="H23G"/>
        <w:rPr>
          <w:lang w:val="es-CO"/>
        </w:rPr>
      </w:pPr>
      <w:r w:rsidRPr="00184CB9">
        <w:rPr>
          <w:lang w:val="es-CO"/>
        </w:rPr>
        <w:tab/>
      </w:r>
      <w:r w:rsidR="00076D7F">
        <w:rPr>
          <w:lang w:val="es-CO"/>
        </w:rPr>
        <w:tab/>
      </w:r>
      <w:r w:rsidR="00076D7F">
        <w:rPr>
          <w:lang w:val="es-CO"/>
        </w:rPr>
        <w:tab/>
      </w:r>
      <w:r w:rsidR="00E16E9A" w:rsidRPr="00184CB9">
        <w:rPr>
          <w:lang w:val="es-CO"/>
        </w:rPr>
        <w:t>Libertad y seguridad de la persona</w:t>
      </w:r>
    </w:p>
    <w:p w14:paraId="7309E964" w14:textId="774523BC" w:rsidR="00E16E9A" w:rsidRPr="00184CB9" w:rsidRDefault="008B59A6" w:rsidP="00A13853">
      <w:pPr>
        <w:tabs>
          <w:tab w:val="left" w:pos="1701"/>
        </w:tabs>
        <w:spacing w:after="120"/>
        <w:ind w:left="1134" w:right="992"/>
        <w:jc w:val="both"/>
      </w:pPr>
      <w:r w:rsidRPr="00184CB9">
        <w:rPr>
          <w:lang w:val="es-CO"/>
        </w:rPr>
        <w:t xml:space="preserve">25. </w:t>
      </w:r>
      <w:r w:rsidRPr="00184CB9">
        <w:rPr>
          <w:lang w:val="es-CO"/>
        </w:rPr>
        <w:tab/>
      </w:r>
      <w:r w:rsidR="00E16E9A" w:rsidRPr="00184CB9">
        <w:rPr>
          <w:lang w:val="es-CO"/>
        </w:rPr>
        <w:t>El Comité toma nota de</w:t>
      </w:r>
      <w:r w:rsidR="00055FBE" w:rsidRPr="00184CB9">
        <w:rPr>
          <w:lang w:val="es-CO"/>
        </w:rPr>
        <w:t xml:space="preserve"> la disponibilidad </w:t>
      </w:r>
      <w:r w:rsidR="00E16E9A" w:rsidRPr="00184CB9">
        <w:rPr>
          <w:lang w:val="es-CO"/>
        </w:rPr>
        <w:t xml:space="preserve">del </w:t>
      </w:r>
      <w:r w:rsidR="00880F2E">
        <w:rPr>
          <w:lang w:val="es-CO"/>
        </w:rPr>
        <w:t>r</w:t>
      </w:r>
      <w:r w:rsidR="00E16E9A" w:rsidRPr="00184CB9">
        <w:rPr>
          <w:lang w:val="es-CO"/>
        </w:rPr>
        <w:t xml:space="preserve">ecurso de </w:t>
      </w:r>
      <w:r w:rsidR="00880F2E">
        <w:rPr>
          <w:lang w:val="es-CO"/>
        </w:rPr>
        <w:t>e</w:t>
      </w:r>
      <w:r w:rsidR="00E16E9A" w:rsidRPr="00184CB9">
        <w:rPr>
          <w:lang w:val="es-CO"/>
        </w:rPr>
        <w:t xml:space="preserve">xhibición </w:t>
      </w:r>
      <w:r w:rsidR="00880F2E">
        <w:rPr>
          <w:lang w:val="es-CO"/>
        </w:rPr>
        <w:t>p</w:t>
      </w:r>
      <w:r w:rsidR="00E16E9A" w:rsidRPr="00184CB9">
        <w:rPr>
          <w:lang w:val="es-CO"/>
        </w:rPr>
        <w:t>ersonal como recurso en favor de aquell</w:t>
      </w:r>
      <w:r w:rsidR="00880F2E">
        <w:rPr>
          <w:lang w:val="es-CO"/>
        </w:rPr>
        <w:t>a</w:t>
      </w:r>
      <w:r w:rsidR="00E16E9A" w:rsidRPr="00184CB9">
        <w:rPr>
          <w:lang w:val="es-CO"/>
        </w:rPr>
        <w:t xml:space="preserve">s </w:t>
      </w:r>
      <w:r w:rsidR="00880F2E">
        <w:rPr>
          <w:lang w:val="es-CO"/>
        </w:rPr>
        <w:t xml:space="preserve">personas </w:t>
      </w:r>
      <w:r w:rsidR="00E16E9A" w:rsidRPr="00184CB9">
        <w:rPr>
          <w:lang w:val="es-CO"/>
        </w:rPr>
        <w:t>cuya libertad, integridad física y seguridad sean violadas o estén en peligro de serlo. Sin embargo, al Comité le preocupa</w:t>
      </w:r>
      <w:r w:rsidR="00880F2E">
        <w:rPr>
          <w:lang w:val="es-CO"/>
        </w:rPr>
        <w:t>n</w:t>
      </w:r>
      <w:r w:rsidR="00E16E9A" w:rsidRPr="00184CB9">
        <w:rPr>
          <w:lang w:val="es-CO"/>
        </w:rPr>
        <w:t xml:space="preserve"> gravemente las deficiencias en la aplicación de las disposiciones de</w:t>
      </w:r>
      <w:r w:rsidR="00880F2E">
        <w:rPr>
          <w:lang w:val="es-CO"/>
        </w:rPr>
        <w:t xml:space="preserve"> </w:t>
      </w:r>
      <w:r w:rsidR="00E16E9A" w:rsidRPr="00184CB9">
        <w:rPr>
          <w:i/>
          <w:iCs/>
          <w:lang w:val="es-CO"/>
        </w:rPr>
        <w:t>habeas corpus</w:t>
      </w:r>
      <w:r w:rsidR="00E16E9A" w:rsidRPr="00184CB9">
        <w:rPr>
          <w:lang w:val="es-CO"/>
        </w:rPr>
        <w:t xml:space="preserve">, especialmente para remediar detenciones arbitrarias de personas que participaron </w:t>
      </w:r>
      <w:r w:rsidR="00880F2E">
        <w:rPr>
          <w:lang w:val="es-CO"/>
        </w:rPr>
        <w:t>en</w:t>
      </w:r>
      <w:r w:rsidR="00880F2E" w:rsidRPr="00184CB9">
        <w:rPr>
          <w:lang w:val="es-CO"/>
        </w:rPr>
        <w:t xml:space="preserve"> </w:t>
      </w:r>
      <w:r w:rsidR="00E16E9A" w:rsidRPr="00184CB9">
        <w:rPr>
          <w:lang w:val="es-CO"/>
        </w:rPr>
        <w:t>las manifestaciones ocurridas a partir de abril de 2018.</w:t>
      </w:r>
      <w:r w:rsidR="00ED3E3E" w:rsidRPr="00184CB9">
        <w:rPr>
          <w:lang w:val="es-CO"/>
        </w:rPr>
        <w:t xml:space="preserve"> Al Comité le inquieta también la promulgación en 2021 de la Ley </w:t>
      </w:r>
      <w:r w:rsidR="00880F2E">
        <w:rPr>
          <w:lang w:val="es-CO"/>
        </w:rPr>
        <w:t>núm</w:t>
      </w:r>
      <w:r w:rsidR="00ED3E3E" w:rsidRPr="00184CB9">
        <w:rPr>
          <w:lang w:val="es-CO"/>
        </w:rPr>
        <w:t>. 1060</w:t>
      </w:r>
      <w:r w:rsidR="00880F2E">
        <w:rPr>
          <w:lang w:val="es-CO"/>
        </w:rPr>
        <w:t>,</w:t>
      </w:r>
      <w:r w:rsidR="00ED3E3E" w:rsidRPr="00184CB9">
        <w:rPr>
          <w:lang w:val="es-CO"/>
        </w:rPr>
        <w:t xml:space="preserve"> por la que se amplía el plazo </w:t>
      </w:r>
      <w:r w:rsidR="001E5C78">
        <w:rPr>
          <w:lang w:val="es-CO"/>
        </w:rPr>
        <w:t>durante</w:t>
      </w:r>
      <w:r w:rsidR="001E5C78" w:rsidRPr="00184CB9">
        <w:rPr>
          <w:lang w:val="es-CO"/>
        </w:rPr>
        <w:t xml:space="preserve"> </w:t>
      </w:r>
      <w:r w:rsidR="00ED3E3E" w:rsidRPr="00184CB9">
        <w:rPr>
          <w:lang w:val="es-CO"/>
        </w:rPr>
        <w:t xml:space="preserve">el cual una persona puede ser detenida sin imputación de cargos de 48 horas hasta 90 días. También le preocupan las alegaciones sobre el uso excesivo de la prisión preventiva, en particular contra defensores de los derechos humanos, periodistas y miembros y simpatizantes de los partidos de la oposición, y sobre la ausencia de separación entre personas en prisión preventiva y con condena </w:t>
      </w:r>
      <w:r w:rsidR="00ED3E3E" w:rsidRPr="00184CB9">
        <w:t>y entre adultos y menores</w:t>
      </w:r>
      <w:r w:rsidR="00021C3A" w:rsidRPr="00184CB9">
        <w:t xml:space="preserve"> (art. 9)</w:t>
      </w:r>
      <w:r w:rsidR="00CF58FC" w:rsidRPr="00184CB9">
        <w:t>.</w:t>
      </w:r>
    </w:p>
    <w:p w14:paraId="1116A7E8" w14:textId="3A48C314" w:rsidR="00ED3E3E" w:rsidRPr="00184CB9" w:rsidRDefault="00ED3E3E" w:rsidP="00A13853">
      <w:pPr>
        <w:tabs>
          <w:tab w:val="left" w:pos="1701"/>
        </w:tabs>
        <w:spacing w:after="120"/>
        <w:ind w:left="1134" w:right="992"/>
        <w:jc w:val="both"/>
        <w:rPr>
          <w:b/>
          <w:bCs/>
          <w:lang w:val="es-CO"/>
        </w:rPr>
      </w:pPr>
      <w:r w:rsidRPr="00076D7F">
        <w:rPr>
          <w:lang w:val="es-CO"/>
        </w:rPr>
        <w:lastRenderedPageBreak/>
        <w:t>26</w:t>
      </w:r>
      <w:r w:rsidR="00E16E9A" w:rsidRPr="00076D7F">
        <w:rPr>
          <w:lang w:val="es-CO"/>
        </w:rPr>
        <w:t>.</w:t>
      </w:r>
      <w:r w:rsidR="00E16E9A" w:rsidRPr="00184CB9">
        <w:rPr>
          <w:b/>
          <w:bCs/>
          <w:lang w:val="es-CO"/>
        </w:rPr>
        <w:t xml:space="preserve"> </w:t>
      </w:r>
      <w:r w:rsidR="008B59A6" w:rsidRPr="00184CB9">
        <w:rPr>
          <w:b/>
          <w:bCs/>
          <w:lang w:val="es-CO"/>
        </w:rPr>
        <w:tab/>
      </w:r>
      <w:r w:rsidR="008B59A6" w:rsidRPr="00184CB9">
        <w:rPr>
          <w:b/>
          <w:bCs/>
          <w:lang w:val="es-CO"/>
        </w:rPr>
        <w:tab/>
      </w:r>
      <w:r w:rsidRPr="00184CB9">
        <w:rPr>
          <w:b/>
          <w:bCs/>
          <w:lang w:val="es-CO"/>
        </w:rPr>
        <w:t xml:space="preserve">Teniendo presente la observación general núm. </w:t>
      </w:r>
      <w:hyperlink r:id="rId10" w:history="1">
        <w:r w:rsidRPr="007D14C9">
          <w:rPr>
            <w:rStyle w:val="Hipervnculo"/>
            <w:b/>
            <w:bCs/>
            <w:lang w:val="es-CO"/>
          </w:rPr>
          <w:t>35 (2014)</w:t>
        </w:r>
      </w:hyperlink>
      <w:r w:rsidRPr="00184CB9">
        <w:rPr>
          <w:b/>
          <w:bCs/>
          <w:lang w:val="es-CO"/>
        </w:rPr>
        <w:t xml:space="preserve"> del Comité, </w:t>
      </w:r>
      <w:r w:rsidRPr="00184CB9">
        <w:rPr>
          <w:b/>
          <w:bCs/>
        </w:rPr>
        <w:t xml:space="preserve">el Estado parte debe: </w:t>
      </w:r>
    </w:p>
    <w:p w14:paraId="3D0B60A9" w14:textId="26BE8498" w:rsidR="00473324" w:rsidRPr="00184CB9" w:rsidRDefault="00927916" w:rsidP="00A13853">
      <w:pPr>
        <w:spacing w:after="120"/>
        <w:ind w:left="1134" w:right="992" w:firstLine="567"/>
        <w:jc w:val="both"/>
        <w:rPr>
          <w:b/>
          <w:bCs/>
          <w:lang w:val="es-CO"/>
        </w:rPr>
      </w:pPr>
      <w:r w:rsidRPr="001E5C78">
        <w:rPr>
          <w:bCs/>
          <w:lang w:val="es-CO"/>
        </w:rPr>
        <w:t>a)</w:t>
      </w:r>
      <w:r w:rsidRPr="001E5C78">
        <w:rPr>
          <w:b/>
          <w:bCs/>
          <w:lang w:val="es-CO"/>
        </w:rPr>
        <w:t xml:space="preserve"> </w:t>
      </w:r>
      <w:r w:rsidRPr="001E5C78">
        <w:rPr>
          <w:b/>
          <w:bCs/>
          <w:lang w:val="es-CO"/>
        </w:rPr>
        <w:tab/>
      </w:r>
      <w:r w:rsidR="00ED3E3E" w:rsidRPr="001E5C78">
        <w:rPr>
          <w:b/>
          <w:bCs/>
          <w:lang w:val="es-CO"/>
        </w:rPr>
        <w:t>A</w:t>
      </w:r>
      <w:r w:rsidR="00E16E9A" w:rsidRPr="001E5C78">
        <w:rPr>
          <w:b/>
          <w:bCs/>
          <w:lang w:val="es-CO"/>
        </w:rPr>
        <w:t>doptar medidas enérgicas para garantizar, de manera efectiva y de acuerdo a lo establecido en la Ley de Justicia Constitucional</w:t>
      </w:r>
      <w:r w:rsidR="001E5C78">
        <w:rPr>
          <w:b/>
          <w:bCs/>
          <w:lang w:val="es-CO"/>
        </w:rPr>
        <w:t xml:space="preserve"> (</w:t>
      </w:r>
      <w:r w:rsidR="001E5C78" w:rsidRPr="00FF6018">
        <w:rPr>
          <w:b/>
          <w:bCs/>
          <w:lang w:val="es-CO"/>
        </w:rPr>
        <w:t>Ley núm.</w:t>
      </w:r>
      <w:r w:rsidR="001E5C78">
        <w:rPr>
          <w:b/>
          <w:bCs/>
          <w:lang w:val="es-CO"/>
        </w:rPr>
        <w:t> </w:t>
      </w:r>
      <w:r w:rsidR="001E5C78" w:rsidRPr="00FF6018">
        <w:rPr>
          <w:b/>
          <w:bCs/>
          <w:lang w:val="es-CO"/>
        </w:rPr>
        <w:t>983</w:t>
      </w:r>
      <w:r w:rsidR="001E5C78">
        <w:rPr>
          <w:b/>
          <w:bCs/>
          <w:lang w:val="es-CO"/>
        </w:rPr>
        <w:t>)</w:t>
      </w:r>
      <w:r w:rsidR="00E16E9A" w:rsidRPr="001E5C78">
        <w:rPr>
          <w:b/>
          <w:bCs/>
          <w:lang w:val="es-CO"/>
        </w:rPr>
        <w:t>, el derecho de </w:t>
      </w:r>
      <w:r w:rsidR="00E16E9A" w:rsidRPr="001E5C78">
        <w:rPr>
          <w:b/>
          <w:bCs/>
          <w:i/>
          <w:iCs/>
          <w:lang w:val="es-CO"/>
        </w:rPr>
        <w:t>habeas corpus</w:t>
      </w:r>
      <w:r w:rsidR="00E16E9A" w:rsidRPr="001E5C78">
        <w:rPr>
          <w:b/>
          <w:bCs/>
          <w:lang w:val="es-CO"/>
        </w:rPr>
        <w:t> a toda persona detenida y encarcelada</w:t>
      </w:r>
      <w:r w:rsidR="004055D9" w:rsidRPr="001E5C78">
        <w:rPr>
          <w:b/>
          <w:bCs/>
          <w:lang w:val="es-CO"/>
        </w:rPr>
        <w:t>;</w:t>
      </w:r>
      <w:r w:rsidR="00473324" w:rsidRPr="00184CB9">
        <w:rPr>
          <w:b/>
          <w:bCs/>
          <w:lang w:val="es-CO"/>
        </w:rPr>
        <w:t xml:space="preserve"> </w:t>
      </w:r>
    </w:p>
    <w:p w14:paraId="144D4981" w14:textId="75F18E9C" w:rsidR="00E16E9A" w:rsidRPr="00184CB9" w:rsidRDefault="00927916" w:rsidP="00A13853">
      <w:pPr>
        <w:spacing w:after="120"/>
        <w:ind w:left="1134" w:right="992" w:firstLine="567"/>
        <w:jc w:val="both"/>
        <w:rPr>
          <w:b/>
          <w:bCs/>
          <w:lang w:val="es-CO"/>
        </w:rPr>
      </w:pPr>
      <w:r w:rsidRPr="00CC5B46">
        <w:rPr>
          <w:bCs/>
          <w:lang w:val="es-CO"/>
        </w:rPr>
        <w:t>b)</w:t>
      </w:r>
      <w:r w:rsidRPr="00184CB9">
        <w:rPr>
          <w:b/>
          <w:bCs/>
          <w:lang w:val="es-CO"/>
        </w:rPr>
        <w:t xml:space="preserve"> </w:t>
      </w:r>
      <w:r w:rsidRPr="00184CB9">
        <w:rPr>
          <w:b/>
          <w:bCs/>
          <w:lang w:val="es-CO"/>
        </w:rPr>
        <w:tab/>
      </w:r>
      <w:r w:rsidR="00473324" w:rsidRPr="00184CB9">
        <w:rPr>
          <w:b/>
          <w:bCs/>
          <w:lang w:val="es-CO"/>
        </w:rPr>
        <w:t xml:space="preserve">Enmendar la Ley </w:t>
      </w:r>
      <w:r w:rsidR="001E5C78" w:rsidRPr="00FF6018">
        <w:rPr>
          <w:b/>
          <w:bCs/>
          <w:lang w:val="es-CO"/>
        </w:rPr>
        <w:t>núm.</w:t>
      </w:r>
      <w:r w:rsidR="001E5C78">
        <w:rPr>
          <w:b/>
          <w:bCs/>
          <w:lang w:val="es-CO"/>
        </w:rPr>
        <w:t> </w:t>
      </w:r>
      <w:r w:rsidR="00473324" w:rsidRPr="00184CB9">
        <w:rPr>
          <w:b/>
          <w:bCs/>
          <w:lang w:val="es-CO"/>
        </w:rPr>
        <w:t xml:space="preserve">1060 conforme al artículo 9 del Pacto, velando por que la prisión preventiva se imponga únicamente como medida excepcional y </w:t>
      </w:r>
      <w:proofErr w:type="spellStart"/>
      <w:r w:rsidR="00473324" w:rsidRPr="00184CB9">
        <w:rPr>
          <w:b/>
          <w:bCs/>
          <w:lang w:val="es-CO"/>
        </w:rPr>
        <w:t>por que</w:t>
      </w:r>
      <w:proofErr w:type="spellEnd"/>
      <w:r w:rsidR="00473324" w:rsidRPr="00184CB9">
        <w:rPr>
          <w:b/>
          <w:bCs/>
          <w:lang w:val="es-CO"/>
        </w:rPr>
        <w:t xml:space="preserve"> las personas sometidas a detención policial o prisión preventiva sean informadas de sus derechos y tengan acceso a las salvaguardias legales fundamentales, incluida la presunción de inocencia;</w:t>
      </w:r>
    </w:p>
    <w:p w14:paraId="5AE13826" w14:textId="7664660F" w:rsidR="00C43048" w:rsidRPr="005F0378" w:rsidRDefault="00927916" w:rsidP="00A13853">
      <w:pPr>
        <w:spacing w:after="120"/>
        <w:ind w:left="1134" w:right="992" w:firstLine="567"/>
        <w:jc w:val="both"/>
        <w:rPr>
          <w:rFonts w:asciiTheme="majorBidi" w:hAnsiTheme="majorBidi" w:cstheme="majorBidi"/>
          <w:b/>
          <w:bCs/>
          <w:lang w:val="es-CO"/>
        </w:rPr>
      </w:pPr>
      <w:r w:rsidRPr="00CC5B46">
        <w:rPr>
          <w:bCs/>
          <w:lang w:val="es-CO"/>
        </w:rPr>
        <w:t>c)</w:t>
      </w:r>
      <w:r w:rsidRPr="00184CB9">
        <w:rPr>
          <w:b/>
          <w:bCs/>
          <w:lang w:val="es-CO"/>
        </w:rPr>
        <w:tab/>
      </w:r>
      <w:r w:rsidR="00E16E9A" w:rsidRPr="00184CB9">
        <w:rPr>
          <w:b/>
          <w:bCs/>
          <w:lang w:val="es-CO"/>
        </w:rPr>
        <w:t>Asegurar que las personas en prisión preventiva estén efectivamente separadas de las personas con condena</w:t>
      </w:r>
      <w:r w:rsidR="004068A6" w:rsidRPr="00184CB9">
        <w:rPr>
          <w:b/>
          <w:bCs/>
          <w:lang w:val="es-CO"/>
        </w:rPr>
        <w:t xml:space="preserve">, </w:t>
      </w:r>
      <w:r w:rsidR="004068A6" w:rsidRPr="00184CB9">
        <w:rPr>
          <w:rFonts w:ascii="Times" w:hAnsi="Times"/>
          <w:b/>
          <w:bCs/>
          <w:lang w:val="es-CO"/>
        </w:rPr>
        <w:t xml:space="preserve">y que </w:t>
      </w:r>
      <w:r w:rsidR="004068A6" w:rsidRPr="005F0378">
        <w:rPr>
          <w:rFonts w:asciiTheme="majorBidi" w:hAnsiTheme="majorBidi" w:cstheme="majorBidi"/>
          <w:b/>
          <w:bCs/>
          <w:color w:val="505050"/>
          <w:shd w:val="clear" w:color="auto" w:fill="FFFFFF"/>
        </w:rPr>
        <w:t>los reclusos menores de 18 años estén separados de los presos adultos</w:t>
      </w:r>
      <w:r w:rsidR="00E16E9A" w:rsidRPr="005F0378">
        <w:rPr>
          <w:rFonts w:asciiTheme="majorBidi" w:hAnsiTheme="majorBidi" w:cstheme="majorBidi"/>
          <w:b/>
          <w:bCs/>
          <w:lang w:val="es-CO"/>
        </w:rPr>
        <w:t>.</w:t>
      </w:r>
    </w:p>
    <w:p w14:paraId="5B6D529B" w14:textId="5FEA2ADF" w:rsidR="00021C3A" w:rsidRPr="00184CB9" w:rsidRDefault="00076D7F" w:rsidP="00076D7F">
      <w:pPr>
        <w:pStyle w:val="H23G"/>
        <w:rPr>
          <w:lang w:val="es-CO"/>
        </w:rPr>
      </w:pPr>
      <w:r>
        <w:rPr>
          <w:lang w:val="es-CO"/>
        </w:rPr>
        <w:tab/>
      </w:r>
      <w:r>
        <w:rPr>
          <w:lang w:val="es-CO"/>
        </w:rPr>
        <w:tab/>
      </w:r>
      <w:r w:rsidR="00021C3A" w:rsidRPr="00184CB9">
        <w:rPr>
          <w:lang w:val="es-CO"/>
        </w:rPr>
        <w:t xml:space="preserve">Independencia del poder judicial </w:t>
      </w:r>
    </w:p>
    <w:p w14:paraId="39EE79E8" w14:textId="4118160E" w:rsidR="00DF622C" w:rsidRPr="00184CB9" w:rsidRDefault="00DF622C" w:rsidP="00A13853">
      <w:pPr>
        <w:tabs>
          <w:tab w:val="left" w:pos="1701"/>
        </w:tabs>
        <w:spacing w:after="120"/>
        <w:ind w:left="1134" w:right="992"/>
        <w:jc w:val="both"/>
        <w:rPr>
          <w:b/>
          <w:bCs/>
          <w:lang w:val="es-CO"/>
        </w:rPr>
      </w:pPr>
      <w:r w:rsidRPr="00420645">
        <w:rPr>
          <w:lang w:val="es-CO"/>
        </w:rPr>
        <w:t>27.</w:t>
      </w:r>
      <w:r w:rsidRPr="00420645">
        <w:rPr>
          <w:b/>
          <w:bCs/>
          <w:lang w:val="es-CO"/>
        </w:rPr>
        <w:t xml:space="preserve"> </w:t>
      </w:r>
      <w:r w:rsidR="00021C3A" w:rsidRPr="00420645">
        <w:rPr>
          <w:b/>
          <w:bCs/>
          <w:lang w:val="es-CO"/>
        </w:rPr>
        <w:tab/>
      </w:r>
      <w:r w:rsidRPr="00420645">
        <w:rPr>
          <w:lang w:val="es-CO"/>
        </w:rPr>
        <w:t xml:space="preserve">El Comité toma nota de la información proporcionada por el Estado parte </w:t>
      </w:r>
      <w:r w:rsidR="00420645" w:rsidRPr="00420645">
        <w:rPr>
          <w:lang w:val="es-CO"/>
        </w:rPr>
        <w:t xml:space="preserve">en su cuarto informe periódico </w:t>
      </w:r>
      <w:r w:rsidRPr="00420645">
        <w:rPr>
          <w:lang w:val="es-CO"/>
        </w:rPr>
        <w:t>respecto a la composición del Consejo Nacional de Administración y Carrera Judicial</w:t>
      </w:r>
      <w:r w:rsidR="001E5C78" w:rsidRPr="007D14C9">
        <w:rPr>
          <w:rStyle w:val="Refdenotaalpie"/>
          <w:rFonts w:ascii="Times" w:hAnsi="Times"/>
          <w:szCs w:val="18"/>
        </w:rPr>
        <w:footnoteReference w:id="9"/>
      </w:r>
      <w:r w:rsidRPr="00420645">
        <w:rPr>
          <w:lang w:val="es-CO"/>
        </w:rPr>
        <w:t>. Sin embargo, preocupan al Comité los informes sobre los altos niveles de politización y corrupción en el Poder Judicial</w:t>
      </w:r>
      <w:r w:rsidR="00021C3A" w:rsidRPr="00420645">
        <w:rPr>
          <w:lang w:val="es-CO"/>
        </w:rPr>
        <w:t xml:space="preserve"> y sobre la falta de transparencia en el nombramiento y la destitución de jueces</w:t>
      </w:r>
      <w:r w:rsidRPr="00420645">
        <w:rPr>
          <w:lang w:val="es-CO"/>
        </w:rPr>
        <w:t xml:space="preserve">. Además, observa con preocupación </w:t>
      </w:r>
      <w:r w:rsidR="00021C3A" w:rsidRPr="00420645">
        <w:rPr>
          <w:lang w:val="es-CO"/>
        </w:rPr>
        <w:t>las alegaciones</w:t>
      </w:r>
      <w:r w:rsidRPr="00420645">
        <w:rPr>
          <w:lang w:val="es-CO"/>
        </w:rPr>
        <w:t xml:space="preserve"> sobre la falta de una intervención oportuna e independiente del Ministerio Público en el esclarecimiento de las violaciones ocurridas desde 2018, </w:t>
      </w:r>
      <w:r w:rsidR="00021C3A" w:rsidRPr="00420645">
        <w:rPr>
          <w:lang w:val="es-CO"/>
        </w:rPr>
        <w:t xml:space="preserve">las </w:t>
      </w:r>
      <w:r w:rsidRPr="00420645">
        <w:rPr>
          <w:lang w:val="es-CO"/>
        </w:rPr>
        <w:t>irregularidades en el sistema de asignación aleatoria de casos relativos a estas violaciones y sobre el hecho de que la carga de la prueba</w:t>
      </w:r>
      <w:r w:rsidR="008E2CF9" w:rsidRPr="00420645">
        <w:rPr>
          <w:lang w:val="es-CO"/>
        </w:rPr>
        <w:t xml:space="preserve"> en cuanto a </w:t>
      </w:r>
      <w:r w:rsidR="00402AEE">
        <w:rPr>
          <w:lang w:val="es-CO"/>
        </w:rPr>
        <w:t xml:space="preserve">las </w:t>
      </w:r>
      <w:r w:rsidR="008E2CF9" w:rsidRPr="00420645">
        <w:rPr>
          <w:lang w:val="es-CO"/>
        </w:rPr>
        <w:t>violaciones ocurridas durante las manifestaciones</w:t>
      </w:r>
      <w:r w:rsidRPr="00420645">
        <w:rPr>
          <w:lang w:val="es-CO"/>
        </w:rPr>
        <w:t xml:space="preserve"> </w:t>
      </w:r>
      <w:r w:rsidR="008E2CF9" w:rsidRPr="00420645">
        <w:rPr>
          <w:lang w:val="es-CO"/>
        </w:rPr>
        <w:t xml:space="preserve">suele recaer </w:t>
      </w:r>
      <w:r w:rsidRPr="00420645">
        <w:rPr>
          <w:lang w:val="es-CO"/>
        </w:rPr>
        <w:t>en las víctimas</w:t>
      </w:r>
      <w:r w:rsidR="00021C3A" w:rsidRPr="00420645">
        <w:rPr>
          <w:lang w:val="es-CO"/>
        </w:rPr>
        <w:t xml:space="preserve"> (arts. 2 y 14)</w:t>
      </w:r>
      <w:r w:rsidR="00CF58FC" w:rsidRPr="005F0378">
        <w:rPr>
          <w:lang w:val="es-CO"/>
        </w:rPr>
        <w:t>.</w:t>
      </w:r>
    </w:p>
    <w:p w14:paraId="60F36BF5" w14:textId="6A5DB4E8" w:rsidR="00DF622C" w:rsidRPr="00184CB9" w:rsidRDefault="00FE234C" w:rsidP="00076D7F">
      <w:pPr>
        <w:pStyle w:val="SingleTxtG"/>
        <w:rPr>
          <w:lang w:val="es-CO"/>
        </w:rPr>
      </w:pPr>
      <w:r w:rsidRPr="00076D7F">
        <w:rPr>
          <w:lang w:val="es-CO"/>
        </w:rPr>
        <w:t>28</w:t>
      </w:r>
      <w:r w:rsidR="00DF622C" w:rsidRPr="00076D7F">
        <w:rPr>
          <w:lang w:val="es-CO"/>
        </w:rPr>
        <w:t>.</w:t>
      </w:r>
      <w:r w:rsidR="00DF622C" w:rsidRPr="00184CB9">
        <w:rPr>
          <w:lang w:val="es-CO"/>
        </w:rPr>
        <w:t xml:space="preserve"> </w:t>
      </w:r>
      <w:r w:rsidR="00076D7F">
        <w:rPr>
          <w:lang w:val="es-CO"/>
        </w:rPr>
        <w:tab/>
      </w:r>
      <w:r w:rsidR="00DF622C" w:rsidRPr="00076D7F">
        <w:rPr>
          <w:b/>
          <w:bCs/>
          <w:lang w:val="es-CO"/>
        </w:rPr>
        <w:t>El Estado parte debe:</w:t>
      </w:r>
      <w:r w:rsidR="00DF622C" w:rsidRPr="00184CB9">
        <w:rPr>
          <w:lang w:val="es-CO"/>
        </w:rPr>
        <w:t xml:space="preserve"> </w:t>
      </w:r>
    </w:p>
    <w:p w14:paraId="01FFDF65" w14:textId="74DFAF35" w:rsidR="00DF622C" w:rsidRPr="00184CB9" w:rsidRDefault="00927916" w:rsidP="00A13853">
      <w:pPr>
        <w:spacing w:after="120"/>
        <w:ind w:left="1134" w:right="992" w:firstLine="567"/>
        <w:jc w:val="both"/>
        <w:rPr>
          <w:b/>
          <w:bCs/>
          <w:lang w:val="es-CO"/>
        </w:rPr>
      </w:pPr>
      <w:r w:rsidRPr="00CC5B46">
        <w:rPr>
          <w:bCs/>
          <w:lang w:val="es-CO"/>
        </w:rPr>
        <w:t>a)</w:t>
      </w:r>
      <w:r w:rsidRPr="00184CB9">
        <w:rPr>
          <w:b/>
          <w:bCs/>
          <w:lang w:val="es-CO"/>
        </w:rPr>
        <w:t xml:space="preserve"> </w:t>
      </w:r>
      <w:r w:rsidRPr="00184CB9">
        <w:rPr>
          <w:b/>
          <w:bCs/>
          <w:lang w:val="es-CO"/>
        </w:rPr>
        <w:tab/>
      </w:r>
      <w:r w:rsidR="00DF622C" w:rsidRPr="00184CB9">
        <w:rPr>
          <w:b/>
          <w:bCs/>
          <w:lang w:val="es-CO"/>
        </w:rPr>
        <w:t xml:space="preserve">Erradicar todas las formas de injerencia de los otros poderes en el </w:t>
      </w:r>
      <w:r w:rsidR="00420645">
        <w:rPr>
          <w:b/>
          <w:bCs/>
          <w:lang w:val="es-CO"/>
        </w:rPr>
        <w:t>p</w:t>
      </w:r>
      <w:r w:rsidR="00DF622C" w:rsidRPr="00184CB9">
        <w:rPr>
          <w:b/>
          <w:bCs/>
          <w:lang w:val="es-CO"/>
        </w:rPr>
        <w:t xml:space="preserve">oder </w:t>
      </w:r>
      <w:r w:rsidR="00420645">
        <w:rPr>
          <w:b/>
          <w:bCs/>
          <w:lang w:val="es-CO"/>
        </w:rPr>
        <w:t>j</w:t>
      </w:r>
      <w:r w:rsidR="00DF622C" w:rsidRPr="00184CB9">
        <w:rPr>
          <w:b/>
          <w:bCs/>
          <w:lang w:val="es-CO"/>
        </w:rPr>
        <w:t>udicial y garantizar la investigación pronta, minuciosa, independiente e imparcial de todas las denuncias de injerencia y corrupción, y enjuiciar y castigar a los culpables;</w:t>
      </w:r>
    </w:p>
    <w:p w14:paraId="6FC52092" w14:textId="0559396E" w:rsidR="00DF622C" w:rsidRPr="00184CB9" w:rsidRDefault="00927916" w:rsidP="00A13853">
      <w:pPr>
        <w:spacing w:after="120"/>
        <w:ind w:left="1134" w:right="992" w:firstLine="567"/>
        <w:jc w:val="both"/>
        <w:rPr>
          <w:b/>
          <w:bCs/>
          <w:lang w:val="es-CO"/>
        </w:rPr>
      </w:pPr>
      <w:r w:rsidRPr="00CC5B46">
        <w:rPr>
          <w:bCs/>
          <w:lang w:val="es-CO"/>
        </w:rPr>
        <w:t xml:space="preserve">b) </w:t>
      </w:r>
      <w:r w:rsidRPr="00184CB9">
        <w:rPr>
          <w:b/>
          <w:bCs/>
          <w:lang w:val="es-CO"/>
        </w:rPr>
        <w:tab/>
      </w:r>
      <w:r w:rsidR="00DF622C" w:rsidRPr="00184CB9">
        <w:rPr>
          <w:b/>
          <w:bCs/>
          <w:lang w:val="es-CO"/>
        </w:rPr>
        <w:t xml:space="preserve">Velar por que los procedimientos para la selección, el nombramiento, el ascenso, el traslado y la destitución de los jueces y fiscales sean transparentes, imparciales y conformes al Pacto y </w:t>
      </w:r>
      <w:r w:rsidR="00402AEE">
        <w:rPr>
          <w:b/>
          <w:bCs/>
          <w:lang w:val="es-CO"/>
        </w:rPr>
        <w:t xml:space="preserve">a </w:t>
      </w:r>
      <w:r w:rsidR="00DF622C" w:rsidRPr="00184CB9">
        <w:rPr>
          <w:b/>
          <w:bCs/>
          <w:lang w:val="es-CO"/>
        </w:rPr>
        <w:t>las normas internacionales en la materia, incluidos los Principios Básicos relativos a la Independencia de la Judicatura y las Directrices sobre la Función de los Fiscales</w:t>
      </w:r>
      <w:r w:rsidR="00420645">
        <w:rPr>
          <w:b/>
          <w:bCs/>
          <w:lang w:val="es-CO"/>
        </w:rPr>
        <w:t>;</w:t>
      </w:r>
    </w:p>
    <w:p w14:paraId="4B777CC2" w14:textId="3AC5BC5E" w:rsidR="00DF622C" w:rsidRPr="00184CB9" w:rsidRDefault="00927916" w:rsidP="00A13853">
      <w:pPr>
        <w:spacing w:after="120"/>
        <w:ind w:left="1134" w:right="992" w:firstLine="567"/>
        <w:jc w:val="both"/>
        <w:rPr>
          <w:b/>
          <w:bCs/>
          <w:lang w:val="es-CO"/>
        </w:rPr>
      </w:pPr>
      <w:r w:rsidRPr="00CC5B46">
        <w:rPr>
          <w:bCs/>
          <w:lang w:val="es-CO"/>
        </w:rPr>
        <w:t>c)</w:t>
      </w:r>
      <w:r w:rsidRPr="00184CB9">
        <w:rPr>
          <w:b/>
          <w:bCs/>
          <w:lang w:val="es-CO"/>
        </w:rPr>
        <w:t xml:space="preserve"> </w:t>
      </w:r>
      <w:r w:rsidRPr="00184CB9">
        <w:rPr>
          <w:b/>
          <w:bCs/>
          <w:lang w:val="es-CO"/>
        </w:rPr>
        <w:tab/>
      </w:r>
      <w:r w:rsidR="00DF622C" w:rsidRPr="00184CB9">
        <w:rPr>
          <w:b/>
          <w:bCs/>
          <w:lang w:val="es-CO"/>
        </w:rPr>
        <w:t xml:space="preserve">Garantizar la independencia y eficacia del Ministerio Público respecto </w:t>
      </w:r>
      <w:r w:rsidR="004068A6" w:rsidRPr="00184CB9">
        <w:rPr>
          <w:b/>
          <w:bCs/>
          <w:lang w:val="es-CO"/>
        </w:rPr>
        <w:t>a la investigación</w:t>
      </w:r>
      <w:r w:rsidR="00DF622C" w:rsidRPr="00184CB9">
        <w:rPr>
          <w:b/>
          <w:bCs/>
          <w:lang w:val="es-CO"/>
        </w:rPr>
        <w:t xml:space="preserve"> de las violaciones ocurridas durante las protestas ciudadanas;</w:t>
      </w:r>
    </w:p>
    <w:p w14:paraId="41FA0CB2" w14:textId="11AC61B2" w:rsidR="00DF622C" w:rsidRPr="00184CB9" w:rsidRDefault="00927916" w:rsidP="00A13853">
      <w:pPr>
        <w:tabs>
          <w:tab w:val="left" w:pos="1701"/>
        </w:tabs>
        <w:spacing w:after="120"/>
        <w:ind w:left="1134" w:right="992"/>
        <w:jc w:val="both"/>
        <w:rPr>
          <w:b/>
          <w:bCs/>
        </w:rPr>
      </w:pPr>
      <w:r w:rsidRPr="00184CB9">
        <w:rPr>
          <w:b/>
          <w:bCs/>
          <w:lang w:val="es-CO"/>
        </w:rPr>
        <w:tab/>
      </w:r>
      <w:r w:rsidRPr="00CC5B46">
        <w:rPr>
          <w:bCs/>
          <w:lang w:val="es-CO"/>
        </w:rPr>
        <w:t>d)</w:t>
      </w:r>
      <w:r w:rsidRPr="00184CB9">
        <w:rPr>
          <w:b/>
          <w:bCs/>
          <w:lang w:val="es-CO"/>
        </w:rPr>
        <w:tab/>
      </w:r>
      <w:r w:rsidR="00724BB9" w:rsidRPr="00184CB9">
        <w:rPr>
          <w:b/>
          <w:bCs/>
          <w:color w:val="000000"/>
          <w:shd w:val="clear" w:color="auto" w:fill="FFFFFF"/>
        </w:rPr>
        <w:t xml:space="preserve">Asegurar que los casos de criminalización de la protesta ciudadana sean radicados </w:t>
      </w:r>
      <w:r w:rsidR="00055FBE" w:rsidRPr="00184CB9">
        <w:rPr>
          <w:b/>
          <w:bCs/>
          <w:color w:val="000000"/>
          <w:shd w:val="clear" w:color="auto" w:fill="FFFFFF"/>
        </w:rPr>
        <w:t xml:space="preserve">de manera transparente </w:t>
      </w:r>
      <w:r w:rsidR="00724BB9" w:rsidRPr="00184CB9">
        <w:rPr>
          <w:b/>
          <w:bCs/>
          <w:color w:val="000000"/>
          <w:shd w:val="clear" w:color="auto" w:fill="FFFFFF"/>
        </w:rPr>
        <w:t xml:space="preserve">entre los juzgados competentes utilizando el sistema electrónico </w:t>
      </w:r>
      <w:r w:rsidR="00420645">
        <w:rPr>
          <w:b/>
          <w:bCs/>
          <w:color w:val="000000"/>
          <w:shd w:val="clear" w:color="auto" w:fill="FFFFFF"/>
        </w:rPr>
        <w:t>de la Oficina de Recepción y Distribución de Causas y Escritos,</w:t>
      </w:r>
      <w:r w:rsidR="00724BB9" w:rsidRPr="00184CB9">
        <w:rPr>
          <w:b/>
          <w:bCs/>
          <w:color w:val="000000"/>
          <w:shd w:val="clear" w:color="auto" w:fill="FFFFFF"/>
        </w:rPr>
        <w:t xml:space="preserve"> y que en los procesos que se abran por estos hechos no se llev</w:t>
      </w:r>
      <w:r w:rsidR="00055FBE" w:rsidRPr="00184CB9">
        <w:rPr>
          <w:b/>
          <w:bCs/>
          <w:color w:val="000000"/>
          <w:shd w:val="clear" w:color="auto" w:fill="FFFFFF"/>
        </w:rPr>
        <w:t>e</w:t>
      </w:r>
      <w:r w:rsidR="00724BB9" w:rsidRPr="00184CB9">
        <w:rPr>
          <w:b/>
          <w:bCs/>
          <w:color w:val="000000"/>
          <w:shd w:val="clear" w:color="auto" w:fill="FFFFFF"/>
        </w:rPr>
        <w:t xml:space="preserve"> a cabo una distribución de la carga de la prueba que haga inefectivo el derecho de las víctimas a la tutela judicial (art.</w:t>
      </w:r>
      <w:r w:rsidR="00402AEE">
        <w:rPr>
          <w:b/>
          <w:bCs/>
          <w:color w:val="000000"/>
          <w:shd w:val="clear" w:color="auto" w:fill="FFFFFF"/>
        </w:rPr>
        <w:t> </w:t>
      </w:r>
      <w:r w:rsidR="00724BB9" w:rsidRPr="00184CB9">
        <w:rPr>
          <w:b/>
          <w:bCs/>
          <w:color w:val="000000"/>
          <w:shd w:val="clear" w:color="auto" w:fill="FFFFFF"/>
        </w:rPr>
        <w:t>14</w:t>
      </w:r>
      <w:r w:rsidR="00420645">
        <w:rPr>
          <w:b/>
          <w:bCs/>
          <w:color w:val="000000"/>
          <w:shd w:val="clear" w:color="auto" w:fill="FFFFFF"/>
        </w:rPr>
        <w:t>, párr.</w:t>
      </w:r>
      <w:r w:rsidR="00402AEE">
        <w:rPr>
          <w:b/>
          <w:bCs/>
          <w:color w:val="000000"/>
          <w:shd w:val="clear" w:color="auto" w:fill="FFFFFF"/>
        </w:rPr>
        <w:t> </w:t>
      </w:r>
      <w:r w:rsidR="00724BB9" w:rsidRPr="00184CB9">
        <w:rPr>
          <w:b/>
          <w:bCs/>
          <w:color w:val="000000"/>
          <w:shd w:val="clear" w:color="auto" w:fill="FFFFFF"/>
        </w:rPr>
        <w:t>1).</w:t>
      </w:r>
    </w:p>
    <w:p w14:paraId="61E69455" w14:textId="4AF5157A" w:rsidR="00DF622C" w:rsidRPr="00184CB9" w:rsidRDefault="00076D7F" w:rsidP="00076D7F">
      <w:pPr>
        <w:pStyle w:val="H23G"/>
        <w:rPr>
          <w:lang w:val="es-CO"/>
        </w:rPr>
      </w:pPr>
      <w:r>
        <w:rPr>
          <w:lang w:val="es-CO"/>
        </w:rPr>
        <w:tab/>
      </w:r>
      <w:r>
        <w:rPr>
          <w:lang w:val="es-CO"/>
        </w:rPr>
        <w:tab/>
      </w:r>
      <w:r w:rsidR="00DF622C" w:rsidRPr="00184CB9">
        <w:rPr>
          <w:lang w:val="es-CO"/>
        </w:rPr>
        <w:t>Derecho a un juicio imparcial</w:t>
      </w:r>
    </w:p>
    <w:p w14:paraId="2E56EB5E" w14:textId="0CFFC0D4" w:rsidR="00DF622C" w:rsidRPr="00184CB9" w:rsidRDefault="007613F8" w:rsidP="00A13853">
      <w:pPr>
        <w:tabs>
          <w:tab w:val="left" w:pos="1701"/>
          <w:tab w:val="left" w:pos="8505"/>
        </w:tabs>
        <w:spacing w:after="120"/>
        <w:ind w:left="1134" w:right="992"/>
        <w:jc w:val="both"/>
        <w:rPr>
          <w:b/>
          <w:bCs/>
          <w:lang w:val="es-CO"/>
        </w:rPr>
      </w:pPr>
      <w:r w:rsidRPr="00400795">
        <w:rPr>
          <w:rFonts w:ascii="Times" w:hAnsi="Times"/>
          <w:lang w:val="es-PA"/>
        </w:rPr>
        <w:t>29</w:t>
      </w:r>
      <w:r w:rsidR="00DF622C" w:rsidRPr="00400795">
        <w:rPr>
          <w:rFonts w:ascii="Times" w:hAnsi="Times"/>
          <w:lang w:val="es-PA"/>
        </w:rPr>
        <w:t>.</w:t>
      </w:r>
      <w:r w:rsidR="00CC5B46" w:rsidRPr="00400795">
        <w:rPr>
          <w:rFonts w:ascii="Times" w:hAnsi="Times"/>
          <w:lang w:val="es-PA"/>
        </w:rPr>
        <w:tab/>
      </w:r>
      <w:r w:rsidR="00DF622C" w:rsidRPr="00400795">
        <w:rPr>
          <w:rFonts w:ascii="Times" w:hAnsi="Times"/>
          <w:lang w:val="es-CO"/>
        </w:rPr>
        <w:t xml:space="preserve">Al Comité le preocupan </w:t>
      </w:r>
      <w:r w:rsidR="00DA3996" w:rsidRPr="00400795">
        <w:rPr>
          <w:rFonts w:ascii="Times" w:hAnsi="Times"/>
          <w:lang w:val="es-CO"/>
        </w:rPr>
        <w:t xml:space="preserve">las </w:t>
      </w:r>
      <w:r w:rsidR="00DF622C" w:rsidRPr="00400795">
        <w:rPr>
          <w:rFonts w:ascii="Times" w:hAnsi="Times"/>
          <w:lang w:val="es-CO"/>
        </w:rPr>
        <w:t xml:space="preserve">vulneraciones de las garantías procesales que se le han </w:t>
      </w:r>
      <w:r w:rsidR="00DF622C" w:rsidRPr="00400795">
        <w:rPr>
          <w:rFonts w:ascii="Times" w:hAnsi="Times"/>
          <w:color w:val="000000" w:themeColor="text1"/>
          <w:lang w:val="es-CO"/>
        </w:rPr>
        <w:t>comunicado</w:t>
      </w:r>
      <w:r w:rsidR="00A8665E" w:rsidRPr="00400795">
        <w:rPr>
          <w:rFonts w:ascii="Times" w:hAnsi="Times"/>
          <w:color w:val="000000" w:themeColor="text1"/>
          <w:lang w:val="es-CO"/>
        </w:rPr>
        <w:t>. E</w:t>
      </w:r>
      <w:r w:rsidR="00DF622C" w:rsidRPr="00400795">
        <w:rPr>
          <w:rFonts w:ascii="Times" w:hAnsi="Times"/>
          <w:color w:val="000000" w:themeColor="text1"/>
          <w:lang w:val="es-CO"/>
        </w:rPr>
        <w:t>n particular</w:t>
      </w:r>
      <w:r w:rsidR="00A8665E" w:rsidRPr="00400795">
        <w:rPr>
          <w:rFonts w:ascii="Times" w:hAnsi="Times"/>
          <w:color w:val="000000" w:themeColor="text1"/>
          <w:lang w:val="es-CO"/>
        </w:rPr>
        <w:t xml:space="preserve">, </w:t>
      </w:r>
      <w:r w:rsidR="00A8665E" w:rsidRPr="00400795">
        <w:rPr>
          <w:rFonts w:ascii="Times" w:hAnsi="Times"/>
          <w:color w:val="000000" w:themeColor="text1"/>
          <w:shd w:val="clear" w:color="auto" w:fill="FFFFFF"/>
        </w:rPr>
        <w:t xml:space="preserve">observa con preocupación las denuncias sobre </w:t>
      </w:r>
      <w:r w:rsidR="00DA3996" w:rsidRPr="00400795">
        <w:rPr>
          <w:rFonts w:ascii="Times" w:hAnsi="Times"/>
          <w:color w:val="000000" w:themeColor="text1"/>
          <w:lang w:val="es-CO"/>
        </w:rPr>
        <w:t>l</w:t>
      </w:r>
      <w:r w:rsidR="00A8665E" w:rsidRPr="00400795">
        <w:rPr>
          <w:rFonts w:ascii="Times" w:hAnsi="Times"/>
          <w:color w:val="000000" w:themeColor="text1"/>
          <w:lang w:val="es-CO"/>
        </w:rPr>
        <w:t>a utilización de tipos penales ambiguos durante investigaciones y enjuiciamientos</w:t>
      </w:r>
      <w:r w:rsidR="00402AEE">
        <w:rPr>
          <w:rFonts w:ascii="Times" w:hAnsi="Times"/>
          <w:color w:val="000000" w:themeColor="text1"/>
          <w:lang w:val="es-CO"/>
        </w:rPr>
        <w:t>,</w:t>
      </w:r>
      <w:r w:rsidR="00DA3996" w:rsidRPr="00400795">
        <w:rPr>
          <w:rFonts w:ascii="Times" w:hAnsi="Times"/>
          <w:color w:val="000000" w:themeColor="text1"/>
          <w:shd w:val="clear" w:color="auto" w:fill="FFFFFF"/>
        </w:rPr>
        <w:t xml:space="preserve"> así como las alegaciones </w:t>
      </w:r>
      <w:r w:rsidR="00A8665E" w:rsidRPr="00400795">
        <w:rPr>
          <w:rFonts w:ascii="Times" w:hAnsi="Times"/>
          <w:color w:val="000000" w:themeColor="text1"/>
          <w:shd w:val="clear" w:color="auto" w:fill="FFFFFF"/>
        </w:rPr>
        <w:t>de que las personas detenidas no siempre son informadas sin demora y en un idioma que entiendan de sus derechos, incluido su derecho a recibir asesoramiento jurídico desde el momento del arresto. El Comité también está preocupado por la falta de acceso efectivo a la asistencia jurídica de las personas detenidas</w:t>
      </w:r>
      <w:r w:rsidR="00402AEE">
        <w:rPr>
          <w:rFonts w:ascii="Times" w:hAnsi="Times"/>
          <w:color w:val="000000" w:themeColor="text1"/>
          <w:shd w:val="clear" w:color="auto" w:fill="FFFFFF"/>
        </w:rPr>
        <w:t>. E</w:t>
      </w:r>
      <w:r w:rsidR="002A4642" w:rsidRPr="00400795">
        <w:rPr>
          <w:rFonts w:ascii="Times" w:hAnsi="Times"/>
          <w:color w:val="000000" w:themeColor="text1"/>
          <w:shd w:val="clear" w:color="auto" w:fill="FFFFFF"/>
        </w:rPr>
        <w:t xml:space="preserve">n especial, </w:t>
      </w:r>
      <w:r w:rsidR="00402AEE">
        <w:rPr>
          <w:rFonts w:ascii="Times" w:hAnsi="Times"/>
          <w:color w:val="000000" w:themeColor="text1"/>
          <w:shd w:val="clear" w:color="auto" w:fill="FFFFFF"/>
        </w:rPr>
        <w:t xml:space="preserve">le </w:t>
      </w:r>
      <w:r w:rsidR="002A4642" w:rsidRPr="00400795">
        <w:rPr>
          <w:rFonts w:ascii="Times" w:hAnsi="Times"/>
          <w:color w:val="000000" w:themeColor="text1"/>
          <w:shd w:val="clear" w:color="auto" w:fill="FFFFFF"/>
        </w:rPr>
        <w:t xml:space="preserve">inquietan </w:t>
      </w:r>
      <w:r w:rsidR="002A4642" w:rsidRPr="00400795">
        <w:rPr>
          <w:lang w:val="es-CO"/>
        </w:rPr>
        <w:t xml:space="preserve">las denuncias sobre los obstáculos </w:t>
      </w:r>
      <w:r w:rsidR="002A4642" w:rsidRPr="00400795">
        <w:rPr>
          <w:lang w:val="es-CO"/>
        </w:rPr>
        <w:lastRenderedPageBreak/>
        <w:t>que enfrentan los abogados para acceder a las audiencias judiciales</w:t>
      </w:r>
      <w:r w:rsidR="000609B0">
        <w:rPr>
          <w:lang w:val="es-CO"/>
        </w:rPr>
        <w:t xml:space="preserve"> y</w:t>
      </w:r>
      <w:r w:rsidR="002A4642" w:rsidRPr="00400795">
        <w:rPr>
          <w:lang w:val="es-CO"/>
        </w:rPr>
        <w:t xml:space="preserve"> los expedientes del caso</w:t>
      </w:r>
      <w:r w:rsidR="000609B0">
        <w:rPr>
          <w:lang w:val="es-CO"/>
        </w:rPr>
        <w:t>,</w:t>
      </w:r>
      <w:r w:rsidR="002A4642" w:rsidRPr="00400795">
        <w:rPr>
          <w:lang w:val="es-CO"/>
        </w:rPr>
        <w:t xml:space="preserve"> y </w:t>
      </w:r>
      <w:r w:rsidR="000609B0">
        <w:rPr>
          <w:lang w:val="es-CO"/>
        </w:rPr>
        <w:t>par</w:t>
      </w:r>
      <w:r w:rsidR="002A4642" w:rsidRPr="00400795">
        <w:rPr>
          <w:lang w:val="es-CO"/>
        </w:rPr>
        <w:t>a comunicarse libremente y en privado con sus defendidos</w:t>
      </w:r>
      <w:r w:rsidR="002A4642" w:rsidRPr="00400795">
        <w:rPr>
          <w:rFonts w:ascii="Times" w:hAnsi="Times"/>
          <w:color w:val="000000" w:themeColor="text1"/>
          <w:shd w:val="clear" w:color="auto" w:fill="FFFFFF"/>
        </w:rPr>
        <w:t xml:space="preserve"> </w:t>
      </w:r>
      <w:r w:rsidR="00A8665E" w:rsidRPr="00400795">
        <w:rPr>
          <w:rFonts w:ascii="Times" w:hAnsi="Times"/>
          <w:color w:val="000000" w:themeColor="text1"/>
          <w:shd w:val="clear" w:color="auto" w:fill="FFFFFF"/>
        </w:rPr>
        <w:t>(arts. 9</w:t>
      </w:r>
      <w:r w:rsidR="00884B19" w:rsidRPr="00400795">
        <w:rPr>
          <w:rFonts w:ascii="Times" w:hAnsi="Times"/>
          <w:color w:val="000000" w:themeColor="text1"/>
          <w:shd w:val="clear" w:color="auto" w:fill="FFFFFF"/>
        </w:rPr>
        <w:t xml:space="preserve">, </w:t>
      </w:r>
      <w:r w:rsidR="00A8665E" w:rsidRPr="00400795">
        <w:rPr>
          <w:rFonts w:ascii="Times" w:hAnsi="Times"/>
          <w:color w:val="000000" w:themeColor="text1"/>
          <w:shd w:val="clear" w:color="auto" w:fill="FFFFFF"/>
        </w:rPr>
        <w:t>10</w:t>
      </w:r>
      <w:r w:rsidR="00400795">
        <w:rPr>
          <w:rFonts w:ascii="Times" w:hAnsi="Times"/>
          <w:color w:val="000000" w:themeColor="text1"/>
          <w:shd w:val="clear" w:color="auto" w:fill="FFFFFF"/>
        </w:rPr>
        <w:t xml:space="preserve"> y</w:t>
      </w:r>
      <w:r w:rsidR="00884B19" w:rsidRPr="00400795">
        <w:rPr>
          <w:rFonts w:ascii="Times" w:hAnsi="Times"/>
          <w:color w:val="000000" w:themeColor="text1"/>
          <w:shd w:val="clear" w:color="auto" w:fill="FFFFFF"/>
        </w:rPr>
        <w:t xml:space="preserve"> 14</w:t>
      </w:r>
      <w:r w:rsidR="00A8665E" w:rsidRPr="00400795">
        <w:rPr>
          <w:rFonts w:ascii="Times" w:hAnsi="Times"/>
          <w:color w:val="000000" w:themeColor="text1"/>
          <w:shd w:val="clear" w:color="auto" w:fill="FFFFFF"/>
        </w:rPr>
        <w:t>).</w:t>
      </w:r>
    </w:p>
    <w:p w14:paraId="533953DA" w14:textId="1470A41E" w:rsidR="00DF622C" w:rsidRPr="00184CB9" w:rsidRDefault="00DF622C" w:rsidP="00A13853">
      <w:pPr>
        <w:tabs>
          <w:tab w:val="left" w:pos="1701"/>
          <w:tab w:val="left" w:pos="8505"/>
          <w:tab w:val="left" w:pos="8647"/>
        </w:tabs>
        <w:spacing w:after="120"/>
        <w:ind w:left="1134" w:right="992"/>
        <w:jc w:val="both"/>
        <w:rPr>
          <w:b/>
          <w:bCs/>
          <w:lang w:val="es-CO"/>
        </w:rPr>
      </w:pPr>
      <w:r w:rsidRPr="00076D7F">
        <w:rPr>
          <w:lang w:val="es-CO"/>
        </w:rPr>
        <w:t>3</w:t>
      </w:r>
      <w:r w:rsidR="00DC3A91" w:rsidRPr="00076D7F">
        <w:rPr>
          <w:lang w:val="es-CO"/>
        </w:rPr>
        <w:t>0</w:t>
      </w:r>
      <w:r w:rsidRPr="00076D7F">
        <w:rPr>
          <w:lang w:val="es-CO"/>
        </w:rPr>
        <w:t>.</w:t>
      </w:r>
      <w:r w:rsidRPr="00184CB9">
        <w:rPr>
          <w:b/>
          <w:bCs/>
          <w:lang w:val="es-CO"/>
        </w:rPr>
        <w:t xml:space="preserve"> </w:t>
      </w:r>
      <w:r w:rsidR="007613F8" w:rsidRPr="00184CB9">
        <w:rPr>
          <w:b/>
          <w:bCs/>
          <w:lang w:val="es-CO"/>
        </w:rPr>
        <w:tab/>
      </w:r>
      <w:r w:rsidR="002A4642" w:rsidRPr="00184CB9">
        <w:rPr>
          <w:b/>
          <w:bCs/>
          <w:lang w:val="es-CO"/>
        </w:rPr>
        <w:t xml:space="preserve">De conformidad con el artículo 14 del Pacto y la observación general núm. </w:t>
      </w:r>
      <w:hyperlink r:id="rId11" w:history="1">
        <w:r w:rsidR="002A4642" w:rsidRPr="007D14C9">
          <w:rPr>
            <w:rStyle w:val="Hipervnculo"/>
            <w:b/>
            <w:bCs/>
            <w:lang w:val="es-CO"/>
          </w:rPr>
          <w:t>32 (2007)</w:t>
        </w:r>
      </w:hyperlink>
      <w:r w:rsidR="002A4642" w:rsidRPr="00184CB9">
        <w:rPr>
          <w:b/>
          <w:bCs/>
          <w:lang w:val="es-CO"/>
        </w:rPr>
        <w:t xml:space="preserve"> del Comité, e</w:t>
      </w:r>
      <w:r w:rsidRPr="00184CB9">
        <w:rPr>
          <w:b/>
          <w:bCs/>
          <w:lang w:val="es-CO"/>
        </w:rPr>
        <w:t>l Estado parte debe</w:t>
      </w:r>
      <w:r w:rsidR="0010449D" w:rsidRPr="00184CB9">
        <w:rPr>
          <w:b/>
          <w:bCs/>
          <w:lang w:val="es-CO"/>
        </w:rPr>
        <w:t>:</w:t>
      </w:r>
      <w:r w:rsidRPr="00184CB9">
        <w:rPr>
          <w:b/>
          <w:bCs/>
          <w:lang w:val="es-CO"/>
        </w:rPr>
        <w:t xml:space="preserve"> </w:t>
      </w:r>
    </w:p>
    <w:p w14:paraId="2AE9E20E" w14:textId="64CE955D" w:rsidR="002355E7" w:rsidRPr="00184CB9" w:rsidRDefault="00927916" w:rsidP="002355E7">
      <w:pPr>
        <w:tabs>
          <w:tab w:val="left" w:pos="1134"/>
        </w:tabs>
        <w:spacing w:after="120"/>
        <w:ind w:left="1134" w:right="992" w:hanging="1134"/>
        <w:jc w:val="both"/>
        <w:rPr>
          <w:b/>
          <w:bCs/>
          <w:lang w:val="es-MX"/>
        </w:rPr>
      </w:pPr>
      <w:r w:rsidRPr="00184CB9">
        <w:rPr>
          <w:b/>
          <w:bCs/>
          <w:lang w:val="es-CO"/>
        </w:rPr>
        <w:tab/>
      </w:r>
      <w:r w:rsidR="002355E7" w:rsidRPr="00184CB9">
        <w:rPr>
          <w:b/>
          <w:bCs/>
          <w:lang w:val="es-CO"/>
        </w:rPr>
        <w:tab/>
      </w:r>
      <w:r w:rsidRPr="00184CB9">
        <w:rPr>
          <w:b/>
          <w:bCs/>
          <w:lang w:val="es-CO"/>
        </w:rPr>
        <w:tab/>
      </w:r>
      <w:r w:rsidRPr="00CC5B46">
        <w:rPr>
          <w:bCs/>
          <w:lang w:val="es-CO"/>
        </w:rPr>
        <w:t>a)</w:t>
      </w:r>
      <w:r w:rsidRPr="00184CB9">
        <w:rPr>
          <w:b/>
          <w:bCs/>
          <w:lang w:val="es-CO"/>
        </w:rPr>
        <w:t xml:space="preserve"> </w:t>
      </w:r>
      <w:r w:rsidRPr="00184CB9">
        <w:rPr>
          <w:b/>
          <w:bCs/>
          <w:lang w:val="es-CO"/>
        </w:rPr>
        <w:tab/>
      </w:r>
      <w:r w:rsidR="0010449D" w:rsidRPr="00184CB9">
        <w:rPr>
          <w:b/>
          <w:bCs/>
          <w:lang w:val="es-CO"/>
        </w:rPr>
        <w:t xml:space="preserve">Garantizar que </w:t>
      </w:r>
      <w:r w:rsidR="00400795">
        <w:rPr>
          <w:b/>
          <w:bCs/>
          <w:lang w:val="es-CO"/>
        </w:rPr>
        <w:t xml:space="preserve">los </w:t>
      </w:r>
      <w:r w:rsidR="002A4642" w:rsidRPr="00184CB9">
        <w:rPr>
          <w:b/>
          <w:bCs/>
          <w:lang w:val="es-CO"/>
        </w:rPr>
        <w:t xml:space="preserve">tipos penales de “obstrucción de justicia”, “desacato a la autoridad” </w:t>
      </w:r>
      <w:r w:rsidR="00400795">
        <w:rPr>
          <w:b/>
          <w:bCs/>
          <w:lang w:val="es-CO"/>
        </w:rPr>
        <w:t>e</w:t>
      </w:r>
      <w:r w:rsidR="00400795" w:rsidRPr="00184CB9">
        <w:rPr>
          <w:b/>
          <w:bCs/>
          <w:lang w:val="es-CO"/>
        </w:rPr>
        <w:t xml:space="preserve"> </w:t>
      </w:r>
      <w:r w:rsidR="002A4642" w:rsidRPr="00184CB9">
        <w:rPr>
          <w:b/>
          <w:bCs/>
          <w:lang w:val="es-CO"/>
        </w:rPr>
        <w:t xml:space="preserve">“incitación a cometer delito” sean compatibles </w:t>
      </w:r>
      <w:r w:rsidR="00716DD8" w:rsidRPr="00184CB9">
        <w:rPr>
          <w:b/>
          <w:bCs/>
          <w:lang w:val="es-CO"/>
        </w:rPr>
        <w:t>con</w:t>
      </w:r>
      <w:r w:rsidR="002A4642" w:rsidRPr="00184CB9">
        <w:rPr>
          <w:b/>
          <w:bCs/>
          <w:lang w:val="es-CO"/>
        </w:rPr>
        <w:t xml:space="preserve"> los estándares internacionales relevantes</w:t>
      </w:r>
      <w:r w:rsidR="00400795">
        <w:rPr>
          <w:b/>
          <w:bCs/>
          <w:lang w:val="es-CO"/>
        </w:rPr>
        <w:t>;</w:t>
      </w:r>
    </w:p>
    <w:p w14:paraId="616CBA89" w14:textId="47257D0A" w:rsidR="00DF622C" w:rsidRPr="00184CB9" w:rsidRDefault="002355E7" w:rsidP="002355E7">
      <w:pPr>
        <w:spacing w:after="120"/>
        <w:ind w:left="1134" w:right="992" w:firstLine="567"/>
        <w:jc w:val="both"/>
        <w:rPr>
          <w:b/>
          <w:bCs/>
          <w:lang w:val="es-MX"/>
        </w:rPr>
      </w:pPr>
      <w:r w:rsidRPr="00CC5B46">
        <w:rPr>
          <w:bCs/>
          <w:lang w:val="es-CO"/>
        </w:rPr>
        <w:t>b)</w:t>
      </w:r>
      <w:r w:rsidRPr="00184CB9">
        <w:rPr>
          <w:b/>
          <w:bCs/>
          <w:lang w:val="es-CO"/>
        </w:rPr>
        <w:tab/>
      </w:r>
      <w:r w:rsidRPr="00184CB9">
        <w:rPr>
          <w:b/>
          <w:bCs/>
          <w:lang w:val="es-MX"/>
        </w:rPr>
        <w:t xml:space="preserve">Promover que el Ministerio Público inste la puesta en libertad inmediata de las personas detenidas a raíz de la crisis sociopolítica iniciada en 2018 y </w:t>
      </w:r>
      <w:r w:rsidR="000609B0">
        <w:rPr>
          <w:b/>
          <w:bCs/>
          <w:lang w:val="es-MX"/>
        </w:rPr>
        <w:t>durante</w:t>
      </w:r>
      <w:r w:rsidR="000609B0" w:rsidRPr="00184CB9">
        <w:rPr>
          <w:b/>
          <w:bCs/>
          <w:lang w:val="es-MX"/>
        </w:rPr>
        <w:t xml:space="preserve"> </w:t>
      </w:r>
      <w:r w:rsidRPr="00184CB9">
        <w:rPr>
          <w:b/>
          <w:bCs/>
          <w:lang w:val="es-MX"/>
        </w:rPr>
        <w:t>los disturbios en torno a las elecciones de noviembre de 2021, sin perjuicio de que, si procede, sean debidamente enjuiciadas</w:t>
      </w:r>
      <w:r w:rsidR="00724BB9" w:rsidRPr="00184CB9">
        <w:rPr>
          <w:b/>
          <w:bCs/>
          <w:lang w:val="es-MX"/>
        </w:rPr>
        <w:t>;</w:t>
      </w:r>
    </w:p>
    <w:p w14:paraId="4F9EB557" w14:textId="1DDB6570" w:rsidR="00F566F2" w:rsidRPr="00184CB9" w:rsidRDefault="00927916" w:rsidP="00A13853">
      <w:pPr>
        <w:tabs>
          <w:tab w:val="left" w:pos="1134"/>
        </w:tabs>
        <w:spacing w:after="120"/>
        <w:ind w:left="1134" w:right="992"/>
        <w:jc w:val="both"/>
        <w:rPr>
          <w:b/>
          <w:bCs/>
          <w:lang w:val="es-CO"/>
        </w:rPr>
      </w:pPr>
      <w:r w:rsidRPr="00184CB9">
        <w:rPr>
          <w:b/>
          <w:bCs/>
          <w:lang w:val="es-CO"/>
        </w:rPr>
        <w:tab/>
      </w:r>
      <w:r w:rsidRPr="00184CB9">
        <w:rPr>
          <w:b/>
          <w:bCs/>
          <w:lang w:val="es-CO"/>
        </w:rPr>
        <w:tab/>
      </w:r>
      <w:r w:rsidRPr="00CC5B46">
        <w:rPr>
          <w:bCs/>
          <w:lang w:val="es-CO"/>
        </w:rPr>
        <w:t>c)</w:t>
      </w:r>
      <w:r w:rsidRPr="00184CB9">
        <w:rPr>
          <w:b/>
          <w:bCs/>
          <w:lang w:val="es-CO"/>
        </w:rPr>
        <w:t xml:space="preserve"> </w:t>
      </w:r>
      <w:r w:rsidRPr="00184CB9">
        <w:rPr>
          <w:b/>
          <w:bCs/>
          <w:lang w:val="es-CO"/>
        </w:rPr>
        <w:tab/>
      </w:r>
      <w:r w:rsidR="0010449D" w:rsidRPr="00184CB9">
        <w:rPr>
          <w:b/>
          <w:bCs/>
          <w:lang w:val="es-CO"/>
        </w:rPr>
        <w:t xml:space="preserve">Asegurar que los </w:t>
      </w:r>
      <w:r w:rsidR="00DF622C" w:rsidRPr="00184CB9">
        <w:rPr>
          <w:b/>
          <w:bCs/>
          <w:lang w:val="es-CO"/>
        </w:rPr>
        <w:t>abogados puedan asesorar y representar a las personas acusadas de delitos sin obstáculos, influencias, presión o injerencias indebidas, de conformidad con los Principios Básicos sobre la Función de los Abogados</w:t>
      </w:r>
      <w:r w:rsidR="002A4642" w:rsidRPr="00184CB9">
        <w:rPr>
          <w:b/>
          <w:bCs/>
          <w:lang w:val="es-CO"/>
        </w:rPr>
        <w:t>.</w:t>
      </w:r>
    </w:p>
    <w:p w14:paraId="77937439" w14:textId="04CF32DD" w:rsidR="00DF622C" w:rsidRPr="00184CB9" w:rsidRDefault="00076D7F" w:rsidP="00076D7F">
      <w:pPr>
        <w:pStyle w:val="H23G"/>
        <w:rPr>
          <w:lang w:val="es-CO"/>
        </w:rPr>
      </w:pPr>
      <w:r>
        <w:rPr>
          <w:lang w:val="es-CO"/>
        </w:rPr>
        <w:tab/>
      </w:r>
      <w:r>
        <w:rPr>
          <w:lang w:val="es-CO"/>
        </w:rPr>
        <w:tab/>
      </w:r>
      <w:r w:rsidR="00F566F2" w:rsidRPr="00184CB9">
        <w:rPr>
          <w:lang w:val="es-CO"/>
        </w:rPr>
        <w:t xml:space="preserve">Libertad de expresión y asociación </w:t>
      </w:r>
      <w:r w:rsidR="005D4F71" w:rsidRPr="00184CB9">
        <w:rPr>
          <w:lang w:val="es-CO"/>
        </w:rPr>
        <w:t>y derecho a la</w:t>
      </w:r>
      <w:r w:rsidR="00F566F2" w:rsidRPr="00184CB9">
        <w:rPr>
          <w:lang w:val="es-CO"/>
        </w:rPr>
        <w:t xml:space="preserve"> </w:t>
      </w:r>
      <w:r w:rsidR="005D4F71" w:rsidRPr="00184CB9">
        <w:rPr>
          <w:lang w:val="es-CO"/>
        </w:rPr>
        <w:t>privacidad</w:t>
      </w:r>
      <w:r w:rsidR="00F566F2" w:rsidRPr="00184CB9">
        <w:rPr>
          <w:lang w:val="es-CO"/>
        </w:rPr>
        <w:t xml:space="preserve"> </w:t>
      </w:r>
    </w:p>
    <w:p w14:paraId="43859D36" w14:textId="3BF37739" w:rsidR="007613F8" w:rsidRPr="00184CB9" w:rsidRDefault="007613F8" w:rsidP="00A13853">
      <w:pPr>
        <w:spacing w:after="120"/>
        <w:ind w:left="1134" w:right="991"/>
        <w:jc w:val="both"/>
        <w:rPr>
          <w:lang w:val="es-CO"/>
        </w:rPr>
      </w:pPr>
      <w:r w:rsidRPr="00076D7F">
        <w:rPr>
          <w:lang w:val="es-CO"/>
        </w:rPr>
        <w:t>3</w:t>
      </w:r>
      <w:r w:rsidR="001B16A4" w:rsidRPr="00076D7F">
        <w:rPr>
          <w:lang w:val="es-CO"/>
        </w:rPr>
        <w:t>1</w:t>
      </w:r>
      <w:r w:rsidRPr="00076D7F">
        <w:rPr>
          <w:lang w:val="es-CO"/>
        </w:rPr>
        <w:t xml:space="preserve">. </w:t>
      </w:r>
      <w:r w:rsidR="002E10EE" w:rsidRPr="00076D7F">
        <w:rPr>
          <w:lang w:val="es-CO"/>
        </w:rPr>
        <w:tab/>
      </w:r>
      <w:r w:rsidRPr="00184CB9">
        <w:rPr>
          <w:lang w:val="es-CO"/>
        </w:rPr>
        <w:t>Si bien el Comité toma nota de las disposiciones contenidas en los art</w:t>
      </w:r>
      <w:r w:rsidR="00400795">
        <w:rPr>
          <w:lang w:val="es-CO"/>
        </w:rPr>
        <w:t>ículos</w:t>
      </w:r>
      <w:r w:rsidRPr="00184CB9">
        <w:rPr>
          <w:lang w:val="es-CO"/>
        </w:rPr>
        <w:t xml:space="preserve"> 53 y 54 de la Constitución sobre el derecho de reunión pacífica, le preocupa la aplicación restrictiva de la </w:t>
      </w:r>
      <w:r w:rsidR="00400795">
        <w:rPr>
          <w:lang w:val="es-CO"/>
        </w:rPr>
        <w:t>Ley de Organización, Funciones, Carrera y Régimen Especial de Seguridad Social de la Policía Nacional (</w:t>
      </w:r>
      <w:r w:rsidR="00965ECA" w:rsidRPr="00184CB9">
        <w:rPr>
          <w:lang w:val="es-CO"/>
        </w:rPr>
        <w:t xml:space="preserve">Ley </w:t>
      </w:r>
      <w:r w:rsidR="00400795">
        <w:rPr>
          <w:lang w:val="es-CO"/>
        </w:rPr>
        <w:t>núm</w:t>
      </w:r>
      <w:r w:rsidR="00400795" w:rsidRPr="00184CB9">
        <w:rPr>
          <w:lang w:val="es-CO"/>
        </w:rPr>
        <w:t>.</w:t>
      </w:r>
      <w:r w:rsidR="00400795">
        <w:rPr>
          <w:lang w:val="es-CO"/>
        </w:rPr>
        <w:t> </w:t>
      </w:r>
      <w:r w:rsidR="00965ECA" w:rsidRPr="00184CB9">
        <w:rPr>
          <w:lang w:val="es-CO"/>
        </w:rPr>
        <w:t>872</w:t>
      </w:r>
      <w:r w:rsidR="00400795">
        <w:rPr>
          <w:lang w:val="es-CO"/>
        </w:rPr>
        <w:t xml:space="preserve">), de </w:t>
      </w:r>
      <w:r w:rsidR="00965ECA">
        <w:rPr>
          <w:lang w:val="es-CO"/>
        </w:rPr>
        <w:t>2014</w:t>
      </w:r>
      <w:r w:rsidR="00400795">
        <w:rPr>
          <w:lang w:val="es-CO"/>
        </w:rPr>
        <w:t>,</w:t>
      </w:r>
      <w:r w:rsidR="00965ECA">
        <w:rPr>
          <w:lang w:val="es-CO"/>
        </w:rPr>
        <w:t xml:space="preserve"> </w:t>
      </w:r>
      <w:r w:rsidR="00965ECA" w:rsidRPr="00184CB9">
        <w:rPr>
          <w:lang w:val="es-CO"/>
        </w:rPr>
        <w:t xml:space="preserve">y la </w:t>
      </w:r>
      <w:r w:rsidR="00400795">
        <w:rPr>
          <w:lang w:val="es-CO"/>
        </w:rPr>
        <w:t>Ley de Reforma y Adición a la Ley núm. 331, Ley Electoral (</w:t>
      </w:r>
      <w:r w:rsidR="00965ECA" w:rsidRPr="00184CB9">
        <w:rPr>
          <w:lang w:val="es-CO"/>
        </w:rPr>
        <w:t xml:space="preserve">Ley </w:t>
      </w:r>
      <w:r w:rsidR="00400795">
        <w:rPr>
          <w:lang w:val="es-CO"/>
        </w:rPr>
        <w:t>núm</w:t>
      </w:r>
      <w:r w:rsidR="00965ECA" w:rsidRPr="00184CB9">
        <w:rPr>
          <w:lang w:val="es-CO"/>
        </w:rPr>
        <w:t>.</w:t>
      </w:r>
      <w:r w:rsidR="00400795">
        <w:rPr>
          <w:lang w:val="es-CO"/>
        </w:rPr>
        <w:t> </w:t>
      </w:r>
      <w:r w:rsidR="00965ECA" w:rsidRPr="00184CB9">
        <w:rPr>
          <w:lang w:val="es-CO"/>
        </w:rPr>
        <w:t>1070</w:t>
      </w:r>
      <w:r w:rsidR="00400795">
        <w:rPr>
          <w:lang w:val="es-CO"/>
        </w:rPr>
        <w:t xml:space="preserve">), de </w:t>
      </w:r>
      <w:r w:rsidR="00965ECA">
        <w:rPr>
          <w:lang w:val="es-CO"/>
        </w:rPr>
        <w:t>2021</w:t>
      </w:r>
      <w:r w:rsidR="00400795">
        <w:rPr>
          <w:lang w:val="es-CO"/>
        </w:rPr>
        <w:t>,</w:t>
      </w:r>
      <w:r w:rsidR="00965ECA">
        <w:rPr>
          <w:lang w:val="es-CO"/>
        </w:rPr>
        <w:t xml:space="preserve"> </w:t>
      </w:r>
      <w:r w:rsidRPr="00184CB9">
        <w:rPr>
          <w:lang w:val="es-CO"/>
        </w:rPr>
        <w:t xml:space="preserve">por parte de las autoridades del Estado parte para exigir autorizaciones previas para la celebración de concentraciones y prohibir manifestaciones </w:t>
      </w:r>
      <w:r w:rsidRPr="00184CB9">
        <w:rPr>
          <w:rStyle w:val="normaltextrun"/>
          <w:rFonts w:asciiTheme="majorBidi" w:hAnsiTheme="majorBidi" w:cstheme="majorBidi"/>
          <w:color w:val="000000"/>
          <w:lang w:val="es-AR"/>
        </w:rPr>
        <w:t>de grupos que no participan en elecciones</w:t>
      </w:r>
      <w:r w:rsidR="001B16A4" w:rsidRPr="00184CB9">
        <w:rPr>
          <w:rStyle w:val="normaltextrun"/>
          <w:rFonts w:asciiTheme="majorBidi" w:hAnsiTheme="majorBidi" w:cstheme="majorBidi"/>
          <w:color w:val="000000"/>
          <w:lang w:val="es-AR"/>
        </w:rPr>
        <w:t xml:space="preserve">. </w:t>
      </w:r>
      <w:r w:rsidRPr="00184CB9">
        <w:rPr>
          <w:rStyle w:val="normaltextrun"/>
          <w:rFonts w:asciiTheme="majorBidi" w:hAnsiTheme="majorBidi" w:cstheme="majorBidi"/>
          <w:color w:val="000000"/>
          <w:lang w:val="es-AR"/>
        </w:rPr>
        <w:t xml:space="preserve">En lo que respecta a la libertad de expresión, </w:t>
      </w:r>
      <w:r w:rsidR="00D84855" w:rsidRPr="00184CB9">
        <w:rPr>
          <w:rStyle w:val="normaltextrun"/>
          <w:rFonts w:asciiTheme="majorBidi" w:hAnsiTheme="majorBidi" w:cstheme="majorBidi"/>
          <w:color w:val="000000"/>
          <w:lang w:val="es-AR"/>
        </w:rPr>
        <w:t xml:space="preserve">preocupan al Comité las alegaciones relativas al cierre de múltiples medios de comunicación y al hostigamiento e intimidación contra defensores de derechos humanos y periodistas. </w:t>
      </w:r>
      <w:r w:rsidRPr="00184CB9">
        <w:rPr>
          <w:lang w:val="es-CO"/>
        </w:rPr>
        <w:t>Inquieta</w:t>
      </w:r>
      <w:r w:rsidR="009763A6">
        <w:rPr>
          <w:lang w:val="es-CO"/>
        </w:rPr>
        <w:t>n</w:t>
      </w:r>
      <w:r w:rsidRPr="00184CB9">
        <w:rPr>
          <w:lang w:val="es-CO"/>
        </w:rPr>
        <w:t xml:space="preserve"> también al Comité la </w:t>
      </w:r>
      <w:r w:rsidR="00400795">
        <w:rPr>
          <w:lang w:val="es-CO"/>
        </w:rPr>
        <w:t>Ley Especial de Ciberdelitos (</w:t>
      </w:r>
      <w:r w:rsidRPr="00184CB9">
        <w:rPr>
          <w:lang w:val="es-CO"/>
        </w:rPr>
        <w:t xml:space="preserve">Ley </w:t>
      </w:r>
      <w:r w:rsidR="00400795">
        <w:rPr>
          <w:lang w:val="es-CO"/>
        </w:rPr>
        <w:t>núm</w:t>
      </w:r>
      <w:r w:rsidR="00400795" w:rsidRPr="00184CB9">
        <w:rPr>
          <w:lang w:val="es-CO"/>
        </w:rPr>
        <w:t>.</w:t>
      </w:r>
      <w:r w:rsidR="00400795">
        <w:rPr>
          <w:lang w:val="es-CO"/>
        </w:rPr>
        <w:t> </w:t>
      </w:r>
      <w:r w:rsidRPr="00184CB9">
        <w:rPr>
          <w:lang w:val="es-CO"/>
        </w:rPr>
        <w:t>1042</w:t>
      </w:r>
      <w:r w:rsidR="00400795">
        <w:rPr>
          <w:lang w:val="es-CO"/>
        </w:rPr>
        <w:t>), de 2020,</w:t>
      </w:r>
      <w:r w:rsidRPr="00184CB9">
        <w:rPr>
          <w:lang w:val="es-CO"/>
        </w:rPr>
        <w:t xml:space="preserve"> que criminaliza la publicación de información falsa, y l</w:t>
      </w:r>
      <w:r w:rsidR="00D84855" w:rsidRPr="00184CB9">
        <w:rPr>
          <w:lang w:val="es-CO"/>
        </w:rPr>
        <w:t>o</w:t>
      </w:r>
      <w:r w:rsidRPr="00184CB9">
        <w:rPr>
          <w:lang w:val="es-CO"/>
        </w:rPr>
        <w:t xml:space="preserve">s </w:t>
      </w:r>
      <w:r w:rsidR="00D84855" w:rsidRPr="00184CB9">
        <w:rPr>
          <w:lang w:val="es-CO"/>
        </w:rPr>
        <w:t xml:space="preserve">informes </w:t>
      </w:r>
      <w:r w:rsidRPr="00184CB9">
        <w:rPr>
          <w:rFonts w:ascii="Times" w:hAnsi="Times"/>
          <w:color w:val="000000"/>
        </w:rPr>
        <w:t xml:space="preserve">sobre la utilización de </w:t>
      </w:r>
      <w:r w:rsidR="00400795">
        <w:rPr>
          <w:rFonts w:ascii="Times" w:hAnsi="Times"/>
          <w:color w:val="000000"/>
        </w:rPr>
        <w:t>esta</w:t>
      </w:r>
      <w:r w:rsidR="00400795" w:rsidRPr="00184CB9">
        <w:rPr>
          <w:rFonts w:ascii="Times" w:hAnsi="Times"/>
          <w:color w:val="000000"/>
        </w:rPr>
        <w:t xml:space="preserve"> </w:t>
      </w:r>
      <w:r w:rsidRPr="00184CB9">
        <w:rPr>
          <w:rFonts w:ascii="Times" w:hAnsi="Times"/>
          <w:color w:val="000000"/>
        </w:rPr>
        <w:t xml:space="preserve">Ley para el control de redes sociales y medios de comunicación digital mediante la unidad de policía especializada en ciberdelincuencia. </w:t>
      </w:r>
      <w:r w:rsidR="001B16A4" w:rsidRPr="00184CB9">
        <w:rPr>
          <w:rFonts w:ascii="Times" w:hAnsi="Times"/>
          <w:color w:val="000000"/>
        </w:rPr>
        <w:t>Asimismo, p</w:t>
      </w:r>
      <w:r w:rsidRPr="00184CB9">
        <w:rPr>
          <w:rFonts w:ascii="Times" w:hAnsi="Times"/>
          <w:color w:val="000000"/>
        </w:rPr>
        <w:t xml:space="preserve">reocupan </w:t>
      </w:r>
      <w:r w:rsidRPr="00184CB9">
        <w:rPr>
          <w:lang w:val="es-CO"/>
        </w:rPr>
        <w:t>l</w:t>
      </w:r>
      <w:r w:rsidR="001B16A4" w:rsidRPr="00184CB9">
        <w:rPr>
          <w:lang w:val="es-CO"/>
        </w:rPr>
        <w:t xml:space="preserve">as denuncias que aluden al </w:t>
      </w:r>
      <w:r w:rsidRPr="00184CB9">
        <w:rPr>
          <w:lang w:val="es-CO"/>
        </w:rPr>
        <w:t>monitoreo indebido de contenido</w:t>
      </w:r>
      <w:r w:rsidR="00400795">
        <w:rPr>
          <w:lang w:val="es-CO"/>
        </w:rPr>
        <w:t>s</w:t>
      </w:r>
      <w:r w:rsidRPr="00184CB9">
        <w:rPr>
          <w:lang w:val="es-CO"/>
        </w:rPr>
        <w:t xml:space="preserve"> </w:t>
      </w:r>
      <w:r w:rsidR="00400795">
        <w:rPr>
          <w:lang w:val="es-CO"/>
        </w:rPr>
        <w:t>en</w:t>
      </w:r>
      <w:r w:rsidRPr="00184CB9">
        <w:rPr>
          <w:lang w:val="es-CO"/>
        </w:rPr>
        <w:t xml:space="preserve"> </w:t>
      </w:r>
      <w:r w:rsidR="00400795">
        <w:rPr>
          <w:lang w:val="es-CO"/>
        </w:rPr>
        <w:t>I</w:t>
      </w:r>
      <w:r w:rsidRPr="00184CB9">
        <w:rPr>
          <w:lang w:val="es-CO"/>
        </w:rPr>
        <w:t xml:space="preserve">nternet </w:t>
      </w:r>
      <w:r w:rsidR="00400795">
        <w:rPr>
          <w:lang w:val="es-CO"/>
        </w:rPr>
        <w:t>y a la</w:t>
      </w:r>
      <w:r w:rsidR="00400795" w:rsidRPr="00184CB9">
        <w:rPr>
          <w:lang w:val="es-CO"/>
        </w:rPr>
        <w:t xml:space="preserve"> </w:t>
      </w:r>
      <w:r w:rsidRPr="00184CB9">
        <w:rPr>
          <w:lang w:val="es-CO"/>
        </w:rPr>
        <w:t xml:space="preserve">interceptación de comunicaciones mediante antenas aptas para capturar el tráfico de </w:t>
      </w:r>
      <w:r w:rsidR="009763A6">
        <w:rPr>
          <w:lang w:val="es-CO"/>
        </w:rPr>
        <w:t>comunicaciones telefónicas</w:t>
      </w:r>
      <w:r w:rsidRPr="00184CB9">
        <w:rPr>
          <w:lang w:val="es-CO"/>
        </w:rPr>
        <w:t xml:space="preserve"> sin autorización judicial</w:t>
      </w:r>
      <w:r w:rsidR="001B16A4" w:rsidRPr="00184CB9">
        <w:rPr>
          <w:lang w:val="es-CO"/>
        </w:rPr>
        <w:t xml:space="preserve"> </w:t>
      </w:r>
      <w:r w:rsidR="001B16A4" w:rsidRPr="00184CB9">
        <w:rPr>
          <w:rStyle w:val="normaltextrun"/>
          <w:rFonts w:asciiTheme="majorBidi" w:hAnsiTheme="majorBidi" w:cstheme="majorBidi"/>
          <w:color w:val="000000"/>
          <w:lang w:val="es-AR"/>
        </w:rPr>
        <w:t xml:space="preserve">(arts. 2, 9, </w:t>
      </w:r>
      <w:r w:rsidR="00A901E1" w:rsidRPr="00184CB9">
        <w:rPr>
          <w:rStyle w:val="normaltextrun"/>
          <w:rFonts w:asciiTheme="majorBidi" w:hAnsiTheme="majorBidi" w:cstheme="majorBidi"/>
          <w:color w:val="000000"/>
          <w:lang w:val="es-AR"/>
        </w:rPr>
        <w:t xml:space="preserve">17, </w:t>
      </w:r>
      <w:r w:rsidR="001B16A4" w:rsidRPr="00184CB9">
        <w:rPr>
          <w:rStyle w:val="normaltextrun"/>
          <w:rFonts w:asciiTheme="majorBidi" w:hAnsiTheme="majorBidi" w:cstheme="majorBidi"/>
          <w:color w:val="000000"/>
          <w:lang w:val="es-AR"/>
        </w:rPr>
        <w:t>19 y 21)</w:t>
      </w:r>
      <w:r w:rsidRPr="00184CB9">
        <w:rPr>
          <w:lang w:val="es-CO"/>
        </w:rPr>
        <w:t>.</w:t>
      </w:r>
    </w:p>
    <w:p w14:paraId="598D8975" w14:textId="13759292" w:rsidR="007613F8" w:rsidRPr="00184CB9" w:rsidRDefault="007613F8" w:rsidP="00A13853">
      <w:pPr>
        <w:tabs>
          <w:tab w:val="left" w:pos="1701"/>
          <w:tab w:val="left" w:pos="8505"/>
        </w:tabs>
        <w:spacing w:after="120"/>
        <w:ind w:left="1134" w:right="992"/>
        <w:jc w:val="both"/>
        <w:rPr>
          <w:b/>
          <w:bCs/>
          <w:lang w:val="es-CO"/>
        </w:rPr>
      </w:pPr>
      <w:r w:rsidRPr="00076D7F">
        <w:rPr>
          <w:lang w:val="es-CO"/>
        </w:rPr>
        <w:t>3</w:t>
      </w:r>
      <w:r w:rsidR="002E10EE" w:rsidRPr="00076D7F">
        <w:rPr>
          <w:lang w:val="es-CO"/>
        </w:rPr>
        <w:t>2</w:t>
      </w:r>
      <w:r w:rsidRPr="00076D7F">
        <w:rPr>
          <w:lang w:val="es-CO"/>
        </w:rPr>
        <w:t>.</w:t>
      </w:r>
      <w:r w:rsidR="002E10EE" w:rsidRPr="00076D7F">
        <w:rPr>
          <w:lang w:val="es-CO"/>
        </w:rPr>
        <w:tab/>
      </w:r>
      <w:r w:rsidRPr="00184CB9">
        <w:rPr>
          <w:b/>
          <w:bCs/>
          <w:lang w:val="es-CO"/>
        </w:rPr>
        <w:t xml:space="preserve">El Estado parte debe adoptar las medidas necesarias </w:t>
      </w:r>
      <w:r w:rsidR="00400795">
        <w:rPr>
          <w:b/>
          <w:bCs/>
          <w:lang w:val="es-CO"/>
        </w:rPr>
        <w:t>para</w:t>
      </w:r>
      <w:r w:rsidRPr="00184CB9">
        <w:rPr>
          <w:b/>
          <w:bCs/>
          <w:lang w:val="es-CO"/>
        </w:rPr>
        <w:t xml:space="preserve"> garantizar el pleno disfrute de la libertad de expresión y el derecho de reunión pacífica </w:t>
      </w:r>
      <w:r w:rsidR="00400795">
        <w:rPr>
          <w:b/>
          <w:bCs/>
          <w:lang w:val="es-CO"/>
        </w:rPr>
        <w:t>de</w:t>
      </w:r>
      <w:r w:rsidR="00400795" w:rsidRPr="00184CB9">
        <w:rPr>
          <w:b/>
          <w:bCs/>
          <w:lang w:val="es-CO"/>
        </w:rPr>
        <w:t xml:space="preserve"> </w:t>
      </w:r>
      <w:r w:rsidRPr="00184CB9">
        <w:rPr>
          <w:b/>
          <w:bCs/>
          <w:lang w:val="es-CO"/>
        </w:rPr>
        <w:t xml:space="preserve">todas las personas, teniendo en cuenta las observaciones generales núm. </w:t>
      </w:r>
      <w:hyperlink r:id="rId12" w:history="1">
        <w:r w:rsidRPr="007D14C9">
          <w:rPr>
            <w:rStyle w:val="Hipervnculo"/>
            <w:b/>
            <w:bCs/>
            <w:lang w:val="es-CO"/>
          </w:rPr>
          <w:t>34 (2011)</w:t>
        </w:r>
      </w:hyperlink>
      <w:r w:rsidRPr="00184CB9">
        <w:rPr>
          <w:b/>
          <w:bCs/>
          <w:lang w:val="es-CO"/>
        </w:rPr>
        <w:t xml:space="preserve"> y núm. </w:t>
      </w:r>
      <w:hyperlink r:id="rId13" w:history="1">
        <w:r w:rsidRPr="007D14C9">
          <w:rPr>
            <w:rStyle w:val="Hipervnculo"/>
            <w:b/>
            <w:bCs/>
            <w:lang w:val="es-CO"/>
          </w:rPr>
          <w:t>37 (2020)</w:t>
        </w:r>
      </w:hyperlink>
      <w:r w:rsidRPr="00184CB9">
        <w:rPr>
          <w:b/>
          <w:bCs/>
          <w:lang w:val="es-CO"/>
        </w:rPr>
        <w:t xml:space="preserve"> del Comité</w:t>
      </w:r>
      <w:r w:rsidR="00400795">
        <w:rPr>
          <w:b/>
          <w:bCs/>
          <w:lang w:val="es-CO"/>
        </w:rPr>
        <w:t>, relativas a</w:t>
      </w:r>
      <w:r w:rsidRPr="00184CB9">
        <w:rPr>
          <w:b/>
          <w:bCs/>
          <w:lang w:val="es-CO"/>
        </w:rPr>
        <w:t xml:space="preserve"> la libertad de opinión y la libertad de expresión y </w:t>
      </w:r>
      <w:r w:rsidR="00400795">
        <w:rPr>
          <w:b/>
          <w:bCs/>
          <w:lang w:val="es-CO"/>
        </w:rPr>
        <w:t>a</w:t>
      </w:r>
      <w:r w:rsidRPr="00184CB9">
        <w:rPr>
          <w:b/>
          <w:bCs/>
          <w:lang w:val="es-CO"/>
        </w:rPr>
        <w:t>l derecho de reunión pac</w:t>
      </w:r>
      <w:r w:rsidR="00400795">
        <w:rPr>
          <w:b/>
          <w:bCs/>
          <w:lang w:val="es-CO"/>
        </w:rPr>
        <w:t>í</w:t>
      </w:r>
      <w:r w:rsidRPr="00184CB9">
        <w:rPr>
          <w:b/>
          <w:bCs/>
          <w:lang w:val="es-CO"/>
        </w:rPr>
        <w:t>fica, respectivamente. En particular, el Comité insta al Estado parte a:</w:t>
      </w:r>
    </w:p>
    <w:p w14:paraId="012DFC05" w14:textId="346D1F5B" w:rsidR="007613F8" w:rsidRPr="00184CB9" w:rsidRDefault="00927916" w:rsidP="00A13853">
      <w:pPr>
        <w:tabs>
          <w:tab w:val="left" w:pos="1701"/>
          <w:tab w:val="left" w:pos="2268"/>
        </w:tabs>
        <w:spacing w:after="120"/>
        <w:ind w:left="1134" w:right="992"/>
        <w:jc w:val="both"/>
        <w:rPr>
          <w:b/>
          <w:bCs/>
          <w:lang w:val="es-CO"/>
        </w:rPr>
      </w:pPr>
      <w:r w:rsidRPr="00184CB9">
        <w:rPr>
          <w:b/>
          <w:bCs/>
          <w:lang w:val="es-CO"/>
        </w:rPr>
        <w:tab/>
      </w:r>
      <w:r w:rsidRPr="00946AEA">
        <w:rPr>
          <w:bCs/>
          <w:lang w:val="es-CO"/>
        </w:rPr>
        <w:t>a)</w:t>
      </w:r>
      <w:r w:rsidRPr="00184CB9">
        <w:rPr>
          <w:b/>
          <w:bCs/>
          <w:lang w:val="es-CO"/>
        </w:rPr>
        <w:t xml:space="preserve"> </w:t>
      </w:r>
      <w:r w:rsidRPr="00184CB9">
        <w:rPr>
          <w:b/>
          <w:bCs/>
          <w:lang w:val="es-CO"/>
        </w:rPr>
        <w:tab/>
      </w:r>
      <w:r w:rsidR="007613F8" w:rsidRPr="00184CB9">
        <w:rPr>
          <w:b/>
          <w:bCs/>
          <w:lang w:val="es-CO"/>
        </w:rPr>
        <w:t xml:space="preserve">Considerar la posibilidad de enmendar la Ley </w:t>
      </w:r>
      <w:r w:rsidR="00400795">
        <w:rPr>
          <w:b/>
          <w:bCs/>
          <w:lang w:val="es-CO"/>
        </w:rPr>
        <w:t>núm</w:t>
      </w:r>
      <w:r w:rsidR="009763A6" w:rsidRPr="00184CB9">
        <w:rPr>
          <w:b/>
          <w:bCs/>
          <w:lang w:val="es-CO"/>
        </w:rPr>
        <w:t>.</w:t>
      </w:r>
      <w:r w:rsidR="009763A6">
        <w:rPr>
          <w:b/>
          <w:bCs/>
          <w:lang w:val="es-CO"/>
        </w:rPr>
        <w:t> </w:t>
      </w:r>
      <w:r w:rsidR="007613F8" w:rsidRPr="00184CB9">
        <w:rPr>
          <w:b/>
          <w:bCs/>
          <w:lang w:val="es-CO"/>
        </w:rPr>
        <w:t xml:space="preserve">872, la Ley </w:t>
      </w:r>
      <w:r w:rsidR="00400795">
        <w:rPr>
          <w:b/>
          <w:bCs/>
          <w:lang w:val="es-CO"/>
        </w:rPr>
        <w:t>núm</w:t>
      </w:r>
      <w:r w:rsidR="007613F8" w:rsidRPr="00184CB9">
        <w:rPr>
          <w:b/>
          <w:bCs/>
          <w:lang w:val="es-CO"/>
        </w:rPr>
        <w:t>.</w:t>
      </w:r>
      <w:r w:rsidR="009763A6">
        <w:rPr>
          <w:b/>
          <w:bCs/>
          <w:lang w:val="es-CO"/>
        </w:rPr>
        <w:t> </w:t>
      </w:r>
      <w:r w:rsidR="007613F8" w:rsidRPr="00184CB9">
        <w:rPr>
          <w:b/>
          <w:bCs/>
          <w:lang w:val="es-CO"/>
        </w:rPr>
        <w:t xml:space="preserve">1070 y la Ley </w:t>
      </w:r>
      <w:r w:rsidR="00400795">
        <w:rPr>
          <w:b/>
          <w:bCs/>
          <w:lang w:val="es-CO"/>
        </w:rPr>
        <w:t>núm</w:t>
      </w:r>
      <w:r w:rsidR="00400795" w:rsidRPr="00184CB9">
        <w:rPr>
          <w:b/>
          <w:bCs/>
          <w:lang w:val="es-CO"/>
        </w:rPr>
        <w:t>.</w:t>
      </w:r>
      <w:r w:rsidR="009763A6">
        <w:rPr>
          <w:b/>
          <w:bCs/>
          <w:lang w:val="es-CO"/>
        </w:rPr>
        <w:t> </w:t>
      </w:r>
      <w:r w:rsidR="007613F8" w:rsidRPr="00184CB9">
        <w:rPr>
          <w:b/>
          <w:bCs/>
          <w:lang w:val="es-CO"/>
        </w:rPr>
        <w:t xml:space="preserve">1042 de modo que se exija, como máximo, una notificación previa de las reuniones pacíficas y </w:t>
      </w:r>
      <w:r w:rsidR="00400795">
        <w:rPr>
          <w:b/>
          <w:bCs/>
          <w:lang w:val="es-CO"/>
        </w:rPr>
        <w:t xml:space="preserve">se </w:t>
      </w:r>
      <w:r w:rsidR="007613F8" w:rsidRPr="00184CB9">
        <w:rPr>
          <w:b/>
          <w:bCs/>
          <w:lang w:val="es-CO"/>
        </w:rPr>
        <w:t>garanti</w:t>
      </w:r>
      <w:r w:rsidR="00400795">
        <w:rPr>
          <w:b/>
          <w:bCs/>
          <w:lang w:val="es-CO"/>
        </w:rPr>
        <w:t>ce</w:t>
      </w:r>
      <w:r w:rsidR="007613F8" w:rsidRPr="00184CB9">
        <w:rPr>
          <w:b/>
          <w:bCs/>
          <w:lang w:val="es-CO"/>
        </w:rPr>
        <w:t xml:space="preserve"> que nadie sea encarcelado por la difusión de información falsa;</w:t>
      </w:r>
    </w:p>
    <w:p w14:paraId="4FE38C8F" w14:textId="3C9E6E0A" w:rsidR="007613F8" w:rsidRPr="00184CB9" w:rsidRDefault="00927916" w:rsidP="00A13853">
      <w:pPr>
        <w:tabs>
          <w:tab w:val="left" w:pos="1701"/>
          <w:tab w:val="left" w:pos="1985"/>
        </w:tabs>
        <w:spacing w:after="120"/>
        <w:ind w:left="1134" w:right="992"/>
        <w:jc w:val="both"/>
        <w:rPr>
          <w:b/>
          <w:bCs/>
          <w:lang w:val="es-CO"/>
        </w:rPr>
      </w:pPr>
      <w:r w:rsidRPr="00184CB9">
        <w:rPr>
          <w:b/>
          <w:bCs/>
          <w:lang w:val="es-CO"/>
        </w:rPr>
        <w:tab/>
      </w:r>
      <w:r w:rsidRPr="00946AEA">
        <w:rPr>
          <w:bCs/>
          <w:lang w:val="es-CO"/>
        </w:rPr>
        <w:t>b)</w:t>
      </w:r>
      <w:r w:rsidRPr="00184CB9">
        <w:rPr>
          <w:b/>
          <w:bCs/>
          <w:lang w:val="es-CO"/>
        </w:rPr>
        <w:t xml:space="preserve"> </w:t>
      </w:r>
      <w:r w:rsidRPr="00184CB9">
        <w:rPr>
          <w:b/>
          <w:bCs/>
          <w:lang w:val="es-CO"/>
        </w:rPr>
        <w:tab/>
      </w:r>
      <w:r w:rsidR="007613F8" w:rsidRPr="00184CB9">
        <w:rPr>
          <w:b/>
          <w:bCs/>
          <w:lang w:val="es-CO"/>
        </w:rPr>
        <w:t>Prevenir las amenazas y restricciones a la libertad de expresión a periodistas, opositores, defensores de los derechos humanos y otras personas críticas con el Gobierno, incluidos sus familiares, así como</w:t>
      </w:r>
      <w:r w:rsidR="006E6C73" w:rsidRPr="00184CB9">
        <w:rPr>
          <w:b/>
          <w:bCs/>
          <w:lang w:val="es-CO"/>
        </w:rPr>
        <w:t xml:space="preserve"> asegurar que se investiguen de manera pronta, exhaustiva, independiente e imparcial todas las alegaciones relativas a actos de hostigamiento e intimidación</w:t>
      </w:r>
      <w:r w:rsidR="00400795">
        <w:rPr>
          <w:b/>
          <w:bCs/>
          <w:lang w:val="es-CO"/>
        </w:rPr>
        <w:t xml:space="preserve">, </w:t>
      </w:r>
      <w:r w:rsidR="006E6C73" w:rsidRPr="00184CB9">
        <w:rPr>
          <w:b/>
          <w:bCs/>
          <w:lang w:val="es-CO"/>
        </w:rPr>
        <w:t>que los autores sean llevados ante la justicia y debidamente sancionados</w:t>
      </w:r>
      <w:r w:rsidR="00400795">
        <w:rPr>
          <w:b/>
          <w:bCs/>
          <w:lang w:val="es-CO"/>
        </w:rPr>
        <w:t>,</w:t>
      </w:r>
      <w:r w:rsidR="006E6C73" w:rsidRPr="00184CB9">
        <w:rPr>
          <w:b/>
          <w:bCs/>
          <w:lang w:val="es-CO"/>
        </w:rPr>
        <w:t xml:space="preserve"> y que las víctimas reciban reparación integral;</w:t>
      </w:r>
    </w:p>
    <w:p w14:paraId="1FA16EE5" w14:textId="24F03BFE" w:rsidR="003D4623" w:rsidRPr="00184CB9" w:rsidRDefault="00927916" w:rsidP="00A13853">
      <w:pPr>
        <w:tabs>
          <w:tab w:val="left" w:pos="1701"/>
          <w:tab w:val="left" w:pos="2268"/>
        </w:tabs>
        <w:spacing w:after="120"/>
        <w:ind w:left="1134" w:right="992"/>
        <w:jc w:val="both"/>
        <w:rPr>
          <w:b/>
          <w:bCs/>
          <w:lang w:val="es-CO"/>
        </w:rPr>
      </w:pPr>
      <w:r w:rsidRPr="00184CB9">
        <w:rPr>
          <w:b/>
          <w:bCs/>
          <w:lang w:val="es-CO"/>
        </w:rPr>
        <w:tab/>
      </w:r>
      <w:r w:rsidRPr="00946AEA">
        <w:rPr>
          <w:bCs/>
          <w:lang w:val="es-CO"/>
        </w:rPr>
        <w:t>c)</w:t>
      </w:r>
      <w:r w:rsidRPr="00184CB9">
        <w:rPr>
          <w:b/>
          <w:bCs/>
          <w:lang w:val="es-CO"/>
        </w:rPr>
        <w:t xml:space="preserve"> </w:t>
      </w:r>
      <w:r w:rsidRPr="00184CB9">
        <w:rPr>
          <w:b/>
          <w:bCs/>
          <w:lang w:val="es-CO"/>
        </w:rPr>
        <w:tab/>
      </w:r>
      <w:r w:rsidR="007613F8" w:rsidRPr="00184CB9">
        <w:rPr>
          <w:b/>
          <w:bCs/>
          <w:lang w:val="es-CO"/>
        </w:rPr>
        <w:t>Velar por que todos los tipos de actividades de vigilancia e injerencia en la vida privada estén regulados por instrumentos legislativos apropiados que estén en plena conformidad con el Pacto, en particular con el artículo 17</w:t>
      </w:r>
      <w:r w:rsidR="00400795">
        <w:rPr>
          <w:b/>
          <w:bCs/>
          <w:lang w:val="es-CO"/>
        </w:rPr>
        <w:t>,</w:t>
      </w:r>
      <w:r w:rsidR="007613F8" w:rsidRPr="00184CB9">
        <w:rPr>
          <w:b/>
          <w:bCs/>
          <w:lang w:val="es-CO"/>
        </w:rPr>
        <w:t xml:space="preserve"> y garantizar que la vigilancia y la interceptación </w:t>
      </w:r>
      <w:r w:rsidR="00400795">
        <w:rPr>
          <w:b/>
          <w:bCs/>
          <w:lang w:val="es-CO"/>
        </w:rPr>
        <w:t xml:space="preserve">de comunicaciones </w:t>
      </w:r>
      <w:r w:rsidR="007613F8" w:rsidRPr="00184CB9">
        <w:rPr>
          <w:b/>
          <w:bCs/>
          <w:lang w:val="es-CO"/>
        </w:rPr>
        <w:t>estén sujetas a autorización judicial y que las personas afectadas tengan el debido acceso a recursos efectivos</w:t>
      </w:r>
      <w:r w:rsidR="003D4623" w:rsidRPr="00184CB9">
        <w:rPr>
          <w:b/>
          <w:bCs/>
          <w:lang w:val="es-CO"/>
        </w:rPr>
        <w:t>.</w:t>
      </w:r>
    </w:p>
    <w:p w14:paraId="675050E2" w14:textId="76193CCE" w:rsidR="003D4623" w:rsidRPr="00184CB9" w:rsidRDefault="003D4623" w:rsidP="00A13853">
      <w:pPr>
        <w:tabs>
          <w:tab w:val="left" w:pos="1701"/>
          <w:tab w:val="left" w:pos="8505"/>
        </w:tabs>
        <w:spacing w:after="120"/>
        <w:ind w:left="1134" w:right="992"/>
        <w:jc w:val="both"/>
        <w:rPr>
          <w:lang w:val="es-CO"/>
        </w:rPr>
      </w:pPr>
      <w:r w:rsidRPr="00184CB9">
        <w:rPr>
          <w:lang w:val="es-CO"/>
        </w:rPr>
        <w:t xml:space="preserve">33. </w:t>
      </w:r>
      <w:r w:rsidRPr="00184CB9">
        <w:rPr>
          <w:lang w:val="es-CO"/>
        </w:rPr>
        <w:tab/>
        <w:t xml:space="preserve">Preocupan al Comité las informaciones según las cuales las autoridades han impuesto restricciones a las organizaciones de la sociedad civil y cancelado la personalidad jurídica de </w:t>
      </w:r>
      <w:r w:rsidRPr="00184CB9">
        <w:rPr>
          <w:lang w:val="es-CO"/>
        </w:rPr>
        <w:lastRenderedPageBreak/>
        <w:t>más de 1</w:t>
      </w:r>
      <w:r w:rsidR="00400795">
        <w:rPr>
          <w:lang w:val="es-CO"/>
        </w:rPr>
        <w:t>.</w:t>
      </w:r>
      <w:r w:rsidRPr="00184CB9">
        <w:rPr>
          <w:lang w:val="es-CO"/>
        </w:rPr>
        <w:t xml:space="preserve">880 organizaciones no gubernamentales nacionales e internacionales desde 2018. El Comité observa con preocupación la aplicación de leyes restrictivas, tales como la </w:t>
      </w:r>
      <w:r w:rsidR="00400795">
        <w:rPr>
          <w:lang w:val="es-CO"/>
        </w:rPr>
        <w:t>Ley General de Regulación y Control de Organismos sin Fines de Lucro (</w:t>
      </w:r>
      <w:r w:rsidRPr="00184CB9">
        <w:rPr>
          <w:lang w:val="es-CO"/>
        </w:rPr>
        <w:t xml:space="preserve">Ley </w:t>
      </w:r>
      <w:r w:rsidR="00400795">
        <w:rPr>
          <w:lang w:val="es-CO"/>
        </w:rPr>
        <w:t>núm</w:t>
      </w:r>
      <w:r w:rsidRPr="00184CB9">
        <w:rPr>
          <w:lang w:val="es-CO"/>
        </w:rPr>
        <w:t>.</w:t>
      </w:r>
      <w:r w:rsidR="00400795">
        <w:rPr>
          <w:lang w:val="es-CO"/>
        </w:rPr>
        <w:t> </w:t>
      </w:r>
      <w:r w:rsidRPr="00184CB9">
        <w:rPr>
          <w:lang w:val="es-CO"/>
        </w:rPr>
        <w:t>1115</w:t>
      </w:r>
      <w:r w:rsidR="00400795">
        <w:rPr>
          <w:lang w:val="es-CO"/>
        </w:rPr>
        <w:t xml:space="preserve">), de </w:t>
      </w:r>
      <w:r w:rsidRPr="00184CB9">
        <w:rPr>
          <w:lang w:val="es-CO"/>
        </w:rPr>
        <w:t>2022</w:t>
      </w:r>
      <w:r w:rsidR="00400795">
        <w:rPr>
          <w:lang w:val="es-CO"/>
        </w:rPr>
        <w:t>;</w:t>
      </w:r>
      <w:r w:rsidRPr="00184CB9">
        <w:rPr>
          <w:lang w:val="es-CO"/>
        </w:rPr>
        <w:t xml:space="preserve"> la </w:t>
      </w:r>
      <w:r w:rsidR="00400795">
        <w:rPr>
          <w:lang w:val="es-CO"/>
        </w:rPr>
        <w:t>Ley de Reformas y Adiciones a la Ley núm. 1115 y a la Ley núm. 522 (</w:t>
      </w:r>
      <w:r w:rsidRPr="00184CB9">
        <w:rPr>
          <w:lang w:val="es-CO"/>
        </w:rPr>
        <w:t xml:space="preserve">Ley </w:t>
      </w:r>
      <w:r w:rsidR="00400795">
        <w:rPr>
          <w:lang w:val="es-CO"/>
        </w:rPr>
        <w:t>núm</w:t>
      </w:r>
      <w:r w:rsidR="00400795" w:rsidRPr="00184CB9">
        <w:rPr>
          <w:lang w:val="es-CO"/>
        </w:rPr>
        <w:t>.</w:t>
      </w:r>
      <w:r w:rsidR="00400795">
        <w:rPr>
          <w:lang w:val="es-CO"/>
        </w:rPr>
        <w:t> </w:t>
      </w:r>
      <w:r w:rsidRPr="00184CB9">
        <w:rPr>
          <w:lang w:val="es-CO"/>
        </w:rPr>
        <w:t>1127</w:t>
      </w:r>
      <w:r w:rsidR="00400795">
        <w:rPr>
          <w:lang w:val="es-CO"/>
        </w:rPr>
        <w:t>),</w:t>
      </w:r>
      <w:r w:rsidRPr="00184CB9">
        <w:rPr>
          <w:lang w:val="es-CO"/>
        </w:rPr>
        <w:t xml:space="preserve"> </w:t>
      </w:r>
      <w:r w:rsidR="00400795">
        <w:rPr>
          <w:lang w:val="es-CO"/>
        </w:rPr>
        <w:t xml:space="preserve">de </w:t>
      </w:r>
      <w:r w:rsidRPr="00184CB9">
        <w:rPr>
          <w:lang w:val="es-CO"/>
        </w:rPr>
        <w:t>2022</w:t>
      </w:r>
      <w:r w:rsidR="00400795">
        <w:rPr>
          <w:lang w:val="es-CO"/>
        </w:rPr>
        <w:t>;</w:t>
      </w:r>
      <w:r w:rsidRPr="00184CB9">
        <w:rPr>
          <w:lang w:val="es-CO"/>
        </w:rPr>
        <w:t xml:space="preserve"> la </w:t>
      </w:r>
      <w:r w:rsidR="00400795">
        <w:rPr>
          <w:lang w:val="es-CO"/>
        </w:rPr>
        <w:t>Ley de Regulación de Agentes Extranjeros (</w:t>
      </w:r>
      <w:r w:rsidRPr="00184CB9">
        <w:rPr>
          <w:lang w:val="es-CO"/>
        </w:rPr>
        <w:t xml:space="preserve">Ley </w:t>
      </w:r>
      <w:r w:rsidR="00400795">
        <w:rPr>
          <w:lang w:val="es-CO"/>
        </w:rPr>
        <w:t>núm</w:t>
      </w:r>
      <w:r w:rsidR="00400795" w:rsidRPr="00184CB9">
        <w:rPr>
          <w:lang w:val="es-CO"/>
        </w:rPr>
        <w:t>.</w:t>
      </w:r>
      <w:r w:rsidR="00400795">
        <w:rPr>
          <w:lang w:val="es-CO"/>
        </w:rPr>
        <w:t> </w:t>
      </w:r>
      <w:r w:rsidRPr="00184CB9">
        <w:rPr>
          <w:lang w:val="es-CO"/>
        </w:rPr>
        <w:t>1040</w:t>
      </w:r>
      <w:r w:rsidR="00400795">
        <w:rPr>
          <w:lang w:val="es-CO"/>
        </w:rPr>
        <w:t xml:space="preserve">), de </w:t>
      </w:r>
      <w:r w:rsidRPr="00184CB9">
        <w:rPr>
          <w:lang w:val="es-CO"/>
        </w:rPr>
        <w:t>2020</w:t>
      </w:r>
      <w:r w:rsidR="00400795">
        <w:rPr>
          <w:lang w:val="es-CO"/>
        </w:rPr>
        <w:t>;</w:t>
      </w:r>
      <w:r w:rsidRPr="00184CB9">
        <w:rPr>
          <w:lang w:val="es-CO"/>
        </w:rPr>
        <w:t xml:space="preserve"> y la </w:t>
      </w:r>
      <w:r w:rsidR="00400795">
        <w:rPr>
          <w:lang w:val="es-CO"/>
        </w:rPr>
        <w:t>Ley de la Unidad de Análisis Financiero (</w:t>
      </w:r>
      <w:r w:rsidRPr="00184CB9">
        <w:rPr>
          <w:lang w:val="es-CO"/>
        </w:rPr>
        <w:t xml:space="preserve">Ley </w:t>
      </w:r>
      <w:r w:rsidR="00400795">
        <w:rPr>
          <w:lang w:val="es-CO"/>
        </w:rPr>
        <w:t>núm</w:t>
      </w:r>
      <w:r w:rsidR="00400795" w:rsidRPr="00184CB9">
        <w:rPr>
          <w:lang w:val="es-CO"/>
        </w:rPr>
        <w:t>.</w:t>
      </w:r>
      <w:r w:rsidR="00400795">
        <w:rPr>
          <w:lang w:val="es-CO"/>
        </w:rPr>
        <w:t> </w:t>
      </w:r>
      <w:r w:rsidRPr="00184CB9">
        <w:rPr>
          <w:lang w:val="es-CO"/>
        </w:rPr>
        <w:t>976</w:t>
      </w:r>
      <w:r w:rsidR="00400795">
        <w:rPr>
          <w:lang w:val="es-CO"/>
        </w:rPr>
        <w:t>),</w:t>
      </w:r>
      <w:r w:rsidR="00965ECA">
        <w:rPr>
          <w:lang w:val="es-CO"/>
        </w:rPr>
        <w:t xml:space="preserve"> </w:t>
      </w:r>
      <w:r w:rsidR="00400795">
        <w:rPr>
          <w:lang w:val="es-CO"/>
        </w:rPr>
        <w:t xml:space="preserve">de </w:t>
      </w:r>
      <w:r w:rsidR="00965ECA">
        <w:rPr>
          <w:lang w:val="es-CO"/>
        </w:rPr>
        <w:t>2019</w:t>
      </w:r>
      <w:r w:rsidRPr="00184CB9">
        <w:rPr>
          <w:lang w:val="es-CO"/>
        </w:rPr>
        <w:t>, con miras a dificultar el registro y la labor de las organizaciones de la sociedad civil</w:t>
      </w:r>
      <w:r w:rsidR="001A4EAA" w:rsidRPr="00184CB9">
        <w:rPr>
          <w:lang w:val="es-CO"/>
        </w:rPr>
        <w:t xml:space="preserve"> (art. 22)</w:t>
      </w:r>
      <w:r w:rsidRPr="00184CB9">
        <w:rPr>
          <w:lang w:val="es-CO"/>
        </w:rPr>
        <w:t>.</w:t>
      </w:r>
    </w:p>
    <w:p w14:paraId="08D03C69" w14:textId="3153774D" w:rsidR="003D4623" w:rsidRPr="00184CB9" w:rsidRDefault="003D4623" w:rsidP="00A13853">
      <w:pPr>
        <w:tabs>
          <w:tab w:val="left" w:pos="1701"/>
          <w:tab w:val="left" w:pos="8505"/>
          <w:tab w:val="left" w:pos="8647"/>
        </w:tabs>
        <w:spacing w:after="120"/>
        <w:ind w:left="1560" w:right="992" w:hanging="425"/>
        <w:jc w:val="both"/>
        <w:rPr>
          <w:b/>
          <w:bCs/>
          <w:lang w:val="es-CO"/>
        </w:rPr>
      </w:pPr>
      <w:r w:rsidRPr="00076D7F">
        <w:rPr>
          <w:lang w:val="es-CO"/>
        </w:rPr>
        <w:t>34.</w:t>
      </w:r>
      <w:r w:rsidRPr="00184CB9">
        <w:rPr>
          <w:b/>
          <w:bCs/>
          <w:lang w:val="es-CO"/>
        </w:rPr>
        <w:t xml:space="preserve"> </w:t>
      </w:r>
      <w:r w:rsidRPr="00184CB9">
        <w:rPr>
          <w:b/>
          <w:bCs/>
          <w:lang w:val="es-CO"/>
        </w:rPr>
        <w:tab/>
        <w:t>El Estado parte debe:</w:t>
      </w:r>
    </w:p>
    <w:p w14:paraId="16AD2C3B" w14:textId="40455884" w:rsidR="003D4623" w:rsidRPr="00184CB9" w:rsidRDefault="00927916" w:rsidP="00A13853">
      <w:pPr>
        <w:tabs>
          <w:tab w:val="left" w:pos="1701"/>
        </w:tabs>
        <w:spacing w:after="120"/>
        <w:ind w:left="1134" w:right="992"/>
        <w:jc w:val="both"/>
        <w:rPr>
          <w:b/>
          <w:bCs/>
          <w:lang w:val="es-CO"/>
        </w:rPr>
      </w:pPr>
      <w:r w:rsidRPr="00184CB9">
        <w:rPr>
          <w:b/>
          <w:bCs/>
          <w:lang w:val="es-CO"/>
        </w:rPr>
        <w:tab/>
      </w:r>
      <w:r w:rsidRPr="00946AEA">
        <w:rPr>
          <w:bCs/>
          <w:lang w:val="es-CO"/>
        </w:rPr>
        <w:t>a)</w:t>
      </w:r>
      <w:r w:rsidRPr="00184CB9">
        <w:rPr>
          <w:b/>
          <w:bCs/>
          <w:lang w:val="es-CO"/>
        </w:rPr>
        <w:t xml:space="preserve"> </w:t>
      </w:r>
      <w:r w:rsidRPr="00184CB9">
        <w:rPr>
          <w:b/>
          <w:bCs/>
          <w:lang w:val="es-CO"/>
        </w:rPr>
        <w:tab/>
      </w:r>
      <w:r w:rsidR="001E418F" w:rsidRPr="00400795">
        <w:rPr>
          <w:b/>
          <w:bCs/>
          <w:lang w:val="es-CO"/>
        </w:rPr>
        <w:t xml:space="preserve">Revisar </w:t>
      </w:r>
      <w:r w:rsidR="003D4623" w:rsidRPr="00400795">
        <w:rPr>
          <w:b/>
          <w:bCs/>
          <w:lang w:val="es-CO"/>
        </w:rPr>
        <w:t xml:space="preserve">la Ley </w:t>
      </w:r>
      <w:r w:rsidR="00400795" w:rsidRPr="005F0378">
        <w:rPr>
          <w:b/>
          <w:bCs/>
          <w:lang w:val="es-CO"/>
        </w:rPr>
        <w:t>núm. </w:t>
      </w:r>
      <w:r w:rsidR="003D4623" w:rsidRPr="00400795">
        <w:rPr>
          <w:b/>
          <w:bCs/>
          <w:lang w:val="es-CO"/>
        </w:rPr>
        <w:t xml:space="preserve">1115, la Ley </w:t>
      </w:r>
      <w:r w:rsidR="00400795" w:rsidRPr="005F0378">
        <w:rPr>
          <w:b/>
          <w:bCs/>
          <w:lang w:val="es-CO"/>
        </w:rPr>
        <w:t>núm. </w:t>
      </w:r>
      <w:r w:rsidR="003D4623" w:rsidRPr="00400795">
        <w:rPr>
          <w:b/>
          <w:bCs/>
          <w:lang w:val="es-CO"/>
        </w:rPr>
        <w:t xml:space="preserve">1127, la Ley </w:t>
      </w:r>
      <w:r w:rsidR="00400795" w:rsidRPr="005F0378">
        <w:rPr>
          <w:b/>
          <w:bCs/>
          <w:lang w:val="es-CO"/>
        </w:rPr>
        <w:t>núm. </w:t>
      </w:r>
      <w:r w:rsidR="003D4623" w:rsidRPr="00400795">
        <w:rPr>
          <w:b/>
          <w:bCs/>
          <w:lang w:val="es-CO"/>
        </w:rPr>
        <w:t xml:space="preserve">1040 y la Ley </w:t>
      </w:r>
      <w:r w:rsidR="00400795" w:rsidRPr="005F0378">
        <w:rPr>
          <w:b/>
          <w:bCs/>
          <w:lang w:val="es-CO"/>
        </w:rPr>
        <w:t>núm. </w:t>
      </w:r>
      <w:r w:rsidR="003D4623" w:rsidRPr="00184CB9">
        <w:rPr>
          <w:b/>
          <w:bCs/>
          <w:lang w:val="es-CO"/>
        </w:rPr>
        <w:t>976 con miras a armonizarlas plenamente con los artículos 19 y 22 del Pacto;</w:t>
      </w:r>
    </w:p>
    <w:p w14:paraId="2447F866" w14:textId="4E00D189" w:rsidR="003D4623" w:rsidRPr="00184CB9" w:rsidRDefault="00927916" w:rsidP="00A13853">
      <w:pPr>
        <w:tabs>
          <w:tab w:val="left" w:pos="1701"/>
        </w:tabs>
        <w:spacing w:after="120"/>
        <w:ind w:left="1134" w:right="992"/>
        <w:jc w:val="both"/>
        <w:rPr>
          <w:b/>
          <w:bCs/>
          <w:lang w:val="es-CO"/>
        </w:rPr>
      </w:pPr>
      <w:r w:rsidRPr="00184CB9">
        <w:rPr>
          <w:b/>
          <w:bCs/>
          <w:lang w:val="es-CO"/>
        </w:rPr>
        <w:tab/>
      </w:r>
      <w:r w:rsidRPr="00946AEA">
        <w:rPr>
          <w:bCs/>
          <w:lang w:val="es-CO"/>
        </w:rPr>
        <w:t>b)</w:t>
      </w:r>
      <w:r w:rsidRPr="00184CB9">
        <w:rPr>
          <w:b/>
          <w:bCs/>
          <w:lang w:val="es-CO"/>
        </w:rPr>
        <w:t xml:space="preserve"> </w:t>
      </w:r>
      <w:r w:rsidRPr="00184CB9">
        <w:rPr>
          <w:b/>
          <w:bCs/>
          <w:lang w:val="es-CO"/>
        </w:rPr>
        <w:tab/>
      </w:r>
      <w:r w:rsidR="003D4623" w:rsidRPr="00184CB9">
        <w:rPr>
          <w:b/>
          <w:bCs/>
          <w:lang w:val="es-CO"/>
        </w:rPr>
        <w:t xml:space="preserve">Abstenerse de cancelar las </w:t>
      </w:r>
      <w:r w:rsidR="00452224" w:rsidRPr="00184CB9">
        <w:rPr>
          <w:b/>
          <w:bCs/>
          <w:lang w:val="es-CO"/>
        </w:rPr>
        <w:t xml:space="preserve">personalidades </w:t>
      </w:r>
      <w:r w:rsidR="003D4623" w:rsidRPr="00184CB9">
        <w:rPr>
          <w:b/>
          <w:bCs/>
          <w:lang w:val="es-CO"/>
        </w:rPr>
        <w:t>jurídicas de las organizaciones de la sociedad civil, incluidas las organizaciones de derechos humanos, grupos de oposición y asociaciones profesionales</w:t>
      </w:r>
      <w:r w:rsidR="00400795">
        <w:rPr>
          <w:b/>
          <w:bCs/>
          <w:lang w:val="es-CO"/>
        </w:rPr>
        <w:t xml:space="preserve"> </w:t>
      </w:r>
      <w:r w:rsidR="00AF6B45">
        <w:rPr>
          <w:b/>
          <w:bCs/>
          <w:lang w:val="es-CO"/>
        </w:rPr>
        <w:t>–</w:t>
      </w:r>
      <w:r w:rsidR="00400795">
        <w:rPr>
          <w:b/>
          <w:bCs/>
          <w:lang w:val="es-CO"/>
        </w:rPr>
        <w:t>como</w:t>
      </w:r>
      <w:r w:rsidR="003D4623" w:rsidRPr="00184CB9">
        <w:rPr>
          <w:b/>
          <w:bCs/>
          <w:lang w:val="es-CO"/>
        </w:rPr>
        <w:t xml:space="preserve"> asociaciones médicas</w:t>
      </w:r>
      <w:r w:rsidR="00AF6B45">
        <w:rPr>
          <w:b/>
          <w:bCs/>
          <w:lang w:val="es-CO"/>
        </w:rPr>
        <w:t>–</w:t>
      </w:r>
      <w:r w:rsidR="003D4623" w:rsidRPr="00184CB9">
        <w:rPr>
          <w:b/>
          <w:bCs/>
          <w:lang w:val="es-CO"/>
        </w:rPr>
        <w:t>, universidades y entidades vinculadas con la Iglesia católica</w:t>
      </w:r>
      <w:r w:rsidR="00400795">
        <w:rPr>
          <w:b/>
          <w:bCs/>
          <w:lang w:val="es-CO"/>
        </w:rPr>
        <w:t>,</w:t>
      </w:r>
      <w:r w:rsidR="003D4623" w:rsidRPr="00184CB9">
        <w:rPr>
          <w:b/>
          <w:bCs/>
          <w:lang w:val="es-CO"/>
        </w:rPr>
        <w:t xml:space="preserve"> por ejercer legítimamente sus derechos</w:t>
      </w:r>
      <w:r w:rsidR="00AF6B45">
        <w:rPr>
          <w:b/>
          <w:bCs/>
          <w:lang w:val="es-CO"/>
        </w:rPr>
        <w:t>,</w:t>
      </w:r>
      <w:r w:rsidR="003D4623" w:rsidRPr="00184CB9">
        <w:rPr>
          <w:b/>
          <w:bCs/>
          <w:lang w:val="es-CO"/>
        </w:rPr>
        <w:t xml:space="preserve"> y adoptar todas las medidas necesarias para restablecer esas organizaciones y restituirles sus bienes;</w:t>
      </w:r>
    </w:p>
    <w:p w14:paraId="3B921282" w14:textId="6C5171E7" w:rsidR="007613F8" w:rsidRPr="00184CB9" w:rsidRDefault="00927916" w:rsidP="00A13853">
      <w:pPr>
        <w:tabs>
          <w:tab w:val="left" w:pos="1701"/>
          <w:tab w:val="left" w:pos="2268"/>
        </w:tabs>
        <w:spacing w:after="120"/>
        <w:ind w:left="1134" w:right="992"/>
        <w:jc w:val="both"/>
        <w:rPr>
          <w:b/>
          <w:bCs/>
          <w:lang w:val="es-CO"/>
        </w:rPr>
      </w:pPr>
      <w:r w:rsidRPr="00184CB9">
        <w:rPr>
          <w:b/>
          <w:bCs/>
          <w:lang w:val="es-CO"/>
        </w:rPr>
        <w:tab/>
      </w:r>
      <w:r w:rsidRPr="00946AEA">
        <w:rPr>
          <w:bCs/>
          <w:lang w:val="es-CO"/>
        </w:rPr>
        <w:t>c)</w:t>
      </w:r>
      <w:r w:rsidRPr="00184CB9">
        <w:rPr>
          <w:b/>
          <w:bCs/>
          <w:lang w:val="es-CO"/>
        </w:rPr>
        <w:t xml:space="preserve"> </w:t>
      </w:r>
      <w:r w:rsidRPr="00184CB9">
        <w:rPr>
          <w:b/>
          <w:bCs/>
          <w:lang w:val="es-CO"/>
        </w:rPr>
        <w:tab/>
      </w:r>
      <w:r w:rsidR="003D4623" w:rsidRPr="00184CB9">
        <w:rPr>
          <w:b/>
          <w:bCs/>
          <w:lang w:val="es-CO"/>
        </w:rPr>
        <w:t>Simplificar las normas de registro y revisar los motivos por los que se deniega el registro a las organizaciones de la sociedad civil o se cierran esas organizaciones de forma definitiva, con el fin de que puedan llevar</w:t>
      </w:r>
      <w:r w:rsidR="00066A9C" w:rsidRPr="00184CB9">
        <w:rPr>
          <w:b/>
          <w:bCs/>
          <w:lang w:val="es-CO"/>
        </w:rPr>
        <w:t xml:space="preserve"> </w:t>
      </w:r>
      <w:r w:rsidR="00452224" w:rsidRPr="00184CB9">
        <w:rPr>
          <w:b/>
          <w:bCs/>
          <w:lang w:val="es-CO"/>
        </w:rPr>
        <w:t>a cabo</w:t>
      </w:r>
      <w:r w:rsidR="003D4623" w:rsidRPr="00184CB9">
        <w:rPr>
          <w:b/>
          <w:bCs/>
          <w:lang w:val="es-CO"/>
        </w:rPr>
        <w:t xml:space="preserve"> sus actividades sin restricciones</w:t>
      </w:r>
      <w:r w:rsidR="001E418F" w:rsidRPr="00184CB9">
        <w:rPr>
          <w:b/>
          <w:bCs/>
          <w:lang w:val="es-CO"/>
        </w:rPr>
        <w:t xml:space="preserve"> indebidas</w:t>
      </w:r>
      <w:r w:rsidR="003D4623" w:rsidRPr="00184CB9">
        <w:rPr>
          <w:b/>
          <w:bCs/>
          <w:lang w:val="es-CO"/>
        </w:rPr>
        <w:t>.</w:t>
      </w:r>
    </w:p>
    <w:p w14:paraId="444A19E4" w14:textId="0D85A12D" w:rsidR="00C91D42" w:rsidRPr="00184CB9" w:rsidRDefault="00076D7F" w:rsidP="00076D7F">
      <w:pPr>
        <w:pStyle w:val="H23G"/>
      </w:pPr>
      <w:r>
        <w:rPr>
          <w:lang w:val="es-CO"/>
        </w:rPr>
        <w:tab/>
      </w:r>
      <w:r>
        <w:rPr>
          <w:lang w:val="es-CO"/>
        </w:rPr>
        <w:tab/>
      </w:r>
      <w:r w:rsidR="004055D9" w:rsidRPr="00184CB9">
        <w:rPr>
          <w:lang w:val="es-CO"/>
        </w:rPr>
        <w:tab/>
      </w:r>
      <w:r w:rsidR="00C91D42" w:rsidRPr="00184CB9">
        <w:rPr>
          <w:lang w:val="es-CO"/>
        </w:rPr>
        <w:t>Uso de la fuerza en el contexto de manifestaciones</w:t>
      </w:r>
    </w:p>
    <w:p w14:paraId="69D00BF4" w14:textId="3C7E2121" w:rsidR="00C91D42" w:rsidRPr="00184CB9" w:rsidRDefault="00C91D42" w:rsidP="004055D9">
      <w:pPr>
        <w:pStyle w:val="SingleTxtG"/>
        <w:rPr>
          <w:rFonts w:ascii="Times" w:hAnsi="Times"/>
          <w:color w:val="000000" w:themeColor="text1"/>
          <w:lang w:val="es-CO"/>
        </w:rPr>
      </w:pPr>
      <w:r w:rsidRPr="00184CB9">
        <w:rPr>
          <w:rFonts w:ascii="Times" w:hAnsi="Times"/>
          <w:color w:val="000000" w:themeColor="text1"/>
          <w:lang w:val="es-CO"/>
        </w:rPr>
        <w:t xml:space="preserve">35. </w:t>
      </w:r>
      <w:r w:rsidRPr="00184CB9">
        <w:rPr>
          <w:rFonts w:ascii="Times" w:hAnsi="Times"/>
          <w:color w:val="000000" w:themeColor="text1"/>
          <w:lang w:val="es-CO"/>
        </w:rPr>
        <w:tab/>
        <w:t>Si bien el Comité toma nota de la información proporcionada por el Estado parte sobre la Ley de la Policía Nacional</w:t>
      </w:r>
      <w:r w:rsidR="00AF6B45">
        <w:rPr>
          <w:rFonts w:ascii="Times" w:hAnsi="Times"/>
          <w:color w:val="000000" w:themeColor="text1"/>
          <w:lang w:val="es-CO"/>
        </w:rPr>
        <w:t xml:space="preserve"> (</w:t>
      </w:r>
      <w:r w:rsidR="00AF6B45" w:rsidRPr="00184CB9">
        <w:rPr>
          <w:rFonts w:ascii="Times" w:hAnsi="Times"/>
          <w:color w:val="000000" w:themeColor="text1"/>
          <w:lang w:val="es-CO"/>
        </w:rPr>
        <w:t xml:space="preserve">Ley </w:t>
      </w:r>
      <w:r w:rsidR="00AF6B45">
        <w:rPr>
          <w:rFonts w:ascii="Times" w:hAnsi="Times"/>
          <w:color w:val="000000" w:themeColor="text1"/>
          <w:lang w:val="es-CO"/>
        </w:rPr>
        <w:t>núm. </w:t>
      </w:r>
      <w:r w:rsidR="00AF6B45" w:rsidRPr="00184CB9">
        <w:rPr>
          <w:rFonts w:ascii="Times" w:hAnsi="Times"/>
          <w:color w:val="000000" w:themeColor="text1"/>
          <w:lang w:val="es-CO"/>
        </w:rPr>
        <w:t>228</w:t>
      </w:r>
      <w:r w:rsidR="00AF6B45">
        <w:rPr>
          <w:rFonts w:ascii="Times" w:hAnsi="Times"/>
          <w:color w:val="000000" w:themeColor="text1"/>
          <w:lang w:val="es-CO"/>
        </w:rPr>
        <w:t>)</w:t>
      </w:r>
      <w:r w:rsidRPr="00184CB9">
        <w:rPr>
          <w:rFonts w:ascii="Times" w:hAnsi="Times"/>
          <w:color w:val="000000" w:themeColor="text1"/>
          <w:lang w:val="es-CO"/>
        </w:rPr>
        <w:t xml:space="preserve">, </w:t>
      </w:r>
      <w:r w:rsidR="00AF6B45">
        <w:rPr>
          <w:rFonts w:ascii="Times" w:hAnsi="Times"/>
          <w:color w:val="000000" w:themeColor="text1"/>
          <w:lang w:val="es-CO"/>
        </w:rPr>
        <w:t xml:space="preserve">de 1996, </w:t>
      </w:r>
      <w:r w:rsidRPr="00184CB9">
        <w:rPr>
          <w:rFonts w:ascii="Times" w:hAnsi="Times"/>
          <w:color w:val="000000" w:themeColor="text1"/>
          <w:lang w:val="es-CO"/>
        </w:rPr>
        <w:t xml:space="preserve">manifiesta su gran inquietud por las alegaciones relativas a </w:t>
      </w:r>
      <w:r w:rsidR="00452224" w:rsidRPr="00184CB9">
        <w:rPr>
          <w:rFonts w:ascii="Times" w:hAnsi="Times"/>
          <w:color w:val="000000" w:themeColor="text1"/>
          <w:lang w:val="es-CO"/>
        </w:rPr>
        <w:t xml:space="preserve">situaciones </w:t>
      </w:r>
      <w:r w:rsidRPr="00184CB9">
        <w:rPr>
          <w:rFonts w:ascii="Times" w:hAnsi="Times"/>
          <w:color w:val="000000" w:themeColor="text1"/>
          <w:lang w:val="es-CO"/>
        </w:rPr>
        <w:t>de uso excesivo de la fuerza en el contexto de la crisis sociopolítica iniciada en 2018, lo que ha dado lugar a centenares de muert</w:t>
      </w:r>
      <w:r w:rsidR="00AF6B45">
        <w:rPr>
          <w:rFonts w:ascii="Times" w:hAnsi="Times"/>
          <w:color w:val="000000" w:themeColor="text1"/>
          <w:lang w:val="es-CO"/>
        </w:rPr>
        <w:t>o</w:t>
      </w:r>
      <w:r w:rsidRPr="00184CB9">
        <w:rPr>
          <w:rFonts w:ascii="Times" w:hAnsi="Times"/>
          <w:color w:val="000000" w:themeColor="text1"/>
          <w:lang w:val="es-CO"/>
        </w:rPr>
        <w:t xml:space="preserve">s y decenas de heridos graves, así como </w:t>
      </w:r>
      <w:r w:rsidR="00AF6B45">
        <w:rPr>
          <w:rFonts w:ascii="Times" w:hAnsi="Times"/>
          <w:color w:val="000000" w:themeColor="text1"/>
          <w:lang w:val="es-CO"/>
        </w:rPr>
        <w:t xml:space="preserve">a </w:t>
      </w:r>
      <w:r w:rsidRPr="00184CB9">
        <w:rPr>
          <w:rFonts w:ascii="Times" w:hAnsi="Times"/>
          <w:color w:val="000000" w:themeColor="text1"/>
          <w:lang w:val="es-CO"/>
        </w:rPr>
        <w:t xml:space="preserve">detenciones y encarcelamientos masivos de manifestantes. Observa también con preocupación la información recibida sobre los homicidios y </w:t>
      </w:r>
      <w:r w:rsidR="009763A6">
        <w:rPr>
          <w:rFonts w:ascii="Times" w:hAnsi="Times"/>
          <w:color w:val="000000" w:themeColor="text1"/>
          <w:lang w:val="es-CO"/>
        </w:rPr>
        <w:t xml:space="preserve">las </w:t>
      </w:r>
      <w:r w:rsidRPr="00184CB9">
        <w:rPr>
          <w:rFonts w:ascii="Times" w:hAnsi="Times"/>
          <w:color w:val="000000" w:themeColor="text1"/>
          <w:lang w:val="es-CO"/>
        </w:rPr>
        <w:t>tentativas de homicidio ocurrid</w:t>
      </w:r>
      <w:r w:rsidR="009763A6">
        <w:rPr>
          <w:rFonts w:ascii="Times" w:hAnsi="Times"/>
          <w:color w:val="000000" w:themeColor="text1"/>
          <w:lang w:val="es-CO"/>
        </w:rPr>
        <w:t>o</w:t>
      </w:r>
      <w:r w:rsidRPr="00184CB9">
        <w:rPr>
          <w:rFonts w:ascii="Times" w:hAnsi="Times"/>
          <w:color w:val="000000" w:themeColor="text1"/>
          <w:lang w:val="es-CO"/>
        </w:rPr>
        <w:t>s en</w:t>
      </w:r>
      <w:r w:rsidR="00AF6B45">
        <w:rPr>
          <w:rFonts w:ascii="Times" w:hAnsi="Times"/>
          <w:color w:val="000000" w:themeColor="text1"/>
          <w:lang w:val="es-CO"/>
        </w:rPr>
        <w:t xml:space="preserve"> los meses de</w:t>
      </w:r>
      <w:r w:rsidRPr="00184CB9">
        <w:rPr>
          <w:rFonts w:ascii="Times" w:hAnsi="Times"/>
          <w:color w:val="000000" w:themeColor="text1"/>
          <w:lang w:val="es-CO"/>
        </w:rPr>
        <w:t xml:space="preserve"> junio y julio de 2019, así como sobre presuntas violaciones cometidas por elementos armados progubernamentales, incluyendo aquellos conocidos como “fuerzas de choque” o “turbas". Asimismo, lamenta la falta de datos estadísticos sobre el número de muert</w:t>
      </w:r>
      <w:r w:rsidR="00AF6B45">
        <w:rPr>
          <w:rFonts w:ascii="Times" w:hAnsi="Times"/>
          <w:color w:val="000000" w:themeColor="text1"/>
          <w:lang w:val="es-CO"/>
        </w:rPr>
        <w:t>o</w:t>
      </w:r>
      <w:r w:rsidRPr="00184CB9">
        <w:rPr>
          <w:rFonts w:ascii="Times" w:hAnsi="Times"/>
          <w:color w:val="000000" w:themeColor="text1"/>
          <w:lang w:val="es-CO"/>
        </w:rPr>
        <w:t xml:space="preserve">s y heridos con ocasión de las protestas sociales ocurridas desde 2018 y sobre los casos de </w:t>
      </w:r>
      <w:r w:rsidR="00055FBE" w:rsidRPr="00184CB9">
        <w:rPr>
          <w:rFonts w:ascii="Times" w:hAnsi="Times"/>
          <w:color w:val="000000" w:themeColor="text1"/>
          <w:lang w:val="es-CO"/>
        </w:rPr>
        <w:t xml:space="preserve">agentes de las fuerzas del orden </w:t>
      </w:r>
      <w:r w:rsidRPr="00184CB9">
        <w:rPr>
          <w:rFonts w:ascii="Times" w:hAnsi="Times"/>
          <w:color w:val="000000" w:themeColor="text1"/>
          <w:lang w:val="es-CO"/>
        </w:rPr>
        <w:t xml:space="preserve">denunciados, investigados, enjuiciados, condenados y sancionados por cargos </w:t>
      </w:r>
      <w:r w:rsidR="009763A6">
        <w:rPr>
          <w:rFonts w:ascii="Times" w:hAnsi="Times"/>
          <w:color w:val="000000" w:themeColor="text1"/>
          <w:lang w:val="es-CO"/>
        </w:rPr>
        <w:t>relacionados con el</w:t>
      </w:r>
      <w:r w:rsidR="009763A6" w:rsidRPr="00184CB9">
        <w:rPr>
          <w:rFonts w:ascii="Times" w:hAnsi="Times"/>
          <w:color w:val="000000" w:themeColor="text1"/>
          <w:lang w:val="es-CO"/>
        </w:rPr>
        <w:t xml:space="preserve"> </w:t>
      </w:r>
      <w:r w:rsidRPr="00184CB9">
        <w:rPr>
          <w:rFonts w:ascii="Times" w:hAnsi="Times"/>
          <w:color w:val="000000" w:themeColor="text1"/>
          <w:lang w:val="es-CO"/>
        </w:rPr>
        <w:t>uso excesivo de la fuerza, incluyendo tortura y malos tratos, en el período al que se refiere el informe (arts. 2, 6, 7</w:t>
      </w:r>
      <w:r w:rsidR="009763A6">
        <w:rPr>
          <w:rFonts w:ascii="Times" w:hAnsi="Times"/>
          <w:color w:val="000000" w:themeColor="text1"/>
          <w:lang w:val="es-CO"/>
        </w:rPr>
        <w:t xml:space="preserve"> y</w:t>
      </w:r>
      <w:r w:rsidRPr="00184CB9">
        <w:rPr>
          <w:rFonts w:ascii="Times" w:hAnsi="Times"/>
          <w:color w:val="000000" w:themeColor="text1"/>
          <w:lang w:val="es-CO"/>
        </w:rPr>
        <w:t xml:space="preserve"> 21).</w:t>
      </w:r>
    </w:p>
    <w:p w14:paraId="366B4125" w14:textId="0F61F774" w:rsidR="00C91D42" w:rsidRPr="00184CB9" w:rsidRDefault="00C91D42" w:rsidP="00A13853">
      <w:pPr>
        <w:pStyle w:val="SingleTxtG"/>
        <w:rPr>
          <w:lang w:val="es-CO"/>
        </w:rPr>
      </w:pPr>
      <w:r w:rsidRPr="00076D7F">
        <w:rPr>
          <w:rFonts w:ascii="Times" w:hAnsi="Times"/>
          <w:color w:val="000000" w:themeColor="text1"/>
          <w:lang w:val="es-CO"/>
        </w:rPr>
        <w:t>36.</w:t>
      </w:r>
      <w:r w:rsidRPr="00184CB9">
        <w:rPr>
          <w:rFonts w:ascii="Times" w:hAnsi="Times"/>
          <w:b/>
          <w:bCs/>
          <w:color w:val="000000" w:themeColor="text1"/>
          <w:lang w:val="es-CO"/>
        </w:rPr>
        <w:t xml:space="preserve"> </w:t>
      </w:r>
      <w:r w:rsidRPr="00184CB9">
        <w:rPr>
          <w:rFonts w:ascii="Times" w:hAnsi="Times"/>
          <w:b/>
          <w:bCs/>
          <w:color w:val="000000" w:themeColor="text1"/>
          <w:lang w:val="es-CO"/>
        </w:rPr>
        <w:tab/>
      </w:r>
      <w:r w:rsidRPr="00184CB9">
        <w:rPr>
          <w:b/>
          <w:bCs/>
          <w:lang w:val="es-CO"/>
        </w:rPr>
        <w:t xml:space="preserve">De conformidad con los Principios Básicos sobre el Empleo de la Fuerza y de Armas de Fuego por los Funcionarios </w:t>
      </w:r>
      <w:r w:rsidR="00AF6B45">
        <w:rPr>
          <w:b/>
          <w:bCs/>
          <w:lang w:val="es-CO"/>
        </w:rPr>
        <w:t>E</w:t>
      </w:r>
      <w:r w:rsidRPr="00184CB9">
        <w:rPr>
          <w:b/>
          <w:bCs/>
          <w:lang w:val="es-CO"/>
        </w:rPr>
        <w:t xml:space="preserve">ncargados de Hacer Cumplir la Ley y las Orientaciones de las Naciones Unidas en materia de </w:t>
      </w:r>
      <w:r w:rsidR="00AF6B45">
        <w:rPr>
          <w:b/>
          <w:bCs/>
          <w:lang w:val="es-CO"/>
        </w:rPr>
        <w:t>D</w:t>
      </w:r>
      <w:r w:rsidRPr="00184CB9">
        <w:rPr>
          <w:b/>
          <w:bCs/>
          <w:lang w:val="es-CO"/>
        </w:rPr>
        <w:t xml:space="preserve">erechos </w:t>
      </w:r>
      <w:r w:rsidR="00AF6B45">
        <w:rPr>
          <w:b/>
          <w:bCs/>
          <w:lang w:val="es-CO"/>
        </w:rPr>
        <w:t>H</w:t>
      </w:r>
      <w:r w:rsidRPr="00184CB9">
        <w:rPr>
          <w:b/>
          <w:bCs/>
          <w:lang w:val="es-CO"/>
        </w:rPr>
        <w:t xml:space="preserve">umanos sobre el </w:t>
      </w:r>
      <w:r w:rsidR="00AF6B45">
        <w:rPr>
          <w:b/>
          <w:bCs/>
          <w:lang w:val="es-CO"/>
        </w:rPr>
        <w:t>E</w:t>
      </w:r>
      <w:r w:rsidRPr="00184CB9">
        <w:rPr>
          <w:b/>
          <w:bCs/>
          <w:lang w:val="es-CO"/>
        </w:rPr>
        <w:t xml:space="preserve">mpleo de </w:t>
      </w:r>
      <w:r w:rsidR="00AF6B45">
        <w:rPr>
          <w:b/>
          <w:bCs/>
          <w:lang w:val="es-CO"/>
        </w:rPr>
        <w:t>A</w:t>
      </w:r>
      <w:r w:rsidRPr="00184CB9">
        <w:rPr>
          <w:b/>
          <w:bCs/>
          <w:lang w:val="es-CO"/>
        </w:rPr>
        <w:t xml:space="preserve">rmas </w:t>
      </w:r>
      <w:r w:rsidR="00AF6B45">
        <w:rPr>
          <w:b/>
          <w:bCs/>
          <w:lang w:val="es-CO"/>
        </w:rPr>
        <w:t>M</w:t>
      </w:r>
      <w:r w:rsidRPr="00184CB9">
        <w:rPr>
          <w:b/>
          <w:bCs/>
          <w:lang w:val="es-CO"/>
        </w:rPr>
        <w:t xml:space="preserve">enos </w:t>
      </w:r>
      <w:r w:rsidR="00AF6B45">
        <w:rPr>
          <w:b/>
          <w:bCs/>
          <w:lang w:val="es-CO"/>
        </w:rPr>
        <w:t>L</w:t>
      </w:r>
      <w:r w:rsidRPr="00184CB9">
        <w:rPr>
          <w:b/>
          <w:bCs/>
          <w:lang w:val="es-CO"/>
        </w:rPr>
        <w:t xml:space="preserve">etales en el </w:t>
      </w:r>
      <w:r w:rsidR="00AF6B45">
        <w:rPr>
          <w:b/>
          <w:bCs/>
          <w:lang w:val="es-CO"/>
        </w:rPr>
        <w:t>M</w:t>
      </w:r>
      <w:r w:rsidRPr="00184CB9">
        <w:rPr>
          <w:b/>
          <w:bCs/>
          <w:lang w:val="es-CO"/>
        </w:rPr>
        <w:t xml:space="preserve">antenimiento del </w:t>
      </w:r>
      <w:r w:rsidR="00AF6B45">
        <w:rPr>
          <w:b/>
          <w:bCs/>
          <w:lang w:val="es-CO"/>
        </w:rPr>
        <w:t>O</w:t>
      </w:r>
      <w:r w:rsidRPr="00184CB9">
        <w:rPr>
          <w:b/>
          <w:bCs/>
          <w:lang w:val="es-CO"/>
        </w:rPr>
        <w:t>rden, el Estado parte debe:</w:t>
      </w:r>
    </w:p>
    <w:p w14:paraId="1378DB85" w14:textId="0CDFB021" w:rsidR="00C91D42" w:rsidRPr="00184CB9" w:rsidRDefault="00927916" w:rsidP="00A13853">
      <w:pPr>
        <w:tabs>
          <w:tab w:val="left" w:pos="1701"/>
        </w:tabs>
        <w:spacing w:after="120"/>
        <w:ind w:left="1134" w:right="991"/>
        <w:jc w:val="both"/>
        <w:rPr>
          <w:b/>
          <w:bCs/>
          <w:lang w:val="es-CO"/>
        </w:rPr>
      </w:pPr>
      <w:r w:rsidRPr="00184CB9">
        <w:rPr>
          <w:b/>
          <w:bCs/>
          <w:lang w:val="es-CO"/>
        </w:rPr>
        <w:tab/>
      </w:r>
      <w:r w:rsidRPr="00946AEA">
        <w:rPr>
          <w:bCs/>
          <w:lang w:val="es-CO"/>
        </w:rPr>
        <w:t>a)</w:t>
      </w:r>
      <w:r w:rsidRPr="00184CB9">
        <w:rPr>
          <w:b/>
          <w:bCs/>
          <w:lang w:val="es-CO"/>
        </w:rPr>
        <w:t xml:space="preserve"> </w:t>
      </w:r>
      <w:r w:rsidRPr="00184CB9">
        <w:rPr>
          <w:b/>
          <w:bCs/>
          <w:lang w:val="es-CO"/>
        </w:rPr>
        <w:tab/>
      </w:r>
      <w:r w:rsidR="00C91D42" w:rsidRPr="00184CB9">
        <w:rPr>
          <w:b/>
          <w:bCs/>
          <w:lang w:val="es-CO"/>
        </w:rPr>
        <w:t>Investigar sin demora y de manera exhaustiva, independiente e imparcial todos los casos de uso excesivo de la fuerza</w:t>
      </w:r>
      <w:r w:rsidR="00AF6B45">
        <w:rPr>
          <w:b/>
          <w:bCs/>
          <w:lang w:val="es-CO"/>
        </w:rPr>
        <w:t>, para</w:t>
      </w:r>
      <w:r w:rsidR="00C91D42" w:rsidRPr="00184CB9">
        <w:rPr>
          <w:b/>
          <w:bCs/>
          <w:lang w:val="es-CO"/>
        </w:rPr>
        <w:t xml:space="preserve"> que los presuntos autores comparezcan ante la justicia</w:t>
      </w:r>
      <w:r w:rsidR="00AF6B45">
        <w:rPr>
          <w:b/>
          <w:bCs/>
          <w:lang w:val="es-CO"/>
        </w:rPr>
        <w:t>,</w:t>
      </w:r>
      <w:r w:rsidR="00C91D42" w:rsidRPr="00184CB9">
        <w:rPr>
          <w:b/>
          <w:bCs/>
          <w:lang w:val="es-CO"/>
        </w:rPr>
        <w:t xml:space="preserve"> los responsables sean sancionados adecuadamente y las víctimas reciban reparación integral;</w:t>
      </w:r>
    </w:p>
    <w:p w14:paraId="3A9ABE16" w14:textId="1E15993C" w:rsidR="00C91D42" w:rsidRPr="00184CB9" w:rsidRDefault="00927916" w:rsidP="00A13853">
      <w:pPr>
        <w:tabs>
          <w:tab w:val="left" w:pos="1701"/>
        </w:tabs>
        <w:spacing w:after="120"/>
        <w:ind w:left="1134" w:right="991"/>
        <w:jc w:val="both"/>
        <w:rPr>
          <w:b/>
          <w:bCs/>
          <w:lang w:val="es-CO"/>
        </w:rPr>
      </w:pPr>
      <w:r w:rsidRPr="00184CB9">
        <w:rPr>
          <w:b/>
          <w:bCs/>
          <w:lang w:val="es-CO"/>
        </w:rPr>
        <w:tab/>
      </w:r>
      <w:r w:rsidRPr="00946AEA">
        <w:rPr>
          <w:bCs/>
          <w:lang w:val="es-CO"/>
        </w:rPr>
        <w:t>b)</w:t>
      </w:r>
      <w:r w:rsidRPr="00184CB9">
        <w:rPr>
          <w:b/>
          <w:bCs/>
          <w:lang w:val="es-CO"/>
        </w:rPr>
        <w:t xml:space="preserve"> </w:t>
      </w:r>
      <w:r w:rsidRPr="00184CB9">
        <w:rPr>
          <w:b/>
          <w:bCs/>
          <w:lang w:val="es-CO"/>
        </w:rPr>
        <w:tab/>
      </w:r>
      <w:r w:rsidR="006E6C73" w:rsidRPr="00184CB9">
        <w:rPr>
          <w:b/>
          <w:bCs/>
          <w:lang w:val="es-CO"/>
        </w:rPr>
        <w:t xml:space="preserve">Impartir capacitación </w:t>
      </w:r>
      <w:r w:rsidR="001E418F" w:rsidRPr="00184CB9">
        <w:rPr>
          <w:b/>
          <w:bCs/>
          <w:lang w:val="es-CO"/>
        </w:rPr>
        <w:t xml:space="preserve">adecuada </w:t>
      </w:r>
      <w:r w:rsidR="00AF6B45" w:rsidRPr="00184CB9">
        <w:rPr>
          <w:b/>
          <w:bCs/>
          <w:lang w:val="es-CO"/>
        </w:rPr>
        <w:t xml:space="preserve">sobre el uso de la fuerza </w:t>
      </w:r>
      <w:r w:rsidR="006E6C73" w:rsidRPr="00184CB9">
        <w:rPr>
          <w:b/>
          <w:bCs/>
          <w:lang w:val="es-CO"/>
        </w:rPr>
        <w:t xml:space="preserve">a </w:t>
      </w:r>
      <w:r w:rsidR="00C91D42" w:rsidRPr="00184CB9">
        <w:rPr>
          <w:b/>
          <w:bCs/>
          <w:lang w:val="es-CO"/>
        </w:rPr>
        <w:t xml:space="preserve">todos </w:t>
      </w:r>
      <w:r w:rsidR="006E6C73" w:rsidRPr="00184CB9">
        <w:rPr>
          <w:b/>
          <w:bCs/>
          <w:lang w:val="es-CO"/>
        </w:rPr>
        <w:t>los agentes de seguridad y funcionarios encargados de hacer cumplir la ley</w:t>
      </w:r>
      <w:r w:rsidR="00C91D42" w:rsidRPr="00184CB9">
        <w:rPr>
          <w:b/>
          <w:bCs/>
          <w:lang w:val="es-CO"/>
        </w:rPr>
        <w:t>;</w:t>
      </w:r>
    </w:p>
    <w:p w14:paraId="576A71C7" w14:textId="3DD47A68" w:rsidR="00C91D42" w:rsidRPr="00184CB9" w:rsidRDefault="00927916" w:rsidP="00A13853">
      <w:pPr>
        <w:spacing w:after="120"/>
        <w:ind w:left="1134" w:right="991" w:firstLine="567"/>
        <w:jc w:val="both"/>
        <w:rPr>
          <w:b/>
          <w:bCs/>
          <w:lang w:val="es-CO"/>
        </w:rPr>
      </w:pPr>
      <w:r w:rsidRPr="00946AEA">
        <w:rPr>
          <w:bCs/>
          <w:lang w:val="es-CO"/>
        </w:rPr>
        <w:t>c)</w:t>
      </w:r>
      <w:r w:rsidRPr="00184CB9">
        <w:rPr>
          <w:b/>
          <w:bCs/>
          <w:lang w:val="es-CO"/>
        </w:rPr>
        <w:t xml:space="preserve"> </w:t>
      </w:r>
      <w:r w:rsidRPr="00184CB9">
        <w:rPr>
          <w:b/>
          <w:bCs/>
          <w:lang w:val="es-CO"/>
        </w:rPr>
        <w:tab/>
      </w:r>
      <w:r w:rsidR="00C91D42" w:rsidRPr="00184CB9">
        <w:rPr>
          <w:b/>
          <w:bCs/>
          <w:lang w:val="es-CO"/>
        </w:rPr>
        <w:t>Reunir datos desglosados sobre los casos de</w:t>
      </w:r>
      <w:r w:rsidR="00C360C5" w:rsidRPr="00184CB9">
        <w:rPr>
          <w:b/>
          <w:bCs/>
          <w:lang w:val="es-CO"/>
        </w:rPr>
        <w:t xml:space="preserve"> agentes de las fuerzas del orden</w:t>
      </w:r>
      <w:r w:rsidR="003D4D79" w:rsidRPr="00184CB9">
        <w:rPr>
          <w:b/>
          <w:bCs/>
          <w:lang w:val="es-CO"/>
        </w:rPr>
        <w:t xml:space="preserve"> denunciados</w:t>
      </w:r>
      <w:r w:rsidR="00C91D42" w:rsidRPr="00184CB9">
        <w:rPr>
          <w:b/>
          <w:bCs/>
          <w:lang w:val="es-CO"/>
        </w:rPr>
        <w:t xml:space="preserve">, investigados, enjuiciados y sancionados por cargos </w:t>
      </w:r>
      <w:r w:rsidR="009763A6">
        <w:rPr>
          <w:b/>
          <w:bCs/>
          <w:lang w:val="es-CO"/>
        </w:rPr>
        <w:t>relacionados con el</w:t>
      </w:r>
      <w:r w:rsidR="009763A6" w:rsidRPr="00184CB9">
        <w:rPr>
          <w:b/>
          <w:bCs/>
          <w:lang w:val="es-CO"/>
        </w:rPr>
        <w:t xml:space="preserve"> </w:t>
      </w:r>
      <w:r w:rsidR="00C91D42" w:rsidRPr="00184CB9">
        <w:rPr>
          <w:b/>
          <w:bCs/>
          <w:lang w:val="es-CO"/>
        </w:rPr>
        <w:t>uso excesivo de la fuerza, y recabar datos sobre el número de muert</w:t>
      </w:r>
      <w:r w:rsidR="00AF6B45">
        <w:rPr>
          <w:b/>
          <w:bCs/>
          <w:lang w:val="es-CO"/>
        </w:rPr>
        <w:t>o</w:t>
      </w:r>
      <w:r w:rsidR="00C91D42" w:rsidRPr="00184CB9">
        <w:rPr>
          <w:b/>
          <w:bCs/>
          <w:lang w:val="es-CO"/>
        </w:rPr>
        <w:t xml:space="preserve">s y heridos con ocasión de las protestas sociales, los enjuiciamientos y </w:t>
      </w:r>
      <w:r w:rsidR="009763A6">
        <w:rPr>
          <w:b/>
          <w:bCs/>
          <w:lang w:val="es-CO"/>
        </w:rPr>
        <w:t xml:space="preserve">las </w:t>
      </w:r>
      <w:r w:rsidR="00C91D42" w:rsidRPr="00184CB9">
        <w:rPr>
          <w:b/>
          <w:bCs/>
          <w:lang w:val="es-CO"/>
        </w:rPr>
        <w:t>condenas dictadas, y hacer pública esa información;</w:t>
      </w:r>
    </w:p>
    <w:p w14:paraId="299BBA7B" w14:textId="52BCD8F3" w:rsidR="00C91D42" w:rsidRPr="00184CB9" w:rsidRDefault="00927916" w:rsidP="00A13853">
      <w:pPr>
        <w:tabs>
          <w:tab w:val="left" w:pos="1701"/>
        </w:tabs>
        <w:spacing w:after="120"/>
        <w:ind w:left="1134" w:right="991"/>
        <w:jc w:val="both"/>
        <w:rPr>
          <w:b/>
          <w:bCs/>
          <w:lang w:val="es-CO"/>
        </w:rPr>
      </w:pPr>
      <w:r w:rsidRPr="00184CB9">
        <w:rPr>
          <w:b/>
          <w:bCs/>
          <w:lang w:val="es-CO"/>
        </w:rPr>
        <w:tab/>
      </w:r>
      <w:r w:rsidRPr="00946AEA">
        <w:rPr>
          <w:bCs/>
          <w:lang w:val="es-CO"/>
        </w:rPr>
        <w:t>d)</w:t>
      </w:r>
      <w:r w:rsidRPr="00184CB9">
        <w:rPr>
          <w:b/>
          <w:bCs/>
          <w:lang w:val="es-CO"/>
        </w:rPr>
        <w:t xml:space="preserve"> </w:t>
      </w:r>
      <w:r w:rsidRPr="00184CB9">
        <w:rPr>
          <w:b/>
          <w:bCs/>
          <w:lang w:val="es-CO"/>
        </w:rPr>
        <w:tab/>
      </w:r>
      <w:r w:rsidR="00C91D42" w:rsidRPr="00184CB9">
        <w:rPr>
          <w:b/>
          <w:bCs/>
          <w:lang w:val="es-CO"/>
        </w:rPr>
        <w:t xml:space="preserve">Desmantelar y desarmar los </w:t>
      </w:r>
      <w:r w:rsidR="00C91D42" w:rsidRPr="00184CB9">
        <w:rPr>
          <w:b/>
          <w:bCs/>
          <w:lang w:val="es-AR"/>
        </w:rPr>
        <w:t xml:space="preserve">elementos armados progubernamentales involucrados en ataques contra manifestantes y </w:t>
      </w:r>
      <w:r w:rsidR="00AF6B45">
        <w:rPr>
          <w:b/>
          <w:bCs/>
          <w:lang w:val="es-AR"/>
        </w:rPr>
        <w:t xml:space="preserve">en </w:t>
      </w:r>
      <w:r w:rsidR="00C91D42" w:rsidRPr="00184CB9">
        <w:rPr>
          <w:b/>
          <w:bCs/>
          <w:lang w:val="es-AR"/>
        </w:rPr>
        <w:t>detenciones ilegales.</w:t>
      </w:r>
    </w:p>
    <w:p w14:paraId="079C5EA5" w14:textId="55B6689D" w:rsidR="00756DBF" w:rsidRPr="00184CB9" w:rsidRDefault="00076D7F" w:rsidP="00076D7F">
      <w:pPr>
        <w:pStyle w:val="H23G"/>
        <w:rPr>
          <w:lang w:val="es-CO"/>
        </w:rPr>
      </w:pPr>
      <w:r>
        <w:rPr>
          <w:lang w:val="es-CO"/>
        </w:rPr>
        <w:lastRenderedPageBreak/>
        <w:tab/>
      </w:r>
      <w:r>
        <w:rPr>
          <w:lang w:val="es-CO"/>
        </w:rPr>
        <w:tab/>
      </w:r>
      <w:r w:rsidR="00A901E1" w:rsidRPr="00184CB9">
        <w:rPr>
          <w:lang w:val="es-CO"/>
        </w:rPr>
        <w:t>Libertad de expresión y v</w:t>
      </w:r>
      <w:r w:rsidR="00756DBF" w:rsidRPr="00184CB9">
        <w:rPr>
          <w:lang w:val="es-CO"/>
        </w:rPr>
        <w:t xml:space="preserve">iolencia contra personas defensoras de derechos humanos </w:t>
      </w:r>
    </w:p>
    <w:p w14:paraId="13E9B7B8" w14:textId="6B19F013" w:rsidR="00756DBF" w:rsidRPr="00184CB9" w:rsidRDefault="00756DBF" w:rsidP="00A13853">
      <w:pPr>
        <w:pStyle w:val="Prrafodelista"/>
        <w:tabs>
          <w:tab w:val="left" w:pos="1701"/>
          <w:tab w:val="left" w:pos="8505"/>
          <w:tab w:val="left" w:pos="8647"/>
        </w:tabs>
        <w:spacing w:after="120"/>
        <w:ind w:left="1134" w:right="992"/>
        <w:jc w:val="both"/>
      </w:pPr>
      <w:r w:rsidRPr="00AF6B45">
        <w:rPr>
          <w:sz w:val="20"/>
          <w:szCs w:val="20"/>
          <w:lang w:val="es-CO"/>
        </w:rPr>
        <w:t>3</w:t>
      </w:r>
      <w:r w:rsidR="00C91D42" w:rsidRPr="00AF6B45">
        <w:rPr>
          <w:sz w:val="20"/>
          <w:szCs w:val="20"/>
          <w:lang w:val="es-CO"/>
        </w:rPr>
        <w:t>7</w:t>
      </w:r>
      <w:r w:rsidRPr="00AF6B45">
        <w:rPr>
          <w:sz w:val="20"/>
          <w:szCs w:val="20"/>
          <w:lang w:val="es-CO"/>
        </w:rPr>
        <w:t xml:space="preserve">. </w:t>
      </w:r>
      <w:r w:rsidRPr="00AF6B45">
        <w:rPr>
          <w:sz w:val="20"/>
          <w:szCs w:val="20"/>
          <w:lang w:val="es-CO"/>
        </w:rPr>
        <w:tab/>
        <w:t>A la luz de las recomendaciones anteriores del Comité</w:t>
      </w:r>
      <w:r w:rsidR="00AF6B45" w:rsidRPr="007D14C9">
        <w:rPr>
          <w:rStyle w:val="Refdenotaalpie"/>
          <w:rFonts w:ascii="Times" w:hAnsi="Times"/>
          <w:szCs w:val="18"/>
        </w:rPr>
        <w:footnoteReference w:id="10"/>
      </w:r>
      <w:r w:rsidRPr="00AF6B45">
        <w:rPr>
          <w:sz w:val="20"/>
          <w:szCs w:val="20"/>
          <w:lang w:val="es-CO"/>
        </w:rPr>
        <w:t xml:space="preserve">, el </w:t>
      </w:r>
      <w:r w:rsidRPr="00896E27">
        <w:rPr>
          <w:sz w:val="20"/>
          <w:szCs w:val="20"/>
          <w:lang w:val="es-CO"/>
        </w:rPr>
        <w:t>informe sobre el seguimiento de las observaciones finales del Comité</w:t>
      </w:r>
      <w:r w:rsidR="00AF6B45" w:rsidRPr="007D14C9">
        <w:rPr>
          <w:rStyle w:val="Refdenotaalpie"/>
          <w:rFonts w:ascii="Times" w:hAnsi="Times"/>
          <w:szCs w:val="18"/>
        </w:rPr>
        <w:footnoteReference w:id="11"/>
      </w:r>
      <w:r w:rsidRPr="00AF6B45">
        <w:rPr>
          <w:sz w:val="20"/>
          <w:szCs w:val="20"/>
          <w:lang w:val="es-CO"/>
        </w:rPr>
        <w:t xml:space="preserve"> y la información recibida, el Comité se encuentra preocupado por la persistencia de casos de hostigamiento</w:t>
      </w:r>
      <w:r w:rsidR="00AF6B45">
        <w:rPr>
          <w:sz w:val="20"/>
          <w:szCs w:val="20"/>
          <w:lang w:val="es-CO"/>
        </w:rPr>
        <w:t xml:space="preserve"> e</w:t>
      </w:r>
      <w:r w:rsidRPr="00AF6B45">
        <w:rPr>
          <w:sz w:val="20"/>
          <w:szCs w:val="20"/>
          <w:lang w:val="es-CO"/>
        </w:rPr>
        <w:t xml:space="preserve"> intimidación, campañas de difamación, detención ilegal, tortura y malos tratos contra defensores de derechos humanos, incluidos defensores del medio ambiente, mujeres defensoras de derechos humanos y defensores de minorías sexuales o de género. Le inquieta</w:t>
      </w:r>
      <w:r w:rsidR="009763A6">
        <w:rPr>
          <w:sz w:val="20"/>
          <w:szCs w:val="20"/>
          <w:lang w:val="es-CO"/>
        </w:rPr>
        <w:t>,</w:t>
      </w:r>
      <w:r w:rsidRPr="00AF6B45">
        <w:rPr>
          <w:sz w:val="20"/>
          <w:szCs w:val="20"/>
          <w:lang w:val="es-CO"/>
        </w:rPr>
        <w:t xml:space="preserve"> además</w:t>
      </w:r>
      <w:r w:rsidR="009763A6">
        <w:rPr>
          <w:sz w:val="20"/>
          <w:szCs w:val="20"/>
          <w:lang w:val="es-CO"/>
        </w:rPr>
        <w:t>,</w:t>
      </w:r>
      <w:r w:rsidRPr="00AF6B45">
        <w:rPr>
          <w:sz w:val="20"/>
          <w:szCs w:val="20"/>
          <w:lang w:val="es-CO"/>
        </w:rPr>
        <w:t xml:space="preserve"> el incumplimiento del Estado parte de la sentencia de la Corte Inter</w:t>
      </w:r>
      <w:r w:rsidR="00AF6B45">
        <w:rPr>
          <w:sz w:val="20"/>
          <w:szCs w:val="20"/>
          <w:lang w:val="es-CO"/>
        </w:rPr>
        <w:t>a</w:t>
      </w:r>
      <w:r w:rsidRPr="00AF6B45">
        <w:rPr>
          <w:sz w:val="20"/>
          <w:szCs w:val="20"/>
          <w:lang w:val="es-CO"/>
        </w:rPr>
        <w:t xml:space="preserve">mericana de Derechos Humanos en </w:t>
      </w:r>
      <w:r w:rsidR="00AF6B45">
        <w:rPr>
          <w:sz w:val="20"/>
          <w:szCs w:val="20"/>
          <w:lang w:val="es-CO"/>
        </w:rPr>
        <w:t xml:space="preserve">el caso </w:t>
      </w:r>
      <w:r w:rsidRPr="00AF6B45">
        <w:rPr>
          <w:i/>
          <w:iCs/>
          <w:sz w:val="20"/>
          <w:szCs w:val="20"/>
          <w:lang w:val="es-CO"/>
        </w:rPr>
        <w:t>Acosta y otros vs. Nicaragua</w:t>
      </w:r>
      <w:r w:rsidRPr="00AF6B45">
        <w:rPr>
          <w:sz w:val="20"/>
          <w:szCs w:val="20"/>
          <w:lang w:val="es-CO"/>
        </w:rPr>
        <w:t>, especialmente</w:t>
      </w:r>
      <w:r w:rsidR="00AF6B45">
        <w:rPr>
          <w:sz w:val="20"/>
          <w:szCs w:val="20"/>
          <w:lang w:val="es-CO"/>
        </w:rPr>
        <w:t xml:space="preserve"> en</w:t>
      </w:r>
      <w:r w:rsidRPr="00AF6B45">
        <w:rPr>
          <w:sz w:val="20"/>
          <w:szCs w:val="20"/>
          <w:lang w:val="es-CO"/>
        </w:rPr>
        <w:t xml:space="preserve"> lo relativo a la elaboración de mecanismos de protección y protocolos de investigación para casos de situaciones de riesgo, amenazas y agresiones de defensoras y defensores de derechos humanos</w:t>
      </w:r>
      <w:r w:rsidR="00135B75" w:rsidRPr="00AF6B45">
        <w:rPr>
          <w:sz w:val="20"/>
          <w:szCs w:val="20"/>
          <w:lang w:val="es-CO"/>
        </w:rPr>
        <w:t xml:space="preserve"> (arts. 19 y 20)</w:t>
      </w:r>
      <w:r w:rsidRPr="00AF6B45">
        <w:rPr>
          <w:i/>
          <w:iCs/>
          <w:sz w:val="20"/>
          <w:szCs w:val="20"/>
          <w:lang w:val="es-CO"/>
        </w:rPr>
        <w:t>.</w:t>
      </w:r>
    </w:p>
    <w:p w14:paraId="29B7841A" w14:textId="67B9FC44" w:rsidR="00756DBF" w:rsidRPr="00184CB9" w:rsidRDefault="00756DBF" w:rsidP="00A13853">
      <w:pPr>
        <w:tabs>
          <w:tab w:val="left" w:pos="1701"/>
          <w:tab w:val="left" w:pos="8505"/>
          <w:tab w:val="left" w:pos="8647"/>
        </w:tabs>
        <w:spacing w:after="120"/>
        <w:ind w:left="1560" w:right="992" w:hanging="425"/>
        <w:jc w:val="both"/>
        <w:rPr>
          <w:b/>
          <w:bCs/>
          <w:lang w:val="es-CO"/>
        </w:rPr>
      </w:pPr>
      <w:r w:rsidRPr="00076D7F">
        <w:rPr>
          <w:lang w:val="es-CO"/>
        </w:rPr>
        <w:t>3</w:t>
      </w:r>
      <w:r w:rsidR="00C91D42" w:rsidRPr="00076D7F">
        <w:rPr>
          <w:lang w:val="es-CO"/>
        </w:rPr>
        <w:t>8</w:t>
      </w:r>
      <w:r w:rsidRPr="00076D7F">
        <w:rPr>
          <w:lang w:val="es-CO"/>
        </w:rPr>
        <w:t xml:space="preserve">. </w:t>
      </w:r>
      <w:r w:rsidRPr="00076D7F">
        <w:rPr>
          <w:lang w:val="es-CO"/>
        </w:rPr>
        <w:tab/>
      </w:r>
      <w:r w:rsidRPr="00184CB9">
        <w:rPr>
          <w:b/>
          <w:bCs/>
          <w:lang w:val="es-CO"/>
        </w:rPr>
        <w:t>El Estado parte debe garantizar:</w:t>
      </w:r>
    </w:p>
    <w:p w14:paraId="2417DFF4" w14:textId="56C0A4E8" w:rsidR="00756DBF" w:rsidRPr="00184CB9" w:rsidRDefault="00927916" w:rsidP="00A13853">
      <w:pPr>
        <w:tabs>
          <w:tab w:val="left" w:pos="1701"/>
          <w:tab w:val="left" w:pos="2268"/>
        </w:tabs>
        <w:spacing w:after="120"/>
        <w:ind w:left="1134" w:right="992"/>
        <w:jc w:val="both"/>
        <w:rPr>
          <w:b/>
          <w:bCs/>
          <w:lang w:val="es-CO"/>
        </w:rPr>
      </w:pPr>
      <w:r w:rsidRPr="00184CB9">
        <w:rPr>
          <w:b/>
          <w:bCs/>
          <w:lang w:val="es-CO"/>
        </w:rPr>
        <w:tab/>
      </w:r>
      <w:r w:rsidRPr="00946AEA">
        <w:rPr>
          <w:bCs/>
          <w:lang w:val="es-CO"/>
        </w:rPr>
        <w:t>a)</w:t>
      </w:r>
      <w:r w:rsidRPr="00184CB9">
        <w:rPr>
          <w:b/>
          <w:bCs/>
          <w:lang w:val="es-CO"/>
        </w:rPr>
        <w:t xml:space="preserve"> </w:t>
      </w:r>
      <w:r w:rsidRPr="00184CB9">
        <w:rPr>
          <w:b/>
          <w:bCs/>
          <w:lang w:val="es-CO"/>
        </w:rPr>
        <w:tab/>
        <w:t xml:space="preserve">La </w:t>
      </w:r>
      <w:r w:rsidR="00527332" w:rsidRPr="00184CB9">
        <w:rPr>
          <w:b/>
          <w:bCs/>
          <w:lang w:val="es-CO"/>
        </w:rPr>
        <w:t xml:space="preserve">efectiva </w:t>
      </w:r>
      <w:r w:rsidRPr="00184CB9">
        <w:rPr>
          <w:b/>
          <w:bCs/>
          <w:lang w:val="es-CO"/>
        </w:rPr>
        <w:t>protección de</w:t>
      </w:r>
      <w:r w:rsidR="00756DBF" w:rsidRPr="00184CB9">
        <w:rPr>
          <w:b/>
          <w:bCs/>
          <w:lang w:val="es-CO"/>
        </w:rPr>
        <w:t xml:space="preserve"> los defensores de los derechos humanos y otros agentes de la sociedad civil contra las amenazas, </w:t>
      </w:r>
      <w:r w:rsidR="00AF6B45">
        <w:rPr>
          <w:b/>
          <w:bCs/>
          <w:lang w:val="es-CO"/>
        </w:rPr>
        <w:t xml:space="preserve">la </w:t>
      </w:r>
      <w:r w:rsidR="00756DBF" w:rsidRPr="00184CB9">
        <w:rPr>
          <w:b/>
          <w:bCs/>
          <w:lang w:val="es-CO"/>
        </w:rPr>
        <w:t xml:space="preserve">intimidación y </w:t>
      </w:r>
      <w:r w:rsidR="00AF6B45">
        <w:rPr>
          <w:b/>
          <w:bCs/>
          <w:lang w:val="es-CO"/>
        </w:rPr>
        <w:t xml:space="preserve">las </w:t>
      </w:r>
      <w:r w:rsidR="00756DBF" w:rsidRPr="00184CB9">
        <w:rPr>
          <w:b/>
          <w:bCs/>
          <w:lang w:val="es-CO"/>
        </w:rPr>
        <w:t>agresiones físicas</w:t>
      </w:r>
      <w:r w:rsidR="00AF6B45">
        <w:rPr>
          <w:b/>
          <w:bCs/>
          <w:lang w:val="es-CO"/>
        </w:rPr>
        <w:t>,</w:t>
      </w:r>
      <w:r w:rsidR="00756DBF" w:rsidRPr="00184CB9">
        <w:rPr>
          <w:b/>
          <w:bCs/>
          <w:lang w:val="es-CO"/>
        </w:rPr>
        <w:t xml:space="preserve"> </w:t>
      </w:r>
      <w:r w:rsidR="00AF6B45">
        <w:rPr>
          <w:b/>
          <w:bCs/>
          <w:lang w:val="es-CO"/>
        </w:rPr>
        <w:t>y</w:t>
      </w:r>
      <w:r w:rsidR="00756DBF" w:rsidRPr="00184CB9">
        <w:rPr>
          <w:b/>
          <w:bCs/>
          <w:lang w:val="es-CO"/>
        </w:rPr>
        <w:t xml:space="preserve"> </w:t>
      </w:r>
      <w:r w:rsidR="00AF6B45">
        <w:rPr>
          <w:b/>
          <w:bCs/>
          <w:lang w:val="es-CO"/>
        </w:rPr>
        <w:t xml:space="preserve">la </w:t>
      </w:r>
      <w:r w:rsidR="00756DBF" w:rsidRPr="00184CB9">
        <w:rPr>
          <w:b/>
          <w:bCs/>
          <w:lang w:val="es-CO"/>
        </w:rPr>
        <w:t>investiga</w:t>
      </w:r>
      <w:r w:rsidR="00AF6B45">
        <w:rPr>
          <w:b/>
          <w:bCs/>
          <w:lang w:val="es-CO"/>
        </w:rPr>
        <w:t>ción</w:t>
      </w:r>
      <w:r w:rsidR="00756DBF" w:rsidRPr="00184CB9">
        <w:rPr>
          <w:b/>
          <w:bCs/>
          <w:lang w:val="es-CO"/>
        </w:rPr>
        <w:t xml:space="preserve">, </w:t>
      </w:r>
      <w:r w:rsidR="00AF6B45">
        <w:rPr>
          <w:b/>
          <w:bCs/>
          <w:lang w:val="es-CO"/>
        </w:rPr>
        <w:t xml:space="preserve">el </w:t>
      </w:r>
      <w:r w:rsidR="00756DBF" w:rsidRPr="00184CB9">
        <w:rPr>
          <w:b/>
          <w:bCs/>
          <w:lang w:val="es-CO"/>
        </w:rPr>
        <w:t>enjuicia</w:t>
      </w:r>
      <w:r w:rsidR="00AF6B45">
        <w:rPr>
          <w:b/>
          <w:bCs/>
          <w:lang w:val="es-CO"/>
        </w:rPr>
        <w:t>miento</w:t>
      </w:r>
      <w:r w:rsidR="00756DBF" w:rsidRPr="00184CB9">
        <w:rPr>
          <w:b/>
          <w:bCs/>
          <w:lang w:val="es-CO"/>
        </w:rPr>
        <w:t xml:space="preserve"> y </w:t>
      </w:r>
      <w:r w:rsidR="00AF6B45">
        <w:rPr>
          <w:b/>
          <w:bCs/>
          <w:lang w:val="es-CO"/>
        </w:rPr>
        <w:t xml:space="preserve">la </w:t>
      </w:r>
      <w:r w:rsidR="00756DBF" w:rsidRPr="00184CB9">
        <w:rPr>
          <w:b/>
          <w:bCs/>
          <w:lang w:val="es-CO"/>
        </w:rPr>
        <w:t xml:space="preserve">condena </w:t>
      </w:r>
      <w:r w:rsidR="00AF6B45">
        <w:rPr>
          <w:b/>
          <w:bCs/>
          <w:lang w:val="es-CO"/>
        </w:rPr>
        <w:t>de</w:t>
      </w:r>
      <w:r w:rsidR="00756DBF" w:rsidRPr="00184CB9">
        <w:rPr>
          <w:b/>
          <w:bCs/>
          <w:lang w:val="es-CO"/>
        </w:rPr>
        <w:t xml:space="preserve"> los autores de esos actos;</w:t>
      </w:r>
    </w:p>
    <w:p w14:paraId="2894AEBA" w14:textId="036E4D00" w:rsidR="00756DBF" w:rsidRPr="00184CB9" w:rsidRDefault="00927916" w:rsidP="00A13853">
      <w:pPr>
        <w:tabs>
          <w:tab w:val="left" w:pos="1701"/>
          <w:tab w:val="left" w:pos="2268"/>
        </w:tabs>
        <w:spacing w:after="120"/>
        <w:ind w:left="1134" w:right="992"/>
        <w:jc w:val="both"/>
        <w:rPr>
          <w:b/>
          <w:bCs/>
          <w:lang w:val="es-CO"/>
        </w:rPr>
      </w:pPr>
      <w:r w:rsidRPr="00184CB9">
        <w:rPr>
          <w:b/>
          <w:bCs/>
          <w:lang w:val="es-CO"/>
        </w:rPr>
        <w:tab/>
      </w:r>
      <w:r w:rsidRPr="00946AEA">
        <w:rPr>
          <w:bCs/>
          <w:lang w:val="es-CO"/>
        </w:rPr>
        <w:t>b)</w:t>
      </w:r>
      <w:r w:rsidRPr="00184CB9">
        <w:rPr>
          <w:b/>
          <w:bCs/>
          <w:lang w:val="es-CO"/>
        </w:rPr>
        <w:t xml:space="preserve"> </w:t>
      </w:r>
      <w:r w:rsidRPr="00184CB9">
        <w:rPr>
          <w:b/>
          <w:bCs/>
          <w:lang w:val="es-CO"/>
        </w:rPr>
        <w:tab/>
      </w:r>
      <w:r w:rsidR="00756DBF" w:rsidRPr="00184CB9">
        <w:rPr>
          <w:b/>
          <w:bCs/>
          <w:lang w:val="es-CO"/>
        </w:rPr>
        <w:t>El cumplimiento de las sentencias de la Corte Inter</w:t>
      </w:r>
      <w:r w:rsidR="003F5BCB">
        <w:rPr>
          <w:b/>
          <w:bCs/>
          <w:lang w:val="es-CO"/>
        </w:rPr>
        <w:t>a</w:t>
      </w:r>
      <w:r w:rsidR="00756DBF" w:rsidRPr="00184CB9">
        <w:rPr>
          <w:b/>
          <w:bCs/>
          <w:lang w:val="es-CO"/>
        </w:rPr>
        <w:t xml:space="preserve">mericana de Derechos Humanos relativas a la protección de defensores de derechos humanos, incluyendo la sentencia </w:t>
      </w:r>
      <w:r w:rsidR="003F5BCB">
        <w:rPr>
          <w:b/>
          <w:bCs/>
          <w:lang w:val="es-CO"/>
        </w:rPr>
        <w:t>dictada el</w:t>
      </w:r>
      <w:r w:rsidR="003F5BCB" w:rsidRPr="00184CB9">
        <w:rPr>
          <w:b/>
          <w:bCs/>
          <w:lang w:val="es-CO"/>
        </w:rPr>
        <w:t xml:space="preserve"> 25 de marzo de 2017</w:t>
      </w:r>
      <w:r w:rsidR="003F5BCB">
        <w:rPr>
          <w:b/>
          <w:bCs/>
          <w:lang w:val="es-CO"/>
        </w:rPr>
        <w:t xml:space="preserve"> en el </w:t>
      </w:r>
      <w:r w:rsidR="003F5BCB" w:rsidRPr="005F0378">
        <w:rPr>
          <w:b/>
          <w:bCs/>
          <w:lang w:val="es-CO"/>
        </w:rPr>
        <w:t>c</w:t>
      </w:r>
      <w:r w:rsidR="00756DBF" w:rsidRPr="005F0378">
        <w:rPr>
          <w:b/>
          <w:bCs/>
          <w:lang w:val="es-CO"/>
        </w:rPr>
        <w:t>aso</w:t>
      </w:r>
      <w:r w:rsidR="00756DBF" w:rsidRPr="00184CB9">
        <w:rPr>
          <w:b/>
          <w:bCs/>
          <w:i/>
          <w:iCs/>
          <w:lang w:val="es-CO"/>
        </w:rPr>
        <w:t xml:space="preserve"> Acosta y otros vs. Nicaragua</w:t>
      </w:r>
      <w:r w:rsidR="00756DBF" w:rsidRPr="00184CB9">
        <w:rPr>
          <w:b/>
          <w:bCs/>
          <w:lang w:val="es-CO"/>
        </w:rPr>
        <w:t>;</w:t>
      </w:r>
    </w:p>
    <w:p w14:paraId="6AFFE285" w14:textId="63EFBF6E" w:rsidR="00756DBF" w:rsidRPr="00184CB9" w:rsidRDefault="00927916" w:rsidP="00A13853">
      <w:pPr>
        <w:tabs>
          <w:tab w:val="left" w:pos="1701"/>
          <w:tab w:val="left" w:pos="2268"/>
        </w:tabs>
        <w:spacing w:after="120"/>
        <w:ind w:left="1134" w:right="992"/>
        <w:jc w:val="both"/>
        <w:rPr>
          <w:b/>
          <w:bCs/>
          <w:lang w:val="es-CO"/>
        </w:rPr>
      </w:pPr>
      <w:r w:rsidRPr="00184CB9">
        <w:rPr>
          <w:b/>
          <w:bCs/>
          <w:lang w:val="es-CO"/>
        </w:rPr>
        <w:tab/>
      </w:r>
      <w:r w:rsidRPr="00946AEA">
        <w:rPr>
          <w:bCs/>
          <w:lang w:val="es-CO"/>
        </w:rPr>
        <w:t>c)</w:t>
      </w:r>
      <w:r w:rsidRPr="00184CB9">
        <w:rPr>
          <w:b/>
          <w:bCs/>
          <w:lang w:val="es-CO"/>
        </w:rPr>
        <w:t xml:space="preserve"> </w:t>
      </w:r>
      <w:r w:rsidRPr="00184CB9">
        <w:rPr>
          <w:b/>
          <w:bCs/>
          <w:lang w:val="es-CO"/>
        </w:rPr>
        <w:tab/>
      </w:r>
      <w:r w:rsidR="00756DBF" w:rsidRPr="00184CB9">
        <w:rPr>
          <w:b/>
          <w:bCs/>
          <w:lang w:val="es-CO"/>
        </w:rPr>
        <w:t>La elaboración de leyes y políticas integrales que tengan en cuenta el género y la edad para proteger a los defensores de los derechos humanos, de conformidad con la Declaración sobre el Derecho y el Deber de los Individuos, los Grupos y las Instituciones de Promover y Proteger los Derechos Humanos y las Libertades Fundamentales Universalmente Reconocidos</w:t>
      </w:r>
      <w:r w:rsidR="003D17AE" w:rsidRPr="007D14C9">
        <w:rPr>
          <w:rStyle w:val="Refdenotaalpie"/>
          <w:szCs w:val="18"/>
          <w:lang w:val="es-CO"/>
        </w:rPr>
        <w:footnoteReference w:id="12"/>
      </w:r>
      <w:r w:rsidR="00756DBF" w:rsidRPr="00184CB9">
        <w:rPr>
          <w:b/>
          <w:bCs/>
          <w:lang w:val="es-CO"/>
        </w:rPr>
        <w:t xml:space="preserve">, y </w:t>
      </w:r>
      <w:r w:rsidR="003F5BCB">
        <w:rPr>
          <w:b/>
          <w:bCs/>
          <w:lang w:val="es-CO"/>
        </w:rPr>
        <w:t xml:space="preserve">el </w:t>
      </w:r>
      <w:r w:rsidR="00756DBF" w:rsidRPr="00184CB9">
        <w:rPr>
          <w:b/>
          <w:bCs/>
          <w:lang w:val="es-CO"/>
        </w:rPr>
        <w:t>establec</w:t>
      </w:r>
      <w:r w:rsidR="003F5BCB">
        <w:rPr>
          <w:b/>
          <w:bCs/>
          <w:lang w:val="es-CO"/>
        </w:rPr>
        <w:t>imiento de</w:t>
      </w:r>
      <w:r w:rsidR="00756DBF" w:rsidRPr="00184CB9">
        <w:rPr>
          <w:b/>
          <w:bCs/>
          <w:lang w:val="es-CO"/>
        </w:rPr>
        <w:t xml:space="preserve"> mecanismos de protección accesibles para todos los defensores y defensoras de derechos humanos</w:t>
      </w:r>
      <w:r w:rsidR="00527332" w:rsidRPr="00184CB9">
        <w:rPr>
          <w:b/>
          <w:bCs/>
          <w:lang w:val="es-CO"/>
        </w:rPr>
        <w:t xml:space="preserve"> en el Estado parte</w:t>
      </w:r>
      <w:r w:rsidR="00756DBF" w:rsidRPr="00184CB9">
        <w:rPr>
          <w:b/>
          <w:bCs/>
          <w:lang w:val="es-CO"/>
        </w:rPr>
        <w:t>.</w:t>
      </w:r>
    </w:p>
    <w:p w14:paraId="57A049ED" w14:textId="36BCDDFE" w:rsidR="006F310B" w:rsidRPr="00184CB9" w:rsidRDefault="00076D7F" w:rsidP="00076D7F">
      <w:pPr>
        <w:pStyle w:val="H23G"/>
        <w:rPr>
          <w:lang w:val="es-CO"/>
        </w:rPr>
      </w:pPr>
      <w:r>
        <w:rPr>
          <w:lang w:val="es-CO"/>
        </w:rPr>
        <w:tab/>
      </w:r>
      <w:r>
        <w:rPr>
          <w:lang w:val="es-CO"/>
        </w:rPr>
        <w:tab/>
      </w:r>
      <w:r w:rsidR="006F310B" w:rsidRPr="00184CB9">
        <w:rPr>
          <w:lang w:val="es-CO"/>
        </w:rPr>
        <w:t xml:space="preserve">Participación en asuntos públicos </w:t>
      </w:r>
    </w:p>
    <w:p w14:paraId="4687DDBE" w14:textId="0609C12C" w:rsidR="006F310B" w:rsidRPr="00184CB9" w:rsidRDefault="006F310B" w:rsidP="006F310B">
      <w:pPr>
        <w:pStyle w:val="SingleTxtG"/>
        <w:rPr>
          <w:rFonts w:ascii="Times" w:hAnsi="Times"/>
          <w:color w:val="000000" w:themeColor="text1"/>
        </w:rPr>
      </w:pPr>
      <w:r w:rsidRPr="00184CB9">
        <w:rPr>
          <w:rFonts w:ascii="Times" w:hAnsi="Times"/>
          <w:color w:val="000000" w:themeColor="text1"/>
          <w:lang w:val="es-CO"/>
        </w:rPr>
        <w:t>39.</w:t>
      </w:r>
      <w:r w:rsidR="00503897">
        <w:rPr>
          <w:rFonts w:ascii="Times" w:hAnsi="Times"/>
          <w:color w:val="000000" w:themeColor="text1"/>
          <w:lang w:val="es-CO"/>
        </w:rPr>
        <w:tab/>
      </w:r>
      <w:r w:rsidRPr="00184CB9">
        <w:rPr>
          <w:rFonts w:ascii="Times" w:hAnsi="Times"/>
          <w:color w:val="000000" w:themeColor="text1"/>
          <w:lang w:val="es-CO"/>
        </w:rPr>
        <w:t xml:space="preserve">El </w:t>
      </w:r>
      <w:r w:rsidR="003F5BCB">
        <w:rPr>
          <w:rFonts w:ascii="Times" w:hAnsi="Times"/>
          <w:color w:val="000000" w:themeColor="text1"/>
          <w:lang w:val="es-CO"/>
        </w:rPr>
        <w:t>Comité</w:t>
      </w:r>
      <w:r w:rsidR="003F5BCB" w:rsidRPr="00184CB9">
        <w:rPr>
          <w:rFonts w:ascii="Times" w:hAnsi="Times"/>
          <w:color w:val="000000" w:themeColor="text1"/>
          <w:lang w:val="es-CO"/>
        </w:rPr>
        <w:t xml:space="preserve"> </w:t>
      </w:r>
      <w:r w:rsidRPr="00184CB9">
        <w:rPr>
          <w:rFonts w:ascii="Times" w:hAnsi="Times"/>
          <w:color w:val="000000" w:themeColor="text1"/>
          <w:lang w:val="es-CO"/>
        </w:rPr>
        <w:t>observa con gran preocupación que las elecciones celebradas en el Estado parte en noviembre de 2021 no se ajusta</w:t>
      </w:r>
      <w:r w:rsidR="00B643E1">
        <w:rPr>
          <w:rFonts w:ascii="Times" w:hAnsi="Times"/>
          <w:color w:val="000000" w:themeColor="text1"/>
          <w:lang w:val="es-CO"/>
        </w:rPr>
        <w:t>ron</w:t>
      </w:r>
      <w:r w:rsidRPr="00184CB9">
        <w:rPr>
          <w:rFonts w:ascii="Times" w:hAnsi="Times"/>
          <w:color w:val="000000" w:themeColor="text1"/>
          <w:lang w:val="es-CO"/>
        </w:rPr>
        <w:t xml:space="preserve"> a las normas internacionales </w:t>
      </w:r>
      <w:r w:rsidR="009763A6">
        <w:rPr>
          <w:rFonts w:ascii="Times" w:hAnsi="Times"/>
          <w:color w:val="000000" w:themeColor="text1"/>
          <w:lang w:val="es-CO"/>
        </w:rPr>
        <w:t>para la celebración de unas</w:t>
      </w:r>
      <w:r w:rsidR="009763A6" w:rsidRPr="00184CB9">
        <w:rPr>
          <w:rFonts w:ascii="Times" w:hAnsi="Times"/>
          <w:color w:val="000000" w:themeColor="text1"/>
          <w:lang w:val="es-CO"/>
        </w:rPr>
        <w:t xml:space="preserve"> </w:t>
      </w:r>
      <w:r w:rsidRPr="00184CB9">
        <w:rPr>
          <w:rFonts w:ascii="Times" w:hAnsi="Times"/>
          <w:color w:val="000000" w:themeColor="text1"/>
          <w:lang w:val="es-CO"/>
        </w:rPr>
        <w:t xml:space="preserve">elecciones libres e imparciales. Particularmente, </w:t>
      </w:r>
      <w:r w:rsidR="009763A6">
        <w:rPr>
          <w:rFonts w:ascii="Times" w:hAnsi="Times"/>
          <w:color w:val="000000" w:themeColor="text1"/>
          <w:lang w:val="es-CO"/>
        </w:rPr>
        <w:t xml:space="preserve">le </w:t>
      </w:r>
      <w:r w:rsidRPr="00184CB9">
        <w:rPr>
          <w:rFonts w:ascii="Times" w:hAnsi="Times"/>
          <w:color w:val="000000" w:themeColor="text1"/>
          <w:lang w:val="es-CO"/>
        </w:rPr>
        <w:t>preocupan las reformas legislativas relativas a la reelección presidencial indefinida y a la limitación de la fiscalización ciudadana</w:t>
      </w:r>
      <w:r w:rsidR="00B643E1">
        <w:rPr>
          <w:rFonts w:ascii="Times" w:hAnsi="Times"/>
          <w:color w:val="000000" w:themeColor="text1"/>
          <w:lang w:val="es-CO"/>
        </w:rPr>
        <w:t>,</w:t>
      </w:r>
      <w:r w:rsidRPr="00184CB9">
        <w:rPr>
          <w:rFonts w:ascii="Times" w:hAnsi="Times"/>
          <w:color w:val="000000" w:themeColor="text1"/>
          <w:lang w:val="es-CO"/>
        </w:rPr>
        <w:t xml:space="preserve"> el aumento de las causales de revocación de la </w:t>
      </w:r>
      <w:r w:rsidR="003A539C" w:rsidRPr="00184CB9">
        <w:rPr>
          <w:rFonts w:ascii="Times" w:hAnsi="Times"/>
          <w:color w:val="000000" w:themeColor="text1"/>
          <w:lang w:val="es-CO"/>
        </w:rPr>
        <w:t xml:space="preserve">personalidad </w:t>
      </w:r>
      <w:r w:rsidRPr="00184CB9">
        <w:rPr>
          <w:rFonts w:ascii="Times" w:hAnsi="Times"/>
          <w:color w:val="000000" w:themeColor="text1"/>
          <w:lang w:val="es-CO"/>
        </w:rPr>
        <w:t>jurídica de los partidos políticos</w:t>
      </w:r>
      <w:r w:rsidR="00095C84" w:rsidRPr="00184CB9">
        <w:rPr>
          <w:rFonts w:ascii="Times" w:hAnsi="Times"/>
          <w:color w:val="000000" w:themeColor="text1"/>
          <w:lang w:val="es-CO"/>
        </w:rPr>
        <w:t xml:space="preserve"> mediante la Ley </w:t>
      </w:r>
      <w:r w:rsidR="00B643E1">
        <w:rPr>
          <w:rFonts w:ascii="Times" w:hAnsi="Times"/>
          <w:color w:val="000000" w:themeColor="text1"/>
          <w:lang w:val="es-CO"/>
        </w:rPr>
        <w:t>núm</w:t>
      </w:r>
      <w:r w:rsidR="00095C84" w:rsidRPr="00184CB9">
        <w:rPr>
          <w:rFonts w:ascii="Times" w:hAnsi="Times"/>
          <w:color w:val="000000" w:themeColor="text1"/>
          <w:lang w:val="es-CO"/>
        </w:rPr>
        <w:t>. 1070,</w:t>
      </w:r>
      <w:r w:rsidRPr="00184CB9">
        <w:rPr>
          <w:rFonts w:ascii="Times" w:hAnsi="Times"/>
          <w:color w:val="000000" w:themeColor="text1"/>
          <w:lang w:val="es-CO"/>
        </w:rPr>
        <w:t xml:space="preserve"> las alegaciones recibidas sobre la detención y criminalización de precandidatos presidenciales y las denuncias de fraude electoral. Además, el Comité expresa su preocupación por las informaciones recibidas sobre la falta de independencia e imparcialidad del Consejo Supremo Electoral. Finalmente, inquieta al Comité la aprobación del Manual para la Certificación de Autoridades Comunales y Territoriales (2020), que establece procedimientos de elección comunal y territorial violatorios de los estatutos comunales y de la Ley </w:t>
      </w:r>
      <w:r w:rsidR="00B643E1">
        <w:rPr>
          <w:rFonts w:ascii="Times" w:hAnsi="Times"/>
          <w:color w:val="000000" w:themeColor="text1"/>
          <w:lang w:val="es-CO"/>
        </w:rPr>
        <w:t>núm</w:t>
      </w:r>
      <w:r w:rsidRPr="00184CB9">
        <w:rPr>
          <w:rFonts w:ascii="Times" w:hAnsi="Times"/>
          <w:color w:val="000000" w:themeColor="text1"/>
          <w:lang w:val="es-CO"/>
        </w:rPr>
        <w:t>. 445 (art</w:t>
      </w:r>
      <w:r w:rsidR="00B643E1">
        <w:rPr>
          <w:rFonts w:ascii="Times" w:hAnsi="Times"/>
          <w:color w:val="000000" w:themeColor="text1"/>
          <w:lang w:val="es-CO"/>
        </w:rPr>
        <w:t>s.</w:t>
      </w:r>
      <w:r w:rsidRPr="00184CB9">
        <w:rPr>
          <w:rFonts w:ascii="Times" w:hAnsi="Times"/>
          <w:color w:val="000000" w:themeColor="text1"/>
          <w:lang w:val="es-CO"/>
        </w:rPr>
        <w:t xml:space="preserve"> 25 y 26).</w:t>
      </w:r>
    </w:p>
    <w:p w14:paraId="2E1B147C" w14:textId="6D493892" w:rsidR="006F310B" w:rsidRPr="00184CB9" w:rsidRDefault="006F310B" w:rsidP="006F310B">
      <w:pPr>
        <w:pStyle w:val="SingleTxtG"/>
        <w:rPr>
          <w:rFonts w:ascii="Times" w:hAnsi="Times"/>
          <w:b/>
          <w:bCs/>
          <w:color w:val="000000" w:themeColor="text1"/>
          <w:lang w:val="es-CO"/>
        </w:rPr>
      </w:pPr>
      <w:r w:rsidRPr="00076D7F">
        <w:rPr>
          <w:rFonts w:ascii="Times" w:hAnsi="Times"/>
          <w:color w:val="000000" w:themeColor="text1"/>
          <w:lang w:val="es-CO"/>
        </w:rPr>
        <w:t>40.</w:t>
      </w:r>
      <w:r w:rsidRPr="00184CB9">
        <w:rPr>
          <w:rFonts w:ascii="Times" w:hAnsi="Times"/>
          <w:b/>
          <w:bCs/>
          <w:color w:val="000000" w:themeColor="text1"/>
          <w:lang w:val="es-CO"/>
        </w:rPr>
        <w:t xml:space="preserve"> </w:t>
      </w:r>
      <w:r w:rsidRPr="00184CB9">
        <w:rPr>
          <w:rFonts w:ascii="Times" w:hAnsi="Times"/>
          <w:b/>
          <w:bCs/>
          <w:color w:val="000000" w:themeColor="text1"/>
          <w:lang w:val="es-CO"/>
        </w:rPr>
        <w:tab/>
        <w:t xml:space="preserve">El Estado parte debe hacer lo necesario para que sus normas y prácticas electorales cumplan plenamente lo dispuesto en el Pacto, en particular </w:t>
      </w:r>
      <w:r w:rsidR="009763A6">
        <w:rPr>
          <w:rFonts w:ascii="Times" w:hAnsi="Times"/>
          <w:b/>
          <w:bCs/>
          <w:color w:val="000000" w:themeColor="text1"/>
          <w:lang w:val="es-CO"/>
        </w:rPr>
        <w:t xml:space="preserve">en </w:t>
      </w:r>
      <w:r w:rsidRPr="00184CB9">
        <w:rPr>
          <w:rFonts w:ascii="Times" w:hAnsi="Times"/>
          <w:b/>
          <w:bCs/>
          <w:color w:val="000000" w:themeColor="text1"/>
          <w:lang w:val="es-CO"/>
        </w:rPr>
        <w:t>su artículo 25</w:t>
      </w:r>
      <w:r w:rsidR="00B643E1">
        <w:rPr>
          <w:rFonts w:ascii="Times" w:hAnsi="Times"/>
          <w:b/>
          <w:bCs/>
          <w:color w:val="000000" w:themeColor="text1"/>
          <w:lang w:val="es-CO"/>
        </w:rPr>
        <w:t>. E</w:t>
      </w:r>
      <w:r w:rsidRPr="00184CB9">
        <w:rPr>
          <w:rFonts w:ascii="Times" w:hAnsi="Times"/>
          <w:b/>
          <w:bCs/>
          <w:color w:val="000000" w:themeColor="text1"/>
          <w:lang w:val="es-CO"/>
        </w:rPr>
        <w:t>ntre otras cosas</w:t>
      </w:r>
      <w:r w:rsidR="00B643E1">
        <w:rPr>
          <w:rFonts w:ascii="Times" w:hAnsi="Times"/>
          <w:b/>
          <w:bCs/>
          <w:color w:val="000000" w:themeColor="text1"/>
          <w:lang w:val="es-CO"/>
        </w:rPr>
        <w:t xml:space="preserve">, </w:t>
      </w:r>
      <w:r w:rsidR="00756006">
        <w:rPr>
          <w:rFonts w:ascii="Times" w:hAnsi="Times"/>
          <w:b/>
          <w:bCs/>
          <w:color w:val="000000" w:themeColor="text1"/>
          <w:lang w:val="es-CO"/>
        </w:rPr>
        <w:t xml:space="preserve">el Estado parte </w:t>
      </w:r>
      <w:r w:rsidR="00B643E1">
        <w:rPr>
          <w:rFonts w:ascii="Times" w:hAnsi="Times"/>
          <w:b/>
          <w:bCs/>
          <w:color w:val="000000" w:themeColor="text1"/>
          <w:lang w:val="es-CO"/>
        </w:rPr>
        <w:t>debe</w:t>
      </w:r>
      <w:r w:rsidRPr="00184CB9">
        <w:rPr>
          <w:rFonts w:ascii="Times" w:hAnsi="Times"/>
          <w:b/>
          <w:bCs/>
          <w:color w:val="000000" w:themeColor="text1"/>
          <w:lang w:val="es-CO"/>
        </w:rPr>
        <w:t>:</w:t>
      </w:r>
    </w:p>
    <w:p w14:paraId="5FED9789" w14:textId="770607DD" w:rsidR="006F310B" w:rsidRPr="00184CB9" w:rsidRDefault="004055D9" w:rsidP="004055D9">
      <w:pPr>
        <w:pStyle w:val="SingleTxtG"/>
        <w:rPr>
          <w:rFonts w:ascii="Times" w:hAnsi="Times"/>
          <w:b/>
          <w:bCs/>
          <w:color w:val="000000" w:themeColor="text1"/>
          <w:lang w:val="es-CO"/>
        </w:rPr>
      </w:pPr>
      <w:r w:rsidRPr="00184CB9">
        <w:rPr>
          <w:rFonts w:ascii="Times" w:hAnsi="Times"/>
          <w:b/>
          <w:bCs/>
          <w:color w:val="000000" w:themeColor="text1"/>
          <w:lang w:val="es-CO"/>
        </w:rPr>
        <w:tab/>
      </w:r>
      <w:r w:rsidRPr="00946AEA">
        <w:rPr>
          <w:rFonts w:ascii="Times" w:hAnsi="Times"/>
          <w:bCs/>
          <w:color w:val="000000" w:themeColor="text1"/>
          <w:lang w:val="es-CO"/>
        </w:rPr>
        <w:t>a)</w:t>
      </w:r>
      <w:r w:rsidRPr="00184CB9">
        <w:rPr>
          <w:rFonts w:ascii="Times" w:hAnsi="Times"/>
          <w:b/>
          <w:bCs/>
          <w:color w:val="000000" w:themeColor="text1"/>
          <w:lang w:val="es-CO"/>
        </w:rPr>
        <w:t xml:space="preserve"> </w:t>
      </w:r>
      <w:r w:rsidRPr="00184CB9">
        <w:rPr>
          <w:rFonts w:ascii="Times" w:hAnsi="Times"/>
          <w:b/>
          <w:bCs/>
          <w:color w:val="000000" w:themeColor="text1"/>
          <w:lang w:val="es-CO"/>
        </w:rPr>
        <w:tab/>
      </w:r>
      <w:r w:rsidR="006F310B" w:rsidRPr="00184CB9">
        <w:rPr>
          <w:rFonts w:ascii="Times" w:hAnsi="Times"/>
          <w:b/>
          <w:bCs/>
          <w:color w:val="000000" w:themeColor="text1"/>
          <w:lang w:val="es-CO"/>
        </w:rPr>
        <w:t xml:space="preserve">Modificar la Ley </w:t>
      </w:r>
      <w:r w:rsidR="00B643E1">
        <w:rPr>
          <w:rFonts w:ascii="Times" w:hAnsi="Times"/>
          <w:b/>
          <w:bCs/>
          <w:color w:val="000000" w:themeColor="text1"/>
          <w:lang w:val="es-CO"/>
        </w:rPr>
        <w:t>núm</w:t>
      </w:r>
      <w:r w:rsidR="006F310B" w:rsidRPr="00184CB9">
        <w:rPr>
          <w:rFonts w:ascii="Times" w:hAnsi="Times"/>
          <w:b/>
          <w:bCs/>
          <w:color w:val="000000" w:themeColor="text1"/>
          <w:lang w:val="es-CO"/>
        </w:rPr>
        <w:t>.</w:t>
      </w:r>
      <w:r w:rsidR="009763A6">
        <w:rPr>
          <w:rFonts w:ascii="Times" w:hAnsi="Times"/>
          <w:b/>
          <w:bCs/>
          <w:color w:val="000000" w:themeColor="text1"/>
          <w:lang w:val="es-CO"/>
        </w:rPr>
        <w:t> </w:t>
      </w:r>
      <w:r w:rsidR="006F310B" w:rsidRPr="00184CB9">
        <w:rPr>
          <w:rFonts w:ascii="Times" w:hAnsi="Times"/>
          <w:b/>
          <w:bCs/>
          <w:color w:val="000000" w:themeColor="text1"/>
          <w:lang w:val="es-CO"/>
        </w:rPr>
        <w:t>1070</w:t>
      </w:r>
      <w:r w:rsidR="00965ECA">
        <w:rPr>
          <w:rFonts w:ascii="Times" w:hAnsi="Times"/>
          <w:b/>
          <w:bCs/>
          <w:color w:val="000000" w:themeColor="text1"/>
          <w:lang w:val="es-CO"/>
        </w:rPr>
        <w:t xml:space="preserve"> y la Ley </w:t>
      </w:r>
      <w:r w:rsidR="00B643E1">
        <w:rPr>
          <w:rFonts w:ascii="Times" w:hAnsi="Times"/>
          <w:b/>
          <w:bCs/>
          <w:color w:val="000000" w:themeColor="text1"/>
          <w:lang w:val="es-CO"/>
        </w:rPr>
        <w:t>de Reforma a la Ley Electoral (Ley núm</w:t>
      </w:r>
      <w:r w:rsidR="00965ECA">
        <w:rPr>
          <w:rFonts w:ascii="Times" w:hAnsi="Times"/>
          <w:b/>
          <w:bCs/>
          <w:color w:val="000000" w:themeColor="text1"/>
          <w:lang w:val="es-CO"/>
        </w:rPr>
        <w:t>.</w:t>
      </w:r>
      <w:r w:rsidR="009763A6">
        <w:rPr>
          <w:rFonts w:ascii="Times" w:hAnsi="Times"/>
          <w:b/>
          <w:bCs/>
          <w:color w:val="000000" w:themeColor="text1"/>
          <w:lang w:val="es-CO"/>
        </w:rPr>
        <w:t> </w:t>
      </w:r>
      <w:r w:rsidR="00965ECA">
        <w:rPr>
          <w:rFonts w:ascii="Times" w:hAnsi="Times"/>
          <w:b/>
          <w:bCs/>
          <w:color w:val="000000" w:themeColor="text1"/>
          <w:lang w:val="es-CO"/>
        </w:rPr>
        <w:t>1116</w:t>
      </w:r>
      <w:r w:rsidR="00B643E1">
        <w:rPr>
          <w:rFonts w:ascii="Times" w:hAnsi="Times"/>
          <w:b/>
          <w:bCs/>
          <w:color w:val="000000" w:themeColor="text1"/>
          <w:lang w:val="es-CO"/>
        </w:rPr>
        <w:t>)</w:t>
      </w:r>
      <w:r w:rsidR="006F310B" w:rsidRPr="00184CB9">
        <w:rPr>
          <w:rFonts w:ascii="Times" w:hAnsi="Times"/>
          <w:b/>
          <w:bCs/>
          <w:color w:val="000000" w:themeColor="text1"/>
          <w:lang w:val="es-CO"/>
        </w:rPr>
        <w:t xml:space="preserve">, </w:t>
      </w:r>
      <w:r w:rsidR="00B643E1">
        <w:rPr>
          <w:rFonts w:ascii="Times" w:hAnsi="Times"/>
          <w:b/>
          <w:bCs/>
          <w:color w:val="000000" w:themeColor="text1"/>
          <w:lang w:val="es-CO"/>
        </w:rPr>
        <w:t xml:space="preserve">de 2022, </w:t>
      </w:r>
      <w:r w:rsidR="006F310B" w:rsidRPr="00184CB9">
        <w:rPr>
          <w:rFonts w:ascii="Times" w:hAnsi="Times"/>
          <w:b/>
          <w:bCs/>
          <w:color w:val="000000" w:themeColor="text1"/>
          <w:lang w:val="es-CO"/>
        </w:rPr>
        <w:t xml:space="preserve">así como cualquier otra provisión que limite el derecho </w:t>
      </w:r>
      <w:r w:rsidR="00B643E1">
        <w:rPr>
          <w:rFonts w:ascii="Times" w:hAnsi="Times"/>
          <w:b/>
          <w:bCs/>
          <w:color w:val="000000" w:themeColor="text1"/>
          <w:lang w:val="es-CO"/>
        </w:rPr>
        <w:t xml:space="preserve">de los ciudadanos </w:t>
      </w:r>
      <w:r w:rsidR="006F310B" w:rsidRPr="00184CB9">
        <w:rPr>
          <w:rFonts w:ascii="Times" w:hAnsi="Times"/>
          <w:b/>
          <w:bCs/>
          <w:color w:val="000000" w:themeColor="text1"/>
          <w:lang w:val="es-CO"/>
        </w:rPr>
        <w:t>a presentarse a elecciones, a fin de lograr su compatibilidad con el Pacto;</w:t>
      </w:r>
    </w:p>
    <w:p w14:paraId="3F170459" w14:textId="7529DCA0" w:rsidR="004055D9" w:rsidRPr="00184CB9" w:rsidRDefault="004055D9" w:rsidP="004055D9">
      <w:pPr>
        <w:pStyle w:val="SingleTxtG"/>
        <w:rPr>
          <w:rFonts w:ascii="Times" w:hAnsi="Times"/>
          <w:b/>
          <w:bCs/>
          <w:color w:val="000000" w:themeColor="text1"/>
          <w:lang w:val="es-CO"/>
        </w:rPr>
      </w:pPr>
      <w:r w:rsidRPr="00184CB9">
        <w:rPr>
          <w:rFonts w:ascii="Times" w:hAnsi="Times"/>
          <w:b/>
          <w:bCs/>
          <w:color w:val="000000" w:themeColor="text1"/>
          <w:lang w:val="es-CO"/>
        </w:rPr>
        <w:tab/>
      </w:r>
      <w:r w:rsidRPr="00946AEA">
        <w:rPr>
          <w:rFonts w:ascii="Times" w:hAnsi="Times"/>
          <w:bCs/>
          <w:color w:val="000000" w:themeColor="text1"/>
          <w:lang w:val="es-CO"/>
        </w:rPr>
        <w:t>b)</w:t>
      </w:r>
      <w:r w:rsidRPr="00184CB9">
        <w:rPr>
          <w:rFonts w:ascii="Times" w:hAnsi="Times"/>
          <w:b/>
          <w:bCs/>
          <w:color w:val="000000" w:themeColor="text1"/>
          <w:lang w:val="es-CO"/>
        </w:rPr>
        <w:t xml:space="preserve"> </w:t>
      </w:r>
      <w:r w:rsidRPr="00184CB9">
        <w:rPr>
          <w:rFonts w:ascii="Times" w:hAnsi="Times"/>
          <w:b/>
          <w:bCs/>
          <w:color w:val="000000" w:themeColor="text1"/>
          <w:lang w:val="es-CO"/>
        </w:rPr>
        <w:tab/>
        <w:t>Hacer plenamente efectivo el derecho constitucional de todo ciudadano a participar en los asuntos públicos sin discriminación, fomentando una cultura de auténtico pluralismo político, y velar por que todos los partidos políticos puedan llevar a cabo una campaña electoral igualitaria, libre y transparente;</w:t>
      </w:r>
    </w:p>
    <w:p w14:paraId="5FF4D0F7" w14:textId="731593E9" w:rsidR="004055D9" w:rsidRPr="00184CB9" w:rsidRDefault="004055D9" w:rsidP="004055D9">
      <w:pPr>
        <w:pStyle w:val="SingleTxtG"/>
        <w:rPr>
          <w:rFonts w:ascii="Times" w:hAnsi="Times"/>
          <w:b/>
          <w:bCs/>
          <w:color w:val="000000" w:themeColor="text1"/>
          <w:lang w:val="es-CO"/>
        </w:rPr>
      </w:pPr>
      <w:r w:rsidRPr="00184CB9">
        <w:rPr>
          <w:rFonts w:ascii="Times" w:hAnsi="Times"/>
          <w:b/>
          <w:bCs/>
          <w:color w:val="000000" w:themeColor="text1"/>
          <w:lang w:val="es-CO"/>
        </w:rPr>
        <w:lastRenderedPageBreak/>
        <w:tab/>
      </w:r>
      <w:r w:rsidRPr="00946AEA">
        <w:rPr>
          <w:rFonts w:ascii="Times" w:hAnsi="Times"/>
          <w:bCs/>
          <w:color w:val="000000" w:themeColor="text1"/>
          <w:lang w:val="es-CO"/>
        </w:rPr>
        <w:t>c)</w:t>
      </w:r>
      <w:r w:rsidRPr="00184CB9">
        <w:rPr>
          <w:rFonts w:ascii="Times" w:hAnsi="Times"/>
          <w:b/>
          <w:bCs/>
          <w:color w:val="000000" w:themeColor="text1"/>
          <w:lang w:val="es-CO"/>
        </w:rPr>
        <w:t xml:space="preserve"> </w:t>
      </w:r>
      <w:r w:rsidRPr="00184CB9">
        <w:rPr>
          <w:rFonts w:ascii="Times" w:hAnsi="Times"/>
          <w:b/>
          <w:bCs/>
          <w:color w:val="000000" w:themeColor="text1"/>
          <w:lang w:val="es-CO"/>
        </w:rPr>
        <w:tab/>
        <w:t xml:space="preserve">Garantizar la plena independencia del Consejo Supremo Electoral, entre otras cosas estableciendo un recurso y </w:t>
      </w:r>
      <w:r w:rsidR="00B643E1">
        <w:rPr>
          <w:rFonts w:ascii="Times" w:hAnsi="Times"/>
          <w:b/>
          <w:bCs/>
          <w:color w:val="000000" w:themeColor="text1"/>
          <w:lang w:val="es-CO"/>
        </w:rPr>
        <w:t xml:space="preserve">un </w:t>
      </w:r>
      <w:r w:rsidRPr="00184CB9">
        <w:rPr>
          <w:rFonts w:ascii="Times" w:hAnsi="Times"/>
          <w:b/>
          <w:bCs/>
          <w:color w:val="000000" w:themeColor="text1"/>
          <w:lang w:val="es-CO"/>
        </w:rPr>
        <w:t xml:space="preserve">reglamento claros para presentar quejas contra cualquier decisión, acción u omisión de dicho órgano y realizar impugnaciones; </w:t>
      </w:r>
    </w:p>
    <w:p w14:paraId="69F4F1FA" w14:textId="358B6919" w:rsidR="009D595E" w:rsidRPr="00184CB9" w:rsidRDefault="004055D9" w:rsidP="004055D9">
      <w:pPr>
        <w:pStyle w:val="SingleTxtG"/>
        <w:rPr>
          <w:rFonts w:ascii="Times" w:hAnsi="Times"/>
          <w:b/>
          <w:bCs/>
          <w:color w:val="000000" w:themeColor="text1"/>
          <w:lang w:val="es-CO"/>
        </w:rPr>
      </w:pPr>
      <w:r w:rsidRPr="00184CB9">
        <w:rPr>
          <w:rFonts w:ascii="Times" w:hAnsi="Times"/>
          <w:b/>
          <w:bCs/>
          <w:color w:val="000000" w:themeColor="text1"/>
          <w:lang w:val="es-CO"/>
        </w:rPr>
        <w:tab/>
      </w:r>
      <w:r w:rsidRPr="00946AEA">
        <w:rPr>
          <w:rFonts w:ascii="Times" w:hAnsi="Times"/>
          <w:bCs/>
          <w:color w:val="000000" w:themeColor="text1"/>
          <w:lang w:val="es-CO"/>
        </w:rPr>
        <w:t>d)</w:t>
      </w:r>
      <w:r w:rsidRPr="00184CB9">
        <w:rPr>
          <w:rFonts w:ascii="Times" w:hAnsi="Times"/>
          <w:b/>
          <w:bCs/>
          <w:color w:val="000000" w:themeColor="text1"/>
          <w:lang w:val="es-CO"/>
        </w:rPr>
        <w:t xml:space="preserve"> </w:t>
      </w:r>
      <w:r w:rsidRPr="00184CB9">
        <w:rPr>
          <w:rFonts w:ascii="Times" w:hAnsi="Times"/>
          <w:b/>
          <w:bCs/>
          <w:color w:val="000000" w:themeColor="text1"/>
          <w:lang w:val="es-CO"/>
        </w:rPr>
        <w:tab/>
        <w:t>Tomar medidas para asegurar la participación plena en la vida política de los miembros de pueblos indígenas y afrodescendientes, entre otras cosas llevando a cabo una revisión del Manual para la Certificación de Autoridades Comunales y Territoriales para asegurarse de que esté en conformidad con las disposiciones del Pacto</w:t>
      </w:r>
      <w:r w:rsidR="00B643E1">
        <w:rPr>
          <w:rFonts w:ascii="Times" w:hAnsi="Times"/>
          <w:b/>
          <w:bCs/>
          <w:color w:val="000000" w:themeColor="text1"/>
          <w:lang w:val="es-CO"/>
        </w:rPr>
        <w:t>;</w:t>
      </w:r>
    </w:p>
    <w:p w14:paraId="5AA25EA6" w14:textId="360989AA" w:rsidR="00CC0E0F" w:rsidRPr="00184CB9" w:rsidRDefault="00946AEA" w:rsidP="00946AEA">
      <w:pPr>
        <w:pStyle w:val="SingleTxtG"/>
        <w:rPr>
          <w:b/>
          <w:bCs/>
          <w:lang w:val="es-CO"/>
        </w:rPr>
      </w:pPr>
      <w:r>
        <w:rPr>
          <w:rFonts w:ascii="Times" w:hAnsi="Times"/>
          <w:bCs/>
          <w:color w:val="000000" w:themeColor="text1"/>
          <w:lang w:val="es-CO"/>
        </w:rPr>
        <w:tab/>
      </w:r>
      <w:r w:rsidRPr="00946AEA">
        <w:rPr>
          <w:rFonts w:ascii="Times" w:hAnsi="Times"/>
          <w:bCs/>
          <w:color w:val="000000" w:themeColor="text1"/>
          <w:lang w:val="es-CO"/>
        </w:rPr>
        <w:t>e)</w:t>
      </w:r>
      <w:r>
        <w:rPr>
          <w:b/>
          <w:bCs/>
        </w:rPr>
        <w:tab/>
      </w:r>
      <w:r w:rsidR="00CC0E0F" w:rsidRPr="00184CB9">
        <w:rPr>
          <w:b/>
          <w:bCs/>
        </w:rPr>
        <w:t xml:space="preserve">Garantizar que cualquier futura elección </w:t>
      </w:r>
      <w:r w:rsidR="00D32C08">
        <w:rPr>
          <w:b/>
          <w:bCs/>
        </w:rPr>
        <w:t>sea</w:t>
      </w:r>
      <w:r w:rsidR="00D32C08" w:rsidRPr="00184CB9">
        <w:rPr>
          <w:b/>
          <w:bCs/>
        </w:rPr>
        <w:t xml:space="preserve"> </w:t>
      </w:r>
      <w:r w:rsidR="00CC0E0F" w:rsidRPr="00184CB9">
        <w:rPr>
          <w:b/>
          <w:bCs/>
        </w:rPr>
        <w:t>libre y limpia, en los</w:t>
      </w:r>
      <w:r w:rsidR="007A7D68" w:rsidRPr="00184CB9">
        <w:rPr>
          <w:b/>
          <w:bCs/>
        </w:rPr>
        <w:t xml:space="preserve"> </w:t>
      </w:r>
      <w:r w:rsidR="00CC0E0F" w:rsidRPr="00184CB9">
        <w:rPr>
          <w:b/>
          <w:bCs/>
        </w:rPr>
        <w:t xml:space="preserve">términos del </w:t>
      </w:r>
      <w:r w:rsidR="00965ECA" w:rsidRPr="00184CB9">
        <w:rPr>
          <w:b/>
          <w:bCs/>
        </w:rPr>
        <w:t>artículo</w:t>
      </w:r>
      <w:r w:rsidR="00CC0E0F" w:rsidRPr="00184CB9">
        <w:rPr>
          <w:b/>
          <w:bCs/>
        </w:rPr>
        <w:t xml:space="preserve"> 25 del Pacto, </w:t>
      </w:r>
      <w:r w:rsidR="00D32C08">
        <w:rPr>
          <w:b/>
          <w:bCs/>
        </w:rPr>
        <w:t xml:space="preserve">se celebre </w:t>
      </w:r>
      <w:r w:rsidR="00CC0E0F" w:rsidRPr="00184CB9">
        <w:rPr>
          <w:b/>
          <w:bCs/>
        </w:rPr>
        <w:t xml:space="preserve">con pleno respeto del derecho de sufragio activo y </w:t>
      </w:r>
      <w:r w:rsidR="00CC0E0F" w:rsidRPr="00946AEA">
        <w:rPr>
          <w:rFonts w:ascii="Times" w:hAnsi="Times"/>
          <w:b/>
          <w:bCs/>
          <w:color w:val="000000" w:themeColor="text1"/>
          <w:lang w:val="es-CO"/>
        </w:rPr>
        <w:t>pasivo</w:t>
      </w:r>
      <w:r w:rsidR="00CC0E0F" w:rsidRPr="00184CB9">
        <w:rPr>
          <w:b/>
          <w:bCs/>
        </w:rPr>
        <w:t xml:space="preserve"> y </w:t>
      </w:r>
      <w:r w:rsidR="00D32C08">
        <w:rPr>
          <w:b/>
          <w:bCs/>
        </w:rPr>
        <w:t xml:space="preserve">cuente </w:t>
      </w:r>
      <w:r w:rsidR="00CC0E0F" w:rsidRPr="00184CB9">
        <w:rPr>
          <w:b/>
          <w:bCs/>
        </w:rPr>
        <w:t>con la presencia de observadores internacionales.</w:t>
      </w:r>
    </w:p>
    <w:p w14:paraId="4A22454D" w14:textId="6F202E77" w:rsidR="009822E7" w:rsidRPr="00184CB9" w:rsidRDefault="00076D7F" w:rsidP="00076D7F">
      <w:pPr>
        <w:pStyle w:val="H23G"/>
        <w:rPr>
          <w:lang w:val="es-CO"/>
        </w:rPr>
      </w:pPr>
      <w:r>
        <w:rPr>
          <w:lang w:val="es-CO"/>
        </w:rPr>
        <w:tab/>
      </w:r>
      <w:r>
        <w:rPr>
          <w:lang w:val="es-CO"/>
        </w:rPr>
        <w:tab/>
      </w:r>
      <w:r w:rsidR="009822E7" w:rsidRPr="00184CB9">
        <w:rPr>
          <w:lang w:val="es-CO"/>
        </w:rPr>
        <w:t xml:space="preserve">Derechos de los pueblos indígenas y otras minorías </w:t>
      </w:r>
    </w:p>
    <w:p w14:paraId="11957E94" w14:textId="280A3E96" w:rsidR="009822E7" w:rsidRPr="00184CB9" w:rsidRDefault="009822E7" w:rsidP="00A13853">
      <w:pPr>
        <w:tabs>
          <w:tab w:val="left" w:pos="1701"/>
          <w:tab w:val="left" w:pos="8505"/>
        </w:tabs>
        <w:spacing w:after="120"/>
        <w:ind w:left="1134" w:right="992"/>
        <w:jc w:val="both"/>
        <w:rPr>
          <w:lang w:val="es-CO"/>
        </w:rPr>
      </w:pPr>
      <w:r w:rsidRPr="00184CB9">
        <w:rPr>
          <w:lang w:val="es-CO"/>
        </w:rPr>
        <w:t xml:space="preserve">41. </w:t>
      </w:r>
      <w:r w:rsidRPr="00184CB9">
        <w:rPr>
          <w:lang w:val="es-CO"/>
        </w:rPr>
        <w:tab/>
        <w:t xml:space="preserve">Si bien el Comité toma nota del reconocimiento en la legislación del Estado parte del derecho colectivo de los pueblos indígenas y afrodescendientes sobre sus tierras, así como de su derecho a la consulta previa, libre e informada (arts. 5, 89, 91 y 181 de la Constitución), le preocupan las alegaciones recibidas acerca de situaciones en las que no se habría cumplido plenamente con la consulta previa, libre e informada. Asimismo, </w:t>
      </w:r>
      <w:r w:rsidR="00B643E1">
        <w:rPr>
          <w:lang w:val="es-CO"/>
        </w:rPr>
        <w:t>si bien</w:t>
      </w:r>
      <w:r w:rsidR="00B643E1" w:rsidRPr="00184CB9">
        <w:rPr>
          <w:lang w:val="es-CO"/>
        </w:rPr>
        <w:t xml:space="preserve"> </w:t>
      </w:r>
      <w:r w:rsidRPr="00184CB9">
        <w:rPr>
          <w:lang w:val="es-CO"/>
        </w:rPr>
        <w:t>toma nota de la información proporcionada por el Estado parte de que se han otorgado títulos de propiedad comunal que equivalen al 31,</w:t>
      </w:r>
      <w:r w:rsidR="00B643E1" w:rsidRPr="00184CB9">
        <w:rPr>
          <w:lang w:val="es-CO"/>
        </w:rPr>
        <w:t>16</w:t>
      </w:r>
      <w:r w:rsidR="00B643E1">
        <w:rPr>
          <w:lang w:val="es-CO"/>
        </w:rPr>
        <w:t> </w:t>
      </w:r>
      <w:r w:rsidRPr="00184CB9">
        <w:rPr>
          <w:lang w:val="es-CO"/>
        </w:rPr>
        <w:t>% del territorio nacional</w:t>
      </w:r>
      <w:r w:rsidR="00B643E1" w:rsidRPr="007D14C9">
        <w:rPr>
          <w:rStyle w:val="Refdenotaalpie"/>
          <w:rFonts w:ascii="Times" w:hAnsi="Times"/>
          <w:szCs w:val="18"/>
        </w:rPr>
        <w:footnoteReference w:id="13"/>
      </w:r>
      <w:r w:rsidRPr="00184CB9">
        <w:rPr>
          <w:lang w:val="es-CO"/>
        </w:rPr>
        <w:t>, al Comité le preocupa que el proceso de demarcación avance lentamente en lo que respecta al saneamiento territorial. El Comité</w:t>
      </w:r>
      <w:r w:rsidR="00B643E1">
        <w:rPr>
          <w:lang w:val="es-CO"/>
        </w:rPr>
        <w:t xml:space="preserve"> </w:t>
      </w:r>
      <w:r w:rsidRPr="00184CB9">
        <w:rPr>
          <w:lang w:val="es-CO"/>
        </w:rPr>
        <w:t>expresa</w:t>
      </w:r>
      <w:r w:rsidR="00D32C08">
        <w:rPr>
          <w:lang w:val="es-CO"/>
        </w:rPr>
        <w:t xml:space="preserve"> también</w:t>
      </w:r>
      <w:r w:rsidRPr="00184CB9">
        <w:rPr>
          <w:lang w:val="es-CO"/>
        </w:rPr>
        <w:t xml:space="preserve"> su preocupación por la información </w:t>
      </w:r>
      <w:r w:rsidR="00B643E1">
        <w:rPr>
          <w:lang w:val="es-CO"/>
        </w:rPr>
        <w:t xml:space="preserve">recibida </w:t>
      </w:r>
      <w:r w:rsidRPr="00184CB9">
        <w:rPr>
          <w:lang w:val="es-CO"/>
        </w:rPr>
        <w:t xml:space="preserve">según la cual algunos pueblos indígenas habrían sido víctimas de actos de violencia </w:t>
      </w:r>
      <w:r w:rsidR="003A539C" w:rsidRPr="00184CB9">
        <w:rPr>
          <w:lang w:val="es-CO"/>
        </w:rPr>
        <w:t>tras la invasión y colonización efectuada por colonos mestizos</w:t>
      </w:r>
      <w:r w:rsidRPr="00184CB9">
        <w:rPr>
          <w:lang w:val="es-CO"/>
        </w:rPr>
        <w:t>.</w:t>
      </w:r>
      <w:r w:rsidR="009A1C7B" w:rsidRPr="00184CB9">
        <w:rPr>
          <w:lang w:val="es-CO"/>
        </w:rPr>
        <w:t xml:space="preserve"> Observa </w:t>
      </w:r>
      <w:r w:rsidR="00D32C08">
        <w:rPr>
          <w:lang w:val="es-CO"/>
        </w:rPr>
        <w:t>asimismo</w:t>
      </w:r>
      <w:r w:rsidR="00D32C08" w:rsidRPr="00184CB9">
        <w:rPr>
          <w:lang w:val="es-CO"/>
        </w:rPr>
        <w:t xml:space="preserve"> </w:t>
      </w:r>
      <w:r w:rsidR="009A1C7B" w:rsidRPr="00184CB9">
        <w:rPr>
          <w:lang w:val="es-CO"/>
        </w:rPr>
        <w:t xml:space="preserve">con preocupación las informaciones </w:t>
      </w:r>
      <w:r w:rsidR="00D32C08">
        <w:rPr>
          <w:lang w:val="es-CO"/>
        </w:rPr>
        <w:t xml:space="preserve">recibidas </w:t>
      </w:r>
      <w:r w:rsidR="009A1C7B" w:rsidRPr="00184CB9">
        <w:rPr>
          <w:lang w:val="es-CO"/>
        </w:rPr>
        <w:t xml:space="preserve">sobre los obstáculos que enfrentan las comunidades indígenas y afrodescendientes, </w:t>
      </w:r>
      <w:r w:rsidR="00B643E1">
        <w:rPr>
          <w:lang w:val="es-CO"/>
        </w:rPr>
        <w:t>en especial</w:t>
      </w:r>
      <w:r w:rsidR="00B643E1" w:rsidRPr="00184CB9">
        <w:rPr>
          <w:lang w:val="es-CO"/>
        </w:rPr>
        <w:t xml:space="preserve"> </w:t>
      </w:r>
      <w:r w:rsidR="009A1C7B" w:rsidRPr="00184CB9">
        <w:rPr>
          <w:lang w:val="es-CO"/>
        </w:rPr>
        <w:t>las mujeres indígenas y afrodescendientes, para participar en las instancias de toma de decisi</w:t>
      </w:r>
      <w:r w:rsidR="00B643E1">
        <w:rPr>
          <w:lang w:val="es-CO"/>
        </w:rPr>
        <w:t>ones</w:t>
      </w:r>
      <w:r w:rsidR="009A1C7B" w:rsidRPr="00184CB9">
        <w:rPr>
          <w:lang w:val="es-CO"/>
        </w:rPr>
        <w:t xml:space="preserve"> y en las instituciones estatales, en particular en </w:t>
      </w:r>
      <w:r w:rsidR="00B643E1">
        <w:rPr>
          <w:lang w:val="es-CO"/>
        </w:rPr>
        <w:t>g</w:t>
      </w:r>
      <w:r w:rsidR="009A1C7B" w:rsidRPr="00184CB9">
        <w:rPr>
          <w:lang w:val="es-CO"/>
        </w:rPr>
        <w:t xml:space="preserve">obiernos </w:t>
      </w:r>
      <w:r w:rsidR="00B643E1">
        <w:rPr>
          <w:lang w:val="es-CO"/>
        </w:rPr>
        <w:t>c</w:t>
      </w:r>
      <w:r w:rsidR="009A1C7B" w:rsidRPr="00184CB9">
        <w:rPr>
          <w:lang w:val="es-CO"/>
        </w:rPr>
        <w:t xml:space="preserve">omunales y </w:t>
      </w:r>
      <w:r w:rsidR="00B643E1">
        <w:rPr>
          <w:lang w:val="es-CO"/>
        </w:rPr>
        <w:t>g</w:t>
      </w:r>
      <w:r w:rsidR="009A1C7B" w:rsidRPr="00184CB9">
        <w:rPr>
          <w:lang w:val="es-CO"/>
        </w:rPr>
        <w:t xml:space="preserve">obiernos </w:t>
      </w:r>
      <w:r w:rsidR="00B643E1">
        <w:rPr>
          <w:lang w:val="es-CO"/>
        </w:rPr>
        <w:t>t</w:t>
      </w:r>
      <w:r w:rsidR="009A1C7B" w:rsidRPr="00184CB9">
        <w:rPr>
          <w:lang w:val="es-CO"/>
        </w:rPr>
        <w:t xml:space="preserve">erritoriales </w:t>
      </w:r>
      <w:r w:rsidR="00B643E1">
        <w:rPr>
          <w:lang w:val="es-CO"/>
        </w:rPr>
        <w:t>i</w:t>
      </w:r>
      <w:r w:rsidR="009A1C7B" w:rsidRPr="00184CB9">
        <w:rPr>
          <w:lang w:val="es-CO"/>
        </w:rPr>
        <w:t xml:space="preserve">ndígenas </w:t>
      </w:r>
      <w:r w:rsidR="009A1C7B" w:rsidRPr="00184CB9">
        <w:rPr>
          <w:bCs/>
          <w:lang w:val="es-ES_tradnl"/>
        </w:rPr>
        <w:t>(arts. 25, 26 y 27)</w:t>
      </w:r>
      <w:r w:rsidR="009A1C7B" w:rsidRPr="00184CB9">
        <w:rPr>
          <w:lang w:val="es-CO"/>
        </w:rPr>
        <w:t>.</w:t>
      </w:r>
    </w:p>
    <w:p w14:paraId="53B2FA01" w14:textId="5C9BA9B6" w:rsidR="009822E7" w:rsidRPr="00184CB9" w:rsidRDefault="009822E7" w:rsidP="00946AEA">
      <w:pPr>
        <w:tabs>
          <w:tab w:val="left" w:pos="1701"/>
          <w:tab w:val="left" w:pos="8505"/>
        </w:tabs>
        <w:spacing w:after="120"/>
        <w:ind w:left="1134" w:right="992"/>
        <w:jc w:val="both"/>
        <w:rPr>
          <w:b/>
          <w:bCs/>
          <w:lang w:val="es-CO"/>
        </w:rPr>
      </w:pPr>
      <w:r w:rsidRPr="00076D7F">
        <w:rPr>
          <w:lang w:val="es-CO"/>
        </w:rPr>
        <w:t>4</w:t>
      </w:r>
      <w:r w:rsidR="0014554F" w:rsidRPr="00076D7F">
        <w:rPr>
          <w:lang w:val="es-CO"/>
        </w:rPr>
        <w:t>2.</w:t>
      </w:r>
      <w:r w:rsidRPr="00184CB9">
        <w:rPr>
          <w:b/>
          <w:bCs/>
          <w:lang w:val="es-CO"/>
        </w:rPr>
        <w:t xml:space="preserve"> </w:t>
      </w:r>
      <w:r w:rsidR="00946AEA">
        <w:rPr>
          <w:b/>
          <w:bCs/>
          <w:lang w:val="es-CO"/>
        </w:rPr>
        <w:tab/>
      </w:r>
      <w:r w:rsidRPr="00184CB9">
        <w:rPr>
          <w:b/>
          <w:bCs/>
          <w:lang w:val="es-CO"/>
        </w:rPr>
        <w:t>El Estado parte debe:</w:t>
      </w:r>
    </w:p>
    <w:p w14:paraId="5387A2AB" w14:textId="2C0FCC8C" w:rsidR="00020F91" w:rsidRPr="00184CB9" w:rsidRDefault="004055D9" w:rsidP="00A13853">
      <w:pPr>
        <w:tabs>
          <w:tab w:val="left" w:pos="1701"/>
          <w:tab w:val="left" w:pos="2268"/>
        </w:tabs>
        <w:spacing w:after="120"/>
        <w:ind w:left="1134" w:right="992"/>
        <w:jc w:val="both"/>
        <w:rPr>
          <w:b/>
          <w:bCs/>
          <w:lang w:val="es-CO"/>
        </w:rPr>
      </w:pPr>
      <w:r w:rsidRPr="00184CB9">
        <w:rPr>
          <w:b/>
          <w:bCs/>
          <w:lang w:val="es-CO"/>
        </w:rPr>
        <w:tab/>
      </w:r>
      <w:r w:rsidRPr="00946AEA">
        <w:rPr>
          <w:bCs/>
          <w:lang w:val="es-CO"/>
        </w:rPr>
        <w:t>a)</w:t>
      </w:r>
      <w:r w:rsidRPr="00184CB9">
        <w:rPr>
          <w:b/>
          <w:bCs/>
          <w:lang w:val="es-CO"/>
        </w:rPr>
        <w:tab/>
      </w:r>
      <w:r w:rsidR="003369BF" w:rsidRPr="00184CB9">
        <w:rPr>
          <w:b/>
          <w:bCs/>
          <w:lang w:val="es-CO"/>
        </w:rPr>
        <w:t xml:space="preserve">Garantizar que se realizan consultas amplias y sustantivas con los pueblos indígenas y afrodescendientes </w:t>
      </w:r>
      <w:r w:rsidR="00D32C08">
        <w:rPr>
          <w:b/>
          <w:bCs/>
          <w:lang w:val="es-CO"/>
        </w:rPr>
        <w:t>sobre</w:t>
      </w:r>
      <w:r w:rsidR="00D32C08" w:rsidRPr="00184CB9">
        <w:rPr>
          <w:b/>
          <w:bCs/>
          <w:lang w:val="es-CO"/>
        </w:rPr>
        <w:t xml:space="preserve"> </w:t>
      </w:r>
      <w:r w:rsidR="003369BF" w:rsidRPr="00184CB9">
        <w:rPr>
          <w:b/>
          <w:bCs/>
          <w:lang w:val="es-CO"/>
        </w:rPr>
        <w:t xml:space="preserve">asuntos relacionados con sus derechos, en particular su derecho al consentimiento libre, previo e informado, </w:t>
      </w:r>
      <w:r w:rsidR="00D32C08">
        <w:rPr>
          <w:b/>
          <w:bCs/>
          <w:lang w:val="es-CO"/>
        </w:rPr>
        <w:t xml:space="preserve">y </w:t>
      </w:r>
      <w:r w:rsidR="003369BF" w:rsidRPr="00184CB9">
        <w:rPr>
          <w:b/>
          <w:bCs/>
          <w:lang w:val="es-CO"/>
        </w:rPr>
        <w:t>también en los casos de concesión de permisos para proyectos de desarrollo que puedan afectar a sus derechos sobre la tierra;</w:t>
      </w:r>
    </w:p>
    <w:p w14:paraId="23A04D6E" w14:textId="7526D858" w:rsidR="004055D9" w:rsidRPr="00184CB9" w:rsidRDefault="008A0DDD" w:rsidP="00A13853">
      <w:pPr>
        <w:tabs>
          <w:tab w:val="left" w:pos="1701"/>
          <w:tab w:val="left" w:pos="2268"/>
        </w:tabs>
        <w:spacing w:after="120"/>
        <w:ind w:left="1134" w:right="992"/>
        <w:jc w:val="both"/>
        <w:rPr>
          <w:b/>
          <w:bCs/>
          <w:lang w:val="es-CO"/>
        </w:rPr>
      </w:pPr>
      <w:r w:rsidRPr="00184CB9">
        <w:rPr>
          <w:b/>
          <w:bCs/>
          <w:lang w:val="es-CO"/>
        </w:rPr>
        <w:tab/>
      </w:r>
      <w:r w:rsidR="004055D9" w:rsidRPr="00946AEA">
        <w:rPr>
          <w:bCs/>
          <w:lang w:val="es-CO"/>
        </w:rPr>
        <w:t>b)</w:t>
      </w:r>
      <w:r w:rsidR="004055D9" w:rsidRPr="00184CB9">
        <w:rPr>
          <w:b/>
          <w:bCs/>
          <w:lang w:val="es-CO"/>
        </w:rPr>
        <w:t xml:space="preserve"> </w:t>
      </w:r>
      <w:r w:rsidR="004055D9" w:rsidRPr="00184CB9">
        <w:rPr>
          <w:b/>
          <w:bCs/>
          <w:lang w:val="es-CO"/>
        </w:rPr>
        <w:tab/>
        <w:t xml:space="preserve">Asegurar en la práctica el derecho que tienen los pueblos indígenas a las tierras y territorios que tradicionalmente han poseído u ocupado, mediante el reconocimiento legal y </w:t>
      </w:r>
      <w:r w:rsidR="00A1775F">
        <w:rPr>
          <w:b/>
          <w:bCs/>
          <w:lang w:val="es-CO"/>
        </w:rPr>
        <w:t xml:space="preserve">la </w:t>
      </w:r>
      <w:r w:rsidR="004055D9" w:rsidRPr="00184CB9">
        <w:rPr>
          <w:b/>
          <w:bCs/>
          <w:lang w:val="es-CO"/>
        </w:rPr>
        <w:t>protección jurídica necesari</w:t>
      </w:r>
      <w:r w:rsidR="00D32C08">
        <w:rPr>
          <w:b/>
          <w:bCs/>
          <w:lang w:val="es-CO"/>
        </w:rPr>
        <w:t>os</w:t>
      </w:r>
      <w:r w:rsidR="004055D9" w:rsidRPr="00184CB9">
        <w:rPr>
          <w:b/>
          <w:bCs/>
          <w:lang w:val="es-CO"/>
        </w:rPr>
        <w:t>, así como mediante la ejecución del saneamiento territorial de los territorios ya demarcados y titulados;</w:t>
      </w:r>
    </w:p>
    <w:p w14:paraId="58BBCC74" w14:textId="72C612DF" w:rsidR="004055D9" w:rsidRPr="00184CB9" w:rsidRDefault="004055D9" w:rsidP="00A13853">
      <w:pPr>
        <w:tabs>
          <w:tab w:val="left" w:pos="1701"/>
        </w:tabs>
        <w:spacing w:after="120"/>
        <w:ind w:left="1134" w:right="992"/>
        <w:jc w:val="both"/>
        <w:rPr>
          <w:b/>
          <w:bCs/>
          <w:lang w:val="es-CO"/>
        </w:rPr>
      </w:pPr>
      <w:r w:rsidRPr="00184CB9">
        <w:rPr>
          <w:b/>
          <w:bCs/>
          <w:lang w:val="es-CO"/>
        </w:rPr>
        <w:tab/>
      </w:r>
      <w:r w:rsidRPr="00946AEA">
        <w:rPr>
          <w:bCs/>
          <w:lang w:val="es-CO"/>
        </w:rPr>
        <w:t>c)</w:t>
      </w:r>
      <w:r w:rsidRPr="00184CB9">
        <w:rPr>
          <w:b/>
          <w:bCs/>
          <w:lang w:val="es-CO"/>
        </w:rPr>
        <w:t xml:space="preserve"> </w:t>
      </w:r>
      <w:r w:rsidRPr="00184CB9">
        <w:rPr>
          <w:b/>
          <w:bCs/>
          <w:lang w:val="es-CO"/>
        </w:rPr>
        <w:tab/>
        <w:t xml:space="preserve">Redoblar sus esfuerzos para prevenir conflictos sobre el uso de la tierra, entre ellos </w:t>
      </w:r>
      <w:r w:rsidR="00D32C08">
        <w:rPr>
          <w:b/>
          <w:bCs/>
          <w:lang w:val="es-CO"/>
        </w:rPr>
        <w:t xml:space="preserve">mediante </w:t>
      </w:r>
      <w:r w:rsidRPr="00184CB9">
        <w:rPr>
          <w:b/>
          <w:bCs/>
          <w:lang w:val="es-CO"/>
        </w:rPr>
        <w:t>la facilitación de garantías en relación con las tierras que tradicionalmente han sido propiedad de los pueblos indígenas o que han estado ocupadas por estos;</w:t>
      </w:r>
    </w:p>
    <w:p w14:paraId="2B9276D4" w14:textId="62DA0864" w:rsidR="009A1C7B" w:rsidRPr="00184CB9" w:rsidRDefault="004055D9" w:rsidP="00724BB9">
      <w:pPr>
        <w:tabs>
          <w:tab w:val="left" w:pos="1701"/>
        </w:tabs>
        <w:spacing w:after="120"/>
        <w:ind w:left="1134" w:right="992"/>
        <w:jc w:val="both"/>
        <w:rPr>
          <w:b/>
          <w:bCs/>
          <w:lang w:val="es-CO"/>
        </w:rPr>
      </w:pPr>
      <w:r w:rsidRPr="00184CB9">
        <w:rPr>
          <w:b/>
          <w:bCs/>
          <w:lang w:val="es-CO"/>
        </w:rPr>
        <w:tab/>
      </w:r>
      <w:r w:rsidRPr="00946AEA">
        <w:rPr>
          <w:bCs/>
          <w:lang w:val="es-CO"/>
        </w:rPr>
        <w:t>d)</w:t>
      </w:r>
      <w:r w:rsidRPr="00184CB9">
        <w:rPr>
          <w:b/>
          <w:bCs/>
          <w:lang w:val="es-CO"/>
        </w:rPr>
        <w:t xml:space="preserve"> </w:t>
      </w:r>
      <w:r w:rsidRPr="00184CB9">
        <w:rPr>
          <w:b/>
          <w:bCs/>
          <w:lang w:val="es-CO"/>
        </w:rPr>
        <w:tab/>
        <w:t xml:space="preserve">Adoptar todas las medidas necesarias para eliminar cualquier elemento de discriminación en los nombramientos y la representación de las comunidades indígenas y afrodescendientes, </w:t>
      </w:r>
      <w:r w:rsidR="00256CE8" w:rsidRPr="00184CB9">
        <w:rPr>
          <w:b/>
          <w:bCs/>
          <w:lang w:val="es-CO"/>
        </w:rPr>
        <w:t>y garantizar</w:t>
      </w:r>
      <w:r w:rsidRPr="00184CB9">
        <w:rPr>
          <w:b/>
          <w:bCs/>
          <w:lang w:val="es-CO"/>
        </w:rPr>
        <w:t xml:space="preserve"> su participación en la vida pública y política. </w:t>
      </w:r>
    </w:p>
    <w:p w14:paraId="62F6037C" w14:textId="77777777" w:rsidR="00DD5762" w:rsidRPr="008A0DDD" w:rsidRDefault="00DD5762" w:rsidP="00DD5762">
      <w:pPr>
        <w:pStyle w:val="H1G"/>
      </w:pPr>
      <w:r w:rsidRPr="00B95DBE">
        <w:tab/>
        <w:t>D.</w:t>
      </w:r>
      <w:r w:rsidRPr="00B95DBE">
        <w:tab/>
        <w:t xml:space="preserve">Difusión y </w:t>
      </w:r>
      <w:r w:rsidRPr="008A0DDD">
        <w:t>seguimiento</w:t>
      </w:r>
    </w:p>
    <w:p w14:paraId="12F0922B" w14:textId="23A5D525" w:rsidR="00DD5762" w:rsidRPr="00076D7F" w:rsidRDefault="0014554F" w:rsidP="00DD5762">
      <w:pPr>
        <w:spacing w:after="120"/>
        <w:ind w:left="1134" w:right="1134"/>
        <w:jc w:val="both"/>
      </w:pPr>
      <w:r w:rsidRPr="008A0DDD">
        <w:t>43</w:t>
      </w:r>
      <w:r w:rsidR="00DD5762" w:rsidRPr="008A0DDD">
        <w:t>.</w:t>
      </w:r>
      <w:r w:rsidR="00DD5762" w:rsidRPr="008A0DDD">
        <w:tab/>
      </w:r>
      <w:r w:rsidR="007D78EB" w:rsidRPr="008A0DDD">
        <w:rPr>
          <w:b/>
          <w:bCs/>
        </w:rPr>
        <w:t>El Estado parte debe difundir ampliamente el Pacto, su</w:t>
      </w:r>
      <w:r w:rsidR="00896E27">
        <w:rPr>
          <w:b/>
          <w:bCs/>
        </w:rPr>
        <w:t>s</w:t>
      </w:r>
      <w:r w:rsidR="007D78EB" w:rsidRPr="008A0DDD">
        <w:rPr>
          <w:b/>
          <w:bCs/>
        </w:rPr>
        <w:t xml:space="preserve"> Protocolo</w:t>
      </w:r>
      <w:r w:rsidR="00896E27">
        <w:rPr>
          <w:b/>
          <w:bCs/>
        </w:rPr>
        <w:t>s</w:t>
      </w:r>
      <w:r w:rsidR="007D78EB" w:rsidRPr="008A0DDD">
        <w:rPr>
          <w:b/>
          <w:bCs/>
        </w:rPr>
        <w:t xml:space="preserve"> Facultativo</w:t>
      </w:r>
      <w:r w:rsidR="00896E27">
        <w:rPr>
          <w:b/>
          <w:bCs/>
        </w:rPr>
        <w:t>s</w:t>
      </w:r>
      <w:r w:rsidR="007D78EB" w:rsidRPr="008A0DDD">
        <w:rPr>
          <w:b/>
          <w:bCs/>
        </w:rPr>
        <w:t xml:space="preserve">, su </w:t>
      </w:r>
      <w:r w:rsidR="00700F07">
        <w:rPr>
          <w:b/>
          <w:bCs/>
        </w:rPr>
        <w:t>cuarto</w:t>
      </w:r>
      <w:r w:rsidR="007D78EB" w:rsidRPr="008A0DDD">
        <w:rPr>
          <w:b/>
          <w:bCs/>
        </w:rPr>
        <w:t xml:space="preserve"> informe periódico y las presentes observaciones finales con vistas a aumentar la conciencia sobre los derechos consagrados en el Pacto entre las autoridades </w:t>
      </w:r>
      <w:r w:rsidR="007D78EB" w:rsidRPr="008A0DDD">
        <w:rPr>
          <w:b/>
          <w:bCs/>
        </w:rPr>
        <w:lastRenderedPageBreak/>
        <w:t xml:space="preserve">judiciales, legislativas y administrativas, la sociedad civil y las organizaciones no gubernamentales que actúan en el país, y la población en </w:t>
      </w:r>
      <w:r w:rsidR="007D78EB" w:rsidRPr="00076D7F">
        <w:rPr>
          <w:b/>
          <w:bCs/>
        </w:rPr>
        <w:t>general.</w:t>
      </w:r>
      <w:r w:rsidR="007D78EB" w:rsidRPr="00076D7F">
        <w:t xml:space="preserve"> </w:t>
      </w:r>
    </w:p>
    <w:p w14:paraId="323537FD" w14:textId="2BEEB4AD" w:rsidR="00DD5762" w:rsidRPr="00076D7F" w:rsidRDefault="0014554F" w:rsidP="00076D7F">
      <w:pPr>
        <w:pStyle w:val="SingleTxtG"/>
        <w:rPr>
          <w:rFonts w:ascii="Times" w:hAnsi="Times"/>
          <w:b/>
          <w:bCs/>
          <w:color w:val="000000" w:themeColor="text1"/>
          <w:lang w:val="es-CO"/>
        </w:rPr>
      </w:pPr>
      <w:r w:rsidRPr="00076D7F">
        <w:rPr>
          <w:bCs/>
        </w:rPr>
        <w:t>44</w:t>
      </w:r>
      <w:r w:rsidR="00DD5762" w:rsidRPr="00076D7F">
        <w:rPr>
          <w:bCs/>
        </w:rPr>
        <w:t>.</w:t>
      </w:r>
      <w:r w:rsidR="00DD5762" w:rsidRPr="00076D7F">
        <w:rPr>
          <w:b/>
        </w:rPr>
        <w:tab/>
        <w:t xml:space="preserve">De conformidad con el artículo 75, párrafo 1, del </w:t>
      </w:r>
      <w:r w:rsidR="007345B8">
        <w:rPr>
          <w:b/>
        </w:rPr>
        <w:t>R</w:t>
      </w:r>
      <w:r w:rsidR="00DD5762" w:rsidRPr="00076D7F">
        <w:rPr>
          <w:b/>
        </w:rPr>
        <w:t>eglamento del Comité, se solicita al Estado parte que facilite, a</w:t>
      </w:r>
      <w:r w:rsidR="00A1775F">
        <w:rPr>
          <w:b/>
        </w:rPr>
        <w:t xml:space="preserve"> más tardar e</w:t>
      </w:r>
      <w:r w:rsidR="00DD5762" w:rsidRPr="00076D7F">
        <w:rPr>
          <w:b/>
        </w:rPr>
        <w:t xml:space="preserve">l </w:t>
      </w:r>
      <w:r w:rsidR="00076D7F" w:rsidRPr="00076D7F">
        <w:rPr>
          <w:b/>
        </w:rPr>
        <w:t>4</w:t>
      </w:r>
      <w:r w:rsidR="007D78EB" w:rsidRPr="00076D7F">
        <w:rPr>
          <w:b/>
        </w:rPr>
        <w:t xml:space="preserve"> de </w:t>
      </w:r>
      <w:r w:rsidR="009C68FD" w:rsidRPr="00076D7F">
        <w:rPr>
          <w:b/>
        </w:rPr>
        <w:t>noviembre</w:t>
      </w:r>
      <w:r w:rsidR="007D78EB" w:rsidRPr="00076D7F">
        <w:rPr>
          <w:b/>
        </w:rPr>
        <w:t xml:space="preserve"> </w:t>
      </w:r>
      <w:r w:rsidR="00DD5762" w:rsidRPr="00076D7F">
        <w:rPr>
          <w:b/>
        </w:rPr>
        <w:t>de 2025, información</w:t>
      </w:r>
      <w:r w:rsidR="00DD5762" w:rsidRPr="008A0DDD">
        <w:rPr>
          <w:b/>
        </w:rPr>
        <w:t xml:space="preserve"> sobre la aplicación de las recomendaciones formuladas por el Comité en los párrafos </w:t>
      </w:r>
      <w:r w:rsidR="00D47CE7">
        <w:rPr>
          <w:b/>
        </w:rPr>
        <w:t>6</w:t>
      </w:r>
      <w:r w:rsidR="00076D7F">
        <w:rPr>
          <w:b/>
        </w:rPr>
        <w:t xml:space="preserve"> (</w:t>
      </w:r>
      <w:r w:rsidR="00076D7F">
        <w:rPr>
          <w:rFonts w:ascii="Times" w:hAnsi="Times"/>
          <w:b/>
          <w:bCs/>
          <w:color w:val="000000" w:themeColor="text1"/>
          <w:lang w:val="es-CO"/>
        </w:rPr>
        <w:t>m</w:t>
      </w:r>
      <w:r w:rsidR="00076D7F" w:rsidRPr="00184CB9">
        <w:rPr>
          <w:rFonts w:ascii="Times" w:hAnsi="Times"/>
          <w:b/>
          <w:bCs/>
          <w:color w:val="000000" w:themeColor="text1"/>
          <w:lang w:val="es-CO"/>
        </w:rPr>
        <w:t>arco constitucional y jurídico de la aplicación del Pacto</w:t>
      </w:r>
      <w:r w:rsidR="00076D7F">
        <w:rPr>
          <w:rFonts w:ascii="Times" w:hAnsi="Times"/>
          <w:b/>
          <w:bCs/>
          <w:color w:val="000000" w:themeColor="text1"/>
          <w:lang w:val="es-CO"/>
        </w:rPr>
        <w:t>)</w:t>
      </w:r>
      <w:r w:rsidR="00D47CE7">
        <w:rPr>
          <w:b/>
        </w:rPr>
        <w:t>, 30</w:t>
      </w:r>
      <w:r w:rsidR="00076D7F">
        <w:rPr>
          <w:b/>
        </w:rPr>
        <w:t xml:space="preserve"> </w:t>
      </w:r>
      <w:r w:rsidR="00076D7F">
        <w:rPr>
          <w:b/>
          <w:bCs/>
          <w:lang w:val="es-CO"/>
        </w:rPr>
        <w:t>(d</w:t>
      </w:r>
      <w:r w:rsidR="00076D7F" w:rsidRPr="00184CB9">
        <w:rPr>
          <w:b/>
          <w:bCs/>
          <w:lang w:val="es-CO"/>
        </w:rPr>
        <w:t>erecho a un juicio imparcial</w:t>
      </w:r>
      <w:r w:rsidR="00076D7F">
        <w:rPr>
          <w:b/>
          <w:bCs/>
          <w:lang w:val="es-CO"/>
        </w:rPr>
        <w:t>)</w:t>
      </w:r>
      <w:r w:rsidR="00D47CE7">
        <w:rPr>
          <w:b/>
        </w:rPr>
        <w:t xml:space="preserve"> y 40</w:t>
      </w:r>
      <w:r w:rsidR="00076D7F">
        <w:rPr>
          <w:b/>
        </w:rPr>
        <w:t xml:space="preserve"> (</w:t>
      </w:r>
      <w:r w:rsidR="00076D7F">
        <w:rPr>
          <w:rFonts w:ascii="Times" w:hAnsi="Times"/>
          <w:b/>
          <w:bCs/>
          <w:color w:val="000000" w:themeColor="text1"/>
          <w:lang w:val="es-CO"/>
        </w:rPr>
        <w:t>p</w:t>
      </w:r>
      <w:r w:rsidR="00076D7F" w:rsidRPr="00184CB9">
        <w:rPr>
          <w:rFonts w:ascii="Times" w:hAnsi="Times"/>
          <w:b/>
          <w:bCs/>
          <w:color w:val="000000" w:themeColor="text1"/>
          <w:lang w:val="es-CO"/>
        </w:rPr>
        <w:t>articipación en asuntos públicos</w:t>
      </w:r>
      <w:r w:rsidR="00076D7F">
        <w:rPr>
          <w:rFonts w:ascii="Times" w:hAnsi="Times"/>
          <w:b/>
          <w:bCs/>
          <w:color w:val="000000" w:themeColor="text1"/>
          <w:lang w:val="es-CO"/>
        </w:rPr>
        <w:t>)</w:t>
      </w:r>
      <w:r w:rsidR="00D47CE7">
        <w:rPr>
          <w:b/>
        </w:rPr>
        <w:t>.</w:t>
      </w:r>
    </w:p>
    <w:p w14:paraId="3F69318A" w14:textId="276B3382" w:rsidR="00DD5762" w:rsidRDefault="0014554F" w:rsidP="00DD5762">
      <w:pPr>
        <w:spacing w:after="120"/>
        <w:ind w:left="1134" w:right="1134"/>
        <w:jc w:val="both"/>
        <w:rPr>
          <w:b/>
        </w:rPr>
      </w:pPr>
      <w:r w:rsidRPr="008A0DDD">
        <w:rPr>
          <w:bCs/>
        </w:rPr>
        <w:t>45</w:t>
      </w:r>
      <w:r w:rsidR="00DD5762" w:rsidRPr="008A0DDD">
        <w:rPr>
          <w:bCs/>
        </w:rPr>
        <w:t>.</w:t>
      </w:r>
      <w:r w:rsidR="00DD5762" w:rsidRPr="008A0DDD">
        <w:rPr>
          <w:b/>
        </w:rPr>
        <w:tab/>
        <w:t>De conformidad con el calendario previsible para la presentación de informes del Comité, el Estado parte recibirá del Comité en 2028 la lista de cuestiones previa a la presentación de informes y se espera que presente dentro de un año sus respuestas, que constituirá</w:t>
      </w:r>
      <w:r w:rsidR="00A1775F">
        <w:rPr>
          <w:b/>
        </w:rPr>
        <w:t>n</w:t>
      </w:r>
      <w:r w:rsidR="00DD5762" w:rsidRPr="008A0DDD">
        <w:rPr>
          <w:b/>
        </w:rPr>
        <w:t xml:space="preserve"> su </w:t>
      </w:r>
      <w:r w:rsidR="00971F1A" w:rsidRPr="008A0DDD">
        <w:rPr>
          <w:b/>
        </w:rPr>
        <w:t xml:space="preserve">quinto </w:t>
      </w:r>
      <w:r w:rsidR="00DD5762" w:rsidRPr="008A0DDD">
        <w:rPr>
          <w:b/>
        </w:rPr>
        <w:t xml:space="preserve">informe periódico. El Comité también solicita al Estado parte que, al preparar el informe, </w:t>
      </w:r>
      <w:r w:rsidR="00A1775F">
        <w:rPr>
          <w:b/>
        </w:rPr>
        <w:t>celebre amplias consultas con</w:t>
      </w:r>
      <w:r w:rsidR="00DD5762" w:rsidRPr="008A0DDD">
        <w:rPr>
          <w:b/>
        </w:rPr>
        <w:t xml:space="preserve"> la sociedad civil y las organizaciones no gubernamentales que actúan en el país. De conformidad con </w:t>
      </w:r>
      <w:r w:rsidR="00A1775F">
        <w:rPr>
          <w:b/>
        </w:rPr>
        <w:t xml:space="preserve">lo dispuesto en </w:t>
      </w:r>
      <w:r w:rsidR="00DD5762" w:rsidRPr="008A0DDD">
        <w:rPr>
          <w:b/>
        </w:rPr>
        <w:t xml:space="preserve">la resolución 68/268 de la Asamblea General, </w:t>
      </w:r>
      <w:r w:rsidR="00A1775F">
        <w:rPr>
          <w:b/>
        </w:rPr>
        <w:t>l</w:t>
      </w:r>
      <w:r w:rsidR="00DD5762" w:rsidRPr="008A0DDD">
        <w:rPr>
          <w:b/>
        </w:rPr>
        <w:t xml:space="preserve">a extensión máxima </w:t>
      </w:r>
      <w:r w:rsidR="00A1775F">
        <w:rPr>
          <w:b/>
        </w:rPr>
        <w:t xml:space="preserve">del informe será </w:t>
      </w:r>
      <w:r w:rsidR="00DD5762" w:rsidRPr="008A0DDD">
        <w:rPr>
          <w:b/>
        </w:rPr>
        <w:t>de 21.200 palabras. El próximo diálogo constructivo con el Estado parte tendrá lugar en 2030 en Ginebra.</w:t>
      </w:r>
    </w:p>
    <w:p w14:paraId="566A354A" w14:textId="3A1EC066" w:rsidR="008E6767" w:rsidRPr="00764C45" w:rsidRDefault="00DD5762" w:rsidP="00764C45">
      <w:pPr>
        <w:suppressAutoHyphens/>
        <w:spacing w:before="240"/>
        <w:ind w:left="1134" w:right="1134"/>
        <w:jc w:val="center"/>
        <w:rPr>
          <w:b/>
        </w:rPr>
      </w:pPr>
      <w:r w:rsidRPr="00B95DBE">
        <w:rPr>
          <w:u w:val="single"/>
        </w:rPr>
        <w:tab/>
      </w:r>
      <w:r w:rsidRPr="00B95DBE">
        <w:rPr>
          <w:u w:val="single"/>
        </w:rPr>
        <w:tab/>
      </w:r>
      <w:r w:rsidRPr="00B95DBE">
        <w:rPr>
          <w:u w:val="single"/>
        </w:rPr>
        <w:tab/>
      </w:r>
      <w:r w:rsidRPr="00B95DBE">
        <w:rPr>
          <w:u w:val="single"/>
        </w:rPr>
        <w:tab/>
      </w:r>
    </w:p>
    <w:sectPr w:rsidR="008E6767" w:rsidRPr="00764C45" w:rsidSect="00BC2881">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20D4" w14:textId="77777777" w:rsidR="00E5454F" w:rsidRDefault="00E5454F"/>
  </w:endnote>
  <w:endnote w:type="continuationSeparator" w:id="0">
    <w:p w14:paraId="354575F6" w14:textId="77777777" w:rsidR="00E5454F" w:rsidRDefault="00E54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14CE" w14:textId="12D673D9" w:rsidR="00BC2881" w:rsidRPr="00BC2881" w:rsidRDefault="00BC2881" w:rsidP="00BC2881">
    <w:pPr>
      <w:pStyle w:val="Piedepgina"/>
      <w:tabs>
        <w:tab w:val="right" w:pos="9638"/>
      </w:tabs>
    </w:pPr>
    <w:r w:rsidRPr="00BC2881">
      <w:rPr>
        <w:b/>
        <w:sz w:val="18"/>
      </w:rPr>
      <w:fldChar w:fldCharType="begin"/>
    </w:r>
    <w:r w:rsidRPr="00BC2881">
      <w:rPr>
        <w:b/>
        <w:sz w:val="18"/>
      </w:rPr>
      <w:instrText xml:space="preserve"> PAGE  \* MERGEFORMAT </w:instrText>
    </w:r>
    <w:r w:rsidRPr="00BC2881">
      <w:rPr>
        <w:b/>
        <w:sz w:val="18"/>
      </w:rPr>
      <w:fldChar w:fldCharType="separate"/>
    </w:r>
    <w:r w:rsidR="0000529E">
      <w:rPr>
        <w:b/>
        <w:noProof/>
        <w:sz w:val="18"/>
      </w:rPr>
      <w:t>10</w:t>
    </w:r>
    <w:r w:rsidRPr="00BC28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CBFE" w14:textId="1BC12401" w:rsidR="00BC2881" w:rsidRPr="00BC2881" w:rsidRDefault="00BC2881" w:rsidP="00BC2881">
    <w:pPr>
      <w:pStyle w:val="Piedepgina"/>
      <w:tabs>
        <w:tab w:val="right" w:pos="9638"/>
      </w:tabs>
      <w:rPr>
        <w:b/>
        <w:sz w:val="18"/>
      </w:rPr>
    </w:pPr>
    <w:r>
      <w:tab/>
    </w:r>
    <w:r w:rsidRPr="00BC2881">
      <w:rPr>
        <w:b/>
        <w:sz w:val="18"/>
      </w:rPr>
      <w:fldChar w:fldCharType="begin"/>
    </w:r>
    <w:r w:rsidRPr="00BC2881">
      <w:rPr>
        <w:b/>
        <w:sz w:val="18"/>
      </w:rPr>
      <w:instrText xml:space="preserve"> PAGE  \* MERGEFORMAT </w:instrText>
    </w:r>
    <w:r w:rsidRPr="00BC2881">
      <w:rPr>
        <w:b/>
        <w:sz w:val="18"/>
      </w:rPr>
      <w:fldChar w:fldCharType="separate"/>
    </w:r>
    <w:r w:rsidR="0000529E">
      <w:rPr>
        <w:b/>
        <w:noProof/>
        <w:sz w:val="18"/>
      </w:rPr>
      <w:t>11</w:t>
    </w:r>
    <w:r w:rsidRPr="00BC28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7B94" w14:textId="486751B8" w:rsidR="00802A70" w:rsidRPr="0061365E" w:rsidRDefault="0061365E" w:rsidP="0061365E">
    <w:pPr>
      <w:pStyle w:val="Piedepgina"/>
      <w:tabs>
        <w:tab w:val="left" w:pos="6520"/>
        <w:tab w:val="right" w:pos="9638"/>
      </w:tabs>
      <w:spacing w:before="120" w:line="240" w:lineRule="auto"/>
      <w:rPr>
        <w:sz w:val="20"/>
      </w:rPr>
    </w:pPr>
    <w:proofErr w:type="spellStart"/>
    <w:r>
      <w:rPr>
        <w:sz w:val="20"/>
      </w:rPr>
      <w:t>GE.22</w:t>
    </w:r>
    <w:proofErr w:type="spellEnd"/>
    <w:r>
      <w:rPr>
        <w:sz w:val="20"/>
      </w:rPr>
      <w:t>-25794  (S)</w:t>
    </w:r>
    <w:bookmarkStart w:id="0" w:name="_GoBack"/>
    <w:bookmarkEnd w:id="0"/>
    <w:r>
      <w:rPr>
        <w:sz w:val="20"/>
      </w:rPr>
      <w:tab/>
    </w:r>
    <w:r w:rsidRPr="0061365E">
      <w:rPr>
        <w:noProof/>
        <w:sz w:val="20"/>
        <w:lang w:val="fr-CH" w:eastAsia="zh-CN"/>
      </w:rPr>
      <w:drawing>
        <wp:inline distT="0" distB="0" distL="0" distR="0" wp14:anchorId="4AE1D71B" wp14:editId="550612A1">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82A1F82" wp14:editId="755392A4">
          <wp:extent cx="561340" cy="561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24F0" w14:textId="77777777" w:rsidR="00E5454F" w:rsidRPr="001075E9" w:rsidRDefault="00E5454F" w:rsidP="001075E9">
      <w:pPr>
        <w:tabs>
          <w:tab w:val="right" w:pos="2155"/>
        </w:tabs>
        <w:spacing w:after="80" w:line="240" w:lineRule="auto"/>
        <w:ind w:left="680"/>
        <w:rPr>
          <w:u w:val="single"/>
        </w:rPr>
      </w:pPr>
      <w:r>
        <w:rPr>
          <w:u w:val="single"/>
        </w:rPr>
        <w:tab/>
      </w:r>
    </w:p>
  </w:footnote>
  <w:footnote w:type="continuationSeparator" w:id="0">
    <w:p w14:paraId="7D8CE9CC" w14:textId="77777777" w:rsidR="00E5454F" w:rsidRDefault="00E5454F" w:rsidP="00AE0E02">
      <w:pPr>
        <w:tabs>
          <w:tab w:val="right" w:pos="2155"/>
        </w:tabs>
        <w:spacing w:after="80" w:line="240" w:lineRule="auto"/>
        <w:ind w:left="680"/>
        <w:rPr>
          <w:u w:val="single"/>
        </w:rPr>
      </w:pPr>
      <w:r>
        <w:rPr>
          <w:u w:val="single"/>
        </w:rPr>
        <w:tab/>
      </w:r>
    </w:p>
  </w:footnote>
  <w:footnote w:id="1">
    <w:p w14:paraId="75A8B691" w14:textId="277CD958" w:rsidR="008E6767" w:rsidRPr="008E6767" w:rsidRDefault="008E6767" w:rsidP="00076D7F">
      <w:pPr>
        <w:pStyle w:val="Textonotapie"/>
        <w:rPr>
          <w:sz w:val="20"/>
        </w:rPr>
      </w:pPr>
      <w:r>
        <w:tab/>
      </w:r>
      <w:r w:rsidR="00E25E08" w:rsidRPr="004566C1">
        <w:rPr>
          <w:sz w:val="20"/>
        </w:rPr>
        <w:t>*</w:t>
      </w:r>
      <w:r w:rsidRPr="008E6767">
        <w:rPr>
          <w:rStyle w:val="Refdenotaalpie"/>
          <w:sz w:val="20"/>
          <w:vertAlign w:val="baseline"/>
        </w:rPr>
        <w:t>*</w:t>
      </w:r>
      <w:r w:rsidRPr="008E6767">
        <w:rPr>
          <w:rStyle w:val="Refdenotaalpie"/>
          <w:vertAlign w:val="baseline"/>
        </w:rPr>
        <w:tab/>
      </w:r>
      <w:r w:rsidR="00076D7F" w:rsidRPr="006D3473">
        <w:t>Aprobadas por el Comité en su 1</w:t>
      </w:r>
      <w:r w:rsidR="00076D7F">
        <w:t>36</w:t>
      </w:r>
      <w:r w:rsidR="00076D7F" w:rsidRPr="006D3473">
        <w:t xml:space="preserve">º período de sesiones </w:t>
      </w:r>
      <w:r w:rsidR="00076D7F">
        <w:t>(</w:t>
      </w:r>
      <w:r w:rsidR="00076D7F">
        <w:rPr>
          <w:lang w:val="es-ES_tradnl"/>
        </w:rPr>
        <w:t>10</w:t>
      </w:r>
      <w:r w:rsidR="00076D7F" w:rsidRPr="00DE4D9A">
        <w:rPr>
          <w:lang w:val="es-ES_tradnl"/>
        </w:rPr>
        <w:t xml:space="preserve"> de </w:t>
      </w:r>
      <w:r w:rsidR="00076D7F">
        <w:rPr>
          <w:lang w:val="es-ES_tradnl"/>
        </w:rPr>
        <w:t>octubre</w:t>
      </w:r>
      <w:r w:rsidR="00076D7F" w:rsidRPr="00DE4D9A">
        <w:rPr>
          <w:lang w:val="es-ES_tradnl"/>
        </w:rPr>
        <w:t xml:space="preserve"> a </w:t>
      </w:r>
      <w:r w:rsidR="00076D7F">
        <w:rPr>
          <w:lang w:val="es-ES_tradnl"/>
        </w:rPr>
        <w:t>4</w:t>
      </w:r>
      <w:r w:rsidR="00076D7F" w:rsidRPr="00DE4D9A">
        <w:rPr>
          <w:lang w:val="es-ES_tradnl"/>
        </w:rPr>
        <w:t xml:space="preserve"> de </w:t>
      </w:r>
      <w:r w:rsidR="00076D7F">
        <w:rPr>
          <w:lang w:val="es-ES_tradnl"/>
        </w:rPr>
        <w:t>noviembre</w:t>
      </w:r>
      <w:r w:rsidR="00076D7F" w:rsidRPr="00DE4D9A">
        <w:rPr>
          <w:lang w:val="es-ES_tradnl"/>
        </w:rPr>
        <w:t xml:space="preserve"> de 2022</w:t>
      </w:r>
      <w:r w:rsidR="00076D7F" w:rsidRPr="006D3473">
        <w:t>).</w:t>
      </w:r>
    </w:p>
  </w:footnote>
  <w:footnote w:id="2">
    <w:p w14:paraId="0C466476" w14:textId="2084A3B0" w:rsidR="00811D91" w:rsidRPr="004B3599" w:rsidRDefault="00811D91" w:rsidP="00811D91">
      <w:pPr>
        <w:pStyle w:val="Textonotapie"/>
        <w:jc w:val="both"/>
        <w:rPr>
          <w:lang w:val="pt-BR"/>
        </w:rPr>
      </w:pPr>
      <w:r>
        <w:tab/>
      </w:r>
      <w:r>
        <w:rPr>
          <w:rStyle w:val="Refdenotaalpie"/>
        </w:rPr>
        <w:footnoteRef/>
      </w:r>
      <w:r w:rsidRPr="004B3599">
        <w:rPr>
          <w:lang w:val="pt-BR"/>
        </w:rPr>
        <w:t xml:space="preserve"> </w:t>
      </w:r>
      <w:r w:rsidRPr="004B3599">
        <w:rPr>
          <w:lang w:val="pt-BR"/>
        </w:rPr>
        <w:tab/>
      </w:r>
      <w:hyperlink r:id="rId1" w:history="1">
        <w:r w:rsidRPr="004B3599">
          <w:rPr>
            <w:rStyle w:val="Hipervnculo"/>
            <w:lang w:val="pt-BR"/>
          </w:rPr>
          <w:t>CCPR/C/NIC/4</w:t>
        </w:r>
      </w:hyperlink>
      <w:r w:rsidRPr="004B3599">
        <w:rPr>
          <w:lang w:val="pt-BR"/>
        </w:rPr>
        <w:t>.</w:t>
      </w:r>
    </w:p>
  </w:footnote>
  <w:footnote w:id="3">
    <w:p w14:paraId="42540601" w14:textId="1B8856B4" w:rsidR="00656009" w:rsidRPr="004B3599" w:rsidRDefault="00656009" w:rsidP="00656009">
      <w:pPr>
        <w:pStyle w:val="Textonotapie"/>
        <w:jc w:val="both"/>
        <w:rPr>
          <w:lang w:val="pt-BR"/>
        </w:rPr>
      </w:pPr>
      <w:r w:rsidRPr="004B3599">
        <w:rPr>
          <w:lang w:val="pt-BR"/>
        </w:rPr>
        <w:tab/>
      </w:r>
      <w:r>
        <w:rPr>
          <w:rStyle w:val="Refdenotaalpie"/>
        </w:rPr>
        <w:footnoteRef/>
      </w:r>
      <w:r w:rsidRPr="004B3599">
        <w:rPr>
          <w:lang w:val="pt-BR"/>
        </w:rPr>
        <w:t xml:space="preserve"> </w:t>
      </w:r>
      <w:r w:rsidRPr="004B3599">
        <w:rPr>
          <w:lang w:val="pt-BR"/>
        </w:rPr>
        <w:tab/>
      </w:r>
      <w:proofErr w:type="spellStart"/>
      <w:r w:rsidRPr="004B3599">
        <w:rPr>
          <w:lang w:val="pt-BR"/>
        </w:rPr>
        <w:t>Véase</w:t>
      </w:r>
      <w:proofErr w:type="spellEnd"/>
      <w:r w:rsidRPr="004B3599">
        <w:rPr>
          <w:lang w:val="pt-BR"/>
        </w:rPr>
        <w:t xml:space="preserve"> </w:t>
      </w:r>
      <w:hyperlink r:id="rId2" w:history="1">
        <w:proofErr w:type="spellStart"/>
        <w:r w:rsidRPr="004B3599">
          <w:rPr>
            <w:rStyle w:val="Hipervnculo"/>
            <w:lang w:val="pt-BR"/>
          </w:rPr>
          <w:t>CCPR</w:t>
        </w:r>
        <w:proofErr w:type="spellEnd"/>
        <w:r w:rsidRPr="004B3599">
          <w:rPr>
            <w:rStyle w:val="Hipervnculo"/>
            <w:lang w:val="pt-BR"/>
          </w:rPr>
          <w:t>/C/</w:t>
        </w:r>
        <w:proofErr w:type="spellStart"/>
        <w:r w:rsidRPr="004B3599">
          <w:rPr>
            <w:rStyle w:val="Hipervnculo"/>
            <w:lang w:val="pt-BR"/>
          </w:rPr>
          <w:t>SR.3933</w:t>
        </w:r>
        <w:proofErr w:type="spellEnd"/>
      </w:hyperlink>
      <w:r w:rsidRPr="004B3599">
        <w:rPr>
          <w:lang w:val="pt-BR"/>
        </w:rPr>
        <w:t>.</w:t>
      </w:r>
    </w:p>
  </w:footnote>
  <w:footnote w:id="4">
    <w:p w14:paraId="0ABB106E" w14:textId="587300F8" w:rsidR="007345B8" w:rsidRPr="00A539E7" w:rsidRDefault="007345B8" w:rsidP="007345B8">
      <w:pPr>
        <w:pStyle w:val="Textonotapie"/>
        <w:jc w:val="both"/>
      </w:pPr>
      <w:r w:rsidRPr="004B3599">
        <w:rPr>
          <w:lang w:val="pt-BR"/>
        </w:rPr>
        <w:tab/>
      </w:r>
      <w:r>
        <w:rPr>
          <w:rStyle w:val="Refdenotaalpie"/>
        </w:rPr>
        <w:footnoteRef/>
      </w:r>
      <w:r w:rsidRPr="00A539E7">
        <w:t xml:space="preserve"> </w:t>
      </w:r>
      <w:r w:rsidRPr="00A539E7">
        <w:tab/>
      </w:r>
      <w:hyperlink r:id="rId3" w:history="1">
        <w:r w:rsidRPr="007D14C9">
          <w:rPr>
            <w:rStyle w:val="Hipervnculo"/>
          </w:rPr>
          <w:t>CCPR/C/NIC/Q/4</w:t>
        </w:r>
      </w:hyperlink>
      <w:r w:rsidRPr="00A539E7">
        <w:t>.</w:t>
      </w:r>
    </w:p>
  </w:footnote>
  <w:footnote w:id="5">
    <w:p w14:paraId="6F6C7B2C" w14:textId="64DCFBEE" w:rsidR="007345B8" w:rsidRPr="00A539E7" w:rsidRDefault="007345B8" w:rsidP="007345B8">
      <w:pPr>
        <w:pStyle w:val="Textonotapie"/>
        <w:jc w:val="both"/>
      </w:pPr>
      <w:r>
        <w:tab/>
      </w:r>
      <w:r>
        <w:rPr>
          <w:rStyle w:val="Refdenotaalpie"/>
        </w:rPr>
        <w:footnoteRef/>
      </w:r>
      <w:r w:rsidRPr="00A539E7">
        <w:t xml:space="preserve"> </w:t>
      </w:r>
      <w:r w:rsidRPr="00A539E7">
        <w:tab/>
      </w:r>
      <w:r>
        <w:t>Véase la r</w:t>
      </w:r>
      <w:r w:rsidRPr="00184CB9">
        <w:rPr>
          <w:rFonts w:ascii="Times" w:hAnsi="Times"/>
          <w:color w:val="000000" w:themeColor="text1"/>
        </w:rPr>
        <w:t>esolución 68/268 de la Asamblea General</w:t>
      </w:r>
      <w:r w:rsidRPr="00A539E7">
        <w:t>.</w:t>
      </w:r>
    </w:p>
  </w:footnote>
  <w:footnote w:id="6">
    <w:p w14:paraId="5103E7F6" w14:textId="4EF9122B" w:rsidR="005B221D" w:rsidRPr="004B3599" w:rsidRDefault="005B221D" w:rsidP="005B221D">
      <w:pPr>
        <w:pStyle w:val="Textonotapie"/>
        <w:jc w:val="both"/>
        <w:rPr>
          <w:lang w:val="en-US"/>
        </w:rPr>
      </w:pPr>
      <w:r>
        <w:tab/>
      </w:r>
      <w:r>
        <w:rPr>
          <w:rStyle w:val="Refdenotaalpie"/>
        </w:rPr>
        <w:footnoteRef/>
      </w:r>
      <w:r w:rsidRPr="004B3599">
        <w:rPr>
          <w:lang w:val="en-US"/>
        </w:rPr>
        <w:t xml:space="preserve"> </w:t>
      </w:r>
      <w:r w:rsidRPr="004B3599">
        <w:rPr>
          <w:lang w:val="en-US"/>
        </w:rPr>
        <w:tab/>
      </w:r>
      <w:hyperlink r:id="rId4" w:history="1">
        <w:proofErr w:type="spellStart"/>
        <w:r w:rsidRPr="004B3599">
          <w:rPr>
            <w:rStyle w:val="Hipervnculo"/>
            <w:rFonts w:ascii="Times" w:hAnsi="Times"/>
            <w:lang w:val="en-US"/>
          </w:rPr>
          <w:t>CCPR</w:t>
        </w:r>
        <w:proofErr w:type="spellEnd"/>
        <w:r w:rsidRPr="004B3599">
          <w:rPr>
            <w:rStyle w:val="Hipervnculo"/>
            <w:rFonts w:ascii="Times" w:hAnsi="Times"/>
            <w:lang w:val="en-US"/>
          </w:rPr>
          <w:t>/C/NIC/CO/3</w:t>
        </w:r>
      </w:hyperlink>
      <w:r w:rsidRPr="004B3599">
        <w:rPr>
          <w:rFonts w:ascii="Times" w:hAnsi="Times"/>
          <w:lang w:val="en-US"/>
        </w:rPr>
        <w:t xml:space="preserve">, </w:t>
      </w:r>
      <w:proofErr w:type="spellStart"/>
      <w:r w:rsidRPr="004B3599">
        <w:rPr>
          <w:rFonts w:ascii="Times" w:hAnsi="Times"/>
          <w:lang w:val="en-US"/>
        </w:rPr>
        <w:t>párr</w:t>
      </w:r>
      <w:proofErr w:type="spellEnd"/>
      <w:r w:rsidRPr="004B3599">
        <w:rPr>
          <w:rFonts w:ascii="Times" w:hAnsi="Times"/>
          <w:lang w:val="en-US"/>
        </w:rPr>
        <w:t>. 13</w:t>
      </w:r>
      <w:r w:rsidRPr="004B3599">
        <w:rPr>
          <w:lang w:val="en-US"/>
        </w:rPr>
        <w:t>.</w:t>
      </w:r>
    </w:p>
  </w:footnote>
  <w:footnote w:id="7">
    <w:p w14:paraId="01AEF9E8" w14:textId="60C72377" w:rsidR="005B221D" w:rsidRPr="004B3599" w:rsidRDefault="005B221D" w:rsidP="005B221D">
      <w:pPr>
        <w:pStyle w:val="Textonotapie"/>
        <w:jc w:val="both"/>
        <w:rPr>
          <w:lang w:val="en-US"/>
        </w:rPr>
      </w:pPr>
      <w:r w:rsidRPr="004B3599">
        <w:rPr>
          <w:lang w:val="en-US"/>
        </w:rPr>
        <w:tab/>
      </w:r>
      <w:r>
        <w:rPr>
          <w:rStyle w:val="Refdenotaalpie"/>
        </w:rPr>
        <w:footnoteRef/>
      </w:r>
      <w:r w:rsidRPr="004B3599">
        <w:rPr>
          <w:lang w:val="en-US"/>
        </w:rPr>
        <w:t xml:space="preserve"> </w:t>
      </w:r>
      <w:r w:rsidRPr="004B3599">
        <w:rPr>
          <w:lang w:val="en-US"/>
        </w:rPr>
        <w:tab/>
      </w:r>
      <w:r w:rsidRPr="004B3599">
        <w:rPr>
          <w:rFonts w:ascii="Times" w:hAnsi="Times"/>
          <w:i/>
          <w:iCs/>
          <w:lang w:val="en-US"/>
        </w:rPr>
        <w:t>Ibid</w:t>
      </w:r>
      <w:r w:rsidRPr="004B3599">
        <w:rPr>
          <w:rFonts w:ascii="Times" w:hAnsi="Times"/>
          <w:lang w:val="en-US"/>
        </w:rPr>
        <w:t xml:space="preserve">., </w:t>
      </w:r>
      <w:proofErr w:type="spellStart"/>
      <w:r w:rsidRPr="004B3599">
        <w:rPr>
          <w:rFonts w:ascii="Times" w:hAnsi="Times"/>
          <w:lang w:val="en-US"/>
        </w:rPr>
        <w:t>párr</w:t>
      </w:r>
      <w:proofErr w:type="spellEnd"/>
      <w:r w:rsidRPr="004B3599">
        <w:rPr>
          <w:rFonts w:ascii="Times" w:hAnsi="Times"/>
          <w:lang w:val="en-US"/>
        </w:rPr>
        <w:t>. 14</w:t>
      </w:r>
      <w:r w:rsidRPr="004B3599">
        <w:rPr>
          <w:lang w:val="en-US"/>
        </w:rPr>
        <w:t>.</w:t>
      </w:r>
    </w:p>
  </w:footnote>
  <w:footnote w:id="8">
    <w:p w14:paraId="5E804F84" w14:textId="443AE0ED" w:rsidR="009F0CDA" w:rsidRPr="0038241F" w:rsidRDefault="009F0CDA" w:rsidP="009F0CDA">
      <w:pPr>
        <w:pStyle w:val="Textonotapie"/>
        <w:jc w:val="both"/>
        <w:rPr>
          <w:lang w:val="en-US"/>
        </w:rPr>
      </w:pPr>
      <w:r w:rsidRPr="0038241F">
        <w:rPr>
          <w:lang w:val="en-US"/>
        </w:rPr>
        <w:tab/>
      </w:r>
      <w:r>
        <w:rPr>
          <w:rStyle w:val="Refdenotaalpie"/>
        </w:rPr>
        <w:footnoteRef/>
      </w:r>
      <w:r w:rsidRPr="0038241F">
        <w:rPr>
          <w:lang w:val="en-US"/>
        </w:rPr>
        <w:t xml:space="preserve"> </w:t>
      </w:r>
      <w:r w:rsidRPr="0038241F">
        <w:rPr>
          <w:lang w:val="en-US"/>
        </w:rPr>
        <w:tab/>
      </w:r>
      <w:hyperlink r:id="rId5" w:history="1">
        <w:proofErr w:type="spellStart"/>
        <w:r w:rsidRPr="007D14C9">
          <w:rPr>
            <w:rStyle w:val="Hipervnculo"/>
            <w:lang w:val="en-US"/>
          </w:rPr>
          <w:t>CCPR</w:t>
        </w:r>
        <w:proofErr w:type="spellEnd"/>
        <w:r w:rsidRPr="007D14C9">
          <w:rPr>
            <w:rStyle w:val="Hipervnculo"/>
            <w:lang w:val="en-US"/>
          </w:rPr>
          <w:t>/C/NIC/4</w:t>
        </w:r>
      </w:hyperlink>
      <w:r w:rsidRPr="0038241F">
        <w:rPr>
          <w:rFonts w:ascii="Times" w:hAnsi="Times"/>
          <w:lang w:val="en-US"/>
        </w:rPr>
        <w:t xml:space="preserve">, </w:t>
      </w:r>
      <w:proofErr w:type="spellStart"/>
      <w:r w:rsidRPr="004B3599">
        <w:rPr>
          <w:lang w:val="en-US"/>
        </w:rPr>
        <w:t>párrs</w:t>
      </w:r>
      <w:proofErr w:type="spellEnd"/>
      <w:r w:rsidRPr="004B3599">
        <w:rPr>
          <w:lang w:val="en-US"/>
        </w:rPr>
        <w:t>. 68 a 70</w:t>
      </w:r>
      <w:r w:rsidRPr="0038241F">
        <w:rPr>
          <w:lang w:val="en-US"/>
        </w:rPr>
        <w:t>.</w:t>
      </w:r>
    </w:p>
  </w:footnote>
  <w:footnote w:id="9">
    <w:p w14:paraId="29DC3B0D" w14:textId="079FB6C0" w:rsidR="001E5C78" w:rsidRPr="004B3599" w:rsidRDefault="001E5C78" w:rsidP="001E5C78">
      <w:pPr>
        <w:pStyle w:val="Textonotapie"/>
        <w:jc w:val="both"/>
        <w:rPr>
          <w:lang w:val="en-US"/>
        </w:rPr>
      </w:pPr>
      <w:r w:rsidRPr="004B3599">
        <w:rPr>
          <w:lang w:val="en-US"/>
        </w:rPr>
        <w:tab/>
      </w:r>
      <w:r>
        <w:rPr>
          <w:rStyle w:val="Refdenotaalpie"/>
        </w:rPr>
        <w:footnoteRef/>
      </w:r>
      <w:r w:rsidRPr="004B3599">
        <w:rPr>
          <w:lang w:val="en-US"/>
        </w:rPr>
        <w:t xml:space="preserve"> </w:t>
      </w:r>
      <w:r w:rsidRPr="004B3599">
        <w:rPr>
          <w:lang w:val="en-US"/>
        </w:rPr>
        <w:tab/>
      </w:r>
      <w:r w:rsidR="009F0CDA" w:rsidRPr="004B3599">
        <w:rPr>
          <w:i/>
          <w:iCs/>
          <w:lang w:val="en-US"/>
        </w:rPr>
        <w:t>Ibid</w:t>
      </w:r>
      <w:r w:rsidR="009F0CDA" w:rsidRPr="004B3599">
        <w:rPr>
          <w:lang w:val="en-US"/>
        </w:rPr>
        <w:t>.</w:t>
      </w:r>
      <w:r w:rsidRPr="004B3599">
        <w:rPr>
          <w:rFonts w:ascii="Times" w:hAnsi="Times"/>
          <w:lang w:val="en-US"/>
        </w:rPr>
        <w:t xml:space="preserve">, </w:t>
      </w:r>
      <w:proofErr w:type="spellStart"/>
      <w:r w:rsidRPr="004B3599">
        <w:rPr>
          <w:rFonts w:ascii="Times" w:hAnsi="Times"/>
          <w:lang w:val="en-US"/>
        </w:rPr>
        <w:t>párr</w:t>
      </w:r>
      <w:proofErr w:type="spellEnd"/>
      <w:r w:rsidRPr="004B3599">
        <w:rPr>
          <w:rFonts w:ascii="Times" w:hAnsi="Times"/>
          <w:lang w:val="en-US"/>
        </w:rPr>
        <w:t>. 9</w:t>
      </w:r>
      <w:r w:rsidR="00420645" w:rsidRPr="004B3599">
        <w:rPr>
          <w:rFonts w:ascii="Times" w:hAnsi="Times"/>
          <w:lang w:val="en-US"/>
        </w:rPr>
        <w:t>2</w:t>
      </w:r>
      <w:r w:rsidRPr="004B3599">
        <w:rPr>
          <w:lang w:val="en-US"/>
        </w:rPr>
        <w:t>.</w:t>
      </w:r>
    </w:p>
  </w:footnote>
  <w:footnote w:id="10">
    <w:p w14:paraId="74388346" w14:textId="21D3ADC1" w:rsidR="00AF6B45" w:rsidRPr="00A539E7" w:rsidRDefault="00AF6B45" w:rsidP="00AF6B45">
      <w:pPr>
        <w:pStyle w:val="Textonotapie"/>
        <w:jc w:val="both"/>
      </w:pPr>
      <w:r w:rsidRPr="004B3599">
        <w:rPr>
          <w:lang w:val="en-US"/>
        </w:rPr>
        <w:tab/>
      </w:r>
      <w:r>
        <w:rPr>
          <w:rStyle w:val="Refdenotaalpie"/>
        </w:rPr>
        <w:footnoteRef/>
      </w:r>
      <w:r w:rsidRPr="004B3599">
        <w:rPr>
          <w:lang w:val="en-US"/>
        </w:rPr>
        <w:t xml:space="preserve"> </w:t>
      </w:r>
      <w:r w:rsidRPr="004B3599">
        <w:rPr>
          <w:lang w:val="en-US"/>
        </w:rPr>
        <w:tab/>
      </w:r>
      <w:hyperlink r:id="rId6" w:history="1">
        <w:proofErr w:type="spellStart"/>
        <w:r w:rsidRPr="004B3599">
          <w:rPr>
            <w:rStyle w:val="Hipervnculo"/>
            <w:rFonts w:ascii="Times" w:hAnsi="Times"/>
            <w:lang w:val="en-US"/>
          </w:rPr>
          <w:t>CCPR</w:t>
        </w:r>
        <w:proofErr w:type="spellEnd"/>
        <w:r w:rsidRPr="004B3599">
          <w:rPr>
            <w:rStyle w:val="Hipervnculo"/>
            <w:rFonts w:ascii="Times" w:hAnsi="Times"/>
            <w:lang w:val="en-US"/>
          </w:rPr>
          <w:t>/C/NIC/CO/3</w:t>
        </w:r>
      </w:hyperlink>
      <w:r w:rsidRPr="004B3599">
        <w:rPr>
          <w:rFonts w:ascii="Times" w:hAnsi="Times"/>
          <w:lang w:val="en-US"/>
        </w:rPr>
        <w:t xml:space="preserve">, </w:t>
      </w:r>
      <w:proofErr w:type="spellStart"/>
      <w:r w:rsidRPr="004B3599">
        <w:rPr>
          <w:rFonts w:ascii="Times" w:hAnsi="Times"/>
          <w:lang w:val="en-US"/>
        </w:rPr>
        <w:t>párr</w:t>
      </w:r>
      <w:proofErr w:type="spellEnd"/>
      <w:r w:rsidRPr="004B3599">
        <w:rPr>
          <w:rFonts w:ascii="Times" w:hAnsi="Times"/>
          <w:lang w:val="en-US"/>
        </w:rPr>
        <w:t xml:space="preserve">. </w:t>
      </w:r>
      <w:r w:rsidRPr="00184CB9">
        <w:rPr>
          <w:rFonts w:ascii="Times" w:hAnsi="Times"/>
        </w:rPr>
        <w:t>1</w:t>
      </w:r>
      <w:r>
        <w:rPr>
          <w:rFonts w:ascii="Times" w:hAnsi="Times"/>
        </w:rPr>
        <w:t>9</w:t>
      </w:r>
      <w:r w:rsidRPr="00A539E7">
        <w:t>.</w:t>
      </w:r>
    </w:p>
  </w:footnote>
  <w:footnote w:id="11">
    <w:p w14:paraId="162A3092" w14:textId="50BD8DCB" w:rsidR="00AF6B45" w:rsidRPr="00A539E7" w:rsidRDefault="00AF6B45" w:rsidP="00AF6B45">
      <w:pPr>
        <w:pStyle w:val="Textonotapie"/>
        <w:jc w:val="both"/>
      </w:pPr>
      <w:r>
        <w:tab/>
      </w:r>
      <w:r w:rsidRPr="00896E27">
        <w:rPr>
          <w:rStyle w:val="Refdenotaalpie"/>
        </w:rPr>
        <w:footnoteRef/>
      </w:r>
      <w:r w:rsidRPr="00896E27">
        <w:t xml:space="preserve"> </w:t>
      </w:r>
      <w:r w:rsidRPr="00896E27">
        <w:tab/>
      </w:r>
      <w:hyperlink r:id="rId7" w:history="1">
        <w:r w:rsidR="00896E27" w:rsidRPr="007D14C9">
          <w:rPr>
            <w:rStyle w:val="Hipervnculo"/>
          </w:rPr>
          <w:t>CCPR/C/104/2</w:t>
        </w:r>
      </w:hyperlink>
      <w:r w:rsidR="00896E27">
        <w:t>.</w:t>
      </w:r>
    </w:p>
  </w:footnote>
  <w:footnote w:id="12">
    <w:p w14:paraId="7651FD37" w14:textId="56A3CE6E" w:rsidR="003D17AE" w:rsidRDefault="00076D7F">
      <w:pPr>
        <w:pStyle w:val="Textonotapie"/>
      </w:pPr>
      <w:r>
        <w:tab/>
      </w:r>
      <w:r w:rsidR="003D17AE">
        <w:rPr>
          <w:rStyle w:val="Refdenotaalpie"/>
        </w:rPr>
        <w:footnoteRef/>
      </w:r>
      <w:r w:rsidR="003D17AE">
        <w:t xml:space="preserve"> </w:t>
      </w:r>
      <w:r>
        <w:tab/>
      </w:r>
      <w:r w:rsidR="003F5BCB">
        <w:t xml:space="preserve">Resolución </w:t>
      </w:r>
      <w:r w:rsidR="00D32C08">
        <w:rPr>
          <w:rStyle w:val="Hipervnculo"/>
        </w:rPr>
        <w:t xml:space="preserve">53/144 </w:t>
      </w:r>
      <w:r w:rsidR="003F5BCB">
        <w:t>de la Asamblea General</w:t>
      </w:r>
      <w:r w:rsidR="003F5BCB">
        <w:rPr>
          <w:rStyle w:val="Hipervnculo"/>
        </w:rPr>
        <w:t>.</w:t>
      </w:r>
    </w:p>
  </w:footnote>
  <w:footnote w:id="13">
    <w:p w14:paraId="27DEEA97" w14:textId="12F585EE" w:rsidR="00B643E1" w:rsidRPr="00A539E7" w:rsidRDefault="00B643E1" w:rsidP="00B643E1">
      <w:pPr>
        <w:pStyle w:val="Textonotapie"/>
        <w:jc w:val="both"/>
      </w:pPr>
      <w:r>
        <w:tab/>
      </w:r>
      <w:r>
        <w:rPr>
          <w:rStyle w:val="Refdenotaalpie"/>
        </w:rPr>
        <w:footnoteRef/>
      </w:r>
      <w:r w:rsidRPr="00A539E7">
        <w:t xml:space="preserve"> </w:t>
      </w:r>
      <w:r w:rsidRPr="00A539E7">
        <w:tab/>
      </w:r>
      <w:hyperlink r:id="rId8" w:history="1">
        <w:r w:rsidRPr="007D14C9">
          <w:rPr>
            <w:rStyle w:val="Hipervnculo"/>
          </w:rPr>
          <w:t>CCPR/C/NIC/4</w:t>
        </w:r>
      </w:hyperlink>
      <w:r w:rsidRPr="00184CB9">
        <w:rPr>
          <w:rFonts w:ascii="Times" w:hAnsi="Times"/>
        </w:rPr>
        <w:t xml:space="preserve">, párr. </w:t>
      </w:r>
      <w:r>
        <w:rPr>
          <w:rFonts w:ascii="Times" w:hAnsi="Times"/>
        </w:rPr>
        <w:t>8</w:t>
      </w:r>
      <w:r w:rsidRPr="00A539E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83A1" w14:textId="31784F94" w:rsidR="00BC2881" w:rsidRPr="00DD5762" w:rsidRDefault="00DD5762">
    <w:pPr>
      <w:pStyle w:val="Encabezado"/>
      <w:rPr>
        <w:lang w:val="en-GB"/>
      </w:rPr>
    </w:pPr>
    <w:r>
      <w:rPr>
        <w:lang w:val="en-GB"/>
      </w:rPr>
      <w:t>CCPR/C</w:t>
    </w:r>
    <w:r w:rsidR="009C68FD">
      <w:rPr>
        <w:lang w:val="en-GB"/>
      </w:rPr>
      <w:t>/NIC</w:t>
    </w:r>
    <w:r>
      <w:rPr>
        <w:lang w:val="en-GB"/>
      </w:rPr>
      <w:t>/CO/</w:t>
    </w:r>
    <w:r w:rsidR="009C68FD">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7FF4" w14:textId="62F65E99" w:rsidR="00BC2881" w:rsidRPr="00DD5762" w:rsidRDefault="00DD5762" w:rsidP="00BC2881">
    <w:pPr>
      <w:pStyle w:val="Encabezado"/>
      <w:jc w:val="right"/>
      <w:rPr>
        <w:lang w:val="en-GB"/>
      </w:rPr>
    </w:pPr>
    <w:r>
      <w:rPr>
        <w:lang w:val="en-GB"/>
      </w:rPr>
      <w:t>CCPR/C/</w:t>
    </w:r>
    <w:r w:rsidR="009C68FD">
      <w:rPr>
        <w:lang w:val="en-GB"/>
      </w:rPr>
      <w:t>NIC</w:t>
    </w:r>
    <w:r>
      <w:rPr>
        <w:lang w:val="en-GB"/>
      </w:rPr>
      <w:t>/CO/</w:t>
    </w:r>
    <w:r w:rsidR="009C68FD">
      <w:rPr>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B366A5"/>
    <w:multiLevelType w:val="hybridMultilevel"/>
    <w:tmpl w:val="F7C4E584"/>
    <w:lvl w:ilvl="0" w:tplc="07D619AA">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B6222E"/>
    <w:multiLevelType w:val="hybridMultilevel"/>
    <w:tmpl w:val="F372DFA8"/>
    <w:lvl w:ilvl="0" w:tplc="850E039A">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 w15:restartNumberingAfterBreak="0">
    <w:nsid w:val="0C942EE3"/>
    <w:multiLevelType w:val="hybridMultilevel"/>
    <w:tmpl w:val="A0F46304"/>
    <w:lvl w:ilvl="0" w:tplc="E22E7E1E">
      <w:start w:val="1"/>
      <w:numFmt w:val="lowerLetter"/>
      <w:lvlText w:val="%1)"/>
      <w:lvlJc w:val="left"/>
      <w:pPr>
        <w:ind w:left="2259" w:hanging="570"/>
      </w:pPr>
    </w:lvl>
    <w:lvl w:ilvl="1" w:tplc="08090019">
      <w:start w:val="1"/>
      <w:numFmt w:val="lowerLetter"/>
      <w:lvlText w:val="%2."/>
      <w:lvlJc w:val="left"/>
      <w:pPr>
        <w:ind w:left="2769" w:hanging="360"/>
      </w:pPr>
    </w:lvl>
    <w:lvl w:ilvl="2" w:tplc="0809001B">
      <w:start w:val="1"/>
      <w:numFmt w:val="lowerRoman"/>
      <w:lvlText w:val="%3."/>
      <w:lvlJc w:val="right"/>
      <w:pPr>
        <w:ind w:left="3489" w:hanging="180"/>
      </w:pPr>
    </w:lvl>
    <w:lvl w:ilvl="3" w:tplc="0809000F">
      <w:start w:val="1"/>
      <w:numFmt w:val="decimal"/>
      <w:lvlText w:val="%4."/>
      <w:lvlJc w:val="left"/>
      <w:pPr>
        <w:ind w:left="4209" w:hanging="360"/>
      </w:pPr>
    </w:lvl>
    <w:lvl w:ilvl="4" w:tplc="08090019">
      <w:start w:val="1"/>
      <w:numFmt w:val="lowerLetter"/>
      <w:lvlText w:val="%5."/>
      <w:lvlJc w:val="left"/>
      <w:pPr>
        <w:ind w:left="4929" w:hanging="360"/>
      </w:pPr>
    </w:lvl>
    <w:lvl w:ilvl="5" w:tplc="0809001B">
      <w:start w:val="1"/>
      <w:numFmt w:val="lowerRoman"/>
      <w:lvlText w:val="%6."/>
      <w:lvlJc w:val="right"/>
      <w:pPr>
        <w:ind w:left="5649" w:hanging="180"/>
      </w:pPr>
    </w:lvl>
    <w:lvl w:ilvl="6" w:tplc="0809000F">
      <w:start w:val="1"/>
      <w:numFmt w:val="decimal"/>
      <w:lvlText w:val="%7."/>
      <w:lvlJc w:val="left"/>
      <w:pPr>
        <w:ind w:left="6369" w:hanging="360"/>
      </w:pPr>
    </w:lvl>
    <w:lvl w:ilvl="7" w:tplc="08090019">
      <w:start w:val="1"/>
      <w:numFmt w:val="lowerLetter"/>
      <w:lvlText w:val="%8."/>
      <w:lvlJc w:val="left"/>
      <w:pPr>
        <w:ind w:left="7089" w:hanging="360"/>
      </w:pPr>
    </w:lvl>
    <w:lvl w:ilvl="8" w:tplc="0809001B">
      <w:start w:val="1"/>
      <w:numFmt w:val="lowerRoman"/>
      <w:lvlText w:val="%9."/>
      <w:lvlJc w:val="right"/>
      <w:pPr>
        <w:ind w:left="7809"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AC1A03"/>
    <w:multiLevelType w:val="hybridMultilevel"/>
    <w:tmpl w:val="5408335A"/>
    <w:lvl w:ilvl="0" w:tplc="A68E0FE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253EA"/>
    <w:multiLevelType w:val="hybridMultilevel"/>
    <w:tmpl w:val="0B029C40"/>
    <w:lvl w:ilvl="0" w:tplc="040A0017">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0FA67D13"/>
    <w:multiLevelType w:val="hybridMultilevel"/>
    <w:tmpl w:val="3E768920"/>
    <w:lvl w:ilvl="0" w:tplc="08090017">
      <w:start w:val="1"/>
      <w:numFmt w:val="lowerLetter"/>
      <w:lvlText w:val="%1)"/>
      <w:lvlJc w:val="left"/>
      <w:pPr>
        <w:ind w:left="108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FB832C9"/>
    <w:multiLevelType w:val="hybridMultilevel"/>
    <w:tmpl w:val="2B6C1CF4"/>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23C341F"/>
    <w:multiLevelType w:val="hybridMultilevel"/>
    <w:tmpl w:val="823814F6"/>
    <w:lvl w:ilvl="0" w:tplc="850E039A">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12737BE8"/>
    <w:multiLevelType w:val="hybridMultilevel"/>
    <w:tmpl w:val="55E6C21C"/>
    <w:lvl w:ilvl="0" w:tplc="667864D0">
      <w:start w:val="1"/>
      <w:numFmt w:val="decimal"/>
      <w:lvlText w:val="%1."/>
      <w:lvlJc w:val="left"/>
      <w:pPr>
        <w:ind w:left="1494" w:hanging="360"/>
      </w:pPr>
      <w:rPr>
        <w:rFonts w:hint="default"/>
        <w:sz w:val="20"/>
        <w:szCs w:val="20"/>
      </w:rPr>
    </w:lvl>
    <w:lvl w:ilvl="1" w:tplc="040A0019">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0" w15:restartNumberingAfterBreak="0">
    <w:nsid w:val="12864A10"/>
    <w:multiLevelType w:val="hybridMultilevel"/>
    <w:tmpl w:val="00760DA4"/>
    <w:lvl w:ilvl="0" w:tplc="850E039A">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FD0C15"/>
    <w:multiLevelType w:val="hybridMultilevel"/>
    <w:tmpl w:val="3DB6D74C"/>
    <w:lvl w:ilvl="0" w:tplc="87C62E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14A24523"/>
    <w:multiLevelType w:val="hybridMultilevel"/>
    <w:tmpl w:val="229619A0"/>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1E3DC8"/>
    <w:multiLevelType w:val="hybridMultilevel"/>
    <w:tmpl w:val="A13ACA02"/>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4510EF"/>
    <w:multiLevelType w:val="hybridMultilevel"/>
    <w:tmpl w:val="EA266608"/>
    <w:lvl w:ilvl="0" w:tplc="850E039A">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3C7ECA"/>
    <w:multiLevelType w:val="hybridMultilevel"/>
    <w:tmpl w:val="DEC8569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6861A1"/>
    <w:multiLevelType w:val="hybridMultilevel"/>
    <w:tmpl w:val="4318682C"/>
    <w:lvl w:ilvl="0" w:tplc="DBA26578">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7" w15:restartNumberingAfterBreak="0">
    <w:nsid w:val="1A1D710E"/>
    <w:multiLevelType w:val="hybridMultilevel"/>
    <w:tmpl w:val="DE0047AA"/>
    <w:lvl w:ilvl="0" w:tplc="850E039A">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C924691"/>
    <w:multiLevelType w:val="hybridMultilevel"/>
    <w:tmpl w:val="F8E4D68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0EC4426"/>
    <w:multiLevelType w:val="hybridMultilevel"/>
    <w:tmpl w:val="549ECABC"/>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106122E"/>
    <w:multiLevelType w:val="hybridMultilevel"/>
    <w:tmpl w:val="6B20276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1352A76"/>
    <w:multiLevelType w:val="hybridMultilevel"/>
    <w:tmpl w:val="38A0B9E0"/>
    <w:lvl w:ilvl="0" w:tplc="04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2DC01B1"/>
    <w:multiLevelType w:val="hybridMultilevel"/>
    <w:tmpl w:val="453C83D8"/>
    <w:lvl w:ilvl="0" w:tplc="850E039A">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3F2298D"/>
    <w:multiLevelType w:val="hybridMultilevel"/>
    <w:tmpl w:val="9FF0584A"/>
    <w:lvl w:ilvl="0" w:tplc="060C32E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4" w15:restartNumberingAfterBreak="0">
    <w:nsid w:val="271F7949"/>
    <w:multiLevelType w:val="hybridMultilevel"/>
    <w:tmpl w:val="682CD24A"/>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BD96AA8"/>
    <w:multiLevelType w:val="hybridMultilevel"/>
    <w:tmpl w:val="19BEF85A"/>
    <w:lvl w:ilvl="0" w:tplc="08090017">
      <w:start w:val="1"/>
      <w:numFmt w:val="lowerLetter"/>
      <w:lvlText w:val="%1)"/>
      <w:lvlJc w:val="left"/>
      <w:pPr>
        <w:ind w:left="1080" w:hanging="360"/>
      </w:pPr>
      <w:rPr>
        <w:b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2CBC75A0"/>
    <w:multiLevelType w:val="hybridMultilevel"/>
    <w:tmpl w:val="CF488F5E"/>
    <w:lvl w:ilvl="0" w:tplc="850E039A">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46E1054"/>
    <w:multiLevelType w:val="hybridMultilevel"/>
    <w:tmpl w:val="99AE31EE"/>
    <w:lvl w:ilvl="0" w:tplc="850E039A">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AA34C0"/>
    <w:multiLevelType w:val="hybridMultilevel"/>
    <w:tmpl w:val="C0E82454"/>
    <w:lvl w:ilvl="0" w:tplc="850E03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0E72019"/>
    <w:multiLevelType w:val="hybridMultilevel"/>
    <w:tmpl w:val="5622A83C"/>
    <w:lvl w:ilvl="0" w:tplc="85CC4422">
      <w:start w:val="1"/>
      <w:numFmt w:val="lowerLetter"/>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2" w15:restartNumberingAfterBreak="0">
    <w:nsid w:val="4369467C"/>
    <w:multiLevelType w:val="hybridMultilevel"/>
    <w:tmpl w:val="82C4020C"/>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8385133"/>
    <w:multiLevelType w:val="hybridMultilevel"/>
    <w:tmpl w:val="7EB689B4"/>
    <w:lvl w:ilvl="0" w:tplc="850E039A">
      <w:start w:val="1"/>
      <w:numFmt w:val="lowerLetter"/>
      <w:lvlText w:val="(%1)"/>
      <w:lvlJc w:val="left"/>
      <w:pPr>
        <w:ind w:left="108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9411413"/>
    <w:multiLevelType w:val="hybridMultilevel"/>
    <w:tmpl w:val="41886362"/>
    <w:lvl w:ilvl="0" w:tplc="79E0EFA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5" w15:restartNumberingAfterBreak="0">
    <w:nsid w:val="4FDC7E29"/>
    <w:multiLevelType w:val="hybridMultilevel"/>
    <w:tmpl w:val="8DCE9FD0"/>
    <w:lvl w:ilvl="0" w:tplc="850E039A">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7A771C7"/>
    <w:multiLevelType w:val="hybridMultilevel"/>
    <w:tmpl w:val="2020D090"/>
    <w:lvl w:ilvl="0" w:tplc="850E039A">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0F7596"/>
    <w:multiLevelType w:val="hybridMultilevel"/>
    <w:tmpl w:val="29CE26EC"/>
    <w:lvl w:ilvl="0" w:tplc="A71A22F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58BF7125"/>
    <w:multiLevelType w:val="hybridMultilevel"/>
    <w:tmpl w:val="C14E543C"/>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95013B4"/>
    <w:multiLevelType w:val="hybridMultilevel"/>
    <w:tmpl w:val="40F4255E"/>
    <w:lvl w:ilvl="0" w:tplc="850E03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5EB22448"/>
    <w:multiLevelType w:val="hybridMultilevel"/>
    <w:tmpl w:val="DFD6B542"/>
    <w:lvl w:ilvl="0" w:tplc="040A000F">
      <w:start w:val="1"/>
      <w:numFmt w:val="decimal"/>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52" w15:restartNumberingAfterBreak="0">
    <w:nsid w:val="64D63B2C"/>
    <w:multiLevelType w:val="hybridMultilevel"/>
    <w:tmpl w:val="A74A3B8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5AA07B9"/>
    <w:multiLevelType w:val="hybridMultilevel"/>
    <w:tmpl w:val="D834F2F6"/>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8CF11BB"/>
    <w:multiLevelType w:val="hybridMultilevel"/>
    <w:tmpl w:val="3C1A3520"/>
    <w:lvl w:ilvl="0" w:tplc="97CAB1D4">
      <w:start w:val="1"/>
      <w:numFmt w:val="decimal"/>
      <w:lvlText w:val="%1."/>
      <w:lvlJc w:val="left"/>
      <w:pPr>
        <w:ind w:left="360" w:hanging="360"/>
      </w:pPr>
      <w:rPr>
        <w:rFonts w:ascii="Times New Roman" w:hAnsi="Times New Roman"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AAA4D71"/>
    <w:multiLevelType w:val="hybridMultilevel"/>
    <w:tmpl w:val="67489EF6"/>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15:restartNumberingAfterBreak="0">
    <w:nsid w:val="7C0E7587"/>
    <w:multiLevelType w:val="hybridMultilevel"/>
    <w:tmpl w:val="30022F56"/>
    <w:lvl w:ilvl="0" w:tplc="040A0017">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0" w15:restartNumberingAfterBreak="0">
    <w:nsid w:val="7CA35296"/>
    <w:multiLevelType w:val="hybridMultilevel"/>
    <w:tmpl w:val="05E8E76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F983C77"/>
    <w:multiLevelType w:val="hybridMultilevel"/>
    <w:tmpl w:val="C92A0B8C"/>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FE12EA4"/>
    <w:multiLevelType w:val="hybridMultilevel"/>
    <w:tmpl w:val="2DFA3C82"/>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481525">
    <w:abstractNumId w:val="56"/>
  </w:num>
  <w:num w:numId="2" w16cid:durableId="1194617281">
    <w:abstractNumId w:val="38"/>
  </w:num>
  <w:num w:numId="3" w16cid:durableId="561596888">
    <w:abstractNumId w:val="58"/>
  </w:num>
  <w:num w:numId="4" w16cid:durableId="1805848793">
    <w:abstractNumId w:val="57"/>
  </w:num>
  <w:num w:numId="5" w16cid:durableId="1581981279">
    <w:abstractNumId w:val="50"/>
  </w:num>
  <w:num w:numId="6" w16cid:durableId="452755175">
    <w:abstractNumId w:val="8"/>
  </w:num>
  <w:num w:numId="7" w16cid:durableId="354499432">
    <w:abstractNumId w:val="3"/>
  </w:num>
  <w:num w:numId="8" w16cid:durableId="710375427">
    <w:abstractNumId w:val="2"/>
  </w:num>
  <w:num w:numId="9" w16cid:durableId="204800356">
    <w:abstractNumId w:val="1"/>
  </w:num>
  <w:num w:numId="10" w16cid:durableId="2017074146">
    <w:abstractNumId w:val="0"/>
  </w:num>
  <w:num w:numId="11" w16cid:durableId="67504378">
    <w:abstractNumId w:val="9"/>
  </w:num>
  <w:num w:numId="12" w16cid:durableId="1423070694">
    <w:abstractNumId w:val="7"/>
  </w:num>
  <w:num w:numId="13" w16cid:durableId="1194222186">
    <w:abstractNumId w:val="6"/>
  </w:num>
  <w:num w:numId="14" w16cid:durableId="791292687">
    <w:abstractNumId w:val="5"/>
  </w:num>
  <w:num w:numId="15" w16cid:durableId="18943989">
    <w:abstractNumId w:val="4"/>
  </w:num>
  <w:num w:numId="16" w16cid:durableId="1842157121">
    <w:abstractNumId w:val="13"/>
  </w:num>
  <w:num w:numId="17" w16cid:durableId="919752102">
    <w:abstractNumId w:val="56"/>
  </w:num>
  <w:num w:numId="18" w16cid:durableId="161553133">
    <w:abstractNumId w:val="38"/>
  </w:num>
  <w:num w:numId="19" w16cid:durableId="1202199">
    <w:abstractNumId w:val="13"/>
  </w:num>
  <w:num w:numId="20" w16cid:durableId="1719865007">
    <w:abstractNumId w:val="58"/>
  </w:num>
  <w:num w:numId="21" w16cid:durableId="4208739">
    <w:abstractNumId w:val="57"/>
  </w:num>
  <w:num w:numId="22" w16cid:durableId="236089003">
    <w:abstractNumId w:val="40"/>
  </w:num>
  <w:num w:numId="23" w16cid:durableId="138504021">
    <w:abstractNumId w:val="40"/>
  </w:num>
  <w:num w:numId="24" w16cid:durableId="1314867608">
    <w:abstractNumId w:val="50"/>
  </w:num>
  <w:num w:numId="25" w16cid:durableId="922107877">
    <w:abstractNumId w:val="9"/>
  </w:num>
  <w:num w:numId="26" w16cid:durableId="470758195">
    <w:abstractNumId w:val="7"/>
  </w:num>
  <w:num w:numId="27" w16cid:durableId="1856915150">
    <w:abstractNumId w:val="6"/>
  </w:num>
  <w:num w:numId="28" w16cid:durableId="1435129679">
    <w:abstractNumId w:val="5"/>
  </w:num>
  <w:num w:numId="29" w16cid:durableId="1424450211">
    <w:abstractNumId w:val="4"/>
  </w:num>
  <w:num w:numId="30" w16cid:durableId="2033455949">
    <w:abstractNumId w:val="8"/>
  </w:num>
  <w:num w:numId="31" w16cid:durableId="1804038155">
    <w:abstractNumId w:val="3"/>
  </w:num>
  <w:num w:numId="32" w16cid:durableId="1590118437">
    <w:abstractNumId w:val="2"/>
  </w:num>
  <w:num w:numId="33" w16cid:durableId="1061097872">
    <w:abstractNumId w:val="1"/>
  </w:num>
  <w:num w:numId="34" w16cid:durableId="1128207037">
    <w:abstractNumId w:val="0"/>
  </w:num>
  <w:num w:numId="35" w16cid:durableId="1910919885">
    <w:abstractNumId w:val="21"/>
  </w:num>
  <w:num w:numId="36" w16cid:durableId="5870805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70516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98361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8177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8707369">
    <w:abstractNumId w:val="14"/>
  </w:num>
  <w:num w:numId="41" w16cid:durableId="3815163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19180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3254673">
    <w:abstractNumId w:val="19"/>
  </w:num>
  <w:num w:numId="44" w16cid:durableId="2175650">
    <w:abstractNumId w:val="12"/>
  </w:num>
  <w:num w:numId="45" w16cid:durableId="1726834537">
    <w:abstractNumId w:val="51"/>
  </w:num>
  <w:num w:numId="46" w16cid:durableId="986978940">
    <w:abstractNumId w:val="47"/>
  </w:num>
  <w:num w:numId="47" w16cid:durableId="849299256">
    <w:abstractNumId w:val="10"/>
  </w:num>
  <w:num w:numId="48" w16cid:durableId="1854879449">
    <w:abstractNumId w:val="54"/>
  </w:num>
  <w:num w:numId="49" w16cid:durableId="1634360829">
    <w:abstractNumId w:val="59"/>
  </w:num>
  <w:num w:numId="50" w16cid:durableId="1104614290">
    <w:abstractNumId w:val="15"/>
  </w:num>
  <w:num w:numId="51" w16cid:durableId="2130513862">
    <w:abstractNumId w:val="22"/>
  </w:num>
  <w:num w:numId="52" w16cid:durableId="356320084">
    <w:abstractNumId w:val="30"/>
  </w:num>
  <w:num w:numId="53" w16cid:durableId="1790663911">
    <w:abstractNumId w:val="49"/>
  </w:num>
  <w:num w:numId="54" w16cid:durableId="79497556">
    <w:abstractNumId w:val="35"/>
  </w:num>
  <w:num w:numId="55" w16cid:durableId="1535539724">
    <w:abstractNumId w:val="34"/>
  </w:num>
  <w:num w:numId="56" w16cid:durableId="1429882769">
    <w:abstractNumId w:val="16"/>
  </w:num>
  <w:num w:numId="57" w16cid:durableId="159080904">
    <w:abstractNumId w:val="62"/>
  </w:num>
  <w:num w:numId="58" w16cid:durableId="784076677">
    <w:abstractNumId w:val="43"/>
  </w:num>
  <w:num w:numId="59" w16cid:durableId="245765655">
    <w:abstractNumId w:val="28"/>
  </w:num>
  <w:num w:numId="60" w16cid:durableId="919605246">
    <w:abstractNumId w:val="45"/>
  </w:num>
  <w:num w:numId="61" w16cid:durableId="1923952655">
    <w:abstractNumId w:val="52"/>
  </w:num>
  <w:num w:numId="62" w16cid:durableId="1928924483">
    <w:abstractNumId w:val="32"/>
  </w:num>
  <w:num w:numId="63" w16cid:durableId="667101900">
    <w:abstractNumId w:val="55"/>
  </w:num>
  <w:num w:numId="64" w16cid:durableId="1787387657">
    <w:abstractNumId w:val="25"/>
  </w:num>
  <w:num w:numId="65" w16cid:durableId="2104832828">
    <w:abstractNumId w:val="37"/>
  </w:num>
  <w:num w:numId="66" w16cid:durableId="168756776">
    <w:abstractNumId w:val="23"/>
  </w:num>
  <w:num w:numId="67" w16cid:durableId="1222599273">
    <w:abstractNumId w:val="18"/>
  </w:num>
  <w:num w:numId="68" w16cid:durableId="2044094386">
    <w:abstractNumId w:val="42"/>
  </w:num>
  <w:num w:numId="69" w16cid:durableId="291399042">
    <w:abstractNumId w:val="60"/>
  </w:num>
  <w:num w:numId="70" w16cid:durableId="1131829180">
    <w:abstractNumId w:val="29"/>
  </w:num>
  <w:num w:numId="71" w16cid:durableId="1882208455">
    <w:abstractNumId w:val="31"/>
  </w:num>
  <w:num w:numId="72" w16cid:durableId="1378818825">
    <w:abstractNumId w:val="46"/>
  </w:num>
  <w:num w:numId="73" w16cid:durableId="1026640817">
    <w:abstractNumId w:val="48"/>
  </w:num>
  <w:num w:numId="74" w16cid:durableId="245463153">
    <w:abstractNumId w:val="20"/>
  </w:num>
  <w:num w:numId="75" w16cid:durableId="277832127">
    <w:abstractNumId w:val="61"/>
  </w:num>
  <w:num w:numId="76" w16cid:durableId="173230123">
    <w:abstractNumId w:val="36"/>
  </w:num>
  <w:num w:numId="77" w16cid:durableId="317540778">
    <w:abstractNumId w:val="24"/>
  </w:num>
  <w:num w:numId="78" w16cid:durableId="70976143">
    <w:abstractNumId w:val="53"/>
  </w:num>
  <w:num w:numId="79" w16cid:durableId="1760832692">
    <w:abstractNumId w:val="17"/>
  </w:num>
  <w:num w:numId="80" w16cid:durableId="934359022">
    <w:abstractNumId w:val="11"/>
  </w:num>
  <w:num w:numId="81" w16cid:durableId="1164004282">
    <w:abstractNumId w:val="27"/>
  </w:num>
  <w:num w:numId="82" w16cid:durableId="361901627">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07"/>
    <w:rsid w:val="0000529E"/>
    <w:rsid w:val="0000614B"/>
    <w:rsid w:val="00006BB9"/>
    <w:rsid w:val="000143C4"/>
    <w:rsid w:val="00015E2B"/>
    <w:rsid w:val="00020F91"/>
    <w:rsid w:val="0002156A"/>
    <w:rsid w:val="00021C3A"/>
    <w:rsid w:val="000348D1"/>
    <w:rsid w:val="0005274F"/>
    <w:rsid w:val="00055FBE"/>
    <w:rsid w:val="000609B0"/>
    <w:rsid w:val="00066A9C"/>
    <w:rsid w:val="00074C25"/>
    <w:rsid w:val="00076A4E"/>
    <w:rsid w:val="00076D7F"/>
    <w:rsid w:val="00081A8B"/>
    <w:rsid w:val="00092F99"/>
    <w:rsid w:val="000949CF"/>
    <w:rsid w:val="00095C84"/>
    <w:rsid w:val="000A36A2"/>
    <w:rsid w:val="000A4B46"/>
    <w:rsid w:val="000B3016"/>
    <w:rsid w:val="000B3CBC"/>
    <w:rsid w:val="000B57E7"/>
    <w:rsid w:val="000B6863"/>
    <w:rsid w:val="000E0E64"/>
    <w:rsid w:val="000F09DF"/>
    <w:rsid w:val="000F5818"/>
    <w:rsid w:val="000F61B2"/>
    <w:rsid w:val="00100455"/>
    <w:rsid w:val="0010449D"/>
    <w:rsid w:val="001075E9"/>
    <w:rsid w:val="00130A59"/>
    <w:rsid w:val="00135B75"/>
    <w:rsid w:val="0014554F"/>
    <w:rsid w:val="0016065D"/>
    <w:rsid w:val="00160851"/>
    <w:rsid w:val="00160A05"/>
    <w:rsid w:val="00160FF7"/>
    <w:rsid w:val="00161843"/>
    <w:rsid w:val="00170FFE"/>
    <w:rsid w:val="001772AC"/>
    <w:rsid w:val="00180183"/>
    <w:rsid w:val="00182AA0"/>
    <w:rsid w:val="00184CB9"/>
    <w:rsid w:val="00192C21"/>
    <w:rsid w:val="00192E69"/>
    <w:rsid w:val="00196389"/>
    <w:rsid w:val="001A1F00"/>
    <w:rsid w:val="001A4EAA"/>
    <w:rsid w:val="001A5966"/>
    <w:rsid w:val="001B16A4"/>
    <w:rsid w:val="001C30FD"/>
    <w:rsid w:val="001C3EA4"/>
    <w:rsid w:val="001C7A89"/>
    <w:rsid w:val="001E418F"/>
    <w:rsid w:val="001E5775"/>
    <w:rsid w:val="001E5C78"/>
    <w:rsid w:val="001F4768"/>
    <w:rsid w:val="00200596"/>
    <w:rsid w:val="00204E0F"/>
    <w:rsid w:val="00215B3E"/>
    <w:rsid w:val="0022765D"/>
    <w:rsid w:val="00230C93"/>
    <w:rsid w:val="00234323"/>
    <w:rsid w:val="002355E7"/>
    <w:rsid w:val="00240264"/>
    <w:rsid w:val="00256CE8"/>
    <w:rsid w:val="00257C11"/>
    <w:rsid w:val="00261BC1"/>
    <w:rsid w:val="00262A2A"/>
    <w:rsid w:val="0029593A"/>
    <w:rsid w:val="002A061F"/>
    <w:rsid w:val="002A2EFC"/>
    <w:rsid w:val="002A4642"/>
    <w:rsid w:val="002A6FA7"/>
    <w:rsid w:val="002A7F93"/>
    <w:rsid w:val="002B5B31"/>
    <w:rsid w:val="002B7F1D"/>
    <w:rsid w:val="002C0E18"/>
    <w:rsid w:val="002C33BB"/>
    <w:rsid w:val="002C77DC"/>
    <w:rsid w:val="002D30BC"/>
    <w:rsid w:val="002D5AAC"/>
    <w:rsid w:val="002D7C8D"/>
    <w:rsid w:val="002E092A"/>
    <w:rsid w:val="002E10EE"/>
    <w:rsid w:val="002F13FE"/>
    <w:rsid w:val="002F61C2"/>
    <w:rsid w:val="00301299"/>
    <w:rsid w:val="00322004"/>
    <w:rsid w:val="003333D1"/>
    <w:rsid w:val="003369BF"/>
    <w:rsid w:val="00337F32"/>
    <w:rsid w:val="003402C2"/>
    <w:rsid w:val="00344D77"/>
    <w:rsid w:val="00355229"/>
    <w:rsid w:val="0035524B"/>
    <w:rsid w:val="0036261E"/>
    <w:rsid w:val="00366880"/>
    <w:rsid w:val="00367627"/>
    <w:rsid w:val="00367EB9"/>
    <w:rsid w:val="0037235F"/>
    <w:rsid w:val="00381C24"/>
    <w:rsid w:val="00390BF0"/>
    <w:rsid w:val="00393B10"/>
    <w:rsid w:val="003943CC"/>
    <w:rsid w:val="003958D0"/>
    <w:rsid w:val="003A4B32"/>
    <w:rsid w:val="003A539C"/>
    <w:rsid w:val="003C77AA"/>
    <w:rsid w:val="003D17AE"/>
    <w:rsid w:val="003D4623"/>
    <w:rsid w:val="003D4D79"/>
    <w:rsid w:val="003E1F6E"/>
    <w:rsid w:val="003E2DC4"/>
    <w:rsid w:val="003F05C5"/>
    <w:rsid w:val="003F5BCB"/>
    <w:rsid w:val="00400795"/>
    <w:rsid w:val="00402AEE"/>
    <w:rsid w:val="004039A7"/>
    <w:rsid w:val="004055D9"/>
    <w:rsid w:val="004068A6"/>
    <w:rsid w:val="00410606"/>
    <w:rsid w:val="00411A36"/>
    <w:rsid w:val="00416BE8"/>
    <w:rsid w:val="00420645"/>
    <w:rsid w:val="00423363"/>
    <w:rsid w:val="00452224"/>
    <w:rsid w:val="00454E07"/>
    <w:rsid w:val="004561DC"/>
    <w:rsid w:val="004566C1"/>
    <w:rsid w:val="00465B83"/>
    <w:rsid w:val="00466520"/>
    <w:rsid w:val="00472873"/>
    <w:rsid w:val="00472EE4"/>
    <w:rsid w:val="00473324"/>
    <w:rsid w:val="004744DF"/>
    <w:rsid w:val="004875CF"/>
    <w:rsid w:val="00494F93"/>
    <w:rsid w:val="004A3FD9"/>
    <w:rsid w:val="004B3599"/>
    <w:rsid w:val="004B5F53"/>
    <w:rsid w:val="004C3B8E"/>
    <w:rsid w:val="004C5D48"/>
    <w:rsid w:val="004C653F"/>
    <w:rsid w:val="004D4F5C"/>
    <w:rsid w:val="004E2577"/>
    <w:rsid w:val="004E4B46"/>
    <w:rsid w:val="004F4DEC"/>
    <w:rsid w:val="004F5F74"/>
    <w:rsid w:val="0050108D"/>
    <w:rsid w:val="00503897"/>
    <w:rsid w:val="0051202B"/>
    <w:rsid w:val="00513180"/>
    <w:rsid w:val="00516A07"/>
    <w:rsid w:val="005246B6"/>
    <w:rsid w:val="00527332"/>
    <w:rsid w:val="00545916"/>
    <w:rsid w:val="00555073"/>
    <w:rsid w:val="0056146B"/>
    <w:rsid w:val="0056787C"/>
    <w:rsid w:val="00572E19"/>
    <w:rsid w:val="005748E1"/>
    <w:rsid w:val="00583C2D"/>
    <w:rsid w:val="005A2835"/>
    <w:rsid w:val="005B1481"/>
    <w:rsid w:val="005B1EF1"/>
    <w:rsid w:val="005B221D"/>
    <w:rsid w:val="005B3E01"/>
    <w:rsid w:val="005D0054"/>
    <w:rsid w:val="005D4F71"/>
    <w:rsid w:val="005F0378"/>
    <w:rsid w:val="005F0B42"/>
    <w:rsid w:val="006000B4"/>
    <w:rsid w:val="0061365E"/>
    <w:rsid w:val="0061396D"/>
    <w:rsid w:val="00613A55"/>
    <w:rsid w:val="00614642"/>
    <w:rsid w:val="00617BDD"/>
    <w:rsid w:val="006224EB"/>
    <w:rsid w:val="00631CE4"/>
    <w:rsid w:val="00634A8C"/>
    <w:rsid w:val="00645D60"/>
    <w:rsid w:val="00650DFE"/>
    <w:rsid w:val="00654711"/>
    <w:rsid w:val="00654D50"/>
    <w:rsid w:val="00655A21"/>
    <w:rsid w:val="00656009"/>
    <w:rsid w:val="0065680F"/>
    <w:rsid w:val="00657317"/>
    <w:rsid w:val="00660CE8"/>
    <w:rsid w:val="0066207B"/>
    <w:rsid w:val="006808A9"/>
    <w:rsid w:val="00684E97"/>
    <w:rsid w:val="00695C38"/>
    <w:rsid w:val="006A09D3"/>
    <w:rsid w:val="006A21C2"/>
    <w:rsid w:val="006B7E8B"/>
    <w:rsid w:val="006D4CD5"/>
    <w:rsid w:val="006E6C73"/>
    <w:rsid w:val="006F310B"/>
    <w:rsid w:val="006F35EE"/>
    <w:rsid w:val="006F38AC"/>
    <w:rsid w:val="00700F07"/>
    <w:rsid w:val="007021FF"/>
    <w:rsid w:val="00706941"/>
    <w:rsid w:val="007076CB"/>
    <w:rsid w:val="007138C3"/>
    <w:rsid w:val="00716DD8"/>
    <w:rsid w:val="00721764"/>
    <w:rsid w:val="0072393E"/>
    <w:rsid w:val="00724BB9"/>
    <w:rsid w:val="00724D94"/>
    <w:rsid w:val="007316C8"/>
    <w:rsid w:val="00733FE6"/>
    <w:rsid w:val="007340DD"/>
    <w:rsid w:val="007345B8"/>
    <w:rsid w:val="00742364"/>
    <w:rsid w:val="00756006"/>
    <w:rsid w:val="00756DBF"/>
    <w:rsid w:val="007613F8"/>
    <w:rsid w:val="00764C45"/>
    <w:rsid w:val="00792460"/>
    <w:rsid w:val="00793768"/>
    <w:rsid w:val="007967DF"/>
    <w:rsid w:val="007A0D9C"/>
    <w:rsid w:val="007A7D68"/>
    <w:rsid w:val="007C66BF"/>
    <w:rsid w:val="007C7233"/>
    <w:rsid w:val="007D14C9"/>
    <w:rsid w:val="007D33E8"/>
    <w:rsid w:val="007D78EB"/>
    <w:rsid w:val="007E0EFF"/>
    <w:rsid w:val="007F59F8"/>
    <w:rsid w:val="00802A70"/>
    <w:rsid w:val="0080502D"/>
    <w:rsid w:val="00811D91"/>
    <w:rsid w:val="00815D16"/>
    <w:rsid w:val="00825D86"/>
    <w:rsid w:val="00834B71"/>
    <w:rsid w:val="00840871"/>
    <w:rsid w:val="008440F2"/>
    <w:rsid w:val="008450BB"/>
    <w:rsid w:val="00851099"/>
    <w:rsid w:val="00863C95"/>
    <w:rsid w:val="0086445C"/>
    <w:rsid w:val="00880F2E"/>
    <w:rsid w:val="00884B19"/>
    <w:rsid w:val="00887BA6"/>
    <w:rsid w:val="008950D7"/>
    <w:rsid w:val="00896E27"/>
    <w:rsid w:val="008A08D7"/>
    <w:rsid w:val="008A0DDD"/>
    <w:rsid w:val="008A13F9"/>
    <w:rsid w:val="008B254F"/>
    <w:rsid w:val="008B59A6"/>
    <w:rsid w:val="008D0F7F"/>
    <w:rsid w:val="008D5DB6"/>
    <w:rsid w:val="008E2CF9"/>
    <w:rsid w:val="008E6767"/>
    <w:rsid w:val="008F2D4A"/>
    <w:rsid w:val="00901A63"/>
    <w:rsid w:val="00906890"/>
    <w:rsid w:val="009143AC"/>
    <w:rsid w:val="00916396"/>
    <w:rsid w:val="00927916"/>
    <w:rsid w:val="00932749"/>
    <w:rsid w:val="00946AEA"/>
    <w:rsid w:val="00951972"/>
    <w:rsid w:val="00952A79"/>
    <w:rsid w:val="00955519"/>
    <w:rsid w:val="00956FDE"/>
    <w:rsid w:val="00962638"/>
    <w:rsid w:val="00962B59"/>
    <w:rsid w:val="00963777"/>
    <w:rsid w:val="00965ECA"/>
    <w:rsid w:val="00971F1A"/>
    <w:rsid w:val="009763A6"/>
    <w:rsid w:val="009822E7"/>
    <w:rsid w:val="009946B1"/>
    <w:rsid w:val="009A1C7B"/>
    <w:rsid w:val="009A77B4"/>
    <w:rsid w:val="009B4288"/>
    <w:rsid w:val="009B452A"/>
    <w:rsid w:val="009B4E5E"/>
    <w:rsid w:val="009B518A"/>
    <w:rsid w:val="009B5B63"/>
    <w:rsid w:val="009B71F8"/>
    <w:rsid w:val="009C1682"/>
    <w:rsid w:val="009C4CEF"/>
    <w:rsid w:val="009C68FD"/>
    <w:rsid w:val="009C77A7"/>
    <w:rsid w:val="009D595E"/>
    <w:rsid w:val="009D72AD"/>
    <w:rsid w:val="009E221B"/>
    <w:rsid w:val="009E70F1"/>
    <w:rsid w:val="009F0CDA"/>
    <w:rsid w:val="00A119AF"/>
    <w:rsid w:val="00A13853"/>
    <w:rsid w:val="00A16B37"/>
    <w:rsid w:val="00A1775F"/>
    <w:rsid w:val="00A17DFD"/>
    <w:rsid w:val="00A33022"/>
    <w:rsid w:val="00A3607F"/>
    <w:rsid w:val="00A429E9"/>
    <w:rsid w:val="00A5373D"/>
    <w:rsid w:val="00A539E7"/>
    <w:rsid w:val="00A545B3"/>
    <w:rsid w:val="00A574CE"/>
    <w:rsid w:val="00A70326"/>
    <w:rsid w:val="00A70CE1"/>
    <w:rsid w:val="00A74527"/>
    <w:rsid w:val="00A81257"/>
    <w:rsid w:val="00A8278B"/>
    <w:rsid w:val="00A8665E"/>
    <w:rsid w:val="00A901E1"/>
    <w:rsid w:val="00A917B3"/>
    <w:rsid w:val="00A93CD6"/>
    <w:rsid w:val="00A96FDB"/>
    <w:rsid w:val="00AA5EBB"/>
    <w:rsid w:val="00AB0244"/>
    <w:rsid w:val="00AB4B51"/>
    <w:rsid w:val="00AB5182"/>
    <w:rsid w:val="00AD59C5"/>
    <w:rsid w:val="00AD5EE0"/>
    <w:rsid w:val="00AE02C7"/>
    <w:rsid w:val="00AE0E02"/>
    <w:rsid w:val="00AE4CC4"/>
    <w:rsid w:val="00AF05A1"/>
    <w:rsid w:val="00AF176F"/>
    <w:rsid w:val="00AF6B45"/>
    <w:rsid w:val="00B02DF1"/>
    <w:rsid w:val="00B0548C"/>
    <w:rsid w:val="00B1039E"/>
    <w:rsid w:val="00B10CC7"/>
    <w:rsid w:val="00B17462"/>
    <w:rsid w:val="00B22D73"/>
    <w:rsid w:val="00B43ED2"/>
    <w:rsid w:val="00B470BC"/>
    <w:rsid w:val="00B47A8F"/>
    <w:rsid w:val="00B511D3"/>
    <w:rsid w:val="00B53538"/>
    <w:rsid w:val="00B62458"/>
    <w:rsid w:val="00B643E1"/>
    <w:rsid w:val="00B737A4"/>
    <w:rsid w:val="00B81C66"/>
    <w:rsid w:val="00BA1CBB"/>
    <w:rsid w:val="00BA2202"/>
    <w:rsid w:val="00BB3D0C"/>
    <w:rsid w:val="00BB5715"/>
    <w:rsid w:val="00BC2881"/>
    <w:rsid w:val="00BD33EE"/>
    <w:rsid w:val="00BE1D60"/>
    <w:rsid w:val="00C10536"/>
    <w:rsid w:val="00C174E6"/>
    <w:rsid w:val="00C215EA"/>
    <w:rsid w:val="00C2215B"/>
    <w:rsid w:val="00C27ECE"/>
    <w:rsid w:val="00C33381"/>
    <w:rsid w:val="00C360C5"/>
    <w:rsid w:val="00C43048"/>
    <w:rsid w:val="00C55E71"/>
    <w:rsid w:val="00C56FC7"/>
    <w:rsid w:val="00C60F0C"/>
    <w:rsid w:val="00C66AA2"/>
    <w:rsid w:val="00C76505"/>
    <w:rsid w:val="00C77D49"/>
    <w:rsid w:val="00C805C9"/>
    <w:rsid w:val="00C8194B"/>
    <w:rsid w:val="00C91D42"/>
    <w:rsid w:val="00C92517"/>
    <w:rsid w:val="00CA1679"/>
    <w:rsid w:val="00CA1E36"/>
    <w:rsid w:val="00CC0B02"/>
    <w:rsid w:val="00CC0E0F"/>
    <w:rsid w:val="00CC5B46"/>
    <w:rsid w:val="00CE4677"/>
    <w:rsid w:val="00CE5E58"/>
    <w:rsid w:val="00CE655D"/>
    <w:rsid w:val="00CF58FC"/>
    <w:rsid w:val="00D03CDF"/>
    <w:rsid w:val="00D06971"/>
    <w:rsid w:val="00D15125"/>
    <w:rsid w:val="00D32C08"/>
    <w:rsid w:val="00D36B6D"/>
    <w:rsid w:val="00D47CE7"/>
    <w:rsid w:val="00D5042C"/>
    <w:rsid w:val="00D60B4B"/>
    <w:rsid w:val="00D809C0"/>
    <w:rsid w:val="00D80BBB"/>
    <w:rsid w:val="00D84855"/>
    <w:rsid w:val="00D90138"/>
    <w:rsid w:val="00DA3996"/>
    <w:rsid w:val="00DA5CB6"/>
    <w:rsid w:val="00DB43E8"/>
    <w:rsid w:val="00DC3A91"/>
    <w:rsid w:val="00DC633D"/>
    <w:rsid w:val="00DD2A33"/>
    <w:rsid w:val="00DD401E"/>
    <w:rsid w:val="00DD5762"/>
    <w:rsid w:val="00DE44AD"/>
    <w:rsid w:val="00DE5315"/>
    <w:rsid w:val="00DE5DEB"/>
    <w:rsid w:val="00DF49B5"/>
    <w:rsid w:val="00DF622C"/>
    <w:rsid w:val="00E16E9A"/>
    <w:rsid w:val="00E25E08"/>
    <w:rsid w:val="00E27F3D"/>
    <w:rsid w:val="00E34B50"/>
    <w:rsid w:val="00E37585"/>
    <w:rsid w:val="00E37754"/>
    <w:rsid w:val="00E46797"/>
    <w:rsid w:val="00E50CFF"/>
    <w:rsid w:val="00E5454F"/>
    <w:rsid w:val="00E63F63"/>
    <w:rsid w:val="00E64969"/>
    <w:rsid w:val="00E67F58"/>
    <w:rsid w:val="00E73F76"/>
    <w:rsid w:val="00E90438"/>
    <w:rsid w:val="00E91FA5"/>
    <w:rsid w:val="00EA164F"/>
    <w:rsid w:val="00ED3E3E"/>
    <w:rsid w:val="00EF007D"/>
    <w:rsid w:val="00EF1360"/>
    <w:rsid w:val="00EF3220"/>
    <w:rsid w:val="00F022CC"/>
    <w:rsid w:val="00F32439"/>
    <w:rsid w:val="00F37024"/>
    <w:rsid w:val="00F41E21"/>
    <w:rsid w:val="00F428BB"/>
    <w:rsid w:val="00F44B33"/>
    <w:rsid w:val="00F55163"/>
    <w:rsid w:val="00F566F2"/>
    <w:rsid w:val="00F803DE"/>
    <w:rsid w:val="00F91CAE"/>
    <w:rsid w:val="00F94155"/>
    <w:rsid w:val="00FB305C"/>
    <w:rsid w:val="00FC54BC"/>
    <w:rsid w:val="00FD0A77"/>
    <w:rsid w:val="00FD1142"/>
    <w:rsid w:val="00FD2EF7"/>
    <w:rsid w:val="00FD4AD6"/>
    <w:rsid w:val="00FE1915"/>
    <w:rsid w:val="00FE234C"/>
    <w:rsid w:val="00FF1E5D"/>
    <w:rsid w:val="00FF28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C1331"/>
  <w15:docId w15:val="{DACA56BF-E602-4B35-8D41-58C2AD78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Appel note de bas de page,referencia nota al pie,BVI fnr,Footnote number,Ref. de nota al pie.,16 Point,Superscript 6 Point,Texto nota al pie,Footnote Reference Char3,Footnote symbol"/>
    <w:qFormat/>
    <w:rsid w:val="00BB3D0C"/>
    <w:rPr>
      <w:rFonts w:ascii="Times New Roman" w:hAnsi="Times New Roman"/>
      <w:sz w:val="18"/>
      <w:vertAlign w:val="superscript"/>
    </w:rPr>
  </w:style>
  <w:style w:type="paragraph" w:customStyle="1" w:styleId="HMG">
    <w:name w:val="_ H __M_G"/>
    <w:basedOn w:val="Normal"/>
    <w:next w:val="Normal"/>
    <w:link w:val="HMGChar"/>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B3D0C"/>
    <w:pPr>
      <w:keepNext/>
      <w:keepLines/>
      <w:spacing w:before="240" w:after="240" w:line="580" w:lineRule="exact"/>
      <w:ind w:left="1134" w:right="1134"/>
    </w:pPr>
    <w:rPr>
      <w:b/>
      <w:sz w:val="56"/>
    </w:rPr>
  </w:style>
  <w:style w:type="paragraph" w:customStyle="1" w:styleId="SSG">
    <w:name w:val="__S_S_G"/>
    <w:basedOn w:val="Normal"/>
    <w:next w:val="Normal"/>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BB3D0C"/>
    <w:rPr>
      <w:sz w:val="16"/>
    </w:rPr>
  </w:style>
  <w:style w:type="paragraph" w:customStyle="1" w:styleId="XLargeG">
    <w:name w:val="__XLarge_G"/>
    <w:basedOn w:val="Normal"/>
    <w:next w:val="Normal"/>
    <w:rsid w:val="00BB3D0C"/>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rsid w:val="00BB3D0C"/>
    <w:rPr>
      <w:color w:val="0000FF"/>
      <w:u w:val="none"/>
    </w:rPr>
  </w:style>
  <w:style w:type="character" w:styleId="Hipervnculovisitado">
    <w:name w:val="FollowedHyperlink"/>
    <w:rsid w:val="00BB3D0C"/>
    <w:rPr>
      <w:color w:val="0000FF"/>
      <w:u w:val="none"/>
    </w:rPr>
  </w:style>
  <w:style w:type="paragraph" w:styleId="HTMLconformatoprevio">
    <w:name w:val="HTML Preformatted"/>
    <w:basedOn w:val="Normal"/>
    <w:link w:val="HTMLconformatoprevioCar"/>
    <w:uiPriority w:val="99"/>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uiPriority w:val="99"/>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qFormat/>
    <w:rsid w:val="00BB3D0C"/>
    <w:rPr>
      <w:b/>
      <w:sz w:val="18"/>
    </w:rPr>
  </w:style>
  <w:style w:type="character" w:styleId="Refdenotaalfinal">
    <w:name w:val="endnote reference"/>
    <w:aliases w:val="1_G"/>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qFormat/>
    <w:rsid w:val="00BB3D0C"/>
    <w:pPr>
      <w:numPr>
        <w:numId w:val="17"/>
      </w:numPr>
      <w:spacing w:after="120"/>
      <w:ind w:right="1134"/>
      <w:jc w:val="both"/>
    </w:pPr>
    <w:rPr>
      <w:lang w:eastAsia="en-US"/>
    </w:rPr>
  </w:style>
  <w:style w:type="paragraph" w:customStyle="1" w:styleId="Bullet2G">
    <w:name w:val="_Bullet 2_G"/>
    <w:basedOn w:val="Normal"/>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uiPriority w:val="99"/>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customStyle="1" w:styleId="UnresolvedMention1">
    <w:name w:val="Unresolved Mention1"/>
    <w:basedOn w:val="Fuentedeprrafopredeter"/>
    <w:uiPriority w:val="99"/>
    <w:semiHidden/>
    <w:unhideWhenUsed/>
    <w:rsid w:val="00BB3D0C"/>
    <w:rPr>
      <w:color w:val="605E5C"/>
      <w:shd w:val="clear" w:color="auto" w:fill="E1DFDD"/>
    </w:rPr>
  </w:style>
  <w:style w:type="character" w:customStyle="1" w:styleId="HMGChar">
    <w:name w:val="_ H __M_G Char"/>
    <w:link w:val="HMG"/>
    <w:rsid w:val="00DD5762"/>
    <w:rPr>
      <w:b/>
      <w:sz w:val="34"/>
      <w:lang w:val="es-ES" w:eastAsia="es-ES"/>
    </w:rPr>
  </w:style>
  <w:style w:type="character" w:customStyle="1" w:styleId="HChGChar">
    <w:name w:val="_ H _Ch_G Char"/>
    <w:link w:val="HChG"/>
    <w:rsid w:val="00DD5762"/>
    <w:rPr>
      <w:b/>
      <w:sz w:val="28"/>
      <w:lang w:val="es-ES" w:eastAsia="es-ES"/>
    </w:rPr>
  </w:style>
  <w:style w:type="character" w:styleId="nfasisintenso">
    <w:name w:val="Intense Emphasis"/>
    <w:uiPriority w:val="21"/>
    <w:rsid w:val="00DD5762"/>
    <w:rPr>
      <w:b/>
      <w:bCs/>
      <w:i/>
      <w:iCs/>
      <w:color w:val="4F81BD"/>
    </w:rPr>
  </w:style>
  <w:style w:type="table" w:customStyle="1" w:styleId="Tablaconcuadrcula10">
    <w:name w:val="Tabla con cuadrícula1"/>
    <w:basedOn w:val="Tablanormal"/>
    <w:rsid w:val="00DD576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DD5762"/>
    <w:rPr>
      <w:b/>
      <w:lang w:val="es-ES" w:eastAsia="es-ES"/>
    </w:rPr>
  </w:style>
  <w:style w:type="paragraph" w:customStyle="1" w:styleId="SingleTxt">
    <w:name w:val="__Single Txt"/>
    <w:basedOn w:val="Normal"/>
    <w:qFormat/>
    <w:rsid w:val="00DD57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4"/>
      <w:szCs w:val="22"/>
      <w:lang w:val="es-AR" w:eastAsia="en-US"/>
    </w:rPr>
  </w:style>
  <w:style w:type="paragraph" w:styleId="Prrafodelista">
    <w:name w:val="List Paragraph"/>
    <w:basedOn w:val="Normal"/>
    <w:uiPriority w:val="34"/>
    <w:qFormat/>
    <w:rsid w:val="00DD5762"/>
    <w:pPr>
      <w:spacing w:line="240" w:lineRule="auto"/>
      <w:ind w:left="720"/>
      <w:contextualSpacing/>
    </w:pPr>
    <w:rPr>
      <w:sz w:val="24"/>
      <w:szCs w:val="24"/>
      <w:lang w:val="es-AR" w:eastAsia="es-ES_tradnl"/>
    </w:rPr>
  </w:style>
  <w:style w:type="character" w:styleId="Refdecomentario">
    <w:name w:val="annotation reference"/>
    <w:basedOn w:val="Fuentedeprrafopredeter"/>
    <w:uiPriority w:val="99"/>
    <w:semiHidden/>
    <w:unhideWhenUsed/>
    <w:rsid w:val="00DD5762"/>
    <w:rPr>
      <w:sz w:val="16"/>
      <w:szCs w:val="16"/>
    </w:rPr>
  </w:style>
  <w:style w:type="paragraph" w:styleId="Textocomentario">
    <w:name w:val="annotation text"/>
    <w:basedOn w:val="Normal"/>
    <w:link w:val="TextocomentarioCar"/>
    <w:semiHidden/>
    <w:unhideWhenUsed/>
    <w:rsid w:val="00DD5762"/>
    <w:pPr>
      <w:spacing w:line="240" w:lineRule="auto"/>
    </w:pPr>
    <w:rPr>
      <w:sz w:val="24"/>
      <w:szCs w:val="24"/>
      <w:lang w:val="es-AR" w:eastAsia="es-ES_tradnl"/>
    </w:rPr>
  </w:style>
  <w:style w:type="character" w:customStyle="1" w:styleId="TextocomentarioCar">
    <w:name w:val="Texto comentario Car"/>
    <w:basedOn w:val="Fuentedeprrafopredeter"/>
    <w:link w:val="Textocomentario"/>
    <w:semiHidden/>
    <w:rsid w:val="00DD5762"/>
    <w:rPr>
      <w:sz w:val="24"/>
      <w:szCs w:val="24"/>
      <w:lang w:val="es-AR" w:eastAsia="es-ES_tradnl"/>
    </w:rPr>
  </w:style>
  <w:style w:type="paragraph" w:styleId="Asuntodelcomentario">
    <w:name w:val="annotation subject"/>
    <w:basedOn w:val="Textocomentario"/>
    <w:next w:val="Textocomentario"/>
    <w:link w:val="AsuntodelcomentarioCar"/>
    <w:semiHidden/>
    <w:unhideWhenUsed/>
    <w:rsid w:val="00DD5762"/>
    <w:rPr>
      <w:b/>
      <w:bCs/>
    </w:rPr>
  </w:style>
  <w:style w:type="character" w:customStyle="1" w:styleId="AsuntodelcomentarioCar">
    <w:name w:val="Asunto del comentario Car"/>
    <w:basedOn w:val="TextocomentarioCar"/>
    <w:link w:val="Asuntodelcomentario"/>
    <w:semiHidden/>
    <w:rsid w:val="00DD5762"/>
    <w:rPr>
      <w:b/>
      <w:bCs/>
      <w:sz w:val="24"/>
      <w:szCs w:val="24"/>
      <w:lang w:val="es-AR" w:eastAsia="es-ES_tradnl"/>
    </w:rPr>
  </w:style>
  <w:style w:type="paragraph" w:styleId="Revisin">
    <w:name w:val="Revision"/>
    <w:hidden/>
    <w:uiPriority w:val="99"/>
    <w:semiHidden/>
    <w:rsid w:val="00DD5762"/>
    <w:rPr>
      <w:lang w:val="es-ES" w:eastAsia="es-ES"/>
    </w:rPr>
  </w:style>
  <w:style w:type="character" w:customStyle="1" w:styleId="normaltextrun">
    <w:name w:val="normaltextrun"/>
    <w:basedOn w:val="Fuentedeprrafopredeter"/>
    <w:rsid w:val="007613F8"/>
  </w:style>
  <w:style w:type="character" w:styleId="Mencinsinresolver">
    <w:name w:val="Unresolved Mention"/>
    <w:basedOn w:val="Fuentedeprrafopredeter"/>
    <w:uiPriority w:val="99"/>
    <w:semiHidden/>
    <w:unhideWhenUsed/>
    <w:rsid w:val="007D1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8292">
      <w:bodyDiv w:val="1"/>
      <w:marLeft w:val="0"/>
      <w:marRight w:val="0"/>
      <w:marTop w:val="0"/>
      <w:marBottom w:val="0"/>
      <w:divBdr>
        <w:top w:val="none" w:sz="0" w:space="0" w:color="auto"/>
        <w:left w:val="none" w:sz="0" w:space="0" w:color="auto"/>
        <w:bottom w:val="none" w:sz="0" w:space="0" w:color="auto"/>
        <w:right w:val="none" w:sz="0" w:space="0" w:color="auto"/>
      </w:divBdr>
    </w:div>
    <w:div w:id="919144223">
      <w:bodyDiv w:val="1"/>
      <w:marLeft w:val="0"/>
      <w:marRight w:val="0"/>
      <w:marTop w:val="0"/>
      <w:marBottom w:val="0"/>
      <w:divBdr>
        <w:top w:val="none" w:sz="0" w:space="0" w:color="auto"/>
        <w:left w:val="none" w:sz="0" w:space="0" w:color="auto"/>
        <w:bottom w:val="none" w:sz="0" w:space="0" w:color="auto"/>
        <w:right w:val="none" w:sz="0" w:space="0" w:color="auto"/>
      </w:divBdr>
    </w:div>
    <w:div w:id="1037393965">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792744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sp/S/RES/37(202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sp/S/RES/34(20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sp/S/RES/32(200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sp/S/RES/35(2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sp/S/RES/36(2018)"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CPR/C/NIC/4" TargetMode="External"/><Relationship Id="rId3" Type="http://schemas.openxmlformats.org/officeDocument/2006/relationships/hyperlink" Target="http://undocs.org/sp/CCPR/C/NIC/Q/4" TargetMode="External"/><Relationship Id="rId7" Type="http://schemas.openxmlformats.org/officeDocument/2006/relationships/hyperlink" Target="http://undocs.org/sp/CCPR/C/104/2" TargetMode="External"/><Relationship Id="rId2" Type="http://schemas.openxmlformats.org/officeDocument/2006/relationships/hyperlink" Target="http://undocs.org/sp/CCPR/C/SR.3933" TargetMode="External"/><Relationship Id="rId1" Type="http://schemas.openxmlformats.org/officeDocument/2006/relationships/hyperlink" Target="http://undocs.org/sp/CCPR/C/NIC/4" TargetMode="External"/><Relationship Id="rId6" Type="http://schemas.openxmlformats.org/officeDocument/2006/relationships/hyperlink" Target="http://undocs.org/sp/CCPR/C/NIC/CO/3" TargetMode="External"/><Relationship Id="rId5" Type="http://schemas.openxmlformats.org/officeDocument/2006/relationships/hyperlink" Target="http://undocs.org/sp/CCPR/C/NIC/4" TargetMode="External"/><Relationship Id="rId4" Type="http://schemas.openxmlformats.org/officeDocument/2006/relationships/hyperlink" Target="http://undocs.org/sp/CCPR/C/NIC/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D3906-FEF4-4B6D-AF43-0561B3B8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6573</Words>
  <Characters>34941</Characters>
  <Application>Microsoft Office Word</Application>
  <DocSecurity>0</DocSecurity>
  <Lines>556</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CCPR/C/ISR/CO/R.5</vt:lpstr>
      <vt:lpstr>CCPR/C/ISR/CO/R.5</vt:lpstr>
    </vt:vector>
  </TitlesOfParts>
  <Company/>
  <LinksUpToDate>false</LinksUpToDate>
  <CharactersWithSpaces>41577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CCPR/C/NIC/CO/4</dc:title>
  <dc:subject/>
  <dc:creator>Romina Valeria MERINO MAC-KAY</dc:creator>
  <cp:keywords/>
  <cp:lastModifiedBy>Angel Moreno Torres</cp:lastModifiedBy>
  <cp:revision>2</cp:revision>
  <cp:lastPrinted>2023-02-23T16:35:00Z</cp:lastPrinted>
  <dcterms:created xsi:type="dcterms:W3CDTF">2023-02-24T08:18:00Z</dcterms:created>
  <dcterms:modified xsi:type="dcterms:W3CDTF">2023-02-24T08:18:00Z</dcterms:modified>
</cp:coreProperties>
</file>