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AC6D6B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AC6D6B" w:rsidRDefault="00292480" w:rsidP="009C4E83">
            <w:pPr>
              <w:jc w:val="right"/>
              <w:rPr>
                <w:lang w:val="en-US"/>
              </w:rPr>
            </w:pPr>
            <w:r w:rsidRPr="00AC6D6B">
              <w:rPr>
                <w:sz w:val="40"/>
                <w:szCs w:val="40"/>
                <w:lang w:val="en-US"/>
              </w:rPr>
              <w:t>CRC</w:t>
            </w:r>
            <w:r w:rsidRPr="00AC6D6B">
              <w:rPr>
                <w:lang w:val="en-US"/>
              </w:rPr>
              <w:t>/</w:t>
            </w:r>
            <w:r>
              <w:fldChar w:fldCharType="begin"/>
            </w:r>
            <w:r w:rsidRPr="00AC6D6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AC6D6B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AC6D6B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AC6D6B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AC6D6B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AC6D6B" w:rsidRPr="00AC6D6B">
              <w:rPr>
                <w:lang w:val="en-US"/>
              </w:rPr>
              <w:t>C/OPSC/HUN/CO/1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AC6D6B">
              <w:rPr>
                <w:lang w:val="en-US"/>
              </w:rPr>
              <w:t>3 November 2014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182973" w:rsidRPr="001A69E4" w:rsidRDefault="00182973" w:rsidP="00182973">
      <w:pPr>
        <w:spacing w:before="120"/>
        <w:rPr>
          <w:b/>
          <w:sz w:val="24"/>
          <w:szCs w:val="24"/>
        </w:rPr>
      </w:pPr>
      <w:r w:rsidRPr="001A69E4">
        <w:rPr>
          <w:b/>
          <w:sz w:val="24"/>
          <w:szCs w:val="24"/>
        </w:rPr>
        <w:t>Комитет по правам ребенка</w:t>
      </w:r>
    </w:p>
    <w:p w:rsidR="00182973" w:rsidRPr="009D206A" w:rsidRDefault="00182973" w:rsidP="00182973">
      <w:pPr>
        <w:pStyle w:val="HChGR"/>
      </w:pPr>
      <w:r w:rsidRPr="009D206A">
        <w:tab/>
      </w:r>
      <w:r w:rsidRPr="009D206A">
        <w:tab/>
        <w:t xml:space="preserve">Заключительные замечания по докладу, представленному Венгрией в соответствии </w:t>
      </w:r>
      <w:r w:rsidRPr="00182973">
        <w:br/>
      </w:r>
      <w:r w:rsidRPr="009D206A">
        <w:t>с пунктом 1 статьи 12 Факультативного протокола к</w:t>
      </w:r>
      <w:r>
        <w:rPr>
          <w:lang w:val="en-US"/>
        </w:rPr>
        <w:t> </w:t>
      </w:r>
      <w:r w:rsidRPr="009D206A">
        <w:t>Конвенции о правах ребенка, касающегося торговли детьми, детской проституции и детской порнографии</w:t>
      </w:r>
      <w:r w:rsidRPr="001D0AF8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1D0AF8">
        <w:rPr>
          <w:b w:val="0"/>
          <w:lang w:eastAsia="en-US"/>
        </w:rPr>
        <w:t xml:space="preserve"> </w:t>
      </w:r>
      <w:r w:rsidRPr="009D206A">
        <w:t xml:space="preserve"> </w:t>
      </w:r>
    </w:p>
    <w:p w:rsidR="00182973" w:rsidRPr="009D206A" w:rsidRDefault="00182973" w:rsidP="00182973">
      <w:pPr>
        <w:pStyle w:val="SingleTxtGR"/>
      </w:pPr>
      <w:r w:rsidRPr="009D206A">
        <w:t>1.</w:t>
      </w:r>
      <w:r w:rsidRPr="009D206A">
        <w:tab/>
        <w:t>Комитет рассмотрел первоначальный доклад Венгрии (</w:t>
      </w:r>
      <w:r w:rsidRPr="00670645">
        <w:t>CRC</w:t>
      </w:r>
      <w:r w:rsidRPr="009D206A">
        <w:t>/</w:t>
      </w:r>
      <w:r w:rsidRPr="00670645">
        <w:t>C</w:t>
      </w:r>
      <w:r w:rsidRPr="009D206A">
        <w:t>/</w:t>
      </w:r>
      <w:r w:rsidRPr="00670645">
        <w:t>OPSC</w:t>
      </w:r>
      <w:r w:rsidRPr="009D206A">
        <w:t>/</w:t>
      </w:r>
      <w:r w:rsidR="00B86A60" w:rsidRPr="00B86A60">
        <w:t xml:space="preserve"> </w:t>
      </w:r>
      <w:r w:rsidRPr="00670645">
        <w:t>HUN</w:t>
      </w:r>
      <w:r w:rsidRPr="009D206A">
        <w:t xml:space="preserve">/1) на своем 1917-м заседании (см. </w:t>
      </w:r>
      <w:r w:rsidRPr="00670645">
        <w:t>CRC</w:t>
      </w:r>
      <w:r w:rsidRPr="009D206A">
        <w:t>/</w:t>
      </w:r>
      <w:r w:rsidRPr="00670645">
        <w:t>C</w:t>
      </w:r>
      <w:r w:rsidRPr="009D206A">
        <w:t>/</w:t>
      </w:r>
      <w:r w:rsidRPr="00670645">
        <w:t>SR</w:t>
      </w:r>
      <w:r w:rsidRPr="009D206A">
        <w:t>.1917), состоявшемся 10 се</w:t>
      </w:r>
      <w:r w:rsidRPr="009D206A">
        <w:t>н</w:t>
      </w:r>
      <w:r w:rsidRPr="009D206A">
        <w:t>тября 2014 года, и на своем 1929-м заседании, состоявшемся 19</w:t>
      </w:r>
      <w:r>
        <w:rPr>
          <w:lang w:val="en-US"/>
        </w:rPr>
        <w:t> </w:t>
      </w:r>
      <w:r w:rsidRPr="009D206A">
        <w:t>сентября 2014</w:t>
      </w:r>
      <w:r w:rsidR="00B86A60">
        <w:rPr>
          <w:lang w:val="en-US"/>
        </w:rPr>
        <w:t> </w:t>
      </w:r>
      <w:r w:rsidRPr="009D206A">
        <w:t>года, принял ниж</w:t>
      </w:r>
      <w:r w:rsidRPr="009D206A">
        <w:t>е</w:t>
      </w:r>
      <w:r w:rsidRPr="009D206A">
        <w:t>следующие заключительные замечания.</w:t>
      </w:r>
    </w:p>
    <w:p w:rsidR="00182973" w:rsidRPr="009D206A" w:rsidRDefault="00182973" w:rsidP="00182973">
      <w:pPr>
        <w:pStyle w:val="HChGR"/>
      </w:pPr>
      <w:r w:rsidRPr="009D206A">
        <w:tab/>
      </w:r>
      <w:r w:rsidRPr="00670645">
        <w:t>I</w:t>
      </w:r>
      <w:r w:rsidRPr="009D206A">
        <w:t>.</w:t>
      </w:r>
      <w:r w:rsidRPr="009D206A">
        <w:tab/>
        <w:t>Введение</w:t>
      </w:r>
    </w:p>
    <w:p w:rsidR="00182973" w:rsidRDefault="00182973" w:rsidP="00182973">
      <w:pPr>
        <w:pStyle w:val="SingleTxtGR"/>
        <w:rPr>
          <w:lang w:val="en-US"/>
        </w:rPr>
      </w:pPr>
      <w:r w:rsidRPr="009D206A">
        <w:t>2.</w:t>
      </w:r>
      <w:r w:rsidRPr="009D206A">
        <w:tab/>
        <w:t>Комитет приветствует представление государством-участником первон</w:t>
      </w:r>
      <w:r w:rsidRPr="009D206A">
        <w:t>а</w:t>
      </w:r>
      <w:r w:rsidRPr="009D206A">
        <w:t>чального доклада и письменных ответов на перечень вопросов (</w:t>
      </w:r>
      <w:r w:rsidRPr="00670645">
        <w:t>CRC</w:t>
      </w:r>
      <w:r w:rsidRPr="009D206A">
        <w:t>/</w:t>
      </w:r>
      <w:r w:rsidRPr="00670645">
        <w:t>C</w:t>
      </w:r>
      <w:r w:rsidRPr="009D206A">
        <w:t>/OPAC/</w:t>
      </w:r>
      <w:r w:rsidRPr="00182973">
        <w:t xml:space="preserve"> </w:t>
      </w:r>
      <w:r w:rsidRPr="00670645">
        <w:t>HUN</w:t>
      </w:r>
      <w:r w:rsidRPr="009D206A">
        <w:t>/</w:t>
      </w:r>
      <w:r w:rsidRPr="00670645">
        <w:t>Q</w:t>
      </w:r>
      <w:r w:rsidRPr="009D206A">
        <w:t>/1/</w:t>
      </w:r>
      <w:r w:rsidRPr="00670645">
        <w:t>Add</w:t>
      </w:r>
      <w:r w:rsidRPr="009D206A">
        <w:t>.1) и высоко оценивает конструктивный диалог с многопрофил</w:t>
      </w:r>
      <w:r w:rsidRPr="009D206A">
        <w:t>ь</w:t>
      </w:r>
      <w:r w:rsidRPr="009D206A">
        <w:t>ной делег</w:t>
      </w:r>
      <w:r w:rsidRPr="009D206A">
        <w:t>а</w:t>
      </w:r>
      <w:r w:rsidRPr="009D206A">
        <w:t xml:space="preserve">цией государства-участника. </w:t>
      </w:r>
    </w:p>
    <w:p w:rsidR="00182973" w:rsidRPr="009D206A" w:rsidRDefault="00182973" w:rsidP="00182973">
      <w:pPr>
        <w:pStyle w:val="SingleTxtGR"/>
      </w:pPr>
      <w:r w:rsidRPr="009D206A">
        <w:t>3.</w:t>
      </w:r>
      <w:r w:rsidRPr="009D206A">
        <w:tab/>
        <w:t>Комитет напоминает государству-участнику о том, что настоящие закл</w:t>
      </w:r>
      <w:r w:rsidRPr="009D206A">
        <w:t>ю</w:t>
      </w:r>
      <w:r w:rsidRPr="009D206A">
        <w:t>чительные замечания следует рассматривать в совокупности с его заключ</w:t>
      </w:r>
      <w:r w:rsidRPr="009D206A">
        <w:t>и</w:t>
      </w:r>
      <w:r w:rsidRPr="009D206A">
        <w:t>тельными замечаниями, принятыми по объединенным третьему−пятому пери</w:t>
      </w:r>
      <w:r w:rsidRPr="009D206A">
        <w:t>о</w:t>
      </w:r>
      <w:r w:rsidRPr="009D206A">
        <w:t>дическим докл</w:t>
      </w:r>
      <w:r w:rsidRPr="009D206A">
        <w:t>а</w:t>
      </w:r>
      <w:r w:rsidRPr="009D206A">
        <w:t>дам государства-участника по Конвенции (</w:t>
      </w:r>
      <w:r w:rsidRPr="00670645">
        <w:t>CRC</w:t>
      </w:r>
      <w:r w:rsidRPr="009D206A">
        <w:t>/</w:t>
      </w:r>
      <w:r w:rsidRPr="00670645">
        <w:t>C</w:t>
      </w:r>
      <w:r w:rsidRPr="009D206A">
        <w:t>/</w:t>
      </w:r>
      <w:r w:rsidRPr="00670645">
        <w:t>HUN</w:t>
      </w:r>
      <w:r w:rsidRPr="009D206A">
        <w:t>/</w:t>
      </w:r>
      <w:r w:rsidRPr="00670645">
        <w:t>CO</w:t>
      </w:r>
      <w:r w:rsidRPr="009D206A">
        <w:t>/3-5), и с его заключительными замечаниями по первоначальному докладу по Факул</w:t>
      </w:r>
      <w:r w:rsidRPr="009D206A">
        <w:t>ь</w:t>
      </w:r>
      <w:r w:rsidRPr="009D206A">
        <w:t>тативному протоколу, касающемуся участия детей в вооруженных конфликтах (</w:t>
      </w:r>
      <w:r w:rsidRPr="00670645">
        <w:t>CRC</w:t>
      </w:r>
      <w:r w:rsidRPr="009D206A">
        <w:t>/</w:t>
      </w:r>
      <w:r w:rsidRPr="00670645">
        <w:t>C</w:t>
      </w:r>
      <w:r w:rsidRPr="009D206A">
        <w:t>/</w:t>
      </w:r>
      <w:r w:rsidRPr="00670645">
        <w:t>OPAC</w:t>
      </w:r>
      <w:r w:rsidRPr="009D206A">
        <w:t>/</w:t>
      </w:r>
      <w:r w:rsidRPr="001D0AF8">
        <w:t xml:space="preserve"> </w:t>
      </w:r>
      <w:r w:rsidRPr="00670645">
        <w:t>HUN</w:t>
      </w:r>
      <w:r w:rsidRPr="009D206A">
        <w:t>/</w:t>
      </w:r>
      <w:r w:rsidRPr="00670645">
        <w:t>CO</w:t>
      </w:r>
      <w:r w:rsidRPr="009D206A">
        <w:t xml:space="preserve">/1), принятыми 19 сентября 2014 года. 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II</w:t>
      </w:r>
      <w:r w:rsidRPr="009D206A">
        <w:t>.</w:t>
      </w:r>
      <w:r w:rsidRPr="009D206A">
        <w:tab/>
        <w:t>Общие замечания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Положительные аспекты</w:t>
      </w:r>
    </w:p>
    <w:p w:rsidR="00182973" w:rsidRPr="009D206A" w:rsidRDefault="00182973" w:rsidP="00182973">
      <w:pPr>
        <w:pStyle w:val="SingleTxtGR"/>
      </w:pPr>
      <w:r w:rsidRPr="009D206A">
        <w:t>4.</w:t>
      </w:r>
      <w:r w:rsidRPr="009D206A">
        <w:tab/>
        <w:t>Комитет приветствует многочисленные принимаемые государством-участником меры в областях, связанных с осуществлением Факультативного протокола, включая:</w:t>
      </w:r>
    </w:p>
    <w:p w:rsidR="00182973" w:rsidRPr="009D206A" w:rsidRDefault="00182973" w:rsidP="00182973">
      <w:pPr>
        <w:pStyle w:val="SingleTxtGR"/>
      </w:pPr>
      <w:r>
        <w:tab/>
      </w:r>
      <w:r w:rsidRPr="00670645">
        <w:t>a</w:t>
      </w:r>
      <w:r w:rsidRPr="009D206A">
        <w:t>)</w:t>
      </w:r>
      <w:r w:rsidRPr="009D206A">
        <w:tab/>
        <w:t>принятые в 2012 году поправки к Закону о помощи и государстве</w:t>
      </w:r>
      <w:r w:rsidRPr="009D206A">
        <w:t>н</w:t>
      </w:r>
      <w:r w:rsidRPr="009D206A">
        <w:t>ной компенсации потерпевшим от преступлений, которые предусматривают предоста</w:t>
      </w:r>
      <w:r w:rsidRPr="009D206A">
        <w:t>в</w:t>
      </w:r>
      <w:r w:rsidRPr="009D206A">
        <w:t>ление приюта выявленным жертвам торговли людьми;</w:t>
      </w:r>
    </w:p>
    <w:p w:rsidR="00182973" w:rsidRPr="009D206A" w:rsidRDefault="00182973" w:rsidP="00182973">
      <w:pPr>
        <w:pStyle w:val="SingleTxtGR"/>
      </w:pPr>
      <w:r w:rsidRPr="00182973">
        <w:tab/>
      </w:r>
      <w:r w:rsidRPr="009D206A">
        <w:t>b)</w:t>
      </w:r>
      <w:r w:rsidRPr="009D206A">
        <w:tab/>
        <w:t>изданный в 2011 году министром государственного управления и правосудия приказ № 32/2011 о создании на всей территории страны удобных для детей помещ</w:t>
      </w:r>
      <w:r w:rsidRPr="009D206A">
        <w:t>е</w:t>
      </w:r>
      <w:r w:rsidRPr="009D206A">
        <w:t>ний для проведения с ними бесед.</w:t>
      </w:r>
    </w:p>
    <w:p w:rsidR="00182973" w:rsidRPr="009D206A" w:rsidRDefault="00182973" w:rsidP="00182973">
      <w:pPr>
        <w:pStyle w:val="SingleTxtGR"/>
      </w:pPr>
      <w:r w:rsidRPr="009D206A">
        <w:t>5.</w:t>
      </w:r>
      <w:r w:rsidRPr="009D206A">
        <w:tab/>
        <w:t xml:space="preserve">Комитет с удовлетворением принимает к сведению ратификацию в апреле 2013 года Конвенции Совета Европы о противодействии торговле людьми. </w:t>
      </w:r>
    </w:p>
    <w:p w:rsidR="00182973" w:rsidRPr="009D206A" w:rsidRDefault="00182973" w:rsidP="00182973">
      <w:pPr>
        <w:pStyle w:val="SingleTxtGR"/>
      </w:pPr>
      <w:r w:rsidRPr="009D206A">
        <w:t>6.</w:t>
      </w:r>
      <w:r w:rsidRPr="009D206A">
        <w:tab/>
        <w:t>Комитет приветствует прогресс, достигнутый в деле принятия наци</w:t>
      </w:r>
      <w:r w:rsidRPr="009D206A">
        <w:t>о</w:t>
      </w:r>
      <w:r w:rsidRPr="009D206A">
        <w:t xml:space="preserve">нальных планов и программ, содействующих осуществлению Факультативного протокола, в частности Национальной стратегии борьбы с торговлей людьми на 2013−2016 годы. 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III</w:t>
      </w:r>
      <w:r w:rsidRPr="009D206A">
        <w:t>.</w:t>
      </w:r>
      <w:r w:rsidRPr="009D206A">
        <w:tab/>
        <w:t>Данные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Сбор данных</w:t>
      </w:r>
    </w:p>
    <w:p w:rsidR="00182973" w:rsidRPr="009D206A" w:rsidRDefault="00182973" w:rsidP="00182973">
      <w:pPr>
        <w:pStyle w:val="SingleTxtGR"/>
      </w:pPr>
      <w:r w:rsidRPr="009D206A">
        <w:t>7.</w:t>
      </w:r>
      <w:r w:rsidRPr="009D206A">
        <w:tab/>
        <w:t>Комитет приветствует предоставленные подробные статистические да</w:t>
      </w:r>
      <w:r w:rsidRPr="009D206A">
        <w:t>н</w:t>
      </w:r>
      <w:r w:rsidRPr="009D206A">
        <w:t>ные о сообщениях, расследованиях, возбужденных судебных делах и пригов</w:t>
      </w:r>
      <w:r w:rsidRPr="009D206A">
        <w:t>о</w:t>
      </w:r>
      <w:r w:rsidRPr="009D206A">
        <w:t>рах, вынесенных лицам, совершившим многочисленные преступления, охват</w:t>
      </w:r>
      <w:r w:rsidRPr="009D206A">
        <w:t>ы</w:t>
      </w:r>
      <w:r w:rsidRPr="009D206A">
        <w:t>ваемые Факультативным протоколом. Он отмечает, что, хотя статистические данные в определенной степени детализированы по полу и возрасту, они не полностью детализированы по другим критериям, таким как социально-экономическое происхождение, национальность, проживание в городах и сел</w:t>
      </w:r>
      <w:r w:rsidRPr="009D206A">
        <w:t>ь</w:t>
      </w:r>
      <w:r w:rsidRPr="009D206A">
        <w:t>ских районах или этническое происхождение.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8.</w:t>
      </w:r>
      <w:r w:rsidRPr="009D206A">
        <w:tab/>
      </w:r>
      <w:r w:rsidRPr="00B86A60">
        <w:rPr>
          <w:b/>
        </w:rPr>
        <w:t>Комитет рекомендует государству-участнику обеспечить подготовку данных в соответствии с Факультативным протоколом в разбивке, в час</w:t>
      </w:r>
      <w:r w:rsidRPr="00B86A60">
        <w:rPr>
          <w:b/>
        </w:rPr>
        <w:t>т</w:t>
      </w:r>
      <w:r w:rsidRPr="00B86A60">
        <w:rPr>
          <w:b/>
        </w:rPr>
        <w:t>ности, по возрасту, полу, социально-экономическому происхождению, н</w:t>
      </w:r>
      <w:r w:rsidRPr="00B86A60">
        <w:rPr>
          <w:b/>
        </w:rPr>
        <w:t>а</w:t>
      </w:r>
      <w:r w:rsidRPr="00B86A60">
        <w:rPr>
          <w:b/>
        </w:rPr>
        <w:t>циональности, этническому происхождению, а также по признаку прож</w:t>
      </w:r>
      <w:r w:rsidRPr="00B86A60">
        <w:rPr>
          <w:b/>
        </w:rPr>
        <w:t>и</w:t>
      </w:r>
      <w:r w:rsidRPr="00B86A60">
        <w:rPr>
          <w:b/>
        </w:rPr>
        <w:t>вания в городских или сельских районах, а также организовать системат</w:t>
      </w:r>
      <w:r w:rsidRPr="00B86A60">
        <w:rPr>
          <w:b/>
        </w:rPr>
        <w:t>и</w:t>
      </w:r>
      <w:r w:rsidRPr="00B86A60">
        <w:rPr>
          <w:b/>
        </w:rPr>
        <w:t>ческий сбор всех данных обо всех преступлениях, совершаемых по Ф</w:t>
      </w:r>
      <w:r w:rsidRPr="00B86A60">
        <w:rPr>
          <w:b/>
        </w:rPr>
        <w:t>а</w:t>
      </w:r>
      <w:r w:rsidRPr="00B86A60">
        <w:rPr>
          <w:b/>
        </w:rPr>
        <w:t>культативному протоколу. Данные должны быть проанализированы и должны использоваться в качестве эффективного средства оценки разр</w:t>
      </w:r>
      <w:r w:rsidRPr="00B86A60">
        <w:rPr>
          <w:b/>
        </w:rPr>
        <w:t>а</w:t>
      </w:r>
      <w:r w:rsidRPr="00B86A60">
        <w:rPr>
          <w:b/>
        </w:rPr>
        <w:t>ботки политики, ее выполнения, мониторинга и анализа превентивных мер. Комитет также рекомендует государству-участнику включить в его следующий периодический доклад информацию о статистич</w:t>
      </w:r>
      <w:r w:rsidRPr="00B86A60">
        <w:rPr>
          <w:b/>
        </w:rPr>
        <w:t>е</w:t>
      </w:r>
      <w:r w:rsidRPr="00B86A60">
        <w:rPr>
          <w:b/>
        </w:rPr>
        <w:t>ских данных по всем преступлениям, охватываемым Факультативным проток</w:t>
      </w:r>
      <w:r w:rsidRPr="00B86A60">
        <w:rPr>
          <w:b/>
        </w:rPr>
        <w:t>о</w:t>
      </w:r>
      <w:r w:rsidRPr="00B86A60">
        <w:rPr>
          <w:b/>
        </w:rPr>
        <w:t xml:space="preserve">лом. 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IV</w:t>
      </w:r>
      <w:r w:rsidRPr="009D206A">
        <w:t>.</w:t>
      </w:r>
      <w:r w:rsidRPr="009D206A">
        <w:tab/>
        <w:t>Общие меры по осуществлению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 xml:space="preserve">Национальный план действий </w:t>
      </w:r>
    </w:p>
    <w:p w:rsidR="00182973" w:rsidRPr="009D206A" w:rsidRDefault="00182973" w:rsidP="00182973">
      <w:pPr>
        <w:pStyle w:val="SingleTxtGR"/>
      </w:pPr>
      <w:r w:rsidRPr="009D206A">
        <w:t>9.</w:t>
      </w:r>
      <w:r w:rsidRPr="009D206A">
        <w:tab/>
        <w:t>Комитет принимает к сведению Национальную стратегию борьбы с то</w:t>
      </w:r>
      <w:r w:rsidRPr="009D206A">
        <w:t>р</w:t>
      </w:r>
      <w:r w:rsidRPr="009D206A">
        <w:t>говлей людьми на 2013–2016 годы, однако обеспокоен тем, что эта стратегия конкретно не охватывает детей, ставших жертвами торговли людьми. Комитет также беспокоит отсутствие стратегии или плана действий, касающихся других правонарушений, о</w:t>
      </w:r>
      <w:r w:rsidRPr="009D206A">
        <w:t>х</w:t>
      </w:r>
      <w:r w:rsidRPr="009D206A">
        <w:t xml:space="preserve">ватываемых Факультативным протоколом. </w:t>
      </w:r>
    </w:p>
    <w:p w:rsidR="00182973" w:rsidRPr="009D206A" w:rsidRDefault="00182973" w:rsidP="00182973">
      <w:pPr>
        <w:pStyle w:val="SingleTxtGR"/>
      </w:pPr>
      <w:r w:rsidRPr="009D206A">
        <w:t>10.</w:t>
      </w:r>
      <w:r w:rsidRPr="009D206A">
        <w:tab/>
      </w:r>
      <w:r w:rsidRPr="00B86A60">
        <w:rPr>
          <w:b/>
        </w:rPr>
        <w:t>Комитет рекомендует государству-участнику принять стратегию, к</w:t>
      </w:r>
      <w:r w:rsidRPr="00B86A60">
        <w:rPr>
          <w:b/>
        </w:rPr>
        <w:t>о</w:t>
      </w:r>
      <w:r w:rsidRPr="00B86A60">
        <w:rPr>
          <w:b/>
        </w:rPr>
        <w:t>торая включает комплексные меры во всех областях, охватываемых Ф</w:t>
      </w:r>
      <w:r w:rsidRPr="00B86A60">
        <w:rPr>
          <w:b/>
        </w:rPr>
        <w:t>а</w:t>
      </w:r>
      <w:r w:rsidRPr="00B86A60">
        <w:rPr>
          <w:b/>
        </w:rPr>
        <w:t>культативным протоколом. Он также рекомендует государству-участнику обеспечить, чтобы ход осуществления стратегии и соответствующих пл</w:t>
      </w:r>
      <w:r w:rsidRPr="00B86A60">
        <w:rPr>
          <w:b/>
        </w:rPr>
        <w:t>а</w:t>
      </w:r>
      <w:r w:rsidRPr="00B86A60">
        <w:rPr>
          <w:b/>
        </w:rPr>
        <w:t>нов действий регулярно оценивался и чтобы выделялись достаточные людские, технические и финансовые ресурсы для их осуществления. Стр</w:t>
      </w:r>
      <w:r w:rsidRPr="00B86A60">
        <w:rPr>
          <w:b/>
        </w:rPr>
        <w:t>а</w:t>
      </w:r>
      <w:r w:rsidRPr="00B86A60">
        <w:rPr>
          <w:b/>
        </w:rPr>
        <w:t>тегии и планы действий должны предусматривать меры, н</w:t>
      </w:r>
      <w:r w:rsidRPr="00B86A60">
        <w:rPr>
          <w:b/>
        </w:rPr>
        <w:t>а</w:t>
      </w:r>
      <w:r w:rsidRPr="00B86A60">
        <w:rPr>
          <w:b/>
        </w:rPr>
        <w:t>правленные на предотвращение и защиту, физическую и психологическую реабил</w:t>
      </w:r>
      <w:r w:rsidRPr="00B86A60">
        <w:rPr>
          <w:b/>
        </w:rPr>
        <w:t>и</w:t>
      </w:r>
      <w:r w:rsidRPr="00B86A60">
        <w:rPr>
          <w:b/>
        </w:rPr>
        <w:t>тацию, а также социальную реинтеграцию детей-жертв, равно как и расследов</w:t>
      </w:r>
      <w:r w:rsidRPr="00B86A60">
        <w:rPr>
          <w:b/>
        </w:rPr>
        <w:t>а</w:t>
      </w:r>
      <w:r w:rsidRPr="00B86A60">
        <w:rPr>
          <w:b/>
        </w:rPr>
        <w:t>ние всех совершенных преступлений и привлечение к ответственности в</w:t>
      </w:r>
      <w:r w:rsidRPr="00B86A60">
        <w:rPr>
          <w:b/>
        </w:rPr>
        <w:t>и</w:t>
      </w:r>
      <w:r w:rsidRPr="00B86A60">
        <w:rPr>
          <w:b/>
        </w:rPr>
        <w:t>новных в соо</w:t>
      </w:r>
      <w:r w:rsidRPr="00B86A60">
        <w:rPr>
          <w:b/>
        </w:rPr>
        <w:t>т</w:t>
      </w:r>
      <w:r w:rsidRPr="00B86A60">
        <w:rPr>
          <w:b/>
        </w:rPr>
        <w:t>ветствии с Факультативным протоколом.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Распространение информации, повышение осведомленности и подготовка кадров</w:t>
      </w:r>
    </w:p>
    <w:p w:rsidR="00182973" w:rsidRPr="009D206A" w:rsidRDefault="00182973" w:rsidP="00182973">
      <w:pPr>
        <w:pStyle w:val="SingleTxtGR"/>
      </w:pPr>
      <w:r w:rsidRPr="009D206A">
        <w:t>11.</w:t>
      </w:r>
      <w:r w:rsidRPr="009D206A">
        <w:tab/>
        <w:t>Комитет отмечает представленную государством-участником информ</w:t>
      </w:r>
      <w:r w:rsidRPr="009D206A">
        <w:t>а</w:t>
      </w:r>
      <w:r w:rsidRPr="009D206A">
        <w:t>цию о многочисленных учебных курсах и семинарах, в которых приняли уч</w:t>
      </w:r>
      <w:r w:rsidRPr="009D206A">
        <w:t>а</w:t>
      </w:r>
      <w:r w:rsidRPr="009D206A">
        <w:t>стие судьи, с</w:t>
      </w:r>
      <w:r w:rsidRPr="009D206A">
        <w:t>о</w:t>
      </w:r>
      <w:r w:rsidRPr="009D206A">
        <w:t>трудники полиции, прокуратуры и других следственных органов. Однако он обеспокоен тем, что большинство таких мероприятий, как предста</w:t>
      </w:r>
      <w:r w:rsidRPr="009D206A">
        <w:t>в</w:t>
      </w:r>
      <w:r w:rsidRPr="009D206A">
        <w:t>ляется, организуются неправительственными организациями, финансируются международными донорами и не ориентированы на детей, подвергающихся опасности стать жертвами преступлений, охватываемых Факультативным пр</w:t>
      </w:r>
      <w:r w:rsidRPr="009D206A">
        <w:t>о</w:t>
      </w:r>
      <w:r w:rsidRPr="009D206A">
        <w:t>токолом. Он также обеспокоен тем, что государство-участник не провело оце</w:t>
      </w:r>
      <w:r w:rsidRPr="009D206A">
        <w:t>н</w:t>
      </w:r>
      <w:r w:rsidRPr="009D206A">
        <w:t>ки воздействия таких мероприятий по подготовке на решение проблем, обозн</w:t>
      </w:r>
      <w:r w:rsidRPr="009D206A">
        <w:t>а</w:t>
      </w:r>
      <w:r w:rsidRPr="009D206A">
        <w:t xml:space="preserve">ченных в Факультативном протоколе. 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12.</w:t>
      </w:r>
      <w:r w:rsidRPr="009D206A">
        <w:tab/>
      </w:r>
      <w:r w:rsidRPr="00B86A60">
        <w:rPr>
          <w:b/>
        </w:rPr>
        <w:t>Комитет рекомендует государству-участнику принять необходимые меры для организации последовательного и системного распространения информации, а также мероприятий по повышению осведомленности общ</w:t>
      </w:r>
      <w:r w:rsidRPr="00B86A60">
        <w:rPr>
          <w:b/>
        </w:rPr>
        <w:t>е</w:t>
      </w:r>
      <w:r w:rsidRPr="00B86A60">
        <w:rPr>
          <w:b/>
        </w:rPr>
        <w:t>ственности относительно Ф</w:t>
      </w:r>
      <w:r w:rsidRPr="00B86A60">
        <w:rPr>
          <w:b/>
        </w:rPr>
        <w:t>а</w:t>
      </w:r>
      <w:r w:rsidRPr="00B86A60">
        <w:rPr>
          <w:b/>
        </w:rPr>
        <w:t>культативного протокола по всей стране. Эти мероприятия должны включать в себя работу с детьми, принадлежащими к маргинализованным или находящимся в неблагоприятном положении группам, и которые по</w:t>
      </w:r>
      <w:r w:rsidRPr="00B86A60">
        <w:rPr>
          <w:b/>
        </w:rPr>
        <w:t>д</w:t>
      </w:r>
      <w:r w:rsidRPr="00B86A60">
        <w:rPr>
          <w:b/>
        </w:rPr>
        <w:t>вергаются наибольшему риску стать жертвами преступлений, запрещенных Факультативным протоколом. Он также р</w:t>
      </w:r>
      <w:r w:rsidRPr="00B86A60">
        <w:rPr>
          <w:b/>
        </w:rPr>
        <w:t>е</w:t>
      </w:r>
      <w:r w:rsidRPr="00B86A60">
        <w:rPr>
          <w:b/>
        </w:rPr>
        <w:t>комендует государству-участнику проводить регулярную оценку мер</w:t>
      </w:r>
      <w:r w:rsidRPr="00B86A60">
        <w:rPr>
          <w:b/>
        </w:rPr>
        <w:t>о</w:t>
      </w:r>
      <w:r w:rsidRPr="00B86A60">
        <w:rPr>
          <w:b/>
        </w:rPr>
        <w:t>приятий по подготовке судебного корпуса и сотрудников правоохранител</w:t>
      </w:r>
      <w:r w:rsidRPr="00B86A60">
        <w:rPr>
          <w:b/>
        </w:rPr>
        <w:t>ь</w:t>
      </w:r>
      <w:r w:rsidRPr="00B86A60">
        <w:rPr>
          <w:b/>
        </w:rPr>
        <w:t>ных органов для обе</w:t>
      </w:r>
      <w:r w:rsidRPr="00B86A60">
        <w:rPr>
          <w:b/>
        </w:rPr>
        <w:t>с</w:t>
      </w:r>
      <w:r w:rsidRPr="00B86A60">
        <w:rPr>
          <w:b/>
        </w:rPr>
        <w:t xml:space="preserve">печения того, чтобы их знания эффективным образом претворялись на практике. 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Распределение ресурсов</w:t>
      </w:r>
    </w:p>
    <w:p w:rsidR="00182973" w:rsidRPr="009D206A" w:rsidRDefault="00182973" w:rsidP="00182973">
      <w:pPr>
        <w:pStyle w:val="SingleTxtGR"/>
      </w:pPr>
      <w:r w:rsidRPr="009D206A">
        <w:t>13.</w:t>
      </w:r>
      <w:r w:rsidRPr="009D206A">
        <w:tab/>
        <w:t>Комитет обеспокоен тем, что государство-участник не представило ник</w:t>
      </w:r>
      <w:r w:rsidRPr="009D206A">
        <w:t>а</w:t>
      </w:r>
      <w:r w:rsidRPr="009D206A">
        <w:t>кой информации о конкретных бюджетных ассигнованиях на деятельность, осущест</w:t>
      </w:r>
      <w:r w:rsidRPr="009D206A">
        <w:t>в</w:t>
      </w:r>
      <w:r w:rsidRPr="009D206A">
        <w:t>ляемую в рамках Факультативного протокола.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14.</w:t>
      </w:r>
      <w:r w:rsidRPr="009D206A">
        <w:tab/>
      </w:r>
      <w:r w:rsidRPr="00B86A60">
        <w:rPr>
          <w:b/>
        </w:rPr>
        <w:t>Комитет рекомендует государству-участнику выделить достаточные и целевые ресурсы для эффективной работы по осуществлению Факульт</w:t>
      </w:r>
      <w:r w:rsidRPr="00B86A60">
        <w:rPr>
          <w:b/>
        </w:rPr>
        <w:t>а</w:t>
      </w:r>
      <w:r w:rsidRPr="00B86A60">
        <w:rPr>
          <w:b/>
        </w:rPr>
        <w:t>тивного протокола на национальном, региональном и местном уровнях и предоставить такую информацию в своем следующем периодическом до</w:t>
      </w:r>
      <w:r w:rsidRPr="00B86A60">
        <w:rPr>
          <w:b/>
        </w:rPr>
        <w:t>к</w:t>
      </w:r>
      <w:r w:rsidRPr="00B86A60">
        <w:rPr>
          <w:b/>
        </w:rPr>
        <w:t xml:space="preserve">ладе. 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V</w:t>
      </w:r>
      <w:r w:rsidRPr="009D206A">
        <w:t>.</w:t>
      </w:r>
      <w:r w:rsidRPr="009D206A">
        <w:tab/>
        <w:t>Предупреждение торговли детьми, детской проституции и детской порнографии (пункты 1 и 2 статьи 9)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 xml:space="preserve">Принимаемые меры по предотвращению преступлений, запрещенных Факультативным протоколом </w:t>
      </w:r>
    </w:p>
    <w:p w:rsidR="00182973" w:rsidRPr="009D206A" w:rsidRDefault="00182973" w:rsidP="00182973">
      <w:pPr>
        <w:pStyle w:val="SingleTxtGR"/>
      </w:pPr>
      <w:r w:rsidRPr="009D206A">
        <w:t>15.</w:t>
      </w:r>
      <w:r w:rsidRPr="009D206A">
        <w:tab/>
        <w:t>Комитет отмечает меры, принятые государством-участником для предо</w:t>
      </w:r>
      <w:r w:rsidRPr="009D206A">
        <w:t>т</w:t>
      </w:r>
      <w:r w:rsidRPr="009D206A">
        <w:t>вращения торговли людьми в целом, но обеспокоен тем, что отсутствуют мех</w:t>
      </w:r>
      <w:r w:rsidRPr="009D206A">
        <w:t>а</w:t>
      </w:r>
      <w:r w:rsidRPr="009D206A">
        <w:t>низмы для выявления и отслеживания детей, рискующих стать жертвами пр</w:t>
      </w:r>
      <w:r w:rsidRPr="009D206A">
        <w:t>е</w:t>
      </w:r>
      <w:r w:rsidRPr="009D206A">
        <w:t>ступлений, охватываемых Факультативным протоколом. В частности, в гос</w:t>
      </w:r>
      <w:r w:rsidRPr="009D206A">
        <w:t>у</w:t>
      </w:r>
      <w:r w:rsidRPr="009D206A">
        <w:t>дарстве-участнике нет программ, конкретно ориентированных на детей, нах</w:t>
      </w:r>
      <w:r w:rsidRPr="009D206A">
        <w:t>о</w:t>
      </w:r>
      <w:r w:rsidRPr="009D206A">
        <w:t>дящихся в уязвимом и маргинал</w:t>
      </w:r>
      <w:r w:rsidRPr="009D206A">
        <w:t>и</w:t>
      </w:r>
      <w:r w:rsidRPr="009D206A">
        <w:t xml:space="preserve">зованном положении. 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16.</w:t>
      </w:r>
      <w:r w:rsidRPr="009D206A">
        <w:tab/>
      </w:r>
      <w:r w:rsidRPr="00B86A60">
        <w:rPr>
          <w:b/>
        </w:rPr>
        <w:t>Комитет призывает государство-участник создать механизм идент</w:t>
      </w:r>
      <w:r w:rsidRPr="00B86A60">
        <w:rPr>
          <w:b/>
        </w:rPr>
        <w:t>и</w:t>
      </w:r>
      <w:r w:rsidRPr="00B86A60">
        <w:rPr>
          <w:b/>
        </w:rPr>
        <w:t>фикации и мониторинга находящихся в неблагоприятном положении д</w:t>
      </w:r>
      <w:r w:rsidRPr="00B86A60">
        <w:rPr>
          <w:b/>
        </w:rPr>
        <w:t>е</w:t>
      </w:r>
      <w:r w:rsidRPr="00B86A60">
        <w:rPr>
          <w:b/>
        </w:rPr>
        <w:t>тей, которые могут стать жертвами преступлений, охватываемых Факул</w:t>
      </w:r>
      <w:r w:rsidRPr="00B86A60">
        <w:rPr>
          <w:b/>
        </w:rPr>
        <w:t>ь</w:t>
      </w:r>
      <w:r w:rsidRPr="00B86A60">
        <w:rPr>
          <w:b/>
        </w:rPr>
        <w:t>тативным протоколом, и разработать специальные программы, ориент</w:t>
      </w:r>
      <w:r w:rsidRPr="00B86A60">
        <w:rPr>
          <w:b/>
        </w:rPr>
        <w:t>и</w:t>
      </w:r>
      <w:r w:rsidRPr="00B86A60">
        <w:rPr>
          <w:b/>
        </w:rPr>
        <w:t>рованные на детей рома, живущих в нищете детей, затронутых миграцией детей, детей в учреждениях по уходу и других детей в уязвимых и марг</w:t>
      </w:r>
      <w:r w:rsidRPr="00B86A60">
        <w:rPr>
          <w:b/>
        </w:rPr>
        <w:t>и</w:t>
      </w:r>
      <w:r w:rsidRPr="00B86A60">
        <w:rPr>
          <w:b/>
        </w:rPr>
        <w:t>нальных ситуациях.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Торговля детьми в сексуальных целях</w:t>
      </w:r>
    </w:p>
    <w:p w:rsidR="00182973" w:rsidRPr="009D206A" w:rsidRDefault="00182973" w:rsidP="00182973">
      <w:pPr>
        <w:pStyle w:val="SingleTxtGR"/>
      </w:pPr>
      <w:r w:rsidRPr="009D206A">
        <w:t>17.</w:t>
      </w:r>
      <w:r w:rsidRPr="009D206A">
        <w:tab/>
        <w:t>Комитет отмечает усилия, предпринятые государством-участником в ц</w:t>
      </w:r>
      <w:r w:rsidRPr="009D206A">
        <w:t>е</w:t>
      </w:r>
      <w:r w:rsidRPr="009D206A">
        <w:t>лях борьбы с торговлей людьми путем принятия стратегий и законодательных актов. Однако он обеспокоен тем, что государство-участник остается страной происхождения и транзита в контексте торговли женщинами и девочками для целей сексуальной эк</w:t>
      </w:r>
      <w:r w:rsidRPr="009D206A">
        <w:t>с</w:t>
      </w:r>
      <w:r w:rsidRPr="009D206A">
        <w:t>плуатации. Комитет также обеспокоен чрезмерной долей среди жертв торговли людьми детей-рома из учреждений по уходу за детьми. Кроме того, Комитет обеспокоен тем, что государство-участник не обеспечив</w:t>
      </w:r>
      <w:r w:rsidRPr="009D206A">
        <w:t>а</w:t>
      </w:r>
      <w:r w:rsidRPr="009D206A">
        <w:t>ет надлежащих стимулов для добровольного участия потерпевших в процессе расследования и судебного преследования торговцев людьми, и выражает сож</w:t>
      </w:r>
      <w:r w:rsidRPr="009D206A">
        <w:t>а</w:t>
      </w:r>
      <w:r w:rsidRPr="009D206A">
        <w:t xml:space="preserve">ление по поводу отсутствия информации об использовании программ защиты свидетелей. </w:t>
      </w:r>
    </w:p>
    <w:p w:rsidR="00182973" w:rsidRPr="009D206A" w:rsidRDefault="00182973" w:rsidP="00182973">
      <w:pPr>
        <w:pStyle w:val="SingleTxtGR"/>
      </w:pPr>
      <w:r w:rsidRPr="009D206A">
        <w:t>18.</w:t>
      </w:r>
      <w:r w:rsidRPr="009D206A">
        <w:tab/>
      </w:r>
      <w:r w:rsidRPr="00B86A60">
        <w:rPr>
          <w:b/>
        </w:rPr>
        <w:t>Комитет рекомендует государству-участнику принять необходимые меры для проведения всеобъемлющего исследования с целью оценки пр</w:t>
      </w:r>
      <w:r w:rsidRPr="00B86A60">
        <w:rPr>
          <w:b/>
        </w:rPr>
        <w:t>и</w:t>
      </w:r>
      <w:r w:rsidRPr="00B86A60">
        <w:rPr>
          <w:b/>
        </w:rPr>
        <w:t>чин, характера и масштабов торговли детьми в целях сексуальной эк</w:t>
      </w:r>
      <w:r w:rsidRPr="00B86A60">
        <w:rPr>
          <w:b/>
        </w:rPr>
        <w:t>с</w:t>
      </w:r>
      <w:r w:rsidRPr="00B86A60">
        <w:rPr>
          <w:b/>
        </w:rPr>
        <w:t>плуатации, в частности детьми-рома. Комитет также рекомендует госуда</w:t>
      </w:r>
      <w:r w:rsidRPr="00B86A60">
        <w:rPr>
          <w:b/>
        </w:rPr>
        <w:t>р</w:t>
      </w:r>
      <w:r w:rsidRPr="00B86A60">
        <w:rPr>
          <w:b/>
        </w:rPr>
        <w:t>ству-участнику принять меры для сокращения и уменьшения такой то</w:t>
      </w:r>
      <w:r w:rsidRPr="00B86A60">
        <w:rPr>
          <w:b/>
        </w:rPr>
        <w:t>р</w:t>
      </w:r>
      <w:r w:rsidRPr="00B86A60">
        <w:rPr>
          <w:b/>
        </w:rPr>
        <w:t>говли, в том числе путем повышения уровня осведомленности специал</w:t>
      </w:r>
      <w:r w:rsidRPr="00B86A60">
        <w:rPr>
          <w:b/>
        </w:rPr>
        <w:t>и</w:t>
      </w:r>
      <w:r w:rsidRPr="00B86A60">
        <w:rPr>
          <w:b/>
        </w:rPr>
        <w:t>стов и широкой общественности о проблеме торговли детьми на основе просвещения, в том числе через кампании в средствах массовой информ</w:t>
      </w:r>
      <w:r w:rsidRPr="00B86A60">
        <w:rPr>
          <w:b/>
        </w:rPr>
        <w:t>а</w:t>
      </w:r>
      <w:r w:rsidRPr="00B86A60">
        <w:rPr>
          <w:b/>
        </w:rPr>
        <w:t>ции и развитие сотрудничества с властями тех стран, в которые продаются дети. Кроме того, Комитет рекомендует государству-участнику принять меры по обеспечению жертвам торговли людьми адекватных стимулов и защиты для участия в процессе расследования в отношении лиц, зан</w:t>
      </w:r>
      <w:r w:rsidRPr="00B86A60">
        <w:rPr>
          <w:b/>
        </w:rPr>
        <w:t>и</w:t>
      </w:r>
      <w:r w:rsidRPr="00B86A60">
        <w:rPr>
          <w:b/>
        </w:rPr>
        <w:t>мающихся торговлей людьми.</w:t>
      </w:r>
      <w:r w:rsidRPr="009D206A">
        <w:t xml:space="preserve"> 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VI</w:t>
      </w:r>
      <w:r w:rsidRPr="009D206A">
        <w:t>.</w:t>
      </w:r>
      <w:r w:rsidRPr="009D206A">
        <w:tab/>
        <w:t>Запрещение торговли детьми, детской проституции, детской порнографии и связанные с этим вопросы (статьи 3; пункты 2 и 3 статьи 4; 5; 6 и 7)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Действующее уголовное законодательство</w:t>
      </w:r>
    </w:p>
    <w:p w:rsidR="00182973" w:rsidRPr="009D206A" w:rsidRDefault="00182973" w:rsidP="00182973">
      <w:pPr>
        <w:pStyle w:val="SingleTxtGR"/>
      </w:pPr>
      <w:r w:rsidRPr="009D206A">
        <w:t>19.</w:t>
      </w:r>
      <w:r w:rsidRPr="009D206A">
        <w:tab/>
        <w:t>Комитет приветствует то, что Уголовный кодекс государства-участника включает в себя большинство преступлений, охватываемых Факультативным протоколом. Он, однако, выражает сожаление в связи с тем, что государство-участник не предст</w:t>
      </w:r>
      <w:r w:rsidRPr="009D206A">
        <w:t>а</w:t>
      </w:r>
      <w:r w:rsidRPr="009D206A">
        <w:t>вило никакой информации относительно того, включено ли такое преступление, как неправомерное склонение в качестве посредничества к согласию на усыновление р</w:t>
      </w:r>
      <w:r w:rsidRPr="009D206A">
        <w:t>е</w:t>
      </w:r>
      <w:r w:rsidRPr="009D206A">
        <w:t xml:space="preserve">бенка, в Уголовный кодекс страны. </w:t>
      </w:r>
    </w:p>
    <w:p w:rsidR="00182973" w:rsidRPr="009D206A" w:rsidRDefault="00182973" w:rsidP="00182973">
      <w:pPr>
        <w:pStyle w:val="SingleTxtGR"/>
      </w:pPr>
      <w:r w:rsidRPr="009D206A">
        <w:t>20.</w:t>
      </w:r>
      <w:r w:rsidRPr="009D206A">
        <w:tab/>
      </w:r>
      <w:r w:rsidRPr="00B86A60">
        <w:rPr>
          <w:b/>
        </w:rPr>
        <w:t>Комитет рекомендует государству-участнику принять необходимые меры для обеспечения того, чтобы все элементы, содержащиеся в статье 3 Факультативного протокола, в том числе неправомерное склонение в кач</w:t>
      </w:r>
      <w:r w:rsidRPr="00B86A60">
        <w:rPr>
          <w:b/>
        </w:rPr>
        <w:t>е</w:t>
      </w:r>
      <w:r w:rsidRPr="00B86A60">
        <w:rPr>
          <w:b/>
        </w:rPr>
        <w:t>стве посредника к согласию на усыновление ребенка, были включены в з</w:t>
      </w:r>
      <w:r w:rsidRPr="00B86A60">
        <w:rPr>
          <w:b/>
        </w:rPr>
        <w:t>а</w:t>
      </w:r>
      <w:r w:rsidRPr="00B86A60">
        <w:rPr>
          <w:b/>
        </w:rPr>
        <w:t>конодательство страны.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Экстерриториальная юрисдикция и выдача</w:t>
      </w:r>
    </w:p>
    <w:p w:rsidR="00182973" w:rsidRPr="009D206A" w:rsidRDefault="00182973" w:rsidP="00182973">
      <w:pPr>
        <w:pStyle w:val="SingleTxtGR"/>
      </w:pPr>
      <w:r w:rsidRPr="009D206A">
        <w:t>21.</w:t>
      </w:r>
      <w:r w:rsidRPr="009D206A">
        <w:tab/>
        <w:t>Комитет отмечает, что законодательство государства-участника допускает привлечение к ответственности его граждан, которые совершили преступления за рубежом; он выражает сожаление по поводу того, что государство-участник не установило экстерриториальную юрисдикцию во всех случаях, упомина</w:t>
      </w:r>
      <w:r w:rsidRPr="009D206A">
        <w:t>е</w:t>
      </w:r>
      <w:r w:rsidRPr="009D206A">
        <w:t>мых в статье 4 Факультативного протокола. Он также отмечает, что государс</w:t>
      </w:r>
      <w:r w:rsidRPr="009D206A">
        <w:t>т</w:t>
      </w:r>
      <w:r w:rsidRPr="009D206A">
        <w:t>во-участник допускает выдачу лишь в тех случаях, когда имеется двусторонний или многосторонний договор о выдаче, и не использует Факультативный прот</w:t>
      </w:r>
      <w:r w:rsidRPr="009D206A">
        <w:t>о</w:t>
      </w:r>
      <w:r w:rsidRPr="009D206A">
        <w:t>кол в качестве правового осн</w:t>
      </w:r>
      <w:r w:rsidRPr="009D206A">
        <w:t>о</w:t>
      </w:r>
      <w:r w:rsidRPr="009D206A">
        <w:t>вания для выдачи.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22.</w:t>
      </w:r>
      <w:r w:rsidRPr="009D206A">
        <w:tab/>
      </w:r>
      <w:r w:rsidRPr="00B86A60">
        <w:rPr>
          <w:b/>
        </w:rPr>
        <w:t>Комитет рекомендует государству-участнику принять меры для уст</w:t>
      </w:r>
      <w:r w:rsidRPr="00B86A60">
        <w:rPr>
          <w:b/>
        </w:rPr>
        <w:t>а</w:t>
      </w:r>
      <w:r w:rsidRPr="00B86A60">
        <w:rPr>
          <w:b/>
        </w:rPr>
        <w:t>новления экстерриториальной юрисдикции во всех случаях, о которых г</w:t>
      </w:r>
      <w:r w:rsidRPr="00B86A60">
        <w:rPr>
          <w:b/>
        </w:rPr>
        <w:t>о</w:t>
      </w:r>
      <w:r w:rsidRPr="00B86A60">
        <w:rPr>
          <w:b/>
        </w:rPr>
        <w:t>ворится в Факультативном протоколе, включая случаи, когда предпол</w:t>
      </w:r>
      <w:r w:rsidRPr="00B86A60">
        <w:rPr>
          <w:b/>
        </w:rPr>
        <w:t>а</w:t>
      </w:r>
      <w:r w:rsidRPr="00B86A60">
        <w:rPr>
          <w:b/>
        </w:rPr>
        <w:t>гаемый преступник является гражданином страны или лицом, обычно проживающим в Венгрии, или когда жертвой является венгерский реб</w:t>
      </w:r>
      <w:r w:rsidRPr="00B86A60">
        <w:rPr>
          <w:b/>
        </w:rPr>
        <w:t>е</w:t>
      </w:r>
      <w:r w:rsidRPr="00B86A60">
        <w:rPr>
          <w:b/>
        </w:rPr>
        <w:t>нок. Он также рекомендует государству-участнику рассмотреть возмо</w:t>
      </w:r>
      <w:r w:rsidRPr="00B86A60">
        <w:rPr>
          <w:b/>
        </w:rPr>
        <w:t>ж</w:t>
      </w:r>
      <w:r w:rsidRPr="00B86A60">
        <w:rPr>
          <w:b/>
        </w:rPr>
        <w:t>ность использования Факультативного протокола в качестве правовой б</w:t>
      </w:r>
      <w:r w:rsidRPr="00B86A60">
        <w:rPr>
          <w:b/>
        </w:rPr>
        <w:t>а</w:t>
      </w:r>
      <w:r w:rsidRPr="00B86A60">
        <w:rPr>
          <w:b/>
        </w:rPr>
        <w:t>зы для выдачи лиц, совершивших преступления, которые запрещены по этому протоколу, в условиях отсутствия соответствующих двусторонних или многосторо</w:t>
      </w:r>
      <w:r w:rsidRPr="00B86A60">
        <w:rPr>
          <w:b/>
        </w:rPr>
        <w:t>н</w:t>
      </w:r>
      <w:r w:rsidRPr="00B86A60">
        <w:rPr>
          <w:b/>
        </w:rPr>
        <w:t>них договоров.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VII</w:t>
      </w:r>
      <w:r w:rsidRPr="009D206A">
        <w:t>.</w:t>
      </w:r>
      <w:r w:rsidRPr="009D206A">
        <w:tab/>
        <w:t>Защита прав детей, ставших жертвами соответствующих преступлений (статья 8 и пункты 3 и 4 статьи 9)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 xml:space="preserve">Принимаемые меры по защите прав детей-жертв </w:t>
      </w:r>
    </w:p>
    <w:p w:rsidR="00182973" w:rsidRPr="009D206A" w:rsidRDefault="00182973" w:rsidP="00182973">
      <w:pPr>
        <w:pStyle w:val="SingleTxtGR"/>
      </w:pPr>
      <w:r w:rsidRPr="009D206A">
        <w:t>23.</w:t>
      </w:r>
      <w:r w:rsidRPr="009D206A">
        <w:tab/>
        <w:t>Комитет приветствует внесенные в 2012 году в Закон о помощи и гос</w:t>
      </w:r>
      <w:r w:rsidRPr="009D206A">
        <w:t>у</w:t>
      </w:r>
      <w:r w:rsidRPr="009D206A">
        <w:t>дарственной компенсации жертвам преступности поправки, в соответствии с которыми г</w:t>
      </w:r>
      <w:r w:rsidRPr="009D206A">
        <w:t>о</w:t>
      </w:r>
      <w:r w:rsidRPr="009D206A">
        <w:t>сударство-участник обязано предоставить приют выявленным жертвам торговли людьми и других преступлений, в том числе детям-жертвам. Однако он выражает озабоченность отсутствием информации относительно о</w:t>
      </w:r>
      <w:r w:rsidRPr="009D206A">
        <w:t>б</w:t>
      </w:r>
      <w:r w:rsidRPr="009D206A">
        <w:t>ращения с детьми-жертвами преступлений, перечисленными в Факультативном протоколе, и о выплате им ко</w:t>
      </w:r>
      <w:r w:rsidRPr="009D206A">
        <w:t>м</w:t>
      </w:r>
      <w:r w:rsidRPr="009D206A">
        <w:t xml:space="preserve">пенсации. 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24.</w:t>
      </w:r>
      <w:r w:rsidRPr="009D206A">
        <w:tab/>
      </w:r>
      <w:r w:rsidRPr="00B86A60">
        <w:rPr>
          <w:b/>
        </w:rPr>
        <w:t>Комитет настоятельно рекомендует государству-участнику неизменно обеспечивать детям, ставшим жертвами преступлений, которые охватыв</w:t>
      </w:r>
      <w:r w:rsidRPr="00B86A60">
        <w:rPr>
          <w:b/>
        </w:rPr>
        <w:t>а</w:t>
      </w:r>
      <w:r w:rsidRPr="00B86A60">
        <w:rPr>
          <w:b/>
        </w:rPr>
        <w:t>ются Факультативным протоколом, надлежащее обращение, а также в</w:t>
      </w:r>
      <w:r w:rsidRPr="00B86A60">
        <w:rPr>
          <w:b/>
        </w:rPr>
        <w:t>ы</w:t>
      </w:r>
      <w:r w:rsidRPr="00B86A60">
        <w:rPr>
          <w:b/>
        </w:rPr>
        <w:t>плату компенсации наряду со скорейшим предоставлением им информ</w:t>
      </w:r>
      <w:r w:rsidRPr="00B86A60">
        <w:rPr>
          <w:b/>
        </w:rPr>
        <w:t>а</w:t>
      </w:r>
      <w:r w:rsidRPr="00B86A60">
        <w:rPr>
          <w:b/>
        </w:rPr>
        <w:t>ции о способах ее получения. Он также рекомендует государству-участнику обеспечить, на основе надлежащих нормати</w:t>
      </w:r>
      <w:r w:rsidRPr="00B86A60">
        <w:rPr>
          <w:b/>
        </w:rPr>
        <w:t>в</w:t>
      </w:r>
      <w:r w:rsidRPr="00B86A60">
        <w:rPr>
          <w:b/>
        </w:rPr>
        <w:t>ных положений и правил, всех детей, которые являются жертвами и/или свидетелями преступлений, пр</w:t>
      </w:r>
      <w:r w:rsidRPr="00B86A60">
        <w:rPr>
          <w:b/>
        </w:rPr>
        <w:t>е</w:t>
      </w:r>
      <w:r w:rsidRPr="00B86A60">
        <w:rPr>
          <w:b/>
        </w:rPr>
        <w:t>дусматриваемой по Конвенции защитой, а также всесторонний учет гос</w:t>
      </w:r>
      <w:r w:rsidRPr="00B86A60">
        <w:rPr>
          <w:b/>
        </w:rPr>
        <w:t>у</w:t>
      </w:r>
      <w:r w:rsidRPr="00B86A60">
        <w:rPr>
          <w:b/>
        </w:rPr>
        <w:t xml:space="preserve">дарством-участником Руководящих принципов, касающихся правосудия в вопросах, связанных с участием детей-жертв и свидетелей преступлений. 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Сексуальная эксплуатация и детская проституция</w:t>
      </w:r>
    </w:p>
    <w:p w:rsidR="00182973" w:rsidRPr="009D206A" w:rsidRDefault="00182973" w:rsidP="00182973">
      <w:pPr>
        <w:pStyle w:val="SingleTxtGR"/>
      </w:pPr>
      <w:r w:rsidRPr="009D206A">
        <w:t>25.</w:t>
      </w:r>
      <w:r w:rsidRPr="009D206A">
        <w:tab/>
        <w:t>Комитет обеспокоен тем, что дети, ставшие жертвами сексуальной эк</w:t>
      </w:r>
      <w:r w:rsidRPr="009D206A">
        <w:t>с</w:t>
      </w:r>
      <w:r w:rsidRPr="009D206A">
        <w:t>плуатации и проституции, рассматриваются не как жертвы, а, скорее, как уч</w:t>
      </w:r>
      <w:r w:rsidRPr="009D206A">
        <w:t>а</w:t>
      </w:r>
      <w:r w:rsidRPr="009D206A">
        <w:t>стники и часто подвергаются штрафу, если факт принуждения не был доказан. Он выражает сожаление по поводу отсутствия информации о поддержке, п</w:t>
      </w:r>
      <w:r w:rsidRPr="009D206A">
        <w:t>о</w:t>
      </w:r>
      <w:r w:rsidRPr="009D206A">
        <w:t>мощи и защите, предоставляемых детям, ставшим жертвами сексуальной эк</w:t>
      </w:r>
      <w:r w:rsidRPr="009D206A">
        <w:t>с</w:t>
      </w:r>
      <w:r w:rsidRPr="009D206A">
        <w:t>плуатации и проституции, а также о наличии приютов для таких жертв.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26.</w:t>
      </w:r>
      <w:r w:rsidRPr="009D206A">
        <w:tab/>
      </w:r>
      <w:r w:rsidRPr="00B86A60">
        <w:rPr>
          <w:b/>
        </w:rPr>
        <w:t>Комитет рекомендует государству-участнику принять все необход</w:t>
      </w:r>
      <w:r w:rsidRPr="00B86A60">
        <w:rPr>
          <w:b/>
        </w:rPr>
        <w:t>и</w:t>
      </w:r>
      <w:r w:rsidRPr="00B86A60">
        <w:rPr>
          <w:b/>
        </w:rPr>
        <w:t>мые меры для обеспечения детям, ставшим жертвами сексуальной эк</w:t>
      </w:r>
      <w:r w:rsidRPr="00B86A60">
        <w:rPr>
          <w:b/>
        </w:rPr>
        <w:t>с</w:t>
      </w:r>
      <w:r w:rsidRPr="00B86A60">
        <w:rPr>
          <w:b/>
        </w:rPr>
        <w:t>плуатации и проституции, необходимой поддержки, помощи и защиты, включая предоставление приютов, и освобождения таких жертв от любой ответственности, включая штрафы, даже в тех случаях, когда факт прин</w:t>
      </w:r>
      <w:r w:rsidRPr="00B86A60">
        <w:rPr>
          <w:b/>
        </w:rPr>
        <w:t>у</w:t>
      </w:r>
      <w:r w:rsidRPr="00B86A60">
        <w:rPr>
          <w:b/>
        </w:rPr>
        <w:t>ждения не может быть док</w:t>
      </w:r>
      <w:r w:rsidRPr="00B86A60">
        <w:rPr>
          <w:b/>
        </w:rPr>
        <w:t>а</w:t>
      </w:r>
      <w:r w:rsidRPr="00B86A60">
        <w:rPr>
          <w:b/>
        </w:rPr>
        <w:t xml:space="preserve">зан. 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VIII</w:t>
      </w:r>
      <w:r w:rsidRPr="009D206A">
        <w:t>.</w:t>
      </w:r>
      <w:r w:rsidRPr="009D206A">
        <w:tab/>
        <w:t>Международная помощь и сотрудничество (статья 10)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Многосторонние, региональные и двусторонние соглашения</w:t>
      </w:r>
    </w:p>
    <w:p w:rsidR="00182973" w:rsidRPr="009D206A" w:rsidRDefault="00182973" w:rsidP="00182973">
      <w:pPr>
        <w:pStyle w:val="SingleTxtGR"/>
      </w:pPr>
      <w:r w:rsidRPr="009D206A">
        <w:t>27.</w:t>
      </w:r>
      <w:r w:rsidRPr="009D206A">
        <w:tab/>
        <w:t>В свете пункта 1 статьи 10 Факультативного протокола Комитет приним</w:t>
      </w:r>
      <w:r w:rsidRPr="009D206A">
        <w:t>а</w:t>
      </w:r>
      <w:r w:rsidRPr="009D206A">
        <w:t>ет к сведению соглашения, заключенные с другими государствами, и предлагает госуда</w:t>
      </w:r>
      <w:r w:rsidRPr="009D206A">
        <w:t>р</w:t>
      </w:r>
      <w:r w:rsidRPr="009D206A">
        <w:t>ству-участнику продолжать крепить международное сотрудничество на основе многосторонних, региональных и двусторонних договоренностей, в ч</w:t>
      </w:r>
      <w:r w:rsidRPr="009D206A">
        <w:t>а</w:t>
      </w:r>
      <w:r w:rsidRPr="009D206A">
        <w:t>стности с соседними странами, в том числе путем упрочения процедур и мех</w:t>
      </w:r>
      <w:r w:rsidRPr="009D206A">
        <w:t>а</w:t>
      </w:r>
      <w:r w:rsidRPr="009D206A">
        <w:t>низмов координации взаимодействия с целью совершенствования работы по профилактике, выявлению, расследованию и наказанию виновных в связи с л</w:t>
      </w:r>
      <w:r w:rsidRPr="009D206A">
        <w:t>ю</w:t>
      </w:r>
      <w:r w:rsidRPr="009D206A">
        <w:t>быми преступлениями, которые охвачены Факультативным протоколом.</w:t>
      </w:r>
    </w:p>
    <w:p w:rsidR="00182973" w:rsidRPr="009D206A" w:rsidRDefault="00182973" w:rsidP="00182973">
      <w:pPr>
        <w:pStyle w:val="HChGR"/>
      </w:pPr>
      <w:r w:rsidRPr="009D206A">
        <w:tab/>
      </w:r>
      <w:r w:rsidRPr="001A69E4">
        <w:t>IX</w:t>
      </w:r>
      <w:r w:rsidRPr="009D206A">
        <w:t>.</w:t>
      </w:r>
      <w:r w:rsidRPr="009D206A">
        <w:tab/>
        <w:t>Последующие меры и распространение информации</w:t>
      </w:r>
    </w:p>
    <w:p w:rsidR="00182973" w:rsidRPr="009D206A" w:rsidRDefault="00182973" w:rsidP="00182973">
      <w:pPr>
        <w:pStyle w:val="H23GR"/>
      </w:pPr>
      <w:r w:rsidRPr="009D206A">
        <w:tab/>
      </w:r>
      <w:r w:rsidRPr="009D206A">
        <w:tab/>
        <w:t>Последующие меры</w:t>
      </w:r>
    </w:p>
    <w:p w:rsidR="00182973" w:rsidRPr="00B86A60" w:rsidRDefault="00182973" w:rsidP="00182973">
      <w:pPr>
        <w:pStyle w:val="SingleTxtGR"/>
        <w:rPr>
          <w:b/>
        </w:rPr>
      </w:pPr>
      <w:r w:rsidRPr="009D206A">
        <w:t>28.</w:t>
      </w:r>
      <w:r w:rsidRPr="009D206A">
        <w:tab/>
      </w:r>
      <w:r w:rsidRPr="00B86A60">
        <w:rPr>
          <w:b/>
        </w:rPr>
        <w:t>Комитет рекомендует государству-участнику принять все надлеж</w:t>
      </w:r>
      <w:r w:rsidRPr="00B86A60">
        <w:rPr>
          <w:b/>
        </w:rPr>
        <w:t>а</w:t>
      </w:r>
      <w:r w:rsidRPr="00B86A60">
        <w:rPr>
          <w:b/>
        </w:rPr>
        <w:t>щие меры для обеспечения полного выполнения настоящих рекомендаций, в том числе путем препровождения этих рекомендаций соответствующим государственным ведомствам, парламенту, Верховному суду, а также общ</w:t>
      </w:r>
      <w:r w:rsidRPr="00B86A60">
        <w:rPr>
          <w:b/>
        </w:rPr>
        <w:t>е</w:t>
      </w:r>
      <w:r w:rsidRPr="00B86A60">
        <w:rPr>
          <w:b/>
        </w:rPr>
        <w:t>национальным и местным властям для рассмотрения и принятия соотве</w:t>
      </w:r>
      <w:r w:rsidRPr="00B86A60">
        <w:rPr>
          <w:b/>
        </w:rPr>
        <w:t>т</w:t>
      </w:r>
      <w:r w:rsidRPr="00B86A60">
        <w:rPr>
          <w:b/>
        </w:rPr>
        <w:t>ствующих мер.</w:t>
      </w:r>
    </w:p>
    <w:p w:rsidR="00182973" w:rsidRPr="009D206A" w:rsidRDefault="00182973" w:rsidP="00B86A60">
      <w:pPr>
        <w:pStyle w:val="H23GR"/>
      </w:pPr>
      <w:r w:rsidRPr="009D206A">
        <w:tab/>
      </w:r>
      <w:r w:rsidRPr="009D206A">
        <w:tab/>
        <w:t>Распространение информации о заключительных замечаниях</w:t>
      </w:r>
    </w:p>
    <w:p w:rsidR="00182973" w:rsidRDefault="00182973" w:rsidP="00182973">
      <w:pPr>
        <w:pStyle w:val="SingleTxtGR"/>
      </w:pPr>
      <w:r w:rsidRPr="009D206A">
        <w:t>29.</w:t>
      </w:r>
      <w:r w:rsidRPr="009D206A">
        <w:tab/>
      </w:r>
      <w:r w:rsidRPr="00B86A60">
        <w:rPr>
          <w:b/>
        </w:rPr>
        <w:t>Комитет рекомендует обеспечить как можно более широкое распр</w:t>
      </w:r>
      <w:r w:rsidRPr="00B86A60">
        <w:rPr>
          <w:b/>
        </w:rPr>
        <w:t>о</w:t>
      </w:r>
      <w:r w:rsidRPr="00B86A60">
        <w:rPr>
          <w:b/>
        </w:rPr>
        <w:t>странение первоначального доклада и письменных ответов, представле</w:t>
      </w:r>
      <w:r w:rsidRPr="00B86A60">
        <w:rPr>
          <w:b/>
        </w:rPr>
        <w:t>н</w:t>
      </w:r>
      <w:r w:rsidRPr="00B86A60">
        <w:rPr>
          <w:b/>
        </w:rPr>
        <w:t>ных гос</w:t>
      </w:r>
      <w:r w:rsidRPr="00B86A60">
        <w:rPr>
          <w:b/>
        </w:rPr>
        <w:t>у</w:t>
      </w:r>
      <w:r w:rsidRPr="00B86A60">
        <w:rPr>
          <w:b/>
        </w:rPr>
        <w:t>дарством-участником, а также соответствующих рекомендаций (заключител</w:t>
      </w:r>
      <w:r w:rsidRPr="00B86A60">
        <w:rPr>
          <w:b/>
        </w:rPr>
        <w:t>ь</w:t>
      </w:r>
      <w:r w:rsidRPr="00B86A60">
        <w:rPr>
          <w:b/>
        </w:rPr>
        <w:t>ные замечания), среди широкой общественности (в том числе через Интернет, но не только через него), организаций гражданского общ</w:t>
      </w:r>
      <w:r w:rsidRPr="00B86A60">
        <w:rPr>
          <w:b/>
        </w:rPr>
        <w:t>е</w:t>
      </w:r>
      <w:r w:rsidRPr="00B86A60">
        <w:rPr>
          <w:b/>
        </w:rPr>
        <w:t>ства, групп молодежи, групп специалистов, среди специалистов СМИ и д</w:t>
      </w:r>
      <w:r w:rsidRPr="00B86A60">
        <w:rPr>
          <w:b/>
        </w:rPr>
        <w:t>е</w:t>
      </w:r>
      <w:r w:rsidRPr="00B86A60">
        <w:rPr>
          <w:b/>
        </w:rPr>
        <w:t>тей в целях содействия о</w:t>
      </w:r>
      <w:r w:rsidRPr="00B86A60">
        <w:rPr>
          <w:b/>
        </w:rPr>
        <w:t>б</w:t>
      </w:r>
      <w:r w:rsidRPr="00B86A60">
        <w:rPr>
          <w:b/>
        </w:rPr>
        <w:t>суждению данных вопросов, а также понимания Факультативного протокола, его осуществления и мониторинга.</w:t>
      </w:r>
    </w:p>
    <w:p w:rsidR="00AF18E6" w:rsidRPr="00433AA0" w:rsidRDefault="00AF18E6" w:rsidP="00AF18E6">
      <w:pPr>
        <w:pStyle w:val="HChGR"/>
      </w:pPr>
      <w:r w:rsidRPr="00433AA0">
        <w:tab/>
        <w:t>X.</w:t>
      </w:r>
      <w:r w:rsidRPr="00433AA0">
        <w:tab/>
        <w:t>Следующий доклад</w:t>
      </w:r>
    </w:p>
    <w:p w:rsidR="00AF18E6" w:rsidRPr="00A65070" w:rsidRDefault="00AF18E6" w:rsidP="00AF18E6">
      <w:pPr>
        <w:pStyle w:val="SingleTxtGR"/>
        <w:rPr>
          <w:b/>
        </w:rPr>
      </w:pPr>
      <w:r w:rsidRPr="00433AA0">
        <w:t>30.</w:t>
      </w:r>
      <w:r w:rsidRPr="00433AA0">
        <w:tab/>
      </w:r>
      <w:r w:rsidRPr="00A65070">
        <w:rPr>
          <w:b/>
        </w:rPr>
        <w:t>В с</w:t>
      </w:r>
      <w:r w:rsidR="00BA71B9">
        <w:rPr>
          <w:b/>
        </w:rPr>
        <w:t>оответствии с пунктом 2 статьи 12</w:t>
      </w:r>
      <w:r w:rsidRPr="00A65070">
        <w:rPr>
          <w:b/>
        </w:rPr>
        <w:t xml:space="preserve"> Факультативного протокола Комитет предлагает государству-участнику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 по Конвенции о правах ребенка, подлежащий представлению согласно ст</w:t>
      </w:r>
      <w:r w:rsidRPr="00A65070">
        <w:rPr>
          <w:b/>
        </w:rPr>
        <w:t>а</w:t>
      </w:r>
      <w:r w:rsidRPr="00A65070">
        <w:rPr>
          <w:b/>
        </w:rPr>
        <w:t>тье</w:t>
      </w:r>
      <w:r w:rsidR="00BA71B9">
        <w:rPr>
          <w:b/>
        </w:rPr>
        <w:t> </w:t>
      </w:r>
      <w:r w:rsidRPr="00A65070">
        <w:rPr>
          <w:b/>
        </w:rPr>
        <w:t>44 Конвенции.</w:t>
      </w:r>
    </w:p>
    <w:p w:rsidR="00B86A60" w:rsidRPr="00B86A60" w:rsidRDefault="00B86A60" w:rsidP="00182973">
      <w:pPr>
        <w:pStyle w:val="SingleTxtGR"/>
      </w:pPr>
    </w:p>
    <w:p w:rsidR="00182973" w:rsidRPr="00182973" w:rsidRDefault="00182973" w:rsidP="0018297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2973" w:rsidRPr="0018297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2A" w:rsidRDefault="007E542A">
      <w:r>
        <w:rPr>
          <w:lang w:val="en-US"/>
        </w:rPr>
        <w:tab/>
      </w:r>
      <w:r>
        <w:separator/>
      </w:r>
    </w:p>
  </w:endnote>
  <w:endnote w:type="continuationSeparator" w:id="0">
    <w:p w:rsidR="007E542A" w:rsidRDefault="007E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40" w:rsidRPr="009A6F4A" w:rsidRDefault="006B064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B7C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GE.14-19603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40" w:rsidRPr="009A6F4A" w:rsidRDefault="006B0640">
    <w:pPr>
      <w:pStyle w:val="Footer"/>
      <w:rPr>
        <w:lang w:val="en-US"/>
      </w:rPr>
    </w:pPr>
    <w:r>
      <w:rPr>
        <w:lang w:val="en-US"/>
      </w:rPr>
      <w:t>GE.14-19603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B7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6B0640" w:rsidTr="00C50460">
      <w:trPr>
        <w:trHeight w:val="438"/>
      </w:trPr>
      <w:tc>
        <w:tcPr>
          <w:tcW w:w="4068" w:type="dxa"/>
          <w:vAlign w:val="bottom"/>
        </w:tcPr>
        <w:p w:rsidR="006B0640" w:rsidRDefault="006B0640" w:rsidP="00C50460">
          <w:r>
            <w:rPr>
              <w:lang w:val="en-US"/>
            </w:rPr>
            <w:t>GE.14-19603  (R)  210115  210115</w:t>
          </w:r>
        </w:p>
      </w:tc>
      <w:tc>
        <w:tcPr>
          <w:tcW w:w="4663" w:type="dxa"/>
          <w:vMerge w:val="restart"/>
          <w:vAlign w:val="bottom"/>
        </w:tcPr>
        <w:p w:rsidR="006B0640" w:rsidRDefault="006B0640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B0640" w:rsidRDefault="006B0640" w:rsidP="00C50460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6B0640" w:rsidRPr="00797A78" w:rsidTr="00C50460">
      <w:tc>
        <w:tcPr>
          <w:tcW w:w="4068" w:type="dxa"/>
          <w:vAlign w:val="bottom"/>
        </w:tcPr>
        <w:p w:rsidR="006B0640" w:rsidRPr="00BA5B04" w:rsidRDefault="006B0640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A5B0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B0640" w:rsidRDefault="006B0640" w:rsidP="00C50460"/>
      </w:tc>
      <w:tc>
        <w:tcPr>
          <w:tcW w:w="1124" w:type="dxa"/>
          <w:vMerge/>
        </w:tcPr>
        <w:p w:rsidR="006B0640" w:rsidRDefault="006B0640" w:rsidP="00C50460"/>
      </w:tc>
    </w:tr>
  </w:tbl>
  <w:p w:rsidR="006B0640" w:rsidRDefault="006B0640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2A" w:rsidRPr="00F71F63" w:rsidRDefault="007E542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E542A" w:rsidRPr="00F71F63" w:rsidRDefault="007E542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E542A" w:rsidRPr="00635E86" w:rsidRDefault="007E542A" w:rsidP="00635E86">
      <w:pPr>
        <w:pStyle w:val="Footer"/>
      </w:pPr>
    </w:p>
  </w:footnote>
  <w:footnote w:id="1">
    <w:p w:rsidR="006B0640" w:rsidRPr="001D0AF8" w:rsidRDefault="006B0640" w:rsidP="00182973">
      <w:pPr>
        <w:pStyle w:val="FootnoteText"/>
        <w:rPr>
          <w:sz w:val="20"/>
          <w:lang w:val="ru-RU"/>
        </w:rPr>
      </w:pPr>
      <w:r>
        <w:tab/>
      </w:r>
      <w:r w:rsidRPr="001D0AF8">
        <w:rPr>
          <w:rStyle w:val="FootnoteReference"/>
          <w:sz w:val="20"/>
          <w:vertAlign w:val="baseline"/>
          <w:lang w:val="ru-RU"/>
        </w:rPr>
        <w:t>*</w:t>
      </w:r>
      <w:r w:rsidRPr="001D0AF8">
        <w:rPr>
          <w:lang w:val="ru-RU"/>
        </w:rPr>
        <w:tab/>
        <w:t>Приняты Комитетом на его шестьдесят седьмой сессии (1–19 сентября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40" w:rsidRPr="00BA5B04" w:rsidRDefault="006B0640">
    <w:pPr>
      <w:pStyle w:val="Header"/>
      <w:rPr>
        <w:lang w:val="en-US"/>
      </w:rPr>
    </w:pPr>
    <w:r>
      <w:rPr>
        <w:lang w:val="en-US"/>
      </w:rPr>
      <w:t>CRC/</w:t>
    </w:r>
    <w:r w:rsidRPr="00BA5B04">
      <w:rPr>
        <w:lang w:val="en-US"/>
      </w:rPr>
      <w:t>C/OPSC/HUN/CO/1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40" w:rsidRPr="009A6F4A" w:rsidRDefault="006B0640">
    <w:pPr>
      <w:pStyle w:val="Header"/>
      <w:rPr>
        <w:lang w:val="en-US"/>
      </w:rPr>
    </w:pPr>
    <w:r>
      <w:rPr>
        <w:lang w:val="en-US"/>
      </w:rPr>
      <w:tab/>
      <w:t>CRC/</w:t>
    </w:r>
    <w:r w:rsidRPr="00BA5B04">
      <w:rPr>
        <w:lang w:val="en-US"/>
      </w:rPr>
      <w:t>C/OPSC/HUN/CO/1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6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2973"/>
    <w:rsid w:val="00183779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2E4BAD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639D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3183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09D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309D"/>
    <w:rsid w:val="006926C7"/>
    <w:rsid w:val="00694C37"/>
    <w:rsid w:val="006A1BEB"/>
    <w:rsid w:val="006A401C"/>
    <w:rsid w:val="006A7C6E"/>
    <w:rsid w:val="006B0640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2A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0F1E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2D9"/>
    <w:rsid w:val="00AB5BF0"/>
    <w:rsid w:val="00AC1C95"/>
    <w:rsid w:val="00AC2CCB"/>
    <w:rsid w:val="00AC443A"/>
    <w:rsid w:val="00AC6D6B"/>
    <w:rsid w:val="00AE60E2"/>
    <w:rsid w:val="00AF18E6"/>
    <w:rsid w:val="00B0169F"/>
    <w:rsid w:val="00B05F21"/>
    <w:rsid w:val="00B14EA9"/>
    <w:rsid w:val="00B30A3C"/>
    <w:rsid w:val="00B81305"/>
    <w:rsid w:val="00B8138B"/>
    <w:rsid w:val="00B86A60"/>
    <w:rsid w:val="00BA5B04"/>
    <w:rsid w:val="00BA71B9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C6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32B7C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18B8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locked/>
    <w:rsid w:val="00182973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2</TotalTime>
  <Pages>1</Pages>
  <Words>1876</Words>
  <Characters>14094</Characters>
  <Application>Microsoft Office Word</Application>
  <DocSecurity>4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1419603</vt:lpstr>
    </vt:vector>
  </TitlesOfParts>
  <Manager>Skourikhine</Manager>
  <Company>CSD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1419603</dc:title>
  <dc:subject>CRC/C/OPSC/HUN/CO/1</dc:subject>
  <dc:creator>Chouvalova</dc:creator>
  <cp:keywords/>
  <dc:description/>
  <cp:lastModifiedBy>Chouvalova</cp:lastModifiedBy>
  <cp:revision>4</cp:revision>
  <cp:lastPrinted>2015-01-21T13:29:00Z</cp:lastPrinted>
  <dcterms:created xsi:type="dcterms:W3CDTF">2015-01-21T13:28:00Z</dcterms:created>
  <dcterms:modified xsi:type="dcterms:W3CDTF">2015-01-21T13:30:00Z</dcterms:modified>
</cp:coreProperties>
</file>