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467DFE">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8305F1" w:rsidP="00960321">
            <w:pPr>
              <w:jc w:val="right"/>
            </w:pPr>
            <w:r w:rsidRPr="008305F1">
              <w:rPr>
                <w:sz w:val="40"/>
              </w:rPr>
              <w:t>CRC</w:t>
            </w:r>
            <w:r>
              <w:t>/C/</w:t>
            </w:r>
            <w:r w:rsidR="00960321">
              <w:t>OPSC/ISR</w:t>
            </w:r>
            <w:r>
              <w:t>/</w:t>
            </w:r>
            <w:r w:rsidR="00960321">
              <w:t>1</w:t>
            </w:r>
          </w:p>
        </w:tc>
      </w:tr>
      <w:tr w:rsidR="003107FA" w:rsidTr="00467DFE">
        <w:trPr>
          <w:trHeight w:val="2835"/>
        </w:trPr>
        <w:tc>
          <w:tcPr>
            <w:tcW w:w="1259" w:type="dxa"/>
            <w:tcBorders>
              <w:top w:val="single" w:sz="4" w:space="0" w:color="auto"/>
              <w:left w:val="nil"/>
              <w:bottom w:val="single" w:sz="12" w:space="0" w:color="auto"/>
              <w:right w:val="nil"/>
            </w:tcBorders>
          </w:tcPr>
          <w:p w:rsidR="003107FA" w:rsidRDefault="009A28F6"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CB0F96" w:rsidRDefault="001E3807" w:rsidP="005C50EF">
            <w:pPr>
              <w:spacing w:before="120" w:line="420" w:lineRule="exact"/>
              <w:rPr>
                <w:b/>
                <w:sz w:val="40"/>
                <w:szCs w:val="40"/>
              </w:rPr>
            </w:pPr>
            <w:r w:rsidRPr="00CB0F96">
              <w:rPr>
                <w:b/>
                <w:sz w:val="40"/>
                <w:szCs w:val="40"/>
              </w:rPr>
              <w:t>Convention on the</w:t>
            </w:r>
            <w:r w:rsidRPr="00CB0F96">
              <w:rPr>
                <w:b/>
                <w:sz w:val="40"/>
                <w:szCs w:val="40"/>
              </w:rPr>
              <w:br/>
              <w:t>Rights of the Child</w:t>
            </w:r>
          </w:p>
        </w:tc>
        <w:tc>
          <w:tcPr>
            <w:tcW w:w="2930" w:type="dxa"/>
            <w:tcBorders>
              <w:top w:val="single" w:sz="4" w:space="0" w:color="auto"/>
              <w:left w:val="nil"/>
              <w:bottom w:val="single" w:sz="12" w:space="0" w:color="auto"/>
              <w:right w:val="nil"/>
            </w:tcBorders>
          </w:tcPr>
          <w:p w:rsidR="003107FA" w:rsidRPr="00CB0F96" w:rsidRDefault="008305F1" w:rsidP="008305F1">
            <w:pPr>
              <w:spacing w:before="240" w:line="240" w:lineRule="exact"/>
            </w:pPr>
            <w:r w:rsidRPr="00CB0F96">
              <w:t>Distr.: General</w:t>
            </w:r>
          </w:p>
          <w:p w:rsidR="008305F1" w:rsidRPr="00CB0F96" w:rsidRDefault="00CB0F96" w:rsidP="008305F1">
            <w:pPr>
              <w:spacing w:line="240" w:lineRule="exact"/>
            </w:pPr>
            <w:r>
              <w:t>23 January 2015</w:t>
            </w:r>
          </w:p>
          <w:p w:rsidR="008305F1" w:rsidRPr="00CB0F96" w:rsidRDefault="008305F1" w:rsidP="008305F1">
            <w:pPr>
              <w:spacing w:line="240" w:lineRule="exact"/>
            </w:pPr>
          </w:p>
          <w:p w:rsidR="008305F1" w:rsidRPr="00CB0F96" w:rsidRDefault="008305F1" w:rsidP="008305F1">
            <w:pPr>
              <w:spacing w:line="240" w:lineRule="exact"/>
            </w:pPr>
            <w:r w:rsidRPr="00CB0F96">
              <w:t>Original: English</w:t>
            </w:r>
          </w:p>
        </w:tc>
      </w:tr>
    </w:tbl>
    <w:p w:rsidR="002908A5" w:rsidRPr="002908A5" w:rsidRDefault="002908A5" w:rsidP="002908A5">
      <w:pPr>
        <w:spacing w:before="120"/>
        <w:rPr>
          <w:b/>
          <w:sz w:val="24"/>
          <w:szCs w:val="24"/>
        </w:rPr>
      </w:pPr>
      <w:r w:rsidRPr="002908A5">
        <w:rPr>
          <w:b/>
          <w:sz w:val="24"/>
          <w:szCs w:val="24"/>
        </w:rPr>
        <w:t>Committee on the Rights of the Child</w:t>
      </w:r>
      <w:r w:rsidR="009A1B33">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1&amp;Size=2 &amp;Lang=E"/>
            <w10:wrap anchorx="margin" anchory="margin"/>
          </v:shape>
        </w:pict>
      </w:r>
    </w:p>
    <w:p w:rsidR="002908A5" w:rsidRPr="002908A5" w:rsidRDefault="002908A5" w:rsidP="002908A5">
      <w:pPr>
        <w:pStyle w:val="HMG"/>
      </w:pPr>
      <w:r w:rsidRPr="002908A5">
        <w:tab/>
      </w:r>
      <w:r w:rsidRPr="002908A5">
        <w:tab/>
        <w:t xml:space="preserve">Consideration of reports submitted by States parties under </w:t>
      </w:r>
      <w:r w:rsidR="000416BC">
        <w:t xml:space="preserve">article </w:t>
      </w:r>
      <w:r w:rsidRPr="002908A5">
        <w:t>12, paragraph 1, of the Optional Protocol to the Convention on the Rights of the Child on the sale of children, child prostitution and child pornography</w:t>
      </w:r>
    </w:p>
    <w:p w:rsidR="002908A5" w:rsidRPr="002908A5" w:rsidRDefault="002908A5" w:rsidP="002908A5">
      <w:pPr>
        <w:pStyle w:val="HChG"/>
      </w:pPr>
      <w:r w:rsidRPr="002908A5">
        <w:tab/>
      </w:r>
      <w:r w:rsidRPr="002908A5">
        <w:tab/>
        <w:t xml:space="preserve">Reports of States parties due in </w:t>
      </w:r>
      <w:r>
        <w:t>2010</w:t>
      </w:r>
    </w:p>
    <w:p w:rsidR="002908A5" w:rsidRPr="00E24068" w:rsidRDefault="002908A5" w:rsidP="00E80AAA">
      <w:pPr>
        <w:pStyle w:val="HMG"/>
        <w:rPr>
          <w:lang w:val="fr-CH"/>
        </w:rPr>
      </w:pPr>
      <w:r w:rsidRPr="002908A5">
        <w:tab/>
      </w:r>
      <w:r w:rsidRPr="002908A5">
        <w:tab/>
      </w:r>
      <w:proofErr w:type="spellStart"/>
      <w:r w:rsidRPr="00E24068">
        <w:rPr>
          <w:lang w:val="fr-CH"/>
        </w:rPr>
        <w:t>Israel</w:t>
      </w:r>
      <w:proofErr w:type="spellEnd"/>
      <w:r w:rsidRPr="00E24068">
        <w:rPr>
          <w:rStyle w:val="FootnoteReference"/>
          <w:b w:val="0"/>
          <w:sz w:val="20"/>
          <w:vertAlign w:val="baseline"/>
          <w:lang w:val="fr-CH"/>
        </w:rPr>
        <w:footnoteReference w:customMarkFollows="1" w:id="2"/>
        <w:t>*</w:t>
      </w:r>
    </w:p>
    <w:p w:rsidR="002908A5" w:rsidRPr="00E24068" w:rsidRDefault="002908A5" w:rsidP="002908A5">
      <w:pPr>
        <w:pStyle w:val="SingleTxtG"/>
        <w:jc w:val="right"/>
        <w:rPr>
          <w:lang w:val="fr-CH"/>
        </w:rPr>
      </w:pPr>
      <w:r w:rsidRPr="00E24068">
        <w:rPr>
          <w:lang w:val="fr-CH"/>
        </w:rPr>
        <w:t xml:space="preserve">[Date </w:t>
      </w:r>
      <w:proofErr w:type="spellStart"/>
      <w:r w:rsidRPr="00E24068">
        <w:rPr>
          <w:lang w:val="fr-CH"/>
        </w:rPr>
        <w:t>received</w:t>
      </w:r>
      <w:proofErr w:type="spellEnd"/>
      <w:r w:rsidRPr="00E24068">
        <w:rPr>
          <w:lang w:val="fr-CH"/>
        </w:rPr>
        <w:t xml:space="preserve">: 12 </w:t>
      </w:r>
      <w:proofErr w:type="spellStart"/>
      <w:r w:rsidRPr="00E24068">
        <w:rPr>
          <w:lang w:val="fr-CH"/>
        </w:rPr>
        <w:t>November</w:t>
      </w:r>
      <w:proofErr w:type="spellEnd"/>
      <w:r w:rsidRPr="00E24068">
        <w:rPr>
          <w:lang w:val="fr-CH"/>
        </w:rPr>
        <w:t xml:space="preserve"> 2012]</w:t>
      </w:r>
    </w:p>
    <w:p w:rsidR="00790044" w:rsidRPr="00E24068" w:rsidRDefault="008305F1" w:rsidP="00467DFE">
      <w:pPr>
        <w:rPr>
          <w:sz w:val="28"/>
          <w:lang w:val="fr-CH"/>
        </w:rPr>
      </w:pPr>
      <w:r w:rsidRPr="00E24068">
        <w:rPr>
          <w:lang w:val="fr-CH"/>
        </w:rPr>
        <w:br w:type="page"/>
      </w:r>
      <w:r w:rsidR="00790044" w:rsidRPr="00E24068">
        <w:rPr>
          <w:sz w:val="28"/>
          <w:lang w:val="fr-CH"/>
        </w:rPr>
        <w:t>Contents</w:t>
      </w:r>
    </w:p>
    <w:p w:rsidR="00790044" w:rsidRPr="00E24068" w:rsidRDefault="00790044" w:rsidP="00790044">
      <w:pPr>
        <w:tabs>
          <w:tab w:val="right" w:pos="8929"/>
          <w:tab w:val="right" w:pos="9638"/>
        </w:tabs>
        <w:spacing w:after="120"/>
        <w:ind w:left="283"/>
        <w:rPr>
          <w:lang w:val="fr-CH"/>
        </w:rPr>
      </w:pPr>
      <w:r w:rsidRPr="00E24068">
        <w:rPr>
          <w:i/>
          <w:sz w:val="18"/>
          <w:lang w:val="fr-CH"/>
        </w:rPr>
        <w:tab/>
      </w:r>
      <w:proofErr w:type="spellStart"/>
      <w:r w:rsidR="000416BC" w:rsidRPr="00E24068">
        <w:rPr>
          <w:i/>
          <w:sz w:val="18"/>
          <w:lang w:val="fr-CH"/>
        </w:rPr>
        <w:t>Paragraphs</w:t>
      </w:r>
      <w:proofErr w:type="spellEnd"/>
      <w:r w:rsidR="00960321" w:rsidRPr="00E24068">
        <w:rPr>
          <w:i/>
          <w:sz w:val="18"/>
          <w:lang w:val="fr-CH"/>
        </w:rPr>
        <w:tab/>
      </w:r>
      <w:r w:rsidRPr="00E24068">
        <w:rPr>
          <w:i/>
          <w:sz w:val="18"/>
          <w:lang w:val="fr-CH"/>
        </w:rPr>
        <w:t>Page</w:t>
      </w:r>
    </w:p>
    <w:p w:rsidR="00790044" w:rsidRPr="001E74A2" w:rsidRDefault="00790044" w:rsidP="00C55D41">
      <w:pPr>
        <w:tabs>
          <w:tab w:val="right" w:pos="850"/>
          <w:tab w:val="right" w:leader="dot" w:pos="7654"/>
          <w:tab w:val="right" w:pos="8929"/>
          <w:tab w:val="right" w:pos="9638"/>
        </w:tabs>
        <w:spacing w:after="120"/>
        <w:ind w:left="1134" w:hanging="1134"/>
        <w:rPr>
          <w:lang w:val="fr-CH"/>
        </w:rPr>
      </w:pPr>
      <w:r w:rsidRPr="00E24068">
        <w:rPr>
          <w:lang w:val="fr-CH"/>
        </w:rPr>
        <w:tab/>
      </w:r>
      <w:r w:rsidRPr="00E24068">
        <w:rPr>
          <w:lang w:val="fr-CH"/>
        </w:rPr>
        <w:tab/>
      </w:r>
      <w:r w:rsidR="00960321" w:rsidRPr="001E74A2">
        <w:rPr>
          <w:lang w:val="fr-CH"/>
        </w:rPr>
        <w:t>Introduction</w:t>
      </w:r>
      <w:r w:rsidRPr="001E74A2">
        <w:rPr>
          <w:lang w:val="fr-CH"/>
        </w:rPr>
        <w:tab/>
      </w:r>
      <w:r w:rsidRPr="001E74A2">
        <w:rPr>
          <w:lang w:val="fr-CH"/>
        </w:rPr>
        <w:tab/>
      </w:r>
      <w:r w:rsidR="00FB3FA7" w:rsidRPr="001E74A2">
        <w:rPr>
          <w:lang w:val="fr-CH"/>
        </w:rPr>
        <w:t>1–6</w:t>
      </w:r>
      <w:r w:rsidRPr="001E74A2">
        <w:rPr>
          <w:lang w:val="fr-CH"/>
        </w:rPr>
        <w:tab/>
      </w:r>
      <w:r w:rsidR="008D52A6" w:rsidRPr="001E74A2">
        <w:rPr>
          <w:lang w:val="fr-CH"/>
        </w:rPr>
        <w:t>3</w:t>
      </w:r>
    </w:p>
    <w:p w:rsidR="00790044" w:rsidRPr="001E74A2" w:rsidRDefault="008D52A6" w:rsidP="00092F7B">
      <w:pPr>
        <w:tabs>
          <w:tab w:val="right" w:pos="850"/>
          <w:tab w:val="right" w:leader="dot" w:pos="7654"/>
          <w:tab w:val="right" w:pos="8929"/>
          <w:tab w:val="right" w:pos="9638"/>
        </w:tabs>
        <w:spacing w:after="120"/>
        <w:ind w:left="1134" w:hanging="1134"/>
        <w:rPr>
          <w:lang w:val="fr-CH"/>
        </w:rPr>
      </w:pPr>
      <w:r w:rsidRPr="001E74A2">
        <w:rPr>
          <w:lang w:val="fr-CH"/>
        </w:rPr>
        <w:tab/>
      </w:r>
      <w:r w:rsidRPr="001E74A2">
        <w:rPr>
          <w:lang w:val="fr-CH"/>
        </w:rPr>
        <w:tab/>
      </w:r>
      <w:r w:rsidR="001A574A" w:rsidRPr="001E74A2">
        <w:rPr>
          <w:lang w:val="fr-CH"/>
        </w:rPr>
        <w:t>Articles </w:t>
      </w:r>
      <w:r w:rsidR="00C55D41" w:rsidRPr="001E74A2">
        <w:rPr>
          <w:lang w:val="fr-CH"/>
        </w:rPr>
        <w:t>1</w:t>
      </w:r>
      <w:r w:rsidR="00092F7B" w:rsidRPr="001E74A2">
        <w:rPr>
          <w:lang w:val="fr-CH"/>
        </w:rPr>
        <w:t>–</w:t>
      </w:r>
      <w:r w:rsidR="00C55D41" w:rsidRPr="001E74A2">
        <w:rPr>
          <w:lang w:val="fr-CH"/>
        </w:rPr>
        <w:t>3</w:t>
      </w:r>
      <w:r w:rsidR="00790044" w:rsidRPr="001E74A2">
        <w:rPr>
          <w:lang w:val="fr-CH"/>
        </w:rPr>
        <w:tab/>
      </w:r>
      <w:r w:rsidR="00790044" w:rsidRPr="001E74A2">
        <w:rPr>
          <w:lang w:val="fr-CH"/>
        </w:rPr>
        <w:tab/>
      </w:r>
      <w:r w:rsidR="00FB3FA7" w:rsidRPr="001E74A2">
        <w:rPr>
          <w:lang w:val="fr-CH"/>
        </w:rPr>
        <w:t>7–</w:t>
      </w:r>
      <w:r w:rsidR="00BC4B74" w:rsidRPr="001E74A2">
        <w:rPr>
          <w:lang w:val="fr-CH"/>
        </w:rPr>
        <w:t>105</w:t>
      </w:r>
      <w:r w:rsidR="00790044" w:rsidRPr="001E74A2">
        <w:rPr>
          <w:lang w:val="fr-CH"/>
        </w:rPr>
        <w:tab/>
      </w:r>
      <w:r w:rsidRPr="001E74A2">
        <w:rPr>
          <w:lang w:val="fr-CH"/>
        </w:rPr>
        <w:t>3</w:t>
      </w:r>
    </w:p>
    <w:p w:rsidR="00790044" w:rsidRPr="001E74A2" w:rsidRDefault="008D52A6" w:rsidP="00790044">
      <w:pPr>
        <w:tabs>
          <w:tab w:val="right" w:pos="850"/>
          <w:tab w:val="right" w:leader="dot" w:pos="7654"/>
          <w:tab w:val="right" w:pos="8929"/>
          <w:tab w:val="right" w:pos="9638"/>
        </w:tabs>
        <w:spacing w:after="120"/>
        <w:ind w:left="1134" w:hanging="1134"/>
        <w:rPr>
          <w:lang w:val="fr-CH"/>
        </w:rPr>
      </w:pPr>
      <w:r w:rsidRPr="001E74A2">
        <w:rPr>
          <w:lang w:val="fr-CH"/>
        </w:rPr>
        <w:tab/>
      </w:r>
      <w:r w:rsidRPr="001E74A2">
        <w:rPr>
          <w:lang w:val="fr-CH"/>
        </w:rPr>
        <w:tab/>
      </w:r>
      <w:r w:rsidR="000416BC" w:rsidRPr="001E74A2">
        <w:rPr>
          <w:lang w:val="fr-CH"/>
        </w:rPr>
        <w:t>Article </w:t>
      </w:r>
      <w:r w:rsidR="00D76A7C" w:rsidRPr="001E74A2">
        <w:rPr>
          <w:lang w:val="fr-CH"/>
        </w:rPr>
        <w:t xml:space="preserve">4 </w:t>
      </w:r>
      <w:r w:rsidR="00790044" w:rsidRPr="001E74A2">
        <w:rPr>
          <w:lang w:val="fr-CH"/>
        </w:rPr>
        <w:tab/>
      </w:r>
      <w:r w:rsidR="00790044" w:rsidRPr="001E74A2">
        <w:rPr>
          <w:lang w:val="fr-CH"/>
        </w:rPr>
        <w:tab/>
      </w:r>
      <w:r w:rsidR="00BC4B74" w:rsidRPr="001E74A2">
        <w:rPr>
          <w:lang w:val="fr-CH"/>
        </w:rPr>
        <w:t>106–113</w:t>
      </w:r>
      <w:r w:rsidR="00790044" w:rsidRPr="001E74A2">
        <w:rPr>
          <w:lang w:val="fr-CH"/>
        </w:rPr>
        <w:tab/>
      </w:r>
      <w:r w:rsidR="006611C1" w:rsidRPr="001E74A2">
        <w:rPr>
          <w:lang w:val="fr-CH"/>
        </w:rPr>
        <w:t>22</w:t>
      </w:r>
    </w:p>
    <w:p w:rsidR="00790044" w:rsidRPr="001E74A2" w:rsidRDefault="008D52A6" w:rsidP="00092F7B">
      <w:pPr>
        <w:tabs>
          <w:tab w:val="right" w:pos="850"/>
          <w:tab w:val="right" w:leader="dot" w:pos="7654"/>
          <w:tab w:val="right" w:pos="8929"/>
          <w:tab w:val="right" w:pos="9638"/>
        </w:tabs>
        <w:spacing w:after="120"/>
        <w:ind w:left="1134" w:hanging="1134"/>
        <w:rPr>
          <w:lang w:val="fr-CH"/>
        </w:rPr>
      </w:pPr>
      <w:r w:rsidRPr="001E74A2">
        <w:rPr>
          <w:lang w:val="fr-CH"/>
        </w:rPr>
        <w:tab/>
      </w:r>
      <w:r w:rsidRPr="001E74A2">
        <w:rPr>
          <w:lang w:val="fr-CH"/>
        </w:rPr>
        <w:tab/>
      </w:r>
      <w:r w:rsidR="000416BC" w:rsidRPr="001E74A2">
        <w:rPr>
          <w:lang w:val="fr-CH"/>
        </w:rPr>
        <w:t>Article </w:t>
      </w:r>
      <w:r w:rsidR="00D76A7C" w:rsidRPr="001E74A2">
        <w:rPr>
          <w:lang w:val="fr-CH"/>
        </w:rPr>
        <w:t>5</w:t>
      </w:r>
      <w:r w:rsidR="00790044" w:rsidRPr="001E74A2">
        <w:rPr>
          <w:lang w:val="fr-CH"/>
        </w:rPr>
        <w:tab/>
      </w:r>
      <w:r w:rsidR="00790044" w:rsidRPr="001E74A2">
        <w:rPr>
          <w:lang w:val="fr-CH"/>
        </w:rPr>
        <w:tab/>
      </w:r>
      <w:r w:rsidR="00BC4B74" w:rsidRPr="001E74A2">
        <w:rPr>
          <w:lang w:val="fr-CH"/>
        </w:rPr>
        <w:t>114–</w:t>
      </w:r>
      <w:r w:rsidR="00092F7B" w:rsidRPr="001E74A2">
        <w:rPr>
          <w:lang w:val="fr-CH"/>
        </w:rPr>
        <w:t>124</w:t>
      </w:r>
      <w:r w:rsidR="00790044" w:rsidRPr="001E74A2">
        <w:rPr>
          <w:lang w:val="fr-CH"/>
        </w:rPr>
        <w:tab/>
      </w:r>
      <w:r w:rsidR="006611C1" w:rsidRPr="001E74A2">
        <w:rPr>
          <w:lang w:val="fr-CH"/>
        </w:rPr>
        <w:t>24</w:t>
      </w:r>
    </w:p>
    <w:p w:rsidR="00790044" w:rsidRPr="001E74A2" w:rsidRDefault="008D52A6" w:rsidP="00790044">
      <w:pPr>
        <w:tabs>
          <w:tab w:val="right" w:pos="850"/>
          <w:tab w:val="right" w:leader="dot" w:pos="7654"/>
          <w:tab w:val="right" w:pos="8929"/>
          <w:tab w:val="right" w:pos="9638"/>
        </w:tabs>
        <w:spacing w:after="120"/>
        <w:ind w:left="1134" w:hanging="1134"/>
        <w:rPr>
          <w:lang w:val="fr-CH"/>
        </w:rPr>
      </w:pPr>
      <w:r w:rsidRPr="001E74A2">
        <w:rPr>
          <w:lang w:val="fr-CH"/>
        </w:rPr>
        <w:tab/>
      </w:r>
      <w:r w:rsidRPr="001E74A2">
        <w:rPr>
          <w:lang w:val="fr-CH"/>
        </w:rPr>
        <w:tab/>
      </w:r>
      <w:r w:rsidR="000416BC" w:rsidRPr="001E74A2">
        <w:rPr>
          <w:lang w:val="fr-CH"/>
        </w:rPr>
        <w:t>Article </w:t>
      </w:r>
      <w:r w:rsidR="00D76A7C" w:rsidRPr="001E74A2">
        <w:rPr>
          <w:lang w:val="fr-CH"/>
        </w:rPr>
        <w:t>6</w:t>
      </w:r>
      <w:r w:rsidR="00753B33" w:rsidRPr="001E74A2">
        <w:rPr>
          <w:lang w:val="fr-CH"/>
        </w:rPr>
        <w:t xml:space="preserve"> </w:t>
      </w:r>
      <w:r w:rsidR="00790044" w:rsidRPr="001E74A2">
        <w:rPr>
          <w:lang w:val="fr-CH"/>
        </w:rPr>
        <w:tab/>
      </w:r>
      <w:r w:rsidR="00790044" w:rsidRPr="001E74A2">
        <w:rPr>
          <w:lang w:val="fr-CH"/>
        </w:rPr>
        <w:tab/>
      </w:r>
      <w:r w:rsidR="00BC4B74" w:rsidRPr="001E74A2">
        <w:rPr>
          <w:lang w:val="fr-CH"/>
        </w:rPr>
        <w:t>125–129</w:t>
      </w:r>
      <w:r w:rsidR="00790044" w:rsidRPr="001E74A2">
        <w:rPr>
          <w:lang w:val="fr-CH"/>
        </w:rPr>
        <w:tab/>
      </w:r>
      <w:r w:rsidR="006611C1" w:rsidRPr="001E74A2">
        <w:rPr>
          <w:lang w:val="fr-CH"/>
        </w:rPr>
        <w:t>25</w:t>
      </w:r>
    </w:p>
    <w:p w:rsidR="00790044" w:rsidRPr="001E74A2" w:rsidRDefault="006611C1" w:rsidP="00790044">
      <w:pPr>
        <w:tabs>
          <w:tab w:val="right" w:pos="850"/>
          <w:tab w:val="right" w:leader="dot" w:pos="7654"/>
          <w:tab w:val="right" w:pos="8929"/>
          <w:tab w:val="right" w:pos="9638"/>
        </w:tabs>
        <w:spacing w:after="120"/>
        <w:ind w:left="1134" w:hanging="1134"/>
      </w:pPr>
      <w:r w:rsidRPr="001E74A2">
        <w:rPr>
          <w:lang w:val="fr-CH"/>
        </w:rPr>
        <w:tab/>
      </w:r>
      <w:r w:rsidRPr="001E74A2">
        <w:rPr>
          <w:lang w:val="fr-CH"/>
        </w:rPr>
        <w:tab/>
      </w:r>
      <w:r w:rsidR="000416BC" w:rsidRPr="001E74A2">
        <w:t>Article </w:t>
      </w:r>
      <w:r w:rsidR="00D76A7C" w:rsidRPr="001E74A2">
        <w:t>7</w:t>
      </w:r>
      <w:r w:rsidR="00790044" w:rsidRPr="001E74A2">
        <w:tab/>
      </w:r>
      <w:r w:rsidR="00790044" w:rsidRPr="001E74A2">
        <w:tab/>
      </w:r>
      <w:r w:rsidR="00BC4B74" w:rsidRPr="001E74A2">
        <w:t>130–137</w:t>
      </w:r>
      <w:r w:rsidR="00790044" w:rsidRPr="001E74A2">
        <w:tab/>
      </w:r>
      <w:r w:rsidRPr="001E74A2">
        <w:t>26</w:t>
      </w:r>
    </w:p>
    <w:p w:rsidR="00790044" w:rsidRPr="001E74A2" w:rsidRDefault="006611C1" w:rsidP="00790044">
      <w:pPr>
        <w:tabs>
          <w:tab w:val="right" w:pos="850"/>
          <w:tab w:val="right" w:leader="dot" w:pos="7654"/>
          <w:tab w:val="right" w:pos="8929"/>
          <w:tab w:val="right" w:pos="9638"/>
        </w:tabs>
        <w:spacing w:after="120"/>
        <w:ind w:left="1134" w:hanging="1134"/>
      </w:pPr>
      <w:r w:rsidRPr="001E74A2">
        <w:tab/>
      </w:r>
      <w:r w:rsidRPr="001E74A2">
        <w:tab/>
      </w:r>
      <w:r w:rsidR="000416BC" w:rsidRPr="001E74A2">
        <w:t>Article </w:t>
      </w:r>
      <w:r w:rsidRPr="001E74A2">
        <w:t>8</w:t>
      </w:r>
      <w:r w:rsidR="00790044" w:rsidRPr="001E74A2">
        <w:tab/>
      </w:r>
      <w:r w:rsidR="00790044" w:rsidRPr="001E74A2">
        <w:tab/>
      </w:r>
      <w:r w:rsidR="00BC4B74" w:rsidRPr="001E74A2">
        <w:t>138–</w:t>
      </w:r>
      <w:r w:rsidR="00F04821" w:rsidRPr="001E74A2">
        <w:t>197</w:t>
      </w:r>
      <w:r w:rsidR="00790044" w:rsidRPr="001E74A2">
        <w:tab/>
      </w:r>
      <w:r w:rsidR="00BC4B74" w:rsidRPr="001E74A2">
        <w:t>27</w:t>
      </w:r>
    </w:p>
    <w:p w:rsidR="00790044" w:rsidRPr="001E74A2" w:rsidRDefault="006611C1" w:rsidP="00790044">
      <w:pPr>
        <w:tabs>
          <w:tab w:val="right" w:pos="850"/>
          <w:tab w:val="right" w:leader="dot" w:pos="7654"/>
          <w:tab w:val="right" w:pos="8929"/>
          <w:tab w:val="right" w:pos="9638"/>
        </w:tabs>
        <w:spacing w:after="120"/>
        <w:ind w:left="1134" w:hanging="1134"/>
      </w:pPr>
      <w:r w:rsidRPr="001E74A2">
        <w:tab/>
      </w:r>
      <w:r w:rsidRPr="001E74A2">
        <w:tab/>
      </w:r>
      <w:r w:rsidR="000416BC" w:rsidRPr="001E74A2">
        <w:t>Article </w:t>
      </w:r>
      <w:r w:rsidRPr="001E74A2">
        <w:t>9</w:t>
      </w:r>
      <w:r w:rsidR="00790044" w:rsidRPr="001E74A2">
        <w:tab/>
      </w:r>
      <w:r w:rsidR="00790044" w:rsidRPr="001E74A2">
        <w:tab/>
      </w:r>
      <w:r w:rsidR="00F04821" w:rsidRPr="001E74A2">
        <w:t>198–</w:t>
      </w:r>
      <w:r w:rsidR="00182C62" w:rsidRPr="001E74A2">
        <w:t>252</w:t>
      </w:r>
      <w:r w:rsidR="00790044" w:rsidRPr="001E74A2">
        <w:tab/>
      </w:r>
      <w:r w:rsidR="00F04821" w:rsidRPr="001E74A2">
        <w:t>35</w:t>
      </w:r>
    </w:p>
    <w:p w:rsidR="0039459D" w:rsidRDefault="006611C1" w:rsidP="0039459D">
      <w:pPr>
        <w:tabs>
          <w:tab w:val="right" w:pos="850"/>
          <w:tab w:val="right" w:leader="dot" w:pos="7654"/>
          <w:tab w:val="right" w:pos="8929"/>
          <w:tab w:val="right" w:pos="9638"/>
        </w:tabs>
        <w:spacing w:after="120"/>
        <w:ind w:left="1134" w:hanging="1134"/>
      </w:pPr>
      <w:r w:rsidRPr="001E74A2">
        <w:tab/>
      </w:r>
      <w:r w:rsidRPr="001E74A2">
        <w:tab/>
      </w:r>
      <w:r w:rsidR="000416BC" w:rsidRPr="001E74A2">
        <w:t>Article </w:t>
      </w:r>
      <w:r w:rsidRPr="001E74A2">
        <w:t>10</w:t>
      </w:r>
      <w:r w:rsidR="0039459D" w:rsidRPr="001E74A2">
        <w:tab/>
      </w:r>
      <w:r w:rsidR="0039459D" w:rsidRPr="001E74A2">
        <w:tab/>
      </w:r>
      <w:r w:rsidR="00182C62" w:rsidRPr="001E74A2">
        <w:t>253–</w:t>
      </w:r>
      <w:r w:rsidR="004D23E8" w:rsidRPr="001E74A2">
        <w:t>267</w:t>
      </w:r>
      <w:r w:rsidR="0039459D" w:rsidRPr="001E74A2">
        <w:tab/>
      </w:r>
      <w:r w:rsidRPr="001E74A2">
        <w:t>44</w:t>
      </w:r>
    </w:p>
    <w:p w:rsidR="006C72E1" w:rsidRPr="002D2C27" w:rsidRDefault="002769AD" w:rsidP="00960321">
      <w:pPr>
        <w:pStyle w:val="HChG"/>
      </w:pPr>
      <w:r>
        <w:rPr>
          <w:sz w:val="24"/>
          <w:szCs w:val="24"/>
          <w:lang w:val="en-US"/>
        </w:rPr>
        <w:br w:type="page"/>
      </w:r>
      <w:bookmarkStart w:id="0" w:name="_Toc335890802"/>
      <w:r w:rsidR="00960321">
        <w:tab/>
      </w:r>
      <w:r w:rsidR="00960321">
        <w:tab/>
      </w:r>
      <w:r w:rsidR="00960321" w:rsidRPr="002D2C27">
        <w:t>Introduction</w:t>
      </w:r>
      <w:bookmarkEnd w:id="0"/>
      <w:r w:rsidR="00EA129D">
        <w:t xml:space="preserve"> </w:t>
      </w:r>
    </w:p>
    <w:p w:rsidR="006C72E1" w:rsidRPr="00AE15A7" w:rsidRDefault="006C72E1" w:rsidP="00CB0F96">
      <w:pPr>
        <w:pStyle w:val="SingleTxtG"/>
        <w:numPr>
          <w:ilvl w:val="0"/>
          <w:numId w:val="12"/>
        </w:numPr>
        <w:ind w:left="1134" w:firstLine="0"/>
        <w:rPr>
          <w:lang w:val="en-US"/>
        </w:rPr>
      </w:pPr>
      <w:r w:rsidRPr="00C92122">
        <w:rPr>
          <w:lang w:val="en-US"/>
        </w:rPr>
        <w:t xml:space="preserve">The State of Israel is pleased to submit its </w:t>
      </w:r>
      <w:r w:rsidR="00767460">
        <w:rPr>
          <w:lang w:val="en-US"/>
        </w:rPr>
        <w:t>i</w:t>
      </w:r>
      <w:r w:rsidRPr="00C92122">
        <w:rPr>
          <w:lang w:val="en-US"/>
        </w:rPr>
        <w:t xml:space="preserve">nitial </w:t>
      </w:r>
      <w:r w:rsidR="00767460">
        <w:rPr>
          <w:lang w:val="en-US"/>
        </w:rPr>
        <w:t>r</w:t>
      </w:r>
      <w:r w:rsidRPr="00C92122">
        <w:rPr>
          <w:lang w:val="en-US"/>
        </w:rPr>
        <w:t xml:space="preserve">eport </w:t>
      </w:r>
      <w:r w:rsidR="003633F6">
        <w:rPr>
          <w:lang w:val="en-US"/>
        </w:rPr>
        <w:t>(this “</w:t>
      </w:r>
      <w:r>
        <w:rPr>
          <w:lang w:val="en-US"/>
        </w:rPr>
        <w:t>Report</w:t>
      </w:r>
      <w:r w:rsidR="003633F6">
        <w:rPr>
          <w:lang w:val="en-US"/>
        </w:rPr>
        <w:t>”</w:t>
      </w:r>
      <w:r>
        <w:rPr>
          <w:lang w:val="en-US"/>
        </w:rPr>
        <w:t xml:space="preserve">) </w:t>
      </w:r>
      <w:r w:rsidRPr="00C92122">
        <w:rPr>
          <w:lang w:val="en-US"/>
        </w:rPr>
        <w:t xml:space="preserve">concerning the implementation of the Optional Protocol to the Convention on the Rights of the Child on the </w:t>
      </w:r>
      <w:r w:rsidR="00F9312F">
        <w:rPr>
          <w:lang w:val="en-US"/>
        </w:rPr>
        <w:t>s</w:t>
      </w:r>
      <w:r w:rsidRPr="00C92122">
        <w:rPr>
          <w:lang w:val="en-US"/>
        </w:rPr>
        <w:t xml:space="preserve">ale of </w:t>
      </w:r>
      <w:r w:rsidR="00F9312F">
        <w:rPr>
          <w:lang w:val="en-US"/>
        </w:rPr>
        <w:t>c</w:t>
      </w:r>
      <w:r w:rsidRPr="00C92122">
        <w:rPr>
          <w:lang w:val="en-US"/>
        </w:rPr>
        <w:t xml:space="preserve">hildren, </w:t>
      </w:r>
      <w:r w:rsidR="00F9312F">
        <w:rPr>
          <w:lang w:val="en-US"/>
        </w:rPr>
        <w:t>c</w:t>
      </w:r>
      <w:r w:rsidRPr="00C92122">
        <w:rPr>
          <w:lang w:val="en-US"/>
        </w:rPr>
        <w:t xml:space="preserve">hild </w:t>
      </w:r>
      <w:r w:rsidR="00F9312F">
        <w:rPr>
          <w:lang w:val="en-US"/>
        </w:rPr>
        <w:t>p</w:t>
      </w:r>
      <w:r w:rsidRPr="00C92122">
        <w:rPr>
          <w:lang w:val="en-US"/>
        </w:rPr>
        <w:t xml:space="preserve">rostitution and </w:t>
      </w:r>
      <w:r w:rsidR="00F9312F">
        <w:rPr>
          <w:lang w:val="en-US"/>
        </w:rPr>
        <w:t>c</w:t>
      </w:r>
      <w:r w:rsidRPr="00C92122">
        <w:rPr>
          <w:lang w:val="en-US"/>
        </w:rPr>
        <w:t xml:space="preserve">hild </w:t>
      </w:r>
      <w:r w:rsidR="00F9312F">
        <w:rPr>
          <w:lang w:val="en-US"/>
        </w:rPr>
        <w:t>p</w:t>
      </w:r>
      <w:r w:rsidRPr="00C92122">
        <w:rPr>
          <w:lang w:val="en-US"/>
        </w:rPr>
        <w:t>ornography (</w:t>
      </w:r>
      <w:r w:rsidR="003633F6">
        <w:rPr>
          <w:lang w:val="en-US"/>
        </w:rPr>
        <w:t>“the Protocol”</w:t>
      </w:r>
      <w:r w:rsidRPr="00C92122">
        <w:rPr>
          <w:lang w:val="en-US"/>
        </w:rPr>
        <w:t xml:space="preserve">). Pursuant to the requirements of </w:t>
      </w:r>
      <w:r w:rsidR="000416BC">
        <w:rPr>
          <w:lang w:val="en-US"/>
        </w:rPr>
        <w:t>Article </w:t>
      </w:r>
      <w:r w:rsidRPr="00C92122">
        <w:rPr>
          <w:lang w:val="en-US"/>
        </w:rPr>
        <w:t>12</w:t>
      </w:r>
      <w:r>
        <w:rPr>
          <w:lang w:val="en-US"/>
        </w:rPr>
        <w:t xml:space="preserve"> of the Protocol</w:t>
      </w:r>
      <w:r w:rsidRPr="00C92122">
        <w:rPr>
          <w:lang w:val="en-US"/>
        </w:rPr>
        <w:t>, this Report provide</w:t>
      </w:r>
      <w:r>
        <w:rPr>
          <w:lang w:val="en-US"/>
        </w:rPr>
        <w:t>s</w:t>
      </w:r>
      <w:r w:rsidRPr="00C92122">
        <w:rPr>
          <w:lang w:val="en-US"/>
        </w:rPr>
        <w:t xml:space="preserve"> comprehensive </w:t>
      </w:r>
      <w:r w:rsidRPr="00AE15A7">
        <w:rPr>
          <w:lang w:val="en-US"/>
        </w:rPr>
        <w:t>information on the measures Israel has taken to implement the provisions of the Protocol.</w:t>
      </w:r>
    </w:p>
    <w:p w:rsidR="006C72E1" w:rsidRPr="00AE15A7" w:rsidRDefault="006C72E1" w:rsidP="006D3B18">
      <w:pPr>
        <w:pStyle w:val="SingleTxtG"/>
        <w:numPr>
          <w:ilvl w:val="0"/>
          <w:numId w:val="12"/>
        </w:numPr>
        <w:ind w:left="1134" w:firstLine="0"/>
        <w:rPr>
          <w:lang w:val="en-US"/>
        </w:rPr>
      </w:pPr>
      <w:r w:rsidRPr="007D2345">
        <w:rPr>
          <w:lang w:val="en-US"/>
        </w:rPr>
        <w:t>By way of background, t</w:t>
      </w:r>
      <w:r w:rsidRPr="00591620">
        <w:rPr>
          <w:lang w:val="en-US"/>
        </w:rPr>
        <w:t>he State of Israel signed the Protocol on 14 November 2001 and ratifi</w:t>
      </w:r>
      <w:r w:rsidRPr="00CB0F96">
        <w:rPr>
          <w:lang w:val="en-US"/>
        </w:rPr>
        <w:t>ed it on 19 June 2008</w:t>
      </w:r>
      <w:r w:rsidRPr="00AE15A7">
        <w:rPr>
          <w:lang w:val="en-US"/>
        </w:rPr>
        <w:t xml:space="preserve">. The Protocol entered into force on 23 July 2008. </w:t>
      </w:r>
    </w:p>
    <w:p w:rsidR="006C72E1" w:rsidRPr="00D3628A" w:rsidRDefault="006C72E1" w:rsidP="0087308D">
      <w:pPr>
        <w:pStyle w:val="SingleTxtG"/>
        <w:numPr>
          <w:ilvl w:val="0"/>
          <w:numId w:val="12"/>
        </w:numPr>
        <w:ind w:left="1134" w:firstLine="0"/>
        <w:rPr>
          <w:lang w:val="en-US"/>
        </w:rPr>
      </w:pPr>
      <w:r w:rsidRPr="00D3628A">
        <w:rPr>
          <w:lang w:val="en-US"/>
        </w:rPr>
        <w:t>The State of Israel fully adheres to the purposes of the Protocol and is committed to its obligations thereunder. While much remains to be done in order to eradicate the worldwide phenomen</w:t>
      </w:r>
      <w:r w:rsidR="0087308D">
        <w:rPr>
          <w:lang w:val="en-US"/>
        </w:rPr>
        <w:t>on</w:t>
      </w:r>
      <w:r w:rsidRPr="00D3628A">
        <w:rPr>
          <w:lang w:val="en-US"/>
        </w:rPr>
        <w:t xml:space="preserve"> of trafficking in children, child prostitution and child pornography, Israel believes that its efforts since 2008 have been quite successful. At the same time, Israel appreciates the opportunity to learn about the practices and experience of other countries leading the fight against trafficking in children, child prostitution and child pornography, and views the reporting process established by </w:t>
      </w:r>
      <w:r w:rsidR="000416BC">
        <w:rPr>
          <w:lang w:val="en-US"/>
        </w:rPr>
        <w:t>Article </w:t>
      </w:r>
      <w:r w:rsidRPr="00D3628A">
        <w:rPr>
          <w:lang w:val="en-US"/>
        </w:rPr>
        <w:t>12 of the Protocol as an invaluable tool for such purpose.</w:t>
      </w:r>
    </w:p>
    <w:p w:rsidR="006C72E1" w:rsidRPr="00D3628A" w:rsidRDefault="006C72E1" w:rsidP="0087308D">
      <w:pPr>
        <w:pStyle w:val="SingleTxtG"/>
        <w:numPr>
          <w:ilvl w:val="0"/>
          <w:numId w:val="12"/>
        </w:numPr>
        <w:ind w:left="1134" w:firstLine="0"/>
        <w:rPr>
          <w:lang w:val="en-US"/>
        </w:rPr>
      </w:pPr>
      <w:r w:rsidRPr="00D3628A">
        <w:rPr>
          <w:lang w:val="en-US"/>
        </w:rPr>
        <w:t>This Report is the product of extensive internal consultations and effort</w:t>
      </w:r>
      <w:r>
        <w:rPr>
          <w:lang w:val="en-US"/>
        </w:rPr>
        <w:t>s</w:t>
      </w:r>
      <w:r w:rsidRPr="00D3628A">
        <w:rPr>
          <w:lang w:val="en-US"/>
        </w:rPr>
        <w:t xml:space="preserve">. All relevant Government Ministries and bodies (including the Ministry of Justice, the Ministry of Interior, the Ministry of Education, the Ministry of Health and the Ministry of Social Affairs and Social Services) were requested to provide data and information concerning their respective fields of responsibility. In addition, </w:t>
      </w:r>
      <w:r w:rsidR="00767460">
        <w:rPr>
          <w:lang w:val="en-US"/>
        </w:rPr>
        <w:t>n</w:t>
      </w:r>
      <w:r w:rsidRPr="00D3628A">
        <w:rPr>
          <w:lang w:val="en-US"/>
        </w:rPr>
        <w:t>on-</w:t>
      </w:r>
      <w:r w:rsidR="00767460">
        <w:rPr>
          <w:lang w:val="en-US"/>
        </w:rPr>
        <w:t>g</w:t>
      </w:r>
      <w:r w:rsidRPr="00D3628A">
        <w:rPr>
          <w:lang w:val="en-US"/>
        </w:rPr>
        <w:t xml:space="preserve">overnmental </w:t>
      </w:r>
      <w:r w:rsidR="00767460">
        <w:rPr>
          <w:lang w:val="en-US"/>
        </w:rPr>
        <w:t>o</w:t>
      </w:r>
      <w:r w:rsidRPr="00D3628A">
        <w:rPr>
          <w:lang w:val="en-US"/>
        </w:rPr>
        <w:t>rganizations (NGOs) were invited to submit comments prior to the compilation of the Report, both through direct application, and through a general invitation to submit remarks, which was posted on the Ministry of Justice website. Their responses were given due consideration.</w:t>
      </w:r>
    </w:p>
    <w:p w:rsidR="006C72E1" w:rsidRDefault="006C72E1" w:rsidP="006D3B18">
      <w:pPr>
        <w:pStyle w:val="SingleTxtG"/>
        <w:numPr>
          <w:ilvl w:val="0"/>
          <w:numId w:val="12"/>
        </w:numPr>
        <w:ind w:left="1134" w:firstLine="0"/>
        <w:rPr>
          <w:lang w:val="en-US"/>
        </w:rPr>
      </w:pPr>
      <w:r>
        <w:rPr>
          <w:lang w:val="en-US"/>
        </w:rPr>
        <w:t>The compilation of the information and data and the drafting of t</w:t>
      </w:r>
      <w:r w:rsidRPr="00C92122">
        <w:rPr>
          <w:lang w:val="en-US"/>
        </w:rPr>
        <w:t xml:space="preserve">his Report </w:t>
      </w:r>
      <w:r>
        <w:rPr>
          <w:lang w:val="en-US"/>
        </w:rPr>
        <w:t>were</w:t>
      </w:r>
      <w:r w:rsidRPr="00C92122">
        <w:rPr>
          <w:lang w:val="en-US"/>
        </w:rPr>
        <w:t xml:space="preserve"> </w:t>
      </w:r>
      <w:r>
        <w:rPr>
          <w:lang w:val="en-US"/>
        </w:rPr>
        <w:t xml:space="preserve">conducted </w:t>
      </w:r>
      <w:r w:rsidRPr="00C92122">
        <w:rPr>
          <w:lang w:val="en-US"/>
        </w:rPr>
        <w:t>by the</w:t>
      </w:r>
      <w:r>
        <w:rPr>
          <w:lang w:val="en-US"/>
        </w:rPr>
        <w:t xml:space="preserve"> Department for International Agreements and International Litigation </w:t>
      </w:r>
      <w:r w:rsidRPr="00C92122">
        <w:rPr>
          <w:lang w:val="en-US"/>
        </w:rPr>
        <w:t xml:space="preserve">at the Ministry of Justice, in cooperation with other governmental agencies. </w:t>
      </w:r>
    </w:p>
    <w:p w:rsidR="006C72E1" w:rsidRDefault="006C72E1" w:rsidP="006D3B18">
      <w:pPr>
        <w:pStyle w:val="SingleTxtG"/>
        <w:numPr>
          <w:ilvl w:val="0"/>
          <w:numId w:val="12"/>
        </w:numPr>
        <w:ind w:left="1134" w:firstLine="0"/>
        <w:rPr>
          <w:lang w:val="en-US"/>
        </w:rPr>
      </w:pPr>
      <w:r w:rsidRPr="00D54DC8">
        <w:rPr>
          <w:lang w:val="en-US"/>
        </w:rPr>
        <w:t>Please note that the imprisonment terms and monetary fines specified in the Israeli Penal Law 5737-1977 (th</w:t>
      </w:r>
      <w:r w:rsidR="003633F6" w:rsidRPr="00D54DC8">
        <w:rPr>
          <w:lang w:val="en-US"/>
        </w:rPr>
        <w:t>e “</w:t>
      </w:r>
      <w:r w:rsidRPr="00D54DC8">
        <w:rPr>
          <w:lang w:val="en-US"/>
        </w:rPr>
        <w:t>Penal Law</w:t>
      </w:r>
      <w:r w:rsidR="003633F6" w:rsidRPr="00D54DC8">
        <w:rPr>
          <w:lang w:val="en-US"/>
        </w:rPr>
        <w:t>”</w:t>
      </w:r>
      <w:r w:rsidRPr="00D54DC8">
        <w:rPr>
          <w:lang w:val="en-US"/>
        </w:rPr>
        <w:t>) represent the maximum term or fine that a court may impose. Accordingly, references</w:t>
      </w:r>
      <w:r>
        <w:rPr>
          <w:lang w:val="en-US"/>
        </w:rPr>
        <w:t xml:space="preserve"> in this Report to imprisonment terms and monetary fines correspond to such maximum punishments, unless specified otherwise. </w:t>
      </w:r>
    </w:p>
    <w:p w:rsidR="006C72E1" w:rsidRPr="002D2C27" w:rsidRDefault="008B3FE2" w:rsidP="00092F7B">
      <w:pPr>
        <w:pStyle w:val="HChG"/>
        <w:rPr>
          <w:lang w:val="en-US"/>
        </w:rPr>
      </w:pPr>
      <w:bookmarkStart w:id="1" w:name="_Toc335890803"/>
      <w:r>
        <w:rPr>
          <w:lang w:val="en-US"/>
        </w:rPr>
        <w:tab/>
      </w:r>
      <w:r>
        <w:rPr>
          <w:lang w:val="en-US"/>
        </w:rPr>
        <w:tab/>
      </w:r>
      <w:r w:rsidR="001A574A">
        <w:rPr>
          <w:lang w:val="en-US"/>
        </w:rPr>
        <w:t>Articles </w:t>
      </w:r>
      <w:r w:rsidR="006C72E1" w:rsidRPr="002D2C27">
        <w:rPr>
          <w:lang w:val="en-US"/>
        </w:rPr>
        <w:t>1</w:t>
      </w:r>
      <w:r w:rsidR="00092F7B">
        <w:rPr>
          <w:lang w:val="en-US"/>
        </w:rPr>
        <w:t>–</w:t>
      </w:r>
      <w:r w:rsidR="006C72E1">
        <w:rPr>
          <w:lang w:val="en-US"/>
        </w:rPr>
        <w:t>3</w:t>
      </w:r>
      <w:bookmarkEnd w:id="1"/>
    </w:p>
    <w:p w:rsidR="006C72E1" w:rsidRPr="00E80AAA" w:rsidRDefault="000416BC" w:rsidP="006D3B18">
      <w:pPr>
        <w:pStyle w:val="SingleTxtG"/>
        <w:numPr>
          <w:ilvl w:val="0"/>
          <w:numId w:val="12"/>
        </w:numPr>
        <w:ind w:left="1134" w:firstLine="0"/>
        <w:rPr>
          <w:lang w:val="en-US"/>
        </w:rPr>
      </w:pPr>
      <w:r>
        <w:t>Article </w:t>
      </w:r>
      <w:r w:rsidR="006C72E1" w:rsidRPr="002E0478">
        <w:t xml:space="preserve">1 is introductory in nature and creates </w:t>
      </w:r>
      <w:r w:rsidR="006C72E1">
        <w:t>the overarching</w:t>
      </w:r>
      <w:r w:rsidR="006C72E1" w:rsidRPr="002E0478">
        <w:t xml:space="preserve"> obligation </w:t>
      </w:r>
      <w:r w:rsidR="006C72E1" w:rsidRPr="00961AAE">
        <w:t xml:space="preserve">to prohibit the sale of children, child prostitution and child pornography in accordance with </w:t>
      </w:r>
      <w:r w:rsidR="006C72E1" w:rsidRPr="002E0478">
        <w:t>the</w:t>
      </w:r>
      <w:r w:rsidR="006C72E1">
        <w:t xml:space="preserve"> Protocol. </w:t>
      </w:r>
      <w:r>
        <w:t>Article </w:t>
      </w:r>
      <w:r w:rsidR="006C72E1" w:rsidRPr="00961AAE">
        <w:t>2 includes the definitions</w:t>
      </w:r>
      <w:r w:rsidR="006C72E1">
        <w:rPr>
          <w:spacing w:val="-1"/>
        </w:rPr>
        <w:t xml:space="preserve"> of </w:t>
      </w:r>
      <w:r w:rsidR="006C72E1" w:rsidRPr="002E0478">
        <w:rPr>
          <w:spacing w:val="-1"/>
        </w:rPr>
        <w:t>“sale of children”</w:t>
      </w:r>
      <w:r w:rsidR="006C72E1">
        <w:rPr>
          <w:spacing w:val="-1"/>
        </w:rPr>
        <w:t>,</w:t>
      </w:r>
      <w:r w:rsidR="006C72E1" w:rsidRPr="002E0478">
        <w:rPr>
          <w:spacing w:val="-1"/>
        </w:rPr>
        <w:t xml:space="preserve"> “child prostitution” and “child pornography”</w:t>
      </w:r>
      <w:r w:rsidR="0087308D">
        <w:rPr>
          <w:spacing w:val="-1"/>
        </w:rPr>
        <w:t>.</w:t>
      </w:r>
    </w:p>
    <w:p w:rsidR="006C72E1" w:rsidRPr="00E80AAA" w:rsidRDefault="000416BC" w:rsidP="006D3B18">
      <w:pPr>
        <w:pStyle w:val="SingleTxtG"/>
        <w:numPr>
          <w:ilvl w:val="0"/>
          <w:numId w:val="12"/>
        </w:numPr>
        <w:ind w:left="1134" w:firstLine="0"/>
        <w:rPr>
          <w:lang w:val="en-US"/>
        </w:rPr>
      </w:pPr>
      <w:r>
        <w:t>Article </w:t>
      </w:r>
      <w:r w:rsidR="006C72E1" w:rsidRPr="002E0478">
        <w:t>3</w:t>
      </w:r>
      <w:r w:rsidR="006C72E1">
        <w:t xml:space="preserve"> </w:t>
      </w:r>
      <w:r w:rsidR="006C72E1" w:rsidRPr="002E0478">
        <w:t>provides that States parties shall ensure that the acts</w:t>
      </w:r>
      <w:r w:rsidR="006C72E1">
        <w:t xml:space="preserve"> and activities referred to by the </w:t>
      </w:r>
      <w:r>
        <w:t xml:space="preserve">Article </w:t>
      </w:r>
      <w:r w:rsidR="006C72E1" w:rsidRPr="002E0478">
        <w:t xml:space="preserve">are </w:t>
      </w:r>
      <w:r w:rsidR="006C72E1" w:rsidRPr="002E0478">
        <w:rPr>
          <w:spacing w:val="-1"/>
        </w:rPr>
        <w:t xml:space="preserve">covered under their </w:t>
      </w:r>
      <w:r w:rsidR="006C72E1">
        <w:rPr>
          <w:spacing w:val="-1"/>
        </w:rPr>
        <w:t>c</w:t>
      </w:r>
      <w:r w:rsidR="006C72E1" w:rsidRPr="002E0478">
        <w:rPr>
          <w:spacing w:val="-1"/>
        </w:rPr>
        <w:t xml:space="preserve">riminal or </w:t>
      </w:r>
      <w:r w:rsidR="006C72E1">
        <w:rPr>
          <w:spacing w:val="-1"/>
        </w:rPr>
        <w:t>p</w:t>
      </w:r>
      <w:r w:rsidR="006C72E1" w:rsidRPr="002E0478">
        <w:rPr>
          <w:spacing w:val="-1"/>
        </w:rPr>
        <w:t xml:space="preserve">enal </w:t>
      </w:r>
      <w:r w:rsidR="006C72E1">
        <w:rPr>
          <w:spacing w:val="-1"/>
        </w:rPr>
        <w:t>l</w:t>
      </w:r>
      <w:r w:rsidR="006C72E1" w:rsidRPr="002E0478">
        <w:rPr>
          <w:spacing w:val="-1"/>
        </w:rPr>
        <w:t>aw and punishable by appropriate penalties</w:t>
      </w:r>
      <w:r w:rsidR="006C72E1">
        <w:rPr>
          <w:spacing w:val="-1"/>
        </w:rPr>
        <w:t xml:space="preserve">. </w:t>
      </w:r>
    </w:p>
    <w:p w:rsidR="006C72E1" w:rsidRPr="00E80AAA" w:rsidRDefault="006C72E1" w:rsidP="006D3B18">
      <w:pPr>
        <w:pStyle w:val="SingleTxtG"/>
        <w:numPr>
          <w:ilvl w:val="0"/>
          <w:numId w:val="12"/>
        </w:numPr>
        <w:ind w:left="1134" w:firstLine="0"/>
        <w:rPr>
          <w:lang w:val="en-US"/>
        </w:rPr>
      </w:pPr>
      <w:r w:rsidRPr="002E0478">
        <w:rPr>
          <w:lang w:val="en-US"/>
        </w:rPr>
        <w:t xml:space="preserve">As discussed below, </w:t>
      </w:r>
      <w:r>
        <w:rPr>
          <w:lang w:val="en-US"/>
        </w:rPr>
        <w:t xml:space="preserve">the </w:t>
      </w:r>
      <w:r w:rsidRPr="002E0478">
        <w:rPr>
          <w:lang w:val="en-US"/>
        </w:rPr>
        <w:t>acts</w:t>
      </w:r>
      <w:r>
        <w:rPr>
          <w:lang w:val="en-US"/>
        </w:rPr>
        <w:t xml:space="preserve"> and activities referred to by </w:t>
      </w:r>
      <w:r w:rsidR="000416BC">
        <w:rPr>
          <w:lang w:val="en-US"/>
        </w:rPr>
        <w:t>Article </w:t>
      </w:r>
      <w:r>
        <w:rPr>
          <w:lang w:val="en-US"/>
        </w:rPr>
        <w:t xml:space="preserve">3 </w:t>
      </w:r>
      <w:r w:rsidRPr="002E0478">
        <w:rPr>
          <w:lang w:val="en-US"/>
        </w:rPr>
        <w:t>violate</w:t>
      </w:r>
      <w:r>
        <w:rPr>
          <w:lang w:val="en-US"/>
        </w:rPr>
        <w:t xml:space="preserve"> the</w:t>
      </w:r>
      <w:r w:rsidRPr="002E0478">
        <w:rPr>
          <w:lang w:val="en-US"/>
        </w:rPr>
        <w:t xml:space="preserve"> </w:t>
      </w:r>
      <w:r>
        <w:rPr>
          <w:lang w:val="en-US"/>
        </w:rPr>
        <w:t xml:space="preserve">Israeli </w:t>
      </w:r>
      <w:r w:rsidRPr="00D54DC8">
        <w:rPr>
          <w:lang w:val="en-US"/>
        </w:rPr>
        <w:t>Penal Law.</w:t>
      </w:r>
      <w:r w:rsidRPr="00E80AAA">
        <w:rPr>
          <w:lang w:val="en-US"/>
        </w:rPr>
        <w:t xml:space="preserve"> </w:t>
      </w:r>
    </w:p>
    <w:p w:rsidR="006C72E1" w:rsidRPr="002D2C27" w:rsidRDefault="008B3FE2" w:rsidP="002C0C4A">
      <w:pPr>
        <w:pStyle w:val="H1G"/>
        <w:rPr>
          <w:lang w:val="en-US"/>
        </w:rPr>
      </w:pPr>
      <w:r>
        <w:rPr>
          <w:lang w:val="en-US"/>
        </w:rPr>
        <w:tab/>
      </w:r>
      <w:r>
        <w:rPr>
          <w:lang w:val="en-US"/>
        </w:rPr>
        <w:tab/>
      </w:r>
      <w:r w:rsidR="006C72E1" w:rsidRPr="008167F7">
        <w:rPr>
          <w:lang w:val="en-US"/>
        </w:rPr>
        <w:t xml:space="preserve">Sale of </w:t>
      </w:r>
      <w:r w:rsidR="002C0C4A" w:rsidRPr="008167F7">
        <w:rPr>
          <w:lang w:val="en-US"/>
        </w:rPr>
        <w:t>children</w:t>
      </w:r>
      <w:r w:rsidR="002C0C4A" w:rsidRPr="002D2C27">
        <w:rPr>
          <w:lang w:val="en-US"/>
        </w:rPr>
        <w:t xml:space="preserve"> </w:t>
      </w:r>
    </w:p>
    <w:p w:rsidR="006C72E1" w:rsidRDefault="006C72E1" w:rsidP="00B216BB">
      <w:pPr>
        <w:pStyle w:val="SingleTxtG"/>
        <w:numPr>
          <w:ilvl w:val="0"/>
          <w:numId w:val="12"/>
        </w:numPr>
        <w:ind w:left="1134" w:firstLine="0"/>
        <w:rPr>
          <w:lang w:val="en-US"/>
        </w:rPr>
      </w:pPr>
      <w:r w:rsidRPr="002E0478">
        <w:rPr>
          <w:lang w:val="en-US"/>
        </w:rPr>
        <w:t>In the context of sale of children,</w:t>
      </w:r>
      <w:r>
        <w:rPr>
          <w:lang w:val="en-US"/>
        </w:rPr>
        <w:t xml:space="preserve"> State parties are required, as a minimum, to criminalize </w:t>
      </w:r>
      <w:r w:rsidRPr="002E0478">
        <w:rPr>
          <w:lang w:val="en-US"/>
        </w:rPr>
        <w:t xml:space="preserve">the offering, delivering, or accepting by whatever means </w:t>
      </w:r>
      <w:r>
        <w:rPr>
          <w:lang w:val="en-US"/>
        </w:rPr>
        <w:t xml:space="preserve">of </w:t>
      </w:r>
      <w:r w:rsidRPr="002E0478">
        <w:rPr>
          <w:lang w:val="en-US"/>
        </w:rPr>
        <w:t xml:space="preserve">a child for the purpose of sexual exploitation of the child, </w:t>
      </w:r>
      <w:r w:rsidRPr="002E0478">
        <w:rPr>
          <w:spacing w:val="-2"/>
          <w:lang w:val="en-US"/>
        </w:rPr>
        <w:t>transfer of organs for profit</w:t>
      </w:r>
      <w:r w:rsidR="00B216BB">
        <w:rPr>
          <w:spacing w:val="-2"/>
          <w:lang w:val="en-US"/>
        </w:rPr>
        <w:t>,</w:t>
      </w:r>
      <w:r w:rsidRPr="002E0478">
        <w:rPr>
          <w:spacing w:val="-2"/>
          <w:lang w:val="en-US"/>
        </w:rPr>
        <w:t xml:space="preserve"> or engagement of the child in forced labor </w:t>
      </w:r>
      <w:r>
        <w:rPr>
          <w:lang w:val="en-US"/>
        </w:rPr>
        <w:t>(</w:t>
      </w:r>
      <w:r w:rsidR="000416BC">
        <w:rPr>
          <w:lang w:val="en-US"/>
        </w:rPr>
        <w:t>Article </w:t>
      </w:r>
      <w:r>
        <w:rPr>
          <w:lang w:val="en-US"/>
        </w:rPr>
        <w:t>3(1)(a)(</w:t>
      </w:r>
      <w:proofErr w:type="spellStart"/>
      <w:r>
        <w:rPr>
          <w:lang w:val="en-US"/>
        </w:rPr>
        <w:t>i</w:t>
      </w:r>
      <w:proofErr w:type="spellEnd"/>
      <w:r>
        <w:rPr>
          <w:lang w:val="en-US"/>
        </w:rPr>
        <w:t>)). (The prohibition on inducing consent for the adoption of a child (</w:t>
      </w:r>
      <w:r w:rsidR="000416BC">
        <w:rPr>
          <w:lang w:val="en-US"/>
        </w:rPr>
        <w:t>Article </w:t>
      </w:r>
      <w:r>
        <w:rPr>
          <w:lang w:val="en-US"/>
        </w:rPr>
        <w:t>3(1)(a)(ii)) is addressed in paragraphs 58</w:t>
      </w:r>
      <w:r w:rsidR="00B216BB">
        <w:rPr>
          <w:lang w:val="en-US"/>
        </w:rPr>
        <w:t>–</w:t>
      </w:r>
      <w:r>
        <w:rPr>
          <w:lang w:val="en-US"/>
        </w:rPr>
        <w:t>89 below</w:t>
      </w:r>
      <w:r w:rsidR="00B216BB">
        <w:rPr>
          <w:lang w:val="en-US"/>
        </w:rPr>
        <w:t>.</w:t>
      </w:r>
      <w:r>
        <w:rPr>
          <w:lang w:val="en-US"/>
        </w:rPr>
        <w:t>)</w:t>
      </w:r>
    </w:p>
    <w:p w:rsidR="006C72E1" w:rsidRDefault="006C72E1" w:rsidP="006D3B18">
      <w:pPr>
        <w:pStyle w:val="SingleTxtG"/>
        <w:numPr>
          <w:ilvl w:val="0"/>
          <w:numId w:val="12"/>
        </w:numPr>
        <w:ind w:left="1134" w:firstLine="0"/>
        <w:rPr>
          <w:lang w:val="en-US"/>
        </w:rPr>
      </w:pPr>
      <w:r w:rsidRPr="002D2C27">
        <w:rPr>
          <w:lang w:val="en-US"/>
        </w:rPr>
        <w:t>The sale of children</w:t>
      </w:r>
      <w:r>
        <w:rPr>
          <w:lang w:val="en-US"/>
        </w:rPr>
        <w:t xml:space="preserve">, as defined in </w:t>
      </w:r>
      <w:r w:rsidR="000416BC">
        <w:rPr>
          <w:lang w:val="en-US"/>
        </w:rPr>
        <w:t>Article </w:t>
      </w:r>
      <w:r>
        <w:rPr>
          <w:lang w:val="en-US"/>
        </w:rPr>
        <w:t>2,</w:t>
      </w:r>
      <w:r w:rsidRPr="002D2C27">
        <w:rPr>
          <w:lang w:val="en-US"/>
        </w:rPr>
        <w:t xml:space="preserve"> is prohibited </w:t>
      </w:r>
      <w:r>
        <w:rPr>
          <w:lang w:val="en-US"/>
        </w:rPr>
        <w:t xml:space="preserve">by </w:t>
      </w:r>
      <w:r w:rsidRPr="002D2C27">
        <w:rPr>
          <w:lang w:val="en-US"/>
        </w:rPr>
        <w:t>Israeli law through several provisions</w:t>
      </w:r>
      <w:r>
        <w:rPr>
          <w:lang w:val="en-US"/>
        </w:rPr>
        <w:t xml:space="preserve">. </w:t>
      </w:r>
    </w:p>
    <w:p w:rsidR="006C72E1" w:rsidRPr="002D2C27" w:rsidRDefault="006C72E1" w:rsidP="006D3B18">
      <w:pPr>
        <w:pStyle w:val="SingleTxtG"/>
        <w:numPr>
          <w:ilvl w:val="0"/>
          <w:numId w:val="12"/>
        </w:numPr>
        <w:ind w:left="1134" w:firstLine="0"/>
        <w:rPr>
          <w:lang w:val="en-US"/>
        </w:rPr>
      </w:pPr>
      <w:r>
        <w:rPr>
          <w:lang w:val="en-US"/>
        </w:rPr>
        <w:t>On October 29, 2006 Israel enacted t</w:t>
      </w:r>
      <w:r w:rsidRPr="00A547ED">
        <w:rPr>
          <w:lang w:val="en-US"/>
        </w:rPr>
        <w:t>he</w:t>
      </w:r>
      <w:r w:rsidRPr="00A547ED">
        <w:rPr>
          <w:i/>
          <w:iCs/>
          <w:lang w:val="en-US"/>
        </w:rPr>
        <w:t xml:space="preserve"> </w:t>
      </w:r>
      <w:r w:rsidRPr="00D54DC8">
        <w:rPr>
          <w:lang w:val="en-US"/>
        </w:rPr>
        <w:t xml:space="preserve">Prohibition of Trafficking in Persons (Legislative Amendments) Law </w:t>
      </w:r>
      <w:r w:rsidR="005F6EE6" w:rsidRPr="00D54DC8">
        <w:rPr>
          <w:lang w:val="en-US"/>
        </w:rPr>
        <w:t>5766–</w:t>
      </w:r>
      <w:r w:rsidRPr="00D54DC8">
        <w:rPr>
          <w:lang w:val="en-US"/>
        </w:rPr>
        <w:t xml:space="preserve">2006 (the </w:t>
      </w:r>
      <w:r w:rsidR="00285CC4" w:rsidRPr="00D54DC8">
        <w:rPr>
          <w:lang w:val="en-US"/>
        </w:rPr>
        <w:t>“Anti-Trafficking Law”</w:t>
      </w:r>
      <w:r w:rsidRPr="00D54DC8">
        <w:rPr>
          <w:lang w:val="en-US"/>
        </w:rPr>
        <w:t>). Most of its provisions were incorporated in the Penal Law. The Anti-Trafficking Law</w:t>
      </w:r>
      <w:r w:rsidR="00285CC4" w:rsidRPr="00D54DC8">
        <w:rPr>
          <w:lang w:val="en-US"/>
        </w:rPr>
        <w:t>’</w:t>
      </w:r>
      <w:r w:rsidRPr="00D54DC8">
        <w:rPr>
          <w:lang w:val="en-US"/>
        </w:rPr>
        <w:t>s</w:t>
      </w:r>
      <w:r w:rsidRPr="00A547ED">
        <w:rPr>
          <w:lang w:val="en-US"/>
        </w:rPr>
        <w:t xml:space="preserve"> provisions, as will be</w:t>
      </w:r>
      <w:r w:rsidRPr="002D2C27">
        <w:rPr>
          <w:lang w:val="en-US"/>
        </w:rPr>
        <w:t xml:space="preserve"> further detailed below, address the relevant aspects of offering, delivering or accepting, by whatever means</w:t>
      </w:r>
      <w:r>
        <w:rPr>
          <w:lang w:val="en-US"/>
        </w:rPr>
        <w:t>,</w:t>
      </w:r>
      <w:r w:rsidRPr="002D2C27">
        <w:rPr>
          <w:lang w:val="en-US"/>
        </w:rPr>
        <w:t xml:space="preserve"> of a child for the purposes enumerated in </w:t>
      </w:r>
      <w:r w:rsidR="000416BC">
        <w:rPr>
          <w:lang w:val="en-US"/>
        </w:rPr>
        <w:t>Article </w:t>
      </w:r>
      <w:r>
        <w:rPr>
          <w:lang w:val="en-US"/>
        </w:rPr>
        <w:t>3(1)(a)(</w:t>
      </w:r>
      <w:proofErr w:type="spellStart"/>
      <w:r>
        <w:rPr>
          <w:lang w:val="en-US"/>
        </w:rPr>
        <w:t>i</w:t>
      </w:r>
      <w:proofErr w:type="spellEnd"/>
      <w:r>
        <w:rPr>
          <w:lang w:val="en-US"/>
        </w:rPr>
        <w:t xml:space="preserve">) of the Protocol. </w:t>
      </w:r>
    </w:p>
    <w:p w:rsidR="006C72E1" w:rsidRPr="002D2C27" w:rsidRDefault="006C72E1" w:rsidP="006D3B18">
      <w:pPr>
        <w:pStyle w:val="SingleTxtG"/>
        <w:numPr>
          <w:ilvl w:val="0"/>
          <w:numId w:val="12"/>
        </w:numPr>
        <w:ind w:left="1134" w:firstLine="0"/>
        <w:rPr>
          <w:lang w:val="en-US"/>
        </w:rPr>
      </w:pPr>
      <w:r w:rsidRPr="002D2C27">
        <w:rPr>
          <w:lang w:val="en-US"/>
        </w:rPr>
        <w:t xml:space="preserve">The legislative technique </w:t>
      </w:r>
      <w:r>
        <w:rPr>
          <w:lang w:val="en-US"/>
        </w:rPr>
        <w:t xml:space="preserve">which </w:t>
      </w:r>
      <w:r w:rsidRPr="002D2C27">
        <w:rPr>
          <w:lang w:val="en-US"/>
        </w:rPr>
        <w:t xml:space="preserve">Israel adopted </w:t>
      </w:r>
      <w:r>
        <w:rPr>
          <w:lang w:val="en-US"/>
        </w:rPr>
        <w:t xml:space="preserve">on this matter </w:t>
      </w:r>
      <w:r w:rsidRPr="002D2C27">
        <w:rPr>
          <w:lang w:val="en-US"/>
        </w:rPr>
        <w:t xml:space="preserve">was to create a group of </w:t>
      </w:r>
      <w:r>
        <w:rPr>
          <w:lang w:val="en-US"/>
        </w:rPr>
        <w:t xml:space="preserve">five </w:t>
      </w:r>
      <w:r w:rsidRPr="002D2C27">
        <w:rPr>
          <w:lang w:val="en-US"/>
        </w:rPr>
        <w:t>offen</w:t>
      </w:r>
      <w:r>
        <w:rPr>
          <w:lang w:val="en-US"/>
        </w:rPr>
        <w:t>s</w:t>
      </w:r>
      <w:r w:rsidRPr="002D2C27">
        <w:rPr>
          <w:lang w:val="en-US"/>
        </w:rPr>
        <w:t>es,</w:t>
      </w:r>
      <w:r>
        <w:rPr>
          <w:lang w:val="en-US"/>
        </w:rPr>
        <w:t xml:space="preserve"> detailed below,</w:t>
      </w:r>
      <w:r w:rsidRPr="002D2C27">
        <w:rPr>
          <w:lang w:val="en-US"/>
        </w:rPr>
        <w:t xml:space="preserve"> which together encompass the main aspects of the trafficking phenomenon. </w:t>
      </w:r>
      <w:r>
        <w:rPr>
          <w:lang w:val="en-US"/>
        </w:rPr>
        <w:t>This broad approach was adopted because it was felt the creation of a single offense</w:t>
      </w:r>
      <w:r w:rsidRPr="002D2C27">
        <w:rPr>
          <w:lang w:val="en-US"/>
        </w:rPr>
        <w:t xml:space="preserve"> might fail to cover all aspects of this criminal phenomenon</w:t>
      </w:r>
      <w:r>
        <w:rPr>
          <w:lang w:val="en-US"/>
        </w:rPr>
        <w:t>. T</w:t>
      </w:r>
      <w:r w:rsidRPr="002D2C27">
        <w:rPr>
          <w:lang w:val="en-US"/>
        </w:rPr>
        <w:t xml:space="preserve">he legislation </w:t>
      </w:r>
      <w:r>
        <w:rPr>
          <w:lang w:val="en-US"/>
        </w:rPr>
        <w:t>was designed to</w:t>
      </w:r>
      <w:r w:rsidRPr="002D2C27">
        <w:rPr>
          <w:lang w:val="en-US"/>
        </w:rPr>
        <w:t xml:space="preserve"> be comprehensive </w:t>
      </w:r>
      <w:r>
        <w:rPr>
          <w:lang w:val="en-US"/>
        </w:rPr>
        <w:t xml:space="preserve">in order </w:t>
      </w:r>
      <w:r w:rsidRPr="002D2C27">
        <w:rPr>
          <w:lang w:val="en-US"/>
        </w:rPr>
        <w:t xml:space="preserve">to prevent </w:t>
      </w:r>
      <w:r w:rsidRPr="009E2742">
        <w:rPr>
          <w:lang w:val="en-US"/>
        </w:rPr>
        <w:t>evasion</w:t>
      </w:r>
      <w:r>
        <w:rPr>
          <w:lang w:val="en-US"/>
        </w:rPr>
        <w:t xml:space="preserve"> by criminals. </w:t>
      </w:r>
    </w:p>
    <w:p w:rsidR="006C72E1" w:rsidRPr="00105C55" w:rsidRDefault="006C72E1" w:rsidP="006D3B18">
      <w:pPr>
        <w:pStyle w:val="SingleTxtG"/>
        <w:numPr>
          <w:ilvl w:val="0"/>
          <w:numId w:val="12"/>
        </w:numPr>
        <w:ind w:left="1134" w:firstLine="0"/>
      </w:pPr>
      <w:r>
        <w:rPr>
          <w:lang w:val="en-US"/>
        </w:rPr>
        <w:t>The offense</w:t>
      </w:r>
      <w:r w:rsidRPr="00F61BDE">
        <w:rPr>
          <w:lang w:val="en-US"/>
        </w:rPr>
        <w:t xml:space="preserve">s were incorporated in the </w:t>
      </w:r>
      <w:r w:rsidRPr="00D54DC8">
        <w:rPr>
          <w:lang w:val="en-US"/>
        </w:rPr>
        <w:t>Penal Law</w:t>
      </w:r>
      <w:r w:rsidRPr="00F61BDE">
        <w:rPr>
          <w:lang w:val="en-US"/>
        </w:rPr>
        <w:t xml:space="preserve"> under the chapter that deals with </w:t>
      </w:r>
      <w:r>
        <w:rPr>
          <w:lang w:val="en-US"/>
        </w:rPr>
        <w:t>offense</w:t>
      </w:r>
      <w:r w:rsidRPr="00F61BDE">
        <w:rPr>
          <w:lang w:val="en-US"/>
        </w:rPr>
        <w:t xml:space="preserve">s relating to the </w:t>
      </w:r>
      <w:r w:rsidRPr="00FA313B">
        <w:rPr>
          <w:lang w:val="en-US"/>
        </w:rPr>
        <w:t>deprivation of a person</w:t>
      </w:r>
      <w:r w:rsidR="00C05EBD">
        <w:rPr>
          <w:rFonts w:hint="eastAsia"/>
          <w:lang w:val="en-US"/>
        </w:rPr>
        <w:t>’</w:t>
      </w:r>
      <w:r w:rsidRPr="00FA313B">
        <w:rPr>
          <w:lang w:val="en-US"/>
        </w:rPr>
        <w:t>s liberty</w:t>
      </w:r>
      <w:r>
        <w:rPr>
          <w:lang w:val="en-US"/>
        </w:rPr>
        <w:t>.</w:t>
      </w:r>
      <w:r w:rsidRPr="00F61BDE">
        <w:rPr>
          <w:lang w:val="en-US"/>
        </w:rPr>
        <w:t xml:space="preserve"> </w:t>
      </w:r>
      <w:r>
        <w:t>It should be noted that of these five core offenses, only the first two criminalize the act of “trafficking in a person” in the strict sense of the term. The other three criminalize other conducts which are similar to trafficking</w:t>
      </w:r>
      <w:r w:rsidR="00B216BB">
        <w:t>,</w:t>
      </w:r>
      <w:r>
        <w:t xml:space="preserve"> in that a person is treated in a manner so abject that the act is assimilated to “trafficking”. The common denominator of the five core offenses is that they all criminalize conduct by which a person is objectified and denied his or her basic human dignity and freedom. All five are punishable with severe prison terms.</w:t>
      </w:r>
    </w:p>
    <w:p w:rsidR="006C72E1" w:rsidRPr="00B216BB" w:rsidRDefault="006C72E1" w:rsidP="006D3B18">
      <w:pPr>
        <w:pStyle w:val="SingleTxtG"/>
        <w:numPr>
          <w:ilvl w:val="0"/>
          <w:numId w:val="12"/>
        </w:numPr>
        <w:ind w:left="1134" w:firstLine="0"/>
        <w:rPr>
          <w:lang w:val="en-US"/>
        </w:rPr>
      </w:pPr>
      <w:r w:rsidRPr="009D7729">
        <w:rPr>
          <w:iCs/>
          <w:lang w:val="en-US"/>
        </w:rPr>
        <w:t>Trafficking in Persons</w:t>
      </w:r>
      <w:r w:rsidRPr="009D7729">
        <w:rPr>
          <w:lang w:val="en-US"/>
        </w:rPr>
        <w:t xml:space="preserve"> – This offense is set out in </w:t>
      </w:r>
      <w:r w:rsidR="001A574A">
        <w:rPr>
          <w:lang w:val="en-US"/>
        </w:rPr>
        <w:t>Section </w:t>
      </w:r>
      <w:r w:rsidRPr="009D7729">
        <w:rPr>
          <w:lang w:val="en-US"/>
        </w:rPr>
        <w:t xml:space="preserve">377A of the </w:t>
      </w:r>
      <w:r w:rsidRPr="009D7729">
        <w:rPr>
          <w:iCs/>
          <w:lang w:val="en-US"/>
        </w:rPr>
        <w:t>Penal Law,</w:t>
      </w:r>
      <w:r w:rsidRPr="009D7729">
        <w:rPr>
          <w:lang w:val="en-US"/>
        </w:rPr>
        <w:t xml:space="preserve"> and carries a maximum penalty of 16 years</w:t>
      </w:r>
      <w:r w:rsidR="00D3193A">
        <w:rPr>
          <w:lang w:val="en-US"/>
        </w:rPr>
        <w:t>’</w:t>
      </w:r>
      <w:r w:rsidRPr="009D7729">
        <w:rPr>
          <w:lang w:val="en-US"/>
        </w:rPr>
        <w:t xml:space="preserve"> imprisonment</w:t>
      </w:r>
      <w:r w:rsidR="00D3193A">
        <w:rPr>
          <w:lang w:val="en-US"/>
        </w:rPr>
        <w:t>,</w:t>
      </w:r>
      <w:r w:rsidRPr="009D7729">
        <w:rPr>
          <w:lang w:val="en-US"/>
        </w:rPr>
        <w:t xml:space="preserve"> and </w:t>
      </w:r>
      <w:r w:rsidRPr="009D7729">
        <w:rPr>
          <w:bCs/>
          <w:lang w:val="en-US"/>
        </w:rPr>
        <w:t>20 years</w:t>
      </w:r>
      <w:r w:rsidR="00D3193A">
        <w:rPr>
          <w:bCs/>
          <w:lang w:val="en-US"/>
        </w:rPr>
        <w:t>’</w:t>
      </w:r>
      <w:r w:rsidRPr="009D7729">
        <w:rPr>
          <w:bCs/>
          <w:lang w:val="en-US"/>
        </w:rPr>
        <w:t xml:space="preserve"> imprisonment if the </w:t>
      </w:r>
      <w:r w:rsidRPr="00B216BB">
        <w:rPr>
          <w:bCs/>
          <w:lang w:val="en-US"/>
        </w:rPr>
        <w:t>victim is a minor</w:t>
      </w:r>
      <w:r w:rsidRPr="00B216BB">
        <w:rPr>
          <w:lang w:val="en-US"/>
        </w:rPr>
        <w:t xml:space="preserve">. The crime includes two elements: </w:t>
      </w:r>
    </w:p>
    <w:p w:rsidR="006C72E1" w:rsidRPr="000554F5" w:rsidRDefault="00696092" w:rsidP="00696092">
      <w:pPr>
        <w:pStyle w:val="SingleTxtG"/>
        <w:ind w:firstLine="567"/>
        <w:rPr>
          <w:szCs w:val="24"/>
          <w:lang w:val="en-US"/>
        </w:rPr>
      </w:pPr>
      <w:r w:rsidRPr="00B43698">
        <w:rPr>
          <w:lang w:val="en-US"/>
        </w:rPr>
        <w:t>(a)</w:t>
      </w:r>
      <w:r w:rsidRPr="00B216BB">
        <w:rPr>
          <w:lang w:val="en-US"/>
        </w:rPr>
        <w:tab/>
      </w:r>
      <w:r w:rsidR="006C72E1" w:rsidRPr="00B216BB">
        <w:rPr>
          <w:lang w:val="en-US"/>
        </w:rPr>
        <w:t xml:space="preserve">A transaction in a person (distinguished from a transaction </w:t>
      </w:r>
      <w:r w:rsidR="006C72E1" w:rsidRPr="00B43698">
        <w:rPr>
          <w:i/>
          <w:iCs/>
          <w:lang w:val="en-US"/>
        </w:rPr>
        <w:t>with</w:t>
      </w:r>
      <w:r w:rsidR="006C72E1" w:rsidRPr="00B216BB">
        <w:rPr>
          <w:lang w:val="en-US"/>
        </w:rPr>
        <w:t xml:space="preserve"> a person, thus denoting</w:t>
      </w:r>
      <w:r w:rsidR="006C72E1" w:rsidRPr="00C0021D">
        <w:rPr>
          <w:lang w:val="en-US"/>
        </w:rPr>
        <w:t xml:space="preserve"> </w:t>
      </w:r>
      <w:r w:rsidR="00B216BB" w:rsidRPr="0002455E">
        <w:rPr>
          <w:lang w:val="en-US"/>
        </w:rPr>
        <w:t xml:space="preserve">the </w:t>
      </w:r>
      <w:r w:rsidR="006C72E1" w:rsidRPr="00032761">
        <w:rPr>
          <w:lang w:val="en-US"/>
        </w:rPr>
        <w:t xml:space="preserve">objectification of the victim). For this matter, </w:t>
      </w:r>
      <w:r w:rsidR="00285CC4" w:rsidRPr="00D3193A">
        <w:rPr>
          <w:lang w:val="en-US"/>
        </w:rPr>
        <w:t>“</w:t>
      </w:r>
      <w:r w:rsidR="006C72E1" w:rsidRPr="00D3193A">
        <w:rPr>
          <w:lang w:val="en-US"/>
        </w:rPr>
        <w:t>transaction in a person</w:t>
      </w:r>
      <w:r w:rsidR="00285CC4" w:rsidRPr="00D3193A">
        <w:rPr>
          <w:lang w:val="en-US"/>
        </w:rPr>
        <w:t>”</w:t>
      </w:r>
      <w:r w:rsidR="006C72E1" w:rsidRPr="00D3193A">
        <w:rPr>
          <w:lang w:val="en-US"/>
        </w:rPr>
        <w:t xml:space="preserve"> means selling or b</w:t>
      </w:r>
      <w:r w:rsidR="006C72E1" w:rsidRPr="00BF5123">
        <w:rPr>
          <w:szCs w:val="24"/>
          <w:lang w:val="en-US"/>
        </w:rPr>
        <w:t xml:space="preserve">uying a person or </w:t>
      </w:r>
      <w:r w:rsidR="006C72E1" w:rsidRPr="002E0DDB">
        <w:rPr>
          <w:szCs w:val="24"/>
        </w:rPr>
        <w:t>carrying out an</w:t>
      </w:r>
      <w:r w:rsidR="006C72E1" w:rsidRPr="00B340AC">
        <w:rPr>
          <w:szCs w:val="24"/>
        </w:rPr>
        <w:t xml:space="preserve">other transaction </w:t>
      </w:r>
      <w:r w:rsidR="006C72E1" w:rsidRPr="00306596">
        <w:rPr>
          <w:szCs w:val="24"/>
        </w:rPr>
        <w:t>in</w:t>
      </w:r>
      <w:r w:rsidR="006C72E1" w:rsidRPr="002F4174">
        <w:rPr>
          <w:szCs w:val="24"/>
        </w:rPr>
        <w:t xml:space="preserve"> a person</w:t>
      </w:r>
      <w:r w:rsidR="006C72E1" w:rsidRPr="000554F5">
        <w:rPr>
          <w:szCs w:val="24"/>
          <w:lang w:val="en-US"/>
        </w:rPr>
        <w:t xml:space="preserve">, whether or not for consideration. </w:t>
      </w:r>
    </w:p>
    <w:p w:rsidR="006C72E1" w:rsidRPr="004E3A25" w:rsidRDefault="00696092" w:rsidP="00696092">
      <w:pPr>
        <w:pStyle w:val="SingleTxtG"/>
        <w:ind w:firstLine="567"/>
        <w:rPr>
          <w:lang w:val="en-US"/>
        </w:rPr>
      </w:pPr>
      <w:r w:rsidRPr="00B43698">
        <w:rPr>
          <w:lang w:val="en-US"/>
        </w:rPr>
        <w:t>(b)</w:t>
      </w:r>
      <w:r w:rsidRPr="00B216BB">
        <w:rPr>
          <w:lang w:val="en-US"/>
        </w:rPr>
        <w:tab/>
      </w:r>
      <w:r w:rsidR="006C72E1" w:rsidRPr="00B216BB">
        <w:rPr>
          <w:lang w:val="en-US"/>
        </w:rPr>
        <w:t xml:space="preserve">For one of seven pernicious purposes: removing </w:t>
      </w:r>
      <w:r w:rsidR="006C72E1" w:rsidRPr="00C0021D">
        <w:rPr>
          <w:lang w:val="en-US"/>
        </w:rPr>
        <w:t>an</w:t>
      </w:r>
      <w:r w:rsidR="006C72E1" w:rsidRPr="0002455E">
        <w:rPr>
          <w:lang w:val="en-US"/>
        </w:rPr>
        <w:t xml:space="preserve"> </w:t>
      </w:r>
      <w:r w:rsidR="006C72E1" w:rsidRPr="00032761">
        <w:rPr>
          <w:lang w:val="en-US"/>
        </w:rPr>
        <w:t>organ</w:t>
      </w:r>
      <w:r w:rsidR="006C72E1" w:rsidRPr="00D3193A">
        <w:rPr>
          <w:lang w:val="en-US"/>
        </w:rPr>
        <w:t xml:space="preserve"> from the person</w:t>
      </w:r>
      <w:r w:rsidR="00C05EBD" w:rsidRPr="00D3193A">
        <w:rPr>
          <w:rFonts w:hint="eastAsia"/>
          <w:lang w:val="en-US"/>
        </w:rPr>
        <w:t>’</w:t>
      </w:r>
      <w:r w:rsidR="006C72E1" w:rsidRPr="00D3193A">
        <w:rPr>
          <w:lang w:val="en-US"/>
        </w:rPr>
        <w:t xml:space="preserve">s </w:t>
      </w:r>
      <w:r w:rsidR="006C72E1" w:rsidRPr="00BF5123">
        <w:rPr>
          <w:lang w:val="en-US"/>
        </w:rPr>
        <w:t>body (</w:t>
      </w:r>
      <w:r w:rsidR="006C72E1" w:rsidRPr="002E0DDB">
        <w:rPr>
          <w:lang w:val="en-US"/>
        </w:rPr>
        <w:t xml:space="preserve">which corresponds to </w:t>
      </w:r>
      <w:r w:rsidR="000416BC" w:rsidRPr="00B340AC">
        <w:rPr>
          <w:lang w:val="en-US"/>
        </w:rPr>
        <w:t>Article </w:t>
      </w:r>
      <w:r w:rsidR="006C72E1" w:rsidRPr="00306596">
        <w:rPr>
          <w:lang w:val="en-US"/>
        </w:rPr>
        <w:t>3(1)(a)(</w:t>
      </w:r>
      <w:proofErr w:type="spellStart"/>
      <w:r w:rsidR="006C72E1" w:rsidRPr="00306596">
        <w:rPr>
          <w:lang w:val="en-US"/>
        </w:rPr>
        <w:t>i</w:t>
      </w:r>
      <w:proofErr w:type="spellEnd"/>
      <w:r w:rsidR="006C72E1" w:rsidRPr="00306596">
        <w:rPr>
          <w:lang w:val="en-US"/>
        </w:rPr>
        <w:t xml:space="preserve">)(b) </w:t>
      </w:r>
      <w:r w:rsidR="006C72E1" w:rsidRPr="002F4174">
        <w:rPr>
          <w:lang w:val="en-US"/>
        </w:rPr>
        <w:t>of</w:t>
      </w:r>
      <w:r w:rsidR="006C72E1" w:rsidRPr="000554F5">
        <w:rPr>
          <w:lang w:val="en-US"/>
        </w:rPr>
        <w:t xml:space="preserve"> the Protocol</w:t>
      </w:r>
      <w:r w:rsidR="006C72E1" w:rsidRPr="00184F0A">
        <w:rPr>
          <w:lang w:val="en-US"/>
        </w:rPr>
        <w:t>)</w:t>
      </w:r>
      <w:r w:rsidR="006C72E1" w:rsidRPr="00CF6BA2">
        <w:rPr>
          <w:lang w:val="en-US"/>
        </w:rPr>
        <w:t>; giving birth to a child and taking the child away; subjecting the person to slavery or forced labor (</w:t>
      </w:r>
      <w:r w:rsidR="006C72E1" w:rsidRPr="00FC1D36">
        <w:rPr>
          <w:lang w:val="en-US"/>
        </w:rPr>
        <w:t xml:space="preserve">which corresponds to </w:t>
      </w:r>
      <w:r w:rsidR="000416BC" w:rsidRPr="006A2A41">
        <w:rPr>
          <w:lang w:val="en-US"/>
        </w:rPr>
        <w:t>Article </w:t>
      </w:r>
      <w:r w:rsidR="006C72E1" w:rsidRPr="0077256F">
        <w:rPr>
          <w:lang w:val="en-US"/>
        </w:rPr>
        <w:t>3(1)(a)(</w:t>
      </w:r>
      <w:proofErr w:type="spellStart"/>
      <w:r w:rsidR="006C72E1" w:rsidRPr="0077256F">
        <w:rPr>
          <w:lang w:val="en-US"/>
        </w:rPr>
        <w:t>i</w:t>
      </w:r>
      <w:proofErr w:type="spellEnd"/>
      <w:r w:rsidR="006C72E1" w:rsidRPr="0077256F">
        <w:rPr>
          <w:lang w:val="en-US"/>
        </w:rPr>
        <w:t xml:space="preserve">)(c) </w:t>
      </w:r>
      <w:r w:rsidR="006C72E1" w:rsidRPr="00DF7F7F">
        <w:rPr>
          <w:lang w:val="en-US"/>
        </w:rPr>
        <w:t>of</w:t>
      </w:r>
      <w:r w:rsidR="006C72E1" w:rsidRPr="00FC0B34">
        <w:rPr>
          <w:lang w:val="en-US"/>
        </w:rPr>
        <w:t xml:space="preserve"> the Protocol)</w:t>
      </w:r>
      <w:r w:rsidR="006C72E1" w:rsidRPr="00BD794C">
        <w:rPr>
          <w:lang w:val="en-US"/>
        </w:rPr>
        <w:t>;</w:t>
      </w:r>
      <w:r w:rsidR="006C72E1" w:rsidRPr="00C059FB">
        <w:rPr>
          <w:lang w:val="en-US"/>
        </w:rPr>
        <w:t xml:space="preserve"> </w:t>
      </w:r>
      <w:r w:rsidR="006C72E1" w:rsidRPr="006D4969">
        <w:rPr>
          <w:lang w:val="en-US"/>
        </w:rPr>
        <w:t xml:space="preserve">inducing the person to commit an act of prostitution or </w:t>
      </w:r>
      <w:r w:rsidR="006C72E1" w:rsidRPr="00084BFB">
        <w:t xml:space="preserve">inducing him/her to </w:t>
      </w:r>
      <w:r w:rsidR="006C72E1" w:rsidRPr="00462395">
        <w:t>take part in an obscene publication or obscene display</w:t>
      </w:r>
      <w:r w:rsidR="006C72E1" w:rsidRPr="00EC44F2">
        <w:rPr>
          <w:lang w:val="en-US"/>
        </w:rPr>
        <w:t xml:space="preserve"> or </w:t>
      </w:r>
      <w:r w:rsidR="006C72E1" w:rsidRPr="009A3379">
        <w:t>committing a sexual offense against the</w:t>
      </w:r>
      <w:r w:rsidR="006C72E1">
        <w:t xml:space="preserve"> person</w:t>
      </w:r>
      <w:r w:rsidR="006C72E1">
        <w:rPr>
          <w:lang w:val="en-US"/>
        </w:rPr>
        <w:t xml:space="preserve"> </w:t>
      </w:r>
      <w:r w:rsidR="006C72E1" w:rsidRPr="002D2C27">
        <w:rPr>
          <w:lang w:val="en-US"/>
        </w:rPr>
        <w:t>(</w:t>
      </w:r>
      <w:r w:rsidR="006C72E1">
        <w:rPr>
          <w:lang w:val="en-US"/>
        </w:rPr>
        <w:t xml:space="preserve">which corresponds to </w:t>
      </w:r>
      <w:r w:rsidR="000416BC">
        <w:rPr>
          <w:lang w:val="en-US"/>
        </w:rPr>
        <w:t>Article </w:t>
      </w:r>
      <w:r w:rsidR="006C72E1" w:rsidRPr="002D2C27">
        <w:rPr>
          <w:lang w:val="en-US"/>
        </w:rPr>
        <w:t>3(1)(a)(</w:t>
      </w:r>
      <w:proofErr w:type="spellStart"/>
      <w:r w:rsidR="006C72E1" w:rsidRPr="002D2C27">
        <w:rPr>
          <w:lang w:val="en-US"/>
        </w:rPr>
        <w:t>i</w:t>
      </w:r>
      <w:proofErr w:type="spellEnd"/>
      <w:r w:rsidR="006C72E1" w:rsidRPr="002D2C27">
        <w:rPr>
          <w:lang w:val="en-US"/>
        </w:rPr>
        <w:t xml:space="preserve">)(a) </w:t>
      </w:r>
      <w:r w:rsidR="006C72E1">
        <w:rPr>
          <w:lang w:val="en-US"/>
        </w:rPr>
        <w:t>of</w:t>
      </w:r>
      <w:r w:rsidR="006C72E1" w:rsidRPr="004E3A25">
        <w:rPr>
          <w:lang w:val="en-US"/>
        </w:rPr>
        <w:t xml:space="preserve"> the Protocol). </w:t>
      </w:r>
    </w:p>
    <w:p w:rsidR="006C72E1" w:rsidRPr="004E3A25" w:rsidRDefault="001A574A" w:rsidP="006D3B18">
      <w:pPr>
        <w:pStyle w:val="SingleTxtG"/>
        <w:numPr>
          <w:ilvl w:val="0"/>
          <w:numId w:val="12"/>
        </w:numPr>
        <w:ind w:left="1134" w:firstLine="0"/>
        <w:rPr>
          <w:lang w:val="en-US"/>
        </w:rPr>
      </w:pPr>
      <w:r>
        <w:rPr>
          <w:lang w:val="en-US"/>
        </w:rPr>
        <w:t>Section </w:t>
      </w:r>
      <w:r w:rsidR="006C72E1" w:rsidRPr="004E3A25">
        <w:rPr>
          <w:lang w:val="en-US"/>
        </w:rPr>
        <w:t xml:space="preserve">377A also forbids trafficking in </w:t>
      </w:r>
      <w:r w:rsidR="006C72E1">
        <w:rPr>
          <w:lang w:val="en-US"/>
        </w:rPr>
        <w:t>a person</w:t>
      </w:r>
      <w:r w:rsidR="006C72E1" w:rsidRPr="004E3A25">
        <w:rPr>
          <w:lang w:val="en-US"/>
        </w:rPr>
        <w:t xml:space="preserve"> </w:t>
      </w:r>
      <w:r w:rsidR="006C72E1">
        <w:rPr>
          <w:lang w:val="en-US"/>
        </w:rPr>
        <w:t xml:space="preserve">if </w:t>
      </w:r>
      <w:r w:rsidR="006C72E1" w:rsidRPr="004E3A25">
        <w:rPr>
          <w:lang w:val="en-US"/>
        </w:rPr>
        <w:t xml:space="preserve">in doing so </w:t>
      </w:r>
      <w:r w:rsidR="006C72E1">
        <w:rPr>
          <w:lang w:val="en-US"/>
        </w:rPr>
        <w:t>the offender</w:t>
      </w:r>
      <w:r w:rsidR="006C72E1" w:rsidRPr="004E3A25">
        <w:rPr>
          <w:lang w:val="en-US"/>
        </w:rPr>
        <w:t xml:space="preserve"> exposes the victim to the </w:t>
      </w:r>
      <w:r w:rsidR="006C72E1">
        <w:rPr>
          <w:lang w:val="en-US"/>
        </w:rPr>
        <w:t>risk</w:t>
      </w:r>
      <w:r w:rsidR="006C72E1" w:rsidRPr="004E3A25">
        <w:rPr>
          <w:lang w:val="en-US"/>
        </w:rPr>
        <w:t xml:space="preserve"> of one of the purposes</w:t>
      </w:r>
      <w:r w:rsidR="006C72E1">
        <w:rPr>
          <w:lang w:val="en-US"/>
        </w:rPr>
        <w:t xml:space="preserve"> listed above</w:t>
      </w:r>
      <w:r w:rsidR="006C72E1" w:rsidRPr="004E3A25">
        <w:rPr>
          <w:lang w:val="en-US"/>
        </w:rPr>
        <w:t xml:space="preserve">. </w:t>
      </w:r>
    </w:p>
    <w:p w:rsidR="006C72E1" w:rsidRPr="004E3A25" w:rsidRDefault="001A574A" w:rsidP="006D3B18">
      <w:pPr>
        <w:pStyle w:val="SingleTxtG"/>
        <w:numPr>
          <w:ilvl w:val="0"/>
          <w:numId w:val="12"/>
        </w:numPr>
        <w:ind w:left="1134" w:firstLine="0"/>
        <w:rPr>
          <w:lang w:val="en-US"/>
        </w:rPr>
      </w:pPr>
      <w:r>
        <w:rPr>
          <w:lang w:val="en-US"/>
        </w:rPr>
        <w:t>Section </w:t>
      </w:r>
      <w:r w:rsidR="006C72E1" w:rsidRPr="004E3A25">
        <w:rPr>
          <w:lang w:val="en-US"/>
        </w:rPr>
        <w:t xml:space="preserve">377A(c) of </w:t>
      </w:r>
      <w:r w:rsidR="006C72E1" w:rsidRPr="00D54DC8">
        <w:rPr>
          <w:lang w:val="en-US"/>
        </w:rPr>
        <w:t>the Penal Law</w:t>
      </w:r>
      <w:r w:rsidR="006C72E1" w:rsidRPr="004E3A25">
        <w:rPr>
          <w:lang w:val="en-US"/>
        </w:rPr>
        <w:t xml:space="preserve"> </w:t>
      </w:r>
      <w:r w:rsidR="006C72E1">
        <w:rPr>
          <w:lang w:val="en-US"/>
        </w:rPr>
        <w:t xml:space="preserve">provides </w:t>
      </w:r>
      <w:r w:rsidR="006C72E1" w:rsidRPr="004E3A25">
        <w:rPr>
          <w:lang w:val="en-US"/>
        </w:rPr>
        <w:t xml:space="preserve">that </w:t>
      </w:r>
      <w:r w:rsidR="006C72E1">
        <w:t>the middleman in trafficking in a person, whether or not for consideration, shall be liable to the same penalty as the actual trafficker</w:t>
      </w:r>
      <w:r w:rsidR="006C72E1" w:rsidRPr="004E3A25">
        <w:rPr>
          <w:lang w:val="en-US"/>
        </w:rPr>
        <w:t xml:space="preserve">. </w:t>
      </w:r>
    </w:p>
    <w:p w:rsidR="006C72E1" w:rsidRPr="00C0021D" w:rsidRDefault="006C72E1" w:rsidP="006D3B18">
      <w:pPr>
        <w:pStyle w:val="SingleTxtG"/>
        <w:numPr>
          <w:ilvl w:val="0"/>
          <w:numId w:val="12"/>
        </w:numPr>
        <w:ind w:left="1134" w:firstLine="0"/>
        <w:rPr>
          <w:lang w:val="en-US"/>
        </w:rPr>
      </w:pPr>
      <w:r w:rsidRPr="00B216BB">
        <w:rPr>
          <w:iCs/>
          <w:lang w:val="en-US"/>
        </w:rPr>
        <w:t>Abduction for the Purpose of Trafficking</w:t>
      </w:r>
      <w:r w:rsidRPr="00B216BB">
        <w:rPr>
          <w:lang w:val="en-US"/>
        </w:rPr>
        <w:t xml:space="preserve"> – This offense is set out in </w:t>
      </w:r>
      <w:r w:rsidR="001A574A" w:rsidRPr="00B216BB">
        <w:rPr>
          <w:lang w:val="en-US"/>
        </w:rPr>
        <w:t>Section </w:t>
      </w:r>
      <w:r w:rsidRPr="00B216BB">
        <w:rPr>
          <w:lang w:val="en-US"/>
        </w:rPr>
        <w:t xml:space="preserve">374A of the </w:t>
      </w:r>
      <w:r w:rsidRPr="00C0021D">
        <w:rPr>
          <w:iCs/>
          <w:lang w:val="en-US"/>
        </w:rPr>
        <w:t>Penal Law and</w:t>
      </w:r>
      <w:r w:rsidRPr="00C0021D">
        <w:rPr>
          <w:lang w:val="en-US"/>
        </w:rPr>
        <w:t xml:space="preserve"> carries a maximum penalty of 20 years</w:t>
      </w:r>
      <w:r w:rsidR="00B216BB" w:rsidRPr="00C0021D">
        <w:rPr>
          <w:lang w:val="en-US"/>
        </w:rPr>
        <w:t>’</w:t>
      </w:r>
      <w:r w:rsidRPr="00C0021D">
        <w:rPr>
          <w:lang w:val="en-US"/>
        </w:rPr>
        <w:t xml:space="preserve"> imprisonment. The crime consists of the following three elements: </w:t>
      </w:r>
    </w:p>
    <w:p w:rsidR="006C72E1" w:rsidRPr="00B216BB" w:rsidRDefault="004200F2" w:rsidP="004200F2">
      <w:pPr>
        <w:pStyle w:val="SingleTxtG"/>
        <w:ind w:firstLine="567"/>
        <w:rPr>
          <w:lang w:val="en-US"/>
        </w:rPr>
      </w:pPr>
      <w:r w:rsidRPr="00B43698">
        <w:rPr>
          <w:lang w:val="en-US"/>
        </w:rPr>
        <w:t>(a)</w:t>
      </w:r>
      <w:r w:rsidRPr="00B216BB">
        <w:rPr>
          <w:lang w:val="en-US"/>
        </w:rPr>
        <w:tab/>
      </w:r>
      <w:r w:rsidR="006C72E1" w:rsidRPr="00B216BB">
        <w:rPr>
          <w:lang w:val="en-US"/>
        </w:rPr>
        <w:t>Inducing a person to move from one place to another;</w:t>
      </w:r>
    </w:p>
    <w:p w:rsidR="006C72E1" w:rsidRPr="00B216BB" w:rsidRDefault="004200F2" w:rsidP="004200F2">
      <w:pPr>
        <w:pStyle w:val="SingleTxtG"/>
        <w:ind w:firstLine="567"/>
        <w:rPr>
          <w:lang w:val="en-US"/>
        </w:rPr>
      </w:pPr>
      <w:r w:rsidRPr="00B43698">
        <w:rPr>
          <w:lang w:val="en-US"/>
        </w:rPr>
        <w:t>(b)</w:t>
      </w:r>
      <w:r w:rsidRPr="00B216BB">
        <w:rPr>
          <w:lang w:val="en-US"/>
        </w:rPr>
        <w:tab/>
      </w:r>
      <w:r w:rsidR="006C72E1" w:rsidRPr="00B216BB">
        <w:rPr>
          <w:lang w:val="en-US"/>
        </w:rPr>
        <w:t xml:space="preserve">By means of threats or force or by fraudulently obtaining her/his consent; </w:t>
      </w:r>
    </w:p>
    <w:p w:rsidR="006C72E1" w:rsidRPr="00C0021D" w:rsidRDefault="004200F2" w:rsidP="004200F2">
      <w:pPr>
        <w:pStyle w:val="SingleTxtG"/>
        <w:ind w:firstLine="567"/>
        <w:rPr>
          <w:lang w:val="en-US"/>
        </w:rPr>
      </w:pPr>
      <w:r w:rsidRPr="00B43698">
        <w:rPr>
          <w:lang w:val="en-US"/>
        </w:rPr>
        <w:t>(c)</w:t>
      </w:r>
      <w:r w:rsidRPr="00B216BB">
        <w:rPr>
          <w:lang w:val="en-US"/>
        </w:rPr>
        <w:tab/>
      </w:r>
      <w:r w:rsidR="006C72E1" w:rsidRPr="00B216BB">
        <w:rPr>
          <w:lang w:val="en-US"/>
        </w:rPr>
        <w:t xml:space="preserve">For any of the purposes of trafficking in persons as detailed in </w:t>
      </w:r>
      <w:r w:rsidR="001A574A" w:rsidRPr="00B216BB">
        <w:rPr>
          <w:lang w:val="en-US"/>
        </w:rPr>
        <w:t>Section </w:t>
      </w:r>
      <w:r w:rsidR="006C72E1" w:rsidRPr="00B216BB">
        <w:rPr>
          <w:lang w:val="en-US"/>
        </w:rPr>
        <w:t>377A</w:t>
      </w:r>
      <w:r w:rsidR="00B216BB" w:rsidRPr="00B216BB">
        <w:rPr>
          <w:lang w:val="en-US"/>
        </w:rPr>
        <w:t> </w:t>
      </w:r>
      <w:r w:rsidR="006C72E1" w:rsidRPr="00B216BB">
        <w:rPr>
          <w:lang w:val="en-US"/>
        </w:rPr>
        <w:t xml:space="preserve">(a) of the Penal Law or </w:t>
      </w:r>
      <w:r w:rsidR="006C72E1" w:rsidRPr="00B216BB">
        <w:t>placing the person in one of the dangers set forth in the said section</w:t>
      </w:r>
      <w:r w:rsidR="006C72E1" w:rsidRPr="00C0021D">
        <w:rPr>
          <w:lang w:val="en-US"/>
        </w:rPr>
        <w:t xml:space="preserve">. </w:t>
      </w:r>
    </w:p>
    <w:p w:rsidR="006C72E1" w:rsidRPr="009D7729" w:rsidRDefault="006C72E1" w:rsidP="006D3B18">
      <w:pPr>
        <w:pStyle w:val="SingleTxtG"/>
        <w:numPr>
          <w:ilvl w:val="0"/>
          <w:numId w:val="12"/>
        </w:numPr>
        <w:ind w:left="1134" w:firstLine="0"/>
        <w:rPr>
          <w:lang w:val="en-US"/>
        </w:rPr>
      </w:pPr>
      <w:r w:rsidRPr="0002455E">
        <w:rPr>
          <w:iCs/>
          <w:lang w:val="en-US"/>
        </w:rPr>
        <w:t>Holding a Perso</w:t>
      </w:r>
      <w:r w:rsidRPr="009D7729">
        <w:rPr>
          <w:iCs/>
          <w:lang w:val="en-US"/>
        </w:rPr>
        <w:t>n Under Conditions of Slavery</w:t>
      </w:r>
      <w:r w:rsidRPr="009D7729">
        <w:rPr>
          <w:lang w:val="en-US"/>
        </w:rPr>
        <w:t xml:space="preserve"> – It is a crime to hold</w:t>
      </w:r>
      <w:r w:rsidRPr="009D7729">
        <w:t xml:space="preserve"> a person under conditions of slavery for the purposes of work or services, including sex services.</w:t>
      </w:r>
      <w:r w:rsidRPr="009D7729">
        <w:rPr>
          <w:lang w:val="en-US"/>
        </w:rPr>
        <w:t xml:space="preserve"> This offense is set in </w:t>
      </w:r>
      <w:r w:rsidR="001A574A">
        <w:rPr>
          <w:lang w:val="en-US"/>
        </w:rPr>
        <w:t>Section </w:t>
      </w:r>
      <w:r w:rsidRPr="009D7729">
        <w:rPr>
          <w:lang w:val="en-US"/>
        </w:rPr>
        <w:t>375A of the Penal Law, and carries a maximum penalty of 16</w:t>
      </w:r>
      <w:r w:rsidR="00B216BB">
        <w:rPr>
          <w:lang w:val="en-US"/>
        </w:rPr>
        <w:t> </w:t>
      </w:r>
      <w:r w:rsidRPr="009D7729">
        <w:rPr>
          <w:lang w:val="en-US"/>
        </w:rPr>
        <w:t>years</w:t>
      </w:r>
      <w:r w:rsidR="00B216BB">
        <w:rPr>
          <w:lang w:val="en-US"/>
        </w:rPr>
        <w:t>’</w:t>
      </w:r>
      <w:r w:rsidRPr="009D7729">
        <w:rPr>
          <w:lang w:val="en-US"/>
        </w:rPr>
        <w:t xml:space="preserve"> imprisonment</w:t>
      </w:r>
      <w:r w:rsidR="00B216BB">
        <w:rPr>
          <w:lang w:val="en-US"/>
        </w:rPr>
        <w:t>,</w:t>
      </w:r>
      <w:r w:rsidRPr="009D7729">
        <w:rPr>
          <w:lang w:val="en-US"/>
        </w:rPr>
        <w:t xml:space="preserve"> and </w:t>
      </w:r>
      <w:r w:rsidRPr="009D7729">
        <w:rPr>
          <w:bCs/>
          <w:lang w:val="en-US"/>
        </w:rPr>
        <w:t>20 years</w:t>
      </w:r>
      <w:r w:rsidR="00B216BB">
        <w:rPr>
          <w:bCs/>
          <w:lang w:val="en-US"/>
        </w:rPr>
        <w:t>’</w:t>
      </w:r>
      <w:r w:rsidRPr="009D7729">
        <w:rPr>
          <w:bCs/>
          <w:lang w:val="en-US"/>
        </w:rPr>
        <w:t xml:space="preserve"> imprisonment if the victim is a minor</w:t>
      </w:r>
      <w:r w:rsidRPr="009D7729">
        <w:rPr>
          <w:lang w:val="en-US"/>
        </w:rPr>
        <w:t xml:space="preserve">. For the purposes of this provision, </w:t>
      </w:r>
      <w:r w:rsidR="009F3265">
        <w:t>“</w:t>
      </w:r>
      <w:r w:rsidRPr="009D7729">
        <w:t>slavery</w:t>
      </w:r>
      <w:r w:rsidR="009F3265">
        <w:t>”</w:t>
      </w:r>
      <w:r w:rsidRPr="009D7729">
        <w:t xml:space="preserve"> means a situation under which powers generally exercised towards property are exercised over a person; substantive control over the life of a person or denial of his/her liberty are deemed to be such an exercise of power.</w:t>
      </w:r>
    </w:p>
    <w:p w:rsidR="006C72E1" w:rsidRPr="009D7729" w:rsidRDefault="006C72E1" w:rsidP="006D3B18">
      <w:pPr>
        <w:pStyle w:val="SingleTxtG"/>
        <w:numPr>
          <w:ilvl w:val="0"/>
          <w:numId w:val="12"/>
        </w:numPr>
        <w:ind w:left="1134" w:firstLine="0"/>
        <w:rPr>
          <w:lang w:val="en-US"/>
        </w:rPr>
      </w:pPr>
      <w:r w:rsidRPr="009D7729">
        <w:rPr>
          <w:iCs/>
          <w:lang w:val="en-US"/>
        </w:rPr>
        <w:t>Forced Labor</w:t>
      </w:r>
      <w:r w:rsidR="009F3265">
        <w:rPr>
          <w:lang w:val="en-US"/>
        </w:rPr>
        <w:t xml:space="preserve"> –</w:t>
      </w:r>
      <w:r w:rsidRPr="009D7729">
        <w:rPr>
          <w:lang w:val="en-US"/>
        </w:rPr>
        <w:t xml:space="preserve"> This offense is set in </w:t>
      </w:r>
      <w:r w:rsidR="001A574A">
        <w:rPr>
          <w:lang w:val="en-US"/>
        </w:rPr>
        <w:t>Section </w:t>
      </w:r>
      <w:r w:rsidRPr="009D7729">
        <w:rPr>
          <w:lang w:val="en-US"/>
        </w:rPr>
        <w:t xml:space="preserve">376 of the Penal Law. According to this Section, </w:t>
      </w:r>
      <w:r w:rsidRPr="009D7729">
        <w:t>a person who unlawfully forces a person to work, by using force or other means of pressure or by threat of one of these, or by consent elicited by means of fraud, whether or not for consideration, shall be liable to seven years</w:t>
      </w:r>
      <w:r w:rsidR="00B216BB">
        <w:t>’</w:t>
      </w:r>
      <w:r w:rsidRPr="009D7729">
        <w:t xml:space="preserve"> imprisonment. </w:t>
      </w:r>
    </w:p>
    <w:p w:rsidR="006C72E1" w:rsidRPr="00C0021D" w:rsidRDefault="006C72E1" w:rsidP="006D3B18">
      <w:pPr>
        <w:pStyle w:val="SingleTxtG"/>
        <w:numPr>
          <w:ilvl w:val="0"/>
          <w:numId w:val="12"/>
        </w:numPr>
        <w:ind w:left="1134" w:firstLine="0"/>
        <w:rPr>
          <w:lang w:val="en-US"/>
        </w:rPr>
      </w:pPr>
      <w:r w:rsidRPr="009D7729">
        <w:rPr>
          <w:iCs/>
          <w:lang w:val="en-US"/>
        </w:rPr>
        <w:t xml:space="preserve">Causing a Person to Leave </w:t>
      </w:r>
      <w:proofErr w:type="spellStart"/>
      <w:r w:rsidRPr="009D7729">
        <w:rPr>
          <w:iCs/>
          <w:lang w:val="en-US"/>
        </w:rPr>
        <w:t>Her/His</w:t>
      </w:r>
      <w:proofErr w:type="spellEnd"/>
      <w:r w:rsidRPr="009D7729">
        <w:rPr>
          <w:iCs/>
          <w:lang w:val="en-US"/>
        </w:rPr>
        <w:t xml:space="preserve"> </w:t>
      </w:r>
      <w:r w:rsidRPr="009D7729">
        <w:rPr>
          <w:iCs/>
        </w:rPr>
        <w:t>State</w:t>
      </w:r>
      <w:r w:rsidRPr="009D7729">
        <w:rPr>
          <w:iCs/>
          <w:lang w:val="en-US"/>
        </w:rPr>
        <w:t xml:space="preserve"> for Purposes of Prostitution or Slavery</w:t>
      </w:r>
      <w:r w:rsidRPr="009D7729">
        <w:rPr>
          <w:lang w:val="en-US"/>
        </w:rPr>
        <w:t xml:space="preserve"> – This offense is set in </w:t>
      </w:r>
      <w:r w:rsidR="001A574A">
        <w:rPr>
          <w:lang w:val="en-US"/>
        </w:rPr>
        <w:t>Section </w:t>
      </w:r>
      <w:r w:rsidRPr="009D7729">
        <w:rPr>
          <w:lang w:val="en-US"/>
        </w:rPr>
        <w:t>376B of the Penal Law, and carries a maximum penalty of ten years</w:t>
      </w:r>
      <w:r w:rsidR="00B216BB">
        <w:rPr>
          <w:lang w:val="en-US"/>
        </w:rPr>
        <w:t>’</w:t>
      </w:r>
      <w:r w:rsidRPr="009D7729">
        <w:rPr>
          <w:lang w:val="en-US"/>
        </w:rPr>
        <w:t xml:space="preserve"> imprisonment</w:t>
      </w:r>
      <w:r w:rsidR="00B216BB">
        <w:rPr>
          <w:lang w:val="en-US"/>
        </w:rPr>
        <w:t>,</w:t>
      </w:r>
      <w:r w:rsidRPr="009D7729">
        <w:rPr>
          <w:lang w:val="en-US"/>
        </w:rPr>
        <w:t xml:space="preserve"> and </w:t>
      </w:r>
      <w:r w:rsidRPr="009D7729">
        <w:rPr>
          <w:bCs/>
          <w:lang w:val="en-US"/>
        </w:rPr>
        <w:t>15 years</w:t>
      </w:r>
      <w:r w:rsidR="00B216BB">
        <w:rPr>
          <w:bCs/>
          <w:lang w:val="en-US"/>
        </w:rPr>
        <w:t>’</w:t>
      </w:r>
      <w:r w:rsidRPr="009D7729">
        <w:rPr>
          <w:bCs/>
          <w:lang w:val="en-US"/>
        </w:rPr>
        <w:t xml:space="preserve"> imprisonment if the victim is a minor.</w:t>
      </w:r>
      <w:r w:rsidRPr="009D7729">
        <w:rPr>
          <w:lang w:val="en-US"/>
        </w:rPr>
        <w:t xml:space="preserve"> The element</w:t>
      </w:r>
      <w:r w:rsidR="00D71D10" w:rsidRPr="009D7729">
        <w:rPr>
          <w:lang w:val="en-US"/>
        </w:rPr>
        <w:t xml:space="preserve">s of </w:t>
      </w:r>
      <w:r w:rsidR="00D71D10" w:rsidRPr="00B216BB">
        <w:rPr>
          <w:lang w:val="en-US"/>
        </w:rPr>
        <w:t>this crime are as follows:</w:t>
      </w:r>
    </w:p>
    <w:p w:rsidR="006C72E1" w:rsidRPr="00C0021D" w:rsidRDefault="008A1611" w:rsidP="00B216BB">
      <w:pPr>
        <w:pStyle w:val="SingleTxtG"/>
        <w:ind w:firstLine="567"/>
        <w:rPr>
          <w:lang w:val="en-US"/>
        </w:rPr>
      </w:pPr>
      <w:r w:rsidRPr="00B43698">
        <w:rPr>
          <w:lang w:val="en-US"/>
        </w:rPr>
        <w:t>(a)</w:t>
      </w:r>
      <w:r w:rsidRPr="00B216BB">
        <w:rPr>
          <w:lang w:val="en-US"/>
        </w:rPr>
        <w:tab/>
      </w:r>
      <w:r w:rsidR="006C72E1" w:rsidRPr="00C0021D">
        <w:rPr>
          <w:lang w:val="en-US"/>
        </w:rPr>
        <w:t xml:space="preserve">Causing a person to leave the </w:t>
      </w:r>
      <w:r w:rsidR="00B216BB" w:rsidRPr="00C0021D">
        <w:t>S</w:t>
      </w:r>
      <w:r w:rsidR="006C72E1" w:rsidRPr="00C0021D">
        <w:t>tate</w:t>
      </w:r>
      <w:r w:rsidR="00D71D10" w:rsidRPr="00C0021D">
        <w:rPr>
          <w:lang w:val="en-US"/>
        </w:rPr>
        <w:t xml:space="preserve"> in which she/he resides;</w:t>
      </w:r>
    </w:p>
    <w:p w:rsidR="006C72E1" w:rsidRPr="004743CA" w:rsidRDefault="008A1611" w:rsidP="008A1611">
      <w:pPr>
        <w:pStyle w:val="SingleTxtG"/>
        <w:ind w:firstLine="567"/>
        <w:rPr>
          <w:lang w:val="en-US"/>
        </w:rPr>
      </w:pPr>
      <w:r w:rsidRPr="00B43698">
        <w:rPr>
          <w:lang w:val="en-US"/>
        </w:rPr>
        <w:t>(b)</w:t>
      </w:r>
      <w:r w:rsidRPr="00B216BB">
        <w:rPr>
          <w:lang w:val="en-US"/>
        </w:rPr>
        <w:tab/>
      </w:r>
      <w:r w:rsidR="006C72E1" w:rsidRPr="00C0021D">
        <w:rPr>
          <w:lang w:val="en-US"/>
        </w:rPr>
        <w:t>For the purpose of employing the person in prostitution or holding her/him under conditions of slavery.</w:t>
      </w:r>
    </w:p>
    <w:p w:rsidR="006C72E1" w:rsidRPr="004743CA" w:rsidRDefault="006C72E1" w:rsidP="006D3B18">
      <w:pPr>
        <w:pStyle w:val="SingleTxtG"/>
        <w:numPr>
          <w:ilvl w:val="0"/>
          <w:numId w:val="12"/>
        </w:numPr>
        <w:ind w:left="1134" w:firstLine="0"/>
      </w:pPr>
      <w:r>
        <w:t xml:space="preserve">The </w:t>
      </w:r>
      <w:r w:rsidRPr="004743CA">
        <w:t xml:space="preserve">Israeli legislator </w:t>
      </w:r>
      <w:r>
        <w:t>views</w:t>
      </w:r>
      <w:r w:rsidRPr="004743CA">
        <w:t xml:space="preserve"> trafficking offenses</w:t>
      </w:r>
      <w:r>
        <w:t xml:space="preserve"> as very grave</w:t>
      </w:r>
      <w:r w:rsidRPr="004743CA">
        <w:t xml:space="preserve">. For that reason, a </w:t>
      </w:r>
      <w:r>
        <w:t xml:space="preserve">high </w:t>
      </w:r>
      <w:r w:rsidRPr="004743CA">
        <w:t>minim</w:t>
      </w:r>
      <w:r>
        <w:t>um</w:t>
      </w:r>
      <w:r w:rsidRPr="004743CA">
        <w:t xml:space="preserve"> punishment has been set for the offense of </w:t>
      </w:r>
      <w:r>
        <w:t>h</w:t>
      </w:r>
      <w:r w:rsidRPr="004743CA">
        <w:t xml:space="preserve">olding a </w:t>
      </w:r>
      <w:r>
        <w:t>p</w:t>
      </w:r>
      <w:r w:rsidRPr="004743CA">
        <w:t xml:space="preserve">erson under </w:t>
      </w:r>
      <w:r>
        <w:t>c</w:t>
      </w:r>
      <w:r w:rsidRPr="004743CA">
        <w:t xml:space="preserve">onditions of </w:t>
      </w:r>
      <w:r>
        <w:t>s</w:t>
      </w:r>
      <w:r w:rsidRPr="004743CA">
        <w:t xml:space="preserve">lavery and </w:t>
      </w:r>
      <w:r>
        <w:t>t</w:t>
      </w:r>
      <w:r w:rsidRPr="004743CA">
        <w:t xml:space="preserve">rafficking in </w:t>
      </w:r>
      <w:r>
        <w:t>p</w:t>
      </w:r>
      <w:r w:rsidRPr="004743CA">
        <w:t xml:space="preserve">ersons. According to </w:t>
      </w:r>
      <w:r w:rsidR="001A574A">
        <w:t>Section </w:t>
      </w:r>
      <w:r w:rsidRPr="004743CA">
        <w:rPr>
          <w:szCs w:val="24"/>
        </w:rPr>
        <w:t xml:space="preserve">377B </w:t>
      </w:r>
      <w:r>
        <w:rPr>
          <w:szCs w:val="24"/>
        </w:rPr>
        <w:t xml:space="preserve">of the </w:t>
      </w:r>
      <w:r w:rsidRPr="00D54DC8">
        <w:rPr>
          <w:iCs/>
          <w:szCs w:val="24"/>
        </w:rPr>
        <w:t>Penal Law,</w:t>
      </w:r>
      <w:r w:rsidRPr="004743CA">
        <w:rPr>
          <w:szCs w:val="24"/>
        </w:rPr>
        <w:t xml:space="preserve"> </w:t>
      </w:r>
      <w:r w:rsidRPr="004743CA">
        <w:t xml:space="preserve">where a person is convicted of an offense </w:t>
      </w:r>
      <w:r>
        <w:t>under</w:t>
      </w:r>
      <w:r w:rsidRPr="004743CA">
        <w:t xml:space="preserve"> </w:t>
      </w:r>
      <w:r>
        <w:t>S</w:t>
      </w:r>
      <w:r w:rsidRPr="004743CA">
        <w:t>ection</w:t>
      </w:r>
      <w:r>
        <w:t>s</w:t>
      </w:r>
      <w:r w:rsidR="001A574A">
        <w:t> </w:t>
      </w:r>
      <w:r w:rsidRPr="004743CA">
        <w:t xml:space="preserve">375A </w:t>
      </w:r>
      <w:r>
        <w:t xml:space="preserve">(holding a person under conditions of slavery) </w:t>
      </w:r>
      <w:r w:rsidRPr="004743CA">
        <w:t>or 377A</w:t>
      </w:r>
      <w:r>
        <w:t xml:space="preserve"> (trafficking)</w:t>
      </w:r>
      <w:r w:rsidRPr="004743CA">
        <w:t xml:space="preserve">, the sentence imposed shall not be less than one-quarter of the maximum sentence set forth for the said offense, unless the court has decided, for special reasons that shall be recorded, to impose a more lenient sentence. Moreover, a sentence of imprisonment, as mentioned above, shall not be wholly suspended, if there are no special reasons. </w:t>
      </w:r>
    </w:p>
    <w:p w:rsidR="006C72E1" w:rsidRPr="009D7729" w:rsidRDefault="006C72E1" w:rsidP="00C0021D">
      <w:pPr>
        <w:pStyle w:val="SingleTxtG"/>
        <w:numPr>
          <w:ilvl w:val="0"/>
          <w:numId w:val="12"/>
        </w:numPr>
        <w:ind w:left="1134" w:firstLine="0"/>
      </w:pPr>
      <w:r w:rsidRPr="009D7729">
        <w:t xml:space="preserve">Additionally, the </w:t>
      </w:r>
      <w:r w:rsidRPr="00D54DC8">
        <w:rPr>
          <w:iCs/>
        </w:rPr>
        <w:t>Penal Law</w:t>
      </w:r>
      <w:r w:rsidRPr="009D7729">
        <w:t xml:space="preserve"> includes offenses that may assist law enforcement authorities in addressing trafficking in children, </w:t>
      </w:r>
      <w:r w:rsidRPr="009D7729">
        <w:rPr>
          <w:bCs/>
        </w:rPr>
        <w:t>which are often, though not necessarily, related to trafficking but do not constitute trafficking per se. These include crimes such as pandering and charging excessive brokerage fees</w:t>
      </w:r>
      <w:r w:rsidRPr="009D7729">
        <w:t xml:space="preserve">. Another example is the prohibition </w:t>
      </w:r>
      <w:r w:rsidR="00C0021D">
        <w:t>on detaining</w:t>
      </w:r>
      <w:r w:rsidRPr="009D7729">
        <w:t xml:space="preserve"> a passport (</w:t>
      </w:r>
      <w:r w:rsidR="001A574A">
        <w:t>Section </w:t>
      </w:r>
      <w:r w:rsidRPr="009D7729">
        <w:t xml:space="preserve">376A of the </w:t>
      </w:r>
      <w:r w:rsidRPr="00D54DC8">
        <w:rPr>
          <w:iCs/>
        </w:rPr>
        <w:t>Penal Law</w:t>
      </w:r>
      <w:r w:rsidR="005F6EE6">
        <w:t xml:space="preserve"> –</w:t>
      </w:r>
      <w:r w:rsidRPr="009D7729">
        <w:t xml:space="preserve"> three years</w:t>
      </w:r>
      <w:r w:rsidR="00C0021D">
        <w:t>’</w:t>
      </w:r>
      <w:r w:rsidRPr="009D7729">
        <w:t xml:space="preserve"> imprisonment), which is a common practice used by offenders to maintain control over victims and prevent their escape. If the offender detains a passport for one of the purposes set forth in </w:t>
      </w:r>
      <w:r w:rsidR="001A574A">
        <w:t>Section </w:t>
      </w:r>
      <w:r w:rsidRPr="009D7729">
        <w:t xml:space="preserve">377A of the </w:t>
      </w:r>
      <w:r w:rsidRPr="00D54DC8">
        <w:rPr>
          <w:iCs/>
        </w:rPr>
        <w:t>Penal Law</w:t>
      </w:r>
      <w:r w:rsidRPr="009D7729">
        <w:t xml:space="preserve"> or by so doing </w:t>
      </w:r>
      <w:r w:rsidRPr="009D7729">
        <w:rPr>
          <w:lang w:val="en-US"/>
        </w:rPr>
        <w:t xml:space="preserve">places the person in one of the dangers set forth in the said section, </w:t>
      </w:r>
      <w:r w:rsidRPr="009D7729">
        <w:t>the offender is liable to five years</w:t>
      </w:r>
      <w:r w:rsidR="00C0021D">
        <w:t>’</w:t>
      </w:r>
      <w:r w:rsidRPr="009D7729">
        <w:t xml:space="preserve"> imprisonment.</w:t>
      </w:r>
      <w:r w:rsidR="00CD3B50">
        <w:t xml:space="preserve"> </w:t>
      </w:r>
    </w:p>
    <w:p w:rsidR="006C72E1" w:rsidRPr="00B340AC" w:rsidRDefault="006C72E1" w:rsidP="006D3B18">
      <w:pPr>
        <w:pStyle w:val="SingleTxtG"/>
        <w:numPr>
          <w:ilvl w:val="0"/>
          <w:numId w:val="12"/>
        </w:numPr>
        <w:ind w:left="1134" w:firstLine="0"/>
      </w:pPr>
      <w:r w:rsidRPr="00D3193A">
        <w:t>The Penal Law also includes other offenses that impose duties and criminal liability on parents, legal guardians of minors or other persons responsible for minors, inter</w:t>
      </w:r>
      <w:r w:rsidRPr="00BF5123">
        <w:t xml:space="preserve"> alia, to protect minors and to narrow the risk of them becoming victi</w:t>
      </w:r>
      <w:r w:rsidR="00382BF1" w:rsidRPr="002E0DDB">
        <w:t>ms of trafficking. For example:</w:t>
      </w:r>
    </w:p>
    <w:p w:rsidR="006C72E1" w:rsidRPr="0077256F" w:rsidRDefault="00FB6045" w:rsidP="00FB6045">
      <w:pPr>
        <w:pStyle w:val="SingleTxtG"/>
        <w:ind w:firstLine="567"/>
      </w:pPr>
      <w:r w:rsidRPr="00B43698">
        <w:t>(a)</w:t>
      </w:r>
      <w:r w:rsidRPr="00D3193A">
        <w:tab/>
      </w:r>
      <w:r w:rsidR="006C72E1" w:rsidRPr="00D3193A">
        <w:t>A person that leaves a child under six years of age without proper supervision, and in doing so endangers the life of the child or risks harming his/h</w:t>
      </w:r>
      <w:r w:rsidR="006C72E1" w:rsidRPr="00BF5123">
        <w:t>er health or well-being, is liable to three years</w:t>
      </w:r>
      <w:r w:rsidR="00C0021D" w:rsidRPr="002E0DDB">
        <w:t>’</w:t>
      </w:r>
      <w:r w:rsidR="006C72E1" w:rsidRPr="00B340AC">
        <w:t xml:space="preserve"> imprisonment; if it was done out of neglect, that person is liable to one year </w:t>
      </w:r>
      <w:r w:rsidR="00C0021D" w:rsidRPr="00306596">
        <w:t xml:space="preserve">of </w:t>
      </w:r>
      <w:r w:rsidR="006C72E1" w:rsidRPr="002F4174">
        <w:t>imprisonment; and if it was done with the intent to desert the child, then that person is liable to five years</w:t>
      </w:r>
      <w:r w:rsidR="00C0021D" w:rsidRPr="000554F5">
        <w:t>’</w:t>
      </w:r>
      <w:r w:rsidR="006C72E1" w:rsidRPr="00184F0A">
        <w:t xml:space="preserve"> imprisonment (</w:t>
      </w:r>
      <w:r w:rsidR="001A574A" w:rsidRPr="00CF6BA2">
        <w:t>Section </w:t>
      </w:r>
      <w:r w:rsidR="006C72E1" w:rsidRPr="00FC1D36">
        <w:t>361 of the Penal Law</w:t>
      </w:r>
      <w:r w:rsidR="00D94144" w:rsidRPr="006A2A41">
        <w:t>);</w:t>
      </w:r>
    </w:p>
    <w:p w:rsidR="006C72E1" w:rsidRPr="00306596" w:rsidRDefault="00FB6045" w:rsidP="00FB6045">
      <w:pPr>
        <w:pStyle w:val="SingleTxtG"/>
        <w:ind w:firstLine="567"/>
      </w:pPr>
      <w:r w:rsidRPr="00B43698">
        <w:t>(b)</w:t>
      </w:r>
      <w:r w:rsidRPr="00D3193A">
        <w:tab/>
      </w:r>
      <w:r w:rsidR="006C72E1" w:rsidRPr="00D3193A">
        <w:t>Offering or giving remuneration for permission to have charge of a minor under 14 years old and asking for or receiving remuneration for permission to have charge of a minor as aforesaid, is an offense punishable by three y</w:t>
      </w:r>
      <w:r w:rsidR="006C72E1" w:rsidRPr="00BF5123">
        <w:t>ears of imprisonment, irrespective of whether the remuneration was in cash or in kind (</w:t>
      </w:r>
      <w:r w:rsidR="001A574A" w:rsidRPr="002E0DDB">
        <w:t>Section </w:t>
      </w:r>
      <w:r w:rsidR="00D94144" w:rsidRPr="00B340AC">
        <w:t>364 of the Penal Law);</w:t>
      </w:r>
    </w:p>
    <w:p w:rsidR="006C72E1" w:rsidRPr="00184F0A" w:rsidRDefault="00FB6045" w:rsidP="00FB6045">
      <w:pPr>
        <w:pStyle w:val="SingleTxtG"/>
        <w:ind w:firstLine="567"/>
      </w:pPr>
      <w:r w:rsidRPr="00B43698">
        <w:t>(c)</w:t>
      </w:r>
      <w:r w:rsidRPr="00D3193A">
        <w:tab/>
      </w:r>
      <w:r w:rsidR="006C72E1" w:rsidRPr="00D3193A">
        <w:t>A parent or legal guardian of a minor under the age of 14 who delivers or allows to deliver the minor to a person who is not his/her p</w:t>
      </w:r>
      <w:r w:rsidR="006C72E1" w:rsidRPr="00BF5123">
        <w:t>arent or his/her legal guardian, while renouncing his/her duties or his/her rights towards the minor, is liable to two years</w:t>
      </w:r>
      <w:r w:rsidR="00C0021D" w:rsidRPr="002E0DDB">
        <w:t>’</w:t>
      </w:r>
      <w:r w:rsidR="006C72E1" w:rsidRPr="00B340AC">
        <w:t xml:space="preserve"> imprisonment (</w:t>
      </w:r>
      <w:r w:rsidR="001A574A" w:rsidRPr="00306596">
        <w:t>Section </w:t>
      </w:r>
      <w:r w:rsidR="006C72E1" w:rsidRPr="002F4174">
        <w:t>365 of the Penal Law</w:t>
      </w:r>
      <w:r w:rsidR="00D94144" w:rsidRPr="000554F5">
        <w:t>);</w:t>
      </w:r>
    </w:p>
    <w:p w:rsidR="006C72E1" w:rsidRDefault="00FB6045" w:rsidP="00FB6045">
      <w:pPr>
        <w:pStyle w:val="SingleTxtG"/>
        <w:ind w:firstLine="567"/>
      </w:pPr>
      <w:r w:rsidRPr="00B43698">
        <w:t>(d)</w:t>
      </w:r>
      <w:r w:rsidRPr="00D3193A">
        <w:tab/>
      </w:r>
      <w:r w:rsidR="006C72E1" w:rsidRPr="00D3193A">
        <w:t>Taking away or detaining by fraud, force, or enticement a minor under the age of 1</w:t>
      </w:r>
      <w:r w:rsidR="006C72E1" w:rsidRPr="00BF5123">
        <w:t>4 from his/her parent or legal guardian with the intent of depriving the parent or legal guardian from custody over the minor is an offense punishable by seven years</w:t>
      </w:r>
      <w:r w:rsidR="00C0021D" w:rsidRPr="002E0DDB">
        <w:t>’</w:t>
      </w:r>
      <w:r w:rsidR="006C72E1" w:rsidRPr="00B340AC">
        <w:t xml:space="preserve"> imprisonment, unless the defendant proves that he/she has a bona fide claim to a right of </w:t>
      </w:r>
      <w:r w:rsidR="006C72E1" w:rsidRPr="00306596">
        <w:t>custody (</w:t>
      </w:r>
      <w:r w:rsidR="001A574A" w:rsidRPr="002F4174">
        <w:t>Section </w:t>
      </w:r>
      <w:r w:rsidR="006C72E1" w:rsidRPr="000554F5">
        <w:t>367 of the Penal Law).</w:t>
      </w:r>
    </w:p>
    <w:p w:rsidR="006C72E1" w:rsidRPr="002D2C27" w:rsidRDefault="008B3FE2" w:rsidP="002C0C4A">
      <w:pPr>
        <w:pStyle w:val="H1G"/>
        <w:rPr>
          <w:lang w:val="en-US"/>
        </w:rPr>
      </w:pPr>
      <w:r>
        <w:rPr>
          <w:lang w:val="en-US"/>
        </w:rPr>
        <w:tab/>
      </w:r>
      <w:r w:rsidR="001E2615">
        <w:rPr>
          <w:lang w:val="en-US"/>
        </w:rPr>
        <w:tab/>
      </w:r>
      <w:r w:rsidR="006C72E1" w:rsidRPr="002C0C4A">
        <w:t>Child</w:t>
      </w:r>
      <w:r w:rsidR="006C72E1">
        <w:rPr>
          <w:lang w:val="en-US"/>
        </w:rPr>
        <w:t xml:space="preserve"> </w:t>
      </w:r>
      <w:r w:rsidR="002C0C4A">
        <w:rPr>
          <w:lang w:val="en-US"/>
        </w:rPr>
        <w:t>prostitution</w:t>
      </w:r>
    </w:p>
    <w:p w:rsidR="006C72E1" w:rsidRPr="00436730" w:rsidRDefault="006C72E1" w:rsidP="00C0021D">
      <w:pPr>
        <w:pStyle w:val="SingleTxtG"/>
        <w:numPr>
          <w:ilvl w:val="0"/>
          <w:numId w:val="12"/>
        </w:numPr>
        <w:ind w:left="1134" w:firstLine="0"/>
      </w:pPr>
      <w:r w:rsidRPr="00436730">
        <w:t>Israeli legislat</w:t>
      </w:r>
      <w:r>
        <w:t>i</w:t>
      </w:r>
      <w:r w:rsidRPr="00436730">
        <w:t>o</w:t>
      </w:r>
      <w:r>
        <w:t>n</w:t>
      </w:r>
      <w:r w:rsidRPr="00436730">
        <w:t xml:space="preserve"> addresse</w:t>
      </w:r>
      <w:r>
        <w:t>s</w:t>
      </w:r>
      <w:r w:rsidRPr="00436730">
        <w:t xml:space="preserve"> the </w:t>
      </w:r>
      <w:r>
        <w:t xml:space="preserve">criminal aspects of </w:t>
      </w:r>
      <w:r w:rsidRPr="00436730">
        <w:t xml:space="preserve">prostitution by </w:t>
      </w:r>
      <w:r>
        <w:t xml:space="preserve">criminalizing </w:t>
      </w:r>
      <w:r w:rsidRPr="00436730">
        <w:t>the various range</w:t>
      </w:r>
      <w:r>
        <w:t>s of conduct</w:t>
      </w:r>
      <w:r w:rsidRPr="00436730">
        <w:t xml:space="preserve"> </w:t>
      </w:r>
      <w:r>
        <w:t>of those involved in</w:t>
      </w:r>
      <w:r w:rsidRPr="00436730">
        <w:t xml:space="preserve"> the prostitution industry</w:t>
      </w:r>
      <w:r>
        <w:t xml:space="preserve">, from pandering to inducing prostitution to holding or renting a place for prostitution to publishing prostitution services. This is the case </w:t>
      </w:r>
      <w:r w:rsidR="00C0021D">
        <w:t>both for</w:t>
      </w:r>
      <w:r>
        <w:t xml:space="preserve"> prostitution generally and </w:t>
      </w:r>
      <w:r w:rsidR="00C0021D">
        <w:t xml:space="preserve">for </w:t>
      </w:r>
      <w:r>
        <w:t xml:space="preserve">child prostitution specifically. </w:t>
      </w:r>
      <w:r w:rsidRPr="00436730">
        <w:t xml:space="preserve">Thus, all actions supporting or sustaining the prostitution industry </w:t>
      </w:r>
      <w:r>
        <w:t>are</w:t>
      </w:r>
      <w:r w:rsidRPr="00436730">
        <w:t xml:space="preserve"> prohibited</w:t>
      </w:r>
      <w:r>
        <w:t>, signalling the State</w:t>
      </w:r>
      <w:r w:rsidR="00C05EBD">
        <w:rPr>
          <w:rFonts w:hint="eastAsia"/>
        </w:rPr>
        <w:t>’</w:t>
      </w:r>
      <w:r>
        <w:t>s efforts to</w:t>
      </w:r>
      <w:r w:rsidRPr="00436730">
        <w:t xml:space="preserve"> minimize </w:t>
      </w:r>
      <w:r>
        <w:t xml:space="preserve">this </w:t>
      </w:r>
      <w:r w:rsidRPr="00436730">
        <w:t xml:space="preserve">phenomenon. </w:t>
      </w:r>
      <w:r>
        <w:t xml:space="preserve">Furthermore, the </w:t>
      </w:r>
      <w:r w:rsidRPr="00D54DC8">
        <w:t>Penal Law</w:t>
      </w:r>
      <w:r>
        <w:t xml:space="preserve"> imposes stricter penalties when child prostitution is involved, as detailed below.</w:t>
      </w:r>
    </w:p>
    <w:p w:rsidR="006C72E1" w:rsidRPr="00436730" w:rsidRDefault="006C72E1" w:rsidP="006D3B18">
      <w:pPr>
        <w:pStyle w:val="SingleTxtG"/>
        <w:numPr>
          <w:ilvl w:val="0"/>
          <w:numId w:val="12"/>
        </w:numPr>
        <w:ind w:left="1134" w:firstLine="0"/>
      </w:pPr>
      <w:r>
        <w:t>Specifically</w:t>
      </w:r>
      <w:r w:rsidRPr="00436730">
        <w:t xml:space="preserve">, the </w:t>
      </w:r>
      <w:r w:rsidRPr="00D54DC8">
        <w:t>Penal Law</w:t>
      </w:r>
      <w:r w:rsidRPr="00436730">
        <w:t xml:space="preserve"> </w:t>
      </w:r>
      <w:r>
        <w:t>states</w:t>
      </w:r>
      <w:r w:rsidRPr="00436730">
        <w:t xml:space="preserve"> that a person who fully or partially, permanently or for any period of time, lives on the earnings of a person engaged in prostitution or who knowingly receives something that was given for a person</w:t>
      </w:r>
      <w:r w:rsidR="00C05EBD">
        <w:rPr>
          <w:rFonts w:hint="eastAsia"/>
        </w:rPr>
        <w:t>’</w:t>
      </w:r>
      <w:r w:rsidRPr="00436730">
        <w:t>s act of prostitution</w:t>
      </w:r>
      <w:r>
        <w:t xml:space="preserve"> (or </w:t>
      </w:r>
      <w:r w:rsidRPr="00436730">
        <w:t xml:space="preserve">part </w:t>
      </w:r>
      <w:r>
        <w:t>there</w:t>
      </w:r>
      <w:r w:rsidRPr="00436730">
        <w:t>of</w:t>
      </w:r>
      <w:r>
        <w:t>)</w:t>
      </w:r>
      <w:r w:rsidRPr="00436730">
        <w:rPr>
          <w:rFonts w:ascii="Arial" w:hAnsi="Arial" w:cs="Arial"/>
        </w:rPr>
        <w:t xml:space="preserve"> </w:t>
      </w:r>
      <w:r>
        <w:t>is</w:t>
      </w:r>
      <w:r w:rsidRPr="00436730">
        <w:t xml:space="preserve"> liable to five years</w:t>
      </w:r>
      <w:r w:rsidR="00C0021D">
        <w:t>’</w:t>
      </w:r>
      <w:r w:rsidRPr="00436730">
        <w:t xml:space="preserve"> imprisonment (</w:t>
      </w:r>
      <w:r w:rsidR="001A574A">
        <w:t>Section </w:t>
      </w:r>
      <w:r w:rsidRPr="00436730">
        <w:t xml:space="preserve">199 </w:t>
      </w:r>
      <w:r>
        <w:t>of</w:t>
      </w:r>
      <w:r w:rsidRPr="00436730">
        <w:t xml:space="preserve"> the </w:t>
      </w:r>
      <w:r w:rsidRPr="00D54DC8">
        <w:t>Penal Law</w:t>
      </w:r>
      <w:r w:rsidRPr="00436730">
        <w:t xml:space="preserve">). </w:t>
      </w:r>
      <w:r>
        <w:t>Where the person engaged in prostitution is the offender</w:t>
      </w:r>
      <w:r w:rsidR="00C05EBD">
        <w:rPr>
          <w:rFonts w:hint="eastAsia"/>
        </w:rPr>
        <w:t>’</w:t>
      </w:r>
      <w:r>
        <w:t xml:space="preserve">s </w:t>
      </w:r>
      <w:r w:rsidRPr="00436730">
        <w:t xml:space="preserve">spouse, child or stepchild, or </w:t>
      </w:r>
      <w:r>
        <w:t xml:space="preserve">the offense was </w:t>
      </w:r>
      <w:r w:rsidRPr="00436730">
        <w:t xml:space="preserve">committed by exploiting a relationship of authority, dependence, education or supervision, then </w:t>
      </w:r>
      <w:r>
        <w:t xml:space="preserve">the maximum imprisonment term is </w:t>
      </w:r>
      <w:r w:rsidRPr="00436730">
        <w:t>seven years (</w:t>
      </w:r>
      <w:r w:rsidR="001A574A">
        <w:t>Section </w:t>
      </w:r>
      <w:r w:rsidRPr="00436730">
        <w:t xml:space="preserve">199(b) </w:t>
      </w:r>
      <w:r>
        <w:t>of</w:t>
      </w:r>
      <w:r w:rsidRPr="00436730">
        <w:t xml:space="preserve"> the </w:t>
      </w:r>
      <w:r w:rsidRPr="00D54DC8">
        <w:t>Penal Law</w:t>
      </w:r>
      <w:r w:rsidRPr="00436730">
        <w:t>). For the purposes of this offen</w:t>
      </w:r>
      <w:r>
        <w:t>s</w:t>
      </w:r>
      <w:r w:rsidRPr="00436730">
        <w:t>e, it is immaterial whether the offender received money, valuable consideration, a service or some other benefit</w:t>
      </w:r>
      <w:r>
        <w:t xml:space="preserve">, </w:t>
      </w:r>
      <w:r w:rsidRPr="00436730">
        <w:t xml:space="preserve">whether he/she received it from a person who engages in prostitution or from some other person </w:t>
      </w:r>
      <w:r>
        <w:t>and</w:t>
      </w:r>
      <w:r w:rsidRPr="00436730">
        <w:t xml:space="preserve"> whether he/she receives what was given for an act of prostitution or </w:t>
      </w:r>
      <w:r>
        <w:t xml:space="preserve">as </w:t>
      </w:r>
      <w:r w:rsidRPr="00436730">
        <w:t>a substitute for what was so given (</w:t>
      </w:r>
      <w:r w:rsidR="001A574A">
        <w:t>Section </w:t>
      </w:r>
      <w:r w:rsidRPr="00436730">
        <w:t xml:space="preserve">199(c) </w:t>
      </w:r>
      <w:r>
        <w:t>of</w:t>
      </w:r>
      <w:r w:rsidRPr="00436730">
        <w:t xml:space="preserve"> the </w:t>
      </w:r>
      <w:r w:rsidRPr="00D54DC8">
        <w:t>Penal Law</w:t>
      </w:r>
      <w:r w:rsidRPr="00436730">
        <w:t xml:space="preserve">). If a </w:t>
      </w:r>
      <w:r>
        <w:t>man</w:t>
      </w:r>
      <w:r w:rsidRPr="00436730">
        <w:t xml:space="preserve"> lives with a prostitute or regularly </w:t>
      </w:r>
      <w:r w:rsidRPr="00763144">
        <w:t>accompanies her, or if</w:t>
      </w:r>
      <w:r w:rsidRPr="00436730">
        <w:t xml:space="preserve"> </w:t>
      </w:r>
      <w:r>
        <w:t>he</w:t>
      </w:r>
      <w:r w:rsidRPr="00436730">
        <w:t xml:space="preserve"> exerts control or influence </w:t>
      </w:r>
      <w:r w:rsidRPr="00763144">
        <w:t>over her in</w:t>
      </w:r>
      <w:r w:rsidRPr="00436730">
        <w:t xml:space="preserve"> a manner that aids </w:t>
      </w:r>
      <w:r>
        <w:t xml:space="preserve">her </w:t>
      </w:r>
      <w:r w:rsidRPr="00436730">
        <w:t xml:space="preserve">or </w:t>
      </w:r>
      <w:r>
        <w:t xml:space="preserve">forces her to engage in </w:t>
      </w:r>
      <w:r w:rsidRPr="00436730">
        <w:t>prostitution, then he/she shall be presumed to live on her earnings, unless the contrary is proven (</w:t>
      </w:r>
      <w:r w:rsidR="001A574A">
        <w:t>Section </w:t>
      </w:r>
      <w:r w:rsidRPr="00436730">
        <w:t xml:space="preserve">200 </w:t>
      </w:r>
      <w:r>
        <w:t>of</w:t>
      </w:r>
      <w:r w:rsidRPr="00436730">
        <w:t xml:space="preserve"> the </w:t>
      </w:r>
      <w:r w:rsidRPr="00D54DC8">
        <w:t>Penal Law</w:t>
      </w:r>
      <w:r w:rsidRPr="00436730">
        <w:t xml:space="preserve">). </w:t>
      </w:r>
    </w:p>
    <w:p w:rsidR="006C72E1" w:rsidRPr="00436730" w:rsidRDefault="006C72E1" w:rsidP="006D3B18">
      <w:pPr>
        <w:pStyle w:val="SingleTxtG"/>
        <w:numPr>
          <w:ilvl w:val="0"/>
          <w:numId w:val="12"/>
        </w:numPr>
        <w:ind w:left="1134" w:firstLine="0"/>
      </w:pPr>
      <w:r w:rsidRPr="00436730">
        <w:t xml:space="preserve">In addition, a person that induces </w:t>
      </w:r>
      <w:r>
        <w:t xml:space="preserve">someone </w:t>
      </w:r>
      <w:r w:rsidRPr="00436730">
        <w:t xml:space="preserve">to perform an act of prostitution with another person </w:t>
      </w:r>
      <w:r>
        <w:t>is</w:t>
      </w:r>
      <w:r w:rsidRPr="00436730">
        <w:t xml:space="preserve"> liable to five years</w:t>
      </w:r>
      <w:r w:rsidR="00C0021D">
        <w:t>’</w:t>
      </w:r>
      <w:r w:rsidRPr="00436730">
        <w:t xml:space="preserve"> imprisonment (</w:t>
      </w:r>
      <w:r w:rsidR="001A574A">
        <w:t>Section </w:t>
      </w:r>
      <w:r w:rsidRPr="00436730">
        <w:t xml:space="preserve">201 </w:t>
      </w:r>
      <w:r>
        <w:t>of</w:t>
      </w:r>
      <w:r w:rsidRPr="00436730">
        <w:t xml:space="preserve"> </w:t>
      </w:r>
      <w:r w:rsidRPr="00D54DC8">
        <w:t>the Penal Law</w:t>
      </w:r>
      <w:r w:rsidRPr="00436730">
        <w:t xml:space="preserve">), </w:t>
      </w:r>
      <w:r>
        <w:t>and</w:t>
      </w:r>
      <w:r w:rsidRPr="00436730">
        <w:t xml:space="preserve"> a person that induces </w:t>
      </w:r>
      <w:r>
        <w:t>someone</w:t>
      </w:r>
      <w:r w:rsidRPr="00436730">
        <w:t xml:space="preserve"> to engage in prostitution</w:t>
      </w:r>
      <w:r>
        <w:t xml:space="preserve"> is</w:t>
      </w:r>
      <w:r w:rsidRPr="00436730">
        <w:t xml:space="preserve"> liable to seven years</w:t>
      </w:r>
      <w:r w:rsidR="00C0021D">
        <w:t>’</w:t>
      </w:r>
      <w:r w:rsidRPr="00436730">
        <w:t xml:space="preserve"> imprisonment (</w:t>
      </w:r>
      <w:r w:rsidR="001A574A">
        <w:t>Section </w:t>
      </w:r>
      <w:r w:rsidRPr="00436730">
        <w:t xml:space="preserve">202 </w:t>
      </w:r>
      <w:r>
        <w:t>of</w:t>
      </w:r>
      <w:r w:rsidRPr="00436730">
        <w:t xml:space="preserve"> the </w:t>
      </w:r>
      <w:r w:rsidRPr="00D54DC8">
        <w:t>Penal Law</w:t>
      </w:r>
      <w:r w:rsidRPr="00436730">
        <w:t xml:space="preserve">). </w:t>
      </w:r>
    </w:p>
    <w:p w:rsidR="006C72E1" w:rsidRPr="00C0021D" w:rsidRDefault="006C72E1" w:rsidP="00C0021D">
      <w:pPr>
        <w:pStyle w:val="SingleTxtG"/>
        <w:numPr>
          <w:ilvl w:val="0"/>
          <w:numId w:val="12"/>
        </w:numPr>
        <w:ind w:left="1134" w:firstLine="0"/>
      </w:pPr>
      <w:r w:rsidRPr="00436730">
        <w:t xml:space="preserve">The Law </w:t>
      </w:r>
      <w:r>
        <w:t>establishes</w:t>
      </w:r>
      <w:r w:rsidRPr="00436730">
        <w:t xml:space="preserve"> aggravating circum</w:t>
      </w:r>
      <w:r w:rsidR="001A574A">
        <w:t>stances regarding both Sections </w:t>
      </w:r>
      <w:r w:rsidRPr="00436730">
        <w:t>201</w:t>
      </w:r>
      <w:r w:rsidR="00C0021D">
        <w:t xml:space="preserve"> and </w:t>
      </w:r>
      <w:r w:rsidRPr="00436730">
        <w:t>202, which lead to a harsher punishment. If the above</w:t>
      </w:r>
      <w:r w:rsidR="00C0021D">
        <w:t>-</w:t>
      </w:r>
      <w:r w:rsidRPr="00436730">
        <w:t xml:space="preserve">mentioned offenses </w:t>
      </w:r>
      <w:r>
        <w:t>are</w:t>
      </w:r>
      <w:r w:rsidRPr="00436730">
        <w:t xml:space="preserve"> committed </w:t>
      </w:r>
      <w:r>
        <w:t>under</w:t>
      </w:r>
      <w:r w:rsidRPr="00436730">
        <w:t xml:space="preserve"> the following circumstances, then the person guilty of the act </w:t>
      </w:r>
      <w:r>
        <w:t>is</w:t>
      </w:r>
      <w:r w:rsidRPr="00436730">
        <w:t xml:space="preserve"> liable to ten years</w:t>
      </w:r>
      <w:r w:rsidR="00C0021D">
        <w:t>’</w:t>
      </w:r>
      <w:r w:rsidRPr="00436730">
        <w:t xml:space="preserve"> </w:t>
      </w:r>
      <w:r w:rsidRPr="00C0021D">
        <w:t>imprisonment (</w:t>
      </w:r>
      <w:r w:rsidR="001A574A" w:rsidRPr="00C0021D">
        <w:t>Section </w:t>
      </w:r>
      <w:r w:rsidRPr="00C0021D">
        <w:t xml:space="preserve">203 of the Penal Law): </w:t>
      </w:r>
    </w:p>
    <w:p w:rsidR="006C72E1" w:rsidRPr="0002455E" w:rsidRDefault="00DB65F1" w:rsidP="00DB65F1">
      <w:pPr>
        <w:pStyle w:val="SingleTxtG"/>
        <w:ind w:firstLine="567"/>
      </w:pPr>
      <w:r w:rsidRPr="00B43698">
        <w:t>(a)</w:t>
      </w:r>
      <w:r w:rsidRPr="00C0021D">
        <w:tab/>
      </w:r>
      <w:r w:rsidR="006C72E1" w:rsidRPr="00C0021D">
        <w:t>The offense was committed by exploiting a relationship of authority, dependence, education or supervision, or by exploiting the economic or mental distress of the person who was induced to perform an act of prostitution or t</w:t>
      </w:r>
      <w:r w:rsidR="006C72E1" w:rsidRPr="0002455E">
        <w:t xml:space="preserve">o engage in prostitution; </w:t>
      </w:r>
    </w:p>
    <w:p w:rsidR="006C72E1" w:rsidRPr="0002455E" w:rsidRDefault="00DB65F1" w:rsidP="00DB65F1">
      <w:pPr>
        <w:pStyle w:val="SingleTxtG"/>
        <w:ind w:firstLine="567"/>
      </w:pPr>
      <w:r w:rsidRPr="00B43698">
        <w:t>(b)</w:t>
      </w:r>
      <w:r w:rsidRPr="00C0021D">
        <w:tab/>
      </w:r>
      <w:r w:rsidR="006C72E1" w:rsidRPr="00C0021D">
        <w:t>The offense was committed by the use of force or by use of other means of pressure, or by threat of one of the above, whether against the person who was induced to commit an act of prostitution or to engage in prostitution or</w:t>
      </w:r>
      <w:r w:rsidR="006C72E1" w:rsidRPr="0002455E">
        <w:t xml:space="preserve"> against some other person;</w:t>
      </w:r>
    </w:p>
    <w:p w:rsidR="006C72E1" w:rsidRPr="0002455E" w:rsidRDefault="00DB65F1" w:rsidP="00DB65F1">
      <w:pPr>
        <w:pStyle w:val="SingleTxtG"/>
        <w:ind w:firstLine="567"/>
      </w:pPr>
      <w:r w:rsidRPr="00B43698">
        <w:t>(c)</w:t>
      </w:r>
      <w:r w:rsidRPr="00C0021D">
        <w:tab/>
      </w:r>
      <w:r w:rsidR="006C72E1" w:rsidRPr="00C0021D">
        <w:t>The offense was committed by exploiting a situation that prevents opposition by the person induced to commit an act of prostitution or to engage in prostitution, or by exploiting the fact that he/she is mentally ill or menta</w:t>
      </w:r>
      <w:r w:rsidR="006C72E1" w:rsidRPr="0002455E">
        <w:t xml:space="preserve">lly incompetent; </w:t>
      </w:r>
    </w:p>
    <w:p w:rsidR="006C72E1" w:rsidRPr="00436730" w:rsidRDefault="00DB65F1" w:rsidP="00DB65F1">
      <w:pPr>
        <w:pStyle w:val="SingleTxtG"/>
        <w:ind w:firstLine="567"/>
      </w:pPr>
      <w:r w:rsidRPr="00B43698">
        <w:t>(d)</w:t>
      </w:r>
      <w:r w:rsidRPr="00C0021D">
        <w:tab/>
      </w:r>
      <w:r w:rsidR="006C72E1" w:rsidRPr="00C0021D">
        <w:t>The offense was committed by consent that was obtained deceitfully from the person induced to commit an act of prostitution or to engage in prostitution.</w:t>
      </w:r>
      <w:r w:rsidR="006C72E1" w:rsidRPr="00436730">
        <w:t xml:space="preserve"> </w:t>
      </w:r>
    </w:p>
    <w:p w:rsidR="006C72E1" w:rsidRDefault="006C72E1" w:rsidP="006D3B18">
      <w:pPr>
        <w:pStyle w:val="SingleTxtG"/>
        <w:numPr>
          <w:ilvl w:val="0"/>
          <w:numId w:val="12"/>
        </w:numPr>
        <w:ind w:left="1134" w:firstLine="0"/>
      </w:pPr>
      <w:r>
        <w:t xml:space="preserve">The maximum prison terms are increased when </w:t>
      </w:r>
      <w:r w:rsidRPr="00E366AE">
        <w:t xml:space="preserve">an offense </w:t>
      </w:r>
      <w:r>
        <w:t>described in</w:t>
      </w:r>
      <w:r w:rsidRPr="00E366AE">
        <w:t xml:space="preserve"> </w:t>
      </w:r>
      <w:r>
        <w:t>S</w:t>
      </w:r>
      <w:r w:rsidRPr="00E366AE">
        <w:t>ections</w:t>
      </w:r>
      <w:r w:rsidR="001A574A">
        <w:t> </w:t>
      </w:r>
      <w:r w:rsidRPr="00E366AE">
        <w:t>199, 201, 202 or</w:t>
      </w:r>
      <w:r>
        <w:t xml:space="preserve"> </w:t>
      </w:r>
      <w:r w:rsidRPr="00E366AE">
        <w:t xml:space="preserve">203 </w:t>
      </w:r>
      <w:r>
        <w:t xml:space="preserve">is committed </w:t>
      </w:r>
      <w:r w:rsidRPr="00E366AE">
        <w:t>against a minor</w:t>
      </w:r>
      <w:r>
        <w:t xml:space="preserve">, as follows: </w:t>
      </w:r>
    </w:p>
    <w:p w:rsidR="006C72E1" w:rsidRPr="00FB3FA7" w:rsidRDefault="006C72E1" w:rsidP="005E72AA">
      <w:pPr>
        <w:pStyle w:val="SingleTxtG"/>
        <w:ind w:firstLine="567"/>
        <w:rPr>
          <w:rtl/>
        </w:rPr>
      </w:pPr>
      <w:r w:rsidRPr="00FB3FA7">
        <w:t>(</w:t>
      </w:r>
      <w:r w:rsidR="00960321" w:rsidRPr="00FB3FA7">
        <w:t>a</w:t>
      </w:r>
      <w:r w:rsidRPr="00FB3FA7">
        <w:t>)</w:t>
      </w:r>
      <w:r w:rsidR="00AC68C2" w:rsidRPr="00FB3FA7">
        <w:tab/>
      </w:r>
      <w:r w:rsidRPr="00FB3FA7">
        <w:t xml:space="preserve">When the victim is 14 years old or older, then the applicable penalties are increased as follows: </w:t>
      </w:r>
    </w:p>
    <w:p w:rsidR="006C72E1" w:rsidRPr="00E366AE" w:rsidRDefault="006C72E1" w:rsidP="005E72AA">
      <w:pPr>
        <w:pStyle w:val="SingleTxtG"/>
        <w:ind w:left="1701"/>
        <w:rPr>
          <w:rtl/>
        </w:rPr>
      </w:pPr>
      <w:r w:rsidRPr="00E366AE">
        <w:t>(</w:t>
      </w:r>
      <w:proofErr w:type="spellStart"/>
      <w:r w:rsidR="00960321">
        <w:t>i</w:t>
      </w:r>
      <w:proofErr w:type="spellEnd"/>
      <w:r w:rsidRPr="00E366AE">
        <w:t>)</w:t>
      </w:r>
      <w:r w:rsidR="00382BF1">
        <w:tab/>
      </w:r>
      <w:r w:rsidR="005E72AA">
        <w:t>F</w:t>
      </w:r>
      <w:r>
        <w:t>or offenses punishable by five years</w:t>
      </w:r>
      <w:r w:rsidR="00C0021D">
        <w:t>’</w:t>
      </w:r>
      <w:r>
        <w:t xml:space="preserve"> imprisonment, the maximum imprisonment term is increased to </w:t>
      </w:r>
      <w:r w:rsidRPr="00E366AE">
        <w:t>seven years;</w:t>
      </w:r>
    </w:p>
    <w:p w:rsidR="006C72E1" w:rsidRPr="00E366AE" w:rsidRDefault="006C72E1" w:rsidP="005E72AA">
      <w:pPr>
        <w:pStyle w:val="SingleTxtG"/>
        <w:ind w:left="1701"/>
        <w:rPr>
          <w:rtl/>
        </w:rPr>
      </w:pPr>
      <w:r w:rsidRPr="00E366AE">
        <w:t>(</w:t>
      </w:r>
      <w:r w:rsidR="00960321">
        <w:t>ii</w:t>
      </w:r>
      <w:r w:rsidRPr="00E366AE">
        <w:t>)</w:t>
      </w:r>
      <w:r w:rsidRPr="00E366AE">
        <w:tab/>
      </w:r>
      <w:r w:rsidR="005E72AA">
        <w:t>F</w:t>
      </w:r>
      <w:r>
        <w:t xml:space="preserve">or offenses punishable by </w:t>
      </w:r>
      <w:r w:rsidRPr="00E366AE">
        <w:t>seven years</w:t>
      </w:r>
      <w:r w:rsidR="00C0021D">
        <w:t>’</w:t>
      </w:r>
      <w:r>
        <w:t xml:space="preserve"> imprisonment, the maximum imprisonment term is increased </w:t>
      </w:r>
      <w:r w:rsidRPr="00E366AE">
        <w:t xml:space="preserve">to </w:t>
      </w:r>
      <w:r>
        <w:t>10</w:t>
      </w:r>
      <w:r w:rsidRPr="00E366AE">
        <w:t xml:space="preserve"> years;</w:t>
      </w:r>
    </w:p>
    <w:p w:rsidR="006C72E1" w:rsidRPr="00E366AE" w:rsidRDefault="006C72E1" w:rsidP="00C0021D">
      <w:pPr>
        <w:pStyle w:val="SingleTxtG"/>
        <w:ind w:left="1701"/>
      </w:pPr>
      <w:r w:rsidRPr="00E366AE">
        <w:t>(</w:t>
      </w:r>
      <w:r w:rsidR="00960321">
        <w:t>iii</w:t>
      </w:r>
      <w:r w:rsidRPr="00E366AE">
        <w:t>)</w:t>
      </w:r>
      <w:r w:rsidRPr="00E366AE">
        <w:tab/>
      </w:r>
      <w:r w:rsidR="005E72AA">
        <w:t>F</w:t>
      </w:r>
      <w:r>
        <w:t xml:space="preserve">or offenses punishable by </w:t>
      </w:r>
      <w:r w:rsidR="00C0021D">
        <w:t>10</w:t>
      </w:r>
      <w:r w:rsidR="00C0021D" w:rsidRPr="00E366AE">
        <w:t xml:space="preserve"> </w:t>
      </w:r>
      <w:r w:rsidRPr="00E366AE">
        <w:t>years</w:t>
      </w:r>
      <w:r w:rsidR="00C0021D">
        <w:t>’</w:t>
      </w:r>
      <w:r w:rsidRPr="00E366AE">
        <w:t xml:space="preserve"> </w:t>
      </w:r>
      <w:r>
        <w:t xml:space="preserve">imprisonment, </w:t>
      </w:r>
      <w:r w:rsidRPr="00E366AE">
        <w:t>the</w:t>
      </w:r>
      <w:r>
        <w:t xml:space="preserve"> maximum imprisonment term is increased to 15 </w:t>
      </w:r>
      <w:r w:rsidRPr="00E366AE">
        <w:t>years;</w:t>
      </w:r>
    </w:p>
    <w:p w:rsidR="006C72E1" w:rsidRDefault="006C72E1" w:rsidP="005E72AA">
      <w:pPr>
        <w:pStyle w:val="SingleTxtG"/>
        <w:ind w:left="1701"/>
      </w:pPr>
      <w:r w:rsidRPr="00E366AE">
        <w:t>(</w:t>
      </w:r>
      <w:r w:rsidR="00960321">
        <w:t>iv</w:t>
      </w:r>
      <w:r w:rsidRPr="00E366AE">
        <w:t>)</w:t>
      </w:r>
      <w:r w:rsidRPr="00E366AE">
        <w:tab/>
      </w:r>
      <w:r w:rsidR="005E72AA">
        <w:t>F</w:t>
      </w:r>
      <w:r>
        <w:t>or offenses punishable by 16</w:t>
      </w:r>
      <w:r w:rsidRPr="00E366AE">
        <w:t xml:space="preserve"> years</w:t>
      </w:r>
      <w:r w:rsidR="00C0021D">
        <w:t>’</w:t>
      </w:r>
      <w:r w:rsidRPr="00E366AE">
        <w:t xml:space="preserve"> </w:t>
      </w:r>
      <w:r>
        <w:t xml:space="preserve">imprisonment, </w:t>
      </w:r>
      <w:r w:rsidRPr="00E366AE">
        <w:t>the</w:t>
      </w:r>
      <w:r>
        <w:t xml:space="preserve"> maximum imprisonment term is increased to 20 years</w:t>
      </w:r>
      <w:r w:rsidRPr="00E366AE">
        <w:t>;</w:t>
      </w:r>
    </w:p>
    <w:p w:rsidR="006C72E1" w:rsidRPr="00FB3FA7" w:rsidRDefault="006C72E1" w:rsidP="005E72AA">
      <w:pPr>
        <w:pStyle w:val="SingleTxtG"/>
        <w:ind w:firstLine="567"/>
      </w:pPr>
      <w:r w:rsidRPr="00FB3FA7">
        <w:t>(</w:t>
      </w:r>
      <w:r w:rsidR="00960321" w:rsidRPr="00FB3FA7">
        <w:t>b</w:t>
      </w:r>
      <w:r w:rsidRPr="00FB3FA7">
        <w:t>)</w:t>
      </w:r>
      <w:r w:rsidR="00AC68C2" w:rsidRPr="00FB3FA7">
        <w:tab/>
      </w:r>
      <w:r w:rsidRPr="00FB3FA7">
        <w:t>If the victim is less than 14 years old, or</w:t>
      </w:r>
      <w:r w:rsidR="00B93457">
        <w:t xml:space="preserve"> if he/she is a minor who is 14 </w:t>
      </w:r>
      <w:r w:rsidRPr="00FB3FA7">
        <w:t>years old or older and is under the care and responsibility of the offender, then the maximum imprisonment terms for these offenses are</w:t>
      </w:r>
      <w:r w:rsidR="00B93457">
        <w:t xml:space="preserve"> doubled, up to a maximum of 20 </w:t>
      </w:r>
      <w:r w:rsidRPr="00FB3FA7">
        <w:t>years</w:t>
      </w:r>
      <w:r w:rsidRPr="00FB3FA7" w:rsidDel="000F4D49">
        <w:t xml:space="preserve"> </w:t>
      </w:r>
      <w:r w:rsidRPr="00FB3FA7">
        <w:t>(</w:t>
      </w:r>
      <w:r w:rsidR="001A574A" w:rsidRPr="00FB3FA7">
        <w:t>Section </w:t>
      </w:r>
      <w:r w:rsidRPr="00FB3FA7">
        <w:t>203B of the Penal Law</w:t>
      </w:r>
      <w:r w:rsidR="00382BF1" w:rsidRPr="00FB3FA7">
        <w:t>).</w:t>
      </w:r>
    </w:p>
    <w:p w:rsidR="006C72E1" w:rsidRPr="00D54DC8" w:rsidRDefault="001A574A" w:rsidP="00C0021D">
      <w:pPr>
        <w:pStyle w:val="SingleTxtG"/>
        <w:numPr>
          <w:ilvl w:val="0"/>
          <w:numId w:val="12"/>
        </w:numPr>
        <w:ind w:left="1134" w:firstLine="0"/>
      </w:pPr>
      <w:r>
        <w:t>Sections </w:t>
      </w:r>
      <w:r w:rsidR="006C72E1">
        <w:t xml:space="preserve">203C and 203D of the </w:t>
      </w:r>
      <w:r w:rsidR="006C72E1" w:rsidRPr="00D54DC8">
        <w:t xml:space="preserve">Penal Law are additional measures demonstrating the severity with which Israeli law deals with prostitution offenses committed against minors. Pursuant to </w:t>
      </w:r>
      <w:r w:rsidRPr="00D54DC8">
        <w:t>Section </w:t>
      </w:r>
      <w:r w:rsidR="006C72E1" w:rsidRPr="00D54DC8">
        <w:t>203C, a person who accepts sexual services from a minor is liable to three years</w:t>
      </w:r>
      <w:r w:rsidR="00C0021D">
        <w:t>’</w:t>
      </w:r>
      <w:r w:rsidR="006C72E1" w:rsidRPr="00D54DC8">
        <w:t xml:space="preserve"> imprisonment. For this matter, as well as all other offenses related to prostitution or pornography committed against minors, if the defendant claims that he/she did not know the age of the person with whom or in respect of whom an offense was committed, then he/she bears the burden of proof.</w:t>
      </w:r>
      <w:r w:rsidR="00CD3B50" w:rsidRPr="00D54DC8">
        <w:t xml:space="preserve"> </w:t>
      </w:r>
    </w:p>
    <w:p w:rsidR="006C72E1" w:rsidRPr="00D54DC8" w:rsidRDefault="006C72E1" w:rsidP="006D3B18">
      <w:pPr>
        <w:pStyle w:val="SingleTxtG"/>
        <w:numPr>
          <w:ilvl w:val="0"/>
          <w:numId w:val="12"/>
        </w:numPr>
        <w:ind w:left="1134" w:firstLine="0"/>
      </w:pPr>
      <w:r w:rsidRPr="00D54DC8">
        <w:t>Moreover, a person who maintains or operates a place including a vehicle or a vessel for the practice of prostitution, is liable to five years</w:t>
      </w:r>
      <w:r w:rsidR="0002455E">
        <w:t>’</w:t>
      </w:r>
      <w:r w:rsidRPr="00D54DC8">
        <w:t xml:space="preserve"> imprisonment (</w:t>
      </w:r>
      <w:r w:rsidR="001A574A" w:rsidRPr="00D54DC8">
        <w:t>Section </w:t>
      </w:r>
      <w:r w:rsidRPr="00D54DC8">
        <w:t>204 of the Penal Law), and a person who rents out or renews the rental of such a place, knowing that it is or will be used for acts of prostitution, shall be liable to six months</w:t>
      </w:r>
      <w:r w:rsidR="0002455E">
        <w:t>’</w:t>
      </w:r>
      <w:r w:rsidRPr="00D54DC8">
        <w:t xml:space="preserve"> imprisonment (</w:t>
      </w:r>
      <w:r w:rsidR="001A574A" w:rsidRPr="00D54DC8">
        <w:t>Section </w:t>
      </w:r>
      <w:r w:rsidRPr="00D54DC8">
        <w:t xml:space="preserve">205 of the Penal Law). </w:t>
      </w:r>
    </w:p>
    <w:p w:rsidR="006C72E1" w:rsidRPr="00D54DC8" w:rsidRDefault="006C72E1" w:rsidP="00A72F2B">
      <w:pPr>
        <w:pStyle w:val="SingleTxtG"/>
        <w:numPr>
          <w:ilvl w:val="0"/>
          <w:numId w:val="12"/>
        </w:numPr>
        <w:ind w:left="1134" w:firstLine="0"/>
      </w:pPr>
      <w:r w:rsidRPr="0045191C">
        <w:t xml:space="preserve">As an additional measure, aimed at reducing prostitution, the </w:t>
      </w:r>
      <w:r w:rsidRPr="00D54DC8">
        <w:t>Penal Law provides that a person who delivers information or publishes any publication about the provision of a service that constitutes an act of prostitution provided by a minor, is liable to five years</w:t>
      </w:r>
      <w:r w:rsidR="00032761">
        <w:t>’</w:t>
      </w:r>
      <w:r w:rsidRPr="00D54DC8">
        <w:t xml:space="preserve"> imprisonment or a fine of 226,000</w:t>
      </w:r>
      <w:r w:rsidR="00A72F2B">
        <w:t> </w:t>
      </w:r>
      <w:r w:rsidRPr="00D54DC8">
        <w:t xml:space="preserve">NIS </w:t>
      </w:r>
      <w:r w:rsidR="00A72F2B">
        <w:rPr>
          <w:snapToGrid w:val="0"/>
          <w:lang w:val="en-US"/>
        </w:rPr>
        <w:t>(US$ </w:t>
      </w:r>
      <w:r w:rsidRPr="00D54DC8">
        <w:rPr>
          <w:snapToGrid w:val="0"/>
          <w:lang w:val="en-US"/>
        </w:rPr>
        <w:t>59,473)</w:t>
      </w:r>
      <w:r w:rsidRPr="00D54DC8">
        <w:t xml:space="preserve"> (the amount is doubled if the offense is committed by a legal person). The foregoing applies regardless of whether the prostitution service is provided in Israel or abroad, whether the information refers to a specific minor and whether the publication indicates that the person who provides the </w:t>
      </w:r>
      <w:r w:rsidRPr="00D54DC8">
        <w:rPr>
          <w:lang w:val="en-US"/>
        </w:rPr>
        <w:t>service is a minor (</w:t>
      </w:r>
      <w:r w:rsidR="001A574A" w:rsidRPr="00D54DC8">
        <w:rPr>
          <w:lang w:val="en-US"/>
        </w:rPr>
        <w:t>Section </w:t>
      </w:r>
      <w:r w:rsidRPr="00D54DC8">
        <w:rPr>
          <w:lang w:val="en-US"/>
        </w:rPr>
        <w:t>205A of the Penal Law). In contrast, with respect to adults, the</w:t>
      </w:r>
      <w:r w:rsidRPr="00D54DC8">
        <w:t xml:space="preserve"> offense applies only to the publication of such services (it d</w:t>
      </w:r>
      <w:r w:rsidR="00285CC4" w:rsidRPr="00D54DC8">
        <w:t>oes not include the offense of “delivering information”</w:t>
      </w:r>
      <w:r w:rsidRPr="00D54DC8">
        <w:t>) and the penalty for such a publication is three years</w:t>
      </w:r>
      <w:r w:rsidR="00032761">
        <w:t>’</w:t>
      </w:r>
      <w:r w:rsidRPr="00D54DC8">
        <w:t xml:space="preserve"> imprisonment (</w:t>
      </w:r>
      <w:r w:rsidR="001A574A" w:rsidRPr="00D54DC8">
        <w:t>Section </w:t>
      </w:r>
      <w:r w:rsidRPr="00D54DC8">
        <w:t>205C of the Penal Law).</w:t>
      </w:r>
    </w:p>
    <w:p w:rsidR="006C72E1" w:rsidRPr="0045191C" w:rsidRDefault="006C72E1" w:rsidP="00032761">
      <w:pPr>
        <w:pStyle w:val="SingleTxtG"/>
        <w:numPr>
          <w:ilvl w:val="0"/>
          <w:numId w:val="12"/>
        </w:numPr>
        <w:ind w:left="1134" w:firstLine="0"/>
      </w:pPr>
      <w:r w:rsidRPr="00D54DC8">
        <w:t xml:space="preserve">Finally, </w:t>
      </w:r>
      <w:r w:rsidR="001A574A" w:rsidRPr="00D54DC8">
        <w:t>Section </w:t>
      </w:r>
      <w:r w:rsidRPr="00D54DC8">
        <w:t>208 of the Penal Law provides that a person w</w:t>
      </w:r>
      <w:r w:rsidRPr="0045191C">
        <w:t xml:space="preserve">ho permitted a minor between the age of </w:t>
      </w:r>
      <w:r w:rsidR="00032761">
        <w:t>2</w:t>
      </w:r>
      <w:r w:rsidR="00032761" w:rsidRPr="0045191C">
        <w:t xml:space="preserve"> </w:t>
      </w:r>
      <w:r w:rsidRPr="0045191C">
        <w:t xml:space="preserve">and </w:t>
      </w:r>
      <w:r w:rsidR="00032761">
        <w:t>17</w:t>
      </w:r>
      <w:r w:rsidR="00032761" w:rsidRPr="0045191C">
        <w:t xml:space="preserve"> </w:t>
      </w:r>
      <w:r w:rsidRPr="0045191C">
        <w:t>years</w:t>
      </w:r>
      <w:r w:rsidR="00032761">
        <w:t xml:space="preserve"> </w:t>
      </w:r>
      <w:r w:rsidRPr="0045191C">
        <w:t>old, of whom he/she has custody, to reside in a brothel or to visit it frequently, is liable to three years</w:t>
      </w:r>
      <w:r w:rsidR="00032761">
        <w:t>’</w:t>
      </w:r>
      <w:r w:rsidRPr="0045191C">
        <w:t xml:space="preserve"> imprisonment.</w:t>
      </w:r>
    </w:p>
    <w:p w:rsidR="006C72E1" w:rsidRPr="0045191C" w:rsidRDefault="008B3FE2" w:rsidP="002C0C4A">
      <w:pPr>
        <w:pStyle w:val="H1G"/>
        <w:rPr>
          <w:lang w:val="en-US"/>
        </w:rPr>
      </w:pPr>
      <w:r>
        <w:rPr>
          <w:lang w:val="en-US"/>
        </w:rPr>
        <w:tab/>
      </w:r>
      <w:r>
        <w:rPr>
          <w:lang w:val="en-US"/>
        </w:rPr>
        <w:tab/>
      </w:r>
      <w:r w:rsidR="006C72E1" w:rsidRPr="0045191C">
        <w:rPr>
          <w:lang w:val="en-US"/>
        </w:rPr>
        <w:t xml:space="preserve">Sexual </w:t>
      </w:r>
      <w:r w:rsidR="002C0C4A" w:rsidRPr="0045191C">
        <w:rPr>
          <w:lang w:val="en-US"/>
        </w:rPr>
        <w:t xml:space="preserve">abuse </w:t>
      </w:r>
      <w:r w:rsidR="006C72E1" w:rsidRPr="0045191C">
        <w:rPr>
          <w:lang w:val="en-US"/>
        </w:rPr>
        <w:t xml:space="preserve">of </w:t>
      </w:r>
      <w:r w:rsidR="002C0C4A" w:rsidRPr="0045191C">
        <w:rPr>
          <w:lang w:val="en-US"/>
        </w:rPr>
        <w:t xml:space="preserve">children </w:t>
      </w:r>
    </w:p>
    <w:p w:rsidR="006C72E1" w:rsidRPr="00C059FB" w:rsidRDefault="006C72E1" w:rsidP="006D3B18">
      <w:pPr>
        <w:pStyle w:val="SingleTxtG"/>
        <w:numPr>
          <w:ilvl w:val="0"/>
          <w:numId w:val="12"/>
        </w:numPr>
        <w:ind w:left="1134" w:firstLine="0"/>
        <w:rPr>
          <w:lang w:val="en-US"/>
        </w:rPr>
      </w:pPr>
      <w:r w:rsidRPr="0045191C">
        <w:rPr>
          <w:lang w:val="en-US"/>
        </w:rPr>
        <w:t>Just as with</w:t>
      </w:r>
      <w:r>
        <w:rPr>
          <w:lang w:val="en-US"/>
        </w:rPr>
        <w:t xml:space="preserve"> trafficking offenses, whereby a broad array of criminal offenses capture </w:t>
      </w:r>
      <w:r w:rsidRPr="00BF5123">
        <w:rPr>
          <w:lang w:val="en-US"/>
        </w:rPr>
        <w:t xml:space="preserve">the different types of conduct associated with trafficking, so </w:t>
      </w:r>
      <w:r w:rsidR="00D3193A" w:rsidRPr="002E0DDB">
        <w:rPr>
          <w:lang w:val="en-US"/>
        </w:rPr>
        <w:t xml:space="preserve">is it </w:t>
      </w:r>
      <w:r w:rsidRPr="00B340AC">
        <w:rPr>
          <w:lang w:val="en-US"/>
        </w:rPr>
        <w:t>too with child prostitution. T</w:t>
      </w:r>
      <w:r w:rsidRPr="00306596">
        <w:rPr>
          <w:lang w:val="en-US"/>
        </w:rPr>
        <w:t xml:space="preserve">he following provisions of the </w:t>
      </w:r>
      <w:r w:rsidRPr="002F4174">
        <w:rPr>
          <w:lang w:val="en-US"/>
        </w:rPr>
        <w:t>Penal Law are</w:t>
      </w:r>
      <w:r w:rsidRPr="000554F5">
        <w:rPr>
          <w:lang w:val="en-US"/>
        </w:rPr>
        <w:t xml:space="preserve"> detailed to provide a fuller pictu</w:t>
      </w:r>
      <w:r w:rsidRPr="00184F0A">
        <w:rPr>
          <w:lang w:val="en-US"/>
        </w:rPr>
        <w:t xml:space="preserve">re of the legislative situation </w:t>
      </w:r>
      <w:r w:rsidRPr="00CF6BA2">
        <w:rPr>
          <w:lang w:val="en-US"/>
        </w:rPr>
        <w:t xml:space="preserve">with respect to the protection of minors from sexual </w:t>
      </w:r>
      <w:r w:rsidRPr="00FC1D36">
        <w:rPr>
          <w:lang w:val="en-US"/>
        </w:rPr>
        <w:t>offense</w:t>
      </w:r>
      <w:r w:rsidRPr="006A2A41">
        <w:rPr>
          <w:lang w:val="en-US"/>
        </w:rPr>
        <w:t>s</w:t>
      </w:r>
      <w:r w:rsidRPr="0077256F">
        <w:rPr>
          <w:lang w:val="en-US"/>
        </w:rPr>
        <w:t xml:space="preserve"> which typically accompany child prostitution</w:t>
      </w:r>
      <w:r w:rsidRPr="00DF7F7F">
        <w:rPr>
          <w:lang w:val="en-US"/>
        </w:rPr>
        <w:t xml:space="preserve"> and </w:t>
      </w:r>
      <w:r w:rsidRPr="00FC0B34">
        <w:rPr>
          <w:lang w:val="en-US"/>
        </w:rPr>
        <w:t>increased</w:t>
      </w:r>
      <w:r w:rsidRPr="00BD794C">
        <w:rPr>
          <w:lang w:val="en-US"/>
        </w:rPr>
        <w:t xml:space="preserve"> punishments where </w:t>
      </w:r>
      <w:r w:rsidRPr="00C059FB">
        <w:rPr>
          <w:lang w:val="en-US"/>
        </w:rPr>
        <w:t>minors are involved.</w:t>
      </w:r>
    </w:p>
    <w:p w:rsidR="006C72E1" w:rsidRPr="006D4969" w:rsidRDefault="0026169F" w:rsidP="0026169F">
      <w:pPr>
        <w:pStyle w:val="SingleTxtG"/>
        <w:ind w:firstLine="567"/>
        <w:rPr>
          <w:lang w:val="en-US"/>
        </w:rPr>
      </w:pPr>
      <w:r w:rsidRPr="00B43698">
        <w:rPr>
          <w:lang w:val="en-US"/>
        </w:rPr>
        <w:t>(a)</w:t>
      </w:r>
      <w:r w:rsidRPr="00BF5123">
        <w:rPr>
          <w:lang w:val="en-US"/>
        </w:rPr>
        <w:tab/>
      </w:r>
      <w:r w:rsidR="006C72E1" w:rsidRPr="002E0DDB">
        <w:t>Rape (</w:t>
      </w:r>
      <w:r w:rsidR="001A574A" w:rsidRPr="00B340AC">
        <w:t>Section </w:t>
      </w:r>
      <w:r w:rsidR="006C72E1" w:rsidRPr="00306596">
        <w:t>345 of the Penal Law) – Generally, rape is pun</w:t>
      </w:r>
      <w:r w:rsidR="006C72E1" w:rsidRPr="002F4174">
        <w:t>ishable by 16</w:t>
      </w:r>
      <w:r w:rsidR="00D54DC8" w:rsidRPr="000554F5">
        <w:t> </w:t>
      </w:r>
      <w:r w:rsidR="006C72E1" w:rsidRPr="00184F0A">
        <w:t>years of imprisonment. Rape consists of intercourse with a woman (1) without her consent, (2) with consent which was obtained by deceit in respect of the identity of the person or the nature of the act, (3) with a minor who is less than 14 ye</w:t>
      </w:r>
      <w:r w:rsidR="006C72E1" w:rsidRPr="00CF6BA2">
        <w:t>ars of age, regardless of whether the victim consented or not, (4) by exploiting the woman</w:t>
      </w:r>
      <w:r w:rsidR="00C05EBD" w:rsidRPr="00CF6BA2">
        <w:rPr>
          <w:rFonts w:hint="eastAsia"/>
        </w:rPr>
        <w:t>’</w:t>
      </w:r>
      <w:r w:rsidR="006C72E1" w:rsidRPr="00FC1D36">
        <w:t>s state of unconsciousness or other condition that prevents her from giving her free consent, or (5) by exploiting the fact that she is mentally ill or deficient, if</w:t>
      </w:r>
      <w:r w:rsidR="006C72E1" w:rsidRPr="006A2A41">
        <w:t xml:space="preserve"> – due to her illness or mental deficiency – her consent was not given freely. However, the maximum penalty for rape is increased to 20 years, if committed in the following cases: (a) if the victim is a minor under the age of 16, under the circumstances se</w:t>
      </w:r>
      <w:r w:rsidR="006C72E1" w:rsidRPr="0077256F">
        <w:t xml:space="preserve">t forth in items </w:t>
      </w:r>
      <w:r w:rsidR="006C72E1" w:rsidRPr="00FC0B34">
        <w:t>(1), (2) (4) and (5) above, (b) if the act was committed under threat of a firearm or other weapon; (c) if it was committed by causing physical or emotional harm, or pregnancy, (d) if abuse was committed before, during or after the act, o</w:t>
      </w:r>
      <w:r w:rsidR="006C72E1" w:rsidRPr="00BD794C">
        <w:t>r (e) if it was committed in the presence of one or more persons, who joined together in order for any of them to commit the act.</w:t>
      </w:r>
      <w:r w:rsidR="006C72E1" w:rsidRPr="00C059FB" w:rsidDel="00A72289">
        <w:rPr>
          <w:lang w:val="en-US"/>
        </w:rPr>
        <w:t xml:space="preserve"> </w:t>
      </w:r>
    </w:p>
    <w:p w:rsidR="006C72E1" w:rsidRPr="00BD794C" w:rsidRDefault="0026169F" w:rsidP="00D3193A">
      <w:pPr>
        <w:pStyle w:val="SingleTxtG"/>
        <w:ind w:firstLine="567"/>
        <w:rPr>
          <w:szCs w:val="24"/>
          <w:u w:val="single"/>
        </w:rPr>
      </w:pPr>
      <w:r w:rsidRPr="00B43698">
        <w:rPr>
          <w:szCs w:val="24"/>
        </w:rPr>
        <w:t>(b)</w:t>
      </w:r>
      <w:r w:rsidRPr="00BF5123">
        <w:rPr>
          <w:szCs w:val="24"/>
        </w:rPr>
        <w:tab/>
      </w:r>
      <w:r w:rsidR="006C72E1" w:rsidRPr="002E0DDB">
        <w:rPr>
          <w:szCs w:val="24"/>
        </w:rPr>
        <w:t>Forbidden</w:t>
      </w:r>
      <w:r w:rsidR="00D3193A" w:rsidRPr="00306596">
        <w:rPr>
          <w:szCs w:val="24"/>
          <w:u w:val="single"/>
        </w:rPr>
        <w:t xml:space="preserve"> </w:t>
      </w:r>
      <w:r w:rsidR="006C72E1" w:rsidRPr="002F4174">
        <w:rPr>
          <w:szCs w:val="24"/>
        </w:rPr>
        <w:t xml:space="preserve">intercourse despite consent </w:t>
      </w:r>
      <w:r w:rsidR="006C72E1" w:rsidRPr="000554F5">
        <w:rPr>
          <w:szCs w:val="24"/>
        </w:rPr>
        <w:t>(</w:t>
      </w:r>
      <w:r w:rsidR="001A574A" w:rsidRPr="00184F0A">
        <w:rPr>
          <w:szCs w:val="24"/>
        </w:rPr>
        <w:t>Section </w:t>
      </w:r>
      <w:r w:rsidR="006C72E1" w:rsidRPr="00CF6BA2">
        <w:rPr>
          <w:szCs w:val="24"/>
        </w:rPr>
        <w:t xml:space="preserve">346 of the Penal Law) – </w:t>
      </w:r>
      <w:r w:rsidR="006C72E1" w:rsidRPr="00FC1D36">
        <w:t>if a person has intercourse with a minor between t</w:t>
      </w:r>
      <w:r w:rsidR="006C72E1" w:rsidRPr="006A2A41">
        <w:t>he ages of 14 and 16 who is not married to him, or if a person has intercourse with a minor between the ages of 16 and 18 by exploiting a relationship of dependence, authority, education or supervision, or by a false promise of marriage, then that person i</w:t>
      </w:r>
      <w:r w:rsidR="006C72E1" w:rsidRPr="0077256F">
        <w:t>s liable to five years</w:t>
      </w:r>
      <w:r w:rsidR="00D3193A" w:rsidRPr="00DF7F7F">
        <w:t>’</w:t>
      </w:r>
      <w:r w:rsidR="006C72E1" w:rsidRPr="00FC0B34">
        <w:t xml:space="preserve"> imprisonment.</w:t>
      </w:r>
    </w:p>
    <w:p w:rsidR="006C72E1" w:rsidRPr="00B340AC" w:rsidRDefault="0026169F" w:rsidP="0026169F">
      <w:pPr>
        <w:pStyle w:val="SingleTxtG"/>
        <w:ind w:firstLine="567"/>
        <w:rPr>
          <w:lang w:val="en-US"/>
        </w:rPr>
      </w:pPr>
      <w:r w:rsidRPr="00B43698">
        <w:rPr>
          <w:lang w:val="en-US"/>
        </w:rPr>
        <w:t>(c)</w:t>
      </w:r>
      <w:r w:rsidRPr="00BF5123">
        <w:rPr>
          <w:lang w:val="en-US"/>
        </w:rPr>
        <w:tab/>
      </w:r>
      <w:r w:rsidR="006C72E1" w:rsidRPr="002E0DDB">
        <w:rPr>
          <w:lang w:val="en-US"/>
        </w:rPr>
        <w:t>Sodomy (</w:t>
      </w:r>
      <w:r w:rsidR="001A574A" w:rsidRPr="00B340AC">
        <w:rPr>
          <w:lang w:val="en-US"/>
        </w:rPr>
        <w:t>Section </w:t>
      </w:r>
      <w:r w:rsidR="006C72E1" w:rsidRPr="00306596">
        <w:rPr>
          <w:lang w:val="en-US"/>
        </w:rPr>
        <w:t>347 of the Penal Law) – sodomy is punis</w:t>
      </w:r>
      <w:r w:rsidR="006C72E1" w:rsidRPr="002F4174">
        <w:rPr>
          <w:lang w:val="en-US"/>
        </w:rPr>
        <w:t>hable by five years</w:t>
      </w:r>
      <w:r w:rsidR="00C05EBD" w:rsidRPr="000554F5">
        <w:rPr>
          <w:rFonts w:hint="eastAsia"/>
          <w:lang w:val="en-US"/>
        </w:rPr>
        <w:t>’</w:t>
      </w:r>
      <w:r w:rsidR="006C72E1" w:rsidRPr="00184F0A">
        <w:rPr>
          <w:lang w:val="en-US"/>
        </w:rPr>
        <w:t xml:space="preserve"> imprisonment, if the victim is between the ages of 14 and 16, or if the victim is between the ages of 16 and 1</w:t>
      </w:r>
      <w:r w:rsidR="001E2615" w:rsidRPr="00CF6BA2">
        <w:rPr>
          <w:lang w:val="en-US"/>
        </w:rPr>
        <w:t xml:space="preserve">8 but the act was committed by </w:t>
      </w:r>
      <w:r w:rsidR="006C72E1" w:rsidRPr="00FC1D36">
        <w:rPr>
          <w:lang w:val="en-US"/>
        </w:rPr>
        <w:t>exploiting relations of dependency, auth</w:t>
      </w:r>
      <w:r w:rsidR="006C72E1" w:rsidRPr="006A2A41">
        <w:rPr>
          <w:lang w:val="en-US"/>
        </w:rPr>
        <w:t xml:space="preserve">ority, education or supervision. </w:t>
      </w:r>
      <w:r w:rsidR="006C72E1" w:rsidRPr="0077256F">
        <w:t xml:space="preserve">If sodomy was committed against a victim under one of the circumstances specified in </w:t>
      </w:r>
      <w:r w:rsidR="001A574A" w:rsidRPr="00DF7F7F">
        <w:t>section </w:t>
      </w:r>
      <w:r w:rsidR="006C72E1" w:rsidRPr="00FC0B34">
        <w:t xml:space="preserve">345, </w:t>
      </w:r>
      <w:r w:rsidR="006C72E1" w:rsidRPr="00B43698">
        <w:t>mutatis mutandis</w:t>
      </w:r>
      <w:r w:rsidR="006C72E1" w:rsidRPr="00BF5123">
        <w:t>, then t</w:t>
      </w:r>
      <w:r w:rsidR="006C72E1" w:rsidRPr="002E0DDB">
        <w:t>he offender is liable to the penalties of a rapist.</w:t>
      </w:r>
    </w:p>
    <w:p w:rsidR="006C72E1" w:rsidRPr="00AD553D" w:rsidRDefault="0026169F" w:rsidP="00BF5123">
      <w:pPr>
        <w:pStyle w:val="SingleTxtG"/>
        <w:ind w:firstLine="567"/>
        <w:rPr>
          <w:lang w:val="en-US"/>
        </w:rPr>
      </w:pPr>
      <w:r w:rsidRPr="00B43698">
        <w:rPr>
          <w:lang w:val="en-US"/>
        </w:rPr>
        <w:t>(d)</w:t>
      </w:r>
      <w:r w:rsidRPr="00BF5123">
        <w:rPr>
          <w:lang w:val="en-US"/>
        </w:rPr>
        <w:tab/>
      </w:r>
      <w:r w:rsidR="006C72E1" w:rsidRPr="002E0DDB">
        <w:rPr>
          <w:lang w:val="en-US"/>
        </w:rPr>
        <w:t>Ind</w:t>
      </w:r>
      <w:r w:rsidR="006C72E1" w:rsidRPr="00B340AC">
        <w:rPr>
          <w:lang w:val="en-US"/>
        </w:rPr>
        <w:t>ecent act (</w:t>
      </w:r>
      <w:r w:rsidR="001A574A" w:rsidRPr="00306596">
        <w:rPr>
          <w:lang w:val="en-US"/>
        </w:rPr>
        <w:t>Section </w:t>
      </w:r>
      <w:r w:rsidR="006C72E1" w:rsidRPr="002F4174">
        <w:rPr>
          <w:lang w:val="en-US"/>
        </w:rPr>
        <w:t xml:space="preserve">348 of the </w:t>
      </w:r>
      <w:r w:rsidR="006C72E1" w:rsidRPr="000554F5">
        <w:rPr>
          <w:lang w:val="en-US"/>
        </w:rPr>
        <w:t>Penal Law) – Generally, an indecent act committed against a person without his/her</w:t>
      </w:r>
      <w:r w:rsidR="006C72E1" w:rsidRPr="00184F0A">
        <w:rPr>
          <w:lang w:val="en-US"/>
        </w:rPr>
        <w:t xml:space="preserve"> consent </w:t>
      </w:r>
      <w:r w:rsidR="006C72E1" w:rsidRPr="00CF6BA2">
        <w:rPr>
          <w:lang w:val="en-US"/>
        </w:rPr>
        <w:t xml:space="preserve">is punishable by </w:t>
      </w:r>
      <w:r w:rsidR="006C72E1" w:rsidRPr="00FC1D36">
        <w:rPr>
          <w:lang w:val="en-US"/>
        </w:rPr>
        <w:t>three</w:t>
      </w:r>
      <w:r w:rsidR="006C72E1" w:rsidRPr="006A2A41">
        <w:rPr>
          <w:lang w:val="en-US"/>
        </w:rPr>
        <w:t xml:space="preserve"> years of imprisonment</w:t>
      </w:r>
      <w:r w:rsidR="00285CC4" w:rsidRPr="0077256F">
        <w:rPr>
          <w:lang w:val="en-US"/>
        </w:rPr>
        <w:t>. “</w:t>
      </w:r>
      <w:r w:rsidR="006C72E1" w:rsidRPr="00DF7F7F">
        <w:rPr>
          <w:lang w:val="en-US"/>
        </w:rPr>
        <w:t>Indecent act</w:t>
      </w:r>
      <w:r w:rsidR="00285CC4" w:rsidRPr="00FC0B34">
        <w:rPr>
          <w:lang w:val="en-US"/>
        </w:rPr>
        <w:t>”</w:t>
      </w:r>
      <w:r w:rsidR="006C72E1" w:rsidRPr="00BD794C">
        <w:rPr>
          <w:lang w:val="en-US"/>
        </w:rPr>
        <w:t xml:space="preserve"> is defined as an act committed for the purpose of sexual stimulation, grat</w:t>
      </w:r>
      <w:r w:rsidR="006C72E1" w:rsidRPr="00C059FB">
        <w:rPr>
          <w:lang w:val="en-US"/>
        </w:rPr>
        <w:t xml:space="preserve">ification or abasement. If an indecent act is committed under the circumstances set forth in items </w:t>
      </w:r>
      <w:r w:rsidR="006C72E1" w:rsidRPr="00084BFB">
        <w:rPr>
          <w:lang w:val="en-US"/>
        </w:rPr>
        <w:t>(2)</w:t>
      </w:r>
      <w:r w:rsidR="00285CC4" w:rsidRPr="00EC44F2">
        <w:rPr>
          <w:lang w:val="en-US"/>
        </w:rPr>
        <w:t>–</w:t>
      </w:r>
      <w:r w:rsidR="006C72E1" w:rsidRPr="0055270D">
        <w:rPr>
          <w:lang w:val="en-US"/>
        </w:rPr>
        <w:t>(5)</w:t>
      </w:r>
      <w:r w:rsidR="006C72E1" w:rsidRPr="00104D61">
        <w:rPr>
          <w:lang w:val="en-US"/>
        </w:rPr>
        <w:t xml:space="preserve"> in paragraph 34</w:t>
      </w:r>
      <w:r w:rsidR="00BF5123" w:rsidRPr="003268E7">
        <w:rPr>
          <w:lang w:val="en-US"/>
        </w:rPr>
        <w:t xml:space="preserve"> (a)</w:t>
      </w:r>
      <w:r w:rsidR="006C72E1" w:rsidRPr="004C04FF">
        <w:rPr>
          <w:lang w:val="en-US"/>
        </w:rPr>
        <w:t xml:space="preserve"> above, or if it is committed by the use of force of any kind or by threat of using such force – against the victim or against a</w:t>
      </w:r>
      <w:r w:rsidR="006C72E1" w:rsidRPr="001B1D21">
        <w:rPr>
          <w:lang w:val="en-US"/>
        </w:rPr>
        <w:t>nother person, it is punishable by seven years</w:t>
      </w:r>
      <w:r w:rsidR="00D3193A" w:rsidRPr="001B1D21">
        <w:rPr>
          <w:lang w:val="en-US"/>
        </w:rPr>
        <w:t>’</w:t>
      </w:r>
      <w:r w:rsidR="006C72E1" w:rsidRPr="001B1D21">
        <w:rPr>
          <w:lang w:val="en-US"/>
        </w:rPr>
        <w:t xml:space="preserve"> imprisonment. If the indecent act is committed under the circumstances set forth </w:t>
      </w:r>
      <w:r w:rsidR="00177B7B" w:rsidRPr="001B1D21">
        <w:rPr>
          <w:lang w:val="en-US"/>
        </w:rPr>
        <w:t>in items (a)</w:t>
      </w:r>
      <w:r w:rsidR="00BF5123" w:rsidRPr="00BB6955">
        <w:rPr>
          <w:lang w:val="en-US"/>
        </w:rPr>
        <w:t>–</w:t>
      </w:r>
      <w:r w:rsidR="00177B7B" w:rsidRPr="00DB749D">
        <w:rPr>
          <w:lang w:val="en-US"/>
        </w:rPr>
        <w:t>(e)</w:t>
      </w:r>
      <w:r w:rsidR="00177B7B" w:rsidRPr="00B55042">
        <w:rPr>
          <w:lang w:val="en-US"/>
        </w:rPr>
        <w:t xml:space="preserve"> in paragraph </w:t>
      </w:r>
      <w:r w:rsidR="006C72E1" w:rsidRPr="001C2F3E">
        <w:rPr>
          <w:lang w:val="en-US"/>
        </w:rPr>
        <w:t>34</w:t>
      </w:r>
      <w:r w:rsidR="00BF5123" w:rsidRPr="004F4E83">
        <w:rPr>
          <w:lang w:val="en-US"/>
        </w:rPr>
        <w:t xml:space="preserve"> </w:t>
      </w:r>
      <w:r w:rsidR="00BF5123" w:rsidRPr="00E22600">
        <w:rPr>
          <w:lang w:val="en-US"/>
        </w:rPr>
        <w:t>(a)</w:t>
      </w:r>
      <w:r w:rsidR="006C72E1" w:rsidRPr="006208A6">
        <w:rPr>
          <w:lang w:val="en-US"/>
        </w:rPr>
        <w:t xml:space="preserve"> above, it is punishable by 10 years</w:t>
      </w:r>
      <w:r w:rsidR="00D3193A" w:rsidRPr="0048104E">
        <w:rPr>
          <w:lang w:val="en-US"/>
        </w:rPr>
        <w:t>’</w:t>
      </w:r>
      <w:r w:rsidR="006C72E1" w:rsidRPr="0048104E">
        <w:rPr>
          <w:lang w:val="en-US"/>
        </w:rPr>
        <w:t xml:space="preserve"> imprisonment. If the indecent act is committed against </w:t>
      </w:r>
      <w:r w:rsidR="006C72E1" w:rsidRPr="00F9115D">
        <w:rPr>
          <w:lang w:val="en-US"/>
        </w:rPr>
        <w:t xml:space="preserve">a minor </w:t>
      </w:r>
      <w:r w:rsidR="006C72E1" w:rsidRPr="00642B39">
        <w:rPr>
          <w:lang w:val="en-US"/>
        </w:rPr>
        <w:t>who</w:t>
      </w:r>
      <w:r w:rsidR="006C72E1" w:rsidRPr="004118DE">
        <w:rPr>
          <w:lang w:val="en-US"/>
        </w:rPr>
        <w:t xml:space="preserve"> is above </w:t>
      </w:r>
      <w:r w:rsidR="006C72E1" w:rsidRPr="00AC0F5C">
        <w:rPr>
          <w:lang w:val="en-US"/>
        </w:rPr>
        <w:t>1</w:t>
      </w:r>
      <w:r w:rsidR="006C72E1" w:rsidRPr="00A77F7E">
        <w:rPr>
          <w:lang w:val="en-US"/>
        </w:rPr>
        <w:t xml:space="preserve">4 years of age </w:t>
      </w:r>
      <w:r w:rsidR="006C72E1" w:rsidRPr="00EB4700">
        <w:rPr>
          <w:lang w:val="en-US"/>
        </w:rPr>
        <w:t xml:space="preserve">by </w:t>
      </w:r>
      <w:r w:rsidR="006C72E1" w:rsidRPr="0034628F">
        <w:rPr>
          <w:lang w:val="en-US"/>
        </w:rPr>
        <w:t>exploiting relations of dependency</w:t>
      </w:r>
      <w:r w:rsidR="006C72E1" w:rsidRPr="00733758">
        <w:rPr>
          <w:lang w:val="en-US"/>
        </w:rPr>
        <w:t>, authority, education, supervision</w:t>
      </w:r>
      <w:r w:rsidR="006C72E1" w:rsidRPr="00F574E1">
        <w:rPr>
          <w:lang w:val="en-US"/>
        </w:rPr>
        <w:t>, work or service,</w:t>
      </w:r>
      <w:r w:rsidR="006C72E1" w:rsidRPr="00F13CB3">
        <w:rPr>
          <w:lang w:val="en-US"/>
        </w:rPr>
        <w:t xml:space="preserve"> </w:t>
      </w:r>
      <w:r w:rsidR="006C72E1" w:rsidRPr="00D37622">
        <w:rPr>
          <w:lang w:val="en-US"/>
        </w:rPr>
        <w:t>it is punishable by four years</w:t>
      </w:r>
      <w:r w:rsidR="00D3193A" w:rsidRPr="00720CB3">
        <w:rPr>
          <w:lang w:val="en-US"/>
        </w:rPr>
        <w:t>’</w:t>
      </w:r>
      <w:r w:rsidR="006C72E1" w:rsidRPr="000B6109">
        <w:rPr>
          <w:lang w:val="en-US"/>
        </w:rPr>
        <w:t xml:space="preserve"> imprisonment. For this matter, an act as mentioned above committed by a </w:t>
      </w:r>
      <w:r w:rsidR="006C72E1" w:rsidRPr="00A56102">
        <w:rPr>
          <w:lang w:val="en-US"/>
        </w:rPr>
        <w:t>psychotherapist</w:t>
      </w:r>
      <w:r w:rsidR="006C72E1" w:rsidRPr="00673615">
        <w:rPr>
          <w:lang w:val="en-US"/>
        </w:rPr>
        <w:t xml:space="preserve"> against h</w:t>
      </w:r>
      <w:r w:rsidR="006C72E1" w:rsidRPr="00AD553D">
        <w:rPr>
          <w:lang w:val="en-US"/>
        </w:rPr>
        <w:t>is/her patient is considered as committed by exploiting relations of dependency.</w:t>
      </w:r>
    </w:p>
    <w:p w:rsidR="006C72E1" w:rsidRPr="00CF6BA2" w:rsidRDefault="0026169F" w:rsidP="0026169F">
      <w:pPr>
        <w:pStyle w:val="SingleTxtG"/>
        <w:ind w:firstLine="567"/>
        <w:rPr>
          <w:lang w:val="en-US"/>
        </w:rPr>
      </w:pPr>
      <w:r w:rsidRPr="00B43698">
        <w:rPr>
          <w:lang w:val="en-US"/>
        </w:rPr>
        <w:t>(e)</w:t>
      </w:r>
      <w:r w:rsidRPr="00BF5123">
        <w:rPr>
          <w:lang w:val="en-US"/>
        </w:rPr>
        <w:tab/>
      </w:r>
      <w:r w:rsidR="006C72E1" w:rsidRPr="00BF5123">
        <w:rPr>
          <w:lang w:val="en-US"/>
        </w:rPr>
        <w:t>Indecent act in public (</w:t>
      </w:r>
      <w:r w:rsidR="001A574A" w:rsidRPr="00BF5123">
        <w:rPr>
          <w:lang w:val="en-US"/>
        </w:rPr>
        <w:t>Section </w:t>
      </w:r>
      <w:r w:rsidR="006C72E1" w:rsidRPr="00BF5123">
        <w:rPr>
          <w:lang w:val="en-US"/>
        </w:rPr>
        <w:t>349 of the Penal Law</w:t>
      </w:r>
      <w:r w:rsidR="00D54DC8" w:rsidRPr="002E0DDB">
        <w:rPr>
          <w:lang w:val="en-US"/>
        </w:rPr>
        <w:t>) –</w:t>
      </w:r>
      <w:r w:rsidR="006C72E1" w:rsidRPr="002E0DDB">
        <w:rPr>
          <w:lang w:val="en-US"/>
        </w:rPr>
        <w:t xml:space="preserve"> A person committing an indecent act in public in the view of another person without</w:t>
      </w:r>
      <w:r w:rsidR="006C72E1" w:rsidRPr="00B340AC">
        <w:rPr>
          <w:lang w:val="en-US"/>
        </w:rPr>
        <w:t xml:space="preserve"> his/her consent is liable to on</w:t>
      </w:r>
      <w:r w:rsidR="006C72E1" w:rsidRPr="00306596">
        <w:rPr>
          <w:lang w:val="en-US"/>
        </w:rPr>
        <w:t>e year</w:t>
      </w:r>
      <w:r w:rsidR="00BF5123" w:rsidRPr="002F4174">
        <w:rPr>
          <w:lang w:val="en-US"/>
        </w:rPr>
        <w:t xml:space="preserve"> of</w:t>
      </w:r>
      <w:r w:rsidR="006C72E1" w:rsidRPr="000554F5">
        <w:rPr>
          <w:lang w:val="en-US"/>
        </w:rPr>
        <w:t xml:space="preserve"> imprisonment.</w:t>
      </w:r>
      <w:r w:rsidR="006C72E1" w:rsidRPr="00184F0A" w:rsidDel="00BD3D26">
        <w:rPr>
          <w:lang w:val="en-US"/>
        </w:rPr>
        <w:t xml:space="preserve"> </w:t>
      </w:r>
      <w:r w:rsidR="006C72E1" w:rsidRPr="00CF6BA2">
        <w:rPr>
          <w:lang w:val="en-US"/>
        </w:rPr>
        <w:t>If the act is committed, in any place, in the view of a person who is under 16 years of age, the maximum term of imprisonment is three years.</w:t>
      </w:r>
    </w:p>
    <w:p w:rsidR="006C72E1" w:rsidRPr="002C0C4A" w:rsidRDefault="0026169F" w:rsidP="0026169F">
      <w:pPr>
        <w:pStyle w:val="SingleTxtG"/>
        <w:ind w:firstLine="567"/>
        <w:rPr>
          <w:lang w:val="en-US"/>
        </w:rPr>
      </w:pPr>
      <w:r w:rsidRPr="00B43698">
        <w:rPr>
          <w:lang w:val="en-US"/>
        </w:rPr>
        <w:t>(f)</w:t>
      </w:r>
      <w:r w:rsidRPr="00BF5123">
        <w:rPr>
          <w:lang w:val="en-US"/>
        </w:rPr>
        <w:tab/>
      </w:r>
      <w:r w:rsidR="006C72E1" w:rsidRPr="00BF5123">
        <w:rPr>
          <w:lang w:val="en-US"/>
        </w:rPr>
        <w:t>Offenses within the family and offenses by persons responsible for an individual in a sta</w:t>
      </w:r>
      <w:r w:rsidR="006C72E1" w:rsidRPr="002E0DDB">
        <w:rPr>
          <w:lang w:val="en-US"/>
        </w:rPr>
        <w:t>te of helplessness (</w:t>
      </w:r>
      <w:r w:rsidR="001A574A" w:rsidRPr="002E0DDB">
        <w:rPr>
          <w:lang w:val="en-US"/>
        </w:rPr>
        <w:t>Section </w:t>
      </w:r>
      <w:r w:rsidR="006C72E1" w:rsidRPr="00B340AC">
        <w:rPr>
          <w:lang w:val="en-US"/>
        </w:rPr>
        <w:t xml:space="preserve">351(a) of the </w:t>
      </w:r>
      <w:r w:rsidR="006C72E1" w:rsidRPr="00306596">
        <w:rPr>
          <w:lang w:val="en-US"/>
        </w:rPr>
        <w:t>Penal Law</w:t>
      </w:r>
      <w:r w:rsidR="006C72E1" w:rsidRPr="002F4174">
        <w:rPr>
          <w:lang w:val="en-US"/>
        </w:rPr>
        <w:t>) – This provision deals with sexual offenses committed within the family, and prescribes harsher punishments than those prescribed for offenses committed by someone who is not related to the victim.</w:t>
      </w:r>
    </w:p>
    <w:p w:rsidR="006C72E1" w:rsidRPr="002D2C27" w:rsidRDefault="008B3FE2" w:rsidP="002C0C4A">
      <w:pPr>
        <w:pStyle w:val="H1G"/>
        <w:rPr>
          <w:lang w:val="en-US"/>
        </w:rPr>
      </w:pPr>
      <w:r>
        <w:rPr>
          <w:lang w:val="en-US"/>
        </w:rPr>
        <w:tab/>
      </w:r>
      <w:r>
        <w:rPr>
          <w:lang w:val="en-US"/>
        </w:rPr>
        <w:tab/>
      </w:r>
      <w:r w:rsidR="006C72E1" w:rsidRPr="004F5273">
        <w:rPr>
          <w:lang w:val="en-US"/>
        </w:rPr>
        <w:t xml:space="preserve">Child </w:t>
      </w:r>
      <w:r w:rsidR="002C0C4A" w:rsidRPr="004F5273">
        <w:rPr>
          <w:lang w:val="en-US"/>
        </w:rPr>
        <w:t>pornography</w:t>
      </w:r>
    </w:p>
    <w:p w:rsidR="006C72E1" w:rsidRPr="00331ADC" w:rsidRDefault="006C72E1" w:rsidP="006D3B18">
      <w:pPr>
        <w:pStyle w:val="SingleTxtG"/>
        <w:numPr>
          <w:ilvl w:val="0"/>
          <w:numId w:val="12"/>
        </w:numPr>
        <w:ind w:left="1134" w:firstLine="0"/>
      </w:pPr>
      <w:r w:rsidRPr="00331ADC">
        <w:t>The Israeli legislator addresses the phenomenon of pornogr</w:t>
      </w:r>
      <w:r w:rsidR="00CD56FB">
        <w:t>aphy in a comprehensive manner.</w:t>
      </w:r>
    </w:p>
    <w:p w:rsidR="006C72E1" w:rsidRDefault="006C72E1" w:rsidP="006D3B18">
      <w:pPr>
        <w:pStyle w:val="SingleTxtG"/>
        <w:numPr>
          <w:ilvl w:val="0"/>
          <w:numId w:val="12"/>
        </w:numPr>
        <w:ind w:left="1134" w:firstLine="0"/>
      </w:pPr>
      <w:r>
        <w:t xml:space="preserve">The </w:t>
      </w:r>
      <w:r w:rsidRPr="00D54DC8">
        <w:t>Penal Law provides that if a person publishes obscene material or prepares such material for publication, or if a person presents, organizes or produces an obscene display in a public place, or in a place which is not public (other than a private residence or a place used by a group of persons which restricts membership to persons aged 18 years old and above for a continuous period), then he/she shall be liable to three years</w:t>
      </w:r>
      <w:r w:rsidR="00D3193A">
        <w:t>’</w:t>
      </w:r>
      <w:r w:rsidRPr="00D54DC8">
        <w:t xml:space="preserve"> imprisonment (</w:t>
      </w:r>
      <w:r w:rsidR="001A574A" w:rsidRPr="00D54DC8">
        <w:t>Section </w:t>
      </w:r>
      <w:r w:rsidRPr="00D54DC8">
        <w:t>214 of the Penal Law). Additionally, if a person published an obscene publication and it includes the likeness of a minor, including a representation or a drawing of a minor, he/she is liable to five years</w:t>
      </w:r>
      <w:r w:rsidR="00D3193A">
        <w:t>’</w:t>
      </w:r>
      <w:r w:rsidRPr="00D54DC8">
        <w:t xml:space="preserve"> imprisonment (</w:t>
      </w:r>
      <w:r w:rsidR="001A574A" w:rsidRPr="00D54DC8">
        <w:t>Section </w:t>
      </w:r>
      <w:r w:rsidRPr="00D54DC8">
        <w:t>214b of the Penal Law) and if a person utilized the body of a minor in order to advertise an obscenity, or used a minor in the presentation of an obscenity, he/she is liable to seven years</w:t>
      </w:r>
      <w:r w:rsidR="00D3193A">
        <w:t>’</w:t>
      </w:r>
      <w:r w:rsidRPr="00D54DC8">
        <w:t xml:space="preserve"> imprisonment (</w:t>
      </w:r>
      <w:r w:rsidR="001A574A" w:rsidRPr="00D54DC8">
        <w:t>Section </w:t>
      </w:r>
      <w:r w:rsidRPr="00D54DC8">
        <w:t>214(b1) of the Penal Law).</w:t>
      </w:r>
      <w:r>
        <w:t xml:space="preserve"> </w:t>
      </w:r>
    </w:p>
    <w:p w:rsidR="006C72E1" w:rsidRDefault="006C72E1" w:rsidP="006D3B18">
      <w:pPr>
        <w:pStyle w:val="SingleTxtG"/>
        <w:numPr>
          <w:ilvl w:val="0"/>
          <w:numId w:val="12"/>
        </w:numPr>
        <w:ind w:left="1134" w:firstLine="0"/>
      </w:pPr>
      <w:r>
        <w:t xml:space="preserve">As with trafficking in children, the legislator ascribes great importance to the responsibilities of parents and other persons in charge of children. Accordingly, </w:t>
      </w:r>
      <w:r w:rsidRPr="00D54DC8">
        <w:t>the Penal Law provides that i</w:t>
      </w:r>
      <w:r w:rsidR="001A574A" w:rsidRPr="00D54DC8">
        <w:t>f an offense under subsections </w:t>
      </w:r>
      <w:r w:rsidRPr="00D54DC8">
        <w:t xml:space="preserve">214(b) or (b1), as mentioned above, was committed or consented to by a person responsible for a minor, as defined in </w:t>
      </w:r>
      <w:r w:rsidR="001A574A" w:rsidRPr="00D54DC8">
        <w:t>Section </w:t>
      </w:r>
      <w:r w:rsidRPr="00D54DC8">
        <w:t>368A of the Penal Law, then that person is liable to 10 years</w:t>
      </w:r>
      <w:r w:rsidR="00D3193A">
        <w:t>’</w:t>
      </w:r>
      <w:r w:rsidRPr="00D54DC8">
        <w:t xml:space="preserve"> imprisonment (</w:t>
      </w:r>
      <w:r w:rsidR="001A574A" w:rsidRPr="00D54DC8">
        <w:t>Section </w:t>
      </w:r>
      <w:r w:rsidRPr="00D54DC8">
        <w:t xml:space="preserve">214(b2) of the Penal Law). In order to impair the profitability of this commerce and thereby reduce the use of children for pornography, the Penal Law provides that a person having in his/her possession an obscene publication that includes the likeness of a minor, is liable to one year </w:t>
      </w:r>
      <w:r w:rsidR="00BF5123">
        <w:t xml:space="preserve">of </w:t>
      </w:r>
      <w:r w:rsidRPr="00D54DC8">
        <w:t>imprisonment, except where such material was held by coincidence and in good faith (</w:t>
      </w:r>
      <w:r w:rsidR="001A574A" w:rsidRPr="00D54DC8">
        <w:t>Section </w:t>
      </w:r>
      <w:r w:rsidRPr="00D54DC8">
        <w:t>214(b3) of the Penal Law</w:t>
      </w:r>
      <w:r>
        <w:t xml:space="preserve">). </w:t>
      </w:r>
    </w:p>
    <w:p w:rsidR="006C72E1" w:rsidRPr="00D54DC8" w:rsidRDefault="006C72E1" w:rsidP="006D3B18">
      <w:pPr>
        <w:pStyle w:val="SingleTxtG"/>
        <w:numPr>
          <w:ilvl w:val="0"/>
          <w:numId w:val="12"/>
        </w:numPr>
        <w:ind w:left="1134" w:firstLine="0"/>
      </w:pPr>
      <w:r>
        <w:t xml:space="preserve">In order to enable different officials to fulfil their duties, the </w:t>
      </w:r>
      <w:r w:rsidRPr="00D54DC8">
        <w:t>Penal Law states that a person shall not be deemed to have committed an offense under S</w:t>
      </w:r>
      <w:r w:rsidR="001A574A" w:rsidRPr="00D54DC8">
        <w:t>ections </w:t>
      </w:r>
      <w:r w:rsidRPr="00D54DC8">
        <w:t>205A to 205C and 214, if the provision of the information, its publication or the possession thereof was for a legal purpose, including true and fair reporting on the subject of prostitution and obscenity. This, subject to the condition that the provision of information, the publication or the possession are not prohibited under any other law and were not carried out in order to encourage acts prohibited under the Penal Law.</w:t>
      </w:r>
    </w:p>
    <w:p w:rsidR="006C72E1" w:rsidRPr="00B278DC" w:rsidRDefault="008B3FE2" w:rsidP="002C0C4A">
      <w:pPr>
        <w:pStyle w:val="H1G"/>
        <w:rPr>
          <w:lang w:val="en-US"/>
        </w:rPr>
      </w:pPr>
      <w:r>
        <w:rPr>
          <w:lang w:val="en-US"/>
        </w:rPr>
        <w:tab/>
      </w:r>
      <w:r>
        <w:rPr>
          <w:lang w:val="en-US"/>
        </w:rPr>
        <w:tab/>
      </w:r>
      <w:r w:rsidR="006C72E1" w:rsidRPr="004F5273">
        <w:rPr>
          <w:lang w:val="en-US"/>
        </w:rPr>
        <w:t xml:space="preserve">Duty to </w:t>
      </w:r>
      <w:r w:rsidR="002C0C4A" w:rsidRPr="004F5273">
        <w:rPr>
          <w:lang w:val="en-US"/>
        </w:rPr>
        <w:t>report</w:t>
      </w:r>
      <w:r w:rsidR="002C0C4A" w:rsidRPr="00B278DC">
        <w:rPr>
          <w:lang w:val="en-US"/>
        </w:rPr>
        <w:t xml:space="preserve"> </w:t>
      </w:r>
    </w:p>
    <w:p w:rsidR="006C72E1" w:rsidRPr="00C0238E" w:rsidRDefault="006C72E1" w:rsidP="006D3B18">
      <w:pPr>
        <w:pStyle w:val="SingleTxtG"/>
        <w:numPr>
          <w:ilvl w:val="0"/>
          <w:numId w:val="12"/>
        </w:numPr>
        <w:ind w:left="1134" w:firstLine="0"/>
      </w:pPr>
      <w:r w:rsidRPr="00C0238E">
        <w:rPr>
          <w:lang w:val="en-US"/>
        </w:rPr>
        <w:t xml:space="preserve">In order to protect minors, </w:t>
      </w:r>
      <w:r>
        <w:rPr>
          <w:lang w:val="en-US"/>
        </w:rPr>
        <w:t>there is</w:t>
      </w:r>
      <w:r w:rsidRPr="00C0238E">
        <w:rPr>
          <w:lang w:val="en-US"/>
        </w:rPr>
        <w:t xml:space="preserve"> a </w:t>
      </w:r>
      <w:r>
        <w:rPr>
          <w:lang w:val="en-US"/>
        </w:rPr>
        <w:t xml:space="preserve">legislated </w:t>
      </w:r>
      <w:r w:rsidRPr="00C0238E">
        <w:rPr>
          <w:lang w:val="en-US"/>
        </w:rPr>
        <w:t xml:space="preserve">duty to report offenses committed against minors. </w:t>
      </w:r>
      <w:r w:rsidR="001A574A">
        <w:rPr>
          <w:lang w:val="en-US"/>
        </w:rPr>
        <w:t>Section </w:t>
      </w:r>
      <w:r w:rsidRPr="00C0238E">
        <w:rPr>
          <w:lang w:val="en-US"/>
        </w:rPr>
        <w:t xml:space="preserve">368D </w:t>
      </w:r>
      <w:r>
        <w:rPr>
          <w:lang w:val="en-US"/>
        </w:rPr>
        <w:t>of</w:t>
      </w:r>
      <w:r w:rsidRPr="00C0238E">
        <w:rPr>
          <w:lang w:val="en-US"/>
        </w:rPr>
        <w:t xml:space="preserve"> the </w:t>
      </w:r>
      <w:r w:rsidRPr="00D54DC8">
        <w:rPr>
          <w:lang w:val="en-US"/>
        </w:rPr>
        <w:t>Penal Law</w:t>
      </w:r>
      <w:r w:rsidRPr="00C0238E">
        <w:rPr>
          <w:lang w:val="en-US"/>
        </w:rPr>
        <w:t xml:space="preserve"> </w:t>
      </w:r>
      <w:r>
        <w:rPr>
          <w:lang w:val="en-US"/>
        </w:rPr>
        <w:t xml:space="preserve">provides </w:t>
      </w:r>
      <w:r w:rsidRPr="00C0238E">
        <w:rPr>
          <w:lang w:val="en-US"/>
        </w:rPr>
        <w:t xml:space="preserve">that </w:t>
      </w:r>
      <w:r>
        <w:rPr>
          <w:lang w:val="en-US"/>
        </w:rPr>
        <w:t>the following</w:t>
      </w:r>
      <w:r w:rsidRPr="00C0238E">
        <w:rPr>
          <w:lang w:val="en-US"/>
        </w:rPr>
        <w:t xml:space="preserve"> offen</w:t>
      </w:r>
      <w:r>
        <w:rPr>
          <w:lang w:val="en-US"/>
        </w:rPr>
        <w:t>s</w:t>
      </w:r>
      <w:r w:rsidRPr="00C0238E">
        <w:rPr>
          <w:lang w:val="en-US"/>
        </w:rPr>
        <w:t xml:space="preserve">es committed </w:t>
      </w:r>
      <w:r w:rsidRPr="00A370B8">
        <w:rPr>
          <w:lang w:val="en-US"/>
        </w:rPr>
        <w:t>against minors</w:t>
      </w:r>
      <w:r w:rsidR="002E0DDB">
        <w:rPr>
          <w:lang w:val="en-US"/>
        </w:rPr>
        <w:t>,</w:t>
      </w:r>
      <w:r w:rsidRPr="00A370B8">
        <w:rPr>
          <w:lang w:val="en-US"/>
        </w:rPr>
        <w:t xml:space="preserve"> by a person responsible for the minor, must</w:t>
      </w:r>
      <w:r>
        <w:rPr>
          <w:lang w:val="en-US"/>
        </w:rPr>
        <w:t xml:space="preserve"> </w:t>
      </w:r>
      <w:r w:rsidRPr="00C0238E">
        <w:rPr>
          <w:lang w:val="en-US"/>
        </w:rPr>
        <w:t>be reported to a welfare officer or to the Police</w:t>
      </w:r>
      <w:r w:rsidRPr="00C0238E">
        <w:t>:</w:t>
      </w:r>
    </w:p>
    <w:p w:rsidR="006C72E1" w:rsidRPr="00C0238E" w:rsidRDefault="00CB0119" w:rsidP="005E72AA">
      <w:pPr>
        <w:pStyle w:val="SingleTxtG"/>
        <w:ind w:firstLine="567"/>
      </w:pPr>
      <w:r w:rsidRPr="00E366AE">
        <w:t>(</w:t>
      </w:r>
      <w:r w:rsidR="00052715">
        <w:t>a</w:t>
      </w:r>
      <w:r w:rsidRPr="00E366AE">
        <w:t>)</w:t>
      </w:r>
      <w:r w:rsidR="00D71D10">
        <w:tab/>
      </w:r>
      <w:r w:rsidR="006C72E1" w:rsidRPr="00C0238E">
        <w:t>Prostitution and obscenity offense</w:t>
      </w:r>
      <w:r w:rsidR="002E0DDB">
        <w:t>s</w:t>
      </w:r>
      <w:r w:rsidR="006C72E1" w:rsidRPr="00C0238E">
        <w:t xml:space="preserve"> </w:t>
      </w:r>
      <w:r w:rsidR="006C72E1">
        <w:t>under</w:t>
      </w:r>
      <w:r w:rsidR="001A574A">
        <w:t xml:space="preserve"> Sections </w:t>
      </w:r>
      <w:r w:rsidR="006C72E1" w:rsidRPr="00C0238E">
        <w:t>199, 201, 202, 203, 203B, 203C, 205A and 214(B1);</w:t>
      </w:r>
    </w:p>
    <w:p w:rsidR="006C72E1" w:rsidRPr="00C0238E" w:rsidRDefault="00CB0119" w:rsidP="005E72AA">
      <w:pPr>
        <w:pStyle w:val="SingleTxtG"/>
        <w:ind w:firstLine="567"/>
      </w:pPr>
      <w:r>
        <w:t>(</w:t>
      </w:r>
      <w:r w:rsidR="00052715">
        <w:t>b</w:t>
      </w:r>
      <w:r w:rsidR="00D71D10" w:rsidRPr="00E366AE">
        <w:t>)</w:t>
      </w:r>
      <w:r w:rsidR="00D71D10">
        <w:tab/>
      </w:r>
      <w:r w:rsidR="006C72E1" w:rsidRPr="00C0238E">
        <w:t xml:space="preserve">An offense of endangering life and health </w:t>
      </w:r>
      <w:r w:rsidR="006C72E1">
        <w:t>under</w:t>
      </w:r>
      <w:r w:rsidR="006C72E1" w:rsidRPr="00C0238E">
        <w:t xml:space="preserve"> </w:t>
      </w:r>
      <w:r w:rsidR="001A574A">
        <w:t>Section </w:t>
      </w:r>
      <w:r w:rsidR="006C72E1" w:rsidRPr="00C0238E">
        <w:t xml:space="preserve">337; </w:t>
      </w:r>
    </w:p>
    <w:p w:rsidR="006C72E1" w:rsidRPr="00C0238E" w:rsidRDefault="00D71D10" w:rsidP="005E72AA">
      <w:pPr>
        <w:pStyle w:val="SingleTxtG"/>
        <w:ind w:firstLine="567"/>
      </w:pPr>
      <w:r>
        <w:t>(</w:t>
      </w:r>
      <w:r w:rsidR="00052715">
        <w:t>c</w:t>
      </w:r>
      <w:r w:rsidRPr="00E366AE">
        <w:t>)</w:t>
      </w:r>
      <w:r>
        <w:tab/>
      </w:r>
      <w:r w:rsidR="006C72E1" w:rsidRPr="00C0238E">
        <w:t xml:space="preserve">A sexual offense </w:t>
      </w:r>
      <w:r w:rsidR="006C72E1">
        <w:t xml:space="preserve">under </w:t>
      </w:r>
      <w:r w:rsidR="001A574A">
        <w:t>Sections </w:t>
      </w:r>
      <w:r w:rsidR="006C72E1" w:rsidRPr="00C0238E">
        <w:t>345, 346, 347, 347A, 348 and 351;</w:t>
      </w:r>
    </w:p>
    <w:p w:rsidR="006C72E1" w:rsidRPr="00C0238E" w:rsidRDefault="00D71D10" w:rsidP="005E72AA">
      <w:pPr>
        <w:pStyle w:val="SingleTxtG"/>
        <w:ind w:firstLine="567"/>
      </w:pPr>
      <w:r>
        <w:t>(</w:t>
      </w:r>
      <w:r w:rsidR="00052715">
        <w:t>d</w:t>
      </w:r>
      <w:r w:rsidRPr="00E366AE">
        <w:t>)</w:t>
      </w:r>
      <w:r>
        <w:tab/>
      </w:r>
      <w:r w:rsidR="006C72E1" w:rsidRPr="00C0238E">
        <w:t xml:space="preserve">An offense of abandonment or neglect </w:t>
      </w:r>
      <w:r w:rsidR="006C72E1">
        <w:t xml:space="preserve">under </w:t>
      </w:r>
      <w:r w:rsidR="001A574A">
        <w:t>Sections </w:t>
      </w:r>
      <w:r w:rsidR="006C72E1" w:rsidRPr="00C0238E">
        <w:t>361 and 362;</w:t>
      </w:r>
    </w:p>
    <w:p w:rsidR="006C72E1" w:rsidRPr="00C0238E" w:rsidRDefault="00D71D10" w:rsidP="005E72AA">
      <w:pPr>
        <w:pStyle w:val="SingleTxtG"/>
        <w:ind w:firstLine="567"/>
      </w:pPr>
      <w:r>
        <w:t>(</w:t>
      </w:r>
      <w:r w:rsidR="00052715">
        <w:t>e</w:t>
      </w:r>
      <w:r w:rsidRPr="00E366AE">
        <w:t>)</w:t>
      </w:r>
      <w:r>
        <w:tab/>
      </w:r>
      <w:r w:rsidR="006C72E1" w:rsidRPr="00C0238E">
        <w:t xml:space="preserve">An offense of assault or abuse </w:t>
      </w:r>
      <w:r w:rsidR="006C72E1">
        <w:t>under Sections</w:t>
      </w:r>
      <w:r w:rsidR="001A574A">
        <w:t> </w:t>
      </w:r>
      <w:r w:rsidR="002728B2">
        <w:t>368B and 368C;</w:t>
      </w:r>
    </w:p>
    <w:p w:rsidR="006C72E1" w:rsidRPr="00C0238E" w:rsidRDefault="00D71D10" w:rsidP="005E72AA">
      <w:pPr>
        <w:pStyle w:val="SingleTxtG"/>
        <w:ind w:firstLine="567"/>
      </w:pPr>
      <w:r>
        <w:t>(</w:t>
      </w:r>
      <w:r w:rsidR="00052715">
        <w:t>f</w:t>
      </w:r>
      <w:r w:rsidRPr="00E366AE">
        <w:t>)</w:t>
      </w:r>
      <w:r>
        <w:tab/>
      </w:r>
      <w:r w:rsidR="006C72E1" w:rsidRPr="00C0238E">
        <w:t>An offen</w:t>
      </w:r>
      <w:r w:rsidR="006C72E1">
        <w:t>s</w:t>
      </w:r>
      <w:r w:rsidR="006C72E1" w:rsidRPr="00C0238E">
        <w:t xml:space="preserve">e of trafficking in persons </w:t>
      </w:r>
      <w:r w:rsidR="006C72E1">
        <w:t xml:space="preserve">under </w:t>
      </w:r>
      <w:r w:rsidR="001A574A">
        <w:t>Section </w:t>
      </w:r>
      <w:r w:rsidR="00052715">
        <w:t>377A.</w:t>
      </w:r>
    </w:p>
    <w:p w:rsidR="006C72E1" w:rsidRPr="00C0238E" w:rsidRDefault="006C72E1" w:rsidP="006D3B18">
      <w:pPr>
        <w:pStyle w:val="SingleTxtG"/>
        <w:numPr>
          <w:ilvl w:val="0"/>
          <w:numId w:val="12"/>
        </w:numPr>
        <w:ind w:left="1134" w:firstLine="0"/>
        <w:rPr>
          <w:lang w:val="en-US"/>
        </w:rPr>
      </w:pPr>
      <w:r w:rsidRPr="00C0238E">
        <w:rPr>
          <w:lang w:val="en-US"/>
        </w:rPr>
        <w:t xml:space="preserve">The duty to report is </w:t>
      </w:r>
      <w:r>
        <w:rPr>
          <w:lang w:val="en-US"/>
        </w:rPr>
        <w:t xml:space="preserve">imposed </w:t>
      </w:r>
      <w:r w:rsidRPr="00C0238E">
        <w:rPr>
          <w:lang w:val="en-US"/>
        </w:rPr>
        <w:t>on</w:t>
      </w:r>
      <w:r>
        <w:rPr>
          <w:lang w:val="en-US"/>
        </w:rPr>
        <w:t xml:space="preserve"> a</w:t>
      </w:r>
      <w:r w:rsidRPr="00C0238E">
        <w:rPr>
          <w:lang w:val="en-US"/>
        </w:rPr>
        <w:t>ny person who has reasonable ground</w:t>
      </w:r>
      <w:r>
        <w:rPr>
          <w:lang w:val="en-US"/>
        </w:rPr>
        <w:t>s</w:t>
      </w:r>
      <w:r w:rsidRPr="00C0238E">
        <w:rPr>
          <w:lang w:val="en-US"/>
        </w:rPr>
        <w:t xml:space="preserve"> to believe that such a crime was committed, on a person in charge of the minor, on a professional (physician, nurse, educator, social worker, social welfare employee, policeman, psychologist, criminologist</w:t>
      </w:r>
      <w:r>
        <w:rPr>
          <w:lang w:val="en-US"/>
        </w:rPr>
        <w:t xml:space="preserve">, </w:t>
      </w:r>
      <w:r w:rsidRPr="00C0238E">
        <w:rPr>
          <w:lang w:val="en-US"/>
        </w:rPr>
        <w:t xml:space="preserve">paramedic, director or staff member of a home or institution in which minors or persons under care live) in the course of his/her professional activity or responsibility. Violation of </w:t>
      </w:r>
      <w:r>
        <w:rPr>
          <w:lang w:val="en-US"/>
        </w:rPr>
        <w:t>this</w:t>
      </w:r>
      <w:r w:rsidRPr="00C0238E">
        <w:rPr>
          <w:lang w:val="en-US"/>
        </w:rPr>
        <w:t xml:space="preserve"> duty constitutes an offen</w:t>
      </w:r>
      <w:r>
        <w:rPr>
          <w:lang w:val="en-US"/>
        </w:rPr>
        <w:t>s</w:t>
      </w:r>
      <w:r w:rsidRPr="00C0238E">
        <w:rPr>
          <w:lang w:val="en-US"/>
        </w:rPr>
        <w:t>e punishable by three to six months</w:t>
      </w:r>
      <w:r w:rsidR="00B340AC">
        <w:rPr>
          <w:lang w:val="en-US"/>
        </w:rPr>
        <w:t>’</w:t>
      </w:r>
      <w:r w:rsidRPr="00C0238E">
        <w:rPr>
          <w:lang w:val="en-US"/>
        </w:rPr>
        <w:t xml:space="preserve"> imprisonment. </w:t>
      </w:r>
    </w:p>
    <w:p w:rsidR="006C72E1" w:rsidRPr="002D2C27" w:rsidRDefault="002F78E7" w:rsidP="00075DDC">
      <w:pPr>
        <w:pStyle w:val="H1G"/>
        <w:rPr>
          <w:lang w:val="en-US"/>
        </w:rPr>
      </w:pPr>
      <w:r>
        <w:rPr>
          <w:lang w:val="en-US"/>
        </w:rPr>
        <w:tab/>
      </w:r>
      <w:r w:rsidR="008B3FE2">
        <w:rPr>
          <w:lang w:val="en-US"/>
        </w:rPr>
        <w:tab/>
      </w:r>
      <w:r w:rsidR="000416BC">
        <w:rPr>
          <w:lang w:val="en-US"/>
        </w:rPr>
        <w:t>Article </w:t>
      </w:r>
      <w:r w:rsidR="00BA6EF3">
        <w:rPr>
          <w:lang w:val="en-US"/>
        </w:rPr>
        <w:t>3</w:t>
      </w:r>
      <w:r w:rsidR="00075DDC">
        <w:rPr>
          <w:lang w:val="en-US"/>
        </w:rPr>
        <w:t xml:space="preserve"> </w:t>
      </w:r>
      <w:r w:rsidR="00BA6EF3">
        <w:rPr>
          <w:lang w:val="en-US"/>
        </w:rPr>
        <w:t xml:space="preserve">(1) – </w:t>
      </w:r>
      <w:r w:rsidR="006C72E1" w:rsidRPr="00EA4CB2">
        <w:rPr>
          <w:lang w:val="en-US"/>
        </w:rPr>
        <w:t xml:space="preserve">Commission of </w:t>
      </w:r>
      <w:r w:rsidR="002C0C4A" w:rsidRPr="00E8620E">
        <w:rPr>
          <w:lang w:val="en-US"/>
        </w:rPr>
        <w:t>o</w:t>
      </w:r>
      <w:r w:rsidR="002C0C4A" w:rsidRPr="00434D0B">
        <w:rPr>
          <w:lang w:val="en-US"/>
        </w:rPr>
        <w:t xml:space="preserve">ffenses </w:t>
      </w:r>
      <w:r w:rsidR="006C72E1" w:rsidRPr="00434D0B">
        <w:rPr>
          <w:lang w:val="en-US"/>
        </w:rPr>
        <w:t xml:space="preserve">on an </w:t>
      </w:r>
      <w:r w:rsidR="002C0C4A" w:rsidRPr="00434D0B">
        <w:rPr>
          <w:lang w:val="en-US"/>
        </w:rPr>
        <w:t>organized b</w:t>
      </w:r>
      <w:r w:rsidR="002C0C4A" w:rsidRPr="001D0A7D">
        <w:rPr>
          <w:lang w:val="en-US"/>
        </w:rPr>
        <w:t>as</w:t>
      </w:r>
      <w:r w:rsidR="002C0C4A" w:rsidRPr="00910E23">
        <w:rPr>
          <w:lang w:val="en-US"/>
        </w:rPr>
        <w:t>i</w:t>
      </w:r>
      <w:r w:rsidR="002C0C4A" w:rsidRPr="000F7B05">
        <w:rPr>
          <w:lang w:val="en-US"/>
        </w:rPr>
        <w:t>s</w:t>
      </w:r>
    </w:p>
    <w:p w:rsidR="00CB0119" w:rsidRDefault="008B3FE2" w:rsidP="004A2FC9">
      <w:pPr>
        <w:pStyle w:val="H23G"/>
        <w:rPr>
          <w:snapToGrid w:val="0"/>
          <w:lang w:val="en-US"/>
        </w:rPr>
      </w:pPr>
      <w:r>
        <w:rPr>
          <w:lang w:val="en-US"/>
        </w:rPr>
        <w:tab/>
      </w:r>
      <w:r w:rsidR="00CB0119" w:rsidRPr="00CB0119">
        <w:rPr>
          <w:lang w:val="en-US"/>
        </w:rPr>
        <w:tab/>
      </w:r>
      <w:r w:rsidR="006C72E1" w:rsidRPr="00503725">
        <w:rPr>
          <w:lang w:val="en-US"/>
        </w:rPr>
        <w:t xml:space="preserve">The </w:t>
      </w:r>
      <w:r w:rsidR="006C72E1" w:rsidRPr="007675D9">
        <w:rPr>
          <w:lang w:val="en-US"/>
        </w:rPr>
        <w:t xml:space="preserve">commission </w:t>
      </w:r>
      <w:r w:rsidR="006C72E1" w:rsidRPr="007675D9">
        <w:rPr>
          <w:snapToGrid w:val="0"/>
          <w:lang w:val="en-US"/>
        </w:rPr>
        <w:t>of</w:t>
      </w:r>
      <w:r w:rsidR="006C72E1" w:rsidRPr="007675D9">
        <w:rPr>
          <w:lang w:val="en-US"/>
        </w:rPr>
        <w:t xml:space="preserve"> offen</w:t>
      </w:r>
      <w:r w:rsidR="006C72E1" w:rsidRPr="000F7B05">
        <w:rPr>
          <w:lang w:val="en-US"/>
        </w:rPr>
        <w:t>ses individually or on an organized basis</w:t>
      </w:r>
    </w:p>
    <w:p w:rsidR="006C72E1" w:rsidRPr="004F5273" w:rsidRDefault="006C72E1" w:rsidP="00306596">
      <w:pPr>
        <w:pStyle w:val="SingleTxtG"/>
        <w:numPr>
          <w:ilvl w:val="0"/>
          <w:numId w:val="12"/>
        </w:numPr>
        <w:ind w:left="1134" w:firstLine="0"/>
        <w:rPr>
          <w:snapToGrid w:val="0"/>
          <w:lang w:val="en-US"/>
        </w:rPr>
      </w:pPr>
      <w:r w:rsidRPr="00EA4CB2">
        <w:rPr>
          <w:snapToGrid w:val="0"/>
          <w:lang w:val="en-US"/>
        </w:rPr>
        <w:t>In</w:t>
      </w:r>
      <w:r w:rsidRPr="002D2C27">
        <w:rPr>
          <w:snapToGrid w:val="0"/>
          <w:lang w:val="en-US"/>
        </w:rPr>
        <w:t xml:space="preserve"> accordance with the requirement of </w:t>
      </w:r>
      <w:r w:rsidR="000416BC">
        <w:rPr>
          <w:snapToGrid w:val="0"/>
          <w:lang w:val="en-US"/>
        </w:rPr>
        <w:t>Article </w:t>
      </w:r>
      <w:r>
        <w:rPr>
          <w:snapToGrid w:val="0"/>
          <w:lang w:val="en-US"/>
        </w:rPr>
        <w:t>3(1) of the Protocol</w:t>
      </w:r>
      <w:r w:rsidRPr="002D2C27">
        <w:rPr>
          <w:snapToGrid w:val="0"/>
          <w:lang w:val="en-US"/>
        </w:rPr>
        <w:t xml:space="preserve">, </w:t>
      </w:r>
      <w:r w:rsidRPr="002D2C27">
        <w:rPr>
          <w:lang w:val="en-US"/>
        </w:rPr>
        <w:t xml:space="preserve">the </w:t>
      </w:r>
      <w:r w:rsidRPr="00D54DC8">
        <w:rPr>
          <w:snapToGrid w:val="0"/>
          <w:lang w:val="en-US"/>
        </w:rPr>
        <w:t xml:space="preserve">Battle Against Organized Crime Law 5763 – 2003 creates separate criminal offenses for criminal activity committed as a part of an organized crime </w:t>
      </w:r>
      <w:r w:rsidRPr="00D54DC8">
        <w:rPr>
          <w:lang w:val="en-US"/>
        </w:rPr>
        <w:t>group</w:t>
      </w:r>
      <w:r w:rsidRPr="00D54DC8">
        <w:rPr>
          <w:snapToGrid w:val="0"/>
          <w:lang w:val="en-US"/>
        </w:rPr>
        <w:t xml:space="preserve"> and states that if a crime</w:t>
      </w:r>
      <w:r w:rsidRPr="002D2C27">
        <w:rPr>
          <w:snapToGrid w:val="0"/>
          <w:lang w:val="en-US"/>
        </w:rPr>
        <w:t xml:space="preserve"> is committed in the context of organized crime, its maximum punishment is double the punishment of that crime, but may not exceed 25 years</w:t>
      </w:r>
      <w:r w:rsidR="00D3193A">
        <w:rPr>
          <w:snapToGrid w:val="0"/>
          <w:lang w:val="en-US"/>
        </w:rPr>
        <w:t>’</w:t>
      </w:r>
      <w:r w:rsidRPr="002D2C27">
        <w:rPr>
          <w:snapToGrid w:val="0"/>
          <w:lang w:val="en-US"/>
        </w:rPr>
        <w:t xml:space="preserve"> imprisonment. This provision applies to </w:t>
      </w:r>
      <w:r>
        <w:rPr>
          <w:snapToGrid w:val="0"/>
          <w:lang w:val="en-US"/>
        </w:rPr>
        <w:t>“</w:t>
      </w:r>
      <w:r w:rsidRPr="002D2C27">
        <w:rPr>
          <w:snapToGrid w:val="0"/>
          <w:lang w:val="en-US"/>
        </w:rPr>
        <w:t>crimes</w:t>
      </w:r>
      <w:r>
        <w:rPr>
          <w:snapToGrid w:val="0"/>
          <w:lang w:val="en-US"/>
        </w:rPr>
        <w:t>”</w:t>
      </w:r>
      <w:r w:rsidRPr="002D2C27">
        <w:rPr>
          <w:snapToGrid w:val="0"/>
          <w:lang w:val="en-US"/>
        </w:rPr>
        <w:t xml:space="preserve">, </w:t>
      </w:r>
      <w:r>
        <w:rPr>
          <w:snapToGrid w:val="0"/>
          <w:lang w:val="en-US"/>
        </w:rPr>
        <w:t xml:space="preserve">which is </w:t>
      </w:r>
      <w:r w:rsidRPr="002D2C27">
        <w:rPr>
          <w:snapToGrid w:val="0"/>
          <w:lang w:val="en-US"/>
        </w:rPr>
        <w:t>defined as offen</w:t>
      </w:r>
      <w:r>
        <w:rPr>
          <w:snapToGrid w:val="0"/>
          <w:lang w:val="en-US"/>
        </w:rPr>
        <w:t>s</w:t>
      </w:r>
      <w:r w:rsidRPr="002D2C27">
        <w:rPr>
          <w:snapToGrid w:val="0"/>
          <w:lang w:val="en-US"/>
        </w:rPr>
        <w:t xml:space="preserve">es </w:t>
      </w:r>
      <w:r>
        <w:rPr>
          <w:snapToGrid w:val="0"/>
          <w:lang w:val="en-US"/>
        </w:rPr>
        <w:t xml:space="preserve">the commission of which is punishable by a prison term of </w:t>
      </w:r>
      <w:r w:rsidRPr="002D2C27">
        <w:rPr>
          <w:snapToGrid w:val="0"/>
          <w:lang w:val="en-US"/>
        </w:rPr>
        <w:t xml:space="preserve">more than </w:t>
      </w:r>
      <w:r>
        <w:rPr>
          <w:snapToGrid w:val="0"/>
          <w:lang w:val="en-US"/>
        </w:rPr>
        <w:t>three</w:t>
      </w:r>
      <w:r w:rsidRPr="002D2C27">
        <w:rPr>
          <w:snapToGrid w:val="0"/>
          <w:lang w:val="en-US"/>
        </w:rPr>
        <w:t xml:space="preserve"> years</w:t>
      </w:r>
      <w:r>
        <w:rPr>
          <w:snapToGrid w:val="0"/>
          <w:lang w:val="en-US"/>
        </w:rPr>
        <w:t xml:space="preserve">. As such, </w:t>
      </w:r>
      <w:r w:rsidRPr="004F5273">
        <w:rPr>
          <w:snapToGrid w:val="0"/>
          <w:lang w:val="en-US"/>
        </w:rPr>
        <w:t xml:space="preserve">the great majority of </w:t>
      </w:r>
      <w:r>
        <w:rPr>
          <w:snapToGrid w:val="0"/>
          <w:lang w:val="en-US"/>
        </w:rPr>
        <w:t>offense</w:t>
      </w:r>
      <w:r w:rsidRPr="004F5273">
        <w:rPr>
          <w:snapToGrid w:val="0"/>
          <w:lang w:val="en-US"/>
        </w:rPr>
        <w:t>s detailed above</w:t>
      </w:r>
      <w:r>
        <w:rPr>
          <w:snapToGrid w:val="0"/>
          <w:lang w:val="en-US"/>
        </w:rPr>
        <w:t xml:space="preserve"> fall within the scope of this provision. </w:t>
      </w:r>
    </w:p>
    <w:p w:rsidR="00CB0119" w:rsidRDefault="008B3FE2" w:rsidP="004A2FC9">
      <w:pPr>
        <w:pStyle w:val="H23G"/>
        <w:rPr>
          <w:snapToGrid w:val="0"/>
          <w:lang w:val="en-US"/>
        </w:rPr>
      </w:pPr>
      <w:r>
        <w:rPr>
          <w:snapToGrid w:val="0"/>
          <w:lang w:val="en-US"/>
        </w:rPr>
        <w:tab/>
      </w:r>
      <w:r>
        <w:rPr>
          <w:snapToGrid w:val="0"/>
          <w:lang w:val="en-US"/>
        </w:rPr>
        <w:tab/>
      </w:r>
      <w:r w:rsidR="006C72E1" w:rsidRPr="00262CA1">
        <w:rPr>
          <w:snapToGrid w:val="0"/>
          <w:lang w:val="en-US"/>
        </w:rPr>
        <w:t>Statute of limitations</w:t>
      </w:r>
    </w:p>
    <w:p w:rsidR="006C72E1" w:rsidRPr="00262CA1" w:rsidRDefault="006C72E1" w:rsidP="00D03982">
      <w:pPr>
        <w:pStyle w:val="SingleTxtG"/>
        <w:numPr>
          <w:ilvl w:val="0"/>
          <w:numId w:val="12"/>
        </w:numPr>
        <w:ind w:left="1134" w:firstLine="0"/>
        <w:rPr>
          <w:snapToGrid w:val="0"/>
          <w:lang w:val="en-US"/>
        </w:rPr>
      </w:pPr>
      <w:r w:rsidRPr="00262CA1">
        <w:rPr>
          <w:snapToGrid w:val="0"/>
          <w:lang w:val="en-US"/>
        </w:rPr>
        <w:t xml:space="preserve">As a rule, according to </w:t>
      </w:r>
      <w:r w:rsidR="001A574A">
        <w:rPr>
          <w:snapToGrid w:val="0"/>
          <w:lang w:val="en-US"/>
        </w:rPr>
        <w:t>Section </w:t>
      </w:r>
      <w:r w:rsidRPr="00262CA1">
        <w:rPr>
          <w:snapToGrid w:val="0"/>
          <w:lang w:val="en-US"/>
        </w:rPr>
        <w:t xml:space="preserve">9 to the </w:t>
      </w:r>
      <w:r w:rsidRPr="00D54DC8">
        <w:rPr>
          <w:snapToGrid w:val="0"/>
          <w:lang w:val="en-US"/>
        </w:rPr>
        <w:t>Criminal Procedure Law [Consolidated Version]</w:t>
      </w:r>
      <w:r w:rsidRPr="00D54DC8">
        <w:rPr>
          <w:snapToGrid w:val="0"/>
          <w:rtl/>
          <w:lang w:val="en-US"/>
        </w:rPr>
        <w:t xml:space="preserve"> </w:t>
      </w:r>
      <w:r w:rsidRPr="00D54DC8">
        <w:rPr>
          <w:snapToGrid w:val="0"/>
          <w:lang w:val="en-US"/>
        </w:rPr>
        <w:t>5742-1982, a person may not be indicted</w:t>
      </w:r>
      <w:r w:rsidRPr="00262CA1">
        <w:rPr>
          <w:snapToGrid w:val="0"/>
          <w:lang w:val="en-US"/>
        </w:rPr>
        <w:t xml:space="preserve"> for an offense if the following terms have elapsed since the date of its occurrence: in an offense defined as a felony, attended by a penalty</w:t>
      </w:r>
      <w:r w:rsidR="00D03982">
        <w:rPr>
          <w:snapToGrid w:val="0"/>
          <w:lang w:val="en-US"/>
        </w:rPr>
        <w:t xml:space="preserve"> of death or life imprisonment –</w:t>
      </w:r>
      <w:r w:rsidRPr="00262CA1">
        <w:rPr>
          <w:snapToGrid w:val="0"/>
          <w:lang w:val="en-US"/>
        </w:rPr>
        <w:t xml:space="preserve"> t</w:t>
      </w:r>
      <w:r w:rsidR="00BA6EF3">
        <w:rPr>
          <w:snapToGrid w:val="0"/>
          <w:lang w:val="en-US"/>
        </w:rPr>
        <w:t>wenty years; in another felony –</w:t>
      </w:r>
      <w:r w:rsidRPr="00262CA1">
        <w:rPr>
          <w:snapToGrid w:val="0"/>
          <w:lang w:val="en-US"/>
        </w:rPr>
        <w:t xml:space="preserve"> ten years; in a misdemeanor </w:t>
      </w:r>
      <w:r w:rsidR="00D03982">
        <w:rPr>
          <w:snapToGrid w:val="0"/>
          <w:lang w:val="en-US"/>
        </w:rPr>
        <w:t>–</w:t>
      </w:r>
      <w:r w:rsidRPr="00262CA1">
        <w:rPr>
          <w:snapToGrid w:val="0"/>
          <w:lang w:val="en-US"/>
        </w:rPr>
        <w:t xml:space="preserve"> five years; in a transgression </w:t>
      </w:r>
      <w:r w:rsidR="00BA6EF3">
        <w:rPr>
          <w:snapToGrid w:val="0"/>
          <w:lang w:val="en-US"/>
        </w:rPr>
        <w:t>–</w:t>
      </w:r>
      <w:r w:rsidRPr="00262CA1">
        <w:rPr>
          <w:snapToGrid w:val="0"/>
          <w:lang w:val="en-US"/>
        </w:rPr>
        <w:t xml:space="preserve"> one year. </w:t>
      </w:r>
    </w:p>
    <w:p w:rsidR="006C72E1" w:rsidRPr="009D7729" w:rsidRDefault="006C72E1" w:rsidP="006D3B18">
      <w:pPr>
        <w:pStyle w:val="SingleTxtG"/>
        <w:numPr>
          <w:ilvl w:val="0"/>
          <w:numId w:val="12"/>
        </w:numPr>
        <w:ind w:left="1134" w:firstLine="0"/>
        <w:rPr>
          <w:snapToGrid w:val="0"/>
          <w:lang w:val="en-US"/>
        </w:rPr>
      </w:pPr>
      <w:r w:rsidRPr="009D7729">
        <w:rPr>
          <w:snapToGrid w:val="0"/>
          <w:lang w:val="en-US"/>
        </w:rPr>
        <w:t>In certain sexual offenses committed against a minor, the period of limitation begins the day the victim reaches the age of 28. However, if ten years have elapsed since the offense was committed, filing an indictment requires the approval of the Attorney General (</w:t>
      </w:r>
      <w:r w:rsidR="001A574A">
        <w:rPr>
          <w:snapToGrid w:val="0"/>
          <w:lang w:val="en-US"/>
        </w:rPr>
        <w:t>Section </w:t>
      </w:r>
      <w:r w:rsidRPr="009D7729">
        <w:rPr>
          <w:snapToGrid w:val="0"/>
          <w:lang w:val="en-US"/>
        </w:rPr>
        <w:t xml:space="preserve">354 of the </w:t>
      </w:r>
      <w:r w:rsidRPr="009D7729">
        <w:rPr>
          <w:iCs/>
          <w:snapToGrid w:val="0"/>
          <w:lang w:val="en-US"/>
        </w:rPr>
        <w:t>Penal Law</w:t>
      </w:r>
      <w:r w:rsidRPr="009D7729">
        <w:rPr>
          <w:snapToGrid w:val="0"/>
          <w:lang w:val="en-US"/>
        </w:rPr>
        <w:t>).</w:t>
      </w:r>
    </w:p>
    <w:p w:rsidR="006C72E1" w:rsidRPr="002D2C27" w:rsidRDefault="008B3FE2" w:rsidP="002C0C4A">
      <w:pPr>
        <w:pStyle w:val="H1G"/>
        <w:rPr>
          <w:lang w:val="en-US" w:bidi="he-IL"/>
        </w:rPr>
      </w:pPr>
      <w:r>
        <w:rPr>
          <w:lang w:val="en-US" w:bidi="he-IL"/>
        </w:rPr>
        <w:tab/>
      </w:r>
      <w:r>
        <w:rPr>
          <w:lang w:val="en-US" w:bidi="he-IL"/>
        </w:rPr>
        <w:tab/>
      </w:r>
      <w:r w:rsidR="000416BC">
        <w:rPr>
          <w:lang w:val="en-US"/>
        </w:rPr>
        <w:t>Article </w:t>
      </w:r>
      <w:r w:rsidR="00D424C9">
        <w:rPr>
          <w:lang w:val="en-US"/>
        </w:rPr>
        <w:t>3</w:t>
      </w:r>
      <w:r w:rsidR="00075DDC">
        <w:rPr>
          <w:lang w:val="en-US"/>
        </w:rPr>
        <w:t xml:space="preserve"> </w:t>
      </w:r>
      <w:r w:rsidR="00D424C9">
        <w:rPr>
          <w:lang w:val="en-US"/>
        </w:rPr>
        <w:t xml:space="preserve">(2) – </w:t>
      </w:r>
      <w:r w:rsidR="006C72E1" w:rsidRPr="004F5273">
        <w:rPr>
          <w:lang w:val="en-US" w:bidi="he-IL"/>
        </w:rPr>
        <w:t xml:space="preserve">Attempt, </w:t>
      </w:r>
      <w:r w:rsidR="002C0C4A" w:rsidRPr="004F5273">
        <w:rPr>
          <w:lang w:val="en-US" w:bidi="he-IL"/>
        </w:rPr>
        <w:t xml:space="preserve">complicity </w:t>
      </w:r>
      <w:r w:rsidR="006C72E1" w:rsidRPr="004F5273">
        <w:rPr>
          <w:lang w:val="en-US" w:bidi="he-IL"/>
        </w:rPr>
        <w:t xml:space="preserve">and </w:t>
      </w:r>
      <w:r w:rsidR="002C0C4A" w:rsidRPr="004F5273">
        <w:rPr>
          <w:lang w:val="en-US" w:bidi="he-IL"/>
        </w:rPr>
        <w:t>participation</w:t>
      </w:r>
    </w:p>
    <w:p w:rsidR="006C72E1" w:rsidRPr="009D7729" w:rsidRDefault="000416BC" w:rsidP="00C71688">
      <w:pPr>
        <w:pStyle w:val="SingleTxtG"/>
        <w:numPr>
          <w:ilvl w:val="0"/>
          <w:numId w:val="12"/>
        </w:numPr>
        <w:ind w:left="1134" w:firstLine="0"/>
        <w:rPr>
          <w:lang w:val="en-US"/>
        </w:rPr>
      </w:pPr>
      <w:r>
        <w:rPr>
          <w:lang w:val="en-US"/>
        </w:rPr>
        <w:t>Article </w:t>
      </w:r>
      <w:r w:rsidR="00285CC4">
        <w:rPr>
          <w:lang w:val="en-US"/>
        </w:rPr>
        <w:t>3(2) provides that “</w:t>
      </w:r>
      <w:r w:rsidR="006C72E1" w:rsidRPr="009D7729">
        <w:rPr>
          <w:lang w:val="en-US"/>
        </w:rPr>
        <w:t xml:space="preserve">subject to </w:t>
      </w:r>
      <w:r w:rsidR="00285CC4">
        <w:rPr>
          <w:lang w:val="en-US"/>
        </w:rPr>
        <w:t xml:space="preserve">the provisions of </w:t>
      </w:r>
      <w:r w:rsidR="00C71688">
        <w:rPr>
          <w:lang w:val="en-US"/>
        </w:rPr>
        <w:t>the national law of a State party</w:t>
      </w:r>
      <w:r w:rsidR="006C72E1" w:rsidRPr="009D7729">
        <w:rPr>
          <w:lang w:val="en-US"/>
        </w:rPr>
        <w:t xml:space="preserve">, the same shall apply to an attempt to commit any of </w:t>
      </w:r>
      <w:r w:rsidR="00C71688">
        <w:rPr>
          <w:lang w:val="en-US"/>
        </w:rPr>
        <w:t>the said</w:t>
      </w:r>
      <w:r w:rsidR="00C71688" w:rsidRPr="009D7729">
        <w:rPr>
          <w:lang w:val="en-US"/>
        </w:rPr>
        <w:t xml:space="preserve"> </w:t>
      </w:r>
      <w:r w:rsidR="006C72E1" w:rsidRPr="009D7729">
        <w:rPr>
          <w:lang w:val="en-US"/>
        </w:rPr>
        <w:t>acts and to complicity or par</w:t>
      </w:r>
      <w:r w:rsidR="00285CC4">
        <w:rPr>
          <w:lang w:val="en-US"/>
        </w:rPr>
        <w:t xml:space="preserve">ticipation in any of </w:t>
      </w:r>
      <w:r w:rsidR="00C71688">
        <w:rPr>
          <w:lang w:val="en-US"/>
        </w:rPr>
        <w:t xml:space="preserve">the said </w:t>
      </w:r>
      <w:r w:rsidR="00285CC4">
        <w:rPr>
          <w:lang w:val="en-US"/>
        </w:rPr>
        <w:t>acts”</w:t>
      </w:r>
      <w:r w:rsidR="006C72E1" w:rsidRPr="009D7729">
        <w:rPr>
          <w:lang w:val="en-US"/>
        </w:rPr>
        <w:t xml:space="preserve">. Although the Protocol does not obligate States to criminalize attempts to commit acts covered by </w:t>
      </w:r>
      <w:r>
        <w:rPr>
          <w:lang w:val="en-US"/>
        </w:rPr>
        <w:t>Article </w:t>
      </w:r>
      <w:r w:rsidR="006C72E1" w:rsidRPr="009D7729">
        <w:rPr>
          <w:lang w:val="en-US"/>
        </w:rPr>
        <w:t xml:space="preserve">3(1) or complicity or participation in such acts, Israeli law is consistent with the requirements of </w:t>
      </w:r>
      <w:r>
        <w:rPr>
          <w:lang w:val="en-US"/>
        </w:rPr>
        <w:t>Article </w:t>
      </w:r>
      <w:r w:rsidR="006C72E1" w:rsidRPr="009D7729">
        <w:rPr>
          <w:lang w:val="en-US"/>
        </w:rPr>
        <w:t xml:space="preserve">3(2) of the Protocol. The </w:t>
      </w:r>
      <w:r w:rsidR="006C72E1" w:rsidRPr="009D7729">
        <w:rPr>
          <w:iCs/>
          <w:lang w:val="en-US"/>
        </w:rPr>
        <w:t>Penal Law</w:t>
      </w:r>
      <w:r w:rsidR="006C72E1" w:rsidRPr="009D7729">
        <w:rPr>
          <w:lang w:val="en-US"/>
        </w:rPr>
        <w:t xml:space="preserve"> contains general provisions concerning attempts to commit a crime, complicity and participation in a crime. </w:t>
      </w:r>
    </w:p>
    <w:p w:rsidR="006C72E1" w:rsidRPr="009D7729" w:rsidRDefault="001A574A" w:rsidP="00C71688">
      <w:pPr>
        <w:pStyle w:val="SingleTxtG"/>
        <w:numPr>
          <w:ilvl w:val="0"/>
          <w:numId w:val="12"/>
        </w:numPr>
        <w:ind w:left="1134" w:firstLine="0"/>
      </w:pPr>
      <w:r>
        <w:t>Section </w:t>
      </w:r>
      <w:r w:rsidR="006C72E1" w:rsidRPr="009D7729">
        <w:t xml:space="preserve">25 of the </w:t>
      </w:r>
      <w:r w:rsidR="006C72E1" w:rsidRPr="009D7729">
        <w:rPr>
          <w:iCs/>
        </w:rPr>
        <w:t>Penal Law</w:t>
      </w:r>
      <w:r w:rsidR="006C72E1" w:rsidRPr="009D7729">
        <w:t xml:space="preserve"> defines “attempt” as performing an act with the intent of committing an offense, where such act is considered beyond mere preparations and provided that the offense was not completed, regardless of whether commission of the offense was impossible because of circumstances of which the person who made the attempt was not aware or in respect of which he/she was mistaken (</w:t>
      </w:r>
      <w:r>
        <w:t>Section </w:t>
      </w:r>
      <w:r w:rsidR="006C72E1" w:rsidRPr="009D7729">
        <w:t xml:space="preserve">26 of the </w:t>
      </w:r>
      <w:r w:rsidR="006C72E1" w:rsidRPr="00D54DC8">
        <w:rPr>
          <w:iCs/>
        </w:rPr>
        <w:t>Penal Law</w:t>
      </w:r>
      <w:r w:rsidR="006C72E1" w:rsidRPr="009D7729">
        <w:t xml:space="preserve">). However, no criminal liability is attached to </w:t>
      </w:r>
      <w:r w:rsidR="00C71688">
        <w:t xml:space="preserve">an </w:t>
      </w:r>
      <w:r w:rsidR="006C72E1" w:rsidRPr="009D7729">
        <w:t>attempt if the defendant proves that</w:t>
      </w:r>
      <w:r w:rsidR="006C72E1" w:rsidRPr="009D7729">
        <w:rPr>
          <w:lang w:val="en-US" w:bidi="he-IL"/>
        </w:rPr>
        <w:t>,</w:t>
      </w:r>
      <w:r w:rsidR="006C72E1" w:rsidRPr="009D7729">
        <w:t xml:space="preserve"> acting of his/her own free will and out of remorse, he/she stopped in the commission of the act or substantively contributed to prevention of the results on which the completion of the offense depends; however, the foregoing does not derogate from his/her criminal liability for another completed offense connected to the act (</w:t>
      </w:r>
      <w:r>
        <w:t>Section </w:t>
      </w:r>
      <w:r w:rsidR="006C72E1" w:rsidRPr="009D7729">
        <w:t xml:space="preserve">28 of the </w:t>
      </w:r>
      <w:r w:rsidR="006C72E1" w:rsidRPr="009D7729">
        <w:rPr>
          <w:iCs/>
        </w:rPr>
        <w:t>Penal Law</w:t>
      </w:r>
      <w:r w:rsidR="006C72E1" w:rsidRPr="009D7729">
        <w:t xml:space="preserve">). </w:t>
      </w:r>
    </w:p>
    <w:p w:rsidR="006C72E1" w:rsidRPr="009D7729" w:rsidRDefault="006C72E1" w:rsidP="006D3B18">
      <w:pPr>
        <w:pStyle w:val="SingleTxtG"/>
        <w:numPr>
          <w:ilvl w:val="0"/>
          <w:numId w:val="12"/>
        </w:numPr>
        <w:ind w:left="1134" w:firstLine="0"/>
      </w:pPr>
      <w:r w:rsidRPr="009D7729">
        <w:t xml:space="preserve">Where the </w:t>
      </w:r>
      <w:r w:rsidRPr="009D7729">
        <w:rPr>
          <w:iCs/>
        </w:rPr>
        <w:t>Penal Law</w:t>
      </w:r>
      <w:r w:rsidRPr="009D7729">
        <w:t xml:space="preserve"> sets a mandatory penalty or a minimum penalty for an offense, then this penalty shall not apply to an attempt to commit the offense (</w:t>
      </w:r>
      <w:r w:rsidR="001A574A">
        <w:t>Section </w:t>
      </w:r>
      <w:r w:rsidRPr="009D7729">
        <w:t xml:space="preserve">27 of the </w:t>
      </w:r>
      <w:r w:rsidRPr="00D54DC8">
        <w:rPr>
          <w:iCs/>
        </w:rPr>
        <w:t>Penal Law</w:t>
      </w:r>
      <w:r w:rsidRPr="009D7729">
        <w:t xml:space="preserve">). </w:t>
      </w:r>
    </w:p>
    <w:p w:rsidR="006C72E1" w:rsidRPr="009D7729" w:rsidRDefault="006C72E1" w:rsidP="006D3B18">
      <w:pPr>
        <w:pStyle w:val="SingleTxtG"/>
        <w:numPr>
          <w:ilvl w:val="0"/>
          <w:numId w:val="12"/>
        </w:numPr>
        <w:ind w:left="1134" w:firstLine="0"/>
      </w:pPr>
      <w:r w:rsidRPr="009D7729">
        <w:t xml:space="preserve">Additionally, the </w:t>
      </w:r>
      <w:r w:rsidRPr="009D7729">
        <w:rPr>
          <w:iCs/>
        </w:rPr>
        <w:t>Penal Law</w:t>
      </w:r>
      <w:r w:rsidRPr="009D7729">
        <w:t xml:space="preserve"> recognizes the possibility that an offense might be committed by an individual or by a group of persons. Indeed, a perpetrator of an offense is defined to include a person acting in concert with others (joint perpetrators) or through someone else. Participants in the commission of an offense are each deemed joint perpetrators, irrespective of whether the entire offense was committed by each of them or whether different acts constituting the offense were performed separately by any </w:t>
      </w:r>
      <w:r w:rsidR="00F27AED">
        <w:t>of them. Committing an offense “through”</w:t>
      </w:r>
      <w:r w:rsidRPr="009D7729">
        <w:t xml:space="preserve"> someone else is defined </w:t>
      </w:r>
      <w:r w:rsidR="00F27AED">
        <w:t>as contributing to someone else’</w:t>
      </w:r>
      <w:r w:rsidRPr="009D7729">
        <w:t xml:space="preserve">s commission of an act by using that other person as his/her instrument for the commission of the act, where the other person is in one of the following situations (within the meanings assigned to them in the </w:t>
      </w:r>
      <w:r w:rsidRPr="009D7729">
        <w:rPr>
          <w:iCs/>
        </w:rPr>
        <w:t>Penal Law</w:t>
      </w:r>
      <w:r w:rsidRPr="009D7729">
        <w:t>):</w:t>
      </w:r>
    </w:p>
    <w:p w:rsidR="006C72E1" w:rsidRPr="00034EC8" w:rsidRDefault="006C72E1" w:rsidP="00D424C9">
      <w:pPr>
        <w:pStyle w:val="SingleTxtG"/>
        <w:ind w:firstLine="567"/>
      </w:pPr>
      <w:r w:rsidRPr="00034EC8">
        <w:t>(</w:t>
      </w:r>
      <w:r w:rsidR="008B3FE2">
        <w:t>a</w:t>
      </w:r>
      <w:r w:rsidRPr="00034EC8">
        <w:t>)</w:t>
      </w:r>
      <w:r w:rsidRPr="00034EC8">
        <w:tab/>
      </w:r>
      <w:r>
        <w:t>M</w:t>
      </w:r>
      <w:r w:rsidRPr="00034EC8">
        <w:t>inority or mental incompetence;</w:t>
      </w:r>
    </w:p>
    <w:p w:rsidR="006C72E1" w:rsidRPr="00034EC8" w:rsidRDefault="006C72E1" w:rsidP="00D424C9">
      <w:pPr>
        <w:pStyle w:val="SingleTxtG"/>
        <w:ind w:firstLine="567"/>
      </w:pPr>
      <w:r w:rsidRPr="00034EC8">
        <w:t>(</w:t>
      </w:r>
      <w:r w:rsidR="008B3FE2">
        <w:t>b</w:t>
      </w:r>
      <w:r w:rsidRPr="00034EC8">
        <w:t>)</w:t>
      </w:r>
      <w:r w:rsidRPr="00034EC8">
        <w:tab/>
      </w:r>
      <w:r>
        <w:t>L</w:t>
      </w:r>
      <w:r w:rsidRPr="00034EC8">
        <w:t>ack of control;</w:t>
      </w:r>
    </w:p>
    <w:p w:rsidR="006C72E1" w:rsidRPr="00034EC8" w:rsidRDefault="008B3FE2" w:rsidP="00D424C9">
      <w:pPr>
        <w:pStyle w:val="SingleTxtG"/>
        <w:ind w:firstLine="567"/>
      </w:pPr>
      <w:r>
        <w:t>(c</w:t>
      </w:r>
      <w:r w:rsidR="006C72E1" w:rsidRPr="00034EC8">
        <w:t>)</w:t>
      </w:r>
      <w:r w:rsidR="006C72E1" w:rsidRPr="00034EC8">
        <w:tab/>
      </w:r>
      <w:r w:rsidR="006C72E1">
        <w:t>W</w:t>
      </w:r>
      <w:r w:rsidR="006C72E1" w:rsidRPr="00034EC8">
        <w:t>ithout criminal intent;</w:t>
      </w:r>
    </w:p>
    <w:p w:rsidR="006C72E1" w:rsidRPr="00034EC8" w:rsidRDefault="008B3FE2" w:rsidP="00D424C9">
      <w:pPr>
        <w:pStyle w:val="SingleTxtG"/>
        <w:ind w:firstLine="567"/>
      </w:pPr>
      <w:r>
        <w:t>(d</w:t>
      </w:r>
      <w:r w:rsidR="006C72E1" w:rsidRPr="00034EC8">
        <w:t>)</w:t>
      </w:r>
      <w:r w:rsidR="006C72E1" w:rsidRPr="00034EC8">
        <w:tab/>
      </w:r>
      <w:r w:rsidR="006C72E1">
        <w:t>M</w:t>
      </w:r>
      <w:r w:rsidR="006C72E1" w:rsidRPr="00034EC8">
        <w:t>isunderstanding of the circumstances;</w:t>
      </w:r>
    </w:p>
    <w:p w:rsidR="006C72E1" w:rsidRPr="00034EC8" w:rsidRDefault="008B3FE2" w:rsidP="00D424C9">
      <w:pPr>
        <w:pStyle w:val="SingleTxtG"/>
        <w:ind w:firstLine="567"/>
      </w:pPr>
      <w:r>
        <w:t>(e</w:t>
      </w:r>
      <w:r w:rsidR="006C72E1" w:rsidRPr="00034EC8">
        <w:t>)</w:t>
      </w:r>
      <w:r w:rsidR="006C72E1" w:rsidRPr="00034EC8">
        <w:tab/>
      </w:r>
      <w:r w:rsidR="006C72E1">
        <w:t>U</w:t>
      </w:r>
      <w:r w:rsidR="006C72E1" w:rsidRPr="00034EC8">
        <w:t>nder duress or with justification.</w:t>
      </w:r>
    </w:p>
    <w:p w:rsidR="004A2FC9" w:rsidRDefault="008B3FE2" w:rsidP="004A2FC9">
      <w:pPr>
        <w:pStyle w:val="H23G"/>
      </w:pPr>
      <w:r>
        <w:tab/>
      </w:r>
      <w:r>
        <w:tab/>
      </w:r>
      <w:r w:rsidR="006C72E1" w:rsidRPr="00034EC8">
        <w:t>Enticement</w:t>
      </w:r>
    </w:p>
    <w:p w:rsidR="006C72E1" w:rsidRDefault="006C72E1" w:rsidP="006D3B18">
      <w:pPr>
        <w:pStyle w:val="SingleTxtG"/>
        <w:numPr>
          <w:ilvl w:val="0"/>
          <w:numId w:val="12"/>
        </w:numPr>
        <w:ind w:left="1134" w:firstLine="0"/>
      </w:pPr>
      <w:r>
        <w:t xml:space="preserve">Enticement is defined as </w:t>
      </w:r>
      <w:r w:rsidRPr="00034EC8">
        <w:t>caus</w:t>
      </w:r>
      <w:r>
        <w:t>ing</w:t>
      </w:r>
      <w:r w:rsidRPr="00034EC8">
        <w:t xml:space="preserve"> </w:t>
      </w:r>
      <w:r>
        <w:t>someone else</w:t>
      </w:r>
      <w:r w:rsidRPr="00034EC8">
        <w:t xml:space="preserve"> to commit an offense by means of persuasion, encouragement, demand</w:t>
      </w:r>
      <w:r>
        <w:t>ing</w:t>
      </w:r>
      <w:r w:rsidRPr="00034EC8">
        <w:t>,</w:t>
      </w:r>
      <w:r>
        <w:t xml:space="preserve"> requesting persistently </w:t>
      </w:r>
      <w:r w:rsidRPr="00034EC8">
        <w:t>or by</w:t>
      </w:r>
      <w:r>
        <w:t xml:space="preserve"> other</w:t>
      </w:r>
      <w:r w:rsidRPr="00034EC8">
        <w:t xml:space="preserve"> means </w:t>
      </w:r>
      <w:r>
        <w:t>involving</w:t>
      </w:r>
      <w:r w:rsidRPr="00034EC8">
        <w:t xml:space="preserve"> the application of pressure</w:t>
      </w:r>
      <w:r>
        <w:t xml:space="preserve"> (</w:t>
      </w:r>
      <w:r w:rsidR="001A574A">
        <w:t>Section </w:t>
      </w:r>
      <w:r>
        <w:t xml:space="preserve">30 of </w:t>
      </w:r>
      <w:r w:rsidRPr="00D54DC8">
        <w:t>the Penal Law</w:t>
      </w:r>
      <w:r>
        <w:t xml:space="preserve">). </w:t>
      </w:r>
    </w:p>
    <w:p w:rsidR="004A2FC9" w:rsidRDefault="008B3FE2" w:rsidP="004A2FC9">
      <w:pPr>
        <w:pStyle w:val="H23G"/>
      </w:pPr>
      <w:r>
        <w:tab/>
      </w:r>
      <w:r>
        <w:tab/>
      </w:r>
      <w:r w:rsidR="006C72E1" w:rsidRPr="00034EC8">
        <w:t>Accessory</w:t>
      </w:r>
    </w:p>
    <w:p w:rsidR="006C72E1" w:rsidRDefault="006C72E1" w:rsidP="006D3B18">
      <w:pPr>
        <w:pStyle w:val="SingleTxtG"/>
        <w:numPr>
          <w:ilvl w:val="0"/>
          <w:numId w:val="12"/>
        </w:numPr>
        <w:ind w:left="1134" w:firstLine="0"/>
      </w:pPr>
      <w:r w:rsidRPr="00034EC8">
        <w:t xml:space="preserve">If a person does anything – before an offense is committed or during its commission – to make its commission possible, to support or protect it, or to prevent the perpetrator from being </w:t>
      </w:r>
      <w:r>
        <w:t>captured</w:t>
      </w:r>
      <w:r w:rsidRPr="00034EC8">
        <w:t xml:space="preserve"> or the offense or its </w:t>
      </w:r>
      <w:r>
        <w:t>spoils</w:t>
      </w:r>
      <w:r w:rsidRPr="00034EC8">
        <w:t xml:space="preserve"> from being discovered, or if he</w:t>
      </w:r>
      <w:r>
        <w:t>/she</w:t>
      </w:r>
      <w:r w:rsidRPr="00034EC8">
        <w:t xml:space="preserve"> contributes in any other way to the creation of conditions for the commission of the o</w:t>
      </w:r>
      <w:r>
        <w:t>ffense, then he/she is an accessory (</w:t>
      </w:r>
      <w:r w:rsidR="001A574A">
        <w:t>Section </w:t>
      </w:r>
      <w:r>
        <w:t xml:space="preserve">31 of the </w:t>
      </w:r>
      <w:r w:rsidRPr="00D54DC8">
        <w:t>Penal Law</w:t>
      </w:r>
      <w:r>
        <w:t xml:space="preserve">). </w:t>
      </w:r>
    </w:p>
    <w:p w:rsidR="004A2FC9" w:rsidRDefault="008B3FE2" w:rsidP="004A2FC9">
      <w:pPr>
        <w:pStyle w:val="H23G"/>
      </w:pPr>
      <w:r>
        <w:tab/>
      </w:r>
      <w:r>
        <w:tab/>
      </w:r>
      <w:r w:rsidR="006C72E1" w:rsidRPr="00034EC8">
        <w:t xml:space="preserve">Penalty </w:t>
      </w:r>
      <w:r w:rsidR="006C72E1">
        <w:t xml:space="preserve">for </w:t>
      </w:r>
      <w:r w:rsidR="00036C34">
        <w:t>being an</w:t>
      </w:r>
      <w:r w:rsidR="00036C34" w:rsidRPr="00034EC8">
        <w:t xml:space="preserve"> </w:t>
      </w:r>
      <w:r w:rsidR="00036C34">
        <w:t>a</w:t>
      </w:r>
      <w:r w:rsidR="00036C34" w:rsidRPr="00034EC8">
        <w:t>ccessory</w:t>
      </w:r>
    </w:p>
    <w:p w:rsidR="006C72E1" w:rsidRPr="00034EC8" w:rsidRDefault="006C72E1" w:rsidP="006D3B18">
      <w:pPr>
        <w:pStyle w:val="SingleTxtG"/>
        <w:numPr>
          <w:ilvl w:val="0"/>
          <w:numId w:val="12"/>
        </w:numPr>
        <w:ind w:left="1134" w:firstLine="0"/>
      </w:pPr>
      <w:r w:rsidRPr="00034EC8">
        <w:t xml:space="preserve">The penalty for being an accessory to the commission of an offense is half the penalty </w:t>
      </w:r>
      <w:r>
        <w:t>established</w:t>
      </w:r>
      <w:r w:rsidRPr="00034EC8">
        <w:t xml:space="preserve"> for commission of the main offen</w:t>
      </w:r>
      <w:r w:rsidR="00936F1C">
        <w:t>se; however, if the penalty is</w:t>
      </w:r>
      <w:r w:rsidR="00D424C9">
        <w:t>:</w:t>
      </w:r>
    </w:p>
    <w:p w:rsidR="006C72E1" w:rsidRPr="00034EC8" w:rsidRDefault="008B3FE2" w:rsidP="00936F1C">
      <w:pPr>
        <w:pStyle w:val="SingleTxtG"/>
        <w:ind w:firstLine="567"/>
      </w:pPr>
      <w:r>
        <w:t>(a</w:t>
      </w:r>
      <w:r w:rsidR="00936F1C">
        <w:t>)</w:t>
      </w:r>
      <w:r w:rsidR="00936F1C">
        <w:tab/>
        <w:t>T</w:t>
      </w:r>
      <w:r w:rsidR="006C72E1" w:rsidRPr="00034EC8">
        <w:t xml:space="preserve">he </w:t>
      </w:r>
      <w:r w:rsidR="006C72E1" w:rsidRPr="00104557">
        <w:t>death penalty or</w:t>
      </w:r>
      <w:r w:rsidR="006C72E1" w:rsidRPr="00034EC8">
        <w:t xml:space="preserve"> mandatory life imprisonment, then his</w:t>
      </w:r>
      <w:r w:rsidR="006C72E1">
        <w:t>/her</w:t>
      </w:r>
      <w:r w:rsidR="006C72E1" w:rsidRPr="00034EC8">
        <w:t xml:space="preserve"> penalty shall be twenty years</w:t>
      </w:r>
      <w:r w:rsidR="00D3193A">
        <w:t>’</w:t>
      </w:r>
      <w:r w:rsidR="006C72E1" w:rsidRPr="00034EC8">
        <w:t xml:space="preserve"> imprisonment;</w:t>
      </w:r>
    </w:p>
    <w:p w:rsidR="006C72E1" w:rsidRPr="00034EC8" w:rsidRDefault="008B3FE2" w:rsidP="00936F1C">
      <w:pPr>
        <w:pStyle w:val="SingleTxtG"/>
        <w:ind w:firstLine="567"/>
      </w:pPr>
      <w:r>
        <w:t>(b</w:t>
      </w:r>
      <w:r w:rsidR="00936F1C">
        <w:t>)</w:t>
      </w:r>
      <w:r w:rsidR="00936F1C">
        <w:tab/>
        <w:t>L</w:t>
      </w:r>
      <w:r w:rsidR="006C72E1" w:rsidRPr="00034EC8">
        <w:t>ife imprisonment, then his</w:t>
      </w:r>
      <w:r w:rsidR="006C72E1">
        <w:t>/her</w:t>
      </w:r>
      <w:r w:rsidR="006C72E1" w:rsidRPr="00034EC8">
        <w:t xml:space="preserve"> penalty shall be ten years</w:t>
      </w:r>
      <w:r w:rsidR="00D3193A">
        <w:t>’</w:t>
      </w:r>
      <w:r w:rsidR="006C72E1" w:rsidRPr="00034EC8">
        <w:t xml:space="preserve"> imprisonment;</w:t>
      </w:r>
    </w:p>
    <w:p w:rsidR="006C72E1" w:rsidRPr="00034EC8" w:rsidRDefault="008B3FE2" w:rsidP="00936F1C">
      <w:pPr>
        <w:pStyle w:val="SingleTxtG"/>
        <w:ind w:firstLine="567"/>
      </w:pPr>
      <w:r>
        <w:t>(c</w:t>
      </w:r>
      <w:r w:rsidR="00936F1C">
        <w:t>)</w:t>
      </w:r>
      <w:r w:rsidR="00936F1C">
        <w:tab/>
        <w:t>A</w:t>
      </w:r>
      <w:r w:rsidR="006C72E1" w:rsidRPr="00034EC8">
        <w:t xml:space="preserve"> minimum penalty, then his</w:t>
      </w:r>
      <w:r w:rsidR="006C72E1">
        <w:t>/her</w:t>
      </w:r>
      <w:r w:rsidR="006C72E1" w:rsidRPr="00034EC8">
        <w:t xml:space="preserve"> penalty shall not be less than half the minimum penalty;</w:t>
      </w:r>
    </w:p>
    <w:p w:rsidR="006C72E1" w:rsidRDefault="008B3FE2" w:rsidP="00936F1C">
      <w:pPr>
        <w:pStyle w:val="SingleTxtG"/>
        <w:ind w:firstLine="567"/>
      </w:pPr>
      <w:r>
        <w:t>(d</w:t>
      </w:r>
      <w:r w:rsidR="00936F1C">
        <w:t>)</w:t>
      </w:r>
      <w:r w:rsidR="00936F1C">
        <w:tab/>
        <w:t>A</w:t>
      </w:r>
      <w:r w:rsidR="006C72E1" w:rsidRPr="00034EC8">
        <w:t xml:space="preserve">ny mandatory penalty, then </w:t>
      </w:r>
      <w:r w:rsidR="006C72E1">
        <w:t>that</w:t>
      </w:r>
      <w:r w:rsidR="006C72E1" w:rsidRPr="00034EC8">
        <w:t xml:space="preserve"> shall be the maximum penalty and half there</w:t>
      </w:r>
      <w:r w:rsidR="006C72E1">
        <w:t>of shall be the minimum penalty (</w:t>
      </w:r>
      <w:r w:rsidR="001A574A">
        <w:t>Section </w:t>
      </w:r>
      <w:r w:rsidR="006C72E1">
        <w:t xml:space="preserve">32 of the </w:t>
      </w:r>
      <w:r w:rsidR="006C72E1" w:rsidRPr="00D54DC8">
        <w:t>Penal Law</w:t>
      </w:r>
      <w:r w:rsidR="006C72E1">
        <w:t>).</w:t>
      </w:r>
    </w:p>
    <w:p w:rsidR="004A2FC9" w:rsidRDefault="008B3FE2" w:rsidP="00724F56">
      <w:pPr>
        <w:pStyle w:val="H23G"/>
      </w:pPr>
      <w:r>
        <w:tab/>
      </w:r>
      <w:r>
        <w:tab/>
      </w:r>
      <w:r w:rsidR="006C72E1" w:rsidRPr="00034EC8">
        <w:t xml:space="preserve">Attempt to </w:t>
      </w:r>
      <w:r w:rsidR="00724F56">
        <w:t>e</w:t>
      </w:r>
      <w:r w:rsidR="006C72E1" w:rsidRPr="00034EC8">
        <w:t>ntice</w:t>
      </w:r>
    </w:p>
    <w:p w:rsidR="006C72E1" w:rsidRPr="00034EC8" w:rsidRDefault="006C72E1" w:rsidP="006D3B18">
      <w:pPr>
        <w:pStyle w:val="SingleTxtG"/>
        <w:numPr>
          <w:ilvl w:val="0"/>
          <w:numId w:val="12"/>
        </w:numPr>
        <w:ind w:left="1134" w:firstLine="0"/>
      </w:pPr>
      <w:r w:rsidRPr="00034EC8">
        <w:t>The penalty for attempting to entice a person to commit an offense is half the penalty set for its main commissi</w:t>
      </w:r>
      <w:r w:rsidR="00CD56FB">
        <w:t>on; however, if the penalty is:</w:t>
      </w:r>
    </w:p>
    <w:p w:rsidR="006C72E1" w:rsidRPr="00034EC8" w:rsidRDefault="006C72E1" w:rsidP="00F21B8B">
      <w:pPr>
        <w:pStyle w:val="SingleTxtG"/>
        <w:ind w:firstLine="567"/>
      </w:pPr>
      <w:r w:rsidRPr="00034EC8">
        <w:t>(</w:t>
      </w:r>
      <w:r w:rsidR="008B3FE2">
        <w:t>a</w:t>
      </w:r>
      <w:r w:rsidR="00F21B8B">
        <w:t>)</w:t>
      </w:r>
      <w:r w:rsidR="00F21B8B">
        <w:tab/>
        <w:t>T</w:t>
      </w:r>
      <w:r w:rsidRPr="00034EC8">
        <w:t>he death penalty or mandatory life imprisonment, then his</w:t>
      </w:r>
      <w:r>
        <w:t>/her</w:t>
      </w:r>
      <w:r w:rsidRPr="00034EC8">
        <w:t xml:space="preserve"> penalty shall be twenty years</w:t>
      </w:r>
      <w:r w:rsidR="00D3193A">
        <w:t>’</w:t>
      </w:r>
      <w:r w:rsidRPr="00034EC8">
        <w:t xml:space="preserve"> imprisonment;</w:t>
      </w:r>
    </w:p>
    <w:p w:rsidR="006C72E1" w:rsidRPr="00034EC8" w:rsidRDefault="008B3FE2" w:rsidP="00F21B8B">
      <w:pPr>
        <w:pStyle w:val="SingleTxtG"/>
        <w:ind w:firstLine="567"/>
      </w:pPr>
      <w:r>
        <w:t>(b</w:t>
      </w:r>
      <w:r w:rsidR="00F21B8B">
        <w:t>)</w:t>
      </w:r>
      <w:r w:rsidR="00F21B8B">
        <w:tab/>
        <w:t>L</w:t>
      </w:r>
      <w:r w:rsidR="006C72E1" w:rsidRPr="00034EC8">
        <w:t>ife imprisonment, then his</w:t>
      </w:r>
      <w:r w:rsidR="006C72E1">
        <w:t>/her</w:t>
      </w:r>
      <w:r w:rsidR="006C72E1" w:rsidRPr="00034EC8">
        <w:t xml:space="preserve"> penalty shall be ten years</w:t>
      </w:r>
      <w:r w:rsidR="00D3193A">
        <w:t>’</w:t>
      </w:r>
      <w:r w:rsidR="006C72E1" w:rsidRPr="00034EC8">
        <w:t xml:space="preserve"> imprisonment;</w:t>
      </w:r>
    </w:p>
    <w:p w:rsidR="006C72E1" w:rsidRPr="00034EC8" w:rsidRDefault="008B3FE2" w:rsidP="00F21B8B">
      <w:pPr>
        <w:pStyle w:val="SingleTxtG"/>
        <w:ind w:firstLine="567"/>
      </w:pPr>
      <w:r>
        <w:t>(c</w:t>
      </w:r>
      <w:r w:rsidR="00F21B8B">
        <w:t>)</w:t>
      </w:r>
      <w:r w:rsidR="00F21B8B">
        <w:tab/>
        <w:t>A</w:t>
      </w:r>
      <w:r w:rsidR="006C72E1" w:rsidRPr="00034EC8">
        <w:t xml:space="preserve"> minimum penalty, then his</w:t>
      </w:r>
      <w:r w:rsidR="006C72E1">
        <w:t>/her</w:t>
      </w:r>
      <w:r w:rsidR="006C72E1" w:rsidRPr="00034EC8">
        <w:t xml:space="preserve"> penalty shall not be less than half the minimum penalty;</w:t>
      </w:r>
    </w:p>
    <w:p w:rsidR="006C72E1" w:rsidRDefault="008B3FE2" w:rsidP="00F21B8B">
      <w:pPr>
        <w:pStyle w:val="SingleTxtG"/>
        <w:ind w:firstLine="567"/>
      </w:pPr>
      <w:r>
        <w:t>(d</w:t>
      </w:r>
      <w:r w:rsidR="006C72E1" w:rsidRPr="00034EC8">
        <w:t>)</w:t>
      </w:r>
      <w:r w:rsidR="006C72E1" w:rsidRPr="00034EC8">
        <w:tab/>
      </w:r>
      <w:r w:rsidR="00F21B8B">
        <w:t>A</w:t>
      </w:r>
      <w:r w:rsidR="006C72E1" w:rsidRPr="00034EC8">
        <w:t>ny mandatory penalty, then it shall be the maximum penalty and half there</w:t>
      </w:r>
      <w:r w:rsidR="006C72E1">
        <w:t>of shall be the minimum penalty (</w:t>
      </w:r>
      <w:r w:rsidR="001A574A">
        <w:t>Section </w:t>
      </w:r>
      <w:r w:rsidR="006C72E1">
        <w:t xml:space="preserve">33 of the </w:t>
      </w:r>
      <w:r w:rsidR="006C72E1" w:rsidRPr="00D54DC8">
        <w:t>Penal Law</w:t>
      </w:r>
      <w:r w:rsidR="006C72E1">
        <w:t xml:space="preserve">). </w:t>
      </w:r>
    </w:p>
    <w:p w:rsidR="006C72E1" w:rsidRDefault="006C72E1" w:rsidP="006D3B18">
      <w:pPr>
        <w:pStyle w:val="SingleTxtG"/>
        <w:numPr>
          <w:ilvl w:val="0"/>
          <w:numId w:val="12"/>
        </w:numPr>
        <w:ind w:left="1134" w:firstLine="0"/>
      </w:pPr>
      <w:r w:rsidRPr="00034EC8">
        <w:t>If a person incited another or was an accessory, then he</w:t>
      </w:r>
      <w:r>
        <w:t>/she</w:t>
      </w:r>
      <w:r w:rsidRPr="00034EC8">
        <w:t xml:space="preserve"> shall not bear criminal liability for enticement or for being an accessory if he</w:t>
      </w:r>
      <w:r>
        <w:t>/she</w:t>
      </w:r>
      <w:r w:rsidRPr="00034EC8">
        <w:t xml:space="preserve"> prevented the commission or completion of the offense, or if he</w:t>
      </w:r>
      <w:r>
        <w:t>/she</w:t>
      </w:r>
      <w:r w:rsidRPr="00034EC8">
        <w:t xml:space="preserve"> informed the authorities of the offense in time in order to prevent its commission or its completion, or if – to that end – he</w:t>
      </w:r>
      <w:r>
        <w:t>/she</w:t>
      </w:r>
      <w:r w:rsidRPr="00034EC8">
        <w:t xml:space="preserve"> acted to the best of his</w:t>
      </w:r>
      <w:r>
        <w:t>/her</w:t>
      </w:r>
      <w:r w:rsidRPr="00034EC8">
        <w:t xml:space="preserve"> ability in some other manner; however, the </w:t>
      </w:r>
      <w:r>
        <w:t>foregoing</w:t>
      </w:r>
      <w:r w:rsidRPr="00034EC8">
        <w:t xml:space="preserve"> does not derogate from criminal liability for another completed offense </w:t>
      </w:r>
      <w:r>
        <w:t xml:space="preserve">in </w:t>
      </w:r>
      <w:r w:rsidRPr="00034EC8">
        <w:t>connect</w:t>
      </w:r>
      <w:r>
        <w:t>ion</w:t>
      </w:r>
      <w:r w:rsidRPr="00034EC8">
        <w:t xml:space="preserve"> </w:t>
      </w:r>
      <w:r>
        <w:t>with</w:t>
      </w:r>
      <w:r w:rsidRPr="00034EC8">
        <w:t xml:space="preserve"> the same act.</w:t>
      </w:r>
    </w:p>
    <w:p w:rsidR="006C72E1" w:rsidRPr="009D7729" w:rsidRDefault="006C72E1" w:rsidP="006D3B18">
      <w:pPr>
        <w:pStyle w:val="SingleTxtG"/>
        <w:numPr>
          <w:ilvl w:val="0"/>
          <w:numId w:val="12"/>
        </w:numPr>
        <w:ind w:left="1134" w:firstLine="0"/>
      </w:pPr>
      <w:r w:rsidRPr="009D7729">
        <w:t xml:space="preserve">In this context, </w:t>
      </w:r>
      <w:r w:rsidR="00F21B8B">
        <w:t>“</w:t>
      </w:r>
      <w:r w:rsidRPr="009D7729">
        <w:rPr>
          <w:bCs/>
        </w:rPr>
        <w:t>authorities</w:t>
      </w:r>
      <w:r w:rsidR="00F21B8B">
        <w:rPr>
          <w:bCs/>
        </w:rPr>
        <w:t>”</w:t>
      </w:r>
      <w:r w:rsidRPr="009D7729">
        <w:t xml:space="preserve"> means the Israel Police or any other body lawfully empowered to prevent the commission or completion of an offense (</w:t>
      </w:r>
      <w:r w:rsidR="001A574A">
        <w:t>Section </w:t>
      </w:r>
      <w:r w:rsidRPr="009D7729">
        <w:t xml:space="preserve">34 of the </w:t>
      </w:r>
      <w:r w:rsidRPr="00D54DC8">
        <w:t>Penal Law</w:t>
      </w:r>
      <w:r w:rsidRPr="009D7729">
        <w:t xml:space="preserve">). </w:t>
      </w:r>
    </w:p>
    <w:p w:rsidR="006C72E1" w:rsidRPr="00E46A35" w:rsidRDefault="006C72E1" w:rsidP="00CF6BA2">
      <w:pPr>
        <w:pStyle w:val="SingleTxtG"/>
        <w:numPr>
          <w:ilvl w:val="0"/>
          <w:numId w:val="12"/>
        </w:numPr>
        <w:ind w:left="1134" w:firstLine="0"/>
      </w:pPr>
      <w:r w:rsidRPr="00E46A35">
        <w:t xml:space="preserve">In order to properly address the problem of joint perpetrators, the </w:t>
      </w:r>
      <w:r w:rsidRPr="00D54DC8">
        <w:t>Penal Law</w:t>
      </w:r>
      <w:r w:rsidRPr="00E46A35">
        <w:t xml:space="preserve"> provides that if, in the course of commission an offense, a person also commits a different or an additional offense, then the co-perpetrator will also be held liable </w:t>
      </w:r>
      <w:r w:rsidR="00CF6BA2">
        <w:t>for</w:t>
      </w:r>
      <w:r w:rsidR="00CF6BA2" w:rsidRPr="00E46A35">
        <w:t xml:space="preserve"> </w:t>
      </w:r>
      <w:r w:rsidRPr="00E46A35">
        <w:t xml:space="preserve">that second offense if, under the circumstances, an ordinary person could have been aware of the possibility that the second offense could be committed. However, </w:t>
      </w:r>
      <w:r w:rsidR="00F21B8B">
        <w:t>if the second offense requires “intent”</w:t>
      </w:r>
      <w:r w:rsidRPr="00E46A35">
        <w:t xml:space="preserve">, then the co-perpetrator shall be liable </w:t>
      </w:r>
      <w:r w:rsidR="00CF6BA2">
        <w:t xml:space="preserve">for </w:t>
      </w:r>
      <w:r w:rsidR="00F21B8B">
        <w:t>the lesser offense of “indifference”</w:t>
      </w:r>
      <w:r w:rsidRPr="00E46A35">
        <w:t>.</w:t>
      </w:r>
    </w:p>
    <w:p w:rsidR="006C72E1" w:rsidRPr="00D54DC8" w:rsidRDefault="006C72E1" w:rsidP="006D3B18">
      <w:pPr>
        <w:pStyle w:val="SingleTxtG"/>
        <w:numPr>
          <w:ilvl w:val="0"/>
          <w:numId w:val="12"/>
        </w:numPr>
        <w:ind w:left="1134" w:firstLine="0"/>
        <w:rPr>
          <w:iCs/>
        </w:rPr>
      </w:pPr>
      <w:r w:rsidRPr="009D7729">
        <w:t>Similarly, if a person entices another person to commit an offense or acts as an accessory to an offense, and in the course of commission of the offense, the principal perpetrator also commits a different or an additional offense, then the former person will also be held liable for an offense of negligence in connection with that second offense, provided such an offense of negligence exists in respect of the second offense (</w:t>
      </w:r>
      <w:r w:rsidR="001A574A">
        <w:t>Section </w:t>
      </w:r>
      <w:r w:rsidRPr="009D7729">
        <w:t xml:space="preserve">34A of the </w:t>
      </w:r>
      <w:r w:rsidRPr="00D54DC8">
        <w:rPr>
          <w:iCs/>
        </w:rPr>
        <w:t xml:space="preserve">Penal Law). </w:t>
      </w:r>
    </w:p>
    <w:p w:rsidR="006C72E1" w:rsidRPr="00D54DC8" w:rsidRDefault="006C72E1" w:rsidP="004D2681">
      <w:pPr>
        <w:pStyle w:val="SingleTxtG"/>
        <w:numPr>
          <w:ilvl w:val="0"/>
          <w:numId w:val="12"/>
        </w:numPr>
        <w:ind w:left="1134" w:firstLine="0"/>
        <w:rPr>
          <w:iCs/>
        </w:rPr>
      </w:pPr>
      <w:r w:rsidRPr="00D54DC8">
        <w:rPr>
          <w:iCs/>
        </w:rPr>
        <w:t>Attempt, enticement, attempt to entice and abetting are not punishable in re</w:t>
      </w:r>
      <w:r w:rsidR="00F21B8B" w:rsidRPr="00D54DC8">
        <w:rPr>
          <w:iCs/>
        </w:rPr>
        <w:t>spect of an offense defined as</w:t>
      </w:r>
      <w:r w:rsidR="00CF6BA2">
        <w:rPr>
          <w:iCs/>
        </w:rPr>
        <w:t xml:space="preserve"> a</w:t>
      </w:r>
      <w:r w:rsidR="00F21B8B" w:rsidRPr="00D54DC8">
        <w:rPr>
          <w:iCs/>
        </w:rPr>
        <w:t xml:space="preserve"> “</w:t>
      </w:r>
      <w:r w:rsidRPr="00D54DC8">
        <w:rPr>
          <w:iCs/>
        </w:rPr>
        <w:t>transgr</w:t>
      </w:r>
      <w:r w:rsidR="00F21B8B" w:rsidRPr="00D54DC8">
        <w:rPr>
          <w:iCs/>
        </w:rPr>
        <w:t>ession”</w:t>
      </w:r>
      <w:r w:rsidRPr="00D54DC8">
        <w:rPr>
          <w:iCs/>
        </w:rPr>
        <w:t xml:space="preserve"> (i.e</w:t>
      </w:r>
      <w:r w:rsidR="004D2681">
        <w:rPr>
          <w:iCs/>
        </w:rPr>
        <w:t>.</w:t>
      </w:r>
      <w:r w:rsidRPr="00D54DC8">
        <w:rPr>
          <w:iCs/>
        </w:rPr>
        <w:t xml:space="preserve"> any offense that is punishable by up to three months</w:t>
      </w:r>
      <w:r w:rsidR="00CF6BA2">
        <w:rPr>
          <w:iCs/>
        </w:rPr>
        <w:t>’</w:t>
      </w:r>
      <w:r w:rsidRPr="00D54DC8">
        <w:rPr>
          <w:iCs/>
        </w:rPr>
        <w:t xml:space="preserve"> impriso</w:t>
      </w:r>
      <w:r w:rsidR="00A72F2B">
        <w:rPr>
          <w:iCs/>
        </w:rPr>
        <w:t>nment or a fine of up to 14,400 </w:t>
      </w:r>
      <w:r w:rsidRPr="00D54DC8">
        <w:rPr>
          <w:iCs/>
        </w:rPr>
        <w:t xml:space="preserve">NIS </w:t>
      </w:r>
      <w:r w:rsidR="00A72F2B">
        <w:rPr>
          <w:iCs/>
          <w:lang w:val="en-US"/>
        </w:rPr>
        <w:t>(</w:t>
      </w:r>
      <w:r w:rsidR="00CF6BA2">
        <w:rPr>
          <w:iCs/>
          <w:lang w:val="en-US"/>
        </w:rPr>
        <w:t>US$</w:t>
      </w:r>
      <w:r w:rsidR="00A72F2B">
        <w:rPr>
          <w:iCs/>
          <w:lang w:val="en-US"/>
        </w:rPr>
        <w:t> </w:t>
      </w:r>
      <w:r w:rsidRPr="00D54DC8">
        <w:rPr>
          <w:iCs/>
          <w:lang w:val="en-US"/>
        </w:rPr>
        <w:t>3,789)</w:t>
      </w:r>
      <w:r w:rsidR="00CF6BA2">
        <w:rPr>
          <w:iCs/>
          <w:lang w:val="en-US"/>
        </w:rPr>
        <w:t>)</w:t>
      </w:r>
      <w:r w:rsidRPr="00D54DC8">
        <w:rPr>
          <w:iCs/>
        </w:rPr>
        <w:t xml:space="preserve"> (</w:t>
      </w:r>
      <w:r w:rsidR="001A574A" w:rsidRPr="00D54DC8">
        <w:rPr>
          <w:iCs/>
        </w:rPr>
        <w:t>Section </w:t>
      </w:r>
      <w:r w:rsidRPr="00D54DC8">
        <w:rPr>
          <w:iCs/>
        </w:rPr>
        <w:t xml:space="preserve">34C of the Penal Law). </w:t>
      </w:r>
    </w:p>
    <w:p w:rsidR="006C72E1" w:rsidRPr="00D54DC8" w:rsidRDefault="006C72E1" w:rsidP="006D3B18">
      <w:pPr>
        <w:pStyle w:val="SingleTxtG"/>
        <w:numPr>
          <w:ilvl w:val="0"/>
          <w:numId w:val="12"/>
        </w:numPr>
        <w:ind w:left="1134" w:firstLine="0"/>
        <w:rPr>
          <w:iCs/>
          <w:rtl/>
        </w:rPr>
      </w:pPr>
      <w:r w:rsidRPr="00D54DC8">
        <w:rPr>
          <w:iCs/>
        </w:rPr>
        <w:t>Unless legislation explicitly or implicitly provides otherwise, any enactment that applies to the commission of a completed offense itself, also applies to an attempt, incitement, an attempt to incite or abetting in respect of that same offense (</w:t>
      </w:r>
      <w:r w:rsidR="001A574A" w:rsidRPr="00D54DC8">
        <w:rPr>
          <w:iCs/>
        </w:rPr>
        <w:t>Section </w:t>
      </w:r>
      <w:r w:rsidRPr="00D54DC8">
        <w:rPr>
          <w:iCs/>
        </w:rPr>
        <w:t xml:space="preserve">34D of the Penal Law). </w:t>
      </w:r>
    </w:p>
    <w:p w:rsidR="006C72E1" w:rsidRPr="00E46A35" w:rsidRDefault="008B3FE2" w:rsidP="00075DDC">
      <w:pPr>
        <w:pStyle w:val="H1G"/>
        <w:rPr>
          <w:lang w:val="en-US"/>
        </w:rPr>
      </w:pPr>
      <w:r>
        <w:rPr>
          <w:lang w:val="en-US"/>
        </w:rPr>
        <w:tab/>
      </w:r>
      <w:r>
        <w:rPr>
          <w:lang w:val="en-US"/>
        </w:rPr>
        <w:tab/>
      </w:r>
      <w:r w:rsidR="000416BC">
        <w:rPr>
          <w:lang w:val="en-US"/>
        </w:rPr>
        <w:t>Article </w:t>
      </w:r>
      <w:r w:rsidR="00F21B8B">
        <w:rPr>
          <w:lang w:val="en-US"/>
        </w:rPr>
        <w:t>3</w:t>
      </w:r>
      <w:r w:rsidR="00075DDC">
        <w:rPr>
          <w:lang w:val="en-US"/>
        </w:rPr>
        <w:t xml:space="preserve"> </w:t>
      </w:r>
      <w:r w:rsidR="00F21B8B">
        <w:rPr>
          <w:lang w:val="en-US"/>
        </w:rPr>
        <w:t xml:space="preserve">(3) – </w:t>
      </w:r>
      <w:r w:rsidR="006C72E1" w:rsidRPr="00E46A35">
        <w:rPr>
          <w:lang w:val="en-US"/>
        </w:rPr>
        <w:t xml:space="preserve">Appropriate </w:t>
      </w:r>
      <w:r w:rsidR="007D38B4" w:rsidRPr="00E46A35">
        <w:rPr>
          <w:lang w:val="en-US"/>
        </w:rPr>
        <w:t>penalties</w:t>
      </w:r>
    </w:p>
    <w:p w:rsidR="006C72E1" w:rsidRPr="00E46A35" w:rsidRDefault="006C72E1" w:rsidP="006D3B18">
      <w:pPr>
        <w:pStyle w:val="SingleTxtG"/>
        <w:numPr>
          <w:ilvl w:val="0"/>
          <w:numId w:val="12"/>
        </w:numPr>
        <w:ind w:left="1134" w:firstLine="0"/>
        <w:rPr>
          <w:lang w:val="en-US"/>
        </w:rPr>
      </w:pPr>
      <w:r w:rsidRPr="00E46A35">
        <w:rPr>
          <w:lang w:val="en-US"/>
        </w:rPr>
        <w:t>State</w:t>
      </w:r>
      <w:r w:rsidR="00CF6BA2">
        <w:rPr>
          <w:lang w:val="en-US"/>
        </w:rPr>
        <w:t>s</w:t>
      </w:r>
      <w:r w:rsidRPr="00E46A35">
        <w:rPr>
          <w:lang w:val="en-US"/>
        </w:rPr>
        <w:t xml:space="preserve"> parties are required by the Protocol to make the offenses related to the Protocol punishable by appropriate penalties that take into account their grave nature. As detailed above, all of the above offenses are attended by severe penalties, matching their grave nature. </w:t>
      </w:r>
    </w:p>
    <w:p w:rsidR="006C72E1" w:rsidRPr="00E46A35" w:rsidRDefault="008B3FE2" w:rsidP="00075DDC">
      <w:pPr>
        <w:pStyle w:val="H1G"/>
        <w:rPr>
          <w:lang w:val="en-US"/>
        </w:rPr>
      </w:pPr>
      <w:r>
        <w:rPr>
          <w:lang w:val="en-US"/>
        </w:rPr>
        <w:tab/>
      </w:r>
      <w:r w:rsidR="004031BC">
        <w:rPr>
          <w:lang w:val="en-US"/>
        </w:rPr>
        <w:tab/>
      </w:r>
      <w:r w:rsidR="000416BC">
        <w:rPr>
          <w:lang w:val="en-US"/>
        </w:rPr>
        <w:t>Article </w:t>
      </w:r>
      <w:r w:rsidR="003E29FE">
        <w:rPr>
          <w:lang w:val="en-US"/>
        </w:rPr>
        <w:t>3</w:t>
      </w:r>
      <w:r w:rsidR="00075DDC">
        <w:rPr>
          <w:lang w:val="en-US"/>
        </w:rPr>
        <w:t xml:space="preserve"> </w:t>
      </w:r>
      <w:r w:rsidR="003E29FE">
        <w:rPr>
          <w:lang w:val="en-US"/>
        </w:rPr>
        <w:t>(</w:t>
      </w:r>
      <w:r w:rsidR="00F21B8B">
        <w:rPr>
          <w:lang w:val="en-US"/>
        </w:rPr>
        <w:t xml:space="preserve">4) – </w:t>
      </w:r>
      <w:r w:rsidR="006C72E1" w:rsidRPr="00E46A35">
        <w:rPr>
          <w:lang w:val="en-US"/>
        </w:rPr>
        <w:t xml:space="preserve">Liability of </w:t>
      </w:r>
      <w:r w:rsidR="007D38B4" w:rsidRPr="00E46A35">
        <w:rPr>
          <w:lang w:val="en-US"/>
        </w:rPr>
        <w:t>legal persons</w:t>
      </w:r>
    </w:p>
    <w:p w:rsidR="006C72E1" w:rsidRPr="009D7729" w:rsidRDefault="006C72E1" w:rsidP="006D3B18">
      <w:pPr>
        <w:pStyle w:val="SingleTxtG"/>
        <w:numPr>
          <w:ilvl w:val="0"/>
          <w:numId w:val="12"/>
        </w:numPr>
        <w:ind w:left="1134" w:firstLine="0"/>
        <w:rPr>
          <w:lang w:val="en-US"/>
        </w:rPr>
      </w:pPr>
      <w:r w:rsidRPr="009D7729">
        <w:rPr>
          <w:lang w:val="en-US"/>
        </w:rPr>
        <w:t xml:space="preserve">According to </w:t>
      </w:r>
      <w:r w:rsidR="001A574A">
        <w:rPr>
          <w:lang w:val="en-US"/>
        </w:rPr>
        <w:t>Section </w:t>
      </w:r>
      <w:r w:rsidRPr="009D7729">
        <w:rPr>
          <w:lang w:val="en-US"/>
        </w:rPr>
        <w:t xml:space="preserve">23 of the </w:t>
      </w:r>
      <w:r w:rsidRPr="009D7729">
        <w:rPr>
          <w:iCs/>
          <w:lang w:val="en-US"/>
        </w:rPr>
        <w:t>Penal Law</w:t>
      </w:r>
      <w:r w:rsidRPr="009D7729">
        <w:rPr>
          <w:lang w:val="en-US"/>
        </w:rPr>
        <w:t xml:space="preserve">, legal persons can bear </w:t>
      </w:r>
      <w:r w:rsidRPr="009D7729">
        <w:t xml:space="preserve">criminal liability as follows: </w:t>
      </w:r>
    </w:p>
    <w:p w:rsidR="006C72E1" w:rsidRPr="00AB30B2" w:rsidRDefault="00F21B8B" w:rsidP="00D03982">
      <w:pPr>
        <w:pStyle w:val="SingleTxtG"/>
        <w:ind w:firstLine="567"/>
      </w:pPr>
      <w:r>
        <w:t>(a)</w:t>
      </w:r>
      <w:r>
        <w:tab/>
      </w:r>
      <w:r w:rsidR="006C72E1" w:rsidRPr="0093496B">
        <w:t>For an absolute liability offense: if</w:t>
      </w:r>
      <w:r w:rsidR="006C72E1" w:rsidRPr="00AB30B2">
        <w:t xml:space="preserve"> the offense was committed by a person in the course of the performance of his/her </w:t>
      </w:r>
      <w:r w:rsidR="006C72E1">
        <w:t xml:space="preserve">duties </w:t>
      </w:r>
      <w:r w:rsidR="006C72E1" w:rsidRPr="00AB30B2">
        <w:t>in the corporat</w:t>
      </w:r>
      <w:r w:rsidR="006C72E1">
        <w:t>ion</w:t>
      </w:r>
      <w:r w:rsidR="006C72E1" w:rsidRPr="00AB30B2">
        <w:t xml:space="preserve">; </w:t>
      </w:r>
    </w:p>
    <w:p w:rsidR="006C72E1" w:rsidRPr="00AB30B2" w:rsidRDefault="00F21B8B" w:rsidP="00D03982">
      <w:pPr>
        <w:pStyle w:val="SingleTxtG"/>
        <w:ind w:firstLine="567"/>
      </w:pPr>
      <w:r>
        <w:t>(b)</w:t>
      </w:r>
      <w:r>
        <w:tab/>
      </w:r>
      <w:r w:rsidR="006C72E1" w:rsidRPr="00AB30B2">
        <w:t>For an offense that requires proof of cri</w:t>
      </w:r>
      <w:r>
        <w:t>minal intent or negligence: if –</w:t>
      </w:r>
      <w:r w:rsidR="006C72E1" w:rsidRPr="00AB30B2">
        <w:t xml:space="preserve"> under the circumstances of the case and in light of the position, authority and responsibility of the person in the management of the affairs of the corporat</w:t>
      </w:r>
      <w:r w:rsidR="006C72E1">
        <w:t>ion</w:t>
      </w:r>
      <w:r w:rsidR="006C72E1" w:rsidRPr="00AB30B2">
        <w:t xml:space="preserve"> – the act by which he/she committed the offense, his/her criminal intent or his/her negligence are to be deemed the act, the criminal intent or the negligence of the corporat</w:t>
      </w:r>
      <w:r w:rsidR="006C72E1">
        <w:t>ion</w:t>
      </w:r>
      <w:r w:rsidR="006C72E1" w:rsidRPr="00AB30B2">
        <w:t>;</w:t>
      </w:r>
    </w:p>
    <w:p w:rsidR="006C72E1" w:rsidRPr="00AB30B2" w:rsidRDefault="00F21B8B" w:rsidP="00D03982">
      <w:pPr>
        <w:pStyle w:val="SingleTxtG"/>
        <w:ind w:firstLine="567"/>
      </w:pPr>
      <w:r>
        <w:t>(c)</w:t>
      </w:r>
      <w:r>
        <w:tab/>
      </w:r>
      <w:r w:rsidR="006C72E1" w:rsidRPr="00AB30B2">
        <w:t>If the offense was committed by way of omission, when the obligation to perform is directly imposed on the corporat</w:t>
      </w:r>
      <w:r w:rsidR="006C72E1">
        <w:t>ion</w:t>
      </w:r>
      <w:r w:rsidR="006C72E1" w:rsidRPr="00AB30B2">
        <w:t>, then it is immaterial whether the offense can or cannot be related also to a certain officer of the corporat</w:t>
      </w:r>
      <w:r w:rsidR="006C72E1">
        <w:t>ion</w:t>
      </w:r>
      <w:r w:rsidR="004031BC">
        <w:t>.</w:t>
      </w:r>
    </w:p>
    <w:p w:rsidR="006C72E1" w:rsidRDefault="006C72E1" w:rsidP="006D3B18">
      <w:pPr>
        <w:pStyle w:val="SingleTxtG"/>
        <w:numPr>
          <w:ilvl w:val="0"/>
          <w:numId w:val="12"/>
        </w:numPr>
        <w:ind w:left="1134" w:firstLine="0"/>
        <w:rPr>
          <w:lang w:val="en-US"/>
        </w:rPr>
      </w:pPr>
      <w:r>
        <w:rPr>
          <w:lang w:val="en-US"/>
        </w:rPr>
        <w:t xml:space="preserve">The vast majority of </w:t>
      </w:r>
      <w:r w:rsidRPr="002D2C27">
        <w:rPr>
          <w:lang w:val="en-US"/>
        </w:rPr>
        <w:t xml:space="preserve">the </w:t>
      </w:r>
      <w:r>
        <w:rPr>
          <w:lang w:val="en-US"/>
        </w:rPr>
        <w:t>offense</w:t>
      </w:r>
      <w:r w:rsidRPr="002D2C27">
        <w:rPr>
          <w:lang w:val="en-US"/>
        </w:rPr>
        <w:t>s relevant to the Protocol</w:t>
      </w:r>
      <w:r>
        <w:rPr>
          <w:lang w:val="en-US"/>
        </w:rPr>
        <w:t xml:space="preserve"> </w:t>
      </w:r>
      <w:r w:rsidRPr="002D2C27">
        <w:rPr>
          <w:lang w:val="en-US"/>
        </w:rPr>
        <w:t>require criminal intent</w:t>
      </w:r>
      <w:r>
        <w:rPr>
          <w:lang w:val="en-US"/>
        </w:rPr>
        <w:t>, such that the liability of legal persons would be determined according to the circumstances of the above sub</w:t>
      </w:r>
      <w:r w:rsidR="001A574A">
        <w:rPr>
          <w:lang w:val="en-US"/>
        </w:rPr>
        <w:t>section </w:t>
      </w:r>
      <w:r>
        <w:rPr>
          <w:lang w:val="en-US"/>
        </w:rPr>
        <w:t xml:space="preserve">(2). </w:t>
      </w:r>
    </w:p>
    <w:p w:rsidR="006C72E1" w:rsidRPr="00601819" w:rsidRDefault="004031BC" w:rsidP="00075DDC">
      <w:pPr>
        <w:pStyle w:val="H1G"/>
        <w:rPr>
          <w:lang w:val="en-US"/>
        </w:rPr>
      </w:pPr>
      <w:r>
        <w:rPr>
          <w:lang w:val="en-US"/>
        </w:rPr>
        <w:tab/>
      </w:r>
      <w:r w:rsidR="008B3FE2">
        <w:rPr>
          <w:lang w:val="en-US"/>
        </w:rPr>
        <w:tab/>
      </w:r>
      <w:r w:rsidR="001A574A">
        <w:rPr>
          <w:lang w:val="en-US"/>
        </w:rPr>
        <w:t>Articles </w:t>
      </w:r>
      <w:r w:rsidR="002F78E7">
        <w:rPr>
          <w:lang w:val="en-US"/>
        </w:rPr>
        <w:t>3</w:t>
      </w:r>
      <w:r w:rsidR="00075DDC">
        <w:rPr>
          <w:lang w:val="en-US"/>
        </w:rPr>
        <w:t xml:space="preserve"> </w:t>
      </w:r>
      <w:r w:rsidR="002F78E7">
        <w:rPr>
          <w:lang w:val="en-US"/>
        </w:rPr>
        <w:t>(5)</w:t>
      </w:r>
      <w:r w:rsidR="00075DDC">
        <w:rPr>
          <w:lang w:val="en-US"/>
        </w:rPr>
        <w:t xml:space="preserve"> </w:t>
      </w:r>
      <w:r w:rsidR="006C72E1">
        <w:rPr>
          <w:lang w:val="en-US"/>
        </w:rPr>
        <w:t>and</w:t>
      </w:r>
      <w:r w:rsidR="006C72E1" w:rsidRPr="004F5273">
        <w:rPr>
          <w:lang w:val="en-US"/>
        </w:rPr>
        <w:t xml:space="preserve"> </w:t>
      </w:r>
      <w:bookmarkStart w:id="2" w:name="_Toc164837078"/>
      <w:r w:rsidR="006C72E1" w:rsidRPr="004F5273">
        <w:rPr>
          <w:lang w:val="en-US" w:bidi="he-IL"/>
        </w:rPr>
        <w:t>3</w:t>
      </w:r>
      <w:r w:rsidR="00075DDC">
        <w:rPr>
          <w:lang w:val="en-US" w:bidi="he-IL"/>
        </w:rPr>
        <w:t xml:space="preserve"> </w:t>
      </w:r>
      <w:r w:rsidR="006C72E1" w:rsidRPr="004F5273">
        <w:rPr>
          <w:lang w:val="en-US" w:bidi="he-IL"/>
        </w:rPr>
        <w:t>(1) (a) (ii</w:t>
      </w:r>
      <w:bookmarkEnd w:id="2"/>
      <w:r w:rsidR="006C72E1" w:rsidRPr="004F5273">
        <w:rPr>
          <w:lang w:val="en-US" w:bidi="he-IL"/>
        </w:rPr>
        <w:t>)</w:t>
      </w:r>
      <w:r w:rsidR="006A1B01">
        <w:rPr>
          <w:lang w:val="en-US"/>
        </w:rPr>
        <w:t xml:space="preserve"> –</w:t>
      </w:r>
      <w:r w:rsidR="006C72E1" w:rsidRPr="004F5273">
        <w:rPr>
          <w:lang w:val="en-US"/>
        </w:rPr>
        <w:t xml:space="preserve"> </w:t>
      </w:r>
      <w:r w:rsidR="006A1B01">
        <w:rPr>
          <w:lang w:val="en-US"/>
        </w:rPr>
        <w:t>A</w:t>
      </w:r>
      <w:r w:rsidR="007D38B4" w:rsidRPr="004F5273">
        <w:rPr>
          <w:lang w:val="en-US"/>
        </w:rPr>
        <w:t>doption</w:t>
      </w:r>
    </w:p>
    <w:p w:rsidR="006C72E1" w:rsidRPr="002E0478" w:rsidRDefault="006C72E1" w:rsidP="006D3B18">
      <w:pPr>
        <w:pStyle w:val="SingleTxtG"/>
        <w:numPr>
          <w:ilvl w:val="0"/>
          <w:numId w:val="12"/>
        </w:numPr>
        <w:ind w:left="1134" w:firstLine="0"/>
        <w:rPr>
          <w:lang w:val="en-US"/>
        </w:rPr>
      </w:pPr>
      <w:r w:rsidRPr="002E0478">
        <w:rPr>
          <w:lang w:val="en-US"/>
        </w:rPr>
        <w:t>In the context of sale of children,</w:t>
      </w:r>
      <w:r>
        <w:rPr>
          <w:lang w:val="en-US"/>
        </w:rPr>
        <w:t xml:space="preserve"> the Protocol requires that </w:t>
      </w:r>
      <w:r w:rsidRPr="001B32ED">
        <w:rPr>
          <w:lang w:val="en-US"/>
        </w:rPr>
        <w:t>S</w:t>
      </w:r>
      <w:r>
        <w:rPr>
          <w:lang w:val="en-US"/>
        </w:rPr>
        <w:t>tate</w:t>
      </w:r>
      <w:r w:rsidR="00FC1D36">
        <w:rPr>
          <w:lang w:val="en-US"/>
        </w:rPr>
        <w:t>s</w:t>
      </w:r>
      <w:r>
        <w:rPr>
          <w:lang w:val="en-US"/>
        </w:rPr>
        <w:t xml:space="preserve"> parties criminalize</w:t>
      </w:r>
      <w:r w:rsidRPr="002E0478">
        <w:rPr>
          <w:lang w:val="en-US"/>
        </w:rPr>
        <w:t xml:space="preserve"> “improperly inducing consent, as an </w:t>
      </w:r>
      <w:r w:rsidRPr="002E0478">
        <w:rPr>
          <w:spacing w:val="-3"/>
          <w:lang w:val="en-US"/>
        </w:rPr>
        <w:t xml:space="preserve">intermediary, for the adoption of a child in violation of applicable </w:t>
      </w:r>
      <w:r w:rsidRPr="002E0478">
        <w:rPr>
          <w:lang w:val="en-US"/>
        </w:rPr>
        <w:t>international instruments on adoption” (</w:t>
      </w:r>
      <w:r w:rsidR="000416BC">
        <w:rPr>
          <w:lang w:val="en-US"/>
        </w:rPr>
        <w:t>Article </w:t>
      </w:r>
      <w:r w:rsidRPr="002E0478">
        <w:rPr>
          <w:lang w:val="en-US"/>
        </w:rPr>
        <w:t>3(1)</w:t>
      </w:r>
      <w:r w:rsidR="005E7B11">
        <w:rPr>
          <w:lang w:val="en-US"/>
        </w:rPr>
        <w:t xml:space="preserve"> </w:t>
      </w:r>
      <w:r w:rsidRPr="002E0478">
        <w:rPr>
          <w:lang w:val="en-US"/>
        </w:rPr>
        <w:t>(a)(ii))</w:t>
      </w:r>
      <w:r>
        <w:rPr>
          <w:lang w:val="en-US"/>
        </w:rPr>
        <w:t>. The Protocol further requires</w:t>
      </w:r>
      <w:r w:rsidRPr="001B32ED">
        <w:rPr>
          <w:lang w:val="en-US"/>
        </w:rPr>
        <w:t xml:space="preserve"> State parties</w:t>
      </w:r>
      <w:r>
        <w:rPr>
          <w:lang w:val="en-US"/>
        </w:rPr>
        <w:t xml:space="preserve"> to take all appropriate measures to ensure that all persons involved in the adoption of a child act in conformity with applicable international legal instruments (</w:t>
      </w:r>
      <w:r w:rsidR="000416BC">
        <w:rPr>
          <w:lang w:val="en-US"/>
        </w:rPr>
        <w:t>Article </w:t>
      </w:r>
      <w:r>
        <w:rPr>
          <w:lang w:val="en-US"/>
        </w:rPr>
        <w:t xml:space="preserve">3(5)). </w:t>
      </w:r>
    </w:p>
    <w:p w:rsidR="006C72E1" w:rsidRPr="009D7729" w:rsidRDefault="006C72E1" w:rsidP="006D3B18">
      <w:pPr>
        <w:pStyle w:val="SingleTxtG"/>
        <w:numPr>
          <w:ilvl w:val="0"/>
          <w:numId w:val="12"/>
        </w:numPr>
        <w:ind w:left="1134" w:firstLine="0"/>
        <w:rPr>
          <w:lang w:val="en-US"/>
        </w:rPr>
      </w:pPr>
      <w:r w:rsidRPr="009D7729">
        <w:rPr>
          <w:lang w:val="en-US"/>
        </w:rPr>
        <w:t>The law in Israel permits adoption. Most matters related to adoption, including the rights and obligations of persons involved in the process and the procedural aspects of the issue</w:t>
      </w:r>
      <w:r w:rsidR="00FC1D36">
        <w:rPr>
          <w:lang w:val="en-US"/>
        </w:rPr>
        <w:t>,</w:t>
      </w:r>
      <w:r w:rsidRPr="009D7729">
        <w:rPr>
          <w:lang w:val="en-US"/>
        </w:rPr>
        <w:t xml:space="preserve"> are regulated in the </w:t>
      </w:r>
      <w:r w:rsidRPr="009D7729">
        <w:rPr>
          <w:iCs/>
          <w:lang w:val="en-US"/>
        </w:rPr>
        <w:t>Adoption Law</w:t>
      </w:r>
      <w:r w:rsidRPr="009D7729">
        <w:rPr>
          <w:lang w:val="en-US"/>
        </w:rPr>
        <w:t xml:space="preserve"> 5741-1981</w:t>
      </w:r>
      <w:r w:rsidR="00B43A15">
        <w:rPr>
          <w:szCs w:val="24"/>
          <w:lang w:val="en-US"/>
        </w:rPr>
        <w:t xml:space="preserve"> (the “</w:t>
      </w:r>
      <w:r w:rsidRPr="009D7729">
        <w:rPr>
          <w:iCs/>
          <w:szCs w:val="24"/>
          <w:lang w:val="en-US"/>
        </w:rPr>
        <w:t>Adoption Law</w:t>
      </w:r>
      <w:r w:rsidR="00B43A15">
        <w:rPr>
          <w:szCs w:val="24"/>
          <w:lang w:val="en-US"/>
        </w:rPr>
        <w:t>”</w:t>
      </w:r>
      <w:r w:rsidRPr="009D7729">
        <w:rPr>
          <w:szCs w:val="24"/>
          <w:lang w:val="en-US"/>
        </w:rPr>
        <w:t>)</w:t>
      </w:r>
      <w:r w:rsidRPr="009D7729">
        <w:rPr>
          <w:lang w:val="en-US"/>
        </w:rPr>
        <w:t xml:space="preserve">. </w:t>
      </w:r>
    </w:p>
    <w:p w:rsidR="006C72E1" w:rsidRPr="009D7729" w:rsidRDefault="006C72E1" w:rsidP="006D3B18">
      <w:pPr>
        <w:pStyle w:val="SingleTxtG"/>
        <w:numPr>
          <w:ilvl w:val="0"/>
          <w:numId w:val="12"/>
        </w:numPr>
        <w:ind w:left="1134" w:firstLine="0"/>
        <w:rPr>
          <w:lang w:val="en-US"/>
        </w:rPr>
      </w:pPr>
      <w:r w:rsidRPr="009D7729">
        <w:rPr>
          <w:lang w:val="en-US"/>
        </w:rPr>
        <w:t xml:space="preserve">The main principles of the </w:t>
      </w:r>
      <w:r w:rsidRPr="009D7729">
        <w:rPr>
          <w:iCs/>
          <w:lang w:val="en-US"/>
        </w:rPr>
        <w:t>Adoption Law</w:t>
      </w:r>
      <w:r w:rsidRPr="009D7729">
        <w:rPr>
          <w:lang w:val="en-US"/>
        </w:rPr>
        <w:t xml:space="preserve"> are that adoption can only occur pursuant to an order given by a court of law, upon request of an adopter, and that the adoption order, as well as every decision regarding the adoption proceedings, may be issued only if the court is convinced that it is in the best interests of the child (</w:t>
      </w:r>
      <w:r w:rsidR="001A574A">
        <w:rPr>
          <w:lang w:val="en-US"/>
        </w:rPr>
        <w:t>Section </w:t>
      </w:r>
      <w:r w:rsidRPr="009D7729">
        <w:rPr>
          <w:lang w:val="en-US"/>
        </w:rPr>
        <w:t xml:space="preserve">1 of the </w:t>
      </w:r>
      <w:r w:rsidRPr="009D7729">
        <w:rPr>
          <w:iCs/>
          <w:lang w:val="en-US"/>
        </w:rPr>
        <w:t>Adoption Law</w:t>
      </w:r>
      <w:r w:rsidRPr="009D7729">
        <w:rPr>
          <w:lang w:val="en-US"/>
        </w:rPr>
        <w:t>). Making the validity of any adoption conditional upon a court-issued a</w:t>
      </w:r>
      <w:r w:rsidR="00F27AED">
        <w:rPr>
          <w:lang w:val="en-US"/>
        </w:rPr>
        <w:t>doption order ensures the court’</w:t>
      </w:r>
      <w:r w:rsidRPr="009D7729">
        <w:rPr>
          <w:lang w:val="en-US"/>
        </w:rPr>
        <w:t>s supervision over the entire process. The court is thus empowered to act as guardian of the child</w:t>
      </w:r>
      <w:r w:rsidR="00F27AED">
        <w:rPr>
          <w:lang w:val="en-US"/>
        </w:rPr>
        <w:t>’</w:t>
      </w:r>
      <w:r w:rsidRPr="009D7729">
        <w:rPr>
          <w:lang w:val="en-US"/>
        </w:rPr>
        <w:t xml:space="preserve">s best interests. This process also helps to reduce the likelihood of illegal adoptions. </w:t>
      </w:r>
    </w:p>
    <w:p w:rsidR="006C72E1" w:rsidRDefault="006C72E1" w:rsidP="006D3B18">
      <w:pPr>
        <w:pStyle w:val="SingleTxtG"/>
        <w:numPr>
          <w:ilvl w:val="0"/>
          <w:numId w:val="12"/>
        </w:numPr>
        <w:ind w:left="1134" w:firstLine="0"/>
        <w:rPr>
          <w:lang w:val="en-US"/>
        </w:rPr>
      </w:pPr>
      <w:r w:rsidRPr="009D7729">
        <w:rPr>
          <w:lang w:val="en-US"/>
        </w:rPr>
        <w:t xml:space="preserve">According to Israeli law, a court may not issue an adoption order unless it is convinced that the biological parents gave consent to the adoption or if the child was declared adoptable by the court, in accordance with the conditions set by the </w:t>
      </w:r>
      <w:r w:rsidRPr="009D7729">
        <w:rPr>
          <w:iCs/>
          <w:lang w:val="en-US"/>
        </w:rPr>
        <w:t>Adoption Law</w:t>
      </w:r>
      <w:r w:rsidRPr="009D7729">
        <w:rPr>
          <w:lang w:val="en-US"/>
        </w:rPr>
        <w:t>.</w:t>
      </w:r>
      <w:r w:rsidR="00CD3B50">
        <w:rPr>
          <w:lang w:val="en-US"/>
        </w:rPr>
        <w:t xml:space="preserve"> </w:t>
      </w:r>
    </w:p>
    <w:p w:rsidR="00100D6D" w:rsidRPr="009D7729" w:rsidRDefault="00100D6D" w:rsidP="00100D6D">
      <w:pPr>
        <w:pStyle w:val="H23G"/>
        <w:rPr>
          <w:lang w:val="en-US"/>
        </w:rPr>
      </w:pPr>
      <w:r>
        <w:rPr>
          <w:lang w:val="en-US"/>
        </w:rPr>
        <w:tab/>
      </w:r>
      <w:r>
        <w:rPr>
          <w:lang w:val="en-US"/>
        </w:rPr>
        <w:tab/>
      </w:r>
      <w:r w:rsidRPr="009D7729">
        <w:rPr>
          <w:lang w:val="en-US"/>
        </w:rPr>
        <w:t>Parental consent</w:t>
      </w:r>
      <w:r>
        <w:rPr>
          <w:lang w:val="en-US"/>
        </w:rPr>
        <w:t xml:space="preserve"> </w:t>
      </w:r>
    </w:p>
    <w:p w:rsidR="006C72E1" w:rsidRPr="009D7729" w:rsidRDefault="006C72E1" w:rsidP="006A2A41">
      <w:pPr>
        <w:pStyle w:val="SingleTxtG"/>
        <w:numPr>
          <w:ilvl w:val="0"/>
          <w:numId w:val="12"/>
        </w:numPr>
        <w:ind w:left="1134" w:firstLine="0"/>
        <w:rPr>
          <w:lang w:val="en-US"/>
        </w:rPr>
      </w:pPr>
      <w:r w:rsidRPr="009D7729">
        <w:rPr>
          <w:szCs w:val="24"/>
          <w:lang w:val="en-US"/>
        </w:rPr>
        <w:t xml:space="preserve">The </w:t>
      </w:r>
      <w:r w:rsidRPr="009D7729">
        <w:rPr>
          <w:iCs/>
          <w:szCs w:val="24"/>
          <w:lang w:val="en-US"/>
        </w:rPr>
        <w:t>Adoption Law</w:t>
      </w:r>
      <w:r w:rsidRPr="009D7729">
        <w:rPr>
          <w:szCs w:val="24"/>
          <w:lang w:val="en-US"/>
        </w:rPr>
        <w:t xml:space="preserve"> contains specific detailed provisions concerning parental </w:t>
      </w:r>
      <w:r w:rsidRPr="009D7729">
        <w:rPr>
          <w:lang w:val="en-US"/>
        </w:rPr>
        <w:t>consent</w:t>
      </w:r>
      <w:r w:rsidRPr="009D7729">
        <w:rPr>
          <w:szCs w:val="24"/>
          <w:lang w:val="en-US"/>
        </w:rPr>
        <w:t xml:space="preserve">. </w:t>
      </w:r>
      <w:r w:rsidRPr="009D7729">
        <w:rPr>
          <w:lang w:val="en-US"/>
        </w:rPr>
        <w:t xml:space="preserve">Such consent can only be made before a </w:t>
      </w:r>
      <w:r w:rsidR="006A2A41">
        <w:rPr>
          <w:lang w:val="en-US"/>
        </w:rPr>
        <w:t>S</w:t>
      </w:r>
      <w:r w:rsidRPr="009D7729">
        <w:rPr>
          <w:lang w:val="en-US"/>
        </w:rPr>
        <w:t>tate official following the provision of sufficient explanations and verification that the consent is informed</w:t>
      </w:r>
      <w:r w:rsidR="00391E49" w:rsidRPr="009D7729">
        <w:rPr>
          <w:lang w:val="en-US"/>
        </w:rPr>
        <w:t>.</w:t>
      </w:r>
    </w:p>
    <w:p w:rsidR="006C72E1" w:rsidRPr="009D7729" w:rsidRDefault="006C72E1" w:rsidP="006A2A41">
      <w:pPr>
        <w:pStyle w:val="SingleTxtG"/>
        <w:numPr>
          <w:ilvl w:val="0"/>
          <w:numId w:val="12"/>
        </w:numPr>
        <w:ind w:left="1134" w:firstLine="0"/>
      </w:pPr>
      <w:r w:rsidRPr="009D7729">
        <w:t>Parental consent for adoption must be informed and may only be given after the full information concerning all relevant is</w:t>
      </w:r>
      <w:r w:rsidR="00F27AED">
        <w:t xml:space="preserve">sues </w:t>
      </w:r>
      <w:r w:rsidR="006A2A41">
        <w:t xml:space="preserve">has been </w:t>
      </w:r>
      <w:r w:rsidR="00F27AED">
        <w:t>brought to the parents’</w:t>
      </w:r>
      <w:r w:rsidRPr="009D7729">
        <w:t xml:space="preserve"> attention, in clear language (</w:t>
      </w:r>
      <w:r w:rsidR="001A574A">
        <w:t>Section </w:t>
      </w:r>
      <w:r w:rsidRPr="009D7729">
        <w:t xml:space="preserve">8A </w:t>
      </w:r>
      <w:r w:rsidRPr="009D7729">
        <w:rPr>
          <w:lang w:val="en-US"/>
        </w:rPr>
        <w:t xml:space="preserve">of the </w:t>
      </w:r>
      <w:r w:rsidRPr="009D7729">
        <w:rPr>
          <w:iCs/>
          <w:lang w:val="en-US"/>
        </w:rPr>
        <w:t>Adoption Law</w:t>
      </w:r>
      <w:r w:rsidRPr="009D7729">
        <w:t>), including: the possibility to raise the child by himself/herself or with the assistance available under law; the implications of adoption</w:t>
      </w:r>
      <w:r w:rsidR="006A2A41">
        <w:t>,</w:t>
      </w:r>
      <w:r w:rsidRPr="009D7729">
        <w:t xml:space="preserve"> including emotional aspects; the stages of the adoption process; the legal implications and consequences of adoption; the possibility to consult any other person before signing the consent document; the possibility to be accompanied by another person while signing the document; the importance of providing details of the other parent; and the possibility to leave a letter or a memento in the adoption file for the child (</w:t>
      </w:r>
      <w:r w:rsidR="001A574A">
        <w:t>Section </w:t>
      </w:r>
      <w:r w:rsidRPr="009D7729">
        <w:t xml:space="preserve">8B </w:t>
      </w:r>
      <w:r w:rsidRPr="009D7729">
        <w:rPr>
          <w:lang w:val="en-US"/>
        </w:rPr>
        <w:t xml:space="preserve">of the </w:t>
      </w:r>
      <w:r w:rsidRPr="009D7729">
        <w:rPr>
          <w:iCs/>
          <w:lang w:val="en-US"/>
        </w:rPr>
        <w:t>Adoption Law</w:t>
      </w:r>
      <w:r w:rsidRPr="009D7729">
        <w:t xml:space="preserve">). </w:t>
      </w:r>
    </w:p>
    <w:p w:rsidR="006C72E1" w:rsidRPr="009D7729" w:rsidRDefault="006C72E1" w:rsidP="006D3B18">
      <w:pPr>
        <w:pStyle w:val="SingleTxtG"/>
        <w:numPr>
          <w:ilvl w:val="0"/>
          <w:numId w:val="12"/>
        </w:numPr>
        <w:ind w:left="1134" w:firstLine="0"/>
      </w:pPr>
      <w:r w:rsidRPr="009D7729">
        <w:t xml:space="preserve">An authorized social worker must explain to a parent who is asking to give his/her child up for adoption, the importance of providing details of the other parent in order to seek his/her opinion concerning the adoption and to ensure the best interests of the child. If the parent refuses to do so, the authorized social worker must bring </w:t>
      </w:r>
      <w:r w:rsidR="006A2A41">
        <w:t xml:space="preserve">it </w:t>
      </w:r>
      <w:r w:rsidRPr="009D7729">
        <w:t>to his/her attention that he/she may provide such details that would be used only for the purpose of locating the other parent for medical reasons, reference or any other reason specified by the parent (</w:t>
      </w:r>
      <w:r w:rsidR="001A574A">
        <w:t>Section </w:t>
      </w:r>
      <w:r w:rsidRPr="009D7729">
        <w:t xml:space="preserve">8C </w:t>
      </w:r>
      <w:r w:rsidRPr="009D7729">
        <w:rPr>
          <w:lang w:val="en-US"/>
        </w:rPr>
        <w:t xml:space="preserve">of the </w:t>
      </w:r>
      <w:r w:rsidRPr="009D7729">
        <w:rPr>
          <w:iCs/>
          <w:lang w:val="en-US"/>
        </w:rPr>
        <w:t>Adoption Law</w:t>
      </w:r>
      <w:r w:rsidRPr="009D7729">
        <w:t xml:space="preserve">). </w:t>
      </w:r>
    </w:p>
    <w:p w:rsidR="006C72E1" w:rsidRPr="009D7729" w:rsidRDefault="006C72E1" w:rsidP="006A2A41">
      <w:pPr>
        <w:pStyle w:val="SingleTxtG"/>
        <w:numPr>
          <w:ilvl w:val="0"/>
          <w:numId w:val="12"/>
        </w:numPr>
        <w:ind w:left="1134" w:firstLine="0"/>
      </w:pPr>
      <w:r w:rsidRPr="009D7729">
        <w:t>Parental consent for adoption may be given before both a judge and an authorized social worker</w:t>
      </w:r>
      <w:r w:rsidR="006A2A41">
        <w:t>,</w:t>
      </w:r>
      <w:r w:rsidRPr="009D7729">
        <w:t xml:space="preserve"> or before both a lawyer, authorized by the Attorney General, and an authorized social worker. This arrangement was established specifically to guarantee that the consent is informed and given freely. Parental consent must be documented and signed by the parent and by both the judge or the lawyer and the social worker </w:t>
      </w:r>
      <w:r w:rsidR="006A2A41">
        <w:t xml:space="preserve">before </w:t>
      </w:r>
      <w:r w:rsidRPr="009D7729">
        <w:t>whom the consent was given (</w:t>
      </w:r>
      <w:r w:rsidR="001A574A">
        <w:t>Section </w:t>
      </w:r>
      <w:r w:rsidRPr="009D7729">
        <w:t xml:space="preserve">9 </w:t>
      </w:r>
      <w:r w:rsidRPr="009D7729">
        <w:rPr>
          <w:lang w:val="en-US"/>
        </w:rPr>
        <w:t xml:space="preserve">of the </w:t>
      </w:r>
      <w:r w:rsidRPr="009D7729">
        <w:rPr>
          <w:iCs/>
          <w:lang w:val="en-US"/>
        </w:rPr>
        <w:t>Adoption Law</w:t>
      </w:r>
      <w:r w:rsidRPr="009D7729">
        <w:t xml:space="preserve">). </w:t>
      </w:r>
    </w:p>
    <w:p w:rsidR="006C72E1" w:rsidRPr="009D7729" w:rsidRDefault="006C72E1" w:rsidP="006D3B18">
      <w:pPr>
        <w:pStyle w:val="SingleTxtG"/>
        <w:numPr>
          <w:ilvl w:val="0"/>
          <w:numId w:val="12"/>
        </w:numPr>
        <w:ind w:left="1134" w:firstLine="0"/>
      </w:pPr>
      <w:r w:rsidRPr="009D7729">
        <w:t>Parental consent for adoption given outside the State of Israel may be given by signing the consent document before the diplomatic or the consular representative of Israel, in accordance with the laws in the place where the consent was given or in accordance with the laws in the main residence of the parent or the child at the time of consent (</w:t>
      </w:r>
      <w:r w:rsidR="001A574A">
        <w:t>Section </w:t>
      </w:r>
      <w:r w:rsidRPr="009D7729">
        <w:t xml:space="preserve">9A </w:t>
      </w:r>
      <w:r w:rsidRPr="009D7729">
        <w:rPr>
          <w:lang w:val="en-US"/>
        </w:rPr>
        <w:t xml:space="preserve">of the </w:t>
      </w:r>
      <w:r w:rsidRPr="009D7729">
        <w:rPr>
          <w:iCs/>
          <w:lang w:val="en-US"/>
        </w:rPr>
        <w:t>Adoption Law</w:t>
      </w:r>
      <w:r w:rsidRPr="009D7729">
        <w:t xml:space="preserve">). </w:t>
      </w:r>
    </w:p>
    <w:p w:rsidR="006C72E1" w:rsidRPr="009D7729" w:rsidRDefault="006C72E1" w:rsidP="006A2A41">
      <w:pPr>
        <w:pStyle w:val="SingleTxtG"/>
        <w:numPr>
          <w:ilvl w:val="0"/>
          <w:numId w:val="12"/>
        </w:numPr>
        <w:ind w:left="1134" w:firstLine="0"/>
        <w:rPr>
          <w:lang w:val="en-US"/>
        </w:rPr>
      </w:pPr>
      <w:r w:rsidRPr="009D7729">
        <w:t xml:space="preserve">In addition to the safeguards mentioned above, the court may, upon request of a parent, annul parental consent for adoption if it is convinced that the consent was given by illegitimate means. The court may also, in special cases, allow a parent to reconsider his/her consent to give his/her child </w:t>
      </w:r>
      <w:r w:rsidR="006A2A41">
        <w:t>up for</w:t>
      </w:r>
      <w:r w:rsidR="006A2A41" w:rsidRPr="009D7729">
        <w:t xml:space="preserve"> </w:t>
      </w:r>
      <w:r w:rsidRPr="009D7729">
        <w:t>adoption, on the condition that the request is made within 60</w:t>
      </w:r>
      <w:r w:rsidR="0032213C">
        <w:t> </w:t>
      </w:r>
      <w:r w:rsidRPr="009D7729">
        <w:t>days following the later of the day on which the child was given to the potential adopter and the day of signature of the consent document, and that the adoption order has not yet been issued (</w:t>
      </w:r>
      <w:r w:rsidR="001A574A">
        <w:t>Section </w:t>
      </w:r>
      <w:r w:rsidRPr="009D7729">
        <w:t xml:space="preserve">10 </w:t>
      </w:r>
      <w:r w:rsidRPr="009D7729">
        <w:rPr>
          <w:lang w:val="en-US"/>
        </w:rPr>
        <w:t xml:space="preserve">of the </w:t>
      </w:r>
      <w:r w:rsidRPr="009D7729">
        <w:rPr>
          <w:iCs/>
          <w:lang w:val="en-US"/>
        </w:rPr>
        <w:t>Adoption Law</w:t>
      </w:r>
      <w:r w:rsidRPr="009D7729">
        <w:t>).</w:t>
      </w:r>
    </w:p>
    <w:p w:rsidR="006C72E1" w:rsidRPr="009D7729" w:rsidRDefault="006C72E1" w:rsidP="006D3B18">
      <w:pPr>
        <w:pStyle w:val="SingleTxtG"/>
        <w:numPr>
          <w:ilvl w:val="0"/>
          <w:numId w:val="12"/>
        </w:numPr>
        <w:ind w:left="1134" w:firstLine="0"/>
        <w:rPr>
          <w:b/>
          <w:bCs/>
          <w:lang w:val="en-US" w:bidi="he-IL"/>
        </w:rPr>
      </w:pPr>
      <w:r w:rsidRPr="009D7729">
        <w:rPr>
          <w:lang w:val="en-US"/>
        </w:rPr>
        <w:t xml:space="preserve">In order to prevent attempts to persuade mothers or pregnant women to give </w:t>
      </w:r>
      <w:r w:rsidR="0077256F">
        <w:rPr>
          <w:lang w:val="en-US"/>
        </w:rPr>
        <w:t xml:space="preserve">up </w:t>
      </w:r>
      <w:r w:rsidRPr="009D7729">
        <w:rPr>
          <w:lang w:val="en-US"/>
        </w:rPr>
        <w:t xml:space="preserve">their children for adoption, the </w:t>
      </w:r>
      <w:r w:rsidRPr="009D7729">
        <w:rPr>
          <w:iCs/>
          <w:lang w:val="en-US"/>
        </w:rPr>
        <w:t>Adoption Law</w:t>
      </w:r>
      <w:r w:rsidRPr="009D7729">
        <w:rPr>
          <w:lang w:val="en-US"/>
        </w:rPr>
        <w:t xml:space="preserve"> forbids the acceptance of parental consent for adoption within seven days following the birth of the child, unless this is approved by the court upon a finding that such a delay could jeopardize the life or well-being of the parent or the child (</w:t>
      </w:r>
      <w:r w:rsidR="001A574A">
        <w:rPr>
          <w:lang w:val="en-US"/>
        </w:rPr>
        <w:t>Section </w:t>
      </w:r>
      <w:r w:rsidRPr="009D7729">
        <w:rPr>
          <w:lang w:val="en-US"/>
        </w:rPr>
        <w:t xml:space="preserve">8A of the </w:t>
      </w:r>
      <w:r w:rsidRPr="009D7729">
        <w:rPr>
          <w:iCs/>
          <w:lang w:val="en-US"/>
        </w:rPr>
        <w:t>Adoption Law</w:t>
      </w:r>
      <w:r w:rsidRPr="009D7729">
        <w:rPr>
          <w:lang w:val="en-US"/>
        </w:rPr>
        <w:t xml:space="preserve">). </w:t>
      </w:r>
    </w:p>
    <w:p w:rsidR="006C72E1" w:rsidRPr="009D7729" w:rsidRDefault="006C72E1" w:rsidP="006D3B18">
      <w:pPr>
        <w:pStyle w:val="SingleTxtG"/>
        <w:numPr>
          <w:ilvl w:val="0"/>
          <w:numId w:val="12"/>
        </w:numPr>
        <w:ind w:left="1134" w:firstLine="0"/>
      </w:pPr>
      <w:r w:rsidRPr="009D7729">
        <w:t>In order to prevent illegal actions and in order to maintain control over the process, transferring the custody of a child to the adoptive parents is possible only through an authorized social worker, who is required by law to verify that the child</w:t>
      </w:r>
      <w:r w:rsidR="00C05EBD">
        <w:t>’</w:t>
      </w:r>
      <w:r w:rsidRPr="009D7729">
        <w:t>s parents have given their consent to the adoption or that the child was declared adoptable by the court. Any other action made by the social worker is required to be approved by the court (</w:t>
      </w:r>
      <w:r w:rsidR="001A574A">
        <w:t>Section </w:t>
      </w:r>
      <w:r w:rsidRPr="009D7729">
        <w:t xml:space="preserve">12 of the </w:t>
      </w:r>
      <w:r w:rsidRPr="009D7729">
        <w:rPr>
          <w:iCs/>
          <w:lang w:val="en-US"/>
        </w:rPr>
        <w:t>Adoption Law</w:t>
      </w:r>
      <w:r w:rsidRPr="009D7729">
        <w:t xml:space="preserve">). </w:t>
      </w:r>
    </w:p>
    <w:p w:rsidR="006C72E1" w:rsidRPr="009D7729" w:rsidRDefault="006C72E1" w:rsidP="006D3B18">
      <w:pPr>
        <w:pStyle w:val="SingleTxtG"/>
        <w:numPr>
          <w:ilvl w:val="0"/>
          <w:numId w:val="12"/>
        </w:numPr>
        <w:ind w:left="1134" w:firstLine="0"/>
      </w:pPr>
      <w:r w:rsidRPr="009D7729">
        <w:t>As stated above, parental consent is the primary means provided by the law for adoption to occur. However, if parental consent is not given, the court is authorized, at the request of the Attorney General, to declare the child as adoptable, if the court determines that (</w:t>
      </w:r>
      <w:r w:rsidR="001A574A">
        <w:t>Section </w:t>
      </w:r>
      <w:r w:rsidRPr="009D7729">
        <w:t>13)</w:t>
      </w:r>
      <w:r w:rsidR="002F78E7" w:rsidRPr="009D7729">
        <w:t>:</w:t>
      </w:r>
    </w:p>
    <w:p w:rsidR="006C72E1" w:rsidRPr="009D7729" w:rsidRDefault="002F78E7" w:rsidP="00B43A15">
      <w:pPr>
        <w:pStyle w:val="SingleTxtG"/>
        <w:ind w:firstLine="567"/>
      </w:pPr>
      <w:r w:rsidRPr="009D7729">
        <w:t>(</w:t>
      </w:r>
      <w:r w:rsidR="00922103" w:rsidRPr="009D7729">
        <w:t>a</w:t>
      </w:r>
      <w:r w:rsidRPr="009D7729">
        <w:t>)</w:t>
      </w:r>
      <w:r w:rsidRPr="009D7729">
        <w:tab/>
      </w:r>
      <w:r w:rsidR="006C72E1" w:rsidRPr="009D7729">
        <w:t>There is no reasonable possibility to identify the parent, to locate him/her or to obtain his/her opinion concerning the adoption;</w:t>
      </w:r>
      <w:r w:rsidR="00CD3B50">
        <w:t xml:space="preserve"> </w:t>
      </w:r>
    </w:p>
    <w:p w:rsidR="006C72E1" w:rsidRPr="009D7729" w:rsidRDefault="002F78E7" w:rsidP="00B43A15">
      <w:pPr>
        <w:pStyle w:val="SingleTxtG"/>
        <w:ind w:firstLine="567"/>
      </w:pPr>
      <w:r w:rsidRPr="009D7729">
        <w:t>(</w:t>
      </w:r>
      <w:r w:rsidR="00922103" w:rsidRPr="009D7729">
        <w:t>b</w:t>
      </w:r>
      <w:r w:rsidRPr="009D7729">
        <w:t>)</w:t>
      </w:r>
      <w:r w:rsidRPr="009D7729">
        <w:tab/>
      </w:r>
      <w:r w:rsidR="006C72E1" w:rsidRPr="009D7729">
        <w:t xml:space="preserve">The parent is the father of the child but was not married to the mother and did not recognize the child as his own, or he recognized the child but the child did not live with him and the father refused without reasonable grounds to allow the child to live with him; </w:t>
      </w:r>
    </w:p>
    <w:p w:rsidR="006C72E1" w:rsidRPr="009D7729" w:rsidRDefault="002F78E7" w:rsidP="00B43A15">
      <w:pPr>
        <w:pStyle w:val="SingleTxtG"/>
        <w:ind w:firstLine="567"/>
      </w:pPr>
      <w:r w:rsidRPr="009D7729">
        <w:t>(</w:t>
      </w:r>
      <w:r w:rsidR="00922103" w:rsidRPr="009D7729">
        <w:t>c</w:t>
      </w:r>
      <w:r w:rsidRPr="009D7729">
        <w:t>)</w:t>
      </w:r>
      <w:r w:rsidRPr="009D7729">
        <w:tab/>
      </w:r>
      <w:r w:rsidR="006C72E1" w:rsidRPr="009D7729">
        <w:t xml:space="preserve">The parent is dead or was declared incompetent, or his/her guardianship concerning the child was denied; </w:t>
      </w:r>
    </w:p>
    <w:p w:rsidR="006C72E1" w:rsidRPr="009D7729" w:rsidRDefault="002F78E7" w:rsidP="00B43A15">
      <w:pPr>
        <w:pStyle w:val="SingleTxtG"/>
        <w:ind w:firstLine="567"/>
      </w:pPr>
      <w:r w:rsidRPr="009D7729">
        <w:t>(</w:t>
      </w:r>
      <w:r w:rsidR="00922103" w:rsidRPr="009D7729">
        <w:t>d</w:t>
      </w:r>
      <w:r w:rsidRPr="009D7729">
        <w:t>)</w:t>
      </w:r>
      <w:r w:rsidRPr="009D7729">
        <w:tab/>
      </w:r>
      <w:r w:rsidR="006C72E1" w:rsidRPr="009D7729">
        <w:t xml:space="preserve">The parent abandoned the child or, without reasonable ground, refrained from having a personal relation with him/her during six consecutive months; </w:t>
      </w:r>
    </w:p>
    <w:p w:rsidR="006C72E1" w:rsidRPr="009D7729" w:rsidRDefault="002F78E7" w:rsidP="00B43A15">
      <w:pPr>
        <w:pStyle w:val="SingleTxtG"/>
        <w:ind w:firstLine="567"/>
      </w:pPr>
      <w:r w:rsidRPr="009D7729">
        <w:t>(</w:t>
      </w:r>
      <w:r w:rsidR="00922103" w:rsidRPr="009D7729">
        <w:t>e</w:t>
      </w:r>
      <w:r w:rsidRPr="009D7729">
        <w:t>)</w:t>
      </w:r>
      <w:r w:rsidRPr="009D7729">
        <w:tab/>
      </w:r>
      <w:r w:rsidR="006C72E1" w:rsidRPr="009D7729">
        <w:t>The parent refrained, without reasonable ground, to fulfil all or most of his/her obligations toward the child during six months in sequence;</w:t>
      </w:r>
      <w:r w:rsidR="00CD3B50">
        <w:t xml:space="preserve"> </w:t>
      </w:r>
    </w:p>
    <w:p w:rsidR="006C72E1" w:rsidRPr="009D7729" w:rsidRDefault="002F78E7" w:rsidP="00B43A15">
      <w:pPr>
        <w:pStyle w:val="SingleTxtG"/>
        <w:ind w:firstLine="567"/>
      </w:pPr>
      <w:r w:rsidRPr="009D7729">
        <w:t>(</w:t>
      </w:r>
      <w:r w:rsidR="00922103" w:rsidRPr="009D7729">
        <w:t>f</w:t>
      </w:r>
      <w:r w:rsidRPr="009D7729">
        <w:t>)</w:t>
      </w:r>
      <w:r w:rsidRPr="009D7729">
        <w:tab/>
      </w:r>
      <w:r w:rsidR="006C72E1" w:rsidRPr="009D7729">
        <w:t>The child was held outside his/her parents</w:t>
      </w:r>
      <w:r w:rsidR="00C05EBD">
        <w:rPr>
          <w:rFonts w:hint="eastAsia"/>
        </w:rPr>
        <w:t>’</w:t>
      </w:r>
      <w:r w:rsidR="006C72E1" w:rsidRPr="009D7729">
        <w:t xml:space="preserve"> home during six months that began before the child reached the age of six and the parent refuses, without justification, to allow the child to reside with him/her;</w:t>
      </w:r>
    </w:p>
    <w:p w:rsidR="006C72E1" w:rsidRPr="009D7729" w:rsidRDefault="002F78E7" w:rsidP="00B43A15">
      <w:pPr>
        <w:pStyle w:val="SingleTxtG"/>
        <w:ind w:firstLine="567"/>
      </w:pPr>
      <w:r w:rsidRPr="009D7729">
        <w:t>(</w:t>
      </w:r>
      <w:r w:rsidR="00922103" w:rsidRPr="009D7729">
        <w:t>g</w:t>
      </w:r>
      <w:r w:rsidRPr="009D7729">
        <w:t>)</w:t>
      </w:r>
      <w:r w:rsidRPr="009D7729">
        <w:tab/>
      </w:r>
      <w:r w:rsidR="006C72E1" w:rsidRPr="009D7729">
        <w:t>The parent is unable to take proper care of the child due to the parent</w:t>
      </w:r>
      <w:r w:rsidR="00C05EBD">
        <w:rPr>
          <w:rFonts w:hint="eastAsia"/>
        </w:rPr>
        <w:t>’</w:t>
      </w:r>
      <w:r w:rsidR="006C72E1" w:rsidRPr="009D7729">
        <w:t xml:space="preserve">s behaviour or condition, and there is no likelihood that such behaviour or condition will change in the near future despite any reasonable financial or treatment assistance by the welfare authorities to rehabilitate the parent; or </w:t>
      </w:r>
    </w:p>
    <w:p w:rsidR="006C72E1" w:rsidRPr="009D7729" w:rsidRDefault="002F78E7" w:rsidP="00B21E54">
      <w:pPr>
        <w:pStyle w:val="SingleTxtG"/>
        <w:ind w:firstLine="567"/>
      </w:pPr>
      <w:r w:rsidRPr="009D7729">
        <w:t>(</w:t>
      </w:r>
      <w:r w:rsidR="00922103" w:rsidRPr="009D7729">
        <w:t>h</w:t>
      </w:r>
      <w:r w:rsidRPr="009D7729">
        <w:t>)</w:t>
      </w:r>
      <w:r w:rsidRPr="009D7729">
        <w:tab/>
      </w:r>
      <w:r w:rsidR="006C72E1" w:rsidRPr="009D7729">
        <w:t xml:space="preserve">The refusal to give consent is motivated by immoral grounds or aimed </w:t>
      </w:r>
      <w:r w:rsidR="00B21E54">
        <w:t>at</w:t>
      </w:r>
      <w:r w:rsidR="00B21E54" w:rsidRPr="009D7729">
        <w:t xml:space="preserve"> </w:t>
      </w:r>
      <w:r w:rsidR="006C72E1" w:rsidRPr="009D7729">
        <w:t>an illegal purpose.</w:t>
      </w:r>
    </w:p>
    <w:p w:rsidR="006C72E1" w:rsidRPr="009D7729" w:rsidRDefault="006C72E1" w:rsidP="00B21E54">
      <w:pPr>
        <w:pStyle w:val="SingleTxtG"/>
        <w:numPr>
          <w:ilvl w:val="0"/>
          <w:numId w:val="12"/>
        </w:numPr>
        <w:ind w:left="1134" w:firstLine="0"/>
      </w:pPr>
      <w:r w:rsidRPr="009D7729">
        <w:t xml:space="preserve">The court must refrain from ordering </w:t>
      </w:r>
      <w:r w:rsidR="00B21E54">
        <w:t>the taking of</w:t>
      </w:r>
      <w:r w:rsidRPr="009D7729">
        <w:t xml:space="preserve"> action </w:t>
      </w:r>
      <w:r w:rsidR="00B21E54">
        <w:t xml:space="preserve">that is </w:t>
      </w:r>
      <w:r w:rsidRPr="009D7729">
        <w:t>aimed at locating the parent in any of the following cases</w:t>
      </w:r>
      <w:r w:rsidR="002F78E7" w:rsidRPr="009D7729">
        <w:t>:</w:t>
      </w:r>
    </w:p>
    <w:p w:rsidR="002F78E7" w:rsidRPr="009D7729" w:rsidRDefault="002F78E7" w:rsidP="00EC5FA6">
      <w:pPr>
        <w:pStyle w:val="SingleTxtG"/>
        <w:ind w:firstLine="567"/>
      </w:pPr>
      <w:r w:rsidRPr="009D7729">
        <w:t>(</w:t>
      </w:r>
      <w:r w:rsidR="00922103" w:rsidRPr="009D7729">
        <w:t>a</w:t>
      </w:r>
      <w:r w:rsidRPr="009D7729">
        <w:t>)</w:t>
      </w:r>
      <w:r w:rsidRPr="009D7729">
        <w:tab/>
      </w:r>
      <w:r w:rsidR="006C72E1" w:rsidRPr="009D7729">
        <w:t>The action could jeopardize the life or the health of any of the parents or the child, or cause irre</w:t>
      </w:r>
      <w:r w:rsidR="00EC5FA6">
        <w:t>versible damage to any of them;</w:t>
      </w:r>
    </w:p>
    <w:p w:rsidR="002F78E7" w:rsidRPr="009D7729" w:rsidRDefault="002F78E7" w:rsidP="00EC5FA6">
      <w:pPr>
        <w:pStyle w:val="SingleTxtG"/>
        <w:ind w:firstLine="567"/>
      </w:pPr>
      <w:r w:rsidRPr="009D7729">
        <w:t>(</w:t>
      </w:r>
      <w:r w:rsidR="00922103" w:rsidRPr="009D7729">
        <w:t>b</w:t>
      </w:r>
      <w:r w:rsidRPr="009D7729">
        <w:t>)</w:t>
      </w:r>
      <w:r w:rsidRPr="009D7729">
        <w:tab/>
      </w:r>
      <w:r w:rsidR="006C72E1" w:rsidRPr="009D7729">
        <w:t>The child was born as a result of sexual intercourse that constitutes a sexual offense or as a result of sexual intercourse betw</w:t>
      </w:r>
      <w:r w:rsidR="002C0C4A" w:rsidRPr="009D7729">
        <w:t>een family members;</w:t>
      </w:r>
    </w:p>
    <w:p w:rsidR="006C72E1" w:rsidRDefault="002F78E7" w:rsidP="00EC5FA6">
      <w:pPr>
        <w:pStyle w:val="SingleTxtG"/>
        <w:ind w:firstLine="567"/>
      </w:pPr>
      <w:r>
        <w:t>(</w:t>
      </w:r>
      <w:r w:rsidR="00922103">
        <w:t>c</w:t>
      </w:r>
      <w:r>
        <w:t>)</w:t>
      </w:r>
      <w:r>
        <w:tab/>
      </w:r>
      <w:r w:rsidR="006C72E1" w:rsidRPr="00BC5D9A">
        <w:t xml:space="preserve">The father </w:t>
      </w:r>
      <w:r w:rsidR="006C72E1" w:rsidRPr="00AC14F0">
        <w:t>knew about the pregnancy or about the existence of the child but refrained</w:t>
      </w:r>
      <w:r w:rsidR="006C72E1">
        <w:t>,</w:t>
      </w:r>
      <w:r w:rsidR="006C72E1" w:rsidRPr="00AC14F0">
        <w:t xml:space="preserve"> without reasonable ground</w:t>
      </w:r>
      <w:r w:rsidR="006C72E1">
        <w:t>,</w:t>
      </w:r>
      <w:r w:rsidR="006C72E1" w:rsidRPr="00AC14F0">
        <w:t xml:space="preserve"> from </w:t>
      </w:r>
      <w:r w:rsidR="006C72E1">
        <w:t>contacting</w:t>
      </w:r>
      <w:r w:rsidR="006C72E1" w:rsidRPr="00AC14F0">
        <w:t xml:space="preserve"> </w:t>
      </w:r>
      <w:r w:rsidR="006C72E1" w:rsidRPr="00BC5D9A">
        <w:t>the mother concerning</w:t>
      </w:r>
      <w:r w:rsidR="006C72E1" w:rsidRPr="00AC14F0">
        <w:t xml:space="preserve"> the pregnancy or from </w:t>
      </w:r>
      <w:r w:rsidR="006C72E1">
        <w:t xml:space="preserve">contacting </w:t>
      </w:r>
      <w:r w:rsidR="006C72E1" w:rsidRPr="00AC14F0">
        <w:t>the child.</w:t>
      </w:r>
    </w:p>
    <w:p w:rsidR="006C72E1" w:rsidRDefault="002C0C4A" w:rsidP="00100D6D">
      <w:pPr>
        <w:pStyle w:val="H23G"/>
      </w:pPr>
      <w:bookmarkStart w:id="3" w:name="A00018044"/>
      <w:r>
        <w:tab/>
      </w:r>
      <w:r>
        <w:tab/>
      </w:r>
      <w:r w:rsidR="006C72E1">
        <w:t>I</w:t>
      </w:r>
      <w:r w:rsidR="006C72E1" w:rsidRPr="00B14753">
        <w:t xml:space="preserve">nter-country </w:t>
      </w:r>
      <w:r w:rsidR="007D38B4">
        <w:t>a</w:t>
      </w:r>
      <w:r w:rsidR="007D38B4" w:rsidRPr="00B14753">
        <w:t>doption</w:t>
      </w:r>
    </w:p>
    <w:p w:rsidR="006C72E1" w:rsidRPr="00564866" w:rsidRDefault="006C72E1" w:rsidP="006D3B18">
      <w:pPr>
        <w:pStyle w:val="SingleTxtG"/>
        <w:numPr>
          <w:ilvl w:val="0"/>
          <w:numId w:val="12"/>
        </w:numPr>
        <w:ind w:left="1134" w:firstLine="0"/>
      </w:pPr>
      <w:r w:rsidRPr="00B14753">
        <w:t xml:space="preserve">In principle, Israeli law allows </w:t>
      </w:r>
      <w:r>
        <w:t xml:space="preserve">for the </w:t>
      </w:r>
      <w:r w:rsidRPr="00B14753">
        <w:t>adoption of</w:t>
      </w:r>
      <w:r w:rsidR="00285CC4">
        <w:t xml:space="preserve"> a child from another country (“</w:t>
      </w:r>
      <w:r w:rsidRPr="00564866">
        <w:t>inter-country adoption</w:t>
      </w:r>
      <w:r w:rsidR="00285CC4" w:rsidRPr="00564866">
        <w:t>”</w:t>
      </w:r>
      <w:r w:rsidRPr="00564866">
        <w:t xml:space="preserve">). The procedure for such an adoption is subject to the rules set by the Adoption Law and to applicable international law. In that regard, the State of Israel is a party to the Hague Convention on Protection of Children and Co-operation in Respect of Inter-country Adoption (29 May 1993) and fully complies with its provisions. </w:t>
      </w:r>
    </w:p>
    <w:p w:rsidR="006C72E1" w:rsidRDefault="006C72E1" w:rsidP="00FC0B34">
      <w:pPr>
        <w:pStyle w:val="SingleTxtG"/>
        <w:numPr>
          <w:ilvl w:val="0"/>
          <w:numId w:val="12"/>
        </w:numPr>
        <w:ind w:left="1134" w:firstLine="0"/>
      </w:pPr>
      <w:r w:rsidRPr="00564866">
        <w:t xml:space="preserve">In order to conduct and supervise the process of inter-country adoption, the Minister of Social Affairs and Social Services appointed a chief social worker who functions as the </w:t>
      </w:r>
      <w:r w:rsidR="00285CC4" w:rsidRPr="00564866">
        <w:t>“</w:t>
      </w:r>
      <w:r w:rsidRPr="00564866">
        <w:t>central authority</w:t>
      </w:r>
      <w:r w:rsidR="00285CC4" w:rsidRPr="00564866">
        <w:t>”</w:t>
      </w:r>
      <w:r w:rsidRPr="00B14753">
        <w:t xml:space="preserve"> for inter-</w:t>
      </w:r>
      <w:r w:rsidRPr="00BC5D9A">
        <w:t>country adoption pursuant</w:t>
      </w:r>
      <w:r>
        <w:t xml:space="preserve"> </w:t>
      </w:r>
      <w:r w:rsidRPr="00B14753">
        <w:t xml:space="preserve">to </w:t>
      </w:r>
      <w:r w:rsidRPr="00D54DC8">
        <w:t>the Adoption Law as well as for the purposes of the Hague Convention (</w:t>
      </w:r>
      <w:r w:rsidR="001A574A" w:rsidRPr="00D54DC8">
        <w:t>Section </w:t>
      </w:r>
      <w:r w:rsidRPr="00D54DC8">
        <w:t>28B to the Adoption Law).</w:t>
      </w:r>
      <w:r w:rsidRPr="00B14753">
        <w:t xml:space="preserve"> </w:t>
      </w:r>
    </w:p>
    <w:p w:rsidR="006C72E1" w:rsidRDefault="006C72E1" w:rsidP="006D3B18">
      <w:pPr>
        <w:pStyle w:val="SingleTxtG"/>
        <w:numPr>
          <w:ilvl w:val="0"/>
          <w:numId w:val="12"/>
        </w:numPr>
        <w:ind w:left="1134" w:firstLine="0"/>
      </w:pPr>
      <w:r>
        <w:t>I</w:t>
      </w:r>
      <w:r w:rsidRPr="00B14753">
        <w:t xml:space="preserve">nter-country adoption </w:t>
      </w:r>
      <w:r>
        <w:t xml:space="preserve">may only be carried out through a non-profit organization </w:t>
      </w:r>
      <w:r w:rsidRPr="00B14753">
        <w:t xml:space="preserve">whose exclusive purpose is to </w:t>
      </w:r>
      <w:r w:rsidRPr="00201D81">
        <w:t>act in the field o</w:t>
      </w:r>
      <w:r w:rsidRPr="00B14753">
        <w:t xml:space="preserve">f inter-country adoption and is approved and recognized by the Minister of </w:t>
      </w:r>
      <w:r>
        <w:t>S</w:t>
      </w:r>
      <w:r w:rsidRPr="00B14753">
        <w:t xml:space="preserve">ocial </w:t>
      </w:r>
      <w:r>
        <w:t>A</w:t>
      </w:r>
      <w:r w:rsidRPr="00B14753">
        <w:t>ffairs</w:t>
      </w:r>
      <w:r>
        <w:t xml:space="preserve"> and Social Services</w:t>
      </w:r>
      <w:r w:rsidRPr="00B14753">
        <w:t xml:space="preserve"> and the Minister of Ju</w:t>
      </w:r>
      <w:r w:rsidR="00285CC4">
        <w:t>stice (hereinafter, the “</w:t>
      </w:r>
      <w:r w:rsidRPr="00564866">
        <w:t>Ministers</w:t>
      </w:r>
      <w:r w:rsidR="00285CC4">
        <w:t>”</w:t>
      </w:r>
      <w:r w:rsidRPr="00B14753">
        <w:t>) (</w:t>
      </w:r>
      <w:r w:rsidR="001A574A">
        <w:t>Section </w:t>
      </w:r>
      <w:r w:rsidRPr="00B14753">
        <w:t xml:space="preserve">28C </w:t>
      </w:r>
      <w:r>
        <w:t>of</w:t>
      </w:r>
      <w:r w:rsidRPr="00B14753">
        <w:t xml:space="preserve"> the </w:t>
      </w:r>
      <w:r w:rsidRPr="00D54DC8">
        <w:t>Adoption Law</w:t>
      </w:r>
      <w:r w:rsidRPr="00B14753">
        <w:t xml:space="preserve">). The </w:t>
      </w:r>
      <w:r>
        <w:t>organization</w:t>
      </w:r>
      <w:r w:rsidRPr="00B14753">
        <w:t xml:space="preserve"> must act in good faith while </w:t>
      </w:r>
      <w:r>
        <w:t>ensuring</w:t>
      </w:r>
      <w:r w:rsidRPr="00B14753">
        <w:t xml:space="preserve"> the best interest</w:t>
      </w:r>
      <w:r>
        <w:t>s</w:t>
      </w:r>
      <w:r w:rsidRPr="00B14753">
        <w:t xml:space="preserve"> of the child and </w:t>
      </w:r>
      <w:r>
        <w:t xml:space="preserve">the protection of </w:t>
      </w:r>
      <w:r w:rsidRPr="00B14753">
        <w:t xml:space="preserve">his/her basic rights </w:t>
      </w:r>
      <w:r>
        <w:t xml:space="preserve">in accordance with </w:t>
      </w:r>
      <w:r w:rsidRPr="00B14753">
        <w:t xml:space="preserve">applicable laws and international standards. </w:t>
      </w:r>
    </w:p>
    <w:bookmarkEnd w:id="3"/>
    <w:p w:rsidR="006C72E1" w:rsidRDefault="006C72E1" w:rsidP="00FC0B34">
      <w:pPr>
        <w:pStyle w:val="SingleTxtG"/>
        <w:numPr>
          <w:ilvl w:val="0"/>
          <w:numId w:val="12"/>
        </w:numPr>
        <w:ind w:left="1134" w:firstLine="0"/>
        <w:rPr>
          <w:lang w:bidi="ar-LB"/>
        </w:rPr>
      </w:pPr>
      <w:r w:rsidRPr="00B14753">
        <w:t xml:space="preserve">The approval for such </w:t>
      </w:r>
      <w:r>
        <w:t>organization</w:t>
      </w:r>
      <w:r w:rsidRPr="00B14753">
        <w:t xml:space="preserve"> is given for a period of two years, which can be extended from time to time for additional periods</w:t>
      </w:r>
      <w:r>
        <w:t xml:space="preserve">, </w:t>
      </w:r>
      <w:r w:rsidRPr="00B14753">
        <w:t xml:space="preserve">in order to enable </w:t>
      </w:r>
      <w:r>
        <w:t xml:space="preserve">ongoing </w:t>
      </w:r>
      <w:r w:rsidRPr="00B14753">
        <w:t xml:space="preserve">supervision and inspection </w:t>
      </w:r>
      <w:r>
        <w:t>of</w:t>
      </w:r>
      <w:r w:rsidRPr="00B14753">
        <w:t xml:space="preserve"> the </w:t>
      </w:r>
      <w:r>
        <w:t>organization</w:t>
      </w:r>
      <w:r w:rsidR="00C05EBD">
        <w:rPr>
          <w:rFonts w:hint="eastAsia"/>
        </w:rPr>
        <w:t>’</w:t>
      </w:r>
      <w:r w:rsidRPr="00B14753">
        <w:t>s activit</w:t>
      </w:r>
      <w:r>
        <w:t>ies</w:t>
      </w:r>
      <w:r w:rsidRPr="00B14753">
        <w:t xml:space="preserve"> (</w:t>
      </w:r>
      <w:r w:rsidR="001A574A">
        <w:t>Section </w:t>
      </w:r>
      <w:r w:rsidRPr="00B14753">
        <w:t xml:space="preserve">28V to the </w:t>
      </w:r>
      <w:r w:rsidRPr="00D54DC8">
        <w:t>Adoption Law</w:t>
      </w:r>
      <w:r w:rsidRPr="00B14753">
        <w:t xml:space="preserve">). </w:t>
      </w:r>
    </w:p>
    <w:p w:rsidR="006C72E1" w:rsidRDefault="006C72E1" w:rsidP="006D3B18">
      <w:pPr>
        <w:pStyle w:val="SingleTxtG"/>
        <w:numPr>
          <w:ilvl w:val="0"/>
          <w:numId w:val="12"/>
        </w:numPr>
        <w:ind w:left="1134" w:firstLine="0"/>
        <w:rPr>
          <w:lang w:bidi="ar-LB"/>
        </w:rPr>
      </w:pPr>
      <w:r w:rsidRPr="00B14753">
        <w:rPr>
          <w:lang w:bidi="ar-LB"/>
        </w:rPr>
        <w:t xml:space="preserve">The Ministers may approve an </w:t>
      </w:r>
      <w:r>
        <w:t>organization</w:t>
      </w:r>
      <w:r w:rsidRPr="00B14753">
        <w:rPr>
          <w:lang w:bidi="ar-LB"/>
        </w:rPr>
        <w:t xml:space="preserve"> if they </w:t>
      </w:r>
      <w:r>
        <w:rPr>
          <w:lang w:bidi="ar-LB"/>
        </w:rPr>
        <w:t>are</w:t>
      </w:r>
      <w:r w:rsidRPr="00B14753">
        <w:rPr>
          <w:lang w:bidi="ar-LB"/>
        </w:rPr>
        <w:t xml:space="preserve"> satisfied that it meets all the conditions set by the </w:t>
      </w:r>
      <w:r>
        <w:rPr>
          <w:lang w:bidi="ar-LB"/>
        </w:rPr>
        <w:t>L</w:t>
      </w:r>
      <w:r w:rsidRPr="00B14753">
        <w:rPr>
          <w:lang w:bidi="ar-LB"/>
        </w:rPr>
        <w:t>aw, incl</w:t>
      </w:r>
      <w:r w:rsidRPr="004D2681">
        <w:rPr>
          <w:lang w:bidi="ar-LB"/>
        </w:rPr>
        <w:t xml:space="preserve">uding, </w:t>
      </w:r>
      <w:r w:rsidRPr="00B43698">
        <w:rPr>
          <w:lang w:bidi="ar-LB"/>
        </w:rPr>
        <w:t>inter alia</w:t>
      </w:r>
      <w:r w:rsidRPr="004D2681">
        <w:rPr>
          <w:lang w:bidi="ar-LB"/>
        </w:rPr>
        <w:t>, emp</w:t>
      </w:r>
      <w:r w:rsidRPr="00B14753">
        <w:rPr>
          <w:lang w:bidi="ar-LB"/>
        </w:rPr>
        <w:t>loying qualified employees and high</w:t>
      </w:r>
      <w:r w:rsidR="00FC0B34">
        <w:rPr>
          <w:lang w:bidi="ar-LB"/>
        </w:rPr>
        <w:t>-</w:t>
      </w:r>
      <w:r w:rsidRPr="00B14753">
        <w:rPr>
          <w:lang w:bidi="ar-LB"/>
        </w:rPr>
        <w:t xml:space="preserve">level professionals such as social workers, </w:t>
      </w:r>
      <w:r>
        <w:rPr>
          <w:lang w:bidi="ar-LB"/>
        </w:rPr>
        <w:t xml:space="preserve">a </w:t>
      </w:r>
      <w:r w:rsidRPr="00B14753">
        <w:rPr>
          <w:lang w:bidi="ar-LB"/>
        </w:rPr>
        <w:t xml:space="preserve">lawyer, </w:t>
      </w:r>
      <w:r>
        <w:rPr>
          <w:lang w:bidi="ar-LB"/>
        </w:rPr>
        <w:t xml:space="preserve">a </w:t>
      </w:r>
      <w:r w:rsidRPr="00B14753">
        <w:rPr>
          <w:lang w:bidi="ar-LB"/>
        </w:rPr>
        <w:t xml:space="preserve">bookkeeper and </w:t>
      </w:r>
      <w:r>
        <w:rPr>
          <w:lang w:bidi="ar-LB"/>
        </w:rPr>
        <w:t xml:space="preserve">an </w:t>
      </w:r>
      <w:r w:rsidRPr="00B14753">
        <w:rPr>
          <w:lang w:bidi="ar-LB"/>
        </w:rPr>
        <w:t>internal auditor</w:t>
      </w:r>
      <w:r>
        <w:rPr>
          <w:lang w:bidi="ar-LB"/>
        </w:rPr>
        <w:t xml:space="preserve">, and </w:t>
      </w:r>
      <w:r w:rsidRPr="00B14753">
        <w:rPr>
          <w:lang w:bidi="ar-LB"/>
        </w:rPr>
        <w:t xml:space="preserve">paying reasonable and fair remuneration or salary to its managers, employees and </w:t>
      </w:r>
      <w:r>
        <w:rPr>
          <w:lang w:bidi="ar-LB"/>
        </w:rPr>
        <w:t>those</w:t>
      </w:r>
      <w:r w:rsidRPr="00B14753">
        <w:rPr>
          <w:lang w:bidi="ar-LB"/>
        </w:rPr>
        <w:t xml:space="preserve"> act</w:t>
      </w:r>
      <w:r>
        <w:rPr>
          <w:lang w:bidi="ar-LB"/>
        </w:rPr>
        <w:t>ing</w:t>
      </w:r>
      <w:r w:rsidRPr="00B14753">
        <w:rPr>
          <w:lang w:bidi="ar-LB"/>
        </w:rPr>
        <w:t xml:space="preserve"> on its behalf. The above conditions are essential to </w:t>
      </w:r>
      <w:r>
        <w:rPr>
          <w:lang w:bidi="ar-LB"/>
        </w:rPr>
        <w:t>e</w:t>
      </w:r>
      <w:r w:rsidRPr="00B14753">
        <w:rPr>
          <w:lang w:bidi="ar-LB"/>
        </w:rPr>
        <w:t xml:space="preserve">nsure that the </w:t>
      </w:r>
      <w:r>
        <w:t>organization</w:t>
      </w:r>
      <w:r w:rsidRPr="00B14753">
        <w:rPr>
          <w:lang w:bidi="ar-LB"/>
        </w:rPr>
        <w:t xml:space="preserve"> functions and perform</w:t>
      </w:r>
      <w:r>
        <w:rPr>
          <w:lang w:bidi="ar-LB"/>
        </w:rPr>
        <w:t>s</w:t>
      </w:r>
      <w:r w:rsidRPr="00B14753">
        <w:rPr>
          <w:lang w:bidi="ar-LB"/>
        </w:rPr>
        <w:t xml:space="preserve"> its duties in an appropriate manner and to prev</w:t>
      </w:r>
      <w:r w:rsidRPr="00551E82">
        <w:rPr>
          <w:lang w:bidi="ar-LB"/>
        </w:rPr>
        <w:t>ent misuse of its role</w:t>
      </w:r>
      <w:r w:rsidRPr="00B14753">
        <w:rPr>
          <w:lang w:bidi="ar-LB"/>
        </w:rPr>
        <w:t xml:space="preserve"> in a manner tha</w:t>
      </w:r>
      <w:r>
        <w:rPr>
          <w:lang w:bidi="ar-LB"/>
        </w:rPr>
        <w:t xml:space="preserve">t might harm the minors. </w:t>
      </w:r>
    </w:p>
    <w:p w:rsidR="006C72E1" w:rsidRDefault="006C72E1" w:rsidP="006D3B18">
      <w:pPr>
        <w:pStyle w:val="SingleTxtG"/>
        <w:numPr>
          <w:ilvl w:val="0"/>
          <w:numId w:val="12"/>
        </w:numPr>
        <w:ind w:left="1134" w:firstLine="0"/>
        <w:rPr>
          <w:lang w:bidi="ar-LB"/>
        </w:rPr>
      </w:pPr>
      <w:r>
        <w:t xml:space="preserve">An </w:t>
      </w:r>
      <w:r w:rsidRPr="00B14753">
        <w:t xml:space="preserve">application for approval of the </w:t>
      </w:r>
      <w:r>
        <w:t>organization</w:t>
      </w:r>
      <w:r w:rsidRPr="00B14753">
        <w:t xml:space="preserve"> must be submitted in writing to the</w:t>
      </w:r>
      <w:r>
        <w:t xml:space="preserve"> </w:t>
      </w:r>
      <w:r w:rsidRPr="00B14753">
        <w:t xml:space="preserve">Ministers in the manner </w:t>
      </w:r>
      <w:r>
        <w:t>prescribed</w:t>
      </w:r>
      <w:r w:rsidRPr="00B14753">
        <w:t xml:space="preserve"> by the</w:t>
      </w:r>
      <w:r w:rsidRPr="00B14753">
        <w:rPr>
          <w:i/>
          <w:iCs/>
        </w:rPr>
        <w:t xml:space="preserve"> </w:t>
      </w:r>
      <w:r w:rsidRPr="00D54DC8">
        <w:t>Adoption Regulations (Recognition of an Inter-Country Adoption Organization)</w:t>
      </w:r>
      <w:r w:rsidRPr="00B14753">
        <w:rPr>
          <w:i/>
          <w:iCs/>
        </w:rPr>
        <w:t xml:space="preserve"> </w:t>
      </w:r>
      <w:r w:rsidRPr="00B14753">
        <w:t xml:space="preserve">5758-1998. The application </w:t>
      </w:r>
      <w:r>
        <w:t>must</w:t>
      </w:r>
      <w:r w:rsidRPr="00B14753">
        <w:t xml:space="preserve"> include a legal opinion as to the adoption procedures applicable in the countries in which the </w:t>
      </w:r>
      <w:r>
        <w:t>organization</w:t>
      </w:r>
      <w:r w:rsidRPr="00B14753">
        <w:t xml:space="preserve"> wishes to act, a copy of all relevant laws, and all other permits and certifications </w:t>
      </w:r>
      <w:r w:rsidRPr="00B14753">
        <w:rPr>
          <w:lang w:bidi="ar-LB"/>
        </w:rPr>
        <w:t xml:space="preserve">that confirm the </w:t>
      </w:r>
      <w:r>
        <w:t>organization</w:t>
      </w:r>
      <w:r w:rsidR="00C05EBD">
        <w:rPr>
          <w:rFonts w:hint="eastAsia"/>
        </w:rPr>
        <w:t>’</w:t>
      </w:r>
      <w:r w:rsidRPr="00B14753">
        <w:t xml:space="preserve">s </w:t>
      </w:r>
      <w:r w:rsidRPr="00B14753">
        <w:rPr>
          <w:lang w:bidi="ar-LB"/>
        </w:rPr>
        <w:t xml:space="preserve">authorization to carry out inter-country adoption in those countries. </w:t>
      </w:r>
    </w:p>
    <w:p w:rsidR="006C72E1" w:rsidRDefault="006C72E1" w:rsidP="006D3B18">
      <w:pPr>
        <w:pStyle w:val="SingleTxtG"/>
        <w:numPr>
          <w:ilvl w:val="0"/>
          <w:numId w:val="12"/>
        </w:numPr>
        <w:ind w:left="1134" w:firstLine="0"/>
        <w:rPr>
          <w:lang w:bidi="ar-LB"/>
        </w:rPr>
      </w:pPr>
      <w:r w:rsidRPr="00B14753">
        <w:rPr>
          <w:lang w:bidi="ar-LB"/>
        </w:rPr>
        <w:t xml:space="preserve">A </w:t>
      </w:r>
      <w:r w:rsidRPr="00B14753">
        <w:t xml:space="preserve">recognized </w:t>
      </w:r>
      <w:r>
        <w:t>organization</w:t>
      </w:r>
      <w:r w:rsidRPr="00B14753">
        <w:rPr>
          <w:lang w:bidi="ar-LB"/>
        </w:rPr>
        <w:t xml:space="preserve"> is subject to </w:t>
      </w:r>
      <w:r w:rsidRPr="00D31218">
        <w:rPr>
          <w:lang w:bidi="ar-LB"/>
        </w:rPr>
        <w:t>the central authority</w:t>
      </w:r>
      <w:r w:rsidR="00C05EBD">
        <w:rPr>
          <w:rFonts w:hint="eastAsia"/>
          <w:lang w:bidi="ar-LB"/>
        </w:rPr>
        <w:t>’</w:t>
      </w:r>
      <w:r w:rsidRPr="00D31218">
        <w:rPr>
          <w:lang w:bidi="ar-LB"/>
        </w:rPr>
        <w:t>s</w:t>
      </w:r>
      <w:r w:rsidRPr="00B14753">
        <w:rPr>
          <w:lang w:bidi="ar-LB"/>
        </w:rPr>
        <w:t xml:space="preserve"> supervision and, upon request from time to time, must </w:t>
      </w:r>
      <w:r>
        <w:rPr>
          <w:lang w:bidi="ar-LB"/>
        </w:rPr>
        <w:t>provide</w:t>
      </w:r>
      <w:r w:rsidRPr="00B14753">
        <w:rPr>
          <w:lang w:bidi="ar-LB"/>
        </w:rPr>
        <w:t xml:space="preserve"> information and documents regard</w:t>
      </w:r>
      <w:r>
        <w:rPr>
          <w:lang w:bidi="ar-LB"/>
        </w:rPr>
        <w:t>ing</w:t>
      </w:r>
      <w:r w:rsidRPr="00B14753">
        <w:rPr>
          <w:lang w:bidi="ar-LB"/>
        </w:rPr>
        <w:t xml:space="preserve"> its activit</w:t>
      </w:r>
      <w:r>
        <w:rPr>
          <w:lang w:bidi="ar-LB"/>
        </w:rPr>
        <w:t>ies</w:t>
      </w:r>
      <w:r w:rsidRPr="00B14753">
        <w:rPr>
          <w:lang w:bidi="ar-LB"/>
        </w:rPr>
        <w:t xml:space="preserve">. </w:t>
      </w:r>
    </w:p>
    <w:p w:rsidR="006C72E1" w:rsidRDefault="006C72E1" w:rsidP="00FC0B34">
      <w:pPr>
        <w:pStyle w:val="SingleTxtG"/>
        <w:numPr>
          <w:ilvl w:val="0"/>
          <w:numId w:val="12"/>
        </w:numPr>
        <w:ind w:left="1134" w:firstLine="0"/>
      </w:pPr>
      <w:r>
        <w:rPr>
          <w:lang w:bidi="ar-LB"/>
        </w:rPr>
        <w:t xml:space="preserve">While the </w:t>
      </w:r>
      <w:r>
        <w:t>organization</w:t>
      </w:r>
      <w:r>
        <w:rPr>
          <w:lang w:bidi="ar-LB"/>
        </w:rPr>
        <w:t xml:space="preserve"> is subject to</w:t>
      </w:r>
      <w:r w:rsidRPr="00B14753">
        <w:rPr>
          <w:lang w:bidi="ar-LB"/>
        </w:rPr>
        <w:t xml:space="preserve"> the central authority</w:t>
      </w:r>
      <w:r w:rsidR="00C05EBD">
        <w:rPr>
          <w:rFonts w:hint="eastAsia"/>
          <w:lang w:bidi="ar-LB"/>
        </w:rPr>
        <w:t>’</w:t>
      </w:r>
      <w:r w:rsidRPr="00B14753">
        <w:rPr>
          <w:lang w:bidi="ar-LB"/>
        </w:rPr>
        <w:t xml:space="preserve">s </w:t>
      </w:r>
      <w:r>
        <w:rPr>
          <w:lang w:bidi="ar-LB"/>
        </w:rPr>
        <w:t>ongoing</w:t>
      </w:r>
      <w:r w:rsidRPr="00B14753">
        <w:rPr>
          <w:lang w:bidi="ar-LB"/>
        </w:rPr>
        <w:t xml:space="preserve"> supervision, </w:t>
      </w:r>
      <w:r>
        <w:rPr>
          <w:lang w:bidi="ar-LB"/>
        </w:rPr>
        <w:t xml:space="preserve">the issuance of an </w:t>
      </w:r>
      <w:r w:rsidRPr="00B14753">
        <w:rPr>
          <w:lang w:bidi="ar-LB"/>
        </w:rPr>
        <w:t xml:space="preserve">inter-country adoption order </w:t>
      </w:r>
      <w:r>
        <w:rPr>
          <w:lang w:bidi="ar-LB"/>
        </w:rPr>
        <w:t xml:space="preserve">remains within the sole purview of a </w:t>
      </w:r>
      <w:r w:rsidRPr="00B14753">
        <w:rPr>
          <w:lang w:bidi="ar-LB"/>
        </w:rPr>
        <w:t xml:space="preserve">court, which </w:t>
      </w:r>
      <w:r>
        <w:rPr>
          <w:lang w:bidi="ar-LB"/>
        </w:rPr>
        <w:t xml:space="preserve">may </w:t>
      </w:r>
      <w:r w:rsidRPr="00B14753">
        <w:rPr>
          <w:lang w:bidi="ar-LB"/>
        </w:rPr>
        <w:t xml:space="preserve">grant it only after being convinced that all conditions for inter-country adoption </w:t>
      </w:r>
      <w:r>
        <w:rPr>
          <w:lang w:bidi="ar-LB"/>
        </w:rPr>
        <w:t>prescribed</w:t>
      </w:r>
      <w:r w:rsidRPr="00B14753">
        <w:rPr>
          <w:lang w:bidi="ar-LB"/>
        </w:rPr>
        <w:t xml:space="preserve"> by law </w:t>
      </w:r>
      <w:r>
        <w:rPr>
          <w:lang w:bidi="ar-LB"/>
        </w:rPr>
        <w:t>have been</w:t>
      </w:r>
      <w:r w:rsidRPr="00B14753">
        <w:rPr>
          <w:lang w:bidi="ar-LB"/>
        </w:rPr>
        <w:t xml:space="preserve"> met</w:t>
      </w:r>
      <w:r w:rsidRPr="00B14753">
        <w:t xml:space="preserve">. A violation </w:t>
      </w:r>
      <w:r>
        <w:t xml:space="preserve">by </w:t>
      </w:r>
      <w:r w:rsidRPr="00B14753">
        <w:t xml:space="preserve">the </w:t>
      </w:r>
      <w:r>
        <w:t>organization of it</w:t>
      </w:r>
      <w:r w:rsidRPr="00B14753">
        <w:t xml:space="preserve">s obligations can constitute a civil tort as well as a criminal </w:t>
      </w:r>
      <w:r>
        <w:t>offense</w:t>
      </w:r>
      <w:r w:rsidRPr="00B14753">
        <w:t xml:space="preserve"> liable </w:t>
      </w:r>
      <w:r>
        <w:t>to</w:t>
      </w:r>
      <w:r w:rsidRPr="00B14753">
        <w:t xml:space="preserve"> one year</w:t>
      </w:r>
      <w:r w:rsidR="00FC0B34">
        <w:t>’s</w:t>
      </w:r>
      <w:r w:rsidRPr="00B14753">
        <w:t xml:space="preserve"> imprisonment or a fine</w:t>
      </w:r>
      <w:r>
        <w:t xml:space="preserve"> of</w:t>
      </w:r>
      <w:r w:rsidRPr="00B14753">
        <w:t xml:space="preserve"> </w:t>
      </w:r>
      <w:r w:rsidR="00A72F2B">
        <w:t>75,300 </w:t>
      </w:r>
      <w:r w:rsidRPr="00277D33">
        <w:t xml:space="preserve">NIS </w:t>
      </w:r>
      <w:r w:rsidR="00A72F2B">
        <w:rPr>
          <w:snapToGrid w:val="0"/>
          <w:lang w:val="en-US"/>
        </w:rPr>
        <w:t>(US$ </w:t>
      </w:r>
      <w:r w:rsidRPr="00277D33">
        <w:rPr>
          <w:snapToGrid w:val="0"/>
          <w:lang w:val="en-US"/>
        </w:rPr>
        <w:t>19,815)</w:t>
      </w:r>
      <w:r w:rsidRPr="00277D33">
        <w:t>.</w:t>
      </w:r>
      <w:r w:rsidRPr="00B14753">
        <w:t xml:space="preserve"> </w:t>
      </w:r>
    </w:p>
    <w:p w:rsidR="006C72E1" w:rsidRDefault="006C72E1" w:rsidP="006D3B18">
      <w:pPr>
        <w:pStyle w:val="SingleTxtG"/>
        <w:numPr>
          <w:ilvl w:val="0"/>
          <w:numId w:val="12"/>
        </w:numPr>
        <w:ind w:left="1134" w:firstLine="0"/>
      </w:pPr>
      <w:r w:rsidRPr="00B14753">
        <w:t xml:space="preserve">Moreover, an </w:t>
      </w:r>
      <w:r>
        <w:t>organization</w:t>
      </w:r>
      <w:r w:rsidRPr="00910EE4">
        <w:t xml:space="preserve"> is not allowed to publish any advertisement</w:t>
      </w:r>
      <w:r>
        <w:t xml:space="preserve"> other than advertisements containing </w:t>
      </w:r>
      <w:r w:rsidRPr="00B14753">
        <w:t>practical information concerning its activit</w:t>
      </w:r>
      <w:r>
        <w:t xml:space="preserve">ies and on the condition that publishing such information is consistent with the principle of </w:t>
      </w:r>
      <w:r w:rsidRPr="00B14753">
        <w:t>the best interest</w:t>
      </w:r>
      <w:r>
        <w:t>s</w:t>
      </w:r>
      <w:r w:rsidRPr="00B14753">
        <w:t xml:space="preserve"> of the child. </w:t>
      </w:r>
    </w:p>
    <w:p w:rsidR="006C72E1" w:rsidRPr="00485EB9" w:rsidRDefault="006C72E1" w:rsidP="006D3B18">
      <w:pPr>
        <w:pStyle w:val="SingleTxtG"/>
        <w:numPr>
          <w:ilvl w:val="0"/>
          <w:numId w:val="12"/>
        </w:numPr>
        <w:ind w:left="1134" w:firstLine="0"/>
      </w:pPr>
      <w:r w:rsidRPr="00B14753">
        <w:t xml:space="preserve">An </w:t>
      </w:r>
      <w:r>
        <w:t>organization</w:t>
      </w:r>
      <w:r w:rsidRPr="00B14753">
        <w:t xml:space="preserve"> is not allowed to demand, charge or </w:t>
      </w:r>
      <w:r w:rsidRPr="002A4AD8">
        <w:t>receive, directly or indirectly, any payments from an applicant for its activit</w:t>
      </w:r>
      <w:r>
        <w:t>ies</w:t>
      </w:r>
      <w:r w:rsidRPr="002A4AD8">
        <w:t xml:space="preserve"> in regard to inter-country adoption, either in Israel or abroad, except for its actual expenses </w:t>
      </w:r>
      <w:r>
        <w:t xml:space="preserve">incurred </w:t>
      </w:r>
      <w:r w:rsidRPr="002A4AD8">
        <w:t xml:space="preserve">for such activities, and for services </w:t>
      </w:r>
      <w:r>
        <w:t>authorized</w:t>
      </w:r>
      <w:r w:rsidRPr="002A4AD8">
        <w:t xml:space="preserve"> by the Minister of </w:t>
      </w:r>
      <w:r>
        <w:t>S</w:t>
      </w:r>
      <w:r w:rsidRPr="002A4AD8">
        <w:t xml:space="preserve">ocial </w:t>
      </w:r>
      <w:r>
        <w:t>A</w:t>
      </w:r>
      <w:r w:rsidRPr="002A4AD8">
        <w:t>ffairs</w:t>
      </w:r>
      <w:r>
        <w:t xml:space="preserve"> and Social Services</w:t>
      </w:r>
      <w:r w:rsidRPr="002A4AD8">
        <w:t xml:space="preserve"> </w:t>
      </w:r>
      <w:r>
        <w:t xml:space="preserve">to the extent the amount charged </w:t>
      </w:r>
      <w:r w:rsidRPr="00B14753">
        <w:t>do</w:t>
      </w:r>
      <w:r>
        <w:t>es</w:t>
      </w:r>
      <w:r w:rsidRPr="00B14753">
        <w:t xml:space="preserve"> not exceed the maximum amounts </w:t>
      </w:r>
      <w:r>
        <w:t>prescribed</w:t>
      </w:r>
      <w:r w:rsidRPr="00B14753">
        <w:t xml:space="preserve"> by the Minister of </w:t>
      </w:r>
      <w:r>
        <w:t>S</w:t>
      </w:r>
      <w:r w:rsidRPr="00B14753">
        <w:t xml:space="preserve">ocial </w:t>
      </w:r>
      <w:r>
        <w:t>A</w:t>
      </w:r>
      <w:r w:rsidRPr="00B14753">
        <w:t>ffairs</w:t>
      </w:r>
      <w:r>
        <w:t xml:space="preserve"> and Social Services</w:t>
      </w:r>
      <w:r w:rsidRPr="00B14753">
        <w:t xml:space="preserve"> in the </w:t>
      </w:r>
      <w:r w:rsidRPr="00485EB9">
        <w:t>Adoption Regulations (Maximum Payments for Recognized Organization)</w:t>
      </w:r>
      <w:r w:rsidR="00177B7B">
        <w:t xml:space="preserve"> </w:t>
      </w:r>
      <w:r w:rsidR="00D03982" w:rsidRPr="00485EB9">
        <w:t>5758-</w:t>
      </w:r>
      <w:r w:rsidRPr="00485EB9">
        <w:t xml:space="preserve">1998. </w:t>
      </w:r>
    </w:p>
    <w:p w:rsidR="006C72E1" w:rsidRDefault="006C72E1" w:rsidP="006D3B18">
      <w:pPr>
        <w:pStyle w:val="SingleTxtG"/>
        <w:numPr>
          <w:ilvl w:val="0"/>
          <w:numId w:val="12"/>
        </w:numPr>
        <w:ind w:left="1134" w:firstLine="0"/>
      </w:pPr>
      <w:bookmarkStart w:id="4" w:name="A00034934"/>
      <w:r w:rsidRPr="00B14753">
        <w:t xml:space="preserve">In order to enforce the obligations </w:t>
      </w:r>
      <w:r>
        <w:t>under</w:t>
      </w:r>
      <w:r w:rsidRPr="00B14753">
        <w:t xml:space="preserve"> the </w:t>
      </w:r>
      <w:r w:rsidRPr="00485EB9">
        <w:t xml:space="preserve">Adoption Law, </w:t>
      </w:r>
      <w:r w:rsidR="001A574A" w:rsidRPr="00485EB9">
        <w:t>Section </w:t>
      </w:r>
      <w:r w:rsidRPr="00485EB9">
        <w:t>32 of the Adoption Law provides that a person who offers, gives, requests</w:t>
      </w:r>
      <w:r w:rsidRPr="00B14753">
        <w:t xml:space="preserve"> or accepts remuneration</w:t>
      </w:r>
      <w:r>
        <w:t xml:space="preserve"> (other than amounts that can legally be charged for the inter-country adoption)</w:t>
      </w:r>
      <w:r w:rsidRPr="00B14753">
        <w:t xml:space="preserve">, </w:t>
      </w:r>
      <w:r>
        <w:t xml:space="preserve">whether </w:t>
      </w:r>
      <w:r w:rsidRPr="00B14753">
        <w:t xml:space="preserve">by money </w:t>
      </w:r>
      <w:r w:rsidRPr="00910EE4">
        <w:t>or in kind, for adoption</w:t>
      </w:r>
      <w:r w:rsidRPr="00B14753">
        <w:t xml:space="preserve"> or for mediation, without the court</w:t>
      </w:r>
      <w:r w:rsidR="00C05EBD">
        <w:rPr>
          <w:rFonts w:hint="eastAsia"/>
        </w:rPr>
        <w:t>’</w:t>
      </w:r>
      <w:r w:rsidRPr="00B14753">
        <w:t>s permission, commits an offen</w:t>
      </w:r>
      <w:r>
        <w:t>s</w:t>
      </w:r>
      <w:r w:rsidRPr="00B14753">
        <w:t xml:space="preserve">e </w:t>
      </w:r>
      <w:r>
        <w:t xml:space="preserve">punishable by </w:t>
      </w:r>
      <w:r w:rsidRPr="00B14753">
        <w:t>three years</w:t>
      </w:r>
      <w:r w:rsidR="00D3193A">
        <w:t>’</w:t>
      </w:r>
      <w:r w:rsidRPr="00B14753">
        <w:t xml:space="preserve"> imprisonment.</w:t>
      </w:r>
      <w:r w:rsidR="00CD3B50">
        <w:t xml:space="preserve"> </w:t>
      </w:r>
    </w:p>
    <w:bookmarkEnd w:id="4"/>
    <w:p w:rsidR="006C72E1" w:rsidRPr="00186057" w:rsidRDefault="006C72E1" w:rsidP="006D3B18">
      <w:pPr>
        <w:pStyle w:val="SingleTxtG"/>
        <w:numPr>
          <w:ilvl w:val="0"/>
          <w:numId w:val="12"/>
        </w:numPr>
        <w:ind w:left="1134" w:firstLine="0"/>
      </w:pPr>
      <w:r w:rsidRPr="00B14753">
        <w:t xml:space="preserve">Additionally, </w:t>
      </w:r>
      <w:r>
        <w:t xml:space="preserve">pursuant to </w:t>
      </w:r>
      <w:r w:rsidR="001A574A">
        <w:t>Section </w:t>
      </w:r>
      <w:r w:rsidRPr="00B14753">
        <w:t xml:space="preserve">33 </w:t>
      </w:r>
      <w:r>
        <w:t>of</w:t>
      </w:r>
      <w:r w:rsidRPr="00B14753">
        <w:t xml:space="preserve"> the </w:t>
      </w:r>
      <w:r w:rsidRPr="00485EB9">
        <w:t>Adoption Law, a person who delivers, receives or holds a child for adoption in Israel or for inter-country adoption in a manner contrary to the provisions of the Adoption Law, commits</w:t>
      </w:r>
      <w:r w:rsidRPr="00186057">
        <w:t xml:space="preserve"> an offen</w:t>
      </w:r>
      <w:r>
        <w:t>s</w:t>
      </w:r>
      <w:r w:rsidRPr="00186057">
        <w:t xml:space="preserve">e </w:t>
      </w:r>
      <w:r>
        <w:t xml:space="preserve">publishable by </w:t>
      </w:r>
      <w:r w:rsidRPr="00186057">
        <w:t>three years</w:t>
      </w:r>
      <w:r w:rsidR="00D3193A">
        <w:t>’</w:t>
      </w:r>
      <w:r w:rsidRPr="00186057">
        <w:t xml:space="preserve"> imprisonment.</w:t>
      </w:r>
      <w:r w:rsidR="00CD3B50">
        <w:t xml:space="preserve"> </w:t>
      </w:r>
    </w:p>
    <w:p w:rsidR="006C72E1" w:rsidRPr="00186057" w:rsidRDefault="006C72E1" w:rsidP="006D3B18">
      <w:pPr>
        <w:pStyle w:val="SingleTxtG"/>
        <w:numPr>
          <w:ilvl w:val="0"/>
          <w:numId w:val="12"/>
        </w:numPr>
        <w:ind w:left="1134" w:firstLine="0"/>
        <w:rPr>
          <w:lang w:bidi="ar-LB"/>
        </w:rPr>
      </w:pPr>
      <w:r w:rsidRPr="00186057">
        <w:rPr>
          <w:lang w:bidi="ar-LB"/>
        </w:rPr>
        <w:t xml:space="preserve">Finally, several acts concerning the adoption procedure, such as </w:t>
      </w:r>
      <w:r>
        <w:rPr>
          <w:lang w:bidi="ar-LB"/>
        </w:rPr>
        <w:t xml:space="preserve">disclosing </w:t>
      </w:r>
      <w:r w:rsidRPr="00186057">
        <w:rPr>
          <w:lang w:bidi="ar-LB"/>
        </w:rPr>
        <w:t xml:space="preserve">information, </w:t>
      </w:r>
      <w:r>
        <w:t xml:space="preserve">breaching </w:t>
      </w:r>
      <w:r w:rsidRPr="00186057">
        <w:t>confidentiality</w:t>
      </w:r>
      <w:r>
        <w:t xml:space="preserve"> obligations</w:t>
      </w:r>
      <w:r w:rsidRPr="00186057">
        <w:rPr>
          <w:lang w:bidi="ar-LB"/>
        </w:rPr>
        <w:t xml:space="preserve">, </w:t>
      </w:r>
      <w:r>
        <w:rPr>
          <w:lang w:bidi="ar-LB"/>
        </w:rPr>
        <w:t xml:space="preserve">making a </w:t>
      </w:r>
      <w:r>
        <w:t xml:space="preserve">prohibited </w:t>
      </w:r>
      <w:r w:rsidRPr="00186057">
        <w:t>advertisement</w:t>
      </w:r>
      <w:r>
        <w:t xml:space="preserve"> and</w:t>
      </w:r>
      <w:r w:rsidRPr="00186057">
        <w:t xml:space="preserve"> </w:t>
      </w:r>
      <w:r>
        <w:t xml:space="preserve">receiving illegal </w:t>
      </w:r>
      <w:r w:rsidRPr="00186057">
        <w:t xml:space="preserve">payments in regard to inter-country adoption, are criminalized </w:t>
      </w:r>
      <w:r>
        <w:t xml:space="preserve">and carry </w:t>
      </w:r>
      <w:r w:rsidRPr="00186057">
        <w:t xml:space="preserve">a penalty </w:t>
      </w:r>
      <w:r>
        <w:t xml:space="preserve">of </w:t>
      </w:r>
      <w:r w:rsidRPr="00186057">
        <w:rPr>
          <w:lang w:bidi="ar-LB"/>
        </w:rPr>
        <w:t>one year</w:t>
      </w:r>
      <w:r w:rsidR="00FC0B34">
        <w:rPr>
          <w:lang w:bidi="ar-LB"/>
        </w:rPr>
        <w:t>’s</w:t>
      </w:r>
      <w:r w:rsidRPr="00186057">
        <w:rPr>
          <w:lang w:bidi="ar-LB"/>
        </w:rPr>
        <w:t xml:space="preserve"> imprisonment or a fine. </w:t>
      </w:r>
    </w:p>
    <w:p w:rsidR="006C72E1" w:rsidRDefault="006C72E1" w:rsidP="00BD794C">
      <w:pPr>
        <w:pStyle w:val="SingleTxtG"/>
        <w:numPr>
          <w:ilvl w:val="0"/>
          <w:numId w:val="12"/>
        </w:numPr>
        <w:ind w:left="1134" w:firstLine="0"/>
      </w:pPr>
      <w:r w:rsidRPr="00186057">
        <w:t xml:space="preserve">The </w:t>
      </w:r>
      <w:r>
        <w:t>S</w:t>
      </w:r>
      <w:r w:rsidRPr="00186057">
        <w:t xml:space="preserve">tate of Israel conducts a registration of the population, according to the </w:t>
      </w:r>
      <w:r w:rsidRPr="00485EB9">
        <w:t xml:space="preserve">Population Registration Law 5725-1965 </w:t>
      </w:r>
      <w:r w:rsidR="00285CC4" w:rsidRPr="00485EB9">
        <w:t>(the “</w:t>
      </w:r>
      <w:r w:rsidRPr="00485EB9">
        <w:t>Registration Law</w:t>
      </w:r>
      <w:r w:rsidR="00285CC4" w:rsidRPr="00485EB9">
        <w:t>”</w:t>
      </w:r>
      <w:r w:rsidRPr="00485EB9">
        <w:t xml:space="preserve">), in which several details concerning a resident </w:t>
      </w:r>
      <w:r w:rsidR="00BD794C">
        <w:t>are</w:t>
      </w:r>
      <w:r w:rsidRPr="00485EB9">
        <w:t xml:space="preserve"> registered. The notification for all births in Israel must be delivered to a registration official within 10 days </w:t>
      </w:r>
      <w:r w:rsidR="00BD794C">
        <w:t>of</w:t>
      </w:r>
      <w:r w:rsidR="00BD794C" w:rsidRPr="00485EB9">
        <w:t xml:space="preserve"> </w:t>
      </w:r>
      <w:r w:rsidRPr="00485EB9">
        <w:t>the date of birth (</w:t>
      </w:r>
      <w:r w:rsidR="001A574A" w:rsidRPr="00485EB9">
        <w:t>Section </w:t>
      </w:r>
      <w:r w:rsidRPr="00485EB9">
        <w:t xml:space="preserve">6 of </w:t>
      </w:r>
      <w:r w:rsidR="00BD794C">
        <w:t xml:space="preserve">the </w:t>
      </w:r>
      <w:r w:rsidRPr="00485EB9">
        <w:t>Registration Law). The notification</w:t>
      </w:r>
      <w:r w:rsidRPr="00B14753">
        <w:t xml:space="preserve"> must be delivered by the person in charge of the institution where the birth </w:t>
      </w:r>
      <w:r>
        <w:t>took place</w:t>
      </w:r>
      <w:r w:rsidRPr="00B14753">
        <w:t>.</w:t>
      </w:r>
      <w:r w:rsidR="00285CC4">
        <w:t xml:space="preserve"> “Institution”</w:t>
      </w:r>
      <w:r>
        <w:t xml:space="preserve"> is defined to </w:t>
      </w:r>
      <w:r w:rsidRPr="00B14753">
        <w:t>include</w:t>
      </w:r>
      <w:r>
        <w:t xml:space="preserve"> a</w:t>
      </w:r>
      <w:r w:rsidRPr="00B14753">
        <w:t xml:space="preserve"> hospital, prison, hotel, public aircraft, sea craft or vehicle. If </w:t>
      </w:r>
      <w:r>
        <w:t xml:space="preserve">the </w:t>
      </w:r>
      <w:r w:rsidRPr="00B14753">
        <w:t xml:space="preserve">birth </w:t>
      </w:r>
      <w:r>
        <w:t>took place</w:t>
      </w:r>
      <w:r w:rsidRPr="00B14753">
        <w:t xml:space="preserve"> elsewhere, the notification must be delivered by the parents of the </w:t>
      </w:r>
      <w:proofErr w:type="spellStart"/>
      <w:r w:rsidRPr="00B14753">
        <w:t>newborn</w:t>
      </w:r>
      <w:proofErr w:type="spellEnd"/>
      <w:r w:rsidRPr="00B14753">
        <w:t xml:space="preserve">, </w:t>
      </w:r>
      <w:r w:rsidR="00BD794C">
        <w:t xml:space="preserve">or </w:t>
      </w:r>
      <w:r w:rsidRPr="00B14753">
        <w:t xml:space="preserve">the physician or the midwife who attended the birth. In such a case, the notification must include a medical certificate from the physician or a deposition from the midwife confirming that the mother of the </w:t>
      </w:r>
      <w:proofErr w:type="spellStart"/>
      <w:r w:rsidRPr="00B14753">
        <w:t>newborn</w:t>
      </w:r>
      <w:proofErr w:type="spellEnd"/>
      <w:r w:rsidRPr="00B14753">
        <w:t xml:space="preserve"> is his/her biological mother. </w:t>
      </w:r>
    </w:p>
    <w:p w:rsidR="006C72E1" w:rsidRPr="00CC2287" w:rsidRDefault="006C72E1" w:rsidP="00C059FB">
      <w:pPr>
        <w:pStyle w:val="SingleTxtG"/>
        <w:numPr>
          <w:ilvl w:val="0"/>
          <w:numId w:val="12"/>
        </w:numPr>
        <w:ind w:left="1134" w:firstLine="0"/>
      </w:pPr>
      <w:r w:rsidRPr="002A4AD8">
        <w:t xml:space="preserve">If </w:t>
      </w:r>
      <w:r>
        <w:t xml:space="preserve">the </w:t>
      </w:r>
      <w:r w:rsidRPr="002A4AD8">
        <w:t xml:space="preserve">birth </w:t>
      </w:r>
      <w:r>
        <w:t>took place</w:t>
      </w:r>
      <w:r w:rsidRPr="002A4AD8">
        <w:t xml:space="preserve"> outside an institution and was not attended by a physician or a midwife, </w:t>
      </w:r>
      <w:r>
        <w:t xml:space="preserve">the notification must include an affidavit </w:t>
      </w:r>
      <w:r w:rsidRPr="002A4AD8">
        <w:t>from the parents</w:t>
      </w:r>
      <w:r>
        <w:t xml:space="preserve"> of the </w:t>
      </w:r>
      <w:proofErr w:type="spellStart"/>
      <w:r>
        <w:t>newborn</w:t>
      </w:r>
      <w:proofErr w:type="spellEnd"/>
      <w:r w:rsidRPr="002A4AD8">
        <w:t xml:space="preserve"> confirming</w:t>
      </w:r>
      <w:r w:rsidRPr="00B14753">
        <w:t xml:space="preserve"> that the mother of the </w:t>
      </w:r>
      <w:proofErr w:type="spellStart"/>
      <w:r w:rsidRPr="00B14753">
        <w:t>newborn</w:t>
      </w:r>
      <w:proofErr w:type="spellEnd"/>
      <w:r w:rsidRPr="00B14753">
        <w:t xml:space="preserve"> is his/her biological mother, a medical certificate given by a physician who monitored the pregnancy starting from week 28 of the pregnancy</w:t>
      </w:r>
      <w:r w:rsidR="00C059FB">
        <w:t>,</w:t>
      </w:r>
      <w:r w:rsidRPr="00B14753">
        <w:t xml:space="preserve"> and a medical certificate given by a physician who examined the mother of the </w:t>
      </w:r>
      <w:proofErr w:type="spellStart"/>
      <w:r w:rsidRPr="00B14753">
        <w:t>newborn</w:t>
      </w:r>
      <w:proofErr w:type="spellEnd"/>
      <w:r w:rsidRPr="00B14753">
        <w:t xml:space="preserve"> within 48 hours </w:t>
      </w:r>
      <w:r w:rsidR="00C059FB">
        <w:t>of</w:t>
      </w:r>
      <w:r w:rsidR="00C059FB" w:rsidRPr="00B14753">
        <w:t xml:space="preserve"> </w:t>
      </w:r>
      <w:r w:rsidRPr="00B14753">
        <w:t>the time of birth. If the above</w:t>
      </w:r>
      <w:r w:rsidR="00C059FB">
        <w:t>-mentioned</w:t>
      </w:r>
      <w:r w:rsidRPr="00B14753">
        <w:t xml:space="preserve"> medical certificates are not available, the notification must include </w:t>
      </w:r>
      <w:r w:rsidRPr="00CC2287">
        <w:t>the results of a genetic test made in accordance with</w:t>
      </w:r>
      <w:r>
        <w:t xml:space="preserve"> the</w:t>
      </w:r>
      <w:r w:rsidRPr="00CC2287">
        <w:t xml:space="preserve"> law in order to ascertain that the mother of the </w:t>
      </w:r>
      <w:proofErr w:type="spellStart"/>
      <w:r w:rsidRPr="00CC2287">
        <w:t>newborn</w:t>
      </w:r>
      <w:proofErr w:type="spellEnd"/>
      <w:r w:rsidRPr="00CC2287">
        <w:t xml:space="preserve"> is his/her biological mother. </w:t>
      </w:r>
    </w:p>
    <w:p w:rsidR="006C72E1" w:rsidRPr="00485EB9" w:rsidRDefault="006C72E1" w:rsidP="006D3B18">
      <w:pPr>
        <w:pStyle w:val="SingleTxtG"/>
        <w:numPr>
          <w:ilvl w:val="0"/>
          <w:numId w:val="12"/>
        </w:numPr>
        <w:ind w:left="1134" w:firstLine="0"/>
      </w:pPr>
      <w:bookmarkStart w:id="5" w:name="A00004150"/>
      <w:r w:rsidRPr="00CC2287">
        <w:t xml:space="preserve">Moreover, according to the </w:t>
      </w:r>
      <w:r w:rsidRPr="00485EB9">
        <w:t>Registration Law, a notification must be made concerning any death within 48 hours (</w:t>
      </w:r>
      <w:r w:rsidR="001A574A" w:rsidRPr="00485EB9">
        <w:t>Section </w:t>
      </w:r>
      <w:r w:rsidRPr="00485EB9">
        <w:t>7 of the Registration Law), and any abandoned child within 10 days (</w:t>
      </w:r>
      <w:r w:rsidR="001A574A" w:rsidRPr="00485EB9">
        <w:t>Section </w:t>
      </w:r>
      <w:r w:rsidRPr="00485EB9">
        <w:t>9 of the Registration Law).</w:t>
      </w:r>
    </w:p>
    <w:p w:rsidR="006C72E1" w:rsidRPr="00485EB9" w:rsidRDefault="006C72E1" w:rsidP="00C059FB">
      <w:pPr>
        <w:pStyle w:val="SingleTxtG"/>
        <w:numPr>
          <w:ilvl w:val="0"/>
          <w:numId w:val="12"/>
        </w:numPr>
        <w:ind w:left="1134" w:firstLine="0"/>
      </w:pPr>
      <w:r w:rsidRPr="00485EB9">
        <w:t xml:space="preserve">In order to enforce the obligations mentioned above, the Registration Law provides that a person that knowingly delivers any incorrect detail, document or notification is liable </w:t>
      </w:r>
      <w:r w:rsidR="00C059FB">
        <w:t>for</w:t>
      </w:r>
      <w:r w:rsidR="00C059FB" w:rsidRPr="00485EB9">
        <w:t xml:space="preserve"> </w:t>
      </w:r>
      <w:r w:rsidRPr="00485EB9">
        <w:t>three months</w:t>
      </w:r>
      <w:r w:rsidR="00C059FB">
        <w:t>’</w:t>
      </w:r>
      <w:r w:rsidRPr="00485EB9">
        <w:t xml:space="preserve"> imprisonment. Moreover, a person who does not deliver a notification as required is liable </w:t>
      </w:r>
      <w:r w:rsidR="00C059FB">
        <w:t>for</w:t>
      </w:r>
      <w:r w:rsidRPr="00485EB9">
        <w:t xml:space="preserve"> two weeks</w:t>
      </w:r>
      <w:r w:rsidR="00C059FB">
        <w:t>’</w:t>
      </w:r>
      <w:r w:rsidRPr="00485EB9">
        <w:t xml:space="preserve"> imprisonment or a fine (</w:t>
      </w:r>
      <w:r w:rsidR="001A574A" w:rsidRPr="00485EB9">
        <w:t>Section </w:t>
      </w:r>
      <w:r w:rsidRPr="00485EB9">
        <w:t xml:space="preserve">35 of the Registration Law). </w:t>
      </w:r>
    </w:p>
    <w:bookmarkEnd w:id="5"/>
    <w:p w:rsidR="006C72E1" w:rsidRPr="00814F50" w:rsidRDefault="006C72E1" w:rsidP="00C059FB">
      <w:pPr>
        <w:pStyle w:val="SingleTxtG"/>
        <w:numPr>
          <w:ilvl w:val="0"/>
          <w:numId w:val="12"/>
        </w:numPr>
        <w:ind w:left="1134" w:firstLine="0"/>
        <w:rPr>
          <w:szCs w:val="24"/>
          <w:lang w:val="en-US"/>
        </w:rPr>
      </w:pPr>
      <w:r w:rsidRPr="00485EB9">
        <w:rPr>
          <w:lang w:val="en-US"/>
        </w:rPr>
        <w:t>The above</w:t>
      </w:r>
      <w:r w:rsidR="001A574A" w:rsidRPr="00485EB9">
        <w:rPr>
          <w:lang w:val="en-US"/>
        </w:rPr>
        <w:t>-mentioned offenses in Sections </w:t>
      </w:r>
      <w:r w:rsidRPr="00485EB9">
        <w:rPr>
          <w:lang w:val="en-US"/>
        </w:rPr>
        <w:t xml:space="preserve">32 and 33 of the Adoption Law conform with the obligation set in </w:t>
      </w:r>
      <w:r w:rsidR="000416BC" w:rsidRPr="00485EB9">
        <w:rPr>
          <w:lang w:val="en-US"/>
        </w:rPr>
        <w:t>Article </w:t>
      </w:r>
      <w:r w:rsidRPr="00485EB9">
        <w:rPr>
          <w:lang w:val="en-US"/>
        </w:rPr>
        <w:t xml:space="preserve">3(1)(a)(ii) of the Protocol, in which </w:t>
      </w:r>
      <w:r w:rsidR="00C059FB">
        <w:rPr>
          <w:lang w:val="en-US"/>
        </w:rPr>
        <w:t>S</w:t>
      </w:r>
      <w:r w:rsidRPr="00485EB9">
        <w:rPr>
          <w:lang w:val="en-US"/>
        </w:rPr>
        <w:t>tate</w:t>
      </w:r>
      <w:r w:rsidR="00C059FB">
        <w:rPr>
          <w:lang w:val="en-US"/>
        </w:rPr>
        <w:t>s</w:t>
      </w:r>
      <w:r w:rsidRPr="00485EB9">
        <w:rPr>
          <w:lang w:val="en-US"/>
        </w:rPr>
        <w:t xml:space="preserve"> parties</w:t>
      </w:r>
      <w:r w:rsidRPr="00893D5C">
        <w:rPr>
          <w:lang w:val="en-US"/>
        </w:rPr>
        <w:t xml:space="preserve"> are </w:t>
      </w:r>
      <w:r w:rsidR="00285CC4">
        <w:rPr>
          <w:lang w:val="en-US"/>
        </w:rPr>
        <w:t>required to criminalize “</w:t>
      </w:r>
      <w:r w:rsidR="00C059FB">
        <w:rPr>
          <w:lang w:val="en-US"/>
        </w:rPr>
        <w:t>i</w:t>
      </w:r>
      <w:r w:rsidRPr="00893D5C">
        <w:rPr>
          <w:lang w:val="en-US"/>
        </w:rPr>
        <w:t>mproperly inducing consent, as an intermediary, for the ado</w:t>
      </w:r>
      <w:r w:rsidR="00285CC4">
        <w:rPr>
          <w:lang w:val="en-US"/>
        </w:rPr>
        <w:t>ption of a child”</w:t>
      </w:r>
      <w:r w:rsidRPr="00893D5C">
        <w:rPr>
          <w:lang w:val="en-US"/>
        </w:rPr>
        <w:t>. A common</w:t>
      </w:r>
      <w:r>
        <w:rPr>
          <w:lang w:val="en-US"/>
        </w:rPr>
        <w:t xml:space="preserve"> practice used to improperly induce consent is by offering or giving compensation for the relinquishment of parental rights, an act criminalized by the offense set in </w:t>
      </w:r>
      <w:r w:rsidR="001A574A">
        <w:rPr>
          <w:lang w:val="en-US"/>
        </w:rPr>
        <w:t>Section </w:t>
      </w:r>
      <w:r>
        <w:rPr>
          <w:lang w:val="en-US"/>
        </w:rPr>
        <w:t xml:space="preserve">364 of the </w:t>
      </w:r>
      <w:r w:rsidRPr="00485EB9">
        <w:rPr>
          <w:lang w:val="en-US"/>
        </w:rPr>
        <w:t>Penal Law</w:t>
      </w:r>
      <w:r>
        <w:rPr>
          <w:lang w:val="en-US"/>
        </w:rPr>
        <w:t xml:space="preserve">, as mentioned above. Should parental consent be </w:t>
      </w:r>
      <w:r w:rsidRPr="00814F50">
        <w:rPr>
          <w:szCs w:val="24"/>
          <w:lang w:val="en-US"/>
        </w:rPr>
        <w:t xml:space="preserve">induced improperly through other means, such as </w:t>
      </w:r>
      <w:r w:rsidRPr="00814F50">
        <w:rPr>
          <w:szCs w:val="24"/>
        </w:rPr>
        <w:t xml:space="preserve">intimidation, </w:t>
      </w:r>
      <w:r w:rsidR="00C059FB">
        <w:rPr>
          <w:szCs w:val="24"/>
        </w:rPr>
        <w:t>threats</w:t>
      </w:r>
      <w:r w:rsidR="00C059FB" w:rsidRPr="00814F50">
        <w:rPr>
          <w:szCs w:val="24"/>
        </w:rPr>
        <w:t xml:space="preserve"> </w:t>
      </w:r>
      <w:r w:rsidRPr="00814F50">
        <w:rPr>
          <w:szCs w:val="24"/>
        </w:rPr>
        <w:t>or deception</w:t>
      </w:r>
      <w:r>
        <w:rPr>
          <w:szCs w:val="24"/>
          <w:lang w:val="en-US"/>
        </w:rPr>
        <w:t>, the relevant criminal off</w:t>
      </w:r>
      <w:r w:rsidR="00DA65DB">
        <w:rPr>
          <w:szCs w:val="24"/>
          <w:lang w:val="en-US"/>
        </w:rPr>
        <w:t>enses would apply to such acts.</w:t>
      </w:r>
    </w:p>
    <w:p w:rsidR="006C72E1" w:rsidRPr="002D2C27" w:rsidRDefault="002C0C4A" w:rsidP="00100D6D">
      <w:pPr>
        <w:pStyle w:val="H23G"/>
        <w:rPr>
          <w:rFonts w:hint="cs"/>
          <w:rtl/>
          <w:lang w:val="en-US" w:bidi="he-IL"/>
        </w:rPr>
      </w:pPr>
      <w:r>
        <w:rPr>
          <w:lang w:val="en-US" w:bidi="he-IL"/>
        </w:rPr>
        <w:tab/>
      </w:r>
      <w:r>
        <w:rPr>
          <w:lang w:val="en-US" w:bidi="he-IL"/>
        </w:rPr>
        <w:tab/>
      </w:r>
      <w:r w:rsidR="006C72E1" w:rsidRPr="002A4AD8">
        <w:rPr>
          <w:lang w:val="en-US" w:bidi="he-IL"/>
        </w:rPr>
        <w:t xml:space="preserve">Case </w:t>
      </w:r>
      <w:r w:rsidR="007D38B4" w:rsidRPr="002A4AD8">
        <w:rPr>
          <w:lang w:val="en-US" w:bidi="he-IL"/>
        </w:rPr>
        <w:t>law</w:t>
      </w:r>
    </w:p>
    <w:p w:rsidR="006C72E1" w:rsidRPr="002D2C27" w:rsidRDefault="006C72E1" w:rsidP="006D3B18">
      <w:pPr>
        <w:pStyle w:val="SingleTxtG"/>
        <w:numPr>
          <w:ilvl w:val="0"/>
          <w:numId w:val="12"/>
        </w:numPr>
        <w:ind w:left="1134" w:firstLine="0"/>
        <w:rPr>
          <w:rtl/>
          <w:lang w:val="en-US" w:bidi="he-IL"/>
        </w:rPr>
      </w:pPr>
      <w:r w:rsidRPr="002D2C27">
        <w:rPr>
          <w:lang w:val="en-US"/>
        </w:rPr>
        <w:t>In accordance with the above</w:t>
      </w:r>
      <w:r w:rsidR="00C059FB">
        <w:rPr>
          <w:lang w:val="en-US"/>
        </w:rPr>
        <w:t>-mentioned</w:t>
      </w:r>
      <w:r w:rsidRPr="002D2C27">
        <w:rPr>
          <w:lang w:val="en-US"/>
        </w:rPr>
        <w:t xml:space="preserve"> legislation, Israeli law enforcement agencies fully utilize every measure available to combat the offen</w:t>
      </w:r>
      <w:r>
        <w:rPr>
          <w:lang w:val="en-US"/>
        </w:rPr>
        <w:t>s</w:t>
      </w:r>
      <w:r w:rsidRPr="002D2C27">
        <w:rPr>
          <w:lang w:val="en-US"/>
        </w:rPr>
        <w:t xml:space="preserve">es relevant to the Protocol, as evidenced by the following examples of case law. </w:t>
      </w:r>
    </w:p>
    <w:p w:rsidR="006C72E1" w:rsidRPr="002D2C27" w:rsidRDefault="002C0C4A" w:rsidP="00100D6D">
      <w:pPr>
        <w:pStyle w:val="H4G"/>
        <w:rPr>
          <w:lang w:val="en-US" w:bidi="he-IL"/>
        </w:rPr>
      </w:pPr>
      <w:r>
        <w:rPr>
          <w:lang w:val="en-US" w:bidi="he-IL"/>
        </w:rPr>
        <w:tab/>
      </w:r>
      <w:r>
        <w:rPr>
          <w:lang w:val="en-US" w:bidi="he-IL"/>
        </w:rPr>
        <w:tab/>
      </w:r>
      <w:r w:rsidR="006C72E1" w:rsidRPr="002D2C27">
        <w:rPr>
          <w:lang w:val="en-US" w:bidi="he-IL"/>
        </w:rPr>
        <w:t xml:space="preserve">Child </w:t>
      </w:r>
      <w:r w:rsidR="007D38B4" w:rsidRPr="002D2C27">
        <w:rPr>
          <w:lang w:val="en-US" w:bidi="he-IL"/>
        </w:rPr>
        <w:t xml:space="preserve">prostitution </w:t>
      </w:r>
    </w:p>
    <w:p w:rsidR="006C72E1" w:rsidRPr="00494449" w:rsidRDefault="006C72E1" w:rsidP="00C059FB">
      <w:pPr>
        <w:pStyle w:val="SingleTxtG"/>
        <w:numPr>
          <w:ilvl w:val="0"/>
          <w:numId w:val="12"/>
        </w:numPr>
        <w:ind w:left="1134" w:firstLine="0"/>
        <w:rPr>
          <w:lang w:val="en-US"/>
        </w:rPr>
      </w:pPr>
      <w:bookmarkStart w:id="6" w:name="OLE_LINK10"/>
      <w:bookmarkStart w:id="7" w:name="OLE_LINK11"/>
      <w:r w:rsidRPr="009D7729">
        <w:t xml:space="preserve">On </w:t>
      </w:r>
      <w:r w:rsidR="00C059FB">
        <w:t xml:space="preserve">22 </w:t>
      </w:r>
      <w:r w:rsidRPr="009D7729">
        <w:t>March 2012, the Supreme Court rendered a judg</w:t>
      </w:r>
      <w:r w:rsidR="00C059FB">
        <w:t>e</w:t>
      </w:r>
      <w:r w:rsidRPr="009D7729">
        <w:t>ment regarding a case in which the defendant was charged with exploitation of minors for prostitution by way of inducing m</w:t>
      </w:r>
      <w:r w:rsidR="001A574A">
        <w:t>inors to prostitution (Sections </w:t>
      </w:r>
      <w:r w:rsidRPr="009D7729">
        <w:t xml:space="preserve">203B(A)(1) and 201 of the </w:t>
      </w:r>
      <w:r w:rsidRPr="009D7729">
        <w:rPr>
          <w:iCs/>
        </w:rPr>
        <w:t>Penal Law</w:t>
      </w:r>
      <w:r w:rsidRPr="009D7729">
        <w:t>), for soliciting four girls to have sadomasochistic sexual relations in his apartment, and attempting to exploit a fifth minor. The defendant was also charged with inducing minors to prostitutio</w:t>
      </w:r>
      <w:r w:rsidR="001A574A">
        <w:t>n by way of pandering (Sections </w:t>
      </w:r>
      <w:r w:rsidRPr="009D7729">
        <w:t xml:space="preserve">203B(A)1 and 199(A)2 of the </w:t>
      </w:r>
      <w:r w:rsidRPr="009D7729">
        <w:rPr>
          <w:iCs/>
        </w:rPr>
        <w:t>Penal Law</w:t>
      </w:r>
      <w:r w:rsidRPr="009D7729">
        <w:t>), exploitation of minors by way of inducing a minor to prostitution under aggravated circumstances (S</w:t>
      </w:r>
      <w:r w:rsidR="001A574A">
        <w:t>ections </w:t>
      </w:r>
      <w:r w:rsidRPr="009D7729">
        <w:t xml:space="preserve">203B(A)(3), 201 and 203 of the </w:t>
      </w:r>
      <w:r w:rsidRPr="009D7729">
        <w:rPr>
          <w:iCs/>
        </w:rPr>
        <w:t>Penal Law</w:t>
      </w:r>
      <w:r w:rsidRPr="009D7729">
        <w:t>)</w:t>
      </w:r>
      <w:r w:rsidR="00C059FB">
        <w:t>,</w:t>
      </w:r>
      <w:r w:rsidRPr="009D7729">
        <w:t xml:space="preserve"> and supplying all five girls with drugs (</w:t>
      </w:r>
      <w:r w:rsidR="001A574A">
        <w:t>Section </w:t>
      </w:r>
      <w:r w:rsidRPr="009D7729">
        <w:t xml:space="preserve">21 </w:t>
      </w:r>
      <w:r w:rsidR="00C059FB">
        <w:t>of</w:t>
      </w:r>
      <w:r w:rsidR="00C059FB" w:rsidRPr="009D7729">
        <w:t xml:space="preserve"> </w:t>
      </w:r>
      <w:r w:rsidRPr="009D7729">
        <w:t xml:space="preserve">the </w:t>
      </w:r>
      <w:r w:rsidRPr="009D7729">
        <w:rPr>
          <w:iCs/>
        </w:rPr>
        <w:t>Dangerous Drugs Ordinance</w:t>
      </w:r>
      <w:r w:rsidRPr="009D7729">
        <w:t xml:space="preserve"> 5733-1973). Tel</w:t>
      </w:r>
      <w:r w:rsidR="004D2681">
        <w:t xml:space="preserve"> </w:t>
      </w:r>
      <w:r w:rsidRPr="009D7729">
        <w:t>Aviv District Court had initially sentenced the defendant to a five-year prison sentence, with an additional 18 months</w:t>
      </w:r>
      <w:r w:rsidR="00C05EBD">
        <w:rPr>
          <w:rFonts w:hint="eastAsia"/>
        </w:rPr>
        <w:t>’</w:t>
      </w:r>
      <w:r w:rsidRPr="009D7729">
        <w:t xml:space="preserve"> suspended imp</w:t>
      </w:r>
      <w:r w:rsidR="00A72F2B">
        <w:t>risonment, and fined him 10,000 </w:t>
      </w:r>
      <w:r w:rsidRPr="009D7729">
        <w:t xml:space="preserve">NIS </w:t>
      </w:r>
      <w:r w:rsidR="00A72F2B">
        <w:rPr>
          <w:snapToGrid w:val="0"/>
          <w:lang w:val="en-US"/>
        </w:rPr>
        <w:t>(US$ </w:t>
      </w:r>
      <w:r w:rsidRPr="009D7729">
        <w:rPr>
          <w:snapToGrid w:val="0"/>
          <w:lang w:val="en-US"/>
        </w:rPr>
        <w:t>2,631)</w:t>
      </w:r>
      <w:r w:rsidRPr="009D7729">
        <w:t>, while taking into account that there was no precedent for sentencing such offenses. The State Attorney</w:t>
      </w:r>
      <w:r w:rsidR="00C05EBD">
        <w:rPr>
          <w:rFonts w:hint="eastAsia"/>
        </w:rPr>
        <w:t>’</w:t>
      </w:r>
      <w:r w:rsidRPr="009D7729">
        <w:t>s office appealed to Supreme Court, which found that the sentence was too lenient and extended the term of imprisonment to eight years. The Supreme Court mentioned in its ruling that the lack of precedent was taken into account, and that future crimes, if brought before the court, should receive harsher sentences, of ten years or more (</w:t>
      </w:r>
      <w:proofErr w:type="spellStart"/>
      <w:r w:rsidRPr="009D7729">
        <w:t>Cr.A</w:t>
      </w:r>
      <w:proofErr w:type="spellEnd"/>
      <w:r w:rsidRPr="009D7729">
        <w:t xml:space="preserve"> 3212/11 </w:t>
      </w:r>
      <w:r w:rsidRPr="00494449">
        <w:rPr>
          <w:i/>
          <w:lang w:val="en-US"/>
        </w:rPr>
        <w:t>The State of Israel v. Anonymous</w:t>
      </w:r>
      <w:r w:rsidRPr="009D7729">
        <w:rPr>
          <w:lang w:val="en-US"/>
        </w:rPr>
        <w:t>)</w:t>
      </w:r>
      <w:bookmarkEnd w:id="6"/>
      <w:bookmarkEnd w:id="7"/>
      <w:r w:rsidR="00494449">
        <w:t>.</w:t>
      </w:r>
    </w:p>
    <w:p w:rsidR="006C72E1" w:rsidRPr="009D7729" w:rsidRDefault="006C72E1" w:rsidP="00C059FB">
      <w:pPr>
        <w:pStyle w:val="SingleTxtG"/>
        <w:numPr>
          <w:ilvl w:val="0"/>
          <w:numId w:val="12"/>
        </w:numPr>
        <w:ind w:left="1134" w:firstLine="0"/>
        <w:rPr>
          <w:iCs/>
          <w:lang w:val="en-US"/>
        </w:rPr>
      </w:pPr>
      <w:r w:rsidRPr="009D7729">
        <w:rPr>
          <w:lang w:val="en-US"/>
        </w:rPr>
        <w:t>In August 2010, the Petah</w:t>
      </w:r>
      <w:r w:rsidRPr="009D7729">
        <w:rPr>
          <w:szCs w:val="24"/>
          <w:lang w:val="en-US"/>
        </w:rPr>
        <w:t xml:space="preserve"> </w:t>
      </w:r>
      <w:proofErr w:type="spellStart"/>
      <w:r w:rsidRPr="009D7729">
        <w:rPr>
          <w:szCs w:val="24"/>
          <w:lang w:val="en-US"/>
        </w:rPr>
        <w:t>Tikva</w:t>
      </w:r>
      <w:proofErr w:type="spellEnd"/>
      <w:r w:rsidRPr="009D7729">
        <w:rPr>
          <w:szCs w:val="24"/>
          <w:lang w:val="en-US"/>
        </w:rPr>
        <w:t xml:space="preserve"> Magistrate</w:t>
      </w:r>
      <w:r w:rsidR="00C059FB">
        <w:rPr>
          <w:szCs w:val="24"/>
          <w:lang w:val="en-US"/>
        </w:rPr>
        <w:t>’s</w:t>
      </w:r>
      <w:r w:rsidRPr="009D7729">
        <w:rPr>
          <w:szCs w:val="24"/>
          <w:lang w:val="en-US"/>
        </w:rPr>
        <w:t xml:space="preserve"> Court convicted</w:t>
      </w:r>
      <w:r w:rsidRPr="009D7729">
        <w:rPr>
          <w:lang w:val="en-US"/>
        </w:rPr>
        <w:t xml:space="preserve"> a defendan</w:t>
      </w:r>
      <w:r w:rsidR="00D03982">
        <w:rPr>
          <w:lang w:val="en-US"/>
        </w:rPr>
        <w:t xml:space="preserve">t </w:t>
      </w:r>
      <w:r w:rsidR="00C059FB">
        <w:rPr>
          <w:lang w:val="en-US"/>
        </w:rPr>
        <w:t xml:space="preserve">on </w:t>
      </w:r>
      <w:r w:rsidR="00D03982">
        <w:rPr>
          <w:lang w:val="en-US"/>
        </w:rPr>
        <w:t>three different counts: 1) </w:t>
      </w:r>
      <w:r w:rsidRPr="009D7729">
        <w:rPr>
          <w:lang w:val="en-US"/>
        </w:rPr>
        <w:t>maintaining a place for purposes of prostitution (</w:t>
      </w:r>
      <w:r w:rsidR="001A574A">
        <w:rPr>
          <w:lang w:val="en-US"/>
        </w:rPr>
        <w:t>Section </w:t>
      </w:r>
      <w:r w:rsidR="00D03982">
        <w:rPr>
          <w:lang w:val="en-US"/>
        </w:rPr>
        <w:t>204 of the Penal Law); 2) </w:t>
      </w:r>
      <w:r w:rsidRPr="009D7729">
        <w:rPr>
          <w:lang w:val="en-US"/>
        </w:rPr>
        <w:t>prostitution and obscenity (</w:t>
      </w:r>
      <w:r w:rsidR="001A574A">
        <w:rPr>
          <w:lang w:val="en-US"/>
        </w:rPr>
        <w:t>Section </w:t>
      </w:r>
      <w:r w:rsidRPr="009D7729">
        <w:rPr>
          <w:lang w:val="en-US"/>
        </w:rPr>
        <w:t>199(A) (2) of the Penal Law); and 3)</w:t>
      </w:r>
      <w:r w:rsidR="00D03982">
        <w:rPr>
          <w:lang w:val="en-US"/>
        </w:rPr>
        <w:t> </w:t>
      </w:r>
      <w:r w:rsidRPr="009D7729">
        <w:rPr>
          <w:lang w:val="en-US"/>
        </w:rPr>
        <w:t>exploitation of minors for prostitution (</w:t>
      </w:r>
      <w:r w:rsidR="001A574A">
        <w:rPr>
          <w:lang w:val="en-US"/>
        </w:rPr>
        <w:t>Section </w:t>
      </w:r>
      <w:r w:rsidRPr="009D7729">
        <w:rPr>
          <w:lang w:val="en-US"/>
        </w:rPr>
        <w:t xml:space="preserve">203B (A) (1) of the Penal Law). The defendant was found guilty of </w:t>
      </w:r>
      <w:r w:rsidR="00285CC4">
        <w:rPr>
          <w:lang w:val="en-US"/>
        </w:rPr>
        <w:t>operating a massage parlor and “employing”</w:t>
      </w:r>
      <w:r w:rsidRPr="009D7729">
        <w:rPr>
          <w:lang w:val="en-US"/>
        </w:rPr>
        <w:t xml:space="preserve"> a 16-year-old girl</w:t>
      </w:r>
      <w:r w:rsidR="00C059FB">
        <w:rPr>
          <w:lang w:val="en-US"/>
        </w:rPr>
        <w:t>,</w:t>
      </w:r>
      <w:r w:rsidRPr="009D7729">
        <w:rPr>
          <w:lang w:val="en-US"/>
        </w:rPr>
        <w:t xml:space="preserve"> and was sentenced to ten months</w:t>
      </w:r>
      <w:r w:rsidR="00C059FB">
        <w:rPr>
          <w:lang w:val="en-US"/>
        </w:rPr>
        <w:t>’</w:t>
      </w:r>
      <w:r w:rsidRPr="009D7729">
        <w:rPr>
          <w:lang w:val="en-US"/>
        </w:rPr>
        <w:t xml:space="preserve"> imprisonment. The defendant argued that</w:t>
      </w:r>
      <w:r w:rsidR="00C059FB">
        <w:rPr>
          <w:lang w:val="en-US"/>
        </w:rPr>
        <w:t>,</w:t>
      </w:r>
      <w:r w:rsidRPr="009D7729">
        <w:rPr>
          <w:lang w:val="en-US"/>
        </w:rPr>
        <w:t xml:space="preserve"> in her application, the young woman</w:t>
      </w:r>
      <w:r w:rsidR="00C059FB">
        <w:rPr>
          <w:lang w:val="en-US"/>
        </w:rPr>
        <w:t xml:space="preserve"> had</w:t>
      </w:r>
      <w:r w:rsidRPr="009D7729">
        <w:rPr>
          <w:lang w:val="en-US"/>
        </w:rPr>
        <w:t xml:space="preserve"> lied about her age. The Court rejected the defendant</w:t>
      </w:r>
      <w:r w:rsidR="00C05EBD">
        <w:rPr>
          <w:rFonts w:hint="eastAsia"/>
          <w:lang w:val="en-US"/>
        </w:rPr>
        <w:t>’</w:t>
      </w:r>
      <w:r w:rsidRPr="009D7729">
        <w:rPr>
          <w:lang w:val="en-US"/>
        </w:rPr>
        <w:t>s claim, holding that the defendant willfully ignored the possibility that the young woman was underage, and did not ask for any certification and/or official document to verify her age (</w:t>
      </w:r>
      <w:proofErr w:type="spellStart"/>
      <w:r w:rsidRPr="009D7729">
        <w:rPr>
          <w:lang w:val="en-US"/>
        </w:rPr>
        <w:t>Cr.C</w:t>
      </w:r>
      <w:proofErr w:type="spellEnd"/>
      <w:r w:rsidRPr="009D7729">
        <w:rPr>
          <w:lang w:val="en-US"/>
        </w:rPr>
        <w:t>, 20510/09</w:t>
      </w:r>
      <w:r w:rsidRPr="009D7729">
        <w:rPr>
          <w:iCs/>
          <w:lang w:val="en-US"/>
        </w:rPr>
        <w:t xml:space="preserve"> </w:t>
      </w:r>
      <w:r w:rsidRPr="00494449">
        <w:rPr>
          <w:i/>
          <w:lang w:val="en-US"/>
        </w:rPr>
        <w:t xml:space="preserve">The State of Israel v. Michael </w:t>
      </w:r>
      <w:proofErr w:type="spellStart"/>
      <w:r w:rsidRPr="00494449">
        <w:rPr>
          <w:i/>
          <w:lang w:val="en-US"/>
        </w:rPr>
        <w:t>Praver</w:t>
      </w:r>
      <w:proofErr w:type="spellEnd"/>
      <w:r w:rsidRPr="009D7729">
        <w:rPr>
          <w:lang w:val="en-US"/>
        </w:rPr>
        <w:t>).</w:t>
      </w:r>
      <w:r w:rsidRPr="009D7729">
        <w:rPr>
          <w:iCs/>
          <w:lang w:val="en-US"/>
        </w:rPr>
        <w:t xml:space="preserve"> </w:t>
      </w:r>
    </w:p>
    <w:p w:rsidR="006C72E1" w:rsidRPr="009D7729" w:rsidRDefault="006C72E1" w:rsidP="006D4969">
      <w:pPr>
        <w:pStyle w:val="SingleTxtG"/>
        <w:numPr>
          <w:ilvl w:val="0"/>
          <w:numId w:val="12"/>
        </w:numPr>
        <w:ind w:left="1134" w:firstLine="0"/>
        <w:rPr>
          <w:rFonts w:cs="Narkisim"/>
          <w:lang w:val="en-US" w:bidi="he-IL"/>
        </w:rPr>
      </w:pPr>
      <w:r w:rsidRPr="009D7729">
        <w:rPr>
          <w:lang w:val="en-US"/>
        </w:rPr>
        <w:t xml:space="preserve">On </w:t>
      </w:r>
      <w:r w:rsidR="006D4969">
        <w:rPr>
          <w:lang w:val="en-US"/>
        </w:rPr>
        <w:t xml:space="preserve">18 </w:t>
      </w:r>
      <w:r w:rsidRPr="009D7729">
        <w:rPr>
          <w:lang w:val="en-US"/>
        </w:rPr>
        <w:t>October 2009,</w:t>
      </w:r>
      <w:r w:rsidRPr="009D7729">
        <w:rPr>
          <w:lang w:val="en-US" w:bidi="he-IL"/>
        </w:rPr>
        <w:t xml:space="preserve"> Jerusalem District Court convicted a defendant </w:t>
      </w:r>
      <w:r w:rsidRPr="009D7729">
        <w:rPr>
          <w:lang w:val="en-US"/>
        </w:rPr>
        <w:t xml:space="preserve">who had solicited two teenage girls to have intercourse with men inside his apartment in exchange for money. The defendant himself compensated the girls for maintaining sexual relations with him on several occasions and supplied the girls with drugs. The Court convicted the defendant </w:t>
      </w:r>
      <w:r w:rsidRPr="009D7729">
        <w:rPr>
          <w:lang w:val="en-US" w:bidi="he-IL"/>
        </w:rPr>
        <w:t xml:space="preserve">of </w:t>
      </w:r>
      <w:r w:rsidRPr="009D7729">
        <w:rPr>
          <w:lang w:val="en-US"/>
        </w:rPr>
        <w:t>exploitation of minors for prostitution (</w:t>
      </w:r>
      <w:r w:rsidR="001A574A">
        <w:rPr>
          <w:lang w:val="en-US"/>
        </w:rPr>
        <w:t>Section </w:t>
      </w:r>
      <w:r w:rsidRPr="009D7729">
        <w:rPr>
          <w:lang w:val="en-US"/>
        </w:rPr>
        <w:t>203B (A) (1) of the Penal Law) and influencing the girls to use dangerous drugs (</w:t>
      </w:r>
      <w:r w:rsidR="001A574A">
        <w:rPr>
          <w:lang w:val="en-US"/>
        </w:rPr>
        <w:t>Section </w:t>
      </w:r>
      <w:r w:rsidRPr="009D7729">
        <w:rPr>
          <w:lang w:val="en-US"/>
        </w:rPr>
        <w:t xml:space="preserve">21 </w:t>
      </w:r>
      <w:r w:rsidR="006D4969">
        <w:rPr>
          <w:lang w:val="en-US"/>
        </w:rPr>
        <w:t>of</w:t>
      </w:r>
      <w:r w:rsidR="006D4969" w:rsidRPr="009D7729">
        <w:rPr>
          <w:lang w:val="en-US"/>
        </w:rPr>
        <w:t xml:space="preserve"> </w:t>
      </w:r>
      <w:r w:rsidRPr="009D7729">
        <w:rPr>
          <w:lang w:val="en-US"/>
        </w:rPr>
        <w:t xml:space="preserve">the </w:t>
      </w:r>
      <w:r w:rsidRPr="009D7729">
        <w:rPr>
          <w:iCs/>
          <w:lang w:val="en-US"/>
        </w:rPr>
        <w:t>Dangerous Drugs Ordinance</w:t>
      </w:r>
      <w:r w:rsidRPr="009D7729">
        <w:rPr>
          <w:lang w:val="en-US"/>
        </w:rPr>
        <w:t>). The Court sentenced the defendant to 15 months</w:t>
      </w:r>
      <w:r w:rsidR="006D4969">
        <w:rPr>
          <w:lang w:val="en-US"/>
        </w:rPr>
        <w:t>’</w:t>
      </w:r>
      <w:r w:rsidRPr="009D7729">
        <w:rPr>
          <w:lang w:val="en-US"/>
        </w:rPr>
        <w:t xml:space="preserve"> imprisonment and four months</w:t>
      </w:r>
      <w:r w:rsidR="006D4969">
        <w:rPr>
          <w:lang w:val="en-US"/>
        </w:rPr>
        <w:t>’</w:t>
      </w:r>
      <w:r w:rsidRPr="009D7729">
        <w:rPr>
          <w:lang w:val="en-US"/>
        </w:rPr>
        <w:t xml:space="preserve"> suspended imprisonment (</w:t>
      </w:r>
      <w:proofErr w:type="spellStart"/>
      <w:r w:rsidRPr="009D7729">
        <w:rPr>
          <w:rFonts w:cs="Narkisim"/>
          <w:lang w:val="en-US" w:bidi="he-IL"/>
        </w:rPr>
        <w:t>S.Cr.C</w:t>
      </w:r>
      <w:proofErr w:type="spellEnd"/>
      <w:r w:rsidRPr="009D7729">
        <w:rPr>
          <w:rFonts w:cs="Narkisim"/>
          <w:lang w:val="en-US" w:bidi="he-IL"/>
        </w:rPr>
        <w:t xml:space="preserve">. 605/09 </w:t>
      </w:r>
      <w:r w:rsidRPr="0092446F">
        <w:rPr>
          <w:rFonts w:cs="Narkisim"/>
          <w:i/>
          <w:lang w:val="en-US" w:bidi="he-IL"/>
        </w:rPr>
        <w:t xml:space="preserve">The State of Israel v. Ben </w:t>
      </w:r>
      <w:proofErr w:type="spellStart"/>
      <w:r w:rsidRPr="0092446F">
        <w:rPr>
          <w:rFonts w:cs="Narkisim"/>
          <w:i/>
          <w:lang w:val="en-US" w:bidi="he-IL"/>
        </w:rPr>
        <w:t>Moha</w:t>
      </w:r>
      <w:proofErr w:type="spellEnd"/>
      <w:r w:rsidRPr="009D7729">
        <w:rPr>
          <w:rFonts w:cs="Narkisim"/>
          <w:lang w:val="en-US" w:bidi="he-IL"/>
        </w:rPr>
        <w:t xml:space="preserve">). </w:t>
      </w:r>
    </w:p>
    <w:p w:rsidR="006C72E1" w:rsidRPr="009D7729" w:rsidRDefault="006C72E1" w:rsidP="006D4969">
      <w:pPr>
        <w:pStyle w:val="SingleTxtG"/>
        <w:numPr>
          <w:ilvl w:val="0"/>
          <w:numId w:val="12"/>
        </w:numPr>
        <w:ind w:left="1134" w:firstLine="0"/>
        <w:rPr>
          <w:iCs/>
          <w:u w:val="single"/>
          <w:lang w:val="en-US"/>
        </w:rPr>
      </w:pPr>
      <w:r w:rsidRPr="009D7729">
        <w:rPr>
          <w:lang w:val="en-US"/>
        </w:rPr>
        <w:t>In December 2008, Jerusalem District Court convicted a woman of exploitation of minors for prostitution with aggravating circumstances, namely, an offense committed by a person responsible for the minor (</w:t>
      </w:r>
      <w:r w:rsidR="001A574A">
        <w:rPr>
          <w:lang w:val="en-US"/>
        </w:rPr>
        <w:t>Section </w:t>
      </w:r>
      <w:r w:rsidRPr="009D7729">
        <w:rPr>
          <w:lang w:val="en-US"/>
        </w:rPr>
        <w:t>203B(c) of the Penal Law). The mother subjected and involved her 16-year-old daughter in acts of prostitution that took place in the family home. The Court mentioned that this case is complicated due to the mother</w:t>
      </w:r>
      <w:r w:rsidR="00C05EBD">
        <w:rPr>
          <w:rFonts w:hint="eastAsia"/>
          <w:lang w:val="en-US"/>
        </w:rPr>
        <w:t>’</w:t>
      </w:r>
      <w:r w:rsidRPr="009D7729">
        <w:rPr>
          <w:lang w:val="en-US"/>
        </w:rPr>
        <w:t>s and daughter</w:t>
      </w:r>
      <w:r w:rsidR="00C05EBD">
        <w:rPr>
          <w:rFonts w:hint="eastAsia"/>
          <w:lang w:val="en-US"/>
        </w:rPr>
        <w:t>’</w:t>
      </w:r>
      <w:r w:rsidRPr="009D7729">
        <w:rPr>
          <w:lang w:val="en-US"/>
        </w:rPr>
        <w:t>s difficult daily routine. Nonetheless, the Court held that society could not tolerate such repugnant behavior and lack of moral values. The defendant was sentenced to five years</w:t>
      </w:r>
      <w:r w:rsidR="00D3193A">
        <w:rPr>
          <w:lang w:val="en-US"/>
        </w:rPr>
        <w:t>’</w:t>
      </w:r>
      <w:r w:rsidRPr="009D7729">
        <w:rPr>
          <w:lang w:val="en-US"/>
        </w:rPr>
        <w:t xml:space="preserve"> imprisonment and </w:t>
      </w:r>
      <w:r w:rsidR="006D4969">
        <w:rPr>
          <w:lang w:val="en-US"/>
        </w:rPr>
        <w:t xml:space="preserve">a </w:t>
      </w:r>
      <w:r w:rsidRPr="009D7729">
        <w:rPr>
          <w:lang w:val="en-US"/>
        </w:rPr>
        <w:t>one</w:t>
      </w:r>
      <w:r w:rsidR="006D4969">
        <w:rPr>
          <w:lang w:val="en-US"/>
        </w:rPr>
        <w:t>-</w:t>
      </w:r>
      <w:r w:rsidRPr="009D7729">
        <w:rPr>
          <w:lang w:val="en-US"/>
        </w:rPr>
        <w:t>year suspended impr</w:t>
      </w:r>
      <w:r w:rsidR="00A72F2B">
        <w:rPr>
          <w:lang w:val="en-US"/>
        </w:rPr>
        <w:t>isonment, and she was fined NIS 30,000 (US$ </w:t>
      </w:r>
      <w:r w:rsidRPr="009D7729">
        <w:rPr>
          <w:lang w:val="en-US"/>
        </w:rPr>
        <w:t>7,894) (</w:t>
      </w:r>
      <w:proofErr w:type="spellStart"/>
      <w:r w:rsidRPr="009D7729">
        <w:rPr>
          <w:lang w:val="en-US"/>
        </w:rPr>
        <w:t>S.Cr.C</w:t>
      </w:r>
      <w:proofErr w:type="spellEnd"/>
      <w:r w:rsidRPr="009D7729">
        <w:rPr>
          <w:lang w:val="en-US"/>
        </w:rPr>
        <w:t>, 8075/07</w:t>
      </w:r>
      <w:r w:rsidRPr="009D7729">
        <w:rPr>
          <w:iCs/>
          <w:lang w:val="en-US"/>
        </w:rPr>
        <w:t xml:space="preserve"> </w:t>
      </w:r>
      <w:r w:rsidRPr="0092446F">
        <w:rPr>
          <w:i/>
          <w:lang w:val="en-US"/>
        </w:rPr>
        <w:t>The State of Israel v. Anonymous</w:t>
      </w:r>
      <w:r w:rsidRPr="009D7729">
        <w:rPr>
          <w:lang w:val="en-US"/>
        </w:rPr>
        <w:t>).</w:t>
      </w:r>
      <w:r w:rsidRPr="009D7729">
        <w:rPr>
          <w:iCs/>
          <w:u w:val="single"/>
          <w:lang w:val="en-US"/>
        </w:rPr>
        <w:t xml:space="preserve"> </w:t>
      </w:r>
    </w:p>
    <w:p w:rsidR="006C72E1" w:rsidRPr="002D2C27" w:rsidRDefault="002C0C4A" w:rsidP="00100D6D">
      <w:pPr>
        <w:pStyle w:val="H4G"/>
        <w:rPr>
          <w:lang w:val="en-US" w:bidi="he-IL"/>
        </w:rPr>
      </w:pPr>
      <w:r>
        <w:rPr>
          <w:lang w:val="en-US" w:bidi="he-IL"/>
        </w:rPr>
        <w:tab/>
      </w:r>
      <w:r>
        <w:rPr>
          <w:lang w:val="en-US" w:bidi="he-IL"/>
        </w:rPr>
        <w:tab/>
      </w:r>
      <w:r w:rsidR="006C72E1" w:rsidRPr="002D2C27">
        <w:rPr>
          <w:lang w:val="en-US" w:bidi="he-IL"/>
        </w:rPr>
        <w:t xml:space="preserve">Child </w:t>
      </w:r>
      <w:r w:rsidR="007D38B4" w:rsidRPr="002D2C27">
        <w:rPr>
          <w:lang w:val="en-US" w:bidi="he-IL"/>
        </w:rPr>
        <w:t xml:space="preserve">pornography </w:t>
      </w:r>
    </w:p>
    <w:p w:rsidR="006C72E1" w:rsidRPr="00B26DF9" w:rsidRDefault="006C72E1" w:rsidP="00084BFB">
      <w:pPr>
        <w:pStyle w:val="SingleTxtG"/>
        <w:numPr>
          <w:ilvl w:val="0"/>
          <w:numId w:val="12"/>
        </w:numPr>
        <w:ind w:left="1134" w:firstLine="0"/>
      </w:pPr>
      <w:r w:rsidRPr="00B26DF9">
        <w:t>On January 10</w:t>
      </w:r>
      <w:r>
        <w:t xml:space="preserve">, </w:t>
      </w:r>
      <w:r w:rsidRPr="00B26DF9">
        <w:t xml:space="preserve">2012, the District Court of Nazareth rendered </w:t>
      </w:r>
      <w:r>
        <w:t xml:space="preserve">a </w:t>
      </w:r>
      <w:r w:rsidRPr="00B26DF9">
        <w:t>judg</w:t>
      </w:r>
      <w:r w:rsidR="00084BFB">
        <w:t>e</w:t>
      </w:r>
      <w:r w:rsidRPr="00B26DF9">
        <w:t xml:space="preserve">ment </w:t>
      </w:r>
      <w:r>
        <w:t>i</w:t>
      </w:r>
      <w:r w:rsidRPr="00B26DF9">
        <w:t xml:space="preserve">n an appeal regarding a case concerning the possession </w:t>
      </w:r>
      <w:r w:rsidRPr="00A54F31">
        <w:t>of child pornography. The</w:t>
      </w:r>
      <w:r w:rsidRPr="00B26DF9">
        <w:t xml:space="preserve"> defendant was charged with multiple violations of </w:t>
      </w:r>
      <w:r w:rsidR="001A574A">
        <w:t>Section </w:t>
      </w:r>
      <w:r w:rsidRPr="00B26DF9">
        <w:t xml:space="preserve">214(b3) </w:t>
      </w:r>
      <w:r>
        <w:t xml:space="preserve">of the </w:t>
      </w:r>
      <w:r w:rsidRPr="005344EC">
        <w:rPr>
          <w:iCs/>
        </w:rPr>
        <w:t>Penal Law</w:t>
      </w:r>
      <w:r w:rsidRPr="00B26DF9">
        <w:rPr>
          <w:i/>
          <w:iCs/>
        </w:rPr>
        <w:t xml:space="preserve"> </w:t>
      </w:r>
      <w:r>
        <w:t>(possession of obscene</w:t>
      </w:r>
      <w:r w:rsidRPr="00B26DF9">
        <w:t xml:space="preserve"> photos, including images of children</w:t>
      </w:r>
      <w:r>
        <w:t>) (see paras</w:t>
      </w:r>
      <w:r w:rsidR="00084BFB">
        <w:t>.</w:t>
      </w:r>
      <w:r>
        <w:t xml:space="preserve"> 36</w:t>
      </w:r>
      <w:r w:rsidR="00084BFB">
        <w:t>–</w:t>
      </w:r>
      <w:r>
        <w:t>39 above)</w:t>
      </w:r>
      <w:r w:rsidRPr="00B26DF9">
        <w:t>. In this case, following an investigation request from INTERPOL, the defendant</w:t>
      </w:r>
      <w:r w:rsidR="00C05EBD">
        <w:rPr>
          <w:rFonts w:hint="eastAsia"/>
        </w:rPr>
        <w:t>’</w:t>
      </w:r>
      <w:r w:rsidRPr="00B26DF9">
        <w:t xml:space="preserve">s computer was searched and a large amount of </w:t>
      </w:r>
      <w:r>
        <w:t xml:space="preserve">child </w:t>
      </w:r>
      <w:r w:rsidRPr="00B26DF9">
        <w:t>pornograph</w:t>
      </w:r>
      <w:r>
        <w:t>y</w:t>
      </w:r>
      <w:r w:rsidRPr="00B26DF9">
        <w:t xml:space="preserve"> was found. Nazareth Magistrate</w:t>
      </w:r>
      <w:r w:rsidR="00084BFB">
        <w:t>’s</w:t>
      </w:r>
      <w:r w:rsidRPr="00B26DF9">
        <w:t xml:space="preserve"> Court found the defendant guilty, despite the State</w:t>
      </w:r>
      <w:r w:rsidR="00C05EBD">
        <w:rPr>
          <w:rFonts w:hint="eastAsia"/>
        </w:rPr>
        <w:t>’</w:t>
      </w:r>
      <w:r w:rsidRPr="00B26DF9">
        <w:t xml:space="preserve">s inability to prove that he had actually watched or distributed the material. The Court ruling stated that the </w:t>
      </w:r>
      <w:r>
        <w:t xml:space="preserve">offense </w:t>
      </w:r>
      <w:r w:rsidRPr="00B26DF9">
        <w:t xml:space="preserve">required the mere possession of the material, regardless of actual use or distribution. This perception stems from the purposes of the law, which include prevention of the exploitation of minors, by deterring the potential consumers of such material. Nazareth Magistrate Court sentenced the defendant to </w:t>
      </w:r>
      <w:r w:rsidRPr="007E53F1">
        <w:t>eight months</w:t>
      </w:r>
      <w:r w:rsidR="00C05EBD">
        <w:rPr>
          <w:rFonts w:hint="eastAsia"/>
        </w:rPr>
        <w:t>’</w:t>
      </w:r>
      <w:r w:rsidRPr="007E53F1">
        <w:t xml:space="preserve"> suspended imprisonment and fined him 10,000</w:t>
      </w:r>
      <w:r w:rsidR="0032213C">
        <w:t> </w:t>
      </w:r>
      <w:r w:rsidRPr="007E53F1">
        <w:t xml:space="preserve">NIS </w:t>
      </w:r>
      <w:r w:rsidRPr="007E53F1">
        <w:rPr>
          <w:lang w:val="en-US"/>
        </w:rPr>
        <w:t>(</w:t>
      </w:r>
      <w:r w:rsidR="00CF6BA2">
        <w:rPr>
          <w:lang w:val="en-US"/>
        </w:rPr>
        <w:t>US$</w:t>
      </w:r>
      <w:r w:rsidRPr="007E53F1">
        <w:rPr>
          <w:lang w:val="en-US"/>
        </w:rPr>
        <w:t xml:space="preserve"> 2631)</w:t>
      </w:r>
      <w:r w:rsidRPr="007E53F1">
        <w:t>.</w:t>
      </w:r>
      <w:r w:rsidRPr="00B26DF9">
        <w:t xml:space="preserve"> The State and the defendant both appealed to the District Court, which </w:t>
      </w:r>
      <w:r>
        <w:t xml:space="preserve">extended </w:t>
      </w:r>
      <w:r w:rsidRPr="00B26DF9">
        <w:t xml:space="preserve">the sentence </w:t>
      </w:r>
      <w:r>
        <w:t xml:space="preserve">by an additional six </w:t>
      </w:r>
      <w:r w:rsidRPr="00B26DF9">
        <w:t>months</w:t>
      </w:r>
      <w:r w:rsidR="00C05EBD">
        <w:rPr>
          <w:rFonts w:hint="eastAsia"/>
        </w:rPr>
        <w:t>’</w:t>
      </w:r>
      <w:r w:rsidRPr="00B26DF9">
        <w:t xml:space="preserve"> imprisonment, to be served in community service. The District Court stressed the importance of sentences that will create substantial </w:t>
      </w:r>
      <w:r w:rsidR="00084BFB">
        <w:t>deterrence</w:t>
      </w:r>
      <w:r w:rsidRPr="00B26DF9">
        <w:t>, but took into account the defendant</w:t>
      </w:r>
      <w:r w:rsidR="00C05EBD">
        <w:rPr>
          <w:rFonts w:hint="eastAsia"/>
        </w:rPr>
        <w:t>’</w:t>
      </w:r>
      <w:r w:rsidRPr="00B26DF9">
        <w:t>s contribution to the community and his good behaviour since the offen</w:t>
      </w:r>
      <w:r>
        <w:t>s</w:t>
      </w:r>
      <w:r w:rsidRPr="00B26DF9">
        <w:t>es were committed, and therefore did</w:t>
      </w:r>
      <w:r>
        <w:t xml:space="preserve"> not impose the maximum penalty (</w:t>
      </w:r>
      <w:proofErr w:type="spellStart"/>
      <w:r>
        <w:t>Cr.A</w:t>
      </w:r>
      <w:proofErr w:type="spellEnd"/>
      <w:r>
        <w:t xml:space="preserve">. 490/11 </w:t>
      </w:r>
      <w:r w:rsidRPr="002D2C27">
        <w:rPr>
          <w:rFonts w:cs="Narkisim"/>
          <w:i/>
          <w:iCs/>
          <w:lang w:val="en-US" w:bidi="he-IL"/>
        </w:rPr>
        <w:t xml:space="preserve">The State of Israel v. </w:t>
      </w:r>
      <w:proofErr w:type="spellStart"/>
      <w:r>
        <w:rPr>
          <w:rFonts w:cs="Narkisim"/>
          <w:i/>
          <w:iCs/>
          <w:lang w:val="en-US" w:bidi="he-IL"/>
        </w:rPr>
        <w:t>Yafeem</w:t>
      </w:r>
      <w:proofErr w:type="spellEnd"/>
      <w:r>
        <w:rPr>
          <w:rFonts w:cs="Narkisim"/>
          <w:i/>
          <w:iCs/>
          <w:lang w:val="en-US" w:bidi="he-IL"/>
        </w:rPr>
        <w:t xml:space="preserve"> </w:t>
      </w:r>
      <w:proofErr w:type="spellStart"/>
      <w:r>
        <w:rPr>
          <w:rFonts w:cs="Narkisim"/>
          <w:i/>
          <w:iCs/>
          <w:lang w:val="en-US" w:bidi="he-IL"/>
        </w:rPr>
        <w:t>Gorivich</w:t>
      </w:r>
      <w:proofErr w:type="spellEnd"/>
      <w:r>
        <w:rPr>
          <w:rFonts w:cs="Narkisim"/>
          <w:lang w:val="en-US" w:bidi="he-IL"/>
        </w:rPr>
        <w:t>).</w:t>
      </w:r>
      <w:r w:rsidR="00CD3B50">
        <w:rPr>
          <w:rFonts w:cs="Narkisim"/>
          <w:lang w:val="en-US" w:bidi="he-IL"/>
        </w:rPr>
        <w:t xml:space="preserve"> </w:t>
      </w:r>
    </w:p>
    <w:p w:rsidR="006C72E1" w:rsidRPr="00080E43" w:rsidRDefault="006C72E1" w:rsidP="00084BFB">
      <w:pPr>
        <w:pStyle w:val="SingleTxtG"/>
        <w:numPr>
          <w:ilvl w:val="0"/>
          <w:numId w:val="12"/>
        </w:numPr>
        <w:ind w:left="1134" w:firstLine="0"/>
        <w:rPr>
          <w:lang w:val="en-US" w:bidi="he-IL"/>
        </w:rPr>
      </w:pPr>
      <w:r w:rsidRPr="002D2C27">
        <w:rPr>
          <w:lang w:val="en-US" w:bidi="he-IL"/>
        </w:rPr>
        <w:t xml:space="preserve">On </w:t>
      </w:r>
      <w:r w:rsidR="00084BFB">
        <w:rPr>
          <w:lang w:val="en-US" w:bidi="he-IL"/>
        </w:rPr>
        <w:t xml:space="preserve">14 </w:t>
      </w:r>
      <w:r w:rsidRPr="002D2C27">
        <w:rPr>
          <w:lang w:val="en-US" w:bidi="he-IL"/>
        </w:rPr>
        <w:t>October 2009</w:t>
      </w:r>
      <w:r>
        <w:rPr>
          <w:lang w:val="en-US" w:bidi="he-IL"/>
        </w:rPr>
        <w:t>,</w:t>
      </w:r>
      <w:r w:rsidRPr="002D2C27">
        <w:rPr>
          <w:lang w:val="en-US" w:bidi="he-IL"/>
        </w:rPr>
        <w:t xml:space="preserve"> Haifa Magistrate</w:t>
      </w:r>
      <w:r w:rsidR="00084BFB">
        <w:rPr>
          <w:lang w:val="en-US" w:bidi="he-IL"/>
        </w:rPr>
        <w:t>’s</w:t>
      </w:r>
      <w:r w:rsidRPr="002D2C27">
        <w:rPr>
          <w:lang w:val="en-US" w:bidi="he-IL"/>
        </w:rPr>
        <w:t xml:space="preserve"> Court sentenced a defendant to </w:t>
      </w:r>
      <w:r>
        <w:rPr>
          <w:lang w:val="en-US" w:bidi="he-IL"/>
        </w:rPr>
        <w:t xml:space="preserve">five </w:t>
      </w:r>
      <w:r w:rsidRPr="002D2C27">
        <w:rPr>
          <w:lang w:val="en-US" w:bidi="he-IL"/>
        </w:rPr>
        <w:t>months</w:t>
      </w:r>
      <w:r w:rsidR="00084BFB">
        <w:rPr>
          <w:lang w:val="en-US" w:bidi="he-IL"/>
        </w:rPr>
        <w:t>’</w:t>
      </w:r>
      <w:r w:rsidRPr="002D2C27">
        <w:rPr>
          <w:lang w:val="en-US" w:bidi="he-IL"/>
        </w:rPr>
        <w:t xml:space="preserve"> </w:t>
      </w:r>
      <w:r w:rsidRPr="002D2C27">
        <w:rPr>
          <w:lang w:val="en-US"/>
        </w:rPr>
        <w:t>imprisonment</w:t>
      </w:r>
      <w:r w:rsidRPr="002D2C27">
        <w:rPr>
          <w:lang w:val="en-US" w:bidi="he-IL"/>
        </w:rPr>
        <w:t xml:space="preserve"> to be served in community service</w:t>
      </w:r>
      <w:r>
        <w:rPr>
          <w:lang w:val="en-US" w:bidi="he-IL"/>
        </w:rPr>
        <w:t>, nine</w:t>
      </w:r>
      <w:r w:rsidRPr="002D2C27">
        <w:rPr>
          <w:lang w:val="en-US" w:bidi="he-IL"/>
        </w:rPr>
        <w:t xml:space="preserve"> months</w:t>
      </w:r>
      <w:r w:rsidR="00084BFB">
        <w:rPr>
          <w:lang w:val="en-US" w:bidi="he-IL"/>
        </w:rPr>
        <w:t>’</w:t>
      </w:r>
      <w:r w:rsidRPr="002D2C27">
        <w:rPr>
          <w:lang w:val="en-US" w:bidi="he-IL"/>
        </w:rPr>
        <w:t xml:space="preserve"> suspended </w:t>
      </w:r>
      <w:r w:rsidRPr="002D2C27">
        <w:rPr>
          <w:lang w:val="en-US"/>
        </w:rPr>
        <w:t>imprisonment</w:t>
      </w:r>
      <w:r w:rsidRPr="002D2C27">
        <w:rPr>
          <w:lang w:val="en-US" w:bidi="he-IL"/>
        </w:rPr>
        <w:t xml:space="preserve"> </w:t>
      </w:r>
      <w:r w:rsidRPr="002D2C27">
        <w:rPr>
          <w:lang w:val="en-US"/>
        </w:rPr>
        <w:t xml:space="preserve">and a </w:t>
      </w:r>
      <w:r w:rsidR="00A72F2B">
        <w:rPr>
          <w:lang w:val="en-US"/>
        </w:rPr>
        <w:t>fine of NIS </w:t>
      </w:r>
      <w:r w:rsidRPr="00277D33">
        <w:rPr>
          <w:lang w:val="en-US"/>
        </w:rPr>
        <w:t>2,000 (</w:t>
      </w:r>
      <w:r w:rsidR="00CF6BA2">
        <w:rPr>
          <w:lang w:val="en-US"/>
        </w:rPr>
        <w:t>US$</w:t>
      </w:r>
      <w:r w:rsidRPr="00277D33">
        <w:rPr>
          <w:lang w:val="en-US"/>
        </w:rPr>
        <w:t xml:space="preserve"> 526). The defendant was</w:t>
      </w:r>
      <w:r w:rsidRPr="002D2C27">
        <w:rPr>
          <w:lang w:val="en-US"/>
        </w:rPr>
        <w:t xml:space="preserve"> found guilty </w:t>
      </w:r>
      <w:r w:rsidRPr="002D2C27">
        <w:rPr>
          <w:lang w:val="en-US" w:bidi="he-IL"/>
        </w:rPr>
        <w:t xml:space="preserve">of </w:t>
      </w:r>
      <w:r w:rsidRPr="002D2C27">
        <w:rPr>
          <w:lang w:val="en-US"/>
        </w:rPr>
        <w:t>possession of obscene publication</w:t>
      </w:r>
      <w:r>
        <w:rPr>
          <w:lang w:val="en-US"/>
        </w:rPr>
        <w:t>s</w:t>
      </w:r>
      <w:r w:rsidRPr="002D2C27">
        <w:rPr>
          <w:lang w:val="en-US"/>
        </w:rPr>
        <w:t xml:space="preserve"> and display (</w:t>
      </w:r>
      <w:r w:rsidR="001A574A">
        <w:rPr>
          <w:lang w:val="en-US"/>
        </w:rPr>
        <w:t>Section </w:t>
      </w:r>
      <w:r w:rsidRPr="002D2C27">
        <w:rPr>
          <w:lang w:val="en-US"/>
        </w:rPr>
        <w:t xml:space="preserve">214(b3) </w:t>
      </w:r>
      <w:r>
        <w:rPr>
          <w:lang w:val="en-US"/>
        </w:rPr>
        <w:t xml:space="preserve">of the </w:t>
      </w:r>
      <w:r w:rsidRPr="005344EC">
        <w:rPr>
          <w:iCs/>
          <w:lang w:val="en-US"/>
        </w:rPr>
        <w:t>Penal Law</w:t>
      </w:r>
      <w:r w:rsidRPr="002D2C27">
        <w:rPr>
          <w:lang w:val="en-US"/>
        </w:rPr>
        <w:t>).</w:t>
      </w:r>
      <w:r w:rsidRPr="002D2C27">
        <w:rPr>
          <w:lang w:val="en-US" w:bidi="he-IL"/>
        </w:rPr>
        <w:t xml:space="preserve"> The Court emphasizes </w:t>
      </w:r>
      <w:r w:rsidRPr="002D2C27">
        <w:rPr>
          <w:lang w:val="en-US"/>
        </w:rPr>
        <w:t>the gravity of the offen</w:t>
      </w:r>
      <w:r>
        <w:rPr>
          <w:lang w:val="en-US"/>
        </w:rPr>
        <w:t>s</w:t>
      </w:r>
      <w:r w:rsidRPr="002D2C27">
        <w:rPr>
          <w:lang w:val="en-US"/>
        </w:rPr>
        <w:t>e</w:t>
      </w:r>
      <w:r w:rsidR="00084BFB">
        <w:rPr>
          <w:lang w:val="en-US"/>
        </w:rPr>
        <w:t>,</w:t>
      </w:r>
      <w:r w:rsidRPr="002D2C27">
        <w:rPr>
          <w:lang w:val="en-US" w:bidi="he-IL"/>
        </w:rPr>
        <w:t xml:space="preserve"> as it enables and creates the continuance </w:t>
      </w:r>
      <w:r w:rsidR="00084BFB">
        <w:rPr>
          <w:lang w:val="en-US" w:bidi="he-IL"/>
        </w:rPr>
        <w:t xml:space="preserve">of </w:t>
      </w:r>
      <w:r w:rsidRPr="002D2C27">
        <w:rPr>
          <w:lang w:val="en-US" w:bidi="he-IL"/>
        </w:rPr>
        <w:t>demand for child pornography (</w:t>
      </w:r>
      <w:proofErr w:type="spellStart"/>
      <w:r w:rsidRPr="002D2C27">
        <w:rPr>
          <w:lang w:val="en-US" w:bidi="he-IL"/>
        </w:rPr>
        <w:t>Cr.C</w:t>
      </w:r>
      <w:proofErr w:type="spellEnd"/>
      <w:r w:rsidRPr="002D2C27">
        <w:rPr>
          <w:lang w:val="en-US" w:bidi="he-IL"/>
        </w:rPr>
        <w:t>. 14057/08</w:t>
      </w:r>
      <w:r w:rsidRPr="002D2C27">
        <w:rPr>
          <w:i/>
          <w:iCs/>
          <w:lang w:val="en-US" w:bidi="he-IL"/>
        </w:rPr>
        <w:t xml:space="preserve"> The State of Israel v. </w:t>
      </w:r>
      <w:proofErr w:type="spellStart"/>
      <w:r w:rsidRPr="002D2C27">
        <w:rPr>
          <w:i/>
          <w:iCs/>
          <w:lang w:val="en-US" w:bidi="he-IL"/>
        </w:rPr>
        <w:t>Itzhak</w:t>
      </w:r>
      <w:proofErr w:type="spellEnd"/>
      <w:r w:rsidRPr="002D2C27">
        <w:rPr>
          <w:i/>
          <w:iCs/>
          <w:lang w:val="en-US" w:bidi="he-IL"/>
        </w:rPr>
        <w:t xml:space="preserve"> </w:t>
      </w:r>
      <w:proofErr w:type="spellStart"/>
      <w:r w:rsidRPr="002D2C27">
        <w:rPr>
          <w:i/>
          <w:iCs/>
          <w:lang w:val="en-US" w:bidi="he-IL"/>
        </w:rPr>
        <w:t>Bruk</w:t>
      </w:r>
      <w:proofErr w:type="spellEnd"/>
      <w:r w:rsidRPr="002D2C27">
        <w:rPr>
          <w:lang w:val="en-US" w:bidi="he-IL"/>
        </w:rPr>
        <w:t>).</w:t>
      </w:r>
    </w:p>
    <w:p w:rsidR="006C72E1" w:rsidRPr="002D2C27" w:rsidRDefault="006C72E1" w:rsidP="00084BFB">
      <w:pPr>
        <w:pStyle w:val="SingleTxtG"/>
        <w:numPr>
          <w:ilvl w:val="0"/>
          <w:numId w:val="12"/>
        </w:numPr>
        <w:ind w:left="1134" w:firstLine="0"/>
        <w:rPr>
          <w:lang w:val="en-US" w:bidi="he-IL"/>
        </w:rPr>
      </w:pPr>
      <w:r w:rsidRPr="002D2C27">
        <w:rPr>
          <w:rFonts w:cs="Narkisim"/>
          <w:lang w:val="en-US" w:bidi="he-IL"/>
        </w:rPr>
        <w:t xml:space="preserve">On </w:t>
      </w:r>
      <w:r w:rsidR="00084BFB">
        <w:rPr>
          <w:rFonts w:cs="Narkisim"/>
          <w:lang w:val="en-US" w:bidi="he-IL"/>
        </w:rPr>
        <w:t xml:space="preserve">17 </w:t>
      </w:r>
      <w:r w:rsidRPr="002D2C27">
        <w:rPr>
          <w:rFonts w:cs="Narkisim"/>
          <w:lang w:val="en-US" w:bidi="he-IL"/>
        </w:rPr>
        <w:t xml:space="preserve">May 2009, the </w:t>
      </w:r>
      <w:r w:rsidRPr="002D2C27">
        <w:rPr>
          <w:lang w:val="en-US"/>
        </w:rPr>
        <w:t>Supreme</w:t>
      </w:r>
      <w:r w:rsidRPr="002D2C27">
        <w:rPr>
          <w:lang w:val="en-US" w:bidi="he-IL"/>
        </w:rPr>
        <w:t xml:space="preserve"> Court </w:t>
      </w:r>
      <w:r w:rsidRPr="002D2C27">
        <w:rPr>
          <w:lang w:val="en-US"/>
        </w:rPr>
        <w:t>reject</w:t>
      </w:r>
      <w:r w:rsidRPr="002D2C27">
        <w:rPr>
          <w:lang w:val="en-US" w:bidi="he-IL"/>
        </w:rPr>
        <w:t xml:space="preserve">ed an appeal </w:t>
      </w:r>
      <w:r>
        <w:rPr>
          <w:lang w:val="en-US" w:bidi="he-IL"/>
        </w:rPr>
        <w:t>filed</w:t>
      </w:r>
      <w:r w:rsidRPr="002D2C27">
        <w:rPr>
          <w:lang w:val="en-US" w:bidi="he-IL"/>
        </w:rPr>
        <w:t xml:space="preserve"> by a convicted </w:t>
      </w:r>
      <w:r w:rsidRPr="002D2C27">
        <w:rPr>
          <w:lang w:val="en-US"/>
        </w:rPr>
        <w:t>offender</w:t>
      </w:r>
      <w:r w:rsidRPr="002D2C27">
        <w:rPr>
          <w:lang w:val="en-US" w:bidi="he-IL"/>
        </w:rPr>
        <w:t xml:space="preserve">. The appellant was convicted by Tel Aviv District Court based on his own admission </w:t>
      </w:r>
      <w:r>
        <w:rPr>
          <w:lang w:val="en-US" w:bidi="he-IL"/>
        </w:rPr>
        <w:t xml:space="preserve">for </w:t>
      </w:r>
      <w:r w:rsidRPr="002D2C27">
        <w:rPr>
          <w:lang w:val="en-US"/>
        </w:rPr>
        <w:t xml:space="preserve">possession </w:t>
      </w:r>
      <w:r>
        <w:rPr>
          <w:lang w:val="en-US"/>
        </w:rPr>
        <w:t xml:space="preserve">and display </w:t>
      </w:r>
      <w:r w:rsidRPr="002D2C27">
        <w:rPr>
          <w:lang w:val="en-US"/>
        </w:rPr>
        <w:t>of obscene publication</w:t>
      </w:r>
      <w:r>
        <w:rPr>
          <w:lang w:val="en-US"/>
        </w:rPr>
        <w:t>s</w:t>
      </w:r>
      <w:r w:rsidRPr="002D2C27">
        <w:rPr>
          <w:lang w:val="en-US"/>
        </w:rPr>
        <w:t xml:space="preserve"> (</w:t>
      </w:r>
      <w:r w:rsidR="001A574A">
        <w:rPr>
          <w:lang w:val="en-US"/>
        </w:rPr>
        <w:t>Section </w:t>
      </w:r>
      <w:r w:rsidRPr="002D2C27">
        <w:rPr>
          <w:lang w:val="en-US"/>
        </w:rPr>
        <w:t xml:space="preserve">214(b3) </w:t>
      </w:r>
      <w:r>
        <w:rPr>
          <w:lang w:val="en-US"/>
        </w:rPr>
        <w:t xml:space="preserve">of the </w:t>
      </w:r>
      <w:r w:rsidRPr="005344EC">
        <w:rPr>
          <w:iCs/>
          <w:lang w:val="en-US"/>
        </w:rPr>
        <w:t>Penal Law</w:t>
      </w:r>
      <w:r w:rsidRPr="002D2C27">
        <w:rPr>
          <w:lang w:val="en-US"/>
        </w:rPr>
        <w:t>)</w:t>
      </w:r>
      <w:r w:rsidRPr="002D2C27">
        <w:rPr>
          <w:lang w:val="en-US" w:bidi="he-IL"/>
        </w:rPr>
        <w:t xml:space="preserve">. The Supreme Court held that the purpose of </w:t>
      </w:r>
      <w:r w:rsidR="001A574A">
        <w:rPr>
          <w:lang w:val="en-US"/>
        </w:rPr>
        <w:t>Section </w:t>
      </w:r>
      <w:r w:rsidRPr="002D2C27">
        <w:rPr>
          <w:lang w:val="en-US" w:bidi="he-IL"/>
        </w:rPr>
        <w:t xml:space="preserve">214(b3) is to </w:t>
      </w:r>
      <w:r w:rsidRPr="002D2C27">
        <w:rPr>
          <w:lang w:val="en-US"/>
        </w:rPr>
        <w:t xml:space="preserve">eradicate sexual abuse of minors. According to the Court, the </w:t>
      </w:r>
      <w:r w:rsidRPr="002D2C27">
        <w:rPr>
          <w:lang w:val="en-US" w:bidi="he-IL"/>
        </w:rPr>
        <w:t>classification</w:t>
      </w:r>
      <w:r w:rsidRPr="002D2C27">
        <w:rPr>
          <w:lang w:val="en-US"/>
        </w:rPr>
        <w:t xml:space="preserve"> of this </w:t>
      </w:r>
      <w:r w:rsidR="001A574A">
        <w:rPr>
          <w:lang w:val="en-US"/>
        </w:rPr>
        <w:t xml:space="preserve">Section </w:t>
      </w:r>
      <w:r w:rsidR="00285CC4">
        <w:rPr>
          <w:lang w:val="en-US"/>
        </w:rPr>
        <w:t>as a “misdemeanor”</w:t>
      </w:r>
      <w:r w:rsidRPr="002D2C27">
        <w:rPr>
          <w:lang w:val="en-US"/>
        </w:rPr>
        <w:t xml:space="preserve"> does not </w:t>
      </w:r>
      <w:r>
        <w:rPr>
          <w:lang w:val="en-US"/>
        </w:rPr>
        <w:t>detract</w:t>
      </w:r>
      <w:r w:rsidRPr="002D2C27">
        <w:rPr>
          <w:lang w:val="en-US"/>
        </w:rPr>
        <w:t xml:space="preserve"> from the </w:t>
      </w:r>
      <w:r>
        <w:rPr>
          <w:lang w:val="en-US"/>
        </w:rPr>
        <w:t>gravity</w:t>
      </w:r>
      <w:r w:rsidRPr="002D2C27">
        <w:rPr>
          <w:lang w:val="en-US"/>
        </w:rPr>
        <w:t xml:space="preserve"> of the crime or the severity of the </w:t>
      </w:r>
      <w:r w:rsidR="00EC5FA6">
        <w:rPr>
          <w:lang w:val="en-US"/>
        </w:rPr>
        <w:t>defendant’</w:t>
      </w:r>
      <w:r w:rsidRPr="002D2C27">
        <w:rPr>
          <w:lang w:val="en-US"/>
        </w:rPr>
        <w:t>s actions</w:t>
      </w:r>
      <w:r w:rsidR="00084BFB">
        <w:rPr>
          <w:lang w:val="en-US"/>
        </w:rPr>
        <w:t>, which</w:t>
      </w:r>
      <w:r w:rsidRPr="002D2C27">
        <w:rPr>
          <w:lang w:val="en-US"/>
        </w:rPr>
        <w:t xml:space="preserve"> ultimately contributed to the production and distribution of pedophile </w:t>
      </w:r>
      <w:r w:rsidRPr="002D2C27">
        <w:rPr>
          <w:rStyle w:val="sitefont"/>
          <w:szCs w:val="24"/>
          <w:lang w:val="en-US"/>
        </w:rPr>
        <w:t xml:space="preserve">materials </w:t>
      </w:r>
      <w:r w:rsidRPr="002D2C27">
        <w:rPr>
          <w:lang w:val="en-US" w:bidi="he-IL"/>
        </w:rPr>
        <w:t>(</w:t>
      </w:r>
      <w:proofErr w:type="spellStart"/>
      <w:r w:rsidRPr="002D2C27">
        <w:rPr>
          <w:lang w:val="en-US" w:bidi="he-IL"/>
        </w:rPr>
        <w:t>P.Cr.A</w:t>
      </w:r>
      <w:proofErr w:type="spellEnd"/>
      <w:r w:rsidRPr="002D2C27">
        <w:rPr>
          <w:lang w:val="en-US" w:bidi="he-IL"/>
        </w:rPr>
        <w:t>. 3890/09</w:t>
      </w:r>
      <w:r w:rsidRPr="002D2C27">
        <w:rPr>
          <w:i/>
          <w:iCs/>
          <w:lang w:val="en-US" w:bidi="he-IL"/>
        </w:rPr>
        <w:t xml:space="preserve"> </w:t>
      </w:r>
      <w:proofErr w:type="spellStart"/>
      <w:r w:rsidRPr="002D2C27">
        <w:rPr>
          <w:i/>
          <w:iCs/>
          <w:lang w:val="en-US" w:bidi="he-IL"/>
        </w:rPr>
        <w:t>Inbar</w:t>
      </w:r>
      <w:proofErr w:type="spellEnd"/>
      <w:r w:rsidRPr="002D2C27">
        <w:rPr>
          <w:i/>
          <w:iCs/>
          <w:lang w:val="en-US" w:bidi="he-IL"/>
        </w:rPr>
        <w:t xml:space="preserve"> </w:t>
      </w:r>
      <w:proofErr w:type="spellStart"/>
      <w:r w:rsidRPr="002D2C27">
        <w:rPr>
          <w:i/>
          <w:iCs/>
          <w:lang w:val="en-US" w:bidi="he-IL"/>
        </w:rPr>
        <w:t>Mor</w:t>
      </w:r>
      <w:proofErr w:type="spellEnd"/>
      <w:r w:rsidRPr="002D2C27">
        <w:rPr>
          <w:i/>
          <w:iCs/>
          <w:lang w:val="en-US" w:bidi="he-IL"/>
        </w:rPr>
        <w:t xml:space="preserve"> v. The State of Israel</w:t>
      </w:r>
      <w:r w:rsidRPr="002D2C27">
        <w:rPr>
          <w:lang w:val="en-US" w:bidi="he-IL"/>
        </w:rPr>
        <w:t xml:space="preserve">). </w:t>
      </w:r>
    </w:p>
    <w:p w:rsidR="006C72E1" w:rsidRPr="002D2C27" w:rsidRDefault="008B3FE2" w:rsidP="00100D6D">
      <w:pPr>
        <w:pStyle w:val="H4G"/>
        <w:rPr>
          <w:lang w:val="en-US"/>
        </w:rPr>
      </w:pPr>
      <w:r>
        <w:rPr>
          <w:lang w:val="en-US"/>
        </w:rPr>
        <w:tab/>
      </w:r>
      <w:r>
        <w:rPr>
          <w:lang w:val="en-US"/>
        </w:rPr>
        <w:tab/>
      </w:r>
      <w:r w:rsidR="006C72E1" w:rsidRPr="002D2C27">
        <w:rPr>
          <w:lang w:val="en-US"/>
        </w:rPr>
        <w:t>Adoption</w:t>
      </w:r>
    </w:p>
    <w:p w:rsidR="006C72E1" w:rsidRPr="00D75F8C" w:rsidRDefault="006C72E1" w:rsidP="006D3B18">
      <w:pPr>
        <w:pStyle w:val="SingleTxtG"/>
        <w:numPr>
          <w:ilvl w:val="0"/>
          <w:numId w:val="12"/>
        </w:numPr>
        <w:ind w:left="1134" w:firstLine="0"/>
        <w:rPr>
          <w:rFonts w:cs="Narkisim"/>
          <w:lang w:val="en-US" w:bidi="he-IL"/>
        </w:rPr>
      </w:pPr>
      <w:r>
        <w:rPr>
          <w:szCs w:val="24"/>
          <w:lang w:val="en-US" w:bidi="he-IL"/>
        </w:rPr>
        <w:t>A</w:t>
      </w:r>
      <w:r w:rsidRPr="002D2C27">
        <w:rPr>
          <w:szCs w:val="24"/>
          <w:lang w:val="en-US" w:bidi="he-IL"/>
        </w:rPr>
        <w:t xml:space="preserve">n Israeli couple </w:t>
      </w:r>
      <w:r w:rsidRPr="002D2C27">
        <w:rPr>
          <w:rFonts w:cs="Narkisim"/>
          <w:lang w:val="en-US" w:bidi="he-IL"/>
        </w:rPr>
        <w:t>offered</w:t>
      </w:r>
      <w:r w:rsidRPr="002D2C27">
        <w:rPr>
          <w:szCs w:val="24"/>
          <w:lang w:val="en-US" w:bidi="he-IL"/>
        </w:rPr>
        <w:t xml:space="preserve"> a Philippine foreign worker compensation and flight </w:t>
      </w:r>
      <w:r w:rsidRPr="002D2C27">
        <w:rPr>
          <w:lang w:val="en-US"/>
        </w:rPr>
        <w:t>expenses</w:t>
      </w:r>
      <w:r w:rsidRPr="002D2C27">
        <w:rPr>
          <w:szCs w:val="24"/>
          <w:lang w:val="en-US" w:bidi="he-IL"/>
        </w:rPr>
        <w:t xml:space="preserve"> back to the Philippines in exchange for her baby.</w:t>
      </w:r>
      <w:r w:rsidR="00D75F8C">
        <w:rPr>
          <w:lang w:val="en-US"/>
        </w:rPr>
        <w:t xml:space="preserve"> </w:t>
      </w:r>
      <w:proofErr w:type="spellStart"/>
      <w:r w:rsidR="00D75F8C">
        <w:rPr>
          <w:lang w:val="en-US"/>
        </w:rPr>
        <w:t>Be’</w:t>
      </w:r>
      <w:r w:rsidRPr="002D2C27">
        <w:rPr>
          <w:lang w:val="en-US"/>
        </w:rPr>
        <w:t>er</w:t>
      </w:r>
      <w:proofErr w:type="spellEnd"/>
      <w:r>
        <w:rPr>
          <w:lang w:val="en-US"/>
        </w:rPr>
        <w:t xml:space="preserve"> </w:t>
      </w:r>
      <w:proofErr w:type="spellStart"/>
      <w:r w:rsidRPr="002D2C27">
        <w:rPr>
          <w:lang w:val="en-US"/>
        </w:rPr>
        <w:t>Sheva</w:t>
      </w:r>
      <w:proofErr w:type="spellEnd"/>
      <w:r w:rsidRPr="002D2C27">
        <w:rPr>
          <w:lang w:val="en-US"/>
        </w:rPr>
        <w:t xml:space="preserve"> Magistrate</w:t>
      </w:r>
      <w:r w:rsidR="00084BFB">
        <w:rPr>
          <w:lang w:val="en-US"/>
        </w:rPr>
        <w:t>’s</w:t>
      </w:r>
      <w:r w:rsidRPr="002D2C27">
        <w:rPr>
          <w:lang w:val="en-US"/>
        </w:rPr>
        <w:t xml:space="preserve"> Court convicted the two defendants based on their own admission and sentenced them to 250 hours of community service for the crime of relinquishing a minor for consideration (</w:t>
      </w:r>
      <w:r w:rsidR="001A574A">
        <w:rPr>
          <w:lang w:val="en-US"/>
        </w:rPr>
        <w:t>Section </w:t>
      </w:r>
      <w:r w:rsidRPr="002D2C27">
        <w:rPr>
          <w:lang w:val="en-US"/>
        </w:rPr>
        <w:t xml:space="preserve">364 </w:t>
      </w:r>
      <w:r>
        <w:rPr>
          <w:lang w:val="en-US"/>
        </w:rPr>
        <w:t xml:space="preserve">of the </w:t>
      </w:r>
      <w:r w:rsidRPr="005344EC">
        <w:rPr>
          <w:iCs/>
          <w:lang w:val="en-US"/>
        </w:rPr>
        <w:t>Penal Law</w:t>
      </w:r>
      <w:r w:rsidRPr="002D2C27">
        <w:rPr>
          <w:lang w:val="en-US"/>
        </w:rPr>
        <w:t>). Contrary to the probation officer</w:t>
      </w:r>
      <w:r w:rsidR="00D75F8C">
        <w:rPr>
          <w:lang w:val="en-US"/>
        </w:rPr>
        <w:t>’</w:t>
      </w:r>
      <w:r>
        <w:rPr>
          <w:lang w:val="en-US"/>
        </w:rPr>
        <w:t>s</w:t>
      </w:r>
      <w:r w:rsidRPr="002D2C27">
        <w:rPr>
          <w:lang w:val="en-US"/>
        </w:rPr>
        <w:t xml:space="preserve"> recommendation, the Court increased the recommended community service hours from 150 to 250 </w:t>
      </w:r>
      <w:r w:rsidRPr="002D2C27">
        <w:rPr>
          <w:szCs w:val="24"/>
          <w:lang w:val="en-US" w:bidi="he-IL"/>
        </w:rPr>
        <w:t>(</w:t>
      </w:r>
      <w:proofErr w:type="spellStart"/>
      <w:r w:rsidRPr="002D2C27">
        <w:rPr>
          <w:rFonts w:cs="Narkisim"/>
          <w:lang w:val="en-US" w:bidi="he-IL"/>
        </w:rPr>
        <w:t>Cr.C</w:t>
      </w:r>
      <w:proofErr w:type="spellEnd"/>
      <w:r w:rsidRPr="002D2C27">
        <w:rPr>
          <w:rFonts w:cs="Narkisim"/>
          <w:lang w:val="en-US" w:bidi="he-IL"/>
        </w:rPr>
        <w:t>. 4833/08</w:t>
      </w:r>
      <w:r w:rsidRPr="002D2C27">
        <w:rPr>
          <w:rFonts w:cs="Narkisim"/>
          <w:i/>
          <w:iCs/>
          <w:lang w:val="en-US" w:bidi="he-IL"/>
        </w:rPr>
        <w:t xml:space="preserve"> The State of Israel v. </w:t>
      </w:r>
      <w:proofErr w:type="spellStart"/>
      <w:r w:rsidRPr="002D2C27">
        <w:rPr>
          <w:rFonts w:cs="Narkisim"/>
          <w:i/>
          <w:iCs/>
          <w:lang w:val="en-US" w:bidi="he-IL"/>
        </w:rPr>
        <w:t>Tibi</w:t>
      </w:r>
      <w:proofErr w:type="spellEnd"/>
      <w:r w:rsidRPr="002D2C27">
        <w:rPr>
          <w:rFonts w:cs="Narkisim"/>
          <w:lang w:val="en-US" w:bidi="he-IL"/>
        </w:rPr>
        <w:t>)</w:t>
      </w:r>
      <w:r w:rsidRPr="002D2C27">
        <w:rPr>
          <w:rFonts w:cs="Narkisim"/>
          <w:i/>
          <w:iCs/>
          <w:lang w:val="en-US" w:bidi="he-IL"/>
        </w:rPr>
        <w:t>.</w:t>
      </w:r>
      <w:r w:rsidRPr="00D75F8C">
        <w:rPr>
          <w:rFonts w:cs="Narkisim"/>
          <w:lang w:val="en-US" w:bidi="he-IL"/>
        </w:rPr>
        <w:t xml:space="preserve"> </w:t>
      </w:r>
    </w:p>
    <w:p w:rsidR="006C72E1" w:rsidRPr="00CF39CF" w:rsidRDefault="008B3FE2" w:rsidP="00100D6D">
      <w:pPr>
        <w:pStyle w:val="H23G"/>
        <w:rPr>
          <w:lang w:val="en-US"/>
        </w:rPr>
      </w:pPr>
      <w:r>
        <w:rPr>
          <w:lang w:val="en-US"/>
        </w:rPr>
        <w:tab/>
      </w:r>
      <w:r>
        <w:rPr>
          <w:lang w:val="en-US"/>
        </w:rPr>
        <w:tab/>
      </w:r>
      <w:r w:rsidR="006C72E1" w:rsidRPr="00CF39CF">
        <w:rPr>
          <w:lang w:val="en-US"/>
        </w:rPr>
        <w:t>Statistics</w:t>
      </w:r>
    </w:p>
    <w:p w:rsidR="006C72E1" w:rsidRPr="002D2C27" w:rsidRDefault="008B3FE2" w:rsidP="00724F56">
      <w:pPr>
        <w:pStyle w:val="H4G"/>
        <w:rPr>
          <w:lang w:val="en-US"/>
        </w:rPr>
      </w:pPr>
      <w:r>
        <w:rPr>
          <w:lang w:val="en-US"/>
        </w:rPr>
        <w:tab/>
      </w:r>
      <w:r>
        <w:rPr>
          <w:lang w:val="en-US"/>
        </w:rPr>
        <w:tab/>
      </w:r>
      <w:r w:rsidR="006C72E1" w:rsidRPr="00CF39CF">
        <w:rPr>
          <w:lang w:val="en-US"/>
        </w:rPr>
        <w:t xml:space="preserve">Sale of </w:t>
      </w:r>
      <w:r w:rsidR="007D38B4" w:rsidRPr="00CF39CF">
        <w:rPr>
          <w:lang w:val="en-US"/>
        </w:rPr>
        <w:t>children</w:t>
      </w:r>
    </w:p>
    <w:p w:rsidR="006C72E1" w:rsidRPr="00EA0453" w:rsidRDefault="00EA0453" w:rsidP="0032213C">
      <w:pPr>
        <w:pStyle w:val="Heading1"/>
        <w:keepNext/>
        <w:keepLines/>
        <w:spacing w:after="120"/>
        <w:rPr>
          <w:b/>
          <w:lang w:val="en-US"/>
        </w:rPr>
      </w:pPr>
      <w:r>
        <w:rPr>
          <w:lang w:val="en-US"/>
        </w:rPr>
        <w:t>Table 1</w:t>
      </w:r>
      <w:r w:rsidR="00C944A1">
        <w:rPr>
          <w:lang w:val="en-US"/>
        </w:rPr>
        <w:br/>
      </w:r>
      <w:r w:rsidR="006C72E1" w:rsidRPr="00EA0453">
        <w:rPr>
          <w:b/>
          <w:lang w:val="en-US"/>
        </w:rPr>
        <w:t xml:space="preserve">Data </w:t>
      </w:r>
      <w:r w:rsidR="007D38B4" w:rsidRPr="00EA0453">
        <w:rPr>
          <w:b/>
          <w:lang w:val="en-US"/>
        </w:rPr>
        <w:t xml:space="preserve">regarding investigation cases opened between 2006 and 2011 </w:t>
      </w:r>
      <w:r w:rsidR="00C944A1">
        <w:rPr>
          <w:b/>
          <w:lang w:val="en-US"/>
        </w:rPr>
        <w:br/>
      </w:r>
      <w:r w:rsidR="007D38B4" w:rsidRPr="00EA0453">
        <w:rPr>
          <w:b/>
          <w:lang w:val="en-US"/>
        </w:rPr>
        <w:t xml:space="preserve">concerning the sale of children </w:t>
      </w:r>
      <w:r w:rsidR="001A574A">
        <w:rPr>
          <w:b/>
          <w:lang w:val="en-US"/>
        </w:rPr>
        <w:t>(Sections </w:t>
      </w:r>
      <w:r w:rsidR="006C72E1" w:rsidRPr="00EA0453">
        <w:rPr>
          <w:b/>
          <w:lang w:val="en-US"/>
        </w:rPr>
        <w:t xml:space="preserve">374A, 375A, 376, 376A, </w:t>
      </w:r>
      <w:r w:rsidR="00C944A1">
        <w:rPr>
          <w:b/>
          <w:lang w:val="en-US"/>
        </w:rPr>
        <w:br/>
      </w:r>
      <w:r w:rsidR="006C72E1" w:rsidRPr="00EA0453">
        <w:rPr>
          <w:b/>
          <w:lang w:val="en-US"/>
        </w:rPr>
        <w:t xml:space="preserve">376B, 377A of the </w:t>
      </w:r>
      <w:r w:rsidR="007D38B4" w:rsidRPr="00EA0453">
        <w:rPr>
          <w:b/>
          <w:iCs/>
          <w:lang w:val="en-US"/>
        </w:rPr>
        <w:t>penal law</w:t>
      </w:r>
      <w:r w:rsidR="006C72E1" w:rsidRPr="00EA0453">
        <w:rPr>
          <w:b/>
          <w:lang w:val="en-US"/>
        </w:rPr>
        <w:t>)</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3686"/>
        <w:gridCol w:w="3686"/>
      </w:tblGrid>
      <w:tr w:rsidR="006C72E1" w:rsidRPr="00C944A1" w:rsidTr="0055481A">
        <w:trPr>
          <w:trHeight w:val="284"/>
          <w:tblHeader/>
        </w:trPr>
        <w:tc>
          <w:tcPr>
            <w:tcW w:w="3686" w:type="dxa"/>
            <w:tcBorders>
              <w:top w:val="single" w:sz="4" w:space="0" w:color="auto"/>
              <w:bottom w:val="single" w:sz="12" w:space="0" w:color="auto"/>
            </w:tcBorders>
            <w:shd w:val="clear" w:color="auto" w:fill="auto"/>
            <w:vAlign w:val="bottom"/>
          </w:tcPr>
          <w:p w:rsidR="006C72E1" w:rsidRPr="00C944A1" w:rsidRDefault="006C72E1" w:rsidP="0055481A">
            <w:pPr>
              <w:pStyle w:val="ParaNo0"/>
              <w:tabs>
                <w:tab w:val="clear" w:pos="737"/>
              </w:tabs>
              <w:spacing w:before="80" w:after="80" w:line="200" w:lineRule="exact"/>
              <w:rPr>
                <w:bCs/>
                <w:i/>
                <w:sz w:val="16"/>
                <w:szCs w:val="22"/>
                <w:lang w:val="en-US"/>
              </w:rPr>
            </w:pPr>
            <w:r w:rsidRPr="00C944A1">
              <w:rPr>
                <w:bCs/>
                <w:i/>
                <w:sz w:val="16"/>
                <w:szCs w:val="22"/>
                <w:lang w:val="en-US"/>
              </w:rPr>
              <w:t>Year</w:t>
            </w:r>
          </w:p>
        </w:tc>
        <w:tc>
          <w:tcPr>
            <w:tcW w:w="3686" w:type="dxa"/>
            <w:tcBorders>
              <w:top w:val="single" w:sz="4" w:space="0" w:color="auto"/>
              <w:bottom w:val="single" w:sz="12" w:space="0" w:color="auto"/>
            </w:tcBorders>
            <w:shd w:val="clear" w:color="auto" w:fill="auto"/>
            <w:vAlign w:val="bottom"/>
          </w:tcPr>
          <w:p w:rsidR="006C72E1" w:rsidRPr="00C944A1" w:rsidRDefault="006C72E1" w:rsidP="00724F56">
            <w:pPr>
              <w:pStyle w:val="ParaNo0"/>
              <w:tabs>
                <w:tab w:val="clear" w:pos="737"/>
              </w:tabs>
              <w:spacing w:before="80" w:after="80" w:line="200" w:lineRule="exact"/>
              <w:jc w:val="right"/>
              <w:rPr>
                <w:bCs/>
                <w:i/>
                <w:sz w:val="16"/>
                <w:szCs w:val="22"/>
                <w:lang w:val="en-US"/>
              </w:rPr>
            </w:pPr>
            <w:r w:rsidRPr="00C944A1">
              <w:rPr>
                <w:bCs/>
                <w:i/>
                <w:sz w:val="16"/>
                <w:szCs w:val="22"/>
                <w:lang w:val="en-US"/>
              </w:rPr>
              <w:t>N</w:t>
            </w:r>
            <w:r w:rsidR="00724F56">
              <w:rPr>
                <w:bCs/>
                <w:i/>
                <w:sz w:val="16"/>
                <w:szCs w:val="22"/>
                <w:lang w:val="en-US"/>
              </w:rPr>
              <w:t>umber</w:t>
            </w:r>
            <w:r w:rsidRPr="00C944A1">
              <w:rPr>
                <w:bCs/>
                <w:i/>
                <w:sz w:val="16"/>
                <w:szCs w:val="22"/>
                <w:lang w:val="en-US"/>
              </w:rPr>
              <w:t xml:space="preserve"> of cases</w:t>
            </w:r>
          </w:p>
        </w:tc>
      </w:tr>
      <w:tr w:rsidR="006C72E1" w:rsidRPr="00C944A1" w:rsidTr="0055481A">
        <w:trPr>
          <w:trHeight w:val="284"/>
        </w:trPr>
        <w:tc>
          <w:tcPr>
            <w:tcW w:w="3686" w:type="dxa"/>
            <w:tcBorders>
              <w:top w:val="single" w:sz="12" w:space="0" w:color="auto"/>
            </w:tcBorders>
            <w:shd w:val="clear" w:color="auto" w:fill="auto"/>
          </w:tcPr>
          <w:p w:rsidR="006C72E1" w:rsidRPr="00C944A1" w:rsidRDefault="006C72E1" w:rsidP="0055481A">
            <w:pPr>
              <w:pStyle w:val="ParaNo0"/>
              <w:tabs>
                <w:tab w:val="clear" w:pos="737"/>
              </w:tabs>
              <w:spacing w:before="40" w:after="40" w:line="220" w:lineRule="exact"/>
              <w:rPr>
                <w:sz w:val="18"/>
                <w:szCs w:val="22"/>
                <w:lang w:val="en-US"/>
              </w:rPr>
            </w:pPr>
            <w:r w:rsidRPr="00C944A1">
              <w:rPr>
                <w:sz w:val="18"/>
                <w:szCs w:val="22"/>
                <w:lang w:val="en-US"/>
              </w:rPr>
              <w:t>2006</w:t>
            </w:r>
          </w:p>
        </w:tc>
        <w:tc>
          <w:tcPr>
            <w:tcW w:w="3686" w:type="dxa"/>
            <w:tcBorders>
              <w:top w:val="single" w:sz="12"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1</w:t>
            </w:r>
          </w:p>
        </w:tc>
      </w:tr>
      <w:tr w:rsidR="006C72E1" w:rsidRPr="00C944A1" w:rsidTr="0055481A">
        <w:trPr>
          <w:trHeight w:val="284"/>
        </w:trPr>
        <w:tc>
          <w:tcPr>
            <w:tcW w:w="3686" w:type="dxa"/>
            <w:shd w:val="clear" w:color="auto" w:fill="auto"/>
          </w:tcPr>
          <w:p w:rsidR="006C72E1" w:rsidRPr="00C944A1" w:rsidRDefault="006C72E1" w:rsidP="0055481A">
            <w:pPr>
              <w:pStyle w:val="ParaNo0"/>
              <w:tabs>
                <w:tab w:val="clear" w:pos="737"/>
              </w:tabs>
              <w:spacing w:before="40" w:after="40" w:line="220" w:lineRule="exact"/>
              <w:rPr>
                <w:sz w:val="18"/>
                <w:szCs w:val="22"/>
                <w:lang w:val="en-US"/>
              </w:rPr>
            </w:pPr>
            <w:r w:rsidRPr="00C944A1">
              <w:rPr>
                <w:sz w:val="18"/>
                <w:szCs w:val="22"/>
                <w:lang w:val="en-US"/>
              </w:rPr>
              <w:t>2007</w:t>
            </w:r>
          </w:p>
        </w:tc>
        <w:tc>
          <w:tcPr>
            <w:tcW w:w="3686"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1</w:t>
            </w:r>
          </w:p>
        </w:tc>
      </w:tr>
      <w:tr w:rsidR="006C72E1" w:rsidRPr="00C944A1" w:rsidTr="0055481A">
        <w:trPr>
          <w:trHeight w:val="284"/>
        </w:trPr>
        <w:tc>
          <w:tcPr>
            <w:tcW w:w="3686" w:type="dxa"/>
            <w:shd w:val="clear" w:color="auto" w:fill="auto"/>
          </w:tcPr>
          <w:p w:rsidR="006C72E1" w:rsidRPr="00C944A1" w:rsidRDefault="006C72E1" w:rsidP="0055481A">
            <w:pPr>
              <w:pStyle w:val="ParaNo0"/>
              <w:tabs>
                <w:tab w:val="clear" w:pos="737"/>
              </w:tabs>
              <w:spacing w:before="40" w:after="40" w:line="220" w:lineRule="exact"/>
              <w:rPr>
                <w:sz w:val="18"/>
                <w:szCs w:val="22"/>
                <w:lang w:val="en-US"/>
              </w:rPr>
            </w:pPr>
            <w:r w:rsidRPr="00C944A1">
              <w:rPr>
                <w:sz w:val="18"/>
                <w:szCs w:val="22"/>
                <w:lang w:val="en-US"/>
              </w:rPr>
              <w:t>2008</w:t>
            </w:r>
          </w:p>
        </w:tc>
        <w:tc>
          <w:tcPr>
            <w:tcW w:w="3686"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3</w:t>
            </w:r>
          </w:p>
        </w:tc>
      </w:tr>
      <w:tr w:rsidR="006C72E1" w:rsidRPr="00C944A1" w:rsidTr="0055481A">
        <w:trPr>
          <w:trHeight w:val="284"/>
        </w:trPr>
        <w:tc>
          <w:tcPr>
            <w:tcW w:w="3686" w:type="dxa"/>
            <w:shd w:val="clear" w:color="auto" w:fill="auto"/>
          </w:tcPr>
          <w:p w:rsidR="006C72E1" w:rsidRPr="00C944A1" w:rsidRDefault="006C72E1" w:rsidP="0055481A">
            <w:pPr>
              <w:pStyle w:val="ParaNo0"/>
              <w:tabs>
                <w:tab w:val="clear" w:pos="737"/>
              </w:tabs>
              <w:spacing w:before="40" w:after="40" w:line="220" w:lineRule="exact"/>
              <w:rPr>
                <w:sz w:val="18"/>
                <w:szCs w:val="22"/>
                <w:lang w:val="en-US"/>
              </w:rPr>
            </w:pPr>
            <w:r w:rsidRPr="00C944A1">
              <w:rPr>
                <w:sz w:val="18"/>
                <w:szCs w:val="22"/>
                <w:lang w:val="en-US"/>
              </w:rPr>
              <w:t>2010</w:t>
            </w:r>
          </w:p>
        </w:tc>
        <w:tc>
          <w:tcPr>
            <w:tcW w:w="3686"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2</w:t>
            </w:r>
          </w:p>
        </w:tc>
      </w:tr>
      <w:tr w:rsidR="006C72E1" w:rsidRPr="00C944A1" w:rsidTr="0055481A">
        <w:trPr>
          <w:trHeight w:val="284"/>
        </w:trPr>
        <w:tc>
          <w:tcPr>
            <w:tcW w:w="3686" w:type="dxa"/>
            <w:tcBorders>
              <w:bottom w:val="single" w:sz="4" w:space="0" w:color="auto"/>
            </w:tcBorders>
            <w:shd w:val="clear" w:color="auto" w:fill="auto"/>
          </w:tcPr>
          <w:p w:rsidR="006C72E1" w:rsidRPr="00C944A1" w:rsidRDefault="006C72E1" w:rsidP="0055481A">
            <w:pPr>
              <w:pStyle w:val="ParaNo0"/>
              <w:tabs>
                <w:tab w:val="clear" w:pos="737"/>
              </w:tabs>
              <w:spacing w:before="40" w:after="40" w:line="220" w:lineRule="exact"/>
              <w:rPr>
                <w:sz w:val="18"/>
                <w:szCs w:val="22"/>
                <w:lang w:val="en-US"/>
              </w:rPr>
            </w:pPr>
            <w:r w:rsidRPr="00C944A1">
              <w:rPr>
                <w:sz w:val="18"/>
                <w:szCs w:val="22"/>
                <w:lang w:val="en-US"/>
              </w:rPr>
              <w:t>2011</w:t>
            </w:r>
          </w:p>
        </w:tc>
        <w:tc>
          <w:tcPr>
            <w:tcW w:w="3686" w:type="dxa"/>
            <w:tcBorders>
              <w:bottom w:val="single" w:sz="4"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5</w:t>
            </w:r>
          </w:p>
        </w:tc>
      </w:tr>
      <w:tr w:rsidR="006C72E1" w:rsidRPr="0055481A" w:rsidTr="0055481A">
        <w:trPr>
          <w:trHeight w:val="284"/>
        </w:trPr>
        <w:tc>
          <w:tcPr>
            <w:tcW w:w="3686" w:type="dxa"/>
            <w:tcBorders>
              <w:top w:val="single" w:sz="4" w:space="0" w:color="auto"/>
              <w:bottom w:val="single" w:sz="12" w:space="0" w:color="auto"/>
            </w:tcBorders>
            <w:shd w:val="clear" w:color="auto" w:fill="auto"/>
          </w:tcPr>
          <w:p w:rsidR="006C72E1" w:rsidRPr="0055481A" w:rsidRDefault="006C72E1" w:rsidP="0055481A">
            <w:pPr>
              <w:pStyle w:val="ParaNo0"/>
              <w:tabs>
                <w:tab w:val="clear" w:pos="737"/>
              </w:tabs>
              <w:spacing w:before="80" w:after="80" w:line="220" w:lineRule="exact"/>
              <w:ind w:left="284"/>
              <w:rPr>
                <w:b/>
                <w:sz w:val="18"/>
                <w:szCs w:val="22"/>
                <w:lang w:val="en-US"/>
              </w:rPr>
            </w:pPr>
            <w:r w:rsidRPr="0055481A">
              <w:rPr>
                <w:b/>
                <w:sz w:val="18"/>
                <w:szCs w:val="22"/>
                <w:lang w:val="en-US"/>
              </w:rPr>
              <w:t>Total</w:t>
            </w:r>
          </w:p>
        </w:tc>
        <w:tc>
          <w:tcPr>
            <w:tcW w:w="3686" w:type="dxa"/>
            <w:tcBorders>
              <w:top w:val="single" w:sz="4" w:space="0" w:color="auto"/>
              <w:bottom w:val="single" w:sz="12" w:space="0" w:color="auto"/>
            </w:tcBorders>
            <w:shd w:val="clear" w:color="auto" w:fill="auto"/>
            <w:vAlign w:val="bottom"/>
          </w:tcPr>
          <w:p w:rsidR="006C72E1" w:rsidRPr="0055481A" w:rsidRDefault="006C72E1" w:rsidP="0055481A">
            <w:pPr>
              <w:pStyle w:val="ParaNo0"/>
              <w:tabs>
                <w:tab w:val="clear" w:pos="737"/>
              </w:tabs>
              <w:spacing w:before="80" w:after="80" w:line="220" w:lineRule="exact"/>
              <w:jc w:val="right"/>
              <w:rPr>
                <w:b/>
                <w:sz w:val="18"/>
                <w:szCs w:val="22"/>
                <w:lang w:val="en-US"/>
              </w:rPr>
            </w:pPr>
            <w:r w:rsidRPr="0055481A">
              <w:rPr>
                <w:b/>
                <w:sz w:val="18"/>
                <w:szCs w:val="22"/>
                <w:lang w:val="en-US"/>
              </w:rPr>
              <w:t>12</w:t>
            </w:r>
          </w:p>
        </w:tc>
      </w:tr>
    </w:tbl>
    <w:p w:rsidR="006C72E1" w:rsidRPr="00C944A1" w:rsidRDefault="006C72E1" w:rsidP="00724F56">
      <w:pPr>
        <w:pStyle w:val="SingleTxtG"/>
        <w:spacing w:before="120" w:after="240"/>
        <w:ind w:firstLine="170"/>
        <w:jc w:val="left"/>
        <w:rPr>
          <w:sz w:val="18"/>
          <w:szCs w:val="18"/>
        </w:rPr>
      </w:pPr>
      <w:r w:rsidRPr="00C944A1">
        <w:rPr>
          <w:i/>
          <w:iCs/>
          <w:sz w:val="18"/>
          <w:szCs w:val="18"/>
        </w:rPr>
        <w:t>Source</w:t>
      </w:r>
      <w:r w:rsidRPr="00EA0453">
        <w:rPr>
          <w:sz w:val="18"/>
          <w:szCs w:val="18"/>
        </w:rPr>
        <w:t xml:space="preserve">: Israel </w:t>
      </w:r>
      <w:r w:rsidR="00724F56">
        <w:rPr>
          <w:sz w:val="18"/>
          <w:szCs w:val="18"/>
        </w:rPr>
        <w:t>P</w:t>
      </w:r>
      <w:r w:rsidR="007D38B4" w:rsidRPr="00EA0453">
        <w:rPr>
          <w:sz w:val="18"/>
          <w:szCs w:val="18"/>
        </w:rPr>
        <w:t>olice</w:t>
      </w:r>
      <w:r w:rsidRPr="00EA0453">
        <w:rPr>
          <w:sz w:val="18"/>
          <w:szCs w:val="18"/>
        </w:rPr>
        <w:t xml:space="preserve">, </w:t>
      </w:r>
      <w:r w:rsidR="00724F56">
        <w:rPr>
          <w:sz w:val="18"/>
          <w:szCs w:val="18"/>
        </w:rPr>
        <w:t xml:space="preserve">22 </w:t>
      </w:r>
      <w:r w:rsidRPr="00EA0453">
        <w:rPr>
          <w:sz w:val="18"/>
          <w:szCs w:val="18"/>
        </w:rPr>
        <w:t>February 2012.</w:t>
      </w:r>
    </w:p>
    <w:p w:rsidR="006C72E1" w:rsidRPr="00EA0453" w:rsidRDefault="00EA0453" w:rsidP="0032213C">
      <w:pPr>
        <w:pStyle w:val="Heading1"/>
        <w:keepNext/>
        <w:keepLines/>
        <w:spacing w:after="120"/>
        <w:rPr>
          <w:b/>
          <w:bCs/>
          <w:lang w:val="en-US"/>
        </w:rPr>
      </w:pPr>
      <w:r>
        <w:rPr>
          <w:lang w:val="en-US"/>
        </w:rPr>
        <w:t>Table 2</w:t>
      </w:r>
      <w:r w:rsidR="00C944A1">
        <w:rPr>
          <w:lang w:val="en-US"/>
        </w:rPr>
        <w:br/>
      </w:r>
      <w:r w:rsidR="006C72E1" w:rsidRPr="00EA0453">
        <w:rPr>
          <w:b/>
          <w:lang w:val="en-US"/>
        </w:rPr>
        <w:t xml:space="preserve">Data </w:t>
      </w:r>
      <w:r w:rsidR="007D38B4" w:rsidRPr="00EA0453">
        <w:rPr>
          <w:b/>
          <w:lang w:val="en-US"/>
        </w:rPr>
        <w:t xml:space="preserve">regarding the status of investigation cases opened between 2006 and 2011 </w:t>
      </w:r>
      <w:r w:rsidR="00C944A1">
        <w:rPr>
          <w:b/>
          <w:lang w:val="en-US"/>
        </w:rPr>
        <w:br/>
      </w:r>
      <w:r w:rsidR="007D38B4" w:rsidRPr="00EA0453">
        <w:rPr>
          <w:b/>
          <w:lang w:val="en-US"/>
        </w:rPr>
        <w:t>concerning the sale of children</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3289"/>
        <w:gridCol w:w="680"/>
        <w:gridCol w:w="680"/>
        <w:gridCol w:w="680"/>
        <w:gridCol w:w="680"/>
        <w:gridCol w:w="680"/>
        <w:gridCol w:w="680"/>
      </w:tblGrid>
      <w:tr w:rsidR="00EA0453" w:rsidRPr="00C944A1" w:rsidTr="0055481A">
        <w:trPr>
          <w:trHeight w:val="284"/>
          <w:tblHeader/>
        </w:trPr>
        <w:tc>
          <w:tcPr>
            <w:tcW w:w="3289" w:type="dxa"/>
            <w:tcBorders>
              <w:top w:val="single" w:sz="4" w:space="0" w:color="auto"/>
              <w:bottom w:val="single" w:sz="12" w:space="0" w:color="auto"/>
            </w:tcBorders>
            <w:shd w:val="clear" w:color="auto" w:fill="auto"/>
            <w:vAlign w:val="bottom"/>
          </w:tcPr>
          <w:p w:rsidR="006C72E1" w:rsidRPr="00C944A1" w:rsidRDefault="006C72E1" w:rsidP="0055481A">
            <w:pPr>
              <w:pStyle w:val="ParaNo0"/>
              <w:tabs>
                <w:tab w:val="clear" w:pos="737"/>
              </w:tabs>
              <w:spacing w:before="80" w:after="80" w:line="200" w:lineRule="exact"/>
              <w:rPr>
                <w:bCs/>
                <w:i/>
                <w:sz w:val="16"/>
                <w:szCs w:val="22"/>
                <w:lang w:val="en-US"/>
              </w:rPr>
            </w:pPr>
            <w:r w:rsidRPr="00C944A1">
              <w:rPr>
                <w:bCs/>
                <w:i/>
                <w:sz w:val="16"/>
                <w:szCs w:val="22"/>
                <w:lang w:val="en-US"/>
              </w:rPr>
              <w:t>Status</w:t>
            </w:r>
          </w:p>
        </w:tc>
        <w:tc>
          <w:tcPr>
            <w:tcW w:w="680" w:type="dxa"/>
            <w:tcBorders>
              <w:top w:val="single" w:sz="4" w:space="0" w:color="auto"/>
              <w:bottom w:val="single" w:sz="12" w:space="0" w:color="auto"/>
            </w:tcBorders>
            <w:shd w:val="clear" w:color="auto" w:fill="auto"/>
            <w:vAlign w:val="bottom"/>
          </w:tcPr>
          <w:p w:rsidR="006C72E1" w:rsidRPr="00C944A1" w:rsidRDefault="006C72E1" w:rsidP="0055481A">
            <w:pPr>
              <w:pStyle w:val="ParaNo0"/>
              <w:tabs>
                <w:tab w:val="clear" w:pos="737"/>
              </w:tabs>
              <w:spacing w:before="80" w:after="80" w:line="200" w:lineRule="exact"/>
              <w:jc w:val="right"/>
              <w:rPr>
                <w:bCs/>
                <w:i/>
                <w:sz w:val="16"/>
                <w:szCs w:val="22"/>
                <w:lang w:val="en-US"/>
              </w:rPr>
            </w:pPr>
            <w:r w:rsidRPr="00C944A1">
              <w:rPr>
                <w:bCs/>
                <w:i/>
                <w:sz w:val="16"/>
                <w:szCs w:val="22"/>
                <w:lang w:val="en-US"/>
              </w:rPr>
              <w:t>2006</w:t>
            </w:r>
          </w:p>
        </w:tc>
        <w:tc>
          <w:tcPr>
            <w:tcW w:w="680" w:type="dxa"/>
            <w:tcBorders>
              <w:top w:val="single" w:sz="4" w:space="0" w:color="auto"/>
              <w:bottom w:val="single" w:sz="12" w:space="0" w:color="auto"/>
            </w:tcBorders>
            <w:shd w:val="clear" w:color="auto" w:fill="auto"/>
            <w:vAlign w:val="bottom"/>
          </w:tcPr>
          <w:p w:rsidR="006C72E1" w:rsidRPr="00C944A1" w:rsidRDefault="006C72E1" w:rsidP="0055481A">
            <w:pPr>
              <w:pStyle w:val="ParaNo0"/>
              <w:tabs>
                <w:tab w:val="clear" w:pos="737"/>
              </w:tabs>
              <w:spacing w:before="80" w:after="80" w:line="200" w:lineRule="exact"/>
              <w:jc w:val="right"/>
              <w:rPr>
                <w:bCs/>
                <w:i/>
                <w:sz w:val="16"/>
                <w:szCs w:val="22"/>
                <w:lang w:val="en-US"/>
              </w:rPr>
            </w:pPr>
            <w:r w:rsidRPr="00C944A1">
              <w:rPr>
                <w:bCs/>
                <w:i/>
                <w:sz w:val="16"/>
                <w:szCs w:val="22"/>
                <w:lang w:val="en-US"/>
              </w:rPr>
              <w:t>2007</w:t>
            </w:r>
          </w:p>
        </w:tc>
        <w:tc>
          <w:tcPr>
            <w:tcW w:w="680" w:type="dxa"/>
            <w:tcBorders>
              <w:top w:val="single" w:sz="4" w:space="0" w:color="auto"/>
              <w:bottom w:val="single" w:sz="12" w:space="0" w:color="auto"/>
            </w:tcBorders>
            <w:shd w:val="clear" w:color="auto" w:fill="auto"/>
            <w:vAlign w:val="bottom"/>
          </w:tcPr>
          <w:p w:rsidR="006C72E1" w:rsidRPr="00C944A1" w:rsidRDefault="006C72E1" w:rsidP="0055481A">
            <w:pPr>
              <w:pStyle w:val="ParaNo0"/>
              <w:tabs>
                <w:tab w:val="clear" w:pos="737"/>
              </w:tabs>
              <w:spacing w:before="80" w:after="80" w:line="200" w:lineRule="exact"/>
              <w:jc w:val="right"/>
              <w:rPr>
                <w:bCs/>
                <w:i/>
                <w:sz w:val="16"/>
                <w:szCs w:val="22"/>
                <w:lang w:val="en-US"/>
              </w:rPr>
            </w:pPr>
            <w:r w:rsidRPr="00C944A1">
              <w:rPr>
                <w:bCs/>
                <w:i/>
                <w:sz w:val="16"/>
                <w:szCs w:val="22"/>
                <w:lang w:val="en-US"/>
              </w:rPr>
              <w:t>2008</w:t>
            </w:r>
          </w:p>
        </w:tc>
        <w:tc>
          <w:tcPr>
            <w:tcW w:w="680" w:type="dxa"/>
            <w:tcBorders>
              <w:top w:val="single" w:sz="4" w:space="0" w:color="auto"/>
              <w:bottom w:val="single" w:sz="12" w:space="0" w:color="auto"/>
            </w:tcBorders>
            <w:shd w:val="clear" w:color="auto" w:fill="auto"/>
            <w:vAlign w:val="bottom"/>
          </w:tcPr>
          <w:p w:rsidR="006C72E1" w:rsidRPr="00C944A1" w:rsidRDefault="006C72E1" w:rsidP="0055481A">
            <w:pPr>
              <w:pStyle w:val="ParaNo0"/>
              <w:tabs>
                <w:tab w:val="clear" w:pos="737"/>
              </w:tabs>
              <w:spacing w:before="80" w:after="80" w:line="200" w:lineRule="exact"/>
              <w:jc w:val="right"/>
              <w:rPr>
                <w:bCs/>
                <w:i/>
                <w:sz w:val="16"/>
                <w:szCs w:val="22"/>
                <w:lang w:val="en-US"/>
              </w:rPr>
            </w:pPr>
            <w:r w:rsidRPr="00C944A1">
              <w:rPr>
                <w:bCs/>
                <w:i/>
                <w:sz w:val="16"/>
                <w:szCs w:val="22"/>
                <w:lang w:val="en-US"/>
              </w:rPr>
              <w:t>2010</w:t>
            </w:r>
          </w:p>
        </w:tc>
        <w:tc>
          <w:tcPr>
            <w:tcW w:w="680" w:type="dxa"/>
            <w:tcBorders>
              <w:top w:val="single" w:sz="4" w:space="0" w:color="auto"/>
              <w:bottom w:val="single" w:sz="12" w:space="0" w:color="auto"/>
            </w:tcBorders>
            <w:shd w:val="clear" w:color="auto" w:fill="auto"/>
            <w:vAlign w:val="bottom"/>
          </w:tcPr>
          <w:p w:rsidR="006C72E1" w:rsidRPr="00C944A1" w:rsidRDefault="006C72E1" w:rsidP="0055481A">
            <w:pPr>
              <w:pStyle w:val="ParaNo0"/>
              <w:tabs>
                <w:tab w:val="clear" w:pos="737"/>
              </w:tabs>
              <w:spacing w:before="80" w:after="80" w:line="200" w:lineRule="exact"/>
              <w:jc w:val="right"/>
              <w:rPr>
                <w:bCs/>
                <w:i/>
                <w:sz w:val="16"/>
                <w:szCs w:val="22"/>
                <w:lang w:val="en-US"/>
              </w:rPr>
            </w:pPr>
            <w:r w:rsidRPr="00C944A1">
              <w:rPr>
                <w:bCs/>
                <w:i/>
                <w:sz w:val="16"/>
                <w:szCs w:val="22"/>
                <w:lang w:val="en-US"/>
              </w:rPr>
              <w:t>2011</w:t>
            </w:r>
          </w:p>
        </w:tc>
        <w:tc>
          <w:tcPr>
            <w:tcW w:w="680" w:type="dxa"/>
            <w:tcBorders>
              <w:top w:val="single" w:sz="4" w:space="0" w:color="auto"/>
              <w:bottom w:val="single" w:sz="12" w:space="0" w:color="auto"/>
            </w:tcBorders>
            <w:shd w:val="clear" w:color="auto" w:fill="auto"/>
            <w:vAlign w:val="bottom"/>
          </w:tcPr>
          <w:p w:rsidR="006C72E1" w:rsidRPr="0055481A" w:rsidRDefault="006C72E1" w:rsidP="0055481A">
            <w:pPr>
              <w:pStyle w:val="ParaNo0"/>
              <w:tabs>
                <w:tab w:val="clear" w:pos="737"/>
              </w:tabs>
              <w:spacing w:before="80" w:after="80" w:line="200" w:lineRule="exact"/>
              <w:jc w:val="right"/>
              <w:rPr>
                <w:b/>
                <w:i/>
                <w:sz w:val="16"/>
                <w:szCs w:val="22"/>
                <w:lang w:val="en-US"/>
              </w:rPr>
            </w:pPr>
            <w:r w:rsidRPr="0055481A">
              <w:rPr>
                <w:b/>
                <w:i/>
                <w:sz w:val="16"/>
                <w:szCs w:val="22"/>
                <w:lang w:val="en-US"/>
              </w:rPr>
              <w:t>Total</w:t>
            </w:r>
          </w:p>
        </w:tc>
      </w:tr>
      <w:tr w:rsidR="00EA0453" w:rsidRPr="00C944A1" w:rsidTr="0055481A">
        <w:trPr>
          <w:trHeight w:val="284"/>
        </w:trPr>
        <w:tc>
          <w:tcPr>
            <w:tcW w:w="3289" w:type="dxa"/>
            <w:tcBorders>
              <w:top w:val="single" w:sz="12" w:space="0" w:color="auto"/>
            </w:tcBorders>
            <w:shd w:val="clear" w:color="auto" w:fill="auto"/>
          </w:tcPr>
          <w:p w:rsidR="006C72E1" w:rsidRPr="00C944A1" w:rsidRDefault="006C72E1" w:rsidP="0055481A">
            <w:pPr>
              <w:pStyle w:val="ParaNo0"/>
              <w:tabs>
                <w:tab w:val="clear" w:pos="737"/>
              </w:tabs>
              <w:spacing w:before="40" w:after="40" w:line="220" w:lineRule="exact"/>
              <w:rPr>
                <w:sz w:val="18"/>
                <w:szCs w:val="22"/>
                <w:lang w:val="en-US"/>
              </w:rPr>
            </w:pPr>
            <w:r w:rsidRPr="00C944A1">
              <w:rPr>
                <w:sz w:val="18"/>
                <w:szCs w:val="22"/>
                <w:lang w:val="en-US"/>
              </w:rPr>
              <w:t>Under investigation</w:t>
            </w:r>
          </w:p>
        </w:tc>
        <w:tc>
          <w:tcPr>
            <w:tcW w:w="680" w:type="dxa"/>
            <w:tcBorders>
              <w:top w:val="single" w:sz="12"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tcBorders>
              <w:top w:val="single" w:sz="12"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tcBorders>
              <w:top w:val="single" w:sz="12"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tcBorders>
              <w:top w:val="single" w:sz="12"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tcBorders>
              <w:top w:val="single" w:sz="12"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2</w:t>
            </w:r>
          </w:p>
        </w:tc>
        <w:tc>
          <w:tcPr>
            <w:tcW w:w="680" w:type="dxa"/>
            <w:tcBorders>
              <w:top w:val="single" w:sz="12" w:space="0" w:color="auto"/>
            </w:tcBorders>
            <w:shd w:val="clear" w:color="auto" w:fill="auto"/>
            <w:vAlign w:val="bottom"/>
          </w:tcPr>
          <w:p w:rsidR="006C72E1" w:rsidRPr="0055481A" w:rsidRDefault="006C72E1" w:rsidP="0055481A">
            <w:pPr>
              <w:pStyle w:val="ParaNo0"/>
              <w:tabs>
                <w:tab w:val="clear" w:pos="737"/>
              </w:tabs>
              <w:spacing w:before="40" w:after="40" w:line="220" w:lineRule="exact"/>
              <w:jc w:val="right"/>
              <w:rPr>
                <w:b/>
                <w:sz w:val="18"/>
                <w:szCs w:val="22"/>
                <w:lang w:val="en-US"/>
              </w:rPr>
            </w:pPr>
            <w:r w:rsidRPr="0055481A">
              <w:rPr>
                <w:b/>
                <w:sz w:val="18"/>
                <w:szCs w:val="22"/>
                <w:lang w:val="en-US"/>
              </w:rPr>
              <w:t>2</w:t>
            </w:r>
          </w:p>
        </w:tc>
      </w:tr>
      <w:tr w:rsidR="00EA0453" w:rsidRPr="00C944A1" w:rsidTr="0055481A">
        <w:trPr>
          <w:trHeight w:val="284"/>
        </w:trPr>
        <w:tc>
          <w:tcPr>
            <w:tcW w:w="3289" w:type="dxa"/>
            <w:shd w:val="clear" w:color="auto" w:fill="auto"/>
          </w:tcPr>
          <w:p w:rsidR="006C72E1" w:rsidRPr="00C944A1" w:rsidRDefault="006C72E1" w:rsidP="0055481A">
            <w:pPr>
              <w:pStyle w:val="ParaNo0"/>
              <w:tabs>
                <w:tab w:val="clear" w:pos="737"/>
              </w:tabs>
              <w:spacing w:before="40" w:after="40" w:line="220" w:lineRule="exact"/>
              <w:rPr>
                <w:sz w:val="18"/>
                <w:szCs w:val="22"/>
                <w:lang w:val="en-US"/>
              </w:rPr>
            </w:pPr>
            <w:r w:rsidRPr="00C944A1">
              <w:rPr>
                <w:sz w:val="18"/>
                <w:szCs w:val="22"/>
                <w:lang w:val="en-US"/>
              </w:rPr>
              <w:t>Closed</w:t>
            </w: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1</w:t>
            </w: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2</w:t>
            </w: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shd w:val="clear" w:color="auto" w:fill="auto"/>
            <w:vAlign w:val="bottom"/>
          </w:tcPr>
          <w:p w:rsidR="006C72E1" w:rsidRPr="0055481A" w:rsidRDefault="006C72E1" w:rsidP="0055481A">
            <w:pPr>
              <w:pStyle w:val="ParaNo0"/>
              <w:tabs>
                <w:tab w:val="clear" w:pos="737"/>
              </w:tabs>
              <w:spacing w:before="40" w:after="40" w:line="220" w:lineRule="exact"/>
              <w:jc w:val="right"/>
              <w:rPr>
                <w:b/>
                <w:sz w:val="18"/>
                <w:szCs w:val="22"/>
                <w:lang w:val="en-US"/>
              </w:rPr>
            </w:pPr>
            <w:r w:rsidRPr="0055481A">
              <w:rPr>
                <w:b/>
                <w:sz w:val="18"/>
                <w:szCs w:val="22"/>
                <w:lang w:val="en-US"/>
              </w:rPr>
              <w:t>3</w:t>
            </w:r>
          </w:p>
        </w:tc>
      </w:tr>
      <w:tr w:rsidR="00EA0453" w:rsidRPr="00C944A1" w:rsidTr="0055481A">
        <w:trPr>
          <w:trHeight w:val="284"/>
        </w:trPr>
        <w:tc>
          <w:tcPr>
            <w:tcW w:w="3289" w:type="dxa"/>
            <w:shd w:val="clear" w:color="auto" w:fill="auto"/>
          </w:tcPr>
          <w:p w:rsidR="006C72E1" w:rsidRPr="00C944A1" w:rsidRDefault="006C72E1" w:rsidP="0055481A">
            <w:pPr>
              <w:pStyle w:val="ParaNo0"/>
              <w:tabs>
                <w:tab w:val="clear" w:pos="737"/>
              </w:tabs>
              <w:spacing w:before="40" w:after="40" w:line="220" w:lineRule="exact"/>
              <w:rPr>
                <w:sz w:val="18"/>
                <w:szCs w:val="22"/>
                <w:lang w:val="en-US"/>
              </w:rPr>
            </w:pPr>
            <w:r w:rsidRPr="00C944A1">
              <w:rPr>
                <w:sz w:val="18"/>
                <w:szCs w:val="22"/>
                <w:lang w:val="en-US"/>
              </w:rPr>
              <w:t xml:space="preserve">Prosecution being considered </w:t>
            </w:r>
            <w:r w:rsidR="0093573F">
              <w:rPr>
                <w:sz w:val="18"/>
                <w:szCs w:val="22"/>
                <w:lang w:val="en-US"/>
              </w:rPr>
              <w:br/>
            </w:r>
            <w:r w:rsidRPr="00C944A1">
              <w:rPr>
                <w:sz w:val="18"/>
                <w:szCs w:val="22"/>
                <w:lang w:val="en-US"/>
              </w:rPr>
              <w:t>(by the State Attorney</w:t>
            </w:r>
            <w:r w:rsidR="00C05EBD">
              <w:rPr>
                <w:rFonts w:hint="eastAsia"/>
                <w:sz w:val="18"/>
                <w:szCs w:val="22"/>
                <w:lang w:val="en-US"/>
              </w:rPr>
              <w:t>’</w:t>
            </w:r>
            <w:r w:rsidRPr="00C944A1">
              <w:rPr>
                <w:sz w:val="18"/>
                <w:szCs w:val="22"/>
                <w:lang w:val="en-US"/>
              </w:rPr>
              <w:t>s Office)</w:t>
            </w:r>
            <w:r w:rsidR="00CD3B50" w:rsidRPr="00C944A1">
              <w:rPr>
                <w:sz w:val="18"/>
                <w:szCs w:val="22"/>
                <w:lang w:val="en-US"/>
              </w:rPr>
              <w:t xml:space="preserve"> </w:t>
            </w: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3</w:t>
            </w:r>
          </w:p>
        </w:tc>
        <w:tc>
          <w:tcPr>
            <w:tcW w:w="680" w:type="dxa"/>
            <w:shd w:val="clear" w:color="auto" w:fill="auto"/>
            <w:vAlign w:val="bottom"/>
          </w:tcPr>
          <w:p w:rsidR="006C72E1" w:rsidRPr="0055481A" w:rsidRDefault="006C72E1" w:rsidP="0055481A">
            <w:pPr>
              <w:pStyle w:val="ParaNo0"/>
              <w:tabs>
                <w:tab w:val="clear" w:pos="737"/>
              </w:tabs>
              <w:spacing w:before="40" w:after="40" w:line="220" w:lineRule="exact"/>
              <w:jc w:val="right"/>
              <w:rPr>
                <w:b/>
                <w:sz w:val="18"/>
                <w:szCs w:val="22"/>
                <w:lang w:val="en-US"/>
              </w:rPr>
            </w:pPr>
            <w:r w:rsidRPr="0055481A">
              <w:rPr>
                <w:b/>
                <w:sz w:val="18"/>
                <w:szCs w:val="22"/>
                <w:lang w:val="en-US"/>
              </w:rPr>
              <w:t>3</w:t>
            </w:r>
          </w:p>
        </w:tc>
      </w:tr>
      <w:tr w:rsidR="00EA0453" w:rsidRPr="00C944A1" w:rsidTr="0055481A">
        <w:trPr>
          <w:trHeight w:val="284"/>
        </w:trPr>
        <w:tc>
          <w:tcPr>
            <w:tcW w:w="3289" w:type="dxa"/>
            <w:tcBorders>
              <w:bottom w:val="single" w:sz="4" w:space="0" w:color="auto"/>
            </w:tcBorders>
            <w:shd w:val="clear" w:color="auto" w:fill="auto"/>
          </w:tcPr>
          <w:p w:rsidR="006C72E1" w:rsidRPr="00C944A1" w:rsidRDefault="0093573F" w:rsidP="0055481A">
            <w:pPr>
              <w:pStyle w:val="ParaNo0"/>
              <w:tabs>
                <w:tab w:val="clear" w:pos="737"/>
              </w:tabs>
              <w:spacing w:before="40" w:after="40" w:line="220" w:lineRule="exact"/>
              <w:rPr>
                <w:sz w:val="18"/>
                <w:szCs w:val="22"/>
                <w:lang w:val="en-US"/>
              </w:rPr>
            </w:pPr>
            <w:r>
              <w:rPr>
                <w:sz w:val="18"/>
                <w:szCs w:val="22"/>
                <w:lang w:val="en-US"/>
              </w:rPr>
              <w:t>P</w:t>
            </w:r>
            <w:r w:rsidR="006C72E1" w:rsidRPr="00C944A1">
              <w:rPr>
                <w:sz w:val="18"/>
                <w:szCs w:val="22"/>
                <w:lang w:val="en-US"/>
              </w:rPr>
              <w:t xml:space="preserve">rosecuted </w:t>
            </w:r>
          </w:p>
        </w:tc>
        <w:tc>
          <w:tcPr>
            <w:tcW w:w="680" w:type="dxa"/>
            <w:tcBorders>
              <w:bottom w:val="single" w:sz="4"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1</w:t>
            </w:r>
          </w:p>
        </w:tc>
        <w:tc>
          <w:tcPr>
            <w:tcW w:w="680" w:type="dxa"/>
            <w:tcBorders>
              <w:bottom w:val="single" w:sz="4"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tcBorders>
              <w:bottom w:val="single" w:sz="4"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1</w:t>
            </w:r>
          </w:p>
        </w:tc>
        <w:tc>
          <w:tcPr>
            <w:tcW w:w="680" w:type="dxa"/>
            <w:tcBorders>
              <w:bottom w:val="single" w:sz="4"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r w:rsidRPr="00C944A1">
              <w:rPr>
                <w:sz w:val="18"/>
                <w:szCs w:val="22"/>
                <w:lang w:val="en-US"/>
              </w:rPr>
              <w:t>2</w:t>
            </w:r>
          </w:p>
        </w:tc>
        <w:tc>
          <w:tcPr>
            <w:tcW w:w="680" w:type="dxa"/>
            <w:tcBorders>
              <w:bottom w:val="single" w:sz="4" w:space="0" w:color="auto"/>
            </w:tcBorders>
            <w:shd w:val="clear" w:color="auto" w:fill="auto"/>
            <w:vAlign w:val="bottom"/>
          </w:tcPr>
          <w:p w:rsidR="006C72E1" w:rsidRPr="00C944A1" w:rsidRDefault="006C72E1" w:rsidP="0055481A">
            <w:pPr>
              <w:pStyle w:val="ParaNo0"/>
              <w:tabs>
                <w:tab w:val="clear" w:pos="737"/>
              </w:tabs>
              <w:spacing w:before="40" w:after="40" w:line="220" w:lineRule="exact"/>
              <w:jc w:val="right"/>
              <w:rPr>
                <w:sz w:val="18"/>
                <w:szCs w:val="22"/>
                <w:lang w:val="en-US"/>
              </w:rPr>
            </w:pPr>
          </w:p>
        </w:tc>
        <w:tc>
          <w:tcPr>
            <w:tcW w:w="680" w:type="dxa"/>
            <w:tcBorders>
              <w:bottom w:val="single" w:sz="4" w:space="0" w:color="auto"/>
            </w:tcBorders>
            <w:shd w:val="clear" w:color="auto" w:fill="auto"/>
            <w:vAlign w:val="bottom"/>
          </w:tcPr>
          <w:p w:rsidR="006C72E1" w:rsidRPr="0055481A" w:rsidRDefault="006C72E1" w:rsidP="0055481A">
            <w:pPr>
              <w:pStyle w:val="ParaNo0"/>
              <w:tabs>
                <w:tab w:val="clear" w:pos="737"/>
              </w:tabs>
              <w:spacing w:before="40" w:after="40" w:line="220" w:lineRule="exact"/>
              <w:jc w:val="right"/>
              <w:rPr>
                <w:b/>
                <w:sz w:val="18"/>
                <w:szCs w:val="22"/>
                <w:lang w:val="en-US"/>
              </w:rPr>
            </w:pPr>
            <w:r w:rsidRPr="0055481A">
              <w:rPr>
                <w:b/>
                <w:sz w:val="18"/>
                <w:szCs w:val="22"/>
                <w:lang w:val="en-US"/>
              </w:rPr>
              <w:t>4</w:t>
            </w:r>
          </w:p>
        </w:tc>
      </w:tr>
      <w:tr w:rsidR="00EA0453" w:rsidRPr="0055481A" w:rsidTr="0055481A">
        <w:trPr>
          <w:trHeight w:val="284"/>
        </w:trPr>
        <w:tc>
          <w:tcPr>
            <w:tcW w:w="3289" w:type="dxa"/>
            <w:tcBorders>
              <w:top w:val="single" w:sz="4" w:space="0" w:color="auto"/>
              <w:bottom w:val="single" w:sz="12" w:space="0" w:color="auto"/>
            </w:tcBorders>
            <w:shd w:val="clear" w:color="auto" w:fill="auto"/>
          </w:tcPr>
          <w:p w:rsidR="006C72E1" w:rsidRPr="0055481A" w:rsidRDefault="006C72E1" w:rsidP="0055481A">
            <w:pPr>
              <w:pStyle w:val="ParaNo0"/>
              <w:tabs>
                <w:tab w:val="clear" w:pos="737"/>
              </w:tabs>
              <w:spacing w:before="80" w:after="80" w:line="220" w:lineRule="exact"/>
              <w:ind w:left="284"/>
              <w:rPr>
                <w:b/>
                <w:sz w:val="18"/>
                <w:szCs w:val="22"/>
                <w:lang w:val="en-US"/>
              </w:rPr>
            </w:pPr>
            <w:r w:rsidRPr="0055481A">
              <w:rPr>
                <w:b/>
                <w:sz w:val="18"/>
                <w:szCs w:val="22"/>
                <w:lang w:val="en-US"/>
              </w:rPr>
              <w:t xml:space="preserve">Total </w:t>
            </w:r>
          </w:p>
        </w:tc>
        <w:tc>
          <w:tcPr>
            <w:tcW w:w="680" w:type="dxa"/>
            <w:tcBorders>
              <w:top w:val="single" w:sz="4" w:space="0" w:color="auto"/>
              <w:bottom w:val="single" w:sz="12" w:space="0" w:color="auto"/>
            </w:tcBorders>
            <w:shd w:val="clear" w:color="auto" w:fill="auto"/>
            <w:vAlign w:val="bottom"/>
          </w:tcPr>
          <w:p w:rsidR="006C72E1" w:rsidRPr="0055481A" w:rsidRDefault="006C72E1" w:rsidP="0055481A">
            <w:pPr>
              <w:pStyle w:val="ParaNo0"/>
              <w:tabs>
                <w:tab w:val="clear" w:pos="737"/>
              </w:tabs>
              <w:spacing w:before="80" w:after="80" w:line="220" w:lineRule="exact"/>
              <w:jc w:val="right"/>
              <w:rPr>
                <w:b/>
                <w:sz w:val="18"/>
                <w:szCs w:val="22"/>
                <w:lang w:val="en-US"/>
              </w:rPr>
            </w:pPr>
            <w:r w:rsidRPr="0055481A">
              <w:rPr>
                <w:b/>
                <w:sz w:val="18"/>
                <w:szCs w:val="22"/>
                <w:lang w:val="en-US"/>
              </w:rPr>
              <w:t>1</w:t>
            </w:r>
          </w:p>
        </w:tc>
        <w:tc>
          <w:tcPr>
            <w:tcW w:w="680" w:type="dxa"/>
            <w:tcBorders>
              <w:top w:val="single" w:sz="4" w:space="0" w:color="auto"/>
              <w:bottom w:val="single" w:sz="12" w:space="0" w:color="auto"/>
            </w:tcBorders>
            <w:shd w:val="clear" w:color="auto" w:fill="auto"/>
            <w:vAlign w:val="bottom"/>
          </w:tcPr>
          <w:p w:rsidR="006C72E1" w:rsidRPr="0055481A" w:rsidRDefault="006C72E1" w:rsidP="0055481A">
            <w:pPr>
              <w:pStyle w:val="ParaNo0"/>
              <w:tabs>
                <w:tab w:val="clear" w:pos="737"/>
              </w:tabs>
              <w:spacing w:before="80" w:after="80" w:line="220" w:lineRule="exact"/>
              <w:jc w:val="right"/>
              <w:rPr>
                <w:b/>
                <w:sz w:val="18"/>
                <w:szCs w:val="22"/>
                <w:lang w:val="en-US"/>
              </w:rPr>
            </w:pPr>
            <w:r w:rsidRPr="0055481A">
              <w:rPr>
                <w:b/>
                <w:sz w:val="18"/>
                <w:szCs w:val="22"/>
                <w:lang w:val="en-US"/>
              </w:rPr>
              <w:t>1</w:t>
            </w:r>
          </w:p>
        </w:tc>
        <w:tc>
          <w:tcPr>
            <w:tcW w:w="680" w:type="dxa"/>
            <w:tcBorders>
              <w:top w:val="single" w:sz="4" w:space="0" w:color="auto"/>
              <w:bottom w:val="single" w:sz="12" w:space="0" w:color="auto"/>
            </w:tcBorders>
            <w:shd w:val="clear" w:color="auto" w:fill="auto"/>
            <w:vAlign w:val="bottom"/>
          </w:tcPr>
          <w:p w:rsidR="006C72E1" w:rsidRPr="0055481A" w:rsidRDefault="006C72E1" w:rsidP="0055481A">
            <w:pPr>
              <w:pStyle w:val="ParaNo0"/>
              <w:tabs>
                <w:tab w:val="clear" w:pos="737"/>
              </w:tabs>
              <w:spacing w:before="80" w:after="80" w:line="220" w:lineRule="exact"/>
              <w:jc w:val="right"/>
              <w:rPr>
                <w:b/>
                <w:sz w:val="18"/>
                <w:szCs w:val="22"/>
                <w:lang w:val="en-US"/>
              </w:rPr>
            </w:pPr>
            <w:r w:rsidRPr="0055481A">
              <w:rPr>
                <w:b/>
                <w:sz w:val="18"/>
                <w:szCs w:val="22"/>
                <w:lang w:val="en-US"/>
              </w:rPr>
              <w:t>3</w:t>
            </w:r>
          </w:p>
        </w:tc>
        <w:tc>
          <w:tcPr>
            <w:tcW w:w="680" w:type="dxa"/>
            <w:tcBorders>
              <w:top w:val="single" w:sz="4" w:space="0" w:color="auto"/>
              <w:bottom w:val="single" w:sz="12" w:space="0" w:color="auto"/>
            </w:tcBorders>
            <w:shd w:val="clear" w:color="auto" w:fill="auto"/>
            <w:vAlign w:val="bottom"/>
          </w:tcPr>
          <w:p w:rsidR="006C72E1" w:rsidRPr="0055481A" w:rsidRDefault="006C72E1" w:rsidP="0055481A">
            <w:pPr>
              <w:pStyle w:val="ParaNo0"/>
              <w:tabs>
                <w:tab w:val="clear" w:pos="737"/>
              </w:tabs>
              <w:spacing w:before="80" w:after="80" w:line="220" w:lineRule="exact"/>
              <w:jc w:val="right"/>
              <w:rPr>
                <w:b/>
                <w:sz w:val="18"/>
                <w:szCs w:val="22"/>
                <w:lang w:val="en-US"/>
              </w:rPr>
            </w:pPr>
            <w:r w:rsidRPr="0055481A">
              <w:rPr>
                <w:b/>
                <w:sz w:val="18"/>
                <w:szCs w:val="22"/>
                <w:lang w:val="en-US"/>
              </w:rPr>
              <w:t>2</w:t>
            </w:r>
          </w:p>
        </w:tc>
        <w:tc>
          <w:tcPr>
            <w:tcW w:w="680" w:type="dxa"/>
            <w:tcBorders>
              <w:top w:val="single" w:sz="4" w:space="0" w:color="auto"/>
              <w:bottom w:val="single" w:sz="12" w:space="0" w:color="auto"/>
            </w:tcBorders>
            <w:shd w:val="clear" w:color="auto" w:fill="auto"/>
            <w:vAlign w:val="bottom"/>
          </w:tcPr>
          <w:p w:rsidR="006C72E1" w:rsidRPr="0055481A" w:rsidRDefault="006C72E1" w:rsidP="0055481A">
            <w:pPr>
              <w:pStyle w:val="ParaNo0"/>
              <w:tabs>
                <w:tab w:val="clear" w:pos="737"/>
              </w:tabs>
              <w:spacing w:before="80" w:after="80" w:line="220" w:lineRule="exact"/>
              <w:jc w:val="right"/>
              <w:rPr>
                <w:b/>
                <w:sz w:val="18"/>
                <w:szCs w:val="22"/>
                <w:lang w:val="en-US"/>
              </w:rPr>
            </w:pPr>
            <w:r w:rsidRPr="0055481A">
              <w:rPr>
                <w:b/>
                <w:sz w:val="18"/>
                <w:szCs w:val="22"/>
                <w:lang w:val="en-US"/>
              </w:rPr>
              <w:t>5</w:t>
            </w:r>
          </w:p>
        </w:tc>
        <w:tc>
          <w:tcPr>
            <w:tcW w:w="680" w:type="dxa"/>
            <w:tcBorders>
              <w:top w:val="single" w:sz="4" w:space="0" w:color="auto"/>
              <w:bottom w:val="single" w:sz="12" w:space="0" w:color="auto"/>
            </w:tcBorders>
            <w:shd w:val="clear" w:color="auto" w:fill="auto"/>
            <w:vAlign w:val="bottom"/>
          </w:tcPr>
          <w:p w:rsidR="006C72E1" w:rsidRPr="0055481A" w:rsidRDefault="006C72E1" w:rsidP="0055481A">
            <w:pPr>
              <w:pStyle w:val="ParaNo0"/>
              <w:tabs>
                <w:tab w:val="clear" w:pos="737"/>
              </w:tabs>
              <w:spacing w:before="80" w:after="80" w:line="220" w:lineRule="exact"/>
              <w:jc w:val="right"/>
              <w:rPr>
                <w:b/>
                <w:sz w:val="18"/>
                <w:szCs w:val="22"/>
                <w:lang w:val="en-US"/>
              </w:rPr>
            </w:pPr>
            <w:r w:rsidRPr="0055481A">
              <w:rPr>
                <w:b/>
                <w:sz w:val="18"/>
                <w:szCs w:val="22"/>
                <w:lang w:val="en-US"/>
              </w:rPr>
              <w:t>12</w:t>
            </w:r>
          </w:p>
        </w:tc>
      </w:tr>
    </w:tbl>
    <w:p w:rsidR="006C72E1" w:rsidRPr="00EA0453" w:rsidRDefault="006C72E1" w:rsidP="00724F56">
      <w:pPr>
        <w:pStyle w:val="SingleTxtG"/>
        <w:spacing w:before="120" w:after="240"/>
        <w:ind w:firstLine="170"/>
        <w:jc w:val="left"/>
        <w:rPr>
          <w:sz w:val="18"/>
          <w:szCs w:val="18"/>
        </w:rPr>
      </w:pPr>
      <w:r w:rsidRPr="00C944A1">
        <w:rPr>
          <w:i/>
          <w:iCs/>
          <w:sz w:val="18"/>
          <w:szCs w:val="18"/>
        </w:rPr>
        <w:t>Source</w:t>
      </w:r>
      <w:r w:rsidRPr="00C944A1">
        <w:rPr>
          <w:sz w:val="18"/>
          <w:szCs w:val="18"/>
        </w:rPr>
        <w:t xml:space="preserve">: </w:t>
      </w:r>
      <w:r w:rsidRPr="00EA0453">
        <w:rPr>
          <w:sz w:val="18"/>
          <w:szCs w:val="18"/>
        </w:rPr>
        <w:t xml:space="preserve">Israel Police, </w:t>
      </w:r>
      <w:r w:rsidR="00724F56">
        <w:rPr>
          <w:sz w:val="18"/>
          <w:szCs w:val="18"/>
        </w:rPr>
        <w:t xml:space="preserve">22 </w:t>
      </w:r>
      <w:r w:rsidRPr="00EA0453">
        <w:rPr>
          <w:sz w:val="18"/>
          <w:szCs w:val="18"/>
        </w:rPr>
        <w:t>February 2012.</w:t>
      </w:r>
    </w:p>
    <w:p w:rsidR="006C72E1" w:rsidRPr="002E570B" w:rsidRDefault="008B3FE2" w:rsidP="00100D6D">
      <w:pPr>
        <w:pStyle w:val="H4G"/>
        <w:rPr>
          <w:lang w:val="en-US"/>
        </w:rPr>
      </w:pPr>
      <w:r>
        <w:rPr>
          <w:lang w:val="en-US"/>
        </w:rPr>
        <w:tab/>
      </w:r>
      <w:r>
        <w:rPr>
          <w:lang w:val="en-US"/>
        </w:rPr>
        <w:tab/>
      </w:r>
      <w:r w:rsidR="006C72E1" w:rsidRPr="002E570B">
        <w:rPr>
          <w:lang w:val="en-US"/>
        </w:rPr>
        <w:t xml:space="preserve">Child </w:t>
      </w:r>
      <w:r w:rsidR="007D38B4" w:rsidRPr="002E570B">
        <w:rPr>
          <w:lang w:val="en-US"/>
        </w:rPr>
        <w:t>prostitution</w:t>
      </w:r>
    </w:p>
    <w:p w:rsidR="006C72E1" w:rsidRPr="002E570B" w:rsidRDefault="006C72E1" w:rsidP="00084BFB">
      <w:pPr>
        <w:pStyle w:val="SingleTxtG"/>
        <w:numPr>
          <w:ilvl w:val="0"/>
          <w:numId w:val="12"/>
        </w:numPr>
        <w:ind w:left="1134" w:firstLine="0"/>
        <w:rPr>
          <w:lang w:val="en-US"/>
        </w:rPr>
      </w:pPr>
      <w:r w:rsidRPr="002E570B">
        <w:rPr>
          <w:lang w:val="en-US"/>
        </w:rPr>
        <w:t xml:space="preserve">The scope of child prostitution in Israel, </w:t>
      </w:r>
      <w:r w:rsidR="00084BFB">
        <w:rPr>
          <w:lang w:val="en-US"/>
        </w:rPr>
        <w:t>which</w:t>
      </w:r>
      <w:r w:rsidR="00084BFB" w:rsidRPr="002E570B">
        <w:rPr>
          <w:lang w:val="en-US"/>
        </w:rPr>
        <w:t xml:space="preserve"> </w:t>
      </w:r>
      <w:r w:rsidRPr="002E570B">
        <w:rPr>
          <w:lang w:val="en-US"/>
        </w:rPr>
        <w:t xml:space="preserve">tends to be a covert activity, is subject to </w:t>
      </w:r>
      <w:r w:rsidR="00084BFB">
        <w:rPr>
          <w:lang w:val="en-US"/>
        </w:rPr>
        <w:t xml:space="preserve">a </w:t>
      </w:r>
      <w:r w:rsidRPr="002E570B">
        <w:rPr>
          <w:lang w:val="en-US"/>
        </w:rPr>
        <w:t xml:space="preserve">lack of consensus among State authorities and </w:t>
      </w:r>
      <w:r w:rsidR="00084BFB">
        <w:rPr>
          <w:lang w:val="en-US"/>
        </w:rPr>
        <w:t>n</w:t>
      </w:r>
      <w:r w:rsidRPr="002E570B">
        <w:rPr>
          <w:lang w:val="en-US"/>
        </w:rPr>
        <w:t>on-</w:t>
      </w:r>
      <w:r w:rsidR="00084BFB">
        <w:rPr>
          <w:lang w:val="en-US"/>
        </w:rPr>
        <w:t>g</w:t>
      </w:r>
      <w:r w:rsidRPr="002E570B">
        <w:rPr>
          <w:lang w:val="en-US"/>
        </w:rPr>
        <w:t>overnmental bodies. Significant efforts are made by law enforcement agencies and NGOs in order to arrive at accurate numbers of children in prostitution</w:t>
      </w:r>
      <w:r w:rsidR="00084BFB">
        <w:rPr>
          <w:lang w:val="en-US"/>
        </w:rPr>
        <w:t>,</w:t>
      </w:r>
      <w:r w:rsidRPr="002E570B">
        <w:rPr>
          <w:lang w:val="en-US"/>
        </w:rPr>
        <w:t xml:space="preserve"> so that adequate programs would be available to all the relevant children. Government bodies</w:t>
      </w:r>
      <w:r w:rsidR="00084BFB">
        <w:rPr>
          <w:lang w:val="en-US"/>
        </w:rPr>
        <w:t>,</w:t>
      </w:r>
      <w:r w:rsidRPr="002E570B">
        <w:rPr>
          <w:lang w:val="en-US"/>
        </w:rPr>
        <w:t xml:space="preserve"> along with NGOs</w:t>
      </w:r>
      <w:r w:rsidR="00084BFB">
        <w:rPr>
          <w:lang w:val="en-US"/>
        </w:rPr>
        <w:t>,</w:t>
      </w:r>
      <w:r w:rsidRPr="002E570B">
        <w:rPr>
          <w:lang w:val="en-US"/>
        </w:rPr>
        <w:t xml:space="preserve"> are cooperating in this arena and are making a sincere effort towards finding an immediate solution. </w:t>
      </w:r>
    </w:p>
    <w:p w:rsidR="006C72E1" w:rsidRPr="002E570B" w:rsidRDefault="006C72E1" w:rsidP="00084BFB">
      <w:pPr>
        <w:pStyle w:val="SingleTxtG"/>
        <w:numPr>
          <w:ilvl w:val="0"/>
          <w:numId w:val="12"/>
        </w:numPr>
        <w:ind w:left="1134" w:firstLine="0"/>
        <w:rPr>
          <w:lang w:val="en-US"/>
        </w:rPr>
      </w:pPr>
      <w:r w:rsidRPr="002E570B">
        <w:rPr>
          <w:lang w:val="en-US"/>
        </w:rPr>
        <w:t xml:space="preserve">One of the main difficulties in </w:t>
      </w:r>
      <w:r w:rsidR="00084BFB">
        <w:rPr>
          <w:lang w:val="en-US"/>
        </w:rPr>
        <w:t xml:space="preserve">regard to </w:t>
      </w:r>
      <w:r w:rsidRPr="002E570B">
        <w:rPr>
          <w:lang w:val="en-US"/>
        </w:rPr>
        <w:t xml:space="preserve">child prostitution is locating the children. However, all Ministries </w:t>
      </w:r>
      <w:r w:rsidR="00084BFB">
        <w:rPr>
          <w:lang w:val="en-US"/>
        </w:rPr>
        <w:t>dealing with</w:t>
      </w:r>
      <w:r w:rsidRPr="002E570B">
        <w:rPr>
          <w:lang w:val="en-US"/>
        </w:rPr>
        <w:t xml:space="preserve"> children at risk are working together towards dealing </w:t>
      </w:r>
      <w:r w:rsidR="00084BFB">
        <w:rPr>
          <w:lang w:val="en-US"/>
        </w:rPr>
        <w:t xml:space="preserve">better </w:t>
      </w:r>
      <w:r w:rsidRPr="002E570B">
        <w:rPr>
          <w:lang w:val="en-US"/>
        </w:rPr>
        <w:t>with this phenomen</w:t>
      </w:r>
      <w:r w:rsidR="00084BFB">
        <w:rPr>
          <w:lang w:val="en-US"/>
        </w:rPr>
        <w:t>on</w:t>
      </w:r>
      <w:r w:rsidRPr="002E570B">
        <w:rPr>
          <w:lang w:val="en-US"/>
        </w:rPr>
        <w:t>, to best estimate</w:t>
      </w:r>
      <w:r w:rsidR="00A91DCB">
        <w:rPr>
          <w:lang w:val="en-US"/>
        </w:rPr>
        <w:t xml:space="preserve"> and asses</w:t>
      </w:r>
      <w:r w:rsidR="00084BFB">
        <w:rPr>
          <w:lang w:val="en-US"/>
        </w:rPr>
        <w:t>s</w:t>
      </w:r>
      <w:r w:rsidR="00A91DCB">
        <w:rPr>
          <w:lang w:val="en-US"/>
        </w:rPr>
        <w:t xml:space="preserve"> </w:t>
      </w:r>
      <w:r w:rsidR="00084BFB">
        <w:rPr>
          <w:lang w:val="en-US"/>
        </w:rPr>
        <w:t>accurately its</w:t>
      </w:r>
      <w:r w:rsidR="00A91DCB">
        <w:rPr>
          <w:lang w:val="en-US"/>
        </w:rPr>
        <w:t xml:space="preserve"> scope.</w:t>
      </w:r>
    </w:p>
    <w:p w:rsidR="00A91DCB" w:rsidRDefault="008B3FE2" w:rsidP="00100D6D">
      <w:pPr>
        <w:pStyle w:val="H4G"/>
        <w:rPr>
          <w:lang w:val="en-US"/>
        </w:rPr>
      </w:pPr>
      <w:r>
        <w:rPr>
          <w:lang w:val="en-US"/>
        </w:rPr>
        <w:tab/>
      </w:r>
      <w:r>
        <w:rPr>
          <w:lang w:val="en-US"/>
        </w:rPr>
        <w:tab/>
      </w:r>
      <w:r w:rsidR="006C72E1" w:rsidRPr="002E570B">
        <w:rPr>
          <w:lang w:val="en-US"/>
        </w:rPr>
        <w:t>Child sex tourism</w:t>
      </w:r>
    </w:p>
    <w:p w:rsidR="006C72E1" w:rsidRPr="002E570B" w:rsidRDefault="006C72E1" w:rsidP="006D3B18">
      <w:pPr>
        <w:pStyle w:val="SingleTxtG"/>
        <w:numPr>
          <w:ilvl w:val="0"/>
          <w:numId w:val="12"/>
        </w:numPr>
        <w:ind w:left="1134" w:firstLine="0"/>
        <w:rPr>
          <w:lang w:val="en-US"/>
        </w:rPr>
      </w:pPr>
      <w:r w:rsidRPr="002E570B">
        <w:rPr>
          <w:lang w:val="en-US"/>
        </w:rPr>
        <w:t xml:space="preserve">Police intelligence indicates that sex tourism in general, and child sex tourism specifically, </w:t>
      </w:r>
      <w:r w:rsidRPr="002E570B">
        <w:t>does not constitute a problem in Israel.</w:t>
      </w:r>
    </w:p>
    <w:p w:rsidR="006C72E1" w:rsidRPr="002C0C4A" w:rsidRDefault="002C0C4A" w:rsidP="0032213C">
      <w:pPr>
        <w:pStyle w:val="Heading1"/>
        <w:keepNext/>
        <w:keepLines/>
        <w:spacing w:after="120"/>
        <w:rPr>
          <w:b/>
          <w:lang w:val="en-US"/>
        </w:rPr>
      </w:pPr>
      <w:r>
        <w:rPr>
          <w:lang w:val="en-US"/>
        </w:rPr>
        <w:t>Table 3</w:t>
      </w:r>
      <w:r w:rsidR="00B02F9A">
        <w:rPr>
          <w:lang w:val="en-US"/>
        </w:rPr>
        <w:br/>
      </w:r>
      <w:r w:rsidR="006C72E1" w:rsidRPr="002C0C4A">
        <w:rPr>
          <w:b/>
          <w:lang w:val="en-US"/>
        </w:rPr>
        <w:t xml:space="preserve">Data </w:t>
      </w:r>
      <w:r w:rsidR="007D38B4" w:rsidRPr="002C0C4A">
        <w:rPr>
          <w:b/>
          <w:lang w:val="en-US"/>
        </w:rPr>
        <w:t xml:space="preserve">regarding investigation cases opened between 2004 and 2011 </w:t>
      </w:r>
      <w:r w:rsidR="002248AD">
        <w:rPr>
          <w:b/>
          <w:lang w:val="en-US"/>
        </w:rPr>
        <w:br/>
      </w:r>
      <w:r w:rsidR="007D38B4" w:rsidRPr="002C0C4A">
        <w:rPr>
          <w:b/>
          <w:lang w:val="en-US"/>
        </w:rPr>
        <w:t>concerning child prostitution</w:t>
      </w:r>
      <w:r w:rsidR="001A574A">
        <w:rPr>
          <w:b/>
          <w:lang w:val="en-US"/>
        </w:rPr>
        <w:t xml:space="preserve"> (Sections </w:t>
      </w:r>
      <w:r w:rsidR="006C72E1" w:rsidRPr="002C0C4A">
        <w:rPr>
          <w:b/>
          <w:lang w:val="en-US"/>
        </w:rPr>
        <w:t xml:space="preserve">199, 201-203, 203B, 203C, </w:t>
      </w:r>
      <w:r w:rsidR="002248AD">
        <w:rPr>
          <w:b/>
          <w:lang w:val="en-US"/>
        </w:rPr>
        <w:br/>
      </w:r>
      <w:r w:rsidR="006C72E1" w:rsidRPr="002C0C4A">
        <w:rPr>
          <w:b/>
          <w:lang w:val="en-US"/>
        </w:rPr>
        <w:t xml:space="preserve">204, 205, 205A-205C of the </w:t>
      </w:r>
      <w:r w:rsidR="007D38B4" w:rsidRPr="002C0C4A">
        <w:rPr>
          <w:b/>
          <w:iCs/>
          <w:lang w:val="en-US"/>
        </w:rPr>
        <w:t>penal law</w:t>
      </w:r>
      <w:r w:rsidR="006C72E1" w:rsidRPr="002C0C4A">
        <w:rPr>
          <w:b/>
          <w:lang w:val="en-US"/>
        </w:rPr>
        <w:t>)</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3686"/>
        <w:gridCol w:w="3686"/>
      </w:tblGrid>
      <w:tr w:rsidR="006C72E1" w:rsidRPr="00A576C8" w:rsidTr="00A576C8">
        <w:trPr>
          <w:trHeight w:val="284"/>
          <w:tblHeader/>
        </w:trPr>
        <w:tc>
          <w:tcPr>
            <w:tcW w:w="3686" w:type="dxa"/>
            <w:tcBorders>
              <w:top w:val="single" w:sz="4" w:space="0" w:color="auto"/>
              <w:bottom w:val="single" w:sz="12" w:space="0" w:color="auto"/>
            </w:tcBorders>
            <w:shd w:val="clear" w:color="auto" w:fill="auto"/>
            <w:vAlign w:val="bottom"/>
          </w:tcPr>
          <w:p w:rsidR="006C72E1" w:rsidRPr="00A576C8" w:rsidRDefault="006C72E1" w:rsidP="00A576C8">
            <w:pPr>
              <w:pStyle w:val="ParaNo0"/>
              <w:tabs>
                <w:tab w:val="clear" w:pos="737"/>
              </w:tabs>
              <w:spacing w:before="80" w:after="80" w:line="200" w:lineRule="exact"/>
              <w:rPr>
                <w:bCs/>
                <w:i/>
                <w:sz w:val="16"/>
                <w:szCs w:val="22"/>
                <w:lang w:val="en-US"/>
              </w:rPr>
            </w:pPr>
            <w:r w:rsidRPr="00A576C8">
              <w:rPr>
                <w:bCs/>
                <w:i/>
                <w:sz w:val="16"/>
                <w:szCs w:val="22"/>
                <w:lang w:val="en-US"/>
              </w:rPr>
              <w:t>Year</w:t>
            </w:r>
          </w:p>
        </w:tc>
        <w:tc>
          <w:tcPr>
            <w:tcW w:w="3686" w:type="dxa"/>
            <w:tcBorders>
              <w:top w:val="single" w:sz="4" w:space="0" w:color="auto"/>
              <w:bottom w:val="single" w:sz="12" w:space="0" w:color="auto"/>
            </w:tcBorders>
            <w:shd w:val="clear" w:color="auto" w:fill="auto"/>
            <w:vAlign w:val="bottom"/>
          </w:tcPr>
          <w:p w:rsidR="006C72E1" w:rsidRPr="00A576C8" w:rsidRDefault="006C72E1" w:rsidP="00724F56">
            <w:pPr>
              <w:pStyle w:val="ParaNo0"/>
              <w:tabs>
                <w:tab w:val="clear" w:pos="737"/>
              </w:tabs>
              <w:spacing w:before="80" w:after="80" w:line="200" w:lineRule="exact"/>
              <w:jc w:val="right"/>
              <w:rPr>
                <w:bCs/>
                <w:i/>
                <w:sz w:val="16"/>
                <w:szCs w:val="22"/>
                <w:lang w:val="en-US"/>
              </w:rPr>
            </w:pPr>
            <w:r w:rsidRPr="00A576C8">
              <w:rPr>
                <w:bCs/>
                <w:i/>
                <w:sz w:val="16"/>
                <w:szCs w:val="22"/>
                <w:lang w:val="en-US"/>
              </w:rPr>
              <w:t>N</w:t>
            </w:r>
            <w:r w:rsidR="00724F56">
              <w:rPr>
                <w:bCs/>
                <w:i/>
                <w:sz w:val="16"/>
                <w:szCs w:val="22"/>
                <w:lang w:val="en-US"/>
              </w:rPr>
              <w:t>umber</w:t>
            </w:r>
            <w:r w:rsidRPr="00A576C8">
              <w:rPr>
                <w:bCs/>
                <w:i/>
                <w:sz w:val="16"/>
                <w:szCs w:val="22"/>
                <w:lang w:val="en-US"/>
              </w:rPr>
              <w:t xml:space="preserve"> of cases</w:t>
            </w:r>
          </w:p>
        </w:tc>
      </w:tr>
      <w:tr w:rsidR="006C72E1" w:rsidRPr="00A576C8" w:rsidTr="00A576C8">
        <w:trPr>
          <w:trHeight w:val="284"/>
        </w:trPr>
        <w:tc>
          <w:tcPr>
            <w:tcW w:w="3686" w:type="dxa"/>
            <w:tcBorders>
              <w:top w:val="single" w:sz="12" w:space="0" w:color="auto"/>
            </w:tcBorders>
            <w:shd w:val="clear" w:color="auto" w:fill="auto"/>
          </w:tcPr>
          <w:p w:rsidR="006C72E1" w:rsidRPr="00A576C8" w:rsidRDefault="006C72E1" w:rsidP="00A576C8">
            <w:pPr>
              <w:pStyle w:val="ParaNo0"/>
              <w:tabs>
                <w:tab w:val="clear" w:pos="737"/>
              </w:tabs>
              <w:spacing w:before="40" w:after="40" w:line="220" w:lineRule="exact"/>
              <w:rPr>
                <w:sz w:val="18"/>
                <w:szCs w:val="22"/>
                <w:lang w:val="en-US"/>
              </w:rPr>
            </w:pPr>
            <w:r w:rsidRPr="00A576C8">
              <w:rPr>
                <w:sz w:val="18"/>
                <w:szCs w:val="22"/>
                <w:lang w:val="en-US"/>
              </w:rPr>
              <w:t>2004</w:t>
            </w:r>
          </w:p>
        </w:tc>
        <w:tc>
          <w:tcPr>
            <w:tcW w:w="3686" w:type="dxa"/>
            <w:tcBorders>
              <w:top w:val="single" w:sz="12" w:space="0" w:color="auto"/>
            </w:tcBorders>
            <w:shd w:val="clear" w:color="auto" w:fill="auto"/>
            <w:vAlign w:val="bottom"/>
          </w:tcPr>
          <w:p w:rsidR="006C72E1" w:rsidRPr="00A576C8" w:rsidRDefault="006C72E1" w:rsidP="00A576C8">
            <w:pPr>
              <w:pStyle w:val="ParaNo0"/>
              <w:tabs>
                <w:tab w:val="clear" w:pos="737"/>
              </w:tabs>
              <w:spacing w:before="40" w:after="40" w:line="220" w:lineRule="exact"/>
              <w:jc w:val="right"/>
              <w:rPr>
                <w:sz w:val="18"/>
                <w:szCs w:val="22"/>
                <w:lang w:val="en-US"/>
              </w:rPr>
            </w:pPr>
            <w:r w:rsidRPr="00A576C8">
              <w:rPr>
                <w:sz w:val="18"/>
                <w:szCs w:val="22"/>
                <w:lang w:val="en-US"/>
              </w:rPr>
              <w:t>9</w:t>
            </w:r>
          </w:p>
        </w:tc>
      </w:tr>
      <w:tr w:rsidR="006C72E1" w:rsidRPr="00A576C8" w:rsidTr="00A576C8">
        <w:trPr>
          <w:trHeight w:val="284"/>
        </w:trPr>
        <w:tc>
          <w:tcPr>
            <w:tcW w:w="3686" w:type="dxa"/>
            <w:shd w:val="clear" w:color="auto" w:fill="auto"/>
          </w:tcPr>
          <w:p w:rsidR="006C72E1" w:rsidRPr="00A576C8" w:rsidRDefault="006C72E1" w:rsidP="00A576C8">
            <w:pPr>
              <w:pStyle w:val="ParaNo0"/>
              <w:tabs>
                <w:tab w:val="clear" w:pos="737"/>
              </w:tabs>
              <w:spacing w:before="40" w:after="40" w:line="220" w:lineRule="exact"/>
              <w:rPr>
                <w:sz w:val="18"/>
                <w:szCs w:val="22"/>
                <w:lang w:val="en-US"/>
              </w:rPr>
            </w:pPr>
            <w:r w:rsidRPr="00A576C8">
              <w:rPr>
                <w:sz w:val="18"/>
                <w:szCs w:val="22"/>
                <w:lang w:val="en-US"/>
              </w:rPr>
              <w:t>2005</w:t>
            </w:r>
          </w:p>
        </w:tc>
        <w:tc>
          <w:tcPr>
            <w:tcW w:w="3686" w:type="dxa"/>
            <w:shd w:val="clear" w:color="auto" w:fill="auto"/>
            <w:vAlign w:val="bottom"/>
          </w:tcPr>
          <w:p w:rsidR="006C72E1" w:rsidRPr="00A576C8" w:rsidRDefault="006C72E1" w:rsidP="00A576C8">
            <w:pPr>
              <w:pStyle w:val="ParaNo0"/>
              <w:tabs>
                <w:tab w:val="clear" w:pos="737"/>
              </w:tabs>
              <w:spacing w:before="40" w:after="40" w:line="220" w:lineRule="exact"/>
              <w:jc w:val="right"/>
              <w:rPr>
                <w:sz w:val="18"/>
                <w:szCs w:val="22"/>
                <w:lang w:val="en-US"/>
              </w:rPr>
            </w:pPr>
            <w:r w:rsidRPr="00A576C8">
              <w:rPr>
                <w:sz w:val="18"/>
                <w:szCs w:val="22"/>
                <w:lang w:val="en-US"/>
              </w:rPr>
              <w:t>8</w:t>
            </w:r>
          </w:p>
        </w:tc>
      </w:tr>
      <w:tr w:rsidR="006C72E1" w:rsidRPr="00A576C8" w:rsidTr="00A576C8">
        <w:trPr>
          <w:trHeight w:val="284"/>
        </w:trPr>
        <w:tc>
          <w:tcPr>
            <w:tcW w:w="3686" w:type="dxa"/>
            <w:shd w:val="clear" w:color="auto" w:fill="auto"/>
          </w:tcPr>
          <w:p w:rsidR="006C72E1" w:rsidRPr="00A576C8" w:rsidRDefault="006C72E1" w:rsidP="00A576C8">
            <w:pPr>
              <w:pStyle w:val="ParaNo0"/>
              <w:tabs>
                <w:tab w:val="clear" w:pos="737"/>
              </w:tabs>
              <w:spacing w:before="40" w:after="40" w:line="220" w:lineRule="exact"/>
              <w:rPr>
                <w:sz w:val="18"/>
                <w:szCs w:val="22"/>
                <w:lang w:val="en-US"/>
              </w:rPr>
            </w:pPr>
            <w:r w:rsidRPr="00A576C8">
              <w:rPr>
                <w:sz w:val="18"/>
                <w:szCs w:val="22"/>
                <w:lang w:val="en-US"/>
              </w:rPr>
              <w:t>2006</w:t>
            </w:r>
          </w:p>
        </w:tc>
        <w:tc>
          <w:tcPr>
            <w:tcW w:w="3686" w:type="dxa"/>
            <w:shd w:val="clear" w:color="auto" w:fill="auto"/>
            <w:vAlign w:val="bottom"/>
          </w:tcPr>
          <w:p w:rsidR="006C72E1" w:rsidRPr="00A576C8" w:rsidRDefault="006C72E1" w:rsidP="00A576C8">
            <w:pPr>
              <w:pStyle w:val="ParaNo0"/>
              <w:tabs>
                <w:tab w:val="clear" w:pos="737"/>
              </w:tabs>
              <w:spacing w:before="40" w:after="40" w:line="220" w:lineRule="exact"/>
              <w:jc w:val="right"/>
              <w:rPr>
                <w:sz w:val="18"/>
                <w:szCs w:val="22"/>
                <w:lang w:val="en-US"/>
              </w:rPr>
            </w:pPr>
            <w:r w:rsidRPr="00A576C8">
              <w:rPr>
                <w:sz w:val="18"/>
                <w:szCs w:val="22"/>
                <w:lang w:val="en-US"/>
              </w:rPr>
              <w:t>5</w:t>
            </w:r>
          </w:p>
        </w:tc>
      </w:tr>
      <w:tr w:rsidR="006C72E1" w:rsidRPr="00A576C8" w:rsidTr="00A576C8">
        <w:trPr>
          <w:trHeight w:val="284"/>
        </w:trPr>
        <w:tc>
          <w:tcPr>
            <w:tcW w:w="3686" w:type="dxa"/>
            <w:shd w:val="clear" w:color="auto" w:fill="auto"/>
          </w:tcPr>
          <w:p w:rsidR="006C72E1" w:rsidRPr="00A576C8" w:rsidRDefault="006C72E1" w:rsidP="00A576C8">
            <w:pPr>
              <w:pStyle w:val="ParaNo0"/>
              <w:tabs>
                <w:tab w:val="clear" w:pos="737"/>
              </w:tabs>
              <w:spacing w:before="40" w:after="40" w:line="220" w:lineRule="exact"/>
              <w:rPr>
                <w:sz w:val="18"/>
                <w:szCs w:val="22"/>
                <w:lang w:val="en-US"/>
              </w:rPr>
            </w:pPr>
            <w:r w:rsidRPr="00A576C8">
              <w:rPr>
                <w:sz w:val="18"/>
                <w:szCs w:val="22"/>
                <w:lang w:val="en-US"/>
              </w:rPr>
              <w:t>2007</w:t>
            </w:r>
          </w:p>
        </w:tc>
        <w:tc>
          <w:tcPr>
            <w:tcW w:w="3686" w:type="dxa"/>
            <w:shd w:val="clear" w:color="auto" w:fill="auto"/>
            <w:vAlign w:val="bottom"/>
          </w:tcPr>
          <w:p w:rsidR="006C72E1" w:rsidRPr="00A576C8" w:rsidRDefault="006C72E1" w:rsidP="00A576C8">
            <w:pPr>
              <w:pStyle w:val="ParaNo0"/>
              <w:tabs>
                <w:tab w:val="clear" w:pos="737"/>
              </w:tabs>
              <w:spacing w:before="40" w:after="40" w:line="220" w:lineRule="exact"/>
              <w:jc w:val="right"/>
              <w:rPr>
                <w:sz w:val="18"/>
                <w:szCs w:val="22"/>
                <w:lang w:val="en-US"/>
              </w:rPr>
            </w:pPr>
            <w:r w:rsidRPr="00A576C8">
              <w:rPr>
                <w:sz w:val="18"/>
                <w:szCs w:val="22"/>
                <w:lang w:val="en-US"/>
              </w:rPr>
              <w:t>12</w:t>
            </w:r>
          </w:p>
        </w:tc>
      </w:tr>
      <w:tr w:rsidR="006C72E1" w:rsidRPr="00A576C8" w:rsidTr="00A576C8">
        <w:trPr>
          <w:trHeight w:val="284"/>
        </w:trPr>
        <w:tc>
          <w:tcPr>
            <w:tcW w:w="3686" w:type="dxa"/>
            <w:shd w:val="clear" w:color="auto" w:fill="auto"/>
          </w:tcPr>
          <w:p w:rsidR="006C72E1" w:rsidRPr="00A576C8" w:rsidRDefault="006C72E1" w:rsidP="00A576C8">
            <w:pPr>
              <w:pStyle w:val="ParaNo0"/>
              <w:tabs>
                <w:tab w:val="clear" w:pos="737"/>
              </w:tabs>
              <w:spacing w:before="40" w:after="40" w:line="220" w:lineRule="exact"/>
              <w:rPr>
                <w:sz w:val="18"/>
                <w:szCs w:val="22"/>
                <w:lang w:val="en-US"/>
              </w:rPr>
            </w:pPr>
            <w:r w:rsidRPr="00A576C8">
              <w:rPr>
                <w:sz w:val="18"/>
                <w:szCs w:val="22"/>
                <w:lang w:val="en-US"/>
              </w:rPr>
              <w:t>2008</w:t>
            </w:r>
          </w:p>
        </w:tc>
        <w:tc>
          <w:tcPr>
            <w:tcW w:w="3686" w:type="dxa"/>
            <w:shd w:val="clear" w:color="auto" w:fill="auto"/>
            <w:vAlign w:val="bottom"/>
          </w:tcPr>
          <w:p w:rsidR="006C72E1" w:rsidRPr="00A576C8" w:rsidRDefault="006C72E1" w:rsidP="00A576C8">
            <w:pPr>
              <w:pStyle w:val="ParaNo0"/>
              <w:tabs>
                <w:tab w:val="clear" w:pos="737"/>
              </w:tabs>
              <w:spacing w:before="40" w:after="40" w:line="220" w:lineRule="exact"/>
              <w:jc w:val="right"/>
              <w:rPr>
                <w:sz w:val="18"/>
                <w:szCs w:val="22"/>
                <w:lang w:val="en-US"/>
              </w:rPr>
            </w:pPr>
            <w:r w:rsidRPr="00A576C8">
              <w:rPr>
                <w:sz w:val="18"/>
                <w:szCs w:val="22"/>
                <w:lang w:val="en-US"/>
              </w:rPr>
              <w:t>8</w:t>
            </w:r>
          </w:p>
        </w:tc>
      </w:tr>
      <w:tr w:rsidR="006C72E1" w:rsidRPr="00A576C8" w:rsidTr="00A576C8">
        <w:trPr>
          <w:trHeight w:val="284"/>
        </w:trPr>
        <w:tc>
          <w:tcPr>
            <w:tcW w:w="3686" w:type="dxa"/>
            <w:shd w:val="clear" w:color="auto" w:fill="auto"/>
          </w:tcPr>
          <w:p w:rsidR="006C72E1" w:rsidRPr="00A576C8" w:rsidRDefault="006C72E1" w:rsidP="00A576C8">
            <w:pPr>
              <w:pStyle w:val="ParaNo0"/>
              <w:tabs>
                <w:tab w:val="clear" w:pos="737"/>
              </w:tabs>
              <w:spacing w:before="40" w:after="40" w:line="220" w:lineRule="exact"/>
              <w:rPr>
                <w:sz w:val="18"/>
                <w:szCs w:val="22"/>
                <w:lang w:val="en-US"/>
              </w:rPr>
            </w:pPr>
            <w:r w:rsidRPr="00A576C8">
              <w:rPr>
                <w:sz w:val="18"/>
                <w:szCs w:val="22"/>
                <w:lang w:val="en-US"/>
              </w:rPr>
              <w:t>2009</w:t>
            </w:r>
          </w:p>
        </w:tc>
        <w:tc>
          <w:tcPr>
            <w:tcW w:w="3686" w:type="dxa"/>
            <w:shd w:val="clear" w:color="auto" w:fill="auto"/>
            <w:vAlign w:val="bottom"/>
          </w:tcPr>
          <w:p w:rsidR="006C72E1" w:rsidRPr="00A576C8" w:rsidRDefault="006C72E1" w:rsidP="00A576C8">
            <w:pPr>
              <w:pStyle w:val="ParaNo0"/>
              <w:tabs>
                <w:tab w:val="clear" w:pos="737"/>
              </w:tabs>
              <w:spacing w:before="40" w:after="40" w:line="220" w:lineRule="exact"/>
              <w:jc w:val="right"/>
              <w:rPr>
                <w:sz w:val="18"/>
                <w:szCs w:val="22"/>
                <w:lang w:val="en-US"/>
              </w:rPr>
            </w:pPr>
            <w:r w:rsidRPr="00A576C8">
              <w:rPr>
                <w:sz w:val="18"/>
                <w:szCs w:val="22"/>
                <w:lang w:val="en-US"/>
              </w:rPr>
              <w:t>12</w:t>
            </w:r>
          </w:p>
        </w:tc>
      </w:tr>
      <w:tr w:rsidR="006C72E1" w:rsidRPr="00A576C8" w:rsidTr="00A576C8">
        <w:trPr>
          <w:trHeight w:val="284"/>
        </w:trPr>
        <w:tc>
          <w:tcPr>
            <w:tcW w:w="3686" w:type="dxa"/>
            <w:shd w:val="clear" w:color="auto" w:fill="auto"/>
          </w:tcPr>
          <w:p w:rsidR="006C72E1" w:rsidRPr="00A576C8" w:rsidRDefault="006C72E1" w:rsidP="00A576C8">
            <w:pPr>
              <w:pStyle w:val="ParaNo0"/>
              <w:tabs>
                <w:tab w:val="clear" w:pos="737"/>
              </w:tabs>
              <w:spacing w:before="40" w:after="40" w:line="220" w:lineRule="exact"/>
              <w:rPr>
                <w:sz w:val="18"/>
                <w:szCs w:val="22"/>
                <w:lang w:val="en-US"/>
              </w:rPr>
            </w:pPr>
            <w:r w:rsidRPr="00A576C8">
              <w:rPr>
                <w:sz w:val="18"/>
                <w:szCs w:val="22"/>
                <w:lang w:val="en-US"/>
              </w:rPr>
              <w:t>2010</w:t>
            </w:r>
          </w:p>
        </w:tc>
        <w:tc>
          <w:tcPr>
            <w:tcW w:w="3686" w:type="dxa"/>
            <w:shd w:val="clear" w:color="auto" w:fill="auto"/>
            <w:vAlign w:val="bottom"/>
          </w:tcPr>
          <w:p w:rsidR="006C72E1" w:rsidRPr="00A576C8" w:rsidRDefault="006C72E1" w:rsidP="00A576C8">
            <w:pPr>
              <w:pStyle w:val="ParaNo0"/>
              <w:tabs>
                <w:tab w:val="clear" w:pos="737"/>
              </w:tabs>
              <w:spacing w:before="40" w:after="40" w:line="220" w:lineRule="exact"/>
              <w:jc w:val="right"/>
              <w:rPr>
                <w:sz w:val="18"/>
                <w:szCs w:val="22"/>
                <w:lang w:val="en-US"/>
              </w:rPr>
            </w:pPr>
            <w:r w:rsidRPr="00A576C8">
              <w:rPr>
                <w:sz w:val="18"/>
                <w:szCs w:val="22"/>
                <w:lang w:val="en-US"/>
              </w:rPr>
              <w:t>14</w:t>
            </w:r>
          </w:p>
        </w:tc>
      </w:tr>
      <w:tr w:rsidR="006C72E1" w:rsidRPr="00A576C8" w:rsidTr="00CB7D78">
        <w:trPr>
          <w:trHeight w:val="284"/>
        </w:trPr>
        <w:tc>
          <w:tcPr>
            <w:tcW w:w="3686" w:type="dxa"/>
            <w:tcBorders>
              <w:bottom w:val="single" w:sz="4" w:space="0" w:color="auto"/>
            </w:tcBorders>
            <w:shd w:val="clear" w:color="auto" w:fill="auto"/>
          </w:tcPr>
          <w:p w:rsidR="006C72E1" w:rsidRPr="00A576C8" w:rsidRDefault="006C72E1" w:rsidP="00A576C8">
            <w:pPr>
              <w:pStyle w:val="ParaNo0"/>
              <w:tabs>
                <w:tab w:val="clear" w:pos="737"/>
              </w:tabs>
              <w:spacing w:before="40" w:after="40" w:line="220" w:lineRule="exact"/>
              <w:rPr>
                <w:sz w:val="18"/>
                <w:szCs w:val="22"/>
                <w:lang w:val="en-US"/>
              </w:rPr>
            </w:pPr>
            <w:r w:rsidRPr="00A576C8">
              <w:rPr>
                <w:sz w:val="18"/>
                <w:szCs w:val="22"/>
                <w:lang w:val="en-US"/>
              </w:rPr>
              <w:t>2011</w:t>
            </w:r>
          </w:p>
        </w:tc>
        <w:tc>
          <w:tcPr>
            <w:tcW w:w="3686" w:type="dxa"/>
            <w:tcBorders>
              <w:bottom w:val="single" w:sz="4" w:space="0" w:color="auto"/>
            </w:tcBorders>
            <w:shd w:val="clear" w:color="auto" w:fill="auto"/>
            <w:vAlign w:val="bottom"/>
          </w:tcPr>
          <w:p w:rsidR="006C72E1" w:rsidRPr="00A576C8" w:rsidRDefault="006C72E1" w:rsidP="00A576C8">
            <w:pPr>
              <w:pStyle w:val="ParaNo0"/>
              <w:tabs>
                <w:tab w:val="clear" w:pos="737"/>
              </w:tabs>
              <w:spacing w:before="40" w:after="40" w:line="220" w:lineRule="exact"/>
              <w:jc w:val="right"/>
              <w:rPr>
                <w:sz w:val="18"/>
                <w:szCs w:val="22"/>
                <w:lang w:val="en-US"/>
              </w:rPr>
            </w:pPr>
            <w:r w:rsidRPr="00A576C8">
              <w:rPr>
                <w:sz w:val="18"/>
                <w:szCs w:val="22"/>
                <w:lang w:val="en-US"/>
              </w:rPr>
              <w:t>11</w:t>
            </w:r>
          </w:p>
        </w:tc>
      </w:tr>
      <w:tr w:rsidR="006C72E1" w:rsidRPr="00CB7D78" w:rsidTr="00CB7D78">
        <w:trPr>
          <w:trHeight w:val="284"/>
        </w:trPr>
        <w:tc>
          <w:tcPr>
            <w:tcW w:w="3686" w:type="dxa"/>
            <w:tcBorders>
              <w:top w:val="single" w:sz="4" w:space="0" w:color="auto"/>
              <w:bottom w:val="single" w:sz="12" w:space="0" w:color="auto"/>
            </w:tcBorders>
            <w:shd w:val="clear" w:color="auto" w:fill="auto"/>
          </w:tcPr>
          <w:p w:rsidR="006C72E1" w:rsidRPr="00CB7D78" w:rsidRDefault="006C72E1" w:rsidP="00CB7D78">
            <w:pPr>
              <w:pStyle w:val="ParaNo0"/>
              <w:tabs>
                <w:tab w:val="clear" w:pos="737"/>
              </w:tabs>
              <w:spacing w:before="80" w:after="80" w:line="220" w:lineRule="exact"/>
              <w:ind w:left="284"/>
              <w:rPr>
                <w:b/>
                <w:sz w:val="18"/>
                <w:szCs w:val="22"/>
                <w:lang w:val="en-US"/>
              </w:rPr>
            </w:pPr>
            <w:r w:rsidRPr="00CB7D78">
              <w:rPr>
                <w:b/>
                <w:sz w:val="18"/>
                <w:szCs w:val="22"/>
                <w:lang w:val="en-US"/>
              </w:rPr>
              <w:t>Total</w:t>
            </w:r>
          </w:p>
        </w:tc>
        <w:tc>
          <w:tcPr>
            <w:tcW w:w="3686" w:type="dxa"/>
            <w:tcBorders>
              <w:top w:val="single" w:sz="4" w:space="0" w:color="auto"/>
              <w:bottom w:val="single" w:sz="12" w:space="0" w:color="auto"/>
            </w:tcBorders>
            <w:shd w:val="clear" w:color="auto" w:fill="auto"/>
            <w:vAlign w:val="bottom"/>
          </w:tcPr>
          <w:p w:rsidR="006C72E1" w:rsidRPr="00CB7D78" w:rsidRDefault="006C72E1" w:rsidP="00CB7D78">
            <w:pPr>
              <w:pStyle w:val="ParaNo0"/>
              <w:tabs>
                <w:tab w:val="clear" w:pos="737"/>
              </w:tabs>
              <w:spacing w:before="80" w:after="80" w:line="220" w:lineRule="exact"/>
              <w:jc w:val="right"/>
              <w:rPr>
                <w:b/>
                <w:sz w:val="18"/>
                <w:szCs w:val="22"/>
                <w:lang w:val="en-US"/>
              </w:rPr>
            </w:pPr>
            <w:r w:rsidRPr="00CB7D78">
              <w:rPr>
                <w:b/>
                <w:sz w:val="18"/>
                <w:szCs w:val="22"/>
                <w:lang w:val="en-US"/>
              </w:rPr>
              <w:t>79</w:t>
            </w:r>
          </w:p>
        </w:tc>
      </w:tr>
    </w:tbl>
    <w:p w:rsidR="006C72E1" w:rsidRPr="00C57126" w:rsidRDefault="006C72E1" w:rsidP="00724F56">
      <w:pPr>
        <w:pStyle w:val="SingleTxtG"/>
        <w:spacing w:before="120" w:after="240"/>
        <w:ind w:firstLine="170"/>
        <w:jc w:val="left"/>
        <w:rPr>
          <w:sz w:val="18"/>
          <w:szCs w:val="18"/>
        </w:rPr>
      </w:pPr>
      <w:r w:rsidRPr="00C57126">
        <w:rPr>
          <w:i/>
          <w:iCs/>
          <w:sz w:val="18"/>
          <w:szCs w:val="18"/>
        </w:rPr>
        <w:t>Source</w:t>
      </w:r>
      <w:r w:rsidRPr="002C0C4A">
        <w:rPr>
          <w:sz w:val="18"/>
          <w:szCs w:val="18"/>
        </w:rPr>
        <w:t xml:space="preserve">: Israel Police, </w:t>
      </w:r>
      <w:r w:rsidR="00724F56">
        <w:rPr>
          <w:sz w:val="18"/>
          <w:szCs w:val="18"/>
        </w:rPr>
        <w:t xml:space="preserve">22 </w:t>
      </w:r>
      <w:r w:rsidRPr="002C0C4A">
        <w:rPr>
          <w:sz w:val="18"/>
          <w:szCs w:val="18"/>
        </w:rPr>
        <w:t>February 2012.</w:t>
      </w:r>
    </w:p>
    <w:p w:rsidR="006C72E1" w:rsidRPr="002C0C4A" w:rsidRDefault="002C0C4A" w:rsidP="0032213C">
      <w:pPr>
        <w:pStyle w:val="Heading1"/>
        <w:keepNext/>
        <w:keepLines/>
        <w:spacing w:after="120"/>
        <w:rPr>
          <w:b/>
          <w:lang w:val="en-US"/>
        </w:rPr>
      </w:pPr>
      <w:r>
        <w:rPr>
          <w:lang w:val="en-US"/>
        </w:rPr>
        <w:t>Table 4</w:t>
      </w:r>
      <w:r w:rsidR="00B02F9A">
        <w:rPr>
          <w:lang w:val="en-US"/>
        </w:rPr>
        <w:br/>
      </w:r>
      <w:r w:rsidR="006C72E1" w:rsidRPr="002C0C4A">
        <w:rPr>
          <w:b/>
          <w:lang w:val="en-US"/>
        </w:rPr>
        <w:t xml:space="preserve">Data </w:t>
      </w:r>
      <w:r w:rsidR="007D38B4" w:rsidRPr="002C0C4A">
        <w:rPr>
          <w:b/>
          <w:lang w:val="en-US"/>
        </w:rPr>
        <w:t>regarding the status of investigation cases opened between 2004 and 2011</w:t>
      </w:r>
      <w:r w:rsidR="00C57126">
        <w:rPr>
          <w:b/>
          <w:lang w:val="en-US"/>
        </w:rPr>
        <w:br/>
      </w:r>
      <w:r w:rsidR="007D38B4" w:rsidRPr="002C0C4A">
        <w:rPr>
          <w:b/>
          <w:lang w:val="en-US"/>
        </w:rPr>
        <w:t>concerning child prostitution</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2325"/>
        <w:gridCol w:w="510"/>
        <w:gridCol w:w="567"/>
        <w:gridCol w:w="567"/>
        <w:gridCol w:w="567"/>
        <w:gridCol w:w="567"/>
        <w:gridCol w:w="567"/>
        <w:gridCol w:w="567"/>
        <w:gridCol w:w="567"/>
        <w:gridCol w:w="567"/>
      </w:tblGrid>
      <w:tr w:rsidR="002C0C4A" w:rsidRPr="004B3E0C" w:rsidTr="00C37C34">
        <w:trPr>
          <w:trHeight w:val="284"/>
          <w:tblHeader/>
        </w:trPr>
        <w:tc>
          <w:tcPr>
            <w:tcW w:w="2325"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rPr>
                <w:bCs/>
                <w:i/>
                <w:sz w:val="16"/>
                <w:szCs w:val="22"/>
                <w:lang w:val="en-US"/>
              </w:rPr>
            </w:pPr>
            <w:r w:rsidRPr="004B3E0C">
              <w:rPr>
                <w:bCs/>
                <w:i/>
                <w:sz w:val="16"/>
                <w:szCs w:val="22"/>
                <w:lang w:val="en-US"/>
              </w:rPr>
              <w:t>Status</w:t>
            </w:r>
          </w:p>
        </w:tc>
        <w:tc>
          <w:tcPr>
            <w:tcW w:w="510"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jc w:val="right"/>
              <w:rPr>
                <w:bCs/>
                <w:i/>
                <w:sz w:val="16"/>
                <w:szCs w:val="22"/>
                <w:lang w:val="en-US"/>
              </w:rPr>
            </w:pPr>
            <w:r w:rsidRPr="004B3E0C">
              <w:rPr>
                <w:bCs/>
                <w:i/>
                <w:sz w:val="16"/>
                <w:szCs w:val="22"/>
                <w:lang w:val="en-US"/>
              </w:rPr>
              <w:t>2004</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jc w:val="right"/>
              <w:rPr>
                <w:bCs/>
                <w:i/>
                <w:sz w:val="16"/>
                <w:szCs w:val="22"/>
                <w:lang w:val="en-US"/>
              </w:rPr>
            </w:pPr>
            <w:r w:rsidRPr="004B3E0C">
              <w:rPr>
                <w:bCs/>
                <w:i/>
                <w:sz w:val="16"/>
                <w:szCs w:val="22"/>
                <w:lang w:val="en-US"/>
              </w:rPr>
              <w:t>2005</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jc w:val="right"/>
              <w:rPr>
                <w:bCs/>
                <w:i/>
                <w:sz w:val="16"/>
                <w:szCs w:val="22"/>
                <w:lang w:val="en-US"/>
              </w:rPr>
            </w:pPr>
            <w:r w:rsidRPr="004B3E0C">
              <w:rPr>
                <w:bCs/>
                <w:i/>
                <w:sz w:val="16"/>
                <w:szCs w:val="22"/>
                <w:lang w:val="en-US"/>
              </w:rPr>
              <w:t>2006</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jc w:val="right"/>
              <w:rPr>
                <w:bCs/>
                <w:i/>
                <w:sz w:val="16"/>
                <w:szCs w:val="22"/>
                <w:lang w:val="en-US"/>
              </w:rPr>
            </w:pPr>
            <w:r w:rsidRPr="004B3E0C">
              <w:rPr>
                <w:bCs/>
                <w:i/>
                <w:sz w:val="16"/>
                <w:szCs w:val="22"/>
                <w:lang w:val="en-US"/>
              </w:rPr>
              <w:t>2007</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jc w:val="right"/>
              <w:rPr>
                <w:bCs/>
                <w:i/>
                <w:sz w:val="16"/>
                <w:szCs w:val="22"/>
                <w:lang w:val="en-US"/>
              </w:rPr>
            </w:pPr>
            <w:r w:rsidRPr="004B3E0C">
              <w:rPr>
                <w:bCs/>
                <w:i/>
                <w:sz w:val="16"/>
                <w:szCs w:val="22"/>
                <w:lang w:val="en-US"/>
              </w:rPr>
              <w:t>2008</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jc w:val="right"/>
              <w:rPr>
                <w:bCs/>
                <w:i/>
                <w:sz w:val="16"/>
                <w:szCs w:val="22"/>
                <w:lang w:val="en-US"/>
              </w:rPr>
            </w:pPr>
            <w:r w:rsidRPr="004B3E0C">
              <w:rPr>
                <w:bCs/>
                <w:i/>
                <w:sz w:val="16"/>
                <w:szCs w:val="22"/>
                <w:lang w:val="en-US"/>
              </w:rPr>
              <w:t>2009</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jc w:val="right"/>
              <w:rPr>
                <w:bCs/>
                <w:i/>
                <w:sz w:val="16"/>
                <w:szCs w:val="22"/>
                <w:lang w:val="en-US"/>
              </w:rPr>
            </w:pPr>
            <w:r w:rsidRPr="004B3E0C">
              <w:rPr>
                <w:bCs/>
                <w:i/>
                <w:sz w:val="16"/>
                <w:szCs w:val="22"/>
                <w:lang w:val="en-US"/>
              </w:rPr>
              <w:t>2010</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jc w:val="right"/>
              <w:rPr>
                <w:bCs/>
                <w:i/>
                <w:sz w:val="16"/>
                <w:szCs w:val="22"/>
                <w:lang w:val="en-US"/>
              </w:rPr>
            </w:pPr>
            <w:r w:rsidRPr="004B3E0C">
              <w:rPr>
                <w:bCs/>
                <w:i/>
                <w:sz w:val="16"/>
                <w:szCs w:val="22"/>
                <w:lang w:val="en-US"/>
              </w:rPr>
              <w:t>2011</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00" w:lineRule="exact"/>
              <w:jc w:val="right"/>
              <w:rPr>
                <w:b/>
                <w:i/>
                <w:sz w:val="16"/>
                <w:szCs w:val="22"/>
                <w:lang w:val="en-US"/>
              </w:rPr>
            </w:pPr>
            <w:r w:rsidRPr="004B3E0C">
              <w:rPr>
                <w:b/>
                <w:i/>
                <w:sz w:val="16"/>
                <w:szCs w:val="22"/>
                <w:lang w:val="en-US"/>
              </w:rPr>
              <w:t>Total</w:t>
            </w:r>
          </w:p>
        </w:tc>
      </w:tr>
      <w:tr w:rsidR="002C0C4A" w:rsidRPr="004B3E0C" w:rsidTr="00C37C34">
        <w:trPr>
          <w:trHeight w:val="284"/>
        </w:trPr>
        <w:tc>
          <w:tcPr>
            <w:tcW w:w="2325" w:type="dxa"/>
            <w:tcBorders>
              <w:top w:val="single" w:sz="12" w:space="0" w:color="auto"/>
            </w:tcBorders>
            <w:shd w:val="clear" w:color="auto" w:fill="auto"/>
          </w:tcPr>
          <w:p w:rsidR="006C72E1" w:rsidRPr="004B3E0C" w:rsidRDefault="006C72E1" w:rsidP="004B3E0C">
            <w:pPr>
              <w:pStyle w:val="ParaNo0"/>
              <w:tabs>
                <w:tab w:val="clear" w:pos="737"/>
              </w:tabs>
              <w:spacing w:before="40" w:after="40" w:line="220" w:lineRule="exact"/>
              <w:rPr>
                <w:sz w:val="18"/>
                <w:szCs w:val="22"/>
                <w:lang w:val="en-US"/>
              </w:rPr>
            </w:pPr>
            <w:r w:rsidRPr="004B3E0C">
              <w:rPr>
                <w:sz w:val="18"/>
                <w:szCs w:val="22"/>
                <w:lang w:val="en-US"/>
              </w:rPr>
              <w:t>Under investigation</w:t>
            </w:r>
          </w:p>
        </w:tc>
        <w:tc>
          <w:tcPr>
            <w:tcW w:w="510" w:type="dxa"/>
            <w:tcBorders>
              <w:top w:val="single" w:sz="12"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tcBorders>
              <w:top w:val="single" w:sz="12"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tcBorders>
              <w:top w:val="single" w:sz="12"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tcBorders>
              <w:top w:val="single" w:sz="12"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tcBorders>
              <w:top w:val="single" w:sz="12"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tcBorders>
              <w:top w:val="single" w:sz="12"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tcBorders>
              <w:top w:val="single" w:sz="12"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tcBorders>
              <w:top w:val="single" w:sz="12"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tcBorders>
              <w:top w:val="single" w:sz="12"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b/>
                <w:sz w:val="18"/>
                <w:szCs w:val="22"/>
                <w:lang w:val="en-US"/>
              </w:rPr>
            </w:pPr>
            <w:r w:rsidRPr="004B3E0C">
              <w:rPr>
                <w:b/>
                <w:sz w:val="18"/>
                <w:szCs w:val="22"/>
                <w:lang w:val="en-US"/>
              </w:rPr>
              <w:t>3</w:t>
            </w:r>
          </w:p>
        </w:tc>
      </w:tr>
      <w:tr w:rsidR="002C0C4A" w:rsidRPr="004B3E0C" w:rsidTr="00C37C34">
        <w:trPr>
          <w:trHeight w:val="284"/>
        </w:trPr>
        <w:tc>
          <w:tcPr>
            <w:tcW w:w="2325" w:type="dxa"/>
            <w:shd w:val="clear" w:color="auto" w:fill="auto"/>
          </w:tcPr>
          <w:p w:rsidR="006C72E1" w:rsidRPr="004B3E0C" w:rsidRDefault="006C72E1" w:rsidP="004B3E0C">
            <w:pPr>
              <w:pStyle w:val="ParaNo0"/>
              <w:tabs>
                <w:tab w:val="clear" w:pos="737"/>
              </w:tabs>
              <w:spacing w:before="40" w:after="40" w:line="220" w:lineRule="exact"/>
              <w:rPr>
                <w:sz w:val="18"/>
                <w:szCs w:val="22"/>
                <w:lang w:val="en-US"/>
              </w:rPr>
            </w:pPr>
            <w:r w:rsidRPr="004B3E0C">
              <w:rPr>
                <w:sz w:val="18"/>
                <w:szCs w:val="22"/>
                <w:lang w:val="en-US"/>
              </w:rPr>
              <w:t>Closed</w:t>
            </w:r>
          </w:p>
        </w:tc>
        <w:tc>
          <w:tcPr>
            <w:tcW w:w="510"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6</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7</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3</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10</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7</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6</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4</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3</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b/>
                <w:sz w:val="18"/>
                <w:szCs w:val="22"/>
                <w:lang w:val="en-US"/>
              </w:rPr>
            </w:pPr>
            <w:r w:rsidRPr="004B3E0C">
              <w:rPr>
                <w:b/>
                <w:sz w:val="18"/>
                <w:szCs w:val="22"/>
                <w:lang w:val="en-US"/>
              </w:rPr>
              <w:t>46</w:t>
            </w:r>
          </w:p>
        </w:tc>
      </w:tr>
      <w:tr w:rsidR="002C0C4A" w:rsidRPr="004B3E0C" w:rsidTr="00C37C34">
        <w:trPr>
          <w:trHeight w:val="284"/>
        </w:trPr>
        <w:tc>
          <w:tcPr>
            <w:tcW w:w="2325" w:type="dxa"/>
            <w:shd w:val="clear" w:color="auto" w:fill="auto"/>
          </w:tcPr>
          <w:p w:rsidR="006C72E1" w:rsidRPr="004B3E0C" w:rsidRDefault="006C72E1" w:rsidP="004B3E0C">
            <w:pPr>
              <w:pStyle w:val="ParaNo0"/>
              <w:tabs>
                <w:tab w:val="clear" w:pos="737"/>
              </w:tabs>
              <w:spacing w:before="40" w:after="40" w:line="220" w:lineRule="exact"/>
              <w:rPr>
                <w:sz w:val="18"/>
                <w:szCs w:val="22"/>
                <w:lang w:val="en-US"/>
              </w:rPr>
            </w:pPr>
            <w:r w:rsidRPr="004B3E0C">
              <w:rPr>
                <w:sz w:val="18"/>
                <w:szCs w:val="22"/>
                <w:lang w:val="en-US"/>
              </w:rPr>
              <w:t>Prosecution being co</w:t>
            </w:r>
            <w:r w:rsidR="0021176C">
              <w:rPr>
                <w:sz w:val="18"/>
                <w:szCs w:val="22"/>
                <w:lang w:val="en-US"/>
              </w:rPr>
              <w:t>nsidered (by the State Attorney’</w:t>
            </w:r>
            <w:r w:rsidRPr="004B3E0C">
              <w:rPr>
                <w:sz w:val="18"/>
                <w:szCs w:val="22"/>
                <w:lang w:val="en-US"/>
              </w:rPr>
              <w:t>s Office)</w:t>
            </w:r>
          </w:p>
        </w:tc>
        <w:tc>
          <w:tcPr>
            <w:tcW w:w="510"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4</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8</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6</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b/>
                <w:sz w:val="18"/>
                <w:szCs w:val="22"/>
                <w:lang w:val="en-US"/>
              </w:rPr>
            </w:pPr>
            <w:r w:rsidRPr="004B3E0C">
              <w:rPr>
                <w:b/>
                <w:sz w:val="18"/>
                <w:szCs w:val="22"/>
                <w:lang w:val="en-US"/>
              </w:rPr>
              <w:t>20</w:t>
            </w:r>
          </w:p>
        </w:tc>
      </w:tr>
      <w:tr w:rsidR="002C0C4A" w:rsidRPr="004B3E0C" w:rsidTr="00C37C34">
        <w:trPr>
          <w:trHeight w:val="284"/>
        </w:trPr>
        <w:tc>
          <w:tcPr>
            <w:tcW w:w="2325" w:type="dxa"/>
            <w:shd w:val="clear" w:color="auto" w:fill="auto"/>
          </w:tcPr>
          <w:p w:rsidR="006C72E1" w:rsidRPr="004B3E0C" w:rsidRDefault="006C72E1" w:rsidP="004B3E0C">
            <w:pPr>
              <w:pStyle w:val="ParaNo0"/>
              <w:tabs>
                <w:tab w:val="clear" w:pos="737"/>
              </w:tabs>
              <w:spacing w:before="40" w:after="40" w:line="220" w:lineRule="exact"/>
              <w:rPr>
                <w:sz w:val="18"/>
                <w:szCs w:val="22"/>
                <w:lang w:val="en-US"/>
              </w:rPr>
            </w:pPr>
            <w:r w:rsidRPr="004B3E0C">
              <w:rPr>
                <w:sz w:val="18"/>
                <w:szCs w:val="22"/>
                <w:lang w:val="en-US"/>
              </w:rPr>
              <w:t xml:space="preserve">Prosecution being considered (by Police Prosecution) </w:t>
            </w:r>
          </w:p>
        </w:tc>
        <w:tc>
          <w:tcPr>
            <w:tcW w:w="510"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shd w:val="clear" w:color="auto" w:fill="auto"/>
            <w:vAlign w:val="bottom"/>
          </w:tcPr>
          <w:p w:rsidR="006C72E1" w:rsidRPr="004B3E0C" w:rsidRDefault="006C72E1" w:rsidP="004B3E0C">
            <w:pPr>
              <w:pStyle w:val="ParaNo0"/>
              <w:tabs>
                <w:tab w:val="clear" w:pos="737"/>
              </w:tabs>
              <w:spacing w:before="40" w:after="40" w:line="220" w:lineRule="exact"/>
              <w:jc w:val="right"/>
              <w:rPr>
                <w:b/>
                <w:sz w:val="18"/>
                <w:szCs w:val="22"/>
                <w:lang w:val="en-US"/>
              </w:rPr>
            </w:pPr>
            <w:r w:rsidRPr="004B3E0C">
              <w:rPr>
                <w:b/>
                <w:sz w:val="18"/>
                <w:szCs w:val="22"/>
                <w:lang w:val="en-US"/>
              </w:rPr>
              <w:t>2</w:t>
            </w:r>
          </w:p>
        </w:tc>
      </w:tr>
      <w:tr w:rsidR="002C0C4A" w:rsidRPr="004B3E0C" w:rsidTr="00C37C34">
        <w:trPr>
          <w:trHeight w:val="284"/>
        </w:trPr>
        <w:tc>
          <w:tcPr>
            <w:tcW w:w="2325" w:type="dxa"/>
            <w:tcBorders>
              <w:bottom w:val="single" w:sz="4" w:space="0" w:color="auto"/>
            </w:tcBorders>
            <w:shd w:val="clear" w:color="auto" w:fill="auto"/>
          </w:tcPr>
          <w:p w:rsidR="006C72E1" w:rsidRPr="004B3E0C" w:rsidRDefault="006C72E1" w:rsidP="004B3E0C">
            <w:pPr>
              <w:pStyle w:val="ParaNo0"/>
              <w:tabs>
                <w:tab w:val="clear" w:pos="737"/>
              </w:tabs>
              <w:spacing w:before="40" w:after="40" w:line="220" w:lineRule="exact"/>
              <w:rPr>
                <w:sz w:val="18"/>
                <w:szCs w:val="22"/>
                <w:lang w:val="en-US"/>
              </w:rPr>
            </w:pPr>
            <w:r w:rsidRPr="004B3E0C">
              <w:rPr>
                <w:sz w:val="18"/>
                <w:szCs w:val="22"/>
                <w:lang w:val="en-US"/>
              </w:rPr>
              <w:t>Prosecuted</w:t>
            </w:r>
            <w:r w:rsidR="00CD3B50" w:rsidRPr="004B3E0C">
              <w:rPr>
                <w:sz w:val="18"/>
                <w:szCs w:val="22"/>
                <w:lang w:val="en-US"/>
              </w:rPr>
              <w:t xml:space="preserve"> </w:t>
            </w:r>
          </w:p>
        </w:tc>
        <w:tc>
          <w:tcPr>
            <w:tcW w:w="510" w:type="dxa"/>
            <w:tcBorders>
              <w:bottom w:val="single" w:sz="4"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3</w:t>
            </w:r>
          </w:p>
        </w:tc>
        <w:tc>
          <w:tcPr>
            <w:tcW w:w="567" w:type="dxa"/>
            <w:tcBorders>
              <w:bottom w:val="single" w:sz="4"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tcBorders>
              <w:bottom w:val="single" w:sz="4"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tcBorders>
              <w:bottom w:val="single" w:sz="4"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tcBorders>
              <w:bottom w:val="single" w:sz="4"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tcBorders>
              <w:bottom w:val="single" w:sz="4"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r w:rsidRPr="004B3E0C">
              <w:rPr>
                <w:sz w:val="18"/>
                <w:szCs w:val="22"/>
                <w:lang w:val="en-US"/>
              </w:rPr>
              <w:t>1</w:t>
            </w:r>
          </w:p>
        </w:tc>
        <w:tc>
          <w:tcPr>
            <w:tcW w:w="567" w:type="dxa"/>
            <w:tcBorders>
              <w:bottom w:val="single" w:sz="4"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tcBorders>
              <w:bottom w:val="single" w:sz="4"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sz w:val="18"/>
                <w:szCs w:val="22"/>
                <w:lang w:val="en-US"/>
              </w:rPr>
            </w:pPr>
          </w:p>
        </w:tc>
        <w:tc>
          <w:tcPr>
            <w:tcW w:w="567" w:type="dxa"/>
            <w:tcBorders>
              <w:bottom w:val="single" w:sz="4" w:space="0" w:color="auto"/>
            </w:tcBorders>
            <w:shd w:val="clear" w:color="auto" w:fill="auto"/>
            <w:vAlign w:val="bottom"/>
          </w:tcPr>
          <w:p w:rsidR="006C72E1" w:rsidRPr="004B3E0C" w:rsidRDefault="006C72E1" w:rsidP="004B3E0C">
            <w:pPr>
              <w:pStyle w:val="ParaNo0"/>
              <w:tabs>
                <w:tab w:val="clear" w:pos="737"/>
              </w:tabs>
              <w:spacing w:before="40" w:after="40" w:line="220" w:lineRule="exact"/>
              <w:jc w:val="right"/>
              <w:rPr>
                <w:b/>
                <w:sz w:val="18"/>
                <w:szCs w:val="22"/>
                <w:lang w:val="en-US"/>
              </w:rPr>
            </w:pPr>
            <w:r w:rsidRPr="004B3E0C">
              <w:rPr>
                <w:b/>
                <w:sz w:val="18"/>
                <w:szCs w:val="22"/>
                <w:lang w:val="en-US"/>
              </w:rPr>
              <w:t>8</w:t>
            </w:r>
          </w:p>
        </w:tc>
      </w:tr>
      <w:tr w:rsidR="002C0C4A" w:rsidRPr="004B3E0C" w:rsidTr="00C37C34">
        <w:trPr>
          <w:trHeight w:val="284"/>
        </w:trPr>
        <w:tc>
          <w:tcPr>
            <w:tcW w:w="2325" w:type="dxa"/>
            <w:tcBorders>
              <w:top w:val="single" w:sz="4" w:space="0" w:color="auto"/>
              <w:bottom w:val="single" w:sz="12" w:space="0" w:color="auto"/>
            </w:tcBorders>
            <w:shd w:val="clear" w:color="auto" w:fill="auto"/>
          </w:tcPr>
          <w:p w:rsidR="006C72E1" w:rsidRPr="004B3E0C" w:rsidRDefault="004B3E0C" w:rsidP="004B3E0C">
            <w:pPr>
              <w:pStyle w:val="ParaNo0"/>
              <w:tabs>
                <w:tab w:val="clear" w:pos="737"/>
              </w:tabs>
              <w:spacing w:before="80" w:after="80" w:line="220" w:lineRule="exact"/>
              <w:ind w:left="284"/>
              <w:rPr>
                <w:b/>
                <w:sz w:val="18"/>
                <w:szCs w:val="22"/>
                <w:lang w:val="en-US"/>
              </w:rPr>
            </w:pPr>
            <w:r>
              <w:rPr>
                <w:b/>
                <w:sz w:val="18"/>
                <w:szCs w:val="22"/>
                <w:lang w:val="en-US"/>
              </w:rPr>
              <w:t>Total</w:t>
            </w:r>
          </w:p>
        </w:tc>
        <w:tc>
          <w:tcPr>
            <w:tcW w:w="510"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20" w:lineRule="exact"/>
              <w:jc w:val="right"/>
              <w:rPr>
                <w:b/>
                <w:sz w:val="18"/>
                <w:szCs w:val="22"/>
                <w:lang w:val="en-US"/>
              </w:rPr>
            </w:pPr>
            <w:r w:rsidRPr="004B3E0C">
              <w:rPr>
                <w:b/>
                <w:sz w:val="18"/>
                <w:szCs w:val="22"/>
                <w:lang w:val="en-US"/>
              </w:rPr>
              <w:t>9</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20" w:lineRule="exact"/>
              <w:jc w:val="right"/>
              <w:rPr>
                <w:b/>
                <w:sz w:val="18"/>
                <w:szCs w:val="22"/>
                <w:lang w:val="en-US"/>
              </w:rPr>
            </w:pPr>
            <w:r w:rsidRPr="004B3E0C">
              <w:rPr>
                <w:b/>
                <w:sz w:val="18"/>
                <w:szCs w:val="22"/>
                <w:lang w:val="en-US"/>
              </w:rPr>
              <w:t>8</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20" w:lineRule="exact"/>
              <w:jc w:val="right"/>
              <w:rPr>
                <w:b/>
                <w:sz w:val="18"/>
                <w:szCs w:val="22"/>
                <w:lang w:val="en-US"/>
              </w:rPr>
            </w:pPr>
            <w:r w:rsidRPr="004B3E0C">
              <w:rPr>
                <w:b/>
                <w:sz w:val="18"/>
                <w:szCs w:val="22"/>
                <w:lang w:val="en-US"/>
              </w:rPr>
              <w:t>5</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20" w:lineRule="exact"/>
              <w:jc w:val="right"/>
              <w:rPr>
                <w:b/>
                <w:sz w:val="18"/>
                <w:szCs w:val="22"/>
                <w:lang w:val="en-US"/>
              </w:rPr>
            </w:pPr>
            <w:r w:rsidRPr="004B3E0C">
              <w:rPr>
                <w:b/>
                <w:sz w:val="18"/>
                <w:szCs w:val="22"/>
                <w:lang w:val="en-US"/>
              </w:rPr>
              <w:t>12</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20" w:lineRule="exact"/>
              <w:jc w:val="right"/>
              <w:rPr>
                <w:b/>
                <w:sz w:val="18"/>
                <w:szCs w:val="22"/>
                <w:lang w:val="en-US"/>
              </w:rPr>
            </w:pPr>
            <w:r w:rsidRPr="004B3E0C">
              <w:rPr>
                <w:b/>
                <w:sz w:val="18"/>
                <w:szCs w:val="22"/>
                <w:lang w:val="en-US"/>
              </w:rPr>
              <w:t>8</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20" w:lineRule="exact"/>
              <w:jc w:val="right"/>
              <w:rPr>
                <w:b/>
                <w:sz w:val="18"/>
                <w:szCs w:val="22"/>
                <w:lang w:val="en-US"/>
              </w:rPr>
            </w:pPr>
            <w:r w:rsidRPr="004B3E0C">
              <w:rPr>
                <w:b/>
                <w:sz w:val="18"/>
                <w:szCs w:val="22"/>
                <w:lang w:val="en-US"/>
              </w:rPr>
              <w:t>12</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20" w:lineRule="exact"/>
              <w:jc w:val="right"/>
              <w:rPr>
                <w:b/>
                <w:sz w:val="18"/>
                <w:szCs w:val="22"/>
                <w:lang w:val="en-US"/>
              </w:rPr>
            </w:pPr>
            <w:r w:rsidRPr="004B3E0C">
              <w:rPr>
                <w:b/>
                <w:sz w:val="18"/>
                <w:szCs w:val="22"/>
                <w:lang w:val="en-US"/>
              </w:rPr>
              <w:t>14</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20" w:lineRule="exact"/>
              <w:jc w:val="right"/>
              <w:rPr>
                <w:b/>
                <w:sz w:val="18"/>
                <w:szCs w:val="22"/>
                <w:lang w:val="en-US"/>
              </w:rPr>
            </w:pPr>
            <w:r w:rsidRPr="004B3E0C">
              <w:rPr>
                <w:b/>
                <w:sz w:val="18"/>
                <w:szCs w:val="22"/>
                <w:lang w:val="en-US"/>
              </w:rPr>
              <w:t>11</w:t>
            </w:r>
          </w:p>
        </w:tc>
        <w:tc>
          <w:tcPr>
            <w:tcW w:w="567" w:type="dxa"/>
            <w:tcBorders>
              <w:top w:val="single" w:sz="4" w:space="0" w:color="auto"/>
              <w:bottom w:val="single" w:sz="12" w:space="0" w:color="auto"/>
            </w:tcBorders>
            <w:shd w:val="clear" w:color="auto" w:fill="auto"/>
            <w:vAlign w:val="bottom"/>
          </w:tcPr>
          <w:p w:rsidR="006C72E1" w:rsidRPr="004B3E0C" w:rsidRDefault="006C72E1" w:rsidP="004B3E0C">
            <w:pPr>
              <w:pStyle w:val="ParaNo0"/>
              <w:tabs>
                <w:tab w:val="clear" w:pos="737"/>
              </w:tabs>
              <w:spacing w:before="80" w:after="80" w:line="220" w:lineRule="exact"/>
              <w:jc w:val="right"/>
              <w:rPr>
                <w:b/>
                <w:sz w:val="18"/>
                <w:szCs w:val="22"/>
                <w:lang w:val="en-US"/>
              </w:rPr>
            </w:pPr>
            <w:r w:rsidRPr="004B3E0C">
              <w:rPr>
                <w:b/>
                <w:sz w:val="18"/>
                <w:szCs w:val="22"/>
                <w:lang w:val="en-US"/>
              </w:rPr>
              <w:t>79</w:t>
            </w:r>
          </w:p>
        </w:tc>
      </w:tr>
    </w:tbl>
    <w:p w:rsidR="006C72E1" w:rsidRPr="004B3E0C" w:rsidRDefault="006C72E1" w:rsidP="00724F56">
      <w:pPr>
        <w:pStyle w:val="SingleTxtG"/>
        <w:spacing w:before="120" w:after="240"/>
        <w:ind w:firstLine="170"/>
        <w:jc w:val="left"/>
        <w:rPr>
          <w:sz w:val="18"/>
          <w:szCs w:val="18"/>
        </w:rPr>
      </w:pPr>
      <w:r w:rsidRPr="004B3E0C">
        <w:rPr>
          <w:i/>
          <w:iCs/>
          <w:sz w:val="18"/>
          <w:szCs w:val="18"/>
        </w:rPr>
        <w:t>Source</w:t>
      </w:r>
      <w:r w:rsidRPr="004B3E0C">
        <w:rPr>
          <w:sz w:val="18"/>
          <w:szCs w:val="18"/>
        </w:rPr>
        <w:t xml:space="preserve">: </w:t>
      </w:r>
      <w:r w:rsidRPr="002C0C4A">
        <w:rPr>
          <w:sz w:val="18"/>
          <w:szCs w:val="18"/>
        </w:rPr>
        <w:t xml:space="preserve">Israel Police, </w:t>
      </w:r>
      <w:r w:rsidR="00724F56">
        <w:rPr>
          <w:sz w:val="18"/>
          <w:szCs w:val="18"/>
        </w:rPr>
        <w:t xml:space="preserve">22 </w:t>
      </w:r>
      <w:r w:rsidRPr="002C0C4A">
        <w:rPr>
          <w:sz w:val="18"/>
          <w:szCs w:val="18"/>
        </w:rPr>
        <w:t>February 2012.</w:t>
      </w:r>
    </w:p>
    <w:p w:rsidR="006C72E1" w:rsidRPr="000778FC" w:rsidRDefault="002C0C4A" w:rsidP="00100D6D">
      <w:pPr>
        <w:pStyle w:val="H4G"/>
        <w:rPr>
          <w:lang w:val="en-US"/>
        </w:rPr>
      </w:pPr>
      <w:r>
        <w:rPr>
          <w:lang w:val="en-US" w:bidi="he-IL"/>
        </w:rPr>
        <w:tab/>
      </w:r>
      <w:r w:rsidR="00A91DCB">
        <w:rPr>
          <w:lang w:val="en-US" w:bidi="he-IL"/>
        </w:rPr>
        <w:tab/>
      </w:r>
      <w:r w:rsidR="006C72E1" w:rsidRPr="000778FC">
        <w:rPr>
          <w:lang w:val="en-US" w:bidi="he-IL"/>
        </w:rPr>
        <w:t xml:space="preserve">Child </w:t>
      </w:r>
      <w:r w:rsidR="007D38B4" w:rsidRPr="000778FC">
        <w:rPr>
          <w:lang w:val="en-US" w:bidi="he-IL"/>
        </w:rPr>
        <w:t>pornography</w:t>
      </w:r>
    </w:p>
    <w:p w:rsidR="006C72E1" w:rsidRPr="000778FC" w:rsidRDefault="006C72E1" w:rsidP="006D3B18">
      <w:pPr>
        <w:pStyle w:val="SingleTxtG"/>
        <w:numPr>
          <w:ilvl w:val="0"/>
          <w:numId w:val="12"/>
        </w:numPr>
        <w:ind w:left="1134" w:firstLine="0"/>
        <w:rPr>
          <w:lang w:val="en-US"/>
        </w:rPr>
      </w:pPr>
      <w:r w:rsidRPr="000778FC">
        <w:rPr>
          <w:lang w:val="en-US"/>
        </w:rPr>
        <w:t>There are no statisti</w:t>
      </w:r>
      <w:r>
        <w:rPr>
          <w:lang w:val="en-US"/>
        </w:rPr>
        <w:t xml:space="preserve">cs with regard to the extent of </w:t>
      </w:r>
      <w:r w:rsidRPr="000778FC">
        <w:rPr>
          <w:lang w:val="en-US"/>
        </w:rPr>
        <w:t>c</w:t>
      </w:r>
      <w:r w:rsidR="00A91DCB">
        <w:rPr>
          <w:lang w:val="en-US"/>
        </w:rPr>
        <w:t>hild pornography in Israel.</w:t>
      </w:r>
    </w:p>
    <w:p w:rsidR="006C72E1" w:rsidRPr="002C0C4A" w:rsidRDefault="006C72E1" w:rsidP="00462395">
      <w:pPr>
        <w:pStyle w:val="Heading1"/>
        <w:keepNext/>
        <w:keepLines/>
        <w:spacing w:after="120"/>
        <w:rPr>
          <w:b/>
          <w:lang w:val="en-US"/>
        </w:rPr>
      </w:pPr>
      <w:r w:rsidRPr="00A91DCB">
        <w:rPr>
          <w:lang w:val="en-US"/>
        </w:rPr>
        <w:t>Table 5</w:t>
      </w:r>
      <w:r w:rsidR="00B02F9A">
        <w:rPr>
          <w:lang w:val="en-US"/>
        </w:rPr>
        <w:br/>
      </w:r>
      <w:r w:rsidRPr="002C0C4A">
        <w:rPr>
          <w:b/>
          <w:lang w:val="en-US"/>
        </w:rPr>
        <w:t xml:space="preserve">Data </w:t>
      </w:r>
      <w:r w:rsidR="007D38B4" w:rsidRPr="002C0C4A">
        <w:rPr>
          <w:b/>
          <w:lang w:val="en-US"/>
        </w:rPr>
        <w:t xml:space="preserve">regarding investigation cases opened between 2004 and 2011 </w:t>
      </w:r>
      <w:r w:rsidR="00CC26B0">
        <w:rPr>
          <w:b/>
          <w:lang w:val="en-US"/>
        </w:rPr>
        <w:br/>
      </w:r>
      <w:r w:rsidR="007D38B4" w:rsidRPr="002C0C4A">
        <w:rPr>
          <w:b/>
          <w:lang w:val="en-US"/>
        </w:rPr>
        <w:t>concern</w:t>
      </w:r>
      <w:r w:rsidR="001A574A">
        <w:rPr>
          <w:b/>
          <w:lang w:val="en-US"/>
        </w:rPr>
        <w:t>ing child pornography (</w:t>
      </w:r>
      <w:r w:rsidR="00462395">
        <w:rPr>
          <w:b/>
          <w:lang w:val="en-US"/>
        </w:rPr>
        <w:t>S</w:t>
      </w:r>
      <w:r w:rsidR="001A574A">
        <w:rPr>
          <w:b/>
          <w:lang w:val="en-US"/>
        </w:rPr>
        <w:t>ection </w:t>
      </w:r>
      <w:r w:rsidR="007D38B4" w:rsidRPr="002C0C4A">
        <w:rPr>
          <w:b/>
          <w:lang w:val="en-US"/>
        </w:rPr>
        <w:t xml:space="preserve">214 of the </w:t>
      </w:r>
      <w:r w:rsidR="007D38B4" w:rsidRPr="002C0C4A">
        <w:rPr>
          <w:b/>
          <w:iCs/>
          <w:lang w:val="en-US"/>
        </w:rPr>
        <w:t>penal law</w:t>
      </w:r>
      <w:r w:rsidR="007D38B4" w:rsidRPr="002C0C4A">
        <w:rPr>
          <w:b/>
          <w:lang w:val="en-US"/>
        </w:rPr>
        <w:t>)</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3686"/>
        <w:gridCol w:w="3686"/>
      </w:tblGrid>
      <w:tr w:rsidR="006C72E1" w:rsidRPr="009133A2" w:rsidTr="00335328">
        <w:trPr>
          <w:trHeight w:val="284"/>
          <w:tblHeader/>
        </w:trPr>
        <w:tc>
          <w:tcPr>
            <w:tcW w:w="3686" w:type="dxa"/>
            <w:tcBorders>
              <w:top w:val="single" w:sz="4" w:space="0" w:color="auto"/>
              <w:bottom w:val="single" w:sz="12" w:space="0" w:color="auto"/>
            </w:tcBorders>
            <w:shd w:val="clear" w:color="auto" w:fill="auto"/>
            <w:vAlign w:val="bottom"/>
          </w:tcPr>
          <w:p w:rsidR="006C72E1" w:rsidRPr="009133A2" w:rsidRDefault="006C72E1" w:rsidP="00335328">
            <w:pPr>
              <w:pStyle w:val="ParaNo0"/>
              <w:tabs>
                <w:tab w:val="clear" w:pos="737"/>
              </w:tabs>
              <w:spacing w:before="80" w:after="80" w:line="200" w:lineRule="exact"/>
              <w:rPr>
                <w:bCs/>
                <w:i/>
                <w:sz w:val="16"/>
                <w:szCs w:val="22"/>
                <w:lang w:val="en-US"/>
              </w:rPr>
            </w:pPr>
            <w:r w:rsidRPr="009133A2">
              <w:rPr>
                <w:bCs/>
                <w:i/>
                <w:sz w:val="16"/>
                <w:szCs w:val="22"/>
                <w:lang w:val="en-US"/>
              </w:rPr>
              <w:t>Year</w:t>
            </w:r>
          </w:p>
        </w:tc>
        <w:tc>
          <w:tcPr>
            <w:tcW w:w="3686" w:type="dxa"/>
            <w:tcBorders>
              <w:top w:val="single" w:sz="4" w:space="0" w:color="auto"/>
              <w:bottom w:val="single" w:sz="12" w:space="0" w:color="auto"/>
            </w:tcBorders>
            <w:shd w:val="clear" w:color="auto" w:fill="auto"/>
            <w:vAlign w:val="bottom"/>
          </w:tcPr>
          <w:p w:rsidR="006C72E1" w:rsidRPr="009133A2" w:rsidRDefault="006C72E1" w:rsidP="00724F56">
            <w:pPr>
              <w:pStyle w:val="ParaNo0"/>
              <w:tabs>
                <w:tab w:val="clear" w:pos="737"/>
              </w:tabs>
              <w:spacing w:before="80" w:after="80" w:line="200" w:lineRule="exact"/>
              <w:jc w:val="right"/>
              <w:rPr>
                <w:bCs/>
                <w:i/>
                <w:sz w:val="16"/>
                <w:szCs w:val="22"/>
                <w:lang w:val="en-US"/>
              </w:rPr>
            </w:pPr>
            <w:r w:rsidRPr="009133A2">
              <w:rPr>
                <w:bCs/>
                <w:i/>
                <w:sz w:val="16"/>
                <w:szCs w:val="22"/>
                <w:lang w:val="en-US"/>
              </w:rPr>
              <w:t>N</w:t>
            </w:r>
            <w:r w:rsidR="00724F56">
              <w:rPr>
                <w:bCs/>
                <w:i/>
                <w:sz w:val="16"/>
                <w:szCs w:val="22"/>
                <w:lang w:val="en-US"/>
              </w:rPr>
              <w:t>umber</w:t>
            </w:r>
            <w:r w:rsidRPr="009133A2">
              <w:rPr>
                <w:bCs/>
                <w:i/>
                <w:sz w:val="16"/>
                <w:szCs w:val="22"/>
                <w:lang w:val="en-US"/>
              </w:rPr>
              <w:t xml:space="preserve"> of cases</w:t>
            </w:r>
          </w:p>
        </w:tc>
      </w:tr>
      <w:tr w:rsidR="006C72E1" w:rsidRPr="009133A2" w:rsidTr="00335328">
        <w:trPr>
          <w:trHeight w:val="284"/>
        </w:trPr>
        <w:tc>
          <w:tcPr>
            <w:tcW w:w="3686" w:type="dxa"/>
            <w:tcBorders>
              <w:top w:val="single" w:sz="12" w:space="0" w:color="auto"/>
            </w:tcBorders>
            <w:shd w:val="clear" w:color="auto" w:fill="auto"/>
          </w:tcPr>
          <w:p w:rsidR="006C72E1" w:rsidRPr="009133A2" w:rsidRDefault="006C72E1" w:rsidP="00335328">
            <w:pPr>
              <w:pStyle w:val="ParaNo0"/>
              <w:tabs>
                <w:tab w:val="clear" w:pos="737"/>
              </w:tabs>
              <w:spacing w:before="40" w:after="40" w:line="220" w:lineRule="exact"/>
              <w:rPr>
                <w:sz w:val="18"/>
                <w:szCs w:val="22"/>
                <w:lang w:val="en-US"/>
              </w:rPr>
            </w:pPr>
            <w:r w:rsidRPr="009133A2">
              <w:rPr>
                <w:sz w:val="18"/>
                <w:szCs w:val="22"/>
                <w:lang w:val="en-US"/>
              </w:rPr>
              <w:t>2004</w:t>
            </w:r>
          </w:p>
        </w:tc>
        <w:tc>
          <w:tcPr>
            <w:tcW w:w="3686" w:type="dxa"/>
            <w:tcBorders>
              <w:top w:val="single" w:sz="12" w:space="0" w:color="auto"/>
            </w:tcBorders>
            <w:shd w:val="clear" w:color="auto" w:fill="auto"/>
            <w:vAlign w:val="bottom"/>
          </w:tcPr>
          <w:p w:rsidR="006C72E1" w:rsidRPr="009133A2" w:rsidRDefault="006C72E1" w:rsidP="00335328">
            <w:pPr>
              <w:pStyle w:val="ParaNo0"/>
              <w:tabs>
                <w:tab w:val="clear" w:pos="737"/>
              </w:tabs>
              <w:spacing w:before="40" w:after="40" w:line="220" w:lineRule="exact"/>
              <w:jc w:val="right"/>
              <w:rPr>
                <w:sz w:val="18"/>
                <w:szCs w:val="22"/>
                <w:lang w:val="en-US"/>
              </w:rPr>
            </w:pPr>
            <w:r w:rsidRPr="009133A2">
              <w:rPr>
                <w:sz w:val="18"/>
                <w:szCs w:val="22"/>
                <w:lang w:val="en-US"/>
              </w:rPr>
              <w:t>25</w:t>
            </w:r>
          </w:p>
        </w:tc>
      </w:tr>
      <w:tr w:rsidR="006C72E1" w:rsidRPr="009133A2" w:rsidTr="00335328">
        <w:trPr>
          <w:trHeight w:val="284"/>
        </w:trPr>
        <w:tc>
          <w:tcPr>
            <w:tcW w:w="3686" w:type="dxa"/>
            <w:shd w:val="clear" w:color="auto" w:fill="auto"/>
          </w:tcPr>
          <w:p w:rsidR="006C72E1" w:rsidRPr="009133A2" w:rsidRDefault="006C72E1" w:rsidP="00335328">
            <w:pPr>
              <w:pStyle w:val="ParaNo0"/>
              <w:tabs>
                <w:tab w:val="clear" w:pos="737"/>
              </w:tabs>
              <w:spacing w:before="40" w:after="40" w:line="220" w:lineRule="exact"/>
              <w:rPr>
                <w:sz w:val="18"/>
                <w:szCs w:val="22"/>
                <w:lang w:val="en-US"/>
              </w:rPr>
            </w:pPr>
            <w:r w:rsidRPr="009133A2">
              <w:rPr>
                <w:sz w:val="18"/>
                <w:szCs w:val="22"/>
                <w:lang w:val="en-US"/>
              </w:rPr>
              <w:t>2005</w:t>
            </w:r>
          </w:p>
        </w:tc>
        <w:tc>
          <w:tcPr>
            <w:tcW w:w="3686" w:type="dxa"/>
            <w:shd w:val="clear" w:color="auto" w:fill="auto"/>
            <w:vAlign w:val="bottom"/>
          </w:tcPr>
          <w:p w:rsidR="006C72E1" w:rsidRPr="009133A2" w:rsidRDefault="006C72E1" w:rsidP="00335328">
            <w:pPr>
              <w:pStyle w:val="ParaNo0"/>
              <w:tabs>
                <w:tab w:val="clear" w:pos="737"/>
              </w:tabs>
              <w:spacing w:before="40" w:after="40" w:line="220" w:lineRule="exact"/>
              <w:jc w:val="right"/>
              <w:rPr>
                <w:sz w:val="18"/>
                <w:szCs w:val="22"/>
                <w:lang w:val="en-US"/>
              </w:rPr>
            </w:pPr>
            <w:r w:rsidRPr="009133A2">
              <w:rPr>
                <w:sz w:val="18"/>
                <w:szCs w:val="22"/>
                <w:lang w:val="en-US"/>
              </w:rPr>
              <w:t>29</w:t>
            </w:r>
          </w:p>
        </w:tc>
      </w:tr>
      <w:tr w:rsidR="006C72E1" w:rsidRPr="009133A2" w:rsidTr="00335328">
        <w:trPr>
          <w:trHeight w:val="284"/>
        </w:trPr>
        <w:tc>
          <w:tcPr>
            <w:tcW w:w="3686" w:type="dxa"/>
            <w:shd w:val="clear" w:color="auto" w:fill="auto"/>
          </w:tcPr>
          <w:p w:rsidR="006C72E1" w:rsidRPr="009133A2" w:rsidRDefault="006C72E1" w:rsidP="00335328">
            <w:pPr>
              <w:pStyle w:val="ParaNo0"/>
              <w:tabs>
                <w:tab w:val="clear" w:pos="737"/>
              </w:tabs>
              <w:spacing w:before="40" w:after="40" w:line="220" w:lineRule="exact"/>
              <w:rPr>
                <w:sz w:val="18"/>
                <w:szCs w:val="22"/>
                <w:lang w:val="en-US"/>
              </w:rPr>
            </w:pPr>
            <w:r w:rsidRPr="009133A2">
              <w:rPr>
                <w:sz w:val="18"/>
                <w:szCs w:val="22"/>
                <w:lang w:val="en-US"/>
              </w:rPr>
              <w:t>2006</w:t>
            </w:r>
          </w:p>
        </w:tc>
        <w:tc>
          <w:tcPr>
            <w:tcW w:w="3686" w:type="dxa"/>
            <w:shd w:val="clear" w:color="auto" w:fill="auto"/>
            <w:vAlign w:val="bottom"/>
          </w:tcPr>
          <w:p w:rsidR="006C72E1" w:rsidRPr="009133A2" w:rsidRDefault="006C72E1" w:rsidP="00335328">
            <w:pPr>
              <w:pStyle w:val="ParaNo0"/>
              <w:tabs>
                <w:tab w:val="clear" w:pos="737"/>
              </w:tabs>
              <w:spacing w:before="40" w:after="40" w:line="220" w:lineRule="exact"/>
              <w:jc w:val="right"/>
              <w:rPr>
                <w:sz w:val="18"/>
                <w:szCs w:val="22"/>
                <w:lang w:val="en-US"/>
              </w:rPr>
            </w:pPr>
            <w:r w:rsidRPr="009133A2">
              <w:rPr>
                <w:sz w:val="18"/>
                <w:szCs w:val="22"/>
                <w:lang w:val="en-US"/>
              </w:rPr>
              <w:t>25</w:t>
            </w:r>
          </w:p>
        </w:tc>
      </w:tr>
      <w:tr w:rsidR="006C72E1" w:rsidRPr="009133A2" w:rsidTr="00335328">
        <w:trPr>
          <w:trHeight w:val="284"/>
        </w:trPr>
        <w:tc>
          <w:tcPr>
            <w:tcW w:w="3686" w:type="dxa"/>
            <w:shd w:val="clear" w:color="auto" w:fill="auto"/>
          </w:tcPr>
          <w:p w:rsidR="006C72E1" w:rsidRPr="009133A2" w:rsidRDefault="006C72E1" w:rsidP="00335328">
            <w:pPr>
              <w:pStyle w:val="ParaNo0"/>
              <w:tabs>
                <w:tab w:val="clear" w:pos="737"/>
              </w:tabs>
              <w:spacing w:before="40" w:after="40" w:line="220" w:lineRule="exact"/>
              <w:rPr>
                <w:sz w:val="18"/>
                <w:szCs w:val="22"/>
                <w:lang w:val="en-US"/>
              </w:rPr>
            </w:pPr>
            <w:r w:rsidRPr="009133A2">
              <w:rPr>
                <w:sz w:val="18"/>
                <w:szCs w:val="22"/>
                <w:lang w:val="en-US"/>
              </w:rPr>
              <w:t>2007</w:t>
            </w:r>
          </w:p>
        </w:tc>
        <w:tc>
          <w:tcPr>
            <w:tcW w:w="3686" w:type="dxa"/>
            <w:shd w:val="clear" w:color="auto" w:fill="auto"/>
            <w:vAlign w:val="bottom"/>
          </w:tcPr>
          <w:p w:rsidR="006C72E1" w:rsidRPr="009133A2" w:rsidRDefault="006C72E1" w:rsidP="00335328">
            <w:pPr>
              <w:pStyle w:val="ParaNo0"/>
              <w:tabs>
                <w:tab w:val="clear" w:pos="737"/>
              </w:tabs>
              <w:spacing w:before="40" w:after="40" w:line="220" w:lineRule="exact"/>
              <w:jc w:val="right"/>
              <w:rPr>
                <w:sz w:val="18"/>
                <w:szCs w:val="22"/>
                <w:lang w:val="en-US"/>
              </w:rPr>
            </w:pPr>
            <w:r w:rsidRPr="009133A2">
              <w:rPr>
                <w:sz w:val="18"/>
                <w:szCs w:val="22"/>
                <w:lang w:val="en-US"/>
              </w:rPr>
              <w:t>78</w:t>
            </w:r>
          </w:p>
        </w:tc>
      </w:tr>
      <w:tr w:rsidR="006C72E1" w:rsidRPr="009133A2" w:rsidTr="00335328">
        <w:trPr>
          <w:trHeight w:val="284"/>
        </w:trPr>
        <w:tc>
          <w:tcPr>
            <w:tcW w:w="3686" w:type="dxa"/>
            <w:shd w:val="clear" w:color="auto" w:fill="auto"/>
          </w:tcPr>
          <w:p w:rsidR="006C72E1" w:rsidRPr="009133A2" w:rsidRDefault="006C72E1" w:rsidP="00335328">
            <w:pPr>
              <w:pStyle w:val="ParaNo0"/>
              <w:tabs>
                <w:tab w:val="clear" w:pos="737"/>
              </w:tabs>
              <w:spacing w:before="40" w:after="40" w:line="220" w:lineRule="exact"/>
              <w:rPr>
                <w:sz w:val="18"/>
                <w:szCs w:val="22"/>
                <w:lang w:val="en-US"/>
              </w:rPr>
            </w:pPr>
            <w:r w:rsidRPr="009133A2">
              <w:rPr>
                <w:sz w:val="18"/>
                <w:szCs w:val="22"/>
                <w:lang w:val="en-US"/>
              </w:rPr>
              <w:t>2008</w:t>
            </w:r>
          </w:p>
        </w:tc>
        <w:tc>
          <w:tcPr>
            <w:tcW w:w="3686" w:type="dxa"/>
            <w:shd w:val="clear" w:color="auto" w:fill="auto"/>
            <w:vAlign w:val="bottom"/>
          </w:tcPr>
          <w:p w:rsidR="006C72E1" w:rsidRPr="009133A2" w:rsidRDefault="006C72E1" w:rsidP="00335328">
            <w:pPr>
              <w:pStyle w:val="ParaNo0"/>
              <w:tabs>
                <w:tab w:val="clear" w:pos="737"/>
              </w:tabs>
              <w:spacing w:before="40" w:after="40" w:line="220" w:lineRule="exact"/>
              <w:jc w:val="right"/>
              <w:rPr>
                <w:sz w:val="18"/>
                <w:szCs w:val="22"/>
                <w:lang w:val="en-US"/>
              </w:rPr>
            </w:pPr>
            <w:r w:rsidRPr="009133A2">
              <w:rPr>
                <w:sz w:val="18"/>
                <w:szCs w:val="22"/>
                <w:lang w:val="en-US"/>
              </w:rPr>
              <w:t>122</w:t>
            </w:r>
          </w:p>
        </w:tc>
      </w:tr>
      <w:tr w:rsidR="006C72E1" w:rsidRPr="009133A2" w:rsidTr="00335328">
        <w:trPr>
          <w:trHeight w:val="284"/>
        </w:trPr>
        <w:tc>
          <w:tcPr>
            <w:tcW w:w="3686" w:type="dxa"/>
            <w:shd w:val="clear" w:color="auto" w:fill="auto"/>
          </w:tcPr>
          <w:p w:rsidR="006C72E1" w:rsidRPr="009133A2" w:rsidRDefault="006C72E1" w:rsidP="00335328">
            <w:pPr>
              <w:pStyle w:val="ParaNo0"/>
              <w:tabs>
                <w:tab w:val="clear" w:pos="737"/>
              </w:tabs>
              <w:spacing w:before="40" w:after="40" w:line="220" w:lineRule="exact"/>
              <w:rPr>
                <w:sz w:val="18"/>
                <w:szCs w:val="22"/>
                <w:lang w:val="en-US"/>
              </w:rPr>
            </w:pPr>
            <w:r w:rsidRPr="009133A2">
              <w:rPr>
                <w:sz w:val="18"/>
                <w:szCs w:val="22"/>
                <w:lang w:val="en-US"/>
              </w:rPr>
              <w:t>2009</w:t>
            </w:r>
          </w:p>
        </w:tc>
        <w:tc>
          <w:tcPr>
            <w:tcW w:w="3686" w:type="dxa"/>
            <w:shd w:val="clear" w:color="auto" w:fill="auto"/>
            <w:vAlign w:val="bottom"/>
          </w:tcPr>
          <w:p w:rsidR="006C72E1" w:rsidRPr="009133A2" w:rsidRDefault="006C72E1" w:rsidP="00335328">
            <w:pPr>
              <w:pStyle w:val="ParaNo0"/>
              <w:tabs>
                <w:tab w:val="clear" w:pos="737"/>
              </w:tabs>
              <w:spacing w:before="40" w:after="40" w:line="220" w:lineRule="exact"/>
              <w:jc w:val="right"/>
              <w:rPr>
                <w:sz w:val="18"/>
                <w:szCs w:val="22"/>
                <w:lang w:val="en-US"/>
              </w:rPr>
            </w:pPr>
            <w:r w:rsidRPr="009133A2">
              <w:rPr>
                <w:sz w:val="18"/>
                <w:szCs w:val="22"/>
                <w:lang w:val="en-US"/>
              </w:rPr>
              <w:t>100</w:t>
            </w:r>
          </w:p>
        </w:tc>
      </w:tr>
      <w:tr w:rsidR="006C72E1" w:rsidRPr="009133A2" w:rsidTr="00335328">
        <w:trPr>
          <w:trHeight w:val="284"/>
        </w:trPr>
        <w:tc>
          <w:tcPr>
            <w:tcW w:w="3686" w:type="dxa"/>
            <w:shd w:val="clear" w:color="auto" w:fill="auto"/>
          </w:tcPr>
          <w:p w:rsidR="006C72E1" w:rsidRPr="009133A2" w:rsidRDefault="006C72E1" w:rsidP="00335328">
            <w:pPr>
              <w:pStyle w:val="ParaNo0"/>
              <w:tabs>
                <w:tab w:val="clear" w:pos="737"/>
              </w:tabs>
              <w:spacing w:before="40" w:after="40" w:line="220" w:lineRule="exact"/>
              <w:rPr>
                <w:sz w:val="18"/>
                <w:szCs w:val="22"/>
                <w:lang w:val="en-US"/>
              </w:rPr>
            </w:pPr>
            <w:r w:rsidRPr="009133A2">
              <w:rPr>
                <w:sz w:val="18"/>
                <w:szCs w:val="22"/>
                <w:lang w:val="en-US"/>
              </w:rPr>
              <w:t>2010</w:t>
            </w:r>
          </w:p>
        </w:tc>
        <w:tc>
          <w:tcPr>
            <w:tcW w:w="3686" w:type="dxa"/>
            <w:shd w:val="clear" w:color="auto" w:fill="auto"/>
            <w:vAlign w:val="bottom"/>
          </w:tcPr>
          <w:p w:rsidR="006C72E1" w:rsidRPr="009133A2" w:rsidRDefault="006C72E1" w:rsidP="00335328">
            <w:pPr>
              <w:pStyle w:val="ParaNo0"/>
              <w:tabs>
                <w:tab w:val="clear" w:pos="737"/>
              </w:tabs>
              <w:spacing w:before="40" w:after="40" w:line="220" w:lineRule="exact"/>
              <w:jc w:val="right"/>
              <w:rPr>
                <w:sz w:val="18"/>
                <w:szCs w:val="22"/>
                <w:lang w:val="en-US"/>
              </w:rPr>
            </w:pPr>
            <w:r w:rsidRPr="009133A2">
              <w:rPr>
                <w:sz w:val="18"/>
                <w:szCs w:val="22"/>
                <w:lang w:val="en-US"/>
              </w:rPr>
              <w:t>46</w:t>
            </w:r>
          </w:p>
        </w:tc>
      </w:tr>
      <w:tr w:rsidR="006C72E1" w:rsidRPr="009133A2" w:rsidTr="00335328">
        <w:trPr>
          <w:trHeight w:val="284"/>
        </w:trPr>
        <w:tc>
          <w:tcPr>
            <w:tcW w:w="3686" w:type="dxa"/>
            <w:tcBorders>
              <w:bottom w:val="single" w:sz="4" w:space="0" w:color="auto"/>
            </w:tcBorders>
            <w:shd w:val="clear" w:color="auto" w:fill="auto"/>
          </w:tcPr>
          <w:p w:rsidR="006C72E1" w:rsidRPr="009133A2" w:rsidRDefault="006C72E1" w:rsidP="00335328">
            <w:pPr>
              <w:pStyle w:val="ParaNo0"/>
              <w:tabs>
                <w:tab w:val="clear" w:pos="737"/>
              </w:tabs>
              <w:spacing w:before="40" w:after="40" w:line="220" w:lineRule="exact"/>
              <w:rPr>
                <w:sz w:val="18"/>
                <w:szCs w:val="22"/>
                <w:lang w:val="en-US"/>
              </w:rPr>
            </w:pPr>
            <w:r w:rsidRPr="009133A2">
              <w:rPr>
                <w:sz w:val="18"/>
                <w:szCs w:val="22"/>
                <w:lang w:val="en-US"/>
              </w:rPr>
              <w:t>2011</w:t>
            </w:r>
          </w:p>
        </w:tc>
        <w:tc>
          <w:tcPr>
            <w:tcW w:w="3686" w:type="dxa"/>
            <w:tcBorders>
              <w:bottom w:val="single" w:sz="4" w:space="0" w:color="auto"/>
            </w:tcBorders>
            <w:shd w:val="clear" w:color="auto" w:fill="auto"/>
            <w:vAlign w:val="bottom"/>
          </w:tcPr>
          <w:p w:rsidR="006C72E1" w:rsidRPr="009133A2" w:rsidRDefault="006C72E1" w:rsidP="00335328">
            <w:pPr>
              <w:pStyle w:val="ParaNo0"/>
              <w:tabs>
                <w:tab w:val="clear" w:pos="737"/>
              </w:tabs>
              <w:spacing w:before="40" w:after="40" w:line="220" w:lineRule="exact"/>
              <w:jc w:val="right"/>
              <w:rPr>
                <w:sz w:val="18"/>
                <w:szCs w:val="22"/>
                <w:lang w:val="en-US"/>
              </w:rPr>
            </w:pPr>
            <w:r w:rsidRPr="009133A2">
              <w:rPr>
                <w:sz w:val="18"/>
                <w:szCs w:val="22"/>
                <w:lang w:val="en-US"/>
              </w:rPr>
              <w:t>43</w:t>
            </w:r>
          </w:p>
        </w:tc>
      </w:tr>
      <w:tr w:rsidR="006C72E1" w:rsidRPr="00335328" w:rsidTr="00335328">
        <w:trPr>
          <w:trHeight w:val="284"/>
        </w:trPr>
        <w:tc>
          <w:tcPr>
            <w:tcW w:w="3686" w:type="dxa"/>
            <w:tcBorders>
              <w:top w:val="single" w:sz="4" w:space="0" w:color="auto"/>
              <w:bottom w:val="single" w:sz="12" w:space="0" w:color="auto"/>
            </w:tcBorders>
            <w:shd w:val="clear" w:color="auto" w:fill="auto"/>
          </w:tcPr>
          <w:p w:rsidR="006C72E1" w:rsidRPr="00335328" w:rsidRDefault="006C72E1" w:rsidP="00335328">
            <w:pPr>
              <w:pStyle w:val="ParaNo0"/>
              <w:tabs>
                <w:tab w:val="clear" w:pos="737"/>
              </w:tabs>
              <w:spacing w:before="80" w:after="80" w:line="220" w:lineRule="exact"/>
              <w:ind w:left="284"/>
              <w:rPr>
                <w:b/>
                <w:sz w:val="18"/>
                <w:szCs w:val="22"/>
                <w:lang w:val="en-US"/>
              </w:rPr>
            </w:pPr>
            <w:r w:rsidRPr="00335328">
              <w:rPr>
                <w:b/>
                <w:sz w:val="18"/>
                <w:szCs w:val="22"/>
                <w:lang w:val="en-US"/>
              </w:rPr>
              <w:t>Total</w:t>
            </w:r>
          </w:p>
        </w:tc>
        <w:tc>
          <w:tcPr>
            <w:tcW w:w="3686" w:type="dxa"/>
            <w:tcBorders>
              <w:top w:val="single" w:sz="4" w:space="0" w:color="auto"/>
              <w:bottom w:val="single" w:sz="12" w:space="0" w:color="auto"/>
            </w:tcBorders>
            <w:shd w:val="clear" w:color="auto" w:fill="auto"/>
            <w:vAlign w:val="bottom"/>
          </w:tcPr>
          <w:p w:rsidR="006C72E1" w:rsidRPr="00335328" w:rsidRDefault="006C72E1" w:rsidP="00335328">
            <w:pPr>
              <w:pStyle w:val="ParaNo0"/>
              <w:tabs>
                <w:tab w:val="clear" w:pos="737"/>
              </w:tabs>
              <w:spacing w:before="80" w:after="80" w:line="220" w:lineRule="exact"/>
              <w:jc w:val="right"/>
              <w:rPr>
                <w:b/>
                <w:sz w:val="18"/>
                <w:szCs w:val="22"/>
                <w:lang w:val="en-US"/>
              </w:rPr>
            </w:pPr>
            <w:r w:rsidRPr="00335328">
              <w:rPr>
                <w:b/>
                <w:sz w:val="18"/>
                <w:szCs w:val="22"/>
                <w:lang w:val="en-US"/>
              </w:rPr>
              <w:t>468</w:t>
            </w:r>
          </w:p>
        </w:tc>
      </w:tr>
    </w:tbl>
    <w:p w:rsidR="006C72E1" w:rsidRPr="009133A2" w:rsidRDefault="006C72E1" w:rsidP="00B55042">
      <w:pPr>
        <w:pStyle w:val="SingleTxtG"/>
        <w:spacing w:before="120" w:after="240"/>
        <w:ind w:firstLine="170"/>
        <w:jc w:val="left"/>
        <w:rPr>
          <w:sz w:val="18"/>
          <w:szCs w:val="18"/>
        </w:rPr>
      </w:pPr>
      <w:r w:rsidRPr="009133A2">
        <w:rPr>
          <w:i/>
          <w:iCs/>
          <w:sz w:val="18"/>
          <w:szCs w:val="18"/>
        </w:rPr>
        <w:t>Source</w:t>
      </w:r>
      <w:r w:rsidRPr="009133A2">
        <w:rPr>
          <w:sz w:val="18"/>
          <w:szCs w:val="18"/>
        </w:rPr>
        <w:t xml:space="preserve">: </w:t>
      </w:r>
      <w:r w:rsidRPr="00AC696A">
        <w:rPr>
          <w:sz w:val="18"/>
          <w:szCs w:val="18"/>
        </w:rPr>
        <w:t xml:space="preserve">Israel Police, </w:t>
      </w:r>
      <w:r w:rsidR="00724F56">
        <w:rPr>
          <w:sz w:val="18"/>
          <w:szCs w:val="18"/>
        </w:rPr>
        <w:t xml:space="preserve">22 </w:t>
      </w:r>
      <w:r w:rsidRPr="00AC696A">
        <w:rPr>
          <w:sz w:val="18"/>
          <w:szCs w:val="18"/>
        </w:rPr>
        <w:t>February 2012.</w:t>
      </w:r>
    </w:p>
    <w:p w:rsidR="006C72E1" w:rsidRPr="00AC696A" w:rsidRDefault="006C72E1" w:rsidP="0032213C">
      <w:pPr>
        <w:pStyle w:val="Heading1"/>
        <w:keepNext/>
        <w:keepLines/>
        <w:spacing w:after="120"/>
        <w:rPr>
          <w:b/>
          <w:lang w:val="en-US"/>
        </w:rPr>
      </w:pPr>
      <w:r w:rsidRPr="00A91DCB">
        <w:rPr>
          <w:lang w:val="en-US"/>
        </w:rPr>
        <w:t>Table 6</w:t>
      </w:r>
      <w:r w:rsidR="003D0EB4">
        <w:rPr>
          <w:lang w:val="en-US"/>
        </w:rPr>
        <w:br/>
      </w:r>
      <w:r w:rsidRPr="00AC696A">
        <w:rPr>
          <w:b/>
          <w:lang w:val="en-US"/>
        </w:rPr>
        <w:t xml:space="preserve">Data </w:t>
      </w:r>
      <w:r w:rsidR="007D38B4" w:rsidRPr="00AC696A">
        <w:rPr>
          <w:b/>
          <w:lang w:val="en-US"/>
        </w:rPr>
        <w:t>regarding the status of investigation cas</w:t>
      </w:r>
      <w:r w:rsidR="003D0EB4">
        <w:rPr>
          <w:b/>
          <w:lang w:val="en-US"/>
        </w:rPr>
        <w:t>es opened between 2004 and 2011</w:t>
      </w:r>
      <w:r w:rsidR="003D0EB4">
        <w:rPr>
          <w:b/>
          <w:lang w:val="en-US"/>
        </w:rPr>
        <w:br/>
      </w:r>
      <w:r w:rsidR="007D38B4" w:rsidRPr="00AC696A">
        <w:rPr>
          <w:b/>
          <w:lang w:val="en-US"/>
        </w:rPr>
        <w:t>concerning child pornography</w:t>
      </w:r>
    </w:p>
    <w:tbl>
      <w:tblPr>
        <w:tblW w:w="0" w:type="auto"/>
        <w:tblInd w:w="1134" w:type="dxa"/>
        <w:tblBorders>
          <w:top w:val="single" w:sz="4" w:space="0" w:color="auto"/>
          <w:bottom w:val="single" w:sz="12" w:space="0" w:color="auto"/>
        </w:tblBorders>
        <w:tblLayout w:type="fixed"/>
        <w:tblCellMar>
          <w:left w:w="0" w:type="dxa"/>
          <w:right w:w="0" w:type="dxa"/>
        </w:tblCellMar>
        <w:tblLook w:val="04A0"/>
      </w:tblPr>
      <w:tblGrid>
        <w:gridCol w:w="2268"/>
        <w:gridCol w:w="567"/>
        <w:gridCol w:w="567"/>
        <w:gridCol w:w="567"/>
        <w:gridCol w:w="567"/>
        <w:gridCol w:w="567"/>
        <w:gridCol w:w="567"/>
        <w:gridCol w:w="567"/>
        <w:gridCol w:w="567"/>
        <w:gridCol w:w="567"/>
      </w:tblGrid>
      <w:tr w:rsidR="00AC696A" w:rsidRPr="003D0EB4" w:rsidTr="003D0EB4">
        <w:trPr>
          <w:trHeight w:val="284"/>
          <w:tblHeader/>
        </w:trPr>
        <w:tc>
          <w:tcPr>
            <w:tcW w:w="2268"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rPr>
                <w:bCs/>
                <w:i/>
                <w:sz w:val="16"/>
                <w:szCs w:val="22"/>
                <w:lang w:val="en-US"/>
              </w:rPr>
            </w:pPr>
            <w:r w:rsidRPr="003D0EB4">
              <w:rPr>
                <w:bCs/>
                <w:i/>
                <w:sz w:val="16"/>
                <w:szCs w:val="22"/>
                <w:lang w:val="en-US"/>
              </w:rPr>
              <w:t>Status</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jc w:val="right"/>
              <w:rPr>
                <w:bCs/>
                <w:i/>
                <w:sz w:val="16"/>
                <w:szCs w:val="22"/>
                <w:lang w:val="en-US"/>
              </w:rPr>
            </w:pPr>
            <w:r w:rsidRPr="003D0EB4">
              <w:rPr>
                <w:bCs/>
                <w:i/>
                <w:sz w:val="16"/>
                <w:szCs w:val="22"/>
                <w:lang w:val="en-US"/>
              </w:rPr>
              <w:t>2004</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jc w:val="right"/>
              <w:rPr>
                <w:bCs/>
                <w:i/>
                <w:sz w:val="16"/>
                <w:szCs w:val="22"/>
                <w:lang w:val="en-US"/>
              </w:rPr>
            </w:pPr>
            <w:r w:rsidRPr="003D0EB4">
              <w:rPr>
                <w:bCs/>
                <w:i/>
                <w:sz w:val="16"/>
                <w:szCs w:val="22"/>
                <w:lang w:val="en-US"/>
              </w:rPr>
              <w:t>2005</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jc w:val="right"/>
              <w:rPr>
                <w:bCs/>
                <w:i/>
                <w:sz w:val="16"/>
                <w:szCs w:val="22"/>
                <w:lang w:val="en-US"/>
              </w:rPr>
            </w:pPr>
            <w:r w:rsidRPr="003D0EB4">
              <w:rPr>
                <w:bCs/>
                <w:i/>
                <w:sz w:val="16"/>
                <w:szCs w:val="22"/>
                <w:lang w:val="en-US"/>
              </w:rPr>
              <w:t>2006</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jc w:val="right"/>
              <w:rPr>
                <w:bCs/>
                <w:i/>
                <w:sz w:val="16"/>
                <w:szCs w:val="22"/>
                <w:lang w:val="en-US"/>
              </w:rPr>
            </w:pPr>
            <w:r w:rsidRPr="003D0EB4">
              <w:rPr>
                <w:bCs/>
                <w:i/>
                <w:sz w:val="16"/>
                <w:szCs w:val="22"/>
                <w:lang w:val="en-US"/>
              </w:rPr>
              <w:t>2007</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jc w:val="right"/>
              <w:rPr>
                <w:bCs/>
                <w:i/>
                <w:sz w:val="16"/>
                <w:szCs w:val="22"/>
                <w:lang w:val="en-US"/>
              </w:rPr>
            </w:pPr>
            <w:r w:rsidRPr="003D0EB4">
              <w:rPr>
                <w:bCs/>
                <w:i/>
                <w:sz w:val="16"/>
                <w:szCs w:val="22"/>
                <w:lang w:val="en-US"/>
              </w:rPr>
              <w:t>2008</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jc w:val="right"/>
              <w:rPr>
                <w:bCs/>
                <w:i/>
                <w:sz w:val="16"/>
                <w:szCs w:val="22"/>
                <w:lang w:val="en-US"/>
              </w:rPr>
            </w:pPr>
            <w:r w:rsidRPr="003D0EB4">
              <w:rPr>
                <w:bCs/>
                <w:i/>
                <w:sz w:val="16"/>
                <w:szCs w:val="22"/>
                <w:lang w:val="en-US"/>
              </w:rPr>
              <w:t>2009</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jc w:val="right"/>
              <w:rPr>
                <w:bCs/>
                <w:i/>
                <w:sz w:val="16"/>
                <w:szCs w:val="22"/>
                <w:lang w:val="en-US"/>
              </w:rPr>
            </w:pPr>
            <w:r w:rsidRPr="003D0EB4">
              <w:rPr>
                <w:bCs/>
                <w:i/>
                <w:sz w:val="16"/>
                <w:szCs w:val="22"/>
                <w:lang w:val="en-US"/>
              </w:rPr>
              <w:t>2010</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jc w:val="right"/>
              <w:rPr>
                <w:bCs/>
                <w:i/>
                <w:sz w:val="16"/>
                <w:szCs w:val="22"/>
                <w:lang w:val="en-US"/>
              </w:rPr>
            </w:pPr>
            <w:r w:rsidRPr="003D0EB4">
              <w:rPr>
                <w:bCs/>
                <w:i/>
                <w:sz w:val="16"/>
                <w:szCs w:val="22"/>
                <w:lang w:val="en-US"/>
              </w:rPr>
              <w:t>2011</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00" w:lineRule="exact"/>
              <w:jc w:val="right"/>
              <w:rPr>
                <w:b/>
                <w:i/>
                <w:sz w:val="16"/>
                <w:szCs w:val="22"/>
                <w:lang w:val="en-US"/>
              </w:rPr>
            </w:pPr>
            <w:r w:rsidRPr="003D0EB4">
              <w:rPr>
                <w:b/>
                <w:i/>
                <w:sz w:val="16"/>
                <w:szCs w:val="22"/>
                <w:lang w:val="en-US"/>
              </w:rPr>
              <w:t>Total</w:t>
            </w:r>
          </w:p>
        </w:tc>
      </w:tr>
      <w:tr w:rsidR="00AC696A" w:rsidRPr="003D0EB4" w:rsidTr="003D0EB4">
        <w:trPr>
          <w:trHeight w:val="284"/>
        </w:trPr>
        <w:tc>
          <w:tcPr>
            <w:tcW w:w="2268" w:type="dxa"/>
            <w:tcBorders>
              <w:top w:val="single" w:sz="12" w:space="0" w:color="auto"/>
            </w:tcBorders>
            <w:shd w:val="clear" w:color="auto" w:fill="auto"/>
          </w:tcPr>
          <w:p w:rsidR="006C72E1" w:rsidRPr="003D0EB4" w:rsidRDefault="006C72E1" w:rsidP="003D0EB4">
            <w:pPr>
              <w:pStyle w:val="ParaNo0"/>
              <w:tabs>
                <w:tab w:val="clear" w:pos="737"/>
              </w:tabs>
              <w:spacing w:before="40" w:after="40" w:line="220" w:lineRule="exact"/>
              <w:rPr>
                <w:sz w:val="18"/>
                <w:szCs w:val="22"/>
                <w:lang w:val="en-US"/>
              </w:rPr>
            </w:pPr>
            <w:r w:rsidRPr="003D0EB4">
              <w:rPr>
                <w:sz w:val="18"/>
                <w:szCs w:val="22"/>
                <w:lang w:val="en-US"/>
              </w:rPr>
              <w:t>Under investigation</w:t>
            </w:r>
          </w:p>
        </w:tc>
        <w:tc>
          <w:tcPr>
            <w:tcW w:w="567" w:type="dxa"/>
            <w:tcBorders>
              <w:top w:val="single" w:sz="12"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p>
        </w:tc>
        <w:tc>
          <w:tcPr>
            <w:tcW w:w="567" w:type="dxa"/>
            <w:tcBorders>
              <w:top w:val="single" w:sz="12"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w:t>
            </w:r>
          </w:p>
        </w:tc>
        <w:tc>
          <w:tcPr>
            <w:tcW w:w="567" w:type="dxa"/>
            <w:tcBorders>
              <w:top w:val="single" w:sz="12"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p>
        </w:tc>
        <w:tc>
          <w:tcPr>
            <w:tcW w:w="567" w:type="dxa"/>
            <w:tcBorders>
              <w:top w:val="single" w:sz="12"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w:t>
            </w:r>
          </w:p>
        </w:tc>
        <w:tc>
          <w:tcPr>
            <w:tcW w:w="567" w:type="dxa"/>
            <w:tcBorders>
              <w:top w:val="single" w:sz="12"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4</w:t>
            </w:r>
          </w:p>
        </w:tc>
        <w:tc>
          <w:tcPr>
            <w:tcW w:w="567" w:type="dxa"/>
            <w:tcBorders>
              <w:top w:val="single" w:sz="12"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3</w:t>
            </w:r>
          </w:p>
        </w:tc>
        <w:tc>
          <w:tcPr>
            <w:tcW w:w="567" w:type="dxa"/>
            <w:tcBorders>
              <w:top w:val="single" w:sz="12"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13</w:t>
            </w:r>
          </w:p>
        </w:tc>
        <w:tc>
          <w:tcPr>
            <w:tcW w:w="567" w:type="dxa"/>
            <w:tcBorders>
              <w:top w:val="single" w:sz="12"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14</w:t>
            </w:r>
          </w:p>
        </w:tc>
        <w:tc>
          <w:tcPr>
            <w:tcW w:w="567" w:type="dxa"/>
            <w:tcBorders>
              <w:top w:val="single" w:sz="12"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b/>
                <w:sz w:val="18"/>
                <w:szCs w:val="22"/>
                <w:lang w:val="en-US"/>
              </w:rPr>
            </w:pPr>
            <w:r w:rsidRPr="003D0EB4">
              <w:rPr>
                <w:b/>
                <w:sz w:val="18"/>
                <w:szCs w:val="22"/>
                <w:lang w:val="en-US"/>
              </w:rPr>
              <w:t>36</w:t>
            </w:r>
          </w:p>
        </w:tc>
      </w:tr>
      <w:tr w:rsidR="00AC696A" w:rsidRPr="003D0EB4" w:rsidTr="003D0EB4">
        <w:trPr>
          <w:trHeight w:val="284"/>
        </w:trPr>
        <w:tc>
          <w:tcPr>
            <w:tcW w:w="2268" w:type="dxa"/>
            <w:shd w:val="clear" w:color="auto" w:fill="auto"/>
          </w:tcPr>
          <w:p w:rsidR="006C72E1" w:rsidRPr="003D0EB4" w:rsidRDefault="006C72E1" w:rsidP="003D0EB4">
            <w:pPr>
              <w:pStyle w:val="ParaNo0"/>
              <w:tabs>
                <w:tab w:val="clear" w:pos="737"/>
              </w:tabs>
              <w:spacing w:before="40" w:after="40" w:line="220" w:lineRule="exact"/>
              <w:rPr>
                <w:sz w:val="18"/>
                <w:szCs w:val="22"/>
                <w:lang w:val="en-US"/>
              </w:rPr>
            </w:pPr>
            <w:r w:rsidRPr="003D0EB4">
              <w:rPr>
                <w:sz w:val="18"/>
                <w:szCs w:val="22"/>
                <w:lang w:val="en-US"/>
              </w:rPr>
              <w:t>Closed</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20</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16</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15</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50</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90</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71</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20</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18</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b/>
                <w:sz w:val="18"/>
                <w:szCs w:val="22"/>
                <w:lang w:val="en-US"/>
              </w:rPr>
            </w:pPr>
            <w:r w:rsidRPr="003D0EB4">
              <w:rPr>
                <w:b/>
                <w:sz w:val="18"/>
                <w:szCs w:val="22"/>
                <w:lang w:val="en-US"/>
              </w:rPr>
              <w:t>300</w:t>
            </w:r>
          </w:p>
        </w:tc>
      </w:tr>
      <w:tr w:rsidR="00AC696A" w:rsidRPr="003D0EB4" w:rsidTr="003D0EB4">
        <w:trPr>
          <w:trHeight w:val="284"/>
        </w:trPr>
        <w:tc>
          <w:tcPr>
            <w:tcW w:w="2268" w:type="dxa"/>
            <w:shd w:val="clear" w:color="auto" w:fill="auto"/>
          </w:tcPr>
          <w:p w:rsidR="006C72E1" w:rsidRPr="003D0EB4" w:rsidRDefault="006C72E1" w:rsidP="003D0EB4">
            <w:pPr>
              <w:pStyle w:val="ParaNo0"/>
              <w:tabs>
                <w:tab w:val="clear" w:pos="737"/>
              </w:tabs>
              <w:spacing w:before="40" w:after="40" w:line="220" w:lineRule="exact"/>
              <w:rPr>
                <w:sz w:val="18"/>
                <w:szCs w:val="22"/>
                <w:lang w:val="en-US"/>
              </w:rPr>
            </w:pPr>
            <w:r w:rsidRPr="003D0EB4">
              <w:rPr>
                <w:sz w:val="18"/>
                <w:szCs w:val="22"/>
                <w:lang w:val="en-US"/>
              </w:rPr>
              <w:t>Prosecution being considered (by the State Attorney</w:t>
            </w:r>
            <w:r w:rsidR="00C05EBD">
              <w:rPr>
                <w:rFonts w:hint="eastAsia"/>
                <w:sz w:val="18"/>
                <w:szCs w:val="22"/>
                <w:lang w:val="en-US"/>
              </w:rPr>
              <w:t>’</w:t>
            </w:r>
            <w:r w:rsidRPr="003D0EB4">
              <w:rPr>
                <w:sz w:val="18"/>
                <w:szCs w:val="22"/>
                <w:lang w:val="en-US"/>
              </w:rPr>
              <w:t xml:space="preserve">s Office) </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4</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3</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8</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16</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20</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11</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11</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b/>
                <w:sz w:val="18"/>
                <w:szCs w:val="22"/>
                <w:lang w:val="en-US"/>
              </w:rPr>
            </w:pPr>
            <w:r w:rsidRPr="003D0EB4">
              <w:rPr>
                <w:b/>
                <w:sz w:val="18"/>
                <w:szCs w:val="22"/>
                <w:lang w:val="en-US"/>
              </w:rPr>
              <w:t>73</w:t>
            </w:r>
          </w:p>
        </w:tc>
      </w:tr>
      <w:tr w:rsidR="00AC696A" w:rsidRPr="003D0EB4" w:rsidTr="003D0EB4">
        <w:trPr>
          <w:trHeight w:val="284"/>
        </w:trPr>
        <w:tc>
          <w:tcPr>
            <w:tcW w:w="2268" w:type="dxa"/>
            <w:shd w:val="clear" w:color="auto" w:fill="auto"/>
          </w:tcPr>
          <w:p w:rsidR="006C72E1" w:rsidRPr="003D0EB4" w:rsidRDefault="006C72E1" w:rsidP="003D0EB4">
            <w:pPr>
              <w:pStyle w:val="ParaNo0"/>
              <w:tabs>
                <w:tab w:val="clear" w:pos="737"/>
              </w:tabs>
              <w:spacing w:before="40" w:after="40" w:line="220" w:lineRule="exact"/>
              <w:rPr>
                <w:sz w:val="18"/>
                <w:szCs w:val="22"/>
                <w:lang w:val="en-US"/>
              </w:rPr>
            </w:pPr>
            <w:r w:rsidRPr="003D0EB4">
              <w:rPr>
                <w:sz w:val="18"/>
                <w:szCs w:val="22"/>
                <w:lang w:val="en-US"/>
              </w:rPr>
              <w:t xml:space="preserve">Prosecution being considered (by Police Prosecution) </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2</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7</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3</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2</w:t>
            </w: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p>
        </w:tc>
        <w:tc>
          <w:tcPr>
            <w:tcW w:w="567" w:type="dxa"/>
            <w:shd w:val="clear" w:color="auto" w:fill="auto"/>
            <w:vAlign w:val="bottom"/>
          </w:tcPr>
          <w:p w:rsidR="006C72E1" w:rsidRPr="003D0EB4" w:rsidRDefault="006C72E1" w:rsidP="003D0EB4">
            <w:pPr>
              <w:pStyle w:val="ParaNo0"/>
              <w:tabs>
                <w:tab w:val="clear" w:pos="737"/>
              </w:tabs>
              <w:spacing w:before="40" w:after="40" w:line="220" w:lineRule="exact"/>
              <w:jc w:val="right"/>
              <w:rPr>
                <w:b/>
                <w:sz w:val="18"/>
                <w:szCs w:val="22"/>
                <w:lang w:val="en-US"/>
              </w:rPr>
            </w:pPr>
            <w:r w:rsidRPr="003D0EB4">
              <w:rPr>
                <w:b/>
                <w:sz w:val="18"/>
                <w:szCs w:val="22"/>
                <w:lang w:val="en-US"/>
              </w:rPr>
              <w:t>14</w:t>
            </w:r>
          </w:p>
        </w:tc>
      </w:tr>
      <w:tr w:rsidR="00AC696A" w:rsidRPr="003D0EB4" w:rsidTr="003D0EB4">
        <w:trPr>
          <w:trHeight w:val="284"/>
        </w:trPr>
        <w:tc>
          <w:tcPr>
            <w:tcW w:w="2268" w:type="dxa"/>
            <w:tcBorders>
              <w:bottom w:val="single" w:sz="4" w:space="0" w:color="auto"/>
            </w:tcBorders>
            <w:shd w:val="clear" w:color="auto" w:fill="auto"/>
          </w:tcPr>
          <w:p w:rsidR="006C72E1" w:rsidRPr="003D0EB4" w:rsidRDefault="006C72E1" w:rsidP="003D0EB4">
            <w:pPr>
              <w:pStyle w:val="ParaNo0"/>
              <w:tabs>
                <w:tab w:val="clear" w:pos="737"/>
              </w:tabs>
              <w:spacing w:before="40" w:after="40" w:line="220" w:lineRule="exact"/>
              <w:rPr>
                <w:sz w:val="18"/>
                <w:szCs w:val="22"/>
                <w:lang w:val="en-US"/>
              </w:rPr>
            </w:pPr>
            <w:r w:rsidRPr="003D0EB4">
              <w:rPr>
                <w:sz w:val="18"/>
                <w:szCs w:val="22"/>
                <w:lang w:val="en-US"/>
              </w:rPr>
              <w:t xml:space="preserve">Prosecuted </w:t>
            </w:r>
          </w:p>
        </w:tc>
        <w:tc>
          <w:tcPr>
            <w:tcW w:w="567" w:type="dxa"/>
            <w:tcBorders>
              <w:bottom w:val="single" w:sz="4"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5</w:t>
            </w:r>
          </w:p>
        </w:tc>
        <w:tc>
          <w:tcPr>
            <w:tcW w:w="567" w:type="dxa"/>
            <w:tcBorders>
              <w:bottom w:val="single" w:sz="4"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8</w:t>
            </w:r>
          </w:p>
        </w:tc>
        <w:tc>
          <w:tcPr>
            <w:tcW w:w="567" w:type="dxa"/>
            <w:tcBorders>
              <w:bottom w:val="single" w:sz="4"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7</w:t>
            </w:r>
          </w:p>
        </w:tc>
        <w:tc>
          <w:tcPr>
            <w:tcW w:w="567" w:type="dxa"/>
            <w:tcBorders>
              <w:bottom w:val="single" w:sz="4"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17</w:t>
            </w:r>
          </w:p>
        </w:tc>
        <w:tc>
          <w:tcPr>
            <w:tcW w:w="567" w:type="dxa"/>
            <w:tcBorders>
              <w:bottom w:val="single" w:sz="4"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5</w:t>
            </w:r>
          </w:p>
        </w:tc>
        <w:tc>
          <w:tcPr>
            <w:tcW w:w="567" w:type="dxa"/>
            <w:tcBorders>
              <w:bottom w:val="single" w:sz="4"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r w:rsidRPr="003D0EB4">
              <w:rPr>
                <w:sz w:val="18"/>
                <w:szCs w:val="22"/>
                <w:lang w:val="en-US"/>
              </w:rPr>
              <w:t>3</w:t>
            </w:r>
          </w:p>
        </w:tc>
        <w:tc>
          <w:tcPr>
            <w:tcW w:w="567" w:type="dxa"/>
            <w:tcBorders>
              <w:bottom w:val="single" w:sz="4"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p>
        </w:tc>
        <w:tc>
          <w:tcPr>
            <w:tcW w:w="567" w:type="dxa"/>
            <w:tcBorders>
              <w:bottom w:val="single" w:sz="4"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sz w:val="18"/>
                <w:szCs w:val="22"/>
                <w:lang w:val="en-US"/>
              </w:rPr>
            </w:pPr>
          </w:p>
        </w:tc>
        <w:tc>
          <w:tcPr>
            <w:tcW w:w="567" w:type="dxa"/>
            <w:tcBorders>
              <w:bottom w:val="single" w:sz="4" w:space="0" w:color="auto"/>
            </w:tcBorders>
            <w:shd w:val="clear" w:color="auto" w:fill="auto"/>
            <w:vAlign w:val="bottom"/>
          </w:tcPr>
          <w:p w:rsidR="006C72E1" w:rsidRPr="003D0EB4" w:rsidRDefault="006C72E1" w:rsidP="003D0EB4">
            <w:pPr>
              <w:pStyle w:val="ParaNo0"/>
              <w:tabs>
                <w:tab w:val="clear" w:pos="737"/>
              </w:tabs>
              <w:spacing w:before="40" w:after="40" w:line="220" w:lineRule="exact"/>
              <w:jc w:val="right"/>
              <w:rPr>
                <w:b/>
                <w:sz w:val="18"/>
                <w:szCs w:val="22"/>
                <w:lang w:val="en-US"/>
              </w:rPr>
            </w:pPr>
            <w:r w:rsidRPr="003D0EB4">
              <w:rPr>
                <w:b/>
                <w:sz w:val="18"/>
                <w:szCs w:val="22"/>
                <w:lang w:val="en-US"/>
              </w:rPr>
              <w:t>45</w:t>
            </w:r>
          </w:p>
        </w:tc>
      </w:tr>
      <w:tr w:rsidR="00AC696A" w:rsidRPr="003D0EB4" w:rsidTr="003D0EB4">
        <w:trPr>
          <w:trHeight w:val="284"/>
        </w:trPr>
        <w:tc>
          <w:tcPr>
            <w:tcW w:w="2268" w:type="dxa"/>
            <w:tcBorders>
              <w:top w:val="single" w:sz="4" w:space="0" w:color="auto"/>
              <w:bottom w:val="single" w:sz="12" w:space="0" w:color="auto"/>
            </w:tcBorders>
            <w:shd w:val="clear" w:color="auto" w:fill="auto"/>
          </w:tcPr>
          <w:p w:rsidR="006C72E1" w:rsidRPr="003D0EB4" w:rsidRDefault="006C72E1" w:rsidP="003D0EB4">
            <w:pPr>
              <w:pStyle w:val="ParaNo0"/>
              <w:tabs>
                <w:tab w:val="clear" w:pos="737"/>
              </w:tabs>
              <w:spacing w:before="80" w:after="80" w:line="220" w:lineRule="exact"/>
              <w:ind w:left="284"/>
              <w:rPr>
                <w:b/>
                <w:sz w:val="18"/>
                <w:szCs w:val="22"/>
                <w:lang w:val="en-US"/>
              </w:rPr>
            </w:pPr>
            <w:r w:rsidRPr="003D0EB4">
              <w:rPr>
                <w:b/>
                <w:sz w:val="18"/>
                <w:szCs w:val="22"/>
                <w:lang w:val="en-US"/>
              </w:rPr>
              <w:t xml:space="preserve">Total </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20" w:lineRule="exact"/>
              <w:jc w:val="right"/>
              <w:rPr>
                <w:b/>
                <w:sz w:val="18"/>
                <w:szCs w:val="22"/>
                <w:lang w:val="en-US"/>
              </w:rPr>
            </w:pPr>
            <w:r w:rsidRPr="003D0EB4">
              <w:rPr>
                <w:b/>
                <w:sz w:val="18"/>
                <w:szCs w:val="22"/>
                <w:lang w:val="en-US"/>
              </w:rPr>
              <w:t>25</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20" w:lineRule="exact"/>
              <w:jc w:val="right"/>
              <w:rPr>
                <w:b/>
                <w:sz w:val="18"/>
                <w:szCs w:val="22"/>
                <w:lang w:val="en-US"/>
              </w:rPr>
            </w:pPr>
            <w:r w:rsidRPr="003D0EB4">
              <w:rPr>
                <w:b/>
                <w:sz w:val="18"/>
                <w:szCs w:val="22"/>
                <w:lang w:val="en-US"/>
              </w:rPr>
              <w:t>29</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20" w:lineRule="exact"/>
              <w:jc w:val="right"/>
              <w:rPr>
                <w:b/>
                <w:sz w:val="18"/>
                <w:szCs w:val="22"/>
                <w:lang w:val="en-US"/>
              </w:rPr>
            </w:pPr>
            <w:r w:rsidRPr="003D0EB4">
              <w:rPr>
                <w:b/>
                <w:sz w:val="18"/>
                <w:szCs w:val="22"/>
                <w:lang w:val="en-US"/>
              </w:rPr>
              <w:t>25</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20" w:lineRule="exact"/>
              <w:jc w:val="right"/>
              <w:rPr>
                <w:b/>
                <w:sz w:val="18"/>
                <w:szCs w:val="22"/>
                <w:lang w:val="en-US"/>
              </w:rPr>
            </w:pPr>
            <w:r w:rsidRPr="003D0EB4">
              <w:rPr>
                <w:b/>
                <w:sz w:val="18"/>
                <w:szCs w:val="22"/>
                <w:lang w:val="en-US"/>
              </w:rPr>
              <w:t>78</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20" w:lineRule="exact"/>
              <w:jc w:val="right"/>
              <w:rPr>
                <w:b/>
                <w:sz w:val="18"/>
                <w:szCs w:val="22"/>
                <w:lang w:val="en-US"/>
              </w:rPr>
            </w:pPr>
            <w:r w:rsidRPr="003D0EB4">
              <w:rPr>
                <w:b/>
                <w:sz w:val="18"/>
                <w:szCs w:val="22"/>
                <w:lang w:val="en-US"/>
              </w:rPr>
              <w:t>122</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20" w:lineRule="exact"/>
              <w:jc w:val="right"/>
              <w:rPr>
                <w:b/>
                <w:sz w:val="18"/>
                <w:szCs w:val="22"/>
                <w:lang w:val="en-US"/>
              </w:rPr>
            </w:pPr>
            <w:r w:rsidRPr="003D0EB4">
              <w:rPr>
                <w:b/>
                <w:sz w:val="18"/>
                <w:szCs w:val="22"/>
                <w:lang w:val="en-US"/>
              </w:rPr>
              <w:t>100</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20" w:lineRule="exact"/>
              <w:jc w:val="right"/>
              <w:rPr>
                <w:b/>
                <w:sz w:val="18"/>
                <w:szCs w:val="22"/>
                <w:lang w:val="en-US"/>
              </w:rPr>
            </w:pPr>
            <w:r w:rsidRPr="003D0EB4">
              <w:rPr>
                <w:b/>
                <w:sz w:val="18"/>
                <w:szCs w:val="22"/>
                <w:lang w:val="en-US"/>
              </w:rPr>
              <w:t>46</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20" w:lineRule="exact"/>
              <w:jc w:val="right"/>
              <w:rPr>
                <w:b/>
                <w:sz w:val="18"/>
                <w:szCs w:val="22"/>
                <w:lang w:val="en-US"/>
              </w:rPr>
            </w:pPr>
            <w:r w:rsidRPr="003D0EB4">
              <w:rPr>
                <w:b/>
                <w:sz w:val="18"/>
                <w:szCs w:val="22"/>
                <w:lang w:val="en-US"/>
              </w:rPr>
              <w:t>43</w:t>
            </w:r>
          </w:p>
        </w:tc>
        <w:tc>
          <w:tcPr>
            <w:tcW w:w="567" w:type="dxa"/>
            <w:tcBorders>
              <w:top w:val="single" w:sz="4" w:space="0" w:color="auto"/>
              <w:bottom w:val="single" w:sz="12" w:space="0" w:color="auto"/>
            </w:tcBorders>
            <w:shd w:val="clear" w:color="auto" w:fill="auto"/>
            <w:vAlign w:val="bottom"/>
          </w:tcPr>
          <w:p w:rsidR="006C72E1" w:rsidRPr="003D0EB4" w:rsidRDefault="006C72E1" w:rsidP="003D0EB4">
            <w:pPr>
              <w:pStyle w:val="ParaNo0"/>
              <w:tabs>
                <w:tab w:val="clear" w:pos="737"/>
              </w:tabs>
              <w:spacing w:before="80" w:after="80" w:line="220" w:lineRule="exact"/>
              <w:jc w:val="right"/>
              <w:rPr>
                <w:b/>
                <w:sz w:val="18"/>
                <w:szCs w:val="22"/>
                <w:lang w:val="en-US"/>
              </w:rPr>
            </w:pPr>
            <w:r w:rsidRPr="003D0EB4">
              <w:rPr>
                <w:b/>
                <w:sz w:val="18"/>
                <w:szCs w:val="22"/>
                <w:lang w:val="en-US"/>
              </w:rPr>
              <w:t>468</w:t>
            </w:r>
          </w:p>
        </w:tc>
      </w:tr>
    </w:tbl>
    <w:p w:rsidR="006C72E1" w:rsidRPr="003D0EB4" w:rsidRDefault="006C72E1" w:rsidP="00B55042">
      <w:pPr>
        <w:pStyle w:val="SingleTxtG"/>
        <w:spacing w:before="120" w:after="240"/>
        <w:ind w:firstLine="170"/>
        <w:jc w:val="left"/>
        <w:rPr>
          <w:sz w:val="18"/>
          <w:szCs w:val="18"/>
        </w:rPr>
      </w:pPr>
      <w:r w:rsidRPr="003D0EB4">
        <w:rPr>
          <w:i/>
          <w:sz w:val="18"/>
          <w:szCs w:val="18"/>
        </w:rPr>
        <w:t>Source</w:t>
      </w:r>
      <w:r w:rsidRPr="003D0EB4">
        <w:rPr>
          <w:sz w:val="18"/>
          <w:szCs w:val="18"/>
        </w:rPr>
        <w:t xml:space="preserve">: Israel Police, </w:t>
      </w:r>
      <w:r w:rsidR="00724F56">
        <w:rPr>
          <w:sz w:val="18"/>
          <w:szCs w:val="18"/>
        </w:rPr>
        <w:t xml:space="preserve">22 </w:t>
      </w:r>
      <w:r w:rsidRPr="003D0EB4">
        <w:rPr>
          <w:sz w:val="18"/>
          <w:szCs w:val="18"/>
        </w:rPr>
        <w:t>February 2012.</w:t>
      </w:r>
    </w:p>
    <w:p w:rsidR="006C72E1" w:rsidRPr="002D2C27" w:rsidRDefault="00AC696A" w:rsidP="00A91DCB">
      <w:pPr>
        <w:pStyle w:val="HChG"/>
        <w:rPr>
          <w:lang w:val="en-US"/>
        </w:rPr>
      </w:pPr>
      <w:bookmarkStart w:id="8" w:name="_Toc335890804"/>
      <w:r>
        <w:rPr>
          <w:lang w:val="en-US"/>
        </w:rPr>
        <w:tab/>
      </w:r>
      <w:r>
        <w:rPr>
          <w:lang w:val="en-US"/>
        </w:rPr>
        <w:tab/>
      </w:r>
      <w:r w:rsidR="000416BC">
        <w:rPr>
          <w:lang w:val="en-US"/>
        </w:rPr>
        <w:t>Article </w:t>
      </w:r>
      <w:r w:rsidR="006C72E1" w:rsidRPr="00111805">
        <w:rPr>
          <w:lang w:val="en-US"/>
        </w:rPr>
        <w:t>4</w:t>
      </w:r>
      <w:bookmarkEnd w:id="8"/>
    </w:p>
    <w:p w:rsidR="006C72E1" w:rsidRPr="002D2C27" w:rsidRDefault="00AC696A" w:rsidP="002C0C4A">
      <w:pPr>
        <w:pStyle w:val="H1G"/>
        <w:rPr>
          <w:lang w:val="en-US"/>
        </w:rPr>
      </w:pPr>
      <w:r>
        <w:rPr>
          <w:lang w:val="en-US"/>
        </w:rPr>
        <w:tab/>
      </w:r>
      <w:r>
        <w:rPr>
          <w:lang w:val="en-US"/>
        </w:rPr>
        <w:tab/>
      </w:r>
      <w:r w:rsidR="000416BC">
        <w:rPr>
          <w:lang w:val="en-US"/>
        </w:rPr>
        <w:t>Article </w:t>
      </w:r>
      <w:r w:rsidR="006C72E1" w:rsidRPr="002D2C27">
        <w:rPr>
          <w:lang w:val="en-US"/>
        </w:rPr>
        <w:t>4</w:t>
      </w:r>
      <w:r w:rsidR="00075DDC">
        <w:rPr>
          <w:lang w:val="en-US"/>
        </w:rPr>
        <w:t xml:space="preserve"> </w:t>
      </w:r>
      <w:r w:rsidR="006C72E1" w:rsidRPr="002D2C27">
        <w:rPr>
          <w:lang w:val="en-US"/>
        </w:rPr>
        <w:t xml:space="preserve">(1) </w:t>
      </w:r>
      <w:r w:rsidR="00C96846">
        <w:rPr>
          <w:lang w:val="en-US"/>
        </w:rPr>
        <w:t xml:space="preserve">– </w:t>
      </w:r>
      <w:r w:rsidR="006C72E1" w:rsidRPr="002D2C27">
        <w:rPr>
          <w:lang w:val="en-US"/>
        </w:rPr>
        <w:t>Jurisdiction</w:t>
      </w:r>
    </w:p>
    <w:p w:rsidR="006C72E1" w:rsidRPr="00D75F8C" w:rsidRDefault="000416BC" w:rsidP="006D3B18">
      <w:pPr>
        <w:pStyle w:val="SingleTxtG"/>
        <w:numPr>
          <w:ilvl w:val="0"/>
          <w:numId w:val="12"/>
        </w:numPr>
        <w:ind w:left="1134" w:firstLine="0"/>
        <w:rPr>
          <w:lang w:val="en-US"/>
        </w:rPr>
      </w:pPr>
      <w:r>
        <w:rPr>
          <w:lang w:val="en-US"/>
        </w:rPr>
        <w:t>Article </w:t>
      </w:r>
      <w:r w:rsidR="006C72E1" w:rsidRPr="002D2C27">
        <w:rPr>
          <w:lang w:val="en-US"/>
        </w:rPr>
        <w:t>4</w:t>
      </w:r>
      <w:r w:rsidR="006C72E1">
        <w:rPr>
          <w:lang w:val="en-US"/>
        </w:rPr>
        <w:t>(1)</w:t>
      </w:r>
      <w:r w:rsidR="006C72E1" w:rsidRPr="002D2C27">
        <w:rPr>
          <w:lang w:val="en-US"/>
        </w:rPr>
        <w:t xml:space="preserve"> provides that each </w:t>
      </w:r>
      <w:r w:rsidR="006C72E1">
        <w:rPr>
          <w:lang w:val="en-US"/>
        </w:rPr>
        <w:t>S</w:t>
      </w:r>
      <w:r w:rsidR="006C72E1" w:rsidRPr="002D2C27">
        <w:rPr>
          <w:lang w:val="en-US"/>
        </w:rPr>
        <w:t xml:space="preserve">tate party shall take measures as may be necessary to establish jurisdiction over criminal conduct identified in </w:t>
      </w:r>
      <w:r>
        <w:rPr>
          <w:lang w:val="en-US"/>
        </w:rPr>
        <w:t>Article </w:t>
      </w:r>
      <w:r w:rsidR="006C72E1" w:rsidRPr="002D2C27">
        <w:rPr>
          <w:lang w:val="en-US"/>
        </w:rPr>
        <w:t>3(1)</w:t>
      </w:r>
      <w:r w:rsidR="006C72E1">
        <w:rPr>
          <w:lang w:val="en-US"/>
        </w:rPr>
        <w:t xml:space="preserve"> of the Protocol,</w:t>
      </w:r>
      <w:r w:rsidR="006C72E1" w:rsidRPr="002D2C27">
        <w:rPr>
          <w:lang w:val="en-US"/>
        </w:rPr>
        <w:t xml:space="preserve"> concerning the sale of children, child prost</w:t>
      </w:r>
      <w:r w:rsidR="006C72E1">
        <w:rPr>
          <w:lang w:val="en-US"/>
        </w:rPr>
        <w:t xml:space="preserve">itution, and child </w:t>
      </w:r>
      <w:r w:rsidR="006C72E1" w:rsidRPr="00440B0E">
        <w:rPr>
          <w:lang w:val="en-US"/>
        </w:rPr>
        <w:t xml:space="preserve">pornography, when the offenses are committed in its territory or on board a ship or aircraft registered in that State. </w:t>
      </w:r>
    </w:p>
    <w:p w:rsidR="006C72E1" w:rsidRPr="00312DD7" w:rsidRDefault="006C72E1" w:rsidP="006D3B18">
      <w:pPr>
        <w:pStyle w:val="SingleTxtG"/>
        <w:numPr>
          <w:ilvl w:val="0"/>
          <w:numId w:val="12"/>
        </w:numPr>
        <w:ind w:left="1134" w:firstLine="0"/>
      </w:pPr>
      <w:r w:rsidRPr="00440B0E">
        <w:t>Israeli criminal laws apply to all domestic offenses (</w:t>
      </w:r>
      <w:r w:rsidR="001A574A">
        <w:t>Section </w:t>
      </w:r>
      <w:r w:rsidRPr="00440B0E">
        <w:t xml:space="preserve">12 of the </w:t>
      </w:r>
      <w:r w:rsidRPr="00312DD7">
        <w:t>Penal Law</w:t>
      </w:r>
      <w:r w:rsidR="000A2D6F" w:rsidRPr="00312DD7">
        <w:t>). For such purpose, the term “</w:t>
      </w:r>
      <w:r w:rsidRPr="00312DD7">
        <w:t>offense</w:t>
      </w:r>
      <w:r w:rsidR="000A2D6F" w:rsidRPr="00312DD7">
        <w:t>”</w:t>
      </w:r>
      <w:r w:rsidRPr="00312DD7">
        <w:t xml:space="preserve"> includes every offense committed within Israeli territory, fully or partially, or an act in preparation for the commission of an offense, an attempt, an attempt to induce another to commit an offense, or a conspiracy to commit an offense committed abroad, on condition that all or part of the offense was intended to be committed within Isra</w:t>
      </w:r>
      <w:r w:rsidR="000A2D6F" w:rsidRPr="00312DD7">
        <w:t>el</w:t>
      </w:r>
      <w:r w:rsidR="00EC44F2">
        <w:t>i</w:t>
      </w:r>
      <w:r w:rsidR="000A2D6F" w:rsidRPr="00312DD7">
        <w:t xml:space="preserve"> territory; for this matter, “</w:t>
      </w:r>
      <w:r w:rsidRPr="00312DD7">
        <w:t>Israel</w:t>
      </w:r>
      <w:r w:rsidR="00EC44F2">
        <w:t>i</w:t>
      </w:r>
      <w:r w:rsidRPr="00312DD7">
        <w:t xml:space="preserve"> territory</w:t>
      </w:r>
      <w:r w:rsidR="000A2D6F" w:rsidRPr="00312DD7">
        <w:t>”</w:t>
      </w:r>
      <w:r w:rsidRPr="00312DD7">
        <w:t xml:space="preserve"> is the area of Israeli sovereignty, including the strip of its coastal waters, as well as every vessel and every aircraft registered in Israel (</w:t>
      </w:r>
      <w:r w:rsidR="001A574A" w:rsidRPr="00312DD7">
        <w:t>Section </w:t>
      </w:r>
      <w:r w:rsidRPr="00312DD7">
        <w:t xml:space="preserve">7 of the Penal Law). </w:t>
      </w:r>
    </w:p>
    <w:p w:rsidR="006C72E1" w:rsidRPr="00312DD7" w:rsidRDefault="006C72E1" w:rsidP="006D3B18">
      <w:pPr>
        <w:pStyle w:val="SingleTxtG"/>
        <w:numPr>
          <w:ilvl w:val="0"/>
          <w:numId w:val="12"/>
        </w:numPr>
        <w:ind w:left="1134" w:firstLine="0"/>
      </w:pPr>
      <w:r w:rsidRPr="00312DD7">
        <w:t>In order to apply the Israeli Penal Law, it is important to ver</w:t>
      </w:r>
      <w:r w:rsidRPr="00440B0E">
        <w:t>ify that the applicability of Israeli criminal laws – also in respect of foreign offenses – is not restricted</w:t>
      </w:r>
      <w:r w:rsidRPr="00FA1382">
        <w:t xml:space="preserve"> by any foreign enactment or any act of a foreign </w:t>
      </w:r>
      <w:r>
        <w:t>c</w:t>
      </w:r>
      <w:r w:rsidRPr="00FA1382">
        <w:t xml:space="preserve">ourt of </w:t>
      </w:r>
      <w:r>
        <w:t>l</w:t>
      </w:r>
      <w:r w:rsidRPr="00FA1382">
        <w:t>aw, unless otherwise provide</w:t>
      </w:r>
      <w:r>
        <w:t>d</w:t>
      </w:r>
      <w:r w:rsidRPr="00FA1382">
        <w:t xml:space="preserve"> by </w:t>
      </w:r>
      <w:r>
        <w:t>l</w:t>
      </w:r>
      <w:r w:rsidRPr="00FA1382">
        <w:t xml:space="preserve">aw. Moreover, no person </w:t>
      </w:r>
      <w:r>
        <w:t>may</w:t>
      </w:r>
      <w:r w:rsidRPr="00FA1382">
        <w:t xml:space="preserve"> be put on trial for a foreign offense, except by the Attorney General or with his</w:t>
      </w:r>
      <w:r>
        <w:t>/her</w:t>
      </w:r>
      <w:r w:rsidRPr="00FA1382">
        <w:t xml:space="preserve"> written consent, if he</w:t>
      </w:r>
      <w:r>
        <w:t>/she</w:t>
      </w:r>
      <w:r w:rsidRPr="00FA1382">
        <w:t xml:space="preserve"> concluded that doing so is in the </w:t>
      </w:r>
      <w:r w:rsidRPr="00F314E2">
        <w:t>public interest; Israeli criminal</w:t>
      </w:r>
      <w:r w:rsidRPr="00FA1382">
        <w:t xml:space="preserve"> laws </w:t>
      </w:r>
      <w:r>
        <w:t>do</w:t>
      </w:r>
      <w:r w:rsidRPr="00FA1382">
        <w:t xml:space="preserve"> not appl</w:t>
      </w:r>
      <w:r>
        <w:t>y</w:t>
      </w:r>
      <w:r w:rsidRPr="00FA1382">
        <w:t xml:space="preserve"> </w:t>
      </w:r>
      <w:r>
        <w:t>in respect of</w:t>
      </w:r>
      <w:r w:rsidRPr="00FA1382">
        <w:t xml:space="preserve"> an offense if the person was tried for it abroad at the request of the State of Israel and</w:t>
      </w:r>
      <w:r>
        <w:t>,</w:t>
      </w:r>
      <w:r w:rsidRPr="00FA1382">
        <w:t xml:space="preserve"> </w:t>
      </w:r>
      <w:r>
        <w:t>in the event that</w:t>
      </w:r>
      <w:r w:rsidRPr="00FA1382">
        <w:t xml:space="preserve"> he</w:t>
      </w:r>
      <w:r>
        <w:t>/she</w:t>
      </w:r>
      <w:r w:rsidRPr="00FA1382">
        <w:t xml:space="preserve"> was convicted there</w:t>
      </w:r>
      <w:r>
        <w:t xml:space="preserve">, </w:t>
      </w:r>
      <w:r w:rsidRPr="00FA1382">
        <w:t>he</w:t>
      </w:r>
      <w:r>
        <w:t>/she</w:t>
      </w:r>
      <w:r w:rsidRPr="00FA1382">
        <w:t xml:space="preserve"> </w:t>
      </w:r>
      <w:r>
        <w:t>served his/her sentence</w:t>
      </w:r>
      <w:r w:rsidRPr="00FA1382">
        <w:t>.</w:t>
      </w:r>
      <w:r>
        <w:t xml:space="preserve"> </w:t>
      </w:r>
      <w:r w:rsidRPr="00FA1382">
        <w:t xml:space="preserve">In any case, </w:t>
      </w:r>
      <w:r>
        <w:t xml:space="preserve">if </w:t>
      </w:r>
      <w:r w:rsidRPr="00F314E2">
        <w:t>Israeli</w:t>
      </w:r>
      <w:r w:rsidRPr="00FA1382">
        <w:t xml:space="preserve"> </w:t>
      </w:r>
      <w:r>
        <w:t>criminal</w:t>
      </w:r>
      <w:r w:rsidRPr="00FA1382">
        <w:t xml:space="preserve"> laws can be applied by virtue of several ways of applicability, they shall be applicable by the least restricted applicability (</w:t>
      </w:r>
      <w:r w:rsidR="001A574A">
        <w:t>Section </w:t>
      </w:r>
      <w:r w:rsidRPr="00FA1382">
        <w:t xml:space="preserve">9 of the </w:t>
      </w:r>
      <w:r w:rsidRPr="00312DD7">
        <w:t xml:space="preserve">Penal Law). </w:t>
      </w:r>
    </w:p>
    <w:p w:rsidR="006C72E1" w:rsidRDefault="006C72E1" w:rsidP="009A3379">
      <w:pPr>
        <w:pStyle w:val="SingleTxtG"/>
        <w:numPr>
          <w:ilvl w:val="0"/>
          <w:numId w:val="12"/>
        </w:numPr>
        <w:ind w:left="1134" w:firstLine="0"/>
      </w:pPr>
      <w:r w:rsidRPr="00312DD7">
        <w:t>In addition to the applicability of the Penal Law according to the sections mentioned above, the State of Israel can establish jurisdiction</w:t>
      </w:r>
      <w:r w:rsidRPr="00FA1382">
        <w:t xml:space="preserve"> over foreign offen</w:t>
      </w:r>
      <w:r>
        <w:t>s</w:t>
      </w:r>
      <w:r w:rsidRPr="00FA1382">
        <w:t xml:space="preserve">es </w:t>
      </w:r>
      <w:r w:rsidRPr="004B4B36">
        <w:t>through international conventions, at</w:t>
      </w:r>
      <w:r w:rsidRPr="00FA1382">
        <w:t xml:space="preserve"> the request of a foreign </w:t>
      </w:r>
      <w:r w:rsidR="009A3379">
        <w:t>S</w:t>
      </w:r>
      <w:r>
        <w:t xml:space="preserve">tate and on a reciprocal basis, provided that </w:t>
      </w:r>
      <w:r w:rsidRPr="00FA1382">
        <w:t xml:space="preserve">the </w:t>
      </w:r>
      <w:r>
        <w:t xml:space="preserve">criminal </w:t>
      </w:r>
      <w:r w:rsidRPr="00FA1382">
        <w:t xml:space="preserve">laws of the requesting </w:t>
      </w:r>
      <w:r w:rsidR="009A3379">
        <w:t>S</w:t>
      </w:r>
      <w:r w:rsidRPr="00FA1382">
        <w:t>tate apply to the offense;</w:t>
      </w:r>
      <w:r>
        <w:t xml:space="preserve"> and that </w:t>
      </w:r>
      <w:r w:rsidRPr="00FA1382">
        <w:t>the offense was committed by a person who is on Israel</w:t>
      </w:r>
      <w:r>
        <w:t>i</w:t>
      </w:r>
      <w:r w:rsidRPr="00FA1382">
        <w:t xml:space="preserve"> territory and who is an Israel</w:t>
      </w:r>
      <w:r>
        <w:t>i</w:t>
      </w:r>
      <w:r w:rsidRPr="00FA1382">
        <w:t xml:space="preserve"> resident, whether</w:t>
      </w:r>
      <w:r>
        <w:t xml:space="preserve"> or not he/she is an Israeli citizen. </w:t>
      </w:r>
      <w:r w:rsidRPr="00FA1382">
        <w:t>Subject</w:t>
      </w:r>
      <w:r>
        <w:t xml:space="preserve"> </w:t>
      </w:r>
      <w:r w:rsidRPr="00FA1382">
        <w:t xml:space="preserve">to the </w:t>
      </w:r>
      <w:r>
        <w:t xml:space="preserve">application of Israeli </w:t>
      </w:r>
      <w:r w:rsidRPr="00111805">
        <w:t xml:space="preserve">law against that person, the requesting </w:t>
      </w:r>
      <w:r w:rsidR="009A3379">
        <w:t>S</w:t>
      </w:r>
      <w:r w:rsidRPr="00111805">
        <w:t>tate must waive the</w:t>
      </w:r>
      <w:r w:rsidRPr="00FA1382">
        <w:t xml:space="preserve"> applicability of its law to the case at hand.</w:t>
      </w:r>
      <w:r>
        <w:t xml:space="preserve"> Finally, the </w:t>
      </w:r>
      <w:r w:rsidRPr="00FA1382">
        <w:t xml:space="preserve">penalty </w:t>
      </w:r>
      <w:r>
        <w:t xml:space="preserve">imposed </w:t>
      </w:r>
      <w:r w:rsidRPr="00FA1382">
        <w:t>for th</w:t>
      </w:r>
      <w:r>
        <w:t xml:space="preserve">at </w:t>
      </w:r>
      <w:r w:rsidRPr="00FA1382">
        <w:t>offense</w:t>
      </w:r>
      <w:r>
        <w:t xml:space="preserve"> </w:t>
      </w:r>
      <w:r w:rsidR="000A2D6F">
        <w:t>cannot</w:t>
      </w:r>
      <w:r>
        <w:t xml:space="preserve"> be more severe </w:t>
      </w:r>
      <w:r w:rsidRPr="00FA1382">
        <w:t xml:space="preserve">than </w:t>
      </w:r>
      <w:r>
        <w:t xml:space="preserve">that </w:t>
      </w:r>
      <w:r w:rsidRPr="00FA1382">
        <w:t>could have been imposed under the laws of the</w:t>
      </w:r>
      <w:r>
        <w:t xml:space="preserve"> requesting </w:t>
      </w:r>
      <w:r w:rsidR="009A3379">
        <w:t>S</w:t>
      </w:r>
      <w:r w:rsidRPr="00FA1382">
        <w:t>tate</w:t>
      </w:r>
      <w:r>
        <w:t xml:space="preserve">. Additional relevant provisions may </w:t>
      </w:r>
      <w:r w:rsidRPr="00FA1382">
        <w:t xml:space="preserve">be set </w:t>
      </w:r>
      <w:r w:rsidRPr="00F314E2">
        <w:t>in the convention</w:t>
      </w:r>
      <w:r w:rsidRPr="00FA1382">
        <w:t>.</w:t>
      </w:r>
      <w:r>
        <w:t xml:space="preserve"> </w:t>
      </w:r>
    </w:p>
    <w:p w:rsidR="006C72E1" w:rsidRPr="000A2D6F" w:rsidRDefault="00AC696A" w:rsidP="00DF44B7">
      <w:pPr>
        <w:pStyle w:val="H1G"/>
        <w:rPr>
          <w:szCs w:val="24"/>
          <w:lang w:val="en-US"/>
        </w:rPr>
      </w:pPr>
      <w:r>
        <w:rPr>
          <w:lang w:val="en-US"/>
        </w:rPr>
        <w:tab/>
      </w:r>
      <w:r w:rsidR="001D2983">
        <w:rPr>
          <w:lang w:val="en-US"/>
        </w:rPr>
        <w:tab/>
      </w:r>
      <w:r w:rsidR="000416BC">
        <w:rPr>
          <w:lang w:val="en-US"/>
        </w:rPr>
        <w:t>Article </w:t>
      </w:r>
      <w:r w:rsidR="006C72E1" w:rsidRPr="002D2C27">
        <w:rPr>
          <w:lang w:val="en-US"/>
        </w:rPr>
        <w:t>4</w:t>
      </w:r>
      <w:r w:rsidR="00075DDC">
        <w:rPr>
          <w:lang w:val="en-US"/>
        </w:rPr>
        <w:t xml:space="preserve"> </w:t>
      </w:r>
      <w:r w:rsidR="006C72E1" w:rsidRPr="002D2C27">
        <w:rPr>
          <w:lang w:val="en-US"/>
        </w:rPr>
        <w:t>(2)</w:t>
      </w:r>
      <w:r w:rsidR="001D2983">
        <w:rPr>
          <w:lang w:val="en-US"/>
        </w:rPr>
        <w:t xml:space="preserve"> </w:t>
      </w:r>
      <w:r w:rsidR="006C72E1" w:rsidRPr="002D2C27">
        <w:rPr>
          <w:lang w:val="en-US"/>
        </w:rPr>
        <w:t>(a) – Offen</w:t>
      </w:r>
      <w:r w:rsidR="006C72E1">
        <w:rPr>
          <w:lang w:val="en-US"/>
        </w:rPr>
        <w:t>s</w:t>
      </w:r>
      <w:r w:rsidR="006C72E1" w:rsidRPr="002D2C27">
        <w:rPr>
          <w:lang w:val="en-US"/>
        </w:rPr>
        <w:t xml:space="preserve">es </w:t>
      </w:r>
      <w:r w:rsidR="00DF44B7">
        <w:rPr>
          <w:lang w:val="en-US"/>
        </w:rPr>
        <w:t>c</w:t>
      </w:r>
      <w:r w:rsidR="006C72E1" w:rsidRPr="002D2C27">
        <w:rPr>
          <w:lang w:val="en-US"/>
        </w:rPr>
        <w:t xml:space="preserve">ommitted </w:t>
      </w:r>
      <w:r w:rsidR="006C72E1">
        <w:rPr>
          <w:lang w:val="en-US"/>
        </w:rPr>
        <w:t xml:space="preserve">by </w:t>
      </w:r>
      <w:r w:rsidR="00DF44B7">
        <w:rPr>
          <w:lang w:val="en-US"/>
        </w:rPr>
        <w:t>n</w:t>
      </w:r>
      <w:r w:rsidR="006C72E1" w:rsidRPr="002D2C27">
        <w:rPr>
          <w:lang w:val="en-US"/>
        </w:rPr>
        <w:t xml:space="preserve">ationals </w:t>
      </w:r>
      <w:r w:rsidR="006C72E1">
        <w:rPr>
          <w:lang w:val="en-US"/>
        </w:rPr>
        <w:t>or</w:t>
      </w:r>
      <w:r w:rsidR="006C72E1" w:rsidRPr="002D2C27">
        <w:rPr>
          <w:lang w:val="en-US"/>
        </w:rPr>
        <w:t xml:space="preserve"> </w:t>
      </w:r>
      <w:r w:rsidR="00DF44B7">
        <w:rPr>
          <w:lang w:val="en-US"/>
        </w:rPr>
        <w:t>a</w:t>
      </w:r>
      <w:r w:rsidR="006C72E1" w:rsidRPr="002D2C27">
        <w:rPr>
          <w:lang w:val="en-US"/>
        </w:rPr>
        <w:t xml:space="preserve">gainst </w:t>
      </w:r>
      <w:r w:rsidR="00DF44B7">
        <w:rPr>
          <w:lang w:val="en-US"/>
        </w:rPr>
        <w:t>n</w:t>
      </w:r>
      <w:r w:rsidR="006C72E1" w:rsidRPr="002D2C27">
        <w:rPr>
          <w:lang w:val="en-US"/>
        </w:rPr>
        <w:t xml:space="preserve">ationals </w:t>
      </w:r>
    </w:p>
    <w:p w:rsidR="006C72E1" w:rsidRPr="00312DD7" w:rsidRDefault="006C72E1" w:rsidP="000A60B7">
      <w:pPr>
        <w:pStyle w:val="SingleTxtG"/>
        <w:numPr>
          <w:ilvl w:val="0"/>
          <w:numId w:val="12"/>
        </w:numPr>
        <w:ind w:left="1134" w:firstLine="0"/>
      </w:pPr>
      <w:r w:rsidRPr="00A34354">
        <w:t xml:space="preserve">In regard to offenses committed against </w:t>
      </w:r>
      <w:r>
        <w:t xml:space="preserve">an </w:t>
      </w:r>
      <w:r w:rsidRPr="00A34354">
        <w:t>Israel</w:t>
      </w:r>
      <w:r>
        <w:t>i</w:t>
      </w:r>
      <w:r w:rsidRPr="00A34354">
        <w:t xml:space="preserve"> citizen or </w:t>
      </w:r>
      <w:r>
        <w:t xml:space="preserve">an </w:t>
      </w:r>
      <w:r w:rsidRPr="00A34354">
        <w:t>Israel</w:t>
      </w:r>
      <w:r>
        <w:t>i</w:t>
      </w:r>
      <w:r w:rsidRPr="00A34354">
        <w:t xml:space="preserve"> resident</w:t>
      </w:r>
      <w:r w:rsidRPr="00E11DFA">
        <w:rPr>
          <w:b/>
          <w:bCs/>
        </w:rPr>
        <w:t xml:space="preserve">, </w:t>
      </w:r>
      <w:r w:rsidRPr="00E11DFA">
        <w:t xml:space="preserve">the </w:t>
      </w:r>
      <w:r w:rsidRPr="00312DD7">
        <w:t>Penal Law applies to foreign offenses committed against the life, body, health or freedom of an Israeli citizen or of an Israeli resident, for which the maximum penalty is one year</w:t>
      </w:r>
      <w:r w:rsidR="009A3379">
        <w:t>’s</w:t>
      </w:r>
      <w:r w:rsidRPr="00312DD7">
        <w:t xml:space="preserve"> imprisonment or more. As mentioned above, according to Israeli law, the acts referred to by the Protocol are punishable by penalties that exceed one year</w:t>
      </w:r>
      <w:r w:rsidR="000A60B7">
        <w:t>’s</w:t>
      </w:r>
      <w:r w:rsidRPr="00312DD7">
        <w:t xml:space="preserve"> imprisonment and therefore, the Penal Law applies to such acts. </w:t>
      </w:r>
    </w:p>
    <w:p w:rsidR="006C72E1" w:rsidRPr="00312DD7" w:rsidRDefault="006C72E1" w:rsidP="000A60B7">
      <w:pPr>
        <w:pStyle w:val="SingleTxtG"/>
        <w:numPr>
          <w:ilvl w:val="0"/>
          <w:numId w:val="12"/>
        </w:numPr>
        <w:ind w:left="1134" w:firstLine="0"/>
      </w:pPr>
      <w:r w:rsidRPr="00312DD7">
        <w:t xml:space="preserve">However, if the offense was committed on a territory that is subject to the jurisdiction of another </w:t>
      </w:r>
      <w:r w:rsidR="000A60B7">
        <w:t>S</w:t>
      </w:r>
      <w:r w:rsidRPr="00312DD7">
        <w:t>tate, then the criminal laws shall apply to it only if all the following conditions are met (</w:t>
      </w:r>
      <w:r w:rsidR="001A574A" w:rsidRPr="00312DD7">
        <w:t>Section </w:t>
      </w:r>
      <w:r w:rsidRPr="00312DD7">
        <w:t>14(b) of the Penal Law):</w:t>
      </w:r>
    </w:p>
    <w:p w:rsidR="006C72E1" w:rsidRPr="00E11DFA" w:rsidRDefault="006C72E1" w:rsidP="000A2D6F">
      <w:pPr>
        <w:pStyle w:val="SingleTxtG"/>
        <w:ind w:firstLine="567"/>
      </w:pPr>
      <w:r w:rsidRPr="00E11DFA">
        <w:t>(</w:t>
      </w:r>
      <w:r w:rsidR="00EA0453">
        <w:t>a</w:t>
      </w:r>
      <w:r w:rsidRPr="00E11DFA">
        <w:t>)</w:t>
      </w:r>
      <w:r w:rsidRPr="00E11DFA">
        <w:tab/>
      </w:r>
      <w:r>
        <w:t>I</w:t>
      </w:r>
      <w:r w:rsidRPr="00E11DFA">
        <w:t xml:space="preserve">t is an offense also under the </w:t>
      </w:r>
      <w:r>
        <w:t>l</w:t>
      </w:r>
      <w:r w:rsidRPr="00E11DFA">
        <w:t xml:space="preserve">aws of that </w:t>
      </w:r>
      <w:r>
        <w:t>S</w:t>
      </w:r>
      <w:r w:rsidRPr="00E11DFA">
        <w:t>tate;</w:t>
      </w:r>
    </w:p>
    <w:p w:rsidR="006C72E1" w:rsidRPr="00E11DFA" w:rsidRDefault="00EA0453" w:rsidP="000A2D6F">
      <w:pPr>
        <w:pStyle w:val="SingleTxtG"/>
        <w:ind w:firstLine="567"/>
      </w:pPr>
      <w:r>
        <w:t>(b</w:t>
      </w:r>
      <w:r w:rsidR="006C72E1" w:rsidRPr="00E11DFA">
        <w:t>)</w:t>
      </w:r>
      <w:r w:rsidR="006C72E1" w:rsidRPr="00E11DFA">
        <w:tab/>
      </w:r>
      <w:r w:rsidR="006C72E1">
        <w:t>N</w:t>
      </w:r>
      <w:r w:rsidR="006C72E1" w:rsidRPr="00E11DFA">
        <w:t xml:space="preserve">o restriction on criminal liability applies to the offense under the </w:t>
      </w:r>
      <w:r w:rsidR="006C72E1">
        <w:t>l</w:t>
      </w:r>
      <w:r w:rsidR="006C72E1" w:rsidRPr="00E11DFA">
        <w:t xml:space="preserve">aws of that </w:t>
      </w:r>
      <w:r w:rsidR="006C72E1">
        <w:t>S</w:t>
      </w:r>
      <w:r w:rsidR="006C72E1" w:rsidRPr="00E11DFA">
        <w:t>tate;</w:t>
      </w:r>
    </w:p>
    <w:p w:rsidR="006C72E1" w:rsidRPr="00E11DFA" w:rsidRDefault="00EA0453" w:rsidP="000A2D6F">
      <w:pPr>
        <w:pStyle w:val="SingleTxtG"/>
        <w:ind w:firstLine="567"/>
      </w:pPr>
      <w:r>
        <w:t>(c</w:t>
      </w:r>
      <w:r w:rsidR="006C72E1" w:rsidRPr="00E11DFA">
        <w:t>)</w:t>
      </w:r>
      <w:r w:rsidR="006C72E1" w:rsidRPr="00E11DFA">
        <w:tab/>
      </w:r>
      <w:r w:rsidR="006C72E1">
        <w:t>T</w:t>
      </w:r>
      <w:r w:rsidR="006C72E1" w:rsidRPr="00E11DFA">
        <w:t xml:space="preserve">he person was not already found innocent of it in that </w:t>
      </w:r>
      <w:r w:rsidR="006C72E1">
        <w:t>S</w:t>
      </w:r>
      <w:r w:rsidR="006C72E1" w:rsidRPr="00E11DFA">
        <w:t>tate, or – if he</w:t>
      </w:r>
      <w:r w:rsidR="006C72E1">
        <w:t>/she</w:t>
      </w:r>
      <w:r w:rsidR="006C72E1" w:rsidRPr="00E11DFA">
        <w:t xml:space="preserve"> was found guilty – he</w:t>
      </w:r>
      <w:r w:rsidR="006C72E1">
        <w:t>/she</w:t>
      </w:r>
      <w:r w:rsidR="006C72E1" w:rsidRPr="00E11DFA">
        <w:t xml:space="preserve"> did not serve the penalty </w:t>
      </w:r>
      <w:r w:rsidR="006C72E1">
        <w:t xml:space="preserve">that was </w:t>
      </w:r>
      <w:r w:rsidR="006C72E1" w:rsidRPr="00E11DFA">
        <w:t>imposed.</w:t>
      </w:r>
    </w:p>
    <w:p w:rsidR="006C72E1" w:rsidRPr="00B41CD3" w:rsidRDefault="006C72E1" w:rsidP="006D3B18">
      <w:pPr>
        <w:pStyle w:val="SingleTxtG"/>
        <w:numPr>
          <w:ilvl w:val="0"/>
          <w:numId w:val="12"/>
        </w:numPr>
        <w:ind w:left="1134" w:firstLine="0"/>
        <w:rPr>
          <w:iCs/>
        </w:rPr>
      </w:pPr>
      <w:r w:rsidRPr="005C3858">
        <w:t>In such cases, the</w:t>
      </w:r>
      <w:r w:rsidRPr="00E11DFA">
        <w:t xml:space="preserve"> penalty imposed for that offense </w:t>
      </w:r>
      <w:r w:rsidR="000A2D6F" w:rsidRPr="00E11DFA">
        <w:t>cannot</w:t>
      </w:r>
      <w:r w:rsidRPr="00E11DFA">
        <w:t xml:space="preserve"> be more severe than</w:t>
      </w:r>
      <w:r>
        <w:t xml:space="preserve"> the penalty</w:t>
      </w:r>
      <w:r w:rsidRPr="00E11DFA">
        <w:t xml:space="preserve"> that could have been imposed under the laws of the </w:t>
      </w:r>
      <w:r>
        <w:t>S</w:t>
      </w:r>
      <w:r w:rsidRPr="00E11DFA">
        <w:t xml:space="preserve">tate in </w:t>
      </w:r>
      <w:r>
        <w:t>which the offense was committed (</w:t>
      </w:r>
      <w:r w:rsidR="001A574A">
        <w:t>Section </w:t>
      </w:r>
      <w:r>
        <w:t xml:space="preserve">14(c) of the </w:t>
      </w:r>
      <w:r w:rsidRPr="00B41CD3">
        <w:rPr>
          <w:iCs/>
        </w:rPr>
        <w:t xml:space="preserve">Penal Law). </w:t>
      </w:r>
    </w:p>
    <w:p w:rsidR="006C72E1" w:rsidRPr="005B1D7D" w:rsidRDefault="006C72E1" w:rsidP="000A60B7">
      <w:pPr>
        <w:pStyle w:val="SingleTxtG"/>
        <w:numPr>
          <w:ilvl w:val="0"/>
          <w:numId w:val="12"/>
        </w:numPr>
        <w:ind w:left="1134" w:firstLine="0"/>
      </w:pPr>
      <w:r w:rsidRPr="00B41CD3">
        <w:rPr>
          <w:iCs/>
        </w:rPr>
        <w:t xml:space="preserve">In regard to offenses committed by an Israeli citizen or an Israeli resident, the criminal laws of Israel apply to a foreign offense categorized as </w:t>
      </w:r>
      <w:r w:rsidR="000A60B7">
        <w:rPr>
          <w:iCs/>
        </w:rPr>
        <w:t xml:space="preserve">a </w:t>
      </w:r>
      <w:r w:rsidRPr="00B41CD3">
        <w:rPr>
          <w:iCs/>
        </w:rPr>
        <w:t>felony or misdemeanour (maximum penalty of three months</w:t>
      </w:r>
      <w:r w:rsidR="00C05EBD" w:rsidRPr="00B41CD3">
        <w:rPr>
          <w:rFonts w:hint="eastAsia"/>
          <w:iCs/>
        </w:rPr>
        <w:t>’</w:t>
      </w:r>
      <w:r w:rsidRPr="00B41CD3">
        <w:rPr>
          <w:iCs/>
        </w:rPr>
        <w:t xml:space="preserve"> imprisonment or more), which was committed by a person who, at the time the offense was committed or thereafter, was an Israeli citizen or an Israeli resident (</w:t>
      </w:r>
      <w:r w:rsidR="001A574A" w:rsidRPr="00B41CD3">
        <w:rPr>
          <w:iCs/>
        </w:rPr>
        <w:t>Section </w:t>
      </w:r>
      <w:r w:rsidRPr="00B41CD3">
        <w:rPr>
          <w:iCs/>
        </w:rPr>
        <w:t>15 of the Penal Law), unless such person was extradited from Israel to another country because of that offense and was tried there for that offense</w:t>
      </w:r>
      <w:r w:rsidR="001D2983" w:rsidRPr="00B41CD3">
        <w:rPr>
          <w:iCs/>
        </w:rPr>
        <w:t xml:space="preserve">. </w:t>
      </w:r>
      <w:r w:rsidRPr="00B41CD3">
        <w:rPr>
          <w:iCs/>
        </w:rPr>
        <w:t xml:space="preserve">In cases where the Penal Law applies, the above-mentioned restrictions in </w:t>
      </w:r>
      <w:r w:rsidR="001A574A" w:rsidRPr="00B41CD3">
        <w:rPr>
          <w:iCs/>
        </w:rPr>
        <w:t>Section </w:t>
      </w:r>
      <w:r w:rsidRPr="00B41CD3">
        <w:rPr>
          <w:iCs/>
        </w:rPr>
        <w:t xml:space="preserve">14(b) and (c) apply as well. However, the double criminality condition in </w:t>
      </w:r>
      <w:r w:rsidR="001A574A" w:rsidRPr="00B41CD3">
        <w:rPr>
          <w:iCs/>
        </w:rPr>
        <w:t>Section </w:t>
      </w:r>
      <w:r w:rsidRPr="00B41CD3">
        <w:rPr>
          <w:iCs/>
        </w:rPr>
        <w:t>14(b)(1) of the Penal Law does not apply with respect to any</w:t>
      </w:r>
      <w:r>
        <w:t xml:space="preserve"> of </w:t>
      </w:r>
      <w:r w:rsidRPr="005B1D7D">
        <w:t>the offense</w:t>
      </w:r>
      <w:r>
        <w:t>s</w:t>
      </w:r>
      <w:r w:rsidRPr="005B1D7D">
        <w:t xml:space="preserve"> </w:t>
      </w:r>
      <w:r>
        <w:t>set forth</w:t>
      </w:r>
      <w:r w:rsidRPr="005B1D7D">
        <w:t xml:space="preserve"> </w:t>
      </w:r>
      <w:r>
        <w:t>below</w:t>
      </w:r>
      <w:r w:rsidRPr="005B1D7D">
        <w:t xml:space="preserve"> </w:t>
      </w:r>
      <w:r>
        <w:t xml:space="preserve">if the person </w:t>
      </w:r>
      <w:r w:rsidRPr="005B1D7D">
        <w:t>was an Israel</w:t>
      </w:r>
      <w:r>
        <w:t>i</w:t>
      </w:r>
      <w:r w:rsidRPr="005B1D7D">
        <w:t xml:space="preserve"> citizen</w:t>
      </w:r>
      <w:r>
        <w:t xml:space="preserve"> at the time of commission of the offense</w:t>
      </w:r>
      <w:r w:rsidRPr="005B1D7D">
        <w:t xml:space="preserve">: </w:t>
      </w:r>
    </w:p>
    <w:p w:rsidR="006C72E1" w:rsidRPr="005B1D7D" w:rsidRDefault="006C72E1" w:rsidP="00860A69">
      <w:pPr>
        <w:pStyle w:val="SingleTxtG"/>
        <w:ind w:firstLine="567"/>
      </w:pPr>
      <w:r w:rsidRPr="005B1D7D">
        <w:t>(</w:t>
      </w:r>
      <w:r w:rsidR="00EA0453">
        <w:t>a</w:t>
      </w:r>
      <w:r w:rsidRPr="005B1D7D">
        <w:t>)</w:t>
      </w:r>
      <w:r w:rsidRPr="005B1D7D">
        <w:tab/>
      </w:r>
      <w:r>
        <w:t>A</w:t>
      </w:r>
      <w:r w:rsidRPr="005B1D7D">
        <w:t xml:space="preserve">n offense under </w:t>
      </w:r>
      <w:r w:rsidR="001A574A">
        <w:t>Section </w:t>
      </w:r>
      <w:r>
        <w:t>10</w:t>
      </w:r>
      <w:r w:rsidRPr="005B1D7D">
        <w:t xml:space="preserve"> of Chapter Eight (Prostitution and Obscenity), committed by a minor or in connection to a minor;</w:t>
      </w:r>
    </w:p>
    <w:p w:rsidR="006C72E1" w:rsidRPr="005B1D7D" w:rsidRDefault="006C72E1" w:rsidP="00860A69">
      <w:pPr>
        <w:pStyle w:val="SingleTxtG"/>
        <w:ind w:firstLine="567"/>
      </w:pPr>
      <w:r w:rsidRPr="005B1D7D">
        <w:t>(</w:t>
      </w:r>
      <w:r w:rsidR="00EA0453">
        <w:t>b</w:t>
      </w:r>
      <w:r w:rsidRPr="005B1D7D">
        <w:t>)</w:t>
      </w:r>
      <w:r w:rsidRPr="005B1D7D">
        <w:tab/>
      </w:r>
      <w:r>
        <w:t>C</w:t>
      </w:r>
      <w:r w:rsidRPr="005B1D7D">
        <w:t>onveying</w:t>
      </w:r>
      <w:r>
        <w:t xml:space="preserve"> a person</w:t>
      </w:r>
      <w:r w:rsidRPr="005B1D7D">
        <w:t xml:space="preserve"> beyond the </w:t>
      </w:r>
      <w:r>
        <w:t xml:space="preserve">boundaries </w:t>
      </w:r>
      <w:r w:rsidRPr="005B1D7D">
        <w:t>of the State</w:t>
      </w:r>
      <w:r w:rsidR="000A60B7">
        <w:t>,</w:t>
      </w:r>
      <w:r w:rsidRPr="005B1D7D">
        <w:t xml:space="preserve"> under </w:t>
      </w:r>
      <w:r w:rsidR="001A574A">
        <w:t>Section </w:t>
      </w:r>
      <w:r w:rsidRPr="005B1D7D">
        <w:t>370;</w:t>
      </w:r>
    </w:p>
    <w:p w:rsidR="006C72E1" w:rsidRPr="005B1D7D" w:rsidRDefault="006C72E1" w:rsidP="00860A69">
      <w:pPr>
        <w:pStyle w:val="SingleTxtG"/>
        <w:ind w:firstLine="567"/>
      </w:pPr>
      <w:r w:rsidRPr="005B1D7D">
        <w:t>(</w:t>
      </w:r>
      <w:r w:rsidR="00EA0453">
        <w:t>c</w:t>
      </w:r>
      <w:r w:rsidRPr="005B1D7D">
        <w:t>)</w:t>
      </w:r>
      <w:r w:rsidRPr="005B1D7D">
        <w:tab/>
      </w:r>
      <w:r>
        <w:t>C</w:t>
      </w:r>
      <w:r w:rsidRPr="005B1D7D">
        <w:t xml:space="preserve">ausing </w:t>
      </w:r>
      <w:r>
        <w:t xml:space="preserve">a person to leave a State for purposes of </w:t>
      </w:r>
      <w:r w:rsidRPr="005B1D7D">
        <w:t>prostitution or</w:t>
      </w:r>
      <w:r>
        <w:t xml:space="preserve"> slavery</w:t>
      </w:r>
      <w:r w:rsidR="000A60B7">
        <w:t>,</w:t>
      </w:r>
      <w:r>
        <w:t xml:space="preserve"> </w:t>
      </w:r>
      <w:r w:rsidRPr="005B1D7D">
        <w:t xml:space="preserve">under </w:t>
      </w:r>
      <w:r w:rsidR="001A574A">
        <w:t>Section </w:t>
      </w:r>
      <w:r w:rsidRPr="005B1D7D">
        <w:t>376B;</w:t>
      </w:r>
    </w:p>
    <w:p w:rsidR="006C72E1" w:rsidRDefault="006C72E1" w:rsidP="00860A69">
      <w:pPr>
        <w:pStyle w:val="SingleTxtG"/>
        <w:ind w:firstLine="567"/>
      </w:pPr>
      <w:r w:rsidRPr="005B1D7D">
        <w:t>(</w:t>
      </w:r>
      <w:r w:rsidR="00EA0453">
        <w:t>d</w:t>
      </w:r>
      <w:r w:rsidRPr="005B1D7D">
        <w:t>)</w:t>
      </w:r>
      <w:r w:rsidRPr="005B1D7D">
        <w:tab/>
      </w:r>
      <w:r>
        <w:t>Trafficking in persons</w:t>
      </w:r>
      <w:r w:rsidR="000A60B7">
        <w:t>,</w:t>
      </w:r>
      <w:r>
        <w:t xml:space="preserve"> </w:t>
      </w:r>
      <w:r w:rsidRPr="005B1D7D">
        <w:t xml:space="preserve">under </w:t>
      </w:r>
      <w:r w:rsidR="001A574A">
        <w:t>Section </w:t>
      </w:r>
      <w:r w:rsidRPr="005B1D7D">
        <w:t>377A.</w:t>
      </w:r>
    </w:p>
    <w:p w:rsidR="006C72E1" w:rsidRPr="002D2C27" w:rsidRDefault="00AC696A" w:rsidP="001D2983">
      <w:pPr>
        <w:pStyle w:val="HChG"/>
        <w:rPr>
          <w:lang w:val="en-US"/>
        </w:rPr>
      </w:pPr>
      <w:bookmarkStart w:id="9" w:name="_Toc335890805"/>
      <w:r>
        <w:rPr>
          <w:lang w:val="en-US"/>
        </w:rPr>
        <w:tab/>
      </w:r>
      <w:r>
        <w:rPr>
          <w:lang w:val="en-US"/>
        </w:rPr>
        <w:tab/>
      </w:r>
      <w:r w:rsidR="000416BC">
        <w:rPr>
          <w:lang w:val="en-US"/>
        </w:rPr>
        <w:t>Article </w:t>
      </w:r>
      <w:r w:rsidR="006C72E1" w:rsidRPr="002D2C27">
        <w:rPr>
          <w:lang w:val="en-US"/>
        </w:rPr>
        <w:t>5</w:t>
      </w:r>
      <w:bookmarkEnd w:id="9"/>
    </w:p>
    <w:p w:rsidR="006C72E1" w:rsidRPr="00A576DA" w:rsidRDefault="000416BC" w:rsidP="006D3B18">
      <w:pPr>
        <w:pStyle w:val="SingleTxtG"/>
        <w:numPr>
          <w:ilvl w:val="0"/>
          <w:numId w:val="12"/>
        </w:numPr>
        <w:ind w:left="1134" w:firstLine="0"/>
        <w:rPr>
          <w:i/>
          <w:iCs/>
          <w:lang w:val="en-US"/>
        </w:rPr>
      </w:pPr>
      <w:r>
        <w:rPr>
          <w:lang w:val="en-US"/>
        </w:rPr>
        <w:t>Article </w:t>
      </w:r>
      <w:r w:rsidR="006C72E1" w:rsidRPr="00A576DA">
        <w:rPr>
          <w:lang w:val="en-US"/>
        </w:rPr>
        <w:t>5 addresses the issue of extradition between State</w:t>
      </w:r>
      <w:r w:rsidR="000A60B7">
        <w:rPr>
          <w:lang w:val="en-US"/>
        </w:rPr>
        <w:t>s</w:t>
      </w:r>
      <w:r w:rsidR="006C72E1" w:rsidRPr="00A576DA">
        <w:rPr>
          <w:lang w:val="en-US"/>
        </w:rPr>
        <w:t xml:space="preserve"> parties in connection with the offen</w:t>
      </w:r>
      <w:r w:rsidR="006C72E1">
        <w:rPr>
          <w:lang w:val="en-US"/>
        </w:rPr>
        <w:t>s</w:t>
      </w:r>
      <w:r w:rsidR="006C72E1" w:rsidRPr="00A576DA">
        <w:rPr>
          <w:lang w:val="en-US"/>
        </w:rPr>
        <w:t xml:space="preserve">es referred to in </w:t>
      </w:r>
      <w:r>
        <w:rPr>
          <w:lang w:val="en-US"/>
        </w:rPr>
        <w:t>Article </w:t>
      </w:r>
      <w:r w:rsidR="006C72E1" w:rsidRPr="00A576DA">
        <w:rPr>
          <w:lang w:val="en-US"/>
        </w:rPr>
        <w:t>3(1) of the Protocol.</w:t>
      </w:r>
      <w:r w:rsidR="006C72E1" w:rsidRPr="00A576DA">
        <w:rPr>
          <w:i/>
          <w:iCs/>
          <w:lang w:val="en-US"/>
        </w:rPr>
        <w:t xml:space="preserve"> </w:t>
      </w:r>
    </w:p>
    <w:p w:rsidR="006C72E1" w:rsidRPr="00E328E5" w:rsidRDefault="006C72E1" w:rsidP="006D3B18">
      <w:pPr>
        <w:pStyle w:val="SingleTxtG"/>
        <w:numPr>
          <w:ilvl w:val="0"/>
          <w:numId w:val="12"/>
        </w:numPr>
        <w:ind w:left="1134" w:firstLine="0"/>
      </w:pPr>
      <w:r w:rsidRPr="00CA2FF8">
        <w:t xml:space="preserve">Extraditing a person from Israel to another country can be made only </w:t>
      </w:r>
      <w:r>
        <w:t>in accordance with</w:t>
      </w:r>
      <w:r w:rsidRPr="00CA2FF8">
        <w:t xml:space="preserve"> the provisions of the </w:t>
      </w:r>
      <w:r w:rsidRPr="00E328E5">
        <w:t>Extradition Law 5714-1954 (</w:t>
      </w:r>
      <w:r w:rsidR="00285CC4" w:rsidRPr="00E328E5">
        <w:t>“</w:t>
      </w:r>
      <w:r w:rsidRPr="00E328E5">
        <w:t>Extradition Law</w:t>
      </w:r>
      <w:r w:rsidR="00285CC4" w:rsidRPr="00E328E5">
        <w:rPr>
          <w:lang w:val="en-US"/>
        </w:rPr>
        <w:t>”</w:t>
      </w:r>
      <w:r w:rsidRPr="00E328E5">
        <w:rPr>
          <w:lang w:val="en-US"/>
        </w:rPr>
        <w:t>)</w:t>
      </w:r>
      <w:r w:rsidR="000A60B7">
        <w:rPr>
          <w:lang w:val="en-US"/>
        </w:rPr>
        <w:t>,</w:t>
      </w:r>
      <w:r w:rsidRPr="00E328E5">
        <w:t xml:space="preserve"> which regulates all aspects of extradition. </w:t>
      </w:r>
    </w:p>
    <w:p w:rsidR="006C72E1" w:rsidRPr="00E328E5" w:rsidRDefault="006C72E1" w:rsidP="000A60B7">
      <w:pPr>
        <w:pStyle w:val="SingleTxtG"/>
        <w:numPr>
          <w:ilvl w:val="0"/>
          <w:numId w:val="12"/>
        </w:numPr>
        <w:ind w:left="1134" w:firstLine="0"/>
      </w:pPr>
      <w:r w:rsidRPr="00E328E5">
        <w:t xml:space="preserve">According to the Extradition Law, extradition is possible only if there exists an extradition treaty in force between Israel and the requesting </w:t>
      </w:r>
      <w:r w:rsidR="000A60B7">
        <w:t>S</w:t>
      </w:r>
      <w:r w:rsidRPr="00E328E5">
        <w:t xml:space="preserve">tate and if the requested person is either a defendant or convicted of an extraditable offense. It is important to emphasize that reciprocity is an important condition applied in considering requests for extradition, unless determined otherwise by the Israeli Minister of Justice. </w:t>
      </w:r>
    </w:p>
    <w:p w:rsidR="006C72E1" w:rsidRDefault="006C72E1" w:rsidP="000A60B7">
      <w:pPr>
        <w:pStyle w:val="SingleTxtG"/>
        <w:numPr>
          <w:ilvl w:val="0"/>
          <w:numId w:val="12"/>
        </w:numPr>
        <w:ind w:left="1134" w:firstLine="0"/>
      </w:pPr>
      <w:r w:rsidRPr="00E328E5">
        <w:rPr>
          <w:color w:val="000000"/>
        </w:rPr>
        <w:t>For the purposes of the Extradition Law, a</w:t>
      </w:r>
      <w:r w:rsidR="00285CC4" w:rsidRPr="00E328E5">
        <w:rPr>
          <w:color w:val="000000"/>
        </w:rPr>
        <w:t xml:space="preserve"> “treaty”</w:t>
      </w:r>
      <w:r w:rsidRPr="00E328E5">
        <w:rPr>
          <w:color w:val="000000"/>
        </w:rPr>
        <w:t xml:space="preserve"> is either a bilateral agreement or a </w:t>
      </w:r>
      <w:r w:rsidRPr="00E328E5">
        <w:t xml:space="preserve">multilateral convention, including an agreement or convention that is not specific for extradition but includes provisions concerning this matter; or a special agreement between Israel and the requesting </w:t>
      </w:r>
      <w:r w:rsidR="000A60B7">
        <w:t>S</w:t>
      </w:r>
      <w:r w:rsidRPr="00E328E5">
        <w:t xml:space="preserve">tate concerning extraditing a specific person, </w:t>
      </w:r>
      <w:r w:rsidR="000A60B7">
        <w:rPr>
          <w:szCs w:val="24"/>
          <w:lang w:val="en-US"/>
        </w:rPr>
        <w:t>for example</w:t>
      </w:r>
      <w:r w:rsidRPr="00E328E5">
        <w:rPr>
          <w:szCs w:val="24"/>
          <w:lang w:val="en-US"/>
        </w:rPr>
        <w:t xml:space="preserve"> an ad</w:t>
      </w:r>
      <w:r w:rsidR="000A60B7">
        <w:rPr>
          <w:szCs w:val="24"/>
          <w:lang w:val="en-US"/>
        </w:rPr>
        <w:t> </w:t>
      </w:r>
      <w:r w:rsidRPr="00E328E5">
        <w:rPr>
          <w:szCs w:val="24"/>
          <w:lang w:val="en-US"/>
        </w:rPr>
        <w:t>hoc</w:t>
      </w:r>
      <w:r w:rsidRPr="00E328E5">
        <w:rPr>
          <w:lang w:val="en-US"/>
        </w:rPr>
        <w:t xml:space="preserve"> extradition</w:t>
      </w:r>
      <w:r w:rsidRPr="00E328E5">
        <w:rPr>
          <w:szCs w:val="24"/>
          <w:lang w:val="en-US"/>
        </w:rPr>
        <w:t xml:space="preserve"> agreement</w:t>
      </w:r>
      <w:r w:rsidRPr="00E328E5">
        <w:t>, in accordance with the Extradition Law.</w:t>
      </w:r>
      <w:r w:rsidRPr="00CA2FF8">
        <w:t xml:space="preserve"> </w:t>
      </w:r>
      <w:r>
        <w:t xml:space="preserve">An </w:t>
      </w:r>
      <w:r w:rsidR="00285CC4">
        <w:t>“</w:t>
      </w:r>
      <w:r>
        <w:t>e</w:t>
      </w:r>
      <w:r w:rsidRPr="00CA2FF8">
        <w:t>xtraditable offen</w:t>
      </w:r>
      <w:r>
        <w:t>s</w:t>
      </w:r>
      <w:r w:rsidR="00285CC4">
        <w:t>e”</w:t>
      </w:r>
      <w:r w:rsidRPr="00CA2FF8">
        <w:t xml:space="preserve"> is an offen</w:t>
      </w:r>
      <w:r>
        <w:t>s</w:t>
      </w:r>
      <w:r w:rsidRPr="00CA2FF8">
        <w:t>e that</w:t>
      </w:r>
      <w:r>
        <w:t>,</w:t>
      </w:r>
      <w:r w:rsidRPr="00CA2FF8">
        <w:t xml:space="preserve"> if committed in Israel</w:t>
      </w:r>
      <w:r>
        <w:t>,</w:t>
      </w:r>
      <w:r w:rsidRPr="00CA2FF8">
        <w:t xml:space="preserve"> would be punishable by at least one</w:t>
      </w:r>
      <w:r w:rsidR="000A60B7">
        <w:t> </w:t>
      </w:r>
      <w:r w:rsidRPr="00CA2FF8">
        <w:t>year</w:t>
      </w:r>
      <w:r w:rsidR="000A60B7">
        <w:t>’s</w:t>
      </w:r>
      <w:r w:rsidRPr="00CA2FF8">
        <w:t xml:space="preserve"> imprisonment.</w:t>
      </w:r>
      <w:r>
        <w:t xml:space="preserve"> As mentioned above, all acts and activities referred to by the Protocol are criminalized and punishable by penalties that exceed one year</w:t>
      </w:r>
      <w:r w:rsidR="000A60B7">
        <w:t>’s</w:t>
      </w:r>
      <w:r>
        <w:t xml:space="preserve"> imprisonment. They </w:t>
      </w:r>
      <w:r w:rsidR="00285CC4">
        <w:t>are thus considered “</w:t>
      </w:r>
      <w:r w:rsidRPr="00A576DA">
        <w:t>extraditable</w:t>
      </w:r>
      <w:r w:rsidR="00285CC4">
        <w:t xml:space="preserve"> offenses”</w:t>
      </w:r>
      <w:r>
        <w:t xml:space="preserve">. </w:t>
      </w:r>
    </w:p>
    <w:p w:rsidR="006C72E1" w:rsidRPr="00E328E5" w:rsidRDefault="006C72E1" w:rsidP="006D3B18">
      <w:pPr>
        <w:pStyle w:val="SingleTxtG"/>
        <w:numPr>
          <w:ilvl w:val="0"/>
          <w:numId w:val="12"/>
        </w:numPr>
        <w:ind w:left="1134" w:firstLine="0"/>
      </w:pPr>
      <w:r>
        <w:t xml:space="preserve">Accordingly, </w:t>
      </w:r>
      <w:r w:rsidR="000416BC">
        <w:t>Article </w:t>
      </w:r>
      <w:r>
        <w:t>5 of the Protocol constitutes an appropriate basis for extradition between Israel and other State</w:t>
      </w:r>
      <w:r w:rsidR="000A60B7">
        <w:t>s</w:t>
      </w:r>
      <w:r>
        <w:t xml:space="preserve"> Parties to the Protocol, subject to the fulfilment of the conditions set forth in the </w:t>
      </w:r>
      <w:r w:rsidRPr="00E328E5">
        <w:t>Extradition Law.</w:t>
      </w:r>
    </w:p>
    <w:p w:rsidR="006C72E1" w:rsidRPr="002D2C27" w:rsidRDefault="006C72E1" w:rsidP="000A60B7">
      <w:pPr>
        <w:pStyle w:val="SingleTxtG"/>
        <w:numPr>
          <w:ilvl w:val="0"/>
          <w:numId w:val="12"/>
        </w:numPr>
        <w:ind w:left="1134" w:firstLine="0"/>
        <w:rPr>
          <w:lang w:val="en-US"/>
        </w:rPr>
      </w:pPr>
      <w:r w:rsidRPr="00E328E5">
        <w:rPr>
          <w:lang w:bidi="he-IL"/>
        </w:rPr>
        <w:t xml:space="preserve">Some additional examples of </w:t>
      </w:r>
      <w:r w:rsidRPr="00E328E5">
        <w:rPr>
          <w:lang w:val="en-US" w:bidi="he-IL"/>
        </w:rPr>
        <w:t xml:space="preserve">multilateral or bilateral agreements can be mentioned here: Israel </w:t>
      </w:r>
      <w:r w:rsidR="000A60B7">
        <w:rPr>
          <w:lang w:val="en-US" w:bidi="he-IL"/>
        </w:rPr>
        <w:t>has been</w:t>
      </w:r>
      <w:r w:rsidR="000A60B7" w:rsidRPr="00E328E5">
        <w:rPr>
          <w:lang w:val="en-US" w:bidi="he-IL"/>
        </w:rPr>
        <w:t xml:space="preserve"> </w:t>
      </w:r>
      <w:r w:rsidRPr="00E328E5">
        <w:rPr>
          <w:lang w:val="en-US" w:bidi="he-IL"/>
        </w:rPr>
        <w:t>a party to the 1957 Eu</w:t>
      </w:r>
      <w:r w:rsidRPr="00E328E5">
        <w:rPr>
          <w:lang w:val="en-US"/>
        </w:rPr>
        <w:t>ropean Convention on Extradition since</w:t>
      </w:r>
      <w:r w:rsidRPr="002D2C27">
        <w:rPr>
          <w:lang w:val="en-US"/>
        </w:rPr>
        <w:t xml:space="preserve"> 1967, and is also a </w:t>
      </w:r>
      <w:r w:rsidRPr="002D2C27">
        <w:rPr>
          <w:lang w:val="en-US" w:bidi="he-IL"/>
        </w:rPr>
        <w:t>party</w:t>
      </w:r>
      <w:r w:rsidRPr="002D2C27">
        <w:rPr>
          <w:lang w:val="en-US"/>
        </w:rPr>
        <w:t xml:space="preserve"> to bilateral extraditio</w:t>
      </w:r>
      <w:r w:rsidRPr="002D2C27">
        <w:rPr>
          <w:lang w:val="en-US" w:bidi="he-IL"/>
        </w:rPr>
        <w:t>n agreement</w:t>
      </w:r>
      <w:r w:rsidRPr="002D2C27">
        <w:rPr>
          <w:lang w:val="en-US"/>
        </w:rPr>
        <w:t>s</w:t>
      </w:r>
      <w:r>
        <w:rPr>
          <w:lang w:val="en-US"/>
        </w:rPr>
        <w:t>,</w:t>
      </w:r>
      <w:r w:rsidRPr="002D2C27">
        <w:rPr>
          <w:lang w:val="en-US"/>
        </w:rPr>
        <w:t xml:space="preserve"> </w:t>
      </w:r>
      <w:r>
        <w:rPr>
          <w:lang w:val="en-US"/>
        </w:rPr>
        <w:t>with</w:t>
      </w:r>
      <w:r w:rsidRPr="002D2C27">
        <w:rPr>
          <w:lang w:val="en-US"/>
        </w:rPr>
        <w:t xml:space="preserve"> the United States (1963), Canada (1969), Australia (1975), Swaziland (1970)</w:t>
      </w:r>
      <w:r>
        <w:rPr>
          <w:lang w:val="en-US"/>
        </w:rPr>
        <w:t xml:space="preserve"> and</w:t>
      </w:r>
      <w:r w:rsidRPr="002D2C27">
        <w:rPr>
          <w:lang w:val="en-US"/>
        </w:rPr>
        <w:t xml:space="preserve"> Fiji (1972). </w:t>
      </w:r>
    </w:p>
    <w:p w:rsidR="006C72E1" w:rsidRPr="00BB6955" w:rsidRDefault="006C72E1" w:rsidP="006D3B18">
      <w:pPr>
        <w:pStyle w:val="SingleTxtG"/>
        <w:numPr>
          <w:ilvl w:val="0"/>
          <w:numId w:val="12"/>
        </w:numPr>
        <w:ind w:left="1134" w:firstLine="0"/>
        <w:rPr>
          <w:lang w:val="en-US"/>
        </w:rPr>
      </w:pPr>
      <w:r>
        <w:t xml:space="preserve">Moreover, the following are examples of </w:t>
      </w:r>
      <w:r w:rsidRPr="002D2C27">
        <w:rPr>
          <w:lang w:val="en-US"/>
        </w:rPr>
        <w:t>convention</w:t>
      </w:r>
      <w:r>
        <w:rPr>
          <w:lang w:val="en-US"/>
        </w:rPr>
        <w:t>s to which the State of Israel is a part</w:t>
      </w:r>
      <w:r w:rsidRPr="000A60B7">
        <w:rPr>
          <w:lang w:val="en-US"/>
        </w:rPr>
        <w:t xml:space="preserve">y, </w:t>
      </w:r>
      <w:r w:rsidRPr="0055270D">
        <w:rPr>
          <w:lang w:val="en-US"/>
        </w:rPr>
        <w:t xml:space="preserve">that are not </w:t>
      </w:r>
      <w:r w:rsidRPr="00104D61">
        <w:rPr>
          <w:bCs/>
          <w:lang w:val="en-US"/>
        </w:rPr>
        <w:t>extradition</w:t>
      </w:r>
      <w:r w:rsidRPr="003268E7">
        <w:rPr>
          <w:lang w:val="en-US"/>
        </w:rPr>
        <w:t xml:space="preserve"> convention</w:t>
      </w:r>
      <w:r w:rsidRPr="00916066">
        <w:rPr>
          <w:lang w:val="en-US"/>
        </w:rPr>
        <w:t xml:space="preserve">s but that include </w:t>
      </w:r>
      <w:r w:rsidRPr="004C04FF">
        <w:t>provisions</w:t>
      </w:r>
      <w:r w:rsidRPr="001B1D21">
        <w:t xml:space="preserve"> concerning extradition</w:t>
      </w:r>
      <w:r w:rsidRPr="002D2E11">
        <w:rPr>
          <w:lang w:val="en-US"/>
        </w:rPr>
        <w:t xml:space="preserve">: </w:t>
      </w:r>
    </w:p>
    <w:p w:rsidR="002D41A2" w:rsidRPr="004C04FF" w:rsidRDefault="0000262E" w:rsidP="0000262E">
      <w:pPr>
        <w:pStyle w:val="SingleTxtG"/>
        <w:ind w:firstLine="567"/>
        <w:rPr>
          <w:lang w:val="en-US"/>
        </w:rPr>
      </w:pPr>
      <w:r w:rsidRPr="00B43698">
        <w:rPr>
          <w:lang w:val="en-US"/>
        </w:rPr>
        <w:t>(a)</w:t>
      </w:r>
      <w:r w:rsidR="002D41A2" w:rsidRPr="000A60B7">
        <w:rPr>
          <w:lang w:val="en-US"/>
        </w:rPr>
        <w:tab/>
      </w:r>
      <w:r w:rsidR="006C72E1" w:rsidRPr="0055270D">
        <w:rPr>
          <w:lang w:val="en-US"/>
        </w:rPr>
        <w:t>The United Nations Convention against Illicit Traffic in Narcotic Drugs and Psychotropic Substances</w:t>
      </w:r>
      <w:r w:rsidR="000A60B7" w:rsidRPr="0055270D">
        <w:rPr>
          <w:lang w:val="en-US"/>
        </w:rPr>
        <w:t>,</w:t>
      </w:r>
      <w:r w:rsidR="006C72E1" w:rsidRPr="00104D61">
        <w:rPr>
          <w:lang w:val="en-US"/>
        </w:rPr>
        <w:t xml:space="preserve"> of 1988 (</w:t>
      </w:r>
      <w:r w:rsidR="001A574A" w:rsidRPr="003268E7">
        <w:rPr>
          <w:lang w:val="en-US"/>
        </w:rPr>
        <w:t>Section </w:t>
      </w:r>
      <w:r w:rsidR="006C72E1" w:rsidRPr="00916066">
        <w:rPr>
          <w:lang w:val="en-US"/>
        </w:rPr>
        <w:t xml:space="preserve">6); </w:t>
      </w:r>
    </w:p>
    <w:p w:rsidR="002D41A2" w:rsidRPr="00916066" w:rsidRDefault="0000262E" w:rsidP="0000262E">
      <w:pPr>
        <w:pStyle w:val="SingleTxtG"/>
        <w:ind w:firstLine="567"/>
        <w:rPr>
          <w:lang w:val="en-US"/>
        </w:rPr>
      </w:pPr>
      <w:r w:rsidRPr="00B43698">
        <w:rPr>
          <w:lang w:val="en-US"/>
        </w:rPr>
        <w:t>(b)</w:t>
      </w:r>
      <w:r w:rsidRPr="000A60B7">
        <w:rPr>
          <w:lang w:val="en-US"/>
        </w:rPr>
        <w:tab/>
      </w:r>
      <w:r w:rsidR="006C72E1" w:rsidRPr="0055270D">
        <w:rPr>
          <w:lang w:val="en-US"/>
        </w:rPr>
        <w:t>The United Nations Convention against Transnational Organized Crime</w:t>
      </w:r>
      <w:r w:rsidR="000A60B7" w:rsidRPr="0055270D">
        <w:rPr>
          <w:lang w:val="en-US"/>
        </w:rPr>
        <w:t>,</w:t>
      </w:r>
      <w:r w:rsidR="006C72E1" w:rsidRPr="0055270D">
        <w:rPr>
          <w:lang w:val="en-US"/>
        </w:rPr>
        <w:t xml:space="preserve"> of 2000 (</w:t>
      </w:r>
      <w:r w:rsidR="001A574A" w:rsidRPr="00104D61">
        <w:rPr>
          <w:lang w:val="en-US"/>
        </w:rPr>
        <w:t>Section </w:t>
      </w:r>
      <w:r w:rsidR="006C72E1" w:rsidRPr="003268E7">
        <w:rPr>
          <w:lang w:val="en-US"/>
        </w:rPr>
        <w:t>16); and</w:t>
      </w:r>
    </w:p>
    <w:p w:rsidR="006C72E1" w:rsidRPr="00916066" w:rsidRDefault="0000262E" w:rsidP="0000262E">
      <w:pPr>
        <w:pStyle w:val="SingleTxtG"/>
        <w:ind w:firstLine="567"/>
        <w:rPr>
          <w:lang w:val="en-US"/>
        </w:rPr>
      </w:pPr>
      <w:r w:rsidRPr="00B43698">
        <w:rPr>
          <w:lang w:val="en-US"/>
        </w:rPr>
        <w:t>(c)</w:t>
      </w:r>
      <w:r w:rsidR="002D41A2" w:rsidRPr="000A60B7">
        <w:rPr>
          <w:lang w:val="en-US"/>
        </w:rPr>
        <w:tab/>
      </w:r>
      <w:r w:rsidR="006C72E1" w:rsidRPr="0055270D">
        <w:rPr>
          <w:lang w:val="en-US"/>
        </w:rPr>
        <w:t>The United Nations Convention against Corruption</w:t>
      </w:r>
      <w:r w:rsidR="000A60B7" w:rsidRPr="0055270D">
        <w:rPr>
          <w:lang w:val="en-US"/>
        </w:rPr>
        <w:t>,</w:t>
      </w:r>
      <w:r w:rsidR="006C72E1" w:rsidRPr="0055270D">
        <w:rPr>
          <w:lang w:val="en-US"/>
        </w:rPr>
        <w:t xml:space="preserve"> of 2003 (</w:t>
      </w:r>
      <w:r w:rsidR="001A574A" w:rsidRPr="00104D61">
        <w:rPr>
          <w:lang w:val="en-US"/>
        </w:rPr>
        <w:t>Section </w:t>
      </w:r>
      <w:r w:rsidR="006C72E1" w:rsidRPr="003268E7">
        <w:rPr>
          <w:lang w:val="en-US"/>
        </w:rPr>
        <w:t>44).</w:t>
      </w:r>
    </w:p>
    <w:p w:rsidR="006C72E1" w:rsidRDefault="006C72E1" w:rsidP="000A60B7">
      <w:pPr>
        <w:pStyle w:val="SingleTxtG"/>
        <w:numPr>
          <w:ilvl w:val="0"/>
          <w:numId w:val="12"/>
        </w:numPr>
        <w:ind w:left="1134" w:firstLine="0"/>
      </w:pPr>
      <w:r w:rsidRPr="004C04FF">
        <w:t xml:space="preserve">The </w:t>
      </w:r>
      <w:r w:rsidRPr="001B1D21">
        <w:t xml:space="preserve">Extradition Law places several restrictions </w:t>
      </w:r>
      <w:r w:rsidRPr="002D2E11">
        <w:t>on</w:t>
      </w:r>
      <w:r w:rsidRPr="00BB6955">
        <w:t xml:space="preserve"> extradition to the requesting </w:t>
      </w:r>
      <w:r w:rsidR="000A60B7" w:rsidRPr="00B55042">
        <w:t>S</w:t>
      </w:r>
      <w:r w:rsidRPr="00B55042">
        <w:t>tate, s</w:t>
      </w:r>
      <w:r w:rsidRPr="001C2F3E">
        <w:t xml:space="preserve">ome of which are relevant </w:t>
      </w:r>
      <w:r w:rsidRPr="004F5B9F">
        <w:t>to</w:t>
      </w:r>
      <w:r w:rsidRPr="004F4E83">
        <w:t xml:space="preserve"> the matter at hand</w:t>
      </w:r>
      <w:r w:rsidRPr="00E22600">
        <w:t>,</w:t>
      </w:r>
      <w:r w:rsidRPr="006208A6">
        <w:t xml:space="preserve"> </w:t>
      </w:r>
      <w:r w:rsidRPr="0048104E">
        <w:t xml:space="preserve">for example if there </w:t>
      </w:r>
      <w:r w:rsidRPr="00F9115D">
        <w:t xml:space="preserve">are </w:t>
      </w:r>
      <w:r w:rsidRPr="00642B39">
        <w:t>ground</w:t>
      </w:r>
      <w:r w:rsidRPr="004118DE">
        <w:t>s</w:t>
      </w:r>
      <w:r w:rsidRPr="00AC0F5C">
        <w:t xml:space="preserve"> to believe that the extradition re</w:t>
      </w:r>
      <w:r w:rsidRPr="00CA2FF8">
        <w:t xml:space="preserve">quest </w:t>
      </w:r>
      <w:r>
        <w:t>is</w:t>
      </w:r>
      <w:r w:rsidRPr="00CA2FF8">
        <w:t xml:space="preserve"> </w:t>
      </w:r>
      <w:r>
        <w:t xml:space="preserve">based on </w:t>
      </w:r>
      <w:r w:rsidRPr="00CA2FF8">
        <w:t>discriminati</w:t>
      </w:r>
      <w:r>
        <w:t>on</w:t>
      </w:r>
      <w:r w:rsidRPr="00CA2FF8">
        <w:t xml:space="preserve"> </w:t>
      </w:r>
      <w:r>
        <w:t xml:space="preserve">against </w:t>
      </w:r>
      <w:r w:rsidRPr="00CA2FF8">
        <w:t xml:space="preserve">the requested person </w:t>
      </w:r>
      <w:r>
        <w:t xml:space="preserve">due to </w:t>
      </w:r>
      <w:r w:rsidRPr="00CA2FF8">
        <w:t>race or religion</w:t>
      </w:r>
      <w:r>
        <w:t xml:space="preserve">, </w:t>
      </w:r>
      <w:r w:rsidRPr="00CA2FF8">
        <w:t>or if the requested person was prosecuted in Israel for that offen</w:t>
      </w:r>
      <w:r>
        <w:t>s</w:t>
      </w:r>
      <w:r w:rsidRPr="00CA2FF8">
        <w:t xml:space="preserve">e and was found guilty or innocent. </w:t>
      </w:r>
    </w:p>
    <w:p w:rsidR="006C72E1" w:rsidRPr="00E328E5" w:rsidRDefault="006C72E1" w:rsidP="006D3B18">
      <w:pPr>
        <w:pStyle w:val="SingleTxtG"/>
        <w:numPr>
          <w:ilvl w:val="0"/>
          <w:numId w:val="12"/>
        </w:numPr>
        <w:ind w:left="1134" w:firstLine="0"/>
      </w:pPr>
      <w:r>
        <w:t>E</w:t>
      </w:r>
      <w:r w:rsidRPr="00CA2FF8">
        <w:t>xtradit</w:t>
      </w:r>
      <w:r>
        <w:t xml:space="preserve">ion is not possible </w:t>
      </w:r>
      <w:r w:rsidRPr="00CA2FF8">
        <w:t>if the extradition offen</w:t>
      </w:r>
      <w:r>
        <w:t>s</w:t>
      </w:r>
      <w:r w:rsidRPr="00CA2FF8">
        <w:t xml:space="preserve">e is punishable by the death penalty in the requesting </w:t>
      </w:r>
      <w:r>
        <w:t>S</w:t>
      </w:r>
      <w:r w:rsidRPr="00CA2FF8">
        <w:t>tate, and in Israel the penalty for that offen</w:t>
      </w:r>
      <w:r>
        <w:t>s</w:t>
      </w:r>
      <w:r w:rsidRPr="00CA2FF8">
        <w:t xml:space="preserve">e is not as such, unless the requesting </w:t>
      </w:r>
      <w:r>
        <w:t>S</w:t>
      </w:r>
      <w:r w:rsidRPr="00CA2FF8">
        <w:t xml:space="preserve">tate </w:t>
      </w:r>
      <w:r>
        <w:t>assures</w:t>
      </w:r>
      <w:r w:rsidRPr="00CA2FF8">
        <w:t xml:space="preserve"> that death penalty will not be imposed</w:t>
      </w:r>
      <w:r>
        <w:t xml:space="preserve"> or that, if it were initially </w:t>
      </w:r>
      <w:r w:rsidRPr="00970B31">
        <w:t>imposed,</w:t>
      </w:r>
      <w:r w:rsidRPr="00CA2FF8">
        <w:t xml:space="preserve"> it would be </w:t>
      </w:r>
      <w:r>
        <w:t xml:space="preserve">replaced with </w:t>
      </w:r>
      <w:r w:rsidRPr="00CA2FF8">
        <w:t xml:space="preserve">a </w:t>
      </w:r>
      <w:r>
        <w:t>less severe</w:t>
      </w:r>
      <w:r w:rsidRPr="00CA2FF8">
        <w:t xml:space="preserve"> punishment (</w:t>
      </w:r>
      <w:r w:rsidR="001A574A">
        <w:t>Section </w:t>
      </w:r>
      <w:r w:rsidRPr="00CA2FF8">
        <w:t xml:space="preserve">16 </w:t>
      </w:r>
      <w:r>
        <w:t>of</w:t>
      </w:r>
      <w:r w:rsidRPr="00CA2FF8">
        <w:t xml:space="preserve"> the </w:t>
      </w:r>
      <w:r w:rsidRPr="00E328E5">
        <w:t xml:space="preserve">Extradition Law). </w:t>
      </w:r>
    </w:p>
    <w:p w:rsidR="006C72E1" w:rsidRPr="00CA2FF8" w:rsidRDefault="006C72E1" w:rsidP="0055270D">
      <w:pPr>
        <w:pStyle w:val="SingleTxtG"/>
        <w:numPr>
          <w:ilvl w:val="0"/>
          <w:numId w:val="12"/>
        </w:numPr>
        <w:ind w:left="1134" w:firstLine="0"/>
      </w:pPr>
      <w:r w:rsidRPr="00E328E5">
        <w:t>Additionally, extraditing a person is conditional upon the requesting State</w:t>
      </w:r>
      <w:r w:rsidR="00C05EBD" w:rsidRPr="00E328E5">
        <w:rPr>
          <w:rFonts w:hint="eastAsia"/>
        </w:rPr>
        <w:t>’</w:t>
      </w:r>
      <w:r w:rsidRPr="00E328E5">
        <w:t xml:space="preserve">s assurance that that person will not be arrested, prosecuted or punished in the requesting State for another offense committed prior to extradition and that he/she will not be extradited by the requesting State to another country for an offense committed prior to the extradition. Such condition does not apply, however, if that person left the requesting State after extradition and came back to the State willingly, or if after extradition he/she was given the opportunity to leave the requesting State and did not leave the </w:t>
      </w:r>
      <w:r w:rsidR="0055270D">
        <w:t>S</w:t>
      </w:r>
      <w:r w:rsidRPr="00E328E5">
        <w:t>tate during 30</w:t>
      </w:r>
      <w:r w:rsidR="00177B7B">
        <w:t> </w:t>
      </w:r>
      <w:r w:rsidRPr="00E328E5">
        <w:t>days, or if the Minister of Justice consents in writing to such an action against the requested person (</w:t>
      </w:r>
      <w:r w:rsidR="001A574A" w:rsidRPr="00E328E5">
        <w:t>Section </w:t>
      </w:r>
      <w:r w:rsidRPr="00E328E5">
        <w:t>17 of the Extradition Law).</w:t>
      </w:r>
      <w:r w:rsidRPr="00CA2FF8">
        <w:t xml:space="preserve"> The same restrictions apply when considering requests for extradition </w:t>
      </w:r>
      <w:r>
        <w:t>under</w:t>
      </w:r>
      <w:r w:rsidRPr="00CA2FF8">
        <w:t xml:space="preserve"> an agreement or convention that is not specific for extradition but includes </w:t>
      </w:r>
      <w:r>
        <w:t>provisions</w:t>
      </w:r>
      <w:r w:rsidRPr="00CA2FF8">
        <w:t xml:space="preserve"> concerning this matter. </w:t>
      </w:r>
    </w:p>
    <w:p w:rsidR="006C72E1" w:rsidRPr="000D5D41" w:rsidRDefault="006C72E1" w:rsidP="006D3B18">
      <w:pPr>
        <w:pStyle w:val="SingleTxtG"/>
        <w:numPr>
          <w:ilvl w:val="0"/>
          <w:numId w:val="12"/>
        </w:numPr>
        <w:ind w:left="1134" w:firstLine="0"/>
        <w:rPr>
          <w:szCs w:val="24"/>
          <w:lang w:val="en-US"/>
        </w:rPr>
      </w:pPr>
      <w:r w:rsidRPr="00CA2FF8">
        <w:t xml:space="preserve">As for extraditing nationals of the State, the </w:t>
      </w:r>
      <w:r w:rsidRPr="00E328E5">
        <w:t>Extradition Law provides that a person who, when committing an extraditable offense, was an Israeli citizen or an Israeli resident, may not be extradited unless the extradition request is for prosecution</w:t>
      </w:r>
      <w:r w:rsidRPr="00CA2FF8">
        <w:t xml:space="preserve"> in the requesting </w:t>
      </w:r>
      <w:r>
        <w:t>S</w:t>
      </w:r>
      <w:r w:rsidRPr="00CA2FF8">
        <w:t xml:space="preserve">tate, and the requesting </w:t>
      </w:r>
      <w:r>
        <w:t>S</w:t>
      </w:r>
      <w:r w:rsidRPr="00CA2FF8">
        <w:t xml:space="preserve">tate </w:t>
      </w:r>
      <w:r>
        <w:t>has undertaken</w:t>
      </w:r>
      <w:r w:rsidRPr="00CA2FF8">
        <w:t xml:space="preserve"> to return him/her to Israel for carrying</w:t>
      </w:r>
      <w:r>
        <w:t xml:space="preserve"> out</w:t>
      </w:r>
      <w:r w:rsidRPr="00CA2FF8">
        <w:t xml:space="preserve"> the sentence should he/she </w:t>
      </w:r>
      <w:r>
        <w:t>be</w:t>
      </w:r>
      <w:r w:rsidRPr="00CA2FF8">
        <w:t xml:space="preserve"> found guilty and sentenced to imprisonment.</w:t>
      </w:r>
      <w:r>
        <w:t xml:space="preserve"> An</w:t>
      </w:r>
      <w:r w:rsidRPr="00CA2FF8">
        <w:t xml:space="preserve"> Israeli citizen </w:t>
      </w:r>
      <w:r>
        <w:t>may</w:t>
      </w:r>
      <w:r w:rsidRPr="00CA2FF8">
        <w:t xml:space="preserve"> waive his/her right to return to Israel for carrying </w:t>
      </w:r>
      <w:r>
        <w:t xml:space="preserve">out </w:t>
      </w:r>
      <w:r w:rsidRPr="00CA2FF8">
        <w:t>the sentence.</w:t>
      </w:r>
    </w:p>
    <w:p w:rsidR="006C72E1" w:rsidRPr="002D2C27" w:rsidRDefault="00AC696A" w:rsidP="002D41A2">
      <w:pPr>
        <w:pStyle w:val="HChG"/>
        <w:rPr>
          <w:lang w:val="en-US"/>
        </w:rPr>
      </w:pPr>
      <w:bookmarkStart w:id="10" w:name="OLE_LINK3"/>
      <w:bookmarkStart w:id="11" w:name="OLE_LINK4"/>
      <w:bookmarkStart w:id="12" w:name="_Toc335890806"/>
      <w:r>
        <w:rPr>
          <w:lang w:val="en-US"/>
        </w:rPr>
        <w:tab/>
      </w:r>
      <w:r w:rsidR="002D41A2">
        <w:rPr>
          <w:lang w:val="en-US"/>
        </w:rPr>
        <w:tab/>
      </w:r>
      <w:r w:rsidR="000416BC">
        <w:rPr>
          <w:lang w:val="en-US"/>
        </w:rPr>
        <w:t>Article </w:t>
      </w:r>
      <w:r w:rsidR="006C72E1" w:rsidRPr="002D2C27">
        <w:rPr>
          <w:lang w:val="en-US"/>
        </w:rPr>
        <w:t>6</w:t>
      </w:r>
      <w:bookmarkEnd w:id="12"/>
    </w:p>
    <w:p w:rsidR="006C72E1" w:rsidRPr="002D2C27" w:rsidRDefault="006C72E1" w:rsidP="006D3B18">
      <w:pPr>
        <w:pStyle w:val="SingleTxtG"/>
        <w:numPr>
          <w:ilvl w:val="0"/>
          <w:numId w:val="12"/>
        </w:numPr>
        <w:ind w:left="1134" w:firstLine="0"/>
        <w:rPr>
          <w:i/>
          <w:iCs/>
          <w:lang w:val="en-US"/>
        </w:rPr>
      </w:pPr>
      <w:r w:rsidRPr="002D2C27">
        <w:rPr>
          <w:lang w:val="en-US"/>
        </w:rPr>
        <w:t xml:space="preserve">This </w:t>
      </w:r>
      <w:r w:rsidR="000416BC">
        <w:rPr>
          <w:lang w:val="en-US"/>
        </w:rPr>
        <w:t xml:space="preserve">Article </w:t>
      </w:r>
      <w:r w:rsidRPr="002D2C27">
        <w:rPr>
          <w:lang w:val="en-US"/>
        </w:rPr>
        <w:t>provides for general mutual legal assistance between States parties in connection with investigations or criminal or extradition proceedings brought in respect of the offen</w:t>
      </w:r>
      <w:r>
        <w:rPr>
          <w:lang w:val="en-US"/>
        </w:rPr>
        <w:t>s</w:t>
      </w:r>
      <w:r w:rsidRPr="002D2C27">
        <w:rPr>
          <w:lang w:val="en-US"/>
        </w:rPr>
        <w:t xml:space="preserve">es established in </w:t>
      </w:r>
      <w:r w:rsidR="000416BC">
        <w:rPr>
          <w:lang w:val="en-US"/>
        </w:rPr>
        <w:t>Article </w:t>
      </w:r>
      <w:r w:rsidRPr="002D2C27">
        <w:rPr>
          <w:lang w:val="en-US"/>
        </w:rPr>
        <w:t>3(1).</w:t>
      </w:r>
    </w:p>
    <w:p w:rsidR="006C72E1" w:rsidRPr="002D2C27" w:rsidRDefault="00AC696A" w:rsidP="00DF44B7">
      <w:pPr>
        <w:pStyle w:val="H1G"/>
        <w:rPr>
          <w:sz w:val="32"/>
          <w:szCs w:val="32"/>
          <w:lang w:val="en-US"/>
        </w:rPr>
      </w:pPr>
      <w:r>
        <w:rPr>
          <w:lang w:val="en-US"/>
        </w:rPr>
        <w:tab/>
      </w:r>
      <w:r w:rsidR="002D41A2">
        <w:rPr>
          <w:lang w:val="en-US"/>
        </w:rPr>
        <w:tab/>
      </w:r>
      <w:r w:rsidR="000416BC">
        <w:rPr>
          <w:lang w:val="en-US"/>
        </w:rPr>
        <w:t>Article </w:t>
      </w:r>
      <w:r w:rsidR="00540ADD">
        <w:rPr>
          <w:lang w:val="en-US"/>
        </w:rPr>
        <w:t>6</w:t>
      </w:r>
      <w:r w:rsidR="0088706A">
        <w:rPr>
          <w:lang w:val="en-US"/>
        </w:rPr>
        <w:t xml:space="preserve"> </w:t>
      </w:r>
      <w:r w:rsidR="00540ADD">
        <w:rPr>
          <w:lang w:val="en-US"/>
        </w:rPr>
        <w:t>(1) –</w:t>
      </w:r>
      <w:r w:rsidR="006C72E1" w:rsidRPr="002D2C27">
        <w:rPr>
          <w:lang w:val="en-US"/>
        </w:rPr>
        <w:t xml:space="preserve"> Mutual </w:t>
      </w:r>
      <w:r w:rsidR="00DF44B7">
        <w:rPr>
          <w:lang w:val="en-US"/>
        </w:rPr>
        <w:t>l</w:t>
      </w:r>
      <w:r w:rsidR="006C72E1" w:rsidRPr="002D2C27">
        <w:rPr>
          <w:lang w:val="en-US"/>
        </w:rPr>
        <w:t xml:space="preserve">egal </w:t>
      </w:r>
      <w:r w:rsidR="00DF44B7">
        <w:rPr>
          <w:lang w:val="en-US"/>
        </w:rPr>
        <w:t>a</w:t>
      </w:r>
      <w:r w:rsidR="006C72E1" w:rsidRPr="002D2C27">
        <w:rPr>
          <w:lang w:val="en-US"/>
        </w:rPr>
        <w:t>ssistance</w:t>
      </w:r>
    </w:p>
    <w:p w:rsidR="006C72E1" w:rsidRPr="00E328E5" w:rsidRDefault="006C72E1" w:rsidP="006D3B18">
      <w:pPr>
        <w:pStyle w:val="SingleTxtG"/>
        <w:numPr>
          <w:ilvl w:val="0"/>
          <w:numId w:val="12"/>
        </w:numPr>
        <w:ind w:left="1134" w:firstLine="0"/>
        <w:rPr>
          <w:lang w:val="en-US"/>
        </w:rPr>
      </w:pPr>
      <w:r w:rsidRPr="002D2C27">
        <w:rPr>
          <w:lang w:val="en-US"/>
        </w:rPr>
        <w:t xml:space="preserve">The </w:t>
      </w:r>
      <w:r w:rsidRPr="00E328E5">
        <w:rPr>
          <w:lang w:val="en-US"/>
        </w:rPr>
        <w:t xml:space="preserve">International Legal Assistance Law 5758-1998 </w:t>
      </w:r>
      <w:r w:rsidR="00540ADD" w:rsidRPr="00E328E5">
        <w:rPr>
          <w:lang w:val="en-US"/>
        </w:rPr>
        <w:t>(the “</w:t>
      </w:r>
      <w:r w:rsidRPr="00E328E5">
        <w:rPr>
          <w:lang w:val="en-US"/>
        </w:rPr>
        <w:t>Int</w:t>
      </w:r>
      <w:r w:rsidR="00540ADD" w:rsidRPr="00E328E5">
        <w:rPr>
          <w:lang w:val="en-US"/>
        </w:rPr>
        <w:t>ernational Legal Assistance Law”</w:t>
      </w:r>
      <w:r w:rsidRPr="00E328E5">
        <w:rPr>
          <w:lang w:val="en-US"/>
        </w:rPr>
        <w:t xml:space="preserve">) allows for mutual legal assistance between Israel and other countries in legal proceedings. </w:t>
      </w:r>
      <w:r w:rsidRPr="00E328E5">
        <w:rPr>
          <w:lang w:val="en-US" w:bidi="he-IL"/>
        </w:rPr>
        <w:t>Such mutual legal assistance may be granted without specific agreements, and the State of Israel provides and receives such assistance on a routine basis, regardless of the existence of specific agreements.</w:t>
      </w:r>
      <w:r w:rsidR="00CD3B50" w:rsidRPr="00E328E5">
        <w:rPr>
          <w:lang w:val="en-US" w:bidi="he-IL"/>
        </w:rPr>
        <w:t xml:space="preserve"> </w:t>
      </w:r>
    </w:p>
    <w:p w:rsidR="006C72E1" w:rsidRPr="002D2C27" w:rsidRDefault="006C72E1" w:rsidP="006D3B18">
      <w:pPr>
        <w:pStyle w:val="SingleTxtG"/>
        <w:numPr>
          <w:ilvl w:val="0"/>
          <w:numId w:val="12"/>
        </w:numPr>
        <w:ind w:left="1134" w:firstLine="0"/>
        <w:rPr>
          <w:lang w:val="en-US"/>
        </w:rPr>
      </w:pPr>
      <w:r w:rsidRPr="00E328E5">
        <w:rPr>
          <w:lang w:val="en-US"/>
        </w:rPr>
        <w:t xml:space="preserve">According to </w:t>
      </w:r>
      <w:r w:rsidR="001A574A" w:rsidRPr="00E328E5">
        <w:rPr>
          <w:lang w:val="en-US"/>
        </w:rPr>
        <w:t>Section </w:t>
      </w:r>
      <w:r w:rsidRPr="00E328E5">
        <w:rPr>
          <w:lang w:val="en-US"/>
        </w:rPr>
        <w:t>2 to the International Legal Assistance Law, legal assistance includes the following: service of documents, collecting evidence, search and seizu</w:t>
      </w:r>
      <w:r w:rsidRPr="00E328E5">
        <w:rPr>
          <w:rFonts w:cs="Narkisim"/>
          <w:lang w:val="en-US" w:bidi="he-IL"/>
        </w:rPr>
        <w:t>re operatio</w:t>
      </w:r>
      <w:r w:rsidRPr="00E328E5">
        <w:rPr>
          <w:lang w:val="en-US"/>
        </w:rPr>
        <w:t>ns, transfer of evidence and other documents, relocation of a person in order to testify in a criminal</w:t>
      </w:r>
      <w:r w:rsidRPr="00E328E5">
        <w:rPr>
          <w:rFonts w:cs="Narkisim"/>
          <w:lang w:val="en-US" w:bidi="he-IL"/>
        </w:rPr>
        <w:t xml:space="preserve"> proceeding</w:t>
      </w:r>
      <w:r w:rsidRPr="00E328E5">
        <w:rPr>
          <w:lang w:val="en-US"/>
        </w:rPr>
        <w:t xml:space="preserve"> or to participate in an investigation</w:t>
      </w:r>
      <w:r w:rsidRPr="002D2C27">
        <w:rPr>
          <w:lang w:val="en-US"/>
        </w:rPr>
        <w:t xml:space="preserve">, investigative acts, transmission of information, confiscation of property, provision of legal relief, authentication and certification of documents or the performance of any other legal act (civil and criminal proceedings). </w:t>
      </w:r>
    </w:p>
    <w:p w:rsidR="006C72E1" w:rsidRPr="002D2C27" w:rsidRDefault="006C72E1" w:rsidP="006D3B18">
      <w:pPr>
        <w:pStyle w:val="SingleTxtG"/>
        <w:numPr>
          <w:ilvl w:val="0"/>
          <w:numId w:val="12"/>
        </w:numPr>
        <w:ind w:left="1134" w:firstLine="0"/>
        <w:rPr>
          <w:lang w:val="en-US"/>
        </w:rPr>
      </w:pPr>
      <w:r w:rsidRPr="002D2C27">
        <w:rPr>
          <w:lang w:val="en-US"/>
        </w:rPr>
        <w:t xml:space="preserve">To date, </w:t>
      </w:r>
      <w:r w:rsidRPr="002D2C27">
        <w:rPr>
          <w:lang w:val="en-US" w:bidi="he-IL"/>
        </w:rPr>
        <w:t xml:space="preserve">the </w:t>
      </w:r>
      <w:r w:rsidRPr="002D2C27">
        <w:rPr>
          <w:lang w:val="en-US"/>
        </w:rPr>
        <w:t>Department of the International Affairs in the Ministry of Justice has not engaged in</w:t>
      </w:r>
      <w:r>
        <w:rPr>
          <w:lang w:val="en-US"/>
        </w:rPr>
        <w:t xml:space="preserve"> proceedings concerning </w:t>
      </w:r>
      <w:r w:rsidRPr="002D2C27">
        <w:rPr>
          <w:lang w:val="en-US"/>
        </w:rPr>
        <w:t xml:space="preserve">the sale of children, child prostitution and child pornography among its mutual legal assistance cases. </w:t>
      </w:r>
    </w:p>
    <w:p w:rsidR="006C72E1" w:rsidRPr="00D30BD3" w:rsidRDefault="00AC696A" w:rsidP="00DF44B7">
      <w:pPr>
        <w:pStyle w:val="H1G"/>
        <w:rPr>
          <w:lang w:val="en-US"/>
        </w:rPr>
      </w:pPr>
      <w:r>
        <w:rPr>
          <w:lang w:val="en-US"/>
        </w:rPr>
        <w:tab/>
      </w:r>
      <w:r>
        <w:rPr>
          <w:lang w:val="en-US"/>
        </w:rPr>
        <w:tab/>
      </w:r>
      <w:r w:rsidR="000416BC">
        <w:rPr>
          <w:lang w:val="en-US"/>
        </w:rPr>
        <w:t>Article </w:t>
      </w:r>
      <w:r w:rsidR="00540ADD">
        <w:rPr>
          <w:lang w:val="en-US"/>
        </w:rPr>
        <w:t>6</w:t>
      </w:r>
      <w:r w:rsidR="0088706A">
        <w:rPr>
          <w:lang w:val="en-US"/>
        </w:rPr>
        <w:t xml:space="preserve"> </w:t>
      </w:r>
      <w:r w:rsidR="00540ADD">
        <w:rPr>
          <w:lang w:val="en-US"/>
        </w:rPr>
        <w:t>(2) –</w:t>
      </w:r>
      <w:r w:rsidR="006C72E1" w:rsidRPr="00D30BD3">
        <w:rPr>
          <w:lang w:val="en-US"/>
        </w:rPr>
        <w:t xml:space="preserve"> Treaties and </w:t>
      </w:r>
      <w:r w:rsidR="00DF44B7">
        <w:rPr>
          <w:lang w:val="en-US"/>
        </w:rPr>
        <w:t>a</w:t>
      </w:r>
      <w:r w:rsidR="006C72E1" w:rsidRPr="00D30BD3">
        <w:rPr>
          <w:lang w:val="en-US"/>
        </w:rPr>
        <w:t xml:space="preserve">rrangements on </w:t>
      </w:r>
      <w:r w:rsidR="00DF44B7">
        <w:rPr>
          <w:lang w:val="en-US"/>
        </w:rPr>
        <w:t>m</w:t>
      </w:r>
      <w:r w:rsidR="006C72E1" w:rsidRPr="00D30BD3">
        <w:rPr>
          <w:lang w:val="en-US"/>
        </w:rPr>
        <w:t xml:space="preserve">utual </w:t>
      </w:r>
      <w:r w:rsidR="00DF44B7">
        <w:rPr>
          <w:lang w:val="en-US"/>
        </w:rPr>
        <w:t>l</w:t>
      </w:r>
      <w:r w:rsidR="006C72E1" w:rsidRPr="00D30BD3">
        <w:rPr>
          <w:lang w:val="en-US"/>
        </w:rPr>
        <w:t xml:space="preserve">egal </w:t>
      </w:r>
      <w:r w:rsidR="00DF44B7">
        <w:rPr>
          <w:lang w:val="en-US"/>
        </w:rPr>
        <w:t>a</w:t>
      </w:r>
      <w:r w:rsidR="006C72E1" w:rsidRPr="00D30BD3">
        <w:rPr>
          <w:lang w:val="en-US"/>
        </w:rPr>
        <w:t xml:space="preserve">ssistance </w:t>
      </w:r>
    </w:p>
    <w:p w:rsidR="006C72E1" w:rsidRPr="00D30BD3" w:rsidRDefault="006C72E1" w:rsidP="00122805">
      <w:pPr>
        <w:pStyle w:val="SingleTxtG"/>
        <w:numPr>
          <w:ilvl w:val="0"/>
          <w:numId w:val="12"/>
        </w:numPr>
        <w:ind w:left="1134" w:firstLine="0"/>
        <w:rPr>
          <w:lang w:val="en-US"/>
        </w:rPr>
      </w:pPr>
      <w:r w:rsidRPr="00D30BD3">
        <w:rPr>
          <w:lang w:val="en-US"/>
        </w:rPr>
        <w:t xml:space="preserve">Israel is a party to the </w:t>
      </w:r>
      <w:r w:rsidRPr="00E328E5">
        <w:rPr>
          <w:lang w:val="en-US"/>
        </w:rPr>
        <w:t>European Convention on Mutual Assistance in Criminal Matters</w:t>
      </w:r>
      <w:r w:rsidR="00122805">
        <w:rPr>
          <w:lang w:val="en-US"/>
        </w:rPr>
        <w:t>,</w:t>
      </w:r>
      <w:r w:rsidRPr="00E328E5">
        <w:rPr>
          <w:lang w:val="en-US"/>
        </w:rPr>
        <w:t xml:space="preserve"> of 1959</w:t>
      </w:r>
      <w:r w:rsidR="00122805">
        <w:rPr>
          <w:lang w:val="en-US"/>
        </w:rPr>
        <w:t>,</w:t>
      </w:r>
      <w:r w:rsidRPr="00E328E5">
        <w:rPr>
          <w:lang w:val="en-US"/>
        </w:rPr>
        <w:t xml:space="preserve"> and also to bilat</w:t>
      </w:r>
      <w:r w:rsidRPr="00D30BD3">
        <w:rPr>
          <w:lang w:val="en-US"/>
        </w:rPr>
        <w:t>eral agreements on mutual legal assistance</w:t>
      </w:r>
      <w:r w:rsidRPr="00D30BD3">
        <w:rPr>
          <w:b/>
          <w:bCs/>
          <w:lang w:val="en-US"/>
        </w:rPr>
        <w:t xml:space="preserve"> </w:t>
      </w:r>
      <w:r w:rsidRPr="00D30BD3">
        <w:rPr>
          <w:lang w:val="en-US"/>
        </w:rPr>
        <w:t xml:space="preserve">with the following </w:t>
      </w:r>
      <w:r w:rsidR="00122805">
        <w:rPr>
          <w:lang w:val="en-US"/>
        </w:rPr>
        <w:t>S</w:t>
      </w:r>
      <w:r w:rsidRPr="00D30BD3">
        <w:rPr>
          <w:lang w:val="en-US"/>
        </w:rPr>
        <w:t>tates: the United States (1991),</w:t>
      </w:r>
      <w:r>
        <w:rPr>
          <w:lang w:val="en-US"/>
        </w:rPr>
        <w:t xml:space="preserve"> </w:t>
      </w:r>
      <w:r w:rsidRPr="00D30BD3">
        <w:rPr>
          <w:lang w:val="en-US"/>
        </w:rPr>
        <w:t>Chile (1995),</w:t>
      </w:r>
      <w:r>
        <w:rPr>
          <w:lang w:val="en-US"/>
        </w:rPr>
        <w:t xml:space="preserve"> </w:t>
      </w:r>
      <w:r w:rsidRPr="00D30BD3">
        <w:rPr>
          <w:lang w:val="en-US"/>
        </w:rPr>
        <w:t>Turkey (1995)</w:t>
      </w:r>
      <w:r>
        <w:rPr>
          <w:lang w:val="en-US"/>
        </w:rPr>
        <w:t xml:space="preserve">, </w:t>
      </w:r>
      <w:r w:rsidRPr="00D30BD3">
        <w:rPr>
          <w:lang w:val="en-US"/>
        </w:rPr>
        <w:t>Ukraine (1995), Cyprus (1996), Greece (1996), Jordan (1996), Hungary (1997)</w:t>
      </w:r>
      <w:r>
        <w:rPr>
          <w:lang w:val="en-US"/>
        </w:rPr>
        <w:t xml:space="preserve">, </w:t>
      </w:r>
      <w:r w:rsidRPr="00D30BD3">
        <w:rPr>
          <w:lang w:val="en-US"/>
        </w:rPr>
        <w:t xml:space="preserve">Mexico (1997), </w:t>
      </w:r>
      <w:r w:rsidR="00122805">
        <w:rPr>
          <w:lang w:val="en-US"/>
        </w:rPr>
        <w:t xml:space="preserve">the </w:t>
      </w:r>
      <w:r w:rsidRPr="00D30BD3">
        <w:rPr>
          <w:lang w:val="en-US"/>
        </w:rPr>
        <w:t>Russia</w:t>
      </w:r>
      <w:r w:rsidR="00122805">
        <w:rPr>
          <w:lang w:val="en-US"/>
        </w:rPr>
        <w:t>n Federation</w:t>
      </w:r>
      <w:r w:rsidRPr="00D30BD3">
        <w:rPr>
          <w:lang w:val="en-US"/>
        </w:rPr>
        <w:t xml:space="preserve"> (1997)</w:t>
      </w:r>
      <w:r>
        <w:rPr>
          <w:lang w:val="en-US"/>
        </w:rPr>
        <w:t xml:space="preserve">, </w:t>
      </w:r>
      <w:r w:rsidRPr="00D30BD3">
        <w:rPr>
          <w:lang w:val="en-US"/>
        </w:rPr>
        <w:t>Latvia (1998),</w:t>
      </w:r>
      <w:r w:rsidRPr="004B5A42">
        <w:rPr>
          <w:lang w:val="en-US"/>
        </w:rPr>
        <w:t xml:space="preserve"> </w:t>
      </w:r>
      <w:r w:rsidRPr="00D30BD3">
        <w:rPr>
          <w:lang w:val="en-US"/>
        </w:rPr>
        <w:t>Malta (2000), Argentina (2002), Panama (2002), R</w:t>
      </w:r>
      <w:r>
        <w:rPr>
          <w:lang w:val="en-US"/>
        </w:rPr>
        <w:t>o</w:t>
      </w:r>
      <w:r w:rsidRPr="00D30BD3">
        <w:rPr>
          <w:lang w:val="en-US"/>
        </w:rPr>
        <w:t>mania (2002),</w:t>
      </w:r>
      <w:r>
        <w:rPr>
          <w:lang w:val="en-US"/>
        </w:rPr>
        <w:t xml:space="preserve"> </w:t>
      </w:r>
      <w:r w:rsidR="00122805">
        <w:rPr>
          <w:lang w:val="en-US"/>
        </w:rPr>
        <w:t xml:space="preserve">the Republic of </w:t>
      </w:r>
      <w:r w:rsidRPr="00D30BD3">
        <w:rPr>
          <w:lang w:val="en-US"/>
        </w:rPr>
        <w:t>Moldova (2004),</w:t>
      </w:r>
      <w:r>
        <w:rPr>
          <w:lang w:val="en-US"/>
        </w:rPr>
        <w:t xml:space="preserve"> </w:t>
      </w:r>
      <w:r w:rsidRPr="00D30BD3">
        <w:rPr>
          <w:lang w:val="en-US"/>
        </w:rPr>
        <w:t xml:space="preserve">India (2005), Italy (2007), </w:t>
      </w:r>
      <w:r>
        <w:rPr>
          <w:lang w:val="en-US"/>
        </w:rPr>
        <w:t xml:space="preserve">and </w:t>
      </w:r>
      <w:r w:rsidRPr="00D30BD3">
        <w:rPr>
          <w:lang w:val="en-US"/>
        </w:rPr>
        <w:t>Serbia (2010)</w:t>
      </w:r>
      <w:r>
        <w:rPr>
          <w:lang w:val="en-US"/>
        </w:rPr>
        <w:t>.</w:t>
      </w:r>
      <w:r w:rsidRPr="00D30BD3">
        <w:rPr>
          <w:lang w:val="en-US"/>
        </w:rPr>
        <w:t xml:space="preserve"> </w:t>
      </w:r>
    </w:p>
    <w:p w:rsidR="006C72E1" w:rsidRPr="002D2C27" w:rsidRDefault="00AC696A" w:rsidP="000F6256">
      <w:pPr>
        <w:pStyle w:val="HChG"/>
        <w:rPr>
          <w:lang w:val="en-US"/>
        </w:rPr>
      </w:pPr>
      <w:bookmarkStart w:id="13" w:name="_Toc335890807"/>
      <w:bookmarkEnd w:id="10"/>
      <w:bookmarkEnd w:id="11"/>
      <w:r>
        <w:rPr>
          <w:lang w:val="en-US"/>
        </w:rPr>
        <w:tab/>
      </w:r>
      <w:r>
        <w:rPr>
          <w:lang w:val="en-US"/>
        </w:rPr>
        <w:tab/>
      </w:r>
      <w:r w:rsidR="000416BC">
        <w:rPr>
          <w:lang w:val="en-US"/>
        </w:rPr>
        <w:t>Article </w:t>
      </w:r>
      <w:r w:rsidR="006C72E1" w:rsidRPr="002D2C27">
        <w:rPr>
          <w:lang w:val="en-US"/>
        </w:rPr>
        <w:t>7</w:t>
      </w:r>
      <w:bookmarkEnd w:id="13"/>
    </w:p>
    <w:p w:rsidR="006C72E1" w:rsidRPr="002D2C27" w:rsidRDefault="006C72E1" w:rsidP="006D3B18">
      <w:pPr>
        <w:pStyle w:val="SingleTxtG"/>
        <w:numPr>
          <w:ilvl w:val="0"/>
          <w:numId w:val="12"/>
        </w:numPr>
        <w:ind w:left="1134" w:firstLine="0"/>
        <w:rPr>
          <w:b/>
          <w:bCs/>
          <w:lang w:val="en-US"/>
        </w:rPr>
      </w:pPr>
      <w:r w:rsidRPr="002D2C27">
        <w:rPr>
          <w:lang w:val="en-US"/>
        </w:rPr>
        <w:t xml:space="preserve">This </w:t>
      </w:r>
      <w:r w:rsidR="000416BC">
        <w:rPr>
          <w:lang w:val="en-US"/>
        </w:rPr>
        <w:t xml:space="preserve">Article </w:t>
      </w:r>
      <w:r w:rsidRPr="002D2C27">
        <w:rPr>
          <w:lang w:val="en-US"/>
        </w:rPr>
        <w:t xml:space="preserve">addresses the issues of seizure and confiscation of goods used to commit or </w:t>
      </w:r>
      <w:r w:rsidRPr="00F507AD">
        <w:rPr>
          <w:lang w:val="en-US"/>
        </w:rPr>
        <w:t>facilitate</w:t>
      </w:r>
      <w:r w:rsidRPr="002D2C27">
        <w:rPr>
          <w:lang w:val="en-US"/>
        </w:rPr>
        <w:t xml:space="preserve"> offen</w:t>
      </w:r>
      <w:r>
        <w:rPr>
          <w:lang w:val="en-US"/>
        </w:rPr>
        <w:t>s</w:t>
      </w:r>
      <w:r w:rsidRPr="002D2C27">
        <w:rPr>
          <w:lang w:val="en-US"/>
        </w:rPr>
        <w:t>es and proceeds derived from the</w:t>
      </w:r>
      <w:r>
        <w:rPr>
          <w:lang w:val="en-US"/>
        </w:rPr>
        <w:t>se</w:t>
      </w:r>
      <w:r w:rsidRPr="002D2C27">
        <w:rPr>
          <w:lang w:val="en-US"/>
        </w:rPr>
        <w:t xml:space="preserve"> offen</w:t>
      </w:r>
      <w:r>
        <w:rPr>
          <w:lang w:val="en-US"/>
        </w:rPr>
        <w:t>s</w:t>
      </w:r>
      <w:r w:rsidRPr="002D2C27">
        <w:rPr>
          <w:lang w:val="en-US"/>
        </w:rPr>
        <w:t xml:space="preserve">es. </w:t>
      </w:r>
    </w:p>
    <w:p w:rsidR="006C72E1" w:rsidRPr="002D2C27" w:rsidRDefault="00AC696A" w:rsidP="00DF44B7">
      <w:pPr>
        <w:pStyle w:val="H1G"/>
        <w:rPr>
          <w:lang w:val="en-US"/>
        </w:rPr>
      </w:pPr>
      <w:r>
        <w:rPr>
          <w:lang w:val="en-US"/>
        </w:rPr>
        <w:tab/>
      </w:r>
      <w:r>
        <w:rPr>
          <w:lang w:val="en-US"/>
        </w:rPr>
        <w:tab/>
      </w:r>
      <w:r w:rsidR="000416BC">
        <w:rPr>
          <w:lang w:val="en-US"/>
        </w:rPr>
        <w:t>Article </w:t>
      </w:r>
      <w:r w:rsidR="00627043">
        <w:rPr>
          <w:lang w:val="en-US"/>
        </w:rPr>
        <w:t>7</w:t>
      </w:r>
      <w:r w:rsidR="0088706A">
        <w:rPr>
          <w:lang w:val="en-US"/>
        </w:rPr>
        <w:t xml:space="preserve"> </w:t>
      </w:r>
      <w:r w:rsidR="00627043">
        <w:rPr>
          <w:lang w:val="en-US"/>
        </w:rPr>
        <w:t>(a) and 7</w:t>
      </w:r>
      <w:r w:rsidR="0088706A">
        <w:rPr>
          <w:lang w:val="en-US"/>
        </w:rPr>
        <w:t xml:space="preserve"> </w:t>
      </w:r>
      <w:r w:rsidR="00627043">
        <w:rPr>
          <w:lang w:val="en-US"/>
        </w:rPr>
        <w:t>(b) –</w:t>
      </w:r>
      <w:r w:rsidR="006C72E1" w:rsidRPr="002D2C27">
        <w:rPr>
          <w:lang w:val="en-US"/>
        </w:rPr>
        <w:t xml:space="preserve"> Seizure and </w:t>
      </w:r>
      <w:r w:rsidR="00DF44B7">
        <w:rPr>
          <w:lang w:val="en-US"/>
        </w:rPr>
        <w:t>c</w:t>
      </w:r>
      <w:r w:rsidR="006C72E1" w:rsidRPr="002D2C27">
        <w:rPr>
          <w:lang w:val="en-US"/>
        </w:rPr>
        <w:t xml:space="preserve">onfiscation </w:t>
      </w:r>
    </w:p>
    <w:p w:rsidR="006C72E1" w:rsidRPr="000F6256" w:rsidRDefault="001A574A" w:rsidP="006D3B18">
      <w:pPr>
        <w:pStyle w:val="SingleTxtG"/>
        <w:numPr>
          <w:ilvl w:val="0"/>
          <w:numId w:val="12"/>
        </w:numPr>
        <w:ind w:left="1134" w:firstLine="0"/>
      </w:pPr>
      <w:r>
        <w:t>Section </w:t>
      </w:r>
      <w:r w:rsidR="006C72E1" w:rsidRPr="000F6256">
        <w:t>32 of the Criminal Procedure Ordinance (Arrest and Search</w:t>
      </w:r>
      <w:r w:rsidR="00627043">
        <w:t>) (New Version) 5729-1969 (the “Criminal Procedure Ordinance”</w:t>
      </w:r>
      <w:r w:rsidR="006C72E1" w:rsidRPr="000F6256">
        <w:t xml:space="preserve">) grants policemen the power to seize an object, if he/she has reasonable grounds to believe that an offense was or is about to be committed with that object, that it could serve as evidence in a judicial proceeding, or that it was given as remuneration for the commission of an offense or as a means for its commission. </w:t>
      </w:r>
      <w:r>
        <w:t>Section </w:t>
      </w:r>
      <w:r w:rsidR="006C72E1" w:rsidRPr="000F6256">
        <w:t>36 of the Criminal Procedure Ordinance stipulates that</w:t>
      </w:r>
      <w:r w:rsidR="00104D61">
        <w:t>,</w:t>
      </w:r>
      <w:r w:rsidR="006C72E1" w:rsidRPr="000F6256">
        <w:t xml:space="preserve"> if during the legal proceedings, that object was submitted to the Court as evidence, the Court may determine what shall be done with the object.</w:t>
      </w:r>
    </w:p>
    <w:p w:rsidR="006C72E1" w:rsidRPr="000F6256" w:rsidRDefault="001A574A" w:rsidP="006D3B18">
      <w:pPr>
        <w:pStyle w:val="SingleTxtG"/>
        <w:numPr>
          <w:ilvl w:val="0"/>
          <w:numId w:val="12"/>
        </w:numPr>
        <w:ind w:left="1134" w:firstLine="0"/>
      </w:pPr>
      <w:r>
        <w:t>Section </w:t>
      </w:r>
      <w:r w:rsidR="006C72E1" w:rsidRPr="000F6256">
        <w:t xml:space="preserve">39 of the Criminal Procedure Ordinance states that a Court may order the confiscation of an object that was seized or held by the Police in accordance with this ordinance, if the object is owned by the person who was convicted of the offense and is connected to the offense. If the person who was convicted of an offense is not the owner of the object, and the object was given as remuneration for the commission of that offense (or a related offense) or as a means for its commission, then the object may be confiscated only if it was given or consented to be given for such purpose by its owner or by its lawful possessor. </w:t>
      </w:r>
    </w:p>
    <w:p w:rsidR="006C72E1" w:rsidRPr="000F6256" w:rsidRDefault="006C72E1" w:rsidP="003268E7">
      <w:pPr>
        <w:pStyle w:val="SingleTxtG"/>
        <w:numPr>
          <w:ilvl w:val="0"/>
          <w:numId w:val="12"/>
        </w:numPr>
        <w:ind w:left="1134" w:firstLine="0"/>
      </w:pPr>
      <w:r w:rsidRPr="000F6256">
        <w:t>Other criminal statutes provide ample bases for seizure and confiscation. The legislation contains several provisions authorizing forfeiture for offenses covered by the Protocol: the Battle Against Organized Crime Law 57</w:t>
      </w:r>
      <w:r w:rsidR="00627043">
        <w:t>63</w:t>
      </w:r>
      <w:r w:rsidR="003268E7">
        <w:t>-</w:t>
      </w:r>
      <w:r w:rsidR="00627043">
        <w:t>2003 (the “</w:t>
      </w:r>
      <w:r w:rsidRPr="000F6256">
        <w:t xml:space="preserve">Organized Crime </w:t>
      </w:r>
      <w:r w:rsidR="00627043">
        <w:t>Law”</w:t>
      </w:r>
      <w:r w:rsidRPr="000F6256">
        <w:t xml:space="preserve">) and the Seizure and Confiscation of Profit Earned by Offenses </w:t>
      </w:r>
      <w:r w:rsidR="00696EEB">
        <w:t>Publication 5765</w:t>
      </w:r>
      <w:r w:rsidR="00696EEB">
        <w:noBreakHyphen/>
      </w:r>
      <w:r w:rsidR="001A574A">
        <w:t xml:space="preserve">2005; </w:t>
      </w:r>
      <w:r w:rsidR="003268E7">
        <w:t xml:space="preserve">and </w:t>
      </w:r>
      <w:r w:rsidR="001A574A">
        <w:t>Sections </w:t>
      </w:r>
      <w:r w:rsidRPr="000F6256">
        <w:t>11 and 21 of the Prohibition of Money Laundering Law 5760-2000.</w:t>
      </w:r>
    </w:p>
    <w:p w:rsidR="006C72E1" w:rsidRPr="00F40384" w:rsidRDefault="001A574A" w:rsidP="006D3B18">
      <w:pPr>
        <w:pStyle w:val="SingleTxtG"/>
        <w:numPr>
          <w:ilvl w:val="0"/>
          <w:numId w:val="12"/>
        </w:numPr>
        <w:ind w:left="1134" w:firstLine="0"/>
        <w:rPr>
          <w:i/>
          <w:iCs/>
          <w:lang w:val="en-US"/>
        </w:rPr>
      </w:pPr>
      <w:r>
        <w:t>Section </w:t>
      </w:r>
      <w:r w:rsidR="006C72E1" w:rsidRPr="000F6256">
        <w:t xml:space="preserve">377D of the Penal Law, which was incorporated into the Penal Law in October 2006 as part of the enactment of the Anti-Trafficking Law, states </w:t>
      </w:r>
      <w:r>
        <w:t>that the provisions of Sections </w:t>
      </w:r>
      <w:r w:rsidR="006C72E1" w:rsidRPr="000F6256">
        <w:t>5 to 33 of the Organized Crime Law (other than Sectio</w:t>
      </w:r>
      <w:r>
        <w:t>ns </w:t>
      </w:r>
      <w:r w:rsidR="006C72E1" w:rsidRPr="000F6256">
        <w:t>8, 14(2) and 31 thereof), apply to the forfeiture of property related to the offense of holding under conditions of slavery</w:t>
      </w:r>
      <w:r w:rsidR="00CD3B50">
        <w:t xml:space="preserve"> </w:t>
      </w:r>
      <w:r w:rsidR="006C72E1" w:rsidRPr="000F6256">
        <w:t>(</w:t>
      </w:r>
      <w:r>
        <w:t>Section </w:t>
      </w:r>
      <w:r w:rsidR="006C72E1" w:rsidRPr="000F6256">
        <w:t>375A of the Penal Law) and the offense of trafficking in persons (</w:t>
      </w:r>
      <w:r>
        <w:t>Section </w:t>
      </w:r>
      <w:r w:rsidR="006C72E1" w:rsidRPr="000F6256">
        <w:t>377A of the Penal Law), as the case may be and mutatis mutandis.</w:t>
      </w:r>
      <w:r w:rsidR="00CD3B50">
        <w:rPr>
          <w:b/>
          <w:bCs/>
        </w:rPr>
        <w:t xml:space="preserve"> </w:t>
      </w:r>
    </w:p>
    <w:p w:rsidR="006C72E1" w:rsidRPr="002D2C27" w:rsidRDefault="00AC696A" w:rsidP="00DF44B7">
      <w:pPr>
        <w:pStyle w:val="H1G"/>
        <w:rPr>
          <w:snapToGrid w:val="0"/>
          <w:lang w:val="en-US"/>
        </w:rPr>
      </w:pPr>
      <w:bookmarkStart w:id="14" w:name="OLE_LINK5"/>
      <w:bookmarkStart w:id="15" w:name="OLE_LINK6"/>
      <w:r>
        <w:rPr>
          <w:snapToGrid w:val="0"/>
          <w:lang w:val="en-US"/>
        </w:rPr>
        <w:tab/>
      </w:r>
      <w:r>
        <w:rPr>
          <w:snapToGrid w:val="0"/>
          <w:lang w:val="en-US"/>
        </w:rPr>
        <w:tab/>
      </w:r>
      <w:r w:rsidR="000416BC">
        <w:rPr>
          <w:snapToGrid w:val="0"/>
          <w:lang w:val="en-US"/>
        </w:rPr>
        <w:t>Article </w:t>
      </w:r>
      <w:r w:rsidR="006C72E1" w:rsidRPr="002D2C27">
        <w:rPr>
          <w:snapToGrid w:val="0"/>
          <w:lang w:val="en-US"/>
        </w:rPr>
        <w:t>7</w:t>
      </w:r>
      <w:r w:rsidR="0088706A">
        <w:rPr>
          <w:snapToGrid w:val="0"/>
          <w:lang w:val="en-US"/>
        </w:rPr>
        <w:t xml:space="preserve"> </w:t>
      </w:r>
      <w:r w:rsidR="006C72E1" w:rsidRPr="002D2C27">
        <w:rPr>
          <w:snapToGrid w:val="0"/>
          <w:lang w:val="en-US"/>
        </w:rPr>
        <w:t xml:space="preserve">(b) – Mutual </w:t>
      </w:r>
      <w:r w:rsidR="00DF44B7">
        <w:rPr>
          <w:snapToGrid w:val="0"/>
          <w:lang w:val="en-US"/>
        </w:rPr>
        <w:t>l</w:t>
      </w:r>
      <w:r w:rsidR="006C72E1" w:rsidRPr="002D2C27">
        <w:rPr>
          <w:snapToGrid w:val="0"/>
          <w:lang w:val="en-US"/>
        </w:rPr>
        <w:t xml:space="preserve">egal </w:t>
      </w:r>
      <w:r w:rsidR="00DF44B7">
        <w:rPr>
          <w:snapToGrid w:val="0"/>
          <w:lang w:val="en-US"/>
        </w:rPr>
        <w:t>a</w:t>
      </w:r>
      <w:r w:rsidR="006C72E1" w:rsidRPr="002D2C27">
        <w:rPr>
          <w:snapToGrid w:val="0"/>
          <w:lang w:val="en-US"/>
        </w:rPr>
        <w:t xml:space="preserve">ssistance </w:t>
      </w:r>
      <w:r w:rsidR="00DF44B7">
        <w:rPr>
          <w:snapToGrid w:val="0"/>
          <w:lang w:val="en-US"/>
        </w:rPr>
        <w:t>r</w:t>
      </w:r>
      <w:r w:rsidR="006C72E1" w:rsidRPr="002D2C27">
        <w:rPr>
          <w:snapToGrid w:val="0"/>
          <w:lang w:val="en-US"/>
        </w:rPr>
        <w:t>equests</w:t>
      </w:r>
    </w:p>
    <w:p w:rsidR="006C72E1" w:rsidRDefault="006C72E1" w:rsidP="00916066">
      <w:pPr>
        <w:pStyle w:val="SingleTxtG"/>
        <w:numPr>
          <w:ilvl w:val="0"/>
          <w:numId w:val="12"/>
        </w:numPr>
        <w:ind w:left="1134" w:firstLine="0"/>
        <w:rPr>
          <w:b/>
          <w:bCs/>
          <w:snapToGrid w:val="0"/>
          <w:szCs w:val="24"/>
          <w:lang w:val="en-US"/>
        </w:rPr>
      </w:pPr>
      <w:r>
        <w:rPr>
          <w:lang w:val="en-US"/>
        </w:rPr>
        <w:t xml:space="preserve">On </w:t>
      </w:r>
      <w:r w:rsidR="003268E7">
        <w:rPr>
          <w:lang w:val="en-US"/>
        </w:rPr>
        <w:t xml:space="preserve">24 </w:t>
      </w:r>
      <w:r>
        <w:rPr>
          <w:lang w:val="en-US"/>
        </w:rPr>
        <w:t>October 2010</w:t>
      </w:r>
      <w:r w:rsidR="003268E7">
        <w:rPr>
          <w:lang w:val="en-US"/>
        </w:rPr>
        <w:t>,</w:t>
      </w:r>
      <w:r w:rsidRPr="002D2C27">
        <w:rPr>
          <w:lang w:val="en-US"/>
        </w:rPr>
        <w:t xml:space="preserve"> the</w:t>
      </w:r>
      <w:r w:rsidRPr="002D2C27">
        <w:rPr>
          <w:i/>
          <w:iCs/>
          <w:lang w:val="en-US"/>
        </w:rPr>
        <w:t xml:space="preserve"> </w:t>
      </w:r>
      <w:r w:rsidRPr="009E6654">
        <w:rPr>
          <w:lang w:val="en-US"/>
        </w:rPr>
        <w:t>International Legal Assistance Law was</w:t>
      </w:r>
      <w:r w:rsidRPr="002D2C27">
        <w:rPr>
          <w:lang w:val="en-US"/>
        </w:rPr>
        <w:t xml:space="preserve"> amended with regard to the conditions for assistance in confiscation and forfeiture. Prior to the amendment, the </w:t>
      </w:r>
      <w:r>
        <w:rPr>
          <w:lang w:val="en-US"/>
        </w:rPr>
        <w:t>L</w:t>
      </w:r>
      <w:r w:rsidRPr="002D2C27">
        <w:rPr>
          <w:lang w:val="en-US"/>
        </w:rPr>
        <w:t xml:space="preserve">aw required that a foreign </w:t>
      </w:r>
      <w:r w:rsidR="00916066">
        <w:rPr>
          <w:lang w:val="en-US"/>
        </w:rPr>
        <w:t>S</w:t>
      </w:r>
      <w:r w:rsidRPr="002D2C27">
        <w:rPr>
          <w:lang w:val="en-US"/>
        </w:rPr>
        <w:t xml:space="preserve">tate requesting the issuance of a temporary order </w:t>
      </w:r>
      <w:r>
        <w:rPr>
          <w:lang w:val="en-US"/>
        </w:rPr>
        <w:t>undertake to bear</w:t>
      </w:r>
      <w:r w:rsidRPr="00FF3ABD">
        <w:rPr>
          <w:lang w:val="en-US"/>
        </w:rPr>
        <w:t xml:space="preserve"> </w:t>
      </w:r>
      <w:r w:rsidRPr="002D2C27">
        <w:rPr>
          <w:lang w:val="en-US"/>
        </w:rPr>
        <w:t xml:space="preserve">the expenses regarding </w:t>
      </w:r>
      <w:r>
        <w:rPr>
          <w:lang w:val="en-US"/>
        </w:rPr>
        <w:t xml:space="preserve">any </w:t>
      </w:r>
      <w:r w:rsidRPr="002D2C27">
        <w:rPr>
          <w:lang w:val="en-US"/>
        </w:rPr>
        <w:t xml:space="preserve">damages </w:t>
      </w:r>
      <w:r w:rsidRPr="00864F3E">
        <w:rPr>
          <w:lang w:val="en-US"/>
        </w:rPr>
        <w:t>caused to third parties, in the event that</w:t>
      </w:r>
      <w:r w:rsidRPr="00864F3E" w:rsidDel="00FF3ABD">
        <w:rPr>
          <w:lang w:val="en-US"/>
        </w:rPr>
        <w:t xml:space="preserve"> </w:t>
      </w:r>
      <w:r w:rsidRPr="00864F3E">
        <w:rPr>
          <w:lang w:val="en-US"/>
        </w:rPr>
        <w:t xml:space="preserve">the property is ultimately not forfeited. Similarly, a foreign </w:t>
      </w:r>
      <w:r w:rsidR="00916066">
        <w:rPr>
          <w:lang w:val="en-US"/>
        </w:rPr>
        <w:t>S</w:t>
      </w:r>
      <w:r w:rsidRPr="00864F3E">
        <w:rPr>
          <w:lang w:val="en-US"/>
        </w:rPr>
        <w:t xml:space="preserve">tate requesting the transfer of property outside of Israel was required to undertake to bear such expenses in the event that the forfeiture order </w:t>
      </w:r>
      <w:r w:rsidR="00916066">
        <w:rPr>
          <w:lang w:val="en-US"/>
        </w:rPr>
        <w:t>was</w:t>
      </w:r>
      <w:r w:rsidR="00916066" w:rsidRPr="00864F3E">
        <w:rPr>
          <w:lang w:val="en-US"/>
        </w:rPr>
        <w:t xml:space="preserve"> </w:t>
      </w:r>
      <w:r w:rsidRPr="00864F3E">
        <w:rPr>
          <w:lang w:val="en-US"/>
        </w:rPr>
        <w:t>to be canceled by the court. Prior to the amendment, such undertaking constituted a poten</w:t>
      </w:r>
      <w:r w:rsidR="009E6654">
        <w:rPr>
          <w:lang w:val="en-US"/>
        </w:rPr>
        <w:t xml:space="preserve">tial obstacle to cooperation in </w:t>
      </w:r>
      <w:r w:rsidRPr="00864F3E">
        <w:rPr>
          <w:lang w:val="en-US"/>
        </w:rPr>
        <w:t xml:space="preserve">forfeiture. The </w:t>
      </w:r>
      <w:r w:rsidRPr="009E6654">
        <w:rPr>
          <w:lang w:val="en-US"/>
        </w:rPr>
        <w:t>International Legal Assistance Law</w:t>
      </w:r>
      <w:r w:rsidRPr="00864F3E">
        <w:rPr>
          <w:lang w:val="en-US"/>
        </w:rPr>
        <w:t xml:space="preserve"> was therefore amended, by granting discretion to the Minister of Justice to waive the requirement for such undertaking by the requesting State.</w:t>
      </w:r>
      <w:bookmarkEnd w:id="14"/>
      <w:bookmarkEnd w:id="15"/>
    </w:p>
    <w:p w:rsidR="006C72E1" w:rsidRPr="00864F3E" w:rsidRDefault="00AC696A" w:rsidP="00DF44B7">
      <w:pPr>
        <w:pStyle w:val="H1G"/>
        <w:rPr>
          <w:snapToGrid w:val="0"/>
          <w:lang w:val="en-US"/>
        </w:rPr>
      </w:pPr>
      <w:r>
        <w:rPr>
          <w:snapToGrid w:val="0"/>
          <w:lang w:val="en-US"/>
        </w:rPr>
        <w:tab/>
      </w:r>
      <w:r>
        <w:rPr>
          <w:snapToGrid w:val="0"/>
          <w:lang w:val="en-US"/>
        </w:rPr>
        <w:tab/>
      </w:r>
      <w:r w:rsidR="000416BC">
        <w:rPr>
          <w:snapToGrid w:val="0"/>
          <w:lang w:val="en-US"/>
        </w:rPr>
        <w:t>Article </w:t>
      </w:r>
      <w:r w:rsidR="006C72E1" w:rsidRPr="00864F3E">
        <w:rPr>
          <w:snapToGrid w:val="0"/>
          <w:lang w:val="en-US"/>
        </w:rPr>
        <w:t>7</w:t>
      </w:r>
      <w:r w:rsidR="0088706A">
        <w:rPr>
          <w:snapToGrid w:val="0"/>
          <w:lang w:val="en-US"/>
        </w:rPr>
        <w:t xml:space="preserve"> </w:t>
      </w:r>
      <w:r w:rsidR="006C72E1" w:rsidRPr="00864F3E">
        <w:rPr>
          <w:snapToGrid w:val="0"/>
          <w:lang w:val="en-US"/>
        </w:rPr>
        <w:t>(c) –</w:t>
      </w:r>
      <w:r w:rsidR="00627043">
        <w:rPr>
          <w:snapToGrid w:val="0"/>
          <w:lang w:val="en-US"/>
        </w:rPr>
        <w:t xml:space="preserve"> </w:t>
      </w:r>
      <w:r w:rsidR="006C72E1" w:rsidRPr="00864F3E">
        <w:rPr>
          <w:snapToGrid w:val="0"/>
          <w:lang w:val="en-US"/>
        </w:rPr>
        <w:t xml:space="preserve">Closing of </w:t>
      </w:r>
      <w:r w:rsidR="00DF44B7">
        <w:rPr>
          <w:snapToGrid w:val="0"/>
          <w:lang w:val="en-US"/>
        </w:rPr>
        <w:t>p</w:t>
      </w:r>
      <w:r w:rsidR="006C72E1" w:rsidRPr="00864F3E">
        <w:rPr>
          <w:snapToGrid w:val="0"/>
          <w:lang w:val="en-US"/>
        </w:rPr>
        <w:t>remises</w:t>
      </w:r>
    </w:p>
    <w:p w:rsidR="006C72E1" w:rsidRPr="009E6654" w:rsidRDefault="006C72E1" w:rsidP="004C04FF">
      <w:pPr>
        <w:pStyle w:val="SingleTxtG"/>
        <w:numPr>
          <w:ilvl w:val="0"/>
          <w:numId w:val="12"/>
        </w:numPr>
        <w:ind w:left="1134" w:firstLine="0"/>
        <w:rPr>
          <w:lang w:val="en-US"/>
        </w:rPr>
      </w:pPr>
      <w:r w:rsidRPr="009E6654">
        <w:rPr>
          <w:snapToGrid w:val="0"/>
          <w:lang w:val="en-US"/>
        </w:rPr>
        <w:t>The Law Limiting Use of Premises in Order to Prevent the Commission of Crime</w:t>
      </w:r>
      <w:r w:rsidRPr="009E6654">
        <w:rPr>
          <w:lang w:val="en-US"/>
        </w:rPr>
        <w:t xml:space="preserve"> </w:t>
      </w:r>
      <w:r w:rsidR="009E6654" w:rsidRPr="009E6654">
        <w:rPr>
          <w:lang w:val="en-US"/>
        </w:rPr>
        <w:t>5765</w:t>
      </w:r>
      <w:r w:rsidR="004C04FF">
        <w:rPr>
          <w:lang w:val="en-US"/>
        </w:rPr>
        <w:t>-</w:t>
      </w:r>
      <w:r w:rsidRPr="009E6654">
        <w:rPr>
          <w:lang w:val="en-US"/>
        </w:rPr>
        <w:t xml:space="preserve">2005 </w:t>
      </w:r>
      <w:r w:rsidRPr="009E6654">
        <w:rPr>
          <w:snapToGrid w:val="0"/>
          <w:lang w:val="en-US"/>
        </w:rPr>
        <w:t xml:space="preserve">authorizes the Police and the courts to limit the use </w:t>
      </w:r>
      <w:r w:rsidRPr="009E6654">
        <w:rPr>
          <w:lang w:val="en-US"/>
        </w:rPr>
        <w:t>of</w:t>
      </w:r>
      <w:r w:rsidRPr="009E6654">
        <w:rPr>
          <w:snapToGrid w:val="0"/>
          <w:lang w:val="en-US"/>
        </w:rPr>
        <w:t xml:space="preserve"> premises and to close them if there are reasonable grounds to suspect that those places </w:t>
      </w:r>
      <w:r w:rsidRPr="009E6654">
        <w:rPr>
          <w:lang w:val="en-US"/>
        </w:rPr>
        <w:t xml:space="preserve">would </w:t>
      </w:r>
      <w:r w:rsidRPr="009E6654">
        <w:rPr>
          <w:snapToGrid w:val="0"/>
          <w:lang w:val="en-US"/>
        </w:rPr>
        <w:t>continue to serve for the purpose of the following offenses</w:t>
      </w:r>
      <w:r w:rsidRPr="009E6654">
        <w:rPr>
          <w:rtl/>
          <w:lang w:val="en-US" w:bidi="he-IL"/>
        </w:rPr>
        <w:t>:</w:t>
      </w:r>
      <w:r w:rsidRPr="009E6654">
        <w:rPr>
          <w:lang w:val="en-US" w:bidi="he-IL"/>
        </w:rPr>
        <w:t xml:space="preserve"> procurement (</w:t>
      </w:r>
      <w:r w:rsidR="001A574A" w:rsidRPr="009E6654">
        <w:rPr>
          <w:lang w:val="en-US" w:bidi="he-IL"/>
        </w:rPr>
        <w:t>Section </w:t>
      </w:r>
      <w:r w:rsidRPr="009E6654">
        <w:rPr>
          <w:lang w:val="en-US" w:bidi="he-IL"/>
        </w:rPr>
        <w:t xml:space="preserve">199 of the Penal Law), </w:t>
      </w:r>
      <w:r w:rsidRPr="009E6654">
        <w:rPr>
          <w:lang w:val="en-US"/>
        </w:rPr>
        <w:t>inducement to engage in prostitution (</w:t>
      </w:r>
      <w:r w:rsidR="001A574A" w:rsidRPr="009E6654">
        <w:rPr>
          <w:lang w:val="en-US"/>
        </w:rPr>
        <w:t>Section </w:t>
      </w:r>
      <w:r w:rsidRPr="009E6654">
        <w:rPr>
          <w:lang w:val="en-US"/>
        </w:rPr>
        <w:t>202 of the Penal Law), trafficking in persons for inducing the person to commit an act of prostitution (</w:t>
      </w:r>
      <w:r w:rsidR="001A574A" w:rsidRPr="009E6654">
        <w:rPr>
          <w:lang w:val="en-US"/>
        </w:rPr>
        <w:t>Section </w:t>
      </w:r>
      <w:r w:rsidRPr="009E6654">
        <w:rPr>
          <w:lang w:val="en-US"/>
        </w:rPr>
        <w:t>377A(a)(5) of the Penal Law), maintaining a place for purposes of prostitution (</w:t>
      </w:r>
      <w:r w:rsidR="001A574A" w:rsidRPr="009E6654">
        <w:rPr>
          <w:lang w:val="en-US"/>
        </w:rPr>
        <w:t>Section </w:t>
      </w:r>
      <w:r w:rsidRPr="009E6654">
        <w:rPr>
          <w:lang w:val="en-US"/>
        </w:rPr>
        <w:t>204 of the Penal Law) and renting a place for prostitution (</w:t>
      </w:r>
      <w:r w:rsidR="001A574A" w:rsidRPr="009E6654">
        <w:rPr>
          <w:lang w:val="en-US"/>
        </w:rPr>
        <w:t>Section </w:t>
      </w:r>
      <w:r w:rsidRPr="009E6654">
        <w:rPr>
          <w:lang w:val="en-US"/>
        </w:rPr>
        <w:t xml:space="preserve">205 of the Penal Law). </w:t>
      </w:r>
    </w:p>
    <w:p w:rsidR="006C72E1" w:rsidRDefault="006C72E1" w:rsidP="006D3B18">
      <w:pPr>
        <w:pStyle w:val="SingleTxtG"/>
        <w:numPr>
          <w:ilvl w:val="0"/>
          <w:numId w:val="12"/>
        </w:numPr>
        <w:ind w:left="1134" w:firstLine="0"/>
        <w:rPr>
          <w:snapToGrid w:val="0"/>
          <w:lang w:val="en-US"/>
        </w:rPr>
      </w:pPr>
      <w:r w:rsidRPr="002D2C27">
        <w:rPr>
          <w:snapToGrid w:val="0"/>
          <w:lang w:val="en-US"/>
        </w:rPr>
        <w:t xml:space="preserve">The courts have the authority to issue </w:t>
      </w:r>
      <w:r>
        <w:rPr>
          <w:snapToGrid w:val="0"/>
          <w:lang w:val="en-US"/>
        </w:rPr>
        <w:t xml:space="preserve">closure </w:t>
      </w:r>
      <w:r w:rsidRPr="002D2C27">
        <w:rPr>
          <w:snapToGrid w:val="0"/>
          <w:lang w:val="en-US"/>
        </w:rPr>
        <w:t xml:space="preserve">orders for periods of 90 days </w:t>
      </w:r>
      <w:r>
        <w:rPr>
          <w:snapToGrid w:val="0"/>
          <w:lang w:val="en-US"/>
        </w:rPr>
        <w:t>each time</w:t>
      </w:r>
      <w:r w:rsidRPr="002D2C27">
        <w:rPr>
          <w:snapToGrid w:val="0"/>
          <w:lang w:val="en-US"/>
        </w:rPr>
        <w:t xml:space="preserve">, with the possibility of extension. The </w:t>
      </w:r>
      <w:r>
        <w:rPr>
          <w:snapToGrid w:val="0"/>
          <w:lang w:val="en-US"/>
        </w:rPr>
        <w:t>P</w:t>
      </w:r>
      <w:r w:rsidRPr="002D2C27">
        <w:rPr>
          <w:snapToGrid w:val="0"/>
          <w:lang w:val="en-US"/>
        </w:rPr>
        <w:t xml:space="preserve">olice may issue such orders for a period </w:t>
      </w:r>
      <w:r>
        <w:rPr>
          <w:snapToGrid w:val="0"/>
          <w:lang w:val="en-US"/>
        </w:rPr>
        <w:t xml:space="preserve">not to exceed </w:t>
      </w:r>
      <w:r w:rsidRPr="002D2C27">
        <w:rPr>
          <w:snapToGrid w:val="0"/>
          <w:lang w:val="en-US"/>
        </w:rPr>
        <w:t>30 days</w:t>
      </w:r>
      <w:r w:rsidR="004C04FF">
        <w:rPr>
          <w:snapToGrid w:val="0"/>
          <w:lang w:val="en-US"/>
        </w:rPr>
        <w:t>,</w:t>
      </w:r>
      <w:r w:rsidRPr="002D2C27">
        <w:rPr>
          <w:snapToGrid w:val="0"/>
          <w:lang w:val="en-US"/>
        </w:rPr>
        <w:t xml:space="preserve"> during which they may request the court to rule on the matter. Violating such an order is punishable by </w:t>
      </w:r>
      <w:r>
        <w:rPr>
          <w:snapToGrid w:val="0"/>
          <w:lang w:val="en-US"/>
        </w:rPr>
        <w:t>two</w:t>
      </w:r>
      <w:r w:rsidRPr="002D2C27">
        <w:rPr>
          <w:snapToGrid w:val="0"/>
          <w:lang w:val="en-US"/>
        </w:rPr>
        <w:t xml:space="preserve"> years</w:t>
      </w:r>
      <w:r w:rsidR="00C05EBD">
        <w:rPr>
          <w:rFonts w:hint="eastAsia"/>
          <w:snapToGrid w:val="0"/>
          <w:lang w:val="en-US"/>
        </w:rPr>
        <w:t>’</w:t>
      </w:r>
      <w:r w:rsidRPr="002D2C27">
        <w:rPr>
          <w:snapToGrid w:val="0"/>
          <w:lang w:val="en-US"/>
        </w:rPr>
        <w:t xml:space="preserve"> imprisonment. </w:t>
      </w:r>
    </w:p>
    <w:p w:rsidR="006C72E1" w:rsidRPr="002D2C27" w:rsidRDefault="00AC696A" w:rsidP="00CC5E06">
      <w:pPr>
        <w:pStyle w:val="HChG"/>
        <w:rPr>
          <w:lang w:val="en-US"/>
        </w:rPr>
      </w:pPr>
      <w:bookmarkStart w:id="16" w:name="_Ref162172130"/>
      <w:bookmarkStart w:id="17" w:name="_Toc164837091"/>
      <w:bookmarkStart w:id="18" w:name="_Toc335890808"/>
      <w:r>
        <w:rPr>
          <w:lang w:val="en-US"/>
        </w:rPr>
        <w:tab/>
      </w:r>
      <w:r>
        <w:rPr>
          <w:lang w:val="en-US"/>
        </w:rPr>
        <w:tab/>
      </w:r>
      <w:r w:rsidR="000416BC">
        <w:rPr>
          <w:lang w:val="en-US"/>
        </w:rPr>
        <w:t>Article </w:t>
      </w:r>
      <w:r w:rsidR="006C72E1" w:rsidRPr="002D2C27">
        <w:rPr>
          <w:lang w:val="en-US"/>
        </w:rPr>
        <w:t>8</w:t>
      </w:r>
      <w:bookmarkEnd w:id="18"/>
    </w:p>
    <w:bookmarkEnd w:id="16"/>
    <w:bookmarkEnd w:id="17"/>
    <w:p w:rsidR="006C72E1" w:rsidRPr="00862776" w:rsidRDefault="006C72E1" w:rsidP="004C04FF">
      <w:pPr>
        <w:pStyle w:val="SingleTxtG"/>
        <w:numPr>
          <w:ilvl w:val="0"/>
          <w:numId w:val="12"/>
        </w:numPr>
        <w:ind w:left="1134" w:firstLine="0"/>
        <w:rPr>
          <w:b/>
          <w:bCs/>
          <w:lang w:val="en-US"/>
        </w:rPr>
      </w:pPr>
      <w:r w:rsidRPr="002D2C27">
        <w:rPr>
          <w:lang w:val="en-US"/>
        </w:rPr>
        <w:t xml:space="preserve">As </w:t>
      </w:r>
      <w:r w:rsidR="004C04FF">
        <w:rPr>
          <w:lang w:val="en-US"/>
        </w:rPr>
        <w:t>is</w:t>
      </w:r>
      <w:r w:rsidRPr="002D2C27">
        <w:rPr>
          <w:lang w:val="en-US"/>
        </w:rPr>
        <w:t xml:space="preserve"> detailed below, Israeli law provides extensive protection for</w:t>
      </w:r>
      <w:r>
        <w:rPr>
          <w:lang w:val="en-US"/>
        </w:rPr>
        <w:t xml:space="preserve"> child</w:t>
      </w:r>
      <w:r w:rsidRPr="002D2C27">
        <w:rPr>
          <w:lang w:val="en-US"/>
        </w:rPr>
        <w:t xml:space="preserve"> victims</w:t>
      </w:r>
      <w:r w:rsidR="004C04FF">
        <w:rPr>
          <w:lang w:val="en-US"/>
        </w:rPr>
        <w:t>,</w:t>
      </w:r>
      <w:r w:rsidRPr="002D2C27">
        <w:rPr>
          <w:lang w:val="en-US"/>
        </w:rPr>
        <w:t xml:space="preserve"> as required by </w:t>
      </w:r>
      <w:r w:rsidR="000416BC">
        <w:rPr>
          <w:lang w:val="en-US"/>
        </w:rPr>
        <w:t>Article </w:t>
      </w:r>
      <w:r w:rsidRPr="002D2C27">
        <w:rPr>
          <w:lang w:val="en-US"/>
        </w:rPr>
        <w:t xml:space="preserve">8 </w:t>
      </w:r>
      <w:r>
        <w:rPr>
          <w:lang w:val="en-US"/>
        </w:rPr>
        <w:t>of</w:t>
      </w:r>
      <w:r w:rsidRPr="002D2C27">
        <w:rPr>
          <w:lang w:val="en-US"/>
        </w:rPr>
        <w:t xml:space="preserve"> the Protocol.</w:t>
      </w:r>
    </w:p>
    <w:p w:rsidR="006C72E1" w:rsidRPr="00AF65BB" w:rsidRDefault="006C72E1" w:rsidP="006D3B18">
      <w:pPr>
        <w:pStyle w:val="SingleTxtG"/>
        <w:numPr>
          <w:ilvl w:val="0"/>
          <w:numId w:val="12"/>
        </w:numPr>
        <w:ind w:left="1134" w:firstLine="0"/>
        <w:rPr>
          <w:b/>
          <w:bCs/>
          <w:lang w:val="en-US"/>
        </w:rPr>
      </w:pPr>
      <w:r>
        <w:rPr>
          <w:lang w:val="en-US"/>
        </w:rPr>
        <w:t xml:space="preserve">At the outset, it is important to note that the victim of an offense can often play a key role in all stages of the criminal legal process. </w:t>
      </w:r>
      <w:r>
        <w:rPr>
          <w:szCs w:val="24"/>
          <w:lang w:val="en-US"/>
        </w:rPr>
        <w:t xml:space="preserve">Israeli law grants such victims special status, beyond their regular status as prosecution witnesses. Indeed, Israel makes every effort so that </w:t>
      </w:r>
      <w:r w:rsidRPr="00AF65BB">
        <w:rPr>
          <w:szCs w:val="24"/>
          <w:lang w:val="en-US"/>
        </w:rPr>
        <w:t xml:space="preserve">all </w:t>
      </w:r>
      <w:r>
        <w:rPr>
          <w:szCs w:val="24"/>
        </w:rPr>
        <w:t>officials at all stages of the process treat victims with dignity, fairness and understanding, assist them to receive full compensation available by law for their damages and do their best to protect victims from further damages, subject of course to the rights of</w:t>
      </w:r>
      <w:r w:rsidR="00CD3B50">
        <w:rPr>
          <w:szCs w:val="24"/>
        </w:rPr>
        <w:t xml:space="preserve"> </w:t>
      </w:r>
      <w:r>
        <w:rPr>
          <w:szCs w:val="24"/>
        </w:rPr>
        <w:t xml:space="preserve">defendants. </w:t>
      </w:r>
    </w:p>
    <w:p w:rsidR="006C72E1" w:rsidRPr="00E43425" w:rsidRDefault="006C72E1" w:rsidP="006D3B18">
      <w:pPr>
        <w:pStyle w:val="SingleTxtG"/>
        <w:numPr>
          <w:ilvl w:val="0"/>
          <w:numId w:val="12"/>
        </w:numPr>
        <w:ind w:left="1134" w:firstLine="0"/>
        <w:rPr>
          <w:lang w:val="en-US"/>
        </w:rPr>
      </w:pPr>
      <w:r w:rsidRPr="005C75EC">
        <w:rPr>
          <w:lang w:val="en-US"/>
        </w:rPr>
        <w:t xml:space="preserve">The main legislation </w:t>
      </w:r>
      <w:r>
        <w:rPr>
          <w:lang w:val="en-US"/>
        </w:rPr>
        <w:t>regarding</w:t>
      </w:r>
      <w:r w:rsidRPr="005C75EC">
        <w:rPr>
          <w:lang w:val="en-US"/>
        </w:rPr>
        <w:t xml:space="preserve"> the </w:t>
      </w:r>
      <w:r>
        <w:rPr>
          <w:lang w:val="en-US"/>
        </w:rPr>
        <w:t xml:space="preserve">rights of crime victims </w:t>
      </w:r>
      <w:r w:rsidRPr="005C75EC">
        <w:rPr>
          <w:lang w:val="en-US"/>
        </w:rPr>
        <w:t xml:space="preserve">is the </w:t>
      </w:r>
      <w:r w:rsidRPr="00E43425">
        <w:rPr>
          <w:lang w:val="en-US"/>
        </w:rPr>
        <w:t>Crime Victims</w:t>
      </w:r>
      <w:r w:rsidR="002C5F11" w:rsidRPr="00E43425">
        <w:rPr>
          <w:lang w:val="en-US"/>
        </w:rPr>
        <w:t>’</w:t>
      </w:r>
      <w:r w:rsidRPr="00E43425">
        <w:rPr>
          <w:lang w:val="en-US"/>
        </w:rPr>
        <w:t xml:space="preserve"> Rights Law</w:t>
      </w:r>
      <w:r w:rsidR="002C5F11" w:rsidRPr="00E43425">
        <w:rPr>
          <w:lang w:val="en-US"/>
        </w:rPr>
        <w:t xml:space="preserve"> 5761-2001 (the “</w:t>
      </w:r>
      <w:r w:rsidRPr="00E43425">
        <w:rPr>
          <w:lang w:val="en-US"/>
        </w:rPr>
        <w:t>Victims</w:t>
      </w:r>
      <w:r w:rsidR="002C5F11" w:rsidRPr="00E43425">
        <w:rPr>
          <w:lang w:val="en-US"/>
        </w:rPr>
        <w:t>’</w:t>
      </w:r>
      <w:r w:rsidRPr="00E43425">
        <w:rPr>
          <w:lang w:val="en-US"/>
        </w:rPr>
        <w:t xml:space="preserve"> Rights Law</w:t>
      </w:r>
      <w:r w:rsidR="002C5F11" w:rsidRPr="00E43425">
        <w:rPr>
          <w:lang w:val="en-US"/>
        </w:rPr>
        <w:t>”</w:t>
      </w:r>
      <w:r w:rsidRPr="00E43425">
        <w:rPr>
          <w:lang w:val="en-US"/>
        </w:rPr>
        <w:t>), the purpose of which is to determine the rights for a crime victim and to protect his/her dignity as a human being without prejudicing the legal rights of suspects, defendants and convicts. The principles of the Victims</w:t>
      </w:r>
      <w:r w:rsidR="00C05EBD" w:rsidRPr="00E43425">
        <w:rPr>
          <w:rFonts w:hint="eastAsia"/>
          <w:lang w:val="en-US"/>
        </w:rPr>
        <w:t>’</w:t>
      </w:r>
      <w:r w:rsidRPr="00E43425">
        <w:rPr>
          <w:lang w:val="en-US"/>
        </w:rPr>
        <w:t xml:space="preserve"> Rights Law are that granting rights to the victim of a crime must be made while giving consideration to his/her needs, while protecting his/her dignity and privacy, within a reasonable amount of time (</w:t>
      </w:r>
      <w:r w:rsidR="001A574A" w:rsidRPr="00E43425">
        <w:rPr>
          <w:lang w:val="en-US"/>
        </w:rPr>
        <w:t>Section </w:t>
      </w:r>
      <w:r w:rsidRPr="00E43425">
        <w:rPr>
          <w:lang w:val="en-US"/>
        </w:rPr>
        <w:t xml:space="preserve">3 of the </w:t>
      </w:r>
      <w:r w:rsidR="002C5F11" w:rsidRPr="00E43425">
        <w:rPr>
          <w:lang w:val="en-US"/>
        </w:rPr>
        <w:t>Victims’</w:t>
      </w:r>
      <w:r w:rsidRPr="00E43425">
        <w:rPr>
          <w:lang w:val="en-US"/>
        </w:rPr>
        <w:t xml:space="preserve"> Rights Law). </w:t>
      </w:r>
    </w:p>
    <w:p w:rsidR="006C72E1" w:rsidRPr="00BF285A" w:rsidRDefault="006C72E1" w:rsidP="006D3B18">
      <w:pPr>
        <w:pStyle w:val="SingleTxtG"/>
        <w:numPr>
          <w:ilvl w:val="0"/>
          <w:numId w:val="12"/>
        </w:numPr>
        <w:ind w:left="1134" w:firstLine="0"/>
        <w:rPr>
          <w:lang w:val="en-US"/>
        </w:rPr>
      </w:pPr>
      <w:r w:rsidRPr="00E43425">
        <w:rPr>
          <w:lang w:val="en-US"/>
        </w:rPr>
        <w:t>The Victims</w:t>
      </w:r>
      <w:r w:rsidR="002C5F11" w:rsidRPr="00E43425">
        <w:rPr>
          <w:lang w:val="en-US"/>
        </w:rPr>
        <w:t>’</w:t>
      </w:r>
      <w:r w:rsidRPr="00E43425">
        <w:rPr>
          <w:lang w:val="en-US"/>
        </w:rPr>
        <w:t xml:space="preserve"> Rights Law</w:t>
      </w:r>
      <w:r w:rsidR="002C5F11" w:rsidRPr="00E43425">
        <w:rPr>
          <w:lang w:val="en-US"/>
        </w:rPr>
        <w:t xml:space="preserve"> applies to “victims of a crime”</w:t>
      </w:r>
      <w:r w:rsidRPr="00E43425">
        <w:rPr>
          <w:lang w:val="en-US"/>
        </w:rPr>
        <w:t>. The ter</w:t>
      </w:r>
      <w:r w:rsidRPr="00BF285A">
        <w:rPr>
          <w:lang w:val="en-US"/>
        </w:rPr>
        <w:t>m is defined as a person that suffered directly because of a crime, as well as a family member (spouse, parent, parent</w:t>
      </w:r>
      <w:r w:rsidR="00C05EBD">
        <w:rPr>
          <w:rFonts w:hint="eastAsia"/>
          <w:lang w:val="en-US"/>
        </w:rPr>
        <w:t>’</w:t>
      </w:r>
      <w:r w:rsidRPr="00BF285A">
        <w:rPr>
          <w:lang w:val="en-US"/>
        </w:rPr>
        <w:t>s spouse, children, brother or sister) of a person who died as a consequence of the crime (excluding the suspect, the defendant or the person convicted of the crime)</w:t>
      </w:r>
      <w:r w:rsidR="002C5F11">
        <w:rPr>
          <w:lang w:val="en-US"/>
        </w:rPr>
        <w:t>. For the purpose</w:t>
      </w:r>
      <w:r w:rsidR="004C04FF">
        <w:rPr>
          <w:lang w:val="en-US"/>
        </w:rPr>
        <w:t>s</w:t>
      </w:r>
      <w:r w:rsidR="002C5F11">
        <w:rPr>
          <w:lang w:val="en-US"/>
        </w:rPr>
        <w:t xml:space="preserve"> of this law, “</w:t>
      </w:r>
      <w:r w:rsidRPr="00BF285A">
        <w:rPr>
          <w:lang w:val="en-US"/>
        </w:rPr>
        <w:t>crime</w:t>
      </w:r>
      <w:r w:rsidR="002C5F11">
        <w:rPr>
          <w:lang w:val="en-US"/>
        </w:rPr>
        <w:t>”</w:t>
      </w:r>
      <w:r w:rsidRPr="00BF285A">
        <w:rPr>
          <w:lang w:val="en-US"/>
        </w:rPr>
        <w:t xml:space="preserve"> refers to an offense, excluding traffic violations, which is qualified as a misdemeanor or a felony, and which was either committed in Israel or, committed abroad but prosecuted before an Israeli court by official State authorities. </w:t>
      </w:r>
    </w:p>
    <w:p w:rsidR="006C72E1" w:rsidRPr="00E43425" w:rsidRDefault="006C72E1" w:rsidP="004C04FF">
      <w:pPr>
        <w:pStyle w:val="SingleTxtG"/>
        <w:numPr>
          <w:ilvl w:val="0"/>
          <w:numId w:val="12"/>
        </w:numPr>
        <w:ind w:left="1134" w:firstLine="0"/>
        <w:rPr>
          <w:lang w:val="en-US"/>
        </w:rPr>
      </w:pPr>
      <w:r w:rsidRPr="00BF285A">
        <w:rPr>
          <w:lang w:val="en-US"/>
        </w:rPr>
        <w:t xml:space="preserve">As mentioned above, all actions and activities referred to by the Protocol are criminalized by Israeli law and penalized by severe punishments, thus falling </w:t>
      </w:r>
      <w:r w:rsidRPr="00BF285A">
        <w:t xml:space="preserve">within the scope of the </w:t>
      </w:r>
      <w:r w:rsidRPr="00E43425">
        <w:t>Victims</w:t>
      </w:r>
      <w:r w:rsidR="002C5F11" w:rsidRPr="00E43425">
        <w:t>’</w:t>
      </w:r>
      <w:r w:rsidRPr="00E43425">
        <w:t xml:space="preserve"> </w:t>
      </w:r>
      <w:r w:rsidR="004C04FF">
        <w:t>Rights</w:t>
      </w:r>
      <w:r w:rsidR="004C04FF" w:rsidRPr="00E43425">
        <w:t xml:space="preserve"> </w:t>
      </w:r>
      <w:r w:rsidRPr="00E43425">
        <w:t>Law.</w:t>
      </w:r>
      <w:r w:rsidR="00CD3B50" w:rsidRPr="00E43425">
        <w:t xml:space="preserve"> </w:t>
      </w:r>
    </w:p>
    <w:p w:rsidR="006C72E1" w:rsidRPr="00D879A7" w:rsidRDefault="006C72E1" w:rsidP="004C04FF">
      <w:pPr>
        <w:pStyle w:val="SingleTxtG"/>
        <w:numPr>
          <w:ilvl w:val="0"/>
          <w:numId w:val="12"/>
        </w:numPr>
        <w:ind w:left="1134" w:firstLine="0"/>
        <w:rPr>
          <w:lang w:val="en-US"/>
        </w:rPr>
      </w:pPr>
      <w:r w:rsidRPr="00E43425">
        <w:rPr>
          <w:lang w:val="en-US"/>
        </w:rPr>
        <w:t>The Victims</w:t>
      </w:r>
      <w:r w:rsidR="002C5F11" w:rsidRPr="00E43425">
        <w:rPr>
          <w:lang w:val="en-US"/>
        </w:rPr>
        <w:t>’</w:t>
      </w:r>
      <w:r w:rsidRPr="00E43425">
        <w:rPr>
          <w:lang w:val="en-US"/>
        </w:rPr>
        <w:t xml:space="preserve"> Rights Law grants victims of crime a wide range of rights. Victims of sex</w:t>
      </w:r>
      <w:r w:rsidR="004C04FF">
        <w:rPr>
          <w:lang w:val="en-US"/>
        </w:rPr>
        <w:t>ual</w:t>
      </w:r>
      <w:r w:rsidRPr="00E43425">
        <w:rPr>
          <w:lang w:val="en-US"/>
        </w:rPr>
        <w:t xml:space="preserve"> or violent offenses are granted additional rights, stemming from the particular gravity of such offenses. The Victims</w:t>
      </w:r>
      <w:r w:rsidR="00C05EBD" w:rsidRPr="00E43425">
        <w:rPr>
          <w:rFonts w:hint="eastAsia"/>
          <w:lang w:val="en-US"/>
        </w:rPr>
        <w:t>’</w:t>
      </w:r>
      <w:r w:rsidRPr="00E43425">
        <w:rPr>
          <w:lang w:val="en-US"/>
        </w:rPr>
        <w:t xml:space="preserve"> Rights Law</w:t>
      </w:r>
      <w:r w:rsidRPr="00D879A7">
        <w:rPr>
          <w:lang w:val="en-US"/>
        </w:rPr>
        <w:t xml:space="preserve"> provides measures</w:t>
      </w:r>
      <w:r>
        <w:rPr>
          <w:lang w:val="en-US"/>
        </w:rPr>
        <w:t xml:space="preserve"> for protecting the rights and interests of victims of crime, including children, through all stages of the legal proceedings, as </w:t>
      </w:r>
      <w:r w:rsidR="004C04FF">
        <w:rPr>
          <w:lang w:val="en-US"/>
        </w:rPr>
        <w:t>is described more fully</w:t>
      </w:r>
      <w:r>
        <w:rPr>
          <w:lang w:val="en-US"/>
        </w:rPr>
        <w:t xml:space="preserve"> below. </w:t>
      </w:r>
    </w:p>
    <w:p w:rsidR="006C72E1" w:rsidRPr="00DC0B88" w:rsidRDefault="00AC696A" w:rsidP="00DF44B7">
      <w:pPr>
        <w:pStyle w:val="H1G"/>
        <w:rPr>
          <w:lang w:val="en-US"/>
        </w:rPr>
      </w:pPr>
      <w:r>
        <w:rPr>
          <w:lang w:val="en-US"/>
        </w:rPr>
        <w:tab/>
      </w:r>
      <w:r>
        <w:rPr>
          <w:lang w:val="en-US"/>
        </w:rPr>
        <w:tab/>
      </w:r>
      <w:r w:rsidR="000416BC">
        <w:rPr>
          <w:lang w:val="en-US"/>
        </w:rPr>
        <w:t>Article </w:t>
      </w:r>
      <w:r w:rsidR="006C72E1" w:rsidRPr="00DC0B88">
        <w:rPr>
          <w:lang w:val="en-US"/>
        </w:rPr>
        <w:t>8</w:t>
      </w:r>
      <w:r w:rsidR="0088706A">
        <w:rPr>
          <w:lang w:val="en-US"/>
        </w:rPr>
        <w:t xml:space="preserve"> </w:t>
      </w:r>
      <w:r w:rsidR="006C72E1" w:rsidRPr="00DC0B88">
        <w:rPr>
          <w:lang w:val="en-US"/>
        </w:rPr>
        <w:t>(1)</w:t>
      </w:r>
      <w:r w:rsidR="000F6256">
        <w:rPr>
          <w:lang w:val="en-US"/>
        </w:rPr>
        <w:t xml:space="preserve"> </w:t>
      </w:r>
      <w:r w:rsidR="00E22D15">
        <w:rPr>
          <w:lang w:val="en-US"/>
        </w:rPr>
        <w:t>(a) –</w:t>
      </w:r>
      <w:r w:rsidR="006C72E1" w:rsidRPr="00DC0B88">
        <w:rPr>
          <w:lang w:val="en-US"/>
        </w:rPr>
        <w:t xml:space="preserve"> Recognizing the </w:t>
      </w:r>
      <w:r w:rsidR="00DF44B7">
        <w:rPr>
          <w:lang w:val="en-US"/>
        </w:rPr>
        <w:t>v</w:t>
      </w:r>
      <w:r w:rsidR="006C72E1" w:rsidRPr="00DC0B88">
        <w:rPr>
          <w:lang w:val="en-US"/>
        </w:rPr>
        <w:t xml:space="preserve">ulnerability of </w:t>
      </w:r>
      <w:r w:rsidR="00DF44B7">
        <w:rPr>
          <w:lang w:val="en-US"/>
        </w:rPr>
        <w:t>c</w:t>
      </w:r>
      <w:r w:rsidR="006C72E1" w:rsidRPr="00DC0B88">
        <w:rPr>
          <w:lang w:val="en-US"/>
        </w:rPr>
        <w:t xml:space="preserve">hild </w:t>
      </w:r>
      <w:r w:rsidR="00DF44B7">
        <w:rPr>
          <w:lang w:val="en-US"/>
        </w:rPr>
        <w:t>v</w:t>
      </w:r>
      <w:r w:rsidR="006C72E1" w:rsidRPr="00DC0B88">
        <w:rPr>
          <w:lang w:val="en-US"/>
        </w:rPr>
        <w:t>ictims</w:t>
      </w:r>
    </w:p>
    <w:p w:rsidR="006C72E1" w:rsidRPr="00E43425" w:rsidRDefault="001A574A" w:rsidP="006D3B18">
      <w:pPr>
        <w:pStyle w:val="SingleTxtG"/>
        <w:numPr>
          <w:ilvl w:val="0"/>
          <w:numId w:val="12"/>
        </w:numPr>
        <w:ind w:left="1134" w:firstLine="0"/>
        <w:rPr>
          <w:lang w:val="en-US"/>
        </w:rPr>
      </w:pPr>
      <w:r>
        <w:rPr>
          <w:lang w:val="en-US"/>
        </w:rPr>
        <w:t>Section </w:t>
      </w:r>
      <w:r w:rsidR="006C72E1">
        <w:rPr>
          <w:lang w:val="en-US"/>
        </w:rPr>
        <w:t>4(a) of t</w:t>
      </w:r>
      <w:r w:rsidR="006C72E1" w:rsidRPr="002D2C27">
        <w:rPr>
          <w:lang w:val="en-US"/>
        </w:rPr>
        <w:t>he</w:t>
      </w:r>
      <w:r w:rsidR="006C72E1" w:rsidRPr="002D2C27">
        <w:rPr>
          <w:i/>
          <w:iCs/>
          <w:lang w:val="en-US"/>
        </w:rPr>
        <w:t xml:space="preserve"> </w:t>
      </w:r>
      <w:r w:rsidR="006C72E1" w:rsidRPr="00E43425">
        <w:rPr>
          <w:lang w:val="en-US"/>
        </w:rPr>
        <w:t>Victims</w:t>
      </w:r>
      <w:r w:rsidR="00E22D15" w:rsidRPr="00E43425">
        <w:rPr>
          <w:lang w:val="en-US"/>
        </w:rPr>
        <w:t>’</w:t>
      </w:r>
      <w:r w:rsidR="006C72E1" w:rsidRPr="00E43425">
        <w:rPr>
          <w:lang w:val="en-US"/>
        </w:rPr>
        <w:t xml:space="preserve"> Rights Law states, as a core principle, that the implementation of </w:t>
      </w:r>
      <w:r w:rsidR="004C04FF">
        <w:rPr>
          <w:lang w:val="en-US"/>
        </w:rPr>
        <w:t xml:space="preserve">a </w:t>
      </w:r>
      <w:r w:rsidR="006C72E1" w:rsidRPr="00E43425">
        <w:rPr>
          <w:lang w:val="en-US"/>
        </w:rPr>
        <w:t>child victim</w:t>
      </w:r>
      <w:r w:rsidR="00C05EBD" w:rsidRPr="00E43425">
        <w:rPr>
          <w:rFonts w:hint="eastAsia"/>
          <w:lang w:val="en-US"/>
        </w:rPr>
        <w:t>’</w:t>
      </w:r>
      <w:r w:rsidR="006C72E1" w:rsidRPr="00E43425">
        <w:rPr>
          <w:lang w:val="en-US"/>
        </w:rPr>
        <w:t xml:space="preserve">s rights should be adjusted and modified according to the relevant circumstances of each case, </w:t>
      </w:r>
      <w:r w:rsidR="004C04FF">
        <w:rPr>
          <w:lang w:val="en-US"/>
        </w:rPr>
        <w:t xml:space="preserve">and </w:t>
      </w:r>
      <w:r w:rsidR="006C72E1" w:rsidRPr="00E43425">
        <w:rPr>
          <w:lang w:val="en-US"/>
        </w:rPr>
        <w:t>the child</w:t>
      </w:r>
      <w:r w:rsidR="00C05EBD" w:rsidRPr="00E43425">
        <w:rPr>
          <w:rFonts w:hint="eastAsia"/>
          <w:lang w:val="en-US"/>
        </w:rPr>
        <w:t>’</w:t>
      </w:r>
      <w:r w:rsidR="006C72E1" w:rsidRPr="00E43425">
        <w:rPr>
          <w:lang w:val="en-US"/>
        </w:rPr>
        <w:t xml:space="preserve">s age and level of maturity, all in accordance with the Convention on the Rights of the Child. </w:t>
      </w:r>
    </w:p>
    <w:p w:rsidR="006C72E1" w:rsidRPr="00BF285A" w:rsidRDefault="006C72E1" w:rsidP="006D3B18">
      <w:pPr>
        <w:pStyle w:val="SingleTxtG"/>
        <w:numPr>
          <w:ilvl w:val="0"/>
          <w:numId w:val="12"/>
        </w:numPr>
        <w:ind w:left="1134" w:firstLine="0"/>
        <w:rPr>
          <w:lang w:val="en-US"/>
        </w:rPr>
      </w:pPr>
      <w:r w:rsidRPr="00E43425">
        <w:rPr>
          <w:lang w:val="en-US"/>
        </w:rPr>
        <w:t xml:space="preserve">According to </w:t>
      </w:r>
      <w:r w:rsidR="001A574A" w:rsidRPr="00E43425">
        <w:rPr>
          <w:lang w:val="en-US"/>
        </w:rPr>
        <w:t>Section </w:t>
      </w:r>
      <w:r w:rsidRPr="00E43425">
        <w:rPr>
          <w:lang w:val="en-US"/>
        </w:rPr>
        <w:t>18 of the Crime Victims</w:t>
      </w:r>
      <w:r w:rsidR="00E22D15" w:rsidRPr="00E43425">
        <w:rPr>
          <w:lang w:val="en-US"/>
        </w:rPr>
        <w:t>’</w:t>
      </w:r>
      <w:r w:rsidRPr="00E43425">
        <w:rPr>
          <w:lang w:val="en-US"/>
        </w:rPr>
        <w:t xml:space="preserve"> Rights Regulations 5762-2002 </w:t>
      </w:r>
      <w:r w:rsidR="00E22D15" w:rsidRPr="00E43425">
        <w:rPr>
          <w:lang w:val="en-US"/>
        </w:rPr>
        <w:t>(the “</w:t>
      </w:r>
      <w:r w:rsidRPr="00E43425">
        <w:rPr>
          <w:lang w:val="en-US"/>
        </w:rPr>
        <w:t>Crime Victims</w:t>
      </w:r>
      <w:r w:rsidR="00E22D15" w:rsidRPr="00E43425">
        <w:rPr>
          <w:lang w:val="en-US"/>
        </w:rPr>
        <w:t>’</w:t>
      </w:r>
      <w:r w:rsidRPr="00E43425">
        <w:rPr>
          <w:lang w:val="en-US"/>
        </w:rPr>
        <w:t xml:space="preserve"> Rights Regulations</w:t>
      </w:r>
      <w:r w:rsidR="00E22D15" w:rsidRPr="00E43425">
        <w:rPr>
          <w:lang w:val="en-US"/>
        </w:rPr>
        <w:t>”</w:t>
      </w:r>
      <w:r w:rsidRPr="00E43425">
        <w:rPr>
          <w:lang w:val="en-US"/>
        </w:rPr>
        <w:t>)</w:t>
      </w:r>
      <w:r w:rsidR="004C04FF">
        <w:rPr>
          <w:lang w:val="en-US"/>
        </w:rPr>
        <w:t>,</w:t>
      </w:r>
      <w:r w:rsidRPr="00E43425">
        <w:rPr>
          <w:lang w:val="en-US"/>
        </w:rPr>
        <w:t xml:space="preserve"> the</w:t>
      </w:r>
      <w:r>
        <w:rPr>
          <w:lang w:val="en-US"/>
        </w:rPr>
        <w:t xml:space="preserve"> rights of a child below</w:t>
      </w:r>
      <w:r w:rsidRPr="002D2C27">
        <w:rPr>
          <w:lang w:val="en-US"/>
        </w:rPr>
        <w:t xml:space="preserve"> </w:t>
      </w:r>
      <w:r>
        <w:rPr>
          <w:lang w:val="en-US"/>
        </w:rPr>
        <w:t xml:space="preserve">the age </w:t>
      </w:r>
      <w:r w:rsidRPr="002D2C27">
        <w:rPr>
          <w:lang w:val="en-US"/>
        </w:rPr>
        <w:t xml:space="preserve">14 can </w:t>
      </w:r>
      <w:r>
        <w:rPr>
          <w:lang w:val="en-US"/>
        </w:rPr>
        <w:t xml:space="preserve">be exercised through his/her </w:t>
      </w:r>
      <w:r w:rsidRPr="002D2C27">
        <w:rPr>
          <w:lang w:val="en-US"/>
        </w:rPr>
        <w:t>parent</w:t>
      </w:r>
      <w:r>
        <w:rPr>
          <w:lang w:val="en-US"/>
        </w:rPr>
        <w:t xml:space="preserve"> </w:t>
      </w:r>
      <w:r w:rsidRPr="002D2C27">
        <w:rPr>
          <w:lang w:val="en-US"/>
        </w:rPr>
        <w:t xml:space="preserve">or legal </w:t>
      </w:r>
      <w:r w:rsidRPr="00BF285A">
        <w:rPr>
          <w:lang w:val="en-US"/>
        </w:rPr>
        <w:t>guardian, while the rights of a child who is 14</w:t>
      </w:r>
      <w:r w:rsidR="002C5F11">
        <w:rPr>
          <w:lang w:val="en-US"/>
        </w:rPr>
        <w:t> </w:t>
      </w:r>
      <w:r w:rsidRPr="00BF285A">
        <w:rPr>
          <w:lang w:val="en-US"/>
        </w:rPr>
        <w:t>years old or older can be exercised either through his/her parent or legal guardian or personally if he/she so requests. However, exercising such rights through parents or legal guardians is not possible</w:t>
      </w:r>
      <w:r w:rsidRPr="00D30900">
        <w:rPr>
          <w:lang w:val="en-US"/>
        </w:rPr>
        <w:t xml:space="preserve"> if the</w:t>
      </w:r>
      <w:r>
        <w:rPr>
          <w:lang w:val="en-US"/>
        </w:rPr>
        <w:t xml:space="preserve"> </w:t>
      </w:r>
      <w:r w:rsidRPr="002D2C27">
        <w:rPr>
          <w:lang w:val="en-US"/>
        </w:rPr>
        <w:t xml:space="preserve">parent or the </w:t>
      </w:r>
      <w:r>
        <w:rPr>
          <w:lang w:val="en-US"/>
        </w:rPr>
        <w:t xml:space="preserve">legal </w:t>
      </w:r>
      <w:r w:rsidRPr="002D2C27">
        <w:rPr>
          <w:lang w:val="en-US"/>
        </w:rPr>
        <w:t>guardian</w:t>
      </w:r>
      <w:r>
        <w:rPr>
          <w:lang w:val="en-US"/>
        </w:rPr>
        <w:t xml:space="preserve"> was a suspect or </w:t>
      </w:r>
      <w:r w:rsidRPr="002D2C27">
        <w:rPr>
          <w:lang w:val="en-US"/>
        </w:rPr>
        <w:t>involved</w:t>
      </w:r>
      <w:r>
        <w:rPr>
          <w:lang w:val="en-US"/>
        </w:rPr>
        <w:t xml:space="preserve"> in committing the crime</w:t>
      </w:r>
      <w:r w:rsidR="004C04FF">
        <w:rPr>
          <w:lang w:val="en-US"/>
        </w:rPr>
        <w:t>,</w:t>
      </w:r>
      <w:r>
        <w:rPr>
          <w:lang w:val="en-US"/>
        </w:rPr>
        <w:t xml:space="preserve"> or if exercising the rights through the parent or the legal guardian might impair the physical or mental well-being of the child. In such a </w:t>
      </w:r>
      <w:r w:rsidR="002C5F11">
        <w:rPr>
          <w:lang w:val="en-US"/>
        </w:rPr>
        <w:t>case, the exercise of the child’</w:t>
      </w:r>
      <w:r>
        <w:rPr>
          <w:lang w:val="en-US"/>
        </w:rPr>
        <w:t xml:space="preserve">s rights must be done through </w:t>
      </w:r>
      <w:r w:rsidRPr="002D2C27">
        <w:rPr>
          <w:lang w:val="en-US"/>
        </w:rPr>
        <w:t xml:space="preserve">another </w:t>
      </w:r>
      <w:r w:rsidRPr="00BF285A">
        <w:rPr>
          <w:lang w:val="en-US"/>
        </w:rPr>
        <w:t>person, whose identity will be determined after consulting with a social worker and, to the extent possible</w:t>
      </w:r>
      <w:r w:rsidR="004C04FF">
        <w:rPr>
          <w:lang w:val="en-US"/>
        </w:rPr>
        <w:t>,</w:t>
      </w:r>
      <w:r w:rsidRPr="00BF285A">
        <w:rPr>
          <w:lang w:val="en-US"/>
        </w:rPr>
        <w:t xml:space="preserve"> aft</w:t>
      </w:r>
      <w:r w:rsidR="00E22D15">
        <w:rPr>
          <w:lang w:val="en-US"/>
        </w:rPr>
        <w:t>er hearing the child’</w:t>
      </w:r>
      <w:r w:rsidR="00C206C0">
        <w:rPr>
          <w:lang w:val="en-US"/>
        </w:rPr>
        <w:t>s opinion.</w:t>
      </w:r>
    </w:p>
    <w:p w:rsidR="006C72E1" w:rsidRPr="00D34197" w:rsidRDefault="003C14FF" w:rsidP="00724F56">
      <w:pPr>
        <w:pStyle w:val="H23G"/>
        <w:rPr>
          <w:lang w:val="en-US"/>
        </w:rPr>
      </w:pPr>
      <w:r>
        <w:rPr>
          <w:lang w:val="en-US"/>
        </w:rPr>
        <w:tab/>
      </w:r>
      <w:r>
        <w:rPr>
          <w:lang w:val="en-US"/>
        </w:rPr>
        <w:tab/>
      </w:r>
      <w:r w:rsidR="006C72E1" w:rsidRPr="00D34197">
        <w:rPr>
          <w:lang w:val="en-US"/>
        </w:rPr>
        <w:t>Child</w:t>
      </w:r>
      <w:r w:rsidR="006C72E1">
        <w:rPr>
          <w:lang w:val="en-US"/>
        </w:rPr>
        <w:t>ren</w:t>
      </w:r>
      <w:r w:rsidR="006C72E1" w:rsidRPr="00D34197">
        <w:rPr>
          <w:lang w:val="en-US"/>
        </w:rPr>
        <w:t xml:space="preserve"> </w:t>
      </w:r>
      <w:r w:rsidR="006C72E1">
        <w:rPr>
          <w:lang w:val="en-US"/>
        </w:rPr>
        <w:t xml:space="preserve">as </w:t>
      </w:r>
      <w:r w:rsidR="00724F56">
        <w:rPr>
          <w:lang w:val="en-US"/>
        </w:rPr>
        <w:t>w</w:t>
      </w:r>
      <w:r w:rsidR="006C72E1" w:rsidRPr="00D34197">
        <w:rPr>
          <w:lang w:val="en-US"/>
        </w:rPr>
        <w:t>itnesses</w:t>
      </w:r>
    </w:p>
    <w:p w:rsidR="006C72E1" w:rsidRDefault="006C72E1" w:rsidP="006D3B18">
      <w:pPr>
        <w:pStyle w:val="SingleTxtG"/>
        <w:numPr>
          <w:ilvl w:val="0"/>
          <w:numId w:val="12"/>
        </w:numPr>
        <w:ind w:left="1134" w:firstLine="0"/>
        <w:rPr>
          <w:lang w:val="en-US"/>
        </w:rPr>
      </w:pPr>
      <w:r>
        <w:rPr>
          <w:lang w:val="en-US"/>
        </w:rPr>
        <w:t xml:space="preserve">Investigating children, either as witnesses or as victims of a crime, is one of the most sensitive aspects of the legal criminal process, requiring a heightened level of awareness of the vulnerability of child victims and an adaptation of the procedures in place so as to recognize the special needs of child victims. </w:t>
      </w:r>
    </w:p>
    <w:p w:rsidR="006C72E1" w:rsidRPr="00566C59" w:rsidRDefault="006C72E1" w:rsidP="001B1D21">
      <w:pPr>
        <w:pStyle w:val="SingleTxtG"/>
        <w:numPr>
          <w:ilvl w:val="0"/>
          <w:numId w:val="12"/>
        </w:numPr>
        <w:ind w:left="1134" w:firstLine="0"/>
      </w:pPr>
      <w:r w:rsidRPr="00566C59">
        <w:t>The Law of Evidence Revision (Protecti</w:t>
      </w:r>
      <w:r w:rsidR="00D37586">
        <w:t>on of Children) 5715-1955 (the “Protection of Children Law”</w:t>
      </w:r>
      <w:r w:rsidRPr="00566C59">
        <w:t>) provides that children under the age of 14 may be questioned and investigated in connection with specific offenses (which includes, inter alia, prostitution and obscenity offenses and sex and violence offenses), only by a specialized investigator trained in dealing with children and appointed b</w:t>
      </w:r>
      <w:r w:rsidR="00D37586">
        <w:t>y the Minister of Justice (the “</w:t>
      </w:r>
      <w:r w:rsidR="001B1D21">
        <w:t>investigator for children</w:t>
      </w:r>
      <w:r w:rsidR="00D37586">
        <w:t>”</w:t>
      </w:r>
      <w:r w:rsidRPr="00566C59">
        <w:t xml:space="preserve">). </w:t>
      </w:r>
    </w:p>
    <w:p w:rsidR="006C72E1" w:rsidRPr="001E06E6" w:rsidRDefault="006C72E1" w:rsidP="001B1D21">
      <w:pPr>
        <w:pStyle w:val="SingleTxtG"/>
        <w:numPr>
          <w:ilvl w:val="0"/>
          <w:numId w:val="12"/>
        </w:numPr>
        <w:ind w:left="1134" w:firstLine="0"/>
        <w:rPr>
          <w:lang w:val="en-US"/>
        </w:rPr>
      </w:pPr>
      <w:r>
        <w:rPr>
          <w:lang w:val="en-US"/>
        </w:rPr>
        <w:t xml:space="preserve">The </w:t>
      </w:r>
      <w:r w:rsidR="001B1D21">
        <w:t>investigator for children</w:t>
      </w:r>
      <w:r w:rsidRPr="00FD28A8">
        <w:rPr>
          <w:lang w:val="en-US"/>
        </w:rPr>
        <w:t xml:space="preserve"> must document the investigation of </w:t>
      </w:r>
      <w:r>
        <w:rPr>
          <w:lang w:val="en-US"/>
        </w:rPr>
        <w:t>the</w:t>
      </w:r>
      <w:r w:rsidRPr="00FD28A8">
        <w:rPr>
          <w:lang w:val="en-US"/>
        </w:rPr>
        <w:t xml:space="preserve"> </w:t>
      </w:r>
      <w:r>
        <w:rPr>
          <w:lang w:val="en-US"/>
        </w:rPr>
        <w:t xml:space="preserve">child, including all that transpired, </w:t>
      </w:r>
      <w:r w:rsidRPr="00FD28A8">
        <w:t>by video</w:t>
      </w:r>
      <w:r>
        <w:t>, by</w:t>
      </w:r>
      <w:r w:rsidRPr="00FD28A8">
        <w:t xml:space="preserve"> audio (if video recording was not possible or if the child refused to answer questions due to the video recording)</w:t>
      </w:r>
      <w:r w:rsidR="001B1D21">
        <w:t>,</w:t>
      </w:r>
      <w:r w:rsidRPr="00FD28A8">
        <w:t xml:space="preserve"> or in writing (if audio recording was not possible or if the child refused to answer questions due to the audio recording).</w:t>
      </w:r>
      <w:r>
        <w:t xml:space="preserve"> Such testimony, written notes or report edited by </w:t>
      </w:r>
      <w:r w:rsidRPr="008B1C8E">
        <w:t xml:space="preserve">the </w:t>
      </w:r>
      <w:r w:rsidR="001B1D21">
        <w:t>investigator for children</w:t>
      </w:r>
      <w:r w:rsidRPr="008B1C8E">
        <w:t xml:space="preserve"> during the investigation or afterwards are admissible as</w:t>
      </w:r>
      <w:r>
        <w:t xml:space="preserve"> evidence in a court of law. However, a defendant cannot be convicted based on such evidence without the presence of oth</w:t>
      </w:r>
      <w:r w:rsidRPr="00C40403">
        <w:t xml:space="preserve">er corroborating </w:t>
      </w:r>
      <w:r w:rsidRPr="001E06E6">
        <w:t>evidence (</w:t>
      </w:r>
      <w:r w:rsidR="001A574A">
        <w:t>Section </w:t>
      </w:r>
      <w:r w:rsidRPr="001E06E6">
        <w:t xml:space="preserve">11 </w:t>
      </w:r>
      <w:r>
        <w:t xml:space="preserve">of </w:t>
      </w:r>
      <w:r w:rsidRPr="001E06E6">
        <w:t xml:space="preserve">the </w:t>
      </w:r>
      <w:r w:rsidRPr="00E43425">
        <w:t>Protection of Children</w:t>
      </w:r>
      <w:r w:rsidRPr="00E43425">
        <w:rPr>
          <w:lang w:val="en-US"/>
        </w:rPr>
        <w:t xml:space="preserve"> Law</w:t>
      </w:r>
      <w:r w:rsidRPr="001E06E6">
        <w:t xml:space="preserve">). </w:t>
      </w:r>
    </w:p>
    <w:p w:rsidR="006C72E1" w:rsidRPr="00A906AF" w:rsidRDefault="006C72E1" w:rsidP="002D2E11">
      <w:pPr>
        <w:pStyle w:val="SingleTxtG"/>
        <w:numPr>
          <w:ilvl w:val="0"/>
          <w:numId w:val="12"/>
        </w:numPr>
        <w:ind w:left="1134" w:firstLine="0"/>
        <w:rPr>
          <w:lang w:val="en-US"/>
        </w:rPr>
      </w:pPr>
      <w:r>
        <w:t xml:space="preserve">Later, during legal proceedings in court, a child under the age of 14 may not testify, and his/her written statement may not be submitted to the court, unless the submission of such testimony or statement is authorized by the </w:t>
      </w:r>
      <w:r w:rsidR="002D2E11">
        <w:t>investigator for children</w:t>
      </w:r>
      <w:r>
        <w:t xml:space="preserve">. If that authorization is granted, the testimony will be given in closed doors in the sole presence of the prosecutor, the defendant, his/her attorney and the </w:t>
      </w:r>
      <w:r w:rsidR="002D2E11">
        <w:t>investigator for children</w:t>
      </w:r>
      <w:r>
        <w:t>. Other persons can be present only with the court</w:t>
      </w:r>
      <w:r w:rsidR="00C05EBD">
        <w:rPr>
          <w:rFonts w:hint="eastAsia"/>
        </w:rPr>
        <w:t>’</w:t>
      </w:r>
      <w:r>
        <w:t>s permission.</w:t>
      </w:r>
    </w:p>
    <w:p w:rsidR="006C72E1" w:rsidRDefault="006C72E1" w:rsidP="005F6EE6">
      <w:pPr>
        <w:pStyle w:val="SingleTxtG"/>
        <w:numPr>
          <w:ilvl w:val="0"/>
          <w:numId w:val="12"/>
        </w:numPr>
        <w:ind w:left="1134" w:firstLine="0"/>
        <w:rPr>
          <w:lang w:val="en-US"/>
        </w:rPr>
      </w:pPr>
      <w:r w:rsidRPr="002D2C27">
        <w:rPr>
          <w:lang w:val="en-US"/>
        </w:rPr>
        <w:t xml:space="preserve">The reason for such an instruction is </w:t>
      </w:r>
      <w:r>
        <w:rPr>
          <w:lang w:val="en-US"/>
        </w:rPr>
        <w:t xml:space="preserve">to avoid or minimize the </w:t>
      </w:r>
      <w:r w:rsidRPr="002D2C27">
        <w:rPr>
          <w:lang w:val="en-US"/>
        </w:rPr>
        <w:t xml:space="preserve">potential harm to the minor </w:t>
      </w:r>
      <w:r>
        <w:rPr>
          <w:lang w:val="en-US"/>
        </w:rPr>
        <w:t xml:space="preserve">and to allow for the </w:t>
      </w:r>
      <w:r w:rsidRPr="00C739CF">
        <w:rPr>
          <w:lang w:val="en-US"/>
        </w:rPr>
        <w:t>testimony</w:t>
      </w:r>
      <w:r>
        <w:rPr>
          <w:lang w:val="en-US"/>
        </w:rPr>
        <w:t xml:space="preserve"> to be given with less pressure</w:t>
      </w:r>
      <w:r w:rsidRPr="002D2C27">
        <w:rPr>
          <w:lang w:val="en-US"/>
        </w:rPr>
        <w:t xml:space="preserve">. Such testimony, depending on the circumstances, may be </w:t>
      </w:r>
      <w:r>
        <w:rPr>
          <w:lang w:val="en-US"/>
        </w:rPr>
        <w:t xml:space="preserve">given through </w:t>
      </w:r>
      <w:r w:rsidRPr="002D2C27">
        <w:rPr>
          <w:lang w:val="en-US"/>
        </w:rPr>
        <w:t xml:space="preserve">closed-circuit television </w:t>
      </w:r>
      <w:r w:rsidRPr="00BF781A">
        <w:rPr>
          <w:lang w:val="en-US"/>
        </w:rPr>
        <w:t>(</w:t>
      </w:r>
      <w:r w:rsidR="001A574A">
        <w:rPr>
          <w:lang w:val="en-US"/>
        </w:rPr>
        <w:t>Section </w:t>
      </w:r>
      <w:r w:rsidRPr="00BF781A">
        <w:rPr>
          <w:lang w:val="en-US"/>
        </w:rPr>
        <w:t xml:space="preserve">2(c) </w:t>
      </w:r>
      <w:r>
        <w:rPr>
          <w:lang w:val="en-US"/>
        </w:rPr>
        <w:t>of</w:t>
      </w:r>
      <w:r w:rsidRPr="00BF781A">
        <w:rPr>
          <w:lang w:val="en-US"/>
        </w:rPr>
        <w:t xml:space="preserve"> the</w:t>
      </w:r>
      <w:r w:rsidRPr="00BF781A">
        <w:rPr>
          <w:i/>
          <w:iCs/>
          <w:lang w:val="en-US"/>
        </w:rPr>
        <w:t xml:space="preserve"> </w:t>
      </w:r>
      <w:r w:rsidRPr="00E43425">
        <w:t>Amendment of Procedure (Examination o</w:t>
      </w:r>
      <w:r w:rsidR="005F6EE6" w:rsidRPr="00E43425">
        <w:t>f Witnesses) Law 5718</w:t>
      </w:r>
      <w:r w:rsidR="0032213C">
        <w:noBreakHyphen/>
      </w:r>
      <w:r w:rsidRPr="00E43425">
        <w:t>1957</w:t>
      </w:r>
      <w:r w:rsidR="00D37586" w:rsidRPr="00E43425">
        <w:t xml:space="preserve"> (the </w:t>
      </w:r>
      <w:r w:rsidR="00285CC4" w:rsidRPr="00E43425">
        <w:t>“</w:t>
      </w:r>
      <w:r w:rsidRPr="00E43425">
        <w:t>Examination of Witnesses Law</w:t>
      </w:r>
      <w:r w:rsidR="005F6EE6" w:rsidRPr="005F6EE6">
        <w:t>”</w:t>
      </w:r>
      <w:r>
        <w:t>)</w:t>
      </w:r>
      <w:r>
        <w:rPr>
          <w:lang w:val="en-US"/>
        </w:rPr>
        <w:t>)</w:t>
      </w:r>
      <w:r w:rsidRPr="00BF781A">
        <w:rPr>
          <w:lang w:val="en-US"/>
        </w:rPr>
        <w:t>.</w:t>
      </w:r>
      <w:r w:rsidRPr="002D2C27">
        <w:rPr>
          <w:lang w:val="en-US"/>
        </w:rPr>
        <w:t xml:space="preserve"> </w:t>
      </w:r>
    </w:p>
    <w:p w:rsidR="006C72E1" w:rsidRDefault="006C72E1" w:rsidP="006D3B18">
      <w:pPr>
        <w:pStyle w:val="SingleTxtG"/>
        <w:numPr>
          <w:ilvl w:val="0"/>
          <w:numId w:val="12"/>
        </w:numPr>
        <w:ind w:left="1134" w:firstLine="0"/>
        <w:rPr>
          <w:lang w:val="en-US"/>
        </w:rPr>
      </w:pPr>
      <w:r>
        <w:rPr>
          <w:lang w:val="en-US"/>
        </w:rPr>
        <w:t xml:space="preserve">Other measures for recognizing the vulnerability of child victims and adapting procedures to recognize their special needs will be discussed below, regarding the </w:t>
      </w:r>
      <w:r w:rsidR="000416BC">
        <w:rPr>
          <w:lang w:val="en-US"/>
        </w:rPr>
        <w:t xml:space="preserve">Article </w:t>
      </w:r>
      <w:r>
        <w:rPr>
          <w:lang w:val="en-US"/>
        </w:rPr>
        <w:t>dealing with protecting the privacy and identity of the child victim.</w:t>
      </w:r>
      <w:r w:rsidR="00CD3B50">
        <w:rPr>
          <w:lang w:val="en-US"/>
        </w:rPr>
        <w:t xml:space="preserve"> </w:t>
      </w:r>
    </w:p>
    <w:p w:rsidR="006C72E1" w:rsidRPr="00DC0B88" w:rsidRDefault="00AC696A" w:rsidP="00DF44B7">
      <w:pPr>
        <w:pStyle w:val="H1G"/>
        <w:rPr>
          <w:lang w:val="en-US"/>
        </w:rPr>
      </w:pPr>
      <w:r>
        <w:rPr>
          <w:lang w:val="en-US"/>
        </w:rPr>
        <w:tab/>
      </w:r>
      <w:r>
        <w:rPr>
          <w:lang w:val="en-US"/>
        </w:rPr>
        <w:tab/>
      </w:r>
      <w:r w:rsidR="000416BC">
        <w:rPr>
          <w:lang w:val="en-US"/>
        </w:rPr>
        <w:t>Article </w:t>
      </w:r>
      <w:r w:rsidR="006C72E1" w:rsidRPr="00DC0B88">
        <w:rPr>
          <w:lang w:val="en-US"/>
        </w:rPr>
        <w:t>8</w:t>
      </w:r>
      <w:r w:rsidR="0088706A">
        <w:rPr>
          <w:lang w:val="en-US"/>
        </w:rPr>
        <w:t xml:space="preserve"> </w:t>
      </w:r>
      <w:r w:rsidR="006C72E1" w:rsidRPr="00DC0B88">
        <w:rPr>
          <w:lang w:val="en-US"/>
        </w:rPr>
        <w:t>(1)</w:t>
      </w:r>
      <w:r w:rsidR="00566C59">
        <w:rPr>
          <w:lang w:val="en-US"/>
        </w:rPr>
        <w:t xml:space="preserve"> </w:t>
      </w:r>
      <w:r w:rsidR="006C72E1" w:rsidRPr="00DC0B88">
        <w:rPr>
          <w:lang w:val="en-US"/>
        </w:rPr>
        <w:t>(b)</w:t>
      </w:r>
      <w:r w:rsidR="006C72E1">
        <w:rPr>
          <w:lang w:val="en-US"/>
        </w:rPr>
        <w:t xml:space="preserve"> </w:t>
      </w:r>
      <w:r w:rsidR="007A739C">
        <w:rPr>
          <w:lang w:val="en-US"/>
        </w:rPr>
        <w:t>–</w:t>
      </w:r>
      <w:r w:rsidR="006C72E1" w:rsidRPr="00DC0B88">
        <w:rPr>
          <w:lang w:val="en-US"/>
        </w:rPr>
        <w:t xml:space="preserve"> Keeping </w:t>
      </w:r>
      <w:r w:rsidR="00DF44B7">
        <w:rPr>
          <w:lang w:val="en-US"/>
        </w:rPr>
        <w:t>c</w:t>
      </w:r>
      <w:r w:rsidR="006C72E1" w:rsidRPr="00DC0B88">
        <w:rPr>
          <w:lang w:val="en-US"/>
        </w:rPr>
        <w:t xml:space="preserve">hild </w:t>
      </w:r>
      <w:r w:rsidR="00DF44B7">
        <w:rPr>
          <w:lang w:val="en-US"/>
        </w:rPr>
        <w:t>v</w:t>
      </w:r>
      <w:r w:rsidR="006C72E1" w:rsidRPr="00DC0B88">
        <w:rPr>
          <w:lang w:val="en-US"/>
        </w:rPr>
        <w:t xml:space="preserve">ictims </w:t>
      </w:r>
      <w:r w:rsidR="00DF44B7">
        <w:rPr>
          <w:lang w:val="en-US"/>
        </w:rPr>
        <w:t>i</w:t>
      </w:r>
      <w:r w:rsidR="006C72E1" w:rsidRPr="00DC0B88">
        <w:rPr>
          <w:lang w:val="en-US"/>
        </w:rPr>
        <w:t>nformed</w:t>
      </w:r>
    </w:p>
    <w:p w:rsidR="006C72E1" w:rsidRDefault="006C72E1" w:rsidP="006D3B18">
      <w:pPr>
        <w:pStyle w:val="SingleTxtG"/>
        <w:numPr>
          <w:ilvl w:val="0"/>
          <w:numId w:val="12"/>
        </w:numPr>
        <w:ind w:left="1134" w:firstLine="0"/>
        <w:rPr>
          <w:lang w:val="en-US"/>
        </w:rPr>
      </w:pPr>
      <w:r>
        <w:rPr>
          <w:lang w:val="en-US"/>
        </w:rPr>
        <w:t xml:space="preserve">As mentioned above, even though a child victim of a crime is not a party to the proceedings, </w:t>
      </w:r>
      <w:r>
        <w:rPr>
          <w:lang w:val="en-US" w:bidi="he-IL"/>
        </w:rPr>
        <w:t>Israeli law grants him/her special status through all stages of the legal proceedings and imposes on a</w:t>
      </w:r>
      <w:r w:rsidRPr="00A21C87">
        <w:rPr>
          <w:lang w:val="en-US" w:bidi="he-IL"/>
        </w:rPr>
        <w:t xml:space="preserve">ll </w:t>
      </w:r>
      <w:r>
        <w:t xml:space="preserve">officials specific duties in this regard. This includes the duty to inform the victim of a </w:t>
      </w:r>
      <w:r w:rsidRPr="00D30900">
        <w:t>crime regarding several</w:t>
      </w:r>
      <w:r>
        <w:t xml:space="preserve"> matters concerning the legal process.</w:t>
      </w:r>
      <w:r w:rsidR="00CD3B50">
        <w:t xml:space="preserve"> </w:t>
      </w:r>
    </w:p>
    <w:p w:rsidR="006C72E1" w:rsidRPr="00E43425" w:rsidRDefault="006C72E1" w:rsidP="006D3B18">
      <w:pPr>
        <w:pStyle w:val="SingleTxtG"/>
        <w:numPr>
          <w:ilvl w:val="0"/>
          <w:numId w:val="12"/>
        </w:numPr>
        <w:ind w:left="1134" w:firstLine="0"/>
        <w:rPr>
          <w:lang w:val="en-US"/>
        </w:rPr>
      </w:pPr>
      <w:r>
        <w:rPr>
          <w:lang w:val="en-US"/>
        </w:rPr>
        <w:t>The general obligation on that mat</w:t>
      </w:r>
      <w:r w:rsidRPr="007112D4">
        <w:rPr>
          <w:lang w:val="en-US"/>
        </w:rPr>
        <w:t xml:space="preserve">ter is </w:t>
      </w:r>
      <w:r>
        <w:t>prescribed</w:t>
      </w:r>
      <w:r w:rsidRPr="007112D4">
        <w:t xml:space="preserve"> in </w:t>
      </w:r>
      <w:r w:rsidR="001A574A">
        <w:rPr>
          <w:lang w:val="en-US"/>
        </w:rPr>
        <w:t>Section </w:t>
      </w:r>
      <w:r w:rsidRPr="002D2C27">
        <w:rPr>
          <w:lang w:val="en-US"/>
        </w:rPr>
        <w:t xml:space="preserve">8 to the </w:t>
      </w:r>
      <w:r w:rsidRPr="00E43425">
        <w:rPr>
          <w:lang w:val="en-US"/>
        </w:rPr>
        <w:t>Victims</w:t>
      </w:r>
      <w:r w:rsidR="007A739C" w:rsidRPr="00E43425">
        <w:rPr>
          <w:lang w:val="en-US"/>
        </w:rPr>
        <w:t>’</w:t>
      </w:r>
      <w:r w:rsidRPr="00E43425">
        <w:rPr>
          <w:lang w:val="en-US"/>
        </w:rPr>
        <w:t xml:space="preserve"> Rights Law, which details the rights of a victim of a crime to receive information concerning his/her rights as </w:t>
      </w:r>
      <w:r w:rsidR="00BB6955">
        <w:rPr>
          <w:lang w:val="en-US"/>
        </w:rPr>
        <w:t xml:space="preserve">a </w:t>
      </w:r>
      <w:r w:rsidRPr="00E43425">
        <w:rPr>
          <w:lang w:val="en-US"/>
        </w:rPr>
        <w:t>victim and also concerning the manner in which the criminal proceedings are being conducted, except if disclosure of these details is forbidden by law or if the person in charge of the investigation or the prosecution determines that providing that information could impair the investigation or the privacy or well-being of another</w:t>
      </w:r>
      <w:r w:rsidR="00CD3B50" w:rsidRPr="00E43425">
        <w:rPr>
          <w:lang w:val="en-US"/>
        </w:rPr>
        <w:t xml:space="preserve"> </w:t>
      </w:r>
      <w:r w:rsidRPr="00E43425">
        <w:rPr>
          <w:lang w:val="en-US"/>
        </w:rPr>
        <w:t xml:space="preserve">person. </w:t>
      </w:r>
    </w:p>
    <w:p w:rsidR="006C72E1" w:rsidRPr="00E43425" w:rsidRDefault="006C72E1" w:rsidP="00BB6955">
      <w:pPr>
        <w:pStyle w:val="SingleTxtG"/>
        <w:numPr>
          <w:ilvl w:val="0"/>
          <w:numId w:val="12"/>
        </w:numPr>
        <w:ind w:left="1134" w:firstLine="0"/>
        <w:rPr>
          <w:lang w:val="en-US"/>
        </w:rPr>
      </w:pPr>
      <w:r w:rsidRPr="00E43425">
        <w:rPr>
          <w:lang w:val="en-US"/>
        </w:rPr>
        <w:t>With respect to information concerning the manner in which the criminal proceedings are being conducted, the Victims</w:t>
      </w:r>
      <w:r w:rsidR="007A739C" w:rsidRPr="00E43425">
        <w:rPr>
          <w:lang w:val="en-US"/>
        </w:rPr>
        <w:t>’</w:t>
      </w:r>
      <w:r w:rsidRPr="00E43425">
        <w:rPr>
          <w:lang w:val="en-US"/>
        </w:rPr>
        <w:t xml:space="preserve"> </w:t>
      </w:r>
      <w:r w:rsidR="00BB6955">
        <w:rPr>
          <w:lang w:val="en-US"/>
        </w:rPr>
        <w:t>Rights</w:t>
      </w:r>
      <w:r w:rsidR="00BB6955" w:rsidRPr="00E43425">
        <w:rPr>
          <w:lang w:val="en-US"/>
        </w:rPr>
        <w:t xml:space="preserve"> </w:t>
      </w:r>
      <w:r w:rsidRPr="00E43425">
        <w:rPr>
          <w:lang w:val="en-US"/>
        </w:rPr>
        <w:t xml:space="preserve">Law imposes duties upon all </w:t>
      </w:r>
      <w:r w:rsidRPr="00E43425">
        <w:t xml:space="preserve">officials involved in the legal process, to provide information to the victim. </w:t>
      </w:r>
    </w:p>
    <w:p w:rsidR="006C72E1" w:rsidRPr="00E43425" w:rsidRDefault="006C72E1" w:rsidP="00BB6955">
      <w:pPr>
        <w:pStyle w:val="SingleTxtG"/>
        <w:numPr>
          <w:ilvl w:val="0"/>
          <w:numId w:val="12"/>
        </w:numPr>
        <w:ind w:left="1134" w:firstLine="0"/>
        <w:rPr>
          <w:lang w:val="en-US"/>
        </w:rPr>
      </w:pPr>
      <w:r w:rsidRPr="00E43425">
        <w:t xml:space="preserve">The </w:t>
      </w:r>
      <w:r w:rsidRPr="00E43425">
        <w:rPr>
          <w:lang w:val="en-US"/>
        </w:rPr>
        <w:t>Victims</w:t>
      </w:r>
      <w:r w:rsidR="007A739C" w:rsidRPr="00E43425">
        <w:rPr>
          <w:lang w:val="en-US"/>
        </w:rPr>
        <w:t>’</w:t>
      </w:r>
      <w:r w:rsidRPr="00E43425">
        <w:rPr>
          <w:lang w:val="en-US"/>
        </w:rPr>
        <w:t xml:space="preserve"> </w:t>
      </w:r>
      <w:r w:rsidR="00BB6955">
        <w:rPr>
          <w:lang w:val="en-US"/>
        </w:rPr>
        <w:t>Rights</w:t>
      </w:r>
      <w:r w:rsidR="00BB6955" w:rsidRPr="00E43425">
        <w:rPr>
          <w:lang w:val="en-US"/>
        </w:rPr>
        <w:t xml:space="preserve"> </w:t>
      </w:r>
      <w:r w:rsidRPr="00E43425">
        <w:rPr>
          <w:lang w:val="en-US"/>
        </w:rPr>
        <w:t>Law</w:t>
      </w:r>
      <w:r w:rsidRPr="00E43425">
        <w:t xml:space="preserve"> includes a list of types of information that the crime victim is entitled to receive and specifies the identity of the person or body responsible for conveying that information. Some of the information is mandatory</w:t>
      </w:r>
      <w:r w:rsidR="00DB749D">
        <w:t>,</w:t>
      </w:r>
      <w:r w:rsidRPr="00E43425">
        <w:t xml:space="preserve"> while the remainder can be obtained by request of the victim.</w:t>
      </w:r>
      <w:r w:rsidR="00CD3B50" w:rsidRPr="00E43425">
        <w:t xml:space="preserve"> </w:t>
      </w:r>
    </w:p>
    <w:p w:rsidR="006C72E1" w:rsidRPr="00E43425" w:rsidRDefault="006C72E1" w:rsidP="006D3B18">
      <w:pPr>
        <w:pStyle w:val="SingleTxtG"/>
        <w:numPr>
          <w:ilvl w:val="0"/>
          <w:numId w:val="12"/>
        </w:numPr>
        <w:ind w:left="1134" w:firstLine="0"/>
        <w:rPr>
          <w:lang w:val="en-US"/>
        </w:rPr>
      </w:pPr>
      <w:r w:rsidRPr="00E43425">
        <w:rPr>
          <w:lang w:val="en-US"/>
        </w:rPr>
        <w:t>Note that the provisions of this law do not derogate from the obligation to inform a complainant under the provisions of the Criminal Procedure Law.</w:t>
      </w:r>
    </w:p>
    <w:p w:rsidR="006C72E1" w:rsidRPr="00DC0B88" w:rsidRDefault="00AC696A" w:rsidP="00FD1F26">
      <w:pPr>
        <w:pStyle w:val="H1G"/>
        <w:rPr>
          <w:lang w:val="en-US"/>
        </w:rPr>
      </w:pPr>
      <w:r>
        <w:rPr>
          <w:lang w:val="en-US"/>
        </w:rPr>
        <w:tab/>
      </w:r>
      <w:r>
        <w:rPr>
          <w:lang w:val="en-US"/>
        </w:rPr>
        <w:tab/>
      </w:r>
      <w:r w:rsidR="000416BC">
        <w:rPr>
          <w:lang w:val="en-US"/>
        </w:rPr>
        <w:t>Article </w:t>
      </w:r>
      <w:r w:rsidR="006C72E1" w:rsidRPr="0069683C">
        <w:rPr>
          <w:lang w:val="en-US"/>
        </w:rPr>
        <w:t>8</w:t>
      </w:r>
      <w:r w:rsidR="0088706A">
        <w:rPr>
          <w:lang w:val="en-US"/>
        </w:rPr>
        <w:t xml:space="preserve"> </w:t>
      </w:r>
      <w:r w:rsidR="006C72E1" w:rsidRPr="0069683C">
        <w:rPr>
          <w:lang w:val="en-US"/>
        </w:rPr>
        <w:t>(1)</w:t>
      </w:r>
      <w:r w:rsidR="003C14FF">
        <w:rPr>
          <w:lang w:val="en-US"/>
        </w:rPr>
        <w:t xml:space="preserve"> </w:t>
      </w:r>
      <w:r w:rsidR="006C72E1" w:rsidRPr="0069683C">
        <w:rPr>
          <w:lang w:val="en-US"/>
        </w:rPr>
        <w:t xml:space="preserve">(c) </w:t>
      </w:r>
      <w:r w:rsidR="007A739C">
        <w:rPr>
          <w:lang w:val="en-US"/>
        </w:rPr>
        <w:t xml:space="preserve">– </w:t>
      </w:r>
      <w:r w:rsidR="006C72E1" w:rsidRPr="0069683C">
        <w:rPr>
          <w:lang w:val="en-US"/>
        </w:rPr>
        <w:t xml:space="preserve">Presenting the </w:t>
      </w:r>
      <w:r w:rsidR="00FD1F26">
        <w:rPr>
          <w:lang w:val="en-US"/>
        </w:rPr>
        <w:t>v</w:t>
      </w:r>
      <w:r w:rsidR="006C72E1" w:rsidRPr="0069683C">
        <w:rPr>
          <w:lang w:val="en-US"/>
        </w:rPr>
        <w:t xml:space="preserve">iews, </w:t>
      </w:r>
      <w:r w:rsidR="00FD1F26">
        <w:rPr>
          <w:lang w:val="en-US"/>
        </w:rPr>
        <w:t>n</w:t>
      </w:r>
      <w:r w:rsidR="006C72E1" w:rsidRPr="0069683C">
        <w:rPr>
          <w:lang w:val="en-US"/>
        </w:rPr>
        <w:t xml:space="preserve">eeds and </w:t>
      </w:r>
      <w:r w:rsidR="00FD1F26">
        <w:rPr>
          <w:lang w:val="en-US"/>
        </w:rPr>
        <w:t>c</w:t>
      </w:r>
      <w:r w:rsidR="006C72E1" w:rsidRPr="0069683C">
        <w:rPr>
          <w:lang w:val="en-US"/>
        </w:rPr>
        <w:t xml:space="preserve">oncerns of </w:t>
      </w:r>
      <w:r w:rsidR="00FD1F26">
        <w:rPr>
          <w:lang w:val="en-US"/>
        </w:rPr>
        <w:t>c</w:t>
      </w:r>
      <w:r w:rsidR="006C72E1" w:rsidRPr="0069683C">
        <w:rPr>
          <w:lang w:val="en-US"/>
        </w:rPr>
        <w:t xml:space="preserve">hild </w:t>
      </w:r>
      <w:r w:rsidR="00FD1F26">
        <w:rPr>
          <w:lang w:val="en-US"/>
        </w:rPr>
        <w:t>v</w:t>
      </w:r>
      <w:r w:rsidR="006C72E1" w:rsidRPr="0069683C">
        <w:rPr>
          <w:lang w:val="en-US"/>
        </w:rPr>
        <w:t>ictims</w:t>
      </w:r>
      <w:r w:rsidR="006C72E1" w:rsidRPr="00DC0B88">
        <w:rPr>
          <w:lang w:val="en-US"/>
        </w:rPr>
        <w:t xml:space="preserve"> </w:t>
      </w:r>
    </w:p>
    <w:p w:rsidR="006C72E1" w:rsidRPr="00E43425" w:rsidRDefault="001A574A" w:rsidP="00DB749D">
      <w:pPr>
        <w:pStyle w:val="SingleTxtG"/>
        <w:numPr>
          <w:ilvl w:val="0"/>
          <w:numId w:val="12"/>
        </w:numPr>
        <w:ind w:left="1134" w:firstLine="0"/>
        <w:rPr>
          <w:lang w:val="en-US"/>
        </w:rPr>
      </w:pPr>
      <w:r>
        <w:rPr>
          <w:lang w:val="en-US"/>
        </w:rPr>
        <w:t>Section </w:t>
      </w:r>
      <w:r w:rsidR="006C72E1" w:rsidRPr="00905470">
        <w:rPr>
          <w:lang w:val="en-US"/>
        </w:rPr>
        <w:t xml:space="preserve">17 of the </w:t>
      </w:r>
      <w:r w:rsidR="006C72E1" w:rsidRPr="00E43425">
        <w:rPr>
          <w:lang w:val="en-US"/>
        </w:rPr>
        <w:t>Victims</w:t>
      </w:r>
      <w:r w:rsidR="00C05EBD" w:rsidRPr="00E43425">
        <w:rPr>
          <w:rFonts w:hint="eastAsia"/>
          <w:lang w:val="en-US"/>
        </w:rPr>
        <w:t>’</w:t>
      </w:r>
      <w:r w:rsidR="006C72E1" w:rsidRPr="00E43425">
        <w:rPr>
          <w:lang w:val="en-US"/>
        </w:rPr>
        <w:t xml:space="preserve"> Rights Law</w:t>
      </w:r>
      <w:r w:rsidR="007A739C" w:rsidRPr="00E43425">
        <w:rPr>
          <w:lang w:val="en-US"/>
        </w:rPr>
        <w:t xml:space="preserve"> grants the victim of a “grave sexual or violent crime”</w:t>
      </w:r>
      <w:r w:rsidR="006C72E1" w:rsidRPr="00E43425">
        <w:rPr>
          <w:lang w:val="en-US"/>
        </w:rPr>
        <w:t>, as defined in that law, the right to express to the prosecutor his/her opinion, position and views concerning the plea bargain</w:t>
      </w:r>
      <w:r w:rsidR="006C72E1" w:rsidRPr="00E43425">
        <w:rPr>
          <w:lang w:val="en-US" w:bidi="he-IL"/>
        </w:rPr>
        <w:t xml:space="preserve">, </w:t>
      </w:r>
      <w:r w:rsidR="006C72E1" w:rsidRPr="00E43425">
        <w:rPr>
          <w:lang w:val="en-US"/>
        </w:rPr>
        <w:t>prior to the court</w:t>
      </w:r>
      <w:r w:rsidR="00C05EBD" w:rsidRPr="00E43425">
        <w:rPr>
          <w:rFonts w:hint="eastAsia"/>
          <w:lang w:val="en-US"/>
        </w:rPr>
        <w:t>’</w:t>
      </w:r>
      <w:r w:rsidR="006C72E1" w:rsidRPr="00E43425">
        <w:rPr>
          <w:lang w:val="en-US"/>
        </w:rPr>
        <w:t>s approval of the plea</w:t>
      </w:r>
      <w:r w:rsidR="00DB749D">
        <w:rPr>
          <w:lang w:val="en-US"/>
        </w:rPr>
        <w:t xml:space="preserve"> </w:t>
      </w:r>
      <w:r w:rsidR="006C72E1" w:rsidRPr="00E43425">
        <w:rPr>
          <w:lang w:val="en-US"/>
        </w:rPr>
        <w:t>bargain, unless the District Attorney or the Head of the Prosecution Department of the Israel Police, as the case may be, determines that this would cause material harm to the conduct of the proceedings. A similar right is granted concerning a decision</w:t>
      </w:r>
      <w:r w:rsidR="006C72E1" w:rsidRPr="00E43425">
        <w:rPr>
          <w:szCs w:val="24"/>
          <w:lang w:val="en-US"/>
        </w:rPr>
        <w:t xml:space="preserve"> to </w:t>
      </w:r>
      <w:r w:rsidR="006C72E1" w:rsidRPr="00E43425">
        <w:rPr>
          <w:szCs w:val="24"/>
        </w:rPr>
        <w:t>delay the procedures against the defendant (</w:t>
      </w:r>
      <w:r w:rsidRPr="00E43425">
        <w:rPr>
          <w:szCs w:val="24"/>
        </w:rPr>
        <w:t>Section </w:t>
      </w:r>
      <w:r w:rsidR="006C72E1" w:rsidRPr="00E43425">
        <w:rPr>
          <w:szCs w:val="24"/>
        </w:rPr>
        <w:t>16 of the Victims</w:t>
      </w:r>
      <w:r w:rsidR="007A739C" w:rsidRPr="00E43425">
        <w:rPr>
          <w:szCs w:val="24"/>
        </w:rPr>
        <w:t>’</w:t>
      </w:r>
      <w:r w:rsidR="006C72E1" w:rsidRPr="00E43425">
        <w:rPr>
          <w:szCs w:val="24"/>
        </w:rPr>
        <w:t xml:space="preserve"> Rights Law). </w:t>
      </w:r>
    </w:p>
    <w:p w:rsidR="006C72E1" w:rsidRPr="0069683C" w:rsidRDefault="001A574A" w:rsidP="006D3B18">
      <w:pPr>
        <w:pStyle w:val="SingleTxtG"/>
        <w:numPr>
          <w:ilvl w:val="0"/>
          <w:numId w:val="12"/>
        </w:numPr>
        <w:ind w:left="1134" w:firstLine="0"/>
        <w:rPr>
          <w:lang w:val="en-US"/>
        </w:rPr>
      </w:pPr>
      <w:r w:rsidRPr="00E43425">
        <w:rPr>
          <w:lang w:val="en-US"/>
        </w:rPr>
        <w:t>Section </w:t>
      </w:r>
      <w:r w:rsidR="006C72E1" w:rsidRPr="00E43425">
        <w:rPr>
          <w:lang w:val="en-US"/>
        </w:rPr>
        <w:t>18 of the Victims</w:t>
      </w:r>
      <w:r w:rsidR="007A739C" w:rsidRPr="00E43425">
        <w:rPr>
          <w:lang w:val="en-US"/>
        </w:rPr>
        <w:t>’</w:t>
      </w:r>
      <w:r w:rsidR="006C72E1" w:rsidRPr="00E43425">
        <w:rPr>
          <w:lang w:val="en-US"/>
        </w:rPr>
        <w:t xml:space="preserve"> Rights Law grants the crime victim the right to submit a written</w:t>
      </w:r>
      <w:r w:rsidR="00CD3B50" w:rsidRPr="00E43425">
        <w:rPr>
          <w:lang w:val="en-US"/>
        </w:rPr>
        <w:t xml:space="preserve"> </w:t>
      </w:r>
      <w:r w:rsidR="006C72E1" w:rsidRPr="00E43425">
        <w:rPr>
          <w:lang w:val="en-US"/>
        </w:rPr>
        <w:t>statement to the investigating body or the prosecutor concerning</w:t>
      </w:r>
      <w:r w:rsidR="006C72E1">
        <w:rPr>
          <w:lang w:val="en-US"/>
        </w:rPr>
        <w:t xml:space="preserve"> </w:t>
      </w:r>
      <w:r w:rsidR="006C72E1" w:rsidRPr="002D2C27">
        <w:rPr>
          <w:lang w:val="en-US"/>
        </w:rPr>
        <w:t xml:space="preserve">any injury </w:t>
      </w:r>
      <w:r w:rsidR="006C72E1" w:rsidRPr="0069683C">
        <w:rPr>
          <w:lang w:val="en-US"/>
        </w:rPr>
        <w:t xml:space="preserve">or damage caused to him/her as a result </w:t>
      </w:r>
      <w:r w:rsidR="006C72E1" w:rsidRPr="002D2C27">
        <w:rPr>
          <w:lang w:val="en-US"/>
        </w:rPr>
        <w:t>of the crime, including bodily or mental harm, or damage to property</w:t>
      </w:r>
      <w:r w:rsidR="006C72E1">
        <w:rPr>
          <w:lang w:val="en-US"/>
        </w:rPr>
        <w:t xml:space="preserve"> (Victim Impact Statement)</w:t>
      </w:r>
      <w:r w:rsidR="006C72E1" w:rsidRPr="002D2C27">
        <w:rPr>
          <w:lang w:val="en-US"/>
        </w:rPr>
        <w:t xml:space="preserve">. </w:t>
      </w:r>
      <w:r w:rsidR="006C72E1" w:rsidRPr="0069683C">
        <w:rPr>
          <w:lang w:val="en-US"/>
        </w:rPr>
        <w:t xml:space="preserve">In such a case, the prosecutor </w:t>
      </w:r>
      <w:r w:rsidR="006C72E1">
        <w:rPr>
          <w:lang w:val="en-US"/>
        </w:rPr>
        <w:t xml:space="preserve">will </w:t>
      </w:r>
      <w:r w:rsidR="006C72E1" w:rsidRPr="0069683C">
        <w:rPr>
          <w:lang w:val="en-US"/>
        </w:rPr>
        <w:t>present the above</w:t>
      </w:r>
      <w:r w:rsidR="001C2F3E">
        <w:rPr>
          <w:lang w:val="en-US"/>
        </w:rPr>
        <w:t>-mentioned</w:t>
      </w:r>
      <w:r w:rsidR="006C72E1" w:rsidRPr="0069683C">
        <w:rPr>
          <w:lang w:val="en-US"/>
        </w:rPr>
        <w:t xml:space="preserve"> </w:t>
      </w:r>
      <w:r w:rsidR="006C72E1">
        <w:rPr>
          <w:lang w:val="en-US"/>
        </w:rPr>
        <w:t xml:space="preserve">statement </w:t>
      </w:r>
      <w:r w:rsidR="006C72E1" w:rsidRPr="0069683C">
        <w:rPr>
          <w:szCs w:val="24"/>
          <w:lang w:val="en-US"/>
        </w:rPr>
        <w:t xml:space="preserve">to the court during the </w:t>
      </w:r>
      <w:r w:rsidR="006C72E1">
        <w:rPr>
          <w:szCs w:val="24"/>
          <w:lang w:val="en-US"/>
        </w:rPr>
        <w:t>sentencing</w:t>
      </w:r>
      <w:r w:rsidR="006C72E1" w:rsidRPr="0069683C">
        <w:rPr>
          <w:szCs w:val="24"/>
          <w:lang w:val="en-US"/>
        </w:rPr>
        <w:t xml:space="preserve"> hearing</w:t>
      </w:r>
      <w:r w:rsidR="006C72E1" w:rsidRPr="0069683C">
        <w:rPr>
          <w:szCs w:val="24"/>
        </w:rPr>
        <w:t xml:space="preserve">. </w:t>
      </w:r>
    </w:p>
    <w:p w:rsidR="006C72E1" w:rsidRPr="00E43425" w:rsidRDefault="001A574A" w:rsidP="001C2F3E">
      <w:pPr>
        <w:pStyle w:val="SingleTxtG"/>
        <w:numPr>
          <w:ilvl w:val="0"/>
          <w:numId w:val="12"/>
        </w:numPr>
        <w:ind w:left="1134" w:firstLine="0"/>
        <w:rPr>
          <w:rFonts w:hint="cs"/>
          <w:rtl/>
          <w:lang w:bidi="he-IL"/>
        </w:rPr>
      </w:pPr>
      <w:r>
        <w:rPr>
          <w:lang w:val="en-US"/>
        </w:rPr>
        <w:t>Section </w:t>
      </w:r>
      <w:r w:rsidR="006C72E1" w:rsidRPr="002D2C27">
        <w:rPr>
          <w:lang w:val="en-US"/>
        </w:rPr>
        <w:t>1</w:t>
      </w:r>
      <w:r w:rsidR="006C72E1">
        <w:rPr>
          <w:lang w:val="en-US"/>
        </w:rPr>
        <w:t>9</w:t>
      </w:r>
      <w:r w:rsidR="006C72E1" w:rsidRPr="002D2C27">
        <w:rPr>
          <w:lang w:val="en-US"/>
        </w:rPr>
        <w:t xml:space="preserve"> </w:t>
      </w:r>
      <w:r w:rsidR="001C2F3E">
        <w:rPr>
          <w:lang w:val="en-US"/>
        </w:rPr>
        <w:t>of</w:t>
      </w:r>
      <w:r w:rsidR="001C2F3E" w:rsidRPr="002D2C27">
        <w:rPr>
          <w:lang w:val="en-US"/>
        </w:rPr>
        <w:t xml:space="preserve"> </w:t>
      </w:r>
      <w:r w:rsidR="006C72E1" w:rsidRPr="002D2C27">
        <w:rPr>
          <w:lang w:val="en-US"/>
        </w:rPr>
        <w:t xml:space="preserve">the </w:t>
      </w:r>
      <w:r w:rsidR="006C72E1" w:rsidRPr="00E43425">
        <w:rPr>
          <w:lang w:val="en-US"/>
        </w:rPr>
        <w:t>Victims</w:t>
      </w:r>
      <w:r w:rsidR="007A739C" w:rsidRPr="00E43425">
        <w:rPr>
          <w:lang w:val="en-US"/>
        </w:rPr>
        <w:t>’</w:t>
      </w:r>
      <w:r w:rsidR="006C72E1" w:rsidRPr="00E43425">
        <w:rPr>
          <w:lang w:val="en-US"/>
        </w:rPr>
        <w:t xml:space="preserve"> Rights Law</w:t>
      </w:r>
      <w:r w:rsidR="006C72E1" w:rsidRPr="00E43425">
        <w:t xml:space="preserve"> entitles a victim of a sexual or violent crime </w:t>
      </w:r>
      <w:r w:rsidR="006C72E1" w:rsidRPr="00E43425">
        <w:rPr>
          <w:lang w:val="en-US"/>
        </w:rPr>
        <w:t xml:space="preserve">to express in writing his/her position and views concerning the expected danger stemming from a possible early release of the sentenced offender from prison, before </w:t>
      </w:r>
      <w:r w:rsidR="006C72E1" w:rsidRPr="00E43425">
        <w:t xml:space="preserve">the parole board makes a final decision on the matter. </w:t>
      </w:r>
    </w:p>
    <w:p w:rsidR="006C72E1" w:rsidRDefault="001A574A" w:rsidP="004F5B9F">
      <w:pPr>
        <w:pStyle w:val="SingleTxtG"/>
        <w:numPr>
          <w:ilvl w:val="0"/>
          <w:numId w:val="12"/>
        </w:numPr>
        <w:ind w:left="1134" w:firstLine="0"/>
      </w:pPr>
      <w:r w:rsidRPr="00E43425">
        <w:rPr>
          <w:lang w:val="en-US"/>
        </w:rPr>
        <w:t>Section </w:t>
      </w:r>
      <w:r w:rsidR="006C72E1" w:rsidRPr="00E43425">
        <w:rPr>
          <w:lang w:val="en-US"/>
        </w:rPr>
        <w:t>20 of the Victims</w:t>
      </w:r>
      <w:r w:rsidR="007A739C" w:rsidRPr="00E43425">
        <w:rPr>
          <w:lang w:val="en-US"/>
        </w:rPr>
        <w:t>’</w:t>
      </w:r>
      <w:r w:rsidR="006C72E1" w:rsidRPr="00E43425">
        <w:rPr>
          <w:lang w:val="en-US"/>
        </w:rPr>
        <w:t xml:space="preserve"> Rights Law</w:t>
      </w:r>
      <w:r w:rsidR="006C72E1" w:rsidRPr="00E43425">
        <w:t xml:space="preserve"> entitles a victim of a sexual or violent crime </w:t>
      </w:r>
      <w:r w:rsidR="006C72E1" w:rsidRPr="00E43425">
        <w:rPr>
          <w:lang w:val="en-US"/>
        </w:rPr>
        <w:t xml:space="preserve">to express in writing his/her opinion, position and/or views, </w:t>
      </w:r>
      <w:r w:rsidR="006C72E1" w:rsidRPr="00E43425">
        <w:t>through the Pardons Department of the Ministry of Justice, prior to the decision</w:t>
      </w:r>
      <w:r w:rsidR="006C72E1" w:rsidRPr="00CB28A3">
        <w:t xml:space="preserve"> of the President of the State</w:t>
      </w:r>
      <w:r w:rsidR="006C72E1">
        <w:t xml:space="preserve"> of Israel</w:t>
      </w:r>
      <w:r w:rsidR="006C72E1" w:rsidRPr="00CB28A3">
        <w:t xml:space="preserve"> </w:t>
      </w:r>
      <w:r w:rsidR="006C72E1" w:rsidRPr="00C32BC6">
        <w:t xml:space="preserve">concerning an application </w:t>
      </w:r>
      <w:r w:rsidR="006C72E1">
        <w:t>for</w:t>
      </w:r>
      <w:r w:rsidR="006C72E1" w:rsidRPr="00C32BC6">
        <w:t xml:space="preserve"> </w:t>
      </w:r>
      <w:r w:rsidR="006C72E1" w:rsidRPr="00FE4E16">
        <w:t xml:space="preserve">a </w:t>
      </w:r>
      <w:r w:rsidR="006C72E1" w:rsidRPr="006B5EEC">
        <w:t>pardon or mitiga</w:t>
      </w:r>
      <w:r w:rsidR="006C72E1" w:rsidRPr="00D57AB1">
        <w:t>tion of punishment</w:t>
      </w:r>
      <w:r w:rsidR="006C72E1" w:rsidRPr="00870E63">
        <w:t xml:space="preserve">. </w:t>
      </w:r>
      <w:r w:rsidR="006C72E1">
        <w:t>To that end, t</w:t>
      </w:r>
      <w:r w:rsidR="006C72E1" w:rsidRPr="00870E63">
        <w:t xml:space="preserve">he Department of Pardons in the Ministry of Justice </w:t>
      </w:r>
      <w:r w:rsidR="006C72E1">
        <w:t>assigns</w:t>
      </w:r>
      <w:r w:rsidR="006C72E1" w:rsidRPr="00870E63">
        <w:t xml:space="preserve"> a designated attorney </w:t>
      </w:r>
      <w:r w:rsidR="006C72E1">
        <w:t xml:space="preserve">to establish </w:t>
      </w:r>
      <w:r w:rsidR="006C72E1" w:rsidRPr="00870E63">
        <w:t>contact with the victims and their families</w:t>
      </w:r>
      <w:r w:rsidR="006C72E1">
        <w:t xml:space="preserve"> and seek their input</w:t>
      </w:r>
      <w:r w:rsidR="006C72E1" w:rsidRPr="00870E63">
        <w:t xml:space="preserve">. The Department makes every effort to contact the victim and to </w:t>
      </w:r>
      <w:r w:rsidR="006C72E1">
        <w:t xml:space="preserve">inform them of </w:t>
      </w:r>
      <w:r w:rsidR="006C72E1" w:rsidRPr="00870E63">
        <w:t>their rights as mentioned above.</w:t>
      </w:r>
    </w:p>
    <w:p w:rsidR="006C72E1" w:rsidRPr="00DC0B88" w:rsidRDefault="00AC696A" w:rsidP="00FD1F26">
      <w:pPr>
        <w:pStyle w:val="H1G"/>
        <w:rPr>
          <w:lang w:val="en-US"/>
        </w:rPr>
      </w:pPr>
      <w:r>
        <w:rPr>
          <w:lang w:val="en-US"/>
        </w:rPr>
        <w:tab/>
      </w:r>
      <w:r>
        <w:rPr>
          <w:lang w:val="en-US"/>
        </w:rPr>
        <w:tab/>
      </w:r>
      <w:r w:rsidR="000416BC">
        <w:rPr>
          <w:lang w:val="en-US"/>
        </w:rPr>
        <w:t>Article </w:t>
      </w:r>
      <w:r w:rsidR="006C72E1" w:rsidRPr="00830BD1">
        <w:rPr>
          <w:lang w:val="en-US"/>
        </w:rPr>
        <w:t>8</w:t>
      </w:r>
      <w:r w:rsidR="0088706A">
        <w:rPr>
          <w:lang w:val="en-US"/>
        </w:rPr>
        <w:t xml:space="preserve"> </w:t>
      </w:r>
      <w:r w:rsidR="006C72E1" w:rsidRPr="00830BD1">
        <w:rPr>
          <w:lang w:val="en-US"/>
        </w:rPr>
        <w:t>(1)</w:t>
      </w:r>
      <w:r w:rsidR="0088706A">
        <w:rPr>
          <w:lang w:val="en-US"/>
        </w:rPr>
        <w:t xml:space="preserve"> </w:t>
      </w:r>
      <w:r w:rsidR="006C72E1" w:rsidRPr="00830BD1">
        <w:rPr>
          <w:lang w:val="en-US"/>
        </w:rPr>
        <w:t xml:space="preserve">(d) </w:t>
      </w:r>
      <w:r w:rsidR="001D2C39">
        <w:rPr>
          <w:lang w:val="en-US"/>
        </w:rPr>
        <w:t xml:space="preserve">– </w:t>
      </w:r>
      <w:r w:rsidR="006C72E1" w:rsidRPr="00830BD1">
        <w:rPr>
          <w:lang w:val="en-US"/>
        </w:rPr>
        <w:t xml:space="preserve">Providing </w:t>
      </w:r>
      <w:r w:rsidR="00FD1F26">
        <w:rPr>
          <w:lang w:val="en-US"/>
        </w:rPr>
        <w:t>a</w:t>
      </w:r>
      <w:r w:rsidR="006C72E1" w:rsidRPr="00830BD1">
        <w:rPr>
          <w:lang w:val="en-US"/>
        </w:rPr>
        <w:t xml:space="preserve">ppropriate </w:t>
      </w:r>
      <w:r w:rsidR="00FD1F26">
        <w:rPr>
          <w:lang w:val="en-US"/>
        </w:rPr>
        <w:t>s</w:t>
      </w:r>
      <w:r w:rsidR="006C72E1" w:rsidRPr="00830BD1">
        <w:rPr>
          <w:lang w:val="en-US"/>
        </w:rPr>
        <w:t xml:space="preserve">upport </w:t>
      </w:r>
      <w:r w:rsidR="00FD1F26">
        <w:rPr>
          <w:lang w:val="en-US"/>
        </w:rPr>
        <w:t>s</w:t>
      </w:r>
      <w:r w:rsidR="006C72E1" w:rsidRPr="00830BD1">
        <w:rPr>
          <w:lang w:val="en-US"/>
        </w:rPr>
        <w:t xml:space="preserve">ervices to </w:t>
      </w:r>
      <w:r w:rsidR="00FD1F26">
        <w:rPr>
          <w:lang w:val="en-US"/>
        </w:rPr>
        <w:t>c</w:t>
      </w:r>
      <w:r w:rsidR="006C72E1" w:rsidRPr="00830BD1">
        <w:rPr>
          <w:lang w:val="en-US"/>
        </w:rPr>
        <w:t xml:space="preserve">hild </w:t>
      </w:r>
      <w:r w:rsidR="00FD1F26">
        <w:rPr>
          <w:lang w:val="en-US"/>
        </w:rPr>
        <w:t>v</w:t>
      </w:r>
      <w:r w:rsidR="006C72E1" w:rsidRPr="00830BD1">
        <w:rPr>
          <w:lang w:val="en-US"/>
        </w:rPr>
        <w:t>ictims</w:t>
      </w:r>
      <w:r w:rsidR="006C72E1" w:rsidRPr="00DC0B88">
        <w:rPr>
          <w:lang w:val="en-US"/>
        </w:rPr>
        <w:t xml:space="preserve"> </w:t>
      </w:r>
    </w:p>
    <w:p w:rsidR="006C72E1" w:rsidRPr="00E43425" w:rsidRDefault="001A574A" w:rsidP="004F5B9F">
      <w:pPr>
        <w:pStyle w:val="SingleTxtG"/>
        <w:numPr>
          <w:ilvl w:val="0"/>
          <w:numId w:val="12"/>
        </w:numPr>
        <w:ind w:left="1134" w:firstLine="0"/>
        <w:rPr>
          <w:lang w:val="en-US"/>
        </w:rPr>
      </w:pPr>
      <w:r>
        <w:rPr>
          <w:szCs w:val="24"/>
          <w:lang w:val="en-US"/>
        </w:rPr>
        <w:t>Section </w:t>
      </w:r>
      <w:r w:rsidR="006C72E1" w:rsidRPr="00DC0B88">
        <w:rPr>
          <w:szCs w:val="24"/>
          <w:lang w:val="en-US"/>
        </w:rPr>
        <w:t xml:space="preserve">11 </w:t>
      </w:r>
      <w:r w:rsidR="006C72E1">
        <w:rPr>
          <w:szCs w:val="24"/>
          <w:lang w:val="en-US"/>
        </w:rPr>
        <w:t>of</w:t>
      </w:r>
      <w:r w:rsidR="006C72E1" w:rsidRPr="00DC0B88">
        <w:rPr>
          <w:szCs w:val="24"/>
          <w:lang w:val="en-US"/>
        </w:rPr>
        <w:t xml:space="preserve"> the </w:t>
      </w:r>
      <w:r w:rsidR="006C72E1" w:rsidRPr="00E43425">
        <w:rPr>
          <w:szCs w:val="24"/>
          <w:lang w:val="en-US"/>
        </w:rPr>
        <w:t>Victims</w:t>
      </w:r>
      <w:r w:rsidR="001D2C39" w:rsidRPr="00E43425">
        <w:rPr>
          <w:szCs w:val="24"/>
          <w:lang w:val="en-US"/>
        </w:rPr>
        <w:t>’</w:t>
      </w:r>
      <w:r w:rsidR="006C72E1" w:rsidRPr="00E43425">
        <w:rPr>
          <w:szCs w:val="24"/>
          <w:lang w:val="en-US"/>
        </w:rPr>
        <w:t xml:space="preserve"> Rights Law provides for the right of victims of a crime </w:t>
      </w:r>
      <w:r w:rsidR="006C72E1" w:rsidRPr="00E43425">
        <w:rPr>
          <w:lang w:val="en-US"/>
        </w:rPr>
        <w:t xml:space="preserve">to receive information concerning available support services provided by the State or by </w:t>
      </w:r>
      <w:r w:rsidR="004F5B9F">
        <w:rPr>
          <w:lang w:val="en-US"/>
        </w:rPr>
        <w:t>n</w:t>
      </w:r>
      <w:r w:rsidR="006C72E1" w:rsidRPr="00E43425">
        <w:rPr>
          <w:lang w:val="en-US"/>
        </w:rPr>
        <w:t>on-</w:t>
      </w:r>
      <w:r w:rsidR="004F5B9F">
        <w:rPr>
          <w:lang w:val="en-US"/>
        </w:rPr>
        <w:t>g</w:t>
      </w:r>
      <w:r w:rsidR="006C72E1" w:rsidRPr="00E43425">
        <w:rPr>
          <w:lang w:val="en-US"/>
        </w:rPr>
        <w:t xml:space="preserve">overnmental bodies, including centers for prevention of domestic violence. </w:t>
      </w:r>
    </w:p>
    <w:p w:rsidR="006C72E1" w:rsidRPr="00DE412E" w:rsidRDefault="006C72E1" w:rsidP="004F4E83">
      <w:pPr>
        <w:pStyle w:val="SingleTxtG"/>
        <w:numPr>
          <w:ilvl w:val="0"/>
          <w:numId w:val="12"/>
        </w:numPr>
        <w:ind w:left="1134" w:firstLine="0"/>
        <w:rPr>
          <w:lang w:val="en-US"/>
        </w:rPr>
      </w:pPr>
      <w:r w:rsidRPr="00E43425">
        <w:rPr>
          <w:lang w:val="en-US"/>
        </w:rPr>
        <w:t xml:space="preserve">The Crime </w:t>
      </w:r>
      <w:r w:rsidR="001D2C39" w:rsidRPr="00E43425">
        <w:rPr>
          <w:lang w:val="en-US"/>
        </w:rPr>
        <w:t>Victims’</w:t>
      </w:r>
      <w:r w:rsidRPr="00E43425">
        <w:rPr>
          <w:lang w:val="en-US"/>
        </w:rPr>
        <w:t xml:space="preserve"> Rights Regulations require the State to disseminate information leaflets </w:t>
      </w:r>
      <w:r w:rsidR="004F4E83">
        <w:rPr>
          <w:lang w:val="en-US"/>
        </w:rPr>
        <w:t>that</w:t>
      </w:r>
      <w:r w:rsidR="004F4E83" w:rsidRPr="00E43425">
        <w:rPr>
          <w:lang w:val="en-US"/>
        </w:rPr>
        <w:t xml:space="preserve"> </w:t>
      </w:r>
      <w:r w:rsidRPr="00E43425">
        <w:rPr>
          <w:lang w:val="en-US"/>
        </w:rPr>
        <w:t>contain details concerning the legal rights of a victim of a crime and the stages of the legal process, telephone numbers and addresses of bodies providing social and legal support to victims of a crime</w:t>
      </w:r>
      <w:r w:rsidR="004F4E83">
        <w:rPr>
          <w:lang w:val="en-US"/>
        </w:rPr>
        <w:t>,</w:t>
      </w:r>
      <w:r w:rsidRPr="00E43425">
        <w:rPr>
          <w:lang w:val="en-US"/>
        </w:rPr>
        <w:t xml:space="preserve"> and details concerning available protection from perpetrators. Those information leaflets are deposited in an accessible and </w:t>
      </w:r>
      <w:r w:rsidRPr="00E43425">
        <w:t xml:space="preserve">conspicuous place in </w:t>
      </w:r>
      <w:r w:rsidRPr="00E43425">
        <w:rPr>
          <w:lang w:val="en-US"/>
        </w:rPr>
        <w:t>different locations where they are most</w:t>
      </w:r>
      <w:r>
        <w:rPr>
          <w:lang w:val="en-US"/>
        </w:rPr>
        <w:t xml:space="preserve"> likely to be viewed </w:t>
      </w:r>
      <w:r w:rsidRPr="00F066B0">
        <w:rPr>
          <w:lang w:val="en-US"/>
        </w:rPr>
        <w:t>by</w:t>
      </w:r>
      <w:r w:rsidRPr="00DE412E">
        <w:rPr>
          <w:lang w:val="en-US"/>
        </w:rPr>
        <w:t xml:space="preserve"> victims of a crime after its </w:t>
      </w:r>
      <w:r w:rsidRPr="00DE412E">
        <w:t xml:space="preserve">occurrence, such </w:t>
      </w:r>
      <w:r w:rsidRPr="00F94FB8">
        <w:t>as police stations, relief agencies, emergency rooms, ambulance stations, legal aid offices, centres for treatment and prevention of domestic violence,</w:t>
      </w:r>
      <w:r w:rsidR="004F4E83">
        <w:t xml:space="preserve"> the</w:t>
      </w:r>
      <w:r w:rsidRPr="00F94FB8">
        <w:t xml:space="preserve"> secretariat of the State Attorney’s Offices, and courts of law.</w:t>
      </w:r>
      <w:r w:rsidRPr="0096733E">
        <w:t xml:space="preserve"> The information leaflets</w:t>
      </w:r>
      <w:r>
        <w:t xml:space="preserve"> are</w:t>
      </w:r>
      <w:r w:rsidR="00CD3B50">
        <w:t xml:space="preserve"> </w:t>
      </w:r>
      <w:r>
        <w:t xml:space="preserve">printed in different </w:t>
      </w:r>
      <w:r w:rsidRPr="00DE412E">
        <w:t>languages</w:t>
      </w:r>
      <w:r w:rsidR="004F4E83">
        <w:t>,</w:t>
      </w:r>
      <w:r w:rsidRPr="00DE412E">
        <w:t xml:space="preserve"> including Hebrew, Arabic, English, Amharic and Russian</w:t>
      </w:r>
      <w:r>
        <w:rPr>
          <w:lang w:val="en-US"/>
        </w:rPr>
        <w:t xml:space="preserve">, and they are </w:t>
      </w:r>
      <w:r w:rsidR="004F4E83">
        <w:rPr>
          <w:lang w:val="en-US"/>
        </w:rPr>
        <w:t xml:space="preserve">also </w:t>
      </w:r>
      <w:r>
        <w:rPr>
          <w:lang w:val="en-US"/>
        </w:rPr>
        <w:t>available on the internet.</w:t>
      </w:r>
    </w:p>
    <w:p w:rsidR="006C72E1" w:rsidRPr="006C7D7A" w:rsidRDefault="006C72E1" w:rsidP="00E22600">
      <w:pPr>
        <w:pStyle w:val="SingleTxtG"/>
        <w:numPr>
          <w:ilvl w:val="0"/>
          <w:numId w:val="12"/>
        </w:numPr>
        <w:ind w:left="1134" w:firstLine="0"/>
        <w:rPr>
          <w:rFonts w:ascii="David,Bold" w:hAnsi="David,Bold+1" w:cs="David,Bold"/>
          <w:b/>
          <w:bCs/>
          <w:lang w:val="en-US" w:bidi="he-IL"/>
        </w:rPr>
      </w:pPr>
      <w:r w:rsidRPr="006C7D7A">
        <w:rPr>
          <w:lang w:val="en-US"/>
        </w:rPr>
        <w:t xml:space="preserve">Furthermore, </w:t>
      </w:r>
      <w:r w:rsidRPr="006C7D7A">
        <w:t xml:space="preserve">the </w:t>
      </w:r>
      <w:r w:rsidRPr="00E43425">
        <w:t>Victims</w:t>
      </w:r>
      <w:r w:rsidR="001D2C39" w:rsidRPr="00E43425">
        <w:t>’</w:t>
      </w:r>
      <w:r w:rsidRPr="00E43425">
        <w:t xml:space="preserve"> Rights Law requires that</w:t>
      </w:r>
      <w:r w:rsidR="001D2C39" w:rsidRPr="00E43425">
        <w:t xml:space="preserve"> the State Attorney’</w:t>
      </w:r>
      <w:r w:rsidRPr="00E43425">
        <w:t>s Office establish an Assistance Unit and that the Police appoint a policeman in charge, in order to ensure that victims can properly exercise their rights. These officials are responsible for conveying information to and from</w:t>
      </w:r>
      <w:r w:rsidRPr="006C7D7A">
        <w:t xml:space="preserve"> victims, guid</w:t>
      </w:r>
      <w:r>
        <w:t>ing</w:t>
      </w:r>
      <w:r w:rsidRPr="006C7D7A">
        <w:t xml:space="preserve"> other employees and assist</w:t>
      </w:r>
      <w:r>
        <w:t>ing</w:t>
      </w:r>
      <w:r w:rsidRPr="006C7D7A">
        <w:t xml:space="preserve"> them in implementing this law</w:t>
      </w:r>
      <w:r w:rsidR="00E22600">
        <w:t>,</w:t>
      </w:r>
      <w:r w:rsidRPr="006C7D7A">
        <w:t xml:space="preserve"> and gather</w:t>
      </w:r>
      <w:r>
        <w:t xml:space="preserve">ing </w:t>
      </w:r>
      <w:r w:rsidRPr="006C7D7A">
        <w:t xml:space="preserve">relevant and updated information concerning support and assistance services for victims of a crime and </w:t>
      </w:r>
      <w:r w:rsidRPr="006C7D7A">
        <w:rPr>
          <w:lang w:val="en-US"/>
        </w:rPr>
        <w:t>disseminat</w:t>
      </w:r>
      <w:r>
        <w:rPr>
          <w:lang w:val="en-US"/>
        </w:rPr>
        <w:t>ing</w:t>
      </w:r>
      <w:r w:rsidRPr="006C7D7A">
        <w:rPr>
          <w:lang w:val="en-US"/>
        </w:rPr>
        <w:t xml:space="preserve"> </w:t>
      </w:r>
      <w:r>
        <w:rPr>
          <w:lang w:val="en-US"/>
        </w:rPr>
        <w:t>such</w:t>
      </w:r>
      <w:r w:rsidRPr="006C7D7A">
        <w:rPr>
          <w:lang w:val="en-US"/>
        </w:rPr>
        <w:t xml:space="preserve"> information to other employees.</w:t>
      </w:r>
      <w:r w:rsidR="00CD3B50">
        <w:rPr>
          <w:lang w:val="en-US"/>
        </w:rPr>
        <w:t xml:space="preserve"> </w:t>
      </w:r>
    </w:p>
    <w:p w:rsidR="006C72E1" w:rsidRPr="006D3B18" w:rsidRDefault="00F10549" w:rsidP="006D3B18">
      <w:pPr>
        <w:pStyle w:val="SingleTxtG"/>
        <w:numPr>
          <w:ilvl w:val="0"/>
          <w:numId w:val="12"/>
        </w:numPr>
        <w:ind w:left="1134" w:firstLine="0"/>
        <w:rPr>
          <w:lang w:val="en-US" w:bidi="he-IL"/>
        </w:rPr>
      </w:pPr>
      <w:r>
        <w:rPr>
          <w:lang w:val="en-US"/>
        </w:rPr>
        <w:t>State Attorney’s Guideline No. </w:t>
      </w:r>
      <w:r w:rsidR="006C72E1" w:rsidRPr="006C7D7A">
        <w:rPr>
          <w:lang w:val="en-US"/>
        </w:rPr>
        <w:t xml:space="preserve">14.7, </w:t>
      </w:r>
      <w:r w:rsidR="006C72E1">
        <w:rPr>
          <w:lang w:val="en-US"/>
        </w:rPr>
        <w:t>en</w:t>
      </w:r>
      <w:r w:rsidR="001D2C39">
        <w:rPr>
          <w:lang w:val="en-US"/>
        </w:rPr>
        <w:t>titled “</w:t>
      </w:r>
      <w:r w:rsidR="006C72E1" w:rsidRPr="006C7D7A">
        <w:rPr>
          <w:lang w:val="en-US"/>
        </w:rPr>
        <w:t>Assistance to Crime Victims and Prosecution Witnesses in a Criminal Proceed</w:t>
      </w:r>
      <w:r>
        <w:rPr>
          <w:lang w:val="en-US"/>
        </w:rPr>
        <w:t>ing</w:t>
      </w:r>
      <w:r w:rsidR="001D2C39">
        <w:rPr>
          <w:lang w:val="en-US"/>
        </w:rPr>
        <w:t>”</w:t>
      </w:r>
      <w:r>
        <w:rPr>
          <w:lang w:val="en-US"/>
        </w:rPr>
        <w:t xml:space="preserve"> (last update – 1.8.2011) (“</w:t>
      </w:r>
      <w:r w:rsidRPr="00E43425">
        <w:rPr>
          <w:lang w:val="en-US"/>
        </w:rPr>
        <w:t>Guideline No. </w:t>
      </w:r>
      <w:r w:rsidR="006C72E1" w:rsidRPr="00E43425">
        <w:rPr>
          <w:lang w:val="en-US"/>
        </w:rPr>
        <w:t>14.7</w:t>
      </w:r>
      <w:r w:rsidRPr="00E43425">
        <w:rPr>
          <w:lang w:val="en-US"/>
        </w:rPr>
        <w:t>”</w:t>
      </w:r>
      <w:r w:rsidR="006C72E1" w:rsidRPr="00E43425">
        <w:rPr>
          <w:lang w:val="en-US"/>
        </w:rPr>
        <w:t>), instructs that members of the State Attorney</w:t>
      </w:r>
      <w:r w:rsidR="00C05EBD" w:rsidRPr="00E43425">
        <w:rPr>
          <w:rFonts w:hint="eastAsia"/>
          <w:lang w:val="en-US"/>
        </w:rPr>
        <w:t>’</w:t>
      </w:r>
      <w:r w:rsidR="006C72E1" w:rsidRPr="00E43425">
        <w:rPr>
          <w:lang w:val="en-US"/>
        </w:rPr>
        <w:t>s Office be trained to en</w:t>
      </w:r>
      <w:r w:rsidR="006C72E1" w:rsidRPr="006C7D7A">
        <w:rPr>
          <w:lang w:val="en-US"/>
        </w:rPr>
        <w:t>sure that crime victims are provided with the information necessary to receive support, including urgent medical and social care, compensation according to the law and information on public and national bodies providing coun</w:t>
      </w:r>
      <w:r w:rsidR="006C72E1">
        <w:rPr>
          <w:lang w:val="en-US"/>
        </w:rPr>
        <w:t>sel</w:t>
      </w:r>
      <w:r w:rsidR="006C72E1" w:rsidRPr="006C7D7A">
        <w:rPr>
          <w:lang w:val="en-US"/>
        </w:rPr>
        <w:t xml:space="preserve"> and care.</w:t>
      </w:r>
    </w:p>
    <w:p w:rsidR="006C72E1" w:rsidRPr="00007AAA" w:rsidRDefault="00AC696A" w:rsidP="00F50D18">
      <w:pPr>
        <w:pStyle w:val="H1G"/>
        <w:rPr>
          <w:lang w:val="en-US"/>
        </w:rPr>
      </w:pPr>
      <w:r>
        <w:rPr>
          <w:lang w:val="en-US"/>
        </w:rPr>
        <w:tab/>
      </w:r>
      <w:r>
        <w:rPr>
          <w:lang w:val="en-US"/>
        </w:rPr>
        <w:tab/>
      </w:r>
      <w:r w:rsidR="000416BC">
        <w:rPr>
          <w:lang w:val="en-US"/>
        </w:rPr>
        <w:t>Article </w:t>
      </w:r>
      <w:r w:rsidR="003E7BE0">
        <w:rPr>
          <w:lang w:val="en-US"/>
        </w:rPr>
        <w:t>8</w:t>
      </w:r>
      <w:r w:rsidR="0088706A">
        <w:rPr>
          <w:lang w:val="en-US"/>
        </w:rPr>
        <w:t xml:space="preserve"> </w:t>
      </w:r>
      <w:r w:rsidR="003E7BE0">
        <w:rPr>
          <w:lang w:val="en-US"/>
        </w:rPr>
        <w:t>(1)</w:t>
      </w:r>
      <w:r w:rsidR="0088706A">
        <w:rPr>
          <w:lang w:val="en-US"/>
        </w:rPr>
        <w:t xml:space="preserve"> </w:t>
      </w:r>
      <w:r w:rsidR="003E7BE0">
        <w:rPr>
          <w:lang w:val="en-US"/>
        </w:rPr>
        <w:t>(e) –</w:t>
      </w:r>
      <w:r w:rsidR="006C72E1" w:rsidRPr="00007AAA">
        <w:rPr>
          <w:lang w:val="en-US"/>
        </w:rPr>
        <w:t xml:space="preserve"> Protecting the </w:t>
      </w:r>
      <w:r w:rsidR="00F50D18">
        <w:rPr>
          <w:lang w:val="en-US"/>
        </w:rPr>
        <w:t>p</w:t>
      </w:r>
      <w:r w:rsidR="006C72E1" w:rsidRPr="00007AAA">
        <w:rPr>
          <w:lang w:val="en-US"/>
        </w:rPr>
        <w:t xml:space="preserve">rivacy and </w:t>
      </w:r>
      <w:r w:rsidR="00F50D18">
        <w:rPr>
          <w:lang w:val="en-US"/>
        </w:rPr>
        <w:t>i</w:t>
      </w:r>
      <w:r w:rsidR="006C72E1" w:rsidRPr="00007AAA">
        <w:rPr>
          <w:lang w:val="en-US"/>
        </w:rPr>
        <w:t xml:space="preserve">dentity of </w:t>
      </w:r>
      <w:r w:rsidR="00F50D18">
        <w:rPr>
          <w:lang w:val="en-US"/>
        </w:rPr>
        <w:t>c</w:t>
      </w:r>
      <w:r w:rsidR="006C72E1" w:rsidRPr="00007AAA">
        <w:rPr>
          <w:lang w:val="en-US"/>
        </w:rPr>
        <w:t xml:space="preserve">hild </w:t>
      </w:r>
      <w:r w:rsidR="00F50D18">
        <w:rPr>
          <w:lang w:val="en-US"/>
        </w:rPr>
        <w:t>v</w:t>
      </w:r>
      <w:r w:rsidR="006C72E1" w:rsidRPr="00007AAA">
        <w:rPr>
          <w:lang w:val="en-US"/>
        </w:rPr>
        <w:t xml:space="preserve">ictims </w:t>
      </w:r>
    </w:p>
    <w:p w:rsidR="006C72E1" w:rsidRPr="00007AAA" w:rsidRDefault="006C72E1" w:rsidP="006D3B18">
      <w:pPr>
        <w:pStyle w:val="SingleTxtG"/>
        <w:numPr>
          <w:ilvl w:val="0"/>
          <w:numId w:val="12"/>
        </w:numPr>
        <w:ind w:left="1134" w:firstLine="0"/>
        <w:rPr>
          <w:b/>
          <w:bCs/>
          <w:lang w:val="en-US"/>
        </w:rPr>
      </w:pPr>
      <w:r w:rsidRPr="00007AAA">
        <w:rPr>
          <w:lang w:val="en-US"/>
        </w:rPr>
        <w:t>As mentioned above, Israeli law recognizes the vulnerability of victims of sexual or violent offenses, including and especially children.</w:t>
      </w:r>
    </w:p>
    <w:p w:rsidR="006C72E1" w:rsidRPr="00E43425" w:rsidRDefault="006C72E1" w:rsidP="006D3B18">
      <w:pPr>
        <w:pStyle w:val="SingleTxtG"/>
        <w:numPr>
          <w:ilvl w:val="0"/>
          <w:numId w:val="12"/>
        </w:numPr>
        <w:ind w:left="1134" w:firstLine="0"/>
        <w:rPr>
          <w:rFonts w:hint="cs"/>
          <w:iCs/>
          <w:rtl/>
          <w:lang w:val="en-US" w:bidi="he-IL"/>
        </w:rPr>
      </w:pPr>
      <w:r w:rsidRPr="00007AAA">
        <w:rPr>
          <w:lang w:val="en-US"/>
        </w:rPr>
        <w:t>When a minor is a witness in a criminal procedure or a vict</w:t>
      </w:r>
      <w:r w:rsidR="003E7BE0">
        <w:rPr>
          <w:lang w:val="en-US"/>
        </w:rPr>
        <w:t>im of an offense under Sections </w:t>
      </w:r>
      <w:r w:rsidRPr="00007AAA">
        <w:rPr>
          <w:lang w:val="en-US"/>
        </w:rPr>
        <w:t>208, 214, 352-345, 374A</w:t>
      </w:r>
      <w:r w:rsidR="00404DDB">
        <w:rPr>
          <w:lang w:val="en-US"/>
        </w:rPr>
        <w:t>,</w:t>
      </w:r>
      <w:r w:rsidRPr="00007AAA">
        <w:rPr>
          <w:lang w:val="en-US"/>
        </w:rPr>
        <w:t xml:space="preserve"> or any of 377A(5) to (7) of the </w:t>
      </w:r>
      <w:r w:rsidRPr="00E43425">
        <w:rPr>
          <w:iCs/>
          <w:lang w:val="en-US"/>
        </w:rPr>
        <w:t xml:space="preserve">Penal Law (sexual offenses and prostitution, </w:t>
      </w:r>
      <w:r w:rsidRPr="00E43425">
        <w:rPr>
          <w:iCs/>
          <w:szCs w:val="24"/>
        </w:rPr>
        <w:t xml:space="preserve">obscenity offenses, </w:t>
      </w:r>
      <w:r w:rsidRPr="00E43425">
        <w:rPr>
          <w:iCs/>
          <w:lang w:val="en-US"/>
        </w:rPr>
        <w:t>abduction for the purpose of trafficking</w:t>
      </w:r>
      <w:r w:rsidRPr="00E43425">
        <w:rPr>
          <w:iCs/>
          <w:szCs w:val="24"/>
        </w:rPr>
        <w:t xml:space="preserve"> and </w:t>
      </w:r>
      <w:r w:rsidRPr="00E43425">
        <w:rPr>
          <w:iCs/>
          <w:lang w:val="en-US"/>
        </w:rPr>
        <w:t>trafficking in persons</w:t>
      </w:r>
      <w:r w:rsidRPr="00E43425">
        <w:rPr>
          <w:iCs/>
          <w:szCs w:val="24"/>
        </w:rPr>
        <w:t>)</w:t>
      </w:r>
      <w:r w:rsidRPr="00E43425">
        <w:rPr>
          <w:iCs/>
          <w:lang w:val="en-US"/>
        </w:rPr>
        <w:t>, it is forbidden to publish the minor</w:t>
      </w:r>
      <w:r w:rsidR="00C05EBD" w:rsidRPr="00E43425">
        <w:rPr>
          <w:rFonts w:hint="eastAsia"/>
          <w:iCs/>
          <w:lang w:val="en-US"/>
        </w:rPr>
        <w:t>’</w:t>
      </w:r>
      <w:r w:rsidRPr="00E43425">
        <w:rPr>
          <w:iCs/>
          <w:lang w:val="en-US"/>
        </w:rPr>
        <w:t xml:space="preserve">s name, picture, address or other details that can identify him/her without </w:t>
      </w:r>
      <w:r w:rsidR="003E7BE0" w:rsidRPr="00E43425">
        <w:rPr>
          <w:iCs/>
          <w:lang w:val="en-US"/>
        </w:rPr>
        <w:t>the court</w:t>
      </w:r>
      <w:r w:rsidR="00C05EBD" w:rsidRPr="00E43425">
        <w:rPr>
          <w:rFonts w:hint="eastAsia"/>
          <w:iCs/>
          <w:lang w:val="en-US"/>
        </w:rPr>
        <w:t>’</w:t>
      </w:r>
      <w:r w:rsidR="003E7BE0" w:rsidRPr="00E43425">
        <w:rPr>
          <w:iCs/>
          <w:lang w:val="en-US"/>
        </w:rPr>
        <w:t>s permission (</w:t>
      </w:r>
      <w:r w:rsidR="001A574A" w:rsidRPr="00E43425">
        <w:rPr>
          <w:iCs/>
          <w:lang w:val="en-US"/>
        </w:rPr>
        <w:t>Section </w:t>
      </w:r>
      <w:r w:rsidRPr="00E43425">
        <w:rPr>
          <w:iCs/>
          <w:lang w:val="en-US"/>
        </w:rPr>
        <w:t xml:space="preserve">70 to the </w:t>
      </w:r>
      <w:r w:rsidRPr="00E43425">
        <w:rPr>
          <w:iCs/>
          <w:szCs w:val="24"/>
        </w:rPr>
        <w:t xml:space="preserve">Courts Law (Consolidated Version) 5744-1984 (the </w:t>
      </w:r>
      <w:r w:rsidR="003E7BE0" w:rsidRPr="00E43425">
        <w:rPr>
          <w:iCs/>
          <w:szCs w:val="24"/>
        </w:rPr>
        <w:t>“</w:t>
      </w:r>
      <w:r w:rsidRPr="00E43425">
        <w:rPr>
          <w:iCs/>
          <w:szCs w:val="24"/>
        </w:rPr>
        <w:t>Courts Law</w:t>
      </w:r>
      <w:r w:rsidR="003E7BE0" w:rsidRPr="00E43425">
        <w:rPr>
          <w:iCs/>
          <w:szCs w:val="24"/>
        </w:rPr>
        <w:t>”</w:t>
      </w:r>
      <w:r w:rsidRPr="00E43425">
        <w:rPr>
          <w:iCs/>
          <w:szCs w:val="24"/>
        </w:rPr>
        <w:t xml:space="preserve">)). </w:t>
      </w:r>
    </w:p>
    <w:p w:rsidR="006C72E1" w:rsidRPr="00007AAA" w:rsidRDefault="003E7BE0" w:rsidP="00404DDB">
      <w:pPr>
        <w:pStyle w:val="SingleTxtG"/>
        <w:numPr>
          <w:ilvl w:val="0"/>
          <w:numId w:val="12"/>
        </w:numPr>
        <w:ind w:left="1134" w:firstLine="0"/>
        <w:rPr>
          <w:lang w:val="en-US"/>
        </w:rPr>
      </w:pPr>
      <w:r w:rsidRPr="00E43425">
        <w:rPr>
          <w:iCs/>
          <w:lang w:val="en-US"/>
        </w:rPr>
        <w:t>Guideline No. </w:t>
      </w:r>
      <w:r w:rsidR="006C72E1" w:rsidRPr="00E43425">
        <w:rPr>
          <w:iCs/>
          <w:lang w:val="en-US"/>
        </w:rPr>
        <w:t>14.7 of the State Attorney’s Guidelines instructs that members of the State Attorney</w:t>
      </w:r>
      <w:r w:rsidR="00C05EBD" w:rsidRPr="00E43425">
        <w:rPr>
          <w:rFonts w:hint="eastAsia"/>
          <w:iCs/>
          <w:lang w:val="en-US"/>
        </w:rPr>
        <w:t>’</w:t>
      </w:r>
      <w:r w:rsidR="006C72E1" w:rsidRPr="00E43425">
        <w:rPr>
          <w:iCs/>
          <w:lang w:val="en-US"/>
        </w:rPr>
        <w:t xml:space="preserve">s Office must ask the court to explicitly mention the prohibition </w:t>
      </w:r>
      <w:r w:rsidR="00404DDB">
        <w:rPr>
          <w:iCs/>
          <w:lang w:val="en-US"/>
        </w:rPr>
        <w:t>on disclosing the child victim’s</w:t>
      </w:r>
      <w:r w:rsidR="006C72E1" w:rsidRPr="00E43425">
        <w:rPr>
          <w:iCs/>
          <w:lang w:val="en-US"/>
        </w:rPr>
        <w:t xml:space="preserve"> personal details, so that everyone present in the court, including</w:t>
      </w:r>
      <w:r w:rsidR="006C72E1" w:rsidRPr="00007AAA">
        <w:rPr>
          <w:lang w:val="en-US"/>
        </w:rPr>
        <w:t xml:space="preserve"> the media, can be aware of it.</w:t>
      </w:r>
    </w:p>
    <w:p w:rsidR="006C72E1" w:rsidRPr="00E43425" w:rsidRDefault="006C72E1" w:rsidP="0048104E">
      <w:pPr>
        <w:pStyle w:val="SingleTxtG"/>
        <w:numPr>
          <w:ilvl w:val="0"/>
          <w:numId w:val="12"/>
        </w:numPr>
        <w:ind w:left="1134" w:firstLine="0"/>
        <w:rPr>
          <w:b/>
          <w:bCs/>
          <w:lang w:val="en-US"/>
        </w:rPr>
      </w:pPr>
      <w:r w:rsidRPr="00007AAA">
        <w:rPr>
          <w:lang w:val="en-US"/>
        </w:rPr>
        <w:t xml:space="preserve">Moreover, it is forbidden to publish (except with the court’s permission) any details that can identify a child under the age of 14 who was interrogated concerning an offense listed in the </w:t>
      </w:r>
      <w:r w:rsidRPr="00E43425">
        <w:rPr>
          <w:szCs w:val="24"/>
        </w:rPr>
        <w:t>Protection of Children</w:t>
      </w:r>
      <w:r w:rsidRPr="00E43425">
        <w:rPr>
          <w:lang w:val="en-US"/>
        </w:rPr>
        <w:t xml:space="preserve"> Law or who testified concerning such an offense in court, or to publish any part of their testimony. Violating the above prohibition is an offense punishable by three years</w:t>
      </w:r>
      <w:r w:rsidR="00D3193A">
        <w:rPr>
          <w:lang w:val="en-US"/>
        </w:rPr>
        <w:t>’</w:t>
      </w:r>
      <w:r w:rsidRPr="00E43425">
        <w:rPr>
          <w:lang w:val="en-US"/>
        </w:rPr>
        <w:t xml:space="preserve"> imprisonment, by a fine</w:t>
      </w:r>
      <w:r w:rsidR="0048104E">
        <w:rPr>
          <w:lang w:val="en-US"/>
        </w:rPr>
        <w:t>,</w:t>
      </w:r>
      <w:r w:rsidRPr="00E43425">
        <w:rPr>
          <w:lang w:val="en-US"/>
        </w:rPr>
        <w:t xml:space="preserve"> or </w:t>
      </w:r>
      <w:r w:rsidR="0048104E">
        <w:rPr>
          <w:lang w:val="en-US"/>
        </w:rPr>
        <w:t xml:space="preserve">by </w:t>
      </w:r>
      <w:r w:rsidRPr="00E43425">
        <w:rPr>
          <w:lang w:val="en-US"/>
        </w:rPr>
        <w:t>both (</w:t>
      </w:r>
      <w:r w:rsidR="001A574A" w:rsidRPr="00E43425">
        <w:rPr>
          <w:lang w:val="en-US"/>
        </w:rPr>
        <w:t>Section </w:t>
      </w:r>
      <w:r w:rsidRPr="00E43425">
        <w:rPr>
          <w:lang w:val="en-US"/>
        </w:rPr>
        <w:t xml:space="preserve">6 </w:t>
      </w:r>
      <w:r w:rsidR="0048104E">
        <w:rPr>
          <w:lang w:val="en-US"/>
        </w:rPr>
        <w:t>of</w:t>
      </w:r>
      <w:r w:rsidR="0048104E" w:rsidRPr="00E43425">
        <w:rPr>
          <w:lang w:val="en-US"/>
        </w:rPr>
        <w:t xml:space="preserve"> </w:t>
      </w:r>
      <w:r w:rsidRPr="00E43425">
        <w:rPr>
          <w:lang w:val="en-US"/>
        </w:rPr>
        <w:t xml:space="preserve">the </w:t>
      </w:r>
      <w:r w:rsidRPr="00E43425">
        <w:rPr>
          <w:szCs w:val="24"/>
        </w:rPr>
        <w:t>Protection of Children</w:t>
      </w:r>
      <w:r w:rsidRPr="00E43425">
        <w:rPr>
          <w:lang w:val="en-US"/>
        </w:rPr>
        <w:t xml:space="preserve"> Law).</w:t>
      </w:r>
    </w:p>
    <w:p w:rsidR="006C72E1" w:rsidRPr="00E43425" w:rsidRDefault="006C72E1" w:rsidP="00AB40FD">
      <w:pPr>
        <w:pStyle w:val="SingleTxtG"/>
        <w:numPr>
          <w:ilvl w:val="0"/>
          <w:numId w:val="12"/>
        </w:numPr>
        <w:ind w:left="1134" w:firstLine="0"/>
        <w:rPr>
          <w:b/>
          <w:bCs/>
          <w:lang w:val="en-US"/>
        </w:rPr>
      </w:pPr>
      <w:r w:rsidRPr="00007AAA">
        <w:rPr>
          <w:lang w:val="en-US"/>
        </w:rPr>
        <w:t xml:space="preserve">With respect to protecting the privacy of victims generally, </w:t>
      </w:r>
      <w:r w:rsidR="001A574A">
        <w:rPr>
          <w:lang w:val="en-US"/>
        </w:rPr>
        <w:t>Section </w:t>
      </w:r>
      <w:r w:rsidRPr="00007AAA">
        <w:rPr>
          <w:lang w:val="en-US"/>
        </w:rPr>
        <w:t xml:space="preserve">7 </w:t>
      </w:r>
      <w:r w:rsidR="00AB40FD">
        <w:rPr>
          <w:lang w:val="en-US"/>
        </w:rPr>
        <w:t>of</w:t>
      </w:r>
      <w:r w:rsidR="00AB40FD" w:rsidRPr="00007AAA">
        <w:rPr>
          <w:lang w:val="en-US"/>
        </w:rPr>
        <w:t xml:space="preserve"> </w:t>
      </w:r>
      <w:r w:rsidRPr="00007AAA">
        <w:rPr>
          <w:lang w:val="en-US"/>
        </w:rPr>
        <w:t xml:space="preserve">the </w:t>
      </w:r>
      <w:r w:rsidRPr="00E43425">
        <w:rPr>
          <w:lang w:val="en-US"/>
        </w:rPr>
        <w:t>Victims</w:t>
      </w:r>
      <w:r w:rsidR="003E7BE0" w:rsidRPr="00E43425">
        <w:rPr>
          <w:lang w:val="en-US"/>
        </w:rPr>
        <w:t>’</w:t>
      </w:r>
      <w:r w:rsidRPr="00E43425">
        <w:rPr>
          <w:lang w:val="en-US"/>
        </w:rPr>
        <w:t xml:space="preserve"> Rights Law prohibits all authorities from </w:t>
      </w:r>
      <w:r w:rsidRPr="00E43425">
        <w:t>providing</w:t>
      </w:r>
      <w:r w:rsidRPr="00E43425">
        <w:rPr>
          <w:lang w:val="en-US"/>
        </w:rPr>
        <w:t xml:space="preserve"> </w:t>
      </w:r>
      <w:r w:rsidRPr="00E43425">
        <w:t xml:space="preserve">personal details </w:t>
      </w:r>
      <w:r w:rsidRPr="00E43425">
        <w:rPr>
          <w:lang w:val="en-US"/>
        </w:rPr>
        <w:t xml:space="preserve">of a </w:t>
      </w:r>
      <w:r w:rsidRPr="00E43425">
        <w:rPr>
          <w:lang w:val="en-US" w:bidi="he-IL"/>
        </w:rPr>
        <w:t xml:space="preserve">victim of </w:t>
      </w:r>
      <w:r w:rsidR="00AB40FD">
        <w:rPr>
          <w:lang w:val="en-US" w:bidi="he-IL"/>
        </w:rPr>
        <w:t xml:space="preserve">a </w:t>
      </w:r>
      <w:r w:rsidRPr="00E43425">
        <w:rPr>
          <w:lang w:val="en-US"/>
        </w:rPr>
        <w:t>sexual or violent offense</w:t>
      </w:r>
      <w:r w:rsidRPr="00E43425">
        <w:t xml:space="preserve"> </w:t>
      </w:r>
      <w:r w:rsidRPr="00E43425">
        <w:rPr>
          <w:lang w:val="en-US"/>
        </w:rPr>
        <w:t>(home address, workplace address and telephone number)</w:t>
      </w:r>
      <w:r w:rsidR="00AB40FD">
        <w:rPr>
          <w:lang w:val="en-US"/>
        </w:rPr>
        <w:t>,</w:t>
      </w:r>
      <w:r w:rsidRPr="00E43425">
        <w:rPr>
          <w:lang w:val="en-US"/>
        </w:rPr>
        <w:t xml:space="preserve"> including to the defendant or his/her attorney, without the victim’s consent. The rule in regard to other crimes is that </w:t>
      </w:r>
      <w:r w:rsidRPr="00E43425">
        <w:rPr>
          <w:lang w:val="en-US" w:bidi="he-IL"/>
        </w:rPr>
        <w:t xml:space="preserve">only the prosecutor is authorized to withhold personal details of the crime victim from the defendant or his/her attorney, and the prosecutor may do so only if there are grounds to believe that providing such details would impair the well-being of </w:t>
      </w:r>
      <w:r w:rsidR="00AB40FD">
        <w:rPr>
          <w:lang w:val="en-US" w:bidi="he-IL"/>
        </w:rPr>
        <w:t xml:space="preserve">the </w:t>
      </w:r>
      <w:r w:rsidRPr="00E43425">
        <w:rPr>
          <w:lang w:val="en-US" w:bidi="he-IL"/>
        </w:rPr>
        <w:t>victim</w:t>
      </w:r>
      <w:r w:rsidR="00AB40FD">
        <w:rPr>
          <w:lang w:val="en-US" w:bidi="he-IL"/>
        </w:rPr>
        <w:t>(</w:t>
      </w:r>
      <w:r w:rsidRPr="00E43425">
        <w:rPr>
          <w:lang w:val="en-US" w:bidi="he-IL"/>
        </w:rPr>
        <w:t>s</w:t>
      </w:r>
      <w:r w:rsidR="00AB40FD">
        <w:rPr>
          <w:lang w:val="en-US" w:bidi="he-IL"/>
        </w:rPr>
        <w:t>)</w:t>
      </w:r>
      <w:r w:rsidRPr="00B43698">
        <w:rPr>
          <w:lang w:val="en-US" w:bidi="he-IL"/>
        </w:rPr>
        <w:t>.</w:t>
      </w:r>
      <w:r w:rsidRPr="00E43425">
        <w:rPr>
          <w:b/>
          <w:bCs/>
          <w:lang w:val="en-US" w:bidi="he-IL"/>
        </w:rPr>
        <w:t xml:space="preserve"> </w:t>
      </w:r>
    </w:p>
    <w:p w:rsidR="006C72E1" w:rsidRPr="00E43425" w:rsidRDefault="006C72E1" w:rsidP="006D3B18">
      <w:pPr>
        <w:pStyle w:val="SingleTxtG"/>
        <w:numPr>
          <w:ilvl w:val="0"/>
          <w:numId w:val="12"/>
        </w:numPr>
        <w:ind w:left="1134" w:firstLine="0"/>
        <w:rPr>
          <w:lang w:val="en-US"/>
        </w:rPr>
      </w:pPr>
      <w:r w:rsidRPr="00E43425">
        <w:rPr>
          <w:lang w:val="en-US"/>
        </w:rPr>
        <w:t>In order to balance between a victim</w:t>
      </w:r>
      <w:r w:rsidR="00C05EBD" w:rsidRPr="00E43425">
        <w:rPr>
          <w:rFonts w:hint="eastAsia"/>
          <w:lang w:val="en-US"/>
        </w:rPr>
        <w:t>’</w:t>
      </w:r>
      <w:r w:rsidRPr="00E43425">
        <w:rPr>
          <w:lang w:val="en-US"/>
        </w:rPr>
        <w:t>s right to privacy and the rights of the defendant, in cases where details regarding the victim are not disclosed to the defendant, the Victims</w:t>
      </w:r>
      <w:r w:rsidR="00C05EBD" w:rsidRPr="00E43425">
        <w:rPr>
          <w:rFonts w:hint="eastAsia"/>
          <w:lang w:val="en-US"/>
        </w:rPr>
        <w:t>’</w:t>
      </w:r>
      <w:r w:rsidRPr="00E43425">
        <w:rPr>
          <w:lang w:val="en-US"/>
        </w:rPr>
        <w:t xml:space="preserve"> Rights Law authorizes the court, upon request of the defendant or his/her attorney, to ord</w:t>
      </w:r>
      <w:r w:rsidR="003E7BE0" w:rsidRPr="00E43425">
        <w:rPr>
          <w:lang w:val="en-US"/>
        </w:rPr>
        <w:t>er the disclosure of the victim’</w:t>
      </w:r>
      <w:r w:rsidRPr="00E43425">
        <w:rPr>
          <w:lang w:val="en-US"/>
        </w:rPr>
        <w:t>s personal details, if the court finds it necessary for the defendant</w:t>
      </w:r>
      <w:r w:rsidR="00C05EBD" w:rsidRPr="00E43425">
        <w:rPr>
          <w:rFonts w:hint="eastAsia"/>
          <w:lang w:val="en-US"/>
        </w:rPr>
        <w:t>’</w:t>
      </w:r>
      <w:r w:rsidRPr="00E43425">
        <w:rPr>
          <w:lang w:val="en-US"/>
        </w:rPr>
        <w:t>s defense.</w:t>
      </w:r>
      <w:r w:rsidR="00CD3B50" w:rsidRPr="00E43425">
        <w:rPr>
          <w:lang w:val="en-US"/>
        </w:rPr>
        <w:t xml:space="preserve"> </w:t>
      </w:r>
    </w:p>
    <w:p w:rsidR="006C72E1" w:rsidRPr="00E43425" w:rsidRDefault="006C72E1" w:rsidP="00F9115D">
      <w:pPr>
        <w:pStyle w:val="SingleTxtG"/>
        <w:numPr>
          <w:ilvl w:val="0"/>
          <w:numId w:val="12"/>
        </w:numPr>
        <w:ind w:left="1134" w:firstLine="0"/>
        <w:rPr>
          <w:lang w:val="en-US"/>
        </w:rPr>
      </w:pPr>
      <w:r w:rsidRPr="00E43425">
        <w:rPr>
          <w:szCs w:val="24"/>
          <w:lang w:val="en-US"/>
        </w:rPr>
        <w:t xml:space="preserve">Another kind of protection for the privacy of a victim of a crime can be found in </w:t>
      </w:r>
      <w:r w:rsidR="001A574A" w:rsidRPr="00E43425">
        <w:rPr>
          <w:szCs w:val="24"/>
          <w:lang w:val="en-US"/>
        </w:rPr>
        <w:t>Section </w:t>
      </w:r>
      <w:r w:rsidRPr="00E43425">
        <w:rPr>
          <w:szCs w:val="24"/>
          <w:lang w:val="en-US"/>
        </w:rPr>
        <w:t xml:space="preserve">13 </w:t>
      </w:r>
      <w:r w:rsidR="00F9115D">
        <w:rPr>
          <w:szCs w:val="24"/>
          <w:lang w:val="en-US"/>
        </w:rPr>
        <w:t>of</w:t>
      </w:r>
      <w:r w:rsidR="00F9115D" w:rsidRPr="00E43425">
        <w:rPr>
          <w:szCs w:val="24"/>
          <w:lang w:val="en-US"/>
        </w:rPr>
        <w:t xml:space="preserve"> </w:t>
      </w:r>
      <w:r w:rsidRPr="00E43425">
        <w:rPr>
          <w:szCs w:val="24"/>
          <w:lang w:val="en-US"/>
        </w:rPr>
        <w:t>the Victims</w:t>
      </w:r>
      <w:r w:rsidR="00C05EBD" w:rsidRPr="00E43425">
        <w:rPr>
          <w:rFonts w:hint="eastAsia"/>
          <w:szCs w:val="24"/>
          <w:lang w:val="en-US"/>
        </w:rPr>
        <w:t>’</w:t>
      </w:r>
      <w:r w:rsidRPr="00E43425">
        <w:rPr>
          <w:szCs w:val="24"/>
          <w:lang w:val="en-US"/>
        </w:rPr>
        <w:t xml:space="preserve"> Rights Law</w:t>
      </w:r>
      <w:r w:rsidRPr="00E43425">
        <w:rPr>
          <w:lang w:val="en-US"/>
        </w:rPr>
        <w:t xml:space="preserve">, according to which during an investigation of a sexual or violent crime, the crime victim may not be investigated about his/her sexual past, except for an inquiry relevant under specific circumstances regarding a previous sexual relationship with the suspect, unless the officer in charge of the investigation determines that due to written reasons, such an investigation is essential for discovering the truth. If such an investigation is approved, it shall be conducted with due care while maintaining the </w:t>
      </w:r>
      <w:r w:rsidR="003E7BE0" w:rsidRPr="00E43425">
        <w:rPr>
          <w:lang w:val="en-US"/>
        </w:rPr>
        <w:t>victim’</w:t>
      </w:r>
      <w:r w:rsidRPr="00E43425">
        <w:rPr>
          <w:lang w:val="en-US"/>
        </w:rPr>
        <w:t xml:space="preserve">s dignity and privacy. Moreover, during the trial, the court shall not allow </w:t>
      </w:r>
      <w:r w:rsidR="00F9115D">
        <w:rPr>
          <w:lang w:val="en-US"/>
        </w:rPr>
        <w:t xml:space="preserve">the </w:t>
      </w:r>
      <w:r w:rsidRPr="00E43425">
        <w:rPr>
          <w:lang w:val="en-US"/>
        </w:rPr>
        <w:t xml:space="preserve">questioning </w:t>
      </w:r>
      <w:r w:rsidR="00F9115D">
        <w:rPr>
          <w:lang w:val="en-US"/>
        </w:rPr>
        <w:t xml:space="preserve">of </w:t>
      </w:r>
      <w:r w:rsidRPr="00E43425">
        <w:rPr>
          <w:lang w:val="en-US"/>
        </w:rPr>
        <w:t>a victim of a sexual offense about his/her sexual past</w:t>
      </w:r>
      <w:r w:rsidR="00F9115D">
        <w:rPr>
          <w:lang w:val="en-US"/>
        </w:rPr>
        <w:t>,</w:t>
      </w:r>
      <w:r w:rsidRPr="00E43425">
        <w:rPr>
          <w:lang w:val="en-US"/>
        </w:rPr>
        <w:t xml:space="preserve"> unless preventing such q</w:t>
      </w:r>
      <w:r w:rsidRPr="00E43425">
        <w:rPr>
          <w:szCs w:val="24"/>
          <w:lang w:val="en-US"/>
        </w:rPr>
        <w:t xml:space="preserve">uestioning would cause a miscarriage of </w:t>
      </w:r>
      <w:r w:rsidRPr="00E43425">
        <w:rPr>
          <w:szCs w:val="24"/>
        </w:rPr>
        <w:t>justice with regard to the defendant (</w:t>
      </w:r>
      <w:r w:rsidR="001A574A" w:rsidRPr="00E43425">
        <w:rPr>
          <w:szCs w:val="24"/>
          <w:lang w:val="en-US"/>
        </w:rPr>
        <w:t>Section </w:t>
      </w:r>
      <w:r w:rsidRPr="00E43425">
        <w:rPr>
          <w:szCs w:val="24"/>
          <w:lang w:val="en-US"/>
        </w:rPr>
        <w:t>2A of the</w:t>
      </w:r>
      <w:r w:rsidRPr="00E43425">
        <w:rPr>
          <w:szCs w:val="24"/>
        </w:rPr>
        <w:t xml:space="preserve"> Examination of Witnesses Law</w:t>
      </w:r>
      <w:r w:rsidRPr="00E43425">
        <w:rPr>
          <w:lang w:val="en-US"/>
        </w:rPr>
        <w:t>).</w:t>
      </w:r>
      <w:r w:rsidR="00CD3B50" w:rsidRPr="00E43425">
        <w:rPr>
          <w:lang w:val="en-US"/>
        </w:rPr>
        <w:t xml:space="preserve"> </w:t>
      </w:r>
    </w:p>
    <w:p w:rsidR="006C72E1" w:rsidRPr="00DC0B88" w:rsidRDefault="00AC696A" w:rsidP="00F50D18">
      <w:pPr>
        <w:pStyle w:val="H1G"/>
        <w:rPr>
          <w:lang w:val="en-US"/>
        </w:rPr>
      </w:pPr>
      <w:r>
        <w:rPr>
          <w:lang w:val="en-US"/>
        </w:rPr>
        <w:tab/>
      </w:r>
      <w:r>
        <w:rPr>
          <w:lang w:val="en-US"/>
        </w:rPr>
        <w:tab/>
      </w:r>
      <w:r w:rsidR="000416BC">
        <w:rPr>
          <w:lang w:val="en-US"/>
        </w:rPr>
        <w:t>Article </w:t>
      </w:r>
      <w:r w:rsidR="006C72E1" w:rsidRPr="00DC0B88">
        <w:rPr>
          <w:lang w:val="en-US"/>
        </w:rPr>
        <w:t>8</w:t>
      </w:r>
      <w:r w:rsidR="0088706A">
        <w:rPr>
          <w:lang w:val="en-US"/>
        </w:rPr>
        <w:t xml:space="preserve"> </w:t>
      </w:r>
      <w:r w:rsidR="006C72E1" w:rsidRPr="00DC0B88">
        <w:rPr>
          <w:lang w:val="en-US"/>
        </w:rPr>
        <w:t>(1)</w:t>
      </w:r>
      <w:r w:rsidR="000F6256">
        <w:rPr>
          <w:lang w:val="en-US"/>
        </w:rPr>
        <w:t xml:space="preserve"> </w:t>
      </w:r>
      <w:r w:rsidR="006C72E1" w:rsidRPr="00DC0B88">
        <w:rPr>
          <w:lang w:val="en-US"/>
        </w:rPr>
        <w:t xml:space="preserve">(f) </w:t>
      </w:r>
      <w:r w:rsidR="003E7BE0">
        <w:rPr>
          <w:lang w:val="en-US"/>
        </w:rPr>
        <w:t xml:space="preserve">– </w:t>
      </w:r>
      <w:r w:rsidR="006C72E1" w:rsidRPr="00DC0B88">
        <w:rPr>
          <w:lang w:val="en-US"/>
        </w:rPr>
        <w:t xml:space="preserve">Providing for the </w:t>
      </w:r>
      <w:r w:rsidR="00F50D18">
        <w:rPr>
          <w:lang w:val="en-US"/>
        </w:rPr>
        <w:t>s</w:t>
      </w:r>
      <w:r w:rsidR="006C72E1" w:rsidRPr="00DC0B88">
        <w:rPr>
          <w:lang w:val="en-US"/>
        </w:rPr>
        <w:t xml:space="preserve">afety of </w:t>
      </w:r>
      <w:r w:rsidR="00F50D18">
        <w:rPr>
          <w:lang w:val="en-US"/>
        </w:rPr>
        <w:t>c</w:t>
      </w:r>
      <w:r w:rsidR="006C72E1" w:rsidRPr="00DC0B88">
        <w:rPr>
          <w:lang w:val="en-US"/>
        </w:rPr>
        <w:t xml:space="preserve">hild </w:t>
      </w:r>
      <w:r w:rsidR="00F50D18">
        <w:rPr>
          <w:lang w:val="en-US"/>
        </w:rPr>
        <w:t>v</w:t>
      </w:r>
      <w:r w:rsidR="006C72E1" w:rsidRPr="00DC0B88">
        <w:rPr>
          <w:lang w:val="en-US"/>
        </w:rPr>
        <w:t>ictims</w:t>
      </w:r>
    </w:p>
    <w:p w:rsidR="006C72E1" w:rsidRPr="00E43425" w:rsidRDefault="006C72E1" w:rsidP="00642B39">
      <w:pPr>
        <w:pStyle w:val="SingleTxtG"/>
        <w:numPr>
          <w:ilvl w:val="0"/>
          <w:numId w:val="12"/>
        </w:numPr>
        <w:ind w:left="1134" w:firstLine="0"/>
        <w:rPr>
          <w:lang w:val="en-US"/>
        </w:rPr>
      </w:pPr>
      <w:r>
        <w:rPr>
          <w:lang w:val="en-US"/>
        </w:rPr>
        <w:t>Protection of victims during the criminal procedure constitutes a key aspect of victims</w:t>
      </w:r>
      <w:r w:rsidR="00C05EBD">
        <w:rPr>
          <w:rFonts w:hint="eastAsia"/>
          <w:lang w:val="en-US"/>
        </w:rPr>
        <w:t>’</w:t>
      </w:r>
      <w:r>
        <w:rPr>
          <w:lang w:val="en-US"/>
        </w:rPr>
        <w:t xml:space="preserve"> rights. The right of victims </w:t>
      </w:r>
      <w:r w:rsidR="00642B39">
        <w:rPr>
          <w:lang w:val="en-US"/>
        </w:rPr>
        <w:t xml:space="preserve">to </w:t>
      </w:r>
      <w:r>
        <w:rPr>
          <w:lang w:val="en-US"/>
        </w:rPr>
        <w:t>protection</w:t>
      </w:r>
      <w:r w:rsidRPr="00B33F90">
        <w:rPr>
          <w:lang w:val="en-US"/>
        </w:rPr>
        <w:t xml:space="preserve"> is </w:t>
      </w:r>
      <w:r>
        <w:rPr>
          <w:lang w:val="en-US"/>
        </w:rPr>
        <w:t>provided</w:t>
      </w:r>
      <w:r w:rsidRPr="00B33F90">
        <w:rPr>
          <w:lang w:val="en-US"/>
        </w:rPr>
        <w:t xml:space="preserve"> in </w:t>
      </w:r>
      <w:r w:rsidR="001A574A">
        <w:rPr>
          <w:lang w:val="en-US"/>
        </w:rPr>
        <w:t>Section </w:t>
      </w:r>
      <w:r w:rsidRPr="00B33F90">
        <w:rPr>
          <w:lang w:val="en-US"/>
        </w:rPr>
        <w:t xml:space="preserve">6 </w:t>
      </w:r>
      <w:r>
        <w:rPr>
          <w:lang w:val="en-US"/>
        </w:rPr>
        <w:t>of</w:t>
      </w:r>
      <w:r w:rsidRPr="00B33F90">
        <w:rPr>
          <w:lang w:val="en-US"/>
        </w:rPr>
        <w:t xml:space="preserve"> the </w:t>
      </w:r>
      <w:r w:rsidRPr="00E43425">
        <w:rPr>
          <w:lang w:val="en-US"/>
        </w:rPr>
        <w:t>Victims</w:t>
      </w:r>
      <w:r w:rsidR="00C05EBD" w:rsidRPr="00E43425">
        <w:rPr>
          <w:rFonts w:hint="eastAsia"/>
          <w:lang w:val="en-US"/>
        </w:rPr>
        <w:t>’</w:t>
      </w:r>
      <w:r w:rsidRPr="00E43425">
        <w:rPr>
          <w:lang w:val="en-US"/>
        </w:rPr>
        <w:t xml:space="preserve"> Rights Law, the first </w:t>
      </w:r>
      <w:r w:rsidR="001A574A" w:rsidRPr="00E43425">
        <w:rPr>
          <w:lang w:val="en-US"/>
        </w:rPr>
        <w:t xml:space="preserve">section </w:t>
      </w:r>
      <w:r w:rsidRPr="00E43425">
        <w:rPr>
          <w:lang w:val="en-US"/>
        </w:rPr>
        <w:t xml:space="preserve">in the chapter that </w:t>
      </w:r>
      <w:r w:rsidRPr="00E43425">
        <w:t xml:space="preserve">enumerates the various rights granted to victims of a crime. </w:t>
      </w:r>
      <w:r w:rsidRPr="00E43425">
        <w:rPr>
          <w:lang w:val="en-US"/>
        </w:rPr>
        <w:t xml:space="preserve">Without such a protection, the criminal procedure cannot exist. Victims of a crime would not complain and would not testify, and perpetrators would not be brought to justice. </w:t>
      </w:r>
    </w:p>
    <w:p w:rsidR="006C72E1" w:rsidRPr="00E43425" w:rsidRDefault="006C72E1" w:rsidP="004118DE">
      <w:pPr>
        <w:pStyle w:val="SingleTxtG"/>
        <w:numPr>
          <w:ilvl w:val="0"/>
          <w:numId w:val="12"/>
        </w:numPr>
        <w:ind w:left="1134" w:firstLine="0"/>
        <w:rPr>
          <w:lang w:val="en-US"/>
        </w:rPr>
      </w:pPr>
      <w:r w:rsidRPr="00E43425">
        <w:rPr>
          <w:lang w:val="en-US"/>
        </w:rPr>
        <w:t>Such a protection must be effective and comprehensive. To t</w:t>
      </w:r>
      <w:r w:rsidR="003E7BE0" w:rsidRPr="00E43425">
        <w:rPr>
          <w:lang w:val="en-US"/>
        </w:rPr>
        <w:t xml:space="preserve">hat end, </w:t>
      </w:r>
      <w:r w:rsidR="001A574A" w:rsidRPr="00E43425">
        <w:rPr>
          <w:lang w:val="en-US"/>
        </w:rPr>
        <w:t>Section </w:t>
      </w:r>
      <w:r w:rsidRPr="00E43425">
        <w:rPr>
          <w:lang w:val="en-US"/>
        </w:rPr>
        <w:t xml:space="preserve">6 </w:t>
      </w:r>
      <w:r w:rsidR="004118DE">
        <w:rPr>
          <w:lang w:val="en-US"/>
        </w:rPr>
        <w:t>of</w:t>
      </w:r>
      <w:r w:rsidRPr="00E43425">
        <w:rPr>
          <w:lang w:val="en-US"/>
        </w:rPr>
        <w:t xml:space="preserve"> the </w:t>
      </w:r>
      <w:r w:rsidR="003E7BE0" w:rsidRPr="00E43425">
        <w:rPr>
          <w:lang w:val="en-US"/>
        </w:rPr>
        <w:t>Victims’</w:t>
      </w:r>
      <w:r w:rsidRPr="00E43425">
        <w:rPr>
          <w:lang w:val="en-US"/>
        </w:rPr>
        <w:t xml:space="preserve"> Rights Law provides that during</w:t>
      </w:r>
      <w:r w:rsidR="004118DE">
        <w:rPr>
          <w:lang w:val="en-US"/>
        </w:rPr>
        <w:t xml:space="preserve"> a</w:t>
      </w:r>
      <w:r w:rsidRPr="00E43425">
        <w:rPr>
          <w:lang w:val="en-US"/>
        </w:rPr>
        <w:t xml:space="preserve"> criminal procedure a crime victim is entitled to four aspects of protection: </w:t>
      </w:r>
      <w:r w:rsidRPr="00E43425">
        <w:rPr>
          <w:bCs/>
          <w:lang w:val="en-US"/>
        </w:rPr>
        <w:t>first</w:t>
      </w:r>
      <w:r w:rsidRPr="00E43425">
        <w:rPr>
          <w:lang w:val="en-US"/>
        </w:rPr>
        <w:t xml:space="preserve">, protection from the suspect, the defendant or the convicted person, or from his/her agents or his/her friends and relatives, as much as possible and according to necessity; </w:t>
      </w:r>
      <w:r w:rsidRPr="00E43425">
        <w:rPr>
          <w:bCs/>
          <w:lang w:val="en-US"/>
        </w:rPr>
        <w:t>second</w:t>
      </w:r>
      <w:r w:rsidRPr="00E43425">
        <w:rPr>
          <w:lang w:val="en-US"/>
        </w:rPr>
        <w:t xml:space="preserve">, protection in the court of law, as much as possible, from any contact or unnecessary communication with any of the above individuals; </w:t>
      </w:r>
      <w:r w:rsidRPr="00E43425">
        <w:rPr>
          <w:bCs/>
          <w:lang w:val="en-US"/>
        </w:rPr>
        <w:t>third</w:t>
      </w:r>
      <w:r w:rsidRPr="00E43425">
        <w:rPr>
          <w:lang w:val="en-US"/>
        </w:rPr>
        <w:t>, to receive information from the Police concerning relevant options for protection from the above</w:t>
      </w:r>
      <w:r w:rsidR="004118DE">
        <w:rPr>
          <w:lang w:val="en-US"/>
        </w:rPr>
        <w:t>-</w:t>
      </w:r>
      <w:r w:rsidRPr="00E43425">
        <w:rPr>
          <w:lang w:val="en-US"/>
        </w:rPr>
        <w:t xml:space="preserve">mentioned persons; </w:t>
      </w:r>
      <w:r w:rsidRPr="00E43425">
        <w:rPr>
          <w:bCs/>
          <w:lang w:val="en-US"/>
        </w:rPr>
        <w:t>fo</w:t>
      </w:r>
      <w:r w:rsidR="004118DE">
        <w:rPr>
          <w:bCs/>
          <w:lang w:val="en-US"/>
        </w:rPr>
        <w:t>u</w:t>
      </w:r>
      <w:r w:rsidRPr="00E43425">
        <w:rPr>
          <w:bCs/>
          <w:lang w:val="en-US"/>
        </w:rPr>
        <w:t>rth</w:t>
      </w:r>
      <w:r w:rsidRPr="00E43425">
        <w:rPr>
          <w:lang w:val="en-US"/>
        </w:rPr>
        <w:t xml:space="preserve">, to live </w:t>
      </w:r>
      <w:r w:rsidRPr="00E43425">
        <w:t xml:space="preserve">quietly </w:t>
      </w:r>
      <w:r w:rsidRPr="00E43425">
        <w:rPr>
          <w:lang w:val="en-US"/>
        </w:rPr>
        <w:t>in his/her home, without the presence of the suspect, defendant or convicted person, if he/she resides with him/her, under a decision of a court of law in accordance with the Prevention of Domestic Violence Law 5751-1991</w:t>
      </w:r>
      <w:r w:rsidR="00A03871" w:rsidRPr="00E43425">
        <w:rPr>
          <w:lang w:val="en-US"/>
        </w:rPr>
        <w:t xml:space="preserve"> (“</w:t>
      </w:r>
      <w:r w:rsidRPr="00E43425">
        <w:rPr>
          <w:lang w:val="en-US"/>
        </w:rPr>
        <w:t>Prevention of Domestic Violence Law</w:t>
      </w:r>
      <w:r w:rsidR="00A03871" w:rsidRPr="00E43425">
        <w:rPr>
          <w:lang w:val="en-US"/>
        </w:rPr>
        <w:t>”</w:t>
      </w:r>
      <w:r w:rsidRPr="00E43425">
        <w:rPr>
          <w:lang w:val="en-US"/>
        </w:rPr>
        <w:t xml:space="preserve">). </w:t>
      </w:r>
    </w:p>
    <w:p w:rsidR="006C72E1" w:rsidRPr="00E43425" w:rsidRDefault="006C72E1" w:rsidP="00C61432">
      <w:pPr>
        <w:pStyle w:val="SingleTxtG"/>
        <w:numPr>
          <w:ilvl w:val="0"/>
          <w:numId w:val="12"/>
        </w:numPr>
        <w:ind w:left="1134" w:firstLine="0"/>
        <w:rPr>
          <w:lang w:val="en-US"/>
        </w:rPr>
      </w:pPr>
      <w:r>
        <w:rPr>
          <w:lang w:val="en-US"/>
        </w:rPr>
        <w:t xml:space="preserve">Generally, the hearings in Israeli courts are open to the </w:t>
      </w:r>
      <w:r w:rsidRPr="00AD09F6">
        <w:rPr>
          <w:lang w:val="en-US"/>
        </w:rPr>
        <w:t xml:space="preserve">public. </w:t>
      </w:r>
      <w:r>
        <w:rPr>
          <w:lang w:val="en-US"/>
        </w:rPr>
        <w:t>However,</w:t>
      </w:r>
      <w:r w:rsidRPr="00AD09F6">
        <w:rPr>
          <w:lang w:val="en-US"/>
        </w:rPr>
        <w:t xml:space="preserve"> for the sake of protecting victims of a crime or witnesses, the prosecut</w:t>
      </w:r>
      <w:r>
        <w:rPr>
          <w:lang w:val="en-US"/>
        </w:rPr>
        <w:t>or may ask the court to conduct the hearings behind closed doors if he/she fi</w:t>
      </w:r>
      <w:r w:rsidR="005E2CE8">
        <w:rPr>
          <w:lang w:val="en-US"/>
        </w:rPr>
        <w:t>nds that it is essential for 1) protecting moral values; 2) </w:t>
      </w:r>
      <w:r>
        <w:rPr>
          <w:lang w:val="en-US"/>
        </w:rPr>
        <w:t>protecting a matter related to minors or persons in a state of helplessness; 3)</w:t>
      </w:r>
      <w:r w:rsidR="00982BB0">
        <w:rPr>
          <w:lang w:val="en-US"/>
        </w:rPr>
        <w:t> </w:t>
      </w:r>
      <w:r>
        <w:rPr>
          <w:lang w:val="en-US"/>
        </w:rPr>
        <w:t>protecting a</w:t>
      </w:r>
      <w:r w:rsidR="005E2CE8">
        <w:rPr>
          <w:lang w:val="en-US"/>
        </w:rPr>
        <w:t xml:space="preserve"> victim of a sexual offense; 4) </w:t>
      </w:r>
      <w:r>
        <w:rPr>
          <w:lang w:val="en-US"/>
        </w:rPr>
        <w:t>protecting a victim of trafficking i</w:t>
      </w:r>
      <w:r w:rsidRPr="0018707D">
        <w:rPr>
          <w:lang w:val="en-US"/>
        </w:rPr>
        <w:t>n persons;</w:t>
      </w:r>
      <w:r>
        <w:rPr>
          <w:lang w:val="en-US"/>
        </w:rPr>
        <w:t xml:space="preserve"> 5)</w:t>
      </w:r>
      <w:r w:rsidR="00982BB0">
        <w:rPr>
          <w:lang w:val="en-US"/>
        </w:rPr>
        <w:t> </w:t>
      </w:r>
      <w:r>
        <w:rPr>
          <w:lang w:val="en-US"/>
        </w:rPr>
        <w:t>ensuring that a victim or a witness is able to testify freely, if holding a public hearing might deter him/her from testifying or from doing so freely. If the prosecutor</w:t>
      </w:r>
      <w:r w:rsidR="00C05EBD">
        <w:rPr>
          <w:rFonts w:hint="eastAsia"/>
          <w:lang w:val="en-US"/>
        </w:rPr>
        <w:t>’</w:t>
      </w:r>
      <w:r>
        <w:rPr>
          <w:lang w:val="en-US"/>
        </w:rPr>
        <w:t>s motion is approved, the legal hearing is to be conducted behind closed doors. The court may</w:t>
      </w:r>
      <w:r w:rsidR="00C61432">
        <w:rPr>
          <w:lang w:val="en-US"/>
        </w:rPr>
        <w:t>,</w:t>
      </w:r>
      <w:r>
        <w:rPr>
          <w:lang w:val="en-US"/>
        </w:rPr>
        <w:t xml:space="preserve"> however</w:t>
      </w:r>
      <w:r w:rsidR="00C61432">
        <w:rPr>
          <w:lang w:val="en-US"/>
        </w:rPr>
        <w:t>,</w:t>
      </w:r>
      <w:r>
        <w:rPr>
          <w:lang w:val="en-US"/>
        </w:rPr>
        <w:t xml:space="preserve"> allow certain persons or a group of persons to be present during that legal hearing. In such cases, the court must clarify the prohibition </w:t>
      </w:r>
      <w:r w:rsidR="00C61432">
        <w:rPr>
          <w:lang w:val="en-US"/>
        </w:rPr>
        <w:t>on publishing</w:t>
      </w:r>
      <w:r>
        <w:rPr>
          <w:lang w:val="en-US"/>
        </w:rPr>
        <w:t xml:space="preserve"> any details concerning that legal hearing</w:t>
      </w:r>
      <w:r w:rsidR="00C61432">
        <w:rPr>
          <w:lang w:val="en-US"/>
        </w:rPr>
        <w:t>,</w:t>
      </w:r>
      <w:r>
        <w:rPr>
          <w:lang w:val="en-US"/>
        </w:rPr>
        <w:t xml:space="preserve"> to all persons present in the courtroom. A violation of this prohibition constitutes an offense punishable by six months</w:t>
      </w:r>
      <w:r w:rsidR="00C61432">
        <w:rPr>
          <w:lang w:val="en-US"/>
        </w:rPr>
        <w:t>’</w:t>
      </w:r>
      <w:r>
        <w:rPr>
          <w:lang w:val="en-US"/>
        </w:rPr>
        <w:t xml:space="preserve"> imprisonment, or one year</w:t>
      </w:r>
      <w:r w:rsidR="00C61432">
        <w:rPr>
          <w:lang w:val="en-US"/>
        </w:rPr>
        <w:t>’s</w:t>
      </w:r>
      <w:r>
        <w:rPr>
          <w:lang w:val="en-US"/>
        </w:rPr>
        <w:t xml:space="preserve"> imprisonment if the violation concerned a minor (</w:t>
      </w:r>
      <w:r w:rsidR="001A574A">
        <w:rPr>
          <w:lang w:val="en-US"/>
        </w:rPr>
        <w:t>Section </w:t>
      </w:r>
      <w:r>
        <w:rPr>
          <w:lang w:val="en-US"/>
        </w:rPr>
        <w:t xml:space="preserve">68, 70 of the </w:t>
      </w:r>
      <w:r w:rsidRPr="00E43425">
        <w:rPr>
          <w:lang w:val="en-US"/>
        </w:rPr>
        <w:t xml:space="preserve">Courts Law). </w:t>
      </w:r>
    </w:p>
    <w:p w:rsidR="006C72E1" w:rsidRPr="00E43425" w:rsidRDefault="006C72E1" w:rsidP="00A77F7E">
      <w:pPr>
        <w:pStyle w:val="SingleTxtG"/>
        <w:numPr>
          <w:ilvl w:val="0"/>
          <w:numId w:val="12"/>
        </w:numPr>
        <w:ind w:left="1134" w:firstLine="0"/>
        <w:rPr>
          <w:lang w:val="en-US"/>
        </w:rPr>
      </w:pPr>
      <w:r w:rsidRPr="00E43425">
        <w:rPr>
          <w:lang w:val="en-US"/>
        </w:rPr>
        <w:t>Even in cases where the hearings are open to the public, the prosecutor may ask the court to prohibit any publication concerning the legal hearing if he/she believes that it is necessary to protect the safety of a witness or another person who was mentioned during the hearing (</w:t>
      </w:r>
      <w:r w:rsidR="001A574A" w:rsidRPr="00E43425">
        <w:rPr>
          <w:lang w:val="en-US"/>
        </w:rPr>
        <w:t>Section </w:t>
      </w:r>
      <w:r w:rsidRPr="00E43425">
        <w:rPr>
          <w:lang w:val="en-US"/>
        </w:rPr>
        <w:t xml:space="preserve">70(d) </w:t>
      </w:r>
      <w:r w:rsidR="00A77F7E">
        <w:rPr>
          <w:lang w:val="en-US"/>
        </w:rPr>
        <w:t>of the</w:t>
      </w:r>
      <w:r w:rsidR="00A77F7E" w:rsidRPr="00E43425">
        <w:rPr>
          <w:lang w:val="en-US"/>
        </w:rPr>
        <w:t xml:space="preserve"> </w:t>
      </w:r>
      <w:r w:rsidRPr="00E43425">
        <w:t xml:space="preserve">Courts Law). </w:t>
      </w:r>
    </w:p>
    <w:p w:rsidR="006C72E1" w:rsidRPr="00E43425" w:rsidRDefault="006C72E1" w:rsidP="006D3B18">
      <w:pPr>
        <w:pStyle w:val="SingleTxtG"/>
        <w:numPr>
          <w:ilvl w:val="0"/>
          <w:numId w:val="12"/>
        </w:numPr>
        <w:ind w:left="1134" w:firstLine="0"/>
        <w:rPr>
          <w:lang w:val="en-US"/>
        </w:rPr>
      </w:pPr>
      <w:r w:rsidRPr="00E43425">
        <w:rPr>
          <w:lang w:val="en-US"/>
        </w:rPr>
        <w:t>Moreover, if the presence of a certain person in the courtroom might deter a witness from testifying freely or from testifying at all, the prosecutor may ask the court to remove that person from the courtroom (</w:t>
      </w:r>
      <w:r w:rsidR="001A574A" w:rsidRPr="00E43425">
        <w:rPr>
          <w:lang w:val="en-US"/>
        </w:rPr>
        <w:t>Section </w:t>
      </w:r>
      <w:r w:rsidRPr="00E43425">
        <w:rPr>
          <w:lang w:val="en-US"/>
        </w:rPr>
        <w:t>69(b) of the</w:t>
      </w:r>
      <w:r w:rsidRPr="00E43425">
        <w:t xml:space="preserve"> Courts Law).</w:t>
      </w:r>
      <w:r w:rsidRPr="00E43425">
        <w:rPr>
          <w:lang w:val="en-US"/>
        </w:rPr>
        <w:t xml:space="preserve"> </w:t>
      </w:r>
    </w:p>
    <w:p w:rsidR="006C72E1" w:rsidRDefault="006C72E1" w:rsidP="006D3B18">
      <w:pPr>
        <w:pStyle w:val="SingleTxtG"/>
        <w:numPr>
          <w:ilvl w:val="0"/>
          <w:numId w:val="12"/>
        </w:numPr>
        <w:ind w:left="1134" w:firstLine="0"/>
        <w:rPr>
          <w:lang w:val="en-US"/>
        </w:rPr>
      </w:pPr>
      <w:r w:rsidRPr="00E43425">
        <w:rPr>
          <w:lang w:val="en-US"/>
        </w:rPr>
        <w:t>In cases where a minor who is less than 14 years of age is testifying during a criminal procedure under S</w:t>
      </w:r>
      <w:r w:rsidR="001A574A" w:rsidRPr="00E43425">
        <w:rPr>
          <w:lang w:val="en-US"/>
        </w:rPr>
        <w:t>ections </w:t>
      </w:r>
      <w:r w:rsidRPr="00E43425">
        <w:rPr>
          <w:lang w:val="en-US"/>
        </w:rPr>
        <w:t>345</w:t>
      </w:r>
      <w:r w:rsidR="00A77F7E">
        <w:rPr>
          <w:lang w:val="en-US"/>
        </w:rPr>
        <w:t>–</w:t>
      </w:r>
      <w:r w:rsidRPr="00E43425">
        <w:rPr>
          <w:lang w:val="en-US"/>
        </w:rPr>
        <w:t>351 of the Penal Law (sexual offenses), the prosecutor may ask the court to allow the minor to testify without the presence of the defendant, but with the presence of his/her attorney, if he/she believes that doing so is necessary to prevent mental harm to the minor (</w:t>
      </w:r>
      <w:r w:rsidR="001A574A" w:rsidRPr="00E43425">
        <w:rPr>
          <w:lang w:val="en-US"/>
        </w:rPr>
        <w:t>Section </w:t>
      </w:r>
      <w:r w:rsidRPr="00E43425">
        <w:rPr>
          <w:lang w:val="en-US"/>
        </w:rPr>
        <w:t xml:space="preserve">2 of the </w:t>
      </w:r>
      <w:r w:rsidRPr="00E43425">
        <w:t>Protection of Children</w:t>
      </w:r>
      <w:r w:rsidRPr="00E43425">
        <w:rPr>
          <w:lang w:val="en-US"/>
        </w:rPr>
        <w:t xml:space="preserve"> Law). Additionally, </w:t>
      </w:r>
      <w:r w:rsidR="001A574A" w:rsidRPr="00E43425">
        <w:rPr>
          <w:lang w:val="en-US"/>
        </w:rPr>
        <w:t>Section </w:t>
      </w:r>
      <w:r w:rsidRPr="00E43425">
        <w:rPr>
          <w:lang w:val="en-US"/>
        </w:rPr>
        <w:t xml:space="preserve">2B of </w:t>
      </w:r>
      <w:r w:rsidRPr="00E43425">
        <w:t>the Examination of Witnesses Law</w:t>
      </w:r>
      <w:r w:rsidRPr="00E43425">
        <w:rPr>
          <w:lang w:val="en-US"/>
        </w:rPr>
        <w:t xml:space="preserve"> enables a complainant of a sexual offense, in certain circumstances and subject to certain</w:t>
      </w:r>
      <w:r>
        <w:rPr>
          <w:lang w:val="en-US"/>
        </w:rPr>
        <w:t xml:space="preserve"> conditions, to </w:t>
      </w:r>
      <w:r w:rsidRPr="00AD09F6">
        <w:rPr>
          <w:lang w:val="en-US"/>
        </w:rPr>
        <w:t>testify in court without the presence of the defendant,</w:t>
      </w:r>
      <w:r>
        <w:rPr>
          <w:lang w:val="en-US"/>
        </w:rPr>
        <w:t xml:space="preserve"> except his/her attorney, if testifying in front of the defendant could cause damage to the </w:t>
      </w:r>
      <w:r w:rsidRPr="005E4F74">
        <w:rPr>
          <w:lang w:val="en-US"/>
        </w:rPr>
        <w:t>complainant</w:t>
      </w:r>
      <w:r>
        <w:rPr>
          <w:lang w:val="en-US"/>
        </w:rPr>
        <w:t xml:space="preserve"> or impair the testimony.</w:t>
      </w:r>
      <w:r w:rsidR="00CD3B50">
        <w:rPr>
          <w:lang w:val="en-US"/>
        </w:rPr>
        <w:t xml:space="preserve"> </w:t>
      </w:r>
    </w:p>
    <w:p w:rsidR="006C72E1" w:rsidRPr="00E43425" w:rsidRDefault="006C72E1" w:rsidP="006D3B18">
      <w:pPr>
        <w:pStyle w:val="SingleTxtG"/>
        <w:numPr>
          <w:ilvl w:val="0"/>
          <w:numId w:val="12"/>
        </w:numPr>
        <w:ind w:left="1134" w:firstLine="0"/>
        <w:rPr>
          <w:lang w:val="en-US"/>
        </w:rPr>
      </w:pPr>
      <w:r>
        <w:rPr>
          <w:lang w:val="en-US"/>
        </w:rPr>
        <w:t xml:space="preserve">Finally, </w:t>
      </w:r>
      <w:r w:rsidR="001A574A">
        <w:rPr>
          <w:lang w:val="en-US"/>
        </w:rPr>
        <w:t>Section </w:t>
      </w:r>
      <w:r>
        <w:rPr>
          <w:lang w:val="en-US"/>
        </w:rPr>
        <w:t xml:space="preserve">2 of </w:t>
      </w:r>
      <w:r w:rsidRPr="006C4509">
        <w:rPr>
          <w:lang w:val="en-US"/>
        </w:rPr>
        <w:t xml:space="preserve">the </w:t>
      </w:r>
      <w:r w:rsidRPr="00E43425">
        <w:t>Examination of Witnesses Law</w:t>
      </w:r>
      <w:r w:rsidRPr="00E43425">
        <w:rPr>
          <w:lang w:val="en-US"/>
        </w:rPr>
        <w:t xml:space="preserve"> grants crime victims and witnesses protection from inappropriate examination in court. This </w:t>
      </w:r>
      <w:r w:rsidR="001A574A" w:rsidRPr="00E43425">
        <w:rPr>
          <w:lang w:val="en-US"/>
        </w:rPr>
        <w:t xml:space="preserve">section </w:t>
      </w:r>
      <w:r w:rsidRPr="00E43425">
        <w:rPr>
          <w:lang w:val="en-US"/>
        </w:rPr>
        <w:t xml:space="preserve">provides that the court shall not allow examination of witnesses which includes insults, intimidation </w:t>
      </w:r>
      <w:r w:rsidRPr="00E43425">
        <w:t>or shaming which are irrelevant or unfair.</w:t>
      </w:r>
      <w:r w:rsidR="00CD3B50" w:rsidRPr="00E43425">
        <w:t xml:space="preserve"> </w:t>
      </w:r>
    </w:p>
    <w:p w:rsidR="006C72E1" w:rsidRDefault="006C72E1" w:rsidP="00A77F7E">
      <w:pPr>
        <w:pStyle w:val="SingleTxtG"/>
        <w:numPr>
          <w:ilvl w:val="0"/>
          <w:numId w:val="12"/>
        </w:numPr>
        <w:ind w:left="1134" w:firstLine="0"/>
        <w:rPr>
          <w:lang w:val="en-US"/>
        </w:rPr>
      </w:pPr>
      <w:r w:rsidRPr="00E43425">
        <w:rPr>
          <w:lang w:val="en-US"/>
        </w:rPr>
        <w:t>In addition to the protections detailed above, which are relevant to the course of the criminal procedure itself, victims of trafficking in persons and victims of sexual offenses may be admitted to the Witness Protection Program</w:t>
      </w:r>
      <w:r w:rsidR="00A77F7E">
        <w:rPr>
          <w:lang w:val="en-US"/>
        </w:rPr>
        <w:t>,</w:t>
      </w:r>
      <w:r w:rsidRPr="00E43425">
        <w:rPr>
          <w:lang w:val="en-US"/>
        </w:rPr>
        <w:t xml:space="preserve"> should they meet the relevant eligibility criteria, in particular concerning the level of intimidation and threats they risk being subjected to. The Witness Protection Authority protects witnesses and their families prior to, during and after the trial. The Authority was established in 2008, pursuant to the Witness Protection Program Law 5769</w:t>
      </w:r>
      <w:r w:rsidRPr="002D2C27">
        <w:rPr>
          <w:lang w:val="en-US"/>
        </w:rPr>
        <w:t>-2008</w:t>
      </w:r>
      <w:r>
        <w:rPr>
          <w:lang w:val="en-US"/>
        </w:rPr>
        <w:t xml:space="preserve">. </w:t>
      </w:r>
      <w:r w:rsidRPr="002D2C27">
        <w:rPr>
          <w:lang w:val="en-US"/>
        </w:rPr>
        <w:t xml:space="preserve">The </w:t>
      </w:r>
      <w:r>
        <w:rPr>
          <w:lang w:val="en-US"/>
        </w:rPr>
        <w:t>P</w:t>
      </w:r>
      <w:r w:rsidRPr="002D2C27">
        <w:rPr>
          <w:lang w:val="en-US"/>
        </w:rPr>
        <w:t xml:space="preserve">olice </w:t>
      </w:r>
      <w:r>
        <w:rPr>
          <w:lang w:val="en-US"/>
        </w:rPr>
        <w:t>and</w:t>
      </w:r>
      <w:r w:rsidRPr="002D2C27">
        <w:rPr>
          <w:lang w:val="en-US"/>
        </w:rPr>
        <w:t xml:space="preserve"> the Israeli Prisons Service</w:t>
      </w:r>
      <w:r>
        <w:rPr>
          <w:lang w:val="en-US"/>
        </w:rPr>
        <w:t>, as applicable,</w:t>
      </w:r>
      <w:r w:rsidRPr="002D2C27">
        <w:rPr>
          <w:lang w:val="en-US"/>
        </w:rPr>
        <w:t xml:space="preserve"> </w:t>
      </w:r>
      <w:r>
        <w:rPr>
          <w:lang w:val="en-US"/>
        </w:rPr>
        <w:t xml:space="preserve">continue to </w:t>
      </w:r>
      <w:r w:rsidRPr="002D2C27">
        <w:rPr>
          <w:lang w:val="en-US"/>
        </w:rPr>
        <w:t>protect witnesses who do not meet the criteria for this heightened protection.</w:t>
      </w:r>
      <w:r>
        <w:rPr>
          <w:lang w:val="en-US"/>
        </w:rPr>
        <w:t xml:space="preserve"> </w:t>
      </w:r>
    </w:p>
    <w:p w:rsidR="006C72E1" w:rsidRPr="00DC0B88" w:rsidRDefault="00AC696A" w:rsidP="00F50D18">
      <w:pPr>
        <w:pStyle w:val="H1G"/>
        <w:rPr>
          <w:lang w:val="en-US"/>
        </w:rPr>
      </w:pPr>
      <w:r>
        <w:rPr>
          <w:lang w:val="en-US"/>
        </w:rPr>
        <w:tab/>
      </w:r>
      <w:r>
        <w:rPr>
          <w:lang w:val="en-US"/>
        </w:rPr>
        <w:tab/>
      </w:r>
      <w:r w:rsidR="000416BC">
        <w:rPr>
          <w:lang w:val="en-US"/>
        </w:rPr>
        <w:t>Article </w:t>
      </w:r>
      <w:r w:rsidR="006C72E1" w:rsidRPr="00DC0B88">
        <w:rPr>
          <w:lang w:val="en-US"/>
        </w:rPr>
        <w:t>8</w:t>
      </w:r>
      <w:r w:rsidR="0088706A">
        <w:rPr>
          <w:lang w:val="en-US"/>
        </w:rPr>
        <w:t xml:space="preserve"> </w:t>
      </w:r>
      <w:r w:rsidR="006C72E1" w:rsidRPr="00DC0B88">
        <w:rPr>
          <w:lang w:val="en-US"/>
        </w:rPr>
        <w:t>(1)</w:t>
      </w:r>
      <w:r w:rsidR="0088706A">
        <w:rPr>
          <w:lang w:val="en-US"/>
        </w:rPr>
        <w:t xml:space="preserve"> </w:t>
      </w:r>
      <w:r w:rsidR="006C72E1" w:rsidRPr="00DC0B88">
        <w:rPr>
          <w:lang w:val="en-US"/>
        </w:rPr>
        <w:t>(g)</w:t>
      </w:r>
      <w:r w:rsidR="00177094">
        <w:rPr>
          <w:lang w:val="en-US"/>
        </w:rPr>
        <w:t xml:space="preserve"> –</w:t>
      </w:r>
      <w:r w:rsidR="006C72E1" w:rsidRPr="00DC0B88">
        <w:rPr>
          <w:lang w:val="en-US"/>
        </w:rPr>
        <w:t xml:space="preserve"> Avoiding </w:t>
      </w:r>
      <w:r w:rsidR="00F50D18">
        <w:rPr>
          <w:lang w:val="en-US"/>
        </w:rPr>
        <w:t>u</w:t>
      </w:r>
      <w:r w:rsidR="006C72E1" w:rsidRPr="00DC0B88">
        <w:rPr>
          <w:lang w:val="en-US"/>
        </w:rPr>
        <w:t xml:space="preserve">nnecessary </w:t>
      </w:r>
      <w:r w:rsidR="00F50D18">
        <w:rPr>
          <w:lang w:val="en-US"/>
        </w:rPr>
        <w:t>d</w:t>
      </w:r>
      <w:r w:rsidR="006C72E1" w:rsidRPr="00DC0B88">
        <w:rPr>
          <w:lang w:val="en-US"/>
        </w:rPr>
        <w:t>elays</w:t>
      </w:r>
    </w:p>
    <w:p w:rsidR="006C72E1" w:rsidRPr="00E43425" w:rsidRDefault="001A574A" w:rsidP="006D3B18">
      <w:pPr>
        <w:pStyle w:val="SingleTxtG"/>
        <w:numPr>
          <w:ilvl w:val="0"/>
          <w:numId w:val="12"/>
        </w:numPr>
        <w:ind w:left="1134" w:firstLine="0"/>
        <w:rPr>
          <w:lang w:val="en-US"/>
        </w:rPr>
      </w:pPr>
      <w:r>
        <w:rPr>
          <w:szCs w:val="24"/>
          <w:lang w:val="en-US"/>
        </w:rPr>
        <w:t>Section </w:t>
      </w:r>
      <w:r w:rsidR="006C72E1" w:rsidRPr="00DC0B88">
        <w:rPr>
          <w:szCs w:val="24"/>
          <w:lang w:val="en-US"/>
        </w:rPr>
        <w:t xml:space="preserve">12 </w:t>
      </w:r>
      <w:r w:rsidR="006C72E1">
        <w:rPr>
          <w:szCs w:val="24"/>
          <w:lang w:val="en-US"/>
        </w:rPr>
        <w:t>of</w:t>
      </w:r>
      <w:r w:rsidR="006C72E1" w:rsidRPr="00DC0B88">
        <w:rPr>
          <w:szCs w:val="24"/>
          <w:lang w:val="en-US"/>
        </w:rPr>
        <w:t xml:space="preserve"> the </w:t>
      </w:r>
      <w:r w:rsidR="006C72E1" w:rsidRPr="00E43425">
        <w:rPr>
          <w:color w:val="000000"/>
          <w:szCs w:val="24"/>
          <w:lang w:val="en-US" w:bidi="he-IL"/>
        </w:rPr>
        <w:t>Victims</w:t>
      </w:r>
      <w:r w:rsidR="00177094" w:rsidRPr="00E43425">
        <w:rPr>
          <w:color w:val="000000"/>
          <w:szCs w:val="24"/>
          <w:lang w:val="en-US" w:bidi="he-IL"/>
        </w:rPr>
        <w:t>’</w:t>
      </w:r>
      <w:r w:rsidR="006C72E1" w:rsidRPr="00E43425">
        <w:rPr>
          <w:lang w:val="en-US"/>
        </w:rPr>
        <w:t xml:space="preserve"> Rights Law</w:t>
      </w:r>
      <w:r w:rsidR="006C72E1" w:rsidRPr="00E43425">
        <w:rPr>
          <w:szCs w:val="24"/>
          <w:lang w:val="en-US"/>
        </w:rPr>
        <w:t xml:space="preserve"> requires that </w:t>
      </w:r>
      <w:r w:rsidR="006C72E1" w:rsidRPr="00E43425">
        <w:rPr>
          <w:lang w:val="en-US"/>
        </w:rPr>
        <w:t xml:space="preserve">proceedings in regard to sexual or violent </w:t>
      </w:r>
      <w:r w:rsidR="006C72E1" w:rsidRPr="00E43425">
        <w:rPr>
          <w:szCs w:val="24"/>
          <w:lang w:val="en-US"/>
        </w:rPr>
        <w:t xml:space="preserve">offenses </w:t>
      </w:r>
      <w:r w:rsidR="006C72E1" w:rsidRPr="00E43425">
        <w:rPr>
          <w:lang w:val="en-US"/>
        </w:rPr>
        <w:t>take place within a reasonable time to prevent any miscarriage of justice.</w:t>
      </w:r>
    </w:p>
    <w:p w:rsidR="006C72E1" w:rsidRDefault="00F65281" w:rsidP="006D3B18">
      <w:pPr>
        <w:pStyle w:val="SingleTxtG"/>
        <w:numPr>
          <w:ilvl w:val="0"/>
          <w:numId w:val="12"/>
        </w:numPr>
        <w:ind w:left="1134" w:firstLine="0"/>
        <w:rPr>
          <w:lang w:val="en-US"/>
        </w:rPr>
      </w:pPr>
      <w:r w:rsidRPr="00E43425">
        <w:rPr>
          <w:lang w:val="en-US"/>
        </w:rPr>
        <w:t>State Attorney’</w:t>
      </w:r>
      <w:r w:rsidR="006C72E1" w:rsidRPr="00E43425">
        <w:rPr>
          <w:lang w:val="en-US"/>
        </w:rPr>
        <w:t>s Guideline</w:t>
      </w:r>
      <w:r w:rsidR="00A03871" w:rsidRPr="00E43425">
        <w:rPr>
          <w:lang w:val="en-US"/>
        </w:rPr>
        <w:t xml:space="preserve"> No. </w:t>
      </w:r>
      <w:r w:rsidRPr="00E43425">
        <w:rPr>
          <w:lang w:val="en-US"/>
        </w:rPr>
        <w:t>8.2, titled “</w:t>
      </w:r>
      <w:r w:rsidR="006C72E1" w:rsidRPr="00E43425">
        <w:rPr>
          <w:lang w:val="en-US"/>
        </w:rPr>
        <w:t>Plea Bargain in Sex Offenses and Child Domestic Abuse Cases</w:t>
      </w:r>
      <w:r w:rsidRPr="00E43425">
        <w:rPr>
          <w:lang w:val="en-US"/>
        </w:rPr>
        <w:t>”</w:t>
      </w:r>
      <w:r w:rsidR="006C72E1" w:rsidRPr="00E43425">
        <w:rPr>
          <w:lang w:val="en-US"/>
        </w:rPr>
        <w:t xml:space="preserve"> (last update – 1</w:t>
      </w:r>
      <w:r w:rsidR="006C72E1" w:rsidRPr="00AD3171">
        <w:rPr>
          <w:lang w:val="en-US"/>
        </w:rPr>
        <w:t>.1.2003),</w:t>
      </w:r>
      <w:r w:rsidR="00177094">
        <w:rPr>
          <w:lang w:val="en-US"/>
        </w:rPr>
        <w:t xml:space="preserve"> instructs the State Attorney’</w:t>
      </w:r>
      <w:r w:rsidR="006C72E1">
        <w:rPr>
          <w:lang w:val="en-US"/>
        </w:rPr>
        <w:t xml:space="preserve">s Office to utilize the greatest sensitivity and caution in handling such cases, and to take special care when considering plea bargains in such cases. </w:t>
      </w:r>
    </w:p>
    <w:p w:rsidR="006C72E1" w:rsidRPr="00AD09F6" w:rsidRDefault="00177094" w:rsidP="006D3B18">
      <w:pPr>
        <w:pStyle w:val="SingleTxtG"/>
        <w:numPr>
          <w:ilvl w:val="0"/>
          <w:numId w:val="12"/>
        </w:numPr>
        <w:ind w:left="1134" w:firstLine="0"/>
        <w:rPr>
          <w:lang w:val="en-US"/>
        </w:rPr>
      </w:pPr>
      <w:r>
        <w:rPr>
          <w:lang w:val="en-US"/>
        </w:rPr>
        <w:t>State Attorney’</w:t>
      </w:r>
      <w:r w:rsidR="006C72E1" w:rsidRPr="00A84EAA">
        <w:rPr>
          <w:lang w:val="en-US"/>
        </w:rPr>
        <w:t>s Guideline</w:t>
      </w:r>
      <w:r w:rsidR="00A03871">
        <w:rPr>
          <w:lang w:val="en-US"/>
        </w:rPr>
        <w:t xml:space="preserve"> No. </w:t>
      </w:r>
      <w:r w:rsidR="006C72E1">
        <w:rPr>
          <w:lang w:val="en-US"/>
        </w:rPr>
        <w:t>8.2, also instructs that a plea bargain should be considered to promote swift indictment and sentencing, in the case where holding a trial may cause additional harm to the victim. Due to the unique sensitivity of this issue, every such plea bargain requires the approval of the District State Attorney, and in especially sensitive cases, further consultation may</w:t>
      </w:r>
      <w:r w:rsidR="006C72E1" w:rsidRPr="00AD09F6">
        <w:rPr>
          <w:lang w:val="en-US"/>
        </w:rPr>
        <w:t xml:space="preserve"> be held</w:t>
      </w:r>
      <w:r w:rsidR="006C72E1">
        <w:rPr>
          <w:lang w:val="en-US"/>
        </w:rPr>
        <w:t xml:space="preserve"> with the State Attorney. </w:t>
      </w:r>
      <w:r w:rsidR="006C72E1" w:rsidRPr="00AD09F6">
        <w:rPr>
          <w:lang w:val="en-US"/>
        </w:rPr>
        <w:t>Prior to decision</w:t>
      </w:r>
      <w:r w:rsidR="006C72E1">
        <w:rPr>
          <w:lang w:val="en-US"/>
        </w:rPr>
        <w:t>-</w:t>
      </w:r>
      <w:r w:rsidR="006C72E1" w:rsidRPr="00AD09F6">
        <w:rPr>
          <w:lang w:val="en-US"/>
        </w:rPr>
        <w:t xml:space="preserve">making regarding such a plea bargain, consideration should be </w:t>
      </w:r>
      <w:r w:rsidR="006C72E1">
        <w:rPr>
          <w:lang w:val="en-US"/>
        </w:rPr>
        <w:t>given</w:t>
      </w:r>
      <w:r w:rsidR="006C72E1" w:rsidRPr="00AD09F6">
        <w:rPr>
          <w:lang w:val="en-US"/>
        </w:rPr>
        <w:t xml:space="preserve"> to </w:t>
      </w:r>
      <w:r w:rsidR="006C72E1">
        <w:rPr>
          <w:lang w:val="en-US"/>
        </w:rPr>
        <w:t xml:space="preserve">the possibility of </w:t>
      </w:r>
      <w:r w:rsidR="006C72E1" w:rsidRPr="00AD09F6">
        <w:rPr>
          <w:lang w:val="en-US"/>
        </w:rPr>
        <w:t xml:space="preserve">consulting with an expert or the relevant welfare officer. </w:t>
      </w:r>
    </w:p>
    <w:p w:rsidR="006C72E1" w:rsidRDefault="00AC696A" w:rsidP="00F50D18">
      <w:pPr>
        <w:pStyle w:val="H1G"/>
        <w:rPr>
          <w:lang w:val="en-US"/>
        </w:rPr>
      </w:pPr>
      <w:r>
        <w:rPr>
          <w:lang w:val="en-US"/>
        </w:rPr>
        <w:tab/>
      </w:r>
      <w:r>
        <w:rPr>
          <w:lang w:val="en-US"/>
        </w:rPr>
        <w:tab/>
      </w:r>
      <w:r w:rsidR="000416BC">
        <w:rPr>
          <w:lang w:val="en-US"/>
        </w:rPr>
        <w:t>Article </w:t>
      </w:r>
      <w:r w:rsidR="00177094">
        <w:rPr>
          <w:lang w:val="en-US"/>
        </w:rPr>
        <w:t>8</w:t>
      </w:r>
      <w:r w:rsidR="0088706A">
        <w:rPr>
          <w:lang w:val="en-US"/>
        </w:rPr>
        <w:t xml:space="preserve"> </w:t>
      </w:r>
      <w:r w:rsidR="00177094">
        <w:rPr>
          <w:lang w:val="en-US"/>
        </w:rPr>
        <w:t>(2) –</w:t>
      </w:r>
      <w:r w:rsidR="006C72E1" w:rsidRPr="00DC0B88">
        <w:rPr>
          <w:lang w:val="en-US"/>
        </w:rPr>
        <w:t xml:space="preserve"> Uncertainty as to the </w:t>
      </w:r>
      <w:r w:rsidR="00F50D18">
        <w:rPr>
          <w:lang w:val="en-US"/>
        </w:rPr>
        <w:t>a</w:t>
      </w:r>
      <w:r w:rsidR="006C72E1" w:rsidRPr="00DC0B88">
        <w:rPr>
          <w:lang w:val="en-US"/>
        </w:rPr>
        <w:t xml:space="preserve">ctual </w:t>
      </w:r>
      <w:r w:rsidR="00F50D18">
        <w:rPr>
          <w:lang w:val="en-US"/>
        </w:rPr>
        <w:t>a</w:t>
      </w:r>
      <w:r w:rsidR="006C72E1" w:rsidRPr="00DC0B88">
        <w:rPr>
          <w:lang w:val="en-US"/>
        </w:rPr>
        <w:t xml:space="preserve">ge of the </w:t>
      </w:r>
      <w:r w:rsidR="00F50D18">
        <w:rPr>
          <w:lang w:val="en-US"/>
        </w:rPr>
        <w:t>v</w:t>
      </w:r>
      <w:r w:rsidR="006C72E1" w:rsidRPr="00DC0B88">
        <w:rPr>
          <w:lang w:val="en-US"/>
        </w:rPr>
        <w:t xml:space="preserve">ictim </w:t>
      </w:r>
    </w:p>
    <w:p w:rsidR="006C72E1" w:rsidRDefault="006C72E1" w:rsidP="006D3B18">
      <w:pPr>
        <w:pStyle w:val="SingleTxtG"/>
        <w:numPr>
          <w:ilvl w:val="0"/>
          <w:numId w:val="12"/>
        </w:numPr>
        <w:ind w:left="1134" w:firstLine="0"/>
        <w:rPr>
          <w:lang w:val="en-US"/>
        </w:rPr>
      </w:pPr>
      <w:r>
        <w:rPr>
          <w:lang w:val="en-US"/>
        </w:rPr>
        <w:t xml:space="preserve">The first </w:t>
      </w:r>
      <w:r w:rsidRPr="00260127">
        <w:rPr>
          <w:lang w:val="en-US"/>
        </w:rPr>
        <w:t>step to determine the age of the victim is to consider documentary proof, which is possible mainly to Israeli victims who hold an identity card or are otherwise registered in Israel</w:t>
      </w:r>
      <w:r w:rsidR="00C05EBD">
        <w:rPr>
          <w:rFonts w:hint="eastAsia"/>
          <w:lang w:val="en-US"/>
        </w:rPr>
        <w:t>’</w:t>
      </w:r>
      <w:r w:rsidRPr="00260127">
        <w:rPr>
          <w:lang w:val="en-US"/>
        </w:rPr>
        <w:t>s</w:t>
      </w:r>
      <w:r>
        <w:rPr>
          <w:lang w:val="en-US"/>
        </w:rPr>
        <w:t xml:space="preserve"> population registry. For this matter, the </w:t>
      </w:r>
      <w:r w:rsidRPr="00D26750">
        <w:rPr>
          <w:lang w:val="en-US"/>
        </w:rPr>
        <w:t>official national population registry</w:t>
      </w:r>
      <w:r>
        <w:rPr>
          <w:lang w:val="en-US"/>
        </w:rPr>
        <w:t xml:space="preserve"> of the </w:t>
      </w:r>
      <w:r w:rsidRPr="00D26750">
        <w:rPr>
          <w:lang w:val="en-US"/>
        </w:rPr>
        <w:t>Ministry of Interior</w:t>
      </w:r>
      <w:r>
        <w:rPr>
          <w:lang w:val="en-US"/>
        </w:rPr>
        <w:t xml:space="preserve"> constitutes </w:t>
      </w:r>
      <w:r w:rsidRPr="00D26750">
        <w:rPr>
          <w:lang w:val="en-US"/>
        </w:rPr>
        <w:t>reliable proof of age</w:t>
      </w:r>
      <w:r>
        <w:rPr>
          <w:lang w:val="en-US"/>
        </w:rPr>
        <w:t xml:space="preserve">. </w:t>
      </w:r>
    </w:p>
    <w:p w:rsidR="006C72E1" w:rsidRPr="00EB4700" w:rsidRDefault="006C72E1" w:rsidP="00724F56">
      <w:pPr>
        <w:pStyle w:val="SingleTxtG"/>
        <w:numPr>
          <w:ilvl w:val="0"/>
          <w:numId w:val="12"/>
        </w:numPr>
        <w:ind w:left="1134" w:firstLine="0"/>
        <w:rPr>
          <w:lang w:val="en-US"/>
        </w:rPr>
      </w:pPr>
      <w:r>
        <w:rPr>
          <w:lang w:val="en-US"/>
        </w:rPr>
        <w:t xml:space="preserve">With regard to foreign victims, who usually lack any documentation, the Ministry of Health </w:t>
      </w:r>
      <w:r w:rsidR="00EB4700">
        <w:rPr>
          <w:lang w:val="en-US"/>
        </w:rPr>
        <w:t xml:space="preserve">has </w:t>
      </w:r>
      <w:r>
        <w:rPr>
          <w:lang w:val="en-US"/>
        </w:rPr>
        <w:t xml:space="preserve">issued a special procedure for determining the biological age of a foreign resident, using three levels of evaluation – a physical examination by a physician specializing in child endocrinology, an </w:t>
      </w:r>
      <w:r w:rsidR="00724F56">
        <w:rPr>
          <w:lang w:val="en-US"/>
        </w:rPr>
        <w:t>x</w:t>
      </w:r>
      <w:r>
        <w:rPr>
          <w:lang w:val="en-US"/>
        </w:rPr>
        <w:t xml:space="preserve">-ray of the </w:t>
      </w:r>
      <w:r w:rsidRPr="005840C2">
        <w:rPr>
          <w:lang w:val="en-US"/>
        </w:rPr>
        <w:t>left hand</w:t>
      </w:r>
      <w:r>
        <w:rPr>
          <w:lang w:val="en-US"/>
        </w:rPr>
        <w:t xml:space="preserve"> and </w:t>
      </w:r>
      <w:r w:rsidRPr="00EB4700">
        <w:rPr>
          <w:lang w:val="en-US"/>
        </w:rPr>
        <w:t xml:space="preserve">an </w:t>
      </w:r>
      <w:proofErr w:type="spellStart"/>
      <w:r w:rsidRPr="00EB4700">
        <w:rPr>
          <w:lang w:val="en-US"/>
        </w:rPr>
        <w:t>ortho-partogramic</w:t>
      </w:r>
      <w:proofErr w:type="spellEnd"/>
      <w:r w:rsidRPr="00EB4700">
        <w:rPr>
          <w:lang w:val="en-US"/>
        </w:rPr>
        <w:t xml:space="preserve"> filming. The findings are examined by an expert physician.</w:t>
      </w:r>
    </w:p>
    <w:p w:rsidR="006C72E1" w:rsidRPr="00DC0B88" w:rsidRDefault="00AC696A" w:rsidP="00F50D18">
      <w:pPr>
        <w:pStyle w:val="H1G"/>
        <w:rPr>
          <w:lang w:val="en-US"/>
        </w:rPr>
      </w:pPr>
      <w:r w:rsidRPr="0034628F">
        <w:rPr>
          <w:lang w:val="en-US"/>
        </w:rPr>
        <w:tab/>
      </w:r>
      <w:r w:rsidRPr="0034628F">
        <w:rPr>
          <w:lang w:val="en-US"/>
        </w:rPr>
        <w:tab/>
      </w:r>
      <w:r w:rsidR="000416BC" w:rsidRPr="00733758">
        <w:rPr>
          <w:lang w:val="en-US"/>
        </w:rPr>
        <w:t>Article </w:t>
      </w:r>
      <w:r w:rsidR="006C72E1" w:rsidRPr="00733758">
        <w:rPr>
          <w:lang w:val="en-US"/>
        </w:rPr>
        <w:t>8</w:t>
      </w:r>
      <w:r w:rsidR="0088706A" w:rsidRPr="00733758">
        <w:rPr>
          <w:lang w:val="en-US"/>
        </w:rPr>
        <w:t xml:space="preserve"> </w:t>
      </w:r>
      <w:r w:rsidR="006C72E1" w:rsidRPr="00733758">
        <w:rPr>
          <w:lang w:val="en-US"/>
        </w:rPr>
        <w:t xml:space="preserve">(3) </w:t>
      </w:r>
      <w:r w:rsidR="00EF3CB1" w:rsidRPr="00733758">
        <w:rPr>
          <w:lang w:val="en-US"/>
        </w:rPr>
        <w:t>–</w:t>
      </w:r>
      <w:r w:rsidR="006C72E1" w:rsidRPr="00F574E1">
        <w:rPr>
          <w:lang w:val="en-US"/>
        </w:rPr>
        <w:t xml:space="preserve"> The </w:t>
      </w:r>
      <w:r w:rsidR="00F50D18" w:rsidRPr="00D37622">
        <w:rPr>
          <w:lang w:val="en-US"/>
        </w:rPr>
        <w:t>b</w:t>
      </w:r>
      <w:r w:rsidR="006C72E1" w:rsidRPr="00720CB3">
        <w:rPr>
          <w:lang w:val="en-US"/>
        </w:rPr>
        <w:t xml:space="preserve">est </w:t>
      </w:r>
      <w:r w:rsidR="00F50D18" w:rsidRPr="00A56102">
        <w:rPr>
          <w:lang w:val="en-US"/>
        </w:rPr>
        <w:t>i</w:t>
      </w:r>
      <w:r w:rsidR="006C72E1" w:rsidRPr="00673615">
        <w:rPr>
          <w:lang w:val="en-US"/>
        </w:rPr>
        <w:t xml:space="preserve">nterest of the </w:t>
      </w:r>
      <w:r w:rsidR="00F50D18" w:rsidRPr="005C2BCD">
        <w:rPr>
          <w:lang w:val="en-US"/>
        </w:rPr>
        <w:t>c</w:t>
      </w:r>
      <w:r w:rsidR="006C72E1" w:rsidRPr="00222958">
        <w:rPr>
          <w:lang w:val="en-US"/>
        </w:rPr>
        <w:t xml:space="preserve">hild as </w:t>
      </w:r>
      <w:r w:rsidR="006C72E1" w:rsidRPr="000F17CA">
        <w:rPr>
          <w:lang w:val="en-US"/>
        </w:rPr>
        <w:t xml:space="preserve">a </w:t>
      </w:r>
      <w:r w:rsidR="00F50D18" w:rsidRPr="001633EE">
        <w:rPr>
          <w:lang w:val="en-US"/>
        </w:rPr>
        <w:t>p</w:t>
      </w:r>
      <w:r w:rsidR="00EF3CB1" w:rsidRPr="0066698A">
        <w:rPr>
          <w:lang w:val="en-US"/>
        </w:rPr>
        <w:t xml:space="preserve">rimary </w:t>
      </w:r>
      <w:r w:rsidR="00F50D18" w:rsidRPr="00081FBA">
        <w:rPr>
          <w:lang w:val="en-US"/>
        </w:rPr>
        <w:t>c</w:t>
      </w:r>
      <w:r w:rsidR="00EF3CB1" w:rsidRPr="00081FBA">
        <w:rPr>
          <w:lang w:val="en-US"/>
        </w:rPr>
        <w:t>onsideration</w:t>
      </w:r>
    </w:p>
    <w:p w:rsidR="006C72E1" w:rsidRPr="00E43425" w:rsidRDefault="006C72E1" w:rsidP="00EB4700">
      <w:pPr>
        <w:pStyle w:val="SingleTxtG"/>
        <w:numPr>
          <w:ilvl w:val="0"/>
          <w:numId w:val="12"/>
        </w:numPr>
        <w:ind w:left="1134" w:firstLine="0"/>
        <w:rPr>
          <w:lang w:val="en-US"/>
        </w:rPr>
      </w:pPr>
      <w:r w:rsidRPr="002D2C27">
        <w:rPr>
          <w:szCs w:val="24"/>
          <w:lang w:val="en-US"/>
        </w:rPr>
        <w:t xml:space="preserve">The </w:t>
      </w:r>
      <w:r w:rsidRPr="00E43425">
        <w:rPr>
          <w:szCs w:val="24"/>
          <w:lang w:val="en-US"/>
        </w:rPr>
        <w:t xml:space="preserve">best interest of the child principle exists in most Israeli child-related legislation and </w:t>
      </w:r>
      <w:r w:rsidRPr="00E43425">
        <w:rPr>
          <w:lang w:val="en-US"/>
        </w:rPr>
        <w:t>constitutes a primary guiding principle under Israeli law. The majority of child-related legal issues (including legislative, administrative and judicial issues) are guided by this principle. For instance:</w:t>
      </w:r>
    </w:p>
    <w:p w:rsidR="006C72E1" w:rsidRPr="00E43425" w:rsidRDefault="00DB7986" w:rsidP="00DB7986">
      <w:pPr>
        <w:pStyle w:val="SingleTxtG"/>
        <w:ind w:firstLine="567"/>
        <w:rPr>
          <w:lang w:val="en-US"/>
        </w:rPr>
      </w:pPr>
      <w:r>
        <w:rPr>
          <w:lang w:val="en-US"/>
        </w:rPr>
        <w:t>(a)</w:t>
      </w:r>
      <w:r w:rsidR="00CC5E06" w:rsidRPr="00E43425">
        <w:rPr>
          <w:lang w:val="en-US"/>
        </w:rPr>
        <w:tab/>
      </w:r>
      <w:r w:rsidR="001A574A" w:rsidRPr="00E43425">
        <w:rPr>
          <w:lang w:val="en-US"/>
        </w:rPr>
        <w:t>Section </w:t>
      </w:r>
      <w:r w:rsidR="006C72E1" w:rsidRPr="00E43425">
        <w:rPr>
          <w:lang w:val="en-US"/>
        </w:rPr>
        <w:t>2 of the Prevention of Domestic Violence Law states that any order for the protection of the child must accord with the best interest of the child</w:t>
      </w:r>
      <w:r w:rsidR="00C206C0" w:rsidRPr="00E43425">
        <w:rPr>
          <w:lang w:val="en-US"/>
        </w:rPr>
        <w:t xml:space="preserve"> con</w:t>
      </w:r>
      <w:r w:rsidR="00982BB0" w:rsidRPr="00E43425">
        <w:rPr>
          <w:lang w:val="en-US"/>
        </w:rPr>
        <w:t>sideration;</w:t>
      </w:r>
    </w:p>
    <w:p w:rsidR="00CC5E06" w:rsidRPr="00E43425" w:rsidRDefault="00DB7986" w:rsidP="00DB7986">
      <w:pPr>
        <w:pStyle w:val="SingleTxtG"/>
        <w:ind w:firstLine="567"/>
        <w:rPr>
          <w:lang w:val="en-US"/>
        </w:rPr>
      </w:pPr>
      <w:r>
        <w:rPr>
          <w:lang w:val="en-US"/>
        </w:rPr>
        <w:t>(b)</w:t>
      </w:r>
      <w:r w:rsidR="00CC5E06" w:rsidRPr="00E43425">
        <w:rPr>
          <w:lang w:val="en-US"/>
        </w:rPr>
        <w:tab/>
      </w:r>
      <w:r w:rsidR="001A574A" w:rsidRPr="00E43425">
        <w:rPr>
          <w:lang w:val="en-US"/>
        </w:rPr>
        <w:t>Section </w:t>
      </w:r>
      <w:r w:rsidR="006C72E1" w:rsidRPr="00E43425">
        <w:rPr>
          <w:lang w:val="en-US"/>
        </w:rPr>
        <w:t xml:space="preserve">8(c) of the Youth Law (Care and Supervision) 5720-1960 empowers courts engaged in matters concerning a minor to appoint a legal guardian for the child if it </w:t>
      </w:r>
      <w:r w:rsidR="00982BB0" w:rsidRPr="00E43425">
        <w:rPr>
          <w:lang w:val="en-US"/>
        </w:rPr>
        <w:t>is in the child’s best interest;</w:t>
      </w:r>
    </w:p>
    <w:p w:rsidR="006C72E1" w:rsidRPr="00AC696A" w:rsidRDefault="00DB7986" w:rsidP="00DB7986">
      <w:pPr>
        <w:pStyle w:val="SingleTxtG"/>
        <w:ind w:firstLine="567"/>
        <w:rPr>
          <w:lang w:val="en-US"/>
        </w:rPr>
      </w:pPr>
      <w:r>
        <w:rPr>
          <w:lang w:val="en-US"/>
        </w:rPr>
        <w:t>(c)</w:t>
      </w:r>
      <w:r w:rsidR="00CC5E06" w:rsidRPr="00E43425">
        <w:rPr>
          <w:lang w:val="en-US"/>
        </w:rPr>
        <w:tab/>
      </w:r>
      <w:r w:rsidR="006C72E1" w:rsidRPr="00E43425">
        <w:rPr>
          <w:lang w:val="en-US"/>
        </w:rPr>
        <w:t>The Youth (Trial, Punishment and Modes of Treatment) Law 5731-1971</w:t>
      </w:r>
      <w:r w:rsidR="00EF3CB1" w:rsidRPr="00E43425">
        <w:rPr>
          <w:lang w:val="en-US"/>
        </w:rPr>
        <w:t xml:space="preserve"> (the “</w:t>
      </w:r>
      <w:r w:rsidR="006C72E1" w:rsidRPr="00E43425">
        <w:rPr>
          <w:lang w:val="en-US"/>
        </w:rPr>
        <w:t xml:space="preserve">Youth Law”) considers the child’s best interest as a primary consideration. The </w:t>
      </w:r>
      <w:bookmarkStart w:id="19" w:name="OLE_LINK7"/>
      <w:bookmarkStart w:id="20" w:name="OLE_LINK8"/>
      <w:r w:rsidR="006C72E1" w:rsidRPr="00E43425">
        <w:rPr>
          <w:lang w:val="en-US"/>
        </w:rPr>
        <w:t xml:space="preserve">Youth Law </w:t>
      </w:r>
      <w:bookmarkEnd w:id="19"/>
      <w:bookmarkEnd w:id="20"/>
      <w:r w:rsidR="006C72E1" w:rsidRPr="00E43425">
        <w:rPr>
          <w:lang w:val="en-US"/>
        </w:rPr>
        <w:t>states that minors are entitled t</w:t>
      </w:r>
      <w:r w:rsidR="006C72E1" w:rsidRPr="002D2C27">
        <w:rPr>
          <w:lang w:val="en-US"/>
        </w:rPr>
        <w:t>o state their opinion and express their personal feelings prior to a decision being reached in matters that affect th</w:t>
      </w:r>
      <w:r w:rsidR="00CC5E06">
        <w:rPr>
          <w:lang w:val="en-US"/>
        </w:rPr>
        <w:t>em.</w:t>
      </w:r>
    </w:p>
    <w:p w:rsidR="006C72E1" w:rsidRPr="00EC6FBE" w:rsidRDefault="006C72E1" w:rsidP="006D3B18">
      <w:pPr>
        <w:pStyle w:val="SingleTxtG"/>
        <w:numPr>
          <w:ilvl w:val="0"/>
          <w:numId w:val="12"/>
        </w:numPr>
        <w:ind w:left="1134" w:firstLine="0"/>
        <w:rPr>
          <w:u w:val="single"/>
          <w:lang w:val="en-US"/>
        </w:rPr>
      </w:pPr>
      <w:r w:rsidRPr="00164DFB">
        <w:rPr>
          <w:lang w:val="en-US"/>
        </w:rPr>
        <w:t>The determination of the best interest of a child in a given case is based on factual elements, and is made by the court in accordance with the ordinary rules of evidence and procedure. In order</w:t>
      </w:r>
      <w:r>
        <w:rPr>
          <w:lang w:val="en-US"/>
        </w:rPr>
        <w:t xml:space="preserve"> to make its </w:t>
      </w:r>
      <w:r w:rsidRPr="0099307F">
        <w:rPr>
          <w:szCs w:val="24"/>
          <w:lang w:val="en-US"/>
        </w:rPr>
        <w:t>decision</w:t>
      </w:r>
      <w:r>
        <w:rPr>
          <w:szCs w:val="24"/>
          <w:lang w:val="en-US"/>
        </w:rPr>
        <w:t>,</w:t>
      </w:r>
      <w:r w:rsidRPr="0099307F">
        <w:rPr>
          <w:szCs w:val="24"/>
          <w:lang w:val="en-US"/>
        </w:rPr>
        <w:t xml:space="preserve"> the court hears all relevant parties and their arguments,</w:t>
      </w:r>
      <w:r>
        <w:rPr>
          <w:szCs w:val="24"/>
          <w:lang w:val="en-US"/>
        </w:rPr>
        <w:t xml:space="preserve"> </w:t>
      </w:r>
      <w:r>
        <w:rPr>
          <w:lang w:val="en-US"/>
        </w:rPr>
        <w:t>guardians of the child,</w:t>
      </w:r>
      <w:r>
        <w:rPr>
          <w:szCs w:val="24"/>
          <w:lang w:val="en-US"/>
        </w:rPr>
        <w:t xml:space="preserve"> </w:t>
      </w:r>
      <w:r>
        <w:rPr>
          <w:lang w:val="en-US"/>
        </w:rPr>
        <w:t>welfare representatives and social workers,</w:t>
      </w:r>
      <w:r w:rsidRPr="0099307F">
        <w:rPr>
          <w:szCs w:val="24"/>
          <w:lang w:val="en-US"/>
        </w:rPr>
        <w:t xml:space="preserve"> </w:t>
      </w:r>
      <w:r w:rsidRPr="0099307F">
        <w:rPr>
          <w:szCs w:val="24"/>
        </w:rPr>
        <w:t>expert opinion</w:t>
      </w:r>
      <w:r>
        <w:rPr>
          <w:szCs w:val="24"/>
        </w:rPr>
        <w:t xml:space="preserve"> </w:t>
      </w:r>
      <w:r>
        <w:rPr>
          <w:lang w:val="en-US"/>
        </w:rPr>
        <w:t xml:space="preserve">on behalf of the </w:t>
      </w:r>
      <w:r w:rsidRPr="00163478">
        <w:rPr>
          <w:lang w:val="en-US"/>
        </w:rPr>
        <w:t>parties to the case or at</w:t>
      </w:r>
      <w:r>
        <w:rPr>
          <w:lang w:val="en-US"/>
        </w:rPr>
        <w:t xml:space="preserve"> the request of the court, and the child him</w:t>
      </w:r>
      <w:r w:rsidR="00733758">
        <w:rPr>
          <w:lang w:val="en-US"/>
        </w:rPr>
        <w:t>self</w:t>
      </w:r>
      <w:r>
        <w:rPr>
          <w:lang w:val="en-US"/>
        </w:rPr>
        <w:t>/herself concerning his/her needs, views and opinion. Sometimes, the court requests the opinion of the State Attorney.</w:t>
      </w:r>
      <w:r w:rsidR="00CD3B50">
        <w:rPr>
          <w:lang w:val="en-US"/>
        </w:rPr>
        <w:t xml:space="preserve"> </w:t>
      </w:r>
    </w:p>
    <w:p w:rsidR="006C72E1" w:rsidRPr="00A84EAA" w:rsidRDefault="006C72E1" w:rsidP="006D3B18">
      <w:pPr>
        <w:pStyle w:val="SingleTxtG"/>
        <w:numPr>
          <w:ilvl w:val="0"/>
          <w:numId w:val="12"/>
        </w:numPr>
        <w:ind w:left="1134" w:firstLine="0"/>
        <w:rPr>
          <w:u w:val="single"/>
          <w:lang w:val="en-US"/>
        </w:rPr>
      </w:pPr>
      <w:r w:rsidRPr="002D2C27">
        <w:rPr>
          <w:lang w:val="en-US"/>
        </w:rPr>
        <w:t>The weight afforded to the minor’s view is dependent upon the child</w:t>
      </w:r>
      <w:r w:rsidR="00C05EBD">
        <w:rPr>
          <w:rFonts w:hint="eastAsia"/>
          <w:lang w:val="en-US"/>
        </w:rPr>
        <w:t>’</w:t>
      </w:r>
      <w:r w:rsidRPr="002D2C27">
        <w:rPr>
          <w:lang w:val="en-US"/>
        </w:rPr>
        <w:t xml:space="preserve">s age and level of maturity. </w:t>
      </w:r>
    </w:p>
    <w:p w:rsidR="006C72E1" w:rsidRPr="00DC0B88" w:rsidRDefault="00AC696A" w:rsidP="002C0C4A">
      <w:pPr>
        <w:pStyle w:val="H1G"/>
        <w:rPr>
          <w:lang w:val="en-US"/>
        </w:rPr>
      </w:pPr>
      <w:r>
        <w:rPr>
          <w:lang w:val="en-US"/>
        </w:rPr>
        <w:tab/>
      </w:r>
      <w:r>
        <w:rPr>
          <w:lang w:val="en-US"/>
        </w:rPr>
        <w:tab/>
      </w:r>
      <w:r w:rsidR="000416BC">
        <w:rPr>
          <w:lang w:val="en-US"/>
        </w:rPr>
        <w:t>Article </w:t>
      </w:r>
      <w:r w:rsidR="006C72E1" w:rsidRPr="00DC0B88">
        <w:rPr>
          <w:lang w:val="en-US"/>
        </w:rPr>
        <w:t>8</w:t>
      </w:r>
      <w:r w:rsidR="0088706A">
        <w:rPr>
          <w:lang w:val="en-US"/>
        </w:rPr>
        <w:t xml:space="preserve"> </w:t>
      </w:r>
      <w:r w:rsidR="006C72E1" w:rsidRPr="00DC0B88">
        <w:rPr>
          <w:lang w:val="en-US"/>
        </w:rPr>
        <w:t xml:space="preserve">(4) </w:t>
      </w:r>
      <w:r w:rsidR="006C72E1">
        <w:rPr>
          <w:lang w:val="en-US"/>
        </w:rPr>
        <w:t>–</w:t>
      </w:r>
      <w:r w:rsidR="006C72E1" w:rsidRPr="00DC0B88">
        <w:rPr>
          <w:lang w:val="en-US"/>
        </w:rPr>
        <w:t xml:space="preserve"> Training</w:t>
      </w:r>
      <w:r w:rsidR="006C72E1">
        <w:rPr>
          <w:lang w:val="en-US"/>
        </w:rPr>
        <w:t xml:space="preserve"> </w:t>
      </w:r>
    </w:p>
    <w:p w:rsidR="006C72E1" w:rsidRPr="005735C1" w:rsidRDefault="003C14FF" w:rsidP="00767460">
      <w:pPr>
        <w:pStyle w:val="H23G"/>
        <w:rPr>
          <w:lang w:val="en-US"/>
        </w:rPr>
      </w:pPr>
      <w:r>
        <w:tab/>
      </w:r>
      <w:r>
        <w:tab/>
      </w:r>
      <w:r w:rsidR="00767460">
        <w:t>Investigators for children</w:t>
      </w:r>
    </w:p>
    <w:p w:rsidR="006C72E1" w:rsidRDefault="006C72E1" w:rsidP="00767460">
      <w:pPr>
        <w:pStyle w:val="SingleTxtG"/>
        <w:numPr>
          <w:ilvl w:val="0"/>
          <w:numId w:val="12"/>
        </w:numPr>
        <w:ind w:left="1134" w:firstLine="0"/>
        <w:rPr>
          <w:lang w:val="en-US"/>
        </w:rPr>
      </w:pPr>
      <w:r>
        <w:rPr>
          <w:lang w:val="en-US"/>
        </w:rPr>
        <w:t xml:space="preserve">As mentioned above, children under the age of 14 can be investigated as suspects, witnesses or victims of prostitution and </w:t>
      </w:r>
      <w:r>
        <w:rPr>
          <w:szCs w:val="24"/>
        </w:rPr>
        <w:t xml:space="preserve">obscenity </w:t>
      </w:r>
      <w:r w:rsidRPr="003E0AFE">
        <w:rPr>
          <w:szCs w:val="24"/>
        </w:rPr>
        <w:t>offen</w:t>
      </w:r>
      <w:r>
        <w:rPr>
          <w:szCs w:val="24"/>
        </w:rPr>
        <w:t>s</w:t>
      </w:r>
      <w:r w:rsidRPr="003E0AFE">
        <w:rPr>
          <w:szCs w:val="24"/>
        </w:rPr>
        <w:t>es</w:t>
      </w:r>
      <w:r>
        <w:rPr>
          <w:lang w:val="en-US"/>
        </w:rPr>
        <w:t xml:space="preserve"> (</w:t>
      </w:r>
      <w:r w:rsidR="001A574A">
        <w:rPr>
          <w:lang w:val="en-US"/>
        </w:rPr>
        <w:t>Section </w:t>
      </w:r>
      <w:r>
        <w:rPr>
          <w:lang w:val="en-US"/>
        </w:rPr>
        <w:t xml:space="preserve">199-214 of the </w:t>
      </w:r>
      <w:r w:rsidRPr="00E43425">
        <w:rPr>
          <w:iCs/>
          <w:lang w:val="en-US"/>
        </w:rPr>
        <w:t>Penal Law) only b</w:t>
      </w:r>
      <w:r w:rsidRPr="00767460">
        <w:rPr>
          <w:iCs/>
          <w:lang w:val="en-US"/>
        </w:rPr>
        <w:t xml:space="preserve">y </w:t>
      </w:r>
      <w:r w:rsidR="00767460">
        <w:rPr>
          <w:iCs/>
          <w:szCs w:val="24"/>
        </w:rPr>
        <w:t>an investigator for children</w:t>
      </w:r>
      <w:r w:rsidRPr="00767460">
        <w:rPr>
          <w:iCs/>
          <w:szCs w:val="24"/>
        </w:rPr>
        <w:t>, ap</w:t>
      </w:r>
      <w:r w:rsidRPr="00E43425">
        <w:rPr>
          <w:iCs/>
          <w:szCs w:val="24"/>
        </w:rPr>
        <w:t>pointed by the Minister of Justice after consultation</w:t>
      </w:r>
      <w:r>
        <w:rPr>
          <w:szCs w:val="24"/>
        </w:rPr>
        <w:t xml:space="preserve"> with an advisory</w:t>
      </w:r>
      <w:r w:rsidRPr="00D30BCA">
        <w:rPr>
          <w:szCs w:val="24"/>
        </w:rPr>
        <w:t xml:space="preserve"> committee</w:t>
      </w:r>
      <w:r>
        <w:rPr>
          <w:szCs w:val="24"/>
        </w:rPr>
        <w:t xml:space="preserve"> headed by a juvenile court judge. </w:t>
      </w:r>
      <w:r w:rsidR="00767460">
        <w:rPr>
          <w:szCs w:val="24"/>
        </w:rPr>
        <w:t>Investigators for children</w:t>
      </w:r>
      <w:r>
        <w:rPr>
          <w:szCs w:val="24"/>
        </w:rPr>
        <w:t xml:space="preserve"> are under the authority of the Ministry of Social Affairs and Social Services.</w:t>
      </w:r>
      <w:r>
        <w:rPr>
          <w:lang w:val="en-US"/>
        </w:rPr>
        <w:t xml:space="preserve"> </w:t>
      </w:r>
    </w:p>
    <w:p w:rsidR="006C72E1" w:rsidRDefault="006C72E1" w:rsidP="0003681A">
      <w:pPr>
        <w:pStyle w:val="SingleTxtG"/>
        <w:numPr>
          <w:ilvl w:val="0"/>
          <w:numId w:val="12"/>
        </w:numPr>
        <w:ind w:left="1134" w:firstLine="0"/>
      </w:pPr>
      <w:r w:rsidRPr="002A6E60">
        <w:t xml:space="preserve">The </w:t>
      </w:r>
      <w:r w:rsidR="0008330C">
        <w:t>process of training investigators for children</w:t>
      </w:r>
      <w:r w:rsidRPr="002A6E60">
        <w:t xml:space="preserve"> includes several stages, the first of which is a basic </w:t>
      </w:r>
      <w:r w:rsidR="0008330C">
        <w:t>course for investigators for children</w:t>
      </w:r>
      <w:r w:rsidRPr="002A6E60">
        <w:t xml:space="preserve">, which includes 20 sessions </w:t>
      </w:r>
      <w:r>
        <w:t>totalling</w:t>
      </w:r>
      <w:r w:rsidRPr="002A6E60">
        <w:t xml:space="preserve"> 120 hours. During the course, the investigators </w:t>
      </w:r>
      <w:r>
        <w:t xml:space="preserve">learn about the </w:t>
      </w:r>
      <w:r w:rsidRPr="00330DDA">
        <w:t>various ways in which children are typically harmed, thus allowing the graduates to conduct basic investigations of children. The training involves lectu</w:t>
      </w:r>
      <w:r w:rsidRPr="002A6E60">
        <w:t xml:space="preserve">res, workshops, simulations, </w:t>
      </w:r>
      <w:r>
        <w:t>guidance</w:t>
      </w:r>
      <w:r w:rsidR="000364CB">
        <w:t>,</w:t>
      </w:r>
      <w:r>
        <w:t xml:space="preserve"> and joining </w:t>
      </w:r>
      <w:r w:rsidRPr="002A6E60">
        <w:t xml:space="preserve">experienced </w:t>
      </w:r>
      <w:r w:rsidR="000364CB">
        <w:t>investigators</w:t>
      </w:r>
      <w:r>
        <w:t xml:space="preserve"> in real</w:t>
      </w:r>
      <w:r w:rsidRPr="002A6E60">
        <w:t xml:space="preserve"> investigation</w:t>
      </w:r>
      <w:r>
        <w:t xml:space="preserve">s. </w:t>
      </w:r>
      <w:r w:rsidRPr="002A6E60">
        <w:t xml:space="preserve">During this course, the investigators are taught both the legal basis for working as </w:t>
      </w:r>
      <w:r w:rsidR="0003681A">
        <w:t>investigators for children</w:t>
      </w:r>
      <w:r>
        <w:t>,</w:t>
      </w:r>
      <w:r w:rsidRPr="002A6E60">
        <w:t xml:space="preserve"> </w:t>
      </w:r>
      <w:r>
        <w:t>the</w:t>
      </w:r>
      <w:r w:rsidRPr="002A6E60">
        <w:t xml:space="preserve"> unique aspects of such an </w:t>
      </w:r>
      <w:r>
        <w:t>investigation</w:t>
      </w:r>
      <w:r w:rsidRPr="002A6E60">
        <w:t xml:space="preserve"> process, </w:t>
      </w:r>
      <w:r>
        <w:t>and child psychology</w:t>
      </w:r>
      <w:r w:rsidR="00733758">
        <w:t xml:space="preserve"> —</w:t>
      </w:r>
      <w:r>
        <w:t xml:space="preserve"> </w:t>
      </w:r>
      <w:r w:rsidRPr="002A6E60">
        <w:t>including the memory process in</w:t>
      </w:r>
      <w:r>
        <w:t xml:space="preserve"> regard to</w:t>
      </w:r>
      <w:r w:rsidRPr="002A6E60">
        <w:t xml:space="preserve"> children, behaviour pattern</w:t>
      </w:r>
      <w:r>
        <w:t>s</w:t>
      </w:r>
      <w:r w:rsidRPr="002A6E60">
        <w:t xml:space="preserve"> that characterize children who have fallen victim to offenses and </w:t>
      </w:r>
      <w:r>
        <w:t>the like</w:t>
      </w:r>
      <w:r w:rsidRPr="002A6E60">
        <w:t xml:space="preserve">. The investigators are then taught how to assess whether the child is fit to testify, the reliability of their testimony and other </w:t>
      </w:r>
      <w:r>
        <w:t xml:space="preserve">data resulting </w:t>
      </w:r>
      <w:r w:rsidRPr="002A6E60">
        <w:t xml:space="preserve">from the investigation. The investigators are able to </w:t>
      </w:r>
      <w:r>
        <w:t>exercise</w:t>
      </w:r>
      <w:r w:rsidRPr="002A6E60">
        <w:t xml:space="preserve"> their newly acquired skills by using the video-recordings of previous investigations and by reading </w:t>
      </w:r>
      <w:r>
        <w:t>instructional</w:t>
      </w:r>
      <w:r w:rsidRPr="002A6E60">
        <w:t xml:space="preserve"> material</w:t>
      </w:r>
      <w:r>
        <w:t>s</w:t>
      </w:r>
      <w:r w:rsidRPr="002A6E60">
        <w:t>. At the end of the course</w:t>
      </w:r>
      <w:r>
        <w:t>,</w:t>
      </w:r>
      <w:r w:rsidRPr="002A6E60">
        <w:t xml:space="preserve"> the investigators </w:t>
      </w:r>
      <w:r>
        <w:t>receive formal certification and become eligible for nomination</w:t>
      </w:r>
      <w:r w:rsidRPr="002A6E60">
        <w:t xml:space="preserve"> </w:t>
      </w:r>
      <w:r>
        <w:t>before</w:t>
      </w:r>
      <w:r w:rsidRPr="002A6E60">
        <w:t xml:space="preserve"> the </w:t>
      </w:r>
      <w:r>
        <w:t>Advisory C</w:t>
      </w:r>
      <w:r w:rsidRPr="00D30BCA">
        <w:t>ommittee</w:t>
      </w:r>
      <w:r w:rsidRPr="002A6E60">
        <w:t xml:space="preserve"> for </w:t>
      </w:r>
      <w:r>
        <w:t xml:space="preserve">the </w:t>
      </w:r>
      <w:r w:rsidRPr="002A6E60">
        <w:t>appoint</w:t>
      </w:r>
      <w:r>
        <w:t xml:space="preserve">ment of </w:t>
      </w:r>
      <w:r w:rsidR="0003681A">
        <w:t>investigators for children</w:t>
      </w:r>
      <w:r w:rsidRPr="002A6E60">
        <w:t>.</w:t>
      </w:r>
    </w:p>
    <w:p w:rsidR="006C72E1" w:rsidRDefault="006C72E1" w:rsidP="00733758">
      <w:pPr>
        <w:pStyle w:val="SingleTxtG"/>
        <w:numPr>
          <w:ilvl w:val="0"/>
          <w:numId w:val="12"/>
        </w:numPr>
        <w:ind w:left="1134" w:firstLine="0"/>
      </w:pPr>
      <w:r>
        <w:t xml:space="preserve">The second stage of the training process is an advanced </w:t>
      </w:r>
      <w:r w:rsidR="0003681A">
        <w:t>course for investigators for children</w:t>
      </w:r>
      <w:r>
        <w:t>. This course is available for investigators with one year of practical experience, and also includes 20 sessions totalling 120 hours. This course is designed to enhance the investigators</w:t>
      </w:r>
      <w:r w:rsidR="00C05EBD">
        <w:rPr>
          <w:rFonts w:hint="eastAsia"/>
        </w:rPr>
        <w:t>’</w:t>
      </w:r>
      <w:r>
        <w:t xml:space="preserve"> grasp of complex issues related to their work, and </w:t>
      </w:r>
      <w:r w:rsidR="00733758">
        <w:t xml:space="preserve">to </w:t>
      </w:r>
      <w:r>
        <w:t xml:space="preserve">expose them to the work and expertise of professionals in related fields. Among the topics included in the course are the therapeutic aspects of dealing with victims of sexual assault, considerations </w:t>
      </w:r>
      <w:r w:rsidR="00733758">
        <w:t xml:space="preserve">with regard to </w:t>
      </w:r>
      <w:r>
        <w:t xml:space="preserve">permitting a child to testify in court, </w:t>
      </w:r>
      <w:r w:rsidR="00733758">
        <w:t xml:space="preserve">the </w:t>
      </w:r>
      <w:r>
        <w:t>investigation of child suspect</w:t>
      </w:r>
      <w:r w:rsidR="00733758">
        <w:t>s</w:t>
      </w:r>
      <w:r>
        <w:t>, collaboration with social workers and with the Police</w:t>
      </w:r>
      <w:r w:rsidR="00733758">
        <w:t>,</w:t>
      </w:r>
      <w:r>
        <w:t xml:space="preserve"> and more.</w:t>
      </w:r>
    </w:p>
    <w:p w:rsidR="006C72E1" w:rsidRPr="00FE519C" w:rsidRDefault="006C72E1" w:rsidP="0003681A">
      <w:pPr>
        <w:pStyle w:val="SingleTxtG"/>
        <w:numPr>
          <w:ilvl w:val="0"/>
          <w:numId w:val="12"/>
        </w:numPr>
        <w:ind w:left="1134" w:firstLine="0"/>
      </w:pPr>
      <w:r w:rsidRPr="00FE519C">
        <w:t>Additionally, the training process of a special</w:t>
      </w:r>
      <w:r w:rsidR="0003681A">
        <w:t xml:space="preserve"> </w:t>
      </w:r>
      <w:r w:rsidRPr="00FE519C">
        <w:t xml:space="preserve">investigator may be relevant to children who are victims of offenses covered by the Protocol. This training process is intended to train the </w:t>
      </w:r>
      <w:r w:rsidR="0003681A">
        <w:t>investigators for children</w:t>
      </w:r>
      <w:r w:rsidRPr="00FE519C">
        <w:t xml:space="preserve">, once they have acquired the skills of investigating and questioning children, to conduct investigations of people with mental disabilities, pursuant to the </w:t>
      </w:r>
      <w:r w:rsidRPr="00E43425">
        <w:t>Investigation and Testimony Procedures Law (Adaptation to Persons with Mental or Psychological Disability) 5765-2005. The training process is divided into two parts: the first part is an annual course consisting</w:t>
      </w:r>
      <w:r w:rsidRPr="00FE519C">
        <w:t xml:space="preserve"> of 20 sessions totalling 120 hours, which covers topics such as the definition and diagnosis of mental deficiency and other disabilities, the effects of such a disability on the behaviour of the victims, and how to deal with people with disabilities who have fallen victim to sexual assault. This course includes professional guided tours and an introduction to the various populations in question. At the end of the course, the Minister of Social Affairs and Social Services is asked to appoint the graduate as a special investigator, and only then may she or he conduct special investigations.</w:t>
      </w:r>
    </w:p>
    <w:p w:rsidR="006C72E1" w:rsidRPr="0003681A" w:rsidRDefault="006C72E1" w:rsidP="0003681A">
      <w:pPr>
        <w:pStyle w:val="SingleTxtG"/>
        <w:numPr>
          <w:ilvl w:val="0"/>
          <w:numId w:val="12"/>
        </w:numPr>
        <w:ind w:left="1134" w:firstLine="0"/>
        <w:rPr>
          <w:i/>
          <w:iCs/>
        </w:rPr>
      </w:pPr>
      <w:r>
        <w:t>The second part of the training process is an annual cours</w:t>
      </w:r>
      <w:r w:rsidR="0032213C">
        <w:t>e of ten sessions, totalling 60 </w:t>
      </w:r>
      <w:r>
        <w:t xml:space="preserve">hours, which is intended to further educate the investigators and accompany them in professional issues </w:t>
      </w:r>
      <w:r w:rsidR="0003681A">
        <w:t xml:space="preserve">that </w:t>
      </w:r>
      <w:r>
        <w:t>they may encounter while investigating people with disabilities. This part completes the training process of the special</w:t>
      </w:r>
      <w:r w:rsidR="0003681A">
        <w:t xml:space="preserve"> </w:t>
      </w:r>
      <w:r>
        <w:t xml:space="preserve">investigator, who at that point will </w:t>
      </w:r>
      <w:r w:rsidRPr="0003681A">
        <w:t>have undergone 420 hours of training in total.</w:t>
      </w:r>
    </w:p>
    <w:p w:rsidR="006C72E1" w:rsidRPr="005735C1" w:rsidRDefault="003C14FF" w:rsidP="0003681A">
      <w:pPr>
        <w:pStyle w:val="H23G"/>
        <w:rPr>
          <w:szCs w:val="24"/>
          <w:lang w:val="en-US"/>
        </w:rPr>
      </w:pPr>
      <w:r w:rsidRPr="0003681A">
        <w:rPr>
          <w:szCs w:val="24"/>
          <w:lang w:val="en-US"/>
        </w:rPr>
        <w:tab/>
      </w:r>
      <w:r w:rsidRPr="0003681A">
        <w:rPr>
          <w:szCs w:val="24"/>
          <w:lang w:val="en-US"/>
        </w:rPr>
        <w:tab/>
      </w:r>
      <w:r w:rsidR="006C72E1" w:rsidRPr="0003681A">
        <w:rPr>
          <w:szCs w:val="24"/>
          <w:lang w:val="en-US"/>
        </w:rPr>
        <w:t xml:space="preserve">Police </w:t>
      </w:r>
      <w:r w:rsidR="0003681A">
        <w:rPr>
          <w:lang w:val="en-US"/>
        </w:rPr>
        <w:t>j</w:t>
      </w:r>
      <w:r w:rsidR="006C72E1" w:rsidRPr="0003681A">
        <w:rPr>
          <w:lang w:val="en-US"/>
        </w:rPr>
        <w:t xml:space="preserve">uvenile </w:t>
      </w:r>
      <w:r w:rsidR="0003681A">
        <w:rPr>
          <w:lang w:val="en-US"/>
        </w:rPr>
        <w:t>i</w:t>
      </w:r>
      <w:r w:rsidR="006C72E1" w:rsidRPr="0003681A">
        <w:rPr>
          <w:lang w:val="en-US"/>
        </w:rPr>
        <w:t>nvestigators</w:t>
      </w:r>
    </w:p>
    <w:p w:rsidR="006C72E1" w:rsidRPr="00C30922" w:rsidRDefault="006C72E1" w:rsidP="00F574E1">
      <w:pPr>
        <w:pStyle w:val="SingleTxtG"/>
        <w:numPr>
          <w:ilvl w:val="0"/>
          <w:numId w:val="12"/>
        </w:numPr>
        <w:ind w:left="1134" w:firstLine="0"/>
        <w:rPr>
          <w:szCs w:val="24"/>
          <w:lang w:val="en-US"/>
        </w:rPr>
      </w:pPr>
      <w:r>
        <w:rPr>
          <w:lang w:val="en-US"/>
        </w:rPr>
        <w:t>Investigating minors (under the age of 18 years</w:t>
      </w:r>
      <w:r w:rsidR="00724F56">
        <w:rPr>
          <w:lang w:val="en-US"/>
        </w:rPr>
        <w:t xml:space="preserve"> </w:t>
      </w:r>
      <w:r>
        <w:rPr>
          <w:lang w:val="en-US"/>
        </w:rPr>
        <w:t xml:space="preserve">old) </w:t>
      </w:r>
      <w:r w:rsidR="00F574E1">
        <w:rPr>
          <w:lang w:val="en-US"/>
        </w:rPr>
        <w:t xml:space="preserve">with regard to </w:t>
      </w:r>
      <w:r>
        <w:rPr>
          <w:lang w:val="en-US"/>
        </w:rPr>
        <w:t>trafficking offenses (</w:t>
      </w:r>
      <w:r w:rsidR="001A574A">
        <w:rPr>
          <w:lang w:val="en-US"/>
        </w:rPr>
        <w:t>section </w:t>
      </w:r>
      <w:r>
        <w:rPr>
          <w:lang w:val="en-US"/>
        </w:rPr>
        <w:t xml:space="preserve">374A-377A of the </w:t>
      </w:r>
      <w:r w:rsidRPr="00895826">
        <w:rPr>
          <w:iCs/>
          <w:lang w:val="en-US"/>
        </w:rPr>
        <w:t xml:space="preserve">Penal Law) </w:t>
      </w:r>
      <w:r w:rsidRPr="00895826">
        <w:rPr>
          <w:iCs/>
          <w:szCs w:val="24"/>
          <w:lang w:val="en-US"/>
        </w:rPr>
        <w:t>is</w:t>
      </w:r>
      <w:r w:rsidRPr="00C30922">
        <w:rPr>
          <w:szCs w:val="24"/>
          <w:lang w:val="en-US"/>
        </w:rPr>
        <w:t xml:space="preserve"> under the </w:t>
      </w:r>
      <w:r w:rsidRPr="00C30922">
        <w:rPr>
          <w:szCs w:val="24"/>
        </w:rPr>
        <w:t>jurisdiction of the Police.</w:t>
      </w:r>
      <w:r w:rsidR="00CD3B50">
        <w:rPr>
          <w:szCs w:val="24"/>
        </w:rPr>
        <w:t xml:space="preserve"> </w:t>
      </w:r>
    </w:p>
    <w:p w:rsidR="006C72E1" w:rsidRPr="00330DDA" w:rsidRDefault="006C72E1" w:rsidP="00F574E1">
      <w:pPr>
        <w:pStyle w:val="SingleTxtG"/>
        <w:numPr>
          <w:ilvl w:val="0"/>
          <w:numId w:val="12"/>
        </w:numPr>
        <w:ind w:left="1134" w:firstLine="0"/>
        <w:rPr>
          <w:lang w:val="en-US"/>
        </w:rPr>
      </w:pPr>
      <w:r>
        <w:rPr>
          <w:lang w:val="en-US"/>
        </w:rPr>
        <w:t xml:space="preserve">The </w:t>
      </w:r>
      <w:r w:rsidRPr="002D2C27">
        <w:rPr>
          <w:lang w:val="en-US"/>
        </w:rPr>
        <w:t xml:space="preserve">Police provide guidance and </w:t>
      </w:r>
      <w:r w:rsidRPr="002D2C27">
        <w:rPr>
          <w:szCs w:val="24"/>
          <w:lang w:val="en-US"/>
        </w:rPr>
        <w:t>training</w:t>
      </w:r>
      <w:r w:rsidRPr="002D2C27">
        <w:rPr>
          <w:lang w:val="en-US"/>
        </w:rPr>
        <w:t xml:space="preserve"> </w:t>
      </w:r>
      <w:r>
        <w:rPr>
          <w:lang w:val="en-US"/>
        </w:rPr>
        <w:t xml:space="preserve">to </w:t>
      </w:r>
      <w:r w:rsidR="00724F56">
        <w:rPr>
          <w:lang w:val="en-US"/>
        </w:rPr>
        <w:t xml:space="preserve">their </w:t>
      </w:r>
      <w:r>
        <w:rPr>
          <w:lang w:val="en-US"/>
        </w:rPr>
        <w:t xml:space="preserve">officers </w:t>
      </w:r>
      <w:r w:rsidRPr="002D2C27">
        <w:rPr>
          <w:lang w:val="en-US"/>
        </w:rPr>
        <w:t xml:space="preserve">with respect to child victims of crime, </w:t>
      </w:r>
      <w:r>
        <w:rPr>
          <w:lang w:val="en-US"/>
        </w:rPr>
        <w:t xml:space="preserve">for the purpose of </w:t>
      </w:r>
      <w:r w:rsidRPr="002D2C27">
        <w:rPr>
          <w:lang w:val="en-US"/>
        </w:rPr>
        <w:t xml:space="preserve">increasing the efficiency and sensitivity of the Police in </w:t>
      </w:r>
      <w:r w:rsidR="00F574E1">
        <w:rPr>
          <w:lang w:val="en-US"/>
        </w:rPr>
        <w:t>dealing with young people</w:t>
      </w:r>
      <w:r w:rsidRPr="002D2C27">
        <w:rPr>
          <w:lang w:val="en-US"/>
        </w:rPr>
        <w:t>. Police investigators attend special courses offered by the Police Youth Department in order to qualify</w:t>
      </w:r>
      <w:r>
        <w:rPr>
          <w:lang w:val="en-US"/>
        </w:rPr>
        <w:t xml:space="preserve"> them</w:t>
      </w:r>
      <w:r w:rsidRPr="002D2C27">
        <w:rPr>
          <w:lang w:val="en-US"/>
        </w:rPr>
        <w:t xml:space="preserve"> as </w:t>
      </w:r>
      <w:r w:rsidRPr="00330DDA">
        <w:rPr>
          <w:lang w:val="en-US"/>
        </w:rPr>
        <w:t xml:space="preserve">juvenile investigators. </w:t>
      </w:r>
    </w:p>
    <w:p w:rsidR="006C72E1" w:rsidRPr="002D2C27" w:rsidRDefault="006C72E1" w:rsidP="00F574E1">
      <w:pPr>
        <w:pStyle w:val="SingleTxtG"/>
        <w:numPr>
          <w:ilvl w:val="0"/>
          <w:numId w:val="12"/>
        </w:numPr>
        <w:ind w:left="1134" w:firstLine="0"/>
        <w:rPr>
          <w:lang w:val="en-US"/>
        </w:rPr>
      </w:pPr>
      <w:r>
        <w:rPr>
          <w:lang w:val="en-US"/>
        </w:rPr>
        <w:t xml:space="preserve">Consistent with </w:t>
      </w:r>
      <w:r w:rsidRPr="002D2C27">
        <w:rPr>
          <w:lang w:val="en-US"/>
        </w:rPr>
        <w:t>the Convention on the Rights of the Child, officers</w:t>
      </w:r>
      <w:r>
        <w:rPr>
          <w:lang w:val="en-US"/>
        </w:rPr>
        <w:t xml:space="preserve"> taking the juvenile </w:t>
      </w:r>
      <w:r w:rsidRPr="00330DDA">
        <w:rPr>
          <w:lang w:val="en-US"/>
        </w:rPr>
        <w:t>investigators</w:t>
      </w:r>
      <w:r w:rsidR="00F574E1">
        <w:rPr>
          <w:lang w:val="en-US"/>
        </w:rPr>
        <w:t>’</w:t>
      </w:r>
      <w:r w:rsidRPr="002D2C27">
        <w:rPr>
          <w:lang w:val="en-US"/>
        </w:rPr>
        <w:t xml:space="preserve"> qualification course receive information on the distinct laws and procedures available for handling youth and on community services for minors </w:t>
      </w:r>
      <w:r w:rsidRPr="002D2C27">
        <w:rPr>
          <w:szCs w:val="24"/>
          <w:lang w:val="en-US"/>
        </w:rPr>
        <w:t>and</w:t>
      </w:r>
      <w:r w:rsidRPr="002D2C27">
        <w:rPr>
          <w:lang w:val="en-US"/>
        </w:rPr>
        <w:t xml:space="preserve"> youth. Among the topics taught is the encouragement of a </w:t>
      </w:r>
      <w:r>
        <w:rPr>
          <w:lang w:val="en-US"/>
        </w:rPr>
        <w:t xml:space="preserve">constructive relationship </w:t>
      </w:r>
      <w:r w:rsidRPr="002D2C27">
        <w:rPr>
          <w:lang w:val="en-US"/>
        </w:rPr>
        <w:t xml:space="preserve">between the youth officer, a social worker and the minor. </w:t>
      </w:r>
    </w:p>
    <w:p w:rsidR="006C72E1" w:rsidRPr="005735C1" w:rsidRDefault="003C14FF" w:rsidP="003C14FF">
      <w:pPr>
        <w:pStyle w:val="H23G"/>
        <w:rPr>
          <w:rFonts w:ascii="David,Bold" w:hAnsi="David,Bold+1" w:cs="David,Bold"/>
          <w:bCs/>
          <w:lang w:val="en-US" w:bidi="he-IL"/>
        </w:rPr>
      </w:pPr>
      <w:r>
        <w:rPr>
          <w:lang w:val="en-US"/>
        </w:rPr>
        <w:tab/>
      </w:r>
      <w:r>
        <w:rPr>
          <w:lang w:val="en-US"/>
        </w:rPr>
        <w:tab/>
      </w:r>
      <w:r w:rsidR="00EF3CB1">
        <w:rPr>
          <w:lang w:val="en-US"/>
        </w:rPr>
        <w:t>State Attorney’</w:t>
      </w:r>
      <w:r w:rsidR="006C72E1" w:rsidRPr="005735C1">
        <w:rPr>
          <w:lang w:val="en-US"/>
        </w:rPr>
        <w:t>s Office</w:t>
      </w:r>
    </w:p>
    <w:p w:rsidR="006C72E1" w:rsidRPr="003127FA" w:rsidRDefault="006C72E1" w:rsidP="006D3B18">
      <w:pPr>
        <w:pStyle w:val="SingleTxtG"/>
        <w:numPr>
          <w:ilvl w:val="0"/>
          <w:numId w:val="12"/>
        </w:numPr>
        <w:ind w:left="1134" w:firstLine="0"/>
        <w:rPr>
          <w:rFonts w:ascii="David,Bold" w:hAnsi="David,Bold+1" w:cs="David,Bold"/>
          <w:b/>
          <w:bCs/>
          <w:lang w:val="en-US" w:bidi="he-IL"/>
        </w:rPr>
      </w:pPr>
      <w:r w:rsidRPr="00A84EAA">
        <w:rPr>
          <w:lang w:val="en-US"/>
        </w:rPr>
        <w:t>State Attorney</w:t>
      </w:r>
      <w:r w:rsidR="00C05EBD">
        <w:rPr>
          <w:rFonts w:hint="eastAsia"/>
          <w:lang w:val="en-US"/>
        </w:rPr>
        <w:t>’</w:t>
      </w:r>
      <w:r w:rsidRPr="00A84EAA">
        <w:rPr>
          <w:lang w:val="en-US"/>
        </w:rPr>
        <w:t>s Guideline</w:t>
      </w:r>
      <w:r w:rsidR="00EF3CB1">
        <w:rPr>
          <w:lang w:val="en-US"/>
        </w:rPr>
        <w:t xml:space="preserve"> No. </w:t>
      </w:r>
      <w:r>
        <w:rPr>
          <w:lang w:val="en-US"/>
        </w:rPr>
        <w:t>14.7 requires tha</w:t>
      </w:r>
      <w:r w:rsidR="00EF3CB1">
        <w:rPr>
          <w:lang w:val="en-US"/>
        </w:rPr>
        <w:t>t members of the State Attorney’</w:t>
      </w:r>
      <w:r>
        <w:rPr>
          <w:lang w:val="en-US"/>
        </w:rPr>
        <w:t>s Office be trained to ensure that crime victims are provided with the information necessary to receive support, including urgent medical and social care, compensation according to the law and information on public and national bodies providing counsel and care.</w:t>
      </w:r>
    </w:p>
    <w:p w:rsidR="006C72E1" w:rsidRDefault="00AC696A" w:rsidP="00F50D18">
      <w:pPr>
        <w:pStyle w:val="H1G"/>
        <w:rPr>
          <w:lang w:val="en-US"/>
        </w:rPr>
      </w:pPr>
      <w:r>
        <w:rPr>
          <w:lang w:val="en-US"/>
        </w:rPr>
        <w:tab/>
      </w:r>
      <w:r>
        <w:rPr>
          <w:lang w:val="en-US"/>
        </w:rPr>
        <w:tab/>
      </w:r>
      <w:r w:rsidR="000416BC">
        <w:rPr>
          <w:lang w:val="en-US"/>
        </w:rPr>
        <w:t>Article </w:t>
      </w:r>
      <w:r w:rsidR="006C72E1" w:rsidRPr="00DC0B88">
        <w:rPr>
          <w:lang w:val="en-US"/>
        </w:rPr>
        <w:t>8</w:t>
      </w:r>
      <w:r w:rsidR="0088706A">
        <w:rPr>
          <w:lang w:val="en-US"/>
        </w:rPr>
        <w:t xml:space="preserve"> </w:t>
      </w:r>
      <w:r w:rsidR="006C72E1" w:rsidRPr="00DC0B88">
        <w:rPr>
          <w:lang w:val="en-US"/>
        </w:rPr>
        <w:t>(5)</w:t>
      </w:r>
      <w:r w:rsidR="006C72E1">
        <w:rPr>
          <w:lang w:val="en-US"/>
        </w:rPr>
        <w:t xml:space="preserve"> </w:t>
      </w:r>
      <w:r w:rsidR="00EF3CB1">
        <w:rPr>
          <w:lang w:val="en-US"/>
        </w:rPr>
        <w:t>–</w:t>
      </w:r>
      <w:r w:rsidR="006C72E1" w:rsidRPr="00DC0B88">
        <w:rPr>
          <w:lang w:val="en-US"/>
        </w:rPr>
        <w:t xml:space="preserve"> Protect</w:t>
      </w:r>
      <w:r w:rsidR="006C72E1">
        <w:rPr>
          <w:lang w:val="en-US"/>
        </w:rPr>
        <w:t>ing</w:t>
      </w:r>
      <w:r w:rsidR="006C72E1" w:rsidRPr="00DC0B88">
        <w:rPr>
          <w:lang w:val="en-US"/>
        </w:rPr>
        <w:t xml:space="preserve"> the </w:t>
      </w:r>
      <w:r w:rsidR="00F50D18">
        <w:rPr>
          <w:lang w:val="en-US"/>
        </w:rPr>
        <w:t>s</w:t>
      </w:r>
      <w:r w:rsidR="006C72E1" w:rsidRPr="00DC0B88">
        <w:rPr>
          <w:lang w:val="en-US"/>
        </w:rPr>
        <w:t xml:space="preserve">afety and </w:t>
      </w:r>
      <w:r w:rsidR="00F50D18">
        <w:rPr>
          <w:lang w:val="en-US"/>
        </w:rPr>
        <w:t>i</w:t>
      </w:r>
      <w:r w:rsidR="006C72E1" w:rsidRPr="00DC0B88">
        <w:rPr>
          <w:lang w:val="en-US"/>
        </w:rPr>
        <w:t xml:space="preserve">ntegrity of </w:t>
      </w:r>
      <w:r w:rsidR="00F50D18">
        <w:rPr>
          <w:lang w:val="en-US"/>
        </w:rPr>
        <w:t>p</w:t>
      </w:r>
      <w:r w:rsidR="006C72E1" w:rsidRPr="00DC0B88">
        <w:rPr>
          <w:lang w:val="en-US"/>
        </w:rPr>
        <w:t xml:space="preserve">ersons and/or </w:t>
      </w:r>
      <w:r w:rsidR="00F50D18">
        <w:rPr>
          <w:lang w:val="en-US"/>
        </w:rPr>
        <w:t>o</w:t>
      </w:r>
      <w:r w:rsidR="00EF3CB1">
        <w:rPr>
          <w:lang w:val="en-US"/>
        </w:rPr>
        <w:t xml:space="preserve">rganizations </w:t>
      </w:r>
      <w:r w:rsidR="00F50D18">
        <w:rPr>
          <w:lang w:val="en-US"/>
        </w:rPr>
        <w:t>p</w:t>
      </w:r>
      <w:r w:rsidR="00EF3CB1">
        <w:rPr>
          <w:lang w:val="en-US"/>
        </w:rPr>
        <w:t xml:space="preserve">rotecting </w:t>
      </w:r>
      <w:r w:rsidR="00F50D18">
        <w:rPr>
          <w:lang w:val="en-US"/>
        </w:rPr>
        <w:t>v</w:t>
      </w:r>
      <w:r w:rsidR="00EF3CB1">
        <w:rPr>
          <w:lang w:val="en-US"/>
        </w:rPr>
        <w:t>ictims</w:t>
      </w:r>
    </w:p>
    <w:p w:rsidR="006C72E1" w:rsidRPr="00040386" w:rsidRDefault="006C72E1" w:rsidP="006D3B18">
      <w:pPr>
        <w:pStyle w:val="SingleTxtG"/>
        <w:numPr>
          <w:ilvl w:val="0"/>
          <w:numId w:val="12"/>
        </w:numPr>
        <w:ind w:left="1134" w:firstLine="0"/>
        <w:rPr>
          <w:lang w:val="en-US"/>
        </w:rPr>
      </w:pPr>
      <w:r w:rsidRPr="00040386">
        <w:rPr>
          <w:lang w:val="en-US"/>
        </w:rPr>
        <w:t xml:space="preserve">The State </w:t>
      </w:r>
      <w:r w:rsidRPr="00853CCA">
        <w:rPr>
          <w:lang w:val="en-US"/>
        </w:rPr>
        <w:t>of Israel is fully committed</w:t>
      </w:r>
      <w:r>
        <w:rPr>
          <w:lang w:val="en-US"/>
        </w:rPr>
        <w:t xml:space="preserve"> to</w:t>
      </w:r>
      <w:r w:rsidRPr="00040386">
        <w:rPr>
          <w:lang w:val="en-US"/>
        </w:rPr>
        <w:t xml:space="preserve"> the safety and integrity of those persons and organizations involved in the prevention and/or protection</w:t>
      </w:r>
      <w:r>
        <w:rPr>
          <w:lang w:val="en-US"/>
        </w:rPr>
        <w:t xml:space="preserve"> </w:t>
      </w:r>
      <w:r w:rsidRPr="00040386">
        <w:rPr>
          <w:lang w:val="en-US"/>
        </w:rPr>
        <w:t>and rehabilitation of victims of such offen</w:t>
      </w:r>
      <w:r>
        <w:rPr>
          <w:lang w:val="en-US"/>
        </w:rPr>
        <w:t>s</w:t>
      </w:r>
      <w:r w:rsidRPr="00040386">
        <w:rPr>
          <w:lang w:val="en-US"/>
        </w:rPr>
        <w:t xml:space="preserve">es. </w:t>
      </w:r>
      <w:r>
        <w:rPr>
          <w:lang w:val="en-US"/>
        </w:rPr>
        <w:t xml:space="preserve">While there are no formal procedures in place dealing specifically with this issue, the Police </w:t>
      </w:r>
      <w:r w:rsidRPr="00E47890">
        <w:rPr>
          <w:lang w:val="en-US"/>
        </w:rPr>
        <w:t>remain</w:t>
      </w:r>
      <w:r>
        <w:rPr>
          <w:lang w:val="en-US"/>
        </w:rPr>
        <w:t>s in constant contact with such persons and organizations, such that if any actual or perceived safety threats arise, the Police responds immediately.</w:t>
      </w:r>
    </w:p>
    <w:p w:rsidR="006C72E1" w:rsidRPr="003C14FF" w:rsidRDefault="00AC696A" w:rsidP="003C14FF">
      <w:pPr>
        <w:pStyle w:val="HChG"/>
      </w:pPr>
      <w:bookmarkStart w:id="21" w:name="_Toc335890809"/>
      <w:r>
        <w:tab/>
      </w:r>
      <w:r>
        <w:tab/>
      </w:r>
      <w:r w:rsidR="000416BC">
        <w:t>Article </w:t>
      </w:r>
      <w:r w:rsidR="006C72E1" w:rsidRPr="003C14FF">
        <w:t>9</w:t>
      </w:r>
      <w:bookmarkEnd w:id="21"/>
    </w:p>
    <w:p w:rsidR="006C72E1" w:rsidRPr="00100FAD" w:rsidRDefault="00AC696A" w:rsidP="0088706A">
      <w:pPr>
        <w:pStyle w:val="H1G"/>
        <w:rPr>
          <w:lang w:val="en-US"/>
        </w:rPr>
      </w:pPr>
      <w:r>
        <w:rPr>
          <w:lang w:val="en-US"/>
        </w:rPr>
        <w:tab/>
      </w:r>
      <w:r>
        <w:rPr>
          <w:lang w:val="en-US"/>
        </w:rPr>
        <w:tab/>
      </w:r>
      <w:r w:rsidR="001A574A">
        <w:rPr>
          <w:lang w:val="en-US"/>
        </w:rPr>
        <w:t>Article </w:t>
      </w:r>
      <w:r w:rsidR="006C72E1" w:rsidRPr="00100FAD">
        <w:rPr>
          <w:lang w:val="en-US"/>
        </w:rPr>
        <w:t>9</w:t>
      </w:r>
      <w:r w:rsidR="0088706A">
        <w:rPr>
          <w:lang w:val="en-US"/>
        </w:rPr>
        <w:t xml:space="preserve"> </w:t>
      </w:r>
      <w:r w:rsidR="006C72E1" w:rsidRPr="00100FAD">
        <w:rPr>
          <w:lang w:val="en-US"/>
        </w:rPr>
        <w:t>(</w:t>
      </w:r>
      <w:r w:rsidR="006C72E1" w:rsidRPr="00757FF2">
        <w:rPr>
          <w:lang w:val="en-US"/>
        </w:rPr>
        <w:t>1) and 9</w:t>
      </w:r>
      <w:r w:rsidR="0088706A">
        <w:rPr>
          <w:lang w:val="en-US"/>
        </w:rPr>
        <w:t xml:space="preserve"> </w:t>
      </w:r>
      <w:r w:rsidR="006C72E1" w:rsidRPr="00757FF2">
        <w:rPr>
          <w:lang w:val="en-US"/>
        </w:rPr>
        <w:t>(2)</w:t>
      </w:r>
      <w:r w:rsidR="006C72E1" w:rsidRPr="00100FAD">
        <w:rPr>
          <w:lang w:val="en-US"/>
        </w:rPr>
        <w:t xml:space="preserve"> </w:t>
      </w:r>
      <w:r w:rsidR="00EF3CB1">
        <w:rPr>
          <w:lang w:val="en-US"/>
        </w:rPr>
        <w:t>–</w:t>
      </w:r>
      <w:r w:rsidR="006C72E1">
        <w:rPr>
          <w:lang w:val="en-US"/>
        </w:rPr>
        <w:t xml:space="preserve"> </w:t>
      </w:r>
      <w:r w:rsidR="006C72E1" w:rsidRPr="00100FAD">
        <w:rPr>
          <w:lang w:val="en-US"/>
        </w:rPr>
        <w:t xml:space="preserve">Prevention of the </w:t>
      </w:r>
      <w:r w:rsidR="00C57BD5">
        <w:rPr>
          <w:lang w:val="en-US"/>
        </w:rPr>
        <w:t>o</w:t>
      </w:r>
      <w:r w:rsidR="006C72E1" w:rsidRPr="00100FAD">
        <w:rPr>
          <w:lang w:val="en-US"/>
        </w:rPr>
        <w:t>ffen</w:t>
      </w:r>
      <w:r w:rsidR="006C72E1">
        <w:rPr>
          <w:lang w:val="en-US"/>
        </w:rPr>
        <w:t>s</w:t>
      </w:r>
      <w:r w:rsidR="006C72E1" w:rsidRPr="00100FAD">
        <w:rPr>
          <w:lang w:val="en-US"/>
        </w:rPr>
        <w:t xml:space="preserve">es </w:t>
      </w:r>
      <w:r w:rsidR="006C72E1" w:rsidRPr="00100FAD">
        <w:rPr>
          <w:snapToGrid w:val="0"/>
          <w:lang w:val="en-US" w:bidi="he-IL"/>
        </w:rPr>
        <w:t xml:space="preserve">and </w:t>
      </w:r>
      <w:r w:rsidR="00C57BD5">
        <w:rPr>
          <w:lang w:val="en-US"/>
        </w:rPr>
        <w:t>p</w:t>
      </w:r>
      <w:r w:rsidR="006C72E1" w:rsidRPr="00100FAD">
        <w:rPr>
          <w:lang w:val="en-US"/>
        </w:rPr>
        <w:t xml:space="preserve">romoting </w:t>
      </w:r>
      <w:r w:rsidR="00C57BD5">
        <w:rPr>
          <w:lang w:val="en-US"/>
        </w:rPr>
        <w:t>a</w:t>
      </w:r>
      <w:r w:rsidR="006C72E1" w:rsidRPr="00100FAD">
        <w:rPr>
          <w:lang w:val="en-US"/>
        </w:rPr>
        <w:t>wareness</w:t>
      </w:r>
    </w:p>
    <w:p w:rsidR="006C72E1" w:rsidRDefault="006C72E1" w:rsidP="006D3B18">
      <w:pPr>
        <w:pStyle w:val="SingleTxtG"/>
        <w:numPr>
          <w:ilvl w:val="0"/>
          <w:numId w:val="12"/>
        </w:numPr>
        <w:ind w:left="1134" w:firstLine="0"/>
        <w:rPr>
          <w:snapToGrid w:val="0"/>
          <w:lang w:val="en-US"/>
        </w:rPr>
      </w:pPr>
      <w:r w:rsidRPr="002D2C27">
        <w:rPr>
          <w:snapToGrid w:val="0"/>
          <w:lang w:val="en-US"/>
        </w:rPr>
        <w:t xml:space="preserve">The Government of Israel spares no efforts in </w:t>
      </w:r>
      <w:r>
        <w:rPr>
          <w:snapToGrid w:val="0"/>
          <w:lang w:val="en-US"/>
        </w:rPr>
        <w:t>the prevention of the o</w:t>
      </w:r>
      <w:r w:rsidRPr="002D2C27">
        <w:rPr>
          <w:snapToGrid w:val="0"/>
          <w:lang w:val="en-US"/>
        </w:rPr>
        <w:t>ffen</w:t>
      </w:r>
      <w:r>
        <w:rPr>
          <w:snapToGrid w:val="0"/>
          <w:lang w:val="en-US"/>
        </w:rPr>
        <w:t>s</w:t>
      </w:r>
      <w:r w:rsidRPr="002D2C27">
        <w:rPr>
          <w:snapToGrid w:val="0"/>
          <w:lang w:val="en-US"/>
        </w:rPr>
        <w:t>es</w:t>
      </w:r>
      <w:r>
        <w:rPr>
          <w:snapToGrid w:val="0"/>
          <w:lang w:val="en-US"/>
        </w:rPr>
        <w:t xml:space="preserve"> referred to in the Protocol and</w:t>
      </w:r>
      <w:r w:rsidRPr="002D2C27">
        <w:rPr>
          <w:lang w:val="en-US"/>
        </w:rPr>
        <w:t xml:space="preserve"> promot</w:t>
      </w:r>
      <w:r>
        <w:rPr>
          <w:lang w:val="en-US"/>
        </w:rPr>
        <w:t>ing</w:t>
      </w:r>
      <w:r w:rsidRPr="002D2C27">
        <w:rPr>
          <w:lang w:val="en-US"/>
        </w:rPr>
        <w:t xml:space="preserve"> awareness</w:t>
      </w:r>
      <w:r>
        <w:rPr>
          <w:lang w:val="en-US"/>
        </w:rPr>
        <w:t xml:space="preserve">, both among the public </w:t>
      </w:r>
      <w:r w:rsidRPr="002D2C27">
        <w:rPr>
          <w:lang w:val="en-US"/>
        </w:rPr>
        <w:t>at large</w:t>
      </w:r>
      <w:r>
        <w:rPr>
          <w:lang w:val="en-US"/>
        </w:rPr>
        <w:t xml:space="preserve"> and among </w:t>
      </w:r>
      <w:r w:rsidRPr="002D2C27">
        <w:rPr>
          <w:lang w:val="en-US"/>
        </w:rPr>
        <w:t>children</w:t>
      </w:r>
      <w:r>
        <w:rPr>
          <w:lang w:val="en-US"/>
        </w:rPr>
        <w:t xml:space="preserve"> specifically</w:t>
      </w:r>
      <w:r w:rsidRPr="002D2C27">
        <w:rPr>
          <w:lang w:val="en-US"/>
        </w:rPr>
        <w:t xml:space="preserve">, in relation to </w:t>
      </w:r>
      <w:r>
        <w:rPr>
          <w:lang w:val="en-US"/>
        </w:rPr>
        <w:t xml:space="preserve">the </w:t>
      </w:r>
      <w:r w:rsidRPr="002D2C27">
        <w:rPr>
          <w:lang w:val="en-US"/>
        </w:rPr>
        <w:t>harmful effects of the</w:t>
      </w:r>
      <w:r>
        <w:rPr>
          <w:lang w:val="en-US"/>
        </w:rPr>
        <w:t>se</w:t>
      </w:r>
      <w:r w:rsidRPr="002D2C27">
        <w:rPr>
          <w:lang w:val="en-US"/>
        </w:rPr>
        <w:t xml:space="preserve"> </w:t>
      </w:r>
      <w:r w:rsidRPr="002D2C27">
        <w:rPr>
          <w:spacing w:val="1"/>
          <w:lang w:val="en-US"/>
        </w:rPr>
        <w:t>offen</w:t>
      </w:r>
      <w:r>
        <w:rPr>
          <w:spacing w:val="1"/>
          <w:lang w:val="en-US"/>
        </w:rPr>
        <w:t>s</w:t>
      </w:r>
      <w:r w:rsidRPr="002D2C27">
        <w:rPr>
          <w:spacing w:val="1"/>
          <w:lang w:val="en-US"/>
        </w:rPr>
        <w:t>es</w:t>
      </w:r>
      <w:r>
        <w:rPr>
          <w:spacing w:val="1"/>
          <w:lang w:val="en-US"/>
        </w:rPr>
        <w:t xml:space="preserve"> </w:t>
      </w:r>
      <w:r>
        <w:rPr>
          <w:lang w:val="en-US"/>
        </w:rPr>
        <w:t xml:space="preserve">and </w:t>
      </w:r>
      <w:r w:rsidRPr="002D2C27">
        <w:rPr>
          <w:lang w:val="en-US"/>
        </w:rPr>
        <w:t xml:space="preserve">preventive measures </w:t>
      </w:r>
      <w:r>
        <w:rPr>
          <w:lang w:val="en-US"/>
        </w:rPr>
        <w:t>that can be taken</w:t>
      </w:r>
      <w:r w:rsidRPr="002D2C27">
        <w:rPr>
          <w:spacing w:val="1"/>
          <w:lang w:val="en-US"/>
        </w:rPr>
        <w:t>.</w:t>
      </w:r>
      <w:r w:rsidRPr="002D2C27">
        <w:rPr>
          <w:lang w:val="en-US"/>
        </w:rPr>
        <w:t xml:space="preserve"> </w:t>
      </w:r>
    </w:p>
    <w:p w:rsidR="006C72E1" w:rsidRDefault="006C72E1" w:rsidP="00F574E1">
      <w:pPr>
        <w:pStyle w:val="SingleTxtG"/>
        <w:numPr>
          <w:ilvl w:val="0"/>
          <w:numId w:val="12"/>
        </w:numPr>
        <w:ind w:left="1134" w:firstLine="0"/>
      </w:pPr>
      <w:r w:rsidRPr="00D92653">
        <w:t xml:space="preserve">Due to the complex nature of the phenomenon, many governmental agencies are involved, in one way or another, in anti-trafficking efforts. The agencies </w:t>
      </w:r>
      <w:r w:rsidR="00F574E1">
        <w:t>that</w:t>
      </w:r>
      <w:r w:rsidR="00F574E1" w:rsidRPr="00D92653">
        <w:t xml:space="preserve"> </w:t>
      </w:r>
      <w:r w:rsidRPr="00D92653">
        <w:t xml:space="preserve">have taken the lead are: </w:t>
      </w:r>
      <w:r>
        <w:t xml:space="preserve">the </w:t>
      </w:r>
      <w:r w:rsidRPr="003345FE">
        <w:t>National Anti-Trafficking Coordination Office</w:t>
      </w:r>
      <w:r>
        <w:t>,</w:t>
      </w:r>
      <w:r w:rsidRPr="003345FE">
        <w:t xml:space="preserve"> the Ministry of Public Security and the Israel Police, the</w:t>
      </w:r>
      <w:r w:rsidRPr="00D92653">
        <w:t xml:space="preserve"> State Attorney</w:t>
      </w:r>
      <w:r w:rsidR="00C05EBD">
        <w:rPr>
          <w:rFonts w:hint="eastAsia"/>
        </w:rPr>
        <w:t>’</w:t>
      </w:r>
      <w:r w:rsidRPr="00D92653">
        <w:t xml:space="preserve">s Office, the Legal Aid </w:t>
      </w:r>
      <w:r>
        <w:t>Branch of the Ministry of Justice,</w:t>
      </w:r>
      <w:r w:rsidRPr="00D92653">
        <w:t xml:space="preserve"> the Ministry of Social Affairs and Social Services, the Ministry of Health, the Ministry of Education, and the Ministry of Foreign Affairs.</w:t>
      </w:r>
    </w:p>
    <w:p w:rsidR="006C72E1" w:rsidRPr="0097306E" w:rsidRDefault="003C14FF" w:rsidP="003C14FF">
      <w:pPr>
        <w:pStyle w:val="H23G"/>
        <w:rPr>
          <w:lang w:val="en-US" w:bidi="he-IL"/>
        </w:rPr>
      </w:pPr>
      <w:r>
        <w:rPr>
          <w:lang w:val="en-US" w:bidi="he-IL"/>
        </w:rPr>
        <w:tab/>
      </w:r>
      <w:r>
        <w:rPr>
          <w:lang w:val="en-US" w:bidi="he-IL"/>
        </w:rPr>
        <w:tab/>
      </w:r>
      <w:proofErr w:type="spellStart"/>
      <w:r w:rsidR="00D11C05">
        <w:rPr>
          <w:lang w:val="en-US" w:bidi="he-IL"/>
        </w:rPr>
        <w:t>Levinsky</w:t>
      </w:r>
      <w:proofErr w:type="spellEnd"/>
      <w:r w:rsidR="00D11C05">
        <w:rPr>
          <w:lang w:val="en-US" w:bidi="he-IL"/>
        </w:rPr>
        <w:t xml:space="preserve"> Clinic</w:t>
      </w:r>
    </w:p>
    <w:p w:rsidR="006C72E1" w:rsidRPr="00431C94" w:rsidRDefault="00D11C05" w:rsidP="006D3B18">
      <w:pPr>
        <w:pStyle w:val="SingleTxtG"/>
        <w:numPr>
          <w:ilvl w:val="0"/>
          <w:numId w:val="12"/>
        </w:numPr>
        <w:ind w:left="1134" w:firstLine="0"/>
        <w:rPr>
          <w:lang w:val="en-US" w:bidi="he-IL"/>
        </w:rPr>
      </w:pPr>
      <w:r>
        <w:rPr>
          <w:lang w:val="en-US" w:bidi="he-IL"/>
        </w:rPr>
        <w:t xml:space="preserve">The </w:t>
      </w:r>
      <w:proofErr w:type="spellStart"/>
      <w:r>
        <w:rPr>
          <w:lang w:val="en-US" w:bidi="he-IL"/>
        </w:rPr>
        <w:t>Levinsky</w:t>
      </w:r>
      <w:proofErr w:type="spellEnd"/>
      <w:r>
        <w:rPr>
          <w:lang w:val="en-US" w:bidi="he-IL"/>
        </w:rPr>
        <w:t xml:space="preserve"> Clinic (“</w:t>
      </w:r>
      <w:r w:rsidR="006C72E1" w:rsidRPr="002D2C27">
        <w:rPr>
          <w:lang w:val="en-US" w:bidi="he-IL"/>
        </w:rPr>
        <w:t>the Clinic</w:t>
      </w:r>
      <w:r>
        <w:rPr>
          <w:lang w:val="en-US" w:bidi="he-IL"/>
        </w:rPr>
        <w:t>”</w:t>
      </w:r>
      <w:r w:rsidR="006C72E1" w:rsidRPr="002D2C27">
        <w:rPr>
          <w:lang w:val="en-US" w:bidi="he-IL"/>
        </w:rPr>
        <w:t>) was established in 2002 by the</w:t>
      </w:r>
      <w:r w:rsidR="006C72E1">
        <w:rPr>
          <w:lang w:val="en-US" w:bidi="he-IL"/>
        </w:rPr>
        <w:t xml:space="preserve"> Ministry of Health</w:t>
      </w:r>
      <w:r w:rsidR="00C05EBD">
        <w:rPr>
          <w:rFonts w:hint="eastAsia"/>
          <w:lang w:val="en-US" w:bidi="he-IL"/>
        </w:rPr>
        <w:t>’</w:t>
      </w:r>
      <w:r w:rsidR="006C72E1">
        <w:rPr>
          <w:lang w:val="en-US" w:bidi="he-IL"/>
        </w:rPr>
        <w:t>s</w:t>
      </w:r>
      <w:r w:rsidR="006C72E1" w:rsidRPr="002D2C27">
        <w:rPr>
          <w:lang w:val="en-US" w:bidi="he-IL"/>
        </w:rPr>
        <w:t xml:space="preserve"> Tel Aviv </w:t>
      </w:r>
      <w:r w:rsidR="006C72E1">
        <w:rPr>
          <w:lang w:val="en-US" w:bidi="he-IL"/>
        </w:rPr>
        <w:t>District</w:t>
      </w:r>
      <w:r w:rsidR="006C72E1" w:rsidRPr="002D2C27">
        <w:rPr>
          <w:lang w:val="en-US" w:bidi="he-IL"/>
        </w:rPr>
        <w:t xml:space="preserve"> Health Clinic in order to reduce the rate of sexual</w:t>
      </w:r>
      <w:r w:rsidR="006C72E1">
        <w:rPr>
          <w:lang w:val="en-US" w:bidi="he-IL"/>
        </w:rPr>
        <w:t>ly</w:t>
      </w:r>
      <w:r w:rsidR="006C72E1" w:rsidRPr="002D2C27">
        <w:rPr>
          <w:lang w:val="en-US" w:bidi="he-IL"/>
        </w:rPr>
        <w:t xml:space="preserve"> transmitted diseases and raise awareness among </w:t>
      </w:r>
      <w:r w:rsidR="006C72E1">
        <w:rPr>
          <w:lang w:val="en-US" w:bidi="he-IL"/>
        </w:rPr>
        <w:t xml:space="preserve">the </w:t>
      </w:r>
      <w:r w:rsidR="006C72E1" w:rsidRPr="002D2C27">
        <w:rPr>
          <w:lang w:val="en-US" w:bidi="he-IL"/>
        </w:rPr>
        <w:t xml:space="preserve">public at risk. The Clinic provides </w:t>
      </w:r>
      <w:r w:rsidR="006C72E1" w:rsidRPr="00431C94">
        <w:rPr>
          <w:lang w:val="en-US" w:bidi="he-IL"/>
        </w:rPr>
        <w:t xml:space="preserve">medical services, diagnosis examination, and support and counseling, </w:t>
      </w:r>
      <w:r w:rsidR="006C72E1" w:rsidRPr="00431C94">
        <w:rPr>
          <w:lang w:val="en-US"/>
        </w:rPr>
        <w:t>all</w:t>
      </w:r>
      <w:r w:rsidR="006C72E1" w:rsidRPr="00431C94">
        <w:rPr>
          <w:lang w:val="en-US" w:bidi="he-IL"/>
        </w:rPr>
        <w:t xml:space="preserve"> of which are provided anonymously and free of charge. These services are given impartially </w:t>
      </w:r>
      <w:r w:rsidR="006C72E1">
        <w:rPr>
          <w:lang w:val="en-US" w:bidi="he-IL"/>
        </w:rPr>
        <w:t>to</w:t>
      </w:r>
      <w:r w:rsidR="006C72E1" w:rsidRPr="00431C94">
        <w:rPr>
          <w:lang w:val="en-US" w:bidi="he-IL"/>
        </w:rPr>
        <w:t xml:space="preserve"> </w:t>
      </w:r>
      <w:r w:rsidR="006C72E1">
        <w:rPr>
          <w:lang w:val="en-US" w:bidi="he-IL"/>
        </w:rPr>
        <w:t>individuals of all ages (including minors), without discrimination</w:t>
      </w:r>
      <w:r w:rsidR="006C72E1" w:rsidRPr="00431C94">
        <w:rPr>
          <w:lang w:val="en-US" w:bidi="he-IL"/>
        </w:rPr>
        <w:t xml:space="preserve">. </w:t>
      </w:r>
    </w:p>
    <w:p w:rsidR="006C72E1" w:rsidRPr="00431C94" w:rsidRDefault="006C72E1" w:rsidP="00F13CB3">
      <w:pPr>
        <w:pStyle w:val="SingleTxtG"/>
        <w:numPr>
          <w:ilvl w:val="0"/>
          <w:numId w:val="12"/>
        </w:numPr>
        <w:ind w:left="1134" w:firstLine="0"/>
        <w:rPr>
          <w:lang w:val="en-US" w:bidi="he-IL"/>
        </w:rPr>
      </w:pPr>
      <w:r w:rsidRPr="00431C94">
        <w:rPr>
          <w:lang w:val="en-US" w:bidi="he-IL"/>
        </w:rPr>
        <w:t>In line with other similar clinics worldwide, children and youth were identified as population</w:t>
      </w:r>
      <w:r>
        <w:rPr>
          <w:lang w:val="en-US" w:bidi="he-IL"/>
        </w:rPr>
        <w:t>s</w:t>
      </w:r>
      <w:r w:rsidRPr="00431C94">
        <w:rPr>
          <w:lang w:val="en-US" w:bidi="he-IL"/>
        </w:rPr>
        <w:t xml:space="preserve"> at risk for sexually transmitted diseases. The </w:t>
      </w:r>
      <w:proofErr w:type="spellStart"/>
      <w:r w:rsidRPr="00431C94">
        <w:rPr>
          <w:lang w:val="en-US" w:bidi="he-IL"/>
        </w:rPr>
        <w:t>Levinsky</w:t>
      </w:r>
      <w:proofErr w:type="spellEnd"/>
      <w:r w:rsidRPr="00431C94">
        <w:rPr>
          <w:lang w:val="en-US" w:bidi="he-IL"/>
        </w:rPr>
        <w:t xml:space="preserve"> Clinic provides support and counseling in matters relating to sex, sexually transmitted diseases, sexuality and sexual relationships</w:t>
      </w:r>
      <w:r>
        <w:rPr>
          <w:lang w:val="en-US" w:bidi="he-IL"/>
        </w:rPr>
        <w:t xml:space="preserve">, and also </w:t>
      </w:r>
      <w:r w:rsidRPr="00431C94">
        <w:rPr>
          <w:lang w:val="en-US" w:bidi="he-IL"/>
        </w:rPr>
        <w:t>organizes explanatory meetings and workshops outside the Clinic, such as in schools, military units and other educational frameworks.</w:t>
      </w:r>
      <w:r w:rsidR="00CD3B50">
        <w:rPr>
          <w:lang w:val="en-US" w:bidi="he-IL"/>
        </w:rPr>
        <w:t xml:space="preserve"> </w:t>
      </w:r>
    </w:p>
    <w:p w:rsidR="006C72E1" w:rsidRPr="00431C94" w:rsidRDefault="006C72E1" w:rsidP="00F13CB3">
      <w:pPr>
        <w:pStyle w:val="SingleTxtG"/>
        <w:numPr>
          <w:ilvl w:val="0"/>
          <w:numId w:val="12"/>
        </w:numPr>
        <w:ind w:left="1134" w:firstLine="0"/>
        <w:rPr>
          <w:lang w:val="en-US" w:bidi="he-IL"/>
        </w:rPr>
      </w:pPr>
      <w:r w:rsidRPr="00431C94">
        <w:rPr>
          <w:lang w:val="en-US" w:bidi="he-IL"/>
        </w:rPr>
        <w:t xml:space="preserve">The Clinic offers professional training on the subject of sex, sexuality, sexual orientation, </w:t>
      </w:r>
      <w:r>
        <w:rPr>
          <w:lang w:val="en-US" w:bidi="he-IL"/>
        </w:rPr>
        <w:t>and the identification</w:t>
      </w:r>
      <w:r w:rsidRPr="00431C94">
        <w:rPr>
          <w:lang w:val="en-US" w:bidi="he-IL"/>
        </w:rPr>
        <w:t>, treatment and prevention</w:t>
      </w:r>
      <w:r>
        <w:rPr>
          <w:lang w:val="en-US" w:bidi="he-IL"/>
        </w:rPr>
        <w:t xml:space="preserve"> of </w:t>
      </w:r>
      <w:r w:rsidR="00F13CB3" w:rsidRPr="00431C94">
        <w:rPr>
          <w:lang w:val="en-US" w:bidi="he-IL"/>
        </w:rPr>
        <w:t>sexually transmitted diseases</w:t>
      </w:r>
      <w:r w:rsidRPr="00431C94">
        <w:rPr>
          <w:lang w:val="en-US" w:bidi="he-IL"/>
        </w:rPr>
        <w:t>. During these meetings</w:t>
      </w:r>
      <w:r w:rsidR="00F13CB3">
        <w:rPr>
          <w:lang w:val="en-US" w:bidi="he-IL"/>
        </w:rPr>
        <w:t>,</w:t>
      </w:r>
      <w:r w:rsidRPr="00431C94">
        <w:rPr>
          <w:lang w:val="en-US" w:bidi="he-IL"/>
        </w:rPr>
        <w:t xml:space="preserve"> the staff promote </w:t>
      </w:r>
      <w:r w:rsidRPr="00E47890">
        <w:rPr>
          <w:lang w:val="en-US" w:bidi="he-IL"/>
        </w:rPr>
        <w:t>discussions about stigma, prejudice, ignorance and other challenging topics. The program qualifies professional teams that will facilitate prevention of sexually transmitted</w:t>
      </w:r>
      <w:r w:rsidRPr="00431C94">
        <w:rPr>
          <w:lang w:val="en-US" w:bidi="he-IL"/>
        </w:rPr>
        <w:t xml:space="preserve"> diseases </w:t>
      </w:r>
      <w:r w:rsidR="00F13CB3">
        <w:rPr>
          <w:lang w:val="en-US" w:bidi="he-IL"/>
        </w:rPr>
        <w:t>as well as</w:t>
      </w:r>
      <w:r w:rsidR="00F13CB3" w:rsidRPr="00431C94">
        <w:rPr>
          <w:lang w:val="en-US" w:bidi="he-IL"/>
        </w:rPr>
        <w:t xml:space="preserve"> </w:t>
      </w:r>
      <w:r w:rsidRPr="00431C94">
        <w:rPr>
          <w:lang w:val="en-US" w:bidi="he-IL"/>
        </w:rPr>
        <w:t>responsible behavior among youth, I</w:t>
      </w:r>
      <w:r w:rsidR="00F13CB3">
        <w:rPr>
          <w:lang w:val="en-US" w:bidi="he-IL"/>
        </w:rPr>
        <w:t xml:space="preserve">srael </w:t>
      </w:r>
      <w:r w:rsidRPr="00431C94">
        <w:rPr>
          <w:lang w:val="en-US" w:bidi="he-IL"/>
        </w:rPr>
        <w:t>D</w:t>
      </w:r>
      <w:r w:rsidR="00F13CB3">
        <w:rPr>
          <w:lang w:val="en-US" w:bidi="he-IL"/>
        </w:rPr>
        <w:t xml:space="preserve">efense </w:t>
      </w:r>
      <w:r w:rsidRPr="00431C94">
        <w:rPr>
          <w:lang w:val="en-US" w:bidi="he-IL"/>
        </w:rPr>
        <w:t>F</w:t>
      </w:r>
      <w:r w:rsidR="00F13CB3">
        <w:rPr>
          <w:lang w:val="en-US" w:bidi="he-IL"/>
        </w:rPr>
        <w:t>orces</w:t>
      </w:r>
      <w:r w:rsidRPr="00431C94">
        <w:rPr>
          <w:lang w:val="en-US" w:bidi="he-IL"/>
        </w:rPr>
        <w:t xml:space="preserve"> soldiers, students etc.</w:t>
      </w:r>
      <w:r w:rsidR="00CD3B50">
        <w:rPr>
          <w:lang w:val="en-US" w:bidi="he-IL"/>
        </w:rPr>
        <w:t xml:space="preserve"> </w:t>
      </w:r>
    </w:p>
    <w:p w:rsidR="006C72E1" w:rsidRPr="0097306E" w:rsidRDefault="003C14FF" w:rsidP="003C14FF">
      <w:pPr>
        <w:pStyle w:val="H23G"/>
      </w:pPr>
      <w:r>
        <w:tab/>
      </w:r>
      <w:r>
        <w:tab/>
      </w:r>
      <w:r w:rsidR="006C72E1" w:rsidRPr="0097306E">
        <w:t>Authority for the Advancement of the Status of Women</w:t>
      </w:r>
    </w:p>
    <w:p w:rsidR="006C72E1" w:rsidRPr="00870E63" w:rsidRDefault="006C72E1" w:rsidP="00D37622">
      <w:pPr>
        <w:pStyle w:val="SingleTxtG"/>
        <w:numPr>
          <w:ilvl w:val="0"/>
          <w:numId w:val="12"/>
        </w:numPr>
        <w:ind w:left="1134" w:firstLine="0"/>
        <w:rPr>
          <w:snapToGrid w:val="0"/>
          <w:u w:val="single"/>
        </w:rPr>
      </w:pPr>
      <w:r w:rsidRPr="00870E63">
        <w:rPr>
          <w:snapToGrid w:val="0"/>
        </w:rPr>
        <w:t>The Authority for the Advancement of the Status of Women</w:t>
      </w:r>
      <w:r>
        <w:rPr>
          <w:snapToGrid w:val="0"/>
        </w:rPr>
        <w:t>, under the auspices of the Prime Minister</w:t>
      </w:r>
      <w:r w:rsidR="00C05EBD">
        <w:rPr>
          <w:rFonts w:hint="eastAsia"/>
          <w:snapToGrid w:val="0"/>
        </w:rPr>
        <w:t>’</w:t>
      </w:r>
      <w:r>
        <w:rPr>
          <w:snapToGrid w:val="0"/>
        </w:rPr>
        <w:t>s Office,</w:t>
      </w:r>
      <w:r w:rsidRPr="00870E63">
        <w:rPr>
          <w:snapToGrid w:val="0"/>
        </w:rPr>
        <w:t xml:space="preserve"> is directing its efforts towards breaking the cycle of prostitution and addressing the phenomen</w:t>
      </w:r>
      <w:r w:rsidR="00D37622">
        <w:rPr>
          <w:snapToGrid w:val="0"/>
        </w:rPr>
        <w:t>on</w:t>
      </w:r>
      <w:r>
        <w:rPr>
          <w:snapToGrid w:val="0"/>
        </w:rPr>
        <w:t xml:space="preserve"> of </w:t>
      </w:r>
      <w:r w:rsidRPr="00870E63">
        <w:rPr>
          <w:snapToGrid w:val="0"/>
        </w:rPr>
        <w:t xml:space="preserve">prostitution in general, through public information campaigns and </w:t>
      </w:r>
      <w:proofErr w:type="spellStart"/>
      <w:r>
        <w:rPr>
          <w:snapToGrid w:val="0"/>
        </w:rPr>
        <w:t>i</w:t>
      </w:r>
      <w:r w:rsidRPr="00870E63">
        <w:rPr>
          <w:snapToGrid w:val="0"/>
        </w:rPr>
        <w:t>nter</w:t>
      </w:r>
      <w:r>
        <w:rPr>
          <w:snapToGrid w:val="0"/>
        </w:rPr>
        <w:t>m</w:t>
      </w:r>
      <w:r w:rsidRPr="00870E63">
        <w:rPr>
          <w:snapToGrid w:val="0"/>
        </w:rPr>
        <w:t>inisterial</w:t>
      </w:r>
      <w:proofErr w:type="spellEnd"/>
      <w:r w:rsidRPr="00870E63">
        <w:rPr>
          <w:snapToGrid w:val="0"/>
        </w:rPr>
        <w:t xml:space="preserve"> plans of action. These measures target both potential traffic</w:t>
      </w:r>
      <w:r w:rsidR="00D11C05">
        <w:rPr>
          <w:snapToGrid w:val="0"/>
        </w:rPr>
        <w:t>king victims and the potential “</w:t>
      </w:r>
      <w:r w:rsidRPr="00870E63">
        <w:rPr>
          <w:snapToGrid w:val="0"/>
        </w:rPr>
        <w:t>clients</w:t>
      </w:r>
      <w:r w:rsidR="00D11C05">
        <w:rPr>
          <w:snapToGrid w:val="0"/>
        </w:rPr>
        <w:t>”</w:t>
      </w:r>
      <w:r w:rsidRPr="00870E63">
        <w:rPr>
          <w:snapToGrid w:val="0"/>
        </w:rPr>
        <w:t xml:space="preserve"> of prostitution</w:t>
      </w:r>
      <w:r>
        <w:rPr>
          <w:snapToGrid w:val="0"/>
        </w:rPr>
        <w:t xml:space="preserve">. They have been widely acknowledged </w:t>
      </w:r>
      <w:r w:rsidRPr="00870E63">
        <w:rPr>
          <w:snapToGrid w:val="0"/>
        </w:rPr>
        <w:t xml:space="preserve">as </w:t>
      </w:r>
      <w:r>
        <w:rPr>
          <w:snapToGrid w:val="0"/>
        </w:rPr>
        <w:t xml:space="preserve">having contributed significantly to raising </w:t>
      </w:r>
      <w:r w:rsidRPr="00870E63">
        <w:rPr>
          <w:snapToGrid w:val="0"/>
        </w:rPr>
        <w:t>public awareness</w:t>
      </w:r>
      <w:r>
        <w:rPr>
          <w:snapToGrid w:val="0"/>
        </w:rPr>
        <w:t xml:space="preserve"> regarding prostitution and trafficking</w:t>
      </w:r>
      <w:r w:rsidRPr="00870E63">
        <w:rPr>
          <w:snapToGrid w:val="0"/>
        </w:rPr>
        <w:t xml:space="preserve">. </w:t>
      </w:r>
    </w:p>
    <w:p w:rsidR="006C72E1" w:rsidRPr="00870E63" w:rsidRDefault="006C72E1" w:rsidP="006D3B18">
      <w:pPr>
        <w:pStyle w:val="SingleTxtG"/>
        <w:numPr>
          <w:ilvl w:val="0"/>
          <w:numId w:val="12"/>
        </w:numPr>
        <w:ind w:left="1134" w:firstLine="0"/>
        <w:rPr>
          <w:snapToGrid w:val="0"/>
        </w:rPr>
      </w:pPr>
      <w:r w:rsidRPr="00870E63">
        <w:rPr>
          <w:snapToGrid w:val="0"/>
        </w:rPr>
        <w:t>The following are examples of these information and education campaigns:</w:t>
      </w:r>
    </w:p>
    <w:p w:rsidR="006C72E1" w:rsidRPr="000818A8" w:rsidRDefault="006C72E1" w:rsidP="00D37622">
      <w:pPr>
        <w:pStyle w:val="Bullet1G"/>
        <w:numPr>
          <w:ilvl w:val="0"/>
          <w:numId w:val="11"/>
        </w:numPr>
      </w:pPr>
      <w:r w:rsidRPr="000818A8">
        <w:t>The Authority</w:t>
      </w:r>
      <w:r w:rsidR="00895826">
        <w:t>’</w:t>
      </w:r>
      <w:r w:rsidRPr="000818A8">
        <w:t>s website (http://www.women.gov.il/MA/) is regularly updated with information regarding trafficking in women and related information on government plans for eliminating trafficking, as well as further relevant links on the issue.</w:t>
      </w:r>
    </w:p>
    <w:p w:rsidR="006C72E1" w:rsidRPr="000818A8" w:rsidRDefault="006C72E1" w:rsidP="00D37622">
      <w:pPr>
        <w:pStyle w:val="Bullet1G"/>
        <w:numPr>
          <w:ilvl w:val="0"/>
          <w:numId w:val="11"/>
        </w:numPr>
      </w:pPr>
      <w:r w:rsidRPr="000818A8">
        <w:t xml:space="preserve">The Authority </w:t>
      </w:r>
      <w:r w:rsidR="00D37622">
        <w:t xml:space="preserve">has </w:t>
      </w:r>
      <w:r w:rsidRPr="000818A8">
        <w:t>established and published a list of women who are experts on trafficking in women and gender issues, and fund</w:t>
      </w:r>
      <w:r w:rsidR="00D37622">
        <w:t>s</w:t>
      </w:r>
      <w:r w:rsidRPr="000818A8">
        <w:t xml:space="preserve"> their lectures in local authorities, </w:t>
      </w:r>
      <w:r w:rsidR="00D37622">
        <w:t>g</w:t>
      </w:r>
      <w:r w:rsidRPr="000818A8">
        <w:t xml:space="preserve">overnment </w:t>
      </w:r>
      <w:r w:rsidR="00D37622">
        <w:t>m</w:t>
      </w:r>
      <w:r w:rsidRPr="000818A8">
        <w:t xml:space="preserve">inistries and government hospitals all over the country. The lectures target the public and government officials. The list of lecturers is published </w:t>
      </w:r>
      <w:r w:rsidR="00D37622">
        <w:t>on</w:t>
      </w:r>
      <w:r w:rsidRPr="000818A8">
        <w:t xml:space="preserve"> the Authority</w:t>
      </w:r>
      <w:r w:rsidR="00414A22" w:rsidRPr="00E24068">
        <w:t>’</w:t>
      </w:r>
      <w:r w:rsidRPr="000818A8">
        <w:t xml:space="preserve">s website for the </w:t>
      </w:r>
      <w:r w:rsidR="00D37622">
        <w:t>benefit</w:t>
      </w:r>
      <w:r w:rsidR="00D37622" w:rsidRPr="000818A8">
        <w:t xml:space="preserve"> </w:t>
      </w:r>
      <w:r w:rsidRPr="000818A8">
        <w:t>of the public.</w:t>
      </w:r>
    </w:p>
    <w:p w:rsidR="006C72E1" w:rsidRPr="000818A8" w:rsidRDefault="006C72E1" w:rsidP="00D37622">
      <w:pPr>
        <w:pStyle w:val="Bullet1G"/>
        <w:numPr>
          <w:ilvl w:val="0"/>
          <w:numId w:val="11"/>
        </w:numPr>
      </w:pPr>
      <w:r w:rsidRPr="000818A8">
        <w:t xml:space="preserve">During 2011, the Authority initiated a new educational campaign for </w:t>
      </w:r>
      <w:r w:rsidR="00D37622">
        <w:t>young people</w:t>
      </w:r>
      <w:r w:rsidRPr="000818A8">
        <w:t xml:space="preserve">. It has appointed a professional team responsible </w:t>
      </w:r>
      <w:r w:rsidR="00D37622">
        <w:t>for creating</w:t>
      </w:r>
      <w:r w:rsidRPr="000818A8">
        <w:t xml:space="preserve"> a campaign targeted specifically at </w:t>
      </w:r>
      <w:r w:rsidR="00D37622">
        <w:t>young people</w:t>
      </w:r>
      <w:r w:rsidRPr="000818A8">
        <w:t xml:space="preserve">, in order to address several worrisome phenomena among Israeli youth, such as strip-tease performances during parties etc. The team is expected to launch the campaign in the next few months on websites targeted </w:t>
      </w:r>
      <w:r w:rsidR="00D37622">
        <w:t>to young people</w:t>
      </w:r>
      <w:r w:rsidRPr="000818A8">
        <w:t>.</w:t>
      </w:r>
      <w:r w:rsidR="00CD3B50">
        <w:t xml:space="preserve"> </w:t>
      </w:r>
    </w:p>
    <w:p w:rsidR="006C72E1" w:rsidRPr="000818A8" w:rsidRDefault="0032213C" w:rsidP="00D37622">
      <w:pPr>
        <w:pStyle w:val="Bullet1G"/>
        <w:numPr>
          <w:ilvl w:val="0"/>
          <w:numId w:val="11"/>
        </w:numPr>
      </w:pPr>
      <w:r>
        <w:t>An annual budget of NIS </w:t>
      </w:r>
      <w:r w:rsidR="006C72E1" w:rsidRPr="000818A8">
        <w:t>200,000 (US$</w:t>
      </w:r>
      <w:r w:rsidR="00D37622">
        <w:t xml:space="preserve"> </w:t>
      </w:r>
      <w:r w:rsidR="006C72E1" w:rsidRPr="000818A8">
        <w:t>54,000) is allocated by the Authority to the Ministry of Education</w:t>
      </w:r>
      <w:r w:rsidR="00414A22" w:rsidRPr="00E24068">
        <w:t>’</w:t>
      </w:r>
      <w:r w:rsidR="006C72E1" w:rsidRPr="000818A8">
        <w:t xml:space="preserve">s programming for raising awareness within the education system on the topic of trafficking in women (as described above). Teachers and other educators are provided with a detailed lesson regarding prostitution and trafficking in women as a form of slavery in the </w:t>
      </w:r>
      <w:r w:rsidR="00D37622">
        <w:t>twenty-first</w:t>
      </w:r>
      <w:r w:rsidR="00D37622" w:rsidRPr="000818A8">
        <w:t xml:space="preserve"> </w:t>
      </w:r>
      <w:r w:rsidR="006C72E1" w:rsidRPr="000818A8">
        <w:t>century, with booklets on trafficking in women, to serve to educate students on these subjects.</w:t>
      </w:r>
    </w:p>
    <w:p w:rsidR="006C72E1" w:rsidRPr="000818A8" w:rsidRDefault="006C72E1" w:rsidP="006D3B18">
      <w:pPr>
        <w:pStyle w:val="Bullet1G"/>
        <w:numPr>
          <w:ilvl w:val="0"/>
          <w:numId w:val="11"/>
        </w:numPr>
      </w:pPr>
      <w:r w:rsidRPr="000818A8">
        <w:t>The Authority annually updates and distributes th</w:t>
      </w:r>
      <w:r w:rsidR="00D11C05">
        <w:t>e “</w:t>
      </w:r>
      <w:r w:rsidRPr="000818A8">
        <w:t>Nobody has the right to hurt you</w:t>
      </w:r>
      <w:r w:rsidR="00D11C05">
        <w:t>”</w:t>
      </w:r>
      <w:r w:rsidRPr="000818A8">
        <w:t xml:space="preserve"> brochure, which includes </w:t>
      </w:r>
      <w:r w:rsidR="00D37622">
        <w:t xml:space="preserve">the </w:t>
      </w:r>
      <w:r w:rsidRPr="000818A8">
        <w:t>contact details of organizations that assist women who were victims of violence and of trafficking for prostitution. This brochure is distributed in hospitals, clinics</w:t>
      </w:r>
      <w:r w:rsidR="00D37622">
        <w:t xml:space="preserve"> and</w:t>
      </w:r>
      <w:r w:rsidRPr="000818A8">
        <w:t xml:space="preserve"> local authorities, </w:t>
      </w:r>
      <w:r w:rsidR="00D37622">
        <w:t xml:space="preserve">in </w:t>
      </w:r>
      <w:r w:rsidRPr="000818A8">
        <w:t xml:space="preserve">culture, youth and sports </w:t>
      </w:r>
      <w:proofErr w:type="spellStart"/>
      <w:r w:rsidRPr="000818A8">
        <w:t>centers</w:t>
      </w:r>
      <w:proofErr w:type="spellEnd"/>
      <w:r w:rsidRPr="000818A8">
        <w:t>, and during various public events conducted throughout the country. The brochure is published in Hebrew, English, French, Amharic, Russian, Spanish and Arabic.</w:t>
      </w:r>
    </w:p>
    <w:p w:rsidR="006C72E1" w:rsidRPr="000818A8" w:rsidRDefault="006C72E1" w:rsidP="006D3B18">
      <w:pPr>
        <w:pStyle w:val="Bullet1G"/>
        <w:numPr>
          <w:ilvl w:val="0"/>
          <w:numId w:val="11"/>
        </w:numPr>
      </w:pPr>
      <w:r w:rsidRPr="000818A8">
        <w:t>The Authority contacted officials of local authorities regarding strip clubs working within their jurisdiction, and the Chief of Police was requested to address the issue of advertisements for prostitution services distributed locally.</w:t>
      </w:r>
    </w:p>
    <w:p w:rsidR="006C72E1" w:rsidRPr="000818A8" w:rsidRDefault="006C72E1" w:rsidP="00D37622">
      <w:pPr>
        <w:pStyle w:val="Bullet1G"/>
        <w:numPr>
          <w:ilvl w:val="0"/>
          <w:numId w:val="11"/>
        </w:numPr>
      </w:pPr>
      <w:r w:rsidRPr="000818A8">
        <w:t>In addition, the Authority is cooperating with the Office of the National Anti-Trafficki</w:t>
      </w:r>
      <w:r w:rsidR="00D11C05">
        <w:t xml:space="preserve">ng Coordinator and the </w:t>
      </w:r>
      <w:r w:rsidRPr="000818A8">
        <w:t>Hotline for Migrant Workers to publish a brochure for the public detailing the means of identifying victims of all forms of trafficking. This brochure will be wholly funded by the Authority.</w:t>
      </w:r>
    </w:p>
    <w:p w:rsidR="006C72E1" w:rsidRPr="0097306E" w:rsidRDefault="003C14FF" w:rsidP="003C14FF">
      <w:pPr>
        <w:pStyle w:val="H23G"/>
      </w:pPr>
      <w:r>
        <w:tab/>
      </w:r>
      <w:r>
        <w:tab/>
      </w:r>
      <w:r w:rsidR="006C72E1" w:rsidRPr="0097306E">
        <w:t>Ministry of Education</w:t>
      </w:r>
    </w:p>
    <w:p w:rsidR="006C72E1" w:rsidRPr="00A11014" w:rsidRDefault="006C72E1" w:rsidP="00720CB3">
      <w:pPr>
        <w:pStyle w:val="SingleTxtG"/>
        <w:numPr>
          <w:ilvl w:val="0"/>
          <w:numId w:val="12"/>
        </w:numPr>
        <w:ind w:left="1134" w:firstLine="0"/>
      </w:pPr>
      <w:r w:rsidRPr="00A11014">
        <w:t>Educational programs on empowerment and ge</w:t>
      </w:r>
      <w:r w:rsidR="00BF118D">
        <w:t>nder equality for pupils aged 3</w:t>
      </w:r>
      <w:r w:rsidR="00720CB3">
        <w:t>–</w:t>
      </w:r>
      <w:r w:rsidRPr="00A11014">
        <w:t>16 and for all educational staff (e.g. teachers, principals):</w:t>
      </w:r>
    </w:p>
    <w:p w:rsidR="006C72E1" w:rsidRPr="00A11014" w:rsidRDefault="006C72E1" w:rsidP="006D3B18">
      <w:pPr>
        <w:pStyle w:val="Bullet1G"/>
        <w:numPr>
          <w:ilvl w:val="0"/>
          <w:numId w:val="11"/>
        </w:numPr>
      </w:pPr>
      <w:r w:rsidRPr="00A11014">
        <w:t>Seminars for teachers on challenging common stereotypes regarding gender, the status of w</w:t>
      </w:r>
      <w:r w:rsidR="005F5E61">
        <w:t>omen and violence against women;</w:t>
      </w:r>
    </w:p>
    <w:p w:rsidR="006C72E1" w:rsidRPr="00A11014" w:rsidRDefault="006C72E1" w:rsidP="006D3B18">
      <w:pPr>
        <w:pStyle w:val="Bullet1G"/>
        <w:numPr>
          <w:ilvl w:val="0"/>
          <w:numId w:val="11"/>
        </w:numPr>
      </w:pPr>
      <w:r w:rsidRPr="00A11014">
        <w:t>Integrating gender topics within education program</w:t>
      </w:r>
      <w:r w:rsidR="005F5E61">
        <w:t xml:space="preserve">s and </w:t>
      </w:r>
      <w:r w:rsidR="00720CB3">
        <w:t xml:space="preserve">the </w:t>
      </w:r>
      <w:r w:rsidR="005F5E61">
        <w:t>research papers of pupils;</w:t>
      </w:r>
    </w:p>
    <w:p w:rsidR="006C72E1" w:rsidRPr="00A11014" w:rsidRDefault="005F5E61" w:rsidP="006D3B18">
      <w:pPr>
        <w:pStyle w:val="Bullet1G"/>
        <w:numPr>
          <w:ilvl w:val="0"/>
          <w:numId w:val="11"/>
        </w:numPr>
      </w:pPr>
      <w:r>
        <w:t>Conventions and seminars;</w:t>
      </w:r>
    </w:p>
    <w:p w:rsidR="006C72E1" w:rsidRPr="00871E98" w:rsidRDefault="006C72E1" w:rsidP="006D3B18">
      <w:pPr>
        <w:pStyle w:val="Bullet1G"/>
        <w:numPr>
          <w:ilvl w:val="0"/>
          <w:numId w:val="11"/>
        </w:numPr>
      </w:pPr>
      <w:r w:rsidRPr="00A11014">
        <w:t>Programs designated for pupils on issues of empowerment, gender, equality between the genders, preventing trafficking in women and violence against women.</w:t>
      </w:r>
    </w:p>
    <w:p w:rsidR="006C72E1" w:rsidRPr="00A11014" w:rsidRDefault="006C72E1" w:rsidP="006D3B18">
      <w:pPr>
        <w:pStyle w:val="SingleTxtG"/>
        <w:numPr>
          <w:ilvl w:val="0"/>
          <w:numId w:val="12"/>
        </w:numPr>
        <w:ind w:left="1134" w:firstLine="0"/>
      </w:pPr>
      <w:r w:rsidRPr="00A11014">
        <w:t>Programs focused on preventing human trafficking and violence against women and young girls:</w:t>
      </w:r>
    </w:p>
    <w:p w:rsidR="006C72E1" w:rsidRPr="00871E98" w:rsidRDefault="006C72E1" w:rsidP="006D3B18">
      <w:pPr>
        <w:pStyle w:val="Bullet1G"/>
        <w:numPr>
          <w:ilvl w:val="0"/>
          <w:numId w:val="11"/>
        </w:numPr>
      </w:pPr>
      <w:r>
        <w:t>A p</w:t>
      </w:r>
      <w:r w:rsidRPr="00871E98">
        <w:t>rogram for pupils and seminars for teachers on gender eq</w:t>
      </w:r>
      <w:r w:rsidR="004200F2">
        <w:t>uality –</w:t>
      </w:r>
      <w:r w:rsidR="00BB08A2">
        <w:t xml:space="preserve"> in the Jewish education system;</w:t>
      </w:r>
    </w:p>
    <w:p w:rsidR="006C72E1" w:rsidRPr="00871E98" w:rsidRDefault="006C72E1" w:rsidP="006D3B18">
      <w:pPr>
        <w:pStyle w:val="Bullet1G"/>
        <w:numPr>
          <w:ilvl w:val="0"/>
          <w:numId w:val="11"/>
        </w:numPr>
      </w:pPr>
      <w:r w:rsidRPr="00871E98">
        <w:t>Programs for pre</w:t>
      </w:r>
      <w:r w:rsidR="004200F2">
        <w:t>venting violence against women –</w:t>
      </w:r>
      <w:r w:rsidRPr="00871E98">
        <w:t xml:space="preserve"> in the </w:t>
      </w:r>
      <w:r w:rsidR="00BB08A2">
        <w:t>Arab education system;</w:t>
      </w:r>
    </w:p>
    <w:p w:rsidR="006C72E1" w:rsidRPr="00871E98" w:rsidRDefault="006C72E1" w:rsidP="00DE483E">
      <w:pPr>
        <w:pStyle w:val="Bullet1G"/>
        <w:numPr>
          <w:ilvl w:val="0"/>
          <w:numId w:val="11"/>
        </w:numPr>
      </w:pPr>
      <w:r w:rsidRPr="00871E98">
        <w:t>Lectures for pupils and teachers in junior high school during the month of November, marking International Day for the Elimination of Violence Against Women. Every year, 200 lectures are given throughout the country, in collaboration with the Authority for the Adv</w:t>
      </w:r>
      <w:r w:rsidR="00BB08A2">
        <w:t>ancement of the Status of Women;</w:t>
      </w:r>
    </w:p>
    <w:p w:rsidR="006C72E1" w:rsidRPr="00871E98" w:rsidRDefault="006C72E1" w:rsidP="006D3B18">
      <w:pPr>
        <w:pStyle w:val="Bullet1G"/>
        <w:numPr>
          <w:ilvl w:val="0"/>
          <w:numId w:val="11"/>
        </w:numPr>
      </w:pPr>
      <w:r w:rsidRPr="00871E98">
        <w:t xml:space="preserve">Conventions for teachers and pupils </w:t>
      </w:r>
      <w:r w:rsidR="00BB08A2">
        <w:t>in junior high school entitled “Human Dignity – Men and Women”</w:t>
      </w:r>
      <w:r w:rsidRPr="00871E98">
        <w:t>, dealing with the prevention of trafficking in women (seven conventions in collaboration with the Authority for the Advancement of the Status of Women</w:t>
      </w:r>
      <w:r>
        <w:t xml:space="preserve"> have taken place thus far</w:t>
      </w:r>
      <w:r w:rsidR="00BB08A2">
        <w:t>);</w:t>
      </w:r>
    </w:p>
    <w:p w:rsidR="006C72E1" w:rsidRPr="00871E98" w:rsidRDefault="006C72E1" w:rsidP="00DE483E">
      <w:pPr>
        <w:pStyle w:val="Bullet1G"/>
        <w:numPr>
          <w:ilvl w:val="0"/>
          <w:numId w:val="11"/>
        </w:numPr>
      </w:pPr>
      <w:r w:rsidRPr="00871E98">
        <w:t>Informational brochures are sent to schoo</w:t>
      </w:r>
      <w:r w:rsidR="00BB08A2">
        <w:t>ls and uploaded on the Ministry’</w:t>
      </w:r>
      <w:r w:rsidRPr="00871E98">
        <w:t>s website, to mark International Day for the Elimination of Violence Against Women.</w:t>
      </w:r>
    </w:p>
    <w:p w:rsidR="006C72E1" w:rsidRPr="002D2C27" w:rsidRDefault="006C72E1" w:rsidP="006D3B18">
      <w:pPr>
        <w:pStyle w:val="SingleTxtG"/>
        <w:numPr>
          <w:ilvl w:val="0"/>
          <w:numId w:val="12"/>
        </w:numPr>
        <w:ind w:left="1134" w:firstLine="0"/>
        <w:rPr>
          <w:szCs w:val="24"/>
          <w:lang w:val="en-US"/>
        </w:rPr>
      </w:pPr>
      <w:r>
        <w:rPr>
          <w:lang w:val="en-US"/>
        </w:rPr>
        <w:t>T</w:t>
      </w:r>
      <w:r w:rsidRPr="002D2C27">
        <w:rPr>
          <w:lang w:val="en-US"/>
        </w:rPr>
        <w:t xml:space="preserve">he Ministry </w:t>
      </w:r>
      <w:r>
        <w:rPr>
          <w:lang w:val="en-US"/>
        </w:rPr>
        <w:t xml:space="preserve">of Education </w:t>
      </w:r>
      <w:r w:rsidRPr="002D2C27">
        <w:rPr>
          <w:lang w:val="en-US"/>
        </w:rPr>
        <w:t xml:space="preserve">is disseminating the </w:t>
      </w:r>
      <w:r>
        <w:rPr>
          <w:lang w:val="en-US"/>
        </w:rPr>
        <w:t xml:space="preserve">text of the Convention on the Rights of the Child </w:t>
      </w:r>
      <w:r w:rsidRPr="002D2C27">
        <w:rPr>
          <w:lang w:val="en-US"/>
        </w:rPr>
        <w:t xml:space="preserve">to educational psychologists and the Psychological Counseling Services stations (SHEFI), thereby encouraging psychologists to assist schools in promoting </w:t>
      </w:r>
      <w:r w:rsidRPr="002D2C27">
        <w:rPr>
          <w:szCs w:val="24"/>
          <w:lang w:val="en-US"/>
        </w:rPr>
        <w:t>awareness</w:t>
      </w:r>
      <w:r>
        <w:rPr>
          <w:szCs w:val="24"/>
          <w:lang w:val="en-US"/>
        </w:rPr>
        <w:t xml:space="preserve"> of the rights of children</w:t>
      </w:r>
      <w:r w:rsidRPr="002D2C27">
        <w:rPr>
          <w:lang w:val="en-US"/>
        </w:rPr>
        <w:t xml:space="preserve"> among </w:t>
      </w:r>
      <w:r>
        <w:rPr>
          <w:lang w:val="en-US"/>
        </w:rPr>
        <w:t>the teaching staff and students</w:t>
      </w:r>
      <w:r w:rsidRPr="002D2C27">
        <w:rPr>
          <w:szCs w:val="24"/>
          <w:lang w:val="en-US"/>
        </w:rPr>
        <w:t>.</w:t>
      </w:r>
    </w:p>
    <w:p w:rsidR="006C72E1" w:rsidRPr="002D2C27" w:rsidRDefault="006C72E1" w:rsidP="00DE483E">
      <w:pPr>
        <w:pStyle w:val="SingleTxtG"/>
        <w:numPr>
          <w:ilvl w:val="0"/>
          <w:numId w:val="12"/>
        </w:numPr>
        <w:ind w:left="1134" w:firstLine="0"/>
        <w:rPr>
          <w:lang w:val="en-US"/>
        </w:rPr>
      </w:pPr>
      <w:r w:rsidRPr="002D2C27">
        <w:rPr>
          <w:lang w:val="en-US"/>
        </w:rPr>
        <w:t xml:space="preserve">SHEFI </w:t>
      </w:r>
      <w:r>
        <w:rPr>
          <w:lang w:val="en-US"/>
        </w:rPr>
        <w:t xml:space="preserve">employs </w:t>
      </w:r>
      <w:r w:rsidRPr="002D2C27">
        <w:rPr>
          <w:lang w:val="en-US"/>
        </w:rPr>
        <w:t>approximately 50 consultants, advis</w:t>
      </w:r>
      <w:r w:rsidR="00DE483E">
        <w:rPr>
          <w:lang w:val="en-US"/>
        </w:rPr>
        <w:t>e</w:t>
      </w:r>
      <w:r w:rsidRPr="002D2C27">
        <w:rPr>
          <w:lang w:val="en-US"/>
        </w:rPr>
        <w:t xml:space="preserve">rs, experts and psychologists specializing in sexuality, family relations and domestic disputes as well as the prevention of sexual vulnerability and the </w:t>
      </w:r>
      <w:r>
        <w:rPr>
          <w:lang w:val="en-US"/>
        </w:rPr>
        <w:t>detection</w:t>
      </w:r>
      <w:r w:rsidRPr="002D2C27">
        <w:rPr>
          <w:lang w:val="en-US"/>
        </w:rPr>
        <w:t xml:space="preserve"> of potential abuse situations. These experts guide and </w:t>
      </w:r>
      <w:r>
        <w:rPr>
          <w:lang w:val="en-US"/>
        </w:rPr>
        <w:t>accompany</w:t>
      </w:r>
      <w:r w:rsidRPr="002D2C27">
        <w:rPr>
          <w:lang w:val="en-US"/>
        </w:rPr>
        <w:t xml:space="preserve"> school personnel in the implementation of educational programs and</w:t>
      </w:r>
      <w:r>
        <w:rPr>
          <w:lang w:val="en-US"/>
        </w:rPr>
        <w:t xml:space="preserve"> in making</w:t>
      </w:r>
      <w:r w:rsidRPr="002D2C27">
        <w:rPr>
          <w:lang w:val="en-US"/>
        </w:rPr>
        <w:t xml:space="preserve"> intervention</w:t>
      </w:r>
      <w:r>
        <w:rPr>
          <w:lang w:val="en-US"/>
        </w:rPr>
        <w:t>s</w:t>
      </w:r>
      <w:r w:rsidRPr="002D2C27">
        <w:rPr>
          <w:lang w:val="en-US"/>
        </w:rPr>
        <w:t xml:space="preserve"> where suspicio</w:t>
      </w:r>
      <w:r>
        <w:rPr>
          <w:lang w:val="en-US"/>
        </w:rPr>
        <w:t>n</w:t>
      </w:r>
      <w:r w:rsidRPr="002D2C27">
        <w:rPr>
          <w:lang w:val="en-US"/>
        </w:rPr>
        <w:t xml:space="preserve">s of exploitation </w:t>
      </w:r>
      <w:r>
        <w:rPr>
          <w:lang w:val="en-US"/>
        </w:rPr>
        <w:t>or</w:t>
      </w:r>
      <w:r w:rsidRPr="002D2C27">
        <w:rPr>
          <w:lang w:val="en-US"/>
        </w:rPr>
        <w:t xml:space="preserve"> abuse are raised. </w:t>
      </w:r>
    </w:p>
    <w:p w:rsidR="006C72E1" w:rsidRPr="009D7729" w:rsidRDefault="006C72E1" w:rsidP="006D3B18">
      <w:pPr>
        <w:pStyle w:val="SingleTxtG"/>
        <w:numPr>
          <w:ilvl w:val="0"/>
          <w:numId w:val="12"/>
        </w:numPr>
        <w:ind w:left="1134" w:firstLine="0"/>
        <w:rPr>
          <w:lang w:val="en-US" w:bidi="he-IL"/>
        </w:rPr>
      </w:pPr>
      <w:r w:rsidRPr="009D7729">
        <w:rPr>
          <w:bCs/>
          <w:lang w:val="en-US"/>
        </w:rPr>
        <w:t>Se</w:t>
      </w:r>
      <w:r w:rsidR="003F57BD">
        <w:rPr>
          <w:bCs/>
          <w:lang w:val="en-US"/>
        </w:rPr>
        <w:t>minars and study days –</w:t>
      </w:r>
      <w:r w:rsidRPr="009D7729">
        <w:rPr>
          <w:bCs/>
          <w:lang w:val="en-US"/>
        </w:rPr>
        <w:t xml:space="preserve"> </w:t>
      </w:r>
      <w:r w:rsidRPr="009D7729">
        <w:rPr>
          <w:lang w:val="en-US"/>
        </w:rPr>
        <w:t>SHEFI personnel undergo professional training regarding sexual abuse and distress and the duty to recognize and report potential abuse situatio</w:t>
      </w:r>
      <w:r w:rsidR="003F57BD">
        <w:rPr>
          <w:lang w:val="en-US"/>
        </w:rPr>
        <w:t>ns. The courses taught include “</w:t>
      </w:r>
      <w:r w:rsidRPr="009D7729">
        <w:rPr>
          <w:lang w:val="en-US"/>
        </w:rPr>
        <w:t>From Healthy Sex</w:t>
      </w:r>
      <w:r w:rsidR="003F57BD">
        <w:rPr>
          <w:lang w:val="en-US"/>
        </w:rPr>
        <w:t>uality to Sexual Abuse and Back”</w:t>
      </w:r>
      <w:r w:rsidRPr="009D7729">
        <w:rPr>
          <w:lang w:val="en-US"/>
        </w:rPr>
        <w:t xml:space="preserve">; </w:t>
      </w:r>
      <w:r w:rsidR="003F57BD">
        <w:rPr>
          <w:lang w:val="en-US" w:bidi="he-IL"/>
        </w:rPr>
        <w:t>“</w:t>
      </w:r>
      <w:r w:rsidRPr="009D7729">
        <w:rPr>
          <w:lang w:val="en-US" w:bidi="he-IL"/>
        </w:rPr>
        <w:t>Identifying Children at Risk</w:t>
      </w:r>
      <w:r w:rsidR="003F57BD">
        <w:rPr>
          <w:lang w:val="en-US" w:bidi="he-IL"/>
        </w:rPr>
        <w:t>”; “</w:t>
      </w:r>
      <w:r w:rsidRPr="009D7729">
        <w:rPr>
          <w:lang w:val="en-US" w:bidi="he-IL"/>
        </w:rPr>
        <w:t xml:space="preserve">Treating and </w:t>
      </w:r>
      <w:r w:rsidR="003F57BD">
        <w:rPr>
          <w:lang w:val="en-US" w:bidi="he-IL"/>
        </w:rPr>
        <w:t>Caring for Sexual Crime Victims”; “</w:t>
      </w:r>
      <w:r w:rsidRPr="009D7729">
        <w:rPr>
          <w:lang w:val="en-US" w:bidi="he-IL"/>
        </w:rPr>
        <w:t>Treating Children with Sexual</w:t>
      </w:r>
      <w:r w:rsidRPr="009D7729">
        <w:rPr>
          <w:lang w:val="en-US"/>
        </w:rPr>
        <w:t xml:space="preserve"> Behavior </w:t>
      </w:r>
      <w:r w:rsidR="003F57BD">
        <w:rPr>
          <w:lang w:val="en-US" w:bidi="he-IL"/>
        </w:rPr>
        <w:t>Disorders”</w:t>
      </w:r>
      <w:r w:rsidRPr="009D7729">
        <w:rPr>
          <w:lang w:val="en-US" w:bidi="he-IL"/>
        </w:rPr>
        <w:t xml:space="preserve">. </w:t>
      </w:r>
    </w:p>
    <w:p w:rsidR="006C72E1" w:rsidRPr="009D7729" w:rsidRDefault="006C72E1" w:rsidP="00A56102">
      <w:pPr>
        <w:pStyle w:val="SingleTxtG"/>
        <w:numPr>
          <w:ilvl w:val="0"/>
          <w:numId w:val="12"/>
        </w:numPr>
        <w:ind w:left="1134" w:firstLine="0"/>
        <w:rPr>
          <w:lang w:val="en-US"/>
        </w:rPr>
      </w:pPr>
      <w:r w:rsidRPr="009D7729">
        <w:rPr>
          <w:bCs/>
          <w:lang w:val="en-US"/>
        </w:rPr>
        <w:t>Treatment and care</w:t>
      </w:r>
      <w:r w:rsidR="003F57BD">
        <w:rPr>
          <w:lang w:val="en-US"/>
        </w:rPr>
        <w:t xml:space="preserve"> –</w:t>
      </w:r>
      <w:r w:rsidRPr="009D7729">
        <w:rPr>
          <w:lang w:val="en-US"/>
        </w:rPr>
        <w:t xml:space="preserve"> </w:t>
      </w:r>
      <w:r w:rsidRPr="009D7729">
        <w:rPr>
          <w:lang w:val="en-US" w:bidi="he-IL"/>
        </w:rPr>
        <w:t xml:space="preserve">SHEFI has trained about 500 pedagogical psychologists to treat child victims of sexual offenses. Around 160 children are treated annually by SHEFI professionals. In addition, courses are taught on treatment and care for children with emotional and behavioral problems. This includes a unique approach on how to identify </w:t>
      </w:r>
      <w:r w:rsidR="00A56102">
        <w:rPr>
          <w:lang w:val="en-US" w:bidi="he-IL"/>
        </w:rPr>
        <w:t xml:space="preserve">child hardship </w:t>
      </w:r>
      <w:r w:rsidRPr="009D7729">
        <w:rPr>
          <w:lang w:val="en-US" w:bidi="he-IL"/>
        </w:rPr>
        <w:t xml:space="preserve">and assist </w:t>
      </w:r>
      <w:r w:rsidR="00A56102">
        <w:rPr>
          <w:lang w:val="en-US" w:bidi="he-IL"/>
        </w:rPr>
        <w:t>in such cases</w:t>
      </w:r>
      <w:r w:rsidRPr="009D7729">
        <w:rPr>
          <w:lang w:val="en-US" w:bidi="he-IL"/>
        </w:rPr>
        <w:t>.</w:t>
      </w:r>
      <w:r w:rsidR="00CD3B50">
        <w:rPr>
          <w:lang w:val="en-US" w:bidi="he-IL"/>
        </w:rPr>
        <w:t xml:space="preserve"> </w:t>
      </w:r>
    </w:p>
    <w:p w:rsidR="006C72E1" w:rsidRPr="009D7729" w:rsidRDefault="006C72E1" w:rsidP="00A56102">
      <w:pPr>
        <w:pStyle w:val="SingleTxtG"/>
        <w:numPr>
          <w:ilvl w:val="0"/>
          <w:numId w:val="12"/>
        </w:numPr>
        <w:ind w:left="1134" w:firstLine="0"/>
        <w:rPr>
          <w:lang w:val="en-US" w:bidi="he-IL"/>
        </w:rPr>
      </w:pPr>
      <w:r w:rsidRPr="009D7729">
        <w:rPr>
          <w:bCs/>
          <w:lang w:val="en-US"/>
        </w:rPr>
        <w:t xml:space="preserve">Prevention programs </w:t>
      </w:r>
      <w:r w:rsidR="003F57BD">
        <w:rPr>
          <w:bCs/>
          <w:lang w:val="en-US"/>
        </w:rPr>
        <w:t>–</w:t>
      </w:r>
      <w:r w:rsidRPr="009D7729">
        <w:rPr>
          <w:lang w:val="en-US" w:bidi="he-IL"/>
        </w:rPr>
        <w:t xml:space="preserve"> the Ministry of Education operates several programs in elementary and middle schools. One of the more substantial p</w:t>
      </w:r>
      <w:r w:rsidR="003F57BD">
        <w:rPr>
          <w:lang w:val="en-US" w:bidi="he-IL"/>
        </w:rPr>
        <w:t xml:space="preserve">rograms, called “Life </w:t>
      </w:r>
      <w:r w:rsidR="00A56102">
        <w:rPr>
          <w:lang w:val="en-US" w:bidi="he-IL"/>
        </w:rPr>
        <w:t>S</w:t>
      </w:r>
      <w:r w:rsidR="003F57BD">
        <w:rPr>
          <w:lang w:val="en-US" w:bidi="he-IL"/>
        </w:rPr>
        <w:t>kills” (“</w:t>
      </w:r>
      <w:proofErr w:type="spellStart"/>
      <w:r w:rsidR="003F57BD">
        <w:rPr>
          <w:lang w:val="en-US" w:bidi="he-IL"/>
        </w:rPr>
        <w:t>Kishurey</w:t>
      </w:r>
      <w:proofErr w:type="spellEnd"/>
      <w:r w:rsidR="003F57BD">
        <w:rPr>
          <w:lang w:val="en-US" w:bidi="he-IL"/>
        </w:rPr>
        <w:t xml:space="preserve"> Haim”</w:t>
      </w:r>
      <w:r w:rsidRPr="009D7729">
        <w:rPr>
          <w:lang w:val="en-US" w:bidi="he-IL"/>
        </w:rPr>
        <w:t xml:space="preserve">), teaches about safe browsing of the internet, </w:t>
      </w:r>
      <w:r w:rsidRPr="009D7729">
        <w:rPr>
          <w:lang w:val="en-US"/>
        </w:rPr>
        <w:t>dealing</w:t>
      </w:r>
      <w:r w:rsidRPr="009D7729">
        <w:rPr>
          <w:lang w:val="en-US" w:bidi="he-IL"/>
        </w:rPr>
        <w:t xml:space="preserve"> with pornography</w:t>
      </w:r>
      <w:r w:rsidR="00A56102">
        <w:rPr>
          <w:lang w:val="en-US" w:bidi="he-IL"/>
        </w:rPr>
        <w:t>,</w:t>
      </w:r>
      <w:r w:rsidRPr="009D7729">
        <w:rPr>
          <w:lang w:val="en-US" w:bidi="he-IL"/>
        </w:rPr>
        <w:t xml:space="preserve"> and more. Educational materials are written and developed, and real-time assistance by professionals is available for school personnel. </w:t>
      </w:r>
    </w:p>
    <w:p w:rsidR="006C72E1" w:rsidRPr="009D7729" w:rsidRDefault="006C72E1" w:rsidP="006D3B18">
      <w:pPr>
        <w:pStyle w:val="SingleTxtG"/>
        <w:numPr>
          <w:ilvl w:val="0"/>
          <w:numId w:val="12"/>
        </w:numPr>
        <w:ind w:left="1134" w:firstLine="0"/>
        <w:rPr>
          <w:lang w:val="en-US" w:bidi="he-IL"/>
        </w:rPr>
      </w:pPr>
      <w:r w:rsidRPr="009D7729">
        <w:rPr>
          <w:lang w:val="en-US"/>
        </w:rPr>
        <w:t xml:space="preserve">The </w:t>
      </w:r>
      <w:r w:rsidRPr="009D7729">
        <w:rPr>
          <w:lang w:val="en-US" w:bidi="he-IL"/>
        </w:rPr>
        <w:t xml:space="preserve">Ministry of Education has published on its official website the Hebrew translation of the Convention on the Rights of the Child, as well as its child-friendly version, and the text of the Protocol. </w:t>
      </w:r>
    </w:p>
    <w:p w:rsidR="006C72E1" w:rsidRPr="00E94F7E" w:rsidRDefault="003C14FF" w:rsidP="003C14FF">
      <w:pPr>
        <w:pStyle w:val="H23G"/>
      </w:pPr>
      <w:r>
        <w:tab/>
      </w:r>
      <w:r>
        <w:tab/>
      </w:r>
      <w:r w:rsidR="006C72E1" w:rsidRPr="0097306E">
        <w:t>Nat</w:t>
      </w:r>
      <w:r w:rsidR="006C72E1" w:rsidRPr="00E94F7E">
        <w:t>ional Anti-Trafficking Coordination Office</w:t>
      </w:r>
    </w:p>
    <w:p w:rsidR="006C72E1" w:rsidRPr="00FC563E" w:rsidRDefault="006C72E1" w:rsidP="006D3B18">
      <w:pPr>
        <w:pStyle w:val="SingleTxtG"/>
        <w:numPr>
          <w:ilvl w:val="0"/>
          <w:numId w:val="12"/>
        </w:numPr>
        <w:ind w:left="1134" w:firstLine="0"/>
        <w:rPr>
          <w:u w:val="single"/>
        </w:rPr>
      </w:pPr>
      <w:r>
        <w:t>While data in recent years shows that trafficking in children is not an issue in Israel, Israel is aware of the need to combat trafficking in children worldwide, and remains vigilant as to any possible emergence of such a phenomenon in Israel. To that end, several government bodies take an active role in raising awareness of trafficking.</w:t>
      </w:r>
    </w:p>
    <w:p w:rsidR="006C72E1" w:rsidRPr="00E94F7E" w:rsidRDefault="006C72E1" w:rsidP="006D3B18">
      <w:pPr>
        <w:pStyle w:val="SingleTxtG"/>
        <w:numPr>
          <w:ilvl w:val="0"/>
          <w:numId w:val="12"/>
        </w:numPr>
        <w:ind w:left="1134" w:firstLine="0"/>
      </w:pPr>
      <w:r>
        <w:t>T</w:t>
      </w:r>
      <w:r w:rsidRPr="00E94F7E">
        <w:t>he National Anti-Trafficking Coordination Office has a central role in the fight against trafficking on two levels: creating mechanisms to encourage cooperation</w:t>
      </w:r>
      <w:r w:rsidR="00A56102">
        <w:t>,</w:t>
      </w:r>
      <w:r w:rsidRPr="00E94F7E">
        <w:t xml:space="preserve"> and designing substantive initiatives. </w:t>
      </w:r>
    </w:p>
    <w:p w:rsidR="006C72E1" w:rsidRPr="00E94F7E" w:rsidRDefault="006C72E1" w:rsidP="00673615">
      <w:pPr>
        <w:pStyle w:val="SingleTxtG"/>
        <w:numPr>
          <w:ilvl w:val="0"/>
          <w:numId w:val="12"/>
        </w:numPr>
        <w:ind w:left="1134" w:firstLine="0"/>
      </w:pPr>
      <w:r w:rsidRPr="00E94F7E">
        <w:t xml:space="preserve">The Office assists policymaking in this area and in particular as regards protection of victims. It makes efforts to identify </w:t>
      </w:r>
      <w:r>
        <w:t>potential issues</w:t>
      </w:r>
      <w:r w:rsidRPr="00E94F7E">
        <w:t xml:space="preserve"> and bring about solutions before </w:t>
      </w:r>
      <w:r>
        <w:t>the problems escalate</w:t>
      </w:r>
      <w:r w:rsidRPr="00E94F7E">
        <w:t xml:space="preserve">, </w:t>
      </w:r>
      <w:r>
        <w:t>promotes</w:t>
      </w:r>
      <w:r w:rsidRPr="00E94F7E">
        <w:t xml:space="preserve"> education and training, encourages research, develops established channels of communications between </w:t>
      </w:r>
      <w:r w:rsidR="00673615">
        <w:t>g</w:t>
      </w:r>
      <w:r w:rsidRPr="00E94F7E">
        <w:t xml:space="preserve">overnment and NGO actors, in an effort to strengthen cooperation, deals with specific problems which arise as they arise, promotes legislation, regulations and procedures which are important for the battle against trafficking, and is actively involved in subjects which pertain to the battle against trafficking in the </w:t>
      </w:r>
      <w:r w:rsidR="00673615">
        <w:t>g</w:t>
      </w:r>
      <w:r w:rsidRPr="00E94F7E">
        <w:t xml:space="preserve">overnment </w:t>
      </w:r>
      <w:r w:rsidR="00673615">
        <w:t>m</w:t>
      </w:r>
      <w:r w:rsidRPr="00E94F7E">
        <w:t xml:space="preserve">inistries, including procedures </w:t>
      </w:r>
      <w:r w:rsidR="00673615">
        <w:t>that</w:t>
      </w:r>
      <w:r w:rsidR="00673615" w:rsidRPr="00E94F7E">
        <w:t xml:space="preserve"> </w:t>
      </w:r>
      <w:r w:rsidRPr="00E94F7E">
        <w:t>create a climate unfriendly to trafficking</w:t>
      </w:r>
      <w:r>
        <w:t xml:space="preserve">. </w:t>
      </w:r>
      <w:r w:rsidRPr="00E94F7E">
        <w:t xml:space="preserve">The Office serves in an advisory capacity to government agencies and other bodies </w:t>
      </w:r>
      <w:r w:rsidR="00673615">
        <w:t>which</w:t>
      </w:r>
      <w:r w:rsidR="00673615" w:rsidRPr="00E94F7E">
        <w:t xml:space="preserve"> </w:t>
      </w:r>
      <w:r w:rsidRPr="00E94F7E">
        <w:t xml:space="preserve">need information on issues </w:t>
      </w:r>
      <w:r>
        <w:t>regarding</w:t>
      </w:r>
      <w:r w:rsidRPr="00E94F7E">
        <w:t xml:space="preserve"> this </w:t>
      </w:r>
      <w:r>
        <w:t>subject.</w:t>
      </w:r>
      <w:r w:rsidRPr="00E94F7E">
        <w:t xml:space="preserve"> Most importantly, the Office</w:t>
      </w:r>
      <w:r w:rsidR="00C05EBD">
        <w:rPr>
          <w:rFonts w:hint="eastAsia"/>
        </w:rPr>
        <w:t>’</w:t>
      </w:r>
      <w:r w:rsidRPr="00E94F7E">
        <w:t>s first concern is the battle against trafficking and</w:t>
      </w:r>
      <w:r w:rsidR="00673615">
        <w:t>,</w:t>
      </w:r>
      <w:r w:rsidRPr="00E94F7E">
        <w:t xml:space="preserve"> as such, it places the issue in the foreground of any context in which it appears. It also sees</w:t>
      </w:r>
      <w:r w:rsidR="00673615">
        <w:t xml:space="preserve"> –</w:t>
      </w:r>
      <w:r w:rsidRPr="00E94F7E">
        <w:t xml:space="preserve"> as its f</w:t>
      </w:r>
      <w:r w:rsidR="004200F2">
        <w:t>irst duty –</w:t>
      </w:r>
      <w:r w:rsidRPr="00E94F7E">
        <w:t xml:space="preserve"> ascertaining that Israel accords with international standards in this area and</w:t>
      </w:r>
      <w:r w:rsidR="00673615">
        <w:t>,</w:t>
      </w:r>
      <w:r w:rsidRPr="00E94F7E">
        <w:t xml:space="preserve"> in particular</w:t>
      </w:r>
      <w:r w:rsidR="00673615">
        <w:t>, its</w:t>
      </w:r>
      <w:r w:rsidRPr="00E94F7E">
        <w:t xml:space="preserve"> human rights focus. </w:t>
      </w:r>
    </w:p>
    <w:p w:rsidR="006C72E1" w:rsidRPr="00E94F7E" w:rsidRDefault="006C72E1" w:rsidP="00AD553D">
      <w:pPr>
        <w:pStyle w:val="SingleTxtG"/>
        <w:numPr>
          <w:ilvl w:val="0"/>
          <w:numId w:val="12"/>
        </w:numPr>
        <w:ind w:left="1134" w:firstLine="0"/>
      </w:pPr>
      <w:r w:rsidRPr="00E94F7E">
        <w:t xml:space="preserve">To that end, the </w:t>
      </w:r>
      <w:r>
        <w:t xml:space="preserve">Office </w:t>
      </w:r>
      <w:r w:rsidRPr="00E94F7E">
        <w:t xml:space="preserve">strengthened and broadened cooperation mechanisms with government agencies by means of convening meetings when apprised </w:t>
      </w:r>
      <w:r w:rsidR="00AD553D">
        <w:t>of</w:t>
      </w:r>
      <w:r w:rsidR="00AD553D" w:rsidRPr="00E94F7E">
        <w:t xml:space="preserve"> </w:t>
      </w:r>
      <w:r w:rsidRPr="00E94F7E">
        <w:t>problems,</w:t>
      </w:r>
      <w:r>
        <w:t xml:space="preserve"> </w:t>
      </w:r>
      <w:r w:rsidRPr="00E94F7E">
        <w:t>opening communication channels among bodies experiencing difficulties with one another, assisting bodies by means of tool kits, comparative research and legal documents, and serving as a clearing house for information among bodies. The Office conducts periodic meetings every few months in order to exchange information and forge common solutions. In addition, the Office conducts periodic meetings with NGOs, sometimes together and sometimes separately.</w:t>
      </w:r>
    </w:p>
    <w:p w:rsidR="006C72E1" w:rsidRPr="00E94F7E" w:rsidRDefault="006C72E1" w:rsidP="005C2BCD">
      <w:pPr>
        <w:pStyle w:val="SingleTxtG"/>
        <w:numPr>
          <w:ilvl w:val="0"/>
          <w:numId w:val="12"/>
        </w:numPr>
        <w:ind w:left="1134" w:firstLine="0"/>
      </w:pPr>
      <w:r w:rsidRPr="00E94F7E">
        <w:t>The Office is active in building and maintaining the coordination between different Ministries as well as between these Ministries and other organizations, in issues concerning the battle against trafficking in person</w:t>
      </w:r>
      <w:r w:rsidR="005C2BCD">
        <w:t>s</w:t>
      </w:r>
      <w:r w:rsidRPr="00E94F7E">
        <w:t xml:space="preserve">, </w:t>
      </w:r>
      <w:r w:rsidR="005C2BCD">
        <w:t>at</w:t>
      </w:r>
      <w:r w:rsidRPr="00E94F7E">
        <w:t xml:space="preserve"> the national and international levels. The Office initiates and participates in training of various government</w:t>
      </w:r>
      <w:r>
        <w:t xml:space="preserve"> officials</w:t>
      </w:r>
      <w:r w:rsidRPr="00E94F7E">
        <w:t xml:space="preserve"> and non-governmental</w:t>
      </w:r>
      <w:r>
        <w:t xml:space="preserve"> personnel</w:t>
      </w:r>
      <w:r w:rsidRPr="00E94F7E">
        <w:t xml:space="preserve">. The Office is involved in public information lectures aimed at the public at large </w:t>
      </w:r>
      <w:r>
        <w:t>and</w:t>
      </w:r>
      <w:r w:rsidRPr="00E94F7E">
        <w:t xml:space="preserve"> certain</w:t>
      </w:r>
      <w:r>
        <w:t xml:space="preserve"> targeted</w:t>
      </w:r>
      <w:r w:rsidRPr="00E94F7E">
        <w:t xml:space="preserve"> </w:t>
      </w:r>
      <w:r>
        <w:t>audiences</w:t>
      </w:r>
      <w:r w:rsidRPr="00E94F7E">
        <w:t xml:space="preserve">. The Office prepares legal opinions, participates </w:t>
      </w:r>
      <w:r w:rsidR="005C2BCD">
        <w:t xml:space="preserve">in </w:t>
      </w:r>
      <w:r w:rsidRPr="00E94F7E">
        <w:t>and convenes meetings</w:t>
      </w:r>
      <w:r w:rsidR="005C2BCD">
        <w:t>,</w:t>
      </w:r>
      <w:r w:rsidRPr="00E94F7E">
        <w:t xml:space="preserve"> and accompanies the work of legislation. In regard to regulations – in the wake of the regulations regarding the forfeiture fund (</w:t>
      </w:r>
      <w:r w:rsidR="001A574A">
        <w:t>Section </w:t>
      </w:r>
      <w:r w:rsidRPr="00E94F7E">
        <w:t xml:space="preserve">377E </w:t>
      </w:r>
      <w:r>
        <w:t xml:space="preserve">of the </w:t>
      </w:r>
      <w:r w:rsidRPr="00895826">
        <w:rPr>
          <w:iCs/>
        </w:rPr>
        <w:t>Penal Law</w:t>
      </w:r>
      <w:r>
        <w:t xml:space="preserve"> – see para</w:t>
      </w:r>
      <w:r w:rsidR="005C2BCD">
        <w:t>.</w:t>
      </w:r>
      <w:r>
        <w:t xml:space="preserve"> 241 below</w:t>
      </w:r>
      <w:r w:rsidRPr="00E94F7E">
        <w:t xml:space="preserve">), the Office has acted to facilitate transfer of money to the fund. </w:t>
      </w:r>
    </w:p>
    <w:p w:rsidR="006C72E1" w:rsidRPr="00E94F7E" w:rsidRDefault="006C72E1" w:rsidP="005C2BCD">
      <w:pPr>
        <w:pStyle w:val="SingleTxtG"/>
        <w:numPr>
          <w:ilvl w:val="0"/>
          <w:numId w:val="12"/>
        </w:numPr>
        <w:ind w:left="1134" w:firstLine="0"/>
        <w:rPr>
          <w:u w:val="single"/>
        </w:rPr>
      </w:pPr>
      <w:r w:rsidRPr="00E94F7E">
        <w:t xml:space="preserve">The Office maintains a broad network of international connections with international bodies </w:t>
      </w:r>
      <w:r w:rsidR="005C2BCD">
        <w:t>such as</w:t>
      </w:r>
      <w:r w:rsidR="005C2BCD" w:rsidRPr="00E94F7E">
        <w:t xml:space="preserve"> </w:t>
      </w:r>
      <w:r w:rsidRPr="00E94F7E">
        <w:t xml:space="preserve">the UNODC, the OSCE, the IOM, and the ILO and with other countries. </w:t>
      </w:r>
    </w:p>
    <w:p w:rsidR="006C72E1" w:rsidRPr="00E94F7E" w:rsidRDefault="006C72E1" w:rsidP="005C2BCD">
      <w:pPr>
        <w:pStyle w:val="SingleTxtG"/>
        <w:numPr>
          <w:ilvl w:val="0"/>
          <w:numId w:val="12"/>
        </w:numPr>
        <w:ind w:left="1134" w:firstLine="0"/>
      </w:pPr>
      <w:r w:rsidRPr="00E94F7E">
        <w:t xml:space="preserve">While the Office does not maintain direct connections with victims as a rule, it does assist them in cases </w:t>
      </w:r>
      <w:r w:rsidR="005C2BCD">
        <w:t>that</w:t>
      </w:r>
      <w:r w:rsidR="005C2BCD" w:rsidRPr="00E94F7E">
        <w:t xml:space="preserve"> </w:t>
      </w:r>
      <w:r w:rsidRPr="00E94F7E">
        <w:t xml:space="preserve">are emergencies or </w:t>
      </w:r>
      <w:r>
        <w:t>are particularly sensitive</w:t>
      </w:r>
      <w:r w:rsidRPr="00E94F7E">
        <w:t xml:space="preserve">. Thus, the Office assists specific victims, when approached by the Legal Aid Branch of the Ministry of Justice, or NGOs. </w:t>
      </w:r>
    </w:p>
    <w:p w:rsidR="006C72E1" w:rsidRPr="00E94F7E" w:rsidRDefault="006C72E1" w:rsidP="006D3B18">
      <w:pPr>
        <w:pStyle w:val="SingleTxtG"/>
        <w:numPr>
          <w:ilvl w:val="0"/>
          <w:numId w:val="12"/>
        </w:numPr>
        <w:ind w:left="1134" w:firstLine="0"/>
        <w:rPr>
          <w:u w:val="single"/>
        </w:rPr>
      </w:pPr>
      <w:r w:rsidRPr="00E94F7E">
        <w:t>The</w:t>
      </w:r>
      <w:r w:rsidRPr="00E94F7E">
        <w:rPr>
          <w:b/>
          <w:bCs/>
        </w:rPr>
        <w:t xml:space="preserve"> </w:t>
      </w:r>
      <w:r w:rsidRPr="00E94F7E">
        <w:t>Office maintains daily contact with NGOs and meet</w:t>
      </w:r>
      <w:r>
        <w:t>s</w:t>
      </w:r>
      <w:r w:rsidRPr="00E94F7E">
        <w:t xml:space="preserve"> with NGOs in order to </w:t>
      </w:r>
      <w:r>
        <w:t>learn about</w:t>
      </w:r>
      <w:r w:rsidRPr="00E94F7E">
        <w:t xml:space="preserve"> problems </w:t>
      </w:r>
      <w:r>
        <w:t xml:space="preserve">they encounter </w:t>
      </w:r>
      <w:r w:rsidRPr="00E94F7E">
        <w:t xml:space="preserve">and </w:t>
      </w:r>
      <w:r>
        <w:t xml:space="preserve">to </w:t>
      </w:r>
      <w:r w:rsidRPr="00E94F7E">
        <w:t xml:space="preserve">report to them regarding developments. In addition, the Office tries to </w:t>
      </w:r>
      <w:r>
        <w:t xml:space="preserve">involve them </w:t>
      </w:r>
      <w:r w:rsidRPr="00E94F7E">
        <w:t xml:space="preserve">in </w:t>
      </w:r>
      <w:proofErr w:type="spellStart"/>
      <w:r w:rsidRPr="00E94F7E">
        <w:t>interministerial</w:t>
      </w:r>
      <w:proofErr w:type="spellEnd"/>
      <w:r w:rsidRPr="00E94F7E">
        <w:t xml:space="preserve"> teams and training sessions. </w:t>
      </w:r>
    </w:p>
    <w:p w:rsidR="006C72E1" w:rsidRDefault="006C72E1" w:rsidP="006D3B18">
      <w:pPr>
        <w:pStyle w:val="SingleTxtG"/>
        <w:numPr>
          <w:ilvl w:val="0"/>
          <w:numId w:val="12"/>
        </w:numPr>
        <w:ind w:left="1134" w:firstLine="0"/>
      </w:pPr>
      <w:r w:rsidRPr="00E94F7E">
        <w:t>Identifying New Patterns of Trafficking</w:t>
      </w:r>
      <w:r w:rsidRPr="00E94F7E">
        <w:rPr>
          <w:b/>
          <w:bCs/>
        </w:rPr>
        <w:t xml:space="preserve"> – </w:t>
      </w:r>
      <w:r w:rsidRPr="00E94F7E">
        <w:t>One of the most important functions of the Office is to identify new patterns of trafficking and assist government agencies</w:t>
      </w:r>
      <w:r>
        <w:t xml:space="preserve"> to deal with them, by alerting them to their potential and bringing together relevant bodies in an effort to forge policy and procedure. </w:t>
      </w:r>
    </w:p>
    <w:p w:rsidR="006C72E1" w:rsidRPr="0097306E" w:rsidRDefault="003C14FF" w:rsidP="003C14FF">
      <w:pPr>
        <w:pStyle w:val="H23G"/>
        <w:rPr>
          <w:highlight w:val="lightGray"/>
        </w:rPr>
      </w:pPr>
      <w:r>
        <w:tab/>
      </w:r>
      <w:r>
        <w:tab/>
      </w:r>
      <w:r w:rsidR="006C72E1" w:rsidRPr="0097306E">
        <w:t>Knesset Subcommittee on Trafficking in Women</w:t>
      </w:r>
    </w:p>
    <w:p w:rsidR="006C72E1" w:rsidRPr="00871E98" w:rsidRDefault="006C72E1" w:rsidP="005C2BCD">
      <w:pPr>
        <w:pStyle w:val="SingleTxtG"/>
        <w:numPr>
          <w:ilvl w:val="0"/>
          <w:numId w:val="12"/>
        </w:numPr>
        <w:ind w:left="1134" w:firstLine="0"/>
      </w:pPr>
      <w:r>
        <w:rPr>
          <w:snapToGrid w:val="0"/>
        </w:rPr>
        <w:t xml:space="preserve">In the </w:t>
      </w:r>
      <w:r w:rsidRPr="00871E98">
        <w:rPr>
          <w:snapToGrid w:val="0"/>
        </w:rPr>
        <w:t xml:space="preserve">Knesset </w:t>
      </w:r>
      <w:r w:rsidRPr="00871E98">
        <w:t>(Israel’s Parliament)</w:t>
      </w:r>
      <w:r>
        <w:t>, there is a subcommittee within the</w:t>
      </w:r>
      <w:r w:rsidRPr="00871E98">
        <w:rPr>
          <w:snapToGrid w:val="0"/>
        </w:rPr>
        <w:t xml:space="preserve"> Committee for the Advancement of the Status of Women</w:t>
      </w:r>
      <w:r w:rsidR="005C2BCD">
        <w:t xml:space="preserve"> that focuses</w:t>
      </w:r>
      <w:r w:rsidRPr="00871E98">
        <w:t xml:space="preserve"> on the battle against trafficking in women.</w:t>
      </w:r>
    </w:p>
    <w:p w:rsidR="006C72E1" w:rsidRPr="00871E98" w:rsidRDefault="006C72E1" w:rsidP="005C2BCD">
      <w:pPr>
        <w:pStyle w:val="SingleTxtG"/>
        <w:numPr>
          <w:ilvl w:val="0"/>
          <w:numId w:val="12"/>
        </w:numPr>
        <w:ind w:left="1134" w:firstLine="0"/>
      </w:pPr>
      <w:r w:rsidRPr="00871E98">
        <w:t>The Subcommittee is active in three major areas related to trafficking: (1) policy development and deliberating legislation; (2) ongoing monitoring and debating of current events; and (3) in-depth research and assessment of subjects of interest.</w:t>
      </w:r>
    </w:p>
    <w:p w:rsidR="006C72E1" w:rsidRPr="00871E98" w:rsidRDefault="005268A3" w:rsidP="00C57BD5">
      <w:pPr>
        <w:pStyle w:val="H4G"/>
      </w:pPr>
      <w:bookmarkStart w:id="22" w:name="_Toc318140401"/>
      <w:r>
        <w:tab/>
      </w:r>
      <w:r w:rsidR="00A11014">
        <w:tab/>
      </w:r>
      <w:r w:rsidR="006C72E1" w:rsidRPr="00871E98">
        <w:t xml:space="preserve">Policy </w:t>
      </w:r>
      <w:r w:rsidR="00C57BD5">
        <w:t>d</w:t>
      </w:r>
      <w:r w:rsidR="006C72E1" w:rsidRPr="00871E98">
        <w:t xml:space="preserve">evelopment and </w:t>
      </w:r>
      <w:r w:rsidR="00C57BD5">
        <w:t>l</w:t>
      </w:r>
      <w:r w:rsidR="006C72E1" w:rsidRPr="00871E98">
        <w:t>egislation</w:t>
      </w:r>
      <w:bookmarkEnd w:id="22"/>
    </w:p>
    <w:p w:rsidR="006C72E1" w:rsidRPr="00871E98" w:rsidRDefault="006C72E1" w:rsidP="005C2BCD">
      <w:pPr>
        <w:pStyle w:val="Bullet1G"/>
        <w:numPr>
          <w:ilvl w:val="0"/>
          <w:numId w:val="11"/>
        </w:numPr>
      </w:pPr>
      <w:r>
        <w:t>Active p</w:t>
      </w:r>
      <w:r w:rsidRPr="00871E98">
        <w:t>romot</w:t>
      </w:r>
      <w:r>
        <w:t>ion of</w:t>
      </w:r>
      <w:r w:rsidRPr="00871E98">
        <w:t xml:space="preserve"> the amendme</w:t>
      </w:r>
      <w:r w:rsidRPr="005C2BCD">
        <w:t xml:space="preserve">nt to the </w:t>
      </w:r>
      <w:r w:rsidRPr="00B43698">
        <w:t>Penal Law</w:t>
      </w:r>
      <w:r w:rsidRPr="005C2BCD">
        <w:t xml:space="preserve"> prohib</w:t>
      </w:r>
      <w:r w:rsidRPr="00871E98">
        <w:t xml:space="preserve">iting the </w:t>
      </w:r>
      <w:r w:rsidR="005C2BCD">
        <w:t>advertising</w:t>
      </w:r>
      <w:r w:rsidR="005C2BCD" w:rsidRPr="00871E98">
        <w:t xml:space="preserve"> </w:t>
      </w:r>
      <w:r w:rsidRPr="00871E98">
        <w:t xml:space="preserve">of sexual services. </w:t>
      </w:r>
    </w:p>
    <w:p w:rsidR="006C72E1" w:rsidRPr="00871E98" w:rsidRDefault="00A11014" w:rsidP="00C57BD5">
      <w:pPr>
        <w:pStyle w:val="H4G"/>
      </w:pPr>
      <w:bookmarkStart w:id="23" w:name="_Toc318140402"/>
      <w:r>
        <w:tab/>
      </w:r>
      <w:r>
        <w:tab/>
      </w:r>
      <w:r w:rsidR="006C72E1" w:rsidRPr="00871E98">
        <w:t xml:space="preserve">Ongoing </w:t>
      </w:r>
      <w:r w:rsidR="00C57BD5">
        <w:t>m</w:t>
      </w:r>
      <w:r w:rsidR="006C72E1" w:rsidRPr="00871E98">
        <w:t xml:space="preserve">onitoring and </w:t>
      </w:r>
      <w:r w:rsidR="00C57BD5">
        <w:t>d</w:t>
      </w:r>
      <w:r w:rsidR="006C72E1" w:rsidRPr="00871E98">
        <w:t xml:space="preserve">ebating of </w:t>
      </w:r>
      <w:r w:rsidR="00C57BD5">
        <w:t>s</w:t>
      </w:r>
      <w:r w:rsidR="006C72E1" w:rsidRPr="00871E98">
        <w:t xml:space="preserve">ubjects of </w:t>
      </w:r>
      <w:r w:rsidR="00C57BD5">
        <w:t>i</w:t>
      </w:r>
      <w:r w:rsidR="006C72E1" w:rsidRPr="00871E98">
        <w:t>nterest</w:t>
      </w:r>
      <w:bookmarkEnd w:id="23"/>
    </w:p>
    <w:p w:rsidR="006C72E1" w:rsidRPr="00AC696A" w:rsidRDefault="006C72E1" w:rsidP="006D3B18">
      <w:pPr>
        <w:pStyle w:val="Bullet1G"/>
        <w:numPr>
          <w:ilvl w:val="0"/>
          <w:numId w:val="11"/>
        </w:numPr>
      </w:pPr>
      <w:r w:rsidRPr="00871E98">
        <w:t>Assessment of the steps taken by the Authority for the Advancement of the Status of women regarding trafficking in women;</w:t>
      </w:r>
    </w:p>
    <w:p w:rsidR="006C72E1" w:rsidRPr="00871E98" w:rsidRDefault="006C72E1" w:rsidP="005C2BCD">
      <w:pPr>
        <w:pStyle w:val="Bullet1G"/>
        <w:numPr>
          <w:ilvl w:val="0"/>
          <w:numId w:val="11"/>
        </w:numPr>
      </w:pPr>
      <w:r w:rsidRPr="00871E98">
        <w:t xml:space="preserve">Assessment of the final report of the </w:t>
      </w:r>
      <w:proofErr w:type="spellStart"/>
      <w:r w:rsidR="005C2BCD">
        <w:t>i</w:t>
      </w:r>
      <w:r w:rsidRPr="00871E98">
        <w:t>nter</w:t>
      </w:r>
      <w:r w:rsidR="005C2BCD">
        <w:t>m</w:t>
      </w:r>
      <w:r w:rsidRPr="00871E98">
        <w:t>inisterial</w:t>
      </w:r>
      <w:proofErr w:type="spellEnd"/>
      <w:r w:rsidRPr="00871E98">
        <w:t xml:space="preserve"> team regarding trafficking patterns on prosti</w:t>
      </w:r>
      <w:r w:rsidR="009D7729">
        <w:t>tution and related offenses.</w:t>
      </w:r>
    </w:p>
    <w:p w:rsidR="006C72E1" w:rsidRPr="00871E98" w:rsidRDefault="006C72E1" w:rsidP="006D3B18">
      <w:pPr>
        <w:pStyle w:val="Bullet1G"/>
        <w:numPr>
          <w:ilvl w:val="0"/>
          <w:numId w:val="11"/>
        </w:numPr>
      </w:pPr>
      <w:r w:rsidRPr="00871E98">
        <w:t>Hearing various data on sexual assault</w:t>
      </w:r>
      <w:r w:rsidR="009D7729">
        <w:t>s against women migrant workers.</w:t>
      </w:r>
    </w:p>
    <w:p w:rsidR="006C72E1" w:rsidRPr="00871E98" w:rsidRDefault="006C72E1" w:rsidP="006D3B18">
      <w:pPr>
        <w:pStyle w:val="Bullet1G"/>
        <w:numPr>
          <w:ilvl w:val="0"/>
          <w:numId w:val="11"/>
        </w:numPr>
      </w:pPr>
      <w:r w:rsidRPr="00871E98">
        <w:t>Conducting a hearing on prostitution and commercia</w:t>
      </w:r>
      <w:r w:rsidR="009D7729">
        <w:t>l sexual exploitation of minors.</w:t>
      </w:r>
    </w:p>
    <w:p w:rsidR="006C72E1" w:rsidRPr="00871E98" w:rsidRDefault="003015AE" w:rsidP="00C57BD5">
      <w:pPr>
        <w:pStyle w:val="H4G"/>
      </w:pPr>
      <w:bookmarkStart w:id="24" w:name="_Toc318140404"/>
      <w:r>
        <w:tab/>
      </w:r>
      <w:r>
        <w:tab/>
      </w:r>
      <w:r w:rsidR="006C72E1" w:rsidRPr="00871E98">
        <w:t>In-</w:t>
      </w:r>
      <w:r w:rsidR="00C57BD5">
        <w:t>d</w:t>
      </w:r>
      <w:r w:rsidR="006C72E1" w:rsidRPr="00871E98">
        <w:t xml:space="preserve">epth </w:t>
      </w:r>
      <w:r w:rsidR="00C57BD5">
        <w:t>r</w:t>
      </w:r>
      <w:r w:rsidR="006C72E1" w:rsidRPr="00871E98">
        <w:t xml:space="preserve">esearch and </w:t>
      </w:r>
      <w:r w:rsidR="00C57BD5">
        <w:t>a</w:t>
      </w:r>
      <w:r w:rsidR="006C72E1" w:rsidRPr="00871E98">
        <w:t xml:space="preserve">ssessment of </w:t>
      </w:r>
      <w:r w:rsidR="00C57BD5">
        <w:t>s</w:t>
      </w:r>
      <w:r w:rsidR="006C72E1" w:rsidRPr="00871E98">
        <w:t>ubjects</w:t>
      </w:r>
      <w:bookmarkEnd w:id="24"/>
      <w:r w:rsidR="006C72E1" w:rsidRPr="00871E98">
        <w:rPr>
          <w:snapToGrid w:val="0"/>
        </w:rPr>
        <w:t xml:space="preserve"> of </w:t>
      </w:r>
      <w:r w:rsidR="00C57BD5">
        <w:rPr>
          <w:snapToGrid w:val="0"/>
        </w:rPr>
        <w:t>i</w:t>
      </w:r>
      <w:r w:rsidR="006C72E1" w:rsidRPr="00871E98">
        <w:rPr>
          <w:snapToGrid w:val="0"/>
        </w:rPr>
        <w:t>nterest</w:t>
      </w:r>
    </w:p>
    <w:p w:rsidR="006C72E1" w:rsidRPr="00007AAA" w:rsidRDefault="006C72E1" w:rsidP="00182C62">
      <w:pPr>
        <w:pStyle w:val="Bullet1G"/>
        <w:numPr>
          <w:ilvl w:val="0"/>
          <w:numId w:val="11"/>
        </w:numPr>
      </w:pPr>
      <w:r w:rsidRPr="00AC696A">
        <w:t xml:space="preserve">Initiating the preparation of research reports on issues related to trafficking in women, including reports on the </w:t>
      </w:r>
      <w:r>
        <w:t>m</w:t>
      </w:r>
      <w:r w:rsidRPr="00871E98">
        <w:t>edical treatment provided to victims of trafficking in persons for the purpose of prostitution</w:t>
      </w:r>
      <w:r>
        <w:t>, and on c</w:t>
      </w:r>
      <w:r w:rsidRPr="00871E98">
        <w:t xml:space="preserve">ommercial sexual exploitation of minors and </w:t>
      </w:r>
      <w:proofErr w:type="spellStart"/>
      <w:r w:rsidRPr="00007AAA">
        <w:t>minors</w:t>
      </w:r>
      <w:r w:rsidR="00182C62" w:rsidRPr="00E24068">
        <w:t>’</w:t>
      </w:r>
      <w:r w:rsidRPr="00007AAA">
        <w:t>prostitution</w:t>
      </w:r>
      <w:proofErr w:type="spellEnd"/>
      <w:r w:rsidRPr="00007AAA">
        <w:t>.</w:t>
      </w:r>
    </w:p>
    <w:p w:rsidR="006C72E1" w:rsidRPr="00007AAA" w:rsidRDefault="003C14FF" w:rsidP="003C14FF">
      <w:pPr>
        <w:pStyle w:val="H23G"/>
      </w:pPr>
      <w:bookmarkStart w:id="25" w:name="_Toc318140406"/>
      <w:r>
        <w:tab/>
      </w:r>
      <w:r>
        <w:tab/>
      </w:r>
      <w:r w:rsidR="006C72E1" w:rsidRPr="00007AAA">
        <w:t>Israel Police</w:t>
      </w:r>
      <w:bookmarkEnd w:id="25"/>
      <w:r w:rsidR="006C72E1" w:rsidRPr="00007AAA">
        <w:t xml:space="preserve"> </w:t>
      </w:r>
    </w:p>
    <w:p w:rsidR="006C72E1" w:rsidRPr="00007AAA" w:rsidRDefault="006C72E1" w:rsidP="00222958">
      <w:pPr>
        <w:pStyle w:val="SingleTxtG"/>
        <w:numPr>
          <w:ilvl w:val="0"/>
          <w:numId w:val="12"/>
        </w:numPr>
        <w:ind w:left="1134" w:firstLine="0"/>
      </w:pPr>
      <w:r w:rsidRPr="00007AAA">
        <w:t>The Police has made the fight against trafficking one of its priorities over the last few years, such that every District Unit and Regional Unit within the Police has accounted for this issue in their annual action plan. This has impacted positively not only on the Police</w:t>
      </w:r>
      <w:r w:rsidR="00C05EBD">
        <w:rPr>
          <w:rFonts w:hint="eastAsia"/>
        </w:rPr>
        <w:t>’</w:t>
      </w:r>
      <w:r w:rsidRPr="00007AAA">
        <w:t xml:space="preserve">s enforcement efforts </w:t>
      </w:r>
      <w:r w:rsidR="00222958">
        <w:t>in</w:t>
      </w:r>
      <w:r w:rsidR="00222958" w:rsidRPr="00007AAA">
        <w:t xml:space="preserve"> </w:t>
      </w:r>
      <w:r w:rsidRPr="00007AAA">
        <w:t>the field, but on its intelligence-gathering activities as well, both in Israel and abroad.</w:t>
      </w:r>
      <w:r w:rsidR="00CD3B50">
        <w:t xml:space="preserve"> </w:t>
      </w:r>
    </w:p>
    <w:p w:rsidR="006C72E1" w:rsidRPr="00007AAA" w:rsidRDefault="006C72E1" w:rsidP="00222958">
      <w:pPr>
        <w:pStyle w:val="SingleTxtG"/>
        <w:numPr>
          <w:ilvl w:val="0"/>
          <w:numId w:val="12"/>
        </w:numPr>
        <w:ind w:left="1134" w:firstLine="0"/>
      </w:pPr>
      <w:r w:rsidRPr="00007AAA">
        <w:t xml:space="preserve">An anti-trafficking Coordinating Officer has been appointed to monitor the trafficking, slavery and forced labour-related offenses and to ensure </w:t>
      </w:r>
      <w:r w:rsidRPr="00DB1FCD">
        <w:t>proper coordination</w:t>
      </w:r>
      <w:r w:rsidRPr="00007AAA">
        <w:rPr>
          <w:b/>
          <w:bCs/>
        </w:rPr>
        <w:t xml:space="preserve"> </w:t>
      </w:r>
      <w:r w:rsidRPr="00007AAA">
        <w:t>between the various units. The Coordinating Officer also seeks to ensure the seamless implementation of the organizational reform, and serves as a contact point for trafficking, slavery and forced</w:t>
      </w:r>
      <w:r w:rsidR="00222958">
        <w:t>-</w:t>
      </w:r>
      <w:r w:rsidRPr="00007AAA">
        <w:t xml:space="preserve">labour cases within the Police and before governmental authorities. Each of the Regional Units </w:t>
      </w:r>
      <w:r w:rsidR="00222958">
        <w:t>has</w:t>
      </w:r>
      <w:r w:rsidR="00222958" w:rsidRPr="00007AAA">
        <w:t xml:space="preserve"> </w:t>
      </w:r>
      <w:r w:rsidRPr="00007AAA">
        <w:t>appointed</w:t>
      </w:r>
      <w:r w:rsidR="00CD3B50">
        <w:t xml:space="preserve"> </w:t>
      </w:r>
      <w:r w:rsidRPr="00007AAA">
        <w:t>contact officers who serve a double function: they act as liaisons to the Coordinating Officer and other personnel involved in anti-trafficking efforts, and</w:t>
      </w:r>
      <w:r w:rsidRPr="0072044D">
        <w:rPr>
          <w:color w:val="FF0000"/>
        </w:rPr>
        <w:t xml:space="preserve"> </w:t>
      </w:r>
      <w:r w:rsidRPr="00007AAA">
        <w:t>they serve as experts with knowledge and experience who can advise other regional officers regarding the special aspects of trafficking cases.</w:t>
      </w:r>
    </w:p>
    <w:p w:rsidR="006C72E1" w:rsidRPr="0097306E" w:rsidRDefault="003C14FF" w:rsidP="00182C62">
      <w:pPr>
        <w:pStyle w:val="H23G"/>
      </w:pPr>
      <w:r>
        <w:tab/>
      </w:r>
      <w:r>
        <w:tab/>
      </w:r>
      <w:r w:rsidR="006C72E1" w:rsidRPr="0097306E">
        <w:t>State Attorney</w:t>
      </w:r>
      <w:r w:rsidR="00182C62">
        <w:rPr>
          <w:lang w:val="fr-CH"/>
        </w:rPr>
        <w:t>’</w:t>
      </w:r>
      <w:r w:rsidR="006C72E1" w:rsidRPr="0097306E">
        <w:t>s Office</w:t>
      </w:r>
    </w:p>
    <w:p w:rsidR="006C72E1" w:rsidRPr="003D47EC" w:rsidRDefault="006C72E1" w:rsidP="006D3B18">
      <w:pPr>
        <w:pStyle w:val="SingleTxtG"/>
        <w:numPr>
          <w:ilvl w:val="0"/>
          <w:numId w:val="12"/>
        </w:numPr>
        <w:ind w:left="1134" w:firstLine="0"/>
      </w:pPr>
      <w:r w:rsidRPr="003D47EC">
        <w:t>Members of the State Attorney</w:t>
      </w:r>
      <w:r w:rsidR="00C05EBD">
        <w:rPr>
          <w:rFonts w:hint="eastAsia"/>
        </w:rPr>
        <w:t>’</w:t>
      </w:r>
      <w:r w:rsidRPr="003D47EC">
        <w:t xml:space="preserve">s Office often lecture in various forums on trafficking issues, in order to raise their awareness of the phenomenon. Among the forums are international representatives from source countries, high schools, higher education facilities, </w:t>
      </w:r>
      <w:r w:rsidR="000F17CA">
        <w:t xml:space="preserve">and </w:t>
      </w:r>
      <w:r w:rsidRPr="003D47EC">
        <w:t xml:space="preserve">social workers. </w:t>
      </w:r>
    </w:p>
    <w:p w:rsidR="006C72E1" w:rsidRPr="0097306E" w:rsidRDefault="003C14FF" w:rsidP="003C14FF">
      <w:pPr>
        <w:pStyle w:val="H23G"/>
        <w:rPr>
          <w:snapToGrid w:val="0"/>
        </w:rPr>
      </w:pPr>
      <w:r>
        <w:rPr>
          <w:snapToGrid w:val="0"/>
        </w:rPr>
        <w:tab/>
      </w:r>
      <w:r>
        <w:rPr>
          <w:snapToGrid w:val="0"/>
        </w:rPr>
        <w:tab/>
      </w:r>
      <w:r w:rsidR="006C72E1" w:rsidRPr="0097306E">
        <w:rPr>
          <w:snapToGrid w:val="0"/>
        </w:rPr>
        <w:t xml:space="preserve">Legal Aid </w:t>
      </w:r>
      <w:r w:rsidR="006C72E1" w:rsidRPr="0097306E">
        <w:t>Branch</w:t>
      </w:r>
    </w:p>
    <w:p w:rsidR="006C72E1" w:rsidRPr="00662974" w:rsidRDefault="006C72E1" w:rsidP="000F17CA">
      <w:pPr>
        <w:pStyle w:val="SingleTxtG"/>
        <w:numPr>
          <w:ilvl w:val="0"/>
          <w:numId w:val="12"/>
        </w:numPr>
        <w:ind w:left="1134" w:firstLine="0"/>
      </w:pPr>
      <w:r w:rsidRPr="007663D6">
        <w:t xml:space="preserve">The Legal Aid Branch </w:t>
      </w:r>
      <w:r>
        <w:t>is a special division of the Ministry of Justice, and in many ways its operational model is unique. The Branch</w:t>
      </w:r>
      <w:r w:rsidR="00C05EBD">
        <w:rPr>
          <w:rFonts w:hint="eastAsia"/>
        </w:rPr>
        <w:t>’</w:t>
      </w:r>
      <w:r>
        <w:t>s attorneys are Ministry of Justice attorneys, but they function independently from the Ministry of Justice and other government entities in some ways. The Branch provides legal services to various segments of the population</w:t>
      </w:r>
      <w:r w:rsidRPr="00662974">
        <w:t>, free of charge. In effect, it can be described as a government-funded independent pro</w:t>
      </w:r>
      <w:r w:rsidR="000F17CA">
        <w:t xml:space="preserve"> </w:t>
      </w:r>
      <w:r w:rsidRPr="00662974">
        <w:t xml:space="preserve">bono legal department. Its independence from the Ministry of Justice enables it to represent individuals in all kinds of civil and administrative proceedings, including, in some cases, against the Government itself. </w:t>
      </w:r>
    </w:p>
    <w:p w:rsidR="006C72E1" w:rsidRDefault="006C72E1" w:rsidP="00DE4252">
      <w:pPr>
        <w:pStyle w:val="SingleTxtG"/>
        <w:numPr>
          <w:ilvl w:val="0"/>
          <w:numId w:val="12"/>
        </w:numPr>
        <w:ind w:left="1134" w:firstLine="0"/>
        <w:rPr>
          <w:snapToGrid w:val="0"/>
        </w:rPr>
      </w:pPr>
      <w:r w:rsidRPr="00871E98">
        <w:rPr>
          <w:snapToGrid w:val="0"/>
        </w:rPr>
        <w:t>The Legal Aid Branch acts to raise awareness among the public, potential victims</w:t>
      </w:r>
      <w:r w:rsidR="00DE4252">
        <w:rPr>
          <w:snapToGrid w:val="0"/>
        </w:rPr>
        <w:t>,</w:t>
      </w:r>
      <w:r w:rsidRPr="00871E98">
        <w:rPr>
          <w:snapToGrid w:val="0"/>
        </w:rPr>
        <w:t xml:space="preserve"> trafficking perpetrators </w:t>
      </w:r>
      <w:r w:rsidR="00285CC4">
        <w:rPr>
          <w:snapToGrid w:val="0"/>
        </w:rPr>
        <w:t>and potential “clients”</w:t>
      </w:r>
      <w:r w:rsidRPr="00871E98">
        <w:rPr>
          <w:snapToGrid w:val="0"/>
        </w:rPr>
        <w:t>, through publication of its achievements and activities in the media, and through lectures conducted in educational institutions on trafficking in persons. The Legal Aid Branch also directs its advocacy efforts towards ensuring that victims are made aware of their right to legal aid.</w:t>
      </w:r>
      <w:r>
        <w:rPr>
          <w:snapToGrid w:val="0"/>
        </w:rPr>
        <w:t xml:space="preserve"> </w:t>
      </w:r>
    </w:p>
    <w:p w:rsidR="006C72E1" w:rsidRPr="0097306E" w:rsidRDefault="003C14FF" w:rsidP="003C14FF">
      <w:pPr>
        <w:pStyle w:val="H23G"/>
        <w:rPr>
          <w:color w:val="000000"/>
        </w:rPr>
      </w:pPr>
      <w:r>
        <w:tab/>
      </w:r>
      <w:r>
        <w:tab/>
      </w:r>
      <w:r w:rsidR="006C72E1" w:rsidRPr="0097306E">
        <w:t>Israel Second Authority for Television and Radio</w:t>
      </w:r>
    </w:p>
    <w:p w:rsidR="006C72E1" w:rsidRPr="003D47EC" w:rsidRDefault="006C72E1" w:rsidP="00DE4252">
      <w:pPr>
        <w:pStyle w:val="SingleTxtG"/>
        <w:numPr>
          <w:ilvl w:val="0"/>
          <w:numId w:val="12"/>
        </w:numPr>
        <w:ind w:left="1134" w:firstLine="0"/>
        <w:rPr>
          <w:snapToGrid w:val="0"/>
        </w:rPr>
      </w:pPr>
      <w:r w:rsidRPr="00C6113F">
        <w:t xml:space="preserve">The Israel Second Authority for Television and Radio routinely addresses the issue of trafficking for prostitution. The issue is expansively addressed and debated </w:t>
      </w:r>
      <w:r w:rsidR="00DE4252">
        <w:t>on</w:t>
      </w:r>
      <w:r w:rsidR="00DE4252" w:rsidRPr="00C6113F">
        <w:t xml:space="preserve"> </w:t>
      </w:r>
      <w:r w:rsidRPr="00C6113F">
        <w:t>the Authority</w:t>
      </w:r>
      <w:r w:rsidR="00C05EBD">
        <w:rPr>
          <w:rFonts w:hint="eastAsia"/>
        </w:rPr>
        <w:t>’</w:t>
      </w:r>
      <w:r w:rsidRPr="00C6113F">
        <w:t xml:space="preserve">s television and radio channels. For example, channel 2 </w:t>
      </w:r>
      <w:r w:rsidRPr="007F7D7D">
        <w:t>television morning programs regularly include items and discussion on the issue, with the participation of government officials and representatives of NGOs.</w:t>
      </w:r>
    </w:p>
    <w:p w:rsidR="006C72E1" w:rsidRPr="00757FF2" w:rsidRDefault="000C2D45" w:rsidP="00C57BD5">
      <w:pPr>
        <w:pStyle w:val="H1G"/>
        <w:rPr>
          <w:lang w:val="en-US"/>
        </w:rPr>
      </w:pPr>
      <w:r>
        <w:rPr>
          <w:lang w:val="en-US"/>
        </w:rPr>
        <w:tab/>
      </w:r>
      <w:r>
        <w:rPr>
          <w:lang w:val="en-US"/>
        </w:rPr>
        <w:tab/>
      </w:r>
      <w:r w:rsidR="000416BC">
        <w:rPr>
          <w:lang w:val="en-US"/>
        </w:rPr>
        <w:t>Article </w:t>
      </w:r>
      <w:r w:rsidR="00CD3B50">
        <w:rPr>
          <w:lang w:val="en-US"/>
        </w:rPr>
        <w:t>9</w:t>
      </w:r>
      <w:r w:rsidR="00E90893">
        <w:rPr>
          <w:lang w:val="en-US"/>
        </w:rPr>
        <w:t xml:space="preserve"> </w:t>
      </w:r>
      <w:r w:rsidR="00CD3B50">
        <w:rPr>
          <w:lang w:val="en-US"/>
        </w:rPr>
        <w:t>(3) –</w:t>
      </w:r>
      <w:r w:rsidR="006C72E1" w:rsidRPr="00757FF2">
        <w:rPr>
          <w:lang w:val="en-US"/>
        </w:rPr>
        <w:t xml:space="preserve"> Victim </w:t>
      </w:r>
      <w:r w:rsidR="00C57BD5">
        <w:rPr>
          <w:lang w:val="en-US"/>
        </w:rPr>
        <w:t>a</w:t>
      </w:r>
      <w:r w:rsidR="006C72E1" w:rsidRPr="00757FF2">
        <w:rPr>
          <w:lang w:val="en-US"/>
        </w:rPr>
        <w:t>ssistance</w:t>
      </w:r>
    </w:p>
    <w:p w:rsidR="006C72E1" w:rsidRPr="006D3B18" w:rsidRDefault="000416BC" w:rsidP="006D3B18">
      <w:pPr>
        <w:pStyle w:val="SingleTxtG"/>
        <w:numPr>
          <w:ilvl w:val="0"/>
          <w:numId w:val="12"/>
        </w:numPr>
        <w:ind w:left="1134" w:firstLine="0"/>
        <w:rPr>
          <w:lang w:val="en-US"/>
        </w:rPr>
      </w:pPr>
      <w:r>
        <w:rPr>
          <w:spacing w:val="1"/>
          <w:lang w:val="en-US"/>
        </w:rPr>
        <w:t>Article </w:t>
      </w:r>
      <w:r w:rsidR="006C72E1" w:rsidRPr="002D2C27">
        <w:rPr>
          <w:lang w:val="en-US"/>
        </w:rPr>
        <w:t>9(</w:t>
      </w:r>
      <w:r w:rsidR="000F6256">
        <w:rPr>
          <w:spacing w:val="-3"/>
          <w:lang w:val="en-US"/>
        </w:rPr>
        <w:t xml:space="preserve">3) </w:t>
      </w:r>
      <w:r w:rsidR="006C72E1">
        <w:rPr>
          <w:spacing w:val="-3"/>
          <w:lang w:val="en-US"/>
        </w:rPr>
        <w:t xml:space="preserve">requires State parties to take all </w:t>
      </w:r>
      <w:r w:rsidR="006C72E1" w:rsidRPr="002D2C27">
        <w:rPr>
          <w:spacing w:val="-3"/>
          <w:lang w:val="en-US"/>
        </w:rPr>
        <w:t xml:space="preserve">feasible measures with the aim of ensuring all </w:t>
      </w:r>
      <w:r w:rsidR="006C72E1" w:rsidRPr="002D2C27">
        <w:rPr>
          <w:lang w:val="en-US"/>
        </w:rPr>
        <w:t xml:space="preserve">appropriate assistance to victims </w:t>
      </w:r>
      <w:r w:rsidR="006C72E1">
        <w:rPr>
          <w:lang w:val="en-US"/>
        </w:rPr>
        <w:t>of the offense</w:t>
      </w:r>
      <w:r w:rsidR="006C72E1" w:rsidRPr="002D2C27">
        <w:rPr>
          <w:lang w:val="en-US"/>
        </w:rPr>
        <w:t xml:space="preserve">s covered by the Protocol, including their full social </w:t>
      </w:r>
      <w:r w:rsidR="006C72E1" w:rsidRPr="002D2C27">
        <w:rPr>
          <w:spacing w:val="-1"/>
          <w:lang w:val="en-US"/>
        </w:rPr>
        <w:t xml:space="preserve">reintegration, </w:t>
      </w:r>
      <w:r w:rsidR="00DE4252">
        <w:rPr>
          <w:spacing w:val="-1"/>
          <w:lang w:val="en-US"/>
        </w:rPr>
        <w:t xml:space="preserve">and </w:t>
      </w:r>
      <w:r w:rsidR="006C72E1" w:rsidRPr="002D2C27">
        <w:rPr>
          <w:spacing w:val="-1"/>
          <w:lang w:val="en-US"/>
        </w:rPr>
        <w:t xml:space="preserve">physical and psychological recovery. </w:t>
      </w:r>
    </w:p>
    <w:p w:rsidR="006C72E1" w:rsidRPr="00081FBA" w:rsidRDefault="006C72E1" w:rsidP="00DE4252">
      <w:pPr>
        <w:pStyle w:val="SingleTxtG"/>
        <w:numPr>
          <w:ilvl w:val="0"/>
          <w:numId w:val="12"/>
        </w:numPr>
        <w:ind w:left="1134" w:firstLine="0"/>
        <w:rPr>
          <w:lang w:val="en-US"/>
        </w:rPr>
      </w:pPr>
      <w:r>
        <w:rPr>
          <w:lang w:val="en-US"/>
        </w:rPr>
        <w:t xml:space="preserve">The </w:t>
      </w:r>
      <w:r w:rsidRPr="00895826">
        <w:rPr>
          <w:lang w:val="en-US"/>
        </w:rPr>
        <w:t>Assistance to Sex Violence Minor Crime Victims</w:t>
      </w:r>
      <w:r w:rsidR="00C05EBD" w:rsidRPr="00895826">
        <w:rPr>
          <w:rFonts w:hint="eastAsia"/>
          <w:lang w:val="en-US"/>
        </w:rPr>
        <w:t>’</w:t>
      </w:r>
      <w:r w:rsidRPr="00895826">
        <w:rPr>
          <w:lang w:val="en-US"/>
        </w:rPr>
        <w:t xml:space="preserve"> Law</w:t>
      </w:r>
      <w:r w:rsidR="00BF118D">
        <w:rPr>
          <w:lang w:val="en-US"/>
        </w:rPr>
        <w:t xml:space="preserve"> 5769</w:t>
      </w:r>
      <w:r w:rsidR="00BF118D">
        <w:rPr>
          <w:lang w:val="en-US"/>
        </w:rPr>
        <w:noBreakHyphen/>
      </w:r>
      <w:r w:rsidRPr="00966BF4">
        <w:rPr>
          <w:lang w:val="en-US"/>
        </w:rPr>
        <w:t xml:space="preserve">2008 was enacted </w:t>
      </w:r>
      <w:r w:rsidRPr="00DE4252">
        <w:rPr>
          <w:lang w:val="en-US"/>
        </w:rPr>
        <w:t>i</w:t>
      </w:r>
      <w:r w:rsidRPr="001633EE">
        <w:rPr>
          <w:lang w:val="en-US"/>
        </w:rPr>
        <w:t xml:space="preserve">n 2008 and is gradually being implemented. This law adds the right of a child victim of a </w:t>
      </w:r>
      <w:r w:rsidRPr="0066698A">
        <w:rPr>
          <w:lang w:val="en-US"/>
        </w:rPr>
        <w:t>se</w:t>
      </w:r>
      <w:r w:rsidRPr="0066698A">
        <w:rPr>
          <w:lang w:val="en-US" w:bidi="he-IL"/>
        </w:rPr>
        <w:t>xual</w:t>
      </w:r>
      <w:r w:rsidRPr="0066698A">
        <w:rPr>
          <w:lang w:val="en-US"/>
        </w:rPr>
        <w:t xml:space="preserve"> or violen</w:t>
      </w:r>
      <w:r w:rsidR="00DE4252" w:rsidRPr="0066698A">
        <w:rPr>
          <w:lang w:val="en-US"/>
        </w:rPr>
        <w:t>t</w:t>
      </w:r>
      <w:r w:rsidRPr="0066698A">
        <w:rPr>
          <w:lang w:val="en-US"/>
        </w:rPr>
        <w:t xml:space="preserve"> crime to immediate assistance in a crisis center designated by the Minister of Social Affairs and Social Services particularly for this purpose. Such centers </w:t>
      </w:r>
      <w:r w:rsidRPr="00B0137E">
        <w:rPr>
          <w:lang w:val="en-US"/>
        </w:rPr>
        <w:t xml:space="preserve">are intended to </w:t>
      </w:r>
      <w:r w:rsidRPr="00081FBA">
        <w:rPr>
          <w:lang w:val="en-US"/>
        </w:rPr>
        <w:t>provide initial treatment in:</w:t>
      </w:r>
    </w:p>
    <w:p w:rsidR="003015AE" w:rsidRPr="001633EE" w:rsidRDefault="00DB7986" w:rsidP="00DB7986">
      <w:pPr>
        <w:pStyle w:val="SingleTxtG"/>
        <w:ind w:firstLine="567"/>
        <w:rPr>
          <w:lang w:val="en-US"/>
        </w:rPr>
      </w:pPr>
      <w:r w:rsidRPr="00B43698">
        <w:rPr>
          <w:lang w:val="en-US"/>
        </w:rPr>
        <w:t>(a)</w:t>
      </w:r>
      <w:r w:rsidRPr="00DE4252">
        <w:rPr>
          <w:lang w:val="en-US"/>
        </w:rPr>
        <w:tab/>
      </w:r>
      <w:r w:rsidR="002E2CDA" w:rsidRPr="001633EE">
        <w:rPr>
          <w:lang w:val="en-US"/>
        </w:rPr>
        <w:t>Diagnosis and medical care;</w:t>
      </w:r>
    </w:p>
    <w:p w:rsidR="003015AE" w:rsidRPr="0066698A" w:rsidRDefault="00DB7986" w:rsidP="00DB7986">
      <w:pPr>
        <w:pStyle w:val="SingleTxtG"/>
        <w:ind w:firstLine="567"/>
        <w:rPr>
          <w:lang w:val="en-US"/>
        </w:rPr>
      </w:pPr>
      <w:r w:rsidRPr="00B43698">
        <w:rPr>
          <w:lang w:val="en-US"/>
        </w:rPr>
        <w:t>(b)</w:t>
      </w:r>
      <w:r w:rsidRPr="00DE4252">
        <w:rPr>
          <w:lang w:val="en-US"/>
        </w:rPr>
        <w:tab/>
      </w:r>
      <w:r w:rsidR="006C72E1" w:rsidRPr="001633EE">
        <w:rPr>
          <w:lang w:val="en-US"/>
        </w:rPr>
        <w:t>Providing for the victim</w:t>
      </w:r>
      <w:r w:rsidR="00C05EBD" w:rsidRPr="001633EE">
        <w:rPr>
          <w:rFonts w:hint="eastAsia"/>
          <w:lang w:val="en-US"/>
        </w:rPr>
        <w:t>’</w:t>
      </w:r>
      <w:r w:rsidR="006C72E1" w:rsidRPr="001633EE">
        <w:rPr>
          <w:lang w:val="en-US"/>
        </w:rPr>
        <w:t>s immediate and essential nee</w:t>
      </w:r>
      <w:r w:rsidR="002E2CDA" w:rsidRPr="001633EE">
        <w:rPr>
          <w:lang w:val="en-US"/>
        </w:rPr>
        <w:t>ds, including food and clothing;</w:t>
      </w:r>
    </w:p>
    <w:p w:rsidR="003015AE" w:rsidRPr="0066698A" w:rsidRDefault="00DB7986" w:rsidP="00DE4252">
      <w:pPr>
        <w:pStyle w:val="SingleTxtG"/>
        <w:ind w:firstLine="567"/>
        <w:rPr>
          <w:lang w:val="en-US"/>
        </w:rPr>
      </w:pPr>
      <w:r w:rsidRPr="00B43698">
        <w:rPr>
          <w:lang w:val="en-US"/>
        </w:rPr>
        <w:t>(c)</w:t>
      </w:r>
      <w:r w:rsidRPr="00DE4252">
        <w:rPr>
          <w:lang w:val="en-US"/>
        </w:rPr>
        <w:tab/>
      </w:r>
      <w:r w:rsidR="006C72E1" w:rsidRPr="001633EE">
        <w:rPr>
          <w:lang w:val="en-US"/>
        </w:rPr>
        <w:t xml:space="preserve">Setting up a meeting with </w:t>
      </w:r>
      <w:r w:rsidR="00DE4252" w:rsidRPr="001633EE">
        <w:rPr>
          <w:lang w:val="en-US"/>
        </w:rPr>
        <w:t>the investigator for children</w:t>
      </w:r>
      <w:r w:rsidR="006C72E1" w:rsidRPr="001633EE">
        <w:rPr>
          <w:lang w:val="en-US"/>
        </w:rPr>
        <w:t>, police investigator, social worker</w:t>
      </w:r>
      <w:r w:rsidR="00DE4252" w:rsidRPr="0066698A">
        <w:rPr>
          <w:lang w:val="en-US"/>
        </w:rPr>
        <w:t>,</w:t>
      </w:r>
      <w:r w:rsidR="006C72E1" w:rsidRPr="0066698A">
        <w:rPr>
          <w:lang w:val="en-US"/>
        </w:rPr>
        <w:t xml:space="preserve"> or any other agent as needed based on the situation</w:t>
      </w:r>
      <w:r w:rsidR="002E2CDA" w:rsidRPr="0066698A">
        <w:rPr>
          <w:lang w:val="en-US"/>
        </w:rPr>
        <w:t xml:space="preserve"> at hand;</w:t>
      </w:r>
    </w:p>
    <w:p w:rsidR="006C72E1" w:rsidRPr="00A1074D" w:rsidRDefault="00DB7986" w:rsidP="00DB7986">
      <w:pPr>
        <w:pStyle w:val="SingleTxtG"/>
        <w:ind w:firstLine="567"/>
        <w:rPr>
          <w:rFonts w:ascii="David" w:hAnsi="David,Bold+1" w:cs="David"/>
          <w:lang w:val="en-US"/>
        </w:rPr>
      </w:pPr>
      <w:r w:rsidRPr="00B43698">
        <w:rPr>
          <w:lang w:val="en-US"/>
        </w:rPr>
        <w:t>(d)</w:t>
      </w:r>
      <w:r w:rsidRPr="00DE4252">
        <w:rPr>
          <w:lang w:val="en-US"/>
        </w:rPr>
        <w:tab/>
      </w:r>
      <w:r w:rsidR="006C72E1" w:rsidRPr="001633EE">
        <w:rPr>
          <w:lang w:val="en-US"/>
        </w:rPr>
        <w:t>Referring the victim to the Legal Aid</w:t>
      </w:r>
      <w:r w:rsidR="006C72E1" w:rsidRPr="0066698A">
        <w:rPr>
          <w:lang w:val="en-US"/>
        </w:rPr>
        <w:t xml:space="preserve"> Branch, appropriate medical, health, and/or psychological</w:t>
      </w:r>
      <w:r w:rsidR="006C72E1" w:rsidRPr="00B0137E">
        <w:rPr>
          <w:lang w:val="en-US"/>
        </w:rPr>
        <w:t xml:space="preserve"> care, </w:t>
      </w:r>
      <w:r w:rsidR="006C72E1" w:rsidRPr="00E72EB0">
        <w:rPr>
          <w:lang w:val="en-US"/>
        </w:rPr>
        <w:t>and emergency centers for long-term treatment</w:t>
      </w:r>
      <w:r w:rsidR="006C72E1" w:rsidRPr="00E72EB0">
        <w:rPr>
          <w:rFonts w:ascii="David" w:hAnsi="David,Bold+1" w:cs="David"/>
          <w:lang w:val="en-US"/>
        </w:rPr>
        <w:t>.</w:t>
      </w:r>
      <w:r w:rsidR="006C72E1" w:rsidRPr="00A1074D">
        <w:rPr>
          <w:rFonts w:ascii="David" w:hAnsi="David,Bold+1" w:cs="David"/>
          <w:lang w:val="en-US"/>
        </w:rPr>
        <w:t xml:space="preserve"> </w:t>
      </w:r>
    </w:p>
    <w:p w:rsidR="006C72E1" w:rsidRPr="00E16BDA" w:rsidRDefault="003C14FF" w:rsidP="003C14FF">
      <w:pPr>
        <w:pStyle w:val="H23G"/>
        <w:rPr>
          <w:snapToGrid w:val="0"/>
        </w:rPr>
      </w:pPr>
      <w:r>
        <w:rPr>
          <w:lang w:val="en-US"/>
        </w:rPr>
        <w:tab/>
      </w:r>
      <w:r>
        <w:rPr>
          <w:lang w:val="en-US"/>
        </w:rPr>
        <w:tab/>
      </w:r>
      <w:r w:rsidR="006C72E1" w:rsidRPr="00E16BDA">
        <w:rPr>
          <w:lang w:val="en-US"/>
        </w:rPr>
        <w:t xml:space="preserve">Shelters </w:t>
      </w:r>
    </w:p>
    <w:p w:rsidR="006C72E1" w:rsidRDefault="006C72E1" w:rsidP="001633EE">
      <w:pPr>
        <w:pStyle w:val="SingleTxtG"/>
        <w:numPr>
          <w:ilvl w:val="0"/>
          <w:numId w:val="12"/>
        </w:numPr>
        <w:ind w:left="1134" w:firstLine="0"/>
      </w:pPr>
      <w:r w:rsidRPr="00662974">
        <w:t xml:space="preserve">Atlas and </w:t>
      </w:r>
      <w:proofErr w:type="spellStart"/>
      <w:r w:rsidRPr="00662974">
        <w:t>Ma’agan</w:t>
      </w:r>
      <w:proofErr w:type="spellEnd"/>
      <w:r w:rsidRPr="00662974">
        <w:t xml:space="preserve"> shelters</w:t>
      </w:r>
      <w:r w:rsidRPr="004075A1">
        <w:t xml:space="preserve">: Government-funded shelters specially created to care for victims of trafficking for the purpose of prostitution, slavery and forced labour. </w:t>
      </w:r>
      <w:r w:rsidR="001633EE">
        <w:t>Although</w:t>
      </w:r>
      <w:r w:rsidR="001633EE" w:rsidRPr="004075A1">
        <w:t xml:space="preserve"> </w:t>
      </w:r>
      <w:r w:rsidRPr="004075A1">
        <w:t>receiving their funding from the Government and being under the supervision of the Ministry of Social Affairs and Social Services, they are operated by</w:t>
      </w:r>
      <w:r>
        <w:t xml:space="preserve"> an independent, non-profit NGO</w:t>
      </w:r>
      <w:r w:rsidRPr="004075A1">
        <w:t xml:space="preserve">. The </w:t>
      </w:r>
      <w:proofErr w:type="spellStart"/>
      <w:r w:rsidRPr="004075A1">
        <w:t>Ma’agan</w:t>
      </w:r>
      <w:proofErr w:type="spellEnd"/>
      <w:r w:rsidRPr="004075A1">
        <w:t xml:space="preserve"> shelter houses female victims of trafficking, and the Atlas </w:t>
      </w:r>
      <w:proofErr w:type="spellStart"/>
      <w:r>
        <w:t>Center</w:t>
      </w:r>
      <w:proofErr w:type="spellEnd"/>
      <w:r w:rsidRPr="004075A1">
        <w:t xml:space="preserve"> houses male victims.</w:t>
      </w:r>
      <w:r>
        <w:t xml:space="preserve"> </w:t>
      </w:r>
    </w:p>
    <w:p w:rsidR="006C72E1" w:rsidRDefault="006C72E1" w:rsidP="0066698A">
      <w:pPr>
        <w:pStyle w:val="SingleTxtG"/>
        <w:numPr>
          <w:ilvl w:val="0"/>
          <w:numId w:val="12"/>
        </w:numPr>
        <w:ind w:left="1134" w:firstLine="0"/>
      </w:pPr>
      <w:r>
        <w:t>The above</w:t>
      </w:r>
      <w:r w:rsidR="0066698A">
        <w:t>-</w:t>
      </w:r>
      <w:r>
        <w:t xml:space="preserve">mentioned shelters do not house </w:t>
      </w:r>
      <w:r w:rsidR="0066698A">
        <w:t xml:space="preserve">child </w:t>
      </w:r>
      <w:r>
        <w:t xml:space="preserve">victims of trafficking offenses, but they constitute a well-founded platform for establishing shelters for children if the need were to arise. </w:t>
      </w:r>
    </w:p>
    <w:p w:rsidR="006C72E1" w:rsidRPr="00E16BDA" w:rsidRDefault="003C14FF" w:rsidP="003C14FF">
      <w:pPr>
        <w:pStyle w:val="H23G"/>
        <w:rPr>
          <w:lang w:val="en-US"/>
        </w:rPr>
      </w:pPr>
      <w:r>
        <w:rPr>
          <w:lang w:val="en-US"/>
        </w:rPr>
        <w:tab/>
      </w:r>
      <w:r>
        <w:rPr>
          <w:lang w:val="en-US"/>
        </w:rPr>
        <w:tab/>
      </w:r>
      <w:r w:rsidR="006C72E1" w:rsidRPr="00E16BDA">
        <w:rPr>
          <w:lang w:val="en-US"/>
        </w:rPr>
        <w:t>Visas</w:t>
      </w:r>
      <w:r w:rsidR="0066698A">
        <w:rPr>
          <w:lang w:val="en-US"/>
        </w:rPr>
        <w:t xml:space="preserve"> </w:t>
      </w:r>
    </w:p>
    <w:p w:rsidR="006C72E1" w:rsidRDefault="006C72E1" w:rsidP="006D3B18">
      <w:pPr>
        <w:pStyle w:val="SingleTxtG"/>
        <w:numPr>
          <w:ilvl w:val="0"/>
          <w:numId w:val="12"/>
        </w:numPr>
        <w:ind w:left="1134" w:firstLine="0"/>
        <w:rPr>
          <w:lang w:val="en-US"/>
        </w:rPr>
      </w:pPr>
      <w:r w:rsidRPr="002D2C27">
        <w:rPr>
          <w:lang w:val="en-US"/>
        </w:rPr>
        <w:t xml:space="preserve">The Ministry of Interior has issued specific internal </w:t>
      </w:r>
      <w:r>
        <w:rPr>
          <w:lang w:val="en-US"/>
        </w:rPr>
        <w:t>d</w:t>
      </w:r>
      <w:r w:rsidRPr="002D2C27">
        <w:rPr>
          <w:lang w:val="en-US"/>
        </w:rPr>
        <w:t xml:space="preserve">irectives that deal with visas for trafficking victims. There are three directives: </w:t>
      </w:r>
      <w:r>
        <w:rPr>
          <w:lang w:val="en-US"/>
        </w:rPr>
        <w:t>1</w:t>
      </w:r>
      <w:r w:rsidRPr="002D2C27">
        <w:rPr>
          <w:lang w:val="en-US"/>
        </w:rPr>
        <w:t xml:space="preserve">) </w:t>
      </w:r>
      <w:r>
        <w:rPr>
          <w:lang w:val="en-US"/>
        </w:rPr>
        <w:t xml:space="preserve">a </w:t>
      </w:r>
      <w:r w:rsidRPr="002D2C27">
        <w:rPr>
          <w:lang w:val="en-US"/>
        </w:rPr>
        <w:t>directive regarding treatment of victims of trafficking for prostitution</w:t>
      </w:r>
      <w:r w:rsidRPr="002D2C27">
        <w:rPr>
          <w:snapToGrid w:val="0"/>
          <w:lang w:val="en-US"/>
        </w:rPr>
        <w:t xml:space="preserve"> who</w:t>
      </w:r>
      <w:r w:rsidRPr="002D2C27">
        <w:rPr>
          <w:lang w:val="en-US"/>
        </w:rPr>
        <w:t xml:space="preserve"> request to </w:t>
      </w:r>
      <w:r w:rsidRPr="002D2C27">
        <w:rPr>
          <w:szCs w:val="24"/>
          <w:lang w:val="en-US"/>
        </w:rPr>
        <w:t>testify</w:t>
      </w:r>
      <w:r>
        <w:rPr>
          <w:szCs w:val="24"/>
          <w:lang w:val="en-US"/>
        </w:rPr>
        <w:t>;</w:t>
      </w:r>
      <w:r w:rsidRPr="002D2C27">
        <w:rPr>
          <w:lang w:val="en-US"/>
        </w:rPr>
        <w:t xml:space="preserve"> </w:t>
      </w:r>
      <w:r>
        <w:rPr>
          <w:lang w:val="en-US"/>
        </w:rPr>
        <w:t>2</w:t>
      </w:r>
      <w:r w:rsidRPr="002D2C27">
        <w:rPr>
          <w:lang w:val="en-US"/>
        </w:rPr>
        <w:t>) a directive regarding visas for victims of trafficking and/or prostitution for rehabilitation purposes</w:t>
      </w:r>
      <w:r>
        <w:rPr>
          <w:lang w:val="en-US"/>
        </w:rPr>
        <w:t>; and</w:t>
      </w:r>
      <w:r w:rsidRPr="002D2C27">
        <w:rPr>
          <w:lang w:val="en-US"/>
        </w:rPr>
        <w:t xml:space="preserve"> </w:t>
      </w:r>
      <w:r>
        <w:rPr>
          <w:lang w:val="en-US"/>
        </w:rPr>
        <w:t>3</w:t>
      </w:r>
      <w:r w:rsidRPr="002D2C27">
        <w:rPr>
          <w:lang w:val="en-US"/>
        </w:rPr>
        <w:t xml:space="preserve">) a directive regarding the status of victims of trafficking and/or forced labor. In addition, </w:t>
      </w:r>
      <w:r>
        <w:rPr>
          <w:lang w:val="en-US"/>
        </w:rPr>
        <w:t>in cases where</w:t>
      </w:r>
      <w:r w:rsidRPr="002D2C27">
        <w:rPr>
          <w:lang w:val="en-US"/>
        </w:rPr>
        <w:t xml:space="preserve"> the criminal proceedings </w:t>
      </w:r>
      <w:r>
        <w:rPr>
          <w:lang w:val="en-US"/>
        </w:rPr>
        <w:t xml:space="preserve">against an offender have </w:t>
      </w:r>
      <w:r w:rsidRPr="002D2C27">
        <w:rPr>
          <w:lang w:val="en-US"/>
        </w:rPr>
        <w:t xml:space="preserve">ended or </w:t>
      </w:r>
      <w:r>
        <w:rPr>
          <w:lang w:val="en-US"/>
        </w:rPr>
        <w:t xml:space="preserve">where a </w:t>
      </w:r>
      <w:r w:rsidRPr="002D2C27">
        <w:rPr>
          <w:lang w:val="en-US"/>
        </w:rPr>
        <w:t>victim do</w:t>
      </w:r>
      <w:r>
        <w:rPr>
          <w:lang w:val="en-US"/>
        </w:rPr>
        <w:t>es</w:t>
      </w:r>
      <w:r w:rsidRPr="002D2C27">
        <w:rPr>
          <w:lang w:val="en-US"/>
        </w:rPr>
        <w:t xml:space="preserve"> not wish to cooperate with the Police, </w:t>
      </w:r>
      <w:r>
        <w:rPr>
          <w:lang w:val="en-US"/>
        </w:rPr>
        <w:t xml:space="preserve">the victim is entitled </w:t>
      </w:r>
      <w:r w:rsidRPr="002D2C27">
        <w:rPr>
          <w:lang w:val="en-US"/>
        </w:rPr>
        <w:t>to apply to the Ministry of Interior to receive visas for rehabilitation purposes.</w:t>
      </w:r>
    </w:p>
    <w:p w:rsidR="006C72E1" w:rsidRDefault="006C72E1" w:rsidP="00081FBA">
      <w:pPr>
        <w:pStyle w:val="SingleTxtG"/>
        <w:numPr>
          <w:ilvl w:val="0"/>
          <w:numId w:val="12"/>
        </w:numPr>
        <w:ind w:left="1134" w:firstLine="0"/>
      </w:pPr>
      <w:r>
        <w:t xml:space="preserve">The </w:t>
      </w:r>
      <w:r w:rsidRPr="00167B84">
        <w:t>B1 visa</w:t>
      </w:r>
      <w:r>
        <w:t xml:space="preserve"> is a</w:t>
      </w:r>
      <w:r w:rsidRPr="00D5403F">
        <w:t xml:space="preserve"> work and residency</w:t>
      </w:r>
      <w:r>
        <w:t xml:space="preserve"> </w:t>
      </w:r>
      <w:r w:rsidRPr="00D5403F">
        <w:t>permit</w:t>
      </w:r>
      <w:r>
        <w:t>, which</w:t>
      </w:r>
      <w:r w:rsidRPr="00D5403F">
        <w:t xml:space="preserve"> can be granted to a victim of trafficking for a one-year rehabilitation perio</w:t>
      </w:r>
      <w:r>
        <w:t>d</w:t>
      </w:r>
      <w:r w:rsidR="00081FBA">
        <w:t>; this</w:t>
      </w:r>
      <w:r>
        <w:t xml:space="preserve"> period may be extended </w:t>
      </w:r>
      <w:r>
        <w:rPr>
          <w:lang w:val="en-US"/>
        </w:rPr>
        <w:t>in</w:t>
      </w:r>
      <w:r w:rsidRPr="002D2C27">
        <w:rPr>
          <w:lang w:val="en-US"/>
        </w:rPr>
        <w:t xml:space="preserve"> exceptional circumstances.</w:t>
      </w:r>
      <w:r w:rsidRPr="00D5403F">
        <w:t xml:space="preserve"> A B1 visa can also be granted to enable a victim to remain in Israel in order to testify in proceedings against traffickers. </w:t>
      </w:r>
      <w:r>
        <w:t>T</w:t>
      </w:r>
      <w:r w:rsidRPr="00D5403F">
        <w:t xml:space="preserve">he B1 </w:t>
      </w:r>
      <w:r w:rsidRPr="00B43698">
        <w:rPr>
          <w:i/>
          <w:iCs/>
        </w:rPr>
        <w:t>testimony-related visa</w:t>
      </w:r>
      <w:r w:rsidRPr="00D5403F">
        <w:t xml:space="preserve"> </w:t>
      </w:r>
      <w:r>
        <w:t>may be extended for the duration of investigations and/or court proceedings</w:t>
      </w:r>
      <w:r>
        <w:rPr>
          <w:snapToGrid w:val="0"/>
        </w:rPr>
        <w:t>.</w:t>
      </w:r>
    </w:p>
    <w:p w:rsidR="006C72E1" w:rsidRPr="002D2C27" w:rsidRDefault="006C72E1" w:rsidP="00081FBA">
      <w:pPr>
        <w:pStyle w:val="SingleTxtG"/>
        <w:numPr>
          <w:ilvl w:val="0"/>
          <w:numId w:val="12"/>
        </w:numPr>
        <w:ind w:left="1134" w:firstLine="0"/>
        <w:rPr>
          <w:lang w:val="en-US"/>
        </w:rPr>
      </w:pPr>
      <w:r>
        <w:rPr>
          <w:lang w:val="en-US"/>
        </w:rPr>
        <w:t>S</w:t>
      </w:r>
      <w:r w:rsidRPr="002D2C27">
        <w:rPr>
          <w:lang w:val="en-US"/>
        </w:rPr>
        <w:t>uch visas</w:t>
      </w:r>
      <w:r>
        <w:rPr>
          <w:lang w:val="en-US"/>
        </w:rPr>
        <w:t xml:space="preserve"> can only be issued if </w:t>
      </w:r>
      <w:r w:rsidR="00CD3B50">
        <w:rPr>
          <w:lang w:val="en-US"/>
        </w:rPr>
        <w:t>a) </w:t>
      </w:r>
      <w:r w:rsidRPr="002D2C27">
        <w:rPr>
          <w:lang w:val="en-US"/>
        </w:rPr>
        <w:t xml:space="preserve">the person indeed </w:t>
      </w:r>
      <w:r>
        <w:rPr>
          <w:lang w:val="en-US"/>
        </w:rPr>
        <w:t xml:space="preserve">is </w:t>
      </w:r>
      <w:r w:rsidRPr="002D2C27">
        <w:rPr>
          <w:lang w:val="en-US"/>
        </w:rPr>
        <w:t>a victim of trafficking</w:t>
      </w:r>
      <w:r>
        <w:rPr>
          <w:lang w:val="en-US"/>
        </w:rPr>
        <w:t xml:space="preserve">, and </w:t>
      </w:r>
      <w:r w:rsidR="00CD3B50">
        <w:rPr>
          <w:lang w:val="en-US"/>
        </w:rPr>
        <w:t>b) </w:t>
      </w:r>
      <w:r w:rsidRPr="002D2C27">
        <w:rPr>
          <w:lang w:val="en-US"/>
        </w:rPr>
        <w:t xml:space="preserve">the person </w:t>
      </w:r>
      <w:r>
        <w:rPr>
          <w:lang w:val="en-US"/>
        </w:rPr>
        <w:t>is capable of being</w:t>
      </w:r>
      <w:r w:rsidRPr="002D2C27">
        <w:rPr>
          <w:lang w:val="en-US"/>
        </w:rPr>
        <w:t xml:space="preserve"> rehabilitated.</w:t>
      </w:r>
      <w:r w:rsidRPr="002D2C27">
        <w:rPr>
          <w:snapToGrid w:val="0"/>
          <w:lang w:val="en-US"/>
        </w:rPr>
        <w:t xml:space="preserve"> It is not a prerequisite that victims </w:t>
      </w:r>
      <w:r w:rsidRPr="002D2C27">
        <w:rPr>
          <w:szCs w:val="24"/>
          <w:lang w:val="en-US"/>
        </w:rPr>
        <w:t>reside</w:t>
      </w:r>
      <w:r w:rsidRPr="002D2C27">
        <w:rPr>
          <w:snapToGrid w:val="0"/>
          <w:lang w:val="en-US"/>
        </w:rPr>
        <w:t xml:space="preserve"> in the shelters in order to receive year-long visas for rehabilitation purposes. </w:t>
      </w:r>
    </w:p>
    <w:p w:rsidR="006C72E1" w:rsidRPr="00871E98" w:rsidRDefault="003C14FF" w:rsidP="00E1688E">
      <w:pPr>
        <w:pStyle w:val="H23G"/>
        <w:rPr>
          <w:snapToGrid w:val="0"/>
          <w:lang w:val="en-US"/>
        </w:rPr>
      </w:pPr>
      <w:r>
        <w:rPr>
          <w:snapToGrid w:val="0"/>
          <w:lang w:val="en-US"/>
        </w:rPr>
        <w:tab/>
      </w:r>
      <w:r>
        <w:rPr>
          <w:snapToGrid w:val="0"/>
          <w:lang w:val="en-US"/>
        </w:rPr>
        <w:tab/>
      </w:r>
      <w:r w:rsidR="006C72E1" w:rsidRPr="00871E98">
        <w:rPr>
          <w:snapToGrid w:val="0"/>
          <w:lang w:val="en-US"/>
        </w:rPr>
        <w:t xml:space="preserve">Treatment and </w:t>
      </w:r>
      <w:r w:rsidR="00E1688E">
        <w:rPr>
          <w:szCs w:val="24"/>
          <w:lang w:val="en-US"/>
        </w:rPr>
        <w:t>a</w:t>
      </w:r>
      <w:r w:rsidR="006C72E1" w:rsidRPr="00871E98">
        <w:rPr>
          <w:szCs w:val="24"/>
          <w:lang w:val="en-US"/>
        </w:rPr>
        <w:t>ssistance</w:t>
      </w:r>
    </w:p>
    <w:p w:rsidR="006C72E1" w:rsidRPr="00871E98" w:rsidRDefault="006C72E1" w:rsidP="00647BB2">
      <w:pPr>
        <w:pStyle w:val="SingleTxtG"/>
        <w:numPr>
          <w:ilvl w:val="0"/>
          <w:numId w:val="12"/>
        </w:numPr>
        <w:ind w:left="1134" w:firstLine="0"/>
        <w:rPr>
          <w:snapToGrid w:val="0"/>
        </w:rPr>
      </w:pPr>
      <w:r w:rsidRPr="00871E98">
        <w:rPr>
          <w:snapToGrid w:val="0"/>
        </w:rPr>
        <w:t>The Authority for the Advancement of the Status of Women has been cooperating with the Ministries of Social Affairs and Social Services, Health</w:t>
      </w:r>
      <w:r>
        <w:rPr>
          <w:snapToGrid w:val="0"/>
        </w:rPr>
        <w:t xml:space="preserve"> and Education since 2008, in an</w:t>
      </w:r>
      <w:r w:rsidRPr="00871E98">
        <w:rPr>
          <w:snapToGrid w:val="0"/>
        </w:rPr>
        <w:t xml:space="preserve"> </w:t>
      </w:r>
      <w:proofErr w:type="spellStart"/>
      <w:r w:rsidRPr="00871E98">
        <w:rPr>
          <w:snapToGrid w:val="0"/>
        </w:rPr>
        <w:t>interministerial</w:t>
      </w:r>
      <w:proofErr w:type="spellEnd"/>
      <w:r w:rsidRPr="00871E98">
        <w:rPr>
          <w:snapToGrid w:val="0"/>
        </w:rPr>
        <w:t xml:space="preserve"> plan offering services to empower women to leave the vicious cycle of prostitution, including access to safe accommodation, education, training, drug rehabilitation, and to ongoing support. The budget allocated </w:t>
      </w:r>
      <w:r w:rsidR="0032213C">
        <w:rPr>
          <w:snapToGrid w:val="0"/>
        </w:rPr>
        <w:t>to this program in 2011 was NIS </w:t>
      </w:r>
      <w:r w:rsidRPr="00871E98">
        <w:rPr>
          <w:snapToGrid w:val="0"/>
        </w:rPr>
        <w:t>8 Million (US$</w:t>
      </w:r>
      <w:r w:rsidR="00A72F2B">
        <w:rPr>
          <w:snapToGrid w:val="0"/>
        </w:rPr>
        <w:t> 2.1 </w:t>
      </w:r>
      <w:r w:rsidR="00081FBA">
        <w:rPr>
          <w:snapToGrid w:val="0"/>
        </w:rPr>
        <w:t>m</w:t>
      </w:r>
      <w:r w:rsidRPr="00871E98">
        <w:rPr>
          <w:snapToGrid w:val="0"/>
        </w:rPr>
        <w:t xml:space="preserve">illion), and this has become a permanent </w:t>
      </w:r>
      <w:r>
        <w:rPr>
          <w:snapToGrid w:val="0"/>
        </w:rPr>
        <w:t>item in</w:t>
      </w:r>
      <w:r w:rsidRPr="00871E98">
        <w:rPr>
          <w:snapToGrid w:val="0"/>
        </w:rPr>
        <w:t xml:space="preserve"> the State budget. During 2011, the budget was used </w:t>
      </w:r>
      <w:r w:rsidR="00647BB2">
        <w:rPr>
          <w:snapToGrid w:val="0"/>
        </w:rPr>
        <w:t>on</w:t>
      </w:r>
      <w:r w:rsidR="00647BB2" w:rsidRPr="00871E98">
        <w:rPr>
          <w:snapToGrid w:val="0"/>
        </w:rPr>
        <w:t xml:space="preserve"> </w:t>
      </w:r>
      <w:r w:rsidRPr="00871E98">
        <w:rPr>
          <w:snapToGrid w:val="0"/>
        </w:rPr>
        <w:t>the following endeavours</w:t>
      </w:r>
      <w:r w:rsidRPr="00871E98">
        <w:rPr>
          <w:snapToGrid w:val="0"/>
          <w:rtl/>
        </w:rPr>
        <w:t>:</w:t>
      </w:r>
    </w:p>
    <w:p w:rsidR="006C72E1" w:rsidRPr="000818A8" w:rsidRDefault="006C72E1" w:rsidP="006D3B18">
      <w:pPr>
        <w:pStyle w:val="Bullet1G"/>
        <w:numPr>
          <w:ilvl w:val="0"/>
          <w:numId w:val="11"/>
        </w:numPr>
      </w:pPr>
      <w:r w:rsidRPr="000818A8">
        <w:t>Holding emergency apartments which provide temporary housing fo</w:t>
      </w:r>
      <w:r w:rsidR="002E2CDA">
        <w:t>r prostitutes, in Tel Aviv (</w:t>
      </w:r>
      <w:proofErr w:type="spellStart"/>
      <w:r w:rsidR="002E2CDA">
        <w:t>Sal’</w:t>
      </w:r>
      <w:r w:rsidRPr="000818A8">
        <w:t>it</w:t>
      </w:r>
      <w:proofErr w:type="spellEnd"/>
      <w:r w:rsidRPr="000818A8">
        <w:t>) and in Haifa (</w:t>
      </w:r>
      <w:proofErr w:type="spellStart"/>
      <w:r w:rsidRPr="000818A8">
        <w:t>Ofek</w:t>
      </w:r>
      <w:proofErr w:type="spellEnd"/>
      <w:r w:rsidRPr="000818A8">
        <w:t xml:space="preserve"> </w:t>
      </w:r>
      <w:proofErr w:type="spellStart"/>
      <w:r w:rsidRPr="000818A8">
        <w:t>Nashi</w:t>
      </w:r>
      <w:proofErr w:type="spellEnd"/>
      <w:r w:rsidRPr="000818A8">
        <w:t>);</w:t>
      </w:r>
    </w:p>
    <w:p w:rsidR="006C72E1" w:rsidRPr="000818A8" w:rsidRDefault="006C72E1" w:rsidP="006A3E55">
      <w:pPr>
        <w:pStyle w:val="Bullet1G"/>
        <w:numPr>
          <w:ilvl w:val="0"/>
          <w:numId w:val="11"/>
        </w:numPr>
      </w:pPr>
      <w:r w:rsidRPr="000818A8">
        <w:t xml:space="preserve">Creating a national hotline for providing an initial response for women and </w:t>
      </w:r>
      <w:r w:rsidR="003C7FC2">
        <w:t>young people</w:t>
      </w:r>
      <w:r w:rsidR="003C7FC2" w:rsidRPr="000818A8">
        <w:t xml:space="preserve"> </w:t>
      </w:r>
      <w:r w:rsidRPr="000818A8">
        <w:t xml:space="preserve">in the cycle of prostitution </w:t>
      </w:r>
      <w:r w:rsidR="006A3E55">
        <w:t>who</w:t>
      </w:r>
      <w:r w:rsidR="006A3E55" w:rsidRPr="000818A8">
        <w:t xml:space="preserve"> </w:t>
      </w:r>
      <w:r w:rsidRPr="000818A8">
        <w:t xml:space="preserve">often encounter severe cases of abuse, rape and robbery; the hotline provides </w:t>
      </w:r>
      <w:r w:rsidR="006A3E55">
        <w:t xml:space="preserve">a </w:t>
      </w:r>
      <w:r w:rsidRPr="000818A8">
        <w:t>response by promptly referring the women to the appropriate treatment providers, and by providing emergency care</w:t>
      </w:r>
      <w:r w:rsidRPr="000818A8">
        <w:rPr>
          <w:rtl/>
        </w:rPr>
        <w:t>;</w:t>
      </w:r>
    </w:p>
    <w:p w:rsidR="006C72E1" w:rsidRPr="000818A8" w:rsidRDefault="006C72E1" w:rsidP="006D3B18">
      <w:pPr>
        <w:pStyle w:val="Bullet1G"/>
        <w:numPr>
          <w:ilvl w:val="0"/>
          <w:numId w:val="11"/>
        </w:numPr>
      </w:pPr>
      <w:r w:rsidRPr="000818A8">
        <w:t>Operating a hostel, located in Tel Aviv, intended for psychological treatment and rehabilitation over prolonged periods of time</w:t>
      </w:r>
      <w:r w:rsidRPr="000818A8">
        <w:rPr>
          <w:rtl/>
        </w:rPr>
        <w:t>;</w:t>
      </w:r>
    </w:p>
    <w:p w:rsidR="006C72E1" w:rsidRPr="000818A8" w:rsidRDefault="006C72E1" w:rsidP="006D3B18">
      <w:pPr>
        <w:pStyle w:val="Bullet1G"/>
        <w:numPr>
          <w:ilvl w:val="0"/>
          <w:numId w:val="11"/>
        </w:numPr>
      </w:pPr>
      <w:r w:rsidRPr="000818A8">
        <w:t>Operating two day-centres for psychological and occu</w:t>
      </w:r>
      <w:r w:rsidR="00496742">
        <w:t>pational rehabilitation, in Tel </w:t>
      </w:r>
      <w:r w:rsidRPr="000818A8">
        <w:t>Aviv and in Haifa</w:t>
      </w:r>
      <w:r w:rsidR="00496742">
        <w:t>;</w:t>
      </w:r>
    </w:p>
    <w:p w:rsidR="006C72E1" w:rsidRPr="000818A8" w:rsidRDefault="006C72E1" w:rsidP="006D3B18">
      <w:pPr>
        <w:pStyle w:val="Bullet1G"/>
        <w:numPr>
          <w:ilvl w:val="0"/>
          <w:numId w:val="11"/>
        </w:numPr>
      </w:pPr>
      <w:r w:rsidRPr="000818A8">
        <w:t>Operating two therapeutic evening-</w:t>
      </w:r>
      <w:proofErr w:type="spellStart"/>
      <w:r w:rsidRPr="000818A8">
        <w:t>centers</w:t>
      </w:r>
      <w:proofErr w:type="spellEnd"/>
      <w:r w:rsidRPr="000818A8">
        <w:t>, in Tel Aviv and in Haifa</w:t>
      </w:r>
      <w:r w:rsidRPr="000818A8">
        <w:rPr>
          <w:rtl/>
        </w:rPr>
        <w:t>;</w:t>
      </w:r>
    </w:p>
    <w:p w:rsidR="006C72E1" w:rsidRPr="00496742" w:rsidRDefault="006C72E1" w:rsidP="006D3B18">
      <w:pPr>
        <w:pStyle w:val="Bullet1G"/>
        <w:numPr>
          <w:ilvl w:val="0"/>
          <w:numId w:val="11"/>
        </w:numPr>
      </w:pPr>
      <w:r w:rsidRPr="000818A8">
        <w:t xml:space="preserve">Operating a therapeutic day-centre in </w:t>
      </w:r>
      <w:proofErr w:type="spellStart"/>
      <w:r w:rsidRPr="000818A8">
        <w:t>Be</w:t>
      </w:r>
      <w:r w:rsidR="00496742">
        <w:t>’</w:t>
      </w:r>
      <w:r w:rsidRPr="000818A8">
        <w:t>er-Sheva</w:t>
      </w:r>
      <w:proofErr w:type="spellEnd"/>
      <w:r w:rsidRPr="000818A8">
        <w:rPr>
          <w:rtl/>
        </w:rPr>
        <w:t>;</w:t>
      </w:r>
    </w:p>
    <w:p w:rsidR="006C72E1" w:rsidRPr="00496742" w:rsidRDefault="006C72E1" w:rsidP="006D3B18">
      <w:pPr>
        <w:pStyle w:val="Bullet1G"/>
        <w:numPr>
          <w:ilvl w:val="0"/>
          <w:numId w:val="11"/>
        </w:numPr>
      </w:pPr>
      <w:r w:rsidRPr="000818A8">
        <w:t xml:space="preserve">Operating an emergency program in </w:t>
      </w:r>
      <w:proofErr w:type="spellStart"/>
      <w:r w:rsidRPr="000818A8">
        <w:t>Eilat</w:t>
      </w:r>
      <w:proofErr w:type="spellEnd"/>
      <w:r w:rsidRPr="000818A8">
        <w:t>.</w:t>
      </w:r>
    </w:p>
    <w:p w:rsidR="006C72E1" w:rsidRDefault="006C72E1" w:rsidP="006A3E55">
      <w:pPr>
        <w:pStyle w:val="SingleTxtG"/>
        <w:numPr>
          <w:ilvl w:val="0"/>
          <w:numId w:val="12"/>
        </w:numPr>
        <w:ind w:left="1134" w:firstLine="0"/>
        <w:rPr>
          <w:snapToGrid w:val="0"/>
          <w:lang w:val="en-US"/>
        </w:rPr>
      </w:pPr>
      <w:r w:rsidRPr="001A052D">
        <w:rPr>
          <w:snapToGrid w:val="0"/>
          <w:lang w:val="en-US"/>
        </w:rPr>
        <w:t>Free psychological treatment program</w:t>
      </w:r>
      <w:r w:rsidR="00496742">
        <w:rPr>
          <w:snapToGrid w:val="0"/>
          <w:lang w:val="en-US"/>
        </w:rPr>
        <w:t xml:space="preserve"> –</w:t>
      </w:r>
      <w:r>
        <w:rPr>
          <w:snapToGrid w:val="0"/>
          <w:lang w:val="en-US"/>
        </w:rPr>
        <w:t xml:space="preserve"> </w:t>
      </w:r>
      <w:r w:rsidRPr="002D2C27">
        <w:rPr>
          <w:snapToGrid w:val="0"/>
          <w:lang w:val="en-US"/>
        </w:rPr>
        <w:t xml:space="preserve">Since 2008, </w:t>
      </w:r>
      <w:r>
        <w:rPr>
          <w:snapToGrid w:val="0"/>
          <w:lang w:val="en-US"/>
        </w:rPr>
        <w:t>t</w:t>
      </w:r>
      <w:r w:rsidRPr="002D2C27">
        <w:rPr>
          <w:snapToGrid w:val="0"/>
          <w:lang w:val="en-US"/>
        </w:rPr>
        <w:t xml:space="preserve">he Ministry of Social Affairs and Social Services </w:t>
      </w:r>
      <w:r>
        <w:rPr>
          <w:snapToGrid w:val="0"/>
          <w:lang w:val="en-US"/>
        </w:rPr>
        <w:t xml:space="preserve">has been </w:t>
      </w:r>
      <w:r w:rsidRPr="002D2C27">
        <w:rPr>
          <w:snapToGrid w:val="0"/>
          <w:lang w:val="en-US"/>
        </w:rPr>
        <w:t>operat</w:t>
      </w:r>
      <w:r>
        <w:rPr>
          <w:snapToGrid w:val="0"/>
          <w:lang w:val="en-US"/>
        </w:rPr>
        <w:t>ing</w:t>
      </w:r>
      <w:r w:rsidRPr="002D2C27">
        <w:rPr>
          <w:snapToGrid w:val="0"/>
          <w:lang w:val="en-US"/>
        </w:rPr>
        <w:t xml:space="preserve"> a free psychological treatment program for child victims of sex crimes. The National Insurance Institute and the </w:t>
      </w:r>
      <w:proofErr w:type="spellStart"/>
      <w:r w:rsidRPr="002D2C27">
        <w:rPr>
          <w:snapToGrid w:val="0"/>
          <w:lang w:val="en-US"/>
        </w:rPr>
        <w:t>Rashi</w:t>
      </w:r>
      <w:proofErr w:type="spellEnd"/>
      <w:r w:rsidRPr="002D2C27">
        <w:rPr>
          <w:snapToGrid w:val="0"/>
          <w:lang w:val="en-US"/>
        </w:rPr>
        <w:t xml:space="preserve"> Foundation established this program. </w:t>
      </w:r>
      <w:r w:rsidRPr="002D2C27">
        <w:rPr>
          <w:lang w:val="en-US"/>
        </w:rPr>
        <w:t>The budget allocated for this purpose</w:t>
      </w:r>
      <w:r w:rsidRPr="002D2C27">
        <w:rPr>
          <w:snapToGrid w:val="0"/>
          <w:lang w:val="en-US"/>
        </w:rPr>
        <w:t xml:space="preserve"> </w:t>
      </w:r>
      <w:r w:rsidR="0032213C">
        <w:rPr>
          <w:snapToGrid w:val="0"/>
          <w:lang w:val="en-US"/>
        </w:rPr>
        <w:t xml:space="preserve">is </w:t>
      </w:r>
      <w:r w:rsidR="006A3E55">
        <w:rPr>
          <w:snapToGrid w:val="0"/>
          <w:lang w:val="en-US"/>
        </w:rPr>
        <w:t xml:space="preserve">10 </w:t>
      </w:r>
      <w:r w:rsidR="0032213C">
        <w:rPr>
          <w:snapToGrid w:val="0"/>
          <w:lang w:val="en-US"/>
        </w:rPr>
        <w:t>million NIS (US</w:t>
      </w:r>
      <w:r w:rsidR="00496742">
        <w:rPr>
          <w:snapToGrid w:val="0"/>
          <w:lang w:val="en-US"/>
        </w:rPr>
        <w:t>$ </w:t>
      </w:r>
      <w:r w:rsidRPr="000961B8">
        <w:rPr>
          <w:snapToGrid w:val="0"/>
          <w:lang w:val="en-US"/>
        </w:rPr>
        <w:t>2,631,578). There</w:t>
      </w:r>
      <w:r w:rsidRPr="002D2C27">
        <w:rPr>
          <w:snapToGrid w:val="0"/>
          <w:lang w:val="en-US"/>
        </w:rPr>
        <w:t xml:space="preserve"> are </w:t>
      </w:r>
      <w:r>
        <w:rPr>
          <w:snapToGrid w:val="0"/>
          <w:lang w:val="en-US"/>
        </w:rPr>
        <w:t>twelve</w:t>
      </w:r>
      <w:r w:rsidRPr="002D2C27">
        <w:rPr>
          <w:snapToGrid w:val="0"/>
          <w:lang w:val="en-US"/>
        </w:rPr>
        <w:t xml:space="preserve"> centers throughout the country, located in central cities. Rural population</w:t>
      </w:r>
      <w:r>
        <w:rPr>
          <w:snapToGrid w:val="0"/>
          <w:lang w:val="en-US"/>
        </w:rPr>
        <w:t>s</w:t>
      </w:r>
      <w:r w:rsidRPr="002D2C27">
        <w:rPr>
          <w:snapToGrid w:val="0"/>
          <w:lang w:val="en-US"/>
        </w:rPr>
        <w:t xml:space="preserve"> are also treated by additional clinics that include sex crime victim profession</w:t>
      </w:r>
      <w:r>
        <w:rPr>
          <w:snapToGrid w:val="0"/>
          <w:lang w:val="en-US"/>
        </w:rPr>
        <w:t>als</w:t>
      </w:r>
      <w:r w:rsidRPr="002D2C27">
        <w:rPr>
          <w:snapToGrid w:val="0"/>
          <w:lang w:val="en-US"/>
        </w:rPr>
        <w:t xml:space="preserve">. The treatment plan is </w:t>
      </w:r>
      <w:r>
        <w:rPr>
          <w:snapToGrid w:val="0"/>
          <w:lang w:val="en-US"/>
        </w:rPr>
        <w:t>tailored</w:t>
      </w:r>
      <w:r w:rsidRPr="002D2C27">
        <w:rPr>
          <w:snapToGrid w:val="0"/>
          <w:lang w:val="en-US"/>
        </w:rPr>
        <w:t xml:space="preserve"> to the children</w:t>
      </w:r>
      <w:r w:rsidR="00C05EBD">
        <w:rPr>
          <w:rFonts w:hint="eastAsia"/>
          <w:snapToGrid w:val="0"/>
          <w:lang w:val="en-US"/>
        </w:rPr>
        <w:t>’</w:t>
      </w:r>
      <w:r w:rsidRPr="002D2C27">
        <w:rPr>
          <w:snapToGrid w:val="0"/>
          <w:lang w:val="en-US"/>
        </w:rPr>
        <w:t>s needs, the trauma he/</w:t>
      </w:r>
      <w:r>
        <w:rPr>
          <w:snapToGrid w:val="0"/>
          <w:lang w:val="en-US"/>
        </w:rPr>
        <w:t>s</w:t>
      </w:r>
      <w:r w:rsidRPr="002D2C27">
        <w:rPr>
          <w:snapToGrid w:val="0"/>
          <w:lang w:val="en-US"/>
        </w:rPr>
        <w:t xml:space="preserve">he </w:t>
      </w:r>
      <w:r w:rsidR="006A3E55">
        <w:rPr>
          <w:snapToGrid w:val="0"/>
          <w:lang w:val="en-US"/>
        </w:rPr>
        <w:t xml:space="preserve">has </w:t>
      </w:r>
      <w:r w:rsidRPr="002D2C27">
        <w:rPr>
          <w:snapToGrid w:val="0"/>
          <w:lang w:val="en-US"/>
        </w:rPr>
        <w:t xml:space="preserve">experienced and the </w:t>
      </w:r>
      <w:r>
        <w:rPr>
          <w:snapToGrid w:val="0"/>
          <w:lang w:val="en-US"/>
        </w:rPr>
        <w:t>needs of the child</w:t>
      </w:r>
      <w:r w:rsidR="00C05EBD">
        <w:rPr>
          <w:rFonts w:hint="eastAsia"/>
          <w:snapToGrid w:val="0"/>
          <w:lang w:val="en-US"/>
        </w:rPr>
        <w:t>’</w:t>
      </w:r>
      <w:r>
        <w:rPr>
          <w:snapToGrid w:val="0"/>
          <w:lang w:val="en-US"/>
        </w:rPr>
        <w:t>s</w:t>
      </w:r>
      <w:r w:rsidRPr="002D2C27">
        <w:rPr>
          <w:snapToGrid w:val="0"/>
          <w:lang w:val="en-US"/>
        </w:rPr>
        <w:t xml:space="preserve"> family</w:t>
      </w:r>
      <w:r>
        <w:rPr>
          <w:snapToGrid w:val="0"/>
          <w:lang w:val="en-US"/>
        </w:rPr>
        <w:t xml:space="preserve">. Treatment is provided for up to </w:t>
      </w:r>
      <w:r w:rsidRPr="002D2C27">
        <w:rPr>
          <w:snapToGrid w:val="0"/>
          <w:lang w:val="en-US"/>
        </w:rPr>
        <w:t xml:space="preserve">18 months. </w:t>
      </w:r>
    </w:p>
    <w:p w:rsidR="006C72E1" w:rsidRPr="00757FF2" w:rsidRDefault="000C2D45" w:rsidP="00C57BD5">
      <w:pPr>
        <w:pStyle w:val="H1G"/>
        <w:rPr>
          <w:lang w:val="en-US"/>
        </w:rPr>
      </w:pPr>
      <w:r>
        <w:rPr>
          <w:lang w:val="en-US"/>
        </w:rPr>
        <w:tab/>
      </w:r>
      <w:r>
        <w:rPr>
          <w:lang w:val="en-US"/>
        </w:rPr>
        <w:tab/>
      </w:r>
      <w:r w:rsidR="000416BC">
        <w:rPr>
          <w:lang w:val="en-US"/>
        </w:rPr>
        <w:t>Article </w:t>
      </w:r>
      <w:r w:rsidR="006C72E1" w:rsidRPr="00757FF2">
        <w:rPr>
          <w:lang w:val="en-US"/>
        </w:rPr>
        <w:t>9</w:t>
      </w:r>
      <w:r w:rsidR="00E90893">
        <w:rPr>
          <w:lang w:val="en-US"/>
        </w:rPr>
        <w:t xml:space="preserve"> </w:t>
      </w:r>
      <w:r w:rsidR="006C72E1" w:rsidRPr="00757FF2">
        <w:rPr>
          <w:lang w:val="en-US"/>
        </w:rPr>
        <w:t>(4) –</w:t>
      </w:r>
      <w:r w:rsidR="006C72E1">
        <w:rPr>
          <w:lang w:val="en-US"/>
        </w:rPr>
        <w:t xml:space="preserve"> </w:t>
      </w:r>
      <w:r w:rsidR="006C72E1" w:rsidRPr="00757FF2">
        <w:rPr>
          <w:lang w:val="en-US"/>
        </w:rPr>
        <w:t>Compensation</w:t>
      </w:r>
      <w:r w:rsidR="006C72E1">
        <w:rPr>
          <w:lang w:val="en-US"/>
        </w:rPr>
        <w:t xml:space="preserve"> of </w:t>
      </w:r>
      <w:r w:rsidR="00C57BD5">
        <w:rPr>
          <w:lang w:val="en-US"/>
        </w:rPr>
        <w:t>v</w:t>
      </w:r>
      <w:r w:rsidR="006C72E1">
        <w:rPr>
          <w:lang w:val="en-US"/>
        </w:rPr>
        <w:t>ictims</w:t>
      </w:r>
    </w:p>
    <w:p w:rsidR="006C72E1" w:rsidRPr="0051426E" w:rsidRDefault="000416BC" w:rsidP="006D3B18">
      <w:pPr>
        <w:pStyle w:val="SingleTxtG"/>
        <w:numPr>
          <w:ilvl w:val="0"/>
          <w:numId w:val="12"/>
        </w:numPr>
        <w:ind w:left="1134" w:firstLine="0"/>
        <w:rPr>
          <w:lang w:val="en-US"/>
        </w:rPr>
      </w:pPr>
      <w:bookmarkStart w:id="26" w:name="OLE_LINK1"/>
      <w:bookmarkStart w:id="27" w:name="OLE_LINK2"/>
      <w:r>
        <w:rPr>
          <w:lang w:val="en-US"/>
        </w:rPr>
        <w:t>Article </w:t>
      </w:r>
      <w:r w:rsidR="006C72E1" w:rsidRPr="0051426E">
        <w:rPr>
          <w:lang w:val="en-US"/>
        </w:rPr>
        <w:t>9(4) requires State</w:t>
      </w:r>
      <w:r w:rsidR="0081588B">
        <w:rPr>
          <w:lang w:val="en-US"/>
        </w:rPr>
        <w:t>s</w:t>
      </w:r>
      <w:r w:rsidR="006C72E1" w:rsidRPr="0051426E">
        <w:rPr>
          <w:lang w:val="en-US"/>
        </w:rPr>
        <w:t xml:space="preserve"> parties to ensure that child victims have access to adequate procedures to seek compensation </w:t>
      </w:r>
      <w:r w:rsidR="006C72E1" w:rsidRPr="0051426E">
        <w:rPr>
          <w:spacing w:val="-3"/>
          <w:lang w:val="en-US"/>
        </w:rPr>
        <w:t>for damages</w:t>
      </w:r>
      <w:r w:rsidR="006C72E1" w:rsidRPr="0051426E">
        <w:rPr>
          <w:spacing w:val="-2"/>
          <w:lang w:val="en-US"/>
        </w:rPr>
        <w:t xml:space="preserve">. </w:t>
      </w:r>
    </w:p>
    <w:p w:rsidR="006C72E1" w:rsidRPr="0051426E" w:rsidRDefault="006C72E1" w:rsidP="006D3B18">
      <w:pPr>
        <w:pStyle w:val="SingleTxtG"/>
        <w:numPr>
          <w:ilvl w:val="0"/>
          <w:numId w:val="12"/>
        </w:numPr>
        <w:ind w:left="1134" w:firstLine="0"/>
      </w:pPr>
      <w:r w:rsidRPr="0051426E">
        <w:t>While financial compensation alone is not sufficient to heal all the physical, psychological and emotional damage endured by child victims of an offense, it remains</w:t>
      </w:r>
      <w:r w:rsidR="0081588B">
        <w:t>,</w:t>
      </w:r>
      <w:r w:rsidRPr="0051426E">
        <w:t xml:space="preserve"> nonetheless</w:t>
      </w:r>
      <w:r w:rsidR="0081588B">
        <w:t>,</w:t>
      </w:r>
      <w:r w:rsidRPr="0051426E">
        <w:t xml:space="preserve"> a key component of restorative justice. </w:t>
      </w:r>
    </w:p>
    <w:p w:rsidR="006C72E1" w:rsidRPr="00007AAA" w:rsidRDefault="006C72E1" w:rsidP="00E72157">
      <w:pPr>
        <w:pStyle w:val="SingleTxtG"/>
        <w:numPr>
          <w:ilvl w:val="0"/>
          <w:numId w:val="12"/>
        </w:numPr>
        <w:ind w:left="1134" w:firstLine="0"/>
      </w:pPr>
      <w:r w:rsidRPr="00007AAA">
        <w:t xml:space="preserve">To that end, </w:t>
      </w:r>
      <w:r w:rsidR="001A574A">
        <w:t>Section </w:t>
      </w:r>
      <w:r w:rsidRPr="00007AAA">
        <w:t xml:space="preserve">77 of the </w:t>
      </w:r>
      <w:r w:rsidRPr="00E96E61">
        <w:rPr>
          <w:iCs/>
        </w:rPr>
        <w:t>Penal Law authorizes the court to impose monetary compensation to the victim, as part of the court</w:t>
      </w:r>
      <w:r w:rsidR="00C05EBD" w:rsidRPr="00E96E61">
        <w:rPr>
          <w:rFonts w:hint="eastAsia"/>
          <w:iCs/>
        </w:rPr>
        <w:t>’</w:t>
      </w:r>
      <w:r w:rsidRPr="00E96E61">
        <w:rPr>
          <w:iCs/>
        </w:rPr>
        <w:t>s sentence</w:t>
      </w:r>
      <w:r w:rsidRPr="00007AAA">
        <w:t xml:space="preserve">. In appropriate cases, during the argumentation for punishment, the prosecutor may ask the court to grant the victim of the offense full compensation. The prosecutor must inform the victim </w:t>
      </w:r>
      <w:r w:rsidR="00E72157">
        <w:t>about</w:t>
      </w:r>
      <w:r w:rsidRPr="00007AAA">
        <w:t xml:space="preserve"> ways to obtain the documentation and evidence required for determining the damages.</w:t>
      </w:r>
    </w:p>
    <w:p w:rsidR="003C14FF" w:rsidRDefault="006C72E1" w:rsidP="006D3B18">
      <w:pPr>
        <w:pStyle w:val="SingleTxtG"/>
        <w:numPr>
          <w:ilvl w:val="0"/>
          <w:numId w:val="12"/>
        </w:numPr>
        <w:ind w:left="1134" w:firstLine="0"/>
      </w:pPr>
      <w:r w:rsidRPr="00007AAA">
        <w:t>Such compensation can be imposed in respect of each offense of which the defendant was convic</w:t>
      </w:r>
      <w:r w:rsidR="00CD3B50">
        <w:t>ted, up to an amount of 258,000 </w:t>
      </w:r>
      <w:r w:rsidRPr="00007AAA">
        <w:t xml:space="preserve">NIS </w:t>
      </w:r>
      <w:r w:rsidRPr="00007AAA">
        <w:rPr>
          <w:snapToGrid w:val="0"/>
          <w:lang w:val="en-US"/>
        </w:rPr>
        <w:t>(US$</w:t>
      </w:r>
      <w:r w:rsidR="00CD3B50">
        <w:rPr>
          <w:snapToGrid w:val="0"/>
          <w:lang w:val="en-US"/>
        </w:rPr>
        <w:t> </w:t>
      </w:r>
      <w:r w:rsidRPr="00007AAA">
        <w:rPr>
          <w:snapToGrid w:val="0"/>
          <w:lang w:val="en-US"/>
        </w:rPr>
        <w:t>67,894)</w:t>
      </w:r>
      <w:r w:rsidRPr="00007AAA">
        <w:t xml:space="preserve">, as partial compensation for the damage or suffering caused to him/her. Compensation under this </w:t>
      </w:r>
      <w:r w:rsidR="001A574A">
        <w:t xml:space="preserve">section </w:t>
      </w:r>
      <w:r w:rsidRPr="00007AAA">
        <w:t xml:space="preserve">must be determined according to the value of the damage or suffering caused, on the day the offense was committed or on the day the decision on compensation is rendered, whichever is greater. For </w:t>
      </w:r>
      <w:r w:rsidR="00E72157">
        <w:t xml:space="preserve">the </w:t>
      </w:r>
      <w:r w:rsidRPr="00007AAA">
        <w:t xml:space="preserve">purposes of collection, compensation under this </w:t>
      </w:r>
      <w:r w:rsidR="001A574A">
        <w:t xml:space="preserve">section </w:t>
      </w:r>
      <w:r w:rsidRPr="00007AAA">
        <w:t>is treated like a fine. Furthermore, any amount paid or collected on account of a fine when compensation is also due, shall first be allocated to compensation.</w:t>
      </w:r>
    </w:p>
    <w:p w:rsidR="006C72E1" w:rsidRDefault="006C72E1" w:rsidP="00E72157">
      <w:pPr>
        <w:pStyle w:val="SingleTxtG"/>
        <w:numPr>
          <w:ilvl w:val="0"/>
          <w:numId w:val="12"/>
        </w:numPr>
        <w:ind w:left="1134" w:firstLine="0"/>
        <w:rPr>
          <w:rFonts w:hint="cs"/>
          <w:rtl/>
          <w:lang w:bidi="he-IL"/>
        </w:rPr>
      </w:pPr>
      <w:r>
        <w:t>Such a procedure is aimed to ease the victim</w:t>
      </w:r>
      <w:r w:rsidR="00C05EBD">
        <w:rPr>
          <w:rFonts w:hint="eastAsia"/>
        </w:rPr>
        <w:t>’</w:t>
      </w:r>
      <w:r>
        <w:t xml:space="preserve">s suffering and to prevent the need </w:t>
      </w:r>
      <w:r w:rsidR="00E72157">
        <w:t xml:space="preserve">for him/her </w:t>
      </w:r>
      <w:r>
        <w:t xml:space="preserve">to conduct a separate procedure for compensation and </w:t>
      </w:r>
      <w:r w:rsidR="00E72157">
        <w:t xml:space="preserve">spare him/her </w:t>
      </w:r>
      <w:r>
        <w:t>from enduring once again the difficulties of the legal process, including testifying and cross</w:t>
      </w:r>
      <w:r w:rsidR="00E72157">
        <w:t>-</w:t>
      </w:r>
      <w:r>
        <w:t>examination.</w:t>
      </w:r>
    </w:p>
    <w:p w:rsidR="006C72E1" w:rsidRPr="00E96E61" w:rsidRDefault="006C72E1" w:rsidP="006D3B18">
      <w:pPr>
        <w:pStyle w:val="SingleTxtG"/>
        <w:numPr>
          <w:ilvl w:val="0"/>
          <w:numId w:val="12"/>
        </w:numPr>
        <w:ind w:left="1134" w:firstLine="0"/>
        <w:rPr>
          <w:iCs/>
        </w:rPr>
      </w:pPr>
      <w:r>
        <w:t>As oppos</w:t>
      </w:r>
      <w:r w:rsidRPr="00EF6CEE">
        <w:t>e</w:t>
      </w:r>
      <w:r>
        <w:t>d</w:t>
      </w:r>
      <w:r w:rsidRPr="00EF6CEE">
        <w:t xml:space="preserve"> to </w:t>
      </w:r>
      <w:r>
        <w:t>ordinary</w:t>
      </w:r>
      <w:r w:rsidRPr="00EF6CEE">
        <w:t xml:space="preserve"> offen</w:t>
      </w:r>
      <w:r>
        <w:t>s</w:t>
      </w:r>
      <w:r w:rsidRPr="00EF6CEE">
        <w:t xml:space="preserve">es, if a person </w:t>
      </w:r>
      <w:r>
        <w:t>is</w:t>
      </w:r>
      <w:r w:rsidRPr="00EF6CEE">
        <w:t xml:space="preserve"> convicted of an offense under </w:t>
      </w:r>
      <w:r>
        <w:t>S</w:t>
      </w:r>
      <w:r w:rsidR="00CD3B50">
        <w:t>ections </w:t>
      </w:r>
      <w:r w:rsidRPr="00EF6CEE">
        <w:t>375A (</w:t>
      </w:r>
      <w:r>
        <w:t>holding a person under conditions of slavery</w:t>
      </w:r>
      <w:r w:rsidRPr="00EF6CEE">
        <w:t>) or 377A (</w:t>
      </w:r>
      <w:r>
        <w:t>t</w:t>
      </w:r>
      <w:r w:rsidRPr="00EF6CEE">
        <w:t xml:space="preserve">rafficking in </w:t>
      </w:r>
      <w:r>
        <w:t>person</w:t>
      </w:r>
      <w:r w:rsidRPr="00EF6CEE">
        <w:t xml:space="preserve">s), and if the Court did not </w:t>
      </w:r>
      <w:r>
        <w:t xml:space="preserve">award </w:t>
      </w:r>
      <w:r w:rsidRPr="00EF6CEE">
        <w:t xml:space="preserve">compensation for the injured person under </w:t>
      </w:r>
      <w:r w:rsidR="001A574A">
        <w:t>Section </w:t>
      </w:r>
      <w:r w:rsidRPr="00EF6CEE">
        <w:t>77, then</w:t>
      </w:r>
      <w:r>
        <w:t xml:space="preserve"> the Court must explain, in its sentencing ruling, </w:t>
      </w:r>
      <w:r w:rsidRPr="00EF6CEE">
        <w:t xml:space="preserve">its reasons for not </w:t>
      </w:r>
      <w:r>
        <w:t>awarding</w:t>
      </w:r>
      <w:r w:rsidRPr="00EF6CEE">
        <w:t xml:space="preserve"> </w:t>
      </w:r>
      <w:r>
        <w:t>such</w:t>
      </w:r>
      <w:r w:rsidRPr="00EF6CEE">
        <w:t xml:space="preserve"> compensation (</w:t>
      </w:r>
      <w:r w:rsidR="001A574A">
        <w:t>Section </w:t>
      </w:r>
      <w:r w:rsidRPr="00EF6CEE">
        <w:t xml:space="preserve">377C </w:t>
      </w:r>
      <w:r>
        <w:t xml:space="preserve">of the </w:t>
      </w:r>
      <w:r w:rsidRPr="00E96E61">
        <w:rPr>
          <w:iCs/>
        </w:rPr>
        <w:t>Penal Law).</w:t>
      </w:r>
    </w:p>
    <w:p w:rsidR="006C72E1" w:rsidRPr="00AA7817" w:rsidRDefault="006C72E1" w:rsidP="006D3B18">
      <w:pPr>
        <w:pStyle w:val="SingleTxtG"/>
        <w:numPr>
          <w:ilvl w:val="0"/>
          <w:numId w:val="12"/>
        </w:numPr>
        <w:ind w:left="1134" w:firstLine="0"/>
      </w:pPr>
      <w:r w:rsidRPr="00E96E61">
        <w:rPr>
          <w:iCs/>
        </w:rPr>
        <w:t xml:space="preserve">The compensation granted under </w:t>
      </w:r>
      <w:r w:rsidR="001A574A" w:rsidRPr="00E96E61">
        <w:rPr>
          <w:iCs/>
        </w:rPr>
        <w:t>Section </w:t>
      </w:r>
      <w:r w:rsidRPr="00E96E61">
        <w:rPr>
          <w:iCs/>
        </w:rPr>
        <w:t>77 of the Penal Law</w:t>
      </w:r>
      <w:r w:rsidRPr="00AA7817">
        <w:t xml:space="preserve"> is not exclusive and does not restrict the victim</w:t>
      </w:r>
      <w:r w:rsidR="00C05EBD">
        <w:rPr>
          <w:rFonts w:hint="eastAsia"/>
        </w:rPr>
        <w:t>’</w:t>
      </w:r>
      <w:r w:rsidRPr="00AA7817">
        <w:t xml:space="preserve">s right to seek compensation under any other statute, including under the laws of tort. </w:t>
      </w:r>
    </w:p>
    <w:p w:rsidR="006C72E1" w:rsidRDefault="006C72E1" w:rsidP="006D3B18">
      <w:pPr>
        <w:pStyle w:val="SingleTxtG"/>
        <w:numPr>
          <w:ilvl w:val="0"/>
          <w:numId w:val="12"/>
        </w:numPr>
        <w:ind w:left="1134" w:firstLine="0"/>
      </w:pPr>
      <w:r w:rsidRPr="00AA7817">
        <w:t xml:space="preserve">If a victim of an offense believes that the amount of compensation awarded to him/her according to </w:t>
      </w:r>
      <w:r w:rsidR="001A574A">
        <w:t>Section </w:t>
      </w:r>
      <w:r w:rsidRPr="00AA7817">
        <w:t xml:space="preserve">77 of the </w:t>
      </w:r>
      <w:r w:rsidRPr="00E96E61">
        <w:rPr>
          <w:iCs/>
        </w:rPr>
        <w:t xml:space="preserve">Penal Law is not adequate, and wishes to file a civil lawsuit against the convicted perpetrator, with or without others, he/she is entitled to do so through two different procedures. First, the victim may file a lawsuit according to </w:t>
      </w:r>
      <w:r w:rsidR="001A574A" w:rsidRPr="00E96E61">
        <w:rPr>
          <w:iCs/>
        </w:rPr>
        <w:t>Section </w:t>
      </w:r>
      <w:r w:rsidRPr="00E96E61">
        <w:rPr>
          <w:iCs/>
        </w:rPr>
        <w:t>77 of the Courts Law. Such a lawsuit</w:t>
      </w:r>
      <w:r w:rsidRPr="00AA7817">
        <w:t xml:space="preserve"> can be filed only against the convicted person and should be submitted to the court that convicted the perpetrator and to the same judge. All factual determinations made during the criminal procedure are admissible in the civil procedure without the need for the victim to prove them again. The second option is to file an ordinary and independent lawsuit, whether against the convicted perpetrator or against him/her and others parties who might also be liable towards the victim. </w:t>
      </w:r>
    </w:p>
    <w:p w:rsidR="006C72E1" w:rsidRPr="00AA7817" w:rsidRDefault="006C72E1" w:rsidP="00B4310F">
      <w:pPr>
        <w:pStyle w:val="SingleTxtG"/>
        <w:numPr>
          <w:ilvl w:val="0"/>
          <w:numId w:val="12"/>
        </w:numPr>
        <w:ind w:left="1134" w:firstLine="0"/>
      </w:pPr>
      <w:r w:rsidRPr="003B4123">
        <w:t xml:space="preserve">Moreover, </w:t>
      </w:r>
      <w:r w:rsidR="001A574A">
        <w:t>section </w:t>
      </w:r>
      <w:r>
        <w:t xml:space="preserve">377E of the </w:t>
      </w:r>
      <w:r w:rsidRPr="00E96E61">
        <w:t>Penal Law</w:t>
      </w:r>
      <w:r>
        <w:rPr>
          <w:i/>
          <w:iCs/>
        </w:rPr>
        <w:t xml:space="preserve"> </w:t>
      </w:r>
      <w:r>
        <w:t>creates a special victims</w:t>
      </w:r>
      <w:r w:rsidR="00C05EBD">
        <w:rPr>
          <w:rFonts w:hint="eastAsia"/>
        </w:rPr>
        <w:t>’</w:t>
      </w:r>
      <w:r>
        <w:t xml:space="preserve"> compensation fund. If there is</w:t>
      </w:r>
      <w:r w:rsidRPr="003B4123">
        <w:t xml:space="preserve"> no reasonable possibility </w:t>
      </w:r>
      <w:r>
        <w:t>for the victim to actually obtain the compensation by having recourse to existing laws</w:t>
      </w:r>
      <w:r w:rsidRPr="003B4123">
        <w:t xml:space="preserve">, then </w:t>
      </w:r>
      <w:r>
        <w:t>Israel</w:t>
      </w:r>
      <w:r w:rsidR="00C05EBD">
        <w:rPr>
          <w:rFonts w:hint="eastAsia"/>
        </w:rPr>
        <w:t>’</w:t>
      </w:r>
      <w:r>
        <w:t>s Administrator</w:t>
      </w:r>
      <w:r w:rsidR="00B4310F">
        <w:t>-</w:t>
      </w:r>
      <w:r>
        <w:t xml:space="preserve">General (the </w:t>
      </w:r>
      <w:r w:rsidR="00B4310F">
        <w:t>g</w:t>
      </w:r>
      <w:r>
        <w:t xml:space="preserve">overnment authority handling State assets and managing public trusts) must provide the </w:t>
      </w:r>
      <w:r w:rsidRPr="003B4123">
        <w:t xml:space="preserve">compensation </w:t>
      </w:r>
      <w:r>
        <w:t>stated</w:t>
      </w:r>
      <w:r w:rsidRPr="003B4123">
        <w:t xml:space="preserve"> in the judg</w:t>
      </w:r>
      <w:r w:rsidR="00B4310F">
        <w:t>e</w:t>
      </w:r>
      <w:r w:rsidRPr="003B4123">
        <w:t xml:space="preserve">ment and not yet realized </w:t>
      </w:r>
      <w:r>
        <w:t xml:space="preserve">directly </w:t>
      </w:r>
      <w:r w:rsidRPr="003B4123">
        <w:t xml:space="preserve">to the victim of the offense out of </w:t>
      </w:r>
      <w:r>
        <w:t>that fund</w:t>
      </w:r>
      <w:r w:rsidRPr="003B4123">
        <w:t>.</w:t>
      </w:r>
      <w:r>
        <w:t xml:space="preserve"> </w:t>
      </w:r>
    </w:p>
    <w:bookmarkEnd w:id="26"/>
    <w:bookmarkEnd w:id="27"/>
    <w:p w:rsidR="006C72E1" w:rsidRPr="00AA7817" w:rsidRDefault="003C14FF" w:rsidP="00E1688E">
      <w:pPr>
        <w:pStyle w:val="H23G"/>
        <w:rPr>
          <w:lang w:val="en-US"/>
        </w:rPr>
      </w:pPr>
      <w:r>
        <w:rPr>
          <w:lang w:val="en-US"/>
        </w:rPr>
        <w:tab/>
      </w:r>
      <w:r>
        <w:rPr>
          <w:lang w:val="en-US"/>
        </w:rPr>
        <w:tab/>
      </w:r>
      <w:r w:rsidR="006C72E1" w:rsidRPr="00AA7817">
        <w:rPr>
          <w:lang w:val="en-US"/>
        </w:rPr>
        <w:t xml:space="preserve">Legal </w:t>
      </w:r>
      <w:r w:rsidR="00E1688E">
        <w:rPr>
          <w:lang w:val="en-US"/>
        </w:rPr>
        <w:t>a</w:t>
      </w:r>
      <w:r w:rsidR="006C72E1" w:rsidRPr="00AA7817">
        <w:rPr>
          <w:lang w:val="en-US"/>
        </w:rPr>
        <w:t xml:space="preserve">id </w:t>
      </w:r>
    </w:p>
    <w:p w:rsidR="006C72E1" w:rsidRPr="001A052D" w:rsidRDefault="006C72E1" w:rsidP="00497D5A">
      <w:pPr>
        <w:pStyle w:val="SingleTxtG"/>
        <w:numPr>
          <w:ilvl w:val="0"/>
          <w:numId w:val="12"/>
        </w:numPr>
        <w:ind w:left="1134" w:firstLine="0"/>
        <w:rPr>
          <w:i/>
          <w:iCs/>
          <w:lang w:val="en-US"/>
        </w:rPr>
      </w:pPr>
      <w:r w:rsidRPr="00AA7817">
        <w:rPr>
          <w:lang w:val="en-US"/>
        </w:rPr>
        <w:t>T</w:t>
      </w:r>
      <w:r w:rsidRPr="00C32BC6">
        <w:rPr>
          <w:lang w:val="en-US"/>
        </w:rPr>
        <w:t xml:space="preserve">he Legal Aid Branch in the Ministry of Justice cooperates with NGOs in locating and referring trafficking victims in need of legal assistance. </w:t>
      </w:r>
      <w:r w:rsidRPr="00871E98">
        <w:t>The Branch has been working since 2004 to represent victims of trafficking. Until 2006, only victims of trafficking for</w:t>
      </w:r>
      <w:r w:rsidR="00CD3B50">
        <w:t xml:space="preserve"> </w:t>
      </w:r>
      <w:r w:rsidRPr="00871E98">
        <w:t>prostitution were represented, but since the end of 2006 all victims of trafficking have been represented, including</w:t>
      </w:r>
      <w:r w:rsidR="00CD3B50">
        <w:t xml:space="preserve"> </w:t>
      </w:r>
      <w:r w:rsidRPr="00871E98">
        <w:t xml:space="preserve">persons held under conditions of slavery, victims of trafficking in persons for purposes such as slavery, forced </w:t>
      </w:r>
      <w:r w:rsidRPr="00C32BC6">
        <w:t>labour</w:t>
      </w:r>
      <w:r w:rsidRPr="00871E98">
        <w:t xml:space="preserve">, organ harvesting, kidnapping and forced participation in illicit </w:t>
      </w:r>
      <w:r w:rsidR="00497D5A" w:rsidRPr="00871E98">
        <w:t>advertis</w:t>
      </w:r>
      <w:r w:rsidR="00497D5A">
        <w:t>ing</w:t>
      </w:r>
      <w:r w:rsidRPr="00871E98">
        <w:t xml:space="preserve">. Legal aid is provided in civil and torts claims against the offenders and in proceedings according to the </w:t>
      </w:r>
      <w:r w:rsidRPr="00E96E61">
        <w:t>Entry into Israel Law</w:t>
      </w:r>
      <w:r w:rsidR="00BF118D">
        <w:t xml:space="preserve"> 5712</w:t>
      </w:r>
      <w:r w:rsidR="00BF118D">
        <w:noBreakHyphen/>
      </w:r>
      <w:r w:rsidRPr="00871E98">
        <w:t>1952, such as requests for a one-year rehabilitation work visa, release from detention</w:t>
      </w:r>
      <w:r w:rsidR="00497D5A">
        <w:t>,</w:t>
      </w:r>
      <w:r w:rsidRPr="00871E98">
        <w:t xml:space="preserve"> and requests for legal status in Israel. It should be noted that victims </w:t>
      </w:r>
      <w:r>
        <w:t xml:space="preserve">of trafficking </w:t>
      </w:r>
      <w:r w:rsidRPr="00871E98">
        <w:t xml:space="preserve">are accorded </w:t>
      </w:r>
      <w:r w:rsidRPr="001A052D">
        <w:t>free legal aid, without having to meet the prescribed economic criteria for eligibility.</w:t>
      </w:r>
    </w:p>
    <w:p w:rsidR="006C72E1" w:rsidRPr="00871E98" w:rsidRDefault="006C72E1" w:rsidP="00497D5A">
      <w:pPr>
        <w:pStyle w:val="SingleTxtG"/>
        <w:numPr>
          <w:ilvl w:val="0"/>
          <w:numId w:val="12"/>
        </w:numPr>
        <w:ind w:left="1134" w:firstLine="0"/>
        <w:rPr>
          <w:i/>
          <w:iCs/>
          <w:lang w:val="en-US"/>
        </w:rPr>
      </w:pPr>
      <w:r w:rsidRPr="00871E98">
        <w:t xml:space="preserve">It should be stressed that the evidential burden </w:t>
      </w:r>
      <w:r w:rsidR="00497D5A">
        <w:t xml:space="preserve">that </w:t>
      </w:r>
      <w:r w:rsidRPr="00871E98">
        <w:t xml:space="preserve">a victim needs to establish in order to receive legal aid is relatively low </w:t>
      </w:r>
      <w:r>
        <w:t xml:space="preserve">and </w:t>
      </w:r>
      <w:r w:rsidR="00497D5A">
        <w:t>p</w:t>
      </w:r>
      <w:r w:rsidRPr="00B2634B">
        <w:t>reliminary evidence</w:t>
      </w:r>
      <w:r>
        <w:t xml:space="preserve"> is enough. In addition, </w:t>
      </w:r>
      <w:r w:rsidR="00497D5A">
        <w:t xml:space="preserve">the </w:t>
      </w:r>
      <w:r w:rsidRPr="00871E98">
        <w:t xml:space="preserve">Legal Aid Branch accords legal aid even if the case is a borderline one. Thus, there are cases in which the Police reached the conclusion </w:t>
      </w:r>
      <w:r w:rsidR="00285CC4">
        <w:t>that the evidentiary burden of “beyond reasonable doubt”</w:t>
      </w:r>
      <w:r w:rsidRPr="00871E98">
        <w:t xml:space="preserve"> has not been established regarding trafficking or slavery, but the Legal Aid Branch will conclude that according to its own evidentiary burden, the person is a victim of trafficking or slavery.</w:t>
      </w:r>
    </w:p>
    <w:p w:rsidR="006C72E1" w:rsidRPr="00633CAE" w:rsidRDefault="006C72E1" w:rsidP="006D3B18">
      <w:pPr>
        <w:pStyle w:val="SingleTxtG"/>
        <w:numPr>
          <w:ilvl w:val="0"/>
          <w:numId w:val="12"/>
        </w:numPr>
        <w:ind w:left="1134" w:firstLine="0"/>
        <w:rPr>
          <w:i/>
          <w:iCs/>
          <w:lang w:val="en-US"/>
        </w:rPr>
      </w:pPr>
      <w:r w:rsidRPr="00633CAE">
        <w:rPr>
          <w:snapToGrid w:val="0"/>
          <w:lang w:val="en-US"/>
        </w:rPr>
        <w:t xml:space="preserve">According to the </w:t>
      </w:r>
      <w:r w:rsidRPr="00E96E61">
        <w:rPr>
          <w:snapToGrid w:val="0"/>
          <w:lang w:val="en-US"/>
        </w:rPr>
        <w:t>Courts (Fees) Regulations</w:t>
      </w:r>
      <w:r w:rsidRPr="00633CAE">
        <w:rPr>
          <w:i/>
          <w:iCs/>
          <w:snapToGrid w:val="0"/>
          <w:lang w:val="en-US"/>
        </w:rPr>
        <w:t xml:space="preserve"> </w:t>
      </w:r>
      <w:r w:rsidR="00BF118D">
        <w:rPr>
          <w:lang w:val="en-US"/>
        </w:rPr>
        <w:t>5767</w:t>
      </w:r>
      <w:r w:rsidR="00BF118D">
        <w:rPr>
          <w:lang w:val="en-US"/>
        </w:rPr>
        <w:noBreakHyphen/>
      </w:r>
      <w:r>
        <w:rPr>
          <w:lang w:val="en-US"/>
        </w:rPr>
        <w:t>2007</w:t>
      </w:r>
      <w:r w:rsidRPr="00633CAE">
        <w:rPr>
          <w:snapToGrid w:val="0"/>
          <w:lang w:val="en-US"/>
        </w:rPr>
        <w:t xml:space="preserve">, those represented by the Legal Aid </w:t>
      </w:r>
      <w:r w:rsidRPr="00633CAE">
        <w:rPr>
          <w:lang w:val="en-US"/>
        </w:rPr>
        <w:t>Branch</w:t>
      </w:r>
      <w:r w:rsidRPr="00633CAE">
        <w:rPr>
          <w:snapToGrid w:val="0"/>
          <w:lang w:val="en-US"/>
        </w:rPr>
        <w:t xml:space="preserve"> are exempted from paying court fees. </w:t>
      </w:r>
    </w:p>
    <w:p w:rsidR="006C72E1" w:rsidRPr="002D2C27" w:rsidRDefault="008118B2" w:rsidP="00C57BD5">
      <w:pPr>
        <w:pStyle w:val="H1G"/>
        <w:rPr>
          <w:lang w:val="en-US"/>
        </w:rPr>
      </w:pPr>
      <w:r>
        <w:rPr>
          <w:lang w:val="en-US"/>
        </w:rPr>
        <w:tab/>
      </w:r>
      <w:r>
        <w:rPr>
          <w:lang w:val="en-US"/>
        </w:rPr>
        <w:tab/>
      </w:r>
      <w:r w:rsidR="000416BC">
        <w:rPr>
          <w:lang w:val="en-US"/>
        </w:rPr>
        <w:t>Article </w:t>
      </w:r>
      <w:r w:rsidR="006C72E1" w:rsidRPr="00987A6D">
        <w:rPr>
          <w:lang w:val="en-US"/>
        </w:rPr>
        <w:t>9</w:t>
      </w:r>
      <w:r w:rsidR="00E90893">
        <w:rPr>
          <w:lang w:val="en-US"/>
        </w:rPr>
        <w:t xml:space="preserve"> </w:t>
      </w:r>
      <w:r w:rsidR="006C72E1" w:rsidRPr="00987A6D">
        <w:rPr>
          <w:lang w:val="en-US"/>
        </w:rPr>
        <w:t xml:space="preserve">(5) – Prohibition of the </w:t>
      </w:r>
      <w:r w:rsidR="00C57BD5">
        <w:rPr>
          <w:lang w:val="en-US"/>
        </w:rPr>
        <w:t>p</w:t>
      </w:r>
      <w:r w:rsidR="006C72E1" w:rsidRPr="00987A6D">
        <w:rPr>
          <w:lang w:val="en-US"/>
        </w:rPr>
        <w:t xml:space="preserve">roduction of </w:t>
      </w:r>
      <w:r w:rsidR="00C57BD5">
        <w:rPr>
          <w:lang w:val="en-US"/>
        </w:rPr>
        <w:t>m</w:t>
      </w:r>
      <w:r w:rsidR="006C72E1" w:rsidRPr="00987A6D">
        <w:rPr>
          <w:lang w:val="en-US"/>
        </w:rPr>
        <w:t xml:space="preserve">aterial </w:t>
      </w:r>
      <w:r w:rsidR="00C57BD5">
        <w:rPr>
          <w:lang w:val="en-US"/>
        </w:rPr>
        <w:t>a</w:t>
      </w:r>
      <w:r w:rsidR="006C72E1" w:rsidRPr="00987A6D">
        <w:rPr>
          <w:lang w:val="en-US"/>
        </w:rPr>
        <w:t>dvertising the</w:t>
      </w:r>
      <w:r w:rsidR="00182C62">
        <w:rPr>
          <w:lang w:val="en-US"/>
        </w:rPr>
        <w:t> </w:t>
      </w:r>
      <w:r w:rsidR="00C57BD5">
        <w:rPr>
          <w:lang w:val="en-US"/>
        </w:rPr>
        <w:t>o</w:t>
      </w:r>
      <w:r w:rsidR="006C72E1">
        <w:rPr>
          <w:lang w:val="en-US"/>
        </w:rPr>
        <w:t>ffense</w:t>
      </w:r>
      <w:r w:rsidR="006C72E1" w:rsidRPr="00987A6D">
        <w:rPr>
          <w:lang w:val="en-US"/>
        </w:rPr>
        <w:t xml:space="preserve">s </w:t>
      </w:r>
    </w:p>
    <w:p w:rsidR="006C72E1" w:rsidRDefault="000416BC" w:rsidP="006D3B18">
      <w:pPr>
        <w:pStyle w:val="SingleTxtG"/>
        <w:numPr>
          <w:ilvl w:val="0"/>
          <w:numId w:val="12"/>
        </w:numPr>
        <w:ind w:left="1134" w:firstLine="0"/>
        <w:rPr>
          <w:lang w:val="en-US" w:bidi="he-IL"/>
        </w:rPr>
      </w:pPr>
      <w:bookmarkStart w:id="28" w:name="OLE_LINK9"/>
      <w:r>
        <w:rPr>
          <w:lang w:val="en-US" w:bidi="he-IL"/>
        </w:rPr>
        <w:t>Article </w:t>
      </w:r>
      <w:r w:rsidR="006C72E1">
        <w:rPr>
          <w:lang w:val="en-US" w:bidi="he-IL"/>
        </w:rPr>
        <w:t>9(5)</w:t>
      </w:r>
      <w:r w:rsidR="006C72E1" w:rsidRPr="002D2C27">
        <w:rPr>
          <w:lang w:val="en-US" w:bidi="he-IL"/>
        </w:rPr>
        <w:t xml:space="preserve"> </w:t>
      </w:r>
      <w:r w:rsidR="006C72E1">
        <w:rPr>
          <w:lang w:val="en-US" w:bidi="he-IL"/>
        </w:rPr>
        <w:t>requires State</w:t>
      </w:r>
      <w:r w:rsidR="00497D5A">
        <w:rPr>
          <w:lang w:val="en-US" w:bidi="he-IL"/>
        </w:rPr>
        <w:t>s</w:t>
      </w:r>
      <w:r w:rsidR="006C72E1">
        <w:rPr>
          <w:lang w:val="en-US" w:bidi="he-IL"/>
        </w:rPr>
        <w:t xml:space="preserve"> parties to take </w:t>
      </w:r>
      <w:r w:rsidR="006C72E1" w:rsidRPr="004D1B23">
        <w:rPr>
          <w:lang w:val="en-US" w:bidi="he-IL"/>
        </w:rPr>
        <w:t xml:space="preserve">measures </w:t>
      </w:r>
      <w:r w:rsidR="006C72E1">
        <w:rPr>
          <w:lang w:val="en-US" w:bidi="he-IL"/>
        </w:rPr>
        <w:t xml:space="preserve">to </w:t>
      </w:r>
      <w:r w:rsidR="006C72E1" w:rsidRPr="004D1B23">
        <w:rPr>
          <w:lang w:val="en-US" w:bidi="he-IL"/>
        </w:rPr>
        <w:t>effectively prohibit the</w:t>
      </w:r>
      <w:r w:rsidR="006C72E1">
        <w:rPr>
          <w:lang w:val="en-US" w:bidi="he-IL"/>
        </w:rPr>
        <w:t xml:space="preserve"> </w:t>
      </w:r>
      <w:r w:rsidR="006C72E1" w:rsidRPr="004D1B23">
        <w:rPr>
          <w:lang w:val="en-US" w:bidi="he-IL"/>
        </w:rPr>
        <w:t xml:space="preserve">production and dissemination of material advertising the </w:t>
      </w:r>
      <w:r w:rsidR="006C72E1">
        <w:rPr>
          <w:lang w:val="en-US" w:bidi="he-IL"/>
        </w:rPr>
        <w:t>relevant offense</w:t>
      </w:r>
      <w:r w:rsidR="006C72E1" w:rsidRPr="004D1B23">
        <w:rPr>
          <w:lang w:val="en-US" w:bidi="he-IL"/>
        </w:rPr>
        <w:t>s.</w:t>
      </w:r>
    </w:p>
    <w:bookmarkEnd w:id="28"/>
    <w:p w:rsidR="006C72E1" w:rsidRDefault="006C72E1" w:rsidP="00497D5A">
      <w:pPr>
        <w:pStyle w:val="SingleTxtG"/>
        <w:numPr>
          <w:ilvl w:val="0"/>
          <w:numId w:val="12"/>
        </w:numPr>
        <w:ind w:left="1134" w:firstLine="0"/>
        <w:rPr>
          <w:lang w:val="en-US" w:bidi="he-IL"/>
        </w:rPr>
      </w:pPr>
      <w:r>
        <w:rPr>
          <w:lang w:val="en-US" w:bidi="he-IL"/>
        </w:rPr>
        <w:t xml:space="preserve">Please see </w:t>
      </w:r>
      <w:r w:rsidR="001A574A">
        <w:rPr>
          <w:lang w:val="en-US" w:bidi="he-IL"/>
        </w:rPr>
        <w:t>Articles </w:t>
      </w:r>
      <w:r>
        <w:rPr>
          <w:lang w:val="en-US" w:bidi="he-IL"/>
        </w:rPr>
        <w:t>1</w:t>
      </w:r>
      <w:r w:rsidR="00497D5A">
        <w:rPr>
          <w:lang w:val="en-US" w:bidi="he-IL"/>
        </w:rPr>
        <w:t>–</w:t>
      </w:r>
      <w:r>
        <w:rPr>
          <w:lang w:val="en-US" w:bidi="he-IL"/>
        </w:rPr>
        <w:t xml:space="preserve">3 above for the legal basis for prohibiting access to the production </w:t>
      </w:r>
      <w:r w:rsidRPr="004D1B23">
        <w:rPr>
          <w:lang w:val="en-US" w:bidi="he-IL"/>
        </w:rPr>
        <w:t xml:space="preserve">and dissemination of material advertising the </w:t>
      </w:r>
      <w:r>
        <w:rPr>
          <w:lang w:val="en-US" w:bidi="he-IL"/>
        </w:rPr>
        <w:t xml:space="preserve">relevant </w:t>
      </w:r>
      <w:r w:rsidRPr="004D1B23">
        <w:rPr>
          <w:lang w:val="en-US" w:bidi="he-IL"/>
        </w:rPr>
        <w:t>offen</w:t>
      </w:r>
      <w:r>
        <w:rPr>
          <w:lang w:val="en-US" w:bidi="he-IL"/>
        </w:rPr>
        <w:t>s</w:t>
      </w:r>
      <w:r w:rsidRPr="004D1B23">
        <w:rPr>
          <w:lang w:val="en-US" w:bidi="he-IL"/>
        </w:rPr>
        <w:t>es</w:t>
      </w:r>
      <w:r>
        <w:rPr>
          <w:lang w:val="en-US" w:bidi="he-IL"/>
        </w:rPr>
        <w:t xml:space="preserve"> – the sale of children, child prostitution and child pornography</w:t>
      </w:r>
      <w:r w:rsidRPr="004D1B23">
        <w:rPr>
          <w:lang w:val="en-US" w:bidi="he-IL"/>
        </w:rPr>
        <w:t>.</w:t>
      </w:r>
    </w:p>
    <w:p w:rsidR="006C72E1" w:rsidRDefault="008118B2" w:rsidP="000F6256">
      <w:pPr>
        <w:pStyle w:val="HChG"/>
        <w:rPr>
          <w:lang w:val="en-US"/>
        </w:rPr>
      </w:pPr>
      <w:bookmarkStart w:id="29" w:name="_Toc181699085"/>
      <w:bookmarkStart w:id="30" w:name="_Toc335890810"/>
      <w:r>
        <w:rPr>
          <w:lang w:val="en-US"/>
        </w:rPr>
        <w:tab/>
      </w:r>
      <w:r>
        <w:rPr>
          <w:lang w:val="en-US"/>
        </w:rPr>
        <w:tab/>
      </w:r>
      <w:r w:rsidR="000416BC">
        <w:rPr>
          <w:lang w:val="en-US"/>
        </w:rPr>
        <w:t>Article </w:t>
      </w:r>
      <w:r w:rsidR="006C72E1" w:rsidRPr="00987A6D">
        <w:rPr>
          <w:lang w:val="en-US"/>
        </w:rPr>
        <w:t>10</w:t>
      </w:r>
      <w:bookmarkEnd w:id="30"/>
    </w:p>
    <w:p w:rsidR="006C72E1" w:rsidRPr="002D2C27" w:rsidRDefault="008118B2" w:rsidP="00C57BD5">
      <w:pPr>
        <w:pStyle w:val="H1G"/>
        <w:rPr>
          <w:lang w:val="en-US"/>
        </w:rPr>
      </w:pPr>
      <w:r>
        <w:rPr>
          <w:lang w:val="en-US"/>
        </w:rPr>
        <w:tab/>
      </w:r>
      <w:r>
        <w:rPr>
          <w:lang w:val="en-US"/>
        </w:rPr>
        <w:tab/>
      </w:r>
      <w:r w:rsidR="000416BC">
        <w:rPr>
          <w:lang w:val="en-US"/>
        </w:rPr>
        <w:t>Article </w:t>
      </w:r>
      <w:r w:rsidR="006C72E1" w:rsidRPr="002D2C27">
        <w:rPr>
          <w:lang w:val="en-US"/>
        </w:rPr>
        <w:t>10</w:t>
      </w:r>
      <w:r w:rsidR="00E90893">
        <w:rPr>
          <w:lang w:val="en-US"/>
        </w:rPr>
        <w:t xml:space="preserve"> </w:t>
      </w:r>
      <w:r w:rsidR="006C72E1" w:rsidRPr="002D2C27">
        <w:rPr>
          <w:lang w:val="en-US"/>
        </w:rPr>
        <w:t>(1)</w:t>
      </w:r>
      <w:r w:rsidR="006C72E1">
        <w:rPr>
          <w:lang w:val="en-US"/>
        </w:rPr>
        <w:t xml:space="preserve"> – International </w:t>
      </w:r>
      <w:r w:rsidR="00C57BD5">
        <w:rPr>
          <w:lang w:val="en-US"/>
        </w:rPr>
        <w:t>c</w:t>
      </w:r>
      <w:r w:rsidR="006C72E1">
        <w:rPr>
          <w:lang w:val="en-US"/>
        </w:rPr>
        <w:t xml:space="preserve">ooperation </w:t>
      </w:r>
    </w:p>
    <w:p w:rsidR="006C72E1" w:rsidRDefault="000416BC" w:rsidP="006D3B18">
      <w:pPr>
        <w:pStyle w:val="SingleTxtG"/>
        <w:numPr>
          <w:ilvl w:val="0"/>
          <w:numId w:val="12"/>
        </w:numPr>
        <w:ind w:left="1134" w:firstLine="0"/>
        <w:rPr>
          <w:lang w:val="en-US" w:bidi="he-IL"/>
        </w:rPr>
      </w:pPr>
      <w:r>
        <w:rPr>
          <w:lang w:val="en-US" w:bidi="he-IL"/>
        </w:rPr>
        <w:t>Article </w:t>
      </w:r>
      <w:r w:rsidR="006C72E1">
        <w:rPr>
          <w:lang w:val="en-US" w:bidi="he-IL"/>
        </w:rPr>
        <w:t xml:space="preserve">10(1) calls on State parties to </w:t>
      </w:r>
      <w:r w:rsidR="006C72E1" w:rsidRPr="000A2374">
        <w:rPr>
          <w:lang w:val="en-US" w:bidi="he-IL"/>
        </w:rPr>
        <w:t>strengthen international cooperation</w:t>
      </w:r>
      <w:r w:rsidR="006C72E1">
        <w:rPr>
          <w:lang w:val="en-US" w:bidi="he-IL"/>
        </w:rPr>
        <w:t xml:space="preserve"> </w:t>
      </w:r>
      <w:r w:rsidR="006C72E1" w:rsidRPr="000A2374">
        <w:rPr>
          <w:lang w:val="en-US" w:bidi="he-IL"/>
        </w:rPr>
        <w:t xml:space="preserve">to </w:t>
      </w:r>
      <w:r w:rsidR="006C72E1">
        <w:rPr>
          <w:lang w:val="en-US" w:bidi="he-IL"/>
        </w:rPr>
        <w:t xml:space="preserve">best </w:t>
      </w:r>
      <w:r w:rsidR="006C72E1" w:rsidRPr="000A2374">
        <w:rPr>
          <w:lang w:val="en-US" w:bidi="he-IL"/>
        </w:rPr>
        <w:t>address perpetrators of the crimes relevant</w:t>
      </w:r>
      <w:r w:rsidR="006C72E1">
        <w:rPr>
          <w:lang w:val="en-US" w:bidi="he-IL"/>
        </w:rPr>
        <w:t xml:space="preserve"> to the Protocol</w:t>
      </w:r>
      <w:r w:rsidR="006C72E1" w:rsidRPr="000A2374">
        <w:rPr>
          <w:lang w:val="en-US" w:bidi="he-IL"/>
        </w:rPr>
        <w:t xml:space="preserve">, and </w:t>
      </w:r>
      <w:r w:rsidR="006C72E1">
        <w:rPr>
          <w:lang w:val="en-US" w:bidi="he-IL"/>
        </w:rPr>
        <w:t xml:space="preserve">to </w:t>
      </w:r>
      <w:r w:rsidR="006C72E1" w:rsidRPr="000A2374">
        <w:rPr>
          <w:lang w:val="en-US" w:bidi="he-IL"/>
        </w:rPr>
        <w:t>promote international cooperation and coordination</w:t>
      </w:r>
      <w:r w:rsidR="006C72E1">
        <w:rPr>
          <w:lang w:val="en-US" w:bidi="he-IL"/>
        </w:rPr>
        <w:t>.</w:t>
      </w:r>
    </w:p>
    <w:p w:rsidR="006C72E1" w:rsidRPr="009407C7" w:rsidRDefault="002D52A3" w:rsidP="00E1688E">
      <w:pPr>
        <w:pStyle w:val="H23G"/>
        <w:rPr>
          <w:lang w:val="en-US"/>
        </w:rPr>
      </w:pPr>
      <w:r>
        <w:rPr>
          <w:lang w:val="en-US"/>
        </w:rPr>
        <w:tab/>
      </w:r>
      <w:r>
        <w:rPr>
          <w:lang w:val="en-US"/>
        </w:rPr>
        <w:tab/>
      </w:r>
      <w:r w:rsidR="006C72E1" w:rsidRPr="009407C7">
        <w:rPr>
          <w:lang w:val="en-US"/>
        </w:rPr>
        <w:t xml:space="preserve">International </w:t>
      </w:r>
      <w:r w:rsidR="00E1688E">
        <w:rPr>
          <w:lang w:val="en-US"/>
        </w:rPr>
        <w:t>m</w:t>
      </w:r>
      <w:r w:rsidR="006C72E1" w:rsidRPr="009407C7">
        <w:rPr>
          <w:lang w:val="en-US"/>
        </w:rPr>
        <w:t>echanisms</w:t>
      </w:r>
    </w:p>
    <w:p w:rsidR="006C72E1" w:rsidRPr="0025005C" w:rsidRDefault="006C72E1" w:rsidP="000F3327">
      <w:pPr>
        <w:pStyle w:val="SingleTxtG"/>
        <w:numPr>
          <w:ilvl w:val="0"/>
          <w:numId w:val="12"/>
        </w:numPr>
        <w:ind w:left="1134" w:firstLine="0"/>
        <w:rPr>
          <w:b/>
          <w:bCs/>
          <w:lang w:val="en-US"/>
        </w:rPr>
      </w:pPr>
      <w:r w:rsidRPr="0025005C">
        <w:rPr>
          <w:lang w:val="en-US"/>
        </w:rPr>
        <w:t xml:space="preserve">The mounting </w:t>
      </w:r>
      <w:r w:rsidRPr="0025005C">
        <w:rPr>
          <w:lang w:val="en-US" w:bidi="he-IL"/>
        </w:rPr>
        <w:t>extent</w:t>
      </w:r>
      <w:r w:rsidRPr="0025005C">
        <w:rPr>
          <w:lang w:val="en-US"/>
        </w:rPr>
        <w:t xml:space="preserve"> of the worldwide trafficking phenomenon led to the creation of global mechanisms to deal with this issue. In addition to the Protocol, the applicable instruments to which Israel is a party are: the </w:t>
      </w:r>
      <w:r w:rsidRPr="00E96E61">
        <w:rPr>
          <w:lang w:val="en-US"/>
        </w:rPr>
        <w:t>International Covenant on Civil and Political Rights (</w:t>
      </w:r>
      <w:r w:rsidR="000F3327">
        <w:rPr>
          <w:lang w:val="en-US"/>
        </w:rPr>
        <w:t>1966</w:t>
      </w:r>
      <w:r w:rsidRPr="00E96E61">
        <w:rPr>
          <w:lang w:val="en-US"/>
        </w:rPr>
        <w:t>) (</w:t>
      </w:r>
      <w:r w:rsidR="001A574A" w:rsidRPr="00E96E61">
        <w:rPr>
          <w:lang w:val="en-US"/>
        </w:rPr>
        <w:t>Articles </w:t>
      </w:r>
      <w:r w:rsidRPr="00E96E61">
        <w:rPr>
          <w:lang w:val="en-US"/>
        </w:rPr>
        <w:t xml:space="preserve">4 and 8), the </w:t>
      </w:r>
      <w:hyperlink r:id="rId9" w:history="1">
        <w:r w:rsidRPr="00E96E61">
          <w:rPr>
            <w:lang w:val="en-US"/>
          </w:rPr>
          <w:t>Convention on the Rights</w:t>
        </w:r>
        <w:r w:rsidRPr="00E96E61">
          <w:rPr>
            <w:rtl/>
            <w:lang w:val="en-US"/>
          </w:rPr>
          <w:t xml:space="preserve"> </w:t>
        </w:r>
        <w:r w:rsidRPr="00E96E61">
          <w:rPr>
            <w:lang w:val="en-US"/>
          </w:rPr>
          <w:t>of the Child</w:t>
        </w:r>
      </w:hyperlink>
      <w:r w:rsidRPr="00E96E61">
        <w:rPr>
          <w:lang w:val="en-US"/>
        </w:rPr>
        <w:t xml:space="preserve"> (1989) (</w:t>
      </w:r>
      <w:r w:rsidR="000416BC" w:rsidRPr="00E96E61">
        <w:rPr>
          <w:lang w:val="en-US"/>
        </w:rPr>
        <w:t>Article </w:t>
      </w:r>
      <w:r w:rsidRPr="00E96E61">
        <w:rPr>
          <w:lang w:val="en-US"/>
        </w:rPr>
        <w:t xml:space="preserve">11(1)), the Convention on the Elimination of </w:t>
      </w:r>
      <w:r w:rsidR="009C0463">
        <w:rPr>
          <w:lang w:val="en-US"/>
        </w:rPr>
        <w:t xml:space="preserve">All Forms of </w:t>
      </w:r>
      <w:r w:rsidRPr="00E96E61">
        <w:rPr>
          <w:lang w:val="en-US"/>
        </w:rPr>
        <w:t>Discrimination against Women (1979) (</w:t>
      </w:r>
      <w:r w:rsidR="000416BC" w:rsidRPr="00E96E61">
        <w:rPr>
          <w:lang w:val="en-US"/>
        </w:rPr>
        <w:t>Article </w:t>
      </w:r>
      <w:r w:rsidRPr="00E96E61">
        <w:rPr>
          <w:lang w:val="en-US"/>
        </w:rPr>
        <w:t xml:space="preserve">6), the Optional Protocol to the Convention on the Rights of the Child on the </w:t>
      </w:r>
      <w:r w:rsidR="00F9312F">
        <w:rPr>
          <w:lang w:val="en-US"/>
        </w:rPr>
        <w:t>i</w:t>
      </w:r>
      <w:r w:rsidRPr="00E96E61">
        <w:rPr>
          <w:lang w:val="en-US"/>
        </w:rPr>
        <w:t xml:space="preserve">nvolvement of </w:t>
      </w:r>
      <w:r w:rsidR="00F9312F">
        <w:rPr>
          <w:lang w:val="en-US"/>
        </w:rPr>
        <w:t>c</w:t>
      </w:r>
      <w:r w:rsidRPr="00E96E61">
        <w:rPr>
          <w:lang w:val="en-US"/>
        </w:rPr>
        <w:t xml:space="preserve">hildren in </w:t>
      </w:r>
      <w:r w:rsidR="00F9312F">
        <w:rPr>
          <w:lang w:val="en-US"/>
        </w:rPr>
        <w:t>a</w:t>
      </w:r>
      <w:r w:rsidRPr="00E96E61">
        <w:rPr>
          <w:lang w:val="en-US"/>
        </w:rPr>
        <w:t xml:space="preserve">rmed </w:t>
      </w:r>
      <w:r w:rsidR="00F9312F">
        <w:rPr>
          <w:lang w:val="en-US"/>
        </w:rPr>
        <w:t>c</w:t>
      </w:r>
      <w:r w:rsidRPr="00E96E61">
        <w:rPr>
          <w:lang w:val="en-US"/>
        </w:rPr>
        <w:t>onflict (200</w:t>
      </w:r>
      <w:r w:rsidR="000F3327">
        <w:rPr>
          <w:lang w:val="en-US"/>
        </w:rPr>
        <w:t>0</w:t>
      </w:r>
      <w:r w:rsidRPr="00E96E61">
        <w:rPr>
          <w:lang w:val="en-US"/>
        </w:rPr>
        <w:t>) (</w:t>
      </w:r>
      <w:r w:rsidR="000416BC" w:rsidRPr="00E96E61">
        <w:rPr>
          <w:lang w:val="en-US"/>
        </w:rPr>
        <w:t>Article </w:t>
      </w:r>
      <w:r w:rsidRPr="00E96E61">
        <w:rPr>
          <w:lang w:val="en-US"/>
        </w:rPr>
        <w:t>1), the Slavery Convention (1926)</w:t>
      </w:r>
      <w:r w:rsidR="000F3327">
        <w:rPr>
          <w:lang w:val="en-US"/>
        </w:rPr>
        <w:t>,</w:t>
      </w:r>
      <w:r w:rsidRPr="00E96E61">
        <w:rPr>
          <w:lang w:val="en-US"/>
        </w:rPr>
        <w:t xml:space="preserve"> the Convention for the Suppression of the Traffic in Persons and of the Exploitation of the Prostitution of Others (19</w:t>
      </w:r>
      <w:r w:rsidR="000F3327">
        <w:rPr>
          <w:lang w:val="en-US"/>
        </w:rPr>
        <w:t>49</w:t>
      </w:r>
      <w:r w:rsidRPr="00E96E61">
        <w:rPr>
          <w:lang w:val="en-US"/>
        </w:rPr>
        <w:t>)</w:t>
      </w:r>
      <w:r w:rsidR="000F3327">
        <w:rPr>
          <w:lang w:val="en-US"/>
        </w:rPr>
        <w:t>,</w:t>
      </w:r>
      <w:r w:rsidRPr="00E96E61">
        <w:rPr>
          <w:lang w:val="en-US"/>
        </w:rPr>
        <w:t xml:space="preserve"> the Supplementary Convention on the Abolition of Slavery, the Slave Trade, and Institutions and Practices Similar to Slavery (1956)</w:t>
      </w:r>
      <w:r w:rsidR="000F3327">
        <w:rPr>
          <w:lang w:val="en-US"/>
        </w:rPr>
        <w:t>,</w:t>
      </w:r>
      <w:r w:rsidRPr="00E96E61">
        <w:rPr>
          <w:lang w:val="en-US"/>
        </w:rPr>
        <w:t xml:space="preserve"> and the Protocol to Prevent, Suppress and Punish Trafficking in Persons Especially Women and Children, supplementing the United Nations Convention against Transnational Organized Crime</w:t>
      </w:r>
      <w:r w:rsidRPr="0025005C">
        <w:rPr>
          <w:lang w:val="en-US"/>
        </w:rPr>
        <w:t xml:space="preserve"> (2000). </w:t>
      </w:r>
    </w:p>
    <w:p w:rsidR="006C72E1" w:rsidRPr="009407C7" w:rsidRDefault="002D52A3" w:rsidP="00E1688E">
      <w:pPr>
        <w:pStyle w:val="H23G"/>
        <w:rPr>
          <w:lang w:val="en-US"/>
        </w:rPr>
      </w:pPr>
      <w:r>
        <w:rPr>
          <w:lang w:val="en-US"/>
        </w:rPr>
        <w:tab/>
      </w:r>
      <w:r>
        <w:rPr>
          <w:lang w:val="en-US"/>
        </w:rPr>
        <w:tab/>
      </w:r>
      <w:r w:rsidR="006C72E1" w:rsidRPr="009407C7">
        <w:rPr>
          <w:lang w:val="en-US"/>
        </w:rPr>
        <w:t xml:space="preserve">International </w:t>
      </w:r>
      <w:r w:rsidR="00E1688E">
        <w:rPr>
          <w:lang w:val="en-US"/>
        </w:rPr>
        <w:t>c</w:t>
      </w:r>
      <w:r w:rsidR="006C72E1" w:rsidRPr="009407C7">
        <w:rPr>
          <w:lang w:val="en-US"/>
        </w:rPr>
        <w:t>ooperation</w:t>
      </w:r>
    </w:p>
    <w:p w:rsidR="006C72E1" w:rsidRPr="00D75F8C" w:rsidRDefault="006C72E1" w:rsidP="00516B09">
      <w:pPr>
        <w:pStyle w:val="SingleTxtG"/>
        <w:numPr>
          <w:ilvl w:val="0"/>
          <w:numId w:val="12"/>
        </w:numPr>
        <w:ind w:left="1134" w:firstLine="0"/>
        <w:rPr>
          <w:lang w:val="en-US"/>
        </w:rPr>
      </w:pPr>
      <w:r w:rsidRPr="002D2C27">
        <w:rPr>
          <w:lang w:val="en-US"/>
        </w:rPr>
        <w:t xml:space="preserve">Israel regularly engages in bilateral and multilateral efforts to deter and prevent the increasing international traffic in children for labor and sexual exploitation. In an effort to address this issue at its core, Israel has worked with foreign governments and NGOs to inform potential victims of the risks posed to them by the traffic in children. Within the United Nations system, Israel supports UNICEF and the International </w:t>
      </w:r>
      <w:proofErr w:type="spellStart"/>
      <w:r w:rsidRPr="002D2C27">
        <w:rPr>
          <w:lang w:val="en-US"/>
        </w:rPr>
        <w:t>Labo</w:t>
      </w:r>
      <w:r w:rsidR="00C4670F">
        <w:rPr>
          <w:lang w:val="en-US"/>
        </w:rPr>
        <w:t>u</w:t>
      </w:r>
      <w:r w:rsidRPr="002D2C27">
        <w:rPr>
          <w:lang w:val="en-US"/>
        </w:rPr>
        <w:t>r</w:t>
      </w:r>
      <w:proofErr w:type="spellEnd"/>
      <w:r w:rsidRPr="002D2C27">
        <w:rPr>
          <w:lang w:val="en-US"/>
        </w:rPr>
        <w:t xml:space="preserve"> Organization (ILO) and</w:t>
      </w:r>
      <w:r w:rsidR="00C4670F">
        <w:rPr>
          <w:lang w:val="en-US"/>
        </w:rPr>
        <w:t>,</w:t>
      </w:r>
      <w:r w:rsidRPr="002D2C27">
        <w:rPr>
          <w:lang w:val="en-US"/>
        </w:rPr>
        <w:t xml:space="preserve"> thus, participates in ILO </w:t>
      </w:r>
      <w:proofErr w:type="spellStart"/>
      <w:r w:rsidRPr="002D2C27">
        <w:rPr>
          <w:lang w:val="en-US"/>
        </w:rPr>
        <w:t>programmes</w:t>
      </w:r>
      <w:proofErr w:type="spellEnd"/>
      <w:r w:rsidRPr="002D2C27">
        <w:rPr>
          <w:lang w:val="en-US"/>
        </w:rPr>
        <w:t xml:space="preserve"> such as the International </w:t>
      </w:r>
      <w:proofErr w:type="spellStart"/>
      <w:r w:rsidRPr="002D2C27">
        <w:rPr>
          <w:lang w:val="en-US"/>
        </w:rPr>
        <w:t>Programme</w:t>
      </w:r>
      <w:proofErr w:type="spellEnd"/>
      <w:r w:rsidRPr="002D2C27">
        <w:rPr>
          <w:lang w:val="en-US"/>
        </w:rPr>
        <w:t xml:space="preserve"> on the Elimination of Child Labor aimed at </w:t>
      </w:r>
      <w:r w:rsidR="00C4670F">
        <w:rPr>
          <w:lang w:val="en-US"/>
        </w:rPr>
        <w:t>s</w:t>
      </w:r>
      <w:r w:rsidRPr="002D2C27">
        <w:rPr>
          <w:lang w:val="en-US"/>
        </w:rPr>
        <w:t xml:space="preserve">uppressing </w:t>
      </w:r>
      <w:r w:rsidR="00C4670F">
        <w:rPr>
          <w:lang w:val="en-US"/>
        </w:rPr>
        <w:t>t</w:t>
      </w:r>
      <w:r w:rsidRPr="002D2C27">
        <w:rPr>
          <w:lang w:val="en-US"/>
        </w:rPr>
        <w:t xml:space="preserve">rafficking in </w:t>
      </w:r>
      <w:r w:rsidR="00C4670F">
        <w:rPr>
          <w:lang w:val="en-US"/>
        </w:rPr>
        <w:t>c</w:t>
      </w:r>
      <w:r w:rsidRPr="002D2C27">
        <w:rPr>
          <w:lang w:val="en-US"/>
        </w:rPr>
        <w:t xml:space="preserve">hildren and </w:t>
      </w:r>
      <w:r w:rsidR="00C4670F">
        <w:rPr>
          <w:lang w:val="en-US"/>
        </w:rPr>
        <w:t>p</w:t>
      </w:r>
      <w:r w:rsidRPr="002D2C27">
        <w:rPr>
          <w:lang w:val="en-US"/>
        </w:rPr>
        <w:t>rostitution. International labor law imposes a total prohibition on labor trafficking, as enshrined in the following conventions of the ILO</w:t>
      </w:r>
      <w:r w:rsidRPr="00E96E61">
        <w:rPr>
          <w:lang w:val="en-US"/>
        </w:rPr>
        <w:t xml:space="preserve">, including </w:t>
      </w:r>
      <w:r w:rsidR="005F6EE6" w:rsidRPr="00E96E61">
        <w:rPr>
          <w:lang w:val="en-US"/>
        </w:rPr>
        <w:t>Convention No. </w:t>
      </w:r>
      <w:r w:rsidRPr="00E96E61">
        <w:rPr>
          <w:lang w:val="en-US"/>
        </w:rPr>
        <w:t xml:space="preserve">29 </w:t>
      </w:r>
      <w:r w:rsidR="00C4670F">
        <w:rPr>
          <w:lang w:val="en-US"/>
        </w:rPr>
        <w:t xml:space="preserve">(1930) </w:t>
      </w:r>
      <w:r w:rsidR="00516B09">
        <w:rPr>
          <w:lang w:val="en-US"/>
        </w:rPr>
        <w:t>concerning</w:t>
      </w:r>
      <w:r w:rsidR="00516B09" w:rsidRPr="00E96E61">
        <w:rPr>
          <w:lang w:val="en-US"/>
        </w:rPr>
        <w:t xml:space="preserve"> </w:t>
      </w:r>
      <w:r w:rsidRPr="00E96E61">
        <w:rPr>
          <w:lang w:val="en-US"/>
        </w:rPr>
        <w:t>Forced Labor</w:t>
      </w:r>
      <w:r w:rsidR="00C4670F">
        <w:rPr>
          <w:lang w:val="en-US"/>
        </w:rPr>
        <w:t>,</w:t>
      </w:r>
      <w:r w:rsidRPr="00E96E61">
        <w:rPr>
          <w:lang w:val="en-US"/>
        </w:rPr>
        <w:t xml:space="preserve"> </w:t>
      </w:r>
      <w:r w:rsidR="005F6EE6" w:rsidRPr="00E96E61">
        <w:rPr>
          <w:lang w:val="en-US"/>
        </w:rPr>
        <w:t>Convention No. </w:t>
      </w:r>
      <w:r w:rsidRPr="00E96E61">
        <w:rPr>
          <w:lang w:val="en-US"/>
        </w:rPr>
        <w:t xml:space="preserve">105 </w:t>
      </w:r>
      <w:r w:rsidR="00C4670F">
        <w:rPr>
          <w:lang w:val="en-US"/>
        </w:rPr>
        <w:t xml:space="preserve">(1957) </w:t>
      </w:r>
      <w:r w:rsidRPr="00E96E61">
        <w:rPr>
          <w:lang w:val="en-US"/>
        </w:rPr>
        <w:t>concerning the Abolition of Forced Labor</w:t>
      </w:r>
      <w:r w:rsidR="00C4670F">
        <w:rPr>
          <w:lang w:val="en-US"/>
        </w:rPr>
        <w:t>, and</w:t>
      </w:r>
      <w:r w:rsidRPr="00E96E61">
        <w:rPr>
          <w:lang w:val="en-US"/>
        </w:rPr>
        <w:t xml:space="preserve"> </w:t>
      </w:r>
      <w:r w:rsidR="005F6EE6" w:rsidRPr="00E96E61">
        <w:rPr>
          <w:lang w:val="en-US"/>
        </w:rPr>
        <w:t>Convention No. </w:t>
      </w:r>
      <w:r w:rsidRPr="00E96E61">
        <w:rPr>
          <w:lang w:val="en-US"/>
        </w:rPr>
        <w:t xml:space="preserve">182 </w:t>
      </w:r>
      <w:r w:rsidR="00C4670F">
        <w:rPr>
          <w:lang w:val="en-US"/>
        </w:rPr>
        <w:t xml:space="preserve">(1999) </w:t>
      </w:r>
      <w:r w:rsidRPr="00E96E61">
        <w:rPr>
          <w:lang w:val="en-US"/>
        </w:rPr>
        <w:t>concerning the Worst Forms of Child Labor</w:t>
      </w:r>
      <w:r w:rsidRPr="00580874">
        <w:rPr>
          <w:lang w:val="en-US"/>
        </w:rPr>
        <w:t xml:space="preserve">, all of which Israel is a party to. </w:t>
      </w:r>
    </w:p>
    <w:p w:rsidR="006C72E1" w:rsidRPr="00580874" w:rsidRDefault="006C72E1" w:rsidP="006D3B18">
      <w:pPr>
        <w:pStyle w:val="SingleTxtG"/>
        <w:numPr>
          <w:ilvl w:val="0"/>
          <w:numId w:val="12"/>
        </w:numPr>
        <w:ind w:left="1134" w:firstLine="0"/>
      </w:pPr>
      <w:r w:rsidRPr="00580874">
        <w:rPr>
          <w:lang w:val="en-US"/>
        </w:rPr>
        <w:t xml:space="preserve">Additionally, pursuant to </w:t>
      </w:r>
      <w:r w:rsidRPr="00580874">
        <w:rPr>
          <w:lang w:val="en-US" w:bidi="he-IL"/>
        </w:rPr>
        <w:t>bilateral</w:t>
      </w:r>
      <w:r w:rsidRPr="00580874">
        <w:rPr>
          <w:lang w:val="en-US"/>
        </w:rPr>
        <w:t xml:space="preserve"> and multilateral legal assistance treaties with foreign governments, Israel cooperates with law enforcement agencies of other countries to combat child prostitution, pornography, the sale of children and sex tourism. Israel also supports deterrent programs that encourage innovative partnerships among governments, labor, industry groups and NGOs to end the employment of children in hazardous or abusive conditions. </w:t>
      </w:r>
    </w:p>
    <w:p w:rsidR="006C72E1" w:rsidRPr="00580874" w:rsidRDefault="002D52A3" w:rsidP="00E1688E">
      <w:pPr>
        <w:pStyle w:val="H23G"/>
      </w:pPr>
      <w:r>
        <w:tab/>
      </w:r>
      <w:r>
        <w:tab/>
      </w:r>
      <w:r w:rsidR="006C72E1" w:rsidRPr="00580874">
        <w:t xml:space="preserve">Sex </w:t>
      </w:r>
      <w:r w:rsidR="00E1688E">
        <w:t>t</w:t>
      </w:r>
      <w:r w:rsidR="006C72E1" w:rsidRPr="00580874">
        <w:t xml:space="preserve">ourism </w:t>
      </w:r>
    </w:p>
    <w:p w:rsidR="006C72E1" w:rsidRPr="00871E98" w:rsidRDefault="006C72E1" w:rsidP="006D3B18">
      <w:pPr>
        <w:pStyle w:val="SingleTxtG"/>
        <w:numPr>
          <w:ilvl w:val="0"/>
          <w:numId w:val="12"/>
        </w:numPr>
        <w:ind w:left="1134" w:firstLine="0"/>
      </w:pPr>
      <w:r w:rsidRPr="00580874">
        <w:t>According to the Israeli authorities</w:t>
      </w:r>
      <w:r w:rsidR="00C05EBD">
        <w:rPr>
          <w:rFonts w:hint="eastAsia"/>
        </w:rPr>
        <w:t>’</w:t>
      </w:r>
      <w:r w:rsidRPr="00580874">
        <w:t xml:space="preserve"> information, sex tourism in general, and child sex tourism specifically, does</w:t>
      </w:r>
      <w:r w:rsidRPr="00871E98">
        <w:t xml:space="preserve"> not constitute a problem in Israel. No cases or other information have been brought for examination </w:t>
      </w:r>
      <w:r w:rsidR="00516B09">
        <w:t>by</w:t>
      </w:r>
      <w:r w:rsidRPr="00871E98">
        <w:t xml:space="preserve"> the Israeli authorities by NGOs, international organizations or other entities regarding international and domestic child sex tourism, involving Israeli citizens.</w:t>
      </w:r>
    </w:p>
    <w:p w:rsidR="006C72E1" w:rsidRPr="002D2C27" w:rsidRDefault="008118B2" w:rsidP="00516B09">
      <w:pPr>
        <w:pStyle w:val="H1G"/>
        <w:rPr>
          <w:lang w:val="en-US"/>
        </w:rPr>
      </w:pPr>
      <w:r>
        <w:rPr>
          <w:lang w:val="en-US"/>
        </w:rPr>
        <w:tab/>
      </w:r>
      <w:r>
        <w:rPr>
          <w:lang w:val="en-US"/>
        </w:rPr>
        <w:tab/>
      </w:r>
      <w:r w:rsidR="000416BC">
        <w:rPr>
          <w:lang w:val="en-US"/>
        </w:rPr>
        <w:t>Article </w:t>
      </w:r>
      <w:r w:rsidR="006C72E1" w:rsidRPr="002D2C27">
        <w:rPr>
          <w:lang w:val="en-US"/>
        </w:rPr>
        <w:t>10</w:t>
      </w:r>
      <w:r w:rsidR="00E90893">
        <w:rPr>
          <w:lang w:val="en-US"/>
        </w:rPr>
        <w:t xml:space="preserve"> </w:t>
      </w:r>
      <w:r w:rsidR="006C72E1" w:rsidRPr="002D2C27">
        <w:rPr>
          <w:lang w:val="en-US"/>
        </w:rPr>
        <w:t>(</w:t>
      </w:r>
      <w:r w:rsidR="006C72E1">
        <w:rPr>
          <w:lang w:val="en-US"/>
        </w:rPr>
        <w:t>2</w:t>
      </w:r>
      <w:r w:rsidR="006C72E1" w:rsidRPr="002D2C27">
        <w:rPr>
          <w:lang w:val="en-US"/>
        </w:rPr>
        <w:t>)</w:t>
      </w:r>
      <w:r w:rsidR="006C72E1">
        <w:rPr>
          <w:lang w:val="en-US"/>
        </w:rPr>
        <w:t xml:space="preserve"> – International </w:t>
      </w:r>
      <w:r w:rsidR="00C57BD5">
        <w:rPr>
          <w:lang w:val="en-US"/>
        </w:rPr>
        <w:t>v</w:t>
      </w:r>
      <w:r w:rsidR="006C72E1">
        <w:rPr>
          <w:lang w:val="en-US"/>
        </w:rPr>
        <w:t xml:space="preserve">ictim </w:t>
      </w:r>
      <w:r w:rsidR="00C57BD5">
        <w:rPr>
          <w:lang w:val="en-US"/>
        </w:rPr>
        <w:t>a</w:t>
      </w:r>
      <w:r w:rsidR="006C72E1">
        <w:rPr>
          <w:lang w:val="en-US"/>
        </w:rPr>
        <w:t>ssistance</w:t>
      </w:r>
    </w:p>
    <w:p w:rsidR="006C72E1" w:rsidRPr="009407C7" w:rsidRDefault="000416BC" w:rsidP="006D3B18">
      <w:pPr>
        <w:pStyle w:val="SingleTxtG"/>
        <w:numPr>
          <w:ilvl w:val="0"/>
          <w:numId w:val="12"/>
        </w:numPr>
        <w:ind w:left="1134" w:firstLine="0"/>
        <w:rPr>
          <w:rFonts w:ascii="TimesNewRoman" w:hAnsi="TimesNewRoman" w:cs="TimesNewRoman"/>
          <w:lang w:val="en-US" w:bidi="he-IL"/>
        </w:rPr>
      </w:pPr>
      <w:r>
        <w:rPr>
          <w:lang w:val="en-US" w:bidi="he-IL"/>
        </w:rPr>
        <w:t>Article </w:t>
      </w:r>
      <w:r w:rsidR="006C72E1">
        <w:rPr>
          <w:lang w:val="en-US" w:bidi="he-IL"/>
        </w:rPr>
        <w:t xml:space="preserve">10(2) calls on State parties to promote international cooperation to assist </w:t>
      </w:r>
      <w:r w:rsidR="006C72E1" w:rsidRPr="009407C7">
        <w:rPr>
          <w:lang w:val="en-US" w:bidi="he-IL"/>
        </w:rPr>
        <w:t xml:space="preserve">child victims of the </w:t>
      </w:r>
      <w:r w:rsidR="006C72E1">
        <w:rPr>
          <w:lang w:val="en-US" w:bidi="he-IL"/>
        </w:rPr>
        <w:t xml:space="preserve">offenses referred to by the </w:t>
      </w:r>
      <w:r w:rsidR="006C72E1" w:rsidRPr="009407C7">
        <w:rPr>
          <w:lang w:val="en-US" w:bidi="he-IL"/>
        </w:rPr>
        <w:t>Protocol.</w:t>
      </w:r>
      <w:r w:rsidR="006C72E1" w:rsidRPr="009407C7">
        <w:rPr>
          <w:rFonts w:ascii="TimesNewRoman" w:hAnsi="TimesNewRoman" w:cs="TimesNewRoman"/>
          <w:lang w:val="en-US" w:bidi="he-IL"/>
        </w:rPr>
        <w:t xml:space="preserve"> </w:t>
      </w:r>
    </w:p>
    <w:p w:rsidR="006C72E1" w:rsidRPr="009407C7" w:rsidRDefault="006C72E1" w:rsidP="00516B09">
      <w:pPr>
        <w:pStyle w:val="SingleTxtG"/>
        <w:numPr>
          <w:ilvl w:val="0"/>
          <w:numId w:val="12"/>
        </w:numPr>
        <w:ind w:left="1134" w:firstLine="0"/>
      </w:pPr>
      <w:r w:rsidRPr="009407C7">
        <w:t>To date, all of the victims of trafficking in need of assistance were adults rather than children, due to the nature of the trafficking phenomen</w:t>
      </w:r>
      <w:r w:rsidR="00516B09">
        <w:t>on</w:t>
      </w:r>
      <w:r w:rsidRPr="009407C7">
        <w:t xml:space="preserve"> in Israel. Should a child</w:t>
      </w:r>
      <w:r w:rsidR="00516B09">
        <w:t xml:space="preserve"> </w:t>
      </w:r>
      <w:r w:rsidRPr="009407C7">
        <w:t xml:space="preserve">victim be found, he/she </w:t>
      </w:r>
      <w:r>
        <w:t>would</w:t>
      </w:r>
      <w:r w:rsidRPr="009407C7">
        <w:t xml:space="preserve"> be eligible to </w:t>
      </w:r>
      <w:r>
        <w:t>benefit from</w:t>
      </w:r>
      <w:r w:rsidR="00285CC4">
        <w:t xml:space="preserve"> the “Safe Return”</w:t>
      </w:r>
      <w:r w:rsidRPr="009407C7">
        <w:t xml:space="preserve"> program, detailed below.</w:t>
      </w:r>
    </w:p>
    <w:p w:rsidR="006C72E1" w:rsidRPr="009407C7" w:rsidRDefault="00285CC4" w:rsidP="006D3B18">
      <w:pPr>
        <w:pStyle w:val="SingleTxtG"/>
        <w:numPr>
          <w:ilvl w:val="0"/>
          <w:numId w:val="12"/>
        </w:numPr>
        <w:ind w:left="1134" w:firstLine="0"/>
      </w:pPr>
      <w:r>
        <w:t>The “</w:t>
      </w:r>
      <w:r w:rsidR="006C72E1" w:rsidRPr="000818A8">
        <w:t>Safe Return</w:t>
      </w:r>
      <w:r>
        <w:t>”</w:t>
      </w:r>
      <w:r w:rsidR="006C72E1" w:rsidRPr="000818A8">
        <w:t xml:space="preserve"> Program:</w:t>
      </w:r>
      <w:r>
        <w:t xml:space="preserve"> The “</w:t>
      </w:r>
      <w:proofErr w:type="spellStart"/>
      <w:r>
        <w:t>Ma</w:t>
      </w:r>
      <w:r w:rsidR="00516B09">
        <w:t>’</w:t>
      </w:r>
      <w:r>
        <w:t>agan</w:t>
      </w:r>
      <w:proofErr w:type="spellEnd"/>
      <w:r>
        <w:t>” and “Atlas”</w:t>
      </w:r>
      <w:r w:rsidR="006C72E1" w:rsidRPr="009407C7">
        <w:t xml:space="preserve"> shelter</w:t>
      </w:r>
      <w:r w:rsidR="006C72E1">
        <w:t>s</w:t>
      </w:r>
      <w:r w:rsidR="006C72E1" w:rsidRPr="009407C7">
        <w:t xml:space="preserve"> work in cooperation with NGOs in the origin countries </w:t>
      </w:r>
      <w:r w:rsidR="006C72E1">
        <w:t xml:space="preserve">of victims </w:t>
      </w:r>
      <w:r w:rsidR="006C72E1" w:rsidRPr="009407C7">
        <w:t xml:space="preserve">in order to assist and facilitate the return of the victims of trafficking to their </w:t>
      </w:r>
      <w:r w:rsidR="006C72E1">
        <w:t xml:space="preserve">home </w:t>
      </w:r>
      <w:r w:rsidR="006C72E1" w:rsidRPr="009407C7">
        <w:t xml:space="preserve">countries and their reintegration into their communities. When it is determined that a victim is to return to his/her country of origin, the social worker in the respective shelter meets with him/her and inquires whether he/she needs and wishes to receive assistance with regard to his/her return. If the victim requests such assistance, contact is made with shelters and organizations in the origin country in order to find appropriate solutions, such as assistance in </w:t>
      </w:r>
      <w:r w:rsidR="006C72E1">
        <w:t>returning to the family</w:t>
      </w:r>
      <w:r w:rsidR="006C72E1" w:rsidRPr="009407C7">
        <w:t xml:space="preserve"> </w:t>
      </w:r>
      <w:r w:rsidR="006C72E1">
        <w:t>residence</w:t>
      </w:r>
      <w:r w:rsidR="006C72E1" w:rsidRPr="009407C7">
        <w:t xml:space="preserve"> or</w:t>
      </w:r>
      <w:r w:rsidR="006C72E1">
        <w:t xml:space="preserve"> to</w:t>
      </w:r>
      <w:r w:rsidR="006C72E1" w:rsidRPr="009407C7">
        <w:t xml:space="preserve"> shelter for an initial adaptation period. The shelters</w:t>
      </w:r>
      <w:r w:rsidR="00C05EBD">
        <w:rPr>
          <w:rFonts w:hint="eastAsia"/>
        </w:rPr>
        <w:t>’</w:t>
      </w:r>
      <w:r w:rsidR="006C72E1" w:rsidRPr="009407C7">
        <w:t xml:space="preserve"> staff remains in contact with </w:t>
      </w:r>
      <w:r w:rsidR="006C72E1" w:rsidRPr="00BA0A4E">
        <w:t>the relevant organizations in the country of origin and monitors the integration process of the victims even after they arrive home. Currently the shelters maintain a</w:t>
      </w:r>
      <w:r w:rsidR="006C72E1" w:rsidRPr="009407C7">
        <w:t xml:space="preserve"> list of approximately 50 organizations in countries of origin.</w:t>
      </w:r>
    </w:p>
    <w:p w:rsidR="006C72E1" w:rsidRPr="000A2374" w:rsidRDefault="008118B2" w:rsidP="00516B09">
      <w:pPr>
        <w:pStyle w:val="H1G"/>
        <w:rPr>
          <w:lang w:val="en-US"/>
        </w:rPr>
      </w:pPr>
      <w:r>
        <w:rPr>
          <w:lang w:val="en-US"/>
        </w:rPr>
        <w:tab/>
      </w:r>
      <w:r>
        <w:rPr>
          <w:lang w:val="en-US"/>
        </w:rPr>
        <w:tab/>
      </w:r>
      <w:r w:rsidR="000416BC">
        <w:rPr>
          <w:lang w:val="en-US"/>
        </w:rPr>
        <w:t>Article </w:t>
      </w:r>
      <w:r w:rsidR="006C72E1" w:rsidRPr="002D2C27">
        <w:rPr>
          <w:lang w:val="en-US"/>
        </w:rPr>
        <w:t>10</w:t>
      </w:r>
      <w:r w:rsidR="00E90893">
        <w:rPr>
          <w:lang w:val="en-US"/>
        </w:rPr>
        <w:t xml:space="preserve"> </w:t>
      </w:r>
      <w:r w:rsidR="006C72E1" w:rsidRPr="002D2C27">
        <w:rPr>
          <w:lang w:val="en-US"/>
        </w:rPr>
        <w:t>(</w:t>
      </w:r>
      <w:r w:rsidR="006C72E1">
        <w:rPr>
          <w:lang w:val="en-US"/>
        </w:rPr>
        <w:t>3</w:t>
      </w:r>
      <w:r w:rsidR="006C72E1" w:rsidRPr="002D2C27">
        <w:rPr>
          <w:lang w:val="en-US"/>
        </w:rPr>
        <w:t>)</w:t>
      </w:r>
      <w:r w:rsidR="006C72E1">
        <w:rPr>
          <w:lang w:val="en-US"/>
        </w:rPr>
        <w:t xml:space="preserve"> – International </w:t>
      </w:r>
      <w:r w:rsidR="00516B09">
        <w:rPr>
          <w:lang w:val="en-US"/>
        </w:rPr>
        <w:t>c</w:t>
      </w:r>
      <w:r w:rsidR="006C72E1" w:rsidRPr="000A2374">
        <w:rPr>
          <w:lang w:val="en-US"/>
        </w:rPr>
        <w:t xml:space="preserve">ooperation on the </w:t>
      </w:r>
      <w:r w:rsidR="00516B09">
        <w:rPr>
          <w:lang w:val="en-US"/>
        </w:rPr>
        <w:t>r</w:t>
      </w:r>
      <w:r w:rsidR="006C72E1" w:rsidRPr="000A2374">
        <w:rPr>
          <w:lang w:val="en-US"/>
        </w:rPr>
        <w:t xml:space="preserve">oot </w:t>
      </w:r>
      <w:r w:rsidR="00516B09">
        <w:rPr>
          <w:lang w:val="en-US"/>
        </w:rPr>
        <w:t>c</w:t>
      </w:r>
      <w:r w:rsidR="006C72E1" w:rsidRPr="000A2374">
        <w:rPr>
          <w:lang w:val="en-US"/>
        </w:rPr>
        <w:t>auses</w:t>
      </w:r>
    </w:p>
    <w:p w:rsidR="006C72E1" w:rsidRDefault="000416BC" w:rsidP="006D3B18">
      <w:pPr>
        <w:pStyle w:val="SingleTxtG"/>
        <w:numPr>
          <w:ilvl w:val="0"/>
          <w:numId w:val="12"/>
        </w:numPr>
        <w:ind w:left="1134" w:firstLine="0"/>
        <w:rPr>
          <w:rFonts w:ascii="TimesNewRoman" w:hAnsi="TimesNewRoman" w:cs="TimesNewRoman"/>
          <w:lang w:val="en-US" w:bidi="he-IL"/>
        </w:rPr>
      </w:pPr>
      <w:r>
        <w:rPr>
          <w:lang w:val="en-US" w:bidi="he-IL"/>
        </w:rPr>
        <w:t>Article </w:t>
      </w:r>
      <w:r w:rsidR="006C72E1">
        <w:rPr>
          <w:lang w:val="en-US" w:bidi="he-IL"/>
        </w:rPr>
        <w:t xml:space="preserve">10(3) addresses cooperation in </w:t>
      </w:r>
      <w:r w:rsidR="006C72E1" w:rsidRPr="000A2374">
        <w:rPr>
          <w:lang w:val="en-US" w:bidi="he-IL"/>
        </w:rPr>
        <w:t>address</w:t>
      </w:r>
      <w:r w:rsidR="006C72E1">
        <w:rPr>
          <w:lang w:val="en-US" w:bidi="he-IL"/>
        </w:rPr>
        <w:t>ing</w:t>
      </w:r>
      <w:r w:rsidR="006C72E1" w:rsidRPr="000A2374">
        <w:rPr>
          <w:lang w:val="en-US" w:bidi="he-IL"/>
        </w:rPr>
        <w:t xml:space="preserve"> the root causes</w:t>
      </w:r>
      <w:r w:rsidR="006C72E1">
        <w:rPr>
          <w:lang w:val="en-US" w:bidi="he-IL"/>
        </w:rPr>
        <w:t xml:space="preserve"> of the </w:t>
      </w:r>
      <w:r w:rsidR="006C72E1" w:rsidRPr="000A2374">
        <w:rPr>
          <w:lang w:val="en-US" w:bidi="he-IL"/>
        </w:rPr>
        <w:t>crimes relevant</w:t>
      </w:r>
      <w:r w:rsidR="006C72E1">
        <w:rPr>
          <w:lang w:val="en-US" w:bidi="he-IL"/>
        </w:rPr>
        <w:t xml:space="preserve"> to the Protocol</w:t>
      </w:r>
      <w:r w:rsidR="006C72E1">
        <w:rPr>
          <w:rFonts w:ascii="TimesNewRoman" w:hAnsi="TimesNewRoman" w:cs="TimesNewRoman"/>
          <w:lang w:val="en-US" w:bidi="he-IL"/>
        </w:rPr>
        <w:t>.</w:t>
      </w:r>
    </w:p>
    <w:p w:rsidR="006C72E1" w:rsidRDefault="006C72E1" w:rsidP="006D3B18">
      <w:pPr>
        <w:pStyle w:val="SingleTxtG"/>
        <w:numPr>
          <w:ilvl w:val="0"/>
          <w:numId w:val="12"/>
        </w:numPr>
        <w:ind w:left="1134" w:firstLine="0"/>
        <w:rPr>
          <w:lang w:val="en-US" w:bidi="he-IL"/>
        </w:rPr>
      </w:pPr>
      <w:r>
        <w:rPr>
          <w:lang w:val="en-US" w:bidi="he-IL"/>
        </w:rPr>
        <w:t>Unfortunately, currently Israel is una</w:t>
      </w:r>
      <w:r w:rsidR="00F656CB">
        <w:rPr>
          <w:lang w:val="en-US" w:bidi="he-IL"/>
        </w:rPr>
        <w:t>ble to provide such assistance.</w:t>
      </w:r>
    </w:p>
    <w:p w:rsidR="006C72E1" w:rsidRDefault="008118B2" w:rsidP="00516B09">
      <w:pPr>
        <w:pStyle w:val="H1G"/>
        <w:rPr>
          <w:lang w:val="en-US" w:bidi="he-IL"/>
        </w:rPr>
      </w:pPr>
      <w:r>
        <w:rPr>
          <w:szCs w:val="24"/>
          <w:lang w:val="en-US"/>
        </w:rPr>
        <w:tab/>
      </w:r>
      <w:r>
        <w:rPr>
          <w:szCs w:val="24"/>
          <w:lang w:val="en-US"/>
        </w:rPr>
        <w:tab/>
      </w:r>
      <w:r w:rsidR="000416BC">
        <w:rPr>
          <w:szCs w:val="24"/>
          <w:lang w:val="en-US"/>
        </w:rPr>
        <w:t>Article </w:t>
      </w:r>
      <w:r w:rsidR="006C72E1" w:rsidRPr="002D2C27">
        <w:rPr>
          <w:szCs w:val="24"/>
          <w:lang w:val="en-US"/>
        </w:rPr>
        <w:t>10</w:t>
      </w:r>
      <w:r w:rsidR="00E90893">
        <w:rPr>
          <w:szCs w:val="24"/>
          <w:lang w:val="en-US"/>
        </w:rPr>
        <w:t xml:space="preserve"> </w:t>
      </w:r>
      <w:r w:rsidR="006C72E1" w:rsidRPr="002D2C27">
        <w:rPr>
          <w:szCs w:val="24"/>
          <w:lang w:val="en-US"/>
        </w:rPr>
        <w:t>(</w:t>
      </w:r>
      <w:r w:rsidR="006C72E1">
        <w:rPr>
          <w:szCs w:val="24"/>
          <w:lang w:val="en-US"/>
        </w:rPr>
        <w:t>4</w:t>
      </w:r>
      <w:r w:rsidR="006C72E1" w:rsidRPr="002D2C27">
        <w:rPr>
          <w:szCs w:val="24"/>
          <w:lang w:val="en-US"/>
        </w:rPr>
        <w:t>)</w:t>
      </w:r>
      <w:r w:rsidR="006C72E1">
        <w:rPr>
          <w:szCs w:val="24"/>
          <w:lang w:val="en-US"/>
        </w:rPr>
        <w:t xml:space="preserve"> – </w:t>
      </w:r>
      <w:r w:rsidR="006C72E1" w:rsidRPr="00556F8F">
        <w:rPr>
          <w:szCs w:val="24"/>
          <w:lang w:val="en-US"/>
        </w:rPr>
        <w:t>P</w:t>
      </w:r>
      <w:r w:rsidR="006C72E1" w:rsidRPr="00556F8F">
        <w:rPr>
          <w:lang w:val="en-US" w:bidi="he-IL"/>
        </w:rPr>
        <w:t xml:space="preserve">roviding </w:t>
      </w:r>
      <w:r w:rsidR="00516B09">
        <w:rPr>
          <w:lang w:val="en-US" w:bidi="he-IL"/>
        </w:rPr>
        <w:t>f</w:t>
      </w:r>
      <w:r w:rsidR="006C72E1" w:rsidRPr="00556F8F">
        <w:rPr>
          <w:lang w:val="en-US" w:bidi="he-IL"/>
        </w:rPr>
        <w:t xml:space="preserve">inancial, </w:t>
      </w:r>
      <w:r w:rsidR="00516B09">
        <w:rPr>
          <w:lang w:val="en-US" w:bidi="he-IL"/>
        </w:rPr>
        <w:t>t</w:t>
      </w:r>
      <w:r w:rsidR="006C72E1" w:rsidRPr="00556F8F">
        <w:rPr>
          <w:lang w:val="en-US" w:bidi="he-IL"/>
        </w:rPr>
        <w:t xml:space="preserve">echnical or other </w:t>
      </w:r>
      <w:r w:rsidR="00516B09">
        <w:rPr>
          <w:lang w:val="en-US" w:bidi="he-IL"/>
        </w:rPr>
        <w:t>a</w:t>
      </w:r>
      <w:r w:rsidR="006C72E1" w:rsidRPr="00556F8F">
        <w:rPr>
          <w:lang w:val="en-US" w:bidi="he-IL"/>
        </w:rPr>
        <w:t>ssistance</w:t>
      </w:r>
    </w:p>
    <w:p w:rsidR="006C72E1" w:rsidRDefault="000416BC" w:rsidP="00516B09">
      <w:pPr>
        <w:pStyle w:val="SingleTxtG"/>
        <w:numPr>
          <w:ilvl w:val="0"/>
          <w:numId w:val="12"/>
        </w:numPr>
        <w:ind w:left="1134" w:firstLine="0"/>
        <w:rPr>
          <w:lang w:val="en-US" w:bidi="he-IL"/>
        </w:rPr>
      </w:pPr>
      <w:r>
        <w:rPr>
          <w:lang w:val="en-US" w:bidi="he-IL"/>
        </w:rPr>
        <w:t>Article </w:t>
      </w:r>
      <w:r w:rsidR="006C72E1">
        <w:rPr>
          <w:lang w:val="en-US" w:bidi="he-IL"/>
        </w:rPr>
        <w:t>10(4) calls</w:t>
      </w:r>
      <w:r w:rsidR="00516B09">
        <w:rPr>
          <w:lang w:val="en-US" w:bidi="he-IL"/>
        </w:rPr>
        <w:t xml:space="preserve"> upon</w:t>
      </w:r>
      <w:r w:rsidR="006C72E1">
        <w:rPr>
          <w:lang w:val="en-US" w:bidi="he-IL"/>
        </w:rPr>
        <w:t xml:space="preserve"> </w:t>
      </w:r>
      <w:r w:rsidR="00516B09">
        <w:rPr>
          <w:lang w:val="en-US" w:bidi="he-IL"/>
        </w:rPr>
        <w:t>S</w:t>
      </w:r>
      <w:r w:rsidR="006C72E1">
        <w:rPr>
          <w:lang w:val="en-US" w:bidi="he-IL"/>
        </w:rPr>
        <w:t>tate</w:t>
      </w:r>
      <w:r w:rsidR="00516B09">
        <w:rPr>
          <w:lang w:val="en-US" w:bidi="he-IL"/>
        </w:rPr>
        <w:t>s</w:t>
      </w:r>
      <w:r w:rsidR="006C72E1">
        <w:rPr>
          <w:lang w:val="en-US" w:bidi="he-IL"/>
        </w:rPr>
        <w:t xml:space="preserve"> parties to </w:t>
      </w:r>
      <w:r w:rsidR="006C72E1" w:rsidRPr="002F06A4">
        <w:rPr>
          <w:lang w:val="en-US" w:bidi="he-IL"/>
        </w:rPr>
        <w:t xml:space="preserve">provide financial, technical or other assistance through existing multilateral, regional, bilateral or other </w:t>
      </w:r>
      <w:proofErr w:type="spellStart"/>
      <w:r w:rsidR="006C72E1" w:rsidRPr="002F06A4">
        <w:rPr>
          <w:lang w:val="en-US" w:bidi="he-IL"/>
        </w:rPr>
        <w:t>programmes</w:t>
      </w:r>
      <w:proofErr w:type="spellEnd"/>
      <w:r w:rsidR="006C72E1" w:rsidRPr="002F06A4">
        <w:rPr>
          <w:lang w:val="en-US" w:bidi="he-IL"/>
        </w:rPr>
        <w:t>.</w:t>
      </w:r>
    </w:p>
    <w:p w:rsidR="006C72E1" w:rsidRDefault="006C72E1" w:rsidP="00516B09">
      <w:pPr>
        <w:pStyle w:val="SingleTxtG"/>
        <w:numPr>
          <w:ilvl w:val="0"/>
          <w:numId w:val="12"/>
        </w:numPr>
        <w:ind w:left="1134" w:firstLine="0"/>
      </w:pPr>
      <w:r w:rsidRPr="00871E98">
        <w:t xml:space="preserve">The International </w:t>
      </w:r>
      <w:r>
        <w:t>Development Cooperation Division</w:t>
      </w:r>
      <w:r w:rsidRPr="00871E98">
        <w:t xml:space="preserve"> (</w:t>
      </w:r>
      <w:r>
        <w:t>MASHAV</w:t>
      </w:r>
      <w:r w:rsidRPr="00871E98">
        <w:t>) of the Ministry of Foreign Affairs supports and funds international anti-trafficking training courses attended by representatives of other governments and NGOs from developing countries. These courses are conducted in cooperation with foreign embassies, international organizations and relevant NGOs. In 2011, two courses were dedicated to the subject of trafficking. In June 2011, the Ministr</w:t>
      </w:r>
      <w:r w:rsidR="00285CC4">
        <w:t>y sponsored a course entitled “</w:t>
      </w:r>
      <w:r w:rsidRPr="00871E98">
        <w:t>The Battle Against Traffick</w:t>
      </w:r>
      <w:r w:rsidR="00285CC4">
        <w:t>ing: A Victim-Centred Approach”</w:t>
      </w:r>
      <w:r w:rsidR="00516B09">
        <w:t>,</w:t>
      </w:r>
      <w:r w:rsidRPr="00871E98">
        <w:t xml:space="preserve"> at the Golda Meir </w:t>
      </w:r>
      <w:r>
        <w:t xml:space="preserve">Mount </w:t>
      </w:r>
      <w:r w:rsidRPr="00871E98">
        <w:t xml:space="preserve">Carmel </w:t>
      </w:r>
      <w:r>
        <w:t xml:space="preserve">International Training </w:t>
      </w:r>
      <w:proofErr w:type="spellStart"/>
      <w:r w:rsidRPr="00871E98">
        <w:t>Center</w:t>
      </w:r>
      <w:proofErr w:type="spellEnd"/>
      <w:r>
        <w:t xml:space="preserve"> </w:t>
      </w:r>
      <w:r w:rsidRPr="00871E98">
        <w:t xml:space="preserve">in Haifa. The course was organized jointly by the International Aid Division, the </w:t>
      </w:r>
      <w:r w:rsidR="00516B09">
        <w:t>United States</w:t>
      </w:r>
      <w:r w:rsidRPr="00871E98">
        <w:t xml:space="preserve"> embassy in Tel Aviv</w:t>
      </w:r>
      <w:r>
        <w:t>,</w:t>
      </w:r>
      <w:r w:rsidRPr="00871E98">
        <w:t xml:space="preserve"> </w:t>
      </w:r>
      <w:r w:rsidR="00516B09">
        <w:t xml:space="preserve">the </w:t>
      </w:r>
      <w:proofErr w:type="spellStart"/>
      <w:r w:rsidRPr="00871E98">
        <w:rPr>
          <w:snapToGrid w:val="0"/>
        </w:rPr>
        <w:t>Center</w:t>
      </w:r>
      <w:proofErr w:type="spellEnd"/>
      <w:r w:rsidRPr="00871E98">
        <w:rPr>
          <w:snapToGrid w:val="0"/>
        </w:rPr>
        <w:t xml:space="preserve"> for</w:t>
      </w:r>
      <w:r w:rsidRPr="002A1CBF">
        <w:rPr>
          <w:snapToGrid w:val="0"/>
          <w:color w:val="FF0000"/>
        </w:rPr>
        <w:t xml:space="preserve"> </w:t>
      </w:r>
      <w:r w:rsidRPr="00871E98">
        <w:rPr>
          <w:snapToGrid w:val="0"/>
        </w:rPr>
        <w:t>International Migration &amp; Integration</w:t>
      </w:r>
      <w:r w:rsidRPr="00871E98">
        <w:t xml:space="preserve">, </w:t>
      </w:r>
      <w:r>
        <w:t xml:space="preserve">and Israel’s Ministry of Justice, </w:t>
      </w:r>
      <w:r w:rsidRPr="00871E98">
        <w:t>and was attended by 20 individuals from 12</w:t>
      </w:r>
      <w:r w:rsidR="004D23E8">
        <w:t> </w:t>
      </w:r>
      <w:r w:rsidRPr="00871E98">
        <w:t xml:space="preserve">countries. In September 2011, a course was held on the subject of </w:t>
      </w:r>
      <w:r>
        <w:t>“</w:t>
      </w:r>
      <w:r w:rsidRPr="00871E98">
        <w:t xml:space="preserve">Violence Against Women </w:t>
      </w:r>
      <w:r>
        <w:t>a</w:t>
      </w:r>
      <w:r w:rsidRPr="00871E98">
        <w:t>nd Children</w:t>
      </w:r>
      <w:r>
        <w:t>”</w:t>
      </w:r>
      <w:r w:rsidRPr="00871E98">
        <w:t xml:space="preserve">, also at the Carmel </w:t>
      </w:r>
      <w:proofErr w:type="spellStart"/>
      <w:r w:rsidRPr="00871E98">
        <w:t>Center</w:t>
      </w:r>
      <w:proofErr w:type="spellEnd"/>
      <w:r w:rsidRPr="00871E98">
        <w:t xml:space="preserve">. This course, organized </w:t>
      </w:r>
      <w:r>
        <w:t xml:space="preserve">jointly </w:t>
      </w:r>
      <w:r w:rsidRPr="00871E98">
        <w:t>with the International Organization for Migration, was attended by 27 individuals from 2</w:t>
      </w:r>
      <w:r>
        <w:t>0</w:t>
      </w:r>
      <w:r w:rsidRPr="00871E98">
        <w:t xml:space="preserve"> countries. </w:t>
      </w:r>
    </w:p>
    <w:p w:rsidR="006C72E1" w:rsidRDefault="006C72E1" w:rsidP="00F027F3">
      <w:pPr>
        <w:pStyle w:val="SingleTxtG"/>
        <w:numPr>
          <w:ilvl w:val="0"/>
          <w:numId w:val="12"/>
        </w:numPr>
        <w:ind w:left="1134" w:firstLine="0"/>
      </w:pPr>
      <w:r w:rsidRPr="00871E98">
        <w:t xml:space="preserve">During these </w:t>
      </w:r>
      <w:r>
        <w:t xml:space="preserve">training </w:t>
      </w:r>
      <w:r w:rsidRPr="00871E98">
        <w:t>courses, government representatives introduce the Israeli anti-trafficking system</w:t>
      </w:r>
      <w:r>
        <w:t xml:space="preserve"> and support systems introduced for victims in trafficking</w:t>
      </w:r>
      <w:r w:rsidRPr="00871E98">
        <w:t xml:space="preserve">. For instance, the participants visited the </w:t>
      </w:r>
      <w:proofErr w:type="spellStart"/>
      <w:r w:rsidRPr="00871E98">
        <w:t>Ma</w:t>
      </w:r>
      <w:r w:rsidR="00C05EBD">
        <w:rPr>
          <w:rFonts w:hint="eastAsia"/>
        </w:rPr>
        <w:t>’</w:t>
      </w:r>
      <w:r w:rsidRPr="00871E98">
        <w:t>agan</w:t>
      </w:r>
      <w:proofErr w:type="spellEnd"/>
      <w:r w:rsidRPr="00871E98">
        <w:t xml:space="preserve"> and Atlas Shelters</w:t>
      </w:r>
      <w:r>
        <w:t xml:space="preserve"> and other NGOs serving vict</w:t>
      </w:r>
      <w:r w:rsidR="00EA5046">
        <w:t>ims of violence and trafficking</w:t>
      </w:r>
      <w:r w:rsidR="00F027F3">
        <w:t>.</w:t>
      </w:r>
      <w:r w:rsidRPr="00871E98">
        <w:t xml:space="preserve"> In addition, the Legal Aid Branch has participated in one of their special workshop</w:t>
      </w:r>
      <w:r>
        <w:t>s</w:t>
      </w:r>
      <w:r w:rsidRPr="00871E98">
        <w:t xml:space="preserve"> and presented the Branch</w:t>
      </w:r>
      <w:r w:rsidR="00C05EBD">
        <w:rPr>
          <w:rFonts w:hint="eastAsia"/>
        </w:rPr>
        <w:t>’</w:t>
      </w:r>
      <w:r w:rsidRPr="00871E98">
        <w:t>s work and its unique role in assisting all trafficking victims with free legal assistance, representing them in civil suits against the traffickers, in applications for work visas from the State and in personal status related suits.</w:t>
      </w:r>
      <w:r>
        <w:t xml:space="preserve"> </w:t>
      </w:r>
      <w:r w:rsidRPr="00FE4E16">
        <w:t>A similar course</w:t>
      </w:r>
      <w:r>
        <w:t xml:space="preserve">, </w:t>
      </w:r>
      <w:r w:rsidR="00DF44B7">
        <w:t>entitled</w:t>
      </w:r>
      <w:r>
        <w:t xml:space="preserve"> “</w:t>
      </w:r>
      <w:r w:rsidRPr="00E05B78">
        <w:t xml:space="preserve">Profiles </w:t>
      </w:r>
      <w:r>
        <w:t>o</w:t>
      </w:r>
      <w:r w:rsidRPr="00E05B78">
        <w:t>f Trafficking: Patterns, Populations and Policies</w:t>
      </w:r>
      <w:r>
        <w:t>”</w:t>
      </w:r>
      <w:r w:rsidRPr="00433FDB">
        <w:t xml:space="preserve"> </w:t>
      </w:r>
      <w:r w:rsidRPr="00FE4E16">
        <w:t>was held</w:t>
      </w:r>
      <w:r w:rsidRPr="00D57AB1">
        <w:t xml:space="preserve"> in May 2012</w:t>
      </w:r>
      <w:r>
        <w:t xml:space="preserve"> for 24 participants representing 19 countries, and also included a day conference on t</w:t>
      </w:r>
      <w:r w:rsidRPr="00433FDB">
        <w:t>he Relationship between Governmental and Non-Governmental Organizations</w:t>
      </w:r>
      <w:r>
        <w:t xml:space="preserve">. A 2012 Workshop on Violence Against Women </w:t>
      </w:r>
      <w:r w:rsidR="00F027F3">
        <w:t xml:space="preserve">saw </w:t>
      </w:r>
      <w:r>
        <w:t>25 professionals taking part from 17 countries.</w:t>
      </w:r>
    </w:p>
    <w:p w:rsidR="006C72E1" w:rsidRPr="00BF2850" w:rsidRDefault="006C72E1" w:rsidP="00E47F6C">
      <w:pPr>
        <w:pStyle w:val="SingleTxtG"/>
        <w:numPr>
          <w:ilvl w:val="0"/>
          <w:numId w:val="12"/>
        </w:numPr>
        <w:ind w:left="1134" w:firstLine="0"/>
      </w:pPr>
      <w:r w:rsidRPr="00BF2850">
        <w:t xml:space="preserve">Israeli trafficking experts participate in professional meetings and conferences in international forums aimed </w:t>
      </w:r>
      <w:r w:rsidR="00E47F6C">
        <w:t>at enhancing</w:t>
      </w:r>
      <w:r w:rsidRPr="00BF2850">
        <w:t xml:space="preserve"> cooperation and assist</w:t>
      </w:r>
      <w:r w:rsidR="00E47F6C">
        <w:t>ing</w:t>
      </w:r>
      <w:r w:rsidRPr="00BF2850">
        <w:t xml:space="preserve"> counterparts worldwide</w:t>
      </w:r>
      <w:r>
        <w:t>.</w:t>
      </w:r>
    </w:p>
    <w:p w:rsidR="006C72E1" w:rsidRDefault="006C72E1" w:rsidP="00E47F6C">
      <w:pPr>
        <w:pStyle w:val="SingleTxtG"/>
        <w:numPr>
          <w:ilvl w:val="0"/>
          <w:numId w:val="12"/>
        </w:numPr>
        <w:ind w:left="1134" w:firstLine="0"/>
      </w:pPr>
      <w:r w:rsidRPr="00BF2850">
        <w:t xml:space="preserve">The National Anti-Trafficking Coordination Office maintains a broad network of international connections and cooperation with international bodies, including dealing with mutual assistance requests. Among the organizations </w:t>
      </w:r>
      <w:r w:rsidR="00E47F6C">
        <w:t xml:space="preserve">that </w:t>
      </w:r>
      <w:r w:rsidRPr="00BF2850">
        <w:t>the coordinator works with are</w:t>
      </w:r>
      <w:r w:rsidR="00E47F6C">
        <w:t xml:space="preserve"> the</w:t>
      </w:r>
      <w:r w:rsidRPr="00BF2850">
        <w:t xml:space="preserve"> UNODC, the OSCE, the IOM, and the ILO</w:t>
      </w:r>
      <w:r w:rsidR="00E47F6C">
        <w:t>,</w:t>
      </w:r>
      <w:r w:rsidRPr="00BF2850">
        <w:t xml:space="preserve"> and with other countries.</w:t>
      </w:r>
      <w:bookmarkEnd w:id="29"/>
    </w:p>
    <w:p w:rsidR="002D52A3" w:rsidRPr="002D52A3" w:rsidRDefault="002D52A3" w:rsidP="002D52A3">
      <w:pPr>
        <w:pStyle w:val="SingleTxtG"/>
        <w:spacing w:before="240" w:after="0"/>
        <w:jc w:val="center"/>
        <w:rPr>
          <w:szCs w:val="24"/>
          <w:u w:val="single"/>
          <w:lang w:val="en-US" w:bidi="he-IL"/>
        </w:rPr>
      </w:pPr>
      <w:r>
        <w:rPr>
          <w:u w:val="single"/>
        </w:rPr>
        <w:tab/>
      </w:r>
      <w:r>
        <w:rPr>
          <w:u w:val="single"/>
        </w:rPr>
        <w:tab/>
      </w:r>
      <w:r>
        <w:rPr>
          <w:u w:val="single"/>
        </w:rPr>
        <w:tab/>
      </w:r>
    </w:p>
    <w:sectPr w:rsidR="002D52A3" w:rsidRPr="002D52A3" w:rsidSect="00C76E2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1A" w:rsidRDefault="0090321A"/>
  </w:endnote>
  <w:endnote w:type="continuationSeparator" w:id="0">
    <w:p w:rsidR="0090321A" w:rsidRDefault="0090321A"/>
  </w:endnote>
  <w:endnote w:type="continuationNotice" w:id="1">
    <w:p w:rsidR="0090321A" w:rsidRDefault="009032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witzerland">
    <w:altName w:val="Times New Roman"/>
    <w:panose1 w:val="00000000000000000000"/>
    <w:charset w:val="00"/>
    <w:family w:val="roman"/>
    <w:notTrueType/>
    <w:pitch w:val="default"/>
    <w:sig w:usb0="00000000" w:usb1="00000000" w:usb2="00000000" w:usb3="00000000" w:csb0="0000000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Bold">
    <w:altName w:val="Times New Roman"/>
    <w:panose1 w:val="00000000000000000000"/>
    <w:charset w:val="B1"/>
    <w:family w:val="auto"/>
    <w:notTrueType/>
    <w:pitch w:val="default"/>
    <w:sig w:usb0="00000800" w:usb1="00000000" w:usb2="00000000" w:usb3="00000000" w:csb0="00000020" w:csb1="00000000"/>
  </w:font>
  <w:font w:name="David,Bold+1">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0" w:rsidRPr="008305F1" w:rsidRDefault="00E72EB0" w:rsidP="008305F1">
    <w:pPr>
      <w:pStyle w:val="Footer"/>
      <w:tabs>
        <w:tab w:val="right" w:pos="9638"/>
      </w:tabs>
    </w:pPr>
    <w:r w:rsidRPr="008305F1">
      <w:rPr>
        <w:b/>
        <w:sz w:val="18"/>
      </w:rPr>
      <w:fldChar w:fldCharType="begin"/>
    </w:r>
    <w:r w:rsidRPr="008305F1">
      <w:rPr>
        <w:b/>
        <w:sz w:val="18"/>
      </w:rPr>
      <w:instrText xml:space="preserve"> PAGE  \* MERGEFORMAT </w:instrText>
    </w:r>
    <w:r w:rsidRPr="008305F1">
      <w:rPr>
        <w:b/>
        <w:sz w:val="18"/>
      </w:rPr>
      <w:fldChar w:fldCharType="separate"/>
    </w:r>
    <w:r w:rsidR="007A2458">
      <w:rPr>
        <w:b/>
        <w:noProof/>
        <w:sz w:val="18"/>
      </w:rPr>
      <w:t>46</w:t>
    </w:r>
    <w:r w:rsidRPr="008305F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0" w:rsidRPr="008305F1" w:rsidRDefault="00E72EB0" w:rsidP="008305F1">
    <w:pPr>
      <w:pStyle w:val="Footer"/>
      <w:tabs>
        <w:tab w:val="right" w:pos="9638"/>
      </w:tabs>
      <w:rPr>
        <w:b/>
        <w:sz w:val="18"/>
      </w:rPr>
    </w:pPr>
    <w:r>
      <w:tab/>
    </w:r>
    <w:r w:rsidRPr="008305F1">
      <w:rPr>
        <w:b/>
        <w:sz w:val="18"/>
      </w:rPr>
      <w:fldChar w:fldCharType="begin"/>
    </w:r>
    <w:r w:rsidRPr="008305F1">
      <w:rPr>
        <w:b/>
        <w:sz w:val="18"/>
      </w:rPr>
      <w:instrText xml:space="preserve"> PAGE  \* MERGEFORMAT </w:instrText>
    </w:r>
    <w:r w:rsidRPr="008305F1">
      <w:rPr>
        <w:b/>
        <w:sz w:val="18"/>
      </w:rPr>
      <w:fldChar w:fldCharType="separate"/>
    </w:r>
    <w:r w:rsidR="007A2458">
      <w:rPr>
        <w:b/>
        <w:noProof/>
        <w:sz w:val="18"/>
      </w:rPr>
      <w:t>45</w:t>
    </w:r>
    <w:r w:rsidRPr="008305F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0" w:rsidRPr="008305F1" w:rsidRDefault="009A1B33" w:rsidP="00591620">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E72EB0">
      <w:t>GE.</w:t>
    </w:r>
    <w:r w:rsidR="00591620">
      <w:t>15</w:t>
    </w:r>
    <w:r w:rsidR="00E72EB0">
      <w:t>-</w:t>
    </w:r>
    <w:r w:rsidR="00934663">
      <w:t>00864</w:t>
    </w:r>
    <w:r>
      <w:t xml:space="preserve">  (E)</w:t>
    </w:r>
    <w:r>
      <w:br/>
    </w:r>
    <w:r w:rsidRPr="009A1B33">
      <w:rPr>
        <w:rFonts w:ascii="C39T30Lfz" w:hAnsi="C39T30Lfz"/>
        <w:sz w:val="56"/>
      </w:rPr>
      <w:t></w:t>
    </w:r>
    <w:r w:rsidRPr="009A1B33">
      <w:rPr>
        <w:rFonts w:ascii="C39T30Lfz" w:hAnsi="C39T30Lfz"/>
        <w:sz w:val="56"/>
      </w:rPr>
      <w:t></w:t>
    </w:r>
    <w:r w:rsidRPr="009A1B33">
      <w:rPr>
        <w:rFonts w:ascii="C39T30Lfz" w:hAnsi="C39T30Lfz"/>
        <w:sz w:val="56"/>
      </w:rPr>
      <w:t></w:t>
    </w:r>
    <w:r w:rsidRPr="009A1B33">
      <w:rPr>
        <w:rFonts w:ascii="C39T30Lfz" w:hAnsi="C39T30Lfz"/>
        <w:sz w:val="56"/>
      </w:rPr>
      <w:t></w:t>
    </w:r>
    <w:r w:rsidRPr="009A1B33">
      <w:rPr>
        <w:rFonts w:ascii="C39T30Lfz" w:hAnsi="C39T30Lfz"/>
        <w:sz w:val="56"/>
      </w:rPr>
      <w:t></w:t>
    </w:r>
    <w:r w:rsidRPr="009A1B33">
      <w:rPr>
        <w:rFonts w:ascii="C39T30Lfz" w:hAnsi="C39T30Lfz"/>
        <w:sz w:val="56"/>
      </w:rPr>
      <w:t></w:t>
    </w:r>
    <w:r w:rsidRPr="009A1B33">
      <w:rPr>
        <w:rFonts w:ascii="C39T30Lfz" w:hAnsi="C39T30Lfz"/>
        <w:sz w:val="56"/>
      </w:rPr>
      <w:t></w:t>
    </w:r>
    <w:r w:rsidRPr="009A1B33">
      <w:rPr>
        <w:rFonts w:ascii="C39T30Lfz" w:hAnsi="C39T30Lfz"/>
        <w:sz w:val="56"/>
      </w:rPr>
      <w:t></w:t>
    </w:r>
    <w:r w:rsidRPr="009A1B33">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1A" w:rsidRPr="000B175B" w:rsidRDefault="0090321A" w:rsidP="000B175B">
      <w:pPr>
        <w:tabs>
          <w:tab w:val="right" w:pos="2155"/>
        </w:tabs>
        <w:spacing w:after="80"/>
        <w:ind w:left="680"/>
        <w:rPr>
          <w:u w:val="single"/>
        </w:rPr>
      </w:pPr>
      <w:r>
        <w:rPr>
          <w:u w:val="single"/>
        </w:rPr>
        <w:tab/>
      </w:r>
    </w:p>
  </w:footnote>
  <w:footnote w:type="continuationSeparator" w:id="0">
    <w:p w:rsidR="0090321A" w:rsidRPr="00FC68B7" w:rsidRDefault="0090321A" w:rsidP="00FC68B7">
      <w:pPr>
        <w:tabs>
          <w:tab w:val="left" w:pos="2155"/>
        </w:tabs>
        <w:spacing w:after="80"/>
        <w:ind w:left="680"/>
        <w:rPr>
          <w:u w:val="single"/>
        </w:rPr>
      </w:pPr>
      <w:r>
        <w:rPr>
          <w:u w:val="single"/>
        </w:rPr>
        <w:tab/>
      </w:r>
    </w:p>
  </w:footnote>
  <w:footnote w:type="continuationNotice" w:id="1">
    <w:p w:rsidR="0090321A" w:rsidRDefault="0090321A"/>
  </w:footnote>
  <w:footnote w:id="2">
    <w:p w:rsidR="00E72EB0" w:rsidRPr="00F44792" w:rsidRDefault="00E72EB0" w:rsidP="002908A5">
      <w:pPr>
        <w:pStyle w:val="FootnoteText"/>
        <w:rPr>
          <w:lang w:val="en-US"/>
        </w:rPr>
      </w:pPr>
      <w:r>
        <w:tab/>
      </w:r>
      <w:r w:rsidRPr="00E80AAA">
        <w:rPr>
          <w:rStyle w:val="FootnoteReference"/>
          <w:sz w:val="20"/>
          <w:vertAlign w:val="baseline"/>
        </w:rPr>
        <w:t>*</w:t>
      </w:r>
      <w:r>
        <w:tab/>
        <w:t>The present document is being issued without formal editing</w:t>
      </w:r>
      <w:r w:rsidRPr="00EA302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0" w:rsidRPr="008305F1" w:rsidRDefault="00E72EB0">
    <w:pPr>
      <w:pStyle w:val="Header"/>
    </w:pPr>
    <w:r>
      <w:t>CRC/C/OPSC/ISR/1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0" w:rsidRPr="008305F1" w:rsidRDefault="00E72EB0" w:rsidP="008305F1">
    <w:pPr>
      <w:pStyle w:val="Header"/>
      <w:jc w:val="right"/>
    </w:pPr>
    <w:r>
      <w:t>CRC/C/OPSC/ISR/1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E0669B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F2036B"/>
    <w:multiLevelType w:val="hybridMultilevel"/>
    <w:tmpl w:val="B22E0BFA"/>
    <w:lvl w:ilvl="0" w:tplc="863AF53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6527C1"/>
    <w:multiLevelType w:val="hybridMultilevel"/>
    <w:tmpl w:val="FF7606CA"/>
    <w:lvl w:ilvl="0" w:tplc="EA9ACDC4">
      <w:start w:val="1"/>
      <w:numFmt w:val="decimal"/>
      <w:lvlText w:val="%1."/>
      <w:lvlJc w:val="left"/>
      <w:pPr>
        <w:ind w:left="1689" w:hanging="555"/>
      </w:pPr>
      <w:rPr>
        <w:rFonts w:hint="default"/>
        <w:b w:val="0"/>
        <w:bCs w:val="0"/>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562179C"/>
    <w:multiLevelType w:val="hybridMultilevel"/>
    <w:tmpl w:val="74AE9146"/>
    <w:lvl w:ilvl="0" w:tplc="882A1C8E">
      <w:start w:val="1"/>
      <w:numFmt w:val="decimal"/>
      <w:pStyle w:val="a"/>
      <w:lvlText w:val="%1."/>
      <w:lvlJc w:val="left"/>
      <w:pPr>
        <w:tabs>
          <w:tab w:val="num" w:pos="720"/>
        </w:tabs>
        <w:ind w:left="720" w:right="720" w:hanging="360"/>
      </w:pPr>
    </w:lvl>
    <w:lvl w:ilvl="1" w:tplc="09208C30">
      <w:start w:val="1"/>
      <w:numFmt w:val="decimal"/>
      <w:lvlText w:val="(%2)"/>
      <w:lvlJc w:val="left"/>
      <w:pPr>
        <w:tabs>
          <w:tab w:val="num" w:pos="720"/>
        </w:tabs>
        <w:ind w:left="720" w:right="72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FF1ED5"/>
    <w:multiLevelType w:val="multilevel"/>
    <w:tmpl w:val="6C768AC0"/>
    <w:styleLink w:val="a0"/>
    <w:lvl w:ilvl="0">
      <w:start w:val="1"/>
      <w:numFmt w:val="decimal"/>
      <w:lvlText w:val="%1."/>
      <w:lvlJc w:val="left"/>
      <w:pPr>
        <w:tabs>
          <w:tab w:val="num" w:pos="360"/>
        </w:tabs>
        <w:ind w:left="360" w:hanging="360"/>
      </w:pPr>
      <w:rPr>
        <w:rFonts w:hint="default"/>
      </w:rPr>
    </w:lvl>
    <w:lvl w:ilvl="1">
      <w:start w:val="1"/>
      <w:numFmt w:val="hebrew1"/>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E9462EC"/>
    <w:multiLevelType w:val="hybridMultilevel"/>
    <w:tmpl w:val="654A3FB2"/>
    <w:lvl w:ilvl="0" w:tplc="04090001">
      <w:start w:val="1"/>
      <w:numFmt w:val="bullet"/>
      <w:lvlText w:val=""/>
      <w:lvlJc w:val="left"/>
      <w:pPr>
        <w:tabs>
          <w:tab w:val="num" w:pos="1588"/>
        </w:tabs>
        <w:ind w:left="1588" w:hanging="17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03" w:tentative="1">
      <w:start w:val="1"/>
      <w:numFmt w:val="bullet"/>
      <w:lvlText w:val="o"/>
      <w:lvlJc w:val="left"/>
      <w:pPr>
        <w:tabs>
          <w:tab w:val="num" w:pos="1327"/>
        </w:tabs>
        <w:ind w:left="1327" w:hanging="360"/>
      </w:pPr>
      <w:rPr>
        <w:rFonts w:ascii="Courier New" w:hAnsi="Courier New" w:cs="Courier New"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8">
    <w:nsid w:val="450D56F0"/>
    <w:multiLevelType w:val="multilevel"/>
    <w:tmpl w:val="2B361C72"/>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52D144C"/>
    <w:multiLevelType w:val="singleLevel"/>
    <w:tmpl w:val="7C4C0A7C"/>
    <w:lvl w:ilvl="0">
      <w:start w:val="1"/>
      <w:numFmt w:val="decimal"/>
      <w:pStyle w:val="ParaNo"/>
      <w:lvlText w:val="(%1)"/>
      <w:lvlJc w:val="left"/>
      <w:pPr>
        <w:tabs>
          <w:tab w:val="num" w:pos="720"/>
        </w:tabs>
        <w:ind w:left="720" w:hanging="72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AA63515"/>
    <w:multiLevelType w:val="multilevel"/>
    <w:tmpl w:val="26F8505A"/>
    <w:lvl w:ilvl="0">
      <w:start w:val="1"/>
      <w:numFmt w:val="decimal"/>
      <w:pStyle w:val="a2"/>
      <w:lvlText w:val="%1."/>
      <w:lvlJc w:val="center"/>
      <w:pPr>
        <w:tabs>
          <w:tab w:val="num" w:pos="567"/>
        </w:tabs>
        <w:ind w:left="567" w:right="567" w:hanging="567"/>
      </w:pPr>
      <w:rPr>
        <w:rFonts w:cs="Times New Roman" w:hint="default"/>
        <w:b w:val="0"/>
        <w:bCs w:val="0"/>
        <w:u w:val="none"/>
      </w:rPr>
    </w:lvl>
    <w:lvl w:ilvl="1">
      <w:start w:val="1"/>
      <w:numFmt w:val="upperRoman"/>
      <w:lvlText w:val="%2."/>
      <w:lvlJc w:val="center"/>
      <w:pPr>
        <w:tabs>
          <w:tab w:val="num" w:pos="1134"/>
        </w:tabs>
        <w:ind w:left="1134" w:right="1134" w:hanging="510"/>
      </w:pPr>
      <w:rPr>
        <w:rFonts w:cs="Times New Roman" w:hint="default"/>
        <w:u w:val="none"/>
      </w:rPr>
    </w:lvl>
    <w:lvl w:ilvl="2">
      <w:start w:val="1"/>
      <w:numFmt w:val="decimal"/>
      <w:lvlText w:val="(%3)"/>
      <w:lvlJc w:val="center"/>
      <w:pPr>
        <w:tabs>
          <w:tab w:val="num" w:pos="1984"/>
        </w:tabs>
        <w:ind w:left="1984" w:right="1984" w:hanging="737"/>
      </w:pPr>
      <w:rPr>
        <w:rFonts w:cs="Times New Roman" w:hint="default"/>
        <w:u w:val="none"/>
      </w:rPr>
    </w:lvl>
    <w:lvl w:ilvl="3">
      <w:start w:val="1"/>
      <w:numFmt w:val="upperRoman"/>
      <w:lvlText w:val="(%4)"/>
      <w:lvlJc w:val="center"/>
      <w:pPr>
        <w:tabs>
          <w:tab w:val="num" w:pos="2551"/>
        </w:tabs>
        <w:ind w:left="2551" w:right="2551" w:hanging="510"/>
      </w:pPr>
      <w:rPr>
        <w:rFonts w:cs="Times New Roman" w:hint="default"/>
        <w:u w:val="none"/>
      </w:rPr>
    </w:lvl>
    <w:lvl w:ilvl="4">
      <w:start w:val="1"/>
      <w:numFmt w:val="upperLetter"/>
      <w:lvlText w:val="%5"/>
      <w:lvlJc w:val="center"/>
      <w:pPr>
        <w:tabs>
          <w:tab w:val="num" w:pos="3118"/>
        </w:tabs>
        <w:ind w:left="3118" w:right="3118" w:hanging="567"/>
      </w:pPr>
      <w:rPr>
        <w:rFonts w:cs="Times New Roman" w:hint="default"/>
        <w:u w:val="none"/>
      </w:rPr>
    </w:lvl>
    <w:lvl w:ilvl="5">
      <w:start w:val="1"/>
      <w:numFmt w:val="lowerLetter"/>
      <w:lvlText w:val="%6"/>
      <w:lvlJc w:val="center"/>
      <w:pPr>
        <w:tabs>
          <w:tab w:val="num" w:pos="3685"/>
        </w:tabs>
        <w:ind w:left="3685" w:right="3685" w:hanging="567"/>
      </w:pPr>
      <w:rPr>
        <w:rFonts w:cs="Times New Roman" w:hint="default"/>
        <w:u w:val="none"/>
      </w:rPr>
    </w:lvl>
    <w:lvl w:ilvl="6">
      <w:start w:val="1"/>
      <w:numFmt w:val="chosung"/>
      <w:lvlText w:val=""/>
      <w:lvlJc w:val="left"/>
      <w:pPr>
        <w:tabs>
          <w:tab w:val="num" w:pos="4252"/>
        </w:tabs>
        <w:ind w:left="4252" w:right="4252" w:hanging="567"/>
      </w:pPr>
      <w:rPr>
        <w:rFonts w:ascii="Symbol" w:hAnsi="Symbol" w:cs="Times New Roman" w:hint="default"/>
        <w:u w:val="none"/>
      </w:rPr>
    </w:lvl>
    <w:lvl w:ilvl="7">
      <w:start w:val="1"/>
      <w:numFmt w:val="cardinalText"/>
      <w:lvlText w:val="(%8)"/>
      <w:lvlJc w:val="center"/>
      <w:pPr>
        <w:tabs>
          <w:tab w:val="num" w:pos="4819"/>
        </w:tabs>
        <w:ind w:left="4819" w:right="4819" w:hanging="510"/>
      </w:pPr>
      <w:rPr>
        <w:rFonts w:cs="Times New Roman" w:hint="default"/>
        <w:u w:val="none"/>
      </w:rPr>
    </w:lvl>
    <w:lvl w:ilvl="8">
      <w:start w:val="1"/>
      <w:numFmt w:val="lowerLetter"/>
      <w:lvlText w:val="(%9)"/>
      <w:lvlJc w:val="center"/>
      <w:pPr>
        <w:tabs>
          <w:tab w:val="num" w:pos="5386"/>
        </w:tabs>
        <w:ind w:left="5386" w:right="5386" w:hanging="510"/>
      </w:pPr>
      <w:rPr>
        <w:rFonts w:cs="Times New Roman" w:hint="default"/>
        <w:u w:val="none"/>
      </w:rPr>
    </w:lvl>
  </w:abstractNum>
  <w:abstractNum w:abstractNumId="12">
    <w:nsid w:val="788D12A0"/>
    <w:multiLevelType w:val="multilevel"/>
    <w:tmpl w:val="9444A144"/>
    <w:lvl w:ilvl="0">
      <w:start w:val="1"/>
      <w:numFmt w:val="upperRoman"/>
      <w:pStyle w:val="a3"/>
      <w:lvlText w:val="%1."/>
      <w:lvlJc w:val="center"/>
      <w:pPr>
        <w:tabs>
          <w:tab w:val="num" w:pos="567"/>
        </w:tabs>
        <w:ind w:left="567" w:hanging="567"/>
      </w:pPr>
      <w:rPr>
        <w:rFonts w:hint="default"/>
        <w:u w:val="none"/>
      </w:rPr>
    </w:lvl>
    <w:lvl w:ilvl="1">
      <w:start w:val="1"/>
      <w:numFmt w:val="decimal"/>
      <w:lvlText w:val="%1.%2."/>
      <w:lvlJc w:val="center"/>
      <w:pPr>
        <w:tabs>
          <w:tab w:val="num" w:pos="1247"/>
        </w:tabs>
        <w:ind w:left="1247" w:hanging="510"/>
      </w:pPr>
      <w:rPr>
        <w:rFonts w:hint="default"/>
        <w:u w:val="none"/>
      </w:rPr>
    </w:lvl>
    <w:lvl w:ilvl="2">
      <w:start w:val="1"/>
      <w:numFmt w:val="upperRoman"/>
      <w:lvlText w:val="%1.%2.%3."/>
      <w:lvlJc w:val="center"/>
      <w:pPr>
        <w:tabs>
          <w:tab w:val="num" w:pos="2154"/>
        </w:tabs>
        <w:ind w:left="2154" w:hanging="623"/>
      </w:pPr>
      <w:rPr>
        <w:rFonts w:hint="default"/>
        <w:u w:val="none"/>
      </w:rPr>
    </w:lvl>
    <w:lvl w:ilvl="3">
      <w:start w:val="1"/>
      <w:numFmt w:val="decimal"/>
      <w:lvlText w:val="%1.%2.%3.%4."/>
      <w:lvlJc w:val="center"/>
      <w:pPr>
        <w:tabs>
          <w:tab w:val="num" w:pos="3175"/>
        </w:tabs>
        <w:ind w:left="3175" w:hanging="681"/>
      </w:pPr>
      <w:rPr>
        <w:rFonts w:hint="default"/>
        <w:u w:val="none"/>
      </w:rPr>
    </w:lvl>
    <w:lvl w:ilvl="4">
      <w:start w:val="1"/>
      <w:numFmt w:val="upperRoman"/>
      <w:lvlText w:val="%1.%2.%3.%4.%5."/>
      <w:lvlJc w:val="center"/>
      <w:pPr>
        <w:tabs>
          <w:tab w:val="num" w:pos="4745"/>
        </w:tabs>
        <w:ind w:left="2835" w:firstLine="1190"/>
      </w:pPr>
      <w:rPr>
        <w:rFonts w:hint="default"/>
        <w:u w:val="none"/>
      </w:rPr>
    </w:lvl>
    <w:lvl w:ilvl="5">
      <w:start w:val="1"/>
      <w:numFmt w:val="decimal"/>
      <w:lvlText w:val="%1.%2.%3.%4.%5.%6."/>
      <w:lvlJc w:val="center"/>
      <w:pPr>
        <w:tabs>
          <w:tab w:val="num" w:pos="2449"/>
        </w:tabs>
        <w:ind w:left="2160" w:hanging="363"/>
      </w:pPr>
      <w:rPr>
        <w:rFonts w:hint="default"/>
        <w:u w:val="none"/>
      </w:rPr>
    </w:lvl>
    <w:lvl w:ilvl="6">
      <w:start w:val="1"/>
      <w:numFmt w:val="chosung"/>
      <w:lvlText w:val=""/>
      <w:lvlJc w:val="left"/>
      <w:pPr>
        <w:tabs>
          <w:tab w:val="num" w:pos="4252"/>
        </w:tabs>
        <w:ind w:left="4252" w:hanging="567"/>
      </w:pPr>
      <w:rPr>
        <w:rFonts w:ascii="Symbol" w:hAnsi="Symbol" w:cs="Times New Roman" w:hint="default"/>
        <w:u w:val="none"/>
      </w:rPr>
    </w:lvl>
    <w:lvl w:ilvl="7">
      <w:start w:val="1"/>
      <w:numFmt w:val="cardinalText"/>
      <w:lvlText w:val="(%8)"/>
      <w:lvlJc w:val="center"/>
      <w:pPr>
        <w:tabs>
          <w:tab w:val="num" w:pos="4819"/>
        </w:tabs>
        <w:ind w:left="4819" w:hanging="510"/>
      </w:pPr>
      <w:rPr>
        <w:rFonts w:hint="default"/>
        <w:u w:val="none"/>
      </w:rPr>
    </w:lvl>
    <w:lvl w:ilvl="8">
      <w:start w:val="1"/>
      <w:numFmt w:val="lowerLetter"/>
      <w:lvlText w:val="(%9)"/>
      <w:lvlJc w:val="center"/>
      <w:pPr>
        <w:tabs>
          <w:tab w:val="num" w:pos="5386"/>
        </w:tabs>
        <w:ind w:left="5386" w:hanging="510"/>
      </w:pPr>
      <w:rPr>
        <w:rFonts w:hint="default"/>
        <w:u w:val="none"/>
      </w:rPr>
    </w:lvl>
  </w:abstractNum>
  <w:abstractNum w:abstractNumId="13">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6"/>
  </w:num>
  <w:num w:numId="2">
    <w:abstractNumId w:val="8"/>
  </w:num>
  <w:num w:numId="3">
    <w:abstractNumId w:val="13"/>
  </w:num>
  <w:num w:numId="4">
    <w:abstractNumId w:val="4"/>
  </w:num>
  <w:num w:numId="5">
    <w:abstractNumId w:val="9"/>
  </w:num>
  <w:num w:numId="6">
    <w:abstractNumId w:val="12"/>
  </w:num>
  <w:num w:numId="7">
    <w:abstractNumId w:val="0"/>
  </w:num>
  <w:num w:numId="8">
    <w:abstractNumId w:val="3"/>
  </w:num>
  <w:num w:numId="9">
    <w:abstractNumId w:val="5"/>
  </w:num>
  <w:num w:numId="10">
    <w:abstractNumId w:val="11"/>
  </w:num>
  <w:num w:numId="11">
    <w:abstractNumId w:val="7"/>
  </w:num>
  <w:num w:numId="12">
    <w:abstractNumId w:val="2"/>
  </w:num>
  <w:num w:numId="13">
    <w:abstractNumId w:val="1"/>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5F1"/>
    <w:rsid w:val="0000262E"/>
    <w:rsid w:val="00010840"/>
    <w:rsid w:val="00015E9C"/>
    <w:rsid w:val="0002455E"/>
    <w:rsid w:val="00032761"/>
    <w:rsid w:val="000364CB"/>
    <w:rsid w:val="0003681A"/>
    <w:rsid w:val="00036C34"/>
    <w:rsid w:val="000416BC"/>
    <w:rsid w:val="00050F6B"/>
    <w:rsid w:val="00052715"/>
    <w:rsid w:val="000554F5"/>
    <w:rsid w:val="00072C8C"/>
    <w:rsid w:val="0007538F"/>
    <w:rsid w:val="00075DDC"/>
    <w:rsid w:val="00075FFD"/>
    <w:rsid w:val="000818A8"/>
    <w:rsid w:val="00081FBA"/>
    <w:rsid w:val="00082AEC"/>
    <w:rsid w:val="0008330C"/>
    <w:rsid w:val="00084BFB"/>
    <w:rsid w:val="00091419"/>
    <w:rsid w:val="00092F7B"/>
    <w:rsid w:val="000931C0"/>
    <w:rsid w:val="000A2D6F"/>
    <w:rsid w:val="000A60B7"/>
    <w:rsid w:val="000B175B"/>
    <w:rsid w:val="000B3A0F"/>
    <w:rsid w:val="000B44A2"/>
    <w:rsid w:val="000B45CA"/>
    <w:rsid w:val="000B6109"/>
    <w:rsid w:val="000C11CF"/>
    <w:rsid w:val="000C2D45"/>
    <w:rsid w:val="000C735F"/>
    <w:rsid w:val="000E0415"/>
    <w:rsid w:val="000F17CA"/>
    <w:rsid w:val="000F3327"/>
    <w:rsid w:val="000F6256"/>
    <w:rsid w:val="00100D6D"/>
    <w:rsid w:val="00102306"/>
    <w:rsid w:val="00104D61"/>
    <w:rsid w:val="00105D1A"/>
    <w:rsid w:val="001102D6"/>
    <w:rsid w:val="00110F1F"/>
    <w:rsid w:val="00122805"/>
    <w:rsid w:val="00125EEB"/>
    <w:rsid w:val="00132148"/>
    <w:rsid w:val="00143F65"/>
    <w:rsid w:val="001633EE"/>
    <w:rsid w:val="00172EF0"/>
    <w:rsid w:val="00177094"/>
    <w:rsid w:val="00177B7B"/>
    <w:rsid w:val="00177E4F"/>
    <w:rsid w:val="00182C62"/>
    <w:rsid w:val="00184F0A"/>
    <w:rsid w:val="00191F29"/>
    <w:rsid w:val="0019454A"/>
    <w:rsid w:val="001A052D"/>
    <w:rsid w:val="001A574A"/>
    <w:rsid w:val="001B12DE"/>
    <w:rsid w:val="001B1D21"/>
    <w:rsid w:val="001B4B04"/>
    <w:rsid w:val="001B6F4D"/>
    <w:rsid w:val="001C0FE2"/>
    <w:rsid w:val="001C2F3E"/>
    <w:rsid w:val="001C56A7"/>
    <w:rsid w:val="001C6663"/>
    <w:rsid w:val="001C7895"/>
    <w:rsid w:val="001D26DF"/>
    <w:rsid w:val="001D2983"/>
    <w:rsid w:val="001D2C39"/>
    <w:rsid w:val="001D2FDC"/>
    <w:rsid w:val="001E2615"/>
    <w:rsid w:val="001E3807"/>
    <w:rsid w:val="001E74A2"/>
    <w:rsid w:val="0021176C"/>
    <w:rsid w:val="00211E0B"/>
    <w:rsid w:val="00222958"/>
    <w:rsid w:val="002248AD"/>
    <w:rsid w:val="00236636"/>
    <w:rsid w:val="00237785"/>
    <w:rsid w:val="00241466"/>
    <w:rsid w:val="002423CF"/>
    <w:rsid w:val="00253D62"/>
    <w:rsid w:val="00256405"/>
    <w:rsid w:val="0026169F"/>
    <w:rsid w:val="00271CFD"/>
    <w:rsid w:val="002728B2"/>
    <w:rsid w:val="002769AD"/>
    <w:rsid w:val="00277A81"/>
    <w:rsid w:val="00285844"/>
    <w:rsid w:val="00285BE0"/>
    <w:rsid w:val="00285CC4"/>
    <w:rsid w:val="00287220"/>
    <w:rsid w:val="002901CC"/>
    <w:rsid w:val="002908A5"/>
    <w:rsid w:val="002C0C4A"/>
    <w:rsid w:val="002C5F11"/>
    <w:rsid w:val="002D2E11"/>
    <w:rsid w:val="002D41A2"/>
    <w:rsid w:val="002D52A3"/>
    <w:rsid w:val="002E0DDB"/>
    <w:rsid w:val="002E2CDA"/>
    <w:rsid w:val="002F4174"/>
    <w:rsid w:val="002F78E7"/>
    <w:rsid w:val="003015AE"/>
    <w:rsid w:val="00306596"/>
    <w:rsid w:val="00306BCA"/>
    <w:rsid w:val="003107FA"/>
    <w:rsid w:val="00312DD7"/>
    <w:rsid w:val="0032213C"/>
    <w:rsid w:val="003229D8"/>
    <w:rsid w:val="003268E7"/>
    <w:rsid w:val="00334678"/>
    <w:rsid w:val="00335328"/>
    <w:rsid w:val="00336125"/>
    <w:rsid w:val="003407DC"/>
    <w:rsid w:val="00342E2A"/>
    <w:rsid w:val="0034628F"/>
    <w:rsid w:val="00346C62"/>
    <w:rsid w:val="00352D34"/>
    <w:rsid w:val="00355C90"/>
    <w:rsid w:val="003633F6"/>
    <w:rsid w:val="00382BF1"/>
    <w:rsid w:val="00391E49"/>
    <w:rsid w:val="0039277A"/>
    <w:rsid w:val="0039425E"/>
    <w:rsid w:val="0039459D"/>
    <w:rsid w:val="003972E0"/>
    <w:rsid w:val="003C14FF"/>
    <w:rsid w:val="003C2CC4"/>
    <w:rsid w:val="003C7FC2"/>
    <w:rsid w:val="003D0EB4"/>
    <w:rsid w:val="003D4B23"/>
    <w:rsid w:val="003E08DE"/>
    <w:rsid w:val="003E29FE"/>
    <w:rsid w:val="003E7BE0"/>
    <w:rsid w:val="003F57BD"/>
    <w:rsid w:val="004031BC"/>
    <w:rsid w:val="00404DDB"/>
    <w:rsid w:val="0041017D"/>
    <w:rsid w:val="00410691"/>
    <w:rsid w:val="004118DE"/>
    <w:rsid w:val="00414A22"/>
    <w:rsid w:val="004200F2"/>
    <w:rsid w:val="004325CB"/>
    <w:rsid w:val="00446DE4"/>
    <w:rsid w:val="00462395"/>
    <w:rsid w:val="00466756"/>
    <w:rsid w:val="00467DFE"/>
    <w:rsid w:val="00467F0D"/>
    <w:rsid w:val="00473FF8"/>
    <w:rsid w:val="0048104E"/>
    <w:rsid w:val="00485EB9"/>
    <w:rsid w:val="00494449"/>
    <w:rsid w:val="00496742"/>
    <w:rsid w:val="00497D5A"/>
    <w:rsid w:val="004A2FC9"/>
    <w:rsid w:val="004B3626"/>
    <w:rsid w:val="004B3E0C"/>
    <w:rsid w:val="004C04FF"/>
    <w:rsid w:val="004D23E8"/>
    <w:rsid w:val="004D2681"/>
    <w:rsid w:val="004D6506"/>
    <w:rsid w:val="004E68C1"/>
    <w:rsid w:val="004F14F5"/>
    <w:rsid w:val="004F4E83"/>
    <w:rsid w:val="004F5B9F"/>
    <w:rsid w:val="00516B09"/>
    <w:rsid w:val="005268A3"/>
    <w:rsid w:val="00533821"/>
    <w:rsid w:val="005344EC"/>
    <w:rsid w:val="00540ADD"/>
    <w:rsid w:val="00540C2F"/>
    <w:rsid w:val="005420F2"/>
    <w:rsid w:val="0055270D"/>
    <w:rsid w:val="0055481A"/>
    <w:rsid w:val="00564866"/>
    <w:rsid w:val="00566C59"/>
    <w:rsid w:val="00585664"/>
    <w:rsid w:val="00591620"/>
    <w:rsid w:val="005A274D"/>
    <w:rsid w:val="005A4110"/>
    <w:rsid w:val="005B3DB3"/>
    <w:rsid w:val="005C0081"/>
    <w:rsid w:val="005C2BCD"/>
    <w:rsid w:val="005C50EF"/>
    <w:rsid w:val="005D2702"/>
    <w:rsid w:val="005D5940"/>
    <w:rsid w:val="005E2CE8"/>
    <w:rsid w:val="005E72AA"/>
    <w:rsid w:val="005E7B11"/>
    <w:rsid w:val="005F1371"/>
    <w:rsid w:val="005F5E61"/>
    <w:rsid w:val="005F6EE6"/>
    <w:rsid w:val="006028D9"/>
    <w:rsid w:val="00611FC4"/>
    <w:rsid w:val="00615811"/>
    <w:rsid w:val="006176FB"/>
    <w:rsid w:val="006208A6"/>
    <w:rsid w:val="00627043"/>
    <w:rsid w:val="0063362B"/>
    <w:rsid w:val="00640B26"/>
    <w:rsid w:val="00642B39"/>
    <w:rsid w:val="00647BB2"/>
    <w:rsid w:val="006611C1"/>
    <w:rsid w:val="00662974"/>
    <w:rsid w:val="00664AD7"/>
    <w:rsid w:val="0066698A"/>
    <w:rsid w:val="00673615"/>
    <w:rsid w:val="00675FD3"/>
    <w:rsid w:val="00682D97"/>
    <w:rsid w:val="00696092"/>
    <w:rsid w:val="00696EEB"/>
    <w:rsid w:val="006A1B01"/>
    <w:rsid w:val="006A2A41"/>
    <w:rsid w:val="006A3E55"/>
    <w:rsid w:val="006A7392"/>
    <w:rsid w:val="006C0D34"/>
    <w:rsid w:val="006C680F"/>
    <w:rsid w:val="006C72E1"/>
    <w:rsid w:val="006D191E"/>
    <w:rsid w:val="006D3B18"/>
    <w:rsid w:val="006D4969"/>
    <w:rsid w:val="006E564B"/>
    <w:rsid w:val="007024BB"/>
    <w:rsid w:val="00720CB3"/>
    <w:rsid w:val="00723CA7"/>
    <w:rsid w:val="00724F56"/>
    <w:rsid w:val="007250C5"/>
    <w:rsid w:val="0072632A"/>
    <w:rsid w:val="00733758"/>
    <w:rsid w:val="007373B0"/>
    <w:rsid w:val="00743893"/>
    <w:rsid w:val="00753B33"/>
    <w:rsid w:val="0075723E"/>
    <w:rsid w:val="00767460"/>
    <w:rsid w:val="0077256F"/>
    <w:rsid w:val="00790044"/>
    <w:rsid w:val="007A2458"/>
    <w:rsid w:val="007A6016"/>
    <w:rsid w:val="007A647E"/>
    <w:rsid w:val="007A739C"/>
    <w:rsid w:val="007B6BA5"/>
    <w:rsid w:val="007C1253"/>
    <w:rsid w:val="007C1C68"/>
    <w:rsid w:val="007C3390"/>
    <w:rsid w:val="007C4F4B"/>
    <w:rsid w:val="007C674B"/>
    <w:rsid w:val="007D2345"/>
    <w:rsid w:val="007D38B4"/>
    <w:rsid w:val="007D5879"/>
    <w:rsid w:val="007F3143"/>
    <w:rsid w:val="007F6611"/>
    <w:rsid w:val="007F6A21"/>
    <w:rsid w:val="008118B2"/>
    <w:rsid w:val="0081588B"/>
    <w:rsid w:val="008175E9"/>
    <w:rsid w:val="00821B19"/>
    <w:rsid w:val="008242D7"/>
    <w:rsid w:val="008305F1"/>
    <w:rsid w:val="0084572B"/>
    <w:rsid w:val="00860A69"/>
    <w:rsid w:val="00871FD5"/>
    <w:rsid w:val="0087308D"/>
    <w:rsid w:val="0088706A"/>
    <w:rsid w:val="008910ED"/>
    <w:rsid w:val="00895826"/>
    <w:rsid w:val="008979B1"/>
    <w:rsid w:val="008A1611"/>
    <w:rsid w:val="008A6562"/>
    <w:rsid w:val="008A6B25"/>
    <w:rsid w:val="008A6C4F"/>
    <w:rsid w:val="008B3FE2"/>
    <w:rsid w:val="008C5DA1"/>
    <w:rsid w:val="008D1919"/>
    <w:rsid w:val="008D52A6"/>
    <w:rsid w:val="008E0E46"/>
    <w:rsid w:val="008F084C"/>
    <w:rsid w:val="0090321A"/>
    <w:rsid w:val="00907CC9"/>
    <w:rsid w:val="009133A2"/>
    <w:rsid w:val="00916066"/>
    <w:rsid w:val="009212BB"/>
    <w:rsid w:val="00922103"/>
    <w:rsid w:val="0092446F"/>
    <w:rsid w:val="00934663"/>
    <w:rsid w:val="0093573F"/>
    <w:rsid w:val="00936F1C"/>
    <w:rsid w:val="00942BE3"/>
    <w:rsid w:val="00960321"/>
    <w:rsid w:val="00960A18"/>
    <w:rsid w:val="00963CBA"/>
    <w:rsid w:val="00982BB0"/>
    <w:rsid w:val="00991261"/>
    <w:rsid w:val="009A1B33"/>
    <w:rsid w:val="009A28F6"/>
    <w:rsid w:val="009A3379"/>
    <w:rsid w:val="009B6097"/>
    <w:rsid w:val="009C0463"/>
    <w:rsid w:val="009D7729"/>
    <w:rsid w:val="009E6654"/>
    <w:rsid w:val="009F1F9A"/>
    <w:rsid w:val="009F3265"/>
    <w:rsid w:val="009F3E16"/>
    <w:rsid w:val="009F5A5B"/>
    <w:rsid w:val="00A03871"/>
    <w:rsid w:val="00A11014"/>
    <w:rsid w:val="00A1427D"/>
    <w:rsid w:val="00A34341"/>
    <w:rsid w:val="00A47F3F"/>
    <w:rsid w:val="00A56102"/>
    <w:rsid w:val="00A576C8"/>
    <w:rsid w:val="00A701ED"/>
    <w:rsid w:val="00A72F22"/>
    <w:rsid w:val="00A72F2B"/>
    <w:rsid w:val="00A748A6"/>
    <w:rsid w:val="00A77F7E"/>
    <w:rsid w:val="00A879A4"/>
    <w:rsid w:val="00A91DCB"/>
    <w:rsid w:val="00AB0715"/>
    <w:rsid w:val="00AB40FD"/>
    <w:rsid w:val="00AC0096"/>
    <w:rsid w:val="00AC0F5C"/>
    <w:rsid w:val="00AC68C2"/>
    <w:rsid w:val="00AC696A"/>
    <w:rsid w:val="00AD18FF"/>
    <w:rsid w:val="00AD3DB3"/>
    <w:rsid w:val="00AD553D"/>
    <w:rsid w:val="00AD6B01"/>
    <w:rsid w:val="00AE15A7"/>
    <w:rsid w:val="00B0137E"/>
    <w:rsid w:val="00B02F9A"/>
    <w:rsid w:val="00B14BE0"/>
    <w:rsid w:val="00B216BB"/>
    <w:rsid w:val="00B21E54"/>
    <w:rsid w:val="00B30179"/>
    <w:rsid w:val="00B3317B"/>
    <w:rsid w:val="00B340AC"/>
    <w:rsid w:val="00B40558"/>
    <w:rsid w:val="00B41CD3"/>
    <w:rsid w:val="00B4310F"/>
    <w:rsid w:val="00B43698"/>
    <w:rsid w:val="00B43A15"/>
    <w:rsid w:val="00B55042"/>
    <w:rsid w:val="00B75D73"/>
    <w:rsid w:val="00B81E12"/>
    <w:rsid w:val="00B849FA"/>
    <w:rsid w:val="00B93068"/>
    <w:rsid w:val="00B93457"/>
    <w:rsid w:val="00BA6EF3"/>
    <w:rsid w:val="00BB08A2"/>
    <w:rsid w:val="00BB6955"/>
    <w:rsid w:val="00BC4B74"/>
    <w:rsid w:val="00BC74E9"/>
    <w:rsid w:val="00BD794C"/>
    <w:rsid w:val="00BE618E"/>
    <w:rsid w:val="00BF118D"/>
    <w:rsid w:val="00BF5123"/>
    <w:rsid w:val="00BF59DC"/>
    <w:rsid w:val="00C0021D"/>
    <w:rsid w:val="00C01E72"/>
    <w:rsid w:val="00C059FB"/>
    <w:rsid w:val="00C05EBD"/>
    <w:rsid w:val="00C0689E"/>
    <w:rsid w:val="00C12450"/>
    <w:rsid w:val="00C14362"/>
    <w:rsid w:val="00C159A1"/>
    <w:rsid w:val="00C206C0"/>
    <w:rsid w:val="00C37C34"/>
    <w:rsid w:val="00C426C7"/>
    <w:rsid w:val="00C463DD"/>
    <w:rsid w:val="00C4670F"/>
    <w:rsid w:val="00C55D41"/>
    <w:rsid w:val="00C57126"/>
    <w:rsid w:val="00C57BD5"/>
    <w:rsid w:val="00C61432"/>
    <w:rsid w:val="00C71688"/>
    <w:rsid w:val="00C71FC3"/>
    <w:rsid w:val="00C742AF"/>
    <w:rsid w:val="00C745C3"/>
    <w:rsid w:val="00C76739"/>
    <w:rsid w:val="00C76E23"/>
    <w:rsid w:val="00C944A1"/>
    <w:rsid w:val="00C96846"/>
    <w:rsid w:val="00CA0FF1"/>
    <w:rsid w:val="00CA1E52"/>
    <w:rsid w:val="00CB0119"/>
    <w:rsid w:val="00CB0F96"/>
    <w:rsid w:val="00CB6A69"/>
    <w:rsid w:val="00CB7D78"/>
    <w:rsid w:val="00CC26B0"/>
    <w:rsid w:val="00CC5E06"/>
    <w:rsid w:val="00CD3B50"/>
    <w:rsid w:val="00CD56FB"/>
    <w:rsid w:val="00CE4A8F"/>
    <w:rsid w:val="00CE7652"/>
    <w:rsid w:val="00CF48D8"/>
    <w:rsid w:val="00CF6BA2"/>
    <w:rsid w:val="00D01EF3"/>
    <w:rsid w:val="00D03982"/>
    <w:rsid w:val="00D11C05"/>
    <w:rsid w:val="00D1657C"/>
    <w:rsid w:val="00D2031B"/>
    <w:rsid w:val="00D23ACC"/>
    <w:rsid w:val="00D25FE2"/>
    <w:rsid w:val="00D3193A"/>
    <w:rsid w:val="00D37586"/>
    <w:rsid w:val="00D37622"/>
    <w:rsid w:val="00D424C9"/>
    <w:rsid w:val="00D43252"/>
    <w:rsid w:val="00D54DC8"/>
    <w:rsid w:val="00D643FC"/>
    <w:rsid w:val="00D71D10"/>
    <w:rsid w:val="00D75F8C"/>
    <w:rsid w:val="00D76A7C"/>
    <w:rsid w:val="00D94144"/>
    <w:rsid w:val="00D978C6"/>
    <w:rsid w:val="00DA65DB"/>
    <w:rsid w:val="00DA67AD"/>
    <w:rsid w:val="00DB4442"/>
    <w:rsid w:val="00DB65F1"/>
    <w:rsid w:val="00DB749D"/>
    <w:rsid w:val="00DB7986"/>
    <w:rsid w:val="00DD7B99"/>
    <w:rsid w:val="00DE4252"/>
    <w:rsid w:val="00DE483E"/>
    <w:rsid w:val="00DF44B7"/>
    <w:rsid w:val="00DF7F7F"/>
    <w:rsid w:val="00E03630"/>
    <w:rsid w:val="00E03CFF"/>
    <w:rsid w:val="00E130AB"/>
    <w:rsid w:val="00E1688E"/>
    <w:rsid w:val="00E22600"/>
    <w:rsid w:val="00E22D15"/>
    <w:rsid w:val="00E24068"/>
    <w:rsid w:val="00E24B4A"/>
    <w:rsid w:val="00E328E5"/>
    <w:rsid w:val="00E350F5"/>
    <w:rsid w:val="00E37B6B"/>
    <w:rsid w:val="00E43425"/>
    <w:rsid w:val="00E442E8"/>
    <w:rsid w:val="00E47F6C"/>
    <w:rsid w:val="00E508AA"/>
    <w:rsid w:val="00E5644E"/>
    <w:rsid w:val="00E605F5"/>
    <w:rsid w:val="00E72157"/>
    <w:rsid w:val="00E7260F"/>
    <w:rsid w:val="00E72EB0"/>
    <w:rsid w:val="00E73362"/>
    <w:rsid w:val="00E73F08"/>
    <w:rsid w:val="00E80AAA"/>
    <w:rsid w:val="00E90893"/>
    <w:rsid w:val="00E96630"/>
    <w:rsid w:val="00E96E61"/>
    <w:rsid w:val="00EA0453"/>
    <w:rsid w:val="00EA129D"/>
    <w:rsid w:val="00EA5046"/>
    <w:rsid w:val="00EB4700"/>
    <w:rsid w:val="00EC44F2"/>
    <w:rsid w:val="00EC5519"/>
    <w:rsid w:val="00EC5FA6"/>
    <w:rsid w:val="00ED7A2A"/>
    <w:rsid w:val="00EF1D7F"/>
    <w:rsid w:val="00EF3CB1"/>
    <w:rsid w:val="00F027F3"/>
    <w:rsid w:val="00F04821"/>
    <w:rsid w:val="00F10549"/>
    <w:rsid w:val="00F13CB3"/>
    <w:rsid w:val="00F21B8B"/>
    <w:rsid w:val="00F27AED"/>
    <w:rsid w:val="00F33408"/>
    <w:rsid w:val="00F40E75"/>
    <w:rsid w:val="00F50D18"/>
    <w:rsid w:val="00F50D83"/>
    <w:rsid w:val="00F574E1"/>
    <w:rsid w:val="00F60FD8"/>
    <w:rsid w:val="00F65281"/>
    <w:rsid w:val="00F656CB"/>
    <w:rsid w:val="00F8027E"/>
    <w:rsid w:val="00F9115D"/>
    <w:rsid w:val="00F9312F"/>
    <w:rsid w:val="00FA6ADF"/>
    <w:rsid w:val="00FB3FA7"/>
    <w:rsid w:val="00FB5078"/>
    <w:rsid w:val="00FB5F3B"/>
    <w:rsid w:val="00FB6045"/>
    <w:rsid w:val="00FC0B34"/>
    <w:rsid w:val="00FC1D36"/>
    <w:rsid w:val="00FC3393"/>
    <w:rsid w:val="00FC68B7"/>
    <w:rsid w:val="00FD1F26"/>
    <w:rsid w:val="00FD5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link w:val="HMGChar"/>
    <w:rsid w:val="00B75D73"/>
    <w:pPr>
      <w:keepNext/>
      <w:keepLines/>
      <w:tabs>
        <w:tab w:val="right" w:pos="851"/>
      </w:tabs>
      <w:spacing w:before="240" w:after="240" w:line="360" w:lineRule="exact"/>
      <w:ind w:left="1134" w:right="1134" w:hanging="1134"/>
    </w:pPr>
    <w:rPr>
      <w:b/>
      <w:sz w:val="34"/>
      <w:lang/>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rPr>
  </w:style>
  <w:style w:type="table" w:styleId="TableGrid">
    <w:name w:val="Table Grid"/>
    <w:basedOn w:val="TableNormal"/>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B75D73"/>
    <w:rPr>
      <w:color w:val="auto"/>
      <w:u w:val="none"/>
    </w:rPr>
  </w:style>
  <w:style w:type="character" w:styleId="FollowedHyperlink">
    <w:name w:val="FollowedHyperlink"/>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496742"/>
    <w:pPr>
      <w:numPr>
        <w:numId w:val="13"/>
      </w:numPr>
      <w:kinsoku w:val="0"/>
      <w:overflowPunct w:val="0"/>
      <w:autoSpaceDE w:val="0"/>
      <w:autoSpaceDN w:val="0"/>
      <w:adjustRightInd w:val="0"/>
      <w:snapToGrid w:val="0"/>
      <w:spacing w:after="120"/>
      <w:ind w:right="1134"/>
      <w:jc w:val="both"/>
    </w:pPr>
    <w:rPr>
      <w:rFonts w:eastAsia="SimSun"/>
      <w:lang w:eastAsia="zh-CN"/>
    </w:r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qFormat/>
    <w:rsid w:val="00496742"/>
    <w:pPr>
      <w:numPr>
        <w:numId w:val="14"/>
      </w:numPr>
      <w:kinsoku w:val="0"/>
      <w:overflowPunct w:val="0"/>
      <w:autoSpaceDE w:val="0"/>
      <w:autoSpaceDN w:val="0"/>
      <w:adjustRightInd w:val="0"/>
      <w:snapToGrid w:val="0"/>
      <w:spacing w:after="120"/>
      <w:ind w:right="1134"/>
      <w:jc w:val="both"/>
    </w:pPr>
    <w:rPr>
      <w:rFonts w:eastAsia="SimSun"/>
      <w:lang w:eastAsia="zh-CN"/>
    </w:rPr>
  </w:style>
  <w:style w:type="paragraph" w:customStyle="1" w:styleId="H1G">
    <w:name w:val="_ H_1_G"/>
    <w:basedOn w:val="Normal"/>
    <w:next w:val="Normal"/>
    <w:qFormat/>
    <w:rsid w:val="002C0C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B3FA7"/>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numbering" w:customStyle="1" w:styleId="NoList1">
    <w:name w:val="No List1"/>
    <w:next w:val="NoList"/>
    <w:uiPriority w:val="99"/>
    <w:semiHidden/>
    <w:unhideWhenUsed/>
    <w:rsid w:val="008305F1"/>
  </w:style>
  <w:style w:type="paragraph" w:styleId="ListParagraph">
    <w:name w:val="List Paragraph"/>
    <w:basedOn w:val="Normal"/>
    <w:uiPriority w:val="34"/>
    <w:qFormat/>
    <w:rsid w:val="008305F1"/>
    <w:pPr>
      <w:suppressAutoHyphens w:val="0"/>
      <w:spacing w:after="200" w:line="276" w:lineRule="auto"/>
      <w:ind w:left="720"/>
      <w:contextualSpacing/>
    </w:pPr>
    <w:rPr>
      <w:rFonts w:ascii="Calibri" w:hAnsi="Calibri"/>
      <w:sz w:val="22"/>
      <w:szCs w:val="22"/>
      <w:lang w:val="en-US"/>
    </w:rPr>
  </w:style>
  <w:style w:type="character" w:customStyle="1" w:styleId="FooterChar">
    <w:name w:val="Footer Char"/>
    <w:link w:val="Footer"/>
    <w:uiPriority w:val="99"/>
    <w:locked/>
    <w:rsid w:val="008305F1"/>
    <w:rPr>
      <w:sz w:val="16"/>
      <w:lang w:eastAsia="en-US"/>
    </w:rPr>
  </w:style>
  <w:style w:type="paragraph" w:styleId="BodyText2">
    <w:name w:val="Body Text 2"/>
    <w:basedOn w:val="Normal"/>
    <w:link w:val="BodyText2Char"/>
    <w:rsid w:val="008305F1"/>
    <w:pPr>
      <w:suppressAutoHyphens w:val="0"/>
      <w:spacing w:after="120" w:line="480" w:lineRule="auto"/>
    </w:pPr>
    <w:rPr>
      <w:sz w:val="24"/>
      <w:szCs w:val="24"/>
      <w:lang w:val="en-US"/>
    </w:rPr>
  </w:style>
  <w:style w:type="character" w:customStyle="1" w:styleId="BodyText2Char">
    <w:name w:val="Body Text 2 Char"/>
    <w:link w:val="BodyText2"/>
    <w:rsid w:val="008305F1"/>
    <w:rPr>
      <w:sz w:val="24"/>
      <w:szCs w:val="24"/>
      <w:lang w:val="en-US" w:eastAsia="en-US"/>
    </w:rPr>
  </w:style>
  <w:style w:type="character" w:styleId="Strong">
    <w:name w:val="Strong"/>
    <w:qFormat/>
    <w:rsid w:val="008305F1"/>
    <w:rPr>
      <w:b/>
      <w:bCs/>
    </w:rPr>
  </w:style>
  <w:style w:type="character" w:styleId="CommentReference">
    <w:name w:val="annotation reference"/>
    <w:unhideWhenUsed/>
    <w:rsid w:val="008305F1"/>
    <w:rPr>
      <w:sz w:val="16"/>
      <w:szCs w:val="16"/>
    </w:rPr>
  </w:style>
  <w:style w:type="paragraph" w:styleId="CommentText">
    <w:name w:val="annotation text"/>
    <w:basedOn w:val="Normal"/>
    <w:link w:val="CommentTextChar"/>
    <w:unhideWhenUsed/>
    <w:rsid w:val="008305F1"/>
    <w:pPr>
      <w:suppressAutoHyphens w:val="0"/>
      <w:spacing w:after="200" w:line="240" w:lineRule="auto"/>
    </w:pPr>
    <w:rPr>
      <w:rFonts w:ascii="Calibri" w:hAnsi="Calibri"/>
      <w:lang w:val="en-US"/>
    </w:rPr>
  </w:style>
  <w:style w:type="character" w:customStyle="1" w:styleId="CommentTextChar">
    <w:name w:val="Comment Text Char"/>
    <w:link w:val="CommentText"/>
    <w:rsid w:val="008305F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8305F1"/>
    <w:rPr>
      <w:b/>
      <w:bCs/>
    </w:rPr>
  </w:style>
  <w:style w:type="character" w:customStyle="1" w:styleId="CommentSubjectChar">
    <w:name w:val="Comment Subject Char"/>
    <w:link w:val="CommentSubject"/>
    <w:uiPriority w:val="99"/>
    <w:rsid w:val="008305F1"/>
    <w:rPr>
      <w:rFonts w:ascii="Calibri" w:hAnsi="Calibri"/>
      <w:b/>
      <w:bCs/>
      <w:lang w:val="en-US" w:eastAsia="en-US"/>
    </w:rPr>
  </w:style>
  <w:style w:type="paragraph" w:styleId="BalloonText">
    <w:name w:val="Balloon Text"/>
    <w:aliases w:val=" Char"/>
    <w:basedOn w:val="Normal"/>
    <w:link w:val="BalloonTextChar"/>
    <w:uiPriority w:val="99"/>
    <w:unhideWhenUsed/>
    <w:rsid w:val="008305F1"/>
    <w:pPr>
      <w:suppressAutoHyphens w:val="0"/>
      <w:spacing w:line="240" w:lineRule="auto"/>
    </w:pPr>
    <w:rPr>
      <w:rFonts w:ascii="Tahoma" w:hAnsi="Tahoma"/>
      <w:sz w:val="16"/>
      <w:szCs w:val="16"/>
      <w:lang w:val="en-US"/>
    </w:rPr>
  </w:style>
  <w:style w:type="character" w:customStyle="1" w:styleId="BalloonTextChar">
    <w:name w:val="Balloon Text Char"/>
    <w:aliases w:val=" Char Char"/>
    <w:link w:val="BalloonText"/>
    <w:uiPriority w:val="99"/>
    <w:rsid w:val="008305F1"/>
    <w:rPr>
      <w:rFonts w:ascii="Tahoma" w:hAnsi="Tahoma" w:cs="Tahoma"/>
      <w:sz w:val="16"/>
      <w:szCs w:val="16"/>
      <w:lang w:val="en-US" w:eastAsia="en-US"/>
    </w:rPr>
  </w:style>
  <w:style w:type="paragraph" w:styleId="NormalWeb">
    <w:name w:val="Normal (Web)"/>
    <w:basedOn w:val="Normal"/>
    <w:uiPriority w:val="99"/>
    <w:rsid w:val="008305F1"/>
    <w:pPr>
      <w:suppressAutoHyphens w:val="0"/>
      <w:spacing w:before="100" w:beforeAutospacing="1" w:after="100" w:afterAutospacing="1" w:line="240" w:lineRule="auto"/>
    </w:pPr>
    <w:rPr>
      <w:sz w:val="24"/>
      <w:szCs w:val="24"/>
      <w:lang w:val="en-US"/>
    </w:rPr>
  </w:style>
  <w:style w:type="numbering" w:customStyle="1" w:styleId="a0">
    <w:name w:val="רשימה יעקב"/>
    <w:rsid w:val="006C72E1"/>
    <w:pPr>
      <w:numPr>
        <w:numId w:val="1"/>
      </w:numPr>
    </w:pPr>
  </w:style>
  <w:style w:type="paragraph" w:customStyle="1" w:styleId="a1">
    <w:name w:val="מספור"/>
    <w:basedOn w:val="Normal"/>
    <w:rsid w:val="006C72E1"/>
    <w:pPr>
      <w:numPr>
        <w:numId w:val="2"/>
      </w:numPr>
      <w:suppressAutoHyphens w:val="0"/>
      <w:spacing w:line="240" w:lineRule="auto"/>
    </w:pPr>
    <w:rPr>
      <w:sz w:val="24"/>
    </w:rPr>
  </w:style>
  <w:style w:type="paragraph" w:customStyle="1" w:styleId="Rom1">
    <w:name w:val="Rom1"/>
    <w:basedOn w:val="Normal"/>
    <w:rsid w:val="006C72E1"/>
    <w:pPr>
      <w:numPr>
        <w:numId w:val="3"/>
      </w:numPr>
      <w:suppressAutoHyphens w:val="0"/>
      <w:spacing w:line="240" w:lineRule="auto"/>
      <w:ind w:left="1441" w:hanging="590"/>
    </w:pPr>
    <w:rPr>
      <w:sz w:val="24"/>
    </w:rPr>
  </w:style>
  <w:style w:type="paragraph" w:customStyle="1" w:styleId="Rom2">
    <w:name w:val="Rom2"/>
    <w:basedOn w:val="Normal"/>
    <w:rsid w:val="006C72E1"/>
    <w:pPr>
      <w:numPr>
        <w:numId w:val="4"/>
      </w:numPr>
      <w:suppressAutoHyphens w:val="0"/>
      <w:spacing w:line="240" w:lineRule="auto"/>
    </w:pPr>
    <w:rPr>
      <w:sz w:val="24"/>
    </w:rPr>
  </w:style>
  <w:style w:type="paragraph" w:customStyle="1" w:styleId="ParaNo0">
    <w:name w:val="ParaNo."/>
    <w:basedOn w:val="Normal"/>
    <w:rsid w:val="006C72E1"/>
    <w:pPr>
      <w:tabs>
        <w:tab w:val="left" w:pos="737"/>
      </w:tabs>
      <w:suppressAutoHyphens w:val="0"/>
      <w:spacing w:line="240" w:lineRule="auto"/>
    </w:pPr>
    <w:rPr>
      <w:sz w:val="24"/>
    </w:rPr>
  </w:style>
  <w:style w:type="paragraph" w:customStyle="1" w:styleId="ParaNo">
    <w:name w:val="(ParaNo.)"/>
    <w:basedOn w:val="Normal"/>
    <w:rsid w:val="006C72E1"/>
    <w:pPr>
      <w:numPr>
        <w:numId w:val="5"/>
      </w:numPr>
      <w:suppressAutoHyphens w:val="0"/>
      <w:spacing w:line="240" w:lineRule="auto"/>
    </w:pPr>
    <w:rPr>
      <w:sz w:val="24"/>
    </w:rPr>
  </w:style>
  <w:style w:type="paragraph" w:styleId="PlainText">
    <w:name w:val="Plain Text"/>
    <w:basedOn w:val="Normal"/>
    <w:link w:val="PlainTextChar"/>
    <w:rsid w:val="006C72E1"/>
    <w:pPr>
      <w:suppressAutoHyphens w:val="0"/>
      <w:spacing w:line="240" w:lineRule="auto"/>
    </w:pPr>
    <w:rPr>
      <w:sz w:val="24"/>
      <w:lang/>
    </w:rPr>
  </w:style>
  <w:style w:type="character" w:customStyle="1" w:styleId="PlainTextChar">
    <w:name w:val="Plain Text Char"/>
    <w:link w:val="PlainText"/>
    <w:rsid w:val="006C72E1"/>
    <w:rPr>
      <w:rFonts w:cs="Courier New"/>
      <w:sz w:val="24"/>
      <w:lang w:eastAsia="en-US"/>
    </w:rPr>
  </w:style>
  <w:style w:type="paragraph" w:styleId="BodyText">
    <w:name w:val="Body Text"/>
    <w:basedOn w:val="Normal"/>
    <w:next w:val="Normal"/>
    <w:link w:val="BodyTextChar"/>
    <w:rsid w:val="006C72E1"/>
    <w:pPr>
      <w:suppressAutoHyphens w:val="0"/>
      <w:spacing w:line="240" w:lineRule="auto"/>
    </w:pPr>
    <w:rPr>
      <w:sz w:val="24"/>
      <w:lang/>
    </w:rPr>
  </w:style>
  <w:style w:type="character" w:customStyle="1" w:styleId="BodyTextChar">
    <w:name w:val="Body Text Char"/>
    <w:link w:val="BodyText"/>
    <w:rsid w:val="006C72E1"/>
    <w:rPr>
      <w:sz w:val="24"/>
      <w:lang w:eastAsia="en-US"/>
    </w:rPr>
  </w:style>
  <w:style w:type="paragraph" w:styleId="BodyTextIndent">
    <w:name w:val="Body Text Indent"/>
    <w:basedOn w:val="Normal"/>
    <w:link w:val="BodyTextIndentChar"/>
    <w:rsid w:val="006C72E1"/>
    <w:pPr>
      <w:suppressAutoHyphens w:val="0"/>
      <w:spacing w:after="120" w:line="240" w:lineRule="auto"/>
      <w:ind w:left="283"/>
    </w:pPr>
    <w:rPr>
      <w:sz w:val="24"/>
      <w:lang/>
    </w:rPr>
  </w:style>
  <w:style w:type="character" w:customStyle="1" w:styleId="BodyTextIndentChar">
    <w:name w:val="Body Text Indent Char"/>
    <w:link w:val="BodyTextIndent"/>
    <w:rsid w:val="006C72E1"/>
    <w:rPr>
      <w:sz w:val="24"/>
      <w:lang w:eastAsia="en-US"/>
    </w:rPr>
  </w:style>
  <w:style w:type="paragraph" w:styleId="BlockText">
    <w:name w:val="Block Text"/>
    <w:basedOn w:val="Normal"/>
    <w:rsid w:val="006C72E1"/>
    <w:pPr>
      <w:suppressAutoHyphens w:val="0"/>
      <w:spacing w:line="240" w:lineRule="auto"/>
      <w:ind w:left="1440" w:right="1440"/>
    </w:pPr>
    <w:rPr>
      <w:sz w:val="24"/>
    </w:rPr>
  </w:style>
  <w:style w:type="paragraph" w:customStyle="1" w:styleId="1">
    <w:name w:val="טקסט1"/>
    <w:basedOn w:val="Normal"/>
    <w:rsid w:val="006C72E1"/>
    <w:pPr>
      <w:suppressAutoHyphens w:val="0"/>
      <w:bidi/>
      <w:spacing w:line="360" w:lineRule="auto"/>
      <w:jc w:val="both"/>
    </w:pPr>
    <w:rPr>
      <w:rFonts w:cs="David"/>
      <w:snapToGrid w:val="0"/>
      <w:kern w:val="28"/>
      <w:sz w:val="24"/>
      <w:szCs w:val="24"/>
      <w:lang w:val="en-US" w:eastAsia="he-IL" w:bidi="he-IL"/>
    </w:rPr>
  </w:style>
  <w:style w:type="paragraph" w:customStyle="1" w:styleId="a3">
    <w:name w:val="מדורג אותיות"/>
    <w:basedOn w:val="1"/>
    <w:rsid w:val="006C72E1"/>
    <w:pPr>
      <w:numPr>
        <w:numId w:val="6"/>
      </w:numPr>
    </w:pPr>
    <w:rPr>
      <w:lang w:eastAsia="en-US"/>
    </w:rPr>
  </w:style>
  <w:style w:type="character" w:styleId="Emphasis">
    <w:name w:val="Emphasis"/>
    <w:qFormat/>
    <w:rsid w:val="006C72E1"/>
    <w:rPr>
      <w:i/>
      <w:iCs/>
    </w:rPr>
  </w:style>
  <w:style w:type="table" w:styleId="TableGrid8">
    <w:name w:val="Table Grid 8"/>
    <w:basedOn w:val="TableNormal"/>
    <w:rsid w:val="006C72E1"/>
    <w:pPr>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Typewriter">
    <w:name w:val="HTML Typewriter"/>
    <w:rsid w:val="006C72E1"/>
    <w:rPr>
      <w:rFonts w:ascii="Courier New" w:eastAsia="Times New Roman" w:hAnsi="Courier New" w:cs="Times New Roman"/>
      <w:sz w:val="20"/>
      <w:szCs w:val="20"/>
    </w:rPr>
  </w:style>
  <w:style w:type="paragraph" w:customStyle="1" w:styleId="a4">
    <w:name w:val="צטוט"/>
    <w:basedOn w:val="Normal"/>
    <w:rsid w:val="006C72E1"/>
    <w:pPr>
      <w:suppressAutoHyphens w:val="0"/>
      <w:bidi/>
      <w:spacing w:after="120" w:line="360" w:lineRule="auto"/>
      <w:ind w:left="1418" w:right="1418"/>
      <w:jc w:val="both"/>
    </w:pPr>
    <w:rPr>
      <w:rFonts w:cs="David"/>
      <w:bCs/>
      <w:szCs w:val="28"/>
      <w:lang w:val="en-US" w:bidi="he-IL"/>
    </w:rPr>
  </w:style>
  <w:style w:type="paragraph" w:customStyle="1" w:styleId="report1">
    <w:name w:val="report1"/>
    <w:basedOn w:val="Normal"/>
    <w:rsid w:val="006C72E1"/>
    <w:pPr>
      <w:suppressAutoHyphens w:val="0"/>
      <w:spacing w:line="360" w:lineRule="auto"/>
    </w:pPr>
    <w:rPr>
      <w:rFonts w:ascii="Arial" w:cs="David"/>
      <w:snapToGrid w:val="0"/>
      <w:sz w:val="22"/>
      <w:szCs w:val="22"/>
      <w:lang w:val="en-US" w:bidi="he-IL"/>
    </w:rPr>
  </w:style>
  <w:style w:type="paragraph" w:styleId="BodyText3">
    <w:name w:val="Body Text 3"/>
    <w:basedOn w:val="Normal"/>
    <w:link w:val="BodyText3Char"/>
    <w:rsid w:val="006C72E1"/>
    <w:pPr>
      <w:suppressAutoHyphens w:val="0"/>
      <w:bidi/>
      <w:spacing w:after="120" w:line="240" w:lineRule="auto"/>
    </w:pPr>
    <w:rPr>
      <w:rFonts w:cs="Miriam"/>
      <w:sz w:val="16"/>
      <w:szCs w:val="16"/>
      <w:lang w:val="en-US" w:eastAsia="he-IL" w:bidi="he-IL"/>
    </w:rPr>
  </w:style>
  <w:style w:type="character" w:customStyle="1" w:styleId="BodyText3Char">
    <w:name w:val="Body Text 3 Char"/>
    <w:link w:val="BodyText3"/>
    <w:rsid w:val="006C72E1"/>
    <w:rPr>
      <w:rFonts w:cs="Miriam"/>
      <w:sz w:val="16"/>
      <w:szCs w:val="16"/>
      <w:lang w:val="en-US" w:eastAsia="he-IL" w:bidi="he-IL"/>
    </w:rPr>
  </w:style>
  <w:style w:type="character" w:customStyle="1" w:styleId="goohl2">
    <w:name w:val="goohl2"/>
    <w:basedOn w:val="DefaultParagraphFont"/>
    <w:rsid w:val="006C72E1"/>
  </w:style>
  <w:style w:type="character" w:customStyle="1" w:styleId="goohl3">
    <w:name w:val="goohl3"/>
    <w:basedOn w:val="DefaultParagraphFont"/>
    <w:rsid w:val="006C72E1"/>
  </w:style>
  <w:style w:type="paragraph" w:styleId="Title">
    <w:name w:val="Title"/>
    <w:basedOn w:val="Normal"/>
    <w:link w:val="TitleChar"/>
    <w:qFormat/>
    <w:rsid w:val="006C72E1"/>
    <w:pPr>
      <w:suppressAutoHyphens w:val="0"/>
      <w:spacing w:line="360" w:lineRule="auto"/>
      <w:jc w:val="center"/>
    </w:pPr>
    <w:rPr>
      <w:rFonts w:cs="Miriam"/>
      <w:b/>
      <w:bCs/>
      <w:snapToGrid w:val="0"/>
      <w:sz w:val="22"/>
      <w:lang w:val="en-US" w:bidi="he-IL"/>
    </w:rPr>
  </w:style>
  <w:style w:type="character" w:customStyle="1" w:styleId="TitleChar">
    <w:name w:val="Title Char"/>
    <w:link w:val="Title"/>
    <w:rsid w:val="006C72E1"/>
    <w:rPr>
      <w:rFonts w:cs="Miriam"/>
      <w:b/>
      <w:bCs/>
      <w:snapToGrid/>
      <w:sz w:val="22"/>
      <w:lang w:val="en-US" w:eastAsia="en-US" w:bidi="he-IL"/>
    </w:rPr>
  </w:style>
  <w:style w:type="paragraph" w:styleId="Caption">
    <w:name w:val="caption"/>
    <w:basedOn w:val="Normal"/>
    <w:next w:val="Normal"/>
    <w:qFormat/>
    <w:rsid w:val="006C72E1"/>
    <w:pPr>
      <w:suppressAutoHyphens w:val="0"/>
      <w:spacing w:line="360" w:lineRule="auto"/>
      <w:jc w:val="both"/>
    </w:pPr>
    <w:rPr>
      <w:rFonts w:ascii="Arial" w:hAnsi="Arial" w:cs="Arial"/>
      <w:i/>
      <w:iCs/>
      <w:snapToGrid w:val="0"/>
      <w:color w:val="000000"/>
      <w:sz w:val="16"/>
      <w:szCs w:val="16"/>
      <w:lang w:val="en-US" w:bidi="he-IL"/>
    </w:rPr>
  </w:style>
  <w:style w:type="paragraph" w:customStyle="1" w:styleId="CedawHeader1">
    <w:name w:val="CedawHeader1"/>
    <w:basedOn w:val="Normal"/>
    <w:next w:val="Normal"/>
    <w:rsid w:val="006C72E1"/>
    <w:pPr>
      <w:keepNext/>
      <w:suppressAutoHyphens w:val="0"/>
      <w:bidi/>
      <w:spacing w:before="120" w:after="120" w:line="240" w:lineRule="auto"/>
      <w:jc w:val="right"/>
    </w:pPr>
    <w:rPr>
      <w:b/>
      <w:bCs/>
      <w:sz w:val="28"/>
      <w:szCs w:val="28"/>
      <w:lang w:val="en-US" w:eastAsia="he-IL" w:bidi="he-IL"/>
    </w:rPr>
  </w:style>
  <w:style w:type="paragraph" w:customStyle="1" w:styleId="CedawHeader2">
    <w:name w:val="CedawHeader2"/>
    <w:basedOn w:val="Normal"/>
    <w:next w:val="Normal"/>
    <w:rsid w:val="006C72E1"/>
    <w:pPr>
      <w:keepNext/>
      <w:suppressAutoHyphens w:val="0"/>
      <w:bidi/>
      <w:spacing w:before="120" w:after="120" w:line="240" w:lineRule="auto"/>
      <w:jc w:val="right"/>
    </w:pPr>
    <w:rPr>
      <w:b/>
      <w:bCs/>
      <w:sz w:val="26"/>
      <w:szCs w:val="26"/>
      <w:lang w:val="en-US" w:eastAsia="he-IL" w:bidi="he-IL"/>
    </w:rPr>
  </w:style>
  <w:style w:type="paragraph" w:customStyle="1" w:styleId="CedawHeader3">
    <w:name w:val="CedawHeader3"/>
    <w:basedOn w:val="Normal"/>
    <w:next w:val="Normal"/>
    <w:rsid w:val="006C72E1"/>
    <w:pPr>
      <w:keepNext/>
      <w:suppressAutoHyphens w:val="0"/>
      <w:bidi/>
      <w:spacing w:before="120" w:after="120" w:line="240" w:lineRule="auto"/>
      <w:jc w:val="right"/>
    </w:pPr>
    <w:rPr>
      <w:b/>
      <w:bCs/>
      <w:sz w:val="24"/>
      <w:szCs w:val="24"/>
      <w:lang w:val="en-US" w:eastAsia="he-IL" w:bidi="he-IL"/>
    </w:rPr>
  </w:style>
  <w:style w:type="paragraph" w:customStyle="1" w:styleId="CedawArtHeader">
    <w:name w:val="CedawArtHeader"/>
    <w:basedOn w:val="Normal"/>
    <w:next w:val="Normal"/>
    <w:rsid w:val="006C72E1"/>
    <w:pPr>
      <w:pBdr>
        <w:top w:val="single" w:sz="6" w:space="1" w:color="auto"/>
        <w:left w:val="single" w:sz="6" w:space="1" w:color="auto"/>
        <w:bottom w:val="single" w:sz="6" w:space="1" w:color="auto"/>
        <w:right w:val="single" w:sz="6" w:space="1" w:color="auto"/>
      </w:pBdr>
      <w:suppressAutoHyphens w:val="0"/>
      <w:bidi/>
      <w:spacing w:after="240" w:line="240" w:lineRule="auto"/>
      <w:jc w:val="center"/>
    </w:pPr>
    <w:rPr>
      <w:b/>
      <w:bCs/>
      <w:color w:val="FF0000"/>
      <w:spacing w:val="26"/>
      <w:sz w:val="32"/>
      <w:szCs w:val="32"/>
      <w:lang w:val="en-US" w:eastAsia="he-IL" w:bidi="he-IL"/>
    </w:rPr>
  </w:style>
  <w:style w:type="paragraph" w:customStyle="1" w:styleId="CedawTableHedear">
    <w:name w:val="CedawTableHedear"/>
    <w:basedOn w:val="Normal"/>
    <w:next w:val="Normal"/>
    <w:rsid w:val="006C72E1"/>
    <w:pPr>
      <w:keepNext/>
      <w:suppressAutoHyphens w:val="0"/>
      <w:bidi/>
      <w:spacing w:before="120" w:line="240" w:lineRule="auto"/>
      <w:jc w:val="right"/>
    </w:pPr>
    <w:rPr>
      <w:b/>
      <w:bCs/>
      <w:sz w:val="24"/>
      <w:szCs w:val="24"/>
      <w:lang w:val="en-US" w:eastAsia="he-IL" w:bidi="he-IL"/>
    </w:rPr>
  </w:style>
  <w:style w:type="paragraph" w:styleId="TOC1">
    <w:name w:val="toc 1"/>
    <w:basedOn w:val="Normal"/>
    <w:next w:val="Normal"/>
    <w:autoRedefine/>
    <w:uiPriority w:val="39"/>
    <w:rsid w:val="006C72E1"/>
    <w:pPr>
      <w:tabs>
        <w:tab w:val="right" w:leader="dot" w:pos="8720"/>
      </w:tabs>
      <w:suppressAutoHyphens w:val="0"/>
      <w:spacing w:before="120" w:line="240" w:lineRule="auto"/>
      <w:jc w:val="both"/>
    </w:pPr>
    <w:rPr>
      <w:b/>
      <w:bCs/>
      <w:caps/>
      <w:noProof/>
      <w:sz w:val="24"/>
      <w:szCs w:val="24"/>
      <w:lang w:val="en-US" w:eastAsia="he-IL" w:bidi="he-IL"/>
    </w:rPr>
  </w:style>
  <w:style w:type="paragraph" w:styleId="TOC2">
    <w:name w:val="toc 2"/>
    <w:basedOn w:val="Normal"/>
    <w:next w:val="Normal"/>
    <w:autoRedefine/>
    <w:rsid w:val="006C72E1"/>
    <w:pPr>
      <w:tabs>
        <w:tab w:val="right" w:leader="dot" w:pos="8720"/>
      </w:tabs>
      <w:suppressAutoHyphens w:val="0"/>
      <w:spacing w:line="240" w:lineRule="auto"/>
    </w:pPr>
    <w:rPr>
      <w:smallCaps/>
      <w:noProof/>
      <w:sz w:val="22"/>
      <w:szCs w:val="22"/>
      <w:lang w:val="en-US" w:eastAsia="he-IL" w:bidi="he-IL"/>
    </w:rPr>
  </w:style>
  <w:style w:type="paragraph" w:styleId="DocumentMap">
    <w:name w:val="Document Map"/>
    <w:basedOn w:val="Normal"/>
    <w:link w:val="DocumentMapChar"/>
    <w:rsid w:val="006C72E1"/>
    <w:pPr>
      <w:shd w:val="clear" w:color="auto" w:fill="000080"/>
      <w:suppressAutoHyphens w:val="0"/>
      <w:bidi/>
      <w:spacing w:line="240" w:lineRule="auto"/>
    </w:pPr>
    <w:rPr>
      <w:rFonts w:ascii="Tahoma" w:cs="Tahoma"/>
      <w:sz w:val="24"/>
      <w:szCs w:val="24"/>
      <w:lang w:val="en-US" w:eastAsia="he-IL" w:bidi="he-IL"/>
    </w:rPr>
  </w:style>
  <w:style w:type="character" w:customStyle="1" w:styleId="DocumentMapChar">
    <w:name w:val="Document Map Char"/>
    <w:link w:val="DocumentMap"/>
    <w:rsid w:val="006C72E1"/>
    <w:rPr>
      <w:rFonts w:ascii="Tahoma" w:cs="Tahoma"/>
      <w:sz w:val="24"/>
      <w:szCs w:val="24"/>
      <w:shd w:val="clear" w:color="auto" w:fill="000080"/>
      <w:lang w:val="en-US" w:eastAsia="he-IL" w:bidi="he-IL"/>
    </w:rPr>
  </w:style>
  <w:style w:type="paragraph" w:customStyle="1" w:styleId="endnotetext0">
    <w:name w:val="endnote text"/>
    <w:basedOn w:val="Normal"/>
    <w:rsid w:val="006C72E1"/>
    <w:pPr>
      <w:suppressAutoHyphens w:val="0"/>
      <w:bidi/>
      <w:spacing w:line="240" w:lineRule="auto"/>
    </w:pPr>
    <w:rPr>
      <w:lang w:val="en-US" w:eastAsia="he-IL" w:bidi="he-IL"/>
    </w:rPr>
  </w:style>
  <w:style w:type="character" w:customStyle="1" w:styleId="NoterefInNote">
    <w:name w:val="_NoterefInNote"/>
    <w:rsid w:val="006C72E1"/>
    <w:rPr>
      <w:rFonts w:ascii="Times" w:hAnsi="Times"/>
      <w:sz w:val="18"/>
      <w:szCs w:val="18"/>
      <w:vertAlign w:val="baseline"/>
    </w:rPr>
  </w:style>
  <w:style w:type="paragraph" w:customStyle="1" w:styleId="xl49">
    <w:name w:val="xl49"/>
    <w:basedOn w:val="Normal"/>
    <w:rsid w:val="006C72E1"/>
    <w:pPr>
      <w:suppressAutoHyphens w:val="0"/>
      <w:spacing w:before="100" w:beforeAutospacing="1" w:after="100" w:afterAutospacing="1" w:line="240" w:lineRule="auto"/>
      <w:textAlignment w:val="center"/>
    </w:pPr>
    <w:rPr>
      <w:rFonts w:eastAsia="Arial Unicode MS" w:hAnsi="Arial Unicode MS" w:cs="Arial Unicode MS"/>
      <w:sz w:val="24"/>
      <w:szCs w:val="24"/>
      <w:lang w:val="en-US" w:eastAsia="he-IL" w:bidi="he-IL"/>
    </w:rPr>
  </w:style>
  <w:style w:type="character" w:customStyle="1" w:styleId="t11">
    <w:name w:val="t11"/>
    <w:basedOn w:val="DefaultParagraphFont"/>
    <w:rsid w:val="006C72E1"/>
  </w:style>
  <w:style w:type="character" w:customStyle="1" w:styleId="t18b">
    <w:name w:val="t18b"/>
    <w:basedOn w:val="DefaultParagraphFont"/>
    <w:rsid w:val="006C72E1"/>
  </w:style>
  <w:style w:type="character" w:customStyle="1" w:styleId="t12">
    <w:name w:val="t12"/>
    <w:basedOn w:val="DefaultParagraphFont"/>
    <w:rsid w:val="006C72E1"/>
  </w:style>
  <w:style w:type="character" w:customStyle="1" w:styleId="t15b">
    <w:name w:val="t15b"/>
    <w:basedOn w:val="DefaultParagraphFont"/>
    <w:rsid w:val="006C72E1"/>
  </w:style>
  <w:style w:type="character" w:customStyle="1" w:styleId="t11b">
    <w:name w:val="t11b"/>
    <w:basedOn w:val="DefaultParagraphFont"/>
    <w:rsid w:val="006C72E1"/>
  </w:style>
  <w:style w:type="character" w:customStyle="1" w:styleId="t15">
    <w:name w:val="t15"/>
    <w:basedOn w:val="DefaultParagraphFont"/>
    <w:rsid w:val="006C72E1"/>
  </w:style>
  <w:style w:type="paragraph" w:customStyle="1" w:styleId="xl51">
    <w:name w:val="xl51"/>
    <w:basedOn w:val="Normal"/>
    <w:rsid w:val="006C72E1"/>
    <w:pPr>
      <w:suppressAutoHyphens w:val="0"/>
      <w:spacing w:before="100" w:beforeAutospacing="1" w:after="100" w:afterAutospacing="1" w:line="240" w:lineRule="auto"/>
      <w:jc w:val="center"/>
    </w:pPr>
    <w:rPr>
      <w:rFonts w:ascii="Arial" w:eastAsia="Arial Unicode MS" w:hAnsi="Arial" w:cs="Arial"/>
      <w:sz w:val="16"/>
      <w:szCs w:val="16"/>
      <w:lang w:val="en-US" w:eastAsia="he-IL" w:bidi="he-IL"/>
    </w:rPr>
  </w:style>
  <w:style w:type="paragraph" w:customStyle="1" w:styleId="xl52">
    <w:name w:val="xl52"/>
    <w:basedOn w:val="Normal"/>
    <w:rsid w:val="006C72E1"/>
    <w:pPr>
      <w:suppressAutoHyphens w:val="0"/>
      <w:spacing w:before="100" w:beforeAutospacing="1" w:after="100" w:afterAutospacing="1" w:line="240" w:lineRule="auto"/>
      <w:jc w:val="center"/>
    </w:pPr>
    <w:rPr>
      <w:rFonts w:ascii="Arial" w:eastAsia="Arial Unicode MS" w:hAnsi="Arial" w:cs="Arial"/>
      <w:sz w:val="16"/>
      <w:szCs w:val="16"/>
      <w:lang w:val="en-US" w:eastAsia="he-IL" w:bidi="he-IL"/>
    </w:rPr>
  </w:style>
  <w:style w:type="paragraph" w:customStyle="1" w:styleId="xl53">
    <w:name w:val="xl53"/>
    <w:basedOn w:val="Normal"/>
    <w:rsid w:val="006C72E1"/>
    <w:pPr>
      <w:pBdr>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sz w:val="16"/>
      <w:szCs w:val="16"/>
      <w:lang w:val="en-US" w:eastAsia="he-IL" w:bidi="he-IL"/>
    </w:rPr>
  </w:style>
  <w:style w:type="paragraph" w:customStyle="1" w:styleId="xl54">
    <w:name w:val="xl54"/>
    <w:basedOn w:val="Normal"/>
    <w:rsid w:val="006C72E1"/>
    <w:pPr>
      <w:pBdr>
        <w:top w:val="single" w:sz="4" w:space="0" w:color="auto"/>
        <w:bottom w:val="single" w:sz="4" w:space="0" w:color="auto"/>
      </w:pBdr>
      <w:suppressAutoHyphens w:val="0"/>
      <w:spacing w:before="100" w:beforeAutospacing="1" w:after="100" w:afterAutospacing="1" w:line="240" w:lineRule="auto"/>
      <w:textAlignment w:val="center"/>
    </w:pPr>
    <w:rPr>
      <w:rFonts w:ascii="Arial" w:eastAsia="Arial Unicode MS" w:hAnsi="Arial" w:cs="Arial"/>
      <w:sz w:val="16"/>
      <w:szCs w:val="16"/>
      <w:lang w:val="en-US" w:eastAsia="he-IL" w:bidi="he-IL"/>
    </w:rPr>
  </w:style>
  <w:style w:type="paragraph" w:customStyle="1" w:styleId="xl55">
    <w:name w:val="xl55"/>
    <w:basedOn w:val="Normal"/>
    <w:rsid w:val="006C72E1"/>
    <w:pPr>
      <w:pBdr>
        <w:top w:val="single" w:sz="4" w:space="0" w:color="auto"/>
        <w:bottom w:val="single" w:sz="4" w:space="0" w:color="auto"/>
      </w:pBdr>
      <w:suppressAutoHyphens w:val="0"/>
      <w:spacing w:before="100" w:beforeAutospacing="1" w:after="100" w:afterAutospacing="1" w:line="240" w:lineRule="auto"/>
      <w:textAlignment w:val="center"/>
    </w:pPr>
    <w:rPr>
      <w:rFonts w:ascii="Arial" w:eastAsia="Arial Unicode MS" w:hAnsi="Arial" w:cs="Arial"/>
      <w:b/>
      <w:bCs/>
      <w:sz w:val="16"/>
      <w:szCs w:val="16"/>
      <w:lang w:val="en-US" w:eastAsia="he-IL" w:bidi="he-IL"/>
    </w:rPr>
  </w:style>
  <w:style w:type="paragraph" w:customStyle="1" w:styleId="xl56">
    <w:name w:val="xl56"/>
    <w:basedOn w:val="Normal"/>
    <w:rsid w:val="006C72E1"/>
    <w:pPr>
      <w:pBdr>
        <w:bottom w:val="single" w:sz="4" w:space="0" w:color="auto"/>
      </w:pBdr>
      <w:suppressAutoHyphens w:val="0"/>
      <w:spacing w:before="100" w:beforeAutospacing="1" w:after="100" w:afterAutospacing="1" w:line="240" w:lineRule="auto"/>
      <w:textAlignment w:val="center"/>
    </w:pPr>
    <w:rPr>
      <w:rFonts w:ascii="Arial" w:eastAsia="Arial Unicode MS" w:hAnsi="Arial" w:cs="Arial"/>
      <w:b/>
      <w:bCs/>
      <w:sz w:val="16"/>
      <w:szCs w:val="16"/>
      <w:lang w:val="en-US" w:eastAsia="he-IL" w:bidi="he-IL"/>
    </w:rPr>
  </w:style>
  <w:style w:type="paragraph" w:customStyle="1" w:styleId="xl57">
    <w:name w:val="xl57"/>
    <w:basedOn w:val="Normal"/>
    <w:rsid w:val="006C72E1"/>
    <w:pPr>
      <w:pBdr>
        <w:top w:val="single" w:sz="4" w:space="0" w:color="auto"/>
        <w:bottom w:val="single" w:sz="4" w:space="0" w:color="auto"/>
      </w:pBdr>
      <w:suppressAutoHyphens w:val="0"/>
      <w:spacing w:before="100" w:beforeAutospacing="1" w:after="100" w:afterAutospacing="1" w:line="240" w:lineRule="auto"/>
    </w:pPr>
    <w:rPr>
      <w:rFonts w:ascii="Arial" w:eastAsia="Arial Unicode MS" w:hAnsi="Arial" w:cs="Arial"/>
      <w:b/>
      <w:bCs/>
      <w:sz w:val="16"/>
      <w:szCs w:val="16"/>
      <w:lang w:val="en-US" w:eastAsia="he-IL" w:bidi="he-IL"/>
    </w:rPr>
  </w:style>
  <w:style w:type="paragraph" w:customStyle="1" w:styleId="xl58">
    <w:name w:val="xl58"/>
    <w:basedOn w:val="Normal"/>
    <w:rsid w:val="006C72E1"/>
    <w:pPr>
      <w:pBdr>
        <w:left w:val="single" w:sz="4" w:space="0" w:color="auto"/>
        <w:bottom w:val="single" w:sz="4" w:space="0" w:color="auto"/>
      </w:pBdr>
      <w:suppressAutoHyphens w:val="0"/>
      <w:spacing w:before="100" w:beforeAutospacing="1" w:after="100" w:afterAutospacing="1" w:line="240" w:lineRule="auto"/>
      <w:textAlignment w:val="center"/>
    </w:pPr>
    <w:rPr>
      <w:rFonts w:ascii="Arial" w:eastAsia="Arial Unicode MS" w:hAnsi="Arial" w:cs="Arial"/>
      <w:b/>
      <w:bCs/>
      <w:sz w:val="16"/>
      <w:szCs w:val="16"/>
      <w:lang w:val="en-US" w:eastAsia="he-IL" w:bidi="he-IL"/>
    </w:rPr>
  </w:style>
  <w:style w:type="paragraph" w:customStyle="1" w:styleId="xl59">
    <w:name w:val="xl59"/>
    <w:basedOn w:val="Normal"/>
    <w:rsid w:val="006C72E1"/>
    <w:pPr>
      <w:pBdr>
        <w:left w:val="single" w:sz="4" w:space="0" w:color="auto"/>
      </w:pBdr>
      <w:suppressAutoHyphens w:val="0"/>
      <w:spacing w:before="100" w:beforeAutospacing="1" w:after="100" w:afterAutospacing="1" w:line="240" w:lineRule="auto"/>
      <w:jc w:val="center"/>
      <w:textAlignment w:val="center"/>
    </w:pPr>
    <w:rPr>
      <w:rFonts w:ascii="Arial" w:eastAsia="Arial Unicode MS" w:hAnsi="Arial" w:cs="Arial"/>
      <w:b/>
      <w:bCs/>
      <w:sz w:val="16"/>
      <w:szCs w:val="16"/>
      <w:lang w:val="en-US" w:eastAsia="he-IL" w:bidi="he-IL"/>
    </w:rPr>
  </w:style>
  <w:style w:type="paragraph" w:customStyle="1" w:styleId="xl60">
    <w:name w:val="xl60"/>
    <w:basedOn w:val="Normal"/>
    <w:rsid w:val="006C72E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Arial Unicode MS" w:hAnsi="Arial" w:cs="Arial"/>
      <w:b/>
      <w:bCs/>
      <w:sz w:val="16"/>
      <w:szCs w:val="16"/>
      <w:lang w:val="en-US" w:eastAsia="he-IL" w:bidi="he-IL"/>
    </w:rPr>
  </w:style>
  <w:style w:type="paragraph" w:customStyle="1" w:styleId="xl61">
    <w:name w:val="xl61"/>
    <w:basedOn w:val="Normal"/>
    <w:rsid w:val="006C72E1"/>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Arial Unicode MS" w:hAnsi="Arial" w:cs="Arial"/>
      <w:b/>
      <w:bCs/>
      <w:sz w:val="16"/>
      <w:szCs w:val="16"/>
      <w:lang w:val="en-US" w:eastAsia="he-IL" w:bidi="he-IL"/>
    </w:rPr>
  </w:style>
  <w:style w:type="paragraph" w:customStyle="1" w:styleId="xl62">
    <w:name w:val="xl62"/>
    <w:basedOn w:val="Normal"/>
    <w:rsid w:val="006C72E1"/>
    <w:pPr>
      <w:pBdr>
        <w:left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b/>
      <w:bCs/>
      <w:sz w:val="16"/>
      <w:szCs w:val="16"/>
      <w:lang w:val="en-US" w:eastAsia="he-IL" w:bidi="he-IL"/>
    </w:rPr>
  </w:style>
  <w:style w:type="paragraph" w:customStyle="1" w:styleId="xl63">
    <w:name w:val="xl63"/>
    <w:basedOn w:val="Normal"/>
    <w:rsid w:val="006C72E1"/>
    <w:pPr>
      <w:suppressAutoHyphens w:val="0"/>
      <w:spacing w:before="100" w:beforeAutospacing="1" w:after="100" w:afterAutospacing="1" w:line="240" w:lineRule="auto"/>
      <w:jc w:val="center"/>
    </w:pPr>
    <w:rPr>
      <w:rFonts w:ascii="Arial" w:eastAsia="Arial Unicode MS" w:hAnsi="Arial" w:cs="Arial"/>
      <w:sz w:val="16"/>
      <w:szCs w:val="16"/>
      <w:lang w:val="en-US" w:eastAsia="he-IL" w:bidi="he-IL"/>
    </w:rPr>
  </w:style>
  <w:style w:type="paragraph" w:customStyle="1" w:styleId="xl64">
    <w:name w:val="xl64"/>
    <w:basedOn w:val="Normal"/>
    <w:rsid w:val="006C72E1"/>
    <w:pPr>
      <w:pBdr>
        <w:left w:val="single" w:sz="4" w:space="0" w:color="auto"/>
      </w:pBdr>
      <w:suppressAutoHyphens w:val="0"/>
      <w:spacing w:before="100" w:beforeAutospacing="1" w:after="100" w:afterAutospacing="1" w:line="240" w:lineRule="auto"/>
      <w:jc w:val="center"/>
    </w:pPr>
    <w:rPr>
      <w:rFonts w:ascii="Arial" w:eastAsia="Arial Unicode MS" w:hAnsi="Arial" w:cs="Arial"/>
      <w:b/>
      <w:bCs/>
      <w:sz w:val="16"/>
      <w:szCs w:val="16"/>
      <w:lang w:val="en-US" w:eastAsia="he-IL" w:bidi="he-IL"/>
    </w:rPr>
  </w:style>
  <w:style w:type="paragraph" w:customStyle="1" w:styleId="xl65">
    <w:name w:val="xl65"/>
    <w:basedOn w:val="Normal"/>
    <w:rsid w:val="006C72E1"/>
    <w:pPr>
      <w:pBdr>
        <w:left w:val="single" w:sz="4" w:space="0" w:color="auto"/>
      </w:pBdr>
      <w:suppressAutoHyphens w:val="0"/>
      <w:spacing w:before="100" w:beforeAutospacing="1" w:after="100" w:afterAutospacing="1" w:line="240" w:lineRule="auto"/>
      <w:jc w:val="center"/>
    </w:pPr>
    <w:rPr>
      <w:rFonts w:ascii="Arial" w:eastAsia="Arial Unicode MS" w:hAnsi="Arial" w:cs="Arial"/>
      <w:b/>
      <w:bCs/>
      <w:sz w:val="16"/>
      <w:szCs w:val="16"/>
      <w:lang w:val="en-US" w:eastAsia="he-IL" w:bidi="he-IL"/>
    </w:rPr>
  </w:style>
  <w:style w:type="paragraph" w:customStyle="1" w:styleId="xl66">
    <w:name w:val="xl66"/>
    <w:basedOn w:val="Normal"/>
    <w:rsid w:val="006C72E1"/>
    <w:pPr>
      <w:pBdr>
        <w:left w:val="single" w:sz="4" w:space="0" w:color="auto"/>
      </w:pBdr>
      <w:suppressAutoHyphens w:val="0"/>
      <w:spacing w:before="100" w:beforeAutospacing="1" w:after="100" w:afterAutospacing="1" w:line="240" w:lineRule="auto"/>
      <w:jc w:val="center"/>
    </w:pPr>
    <w:rPr>
      <w:rFonts w:ascii="Arial" w:eastAsia="Arial Unicode MS" w:hAnsi="Arial" w:cs="Arial"/>
      <w:b/>
      <w:bCs/>
      <w:sz w:val="16"/>
      <w:szCs w:val="16"/>
      <w:lang w:val="en-US" w:eastAsia="he-IL" w:bidi="he-IL"/>
    </w:rPr>
  </w:style>
  <w:style w:type="paragraph" w:customStyle="1" w:styleId="xl67">
    <w:name w:val="xl67"/>
    <w:basedOn w:val="Normal"/>
    <w:rsid w:val="006C72E1"/>
    <w:pPr>
      <w:pBdr>
        <w:left w:val="single" w:sz="4" w:space="0" w:color="auto"/>
        <w:bottom w:val="single" w:sz="4" w:space="0" w:color="auto"/>
      </w:pBdr>
      <w:suppressAutoHyphens w:val="0"/>
      <w:spacing w:before="100" w:beforeAutospacing="1" w:after="100" w:afterAutospacing="1" w:line="240" w:lineRule="auto"/>
      <w:jc w:val="center"/>
    </w:pPr>
    <w:rPr>
      <w:rFonts w:ascii="Arial" w:eastAsia="Arial Unicode MS" w:hAnsi="Arial" w:cs="Arial"/>
      <w:b/>
      <w:bCs/>
      <w:sz w:val="16"/>
      <w:szCs w:val="16"/>
      <w:lang w:val="en-US" w:eastAsia="he-IL" w:bidi="he-IL"/>
    </w:rPr>
  </w:style>
  <w:style w:type="paragraph" w:customStyle="1" w:styleId="xl68">
    <w:name w:val="xl68"/>
    <w:basedOn w:val="Normal"/>
    <w:rsid w:val="006C72E1"/>
    <w:pPr>
      <w:suppressAutoHyphens w:val="0"/>
      <w:spacing w:before="100" w:beforeAutospacing="1" w:after="100" w:afterAutospacing="1" w:line="240" w:lineRule="auto"/>
      <w:jc w:val="center"/>
    </w:pPr>
    <w:rPr>
      <w:rFonts w:ascii="Arial" w:eastAsia="Arial Unicode MS" w:hAnsi="Arial" w:cs="Arial"/>
      <w:sz w:val="16"/>
      <w:szCs w:val="16"/>
      <w:lang w:val="en-US" w:eastAsia="he-IL" w:bidi="he-IL"/>
    </w:rPr>
  </w:style>
  <w:style w:type="paragraph" w:customStyle="1" w:styleId="xl69">
    <w:name w:val="xl69"/>
    <w:basedOn w:val="Normal"/>
    <w:rsid w:val="006C72E1"/>
    <w:pPr>
      <w:suppressAutoHyphens w:val="0"/>
      <w:spacing w:before="100" w:beforeAutospacing="1" w:after="100" w:afterAutospacing="1" w:line="240" w:lineRule="auto"/>
      <w:jc w:val="center"/>
    </w:pPr>
    <w:rPr>
      <w:rFonts w:ascii="Arial" w:eastAsia="Arial Unicode MS" w:hAnsi="Arial" w:cs="Arial"/>
      <w:sz w:val="16"/>
      <w:szCs w:val="16"/>
      <w:lang w:val="en-US" w:eastAsia="he-IL" w:bidi="he-IL"/>
    </w:rPr>
  </w:style>
  <w:style w:type="paragraph" w:customStyle="1" w:styleId="xl70">
    <w:name w:val="xl70"/>
    <w:basedOn w:val="Normal"/>
    <w:rsid w:val="006C72E1"/>
    <w:pPr>
      <w:suppressAutoHyphens w:val="0"/>
      <w:spacing w:before="100" w:beforeAutospacing="1" w:after="100" w:afterAutospacing="1" w:line="240" w:lineRule="auto"/>
      <w:jc w:val="center"/>
    </w:pPr>
    <w:rPr>
      <w:rFonts w:ascii="Switzerland" w:eastAsia="Arial Unicode MS" w:hAnsi="Switzerland" w:cs="Arial Unicode MS"/>
      <w:sz w:val="16"/>
      <w:szCs w:val="16"/>
      <w:lang w:val="en-US" w:eastAsia="he-IL" w:bidi="he-IL"/>
    </w:rPr>
  </w:style>
  <w:style w:type="paragraph" w:customStyle="1" w:styleId="xl71">
    <w:name w:val="xl71"/>
    <w:basedOn w:val="Normal"/>
    <w:rsid w:val="006C72E1"/>
    <w:pPr>
      <w:pBdr>
        <w:bottom w:val="single" w:sz="4" w:space="0" w:color="auto"/>
      </w:pBdr>
      <w:suppressAutoHyphens w:val="0"/>
      <w:spacing w:before="100" w:beforeAutospacing="1" w:after="100" w:afterAutospacing="1" w:line="240" w:lineRule="auto"/>
      <w:jc w:val="center"/>
    </w:pPr>
    <w:rPr>
      <w:rFonts w:ascii="Arial" w:eastAsia="Arial Unicode MS" w:hAnsi="Arial" w:cs="Arial"/>
      <w:sz w:val="16"/>
      <w:szCs w:val="16"/>
      <w:lang w:val="en-US" w:eastAsia="he-IL" w:bidi="he-IL"/>
    </w:rPr>
  </w:style>
  <w:style w:type="paragraph" w:customStyle="1" w:styleId="styletitle2">
    <w:name w:val="styletitle2"/>
    <w:basedOn w:val="Normal"/>
    <w:rsid w:val="006C72E1"/>
    <w:pPr>
      <w:suppressAutoHyphens w:val="0"/>
      <w:spacing w:before="100" w:beforeAutospacing="1" w:after="100" w:afterAutospacing="1" w:line="240" w:lineRule="auto"/>
    </w:pPr>
    <w:rPr>
      <w:sz w:val="24"/>
      <w:szCs w:val="24"/>
      <w:lang w:val="en-US" w:bidi="he-IL"/>
    </w:rPr>
  </w:style>
  <w:style w:type="character" w:customStyle="1" w:styleId="t151">
    <w:name w:val="t151"/>
    <w:rsid w:val="006C72E1"/>
    <w:rPr>
      <w:color w:val="000000"/>
      <w:sz w:val="23"/>
      <w:szCs w:val="23"/>
    </w:rPr>
  </w:style>
  <w:style w:type="paragraph" w:customStyle="1" w:styleId="CEDAW1">
    <w:name w:val="CEDAW1"/>
    <w:basedOn w:val="Heading1"/>
    <w:rsid w:val="006C72E1"/>
    <w:pPr>
      <w:keepNext/>
      <w:suppressAutoHyphens w:val="0"/>
      <w:spacing w:before="240" w:line="360" w:lineRule="auto"/>
      <w:ind w:left="0"/>
      <w:jc w:val="center"/>
    </w:pPr>
    <w:rPr>
      <w:rFonts w:cs="Arial"/>
      <w:b/>
      <w:sz w:val="32"/>
      <w:szCs w:val="32"/>
      <w:lang w:val="en-US" w:eastAsia="he-IL" w:bidi="he-IL"/>
    </w:rPr>
  </w:style>
  <w:style w:type="paragraph" w:customStyle="1" w:styleId="cedaw">
    <w:name w:val="cedaw"/>
    <w:basedOn w:val="Heading1"/>
    <w:rsid w:val="006C72E1"/>
    <w:pPr>
      <w:keepNext/>
      <w:suppressAutoHyphens w:val="0"/>
      <w:spacing w:before="240" w:line="360" w:lineRule="auto"/>
      <w:ind w:left="0"/>
      <w:jc w:val="both"/>
    </w:pPr>
    <w:rPr>
      <w:rFonts w:cs="Arial"/>
      <w:b/>
      <w:sz w:val="32"/>
      <w:szCs w:val="32"/>
      <w:lang w:val="en-US" w:eastAsia="he-IL" w:bidi="he-IL"/>
    </w:rPr>
  </w:style>
  <w:style w:type="paragraph" w:customStyle="1" w:styleId="cedaw2">
    <w:name w:val="cedaw2"/>
    <w:basedOn w:val="Normal"/>
    <w:link w:val="cedaw20"/>
    <w:rsid w:val="006C72E1"/>
    <w:pPr>
      <w:suppressAutoHyphens w:val="0"/>
      <w:spacing w:line="360" w:lineRule="auto"/>
      <w:ind w:left="142"/>
      <w:jc w:val="both"/>
    </w:pPr>
    <w:rPr>
      <w:rFonts w:cs="Miriam"/>
      <w:b/>
      <w:bCs/>
      <w:sz w:val="28"/>
      <w:szCs w:val="28"/>
      <w:lang w:val="en-US" w:eastAsia="he-IL" w:bidi="he-IL"/>
    </w:rPr>
  </w:style>
  <w:style w:type="paragraph" w:customStyle="1" w:styleId="cedaw3">
    <w:name w:val="cedaw3"/>
    <w:basedOn w:val="Normal"/>
    <w:rsid w:val="006C72E1"/>
    <w:pPr>
      <w:suppressAutoHyphens w:val="0"/>
      <w:spacing w:line="360" w:lineRule="auto"/>
      <w:ind w:left="142"/>
      <w:jc w:val="both"/>
    </w:pPr>
    <w:rPr>
      <w:rFonts w:cs="Miriam"/>
      <w:b/>
      <w:bCs/>
      <w:sz w:val="26"/>
      <w:szCs w:val="26"/>
      <w:lang w:val="en-US" w:eastAsia="he-IL" w:bidi="he-IL"/>
    </w:rPr>
  </w:style>
  <w:style w:type="character" w:customStyle="1" w:styleId="cedaw20">
    <w:name w:val="cedaw2 תו"/>
    <w:link w:val="cedaw2"/>
    <w:rsid w:val="006C72E1"/>
    <w:rPr>
      <w:rFonts w:cs="Miriam"/>
      <w:b/>
      <w:bCs/>
      <w:sz w:val="28"/>
      <w:szCs w:val="28"/>
      <w:lang w:val="en-US" w:eastAsia="he-IL" w:bidi="he-IL"/>
    </w:rPr>
  </w:style>
  <w:style w:type="paragraph" w:styleId="TOC3">
    <w:name w:val="toc 3"/>
    <w:basedOn w:val="Normal"/>
    <w:next w:val="Normal"/>
    <w:autoRedefine/>
    <w:rsid w:val="006C72E1"/>
    <w:pPr>
      <w:suppressAutoHyphens w:val="0"/>
      <w:bidi/>
      <w:spacing w:line="240" w:lineRule="auto"/>
    </w:pPr>
    <w:rPr>
      <w:smallCaps/>
      <w:sz w:val="22"/>
      <w:szCs w:val="22"/>
      <w:lang w:val="en-US" w:eastAsia="he-IL" w:bidi="he-IL"/>
    </w:rPr>
  </w:style>
  <w:style w:type="paragraph" w:styleId="TOC4">
    <w:name w:val="toc 4"/>
    <w:basedOn w:val="Normal"/>
    <w:next w:val="Normal"/>
    <w:autoRedefine/>
    <w:rsid w:val="006C72E1"/>
    <w:pPr>
      <w:tabs>
        <w:tab w:val="right" w:leader="dot" w:pos="8720"/>
      </w:tabs>
      <w:suppressAutoHyphens w:val="0"/>
      <w:spacing w:line="240" w:lineRule="auto"/>
      <w:ind w:left="720"/>
    </w:pPr>
    <w:rPr>
      <w:sz w:val="22"/>
      <w:szCs w:val="22"/>
      <w:lang w:val="en-US" w:eastAsia="he-IL" w:bidi="he-IL"/>
    </w:rPr>
  </w:style>
  <w:style w:type="paragraph" w:styleId="TOC5">
    <w:name w:val="toc 5"/>
    <w:basedOn w:val="Normal"/>
    <w:next w:val="Normal"/>
    <w:autoRedefine/>
    <w:rsid w:val="006C72E1"/>
    <w:pPr>
      <w:suppressAutoHyphens w:val="0"/>
      <w:bidi/>
      <w:spacing w:line="240" w:lineRule="auto"/>
    </w:pPr>
    <w:rPr>
      <w:sz w:val="22"/>
      <w:szCs w:val="22"/>
      <w:lang w:val="en-US" w:eastAsia="he-IL" w:bidi="he-IL"/>
    </w:rPr>
  </w:style>
  <w:style w:type="paragraph" w:styleId="TOC6">
    <w:name w:val="toc 6"/>
    <w:basedOn w:val="Normal"/>
    <w:next w:val="Normal"/>
    <w:autoRedefine/>
    <w:rsid w:val="006C72E1"/>
    <w:pPr>
      <w:suppressAutoHyphens w:val="0"/>
      <w:bidi/>
      <w:spacing w:line="240" w:lineRule="auto"/>
    </w:pPr>
    <w:rPr>
      <w:sz w:val="22"/>
      <w:szCs w:val="22"/>
      <w:lang w:val="en-US" w:eastAsia="he-IL" w:bidi="he-IL"/>
    </w:rPr>
  </w:style>
  <w:style w:type="paragraph" w:styleId="TOC7">
    <w:name w:val="toc 7"/>
    <w:basedOn w:val="Normal"/>
    <w:next w:val="Normal"/>
    <w:autoRedefine/>
    <w:rsid w:val="006C72E1"/>
    <w:pPr>
      <w:suppressAutoHyphens w:val="0"/>
      <w:bidi/>
      <w:spacing w:line="240" w:lineRule="auto"/>
    </w:pPr>
    <w:rPr>
      <w:sz w:val="22"/>
      <w:szCs w:val="22"/>
      <w:lang w:val="en-US" w:eastAsia="he-IL" w:bidi="he-IL"/>
    </w:rPr>
  </w:style>
  <w:style w:type="paragraph" w:styleId="TOC8">
    <w:name w:val="toc 8"/>
    <w:basedOn w:val="Normal"/>
    <w:next w:val="Normal"/>
    <w:autoRedefine/>
    <w:rsid w:val="006C72E1"/>
    <w:pPr>
      <w:suppressAutoHyphens w:val="0"/>
      <w:bidi/>
      <w:spacing w:line="240" w:lineRule="auto"/>
    </w:pPr>
    <w:rPr>
      <w:sz w:val="22"/>
      <w:szCs w:val="22"/>
      <w:lang w:val="en-US" w:eastAsia="he-IL" w:bidi="he-IL"/>
    </w:rPr>
  </w:style>
  <w:style w:type="paragraph" w:styleId="TOC9">
    <w:name w:val="toc 9"/>
    <w:basedOn w:val="Normal"/>
    <w:next w:val="Normal"/>
    <w:autoRedefine/>
    <w:rsid w:val="006C72E1"/>
    <w:pPr>
      <w:suppressAutoHyphens w:val="0"/>
      <w:bidi/>
      <w:spacing w:line="240" w:lineRule="auto"/>
    </w:pPr>
    <w:rPr>
      <w:sz w:val="22"/>
      <w:szCs w:val="22"/>
      <w:lang w:val="en-US" w:eastAsia="he-IL" w:bidi="he-IL"/>
    </w:rPr>
  </w:style>
  <w:style w:type="paragraph" w:styleId="Quote">
    <w:name w:val="Quote"/>
    <w:basedOn w:val="Normal"/>
    <w:link w:val="QuoteChar"/>
    <w:qFormat/>
    <w:rsid w:val="006C72E1"/>
    <w:pPr>
      <w:widowControl w:val="0"/>
      <w:suppressAutoHyphens w:val="0"/>
      <w:bidi/>
      <w:spacing w:after="120" w:line="360" w:lineRule="auto"/>
      <w:ind w:left="1650" w:right="1560" w:firstLine="7"/>
      <w:jc w:val="both"/>
    </w:pPr>
    <w:rPr>
      <w:rFonts w:cs="David"/>
      <w:noProof/>
      <w:sz w:val="24"/>
      <w:szCs w:val="24"/>
      <w:lang w:val="en-US" w:eastAsia="he-IL" w:bidi="he-IL"/>
    </w:rPr>
  </w:style>
  <w:style w:type="character" w:customStyle="1" w:styleId="QuoteChar">
    <w:name w:val="Quote Char"/>
    <w:link w:val="Quote"/>
    <w:rsid w:val="006C72E1"/>
    <w:rPr>
      <w:rFonts w:cs="David"/>
      <w:noProof/>
      <w:sz w:val="24"/>
      <w:szCs w:val="24"/>
      <w:lang w:val="en-US" w:eastAsia="he-IL" w:bidi="he-IL"/>
    </w:rPr>
  </w:style>
  <w:style w:type="paragraph" w:styleId="BodyTextIndent2">
    <w:name w:val="Body Text Indent 2"/>
    <w:basedOn w:val="Normal"/>
    <w:link w:val="BodyTextIndent2Char"/>
    <w:rsid w:val="006C72E1"/>
    <w:pPr>
      <w:suppressAutoHyphens w:val="0"/>
      <w:spacing w:after="120" w:line="480" w:lineRule="auto"/>
      <w:ind w:left="283"/>
    </w:pPr>
    <w:rPr>
      <w:sz w:val="24"/>
      <w:lang/>
    </w:rPr>
  </w:style>
  <w:style w:type="character" w:customStyle="1" w:styleId="BodyTextIndent2Char">
    <w:name w:val="Body Text Indent 2 Char"/>
    <w:link w:val="BodyTextIndent2"/>
    <w:rsid w:val="006C72E1"/>
    <w:rPr>
      <w:sz w:val="24"/>
      <w:lang w:eastAsia="en-US"/>
    </w:rPr>
  </w:style>
  <w:style w:type="paragraph" w:customStyle="1" w:styleId="parano1">
    <w:name w:val="parano"/>
    <w:basedOn w:val="Normal"/>
    <w:rsid w:val="006C72E1"/>
    <w:pPr>
      <w:suppressAutoHyphens w:val="0"/>
      <w:spacing w:before="100" w:beforeAutospacing="1" w:after="100" w:afterAutospacing="1" w:line="240" w:lineRule="auto"/>
    </w:pPr>
    <w:rPr>
      <w:sz w:val="24"/>
      <w:szCs w:val="24"/>
      <w:lang w:val="en-US" w:bidi="he-IL"/>
    </w:rPr>
  </w:style>
  <w:style w:type="character" w:customStyle="1" w:styleId="editsection">
    <w:name w:val="editsection"/>
    <w:basedOn w:val="DefaultParagraphFont"/>
    <w:rsid w:val="006C72E1"/>
  </w:style>
  <w:style w:type="character" w:customStyle="1" w:styleId="mw-headline">
    <w:name w:val="mw-headline"/>
    <w:basedOn w:val="DefaultParagraphFont"/>
    <w:rsid w:val="006C72E1"/>
  </w:style>
  <w:style w:type="character" w:customStyle="1" w:styleId="noprintplainlinksneverexpand">
    <w:name w:val="noprint plainlinksneverexpand"/>
    <w:basedOn w:val="DefaultParagraphFont"/>
    <w:rsid w:val="006C72E1"/>
  </w:style>
  <w:style w:type="paragraph" w:customStyle="1" w:styleId="P00">
    <w:name w:val="P00"/>
    <w:rsid w:val="006C72E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bidi="he-IL"/>
    </w:rPr>
  </w:style>
  <w:style w:type="paragraph" w:customStyle="1" w:styleId="P22">
    <w:name w:val="P22"/>
    <w:basedOn w:val="P00"/>
    <w:rsid w:val="006C72E1"/>
    <w:pPr>
      <w:tabs>
        <w:tab w:val="clear" w:pos="624"/>
        <w:tab w:val="clear" w:pos="1021"/>
      </w:tabs>
      <w:ind w:right="1021"/>
    </w:pPr>
  </w:style>
  <w:style w:type="character" w:customStyle="1" w:styleId="default">
    <w:name w:val="default"/>
    <w:rsid w:val="006C72E1"/>
    <w:rPr>
      <w:rFonts w:ascii="Times New Roman" w:hAnsi="Times New Roman" w:cs="Times New Roman"/>
      <w:sz w:val="26"/>
      <w:szCs w:val="26"/>
    </w:rPr>
  </w:style>
  <w:style w:type="character" w:customStyle="1" w:styleId="big-number">
    <w:name w:val="big-number"/>
    <w:rsid w:val="006C72E1"/>
    <w:rPr>
      <w:rFonts w:ascii="Times New Roman" w:hAnsi="Times New Roman" w:cs="Miriam"/>
      <w:sz w:val="32"/>
      <w:szCs w:val="32"/>
    </w:rPr>
  </w:style>
  <w:style w:type="character" w:customStyle="1" w:styleId="componentlink">
    <w:name w:val="componentlink"/>
    <w:basedOn w:val="DefaultParagraphFont"/>
    <w:rsid w:val="006C72E1"/>
  </w:style>
  <w:style w:type="paragraph" w:styleId="Index1">
    <w:name w:val="index 1"/>
    <w:basedOn w:val="Normal"/>
    <w:next w:val="Normal"/>
    <w:autoRedefine/>
    <w:rsid w:val="006C72E1"/>
    <w:pPr>
      <w:suppressAutoHyphens w:val="0"/>
      <w:spacing w:line="240" w:lineRule="auto"/>
      <w:ind w:left="240" w:hanging="240"/>
    </w:pPr>
    <w:rPr>
      <w:sz w:val="24"/>
    </w:rPr>
  </w:style>
  <w:style w:type="paragraph" w:styleId="ListBullet3">
    <w:name w:val="List Bullet 3"/>
    <w:basedOn w:val="Normal"/>
    <w:rsid w:val="006C72E1"/>
    <w:pPr>
      <w:numPr>
        <w:numId w:val="7"/>
      </w:numPr>
      <w:suppressAutoHyphens w:val="0"/>
      <w:bidi/>
      <w:spacing w:line="240" w:lineRule="auto"/>
    </w:pPr>
    <w:rPr>
      <w:rFonts w:cs="Narkisim"/>
      <w:sz w:val="24"/>
      <w:szCs w:val="24"/>
      <w:lang w:val="en-US" w:eastAsia="he-IL" w:bidi="he-IL"/>
    </w:rPr>
  </w:style>
  <w:style w:type="character" w:customStyle="1" w:styleId="editsection1">
    <w:name w:val="editsection1"/>
    <w:basedOn w:val="DefaultParagraphFont"/>
    <w:rsid w:val="006C72E1"/>
  </w:style>
  <w:style w:type="character" w:customStyle="1" w:styleId="toctoggle">
    <w:name w:val="toctoggle"/>
    <w:basedOn w:val="DefaultParagraphFont"/>
    <w:rsid w:val="006C72E1"/>
  </w:style>
  <w:style w:type="character" w:customStyle="1" w:styleId="tocnumber2">
    <w:name w:val="tocnumber2"/>
    <w:basedOn w:val="DefaultParagraphFont"/>
    <w:rsid w:val="006C72E1"/>
  </w:style>
  <w:style w:type="character" w:customStyle="1" w:styleId="toctext">
    <w:name w:val="toctext"/>
    <w:basedOn w:val="DefaultParagraphFont"/>
    <w:rsid w:val="006C72E1"/>
  </w:style>
  <w:style w:type="paragraph" w:customStyle="1" w:styleId="Style2">
    <w:name w:val="Style 2"/>
    <w:basedOn w:val="Normal"/>
    <w:rsid w:val="006C72E1"/>
    <w:pPr>
      <w:widowControl w:val="0"/>
      <w:suppressAutoHyphens w:val="0"/>
      <w:spacing w:line="240" w:lineRule="auto"/>
    </w:pPr>
    <w:rPr>
      <w:noProof/>
      <w:color w:val="000000"/>
      <w:lang w:val="en-US"/>
    </w:rPr>
  </w:style>
  <w:style w:type="paragraph" w:customStyle="1" w:styleId="a5">
    <w:name w:val=" תו"/>
    <w:basedOn w:val="Normal"/>
    <w:rsid w:val="006C72E1"/>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character" w:customStyle="1" w:styleId="sitefont">
    <w:name w:val="sitefont"/>
    <w:basedOn w:val="DefaultParagraphFont"/>
    <w:rsid w:val="006C72E1"/>
  </w:style>
  <w:style w:type="paragraph" w:customStyle="1" w:styleId="ConvertStyle2">
    <w:name w:val="ConvertStyle2"/>
    <w:basedOn w:val="Normal"/>
    <w:rsid w:val="006C72E1"/>
    <w:pPr>
      <w:suppressAutoHyphens w:val="0"/>
      <w:spacing w:line="240" w:lineRule="auto"/>
    </w:pPr>
    <w:rPr>
      <w:rFonts w:ascii="Courier New" w:hAnsi="Courier New"/>
      <w:sz w:val="24"/>
      <w:lang w:val="en-US"/>
    </w:rPr>
  </w:style>
  <w:style w:type="paragraph" w:customStyle="1" w:styleId="a">
    <w:name w:val="פסקה ממוספרת"/>
    <w:basedOn w:val="Normal"/>
    <w:rsid w:val="006C72E1"/>
    <w:pPr>
      <w:numPr>
        <w:numId w:val="8"/>
      </w:numPr>
      <w:tabs>
        <w:tab w:val="clear" w:pos="720"/>
        <w:tab w:val="left" w:pos="14"/>
      </w:tabs>
      <w:suppressAutoHyphens w:val="0"/>
      <w:bidi/>
      <w:spacing w:before="120" w:after="120" w:line="336" w:lineRule="auto"/>
      <w:ind w:left="0" w:right="0" w:hanging="291"/>
      <w:jc w:val="both"/>
    </w:pPr>
    <w:rPr>
      <w:rFonts w:cs="David"/>
      <w:sz w:val="24"/>
      <w:szCs w:val="24"/>
      <w:lang w:val="en-US" w:bidi="he-IL"/>
    </w:rPr>
  </w:style>
  <w:style w:type="paragraph" w:styleId="TOCHeading">
    <w:name w:val="TOC Heading"/>
    <w:basedOn w:val="Heading1"/>
    <w:next w:val="Normal"/>
    <w:uiPriority w:val="39"/>
    <w:qFormat/>
    <w:rsid w:val="006C72E1"/>
    <w:pPr>
      <w:keepNext/>
      <w:keepLines/>
      <w:suppressAutoHyphens w:val="0"/>
      <w:bidi/>
      <w:spacing w:before="480" w:line="276" w:lineRule="auto"/>
      <w:ind w:left="0"/>
      <w:outlineLvl w:val="9"/>
    </w:pPr>
    <w:rPr>
      <w:rFonts w:ascii="Cambria" w:hAnsi="Cambria"/>
      <w:b/>
      <w:bCs/>
      <w:color w:val="365F91"/>
      <w:sz w:val="28"/>
      <w:szCs w:val="28"/>
      <w:lang w:val="en-US" w:bidi="he-IL"/>
    </w:rPr>
  </w:style>
  <w:style w:type="paragraph" w:customStyle="1" w:styleId="Level1">
    <w:name w:val="Level 1"/>
    <w:basedOn w:val="Normal"/>
    <w:rsid w:val="006C72E1"/>
    <w:pPr>
      <w:widowControl w:val="0"/>
      <w:tabs>
        <w:tab w:val="num" w:pos="360"/>
      </w:tabs>
      <w:suppressAutoHyphens w:val="0"/>
      <w:autoSpaceDE w:val="0"/>
      <w:autoSpaceDN w:val="0"/>
      <w:adjustRightInd w:val="0"/>
      <w:spacing w:line="240" w:lineRule="auto"/>
      <w:ind w:left="566" w:hanging="566"/>
      <w:outlineLvl w:val="0"/>
    </w:pPr>
    <w:rPr>
      <w:sz w:val="24"/>
      <w:szCs w:val="24"/>
      <w:lang w:val="en-US" w:bidi="he-IL"/>
    </w:rPr>
  </w:style>
  <w:style w:type="paragraph" w:customStyle="1" w:styleId="CharChar16">
    <w:name w:val=" Char Char16"/>
    <w:basedOn w:val="Normal"/>
    <w:rsid w:val="006C72E1"/>
    <w:pPr>
      <w:keepLines/>
      <w:tabs>
        <w:tab w:val="left" w:pos="397"/>
        <w:tab w:val="left" w:pos="794"/>
        <w:tab w:val="left" w:pos="1191"/>
        <w:tab w:val="left" w:pos="1588"/>
        <w:tab w:val="left" w:pos="1985"/>
        <w:tab w:val="left" w:pos="2381"/>
        <w:tab w:val="left" w:pos="2778"/>
        <w:tab w:val="left" w:pos="3175"/>
        <w:tab w:val="left" w:pos="3572"/>
      </w:tabs>
      <w:suppressAutoHyphens w:val="0"/>
      <w:bidi/>
      <w:spacing w:line="240" w:lineRule="auto"/>
      <w:jc w:val="both"/>
    </w:pPr>
    <w:rPr>
      <w:rFonts w:ascii="Arial" w:hAnsi="Arial" w:cs="David"/>
      <w:noProof/>
      <w:sz w:val="24"/>
      <w:szCs w:val="28"/>
      <w:lang w:val="en-US" w:eastAsia="he-IL" w:bidi="he-IL"/>
    </w:rPr>
  </w:style>
  <w:style w:type="paragraph" w:customStyle="1" w:styleId="Dash">
    <w:name w:val="Dash"/>
    <w:basedOn w:val="Normal"/>
    <w:rsid w:val="006C72E1"/>
    <w:pPr>
      <w:numPr>
        <w:numId w:val="9"/>
      </w:numPr>
      <w:suppressAutoHyphens w:val="0"/>
      <w:adjustRightInd w:val="0"/>
      <w:snapToGrid w:val="0"/>
      <w:spacing w:after="240" w:line="240" w:lineRule="auto"/>
    </w:pPr>
    <w:rPr>
      <w:sz w:val="24"/>
    </w:rPr>
  </w:style>
  <w:style w:type="paragraph" w:customStyle="1" w:styleId="a2">
    <w:name w:val="מדורג מעורב"/>
    <w:basedOn w:val="Normal"/>
    <w:rsid w:val="006C72E1"/>
    <w:pPr>
      <w:numPr>
        <w:numId w:val="10"/>
      </w:numPr>
      <w:suppressAutoHyphens w:val="0"/>
      <w:bidi/>
      <w:spacing w:before="120" w:line="360" w:lineRule="auto"/>
      <w:ind w:right="0"/>
      <w:jc w:val="both"/>
    </w:pPr>
    <w:rPr>
      <w:rFonts w:cs="David"/>
      <w:kern w:val="28"/>
      <w:sz w:val="24"/>
      <w:szCs w:val="24"/>
      <w:lang w:val="en-US" w:bidi="he-IL"/>
    </w:rPr>
  </w:style>
  <w:style w:type="character" w:customStyle="1" w:styleId="HeaderChar">
    <w:name w:val="Header Char"/>
    <w:link w:val="Header"/>
    <w:rsid w:val="006C72E1"/>
    <w:rPr>
      <w:b/>
      <w:sz w:val="18"/>
      <w:lang w:eastAsia="en-US"/>
    </w:rPr>
  </w:style>
  <w:style w:type="character" w:customStyle="1" w:styleId="HMGChar">
    <w:name w:val="_ H __M_G Char"/>
    <w:link w:val="HMG"/>
    <w:rsid w:val="002908A5"/>
    <w:rPr>
      <w:b/>
      <w:sz w:val="34"/>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hchr.ch/html/menu3/b/k2crc.ht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46</Pages>
  <Words>22067</Words>
  <Characters>125788</Characters>
  <Application>Microsoft Office Outlook</Application>
  <DocSecurity>4</DocSecurity>
  <Lines>1048</Lines>
  <Paragraphs>295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147560</CharactersWithSpaces>
  <SharedDoc>false</SharedDoc>
  <HLinks>
    <vt:vector size="6" baseType="variant">
      <vt:variant>
        <vt:i4>3670058</vt:i4>
      </vt:variant>
      <vt:variant>
        <vt:i4>0</vt:i4>
      </vt:variant>
      <vt:variant>
        <vt:i4>0</vt:i4>
      </vt:variant>
      <vt:variant>
        <vt:i4>5</vt:i4>
      </vt:variant>
      <vt:variant>
        <vt:lpwstr>http://www.unhchr.ch/html/menu3/b/k2crc.htm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 James</dc:creator>
  <cp:keywords/>
  <cp:lastModifiedBy>Cecile Pacis</cp:lastModifiedBy>
  <cp:revision>2</cp:revision>
  <cp:lastPrinted>2015-01-23T07:15:00Z</cp:lastPrinted>
  <dcterms:created xsi:type="dcterms:W3CDTF">2015-01-23T12:56:00Z</dcterms:created>
  <dcterms:modified xsi:type="dcterms:W3CDTF">2015-01-23T12:56:00Z</dcterms:modified>
</cp:coreProperties>
</file>