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C91DB8" w:rsidTr="00464EEE">
        <w:trPr>
          <w:trHeight w:hRule="exact" w:val="851"/>
        </w:trPr>
        <w:tc>
          <w:tcPr>
            <w:tcW w:w="1277" w:type="dxa"/>
            <w:tcBorders>
              <w:bottom w:val="single" w:sz="4" w:space="0" w:color="auto"/>
            </w:tcBorders>
          </w:tcPr>
          <w:p w:rsidR="00AF1CE8" w:rsidRPr="00C91DB8" w:rsidRDefault="00AF1CE8" w:rsidP="00464EEE">
            <w:pPr>
              <w:rPr>
                <w:lang w:val="fr-FR"/>
              </w:rPr>
            </w:pPr>
          </w:p>
        </w:tc>
        <w:tc>
          <w:tcPr>
            <w:tcW w:w="2268" w:type="dxa"/>
            <w:tcBorders>
              <w:bottom w:val="single" w:sz="4" w:space="0" w:color="auto"/>
            </w:tcBorders>
            <w:vAlign w:val="bottom"/>
          </w:tcPr>
          <w:p w:rsidR="00AF1CE8" w:rsidRPr="00C91DB8" w:rsidRDefault="00AF1CE8" w:rsidP="00464EEE">
            <w:pPr>
              <w:spacing w:after="80" w:line="300" w:lineRule="exact"/>
              <w:rPr>
                <w:sz w:val="28"/>
                <w:lang w:val="fr-FR"/>
              </w:rPr>
            </w:pPr>
            <w:r w:rsidRPr="00C91DB8">
              <w:rPr>
                <w:sz w:val="28"/>
                <w:lang w:val="fr-FR"/>
              </w:rPr>
              <w:t>Nations Unies</w:t>
            </w:r>
          </w:p>
        </w:tc>
        <w:tc>
          <w:tcPr>
            <w:tcW w:w="6094" w:type="dxa"/>
            <w:gridSpan w:val="2"/>
            <w:tcBorders>
              <w:bottom w:val="single" w:sz="4" w:space="0" w:color="auto"/>
            </w:tcBorders>
            <w:vAlign w:val="bottom"/>
          </w:tcPr>
          <w:p w:rsidR="00AF1CE8" w:rsidRPr="00C91DB8" w:rsidRDefault="00C32166" w:rsidP="00C32166">
            <w:pPr>
              <w:jc w:val="right"/>
              <w:rPr>
                <w:lang w:val="fr-FR"/>
              </w:rPr>
            </w:pPr>
            <w:r w:rsidRPr="00C91DB8">
              <w:rPr>
                <w:sz w:val="40"/>
                <w:lang w:val="fr-FR"/>
              </w:rPr>
              <w:t>CCPR</w:t>
            </w:r>
            <w:r w:rsidRPr="00C91DB8">
              <w:rPr>
                <w:lang w:val="fr-FR"/>
              </w:rPr>
              <w:t>/C/DJI/Q/1/Add.1</w:t>
            </w:r>
          </w:p>
        </w:tc>
      </w:tr>
      <w:tr w:rsidR="00AF1CE8" w:rsidRPr="00C91DB8" w:rsidTr="00464EEE">
        <w:trPr>
          <w:trHeight w:hRule="exact" w:val="2835"/>
        </w:trPr>
        <w:tc>
          <w:tcPr>
            <w:tcW w:w="1276" w:type="dxa"/>
            <w:tcBorders>
              <w:top w:val="single" w:sz="4" w:space="0" w:color="auto"/>
              <w:bottom w:val="single" w:sz="12" w:space="0" w:color="auto"/>
            </w:tcBorders>
          </w:tcPr>
          <w:p w:rsidR="00AF1CE8" w:rsidRPr="00C91DB8" w:rsidRDefault="004D4E45" w:rsidP="00464EEE">
            <w:pPr>
              <w:spacing w:before="120"/>
              <w:jc w:val="center"/>
              <w:rPr>
                <w:lang w:val="fr-FR"/>
              </w:rPr>
            </w:pPr>
            <w:r w:rsidRPr="00C91DB8">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C91DB8" w:rsidRDefault="00AF1CE8" w:rsidP="00464EEE">
            <w:pPr>
              <w:spacing w:before="120" w:line="380" w:lineRule="exact"/>
              <w:rPr>
                <w:b/>
                <w:sz w:val="34"/>
                <w:szCs w:val="34"/>
                <w:lang w:val="fr-FR"/>
              </w:rPr>
            </w:pPr>
            <w:r w:rsidRPr="00C91DB8">
              <w:rPr>
                <w:b/>
                <w:sz w:val="34"/>
                <w:szCs w:val="34"/>
                <w:lang w:val="fr-FR"/>
              </w:rPr>
              <w:t>Pacte international relatif</w:t>
            </w:r>
            <w:r w:rsidRPr="00C91DB8">
              <w:rPr>
                <w:b/>
                <w:sz w:val="34"/>
                <w:szCs w:val="34"/>
                <w:lang w:val="fr-FR"/>
              </w:rPr>
              <w:br/>
              <w:t>aux droits civils et politiques</w:t>
            </w:r>
          </w:p>
        </w:tc>
        <w:tc>
          <w:tcPr>
            <w:tcW w:w="2835" w:type="dxa"/>
            <w:tcBorders>
              <w:top w:val="single" w:sz="4" w:space="0" w:color="auto"/>
              <w:bottom w:val="single" w:sz="12" w:space="0" w:color="auto"/>
            </w:tcBorders>
          </w:tcPr>
          <w:p w:rsidR="00AF1CE8" w:rsidRPr="00C91DB8" w:rsidRDefault="00C32166" w:rsidP="00464EEE">
            <w:pPr>
              <w:spacing w:before="240"/>
              <w:rPr>
                <w:lang w:val="fr-FR"/>
              </w:rPr>
            </w:pPr>
            <w:r w:rsidRPr="00C91DB8">
              <w:rPr>
                <w:lang w:val="fr-FR"/>
              </w:rPr>
              <w:t>Distr. générale</w:t>
            </w:r>
          </w:p>
          <w:p w:rsidR="002A17AD" w:rsidRPr="00C91DB8" w:rsidRDefault="007C57FF" w:rsidP="00D526C1">
            <w:pPr>
              <w:spacing w:line="240" w:lineRule="exact"/>
              <w:rPr>
                <w:lang w:val="fr-FR"/>
              </w:rPr>
            </w:pPr>
            <w:r>
              <w:rPr>
                <w:lang w:val="fr-FR"/>
              </w:rPr>
              <w:t>8</w:t>
            </w:r>
            <w:r w:rsidR="00C32166" w:rsidRPr="005E36BA">
              <w:rPr>
                <w:lang w:val="fr-FR"/>
              </w:rPr>
              <w:t xml:space="preserve"> </w:t>
            </w:r>
            <w:r w:rsidR="00D526C1" w:rsidRPr="005E36BA">
              <w:rPr>
                <w:lang w:val="fr-FR"/>
              </w:rPr>
              <w:t>octobre</w:t>
            </w:r>
            <w:r w:rsidR="00D526C1" w:rsidRPr="00C91DB8">
              <w:rPr>
                <w:lang w:val="fr-FR"/>
              </w:rPr>
              <w:t xml:space="preserve"> </w:t>
            </w:r>
            <w:r w:rsidR="00C32166" w:rsidRPr="00C91DB8">
              <w:rPr>
                <w:lang w:val="fr-FR"/>
              </w:rPr>
              <w:t>2013</w:t>
            </w:r>
          </w:p>
          <w:p w:rsidR="002A17AD" w:rsidRPr="00C91DB8" w:rsidRDefault="002A17AD" w:rsidP="00C32166">
            <w:pPr>
              <w:spacing w:line="240" w:lineRule="exact"/>
              <w:rPr>
                <w:lang w:val="fr-FR"/>
              </w:rPr>
            </w:pPr>
          </w:p>
          <w:p w:rsidR="00C32166" w:rsidRPr="00C91DB8" w:rsidRDefault="00CE1B54" w:rsidP="00C32166">
            <w:pPr>
              <w:spacing w:line="240" w:lineRule="exact"/>
              <w:rPr>
                <w:lang w:val="fr-FR"/>
              </w:rPr>
            </w:pPr>
            <w:r w:rsidRPr="00C91DB8">
              <w:rPr>
                <w:lang w:val="fr-FR"/>
              </w:rPr>
              <w:t>Français seulement</w:t>
            </w:r>
            <w:r w:rsidR="00C32166" w:rsidRPr="00C91DB8">
              <w:rPr>
                <w:lang w:val="fr-FR"/>
              </w:rPr>
              <w:t xml:space="preserve"> </w:t>
            </w:r>
          </w:p>
        </w:tc>
      </w:tr>
    </w:tbl>
    <w:p w:rsidR="00FF1DBD" w:rsidRPr="00C91DB8" w:rsidRDefault="00DF3BF1" w:rsidP="00DF3BF1">
      <w:pPr>
        <w:spacing w:before="120"/>
        <w:rPr>
          <w:b/>
          <w:sz w:val="24"/>
          <w:szCs w:val="24"/>
          <w:lang w:val="fr-FR"/>
        </w:rPr>
      </w:pPr>
      <w:r w:rsidRPr="00C91DB8">
        <w:rPr>
          <w:b/>
          <w:sz w:val="24"/>
          <w:szCs w:val="24"/>
          <w:lang w:val="fr-FR"/>
        </w:rPr>
        <w:t>Comité des droits de l’homme</w:t>
      </w:r>
    </w:p>
    <w:p w:rsidR="00C32166" w:rsidRPr="00A125D1" w:rsidRDefault="00C32166" w:rsidP="00B14AB1">
      <w:pPr>
        <w:autoSpaceDE w:val="0"/>
        <w:autoSpaceDN w:val="0"/>
        <w:adjustRightInd w:val="0"/>
        <w:rPr>
          <w:b/>
          <w:bCs/>
          <w:lang w:val="fr-FR"/>
        </w:rPr>
      </w:pPr>
      <w:r w:rsidRPr="00A125D1">
        <w:rPr>
          <w:b/>
          <w:bCs/>
          <w:lang w:val="fr-FR"/>
        </w:rPr>
        <w:t>109</w:t>
      </w:r>
      <w:r w:rsidR="00B14AB1" w:rsidRPr="00A125D1">
        <w:rPr>
          <w:b/>
          <w:bCs/>
          <w:vertAlign w:val="superscript"/>
          <w:lang w:val="fr-FR"/>
        </w:rPr>
        <w:t>e</w:t>
      </w:r>
      <w:r w:rsidRPr="00A125D1">
        <w:rPr>
          <w:b/>
          <w:bCs/>
          <w:lang w:val="fr-FR"/>
        </w:rPr>
        <w:t xml:space="preserve"> session</w:t>
      </w:r>
    </w:p>
    <w:p w:rsidR="00C32166" w:rsidRPr="00C91DB8" w:rsidRDefault="00C32166" w:rsidP="00B14AB1">
      <w:pPr>
        <w:autoSpaceDE w:val="0"/>
        <w:autoSpaceDN w:val="0"/>
        <w:adjustRightInd w:val="0"/>
        <w:rPr>
          <w:lang w:val="fr-FR"/>
        </w:rPr>
      </w:pPr>
      <w:r w:rsidRPr="00C91DB8">
        <w:rPr>
          <w:lang w:val="fr-FR"/>
        </w:rPr>
        <w:t xml:space="preserve">14 </w:t>
      </w:r>
      <w:r w:rsidR="00B14AB1" w:rsidRPr="00C91DB8">
        <w:rPr>
          <w:lang w:val="fr-FR"/>
        </w:rPr>
        <w:t>octobre-1</w:t>
      </w:r>
      <w:r w:rsidR="00B14AB1" w:rsidRPr="00C91DB8">
        <w:rPr>
          <w:vertAlign w:val="superscript"/>
          <w:lang w:val="fr-FR"/>
        </w:rPr>
        <w:t>er</w:t>
      </w:r>
      <w:r w:rsidR="00B14AB1" w:rsidRPr="00C91DB8">
        <w:rPr>
          <w:lang w:val="fr-FR"/>
        </w:rPr>
        <w:t xml:space="preserve"> n</w:t>
      </w:r>
      <w:r w:rsidRPr="00C91DB8">
        <w:rPr>
          <w:lang w:val="fr-FR"/>
        </w:rPr>
        <w:t>ovembr</w:t>
      </w:r>
      <w:r w:rsidR="00B14AB1" w:rsidRPr="00C91DB8">
        <w:rPr>
          <w:lang w:val="fr-FR"/>
        </w:rPr>
        <w:t>e</w:t>
      </w:r>
      <w:r w:rsidRPr="00C91DB8">
        <w:rPr>
          <w:lang w:val="fr-FR"/>
        </w:rPr>
        <w:t xml:space="preserve"> 2013</w:t>
      </w:r>
    </w:p>
    <w:p w:rsidR="00C32166" w:rsidRPr="00C91DB8" w:rsidRDefault="00B14AB1" w:rsidP="00B14AB1">
      <w:pPr>
        <w:adjustRightInd w:val="0"/>
        <w:spacing w:line="240" w:lineRule="auto"/>
        <w:rPr>
          <w:lang w:val="fr-FR"/>
        </w:rPr>
      </w:pPr>
      <w:r w:rsidRPr="00C91DB8">
        <w:rPr>
          <w:lang w:val="fr-FR"/>
        </w:rPr>
        <w:t>Point 6 de l’ordre du jour provisoire</w:t>
      </w:r>
    </w:p>
    <w:p w:rsidR="00C32166" w:rsidRPr="00C91DB8" w:rsidRDefault="00B14AB1" w:rsidP="00B14AB1">
      <w:pPr>
        <w:adjustRightInd w:val="0"/>
        <w:spacing w:line="240" w:lineRule="auto"/>
        <w:rPr>
          <w:b/>
          <w:bCs/>
          <w:sz w:val="24"/>
          <w:szCs w:val="24"/>
          <w:lang w:val="fr-FR"/>
        </w:rPr>
      </w:pPr>
      <w:r w:rsidRPr="00C91DB8">
        <w:rPr>
          <w:b/>
          <w:bCs/>
          <w:lang w:val="fr-FR"/>
        </w:rPr>
        <w:t xml:space="preserve">Examen des rapports soumis </w:t>
      </w:r>
      <w:r w:rsidRPr="00C91DB8">
        <w:rPr>
          <w:b/>
          <w:bCs/>
          <w:lang w:val="fr-FR"/>
        </w:rPr>
        <w:br/>
        <w:t xml:space="preserve">par les États parties </w:t>
      </w:r>
      <w:r w:rsidRPr="00C91DB8">
        <w:rPr>
          <w:b/>
          <w:bCs/>
          <w:lang w:val="fr-FR"/>
        </w:rPr>
        <w:br/>
        <w:t>en application de l’article 40 du Pacte</w:t>
      </w:r>
    </w:p>
    <w:p w:rsidR="00C32166" w:rsidRPr="00A125D1" w:rsidRDefault="00C32166" w:rsidP="001F50B5">
      <w:pPr>
        <w:pStyle w:val="HChG"/>
        <w:ind w:right="0"/>
        <w:rPr>
          <w:lang w:val="fr-FR"/>
        </w:rPr>
      </w:pPr>
      <w:r w:rsidRPr="00C91DB8">
        <w:rPr>
          <w:lang w:val="fr-FR"/>
        </w:rPr>
        <w:tab/>
      </w:r>
      <w:r w:rsidRPr="00C91DB8">
        <w:rPr>
          <w:lang w:val="fr-FR"/>
        </w:rPr>
        <w:tab/>
      </w:r>
      <w:r w:rsidR="00C01FD2" w:rsidRPr="00A125D1">
        <w:rPr>
          <w:lang w:val="fr-FR"/>
        </w:rPr>
        <w:t>L</w:t>
      </w:r>
      <w:r w:rsidRPr="00A125D1">
        <w:rPr>
          <w:lang w:val="fr-FR"/>
        </w:rPr>
        <w:t xml:space="preserve">iste des points relatifs à l’examen du rapport initial </w:t>
      </w:r>
      <w:r w:rsidR="00DD1CD5">
        <w:rPr>
          <w:lang w:val="fr-FR"/>
        </w:rPr>
        <w:br/>
      </w:r>
      <w:r w:rsidRPr="00A125D1">
        <w:rPr>
          <w:lang w:val="fr-FR"/>
        </w:rPr>
        <w:t xml:space="preserve">de Djibouti (CCPR/C/DJI/1), adoptée par le comité </w:t>
      </w:r>
      <w:r w:rsidR="00DD1CD5">
        <w:rPr>
          <w:lang w:val="fr-FR"/>
        </w:rPr>
        <w:br/>
      </w:r>
      <w:r w:rsidRPr="00A125D1">
        <w:rPr>
          <w:lang w:val="fr-FR"/>
        </w:rPr>
        <w:t>à sa 107</w:t>
      </w:r>
      <w:r w:rsidRPr="00A125D1">
        <w:rPr>
          <w:vertAlign w:val="superscript"/>
          <w:lang w:val="fr-FR"/>
        </w:rPr>
        <w:t>e</w:t>
      </w:r>
      <w:r w:rsidR="00DD1CD5">
        <w:rPr>
          <w:lang w:val="fr-FR"/>
        </w:rPr>
        <w:t> </w:t>
      </w:r>
      <w:r w:rsidRPr="00A125D1">
        <w:rPr>
          <w:lang w:val="fr-FR"/>
        </w:rPr>
        <w:t>session (11-28 mars 2013)</w:t>
      </w:r>
    </w:p>
    <w:p w:rsidR="00C32166" w:rsidRPr="00A125D1" w:rsidRDefault="00C32166" w:rsidP="006850AE">
      <w:pPr>
        <w:pStyle w:val="H23G"/>
        <w:rPr>
          <w:lang w:val="fr-FR"/>
        </w:rPr>
      </w:pPr>
      <w:r w:rsidRPr="00A125D1">
        <w:rPr>
          <w:lang w:val="fr-FR"/>
        </w:rPr>
        <w:tab/>
      </w:r>
      <w:r w:rsidRPr="00A125D1">
        <w:rPr>
          <w:lang w:val="fr-FR"/>
        </w:rPr>
        <w:tab/>
        <w:t>Add</w:t>
      </w:r>
      <w:r w:rsidR="00A9531E" w:rsidRPr="00A125D1">
        <w:rPr>
          <w:lang w:val="fr-FR"/>
        </w:rPr>
        <w:t>itif</w:t>
      </w:r>
    </w:p>
    <w:p w:rsidR="00C32166" w:rsidRPr="00C91DB8" w:rsidRDefault="00C32166" w:rsidP="00C01FD2">
      <w:pPr>
        <w:pStyle w:val="HChG"/>
        <w:rPr>
          <w:lang w:val="fr-FR"/>
        </w:rPr>
      </w:pPr>
      <w:r w:rsidRPr="00A125D1">
        <w:rPr>
          <w:lang w:val="fr-FR"/>
        </w:rPr>
        <w:tab/>
      </w:r>
      <w:r w:rsidRPr="00A125D1">
        <w:rPr>
          <w:lang w:val="fr-FR"/>
        </w:rPr>
        <w:tab/>
        <w:t>Réponses de Djibouti à la liste</w:t>
      </w:r>
      <w:r w:rsidR="00A125D1">
        <w:rPr>
          <w:lang w:val="fr-FR"/>
        </w:rPr>
        <w:t xml:space="preserve"> des points</w:t>
      </w:r>
      <w:r w:rsidRPr="00A125D1">
        <w:rPr>
          <w:rStyle w:val="FootnoteReference"/>
          <w:sz w:val="24"/>
          <w:lang w:val="fr-FR"/>
        </w:rPr>
        <w:footnoteReference w:customMarkFollows="1" w:id="2"/>
        <w:t>*</w:t>
      </w:r>
    </w:p>
    <w:p w:rsidR="00C32166" w:rsidRPr="00C91DB8" w:rsidRDefault="00C32166" w:rsidP="00C32166">
      <w:pPr>
        <w:jc w:val="right"/>
        <w:rPr>
          <w:lang w:val="fr-FR"/>
        </w:rPr>
      </w:pPr>
      <w:r w:rsidRPr="00A125D1">
        <w:rPr>
          <w:lang w:val="fr-FR"/>
        </w:rPr>
        <w:t>[27 septembre 2013]</w:t>
      </w:r>
    </w:p>
    <w:p w:rsidR="002A17AD" w:rsidRPr="00C91DB8" w:rsidRDefault="008E1AE6" w:rsidP="00CC3212">
      <w:pPr>
        <w:pStyle w:val="H1G"/>
        <w:rPr>
          <w:lang w:val="fr-FR"/>
        </w:rPr>
      </w:pPr>
      <w:r w:rsidRPr="00C91DB8">
        <w:rPr>
          <w:lang w:val="fr-FR"/>
        </w:rPr>
        <w:br w:type="column"/>
      </w:r>
      <w:r w:rsidR="002A17AD" w:rsidRPr="00C91DB8">
        <w:rPr>
          <w:lang w:val="fr-FR"/>
        </w:rPr>
        <w:tab/>
      </w:r>
      <w:r w:rsidR="002A17AD" w:rsidRPr="00C91DB8">
        <w:rPr>
          <w:lang w:val="fr-FR"/>
        </w:rPr>
        <w:tab/>
        <w:t>Cadre constitutionnel et juridique de l’application</w:t>
      </w:r>
      <w:r w:rsidR="0010105E" w:rsidRPr="00C91DB8">
        <w:rPr>
          <w:lang w:val="fr-FR"/>
        </w:rPr>
        <w:t xml:space="preserve"> du Pacte </w:t>
      </w:r>
      <w:r w:rsidR="002A17AD" w:rsidRPr="00C91DB8">
        <w:rPr>
          <w:lang w:val="fr-FR"/>
        </w:rPr>
        <w:t>(</w:t>
      </w:r>
      <w:r w:rsidR="002036DA" w:rsidRPr="00C91DB8">
        <w:rPr>
          <w:lang w:val="fr-FR"/>
        </w:rPr>
        <w:t>art. </w:t>
      </w:r>
      <w:r w:rsidR="002A17AD" w:rsidRPr="00C91DB8">
        <w:rPr>
          <w:lang w:val="fr-FR"/>
        </w:rPr>
        <w:t>2)</w:t>
      </w:r>
    </w:p>
    <w:p w:rsidR="0010105E" w:rsidRPr="00C91DB8" w:rsidRDefault="0010105E" w:rsidP="00CC3212">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1 de la liste </w:t>
      </w:r>
      <w:r w:rsidRPr="00C91DB8">
        <w:rPr>
          <w:lang w:val="fr-FR"/>
        </w:rPr>
        <w:t>(CCPR/C/</w:t>
      </w:r>
      <w:r w:rsidR="00F97628" w:rsidRPr="00C91DB8">
        <w:rPr>
          <w:lang w:val="fr-FR"/>
        </w:rPr>
        <w:t>DJI</w:t>
      </w:r>
      <w:r w:rsidRPr="00C91DB8">
        <w:rPr>
          <w:lang w:val="fr-FR"/>
        </w:rPr>
        <w:t>/Q/</w:t>
      </w:r>
      <w:r w:rsidR="00F97628" w:rsidRPr="00C91DB8">
        <w:rPr>
          <w:lang w:val="fr-FR"/>
        </w:rPr>
        <w:t>1</w:t>
      </w:r>
      <w:r w:rsidRPr="00C91DB8">
        <w:rPr>
          <w:lang w:val="fr-FR"/>
        </w:rPr>
        <w:t>)</w:t>
      </w:r>
    </w:p>
    <w:p w:rsidR="002A17AD" w:rsidRPr="00C91DB8" w:rsidRDefault="008E1AE6" w:rsidP="00F1573F">
      <w:pPr>
        <w:pStyle w:val="SingleTxtG"/>
        <w:numPr>
          <w:ilvl w:val="0"/>
          <w:numId w:val="12"/>
        </w:numPr>
        <w:spacing w:line="240" w:lineRule="auto"/>
        <w:ind w:left="1134" w:firstLine="0"/>
        <w:rPr>
          <w:lang w:val="fr-FR"/>
        </w:rPr>
      </w:pPr>
      <w:r w:rsidRPr="00C91DB8">
        <w:rPr>
          <w:lang w:val="fr-FR"/>
        </w:rPr>
        <w:t xml:space="preserve">Les dispositions du </w:t>
      </w:r>
      <w:r w:rsidR="000762B2" w:rsidRPr="00C91DB8">
        <w:rPr>
          <w:lang w:val="fr-FR"/>
        </w:rPr>
        <w:t>P</w:t>
      </w:r>
      <w:r w:rsidRPr="00C91DB8">
        <w:rPr>
          <w:lang w:val="fr-FR"/>
        </w:rPr>
        <w:t>acte sont pour l’essentiel reprises dans la Constitution de septembre</w:t>
      </w:r>
      <w:r w:rsidR="00F1573F" w:rsidRPr="00C91DB8">
        <w:rPr>
          <w:lang w:val="fr-FR"/>
        </w:rPr>
        <w:t> </w:t>
      </w:r>
      <w:r w:rsidRPr="00C91DB8">
        <w:rPr>
          <w:lang w:val="fr-FR"/>
        </w:rPr>
        <w:t>1992, qui est le texte supérieur auquel toute législation nationale doit s</w:t>
      </w:r>
      <w:r w:rsidR="00F1573F" w:rsidRPr="00C91DB8">
        <w:rPr>
          <w:lang w:val="fr-FR"/>
        </w:rPr>
        <w:t>e</w:t>
      </w:r>
      <w:r w:rsidRPr="00C91DB8">
        <w:rPr>
          <w:lang w:val="fr-FR"/>
        </w:rPr>
        <w:t xml:space="preserve"> conformer.</w:t>
      </w:r>
    </w:p>
    <w:p w:rsidR="002A17AD" w:rsidRPr="00C91DB8" w:rsidRDefault="008E1AE6" w:rsidP="002A17AD">
      <w:pPr>
        <w:pStyle w:val="SingleTxtG"/>
        <w:numPr>
          <w:ilvl w:val="0"/>
          <w:numId w:val="12"/>
        </w:numPr>
        <w:spacing w:line="240" w:lineRule="auto"/>
        <w:ind w:left="1134" w:firstLine="0"/>
        <w:rPr>
          <w:lang w:val="fr-FR"/>
        </w:rPr>
      </w:pPr>
      <w:r w:rsidRPr="00C91DB8">
        <w:rPr>
          <w:lang w:val="fr-FR"/>
        </w:rPr>
        <w:t>Comme déjà mentionné dans le rapport de l’</w:t>
      </w:r>
      <w:r w:rsidR="002036DA" w:rsidRPr="00C91DB8">
        <w:rPr>
          <w:lang w:val="fr-FR"/>
        </w:rPr>
        <w:t>État</w:t>
      </w:r>
      <w:r w:rsidRPr="00C91DB8">
        <w:rPr>
          <w:lang w:val="fr-FR"/>
        </w:rPr>
        <w:t xml:space="preserve"> partie, la Constitution garantit</w:t>
      </w:r>
      <w:r w:rsidR="002036DA" w:rsidRPr="00C91DB8">
        <w:rPr>
          <w:lang w:val="fr-FR"/>
        </w:rPr>
        <w:t>:</w:t>
      </w:r>
    </w:p>
    <w:p w:rsidR="008E1AE6" w:rsidRPr="00C91DB8" w:rsidRDefault="008E1AE6" w:rsidP="00A605F8">
      <w:pPr>
        <w:pStyle w:val="Bullet1G"/>
        <w:rPr>
          <w:lang w:val="fr-FR"/>
        </w:rPr>
      </w:pPr>
      <w:r w:rsidRPr="00C91DB8">
        <w:rPr>
          <w:lang w:val="fr-FR"/>
        </w:rPr>
        <w:t>Le principe de non</w:t>
      </w:r>
      <w:r w:rsidR="00F1573F" w:rsidRPr="00C91DB8">
        <w:rPr>
          <w:lang w:val="fr-FR"/>
        </w:rPr>
        <w:t>-</w:t>
      </w:r>
      <w:r w:rsidRPr="00C91DB8">
        <w:rPr>
          <w:lang w:val="fr-FR"/>
        </w:rPr>
        <w:t>discrimination et d’égalité de tous devant la loi</w:t>
      </w:r>
      <w:r w:rsidR="00A605F8" w:rsidRPr="00C91DB8">
        <w:rPr>
          <w:lang w:val="fr-FR"/>
        </w:rPr>
        <w:t>;</w:t>
      </w:r>
    </w:p>
    <w:p w:rsidR="008E1AE6" w:rsidRPr="00C91DB8" w:rsidRDefault="008E1AE6" w:rsidP="00A605F8">
      <w:pPr>
        <w:pStyle w:val="Bullet1G"/>
        <w:rPr>
          <w:lang w:val="fr-FR"/>
        </w:rPr>
      </w:pPr>
      <w:r w:rsidRPr="00C91DB8">
        <w:rPr>
          <w:lang w:val="fr-FR"/>
        </w:rPr>
        <w:t>Le droit à la vie, à la liberté, à la sécurité et à l’intégrité physique</w:t>
      </w:r>
      <w:r w:rsidR="00A605F8" w:rsidRPr="00C91DB8">
        <w:rPr>
          <w:lang w:val="fr-FR"/>
        </w:rPr>
        <w:t>;</w:t>
      </w:r>
    </w:p>
    <w:p w:rsidR="008E1AE6" w:rsidRPr="00C91DB8" w:rsidRDefault="008E1AE6" w:rsidP="00A605F8">
      <w:pPr>
        <w:pStyle w:val="Bullet1G"/>
        <w:rPr>
          <w:lang w:val="fr-FR"/>
        </w:rPr>
      </w:pPr>
      <w:r w:rsidRPr="00C91DB8">
        <w:rPr>
          <w:lang w:val="fr-FR"/>
        </w:rPr>
        <w:t>Le droit à un procès équitable</w:t>
      </w:r>
      <w:r w:rsidR="00A605F8" w:rsidRPr="00C91DB8">
        <w:rPr>
          <w:lang w:val="fr-FR"/>
        </w:rPr>
        <w:t>;</w:t>
      </w:r>
    </w:p>
    <w:p w:rsidR="008E1AE6" w:rsidRPr="00C91DB8" w:rsidRDefault="008E1AE6" w:rsidP="00A605F8">
      <w:pPr>
        <w:pStyle w:val="Bullet1G"/>
        <w:rPr>
          <w:lang w:val="fr-FR"/>
        </w:rPr>
      </w:pPr>
      <w:r w:rsidRPr="00C91DB8">
        <w:rPr>
          <w:lang w:val="fr-FR"/>
        </w:rPr>
        <w:t>L’interdiction de la torture et autres peines ou traitements cruels, inhumains et dégradants</w:t>
      </w:r>
      <w:r w:rsidR="00A605F8" w:rsidRPr="00C91DB8">
        <w:rPr>
          <w:lang w:val="fr-FR"/>
        </w:rPr>
        <w:t>;</w:t>
      </w:r>
    </w:p>
    <w:p w:rsidR="008E1AE6" w:rsidRPr="00C91DB8" w:rsidRDefault="008E1AE6" w:rsidP="00A605F8">
      <w:pPr>
        <w:pStyle w:val="Bullet1G"/>
        <w:rPr>
          <w:lang w:val="fr-FR"/>
        </w:rPr>
      </w:pPr>
      <w:r w:rsidRPr="00C91DB8">
        <w:rPr>
          <w:lang w:val="fr-FR"/>
        </w:rPr>
        <w:t>Le droit à la liberté de la presse, d’expression et d’association</w:t>
      </w:r>
      <w:r w:rsidR="00A605F8" w:rsidRPr="00C91DB8">
        <w:rPr>
          <w:lang w:val="fr-FR"/>
        </w:rPr>
        <w:t>;</w:t>
      </w:r>
    </w:p>
    <w:p w:rsidR="002A17AD" w:rsidRPr="00C91DB8" w:rsidRDefault="008E1AE6" w:rsidP="002A17AD">
      <w:pPr>
        <w:pStyle w:val="Bullet1G"/>
        <w:rPr>
          <w:lang w:val="fr-FR"/>
        </w:rPr>
      </w:pPr>
      <w:r w:rsidRPr="00C91DB8">
        <w:rPr>
          <w:lang w:val="fr-FR"/>
        </w:rPr>
        <w:t>La liberté syndicale et le droit de participer à la vie politique du pays.</w:t>
      </w:r>
    </w:p>
    <w:p w:rsidR="002A17AD" w:rsidRPr="00C57A0A" w:rsidRDefault="008E1AE6" w:rsidP="001C0FCE">
      <w:pPr>
        <w:pStyle w:val="SingleTxtG"/>
        <w:numPr>
          <w:ilvl w:val="0"/>
          <w:numId w:val="12"/>
        </w:numPr>
        <w:spacing w:line="240" w:lineRule="auto"/>
        <w:ind w:left="1134" w:firstLine="0"/>
        <w:rPr>
          <w:lang w:val="fr-FR"/>
        </w:rPr>
      </w:pPr>
      <w:r w:rsidRPr="00C91DB8">
        <w:rPr>
          <w:lang w:val="fr-FR"/>
        </w:rPr>
        <w:t xml:space="preserve">Les magistrats et les auxiliaires sont non seulement formés </w:t>
      </w:r>
      <w:r w:rsidR="00B23DCF" w:rsidRPr="00C91DB8">
        <w:rPr>
          <w:lang w:val="fr-FR"/>
        </w:rPr>
        <w:t xml:space="preserve">aux </w:t>
      </w:r>
      <w:r w:rsidRPr="00C91DB8">
        <w:rPr>
          <w:lang w:val="fr-FR"/>
        </w:rPr>
        <w:t>éléments les plus fondamentaux des droits de l’homme, mais ils doivent surtout veiller à ce que les procédures judiciaires soie</w:t>
      </w:r>
      <w:r w:rsidRPr="00C57A0A">
        <w:rPr>
          <w:lang w:val="fr-FR"/>
        </w:rPr>
        <w:t>nt, à peine de nullité, conformes aux principes constitutionnels mentionnés</w:t>
      </w:r>
      <w:r w:rsidR="001C0FCE" w:rsidRPr="00C57A0A">
        <w:rPr>
          <w:lang w:val="fr-FR"/>
        </w:rPr>
        <w:t xml:space="preserve"> ci-après</w:t>
      </w:r>
      <w:r w:rsidRPr="00C57A0A">
        <w:rPr>
          <w:lang w:val="fr-FR"/>
        </w:rPr>
        <w:t>.</w:t>
      </w:r>
    </w:p>
    <w:p w:rsidR="002A17AD" w:rsidRPr="00C91DB8" w:rsidRDefault="008E1AE6" w:rsidP="006D5140">
      <w:pPr>
        <w:pStyle w:val="SingleTxtG"/>
        <w:numPr>
          <w:ilvl w:val="0"/>
          <w:numId w:val="12"/>
        </w:numPr>
        <w:spacing w:line="240" w:lineRule="auto"/>
        <w:ind w:left="1134" w:firstLine="0"/>
        <w:rPr>
          <w:lang w:val="fr-FR"/>
        </w:rPr>
      </w:pPr>
      <w:r w:rsidRPr="00C91DB8">
        <w:rPr>
          <w:lang w:val="fr-FR"/>
        </w:rPr>
        <w:t>Lors d’une instance judiciaire, tout justiciable peut soulever l’exception d’inconstitutionnalité qui consiste à dénoncer l’inconstitutionnalité de la loi susceptible d’être appliqué</w:t>
      </w:r>
      <w:r w:rsidR="0078034B">
        <w:rPr>
          <w:lang w:val="fr-FR"/>
        </w:rPr>
        <w:t>e</w:t>
      </w:r>
      <w:r w:rsidRPr="00C91DB8">
        <w:rPr>
          <w:lang w:val="fr-FR"/>
        </w:rPr>
        <w:t xml:space="preserve"> à l’affaire le concernant. </w:t>
      </w:r>
      <w:r w:rsidR="002036DA" w:rsidRPr="00C91DB8">
        <w:rPr>
          <w:lang w:val="fr-FR"/>
        </w:rPr>
        <w:t>À</w:t>
      </w:r>
      <w:r w:rsidRPr="00C91DB8">
        <w:rPr>
          <w:lang w:val="fr-FR"/>
        </w:rPr>
        <w:t xml:space="preserve"> titre d’illustration, des dispositions qui régissaient la chambre des comptes de la Cour </w:t>
      </w:r>
      <w:r w:rsidR="006D5140">
        <w:rPr>
          <w:lang w:val="fr-FR"/>
        </w:rPr>
        <w:t>s</w:t>
      </w:r>
      <w:r w:rsidRPr="00C91DB8">
        <w:rPr>
          <w:lang w:val="fr-FR"/>
        </w:rPr>
        <w:t>uprême ont été déclarées non</w:t>
      </w:r>
      <w:r w:rsidR="006D5140">
        <w:rPr>
          <w:lang w:val="fr-FR"/>
        </w:rPr>
        <w:t xml:space="preserve"> </w:t>
      </w:r>
      <w:r w:rsidRPr="00C91DB8">
        <w:rPr>
          <w:lang w:val="fr-FR"/>
        </w:rPr>
        <w:t xml:space="preserve">conformes à la </w:t>
      </w:r>
      <w:r w:rsidR="006D5140">
        <w:rPr>
          <w:lang w:val="fr-FR"/>
        </w:rPr>
        <w:t>C</w:t>
      </w:r>
      <w:r w:rsidRPr="00C91DB8">
        <w:rPr>
          <w:lang w:val="fr-FR"/>
        </w:rPr>
        <w:t>onstitution et en particulier au droit à une justice équitable</w:t>
      </w:r>
      <w:r w:rsidR="006D5140">
        <w:rPr>
          <w:lang w:val="fr-FR"/>
        </w:rPr>
        <w:t>.</w:t>
      </w:r>
      <w:r w:rsidRPr="00C91DB8">
        <w:rPr>
          <w:lang w:val="fr-FR"/>
        </w:rPr>
        <w:t xml:space="preserve"> </w:t>
      </w:r>
      <w:r w:rsidR="006D5140">
        <w:rPr>
          <w:lang w:val="fr-FR"/>
        </w:rPr>
        <w:t>C</w:t>
      </w:r>
      <w:r w:rsidRPr="00C91DB8">
        <w:rPr>
          <w:lang w:val="fr-FR"/>
        </w:rPr>
        <w:t xml:space="preserve">ette chambre de la Cour </w:t>
      </w:r>
      <w:r w:rsidR="006D5140">
        <w:rPr>
          <w:lang w:val="fr-FR"/>
        </w:rPr>
        <w:t>s</w:t>
      </w:r>
      <w:r w:rsidRPr="00C91DB8">
        <w:rPr>
          <w:lang w:val="fr-FR"/>
        </w:rPr>
        <w:t>uprême éta</w:t>
      </w:r>
      <w:r w:rsidR="006D5140">
        <w:rPr>
          <w:lang w:val="fr-FR"/>
        </w:rPr>
        <w:t>n</w:t>
      </w:r>
      <w:r w:rsidRPr="00C91DB8">
        <w:rPr>
          <w:lang w:val="fr-FR"/>
        </w:rPr>
        <w:t xml:space="preserve">t à la fois juge de fond et juge suprême, il </w:t>
      </w:r>
      <w:r w:rsidR="006D5140">
        <w:rPr>
          <w:lang w:val="fr-FR"/>
        </w:rPr>
        <w:t xml:space="preserve">n’existait aucun </w:t>
      </w:r>
      <w:r w:rsidRPr="00C91DB8">
        <w:rPr>
          <w:lang w:val="fr-FR"/>
        </w:rPr>
        <w:t>moyen de contester ses décisions.</w:t>
      </w:r>
    </w:p>
    <w:p w:rsidR="002A17AD" w:rsidRPr="00C91DB8" w:rsidRDefault="008E1AE6" w:rsidP="006D5140">
      <w:pPr>
        <w:pStyle w:val="SingleTxtG"/>
        <w:numPr>
          <w:ilvl w:val="0"/>
          <w:numId w:val="12"/>
        </w:numPr>
        <w:spacing w:line="240" w:lineRule="auto"/>
        <w:ind w:left="1134" w:firstLine="0"/>
        <w:rPr>
          <w:lang w:val="fr-FR"/>
        </w:rPr>
      </w:pPr>
      <w:r w:rsidRPr="00C91DB8">
        <w:rPr>
          <w:lang w:val="fr-FR"/>
        </w:rPr>
        <w:t xml:space="preserve">Ce bémol juridique a été corrigé. La chambre des comptes de la </w:t>
      </w:r>
      <w:r w:rsidR="006D5140">
        <w:rPr>
          <w:lang w:val="fr-FR"/>
        </w:rPr>
        <w:t>C</w:t>
      </w:r>
      <w:r w:rsidRPr="00C91DB8">
        <w:rPr>
          <w:lang w:val="fr-FR"/>
        </w:rPr>
        <w:t xml:space="preserve">our suprême a été transformée en une cour des comptes dont les décisions peuvent </w:t>
      </w:r>
      <w:r w:rsidR="006D5140">
        <w:rPr>
          <w:lang w:val="fr-FR"/>
        </w:rPr>
        <w:t xml:space="preserve">être </w:t>
      </w:r>
      <w:r w:rsidRPr="00C91DB8">
        <w:rPr>
          <w:lang w:val="fr-FR"/>
        </w:rPr>
        <w:t>attaqu</w:t>
      </w:r>
      <w:r w:rsidR="006D5140">
        <w:rPr>
          <w:lang w:val="fr-FR"/>
        </w:rPr>
        <w:t>ées</w:t>
      </w:r>
      <w:r w:rsidRPr="00C91DB8">
        <w:rPr>
          <w:lang w:val="fr-FR"/>
        </w:rPr>
        <w:t xml:space="preserve"> devant la Cour </w:t>
      </w:r>
      <w:r w:rsidR="006D5140">
        <w:rPr>
          <w:lang w:val="fr-FR"/>
        </w:rPr>
        <w:t>s</w:t>
      </w:r>
      <w:r w:rsidRPr="00C91DB8">
        <w:rPr>
          <w:lang w:val="fr-FR"/>
        </w:rPr>
        <w:t>uprême qui est la juridiction judiciaire suprême du pays.</w:t>
      </w:r>
    </w:p>
    <w:p w:rsidR="002A17AD" w:rsidRPr="00C91DB8" w:rsidRDefault="008E1AE6" w:rsidP="006D5140">
      <w:pPr>
        <w:pStyle w:val="SingleTxtG"/>
        <w:numPr>
          <w:ilvl w:val="0"/>
          <w:numId w:val="12"/>
        </w:numPr>
        <w:spacing w:line="240" w:lineRule="auto"/>
        <w:ind w:left="1134" w:firstLine="0"/>
        <w:rPr>
          <w:lang w:val="fr-FR"/>
        </w:rPr>
      </w:pPr>
      <w:r w:rsidRPr="00C91DB8">
        <w:rPr>
          <w:lang w:val="fr-FR"/>
        </w:rPr>
        <w:t>Toujours</w:t>
      </w:r>
      <w:r w:rsidR="006D5140">
        <w:rPr>
          <w:lang w:val="fr-FR"/>
        </w:rPr>
        <w:t xml:space="preserve"> concernant </w:t>
      </w:r>
      <w:r w:rsidRPr="00C91DB8">
        <w:rPr>
          <w:lang w:val="fr-FR"/>
        </w:rPr>
        <w:t xml:space="preserve">le cadre d’un procès équitable, les juges annulent </w:t>
      </w:r>
      <w:r w:rsidR="006D5140">
        <w:rPr>
          <w:lang w:val="fr-FR"/>
        </w:rPr>
        <w:t xml:space="preserve">une </w:t>
      </w:r>
      <w:r w:rsidRPr="00C91DB8">
        <w:rPr>
          <w:lang w:val="fr-FR"/>
        </w:rPr>
        <w:t>procédure s’il est fourni la preuve que le prévenu a demandé un avocat et n’</w:t>
      </w:r>
      <w:r w:rsidR="006D5140">
        <w:rPr>
          <w:lang w:val="fr-FR"/>
        </w:rPr>
        <w:t xml:space="preserve">en </w:t>
      </w:r>
      <w:r w:rsidRPr="00C91DB8">
        <w:rPr>
          <w:lang w:val="fr-FR"/>
        </w:rPr>
        <w:t>a pas obtenu.</w:t>
      </w:r>
    </w:p>
    <w:p w:rsidR="008E1AE6" w:rsidRPr="00C91DB8" w:rsidRDefault="008E1AE6" w:rsidP="00B80AB3">
      <w:pPr>
        <w:pStyle w:val="SingleTxtG"/>
        <w:numPr>
          <w:ilvl w:val="0"/>
          <w:numId w:val="12"/>
        </w:numPr>
        <w:spacing w:line="240" w:lineRule="auto"/>
        <w:ind w:left="1134" w:firstLine="0"/>
        <w:rPr>
          <w:lang w:val="fr-FR"/>
        </w:rPr>
      </w:pPr>
      <w:r w:rsidRPr="00C91DB8">
        <w:rPr>
          <w:lang w:val="fr-FR"/>
        </w:rPr>
        <w:t xml:space="preserve">Comme nous </w:t>
      </w:r>
      <w:r w:rsidR="006D5140">
        <w:rPr>
          <w:lang w:val="fr-FR"/>
        </w:rPr>
        <w:t>l’</w:t>
      </w:r>
      <w:r w:rsidRPr="00C91DB8">
        <w:rPr>
          <w:lang w:val="fr-FR"/>
        </w:rPr>
        <w:t xml:space="preserve">avons déjà indiqué dans nos réponses à vos collègues du Comité des </w:t>
      </w:r>
      <w:r w:rsidR="006D5140">
        <w:rPr>
          <w:lang w:val="fr-FR"/>
        </w:rPr>
        <w:t>d</w:t>
      </w:r>
      <w:r w:rsidRPr="00C91DB8">
        <w:rPr>
          <w:lang w:val="fr-FR"/>
        </w:rPr>
        <w:t xml:space="preserve">roits </w:t>
      </w:r>
      <w:r w:rsidR="006D5140">
        <w:rPr>
          <w:lang w:val="fr-FR"/>
        </w:rPr>
        <w:t>é</w:t>
      </w:r>
      <w:r w:rsidRPr="00C91DB8">
        <w:rPr>
          <w:lang w:val="fr-FR"/>
        </w:rPr>
        <w:t xml:space="preserve">conomiques, </w:t>
      </w:r>
      <w:r w:rsidR="006D5140">
        <w:rPr>
          <w:lang w:val="fr-FR"/>
        </w:rPr>
        <w:t>s</w:t>
      </w:r>
      <w:r w:rsidRPr="00C91DB8">
        <w:rPr>
          <w:lang w:val="fr-FR"/>
        </w:rPr>
        <w:t xml:space="preserve">ociaux et </w:t>
      </w:r>
      <w:r w:rsidR="006D5140">
        <w:rPr>
          <w:lang w:val="fr-FR"/>
        </w:rPr>
        <w:t>c</w:t>
      </w:r>
      <w:r w:rsidRPr="00C91DB8">
        <w:rPr>
          <w:lang w:val="fr-FR"/>
        </w:rPr>
        <w:t xml:space="preserve">ulturels </w:t>
      </w:r>
      <w:r w:rsidR="006D5140">
        <w:rPr>
          <w:lang w:val="fr-FR"/>
        </w:rPr>
        <w:t>ainsi qu’</w:t>
      </w:r>
      <w:r w:rsidRPr="00C91DB8">
        <w:rPr>
          <w:lang w:val="fr-FR"/>
        </w:rPr>
        <w:t xml:space="preserve">au </w:t>
      </w:r>
      <w:r w:rsidRPr="006D5140">
        <w:rPr>
          <w:lang w:val="fr-FR"/>
        </w:rPr>
        <w:t xml:space="preserve">Conseil des </w:t>
      </w:r>
      <w:r w:rsidR="006D5140" w:rsidRPr="006D5140">
        <w:rPr>
          <w:lang w:val="fr-FR"/>
        </w:rPr>
        <w:t>d</w:t>
      </w:r>
      <w:r w:rsidRPr="006D5140">
        <w:rPr>
          <w:lang w:val="fr-FR"/>
        </w:rPr>
        <w:t>roits de l’</w:t>
      </w:r>
      <w:r w:rsidR="006D5140" w:rsidRPr="006D5140">
        <w:rPr>
          <w:lang w:val="fr-FR"/>
        </w:rPr>
        <w:t>h</w:t>
      </w:r>
      <w:r w:rsidRPr="006D5140">
        <w:rPr>
          <w:lang w:val="fr-FR"/>
        </w:rPr>
        <w:t>omme lo</w:t>
      </w:r>
      <w:r w:rsidRPr="00C91DB8">
        <w:rPr>
          <w:lang w:val="fr-FR"/>
        </w:rPr>
        <w:t xml:space="preserve">rs de </w:t>
      </w:r>
      <w:r w:rsidRPr="006D5140">
        <w:rPr>
          <w:lang w:val="fr-FR"/>
        </w:rPr>
        <w:t>l’E</w:t>
      </w:r>
      <w:r w:rsidR="006D5140" w:rsidRPr="006D5140">
        <w:rPr>
          <w:lang w:val="fr-FR"/>
        </w:rPr>
        <w:t>xamen périodique universel (E</w:t>
      </w:r>
      <w:r w:rsidRPr="006D5140">
        <w:rPr>
          <w:lang w:val="fr-FR"/>
        </w:rPr>
        <w:t>PU</w:t>
      </w:r>
      <w:r w:rsidR="006D5140" w:rsidRPr="006D5140">
        <w:rPr>
          <w:lang w:val="fr-FR"/>
        </w:rPr>
        <w:t>)</w:t>
      </w:r>
      <w:r w:rsidRPr="00C91DB8">
        <w:rPr>
          <w:lang w:val="fr-FR"/>
        </w:rPr>
        <w:t>, l’</w:t>
      </w:r>
      <w:r w:rsidR="002036DA" w:rsidRPr="00C91DB8">
        <w:rPr>
          <w:lang w:val="fr-FR"/>
        </w:rPr>
        <w:t>État</w:t>
      </w:r>
      <w:r w:rsidRPr="00C91DB8">
        <w:rPr>
          <w:lang w:val="fr-FR"/>
        </w:rPr>
        <w:t xml:space="preserve"> partie a, dès le lendemain d</w:t>
      </w:r>
      <w:r w:rsidRPr="00372B55">
        <w:rPr>
          <w:lang w:val="fr-FR"/>
        </w:rPr>
        <w:t>e son passage au premier cycle de l’EPU (17-18</w:t>
      </w:r>
      <w:r w:rsidR="002036DA" w:rsidRPr="00372B55">
        <w:rPr>
          <w:lang w:val="fr-FR"/>
        </w:rPr>
        <w:t> f</w:t>
      </w:r>
      <w:r w:rsidRPr="00372B55">
        <w:rPr>
          <w:lang w:val="fr-FR"/>
        </w:rPr>
        <w:t>évrier 2009)</w:t>
      </w:r>
      <w:r w:rsidR="006D5140" w:rsidRPr="00372B55">
        <w:rPr>
          <w:lang w:val="fr-FR"/>
        </w:rPr>
        <w:t>,</w:t>
      </w:r>
      <w:r w:rsidRPr="00372B55">
        <w:rPr>
          <w:lang w:val="fr-FR"/>
        </w:rPr>
        <w:t xml:space="preserve"> signé avec le système des Nations Unies un plan de travail biannuel intitulé «</w:t>
      </w:r>
      <w:r w:rsidRPr="00372B55">
        <w:t>Programme d’appui en matière des droits de l’</w:t>
      </w:r>
      <w:r w:rsidR="00372B55" w:rsidRPr="00372B55">
        <w:t>h</w:t>
      </w:r>
      <w:r w:rsidRPr="00372B55">
        <w:t>omme au gouvernement (magistrat, police, Gendarme, administration pénitentiaire, comité interministériel de processus de rédaction des rapports), à la CNDH</w:t>
      </w:r>
      <w:r w:rsidRPr="00372B55">
        <w:rPr>
          <w:lang w:val="fr-FR"/>
        </w:rPr>
        <w:t>, et à la société civile)».</w:t>
      </w:r>
    </w:p>
    <w:p w:rsidR="002A17AD" w:rsidRPr="00C91DB8" w:rsidRDefault="008E1AE6" w:rsidP="002A17AD">
      <w:pPr>
        <w:pStyle w:val="SingleTxtG"/>
        <w:numPr>
          <w:ilvl w:val="0"/>
          <w:numId w:val="12"/>
        </w:numPr>
        <w:spacing w:line="240" w:lineRule="auto"/>
        <w:ind w:left="1134" w:firstLine="0"/>
        <w:rPr>
          <w:lang w:val="fr-FR"/>
        </w:rPr>
      </w:pPr>
      <w:r w:rsidRPr="00C91DB8">
        <w:rPr>
          <w:lang w:val="fr-FR"/>
        </w:rPr>
        <w:t>Ce programme</w:t>
      </w:r>
      <w:r w:rsidR="004253CA">
        <w:rPr>
          <w:lang w:val="fr-FR"/>
        </w:rPr>
        <w:t>,</w:t>
      </w:r>
      <w:r w:rsidRPr="00C91DB8">
        <w:rPr>
          <w:lang w:val="fr-FR"/>
        </w:rPr>
        <w:t xml:space="preserve"> régulièrement reconduit depuis, comporte un important volet formation.</w:t>
      </w:r>
    </w:p>
    <w:p w:rsidR="002A17AD" w:rsidRPr="00C91DB8" w:rsidRDefault="008E1AE6" w:rsidP="004253CA">
      <w:pPr>
        <w:pStyle w:val="SingleTxtG"/>
        <w:numPr>
          <w:ilvl w:val="0"/>
          <w:numId w:val="12"/>
        </w:numPr>
        <w:spacing w:line="240" w:lineRule="auto"/>
        <w:ind w:left="1134" w:firstLine="0"/>
        <w:rPr>
          <w:lang w:val="fr-FR"/>
        </w:rPr>
      </w:pPr>
      <w:r w:rsidRPr="00C91DB8">
        <w:rPr>
          <w:lang w:val="fr-FR"/>
        </w:rPr>
        <w:t xml:space="preserve">Ainsi, des formations clés ont été organisées </w:t>
      </w:r>
      <w:r w:rsidR="004253CA">
        <w:rPr>
          <w:lang w:val="fr-FR"/>
        </w:rPr>
        <w:t xml:space="preserve">pour les </w:t>
      </w:r>
      <w:r w:rsidRPr="00C91DB8">
        <w:rPr>
          <w:lang w:val="fr-FR"/>
        </w:rPr>
        <w:t xml:space="preserve">membres de la famille judiciaire, la société civile et </w:t>
      </w:r>
      <w:r w:rsidR="004253CA">
        <w:rPr>
          <w:lang w:val="fr-FR"/>
        </w:rPr>
        <w:t xml:space="preserve">les </w:t>
      </w:r>
      <w:r w:rsidRPr="00C91DB8">
        <w:rPr>
          <w:lang w:val="fr-FR"/>
        </w:rPr>
        <w:t>journalistes. En voici quelques exemples</w:t>
      </w:r>
      <w:r w:rsidR="002036DA" w:rsidRPr="00C91DB8">
        <w:rPr>
          <w:lang w:val="fr-FR"/>
        </w:rPr>
        <w:t>:</w:t>
      </w:r>
    </w:p>
    <w:p w:rsidR="008E1AE6" w:rsidRPr="00C91DB8" w:rsidRDefault="004253CA" w:rsidP="004253CA">
      <w:pPr>
        <w:pStyle w:val="Bullet1G"/>
        <w:rPr>
          <w:lang w:val="fr-FR"/>
        </w:rPr>
      </w:pPr>
      <w:r>
        <w:rPr>
          <w:lang w:val="fr-FR"/>
        </w:rPr>
        <w:t>D</w:t>
      </w:r>
      <w:r w:rsidR="008E1AE6" w:rsidRPr="00C91DB8">
        <w:rPr>
          <w:lang w:val="fr-FR"/>
        </w:rPr>
        <w:t xml:space="preserve">u 8 au 11 novembre 2010, un atelier de sensibilisation </w:t>
      </w:r>
      <w:r>
        <w:rPr>
          <w:lang w:val="fr-FR"/>
        </w:rPr>
        <w:t xml:space="preserve">aux </w:t>
      </w:r>
      <w:r w:rsidR="008E1AE6" w:rsidRPr="00C91DB8">
        <w:rPr>
          <w:lang w:val="fr-FR"/>
        </w:rPr>
        <w:t xml:space="preserve">droits de l’homme ciblant les représentants de la police nationale, </w:t>
      </w:r>
      <w:r>
        <w:rPr>
          <w:lang w:val="fr-FR"/>
        </w:rPr>
        <w:t xml:space="preserve">la </w:t>
      </w:r>
      <w:r w:rsidR="008E1AE6" w:rsidRPr="00C91DB8">
        <w:rPr>
          <w:lang w:val="fr-FR"/>
        </w:rPr>
        <w:t xml:space="preserve">gendarmerie et </w:t>
      </w:r>
      <w:r>
        <w:rPr>
          <w:lang w:val="fr-FR"/>
        </w:rPr>
        <w:t xml:space="preserve">les </w:t>
      </w:r>
      <w:r w:rsidR="008E1AE6" w:rsidRPr="00C91DB8">
        <w:rPr>
          <w:lang w:val="fr-FR"/>
        </w:rPr>
        <w:t>surveillants pénitentiaires.</w:t>
      </w:r>
    </w:p>
    <w:p w:rsidR="008E1AE6" w:rsidRPr="00C91DB8" w:rsidRDefault="004253CA" w:rsidP="004253CA">
      <w:pPr>
        <w:pStyle w:val="Bullet1G"/>
        <w:rPr>
          <w:lang w:val="fr-FR"/>
        </w:rPr>
      </w:pPr>
      <w:r>
        <w:rPr>
          <w:lang w:val="fr-FR"/>
        </w:rPr>
        <w:t xml:space="preserve">Les </w:t>
      </w:r>
      <w:r w:rsidR="008E1AE6" w:rsidRPr="00C91DB8">
        <w:rPr>
          <w:lang w:val="fr-FR"/>
        </w:rPr>
        <w:t xml:space="preserve">22 </w:t>
      </w:r>
      <w:r>
        <w:rPr>
          <w:lang w:val="fr-FR"/>
        </w:rPr>
        <w:t xml:space="preserve">et </w:t>
      </w:r>
      <w:r w:rsidR="008E1AE6" w:rsidRPr="00C91DB8">
        <w:rPr>
          <w:lang w:val="fr-FR"/>
        </w:rPr>
        <w:t>23 janvier 2012, un atelier de formation à l’endroit des magistrats et des avocats sur la procédure judiciaire et les droits de l’homme.</w:t>
      </w:r>
    </w:p>
    <w:p w:rsidR="002A17AD" w:rsidRPr="00C91DB8" w:rsidRDefault="004253CA" w:rsidP="004253CA">
      <w:pPr>
        <w:pStyle w:val="Bullet1G"/>
        <w:rPr>
          <w:lang w:val="fr-FR"/>
        </w:rPr>
      </w:pPr>
      <w:r>
        <w:rPr>
          <w:lang w:val="fr-FR"/>
        </w:rPr>
        <w:t xml:space="preserve">Les </w:t>
      </w:r>
      <w:r w:rsidR="008E1AE6" w:rsidRPr="00C91DB8">
        <w:rPr>
          <w:lang w:val="fr-FR"/>
        </w:rPr>
        <w:t xml:space="preserve">5 </w:t>
      </w:r>
      <w:r>
        <w:rPr>
          <w:lang w:val="fr-FR"/>
        </w:rPr>
        <w:t xml:space="preserve">et </w:t>
      </w:r>
      <w:r w:rsidR="008E1AE6" w:rsidRPr="00C91DB8">
        <w:rPr>
          <w:lang w:val="fr-FR"/>
        </w:rPr>
        <w:t>6 novembre 2012</w:t>
      </w:r>
      <w:r>
        <w:rPr>
          <w:lang w:val="fr-FR"/>
        </w:rPr>
        <w:t>,</w:t>
      </w:r>
      <w:r w:rsidR="008E1AE6" w:rsidRPr="00C91DB8">
        <w:rPr>
          <w:lang w:val="fr-FR"/>
        </w:rPr>
        <w:t xml:space="preserve"> un atelier de formation sur le rôle des journalistes dans la promotion et la protection des droits de l’homme.</w:t>
      </w:r>
    </w:p>
    <w:p w:rsidR="002A17AD" w:rsidRPr="00630200" w:rsidRDefault="002036DA" w:rsidP="004253CA">
      <w:pPr>
        <w:pStyle w:val="Bullet1G"/>
        <w:rPr>
          <w:lang w:val="fr-FR"/>
        </w:rPr>
      </w:pPr>
      <w:r w:rsidRPr="00C91DB8">
        <w:rPr>
          <w:lang w:val="fr-FR"/>
        </w:rPr>
        <w:t xml:space="preserve">Les </w:t>
      </w:r>
      <w:r w:rsidR="008E1AE6" w:rsidRPr="00C91DB8">
        <w:rPr>
          <w:lang w:val="fr-FR"/>
        </w:rPr>
        <w:t>3</w:t>
      </w:r>
      <w:r w:rsidRPr="00C91DB8">
        <w:rPr>
          <w:lang w:val="fr-FR"/>
        </w:rPr>
        <w:t xml:space="preserve"> et </w:t>
      </w:r>
      <w:r w:rsidR="008E1AE6" w:rsidRPr="00C91DB8">
        <w:rPr>
          <w:lang w:val="fr-FR"/>
        </w:rPr>
        <w:t xml:space="preserve">4 juin 2013, </w:t>
      </w:r>
      <w:r w:rsidR="004253CA">
        <w:rPr>
          <w:lang w:val="fr-FR"/>
        </w:rPr>
        <w:t xml:space="preserve">un </w:t>
      </w:r>
      <w:r w:rsidR="008E1AE6" w:rsidRPr="00C91DB8">
        <w:rPr>
          <w:lang w:val="fr-FR"/>
        </w:rPr>
        <w:t>atelier de formation sur le</w:t>
      </w:r>
      <w:r w:rsidR="008E1AE6" w:rsidRPr="00630200">
        <w:rPr>
          <w:lang w:val="fr-FR"/>
        </w:rPr>
        <w:t xml:space="preserve">s deux pactes ainsi que les protocoles s’y rapportant à l’endroit du corps judiciaire et de la </w:t>
      </w:r>
      <w:r w:rsidR="004253CA" w:rsidRPr="00630200">
        <w:rPr>
          <w:lang w:val="fr-FR"/>
        </w:rPr>
        <w:t>s</w:t>
      </w:r>
      <w:r w:rsidR="008E1AE6" w:rsidRPr="00630200">
        <w:rPr>
          <w:lang w:val="fr-FR"/>
        </w:rPr>
        <w:t>ociété civile. Ce dernier a été organisé dans l’optique de la soumission des deux rapports sur les pactes.</w:t>
      </w:r>
    </w:p>
    <w:p w:rsidR="002A17AD" w:rsidRPr="00C91DB8" w:rsidRDefault="00CC3212" w:rsidP="00CC3212">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2 de la liste </w:t>
      </w:r>
    </w:p>
    <w:p w:rsidR="008E1AE6" w:rsidRPr="00C91DB8" w:rsidRDefault="008E1AE6" w:rsidP="00015270">
      <w:pPr>
        <w:pStyle w:val="SingleTxtG"/>
        <w:numPr>
          <w:ilvl w:val="0"/>
          <w:numId w:val="12"/>
        </w:numPr>
        <w:spacing w:line="240" w:lineRule="auto"/>
        <w:ind w:left="1134" w:firstLine="0"/>
        <w:rPr>
          <w:lang w:val="fr-FR"/>
        </w:rPr>
      </w:pPr>
      <w:r w:rsidRPr="00C91DB8">
        <w:rPr>
          <w:lang w:val="fr-FR"/>
        </w:rPr>
        <w:t xml:space="preserve">Le </w:t>
      </w:r>
      <w:r w:rsidR="004253CA">
        <w:rPr>
          <w:lang w:val="fr-FR"/>
        </w:rPr>
        <w:t>G</w:t>
      </w:r>
      <w:r w:rsidRPr="00C91DB8">
        <w:rPr>
          <w:lang w:val="fr-FR"/>
        </w:rPr>
        <w:t xml:space="preserve">ouvernement a adopté en avril 2012 un décret garantissant aux membres de la </w:t>
      </w:r>
      <w:r w:rsidR="00392C53">
        <w:rPr>
          <w:lang w:val="fr-FR"/>
        </w:rPr>
        <w:t>Commission nationale des droits de l</w:t>
      </w:r>
      <w:r w:rsidR="00392C53">
        <w:rPr>
          <w:rFonts w:hint="eastAsia"/>
          <w:lang w:val="fr-FR"/>
        </w:rPr>
        <w:t>’</w:t>
      </w:r>
      <w:r w:rsidR="00392C53">
        <w:rPr>
          <w:lang w:val="fr-FR"/>
        </w:rPr>
        <w:t>homme</w:t>
      </w:r>
      <w:r w:rsidRPr="00C91DB8">
        <w:rPr>
          <w:lang w:val="fr-FR"/>
        </w:rPr>
        <w:t xml:space="preserve"> l’indépendance et l’immunité nécessaire pour s’acquitter de leur mission. </w:t>
      </w:r>
      <w:r w:rsidR="00015270">
        <w:rPr>
          <w:lang w:val="fr-FR"/>
        </w:rPr>
        <w:t xml:space="preserve">Le Gouvernement </w:t>
      </w:r>
      <w:r w:rsidRPr="00C91DB8">
        <w:rPr>
          <w:lang w:val="fr-FR"/>
        </w:rPr>
        <w:t xml:space="preserve">est également en train de réviser l’ensemble des textes régissant la Commission </w:t>
      </w:r>
      <w:r w:rsidR="002036DA" w:rsidRPr="00C91DB8">
        <w:rPr>
          <w:lang w:val="fr-FR"/>
        </w:rPr>
        <w:t>n</w:t>
      </w:r>
      <w:r w:rsidRPr="00C91DB8">
        <w:rPr>
          <w:lang w:val="fr-FR"/>
        </w:rPr>
        <w:t xml:space="preserve">ationale des </w:t>
      </w:r>
      <w:r w:rsidR="002036DA" w:rsidRPr="00C91DB8">
        <w:rPr>
          <w:lang w:val="fr-FR"/>
        </w:rPr>
        <w:t>d</w:t>
      </w:r>
      <w:r w:rsidRPr="00C91DB8">
        <w:rPr>
          <w:lang w:val="fr-FR"/>
        </w:rPr>
        <w:t>roits de l’</w:t>
      </w:r>
      <w:r w:rsidR="002036DA" w:rsidRPr="00C91DB8">
        <w:rPr>
          <w:lang w:val="fr-FR"/>
        </w:rPr>
        <w:t>h</w:t>
      </w:r>
      <w:r w:rsidRPr="00C91DB8">
        <w:rPr>
          <w:lang w:val="fr-FR"/>
        </w:rPr>
        <w:t xml:space="preserve">omme pour la rendre conforme aux </w:t>
      </w:r>
      <w:r w:rsidR="00015270" w:rsidRPr="00015270">
        <w:rPr>
          <w:bCs/>
          <w:spacing w:val="-2"/>
          <w:lang w:val="fr-FR"/>
        </w:rPr>
        <w:t>Principes concernant le statut des institutions nationales pour la promotion et la protection des droits de l’homme (</w:t>
      </w:r>
      <w:r w:rsidR="00015270">
        <w:rPr>
          <w:lang w:val="fr-FR"/>
        </w:rPr>
        <w:t>P</w:t>
      </w:r>
      <w:r w:rsidRPr="00C91DB8">
        <w:rPr>
          <w:lang w:val="fr-FR"/>
        </w:rPr>
        <w:t>rincipes de Paris</w:t>
      </w:r>
      <w:r w:rsidR="00015270">
        <w:rPr>
          <w:lang w:val="fr-FR"/>
        </w:rPr>
        <w:t>)</w:t>
      </w:r>
      <w:r w:rsidRPr="00C91DB8">
        <w:rPr>
          <w:lang w:val="fr-FR"/>
        </w:rPr>
        <w:t xml:space="preserve">. Les capacités de la Commission </w:t>
      </w:r>
      <w:r w:rsidR="00392C53">
        <w:rPr>
          <w:lang w:val="fr-FR"/>
        </w:rPr>
        <w:t>n</w:t>
      </w:r>
      <w:r w:rsidRPr="00C91DB8">
        <w:rPr>
          <w:lang w:val="fr-FR"/>
        </w:rPr>
        <w:t xml:space="preserve">ationale des </w:t>
      </w:r>
      <w:r w:rsidR="00392C53">
        <w:rPr>
          <w:lang w:val="fr-FR"/>
        </w:rPr>
        <w:t>d</w:t>
      </w:r>
      <w:r w:rsidRPr="00C91DB8">
        <w:rPr>
          <w:lang w:val="fr-FR"/>
        </w:rPr>
        <w:t>roits de l’</w:t>
      </w:r>
      <w:r w:rsidR="00392C53">
        <w:rPr>
          <w:lang w:val="fr-FR"/>
        </w:rPr>
        <w:t>h</w:t>
      </w:r>
      <w:r w:rsidRPr="00C91DB8">
        <w:rPr>
          <w:lang w:val="fr-FR"/>
        </w:rPr>
        <w:t>omme sont renforcées aussi bien par l’</w:t>
      </w:r>
      <w:r w:rsidR="002036DA" w:rsidRPr="00C91DB8">
        <w:rPr>
          <w:lang w:val="fr-FR"/>
        </w:rPr>
        <w:t>État</w:t>
      </w:r>
      <w:r w:rsidRPr="00C91DB8">
        <w:rPr>
          <w:lang w:val="fr-FR"/>
        </w:rPr>
        <w:t xml:space="preserve"> que par les </w:t>
      </w:r>
      <w:r w:rsidR="00015270">
        <w:rPr>
          <w:lang w:val="fr-FR"/>
        </w:rPr>
        <w:t>p</w:t>
      </w:r>
      <w:r w:rsidRPr="00C91DB8">
        <w:rPr>
          <w:lang w:val="fr-FR"/>
        </w:rPr>
        <w:t xml:space="preserve">artenaires </w:t>
      </w:r>
      <w:r w:rsidR="00015270">
        <w:rPr>
          <w:lang w:val="fr-FR"/>
        </w:rPr>
        <w:t>t</w:t>
      </w:r>
      <w:r w:rsidRPr="00C91DB8">
        <w:rPr>
          <w:lang w:val="fr-FR"/>
        </w:rPr>
        <w:t xml:space="preserve">echniques et </w:t>
      </w:r>
      <w:r w:rsidR="00015270">
        <w:rPr>
          <w:lang w:val="fr-FR"/>
        </w:rPr>
        <w:t>f</w:t>
      </w:r>
      <w:r w:rsidRPr="00C91DB8">
        <w:rPr>
          <w:lang w:val="fr-FR"/>
        </w:rPr>
        <w:t xml:space="preserve">inanciers. </w:t>
      </w:r>
      <w:r w:rsidR="00015270">
        <w:rPr>
          <w:lang w:val="fr-FR"/>
        </w:rPr>
        <w:t xml:space="preserve">La Commission </w:t>
      </w:r>
      <w:r w:rsidRPr="00C91DB8">
        <w:rPr>
          <w:lang w:val="fr-FR"/>
        </w:rPr>
        <w:t xml:space="preserve">dispose à ce jour de moyens </w:t>
      </w:r>
      <w:r w:rsidR="00015270">
        <w:rPr>
          <w:lang w:val="fr-FR"/>
        </w:rPr>
        <w:t>b</w:t>
      </w:r>
      <w:r w:rsidRPr="00C91DB8">
        <w:rPr>
          <w:lang w:val="fr-FR"/>
        </w:rPr>
        <w:t>udgétaires, de locaux adaptés et d’un personnel. Des députés prépare</w:t>
      </w:r>
      <w:r w:rsidR="00015270">
        <w:rPr>
          <w:lang w:val="fr-FR"/>
        </w:rPr>
        <w:t>nt</w:t>
      </w:r>
      <w:r w:rsidRPr="00C91DB8">
        <w:rPr>
          <w:lang w:val="fr-FR"/>
        </w:rPr>
        <w:t xml:space="preserve"> une proposition de loi pour remplacer le décret portant création de la </w:t>
      </w:r>
      <w:r w:rsidR="00392C53">
        <w:rPr>
          <w:lang w:val="fr-FR"/>
        </w:rPr>
        <w:t>Commission nationale des droits de l</w:t>
      </w:r>
      <w:r w:rsidR="00392C53">
        <w:rPr>
          <w:rFonts w:hint="eastAsia"/>
          <w:lang w:val="fr-FR"/>
        </w:rPr>
        <w:t>’</w:t>
      </w:r>
      <w:r w:rsidR="00392C53">
        <w:rPr>
          <w:lang w:val="fr-FR"/>
        </w:rPr>
        <w:t>homm</w:t>
      </w:r>
      <w:r w:rsidR="00392C53" w:rsidRPr="00003F40">
        <w:rPr>
          <w:lang w:val="fr-FR"/>
        </w:rPr>
        <w:t>e</w:t>
      </w:r>
      <w:r w:rsidRPr="00003F40">
        <w:rPr>
          <w:lang w:val="fr-FR"/>
        </w:rPr>
        <w:t xml:space="preserve"> qui devrait être adopté </w:t>
      </w:r>
      <w:r w:rsidR="00015270" w:rsidRPr="00003F40">
        <w:rPr>
          <w:lang w:val="fr-FR"/>
        </w:rPr>
        <w:t xml:space="preserve">dans le </w:t>
      </w:r>
      <w:r w:rsidRPr="00003F40">
        <w:rPr>
          <w:lang w:val="fr-FR"/>
        </w:rPr>
        <w:t xml:space="preserve">courant de l’année pour la rendre conforme aux </w:t>
      </w:r>
      <w:r w:rsidR="00015270" w:rsidRPr="00003F40">
        <w:rPr>
          <w:lang w:val="fr-FR"/>
        </w:rPr>
        <w:t>P</w:t>
      </w:r>
      <w:r w:rsidRPr="00003F40">
        <w:rPr>
          <w:lang w:val="fr-FR"/>
        </w:rPr>
        <w:t xml:space="preserve">rincipes de Paris et envisager par conséquent son adhésion au Comité </w:t>
      </w:r>
      <w:r w:rsidR="00015270" w:rsidRPr="00003F40">
        <w:rPr>
          <w:lang w:val="fr-FR"/>
        </w:rPr>
        <w:t>i</w:t>
      </w:r>
      <w:r w:rsidRPr="00003F40">
        <w:rPr>
          <w:lang w:val="fr-FR"/>
        </w:rPr>
        <w:t xml:space="preserve">nternational de </w:t>
      </w:r>
      <w:r w:rsidR="00015270" w:rsidRPr="00003F40">
        <w:rPr>
          <w:lang w:val="fr-FR"/>
        </w:rPr>
        <w:t>c</w:t>
      </w:r>
      <w:r w:rsidRPr="00003F40">
        <w:rPr>
          <w:lang w:val="fr-FR"/>
        </w:rPr>
        <w:t>oordinatio</w:t>
      </w:r>
      <w:r w:rsidRPr="00C91DB8">
        <w:rPr>
          <w:lang w:val="fr-FR"/>
        </w:rPr>
        <w:t>n</w:t>
      </w:r>
      <w:r w:rsidR="00015270">
        <w:rPr>
          <w:lang w:val="fr-FR"/>
        </w:rPr>
        <w:t xml:space="preserve"> des institutions nationales pour la promotion et la protection des droits de l’homme</w:t>
      </w:r>
      <w:r w:rsidRPr="00C91DB8">
        <w:rPr>
          <w:lang w:val="fr-FR"/>
        </w:rPr>
        <w:t>.</w:t>
      </w:r>
    </w:p>
    <w:p w:rsidR="002A17AD" w:rsidRPr="00C91DB8" w:rsidRDefault="008E1AE6" w:rsidP="00015270">
      <w:pPr>
        <w:pStyle w:val="SingleTxtG"/>
        <w:numPr>
          <w:ilvl w:val="0"/>
          <w:numId w:val="12"/>
        </w:numPr>
        <w:spacing w:line="240" w:lineRule="auto"/>
        <w:ind w:left="1134" w:firstLine="0"/>
        <w:rPr>
          <w:lang w:val="fr-FR"/>
        </w:rPr>
      </w:pPr>
      <w:r w:rsidRPr="00C91DB8">
        <w:rPr>
          <w:lang w:val="fr-FR"/>
        </w:rPr>
        <w:t xml:space="preserve">La </w:t>
      </w:r>
      <w:r w:rsidR="00392C53">
        <w:rPr>
          <w:lang w:val="fr-FR"/>
        </w:rPr>
        <w:t>C</w:t>
      </w:r>
      <w:r w:rsidRPr="00C91DB8">
        <w:rPr>
          <w:lang w:val="fr-FR"/>
        </w:rPr>
        <w:t>ommission</w:t>
      </w:r>
      <w:r w:rsidR="002036DA" w:rsidRPr="00C91DB8">
        <w:rPr>
          <w:lang w:val="fr-FR"/>
        </w:rPr>
        <w:t xml:space="preserve"> </w:t>
      </w:r>
      <w:r w:rsidRPr="00C91DB8">
        <w:rPr>
          <w:lang w:val="fr-FR"/>
        </w:rPr>
        <w:t xml:space="preserve">nationale des </w:t>
      </w:r>
      <w:r w:rsidR="00392C53">
        <w:rPr>
          <w:lang w:val="fr-FR"/>
        </w:rPr>
        <w:t>d</w:t>
      </w:r>
      <w:r w:rsidRPr="00C91DB8">
        <w:rPr>
          <w:lang w:val="fr-FR"/>
        </w:rPr>
        <w:t>roits de l’</w:t>
      </w:r>
      <w:r w:rsidR="00392C53">
        <w:rPr>
          <w:lang w:val="fr-FR"/>
        </w:rPr>
        <w:t>h</w:t>
      </w:r>
      <w:r w:rsidRPr="00C91DB8">
        <w:rPr>
          <w:lang w:val="fr-FR"/>
        </w:rPr>
        <w:t>omme a</w:t>
      </w:r>
      <w:r w:rsidR="00015270">
        <w:rPr>
          <w:lang w:val="fr-FR"/>
        </w:rPr>
        <w:t>,</w:t>
      </w:r>
      <w:r w:rsidRPr="00C91DB8">
        <w:rPr>
          <w:lang w:val="fr-FR"/>
        </w:rPr>
        <w:t xml:space="preserve"> dans le cadre de ses activités</w:t>
      </w:r>
      <w:r w:rsidR="00015270">
        <w:rPr>
          <w:lang w:val="fr-FR"/>
        </w:rPr>
        <w:t>,</w:t>
      </w:r>
      <w:r w:rsidRPr="00C91DB8">
        <w:rPr>
          <w:lang w:val="fr-FR"/>
        </w:rPr>
        <w:t xml:space="preserve"> effectué à plusieurs reprises des visites des lieux de détention à Djibouti. </w:t>
      </w:r>
      <w:r w:rsidR="00015270">
        <w:rPr>
          <w:lang w:val="fr-FR"/>
        </w:rPr>
        <w:t>E</w:t>
      </w:r>
      <w:r w:rsidRPr="00C91DB8">
        <w:rPr>
          <w:lang w:val="fr-FR"/>
        </w:rPr>
        <w:t>lle a effectué des visites</w:t>
      </w:r>
      <w:r w:rsidR="002036DA" w:rsidRPr="00C91DB8">
        <w:rPr>
          <w:lang w:val="fr-FR"/>
        </w:rPr>
        <w:t xml:space="preserve"> </w:t>
      </w:r>
      <w:r w:rsidRPr="00C91DB8">
        <w:rPr>
          <w:lang w:val="fr-FR"/>
        </w:rPr>
        <w:t>inopinées à la maison d’arrêt</w:t>
      </w:r>
      <w:r w:rsidR="002036DA" w:rsidRPr="00C91DB8">
        <w:rPr>
          <w:lang w:val="fr-FR"/>
        </w:rPr>
        <w:t xml:space="preserve"> </w:t>
      </w:r>
      <w:r w:rsidRPr="00C91DB8">
        <w:rPr>
          <w:lang w:val="fr-FR"/>
        </w:rPr>
        <w:t>de Gabode, aux commissariats de police et aux brigades de gendarmerie</w:t>
      </w:r>
      <w:r w:rsidR="00BE6141">
        <w:rPr>
          <w:lang w:val="fr-FR"/>
        </w:rPr>
        <w:t>.</w:t>
      </w:r>
    </w:p>
    <w:p w:rsidR="008E1AE6" w:rsidRPr="00C91DB8" w:rsidRDefault="008E1AE6" w:rsidP="00015270">
      <w:pPr>
        <w:pStyle w:val="SingleTxtG"/>
        <w:numPr>
          <w:ilvl w:val="0"/>
          <w:numId w:val="12"/>
        </w:numPr>
        <w:spacing w:line="240" w:lineRule="auto"/>
        <w:ind w:left="1134" w:firstLine="0"/>
        <w:rPr>
          <w:lang w:val="fr-FR"/>
        </w:rPr>
      </w:pPr>
      <w:r w:rsidRPr="00C91DB8">
        <w:rPr>
          <w:lang w:val="fr-FR"/>
        </w:rPr>
        <w:t>Par ailleurs, il faut noter que dans le cadre de ses activités, la Commission a participé activement à l’élaboration des rapports périodiques et ce</w:t>
      </w:r>
      <w:r w:rsidR="00015270">
        <w:rPr>
          <w:lang w:val="fr-FR"/>
        </w:rPr>
        <w:t>lle d</w:t>
      </w:r>
      <w:r w:rsidR="00015270" w:rsidRPr="00003F40">
        <w:rPr>
          <w:lang w:val="fr-FR"/>
        </w:rPr>
        <w:t xml:space="preserve">u rapport de </w:t>
      </w:r>
      <w:r w:rsidRPr="00003F40">
        <w:rPr>
          <w:lang w:val="fr-FR"/>
        </w:rPr>
        <w:t xml:space="preserve">l’EPU au sein du Comité </w:t>
      </w:r>
      <w:r w:rsidR="00015270" w:rsidRPr="00003F40">
        <w:rPr>
          <w:lang w:val="fr-FR"/>
        </w:rPr>
        <w:t>i</w:t>
      </w:r>
      <w:r w:rsidRPr="00003F40">
        <w:rPr>
          <w:lang w:val="fr-FR"/>
        </w:rPr>
        <w:t>nterministériel. Elle a organisé de nombreux ateliers ci</w:t>
      </w:r>
      <w:r w:rsidRPr="00C91DB8">
        <w:rPr>
          <w:lang w:val="fr-FR"/>
        </w:rPr>
        <w:t xml:space="preserve">blant notamment les journalistes, les magistrats et avocats, et les membres de la </w:t>
      </w:r>
      <w:r w:rsidR="00015270">
        <w:rPr>
          <w:lang w:val="fr-FR"/>
        </w:rPr>
        <w:t>s</w:t>
      </w:r>
      <w:r w:rsidRPr="00C91DB8">
        <w:rPr>
          <w:lang w:val="fr-FR"/>
        </w:rPr>
        <w:t xml:space="preserve">ociété </w:t>
      </w:r>
      <w:r w:rsidR="00015270">
        <w:rPr>
          <w:lang w:val="fr-FR"/>
        </w:rPr>
        <w:t>c</w:t>
      </w:r>
      <w:r w:rsidRPr="00C91DB8">
        <w:rPr>
          <w:lang w:val="fr-FR"/>
        </w:rPr>
        <w:t>ivile dans le cadre de la sensibil</w:t>
      </w:r>
      <w:r w:rsidRPr="00003F40">
        <w:rPr>
          <w:lang w:val="fr-FR"/>
        </w:rPr>
        <w:t>isation et familiarisation aux</w:t>
      </w:r>
      <w:r w:rsidRPr="00C91DB8">
        <w:rPr>
          <w:lang w:val="fr-FR"/>
        </w:rPr>
        <w:t xml:space="preserve"> principes des droits de l’homme.</w:t>
      </w:r>
    </w:p>
    <w:p w:rsidR="008E1AE6" w:rsidRPr="00C91DB8" w:rsidRDefault="008E1AE6" w:rsidP="002036DA">
      <w:pPr>
        <w:pStyle w:val="SingleTxtG"/>
        <w:numPr>
          <w:ilvl w:val="0"/>
          <w:numId w:val="12"/>
        </w:numPr>
        <w:spacing w:line="240" w:lineRule="auto"/>
        <w:ind w:left="1134" w:firstLine="0"/>
        <w:rPr>
          <w:lang w:val="fr-FR"/>
        </w:rPr>
      </w:pPr>
      <w:r w:rsidRPr="00C91DB8">
        <w:rPr>
          <w:lang w:val="fr-FR"/>
        </w:rPr>
        <w:t xml:space="preserve">Concernant les activités du Médiateur, il faut noter que le Médiateur de la République est une autorité indépendante qui </w:t>
      </w:r>
      <w:r w:rsidR="002036DA" w:rsidRPr="00C91DB8">
        <w:rPr>
          <w:lang w:val="fr-FR"/>
        </w:rPr>
        <w:t>«</w:t>
      </w:r>
      <w:r w:rsidRPr="00C91DB8">
        <w:rPr>
          <w:lang w:val="fr-FR"/>
        </w:rPr>
        <w:t>reçoit des réclamations concernant, dans leurs relations avec les administrés, le fonctionnement des administrations de l</w:t>
      </w:r>
      <w:r w:rsidR="002036DA" w:rsidRPr="00C91DB8">
        <w:rPr>
          <w:lang w:val="fr-FR"/>
        </w:rPr>
        <w:t>’</w:t>
      </w:r>
      <w:r w:rsidRPr="00C91DB8">
        <w:rPr>
          <w:lang w:val="fr-FR"/>
        </w:rPr>
        <w:t>État, des institutions décentralisées, des établissements publics et de tout organisme investi d</w:t>
      </w:r>
      <w:r w:rsidR="002036DA" w:rsidRPr="00C91DB8">
        <w:rPr>
          <w:lang w:val="fr-FR"/>
        </w:rPr>
        <w:t>’</w:t>
      </w:r>
      <w:r w:rsidRPr="00C91DB8">
        <w:rPr>
          <w:lang w:val="fr-FR"/>
        </w:rPr>
        <w:t>une mission de service public</w:t>
      </w:r>
      <w:r w:rsidR="002036DA" w:rsidRPr="00C91DB8">
        <w:rPr>
          <w:lang w:val="fr-FR"/>
        </w:rPr>
        <w:t>»</w:t>
      </w:r>
      <w:r w:rsidRPr="00C91DB8">
        <w:rPr>
          <w:lang w:val="fr-FR"/>
        </w:rPr>
        <w:t>.</w:t>
      </w:r>
    </w:p>
    <w:p w:rsidR="002A17AD" w:rsidRPr="00003F40" w:rsidRDefault="008E1AE6" w:rsidP="00CB7679">
      <w:pPr>
        <w:pStyle w:val="SingleTxtG"/>
        <w:numPr>
          <w:ilvl w:val="0"/>
          <w:numId w:val="12"/>
        </w:numPr>
        <w:spacing w:line="240" w:lineRule="auto"/>
        <w:ind w:left="1134" w:firstLine="0"/>
        <w:rPr>
          <w:lang w:val="fr-FR"/>
        </w:rPr>
      </w:pPr>
      <w:r w:rsidRPr="00C91DB8">
        <w:rPr>
          <w:lang w:val="fr-FR"/>
        </w:rPr>
        <w:t xml:space="preserve">Institutionnalisé depuis 2010 par la Constitution, le Médiateur de la République ne se substitue pas aux tribunaux. Ses services sont organisés par le décret </w:t>
      </w:r>
      <w:r w:rsidR="000762B2" w:rsidRPr="00C91DB8">
        <w:rPr>
          <w:color w:val="000000"/>
          <w:lang w:val="fr-FR"/>
        </w:rPr>
        <w:t>n</w:t>
      </w:r>
      <w:r w:rsidR="000762B2" w:rsidRPr="00C91DB8">
        <w:rPr>
          <w:color w:val="000000"/>
          <w:vertAlign w:val="superscript"/>
          <w:lang w:val="fr-FR"/>
        </w:rPr>
        <w:t>o</w:t>
      </w:r>
      <w:r w:rsidR="000762B2" w:rsidRPr="00C91DB8">
        <w:rPr>
          <w:color w:val="000000"/>
          <w:lang w:val="fr-FR"/>
        </w:rPr>
        <w:t> </w:t>
      </w:r>
      <w:r w:rsidRPr="00C91DB8">
        <w:rPr>
          <w:lang w:val="fr-FR"/>
        </w:rPr>
        <w:t>2000-149/PRE du 11</w:t>
      </w:r>
      <w:r w:rsidR="002036DA" w:rsidRPr="00C91DB8">
        <w:rPr>
          <w:lang w:val="fr-FR"/>
        </w:rPr>
        <w:t> </w:t>
      </w:r>
      <w:r w:rsidRPr="00C91DB8">
        <w:rPr>
          <w:lang w:val="fr-FR"/>
        </w:rPr>
        <w:t>juin 2000. Ainsi ses prérogatives lui permettent de répondre aux réclamations des intéressés</w:t>
      </w:r>
      <w:r w:rsidR="002036DA" w:rsidRPr="00C91DB8">
        <w:rPr>
          <w:lang w:val="fr-FR"/>
        </w:rPr>
        <w:t xml:space="preserve"> </w:t>
      </w:r>
      <w:r w:rsidRPr="00C91DB8">
        <w:rPr>
          <w:lang w:val="fr-FR"/>
        </w:rPr>
        <w:t>quel</w:t>
      </w:r>
      <w:r w:rsidR="00CB7679">
        <w:rPr>
          <w:lang w:val="fr-FR"/>
        </w:rPr>
        <w:t xml:space="preserve">s </w:t>
      </w:r>
      <w:r w:rsidRPr="00C91DB8">
        <w:rPr>
          <w:lang w:val="fr-FR"/>
        </w:rPr>
        <w:t>que soient leurs domaines à condition qu</w:t>
      </w:r>
      <w:r w:rsidR="00CB7679">
        <w:rPr>
          <w:lang w:val="fr-FR"/>
        </w:rPr>
        <w:t xml:space="preserve">’elles </w:t>
      </w:r>
      <w:r w:rsidRPr="00C91DB8">
        <w:rPr>
          <w:lang w:val="fr-FR"/>
        </w:rPr>
        <w:t>ne soi</w:t>
      </w:r>
      <w:r w:rsidRPr="00003F40">
        <w:rPr>
          <w:lang w:val="fr-FR"/>
        </w:rPr>
        <w:t xml:space="preserve">ent pendantes devant </w:t>
      </w:r>
      <w:r w:rsidR="00CB7679" w:rsidRPr="00003F40">
        <w:rPr>
          <w:lang w:val="fr-FR"/>
        </w:rPr>
        <w:t xml:space="preserve">une </w:t>
      </w:r>
      <w:r w:rsidRPr="00003F40">
        <w:rPr>
          <w:lang w:val="fr-FR"/>
        </w:rPr>
        <w:t>juridiction judiciaire.</w:t>
      </w:r>
    </w:p>
    <w:p w:rsidR="002A17AD" w:rsidRPr="00C91DB8" w:rsidRDefault="00CC3212" w:rsidP="00CC3212">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3 de la liste </w:t>
      </w:r>
    </w:p>
    <w:p w:rsidR="008E1AE6" w:rsidRPr="00C91DB8" w:rsidRDefault="008E1AE6" w:rsidP="002A17AD">
      <w:pPr>
        <w:pStyle w:val="SingleTxtG"/>
        <w:numPr>
          <w:ilvl w:val="0"/>
          <w:numId w:val="12"/>
        </w:numPr>
        <w:spacing w:line="240" w:lineRule="auto"/>
        <w:ind w:left="1134" w:firstLine="0"/>
        <w:rPr>
          <w:lang w:val="fr-FR"/>
        </w:rPr>
      </w:pPr>
      <w:r w:rsidRPr="00C91DB8">
        <w:rPr>
          <w:lang w:val="fr-FR"/>
        </w:rPr>
        <w:t>Le droit traditionnel et la charia s’appliquent dans des domaines biens précis.</w:t>
      </w:r>
    </w:p>
    <w:p w:rsidR="008E1AE6" w:rsidRPr="00C91DB8" w:rsidRDefault="008E1AE6" w:rsidP="002036DA">
      <w:pPr>
        <w:pStyle w:val="SingleTxtG"/>
        <w:numPr>
          <w:ilvl w:val="0"/>
          <w:numId w:val="12"/>
        </w:numPr>
        <w:spacing w:line="240" w:lineRule="auto"/>
        <w:ind w:left="1134" w:firstLine="0"/>
        <w:rPr>
          <w:lang w:val="fr-FR"/>
        </w:rPr>
      </w:pPr>
      <w:r w:rsidRPr="00C91DB8">
        <w:rPr>
          <w:lang w:val="fr-FR"/>
        </w:rPr>
        <w:t>Par exemple, la charia s’applique à toutes les questions relatives à l’état de la personne, c</w:t>
      </w:r>
      <w:r w:rsidR="002036DA" w:rsidRPr="00C91DB8">
        <w:rPr>
          <w:lang w:val="fr-FR"/>
        </w:rPr>
        <w:t>’</w:t>
      </w:r>
      <w:r w:rsidRPr="00C91DB8">
        <w:rPr>
          <w:lang w:val="fr-FR"/>
        </w:rPr>
        <w:t>est-à-dire la famille, le mariage, le divorce, la garde des enfants, la succession, la tutelle</w:t>
      </w:r>
      <w:r w:rsidR="002036DA" w:rsidRPr="00C91DB8">
        <w:rPr>
          <w:lang w:val="fr-FR"/>
        </w:rPr>
        <w:t>,</w:t>
      </w:r>
      <w:r w:rsidRPr="00C91DB8">
        <w:rPr>
          <w:lang w:val="fr-FR"/>
        </w:rPr>
        <w:t xml:space="preserve"> etc.</w:t>
      </w:r>
    </w:p>
    <w:p w:rsidR="008E1AE6" w:rsidRPr="00003F40" w:rsidRDefault="008E1AE6" w:rsidP="000C5693">
      <w:pPr>
        <w:pStyle w:val="SingleTxtG"/>
        <w:numPr>
          <w:ilvl w:val="0"/>
          <w:numId w:val="12"/>
        </w:numPr>
        <w:spacing w:line="240" w:lineRule="auto"/>
        <w:ind w:left="1134" w:firstLine="0"/>
        <w:rPr>
          <w:lang w:val="fr-FR"/>
        </w:rPr>
      </w:pPr>
      <w:r w:rsidRPr="00C91DB8">
        <w:rPr>
          <w:lang w:val="fr-FR"/>
        </w:rPr>
        <w:t>Le droit traditionnel s’applique à des affaires de moindre importanc</w:t>
      </w:r>
      <w:r w:rsidRPr="00003F40">
        <w:rPr>
          <w:lang w:val="fr-FR"/>
        </w:rPr>
        <w:t>e, loyers des maisons à planches, petits problèmes</w:t>
      </w:r>
      <w:r w:rsidR="002036DA" w:rsidRPr="00003F40">
        <w:rPr>
          <w:lang w:val="fr-FR"/>
        </w:rPr>
        <w:t xml:space="preserve"> </w:t>
      </w:r>
      <w:r w:rsidRPr="00003F40">
        <w:rPr>
          <w:lang w:val="fr-FR"/>
        </w:rPr>
        <w:t>de voisinage, dettes dérisoires</w:t>
      </w:r>
      <w:r w:rsidR="000C5693" w:rsidRPr="00003F40">
        <w:rPr>
          <w:lang w:val="fr-FR"/>
        </w:rPr>
        <w:t>. L</w:t>
      </w:r>
      <w:r w:rsidRPr="00003F40">
        <w:rPr>
          <w:lang w:val="fr-FR"/>
        </w:rPr>
        <w:t>es montants en jeu dans ces affaires ne dépassent pas 500</w:t>
      </w:r>
      <w:r w:rsidR="000C5693" w:rsidRPr="00003F40">
        <w:rPr>
          <w:lang w:val="fr-FR"/>
        </w:rPr>
        <w:t> </w:t>
      </w:r>
      <w:r w:rsidRPr="00003F40">
        <w:rPr>
          <w:lang w:val="fr-FR"/>
        </w:rPr>
        <w:t>dollars</w:t>
      </w:r>
      <w:r w:rsidR="000C5693" w:rsidRPr="00003F40">
        <w:rPr>
          <w:lang w:val="fr-FR"/>
        </w:rPr>
        <w:t xml:space="preserve"> des États-Unis</w:t>
      </w:r>
      <w:r w:rsidRPr="00003F40">
        <w:rPr>
          <w:lang w:val="fr-FR"/>
        </w:rPr>
        <w:t xml:space="preserve">. </w:t>
      </w:r>
    </w:p>
    <w:p w:rsidR="008E1AE6" w:rsidRPr="00C91DB8" w:rsidRDefault="008E1AE6" w:rsidP="000C5693">
      <w:pPr>
        <w:pStyle w:val="SingleTxtG"/>
        <w:numPr>
          <w:ilvl w:val="0"/>
          <w:numId w:val="12"/>
        </w:numPr>
        <w:spacing w:line="240" w:lineRule="auto"/>
        <w:ind w:left="1134" w:firstLine="0"/>
        <w:rPr>
          <w:lang w:val="fr-FR"/>
        </w:rPr>
      </w:pPr>
      <w:r w:rsidRPr="00C91DB8">
        <w:rPr>
          <w:lang w:val="fr-FR"/>
        </w:rPr>
        <w:t>Afin de rapprocher la charia et les dispositions internationales en matière de droits de l’homme, l’</w:t>
      </w:r>
      <w:r w:rsidR="002036DA" w:rsidRPr="00C91DB8">
        <w:rPr>
          <w:lang w:val="fr-FR"/>
        </w:rPr>
        <w:t>État</w:t>
      </w:r>
      <w:r w:rsidRPr="00C91DB8">
        <w:rPr>
          <w:lang w:val="fr-FR"/>
        </w:rPr>
        <w:t xml:space="preserve"> partie</w:t>
      </w:r>
      <w:r w:rsidR="002036DA" w:rsidRPr="00C91DB8">
        <w:rPr>
          <w:lang w:val="fr-FR"/>
        </w:rPr>
        <w:t xml:space="preserve"> </w:t>
      </w:r>
      <w:r w:rsidRPr="00C91DB8">
        <w:rPr>
          <w:lang w:val="fr-FR"/>
        </w:rPr>
        <w:t>a,</w:t>
      </w:r>
      <w:r w:rsidR="002036DA" w:rsidRPr="00C91DB8">
        <w:rPr>
          <w:lang w:val="fr-FR"/>
        </w:rPr>
        <w:t xml:space="preserve"> </w:t>
      </w:r>
      <w:r w:rsidRPr="00C91DB8">
        <w:rPr>
          <w:lang w:val="fr-FR"/>
        </w:rPr>
        <w:t>au début des années 2000</w:t>
      </w:r>
      <w:r w:rsidR="000C5693">
        <w:rPr>
          <w:lang w:val="fr-FR"/>
        </w:rPr>
        <w:t>,</w:t>
      </w:r>
      <w:r w:rsidRPr="00C91DB8">
        <w:rPr>
          <w:lang w:val="fr-FR"/>
        </w:rPr>
        <w:t xml:space="preserve"> procédé à une refonte du droit de la charia applicable dans le pays. </w:t>
      </w:r>
    </w:p>
    <w:p w:rsidR="008E1AE6" w:rsidRPr="00C91DB8" w:rsidRDefault="008E1AE6" w:rsidP="000C5693">
      <w:pPr>
        <w:pStyle w:val="SingleTxtG"/>
        <w:numPr>
          <w:ilvl w:val="0"/>
          <w:numId w:val="12"/>
        </w:numPr>
        <w:spacing w:line="240" w:lineRule="auto"/>
        <w:ind w:left="1134" w:firstLine="0"/>
        <w:rPr>
          <w:lang w:val="fr-FR"/>
        </w:rPr>
      </w:pPr>
      <w:r w:rsidRPr="00C91DB8">
        <w:rPr>
          <w:lang w:val="fr-FR"/>
        </w:rPr>
        <w:t>La justice de la charia rendue par des magistrats non professionnels à été abrogée et remplacée par des juridictions dans lesquelles siègent des magistrats professionnels formés au respect des dispositions des droits de l’homme au même titre que leurs collègues des juridictions de droit commun.</w:t>
      </w:r>
    </w:p>
    <w:p w:rsidR="002A17AD" w:rsidRPr="00C91DB8" w:rsidRDefault="008E1AE6" w:rsidP="002A5656">
      <w:pPr>
        <w:pStyle w:val="SingleTxtG"/>
        <w:numPr>
          <w:ilvl w:val="0"/>
          <w:numId w:val="12"/>
        </w:numPr>
        <w:spacing w:line="240" w:lineRule="auto"/>
        <w:ind w:left="1134" w:firstLine="0"/>
        <w:rPr>
          <w:lang w:val="fr-FR"/>
        </w:rPr>
      </w:pPr>
      <w:r w:rsidRPr="00C91DB8">
        <w:rPr>
          <w:lang w:val="fr-FR"/>
        </w:rPr>
        <w:t>Il faut toutefois signaler qu</w:t>
      </w:r>
      <w:r w:rsidR="002A5656">
        <w:rPr>
          <w:lang w:val="fr-FR"/>
        </w:rPr>
        <w:t xml:space="preserve">e des </w:t>
      </w:r>
      <w:r w:rsidRPr="00C91DB8">
        <w:rPr>
          <w:lang w:val="fr-FR"/>
        </w:rPr>
        <w:t xml:space="preserve">points de divergence </w:t>
      </w:r>
      <w:r w:rsidR="002A5656">
        <w:rPr>
          <w:lang w:val="fr-FR"/>
        </w:rPr>
        <w:t xml:space="preserve">persistent </w:t>
      </w:r>
      <w:r w:rsidRPr="00C91DB8">
        <w:rPr>
          <w:lang w:val="fr-FR"/>
        </w:rPr>
        <w:t xml:space="preserve">entre le droit de la charia en vigueur à Djibouti et les dispositions du </w:t>
      </w:r>
      <w:r w:rsidR="000762B2" w:rsidRPr="00C91DB8">
        <w:rPr>
          <w:lang w:val="fr-FR"/>
        </w:rPr>
        <w:t>P</w:t>
      </w:r>
      <w:r w:rsidRPr="00C91DB8">
        <w:rPr>
          <w:lang w:val="fr-FR"/>
        </w:rPr>
        <w:t>acte</w:t>
      </w:r>
      <w:r w:rsidR="000C5693">
        <w:rPr>
          <w:lang w:val="fr-FR"/>
        </w:rPr>
        <w:t>,</w:t>
      </w:r>
      <w:r w:rsidRPr="00C91DB8">
        <w:rPr>
          <w:lang w:val="fr-FR"/>
        </w:rPr>
        <w:t xml:space="preserve"> notamment en ce qui concerne la succession, la polygamie ou l’adoption. Afin d’atténuer les différences persistantes, un comité a été cré</w:t>
      </w:r>
      <w:r w:rsidR="000C5693">
        <w:rPr>
          <w:lang w:val="fr-FR"/>
        </w:rPr>
        <w:t>é</w:t>
      </w:r>
      <w:r w:rsidRPr="00C91DB8">
        <w:rPr>
          <w:lang w:val="fr-FR"/>
        </w:rPr>
        <w:t xml:space="preserve"> en 2013.</w:t>
      </w:r>
    </w:p>
    <w:p w:rsidR="008E1AE6" w:rsidRPr="00003F40" w:rsidRDefault="000C5693" w:rsidP="000C5693">
      <w:pPr>
        <w:pStyle w:val="SingleTxtG"/>
        <w:numPr>
          <w:ilvl w:val="0"/>
          <w:numId w:val="12"/>
        </w:numPr>
        <w:spacing w:line="240" w:lineRule="auto"/>
        <w:ind w:left="1134" w:firstLine="0"/>
        <w:rPr>
          <w:lang w:val="fr-FR"/>
        </w:rPr>
      </w:pPr>
      <w:r>
        <w:rPr>
          <w:lang w:val="fr-FR"/>
        </w:rPr>
        <w:t>L</w:t>
      </w:r>
      <w:r w:rsidR="008E1AE6" w:rsidRPr="00C91DB8">
        <w:rPr>
          <w:lang w:val="fr-FR"/>
        </w:rPr>
        <w:t xml:space="preserve">a question de la primauté entre les dispositions du </w:t>
      </w:r>
      <w:r w:rsidR="000762B2" w:rsidRPr="00C91DB8">
        <w:rPr>
          <w:lang w:val="fr-FR"/>
        </w:rPr>
        <w:t>P</w:t>
      </w:r>
      <w:r w:rsidR="008E1AE6" w:rsidRPr="00C91DB8">
        <w:rPr>
          <w:lang w:val="fr-FR"/>
        </w:rPr>
        <w:t xml:space="preserve">acte et la </w:t>
      </w:r>
      <w:r w:rsidRPr="000C5693">
        <w:rPr>
          <w:lang w:val="fr-FR"/>
        </w:rPr>
        <w:t>c</w:t>
      </w:r>
      <w:r w:rsidR="008E1AE6" w:rsidRPr="000C5693">
        <w:rPr>
          <w:lang w:val="fr-FR"/>
        </w:rPr>
        <w:t>haria</w:t>
      </w:r>
      <w:r w:rsidR="008E1AE6" w:rsidRPr="00C91DB8">
        <w:rPr>
          <w:lang w:val="fr-FR"/>
        </w:rPr>
        <w:t xml:space="preserve"> n’est pas encore réglée. </w:t>
      </w:r>
      <w:r w:rsidR="008E1AE6" w:rsidRPr="00003F40">
        <w:rPr>
          <w:lang w:val="fr-FR"/>
        </w:rPr>
        <w:t xml:space="preserve">Nous </w:t>
      </w:r>
      <w:r w:rsidRPr="00003F40">
        <w:rPr>
          <w:lang w:val="fr-FR"/>
        </w:rPr>
        <w:t xml:space="preserve">pourrions être tentés </w:t>
      </w:r>
      <w:r w:rsidR="008E1AE6" w:rsidRPr="00003F40">
        <w:rPr>
          <w:lang w:val="fr-FR"/>
        </w:rPr>
        <w:t>d’af</w:t>
      </w:r>
      <w:r w:rsidR="008E1AE6" w:rsidRPr="00C91DB8">
        <w:rPr>
          <w:lang w:val="fr-FR"/>
        </w:rPr>
        <w:t>firmer que le droit de la charia l’emporte mais cette position pourrait être mise à mal par l’</w:t>
      </w:r>
      <w:r w:rsidR="002036DA" w:rsidRPr="00C91DB8">
        <w:rPr>
          <w:lang w:val="fr-FR"/>
        </w:rPr>
        <w:t>article </w:t>
      </w:r>
      <w:r w:rsidR="008E1AE6" w:rsidRPr="00C91DB8">
        <w:rPr>
          <w:lang w:val="fr-FR"/>
        </w:rPr>
        <w:t xml:space="preserve">37 de la </w:t>
      </w:r>
      <w:r w:rsidR="00015270">
        <w:rPr>
          <w:lang w:val="fr-FR"/>
        </w:rPr>
        <w:t>C</w:t>
      </w:r>
      <w:r w:rsidR="008E1AE6" w:rsidRPr="00C91DB8">
        <w:rPr>
          <w:lang w:val="fr-FR"/>
        </w:rPr>
        <w:t xml:space="preserve">onstitution qui </w:t>
      </w:r>
      <w:r w:rsidR="002036DA" w:rsidRPr="00C91DB8">
        <w:rPr>
          <w:lang w:val="fr-FR"/>
        </w:rPr>
        <w:t xml:space="preserve">dispose </w:t>
      </w:r>
      <w:r w:rsidR="008E1AE6" w:rsidRPr="00C91DB8">
        <w:rPr>
          <w:lang w:val="fr-FR"/>
        </w:rPr>
        <w:t xml:space="preserve">que les conventions internationales ratifiées ont </w:t>
      </w:r>
      <w:r>
        <w:rPr>
          <w:lang w:val="fr-FR"/>
        </w:rPr>
        <w:t xml:space="preserve">une autorité </w:t>
      </w:r>
      <w:r w:rsidR="008E1AE6" w:rsidRPr="00C91DB8">
        <w:rPr>
          <w:lang w:val="fr-FR"/>
        </w:rPr>
        <w:t xml:space="preserve">supérieure </w:t>
      </w:r>
      <w:r w:rsidR="008E1AE6" w:rsidRPr="00003F40">
        <w:rPr>
          <w:lang w:val="fr-FR"/>
        </w:rPr>
        <w:t xml:space="preserve">à </w:t>
      </w:r>
      <w:r w:rsidRPr="00003F40">
        <w:rPr>
          <w:lang w:val="fr-FR"/>
        </w:rPr>
        <w:t xml:space="preserve">celle de </w:t>
      </w:r>
      <w:r w:rsidR="008E1AE6" w:rsidRPr="00003F40">
        <w:rPr>
          <w:lang w:val="fr-FR"/>
        </w:rPr>
        <w:t>la loi nationale</w:t>
      </w:r>
      <w:r w:rsidR="002036DA" w:rsidRPr="00003F40">
        <w:rPr>
          <w:lang w:val="fr-FR"/>
        </w:rPr>
        <w:t xml:space="preserve"> </w:t>
      </w:r>
      <w:r w:rsidR="008E1AE6" w:rsidRPr="00003F40">
        <w:rPr>
          <w:lang w:val="fr-FR"/>
        </w:rPr>
        <w:t>qu’elle soit de la charia ou du droit commun.</w:t>
      </w:r>
    </w:p>
    <w:p w:rsidR="008E1AE6" w:rsidRPr="00C91DB8" w:rsidRDefault="008E1AE6" w:rsidP="00003F40">
      <w:pPr>
        <w:pStyle w:val="SingleTxtG"/>
        <w:numPr>
          <w:ilvl w:val="0"/>
          <w:numId w:val="12"/>
        </w:numPr>
        <w:spacing w:line="240" w:lineRule="auto"/>
        <w:ind w:left="1134" w:firstLine="0"/>
        <w:rPr>
          <w:lang w:val="fr-FR"/>
        </w:rPr>
      </w:pPr>
      <w:r w:rsidRPr="00C91DB8">
        <w:rPr>
          <w:lang w:val="fr-FR"/>
        </w:rPr>
        <w:t>En ce qui concerne les mesures prises pour faire connaître</w:t>
      </w:r>
      <w:r w:rsidR="002A5656">
        <w:rPr>
          <w:lang w:val="fr-FR"/>
        </w:rPr>
        <w:t xml:space="preserve"> le Pacte et les protocoles s’y rapportant</w:t>
      </w:r>
      <w:r w:rsidRPr="00C91DB8">
        <w:rPr>
          <w:lang w:val="fr-FR"/>
        </w:rPr>
        <w:t>, l’</w:t>
      </w:r>
      <w:r w:rsidR="002036DA" w:rsidRPr="00C91DB8">
        <w:rPr>
          <w:lang w:val="fr-FR"/>
        </w:rPr>
        <w:t>État</w:t>
      </w:r>
      <w:r w:rsidRPr="00C91DB8">
        <w:rPr>
          <w:lang w:val="fr-FR"/>
        </w:rPr>
        <w:t xml:space="preserve"> partie</w:t>
      </w:r>
      <w:r w:rsidR="002036DA" w:rsidRPr="00C91DB8">
        <w:rPr>
          <w:lang w:val="fr-FR"/>
        </w:rPr>
        <w:t xml:space="preserve"> </w:t>
      </w:r>
      <w:r w:rsidRPr="00C91DB8">
        <w:rPr>
          <w:lang w:val="fr-FR"/>
        </w:rPr>
        <w:t>organise régulièrement</w:t>
      </w:r>
      <w:r w:rsidR="002036DA" w:rsidRPr="00C91DB8">
        <w:rPr>
          <w:lang w:val="fr-FR"/>
        </w:rPr>
        <w:t xml:space="preserve"> </w:t>
      </w:r>
      <w:r w:rsidRPr="00003F40">
        <w:rPr>
          <w:lang w:val="fr-FR"/>
        </w:rPr>
        <w:t>à travers le</w:t>
      </w:r>
      <w:r w:rsidR="00003F40" w:rsidRPr="00003F40">
        <w:rPr>
          <w:lang w:val="fr-FR"/>
        </w:rPr>
        <w:t>s</w:t>
      </w:r>
      <w:r w:rsidRPr="00003F40">
        <w:rPr>
          <w:lang w:val="fr-FR"/>
        </w:rPr>
        <w:t xml:space="preserve"> média</w:t>
      </w:r>
      <w:r w:rsidR="00003F40" w:rsidRPr="00003F40">
        <w:rPr>
          <w:lang w:val="fr-FR"/>
        </w:rPr>
        <w:t>s</w:t>
      </w:r>
      <w:r w:rsidRPr="00C91DB8">
        <w:rPr>
          <w:lang w:val="fr-FR"/>
        </w:rPr>
        <w:t xml:space="preserve"> des c</w:t>
      </w:r>
      <w:r w:rsidR="002A5656">
        <w:rPr>
          <w:lang w:val="fr-FR"/>
        </w:rPr>
        <w:t>a</w:t>
      </w:r>
      <w:r w:rsidRPr="00C91DB8">
        <w:rPr>
          <w:lang w:val="fr-FR"/>
        </w:rPr>
        <w:t xml:space="preserve">mpagnes de sensibilisation </w:t>
      </w:r>
      <w:r w:rsidR="002A5656">
        <w:rPr>
          <w:lang w:val="fr-FR"/>
        </w:rPr>
        <w:t xml:space="preserve">aux </w:t>
      </w:r>
      <w:r w:rsidRPr="00C91DB8">
        <w:rPr>
          <w:lang w:val="fr-FR"/>
        </w:rPr>
        <w:t>droits et</w:t>
      </w:r>
      <w:r w:rsidR="002036DA" w:rsidRPr="00C91DB8">
        <w:rPr>
          <w:lang w:val="fr-FR"/>
        </w:rPr>
        <w:t xml:space="preserve"> </w:t>
      </w:r>
      <w:r w:rsidRPr="00C91DB8">
        <w:rPr>
          <w:lang w:val="fr-FR"/>
        </w:rPr>
        <w:t>libertés fondamentaux de l’</w:t>
      </w:r>
      <w:r w:rsidR="00392C53">
        <w:rPr>
          <w:lang w:val="fr-FR"/>
        </w:rPr>
        <w:t>h</w:t>
      </w:r>
      <w:r w:rsidRPr="00C91DB8">
        <w:rPr>
          <w:lang w:val="fr-FR"/>
        </w:rPr>
        <w:t>omme destiné</w:t>
      </w:r>
      <w:r w:rsidR="002A5656">
        <w:rPr>
          <w:lang w:val="fr-FR"/>
        </w:rPr>
        <w:t>es</w:t>
      </w:r>
      <w:r w:rsidRPr="00C91DB8">
        <w:rPr>
          <w:lang w:val="fr-FR"/>
        </w:rPr>
        <w:t xml:space="preserve"> au grand public.</w:t>
      </w:r>
    </w:p>
    <w:p w:rsidR="002A17AD" w:rsidRPr="00C91DB8" w:rsidRDefault="008E1AE6" w:rsidP="002A5656">
      <w:pPr>
        <w:pStyle w:val="SingleTxtG"/>
        <w:numPr>
          <w:ilvl w:val="0"/>
          <w:numId w:val="12"/>
        </w:numPr>
        <w:spacing w:line="240" w:lineRule="auto"/>
        <w:ind w:left="1134" w:firstLine="0"/>
        <w:rPr>
          <w:lang w:val="fr-FR"/>
        </w:rPr>
      </w:pPr>
      <w:r w:rsidRPr="00C91DB8">
        <w:rPr>
          <w:lang w:val="fr-FR"/>
        </w:rPr>
        <w:t xml:space="preserve">Le </w:t>
      </w:r>
      <w:r w:rsidR="00A25534" w:rsidRPr="00C91DB8">
        <w:rPr>
          <w:lang w:val="fr-FR"/>
        </w:rPr>
        <w:t>P</w:t>
      </w:r>
      <w:r w:rsidRPr="00C91DB8">
        <w:rPr>
          <w:lang w:val="fr-FR"/>
        </w:rPr>
        <w:t xml:space="preserve">acte n’a pas été traduit </w:t>
      </w:r>
      <w:r w:rsidR="002A5656" w:rsidRPr="00C91DB8">
        <w:rPr>
          <w:lang w:val="fr-FR"/>
        </w:rPr>
        <w:t xml:space="preserve">officiellement </w:t>
      </w:r>
      <w:r w:rsidRPr="00C91DB8">
        <w:rPr>
          <w:lang w:val="fr-FR"/>
        </w:rPr>
        <w:t>dans les deux langues nationales mentionnées,</w:t>
      </w:r>
      <w:r w:rsidR="002036DA" w:rsidRPr="00C91DB8">
        <w:rPr>
          <w:lang w:val="fr-FR"/>
        </w:rPr>
        <w:t xml:space="preserve"> </w:t>
      </w:r>
      <w:r w:rsidR="002A5656">
        <w:rPr>
          <w:lang w:val="fr-FR"/>
        </w:rPr>
        <w:t xml:space="preserve">à la différence </w:t>
      </w:r>
      <w:r w:rsidRPr="00C91DB8">
        <w:rPr>
          <w:lang w:val="fr-FR"/>
        </w:rPr>
        <w:t>d</w:t>
      </w:r>
      <w:r w:rsidR="002A5656">
        <w:rPr>
          <w:lang w:val="fr-FR"/>
        </w:rPr>
        <w:t xml:space="preserve">es </w:t>
      </w:r>
      <w:r w:rsidRPr="00C91DB8">
        <w:rPr>
          <w:lang w:val="fr-FR"/>
        </w:rPr>
        <w:t>instruments fondamentaux des droits de l’</w:t>
      </w:r>
      <w:r w:rsidR="00392C53">
        <w:rPr>
          <w:lang w:val="fr-FR"/>
        </w:rPr>
        <w:t>h</w:t>
      </w:r>
      <w:r w:rsidRPr="00C91DB8">
        <w:rPr>
          <w:lang w:val="fr-FR"/>
        </w:rPr>
        <w:t>omme</w:t>
      </w:r>
      <w:r w:rsidR="002A5656">
        <w:rPr>
          <w:lang w:val="fr-FR"/>
        </w:rPr>
        <w:t xml:space="preserve"> que sont</w:t>
      </w:r>
      <w:r w:rsidRPr="00C91DB8">
        <w:rPr>
          <w:lang w:val="fr-FR"/>
        </w:rPr>
        <w:t>:</w:t>
      </w:r>
    </w:p>
    <w:p w:rsidR="008E1AE6" w:rsidRPr="00C91DB8" w:rsidRDefault="008E1AE6" w:rsidP="002A5656">
      <w:pPr>
        <w:pStyle w:val="Bullet1G"/>
        <w:rPr>
          <w:lang w:val="fr-FR"/>
        </w:rPr>
      </w:pPr>
      <w:r w:rsidRPr="00C91DB8">
        <w:rPr>
          <w:lang w:val="fr-FR"/>
        </w:rPr>
        <w:t xml:space="preserve">La </w:t>
      </w:r>
      <w:r w:rsidR="002A5656">
        <w:rPr>
          <w:lang w:val="fr-FR"/>
        </w:rPr>
        <w:t>D</w:t>
      </w:r>
      <w:r w:rsidRPr="00C91DB8">
        <w:rPr>
          <w:lang w:val="fr-FR"/>
        </w:rPr>
        <w:t>éclaration universelle des droits de l’</w:t>
      </w:r>
      <w:r w:rsidR="00392C53">
        <w:rPr>
          <w:lang w:val="fr-FR"/>
        </w:rPr>
        <w:t>h</w:t>
      </w:r>
      <w:r w:rsidRPr="00C91DB8">
        <w:rPr>
          <w:lang w:val="fr-FR"/>
        </w:rPr>
        <w:t>omme</w:t>
      </w:r>
    </w:p>
    <w:p w:rsidR="002A17AD" w:rsidRPr="00C91DB8" w:rsidRDefault="008E1AE6" w:rsidP="000762B2">
      <w:pPr>
        <w:pStyle w:val="Bullet1G"/>
        <w:rPr>
          <w:lang w:val="fr-FR"/>
        </w:rPr>
      </w:pPr>
      <w:r w:rsidRPr="00C91DB8">
        <w:rPr>
          <w:lang w:val="fr-FR"/>
        </w:rPr>
        <w:t xml:space="preserve">La </w:t>
      </w:r>
      <w:r w:rsidR="000762B2" w:rsidRPr="00C91DB8">
        <w:rPr>
          <w:lang w:val="fr-FR"/>
        </w:rPr>
        <w:t>C</w:t>
      </w:r>
      <w:r w:rsidRPr="00C91DB8">
        <w:rPr>
          <w:lang w:val="fr-FR"/>
        </w:rPr>
        <w:t xml:space="preserve">onvention </w:t>
      </w:r>
      <w:r w:rsidR="000762B2" w:rsidRPr="00C91DB8">
        <w:rPr>
          <w:lang w:val="fr-FR"/>
        </w:rPr>
        <w:t xml:space="preserve">relative aux </w:t>
      </w:r>
      <w:r w:rsidRPr="00C91DB8">
        <w:rPr>
          <w:lang w:val="fr-FR"/>
        </w:rPr>
        <w:t>droits de l’enfant.</w:t>
      </w:r>
    </w:p>
    <w:p w:rsidR="002A17AD" w:rsidRPr="00C91DB8" w:rsidRDefault="002A17AD" w:rsidP="0094370C">
      <w:pPr>
        <w:pStyle w:val="H1G"/>
        <w:rPr>
          <w:lang w:val="fr-FR"/>
        </w:rPr>
      </w:pPr>
      <w:r w:rsidRPr="00C91DB8">
        <w:rPr>
          <w:lang w:val="fr-FR"/>
        </w:rPr>
        <w:tab/>
      </w:r>
      <w:r w:rsidRPr="00C91DB8">
        <w:rPr>
          <w:lang w:val="fr-FR"/>
        </w:rPr>
        <w:tab/>
      </w:r>
      <w:r w:rsidR="008E1AE6" w:rsidRPr="00C91DB8">
        <w:rPr>
          <w:lang w:val="fr-FR"/>
        </w:rPr>
        <w:t>Non-discrimination, égalité entre hommes et femmes</w:t>
      </w:r>
      <w:r w:rsidRPr="00C91DB8">
        <w:rPr>
          <w:lang w:val="fr-FR"/>
        </w:rPr>
        <w:t xml:space="preserve"> </w:t>
      </w:r>
      <w:r w:rsidR="008E1AE6" w:rsidRPr="00C91DB8">
        <w:rPr>
          <w:lang w:val="fr-FR"/>
        </w:rPr>
        <w:t>(</w:t>
      </w:r>
      <w:r w:rsidR="002036DA" w:rsidRPr="00C91DB8">
        <w:rPr>
          <w:lang w:val="fr-FR"/>
        </w:rPr>
        <w:t>art. </w:t>
      </w:r>
      <w:r w:rsidR="008E1AE6" w:rsidRPr="00C91DB8">
        <w:rPr>
          <w:lang w:val="fr-FR"/>
        </w:rPr>
        <w:t>2 (</w:t>
      </w:r>
      <w:r w:rsidR="002036DA" w:rsidRPr="00C91DB8">
        <w:rPr>
          <w:lang w:val="fr-FR"/>
        </w:rPr>
        <w:t>par. </w:t>
      </w:r>
      <w:r w:rsidR="008E1AE6" w:rsidRPr="00C91DB8">
        <w:rPr>
          <w:lang w:val="fr-FR"/>
        </w:rPr>
        <w:t>1), 3, 23 et 26)</w:t>
      </w:r>
    </w:p>
    <w:p w:rsidR="002A17AD" w:rsidRPr="00C91DB8" w:rsidRDefault="00FC5A4E" w:rsidP="00FC5A4E">
      <w:pPr>
        <w:pStyle w:val="H23G"/>
        <w:rPr>
          <w:lang w:val="fr-FR"/>
        </w:rPr>
      </w:pPr>
      <w:r w:rsidRPr="00C91DB8">
        <w:rPr>
          <w:rFonts w:eastAsia="Arial Unicode MS"/>
          <w:lang w:val="fr-FR"/>
        </w:rPr>
        <w:tab/>
      </w:r>
      <w:r w:rsidRPr="00C91DB8">
        <w:rPr>
          <w:rFonts w:eastAsia="Arial Unicode MS"/>
          <w:lang w:val="fr-FR"/>
        </w:rPr>
        <w:tab/>
      </w:r>
      <w:r w:rsidR="00CC3212" w:rsidRPr="00C91DB8">
        <w:rPr>
          <w:rFonts w:eastAsia="Arial Unicode MS"/>
          <w:lang w:val="fr-FR"/>
        </w:rPr>
        <w:t xml:space="preserve">Réponse aux questions posées au paragraphe 4 de la liste </w:t>
      </w:r>
    </w:p>
    <w:p w:rsidR="008E1AE6" w:rsidRPr="00C91DB8" w:rsidRDefault="008E1AE6" w:rsidP="008B465A">
      <w:pPr>
        <w:pStyle w:val="Bullet1G"/>
        <w:rPr>
          <w:lang w:val="fr-FR"/>
        </w:rPr>
      </w:pPr>
      <w:r w:rsidRPr="00C91DB8">
        <w:rPr>
          <w:lang w:val="fr-FR"/>
        </w:rPr>
        <w:t xml:space="preserve">Une disposition du Code de la famille </w:t>
      </w:r>
      <w:r w:rsidR="002036DA" w:rsidRPr="00C91DB8">
        <w:rPr>
          <w:lang w:val="fr-FR"/>
        </w:rPr>
        <w:t xml:space="preserve">dispose </w:t>
      </w:r>
      <w:r w:rsidRPr="00C91DB8">
        <w:rPr>
          <w:lang w:val="fr-FR"/>
        </w:rPr>
        <w:t>que le mariage se fait avec le consentement des deux époux qui doivent se présenter ensemble devant le Ma’adoun</w:t>
      </w:r>
      <w:r w:rsidR="008B465A">
        <w:rPr>
          <w:lang w:val="fr-FR"/>
        </w:rPr>
        <w:t>,</w:t>
      </w:r>
      <w:r w:rsidRPr="00C91DB8">
        <w:rPr>
          <w:lang w:val="fr-FR"/>
        </w:rPr>
        <w:t xml:space="preserve"> autorité administrative habilitée</w:t>
      </w:r>
      <w:r w:rsidR="002036DA" w:rsidRPr="00C91DB8">
        <w:rPr>
          <w:lang w:val="fr-FR"/>
        </w:rPr>
        <w:t xml:space="preserve"> </w:t>
      </w:r>
      <w:r w:rsidRPr="00C91DB8">
        <w:rPr>
          <w:lang w:val="fr-FR"/>
        </w:rPr>
        <w:t>à sceller le mariage. La femme doit être accompagnée par son tuteur mais le consentement est donné par la femme elle</w:t>
      </w:r>
      <w:r w:rsidR="008B465A">
        <w:rPr>
          <w:lang w:val="fr-FR"/>
        </w:rPr>
        <w:t>-</w:t>
      </w:r>
      <w:r w:rsidRPr="00C91DB8">
        <w:rPr>
          <w:lang w:val="fr-FR"/>
        </w:rPr>
        <w:t>même.</w:t>
      </w:r>
    </w:p>
    <w:p w:rsidR="008E1AE6" w:rsidRPr="00C91DB8" w:rsidRDefault="008E1AE6" w:rsidP="00003F40">
      <w:pPr>
        <w:pStyle w:val="SingleTxtG"/>
        <w:numPr>
          <w:ilvl w:val="0"/>
          <w:numId w:val="12"/>
        </w:numPr>
        <w:spacing w:line="240" w:lineRule="auto"/>
        <w:ind w:left="1134" w:firstLine="0"/>
        <w:rPr>
          <w:lang w:val="fr-FR"/>
        </w:rPr>
      </w:pPr>
      <w:r w:rsidRPr="00C91DB8">
        <w:rPr>
          <w:lang w:val="fr-FR"/>
        </w:rPr>
        <w:t xml:space="preserve">Dans la préface du </w:t>
      </w:r>
      <w:r w:rsidR="002036DA" w:rsidRPr="00C91DB8">
        <w:rPr>
          <w:lang w:val="fr-FR"/>
        </w:rPr>
        <w:t>C</w:t>
      </w:r>
      <w:r w:rsidRPr="00C91DB8">
        <w:rPr>
          <w:lang w:val="fr-FR"/>
        </w:rPr>
        <w:t xml:space="preserve">ode de la </w:t>
      </w:r>
      <w:r w:rsidR="002036DA" w:rsidRPr="00C91DB8">
        <w:rPr>
          <w:lang w:val="fr-FR"/>
        </w:rPr>
        <w:t>f</w:t>
      </w:r>
      <w:r w:rsidRPr="00C91DB8">
        <w:rPr>
          <w:lang w:val="fr-FR"/>
        </w:rPr>
        <w:t>amille</w:t>
      </w:r>
      <w:r w:rsidR="008B465A">
        <w:rPr>
          <w:lang w:val="fr-FR"/>
        </w:rPr>
        <w:t>,</w:t>
      </w:r>
      <w:r w:rsidRPr="00C91DB8">
        <w:rPr>
          <w:lang w:val="fr-FR"/>
        </w:rPr>
        <w:t xml:space="preserve"> il est précisé concernant le mariage que</w:t>
      </w:r>
      <w:r w:rsidR="00003F40">
        <w:rPr>
          <w:lang w:val="fr-FR"/>
        </w:rPr>
        <w:t>:</w:t>
      </w:r>
      <w:r w:rsidR="00DD36A5" w:rsidRPr="00C91DB8">
        <w:rPr>
          <w:lang w:val="fr-FR"/>
        </w:rPr>
        <w:t xml:space="preserve"> </w:t>
      </w:r>
      <w:r w:rsidR="00DD36A5" w:rsidRPr="00DF613C">
        <w:rPr>
          <w:lang w:val="fr-FR"/>
        </w:rPr>
        <w:t>«</w:t>
      </w:r>
      <w:r w:rsidRPr="00DF613C">
        <w:rPr>
          <w:lang w:val="fr-FR"/>
        </w:rPr>
        <w:t>Tenant compte de l’émancipation de la femme par l’éducation et le travail, ce code reconnaît à la femme au même titre que l’homme le droit de contracter le mariage. Le tuteur de la femme, dont la présence est obligatoire est institué dans</w:t>
      </w:r>
      <w:r w:rsidRPr="008B465A">
        <w:rPr>
          <w:lang w:val="fr-FR"/>
        </w:rPr>
        <w:t xml:space="preserve"> le souci de mieux assurer les droits de celle-ci et de garantir sa protection».</w:t>
      </w:r>
      <w:r w:rsidRPr="00C91DB8">
        <w:rPr>
          <w:lang w:val="fr-FR"/>
        </w:rPr>
        <w:t xml:space="preserve"> </w:t>
      </w:r>
    </w:p>
    <w:p w:rsidR="008E1AE6" w:rsidRPr="00C91DB8" w:rsidRDefault="008E1AE6" w:rsidP="008B465A">
      <w:pPr>
        <w:pStyle w:val="Bullet1G"/>
        <w:rPr>
          <w:lang w:val="fr-FR"/>
        </w:rPr>
      </w:pPr>
      <w:r w:rsidRPr="00C91DB8">
        <w:rPr>
          <w:lang w:val="fr-FR"/>
        </w:rPr>
        <w:t>La dot est versée à la femme et à sa famille. Son montant est fixé dans les discussions entre les familles lors des discussions qui précèdent les cérémonies officielles. Elle sert à préparer le trousseau des mariés et à organiser les festivités du mariage.</w:t>
      </w:r>
    </w:p>
    <w:p w:rsidR="002A17AD" w:rsidRPr="00C91DB8" w:rsidRDefault="008E1AE6" w:rsidP="002A17AD">
      <w:pPr>
        <w:pStyle w:val="Bullet1G"/>
        <w:rPr>
          <w:lang w:val="fr-FR"/>
        </w:rPr>
      </w:pPr>
      <w:r w:rsidRPr="00C91DB8">
        <w:rPr>
          <w:lang w:val="fr-FR"/>
        </w:rPr>
        <w:t>L’âge minimum légal du mariage est de 18 ans pour les deux époux. La dérogation n’est possible que dans deux cas particuliers</w:t>
      </w:r>
      <w:r w:rsidR="002036DA" w:rsidRPr="00C91DB8">
        <w:rPr>
          <w:lang w:val="fr-FR"/>
        </w:rPr>
        <w:t>:</w:t>
      </w:r>
      <w:r w:rsidRPr="00C91DB8">
        <w:rPr>
          <w:lang w:val="fr-FR"/>
        </w:rPr>
        <w:t xml:space="preserve"> si les futurs époux sont mineurs et refusent d’attendre l’âge légal pour se marier</w:t>
      </w:r>
      <w:r w:rsidR="002036DA" w:rsidRPr="00C91DB8">
        <w:rPr>
          <w:lang w:val="fr-FR"/>
        </w:rPr>
        <w:t xml:space="preserve"> </w:t>
      </w:r>
      <w:r w:rsidRPr="00C91DB8">
        <w:rPr>
          <w:lang w:val="fr-FR"/>
        </w:rPr>
        <w:t>et si la jeune fille est tombée enceinte étant encore mineure</w:t>
      </w:r>
      <w:r w:rsidRPr="00DF613C">
        <w:rPr>
          <w:lang w:val="fr-FR"/>
        </w:rPr>
        <w:t>. Elle ne constitue donc pas une règle.</w:t>
      </w:r>
    </w:p>
    <w:p w:rsidR="008E1AE6" w:rsidRPr="00C91DB8" w:rsidRDefault="008E1AE6" w:rsidP="008B465A">
      <w:pPr>
        <w:pStyle w:val="Bullet1G"/>
        <w:rPr>
          <w:lang w:val="fr-FR"/>
        </w:rPr>
      </w:pPr>
      <w:r w:rsidRPr="00C91DB8">
        <w:rPr>
          <w:lang w:val="fr-FR"/>
        </w:rPr>
        <w:t xml:space="preserve">La polygamie est autorisée par le Code de la </w:t>
      </w:r>
      <w:r w:rsidR="002036DA" w:rsidRPr="00C91DB8">
        <w:rPr>
          <w:lang w:val="fr-FR"/>
        </w:rPr>
        <w:t>f</w:t>
      </w:r>
      <w:r w:rsidRPr="00C91DB8">
        <w:rPr>
          <w:lang w:val="fr-FR"/>
        </w:rPr>
        <w:t>amille mais elle est réglementée par celui-ci. Toutefois, la polygamie n’est pas répandue au point de nécessiter la mise en place de programmes et de campagnes de sensibilisation pour être abolie. Pour des raisons liées à l’évolution des mentalités</w:t>
      </w:r>
      <w:r w:rsidR="002036DA" w:rsidRPr="00C91DB8">
        <w:rPr>
          <w:lang w:val="fr-FR"/>
        </w:rPr>
        <w:t xml:space="preserve"> </w:t>
      </w:r>
      <w:r w:rsidR="008B465A">
        <w:rPr>
          <w:lang w:val="fr-FR"/>
        </w:rPr>
        <w:t xml:space="preserve">et pour </w:t>
      </w:r>
      <w:r w:rsidRPr="00C91DB8">
        <w:rPr>
          <w:lang w:val="fr-FR"/>
        </w:rPr>
        <w:t>des raisons économiques (il devient difficile de prendre en charge une deuxième ou une troisième famille), la polygamie est en train de disparaître.</w:t>
      </w:r>
    </w:p>
    <w:p w:rsidR="008E1AE6" w:rsidRPr="00C91DB8" w:rsidRDefault="008E1AE6" w:rsidP="00DF613C">
      <w:pPr>
        <w:pStyle w:val="Bullet1G"/>
        <w:rPr>
          <w:lang w:val="fr-FR"/>
        </w:rPr>
      </w:pPr>
      <w:r w:rsidRPr="00C91DB8">
        <w:rPr>
          <w:lang w:val="fr-FR"/>
        </w:rPr>
        <w:t xml:space="preserve">L’époux est </w:t>
      </w:r>
      <w:r w:rsidR="008B465A">
        <w:rPr>
          <w:lang w:val="fr-FR"/>
        </w:rPr>
        <w:t xml:space="preserve">le </w:t>
      </w:r>
      <w:r w:rsidRPr="00C91DB8">
        <w:rPr>
          <w:lang w:val="fr-FR"/>
        </w:rPr>
        <w:t>chef de famille parce que selon l</w:t>
      </w:r>
      <w:r w:rsidRPr="00DF613C">
        <w:rPr>
          <w:lang w:val="fr-FR"/>
        </w:rPr>
        <w:t>e droit charien la</w:t>
      </w:r>
      <w:r w:rsidRPr="00C91DB8">
        <w:rPr>
          <w:lang w:val="fr-FR"/>
        </w:rPr>
        <w:t xml:space="preserve"> responsabilité de l’entretien de sa famille (femme et enfants mais également sa propre mère </w:t>
      </w:r>
      <w:r w:rsidR="008B465A">
        <w:rPr>
          <w:lang w:val="fr-FR"/>
        </w:rPr>
        <w:t xml:space="preserve">ainsi que ses </w:t>
      </w:r>
      <w:r w:rsidRPr="00C91DB8">
        <w:rPr>
          <w:lang w:val="fr-FR"/>
        </w:rPr>
        <w:t>sœurs non mariées) lui incombe. En termes de succession</w:t>
      </w:r>
      <w:r w:rsidR="008B465A">
        <w:rPr>
          <w:lang w:val="fr-FR"/>
        </w:rPr>
        <w:t>,</w:t>
      </w:r>
      <w:r w:rsidR="002036DA" w:rsidRPr="00C91DB8">
        <w:rPr>
          <w:lang w:val="fr-FR"/>
        </w:rPr>
        <w:t xml:space="preserve"> </w:t>
      </w:r>
      <w:r w:rsidRPr="00C91DB8">
        <w:rPr>
          <w:lang w:val="fr-FR"/>
        </w:rPr>
        <w:t>la différence entre la part de l’homme (double de celle de la femme) répond au même principe. Toutes les dépenses engagées pour le mariage</w:t>
      </w:r>
      <w:r w:rsidR="008B465A">
        <w:rPr>
          <w:lang w:val="fr-FR"/>
        </w:rPr>
        <w:t xml:space="preserve"> et</w:t>
      </w:r>
      <w:r w:rsidRPr="00C91DB8">
        <w:rPr>
          <w:lang w:val="fr-FR"/>
        </w:rPr>
        <w:t xml:space="preserve"> l’entretien de la famille sont en principe supportées par lui.</w:t>
      </w:r>
    </w:p>
    <w:p w:rsidR="002A17AD" w:rsidRPr="00C91DB8" w:rsidRDefault="008E1AE6" w:rsidP="008B465A">
      <w:pPr>
        <w:pStyle w:val="SingleTxtG"/>
        <w:numPr>
          <w:ilvl w:val="0"/>
          <w:numId w:val="12"/>
        </w:numPr>
        <w:spacing w:line="240" w:lineRule="auto"/>
        <w:ind w:left="1134" w:firstLine="0"/>
        <w:rPr>
          <w:lang w:val="fr-FR"/>
        </w:rPr>
      </w:pPr>
      <w:r w:rsidRPr="00C91DB8">
        <w:rPr>
          <w:lang w:val="fr-FR"/>
        </w:rPr>
        <w:t xml:space="preserve">Toutes ces dispositions sont conformes aux </w:t>
      </w:r>
      <w:r w:rsidRPr="00DF613C">
        <w:rPr>
          <w:lang w:val="fr-FR"/>
        </w:rPr>
        <w:t>principes de l’</w:t>
      </w:r>
      <w:r w:rsidR="008B465A" w:rsidRPr="00DF613C">
        <w:rPr>
          <w:lang w:val="fr-FR"/>
        </w:rPr>
        <w:t>i</w:t>
      </w:r>
      <w:r w:rsidRPr="00DF613C">
        <w:rPr>
          <w:lang w:val="fr-FR"/>
        </w:rPr>
        <w:t>slam</w:t>
      </w:r>
      <w:r w:rsidRPr="00C91DB8">
        <w:rPr>
          <w:lang w:val="fr-FR"/>
        </w:rPr>
        <w:t xml:space="preserve"> et ne s’appliquent qu’aux musulmans qui ne les discutent pas.</w:t>
      </w:r>
      <w:r w:rsidR="002A17AD" w:rsidRPr="00C91DB8">
        <w:rPr>
          <w:lang w:val="fr-FR"/>
        </w:rPr>
        <w:t xml:space="preserve"> </w:t>
      </w:r>
      <w:r w:rsidRPr="00C91DB8">
        <w:rPr>
          <w:lang w:val="fr-FR"/>
        </w:rPr>
        <w:t xml:space="preserve">Un projet de réforme du Code de la </w:t>
      </w:r>
      <w:r w:rsidR="002036DA" w:rsidRPr="00C91DB8">
        <w:rPr>
          <w:lang w:val="fr-FR"/>
        </w:rPr>
        <w:t>f</w:t>
      </w:r>
      <w:r w:rsidRPr="00C91DB8">
        <w:rPr>
          <w:lang w:val="fr-FR"/>
        </w:rPr>
        <w:t>amille est en cours de discussion.</w:t>
      </w:r>
    </w:p>
    <w:p w:rsidR="002A17AD" w:rsidRPr="00C91DB8" w:rsidRDefault="00CC3212" w:rsidP="00CC3212">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5 de la liste </w:t>
      </w:r>
    </w:p>
    <w:p w:rsidR="002A17AD" w:rsidRPr="00C91DB8" w:rsidRDefault="008E1AE6" w:rsidP="00BE6141">
      <w:pPr>
        <w:pStyle w:val="SingleTxtG"/>
        <w:numPr>
          <w:ilvl w:val="0"/>
          <w:numId w:val="12"/>
        </w:numPr>
        <w:spacing w:line="240" w:lineRule="auto"/>
        <w:ind w:left="1134" w:firstLine="0"/>
        <w:rPr>
          <w:lang w:val="fr-FR"/>
        </w:rPr>
      </w:pPr>
      <w:r w:rsidRPr="00C91DB8">
        <w:rPr>
          <w:lang w:val="fr-FR"/>
        </w:rPr>
        <w:t>Aucune loi de droit positif n</w:t>
      </w:r>
      <w:r w:rsidR="002036DA" w:rsidRPr="00C91DB8">
        <w:rPr>
          <w:lang w:val="fr-FR"/>
        </w:rPr>
        <w:t>’</w:t>
      </w:r>
      <w:r w:rsidRPr="00C91DB8">
        <w:rPr>
          <w:lang w:val="fr-FR"/>
        </w:rPr>
        <w:t>érige l</w:t>
      </w:r>
      <w:r w:rsidR="002036DA" w:rsidRPr="00C91DB8">
        <w:rPr>
          <w:lang w:val="fr-FR"/>
        </w:rPr>
        <w:t>’</w:t>
      </w:r>
      <w:r w:rsidRPr="00C91DB8">
        <w:rPr>
          <w:lang w:val="fr-FR"/>
        </w:rPr>
        <w:t>homosexualité en infraction pénale</w:t>
      </w:r>
      <w:r w:rsidR="00BE6141">
        <w:rPr>
          <w:lang w:val="fr-FR"/>
        </w:rPr>
        <w:t>.</w:t>
      </w:r>
    </w:p>
    <w:p w:rsidR="002A17AD" w:rsidRPr="00C91DB8" w:rsidRDefault="00CC3212" w:rsidP="00CC3212">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6 de la liste </w:t>
      </w:r>
    </w:p>
    <w:p w:rsidR="008E1AE6" w:rsidRPr="00C91DB8" w:rsidRDefault="008E1AE6" w:rsidP="00BE6141">
      <w:pPr>
        <w:pStyle w:val="SingleTxtG"/>
        <w:numPr>
          <w:ilvl w:val="0"/>
          <w:numId w:val="12"/>
        </w:numPr>
        <w:spacing w:line="240" w:lineRule="auto"/>
        <w:ind w:left="1134" w:firstLine="0"/>
        <w:rPr>
          <w:lang w:val="fr-FR"/>
        </w:rPr>
      </w:pPr>
      <w:r w:rsidRPr="00C91DB8">
        <w:rPr>
          <w:lang w:val="fr-FR"/>
        </w:rPr>
        <w:t>Malgré ses ressources limitées, la République de Djibouti a</w:t>
      </w:r>
      <w:r w:rsidR="002036DA" w:rsidRPr="00C91DB8">
        <w:rPr>
          <w:lang w:val="fr-FR"/>
        </w:rPr>
        <w:t xml:space="preserve"> </w:t>
      </w:r>
      <w:r w:rsidRPr="00C91DB8">
        <w:rPr>
          <w:lang w:val="fr-FR"/>
        </w:rPr>
        <w:t>toujours été</w:t>
      </w:r>
      <w:r w:rsidR="002036DA" w:rsidRPr="00C91DB8">
        <w:rPr>
          <w:lang w:val="fr-FR"/>
        </w:rPr>
        <w:t xml:space="preserve"> </w:t>
      </w:r>
      <w:r w:rsidRPr="00C91DB8">
        <w:rPr>
          <w:lang w:val="fr-FR"/>
        </w:rPr>
        <w:t>une terre d’asile pour des milliers</w:t>
      </w:r>
      <w:r w:rsidR="002036DA" w:rsidRPr="00C91DB8">
        <w:rPr>
          <w:lang w:val="fr-FR"/>
        </w:rPr>
        <w:t xml:space="preserve"> </w:t>
      </w:r>
      <w:r w:rsidRPr="00C91DB8">
        <w:rPr>
          <w:lang w:val="fr-FR"/>
        </w:rPr>
        <w:t>de réfugiés fuyant les guerres et les crises politiques qui sont particulièrement</w:t>
      </w:r>
      <w:r w:rsidR="002036DA" w:rsidRPr="00C91DB8">
        <w:rPr>
          <w:lang w:val="fr-FR"/>
        </w:rPr>
        <w:t xml:space="preserve"> </w:t>
      </w:r>
      <w:r w:rsidR="00D42EF2" w:rsidRPr="00C91DB8">
        <w:rPr>
          <w:lang w:val="fr-FR"/>
        </w:rPr>
        <w:t>récurrentes</w:t>
      </w:r>
      <w:r w:rsidRPr="00C91DB8">
        <w:rPr>
          <w:lang w:val="fr-FR"/>
        </w:rPr>
        <w:t xml:space="preserve"> dans cette partie du globe.</w:t>
      </w:r>
    </w:p>
    <w:p w:rsidR="008E1AE6" w:rsidRPr="00C91DB8" w:rsidRDefault="008E1AE6" w:rsidP="00BE6141">
      <w:pPr>
        <w:pStyle w:val="SingleTxtG"/>
        <w:numPr>
          <w:ilvl w:val="0"/>
          <w:numId w:val="12"/>
        </w:numPr>
        <w:spacing w:line="240" w:lineRule="auto"/>
        <w:ind w:left="1134" w:firstLine="0"/>
        <w:rPr>
          <w:lang w:val="fr-FR"/>
        </w:rPr>
      </w:pPr>
      <w:r w:rsidRPr="00C91DB8">
        <w:rPr>
          <w:lang w:val="fr-FR"/>
        </w:rPr>
        <w:t>Les premiers réfugiés ont été accueillis</w:t>
      </w:r>
      <w:r w:rsidR="002036DA" w:rsidRPr="00C91DB8">
        <w:rPr>
          <w:lang w:val="fr-FR"/>
        </w:rPr>
        <w:t xml:space="preserve"> </w:t>
      </w:r>
      <w:r w:rsidRPr="00C91DB8">
        <w:rPr>
          <w:lang w:val="fr-FR"/>
        </w:rPr>
        <w:t>dans le pays en 1978</w:t>
      </w:r>
      <w:r w:rsidR="002036DA" w:rsidRPr="00C91DB8">
        <w:rPr>
          <w:lang w:val="fr-FR"/>
        </w:rPr>
        <w:t xml:space="preserve"> </w:t>
      </w:r>
      <w:r w:rsidRPr="00C91DB8">
        <w:rPr>
          <w:lang w:val="fr-FR"/>
        </w:rPr>
        <w:t xml:space="preserve">suite à la guerre de </w:t>
      </w:r>
      <w:r w:rsidRPr="00BE6141">
        <w:rPr>
          <w:lang w:val="fr-FR"/>
        </w:rPr>
        <w:t>l’O</w:t>
      </w:r>
      <w:r w:rsidR="00BE6141" w:rsidRPr="00BE6141">
        <w:rPr>
          <w:lang w:val="fr-FR"/>
        </w:rPr>
        <w:t>gaden</w:t>
      </w:r>
      <w:r w:rsidRPr="00C91DB8">
        <w:rPr>
          <w:b/>
          <w:lang w:val="fr-FR"/>
        </w:rPr>
        <w:t xml:space="preserve"> </w:t>
      </w:r>
      <w:r w:rsidRPr="00C91DB8">
        <w:rPr>
          <w:lang w:val="fr-FR"/>
        </w:rPr>
        <w:t>entre la Somalie et l’</w:t>
      </w:r>
      <w:r w:rsidR="00BE6141">
        <w:rPr>
          <w:lang w:val="fr-FR"/>
        </w:rPr>
        <w:t>É</w:t>
      </w:r>
      <w:r w:rsidRPr="00C91DB8">
        <w:rPr>
          <w:lang w:val="fr-FR"/>
        </w:rPr>
        <w:t>thiopie.</w:t>
      </w:r>
    </w:p>
    <w:p w:rsidR="002A17AD" w:rsidRPr="00C91DB8" w:rsidRDefault="008E1AE6" w:rsidP="00BE6141">
      <w:pPr>
        <w:pStyle w:val="SingleTxtG"/>
        <w:numPr>
          <w:ilvl w:val="0"/>
          <w:numId w:val="12"/>
        </w:numPr>
        <w:spacing w:line="240" w:lineRule="auto"/>
        <w:ind w:left="1134" w:firstLine="0"/>
        <w:rPr>
          <w:lang w:val="fr-FR"/>
        </w:rPr>
      </w:pPr>
      <w:r w:rsidRPr="00C91DB8">
        <w:rPr>
          <w:lang w:val="fr-FR"/>
        </w:rPr>
        <w:t>Pour gérer cette crise, le pays indépendant</w:t>
      </w:r>
      <w:r w:rsidR="00BE6141">
        <w:rPr>
          <w:lang w:val="fr-FR"/>
        </w:rPr>
        <w:t xml:space="preserve"> depuis peu</w:t>
      </w:r>
      <w:r w:rsidRPr="00C91DB8">
        <w:rPr>
          <w:lang w:val="fr-FR"/>
        </w:rPr>
        <w:t>, avait mis en place</w:t>
      </w:r>
      <w:r w:rsidR="002036DA" w:rsidRPr="00C91DB8">
        <w:rPr>
          <w:lang w:val="fr-FR"/>
        </w:rPr>
        <w:t xml:space="preserve"> </w:t>
      </w:r>
      <w:r w:rsidRPr="00C91DB8">
        <w:rPr>
          <w:lang w:val="fr-FR"/>
        </w:rPr>
        <w:t>l’Office national d’assistance aux sinistrés et aux réfugiés</w:t>
      </w:r>
      <w:r w:rsidR="00BE6141">
        <w:rPr>
          <w:lang w:val="fr-FR"/>
        </w:rPr>
        <w:t xml:space="preserve"> (</w:t>
      </w:r>
      <w:r w:rsidR="00BE6141" w:rsidRPr="00C91DB8">
        <w:rPr>
          <w:lang w:val="fr-FR"/>
        </w:rPr>
        <w:t>ONARS</w:t>
      </w:r>
      <w:r w:rsidRPr="00C91DB8">
        <w:rPr>
          <w:lang w:val="fr-FR"/>
        </w:rPr>
        <w:t>). Cette institution toujours fonctionnelle dispose d’un bureau d’éligibilité qui a pour missions</w:t>
      </w:r>
      <w:r w:rsidR="002036DA" w:rsidRPr="00C91DB8">
        <w:rPr>
          <w:lang w:val="fr-FR"/>
        </w:rPr>
        <w:t>:</w:t>
      </w:r>
    </w:p>
    <w:p w:rsidR="008E1AE6" w:rsidRPr="00C91DB8" w:rsidRDefault="008E1AE6" w:rsidP="002A17AD">
      <w:pPr>
        <w:pStyle w:val="Bullet1G"/>
        <w:rPr>
          <w:lang w:val="fr-FR"/>
        </w:rPr>
      </w:pPr>
      <w:r w:rsidRPr="00C91DB8">
        <w:rPr>
          <w:lang w:val="fr-FR"/>
        </w:rPr>
        <w:t>L’accueil de</w:t>
      </w:r>
      <w:r w:rsidR="00BE6141">
        <w:rPr>
          <w:lang w:val="fr-FR"/>
        </w:rPr>
        <w:t>s</w:t>
      </w:r>
      <w:r w:rsidRPr="00C91DB8">
        <w:rPr>
          <w:lang w:val="fr-FR"/>
        </w:rPr>
        <w:t xml:space="preserve"> nouveaux demandeurs d’asile</w:t>
      </w:r>
    </w:p>
    <w:p w:rsidR="008E1AE6" w:rsidRPr="00C91DB8" w:rsidRDefault="008E1AE6" w:rsidP="00BE6141">
      <w:pPr>
        <w:pStyle w:val="Bullet1G"/>
        <w:rPr>
          <w:lang w:val="fr-FR"/>
        </w:rPr>
      </w:pPr>
      <w:r w:rsidRPr="00C91DB8">
        <w:rPr>
          <w:lang w:val="fr-FR"/>
        </w:rPr>
        <w:t xml:space="preserve">La </w:t>
      </w:r>
      <w:r w:rsidR="00BE6141">
        <w:rPr>
          <w:lang w:val="fr-FR"/>
        </w:rPr>
        <w:t xml:space="preserve">communication </w:t>
      </w:r>
      <w:r w:rsidRPr="00C91DB8">
        <w:rPr>
          <w:lang w:val="fr-FR"/>
        </w:rPr>
        <w:t xml:space="preserve">d’information sur la procédure d’éligibilité au statut de </w:t>
      </w:r>
      <w:r w:rsidR="00BE6141">
        <w:rPr>
          <w:lang w:val="fr-FR"/>
        </w:rPr>
        <w:t>r</w:t>
      </w:r>
      <w:r w:rsidRPr="00C91DB8">
        <w:rPr>
          <w:lang w:val="fr-FR"/>
        </w:rPr>
        <w:t>éfugiés en République de Djibouti</w:t>
      </w:r>
    </w:p>
    <w:p w:rsidR="002A17AD" w:rsidRPr="00C91DB8" w:rsidRDefault="00DD36A5" w:rsidP="00DD36A5">
      <w:pPr>
        <w:pStyle w:val="Bullet1G"/>
        <w:rPr>
          <w:lang w:val="fr-FR"/>
        </w:rPr>
      </w:pPr>
      <w:r w:rsidRPr="00C91DB8">
        <w:rPr>
          <w:lang w:val="fr-FR"/>
        </w:rPr>
        <w:t>L</w:t>
      </w:r>
      <w:r w:rsidR="008E1AE6" w:rsidRPr="00C91DB8">
        <w:rPr>
          <w:lang w:val="fr-FR"/>
        </w:rPr>
        <w:t>’enregistrement et l’interview des demandeurs d’asile.</w:t>
      </w:r>
    </w:p>
    <w:p w:rsidR="008E1AE6" w:rsidRPr="00C91DB8" w:rsidRDefault="008E1AE6" w:rsidP="00BE6141">
      <w:pPr>
        <w:pStyle w:val="SingleTxtG"/>
        <w:numPr>
          <w:ilvl w:val="0"/>
          <w:numId w:val="12"/>
        </w:numPr>
        <w:spacing w:line="240" w:lineRule="auto"/>
        <w:ind w:left="1134" w:firstLine="0"/>
        <w:rPr>
          <w:lang w:val="fr-FR"/>
        </w:rPr>
      </w:pPr>
      <w:r w:rsidRPr="00C91DB8">
        <w:rPr>
          <w:lang w:val="fr-FR"/>
        </w:rPr>
        <w:t>Les allégations de discrimination sont infondées</w:t>
      </w:r>
      <w:r w:rsidR="00BE6141">
        <w:rPr>
          <w:lang w:val="fr-FR"/>
        </w:rPr>
        <w:t>. T</w:t>
      </w:r>
      <w:r w:rsidRPr="00C91DB8">
        <w:rPr>
          <w:lang w:val="fr-FR"/>
        </w:rPr>
        <w:t>out demandeur d’asile sans distinction aucune</w:t>
      </w:r>
      <w:r w:rsidR="002036DA" w:rsidRPr="00C91DB8">
        <w:rPr>
          <w:lang w:val="fr-FR"/>
        </w:rPr>
        <w:t xml:space="preserve"> </w:t>
      </w:r>
      <w:r w:rsidRPr="00C91DB8">
        <w:rPr>
          <w:lang w:val="fr-FR"/>
        </w:rPr>
        <w:t>est enregistré et interviewé</w:t>
      </w:r>
      <w:r w:rsidR="00BE6141">
        <w:rPr>
          <w:lang w:val="fr-FR"/>
        </w:rPr>
        <w:t xml:space="preserve">. Seuls </w:t>
      </w:r>
      <w:r w:rsidRPr="00C91DB8">
        <w:rPr>
          <w:lang w:val="fr-FR"/>
        </w:rPr>
        <w:t>les réfugiés somaliens</w:t>
      </w:r>
      <w:r w:rsidR="00BE6141">
        <w:rPr>
          <w:lang w:val="fr-FR"/>
        </w:rPr>
        <w:t xml:space="preserve">, </w:t>
      </w:r>
      <w:r w:rsidRPr="00C91DB8">
        <w:rPr>
          <w:lang w:val="fr-FR"/>
        </w:rPr>
        <w:t>surtout ceux venant du centre et du sud</w:t>
      </w:r>
      <w:r w:rsidR="00BE6141">
        <w:rPr>
          <w:lang w:val="fr-FR"/>
        </w:rPr>
        <w:t>,</w:t>
      </w:r>
      <w:r w:rsidRPr="00C91DB8">
        <w:rPr>
          <w:lang w:val="fr-FR"/>
        </w:rPr>
        <w:t xml:space="preserve"> sont plus nombreux parce</w:t>
      </w:r>
      <w:r w:rsidR="002036DA" w:rsidRPr="00C91DB8">
        <w:rPr>
          <w:lang w:val="fr-FR"/>
        </w:rPr>
        <w:t xml:space="preserve"> </w:t>
      </w:r>
      <w:r w:rsidRPr="00C91DB8">
        <w:rPr>
          <w:lang w:val="fr-FR"/>
        </w:rPr>
        <w:t>qu’ils viennent d’un pays totalement déchiré par la guerre</w:t>
      </w:r>
      <w:r w:rsidR="00BE6141">
        <w:rPr>
          <w:lang w:val="fr-FR"/>
        </w:rPr>
        <w:t>. L</w:t>
      </w:r>
      <w:r w:rsidRPr="00C91DB8">
        <w:rPr>
          <w:lang w:val="fr-FR"/>
        </w:rPr>
        <w:t xml:space="preserve">a présence dans le pays de très nombreux réfugiés </w:t>
      </w:r>
      <w:r w:rsidR="00D42EF2">
        <w:rPr>
          <w:lang w:val="fr-FR"/>
        </w:rPr>
        <w:t>é</w:t>
      </w:r>
      <w:r w:rsidRPr="00C91DB8">
        <w:rPr>
          <w:lang w:val="fr-FR"/>
        </w:rPr>
        <w:t xml:space="preserve">thiopiens, </w:t>
      </w:r>
      <w:r w:rsidR="00D42EF2">
        <w:rPr>
          <w:lang w:val="fr-FR"/>
        </w:rPr>
        <w:t>é</w:t>
      </w:r>
      <w:r w:rsidRPr="00C91DB8">
        <w:rPr>
          <w:lang w:val="fr-FR"/>
        </w:rPr>
        <w:t>rythréens et d’autres nationalités</w:t>
      </w:r>
      <w:r w:rsidR="00BE6141">
        <w:rPr>
          <w:lang w:val="fr-FR"/>
        </w:rPr>
        <w:t xml:space="preserve"> a été constatée</w:t>
      </w:r>
      <w:r w:rsidRPr="00C91DB8">
        <w:rPr>
          <w:lang w:val="fr-FR"/>
        </w:rPr>
        <w:t>.</w:t>
      </w:r>
    </w:p>
    <w:p w:rsidR="002A17AD" w:rsidRPr="00C91DB8" w:rsidRDefault="00BE6141" w:rsidP="00BE6141">
      <w:pPr>
        <w:pStyle w:val="SingleTxtG"/>
        <w:numPr>
          <w:ilvl w:val="0"/>
          <w:numId w:val="12"/>
        </w:numPr>
        <w:spacing w:line="240" w:lineRule="auto"/>
        <w:ind w:left="1134" w:firstLine="0"/>
        <w:rPr>
          <w:lang w:val="fr-FR"/>
        </w:rPr>
      </w:pPr>
      <w:r>
        <w:rPr>
          <w:lang w:val="fr-FR"/>
        </w:rPr>
        <w:t>E</w:t>
      </w:r>
      <w:r w:rsidR="008E1AE6" w:rsidRPr="00C91DB8">
        <w:rPr>
          <w:lang w:val="fr-FR"/>
        </w:rPr>
        <w:t xml:space="preserve">n 2011, </w:t>
      </w:r>
      <w:r>
        <w:rPr>
          <w:lang w:val="fr-FR"/>
        </w:rPr>
        <w:t xml:space="preserve">pour </w:t>
      </w:r>
      <w:r w:rsidR="008E1AE6" w:rsidRPr="00C91DB8">
        <w:rPr>
          <w:lang w:val="fr-FR"/>
        </w:rPr>
        <w:t xml:space="preserve">augmenter la capacité d’accueil des réfugiés et désengorger la structure existante (camp de Ali Addé), le </w:t>
      </w:r>
      <w:r w:rsidR="004253CA">
        <w:rPr>
          <w:lang w:val="fr-FR"/>
        </w:rPr>
        <w:t>G</w:t>
      </w:r>
      <w:r w:rsidR="008E1AE6" w:rsidRPr="00C91DB8">
        <w:rPr>
          <w:lang w:val="fr-FR"/>
        </w:rPr>
        <w:t>ouvernement a autorisé la réouverture du camp de Holl Holl, camp qui a</w:t>
      </w:r>
      <w:r>
        <w:rPr>
          <w:lang w:val="fr-FR"/>
        </w:rPr>
        <w:t>vait</w:t>
      </w:r>
      <w:r w:rsidR="008E1AE6" w:rsidRPr="00C91DB8">
        <w:rPr>
          <w:lang w:val="fr-FR"/>
        </w:rPr>
        <w:t xml:space="preserve"> été fermé en 2002 </w:t>
      </w:r>
      <w:r>
        <w:rPr>
          <w:lang w:val="fr-FR"/>
        </w:rPr>
        <w:t xml:space="preserve">lorsque les </w:t>
      </w:r>
      <w:r w:rsidR="008E1AE6" w:rsidRPr="00C91DB8">
        <w:rPr>
          <w:lang w:val="fr-FR"/>
        </w:rPr>
        <w:t>r</w:t>
      </w:r>
      <w:r>
        <w:rPr>
          <w:lang w:val="fr-FR"/>
        </w:rPr>
        <w:t>é</w:t>
      </w:r>
      <w:r w:rsidR="008E1AE6" w:rsidRPr="00C91DB8">
        <w:rPr>
          <w:lang w:val="fr-FR"/>
        </w:rPr>
        <w:t>fugiés originaires d</w:t>
      </w:r>
      <w:r>
        <w:rPr>
          <w:lang w:val="fr-FR"/>
        </w:rPr>
        <w:t>u</w:t>
      </w:r>
      <w:r w:rsidR="008E1AE6" w:rsidRPr="00C91DB8">
        <w:rPr>
          <w:lang w:val="fr-FR"/>
        </w:rPr>
        <w:t xml:space="preserve"> nord de la Somalie</w:t>
      </w:r>
      <w:r>
        <w:rPr>
          <w:lang w:val="fr-FR"/>
        </w:rPr>
        <w:t xml:space="preserve"> étaient rentrés chez eux</w:t>
      </w:r>
      <w:r w:rsidR="008E1AE6" w:rsidRPr="00C91DB8">
        <w:rPr>
          <w:lang w:val="fr-FR"/>
        </w:rPr>
        <w:t xml:space="preserve">. </w:t>
      </w:r>
    </w:p>
    <w:p w:rsidR="002A17AD" w:rsidRPr="00C91DB8" w:rsidRDefault="002A17AD" w:rsidP="0094370C">
      <w:pPr>
        <w:pStyle w:val="H1G"/>
        <w:rPr>
          <w:lang w:val="fr-FR"/>
        </w:rPr>
      </w:pPr>
      <w:r w:rsidRPr="00C91DB8">
        <w:rPr>
          <w:lang w:val="fr-FR"/>
        </w:rPr>
        <w:tab/>
      </w:r>
      <w:r w:rsidRPr="00C91DB8">
        <w:rPr>
          <w:lang w:val="fr-FR"/>
        </w:rPr>
        <w:tab/>
      </w:r>
      <w:r w:rsidR="008E1AE6" w:rsidRPr="00C91DB8">
        <w:rPr>
          <w:lang w:val="fr-FR"/>
        </w:rPr>
        <w:t>Droit à la vie (art</w:t>
      </w:r>
      <w:r w:rsidR="002036DA" w:rsidRPr="00C91DB8">
        <w:rPr>
          <w:lang w:val="fr-FR"/>
        </w:rPr>
        <w:t>.</w:t>
      </w:r>
      <w:r w:rsidR="008E1AE6" w:rsidRPr="00C91DB8">
        <w:rPr>
          <w:lang w:val="fr-FR"/>
        </w:rPr>
        <w:t>6)</w:t>
      </w:r>
      <w:r w:rsidR="0094370C" w:rsidRPr="00C91DB8">
        <w:rPr>
          <w:lang w:val="fr-FR"/>
        </w:rPr>
        <w:t xml:space="preserve"> et</w:t>
      </w:r>
      <w:r w:rsidR="008E1AE6" w:rsidRPr="00C91DB8">
        <w:rPr>
          <w:lang w:val="fr-FR"/>
        </w:rPr>
        <w:t xml:space="preserve"> </w:t>
      </w:r>
      <w:r w:rsidR="0094370C" w:rsidRPr="00C91DB8">
        <w:rPr>
          <w:lang w:val="fr-FR"/>
        </w:rPr>
        <w:t>i</w:t>
      </w:r>
      <w:r w:rsidR="008E1AE6" w:rsidRPr="00C91DB8">
        <w:rPr>
          <w:lang w:val="fr-FR"/>
        </w:rPr>
        <w:t xml:space="preserve">nterdiction de la torture et des traitements cruels, inhumains ou dégradants; liberté et sécurité de la personne; traitement des personnes privées de </w:t>
      </w:r>
      <w:r w:rsidR="0094370C" w:rsidRPr="00C91DB8">
        <w:rPr>
          <w:lang w:val="fr-FR"/>
        </w:rPr>
        <w:t>l</w:t>
      </w:r>
      <w:r w:rsidR="008E1AE6" w:rsidRPr="00C91DB8">
        <w:rPr>
          <w:lang w:val="fr-FR"/>
        </w:rPr>
        <w:t>iberté (</w:t>
      </w:r>
      <w:r w:rsidR="002036DA" w:rsidRPr="00C91DB8">
        <w:rPr>
          <w:lang w:val="fr-FR"/>
        </w:rPr>
        <w:t>art. </w:t>
      </w:r>
      <w:r w:rsidR="008E1AE6" w:rsidRPr="00C91DB8">
        <w:rPr>
          <w:lang w:val="fr-FR"/>
        </w:rPr>
        <w:t xml:space="preserve">7, 9 et 10) </w:t>
      </w:r>
    </w:p>
    <w:p w:rsidR="002A17AD" w:rsidRPr="00C91DB8" w:rsidRDefault="002A17AD" w:rsidP="00CC3212">
      <w:pPr>
        <w:pStyle w:val="H23G"/>
        <w:rPr>
          <w:lang w:val="fr-FR"/>
        </w:rPr>
      </w:pPr>
      <w:r w:rsidRPr="00C91DB8">
        <w:rPr>
          <w:lang w:val="fr-FR"/>
        </w:rPr>
        <w:tab/>
      </w:r>
      <w:r w:rsidRPr="00C91DB8">
        <w:rPr>
          <w:lang w:val="fr-FR"/>
        </w:rPr>
        <w:tab/>
      </w:r>
      <w:r w:rsidR="00CC3212" w:rsidRPr="00C91DB8">
        <w:rPr>
          <w:rFonts w:eastAsia="Arial Unicode MS"/>
          <w:lang w:val="fr-FR"/>
        </w:rPr>
        <w:t xml:space="preserve">Réponse aux questions posées aux paragraphes 7 et 8 de la liste </w:t>
      </w:r>
    </w:p>
    <w:p w:rsidR="002A17AD" w:rsidRPr="00C91DB8" w:rsidRDefault="008E1AE6" w:rsidP="001B7908">
      <w:pPr>
        <w:pStyle w:val="SingleTxtG"/>
        <w:numPr>
          <w:ilvl w:val="0"/>
          <w:numId w:val="12"/>
        </w:numPr>
        <w:spacing w:line="240" w:lineRule="auto"/>
        <w:ind w:left="1134" w:firstLine="0"/>
        <w:rPr>
          <w:lang w:val="fr-FR"/>
        </w:rPr>
      </w:pPr>
      <w:r w:rsidRPr="00C91DB8">
        <w:rPr>
          <w:lang w:val="fr-FR"/>
        </w:rPr>
        <w:t xml:space="preserve">Comme nous l’avons </w:t>
      </w:r>
      <w:r w:rsidR="001B7908">
        <w:rPr>
          <w:lang w:val="fr-FR"/>
        </w:rPr>
        <w:t xml:space="preserve">dit à </w:t>
      </w:r>
      <w:r w:rsidRPr="00C91DB8">
        <w:rPr>
          <w:lang w:val="fr-FR"/>
        </w:rPr>
        <w:t xml:space="preserve">maintes </w:t>
      </w:r>
      <w:r w:rsidR="001B7908">
        <w:rPr>
          <w:lang w:val="fr-FR"/>
        </w:rPr>
        <w:t xml:space="preserve">reprises </w:t>
      </w:r>
      <w:r w:rsidRPr="00C91DB8">
        <w:rPr>
          <w:lang w:val="fr-FR"/>
        </w:rPr>
        <w:t>dans nos dialogues avec les organes des droits de l’</w:t>
      </w:r>
      <w:r w:rsidR="00392C53">
        <w:rPr>
          <w:lang w:val="fr-FR"/>
        </w:rPr>
        <w:t>h</w:t>
      </w:r>
      <w:r w:rsidRPr="00C91DB8">
        <w:rPr>
          <w:lang w:val="fr-FR"/>
        </w:rPr>
        <w:t xml:space="preserve">omme, </w:t>
      </w:r>
      <w:r w:rsidR="001B7908">
        <w:rPr>
          <w:lang w:val="fr-FR"/>
        </w:rPr>
        <w:t>d</w:t>
      </w:r>
      <w:r w:rsidRPr="00C91DB8">
        <w:rPr>
          <w:lang w:val="fr-FR"/>
        </w:rPr>
        <w:t xml:space="preserve">es allégations de mauvais traitements, de détention illégale, de torture voire d’assassinat sont colportées par des individus se </w:t>
      </w:r>
      <w:r w:rsidR="001B7908">
        <w:rPr>
          <w:lang w:val="fr-FR"/>
        </w:rPr>
        <w:t xml:space="preserve">présentant comme des </w:t>
      </w:r>
      <w:r w:rsidRPr="00C91DB8">
        <w:rPr>
          <w:lang w:val="fr-FR"/>
        </w:rPr>
        <w:t>politiques d’opposition</w:t>
      </w:r>
      <w:r w:rsidR="001B7908">
        <w:rPr>
          <w:lang w:val="fr-FR"/>
        </w:rPr>
        <w:t xml:space="preserve">. Il s’agit </w:t>
      </w:r>
      <w:r w:rsidRPr="00C91DB8">
        <w:rPr>
          <w:lang w:val="fr-FR"/>
        </w:rPr>
        <w:t xml:space="preserve">souvent </w:t>
      </w:r>
      <w:r w:rsidR="001B7908" w:rsidRPr="00C91DB8">
        <w:rPr>
          <w:lang w:val="fr-FR"/>
        </w:rPr>
        <w:t>d</w:t>
      </w:r>
      <w:r w:rsidR="001B7908">
        <w:rPr>
          <w:lang w:val="fr-FR"/>
        </w:rPr>
        <w:t>’</w:t>
      </w:r>
      <w:r w:rsidRPr="00C91DB8">
        <w:rPr>
          <w:lang w:val="fr-FR"/>
        </w:rPr>
        <w:t>individus mal intentionnés et peu enclins à respecter les lois et règlements en vigueur dans le pays.</w:t>
      </w:r>
    </w:p>
    <w:p w:rsidR="0094370C" w:rsidRPr="00C91DB8" w:rsidRDefault="0094370C" w:rsidP="0060071B">
      <w:pPr>
        <w:pStyle w:val="H23G"/>
        <w:rPr>
          <w:rStyle w:val="H1GChar"/>
          <w:lang w:val="fr-FR"/>
        </w:rPr>
      </w:pPr>
      <w:r w:rsidRPr="00C91DB8">
        <w:rPr>
          <w:rStyle w:val="H1GChar"/>
          <w:lang w:val="fr-FR"/>
        </w:rPr>
        <w:tab/>
      </w:r>
      <w:r w:rsidRPr="00C91DB8">
        <w:rPr>
          <w:rStyle w:val="H1GChar"/>
          <w:lang w:val="fr-FR"/>
        </w:rPr>
        <w:tab/>
        <w:t>Interdiction de la torture et des traitements cruels, inhumains ou dégradants; liberté et sécurité de la personne; traitement des personnes privées de liberté (</w:t>
      </w:r>
      <w:r w:rsidR="002036DA" w:rsidRPr="00C91DB8">
        <w:rPr>
          <w:rStyle w:val="H1GChar"/>
          <w:lang w:val="fr-FR"/>
        </w:rPr>
        <w:t>art. </w:t>
      </w:r>
      <w:r w:rsidRPr="00C91DB8">
        <w:rPr>
          <w:rStyle w:val="H1GChar"/>
          <w:lang w:val="fr-FR"/>
        </w:rPr>
        <w:t>7, 9 et 10)</w:t>
      </w:r>
    </w:p>
    <w:p w:rsidR="002A17AD" w:rsidRPr="00C91DB8" w:rsidRDefault="0060071B" w:rsidP="0060071B">
      <w:pPr>
        <w:pStyle w:val="H23G"/>
        <w:rPr>
          <w:lang w:val="fr-FR"/>
        </w:rPr>
      </w:pPr>
      <w:r w:rsidRPr="00C91DB8">
        <w:rPr>
          <w:rStyle w:val="H1GChar"/>
          <w:rFonts w:eastAsia="Arial Unicode MS"/>
          <w:lang w:val="fr-FR"/>
        </w:rPr>
        <w:tab/>
      </w:r>
      <w:r w:rsidRPr="00C91DB8">
        <w:rPr>
          <w:rFonts w:eastAsia="Arial Unicode MS"/>
          <w:lang w:val="fr-FR"/>
        </w:rPr>
        <w:tab/>
        <w:t xml:space="preserve">Réponse aux questions posées au paragraphe 9 de la liste </w:t>
      </w:r>
    </w:p>
    <w:p w:rsidR="008E1AE6" w:rsidRPr="00C91DB8" w:rsidRDefault="008E1AE6" w:rsidP="001C41F0">
      <w:pPr>
        <w:pStyle w:val="SingleTxtG"/>
        <w:numPr>
          <w:ilvl w:val="0"/>
          <w:numId w:val="12"/>
        </w:numPr>
        <w:spacing w:line="240" w:lineRule="auto"/>
        <w:ind w:left="1134" w:firstLine="0"/>
        <w:rPr>
          <w:lang w:val="fr-FR"/>
        </w:rPr>
      </w:pPr>
      <w:r w:rsidRPr="00C91DB8">
        <w:rPr>
          <w:lang w:val="fr-FR"/>
        </w:rPr>
        <w:t xml:space="preserve">Le statut d’organe indépendant de la Commission </w:t>
      </w:r>
      <w:r w:rsidR="00392C53">
        <w:rPr>
          <w:lang w:val="fr-FR"/>
        </w:rPr>
        <w:t>n</w:t>
      </w:r>
      <w:r w:rsidRPr="00C91DB8">
        <w:rPr>
          <w:lang w:val="fr-FR"/>
        </w:rPr>
        <w:t xml:space="preserve">ationale des </w:t>
      </w:r>
      <w:r w:rsidR="00392C53">
        <w:rPr>
          <w:lang w:val="fr-FR"/>
        </w:rPr>
        <w:t>d</w:t>
      </w:r>
      <w:r w:rsidRPr="00C91DB8">
        <w:rPr>
          <w:lang w:val="fr-FR"/>
        </w:rPr>
        <w:t>roits de l’</w:t>
      </w:r>
      <w:r w:rsidR="00392C53">
        <w:rPr>
          <w:lang w:val="fr-FR"/>
        </w:rPr>
        <w:t>h</w:t>
      </w:r>
      <w:r w:rsidRPr="00C91DB8">
        <w:rPr>
          <w:lang w:val="fr-FR"/>
        </w:rPr>
        <w:t>omme confère à celle-ci le pouvoir de recevoir des plaintes et de mener des enquêtes rapide</w:t>
      </w:r>
      <w:r w:rsidR="001C41F0">
        <w:rPr>
          <w:lang w:val="fr-FR"/>
        </w:rPr>
        <w:t>s</w:t>
      </w:r>
      <w:r w:rsidRPr="00C91DB8">
        <w:rPr>
          <w:lang w:val="fr-FR"/>
        </w:rPr>
        <w:t xml:space="preserve"> et impartiales sur toutes allégations </w:t>
      </w:r>
      <w:r w:rsidR="001C41F0">
        <w:rPr>
          <w:lang w:val="fr-FR"/>
        </w:rPr>
        <w:t>d’</w:t>
      </w:r>
      <w:r w:rsidRPr="00C91DB8">
        <w:rPr>
          <w:lang w:val="fr-FR"/>
        </w:rPr>
        <w:t xml:space="preserve">atteinte aux droits </w:t>
      </w:r>
      <w:r w:rsidR="001C41F0">
        <w:rPr>
          <w:lang w:val="fr-FR"/>
        </w:rPr>
        <w:t>de l’</w:t>
      </w:r>
      <w:r w:rsidRPr="00C91DB8">
        <w:rPr>
          <w:lang w:val="fr-FR"/>
        </w:rPr>
        <w:t>h</w:t>
      </w:r>
      <w:r w:rsidR="001C41F0">
        <w:rPr>
          <w:lang w:val="fr-FR"/>
        </w:rPr>
        <w:t xml:space="preserve">omme </w:t>
      </w:r>
      <w:r w:rsidRPr="00C91DB8">
        <w:rPr>
          <w:lang w:val="fr-FR"/>
        </w:rPr>
        <w:t>notamment de torture émanant en particulier de prisonniers et d’autres personnes privées de liberté.</w:t>
      </w:r>
    </w:p>
    <w:p w:rsidR="002A17AD" w:rsidRPr="00C91DB8" w:rsidRDefault="008E1AE6" w:rsidP="001C41F0">
      <w:pPr>
        <w:pStyle w:val="SingleTxtG"/>
        <w:numPr>
          <w:ilvl w:val="0"/>
          <w:numId w:val="12"/>
        </w:numPr>
        <w:spacing w:line="240" w:lineRule="auto"/>
        <w:ind w:left="1134" w:firstLine="0"/>
        <w:rPr>
          <w:lang w:val="fr-FR"/>
        </w:rPr>
      </w:pPr>
      <w:r w:rsidRPr="00C91DB8">
        <w:rPr>
          <w:lang w:val="fr-FR"/>
        </w:rPr>
        <w:t>Concernant les mesures de formatio</w:t>
      </w:r>
      <w:r w:rsidRPr="00DF613C">
        <w:rPr>
          <w:lang w:val="fr-FR"/>
        </w:rPr>
        <w:t xml:space="preserve">n </w:t>
      </w:r>
      <w:r w:rsidR="001C41F0" w:rsidRPr="00DF613C">
        <w:rPr>
          <w:lang w:val="fr-FR"/>
        </w:rPr>
        <w:t>évoquées aux paragraphes</w:t>
      </w:r>
      <w:r w:rsidR="001C41F0">
        <w:rPr>
          <w:lang w:val="fr-FR"/>
        </w:rPr>
        <w:t xml:space="preserve"> </w:t>
      </w:r>
      <w:r w:rsidRPr="00C91DB8">
        <w:rPr>
          <w:lang w:val="fr-FR"/>
        </w:rPr>
        <w:t xml:space="preserve">92 et 94 du rapport, il est important de souligner que dans le cadre de son action visant à promouvoir l’état de droit, le Gouvernement a mis l’accent sur la formation des fonctionnaires chargés de faire respecter la loi en organisant, dans certains cas avec le concours du Haut-Commissariat des Nations Unies aux droits de l’homme et du Comité international de la Croix-Rouge, de nombreuses activités de sensibilisation </w:t>
      </w:r>
      <w:r w:rsidR="001C41F0">
        <w:rPr>
          <w:lang w:val="fr-FR"/>
        </w:rPr>
        <w:t xml:space="preserve">aux </w:t>
      </w:r>
      <w:r w:rsidRPr="00C91DB8">
        <w:rPr>
          <w:lang w:val="fr-FR"/>
        </w:rPr>
        <w:t xml:space="preserve">droits de l’homme en général et </w:t>
      </w:r>
      <w:r w:rsidR="001C41F0">
        <w:rPr>
          <w:lang w:val="fr-FR"/>
        </w:rPr>
        <w:t xml:space="preserve">au </w:t>
      </w:r>
      <w:r w:rsidRPr="00C91DB8">
        <w:rPr>
          <w:lang w:val="fr-FR"/>
        </w:rPr>
        <w:t>principe d’interdiction de la torture en particulier. De plus, des cellules des droits de l’homme ont été créées au sein de la police et de la gendarmerie nationale afin de veiller à ce qu’aucun abus ne soit commis sur le terrain.</w:t>
      </w:r>
    </w:p>
    <w:p w:rsidR="002A17AD" w:rsidRPr="00C91DB8" w:rsidRDefault="0060071B" w:rsidP="0060071B">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10 de la liste </w:t>
      </w:r>
    </w:p>
    <w:p w:rsidR="008E1AE6" w:rsidRPr="00C91DB8" w:rsidRDefault="008E1AE6" w:rsidP="002A17AD">
      <w:pPr>
        <w:pStyle w:val="SingleTxtG"/>
        <w:numPr>
          <w:ilvl w:val="0"/>
          <w:numId w:val="12"/>
        </w:numPr>
        <w:spacing w:line="240" w:lineRule="auto"/>
        <w:ind w:left="1134" w:firstLine="0"/>
        <w:rPr>
          <w:lang w:val="fr-FR"/>
        </w:rPr>
      </w:pPr>
      <w:r w:rsidRPr="00C91DB8">
        <w:rPr>
          <w:lang w:val="fr-FR"/>
        </w:rPr>
        <w:t>Il arrive que des individus impliqués dans des affaires complexes nécessitant des investigations poussées pour découvrir la vérité soient détenus pendant une période plus ou moins longue</w:t>
      </w:r>
      <w:r w:rsidR="002036DA" w:rsidRPr="00C91DB8">
        <w:rPr>
          <w:lang w:val="fr-FR"/>
        </w:rPr>
        <w:t xml:space="preserve"> </w:t>
      </w:r>
      <w:r w:rsidRPr="00C91DB8">
        <w:rPr>
          <w:lang w:val="fr-FR"/>
        </w:rPr>
        <w:t>avant d’être jugés. Mais il ne s’agit aucunement de la règle générale.</w:t>
      </w:r>
    </w:p>
    <w:p w:rsidR="008E1AE6" w:rsidRPr="00C91DB8" w:rsidRDefault="008E1AE6" w:rsidP="001C41F0">
      <w:pPr>
        <w:pStyle w:val="SingleTxtG"/>
        <w:numPr>
          <w:ilvl w:val="0"/>
          <w:numId w:val="12"/>
        </w:numPr>
        <w:spacing w:line="240" w:lineRule="auto"/>
        <w:ind w:left="1134" w:firstLine="0"/>
        <w:rPr>
          <w:lang w:val="fr-FR"/>
        </w:rPr>
      </w:pPr>
      <w:r w:rsidRPr="00C91DB8">
        <w:rPr>
          <w:lang w:val="fr-FR"/>
        </w:rPr>
        <w:t>D’ailleurs</w:t>
      </w:r>
      <w:r w:rsidR="001C41F0">
        <w:rPr>
          <w:lang w:val="fr-FR"/>
        </w:rPr>
        <w:t>,</w:t>
      </w:r>
      <w:r w:rsidRPr="00C91DB8">
        <w:rPr>
          <w:lang w:val="fr-FR"/>
        </w:rPr>
        <w:t xml:space="preserve"> pour prévenir ce genre de situations et</w:t>
      </w:r>
      <w:r w:rsidR="002036DA" w:rsidRPr="00C91DB8">
        <w:rPr>
          <w:lang w:val="fr-FR"/>
        </w:rPr>
        <w:t xml:space="preserve"> </w:t>
      </w:r>
      <w:r w:rsidRPr="00C91DB8">
        <w:rPr>
          <w:lang w:val="fr-FR"/>
        </w:rPr>
        <w:t>réduire les délais de détention, l’</w:t>
      </w:r>
      <w:r w:rsidR="002036DA" w:rsidRPr="00C91DB8">
        <w:rPr>
          <w:lang w:val="fr-FR"/>
        </w:rPr>
        <w:t>État</w:t>
      </w:r>
      <w:r w:rsidRPr="00C91DB8">
        <w:rPr>
          <w:lang w:val="fr-FR"/>
        </w:rPr>
        <w:t xml:space="preserve"> partie a augmenté le nombre des magistrats et le nombre des</w:t>
      </w:r>
      <w:r w:rsidR="002036DA" w:rsidRPr="00C91DB8">
        <w:rPr>
          <w:lang w:val="fr-FR"/>
        </w:rPr>
        <w:t xml:space="preserve"> </w:t>
      </w:r>
      <w:r w:rsidRPr="00C91DB8">
        <w:rPr>
          <w:lang w:val="fr-FR"/>
        </w:rPr>
        <w:t xml:space="preserve">cabinets d’instruction pour les affaires graves. </w:t>
      </w:r>
    </w:p>
    <w:p w:rsidR="002A17AD" w:rsidRPr="00C91DB8" w:rsidRDefault="001C41F0" w:rsidP="001C41F0">
      <w:pPr>
        <w:pStyle w:val="SingleTxtG"/>
        <w:numPr>
          <w:ilvl w:val="0"/>
          <w:numId w:val="12"/>
        </w:numPr>
        <w:spacing w:line="240" w:lineRule="auto"/>
        <w:ind w:left="1134" w:firstLine="0"/>
        <w:rPr>
          <w:lang w:val="fr-FR"/>
        </w:rPr>
      </w:pPr>
      <w:r>
        <w:rPr>
          <w:lang w:val="fr-FR"/>
        </w:rPr>
        <w:t xml:space="preserve">Concernant le </w:t>
      </w:r>
      <w:r w:rsidR="008E1AE6" w:rsidRPr="00C91DB8">
        <w:rPr>
          <w:lang w:val="fr-FR"/>
        </w:rPr>
        <w:t xml:space="preserve">rapport détenus provisoires/condamnés, </w:t>
      </w:r>
      <w:r>
        <w:rPr>
          <w:lang w:val="fr-FR"/>
        </w:rPr>
        <w:t>rappelons qu’</w:t>
      </w:r>
      <w:r w:rsidR="008E1AE6" w:rsidRPr="00C91DB8">
        <w:rPr>
          <w:lang w:val="fr-FR"/>
        </w:rPr>
        <w:t xml:space="preserve">il fut un temps où les détenus provisoires étaient plus nombreux, mais depuis trois ans nous assistons à un renversement de tendance lié à </w:t>
      </w:r>
      <w:r>
        <w:rPr>
          <w:lang w:val="fr-FR"/>
        </w:rPr>
        <w:t>l’</w:t>
      </w:r>
      <w:r w:rsidR="008E1AE6" w:rsidRPr="00C91DB8">
        <w:rPr>
          <w:lang w:val="fr-FR"/>
        </w:rPr>
        <w:t>augmentation d</w:t>
      </w:r>
      <w:r>
        <w:rPr>
          <w:lang w:val="fr-FR"/>
        </w:rPr>
        <w:t>u</w:t>
      </w:r>
      <w:r w:rsidR="008E1AE6" w:rsidRPr="00C91DB8">
        <w:rPr>
          <w:lang w:val="fr-FR"/>
        </w:rPr>
        <w:t xml:space="preserve"> nombre des magistrats et</w:t>
      </w:r>
      <w:r>
        <w:rPr>
          <w:lang w:val="fr-FR"/>
        </w:rPr>
        <w:t>,</w:t>
      </w:r>
      <w:r w:rsidR="008E1AE6" w:rsidRPr="00C91DB8">
        <w:rPr>
          <w:lang w:val="fr-FR"/>
        </w:rPr>
        <w:t xml:space="preserve"> par conséquent</w:t>
      </w:r>
      <w:r>
        <w:rPr>
          <w:lang w:val="fr-FR"/>
        </w:rPr>
        <w:t>,</w:t>
      </w:r>
      <w:r w:rsidR="008E1AE6" w:rsidRPr="00C91DB8">
        <w:rPr>
          <w:lang w:val="fr-FR"/>
        </w:rPr>
        <w:t xml:space="preserve"> a </w:t>
      </w:r>
      <w:r>
        <w:rPr>
          <w:lang w:val="fr-FR"/>
        </w:rPr>
        <w:t>l’</w:t>
      </w:r>
      <w:r w:rsidR="008E1AE6" w:rsidRPr="00C91DB8">
        <w:rPr>
          <w:lang w:val="fr-FR"/>
        </w:rPr>
        <w:t>augmentation d</w:t>
      </w:r>
      <w:r>
        <w:rPr>
          <w:lang w:val="fr-FR"/>
        </w:rPr>
        <w:t xml:space="preserve">u </w:t>
      </w:r>
      <w:r w:rsidR="008E1AE6" w:rsidRPr="00C91DB8">
        <w:rPr>
          <w:lang w:val="fr-FR"/>
        </w:rPr>
        <w:t>nombre des audiences.</w:t>
      </w:r>
    </w:p>
    <w:p w:rsidR="002A17AD" w:rsidRPr="00C91DB8" w:rsidRDefault="00FC5A4E" w:rsidP="00FC5A4E">
      <w:pPr>
        <w:pStyle w:val="H23G"/>
        <w:rPr>
          <w:rFonts w:eastAsia="Arial Unicode MS"/>
          <w:lang w:val="fr-FR"/>
        </w:rPr>
      </w:pPr>
      <w:r w:rsidRPr="00C91DB8">
        <w:rPr>
          <w:rFonts w:eastAsia="Arial Unicode MS"/>
          <w:lang w:val="fr-FR"/>
        </w:rPr>
        <w:tab/>
      </w:r>
      <w:r w:rsidRPr="00C91DB8">
        <w:rPr>
          <w:rFonts w:eastAsia="Arial Unicode MS"/>
          <w:lang w:val="fr-FR"/>
        </w:rPr>
        <w:tab/>
      </w:r>
      <w:r w:rsidR="0060071B" w:rsidRPr="00C91DB8">
        <w:rPr>
          <w:rFonts w:eastAsia="Arial Unicode MS"/>
          <w:lang w:val="fr-FR"/>
        </w:rPr>
        <w:t xml:space="preserve">Réponse aux questions posées au paragraphe 11 de la liste </w:t>
      </w:r>
    </w:p>
    <w:p w:rsidR="008E1AE6" w:rsidRPr="00C91DB8" w:rsidRDefault="008E1AE6" w:rsidP="00AF2AA8">
      <w:pPr>
        <w:pStyle w:val="SingleTxtG"/>
        <w:numPr>
          <w:ilvl w:val="0"/>
          <w:numId w:val="12"/>
        </w:numPr>
        <w:spacing w:line="240" w:lineRule="auto"/>
        <w:ind w:left="1134" w:firstLine="0"/>
        <w:rPr>
          <w:lang w:val="fr-FR"/>
        </w:rPr>
      </w:pPr>
      <w:r w:rsidRPr="00C91DB8">
        <w:rPr>
          <w:lang w:val="fr-FR"/>
        </w:rPr>
        <w:t>Pour</w:t>
      </w:r>
      <w:r w:rsidR="00AF2AA8">
        <w:rPr>
          <w:lang w:val="fr-FR"/>
        </w:rPr>
        <w:t> </w:t>
      </w:r>
      <w:r w:rsidRPr="00C91DB8">
        <w:rPr>
          <w:lang w:val="fr-FR"/>
        </w:rPr>
        <w:t>réduire la surpopulation</w:t>
      </w:r>
      <w:r w:rsidR="00AF2AA8">
        <w:rPr>
          <w:lang w:val="fr-FR"/>
        </w:rPr>
        <w:t> </w:t>
      </w:r>
      <w:r w:rsidRPr="00C91DB8">
        <w:rPr>
          <w:lang w:val="fr-FR"/>
        </w:rPr>
        <w:t>carcérale, le</w:t>
      </w:r>
      <w:r w:rsidR="00AF2AA8">
        <w:rPr>
          <w:lang w:val="fr-FR"/>
        </w:rPr>
        <w:t> </w:t>
      </w:r>
      <w:r w:rsidR="004253CA">
        <w:rPr>
          <w:lang w:val="fr-FR"/>
        </w:rPr>
        <w:t>G</w:t>
      </w:r>
      <w:r w:rsidRPr="00C91DB8">
        <w:rPr>
          <w:lang w:val="fr-FR"/>
        </w:rPr>
        <w:t>ouvernement a pris une série de mesure</w:t>
      </w:r>
      <w:r w:rsidR="00AF2AA8">
        <w:rPr>
          <w:lang w:val="fr-FR"/>
        </w:rPr>
        <w:t>s</w:t>
      </w:r>
      <w:r w:rsidR="002036DA" w:rsidRPr="00C91DB8">
        <w:rPr>
          <w:lang w:val="fr-FR"/>
        </w:rPr>
        <w:t>:</w:t>
      </w:r>
    </w:p>
    <w:p w:rsidR="008E1AE6" w:rsidRPr="00C91DB8" w:rsidRDefault="008E1AE6" w:rsidP="00C23320">
      <w:pPr>
        <w:pStyle w:val="Bullet1G"/>
        <w:rPr>
          <w:lang w:val="fr-FR"/>
        </w:rPr>
      </w:pPr>
      <w:r w:rsidRPr="00C91DB8">
        <w:rPr>
          <w:lang w:val="fr-FR"/>
        </w:rPr>
        <w:t>L’augmentation conséquente de l’effectif des magistrats</w:t>
      </w:r>
    </w:p>
    <w:p w:rsidR="008E1AE6" w:rsidRPr="00C91DB8" w:rsidRDefault="008E1AE6" w:rsidP="00C23320">
      <w:pPr>
        <w:pStyle w:val="Bullet1G"/>
        <w:rPr>
          <w:lang w:val="fr-FR"/>
        </w:rPr>
      </w:pPr>
      <w:r w:rsidRPr="00C91DB8">
        <w:rPr>
          <w:lang w:val="fr-FR"/>
        </w:rPr>
        <w:t>La rénovation et la réouverture des prisons de région</w:t>
      </w:r>
    </w:p>
    <w:p w:rsidR="008E1AE6" w:rsidRPr="00C91DB8" w:rsidRDefault="008E1AE6" w:rsidP="00AF2AA8">
      <w:pPr>
        <w:pStyle w:val="Bullet1G"/>
        <w:rPr>
          <w:lang w:val="fr-FR"/>
        </w:rPr>
      </w:pPr>
      <w:r w:rsidRPr="00C91DB8">
        <w:rPr>
          <w:lang w:val="fr-FR"/>
        </w:rPr>
        <w:t xml:space="preserve">Les grâces présidentielles accordées aux détenus en fin de peine durant les événements nationaux majeurs (fête de l’indépendance, </w:t>
      </w:r>
      <w:r w:rsidRPr="00DF613C">
        <w:rPr>
          <w:lang w:val="fr-FR"/>
        </w:rPr>
        <w:t>id fidr et id odha).</w:t>
      </w:r>
    </w:p>
    <w:p w:rsidR="008E1AE6" w:rsidRPr="00C91DB8" w:rsidRDefault="008E1AE6" w:rsidP="00C23320">
      <w:pPr>
        <w:pStyle w:val="SingleTxtG"/>
        <w:numPr>
          <w:ilvl w:val="0"/>
          <w:numId w:val="12"/>
        </w:numPr>
        <w:spacing w:line="240" w:lineRule="auto"/>
        <w:ind w:left="1134" w:firstLine="0"/>
        <w:rPr>
          <w:lang w:val="fr-FR"/>
        </w:rPr>
      </w:pPr>
      <w:r w:rsidRPr="00C91DB8">
        <w:rPr>
          <w:lang w:val="fr-FR"/>
        </w:rPr>
        <w:t>La principale prison du pays</w:t>
      </w:r>
      <w:r w:rsidR="00AF2AA8">
        <w:rPr>
          <w:lang w:val="fr-FR"/>
        </w:rPr>
        <w:t>,</w:t>
      </w:r>
      <w:r w:rsidRPr="00C91DB8">
        <w:rPr>
          <w:lang w:val="fr-FR"/>
        </w:rPr>
        <w:t xml:space="preserve"> qui accueille plus de 80</w:t>
      </w:r>
      <w:r w:rsidR="00AF2AA8">
        <w:rPr>
          <w:lang w:val="fr-FR"/>
        </w:rPr>
        <w:t> </w:t>
      </w:r>
      <w:r w:rsidRPr="00C91DB8">
        <w:rPr>
          <w:lang w:val="fr-FR"/>
        </w:rPr>
        <w:t>% de la population carcérale</w:t>
      </w:r>
      <w:r w:rsidR="00AF2AA8">
        <w:rPr>
          <w:lang w:val="fr-FR"/>
        </w:rPr>
        <w:t>,</w:t>
      </w:r>
      <w:r w:rsidRPr="00C91DB8">
        <w:rPr>
          <w:lang w:val="fr-FR"/>
        </w:rPr>
        <w:t xml:space="preserve"> dispose d’une antenne médicale avec un médecin et deux</w:t>
      </w:r>
      <w:r w:rsidR="002036DA" w:rsidRPr="00C91DB8">
        <w:rPr>
          <w:lang w:val="fr-FR"/>
        </w:rPr>
        <w:t xml:space="preserve"> </w:t>
      </w:r>
      <w:r w:rsidRPr="00C91DB8">
        <w:rPr>
          <w:lang w:val="fr-FR"/>
        </w:rPr>
        <w:t>infirmiers. Les prisonniers nécessitant une intervention lourde ou poussée sont conduits vers les hôpitaux de la ville</w:t>
      </w:r>
      <w:r w:rsidR="002036DA" w:rsidRPr="00C91DB8">
        <w:rPr>
          <w:lang w:val="fr-FR"/>
        </w:rPr>
        <w:t xml:space="preserve"> </w:t>
      </w:r>
      <w:r w:rsidRPr="00C91DB8">
        <w:rPr>
          <w:lang w:val="fr-FR"/>
        </w:rPr>
        <w:t>où ils peuvent être hospitalisés.</w:t>
      </w:r>
    </w:p>
    <w:p w:rsidR="002A17AD" w:rsidRPr="00C91DB8" w:rsidRDefault="008E1AE6" w:rsidP="00AF2AA8">
      <w:pPr>
        <w:pStyle w:val="SingleTxtG"/>
        <w:numPr>
          <w:ilvl w:val="0"/>
          <w:numId w:val="12"/>
        </w:numPr>
        <w:spacing w:line="240" w:lineRule="auto"/>
        <w:ind w:left="1134" w:firstLine="0"/>
        <w:rPr>
          <w:lang w:val="fr-FR"/>
        </w:rPr>
      </w:pPr>
      <w:r w:rsidRPr="00C91DB8">
        <w:rPr>
          <w:lang w:val="fr-FR"/>
        </w:rPr>
        <w:t xml:space="preserve">L’administration pénitentiaire veille également à la nourriture et à l’hygiène des prisonniers qui bénéficient de </w:t>
      </w:r>
      <w:r w:rsidR="00AF2AA8">
        <w:rPr>
          <w:lang w:val="fr-FR"/>
        </w:rPr>
        <w:t xml:space="preserve">trois </w:t>
      </w:r>
      <w:r w:rsidRPr="00C91DB8">
        <w:rPr>
          <w:lang w:val="fr-FR"/>
        </w:rPr>
        <w:t>repas par jour avec pain et viande et d’un kit de toilette.</w:t>
      </w:r>
    </w:p>
    <w:p w:rsidR="002A17AD" w:rsidRPr="00DF613C" w:rsidRDefault="008E1AE6" w:rsidP="002036DA">
      <w:pPr>
        <w:pStyle w:val="SingleTxtG"/>
        <w:numPr>
          <w:ilvl w:val="0"/>
          <w:numId w:val="12"/>
        </w:numPr>
        <w:spacing w:line="240" w:lineRule="auto"/>
        <w:ind w:left="1134" w:firstLine="0"/>
        <w:rPr>
          <w:lang w:val="fr-FR"/>
        </w:rPr>
      </w:pPr>
      <w:r w:rsidRPr="00C91DB8">
        <w:rPr>
          <w:lang w:val="fr-FR"/>
        </w:rPr>
        <w:t>Le mécanisme de plainte ou de surveillance des conditions de détention est assuré notamment par le juge d’application des peines dont les attributions sont définies notamment par l’</w:t>
      </w:r>
      <w:r w:rsidR="002036DA" w:rsidRPr="00C91DB8">
        <w:rPr>
          <w:lang w:val="fr-FR"/>
        </w:rPr>
        <w:t>artic</w:t>
      </w:r>
      <w:r w:rsidR="002036DA" w:rsidRPr="00DF613C">
        <w:rPr>
          <w:lang w:val="fr-FR"/>
        </w:rPr>
        <w:t>le </w:t>
      </w:r>
      <w:r w:rsidRPr="00DF613C">
        <w:rPr>
          <w:lang w:val="fr-FR"/>
        </w:rPr>
        <w:t xml:space="preserve">574 du </w:t>
      </w:r>
      <w:r w:rsidR="002036DA" w:rsidRPr="00DF613C">
        <w:rPr>
          <w:lang w:val="fr-FR"/>
        </w:rPr>
        <w:t>C</w:t>
      </w:r>
      <w:r w:rsidRPr="00DF613C">
        <w:rPr>
          <w:lang w:val="fr-FR"/>
        </w:rPr>
        <w:t xml:space="preserve">ode pénal qui </w:t>
      </w:r>
      <w:r w:rsidR="002036DA" w:rsidRPr="00DF613C">
        <w:rPr>
          <w:lang w:val="fr-FR"/>
        </w:rPr>
        <w:t xml:space="preserve">dispose </w:t>
      </w:r>
      <w:r w:rsidRPr="00DF613C">
        <w:rPr>
          <w:lang w:val="fr-FR"/>
        </w:rPr>
        <w:t>ce qui suit</w:t>
      </w:r>
      <w:r w:rsidR="002036DA" w:rsidRPr="00DF613C">
        <w:rPr>
          <w:lang w:val="fr-FR"/>
        </w:rPr>
        <w:t>:</w:t>
      </w:r>
    </w:p>
    <w:p w:rsidR="008E1AE6" w:rsidRPr="00DF613C" w:rsidRDefault="008E1AE6" w:rsidP="003B3FB0">
      <w:pPr>
        <w:pStyle w:val="Bullet1G"/>
        <w:rPr>
          <w:lang w:val="fr-FR"/>
        </w:rPr>
      </w:pPr>
      <w:r w:rsidRPr="00DF613C">
        <w:rPr>
          <w:lang w:val="fr-FR"/>
        </w:rPr>
        <w:t>il saisit la juridiction compétente pour aménager l</w:t>
      </w:r>
      <w:r w:rsidR="002036DA" w:rsidRPr="00DF613C">
        <w:rPr>
          <w:lang w:val="fr-FR"/>
        </w:rPr>
        <w:t>’</w:t>
      </w:r>
      <w:r w:rsidRPr="00DF613C">
        <w:rPr>
          <w:lang w:val="fr-FR"/>
        </w:rPr>
        <w:t>exécution de la peine</w:t>
      </w:r>
      <w:r w:rsidR="003B3FB0" w:rsidRPr="00DF613C">
        <w:rPr>
          <w:lang w:val="fr-FR"/>
        </w:rPr>
        <w:t xml:space="preserve"> </w:t>
      </w:r>
      <w:r w:rsidRPr="00DF613C">
        <w:rPr>
          <w:lang w:val="fr-FR"/>
        </w:rPr>
        <w:t>dans les cas prescrits par la loi</w:t>
      </w:r>
      <w:r w:rsidR="002036DA" w:rsidRPr="00DF613C">
        <w:rPr>
          <w:lang w:val="fr-FR"/>
        </w:rPr>
        <w:t>;</w:t>
      </w:r>
    </w:p>
    <w:p w:rsidR="008E1AE6" w:rsidRPr="00DF613C" w:rsidRDefault="008E1AE6" w:rsidP="00C23320">
      <w:pPr>
        <w:pStyle w:val="Bullet1G"/>
        <w:rPr>
          <w:lang w:val="fr-FR"/>
        </w:rPr>
      </w:pPr>
      <w:r w:rsidRPr="00DF613C">
        <w:rPr>
          <w:lang w:val="fr-FR"/>
        </w:rPr>
        <w:t>il fixe les modalités d</w:t>
      </w:r>
      <w:r w:rsidR="002036DA" w:rsidRPr="00DF613C">
        <w:rPr>
          <w:lang w:val="fr-FR"/>
        </w:rPr>
        <w:t>’</w:t>
      </w:r>
      <w:r w:rsidRPr="00DF613C">
        <w:rPr>
          <w:lang w:val="fr-FR"/>
        </w:rPr>
        <w:t>application de la semi-liberté</w:t>
      </w:r>
      <w:r w:rsidR="002036DA" w:rsidRPr="00DF613C">
        <w:rPr>
          <w:lang w:val="fr-FR"/>
        </w:rPr>
        <w:t>;</w:t>
      </w:r>
    </w:p>
    <w:p w:rsidR="008E1AE6" w:rsidRPr="00DF613C" w:rsidRDefault="008E1AE6" w:rsidP="008717D8">
      <w:pPr>
        <w:pStyle w:val="Bullet1G"/>
        <w:rPr>
          <w:lang w:val="fr-FR"/>
        </w:rPr>
      </w:pPr>
      <w:r w:rsidRPr="00DF613C">
        <w:rPr>
          <w:lang w:val="fr-FR"/>
        </w:rPr>
        <w:t>il donne son avis sur la libération conditionnelle</w:t>
      </w:r>
      <w:r w:rsidR="008717D8" w:rsidRPr="00DF613C">
        <w:rPr>
          <w:lang w:val="fr-FR"/>
        </w:rPr>
        <w:t>;</w:t>
      </w:r>
    </w:p>
    <w:p w:rsidR="008E1AE6" w:rsidRPr="00DF613C" w:rsidRDefault="008E1AE6" w:rsidP="008717D8">
      <w:pPr>
        <w:pStyle w:val="Bullet1G"/>
        <w:rPr>
          <w:lang w:val="fr-FR"/>
        </w:rPr>
      </w:pPr>
      <w:r w:rsidRPr="00DF613C">
        <w:rPr>
          <w:lang w:val="fr-FR"/>
        </w:rPr>
        <w:t>il accorde les permissions de sorti</w:t>
      </w:r>
      <w:r w:rsidR="003B3FB0" w:rsidRPr="00DF613C">
        <w:rPr>
          <w:lang w:val="fr-FR"/>
        </w:rPr>
        <w:t>e</w:t>
      </w:r>
      <w:r w:rsidRPr="00DF613C">
        <w:rPr>
          <w:lang w:val="fr-FR"/>
        </w:rPr>
        <w:t xml:space="preserve"> et les autorisations de sortie sous</w:t>
      </w:r>
      <w:r w:rsidR="008717D8" w:rsidRPr="00DF613C">
        <w:rPr>
          <w:lang w:val="fr-FR"/>
        </w:rPr>
        <w:t xml:space="preserve"> </w:t>
      </w:r>
      <w:r w:rsidRPr="00DF613C">
        <w:rPr>
          <w:lang w:val="fr-FR"/>
        </w:rPr>
        <w:t>escorte</w:t>
      </w:r>
      <w:r w:rsidR="002036DA" w:rsidRPr="00DF613C">
        <w:rPr>
          <w:lang w:val="fr-FR"/>
        </w:rPr>
        <w:t>;</w:t>
      </w:r>
      <w:r w:rsidRPr="00DF613C">
        <w:rPr>
          <w:lang w:val="fr-FR"/>
        </w:rPr>
        <w:t xml:space="preserve"> </w:t>
      </w:r>
    </w:p>
    <w:p w:rsidR="008E1AE6" w:rsidRPr="00DF613C" w:rsidRDefault="008E1AE6" w:rsidP="00C23320">
      <w:pPr>
        <w:pStyle w:val="Bullet1G"/>
        <w:rPr>
          <w:lang w:val="fr-FR"/>
        </w:rPr>
      </w:pPr>
      <w:r w:rsidRPr="00DF613C">
        <w:rPr>
          <w:lang w:val="fr-FR"/>
        </w:rPr>
        <w:t>il donne son avis, sauf urgence, sur le transfert des condamnés d</w:t>
      </w:r>
      <w:r w:rsidR="002036DA" w:rsidRPr="00DF613C">
        <w:rPr>
          <w:lang w:val="fr-FR"/>
        </w:rPr>
        <w:t>’</w:t>
      </w:r>
      <w:r w:rsidRPr="00DF613C">
        <w:rPr>
          <w:lang w:val="fr-FR"/>
        </w:rPr>
        <w:t>un</w:t>
      </w:r>
      <w:r w:rsidR="002036DA" w:rsidRPr="00DF613C">
        <w:rPr>
          <w:lang w:val="fr-FR"/>
        </w:rPr>
        <w:t xml:space="preserve"> </w:t>
      </w:r>
      <w:r w:rsidRPr="00DF613C">
        <w:rPr>
          <w:lang w:val="fr-FR"/>
        </w:rPr>
        <w:t>établissement à un autre.</w:t>
      </w:r>
    </w:p>
    <w:p w:rsidR="002A17AD" w:rsidRPr="00C91DB8" w:rsidRDefault="008E1AE6" w:rsidP="00C23320">
      <w:pPr>
        <w:pStyle w:val="SingleTxtG"/>
        <w:numPr>
          <w:ilvl w:val="0"/>
          <w:numId w:val="12"/>
        </w:numPr>
        <w:spacing w:line="240" w:lineRule="auto"/>
        <w:ind w:left="1134" w:firstLine="0"/>
        <w:rPr>
          <w:lang w:val="fr-FR"/>
        </w:rPr>
      </w:pPr>
      <w:r w:rsidRPr="00DF613C">
        <w:rPr>
          <w:lang w:val="fr-FR"/>
        </w:rPr>
        <w:t>Selon l’</w:t>
      </w:r>
      <w:r w:rsidR="002036DA" w:rsidRPr="00DF613C">
        <w:rPr>
          <w:lang w:val="fr-FR"/>
        </w:rPr>
        <w:t>article </w:t>
      </w:r>
      <w:r w:rsidRPr="00DF613C">
        <w:rPr>
          <w:lang w:val="fr-FR"/>
        </w:rPr>
        <w:t>575, il es</w:t>
      </w:r>
      <w:r w:rsidRPr="00C91DB8">
        <w:rPr>
          <w:lang w:val="fr-FR"/>
        </w:rPr>
        <w:t>t avisé de toute sanction disciplinaire prononcée à l’encontre des détenus</w:t>
      </w:r>
      <w:r w:rsidR="008717D8" w:rsidRPr="00C91DB8">
        <w:rPr>
          <w:lang w:val="fr-FR"/>
        </w:rPr>
        <w:t>.</w:t>
      </w:r>
    </w:p>
    <w:p w:rsidR="002A17AD" w:rsidRPr="00C91DB8" w:rsidRDefault="0060071B" w:rsidP="0060071B">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12 de la liste </w:t>
      </w:r>
    </w:p>
    <w:p w:rsidR="008E1AE6" w:rsidRPr="00C91DB8" w:rsidRDefault="008E1AE6" w:rsidP="002036DA">
      <w:pPr>
        <w:pStyle w:val="SingleTxtG"/>
        <w:numPr>
          <w:ilvl w:val="0"/>
          <w:numId w:val="12"/>
        </w:numPr>
        <w:spacing w:line="240" w:lineRule="auto"/>
        <w:ind w:left="1134" w:firstLine="0"/>
        <w:rPr>
          <w:lang w:val="fr-FR"/>
        </w:rPr>
      </w:pPr>
      <w:r w:rsidRPr="00C91DB8">
        <w:rPr>
          <w:lang w:val="fr-FR"/>
        </w:rPr>
        <w:t xml:space="preserve">Les </w:t>
      </w:r>
      <w:r w:rsidR="009A28EC">
        <w:rPr>
          <w:lang w:val="fr-FR"/>
        </w:rPr>
        <w:t>mutilations génitales féminines (</w:t>
      </w:r>
      <w:r w:rsidRPr="00C91DB8">
        <w:rPr>
          <w:lang w:val="fr-FR"/>
        </w:rPr>
        <w:t>MGF</w:t>
      </w:r>
      <w:r w:rsidR="009A28EC" w:rsidRPr="000D38FC">
        <w:rPr>
          <w:lang w:val="fr-FR"/>
        </w:rPr>
        <w:t>),</w:t>
      </w:r>
      <w:r w:rsidRPr="000D38FC">
        <w:rPr>
          <w:lang w:val="fr-FR"/>
        </w:rPr>
        <w:t xml:space="preserve"> qui constituent </w:t>
      </w:r>
      <w:r w:rsidR="009A28EC" w:rsidRPr="000D38FC">
        <w:rPr>
          <w:lang w:val="fr-FR"/>
        </w:rPr>
        <w:t>l’</w:t>
      </w:r>
      <w:r w:rsidRPr="000D38FC">
        <w:rPr>
          <w:lang w:val="fr-FR"/>
        </w:rPr>
        <w:t>une des principales pratiques traditionnelles néfastes</w:t>
      </w:r>
      <w:r w:rsidR="009A28EC" w:rsidRPr="000D38FC">
        <w:rPr>
          <w:lang w:val="fr-FR"/>
        </w:rPr>
        <w:t>,</w:t>
      </w:r>
      <w:r w:rsidRPr="000D38FC">
        <w:rPr>
          <w:lang w:val="fr-FR"/>
        </w:rPr>
        <w:t xml:space="preserve"> sont interdites par l’</w:t>
      </w:r>
      <w:r w:rsidR="002036DA" w:rsidRPr="000D38FC">
        <w:rPr>
          <w:lang w:val="fr-FR"/>
        </w:rPr>
        <w:t>article </w:t>
      </w:r>
      <w:r w:rsidRPr="000D38FC">
        <w:rPr>
          <w:lang w:val="fr-FR"/>
        </w:rPr>
        <w:t>333</w:t>
      </w:r>
      <w:r w:rsidRPr="00C91DB8">
        <w:rPr>
          <w:lang w:val="fr-FR"/>
        </w:rPr>
        <w:t xml:space="preserve"> du Code </w:t>
      </w:r>
      <w:r w:rsidR="002036DA" w:rsidRPr="00C91DB8">
        <w:rPr>
          <w:lang w:val="fr-FR"/>
        </w:rPr>
        <w:t>p</w:t>
      </w:r>
      <w:r w:rsidRPr="00C91DB8">
        <w:rPr>
          <w:lang w:val="fr-FR"/>
        </w:rPr>
        <w:t>énal depuis 1995.</w:t>
      </w:r>
    </w:p>
    <w:p w:rsidR="008E1AE6" w:rsidRPr="00C91DB8" w:rsidRDefault="008E1AE6" w:rsidP="009A28EC">
      <w:pPr>
        <w:pStyle w:val="SingleTxtG"/>
        <w:numPr>
          <w:ilvl w:val="0"/>
          <w:numId w:val="12"/>
        </w:numPr>
        <w:spacing w:line="240" w:lineRule="auto"/>
        <w:ind w:left="1134" w:firstLine="0"/>
        <w:rPr>
          <w:lang w:val="fr-FR"/>
        </w:rPr>
      </w:pPr>
      <w:r w:rsidRPr="00C91DB8">
        <w:rPr>
          <w:lang w:val="fr-FR"/>
        </w:rPr>
        <w:t xml:space="preserve">Bien qu’interdite, cette pratique existe et perdure surtout en milieu rural malgré les multiples programmes de sensibilisation mis en œuvre depuis les années </w:t>
      </w:r>
      <w:r w:rsidR="009A28EC">
        <w:rPr>
          <w:lang w:val="fr-FR"/>
        </w:rPr>
        <w:t>19</w:t>
      </w:r>
      <w:r w:rsidRPr="00C91DB8">
        <w:rPr>
          <w:lang w:val="fr-FR"/>
        </w:rPr>
        <w:t xml:space="preserve">80. </w:t>
      </w:r>
    </w:p>
    <w:p w:rsidR="008E1AE6" w:rsidRPr="00C91DB8" w:rsidRDefault="008E1AE6" w:rsidP="009A28EC">
      <w:pPr>
        <w:pStyle w:val="SingleTxtG"/>
        <w:numPr>
          <w:ilvl w:val="0"/>
          <w:numId w:val="12"/>
        </w:numPr>
        <w:spacing w:line="240" w:lineRule="auto"/>
        <w:ind w:left="1134" w:firstLine="0"/>
        <w:rPr>
          <w:lang w:val="fr-FR"/>
        </w:rPr>
      </w:pPr>
      <w:r w:rsidRPr="000D38FC">
        <w:rPr>
          <w:lang w:val="fr-FR"/>
        </w:rPr>
        <w:t>Le fait que «93</w:t>
      </w:r>
      <w:r w:rsidR="009A28EC" w:rsidRPr="000D38FC">
        <w:rPr>
          <w:lang w:val="fr-FR"/>
        </w:rPr>
        <w:t> %</w:t>
      </w:r>
      <w:r w:rsidRPr="000D38FC">
        <w:rPr>
          <w:lang w:val="fr-FR"/>
        </w:rPr>
        <w:t xml:space="preserve"> de la population féminine de Djibouti auraient subies </w:t>
      </w:r>
      <w:r w:rsidR="009A28EC" w:rsidRPr="000D38FC">
        <w:rPr>
          <w:lang w:val="fr-FR"/>
        </w:rPr>
        <w:t>d</w:t>
      </w:r>
      <w:r w:rsidRPr="000D38FC">
        <w:rPr>
          <w:lang w:val="fr-FR"/>
        </w:rPr>
        <w:t>es MGF» n’est pas une allégation mais une malheureuse réalité statistique même s</w:t>
      </w:r>
      <w:r w:rsidR="009A28EC" w:rsidRPr="000D38FC">
        <w:rPr>
          <w:lang w:val="fr-FR"/>
        </w:rPr>
        <w:t>’</w:t>
      </w:r>
      <w:r w:rsidRPr="000D38FC">
        <w:rPr>
          <w:lang w:val="fr-FR"/>
        </w:rPr>
        <w:t>il s’agit de 9</w:t>
      </w:r>
      <w:r w:rsidRPr="00C91DB8">
        <w:rPr>
          <w:lang w:val="fr-FR"/>
        </w:rPr>
        <w:t>3</w:t>
      </w:r>
      <w:r w:rsidR="009A28EC">
        <w:rPr>
          <w:lang w:val="fr-FR"/>
        </w:rPr>
        <w:t> %</w:t>
      </w:r>
      <w:r w:rsidRPr="00C91DB8">
        <w:rPr>
          <w:lang w:val="fr-FR"/>
        </w:rPr>
        <w:t xml:space="preserve"> de la population en âge de procréer.</w:t>
      </w:r>
    </w:p>
    <w:p w:rsidR="008E1AE6" w:rsidRPr="00C91DB8" w:rsidRDefault="008E1AE6" w:rsidP="003151C8">
      <w:pPr>
        <w:pStyle w:val="SingleTxtG"/>
        <w:numPr>
          <w:ilvl w:val="0"/>
          <w:numId w:val="12"/>
        </w:numPr>
        <w:spacing w:line="240" w:lineRule="auto"/>
        <w:ind w:left="1134" w:firstLine="0"/>
        <w:rPr>
          <w:color w:val="000000"/>
          <w:lang w:val="fr-FR"/>
        </w:rPr>
      </w:pPr>
      <w:r w:rsidRPr="00C91DB8">
        <w:rPr>
          <w:lang w:val="fr-FR"/>
        </w:rPr>
        <w:t xml:space="preserve">De nombreuses actions ont été entreprises parmi lesquelles l’élaboration en 2006 d’une </w:t>
      </w:r>
      <w:r w:rsidR="009A28EC">
        <w:rPr>
          <w:lang w:val="fr-FR"/>
        </w:rPr>
        <w:t>s</w:t>
      </w:r>
      <w:r w:rsidRPr="00C91DB8">
        <w:rPr>
          <w:lang w:val="fr-FR"/>
        </w:rPr>
        <w:t xml:space="preserve">tratégie </w:t>
      </w:r>
      <w:r w:rsidR="009A28EC">
        <w:rPr>
          <w:lang w:val="fr-FR"/>
        </w:rPr>
        <w:t>n</w:t>
      </w:r>
      <w:r w:rsidRPr="00C91DB8">
        <w:rPr>
          <w:lang w:val="fr-FR"/>
        </w:rPr>
        <w:t>ationale pour l’abandon total de toute</w:t>
      </w:r>
      <w:r w:rsidR="009A28EC">
        <w:rPr>
          <w:lang w:val="fr-FR"/>
        </w:rPr>
        <w:t>s</w:t>
      </w:r>
      <w:r w:rsidRPr="00C91DB8">
        <w:rPr>
          <w:lang w:val="fr-FR"/>
        </w:rPr>
        <w:t xml:space="preserve"> formes d’</w:t>
      </w:r>
      <w:r w:rsidR="009A28EC">
        <w:rPr>
          <w:lang w:val="fr-FR"/>
        </w:rPr>
        <w:t>e</w:t>
      </w:r>
      <w:r w:rsidRPr="00C91DB8">
        <w:rPr>
          <w:lang w:val="fr-FR"/>
        </w:rPr>
        <w:t xml:space="preserve">xcisions (SNAFE). Depuis 2008, date du lancement officiel du Programme </w:t>
      </w:r>
      <w:r w:rsidR="009A28EC">
        <w:rPr>
          <w:lang w:val="fr-FR"/>
        </w:rPr>
        <w:t>c</w:t>
      </w:r>
      <w:r w:rsidRPr="00C91DB8">
        <w:rPr>
          <w:lang w:val="fr-FR"/>
        </w:rPr>
        <w:t>onjoint pour l’accélération de l’abandon des MGF, la mise en œuvre de la SNAFE est renforcée par l</w:t>
      </w:r>
      <w:r w:rsidR="009A28EC">
        <w:rPr>
          <w:lang w:val="fr-FR"/>
        </w:rPr>
        <w:t>e</w:t>
      </w:r>
      <w:r w:rsidRPr="00C91DB8">
        <w:rPr>
          <w:lang w:val="fr-FR"/>
        </w:rPr>
        <w:t xml:space="preserve"> </w:t>
      </w:r>
      <w:r w:rsidR="009A28EC">
        <w:rPr>
          <w:lang w:val="fr-FR"/>
        </w:rPr>
        <w:t>p</w:t>
      </w:r>
      <w:r w:rsidRPr="00C91DB8">
        <w:rPr>
          <w:lang w:val="fr-FR"/>
        </w:rPr>
        <w:t xml:space="preserve">rogramme communautaire de promotion et protection des droits humains. Il s’agit d’un </w:t>
      </w:r>
      <w:r w:rsidR="009A28EC">
        <w:rPr>
          <w:color w:val="000000"/>
          <w:lang w:val="fr-FR"/>
        </w:rPr>
        <w:t>p</w:t>
      </w:r>
      <w:r w:rsidRPr="00C91DB8">
        <w:rPr>
          <w:color w:val="000000"/>
          <w:lang w:val="fr-FR"/>
        </w:rPr>
        <w:t xml:space="preserve">rogramme de </w:t>
      </w:r>
      <w:r w:rsidR="009A28EC">
        <w:rPr>
          <w:color w:val="000000"/>
          <w:lang w:val="fr-FR"/>
        </w:rPr>
        <w:t>r</w:t>
      </w:r>
      <w:r w:rsidRPr="00C91DB8">
        <w:rPr>
          <w:color w:val="000000"/>
          <w:lang w:val="fr-FR"/>
        </w:rPr>
        <w:t xml:space="preserve">enforcement des </w:t>
      </w:r>
      <w:r w:rsidR="009A28EC">
        <w:rPr>
          <w:color w:val="000000"/>
          <w:lang w:val="fr-FR"/>
        </w:rPr>
        <w:t>c</w:t>
      </w:r>
      <w:r w:rsidRPr="00C91DB8">
        <w:rPr>
          <w:color w:val="000000"/>
          <w:lang w:val="fr-FR"/>
        </w:rPr>
        <w:t xml:space="preserve">apacités </w:t>
      </w:r>
      <w:r w:rsidR="009A28EC">
        <w:rPr>
          <w:color w:val="000000"/>
          <w:lang w:val="fr-FR"/>
        </w:rPr>
        <w:t>des c</w:t>
      </w:r>
      <w:r w:rsidRPr="00C91DB8">
        <w:rPr>
          <w:color w:val="000000"/>
          <w:lang w:val="fr-FR"/>
        </w:rPr>
        <w:t>ommunaut</w:t>
      </w:r>
      <w:r w:rsidR="009A28EC">
        <w:rPr>
          <w:color w:val="000000"/>
          <w:lang w:val="fr-FR"/>
        </w:rPr>
        <w:t>é</w:t>
      </w:r>
      <w:r w:rsidRPr="00C91DB8">
        <w:rPr>
          <w:color w:val="000000"/>
          <w:lang w:val="fr-FR"/>
        </w:rPr>
        <w:t xml:space="preserve">s mis en œuvre avec l’appui technique de </w:t>
      </w:r>
      <w:r w:rsidR="009A28EC">
        <w:rPr>
          <w:color w:val="000000"/>
          <w:lang w:val="fr-FR"/>
        </w:rPr>
        <w:t>TOSTAN, une organisation non gouvernement</w:t>
      </w:r>
      <w:r w:rsidR="009A28EC" w:rsidRPr="009A28EC">
        <w:rPr>
          <w:color w:val="000000"/>
          <w:lang w:val="fr-FR"/>
        </w:rPr>
        <w:t>ale i</w:t>
      </w:r>
      <w:r w:rsidRPr="009A28EC">
        <w:rPr>
          <w:color w:val="000000"/>
          <w:lang w:val="fr-FR"/>
        </w:rPr>
        <w:t>nternationale</w:t>
      </w:r>
      <w:r w:rsidR="008717D8" w:rsidRPr="00C91DB8">
        <w:rPr>
          <w:color w:val="000000"/>
          <w:lang w:val="fr-FR"/>
        </w:rPr>
        <w:t>.</w:t>
      </w:r>
    </w:p>
    <w:p w:rsidR="008E1AE6" w:rsidRPr="00C91DB8" w:rsidRDefault="008E1AE6" w:rsidP="0015661F">
      <w:pPr>
        <w:pStyle w:val="SingleTxtG"/>
        <w:numPr>
          <w:ilvl w:val="0"/>
          <w:numId w:val="12"/>
        </w:numPr>
        <w:spacing w:line="240" w:lineRule="auto"/>
        <w:ind w:left="1134" w:firstLine="0"/>
        <w:rPr>
          <w:color w:val="000000"/>
          <w:lang w:val="fr-FR"/>
        </w:rPr>
      </w:pPr>
      <w:r w:rsidRPr="00C91DB8">
        <w:rPr>
          <w:color w:val="000000"/>
          <w:lang w:val="fr-FR"/>
        </w:rPr>
        <w:t>C’est</w:t>
      </w:r>
      <w:r w:rsidR="002036DA" w:rsidRPr="00C91DB8">
        <w:rPr>
          <w:color w:val="000000"/>
          <w:lang w:val="fr-FR"/>
        </w:rPr>
        <w:t xml:space="preserve"> </w:t>
      </w:r>
      <w:r w:rsidRPr="00C91DB8">
        <w:rPr>
          <w:color w:val="000000"/>
          <w:lang w:val="fr-FR"/>
        </w:rPr>
        <w:t xml:space="preserve">un </w:t>
      </w:r>
      <w:r w:rsidRPr="00C91DB8">
        <w:rPr>
          <w:lang w:val="fr-FR"/>
        </w:rPr>
        <w:t>programme</w:t>
      </w:r>
      <w:r w:rsidRPr="00C91DB8">
        <w:rPr>
          <w:color w:val="000000"/>
          <w:lang w:val="fr-FR"/>
        </w:rPr>
        <w:t xml:space="preserve"> participatif d’éducation de base non formelle, centré sur les droits humains, qui aide les communautés à devenir des participants actifs de leur propre développement et les encourage à agir et à être responsables de leur bien</w:t>
      </w:r>
      <w:r w:rsidR="0015661F">
        <w:rPr>
          <w:color w:val="000000"/>
          <w:lang w:val="fr-FR"/>
        </w:rPr>
        <w:t>-</w:t>
      </w:r>
      <w:r w:rsidRPr="00C91DB8">
        <w:rPr>
          <w:color w:val="000000"/>
          <w:lang w:val="fr-FR"/>
        </w:rPr>
        <w:t xml:space="preserve">être. </w:t>
      </w:r>
    </w:p>
    <w:p w:rsidR="008E1AE6" w:rsidRPr="00C91DB8" w:rsidRDefault="008E1AE6" w:rsidP="0015661F">
      <w:pPr>
        <w:pStyle w:val="SingleTxtG"/>
        <w:numPr>
          <w:ilvl w:val="0"/>
          <w:numId w:val="12"/>
        </w:numPr>
        <w:spacing w:line="240" w:lineRule="auto"/>
        <w:ind w:left="1134" w:firstLine="0"/>
        <w:rPr>
          <w:lang w:val="fr-FR"/>
        </w:rPr>
      </w:pPr>
      <w:r w:rsidRPr="00C91DB8">
        <w:rPr>
          <w:color w:val="000000"/>
          <w:lang w:val="fr-FR"/>
        </w:rPr>
        <w:t xml:space="preserve">Le programme s’appuie sur des facilitateurs, issus des communautés, formés pour mener des sessions </w:t>
      </w:r>
      <w:r w:rsidRPr="00C91DB8">
        <w:rPr>
          <w:lang w:val="fr-FR"/>
        </w:rPr>
        <w:t>d’éducation</w:t>
      </w:r>
      <w:r w:rsidRPr="00C91DB8">
        <w:rPr>
          <w:color w:val="000000"/>
          <w:lang w:val="fr-FR"/>
        </w:rPr>
        <w:t xml:space="preserve"> de base en langues nationales</w:t>
      </w:r>
      <w:r w:rsidR="0015661F">
        <w:rPr>
          <w:color w:val="000000"/>
          <w:lang w:val="fr-FR"/>
        </w:rPr>
        <w:t xml:space="preserve">. Ce programme </w:t>
      </w:r>
      <w:r w:rsidRPr="00C91DB8">
        <w:rPr>
          <w:color w:val="000000"/>
          <w:lang w:val="fr-FR"/>
        </w:rPr>
        <w:t>combine des méthodes innovatrices pédagogiques non formelles avec des traditions africaines telles que les chansons, les sketchs et le dialogue.</w:t>
      </w:r>
    </w:p>
    <w:p w:rsidR="008E1AE6" w:rsidRPr="00C91DB8" w:rsidRDefault="008E1AE6" w:rsidP="0015661F">
      <w:pPr>
        <w:pStyle w:val="SingleTxtG"/>
        <w:numPr>
          <w:ilvl w:val="0"/>
          <w:numId w:val="12"/>
        </w:numPr>
        <w:spacing w:line="240" w:lineRule="auto"/>
        <w:ind w:left="1134" w:firstLine="0"/>
        <w:rPr>
          <w:color w:val="000000"/>
          <w:lang w:val="fr-FR"/>
        </w:rPr>
      </w:pPr>
      <w:r w:rsidRPr="00C91DB8">
        <w:rPr>
          <w:color w:val="000000"/>
          <w:lang w:val="fr-FR"/>
        </w:rPr>
        <w:t xml:space="preserve">Dans chaque site d’intervention un </w:t>
      </w:r>
      <w:r w:rsidR="0015661F">
        <w:rPr>
          <w:color w:val="000000"/>
          <w:lang w:val="fr-FR"/>
        </w:rPr>
        <w:t>c</w:t>
      </w:r>
      <w:r w:rsidRPr="00C91DB8">
        <w:rPr>
          <w:color w:val="000000"/>
          <w:lang w:val="fr-FR"/>
        </w:rPr>
        <w:t xml:space="preserve">omité de </w:t>
      </w:r>
      <w:r w:rsidR="0015661F">
        <w:rPr>
          <w:color w:val="000000"/>
          <w:lang w:val="fr-FR"/>
        </w:rPr>
        <w:t>g</w:t>
      </w:r>
      <w:r w:rsidRPr="00C91DB8">
        <w:rPr>
          <w:color w:val="000000"/>
          <w:lang w:val="fr-FR"/>
        </w:rPr>
        <w:t xml:space="preserve">estion </w:t>
      </w:r>
      <w:r w:rsidR="0015661F">
        <w:rPr>
          <w:color w:val="000000"/>
          <w:lang w:val="fr-FR"/>
        </w:rPr>
        <w:t>c</w:t>
      </w:r>
      <w:r w:rsidRPr="00C91DB8">
        <w:rPr>
          <w:color w:val="000000"/>
          <w:lang w:val="fr-FR"/>
        </w:rPr>
        <w:t xml:space="preserve">ommunautaire, composé de leaders </w:t>
      </w:r>
      <w:r w:rsidRPr="00C91DB8">
        <w:rPr>
          <w:lang w:val="fr-FR"/>
        </w:rPr>
        <w:t>traditionnels</w:t>
      </w:r>
      <w:r w:rsidRPr="00C91DB8">
        <w:rPr>
          <w:color w:val="000000"/>
          <w:lang w:val="fr-FR"/>
        </w:rPr>
        <w:t xml:space="preserve"> et religieux, de membres d</w:t>
      </w:r>
      <w:r w:rsidR="0015661F">
        <w:rPr>
          <w:color w:val="000000"/>
          <w:lang w:val="fr-FR"/>
        </w:rPr>
        <w:t>’</w:t>
      </w:r>
      <w:r w:rsidRPr="00C91DB8">
        <w:rPr>
          <w:color w:val="000000"/>
          <w:lang w:val="fr-FR"/>
        </w:rPr>
        <w:t>associations et groupements existant dans la communauté, est formé à la gestion financière</w:t>
      </w:r>
      <w:r w:rsidR="0015661F">
        <w:rPr>
          <w:color w:val="000000"/>
          <w:lang w:val="fr-FR"/>
        </w:rPr>
        <w:t xml:space="preserve"> et</w:t>
      </w:r>
      <w:r w:rsidRPr="00C91DB8">
        <w:rPr>
          <w:color w:val="000000"/>
          <w:lang w:val="fr-FR"/>
        </w:rPr>
        <w:t xml:space="preserve"> matérielle, </w:t>
      </w:r>
      <w:r w:rsidR="0015661F">
        <w:rPr>
          <w:color w:val="000000"/>
          <w:lang w:val="fr-FR"/>
        </w:rPr>
        <w:t xml:space="preserve">à celle </w:t>
      </w:r>
      <w:r w:rsidRPr="00C91DB8">
        <w:rPr>
          <w:color w:val="000000"/>
          <w:lang w:val="fr-FR"/>
        </w:rPr>
        <w:t>des ressources humaines</w:t>
      </w:r>
      <w:r w:rsidR="0015661F">
        <w:rPr>
          <w:color w:val="000000"/>
          <w:lang w:val="fr-FR"/>
        </w:rPr>
        <w:t xml:space="preserve"> et</w:t>
      </w:r>
      <w:r w:rsidR="002036DA" w:rsidRPr="00C91DB8">
        <w:rPr>
          <w:color w:val="000000"/>
          <w:lang w:val="fr-FR"/>
        </w:rPr>
        <w:t xml:space="preserve"> </w:t>
      </w:r>
      <w:r w:rsidRPr="00C91DB8">
        <w:rPr>
          <w:color w:val="000000"/>
          <w:lang w:val="fr-FR"/>
        </w:rPr>
        <w:t>des projets, au leadership, à la prise de décision</w:t>
      </w:r>
      <w:r w:rsidR="0015661F">
        <w:rPr>
          <w:color w:val="000000"/>
          <w:lang w:val="fr-FR"/>
        </w:rPr>
        <w:t xml:space="preserve"> et</w:t>
      </w:r>
      <w:r w:rsidRPr="00C91DB8">
        <w:rPr>
          <w:color w:val="000000"/>
          <w:lang w:val="fr-FR"/>
        </w:rPr>
        <w:t xml:space="preserve"> aux bonnes pratiques de la mobilisation sociale. </w:t>
      </w:r>
    </w:p>
    <w:p w:rsidR="008E1AE6" w:rsidRPr="00C91DB8" w:rsidRDefault="008E1AE6" w:rsidP="003151C8">
      <w:pPr>
        <w:pStyle w:val="SingleTxtG"/>
        <w:numPr>
          <w:ilvl w:val="0"/>
          <w:numId w:val="12"/>
        </w:numPr>
        <w:spacing w:line="240" w:lineRule="auto"/>
        <w:ind w:left="1134" w:firstLine="0"/>
        <w:rPr>
          <w:color w:val="000000"/>
          <w:lang w:val="fr-FR"/>
        </w:rPr>
      </w:pPr>
      <w:r w:rsidRPr="00C91DB8">
        <w:rPr>
          <w:color w:val="000000"/>
          <w:lang w:val="fr-FR"/>
        </w:rPr>
        <w:t xml:space="preserve">Le programme a permis des </w:t>
      </w:r>
      <w:r w:rsidRPr="00C91DB8">
        <w:rPr>
          <w:bCs/>
          <w:color w:val="000000"/>
          <w:lang w:val="fr-FR"/>
        </w:rPr>
        <w:t>rencontres</w:t>
      </w:r>
      <w:r w:rsidRPr="00C91DB8">
        <w:rPr>
          <w:color w:val="000000"/>
          <w:lang w:val="fr-FR"/>
        </w:rPr>
        <w:t xml:space="preserve"> </w:t>
      </w:r>
      <w:r w:rsidRPr="00C91DB8">
        <w:rPr>
          <w:bCs/>
          <w:color w:val="000000"/>
          <w:lang w:val="fr-FR"/>
        </w:rPr>
        <w:t>intercommunautaires</w:t>
      </w:r>
      <w:r w:rsidRPr="00C91DB8">
        <w:rPr>
          <w:color w:val="000000"/>
          <w:lang w:val="fr-FR"/>
        </w:rPr>
        <w:t xml:space="preserve"> entre les participants de </w:t>
      </w:r>
      <w:r w:rsidRPr="00C91DB8">
        <w:rPr>
          <w:lang w:val="fr-FR"/>
        </w:rPr>
        <w:t>plusieurs</w:t>
      </w:r>
      <w:r w:rsidRPr="00C91DB8">
        <w:rPr>
          <w:color w:val="000000"/>
          <w:lang w:val="fr-FR"/>
        </w:rPr>
        <w:t xml:space="preserve"> communautés. Grâce à ce forum, les participants peuvent échanger sur des transformations positives dans leurs communautés, rendues possibles grâce aux nouvelles connaissances en matière de démocratie, de droits humains</w:t>
      </w:r>
      <w:r w:rsidR="003151C8">
        <w:rPr>
          <w:color w:val="000000"/>
          <w:lang w:val="fr-FR"/>
        </w:rPr>
        <w:t>,</w:t>
      </w:r>
      <w:r w:rsidRPr="00C91DB8">
        <w:rPr>
          <w:color w:val="000000"/>
          <w:lang w:val="fr-FR"/>
        </w:rPr>
        <w:t xml:space="preserve"> de responsabilités, d’hygiène et de santé.</w:t>
      </w:r>
    </w:p>
    <w:p w:rsidR="002A17AD" w:rsidRPr="00C91DB8" w:rsidRDefault="008E1AE6" w:rsidP="003151C8">
      <w:pPr>
        <w:pStyle w:val="SingleTxtG"/>
        <w:numPr>
          <w:ilvl w:val="0"/>
          <w:numId w:val="12"/>
        </w:numPr>
        <w:spacing w:line="240" w:lineRule="auto"/>
        <w:ind w:left="1134" w:firstLine="0"/>
        <w:rPr>
          <w:color w:val="000000"/>
          <w:lang w:val="fr-FR"/>
        </w:rPr>
      </w:pPr>
      <w:r w:rsidRPr="003151C8">
        <w:rPr>
          <w:color w:val="000000"/>
          <w:lang w:val="fr-FR"/>
        </w:rPr>
        <w:t>Les échange d’expériences,</w:t>
      </w:r>
      <w:r w:rsidRPr="00C91DB8">
        <w:rPr>
          <w:color w:val="000000"/>
          <w:lang w:val="fr-FR"/>
        </w:rPr>
        <w:t xml:space="preserve"> à petite et grande échelle, répandent par contagion les idées et les connaissances et mènent à la formation d’une masse critique de personnes qui peuvent créer des transformations sociales positives au niveau local, régional et national.</w:t>
      </w:r>
    </w:p>
    <w:p w:rsidR="002A17AD" w:rsidRPr="003151C8" w:rsidRDefault="008E1AE6" w:rsidP="003151C8">
      <w:pPr>
        <w:pStyle w:val="SingleTxtG"/>
        <w:numPr>
          <w:ilvl w:val="0"/>
          <w:numId w:val="12"/>
        </w:numPr>
        <w:spacing w:line="240" w:lineRule="auto"/>
        <w:ind w:left="1134" w:firstLine="0"/>
        <w:rPr>
          <w:bCs/>
          <w:color w:val="000000"/>
          <w:lang w:val="fr-FR"/>
        </w:rPr>
      </w:pPr>
      <w:r w:rsidRPr="00C91DB8">
        <w:rPr>
          <w:lang w:val="fr-FR"/>
        </w:rPr>
        <w:t xml:space="preserve">Depuis le démarrage du Programme de </w:t>
      </w:r>
      <w:r w:rsidR="003151C8">
        <w:rPr>
          <w:lang w:val="fr-FR"/>
        </w:rPr>
        <w:t>r</w:t>
      </w:r>
      <w:r w:rsidRPr="00C91DB8">
        <w:rPr>
          <w:lang w:val="fr-FR"/>
        </w:rPr>
        <w:t xml:space="preserve">enforcement des </w:t>
      </w:r>
      <w:r w:rsidR="003151C8">
        <w:rPr>
          <w:lang w:val="fr-FR"/>
        </w:rPr>
        <w:t>c</w:t>
      </w:r>
      <w:r w:rsidRPr="00C91DB8">
        <w:rPr>
          <w:lang w:val="fr-FR"/>
        </w:rPr>
        <w:t xml:space="preserve">apacités des </w:t>
      </w:r>
      <w:r w:rsidR="003151C8">
        <w:rPr>
          <w:lang w:val="fr-FR"/>
        </w:rPr>
        <w:t>c</w:t>
      </w:r>
      <w:r w:rsidRPr="00C91DB8">
        <w:rPr>
          <w:lang w:val="fr-FR"/>
        </w:rPr>
        <w:t>ommunautés dans</w:t>
      </w:r>
      <w:r w:rsidR="002036DA" w:rsidRPr="00C91DB8">
        <w:rPr>
          <w:lang w:val="fr-FR"/>
        </w:rPr>
        <w:t xml:space="preserve"> </w:t>
      </w:r>
      <w:r w:rsidRPr="00C91DB8">
        <w:rPr>
          <w:lang w:val="fr-FR"/>
        </w:rPr>
        <w:t>l’ensemble des 33 centres de</w:t>
      </w:r>
      <w:r w:rsidRPr="003151C8">
        <w:rPr>
          <w:bCs/>
          <w:lang w:val="fr-FR"/>
        </w:rPr>
        <w:t xml:space="preserve"> réels changements de comportement ont été observés.</w:t>
      </w:r>
    </w:p>
    <w:p w:rsidR="008E1AE6" w:rsidRPr="00C91DB8" w:rsidRDefault="008E1AE6" w:rsidP="00617EDF">
      <w:pPr>
        <w:pStyle w:val="SingleTxtG"/>
        <w:numPr>
          <w:ilvl w:val="0"/>
          <w:numId w:val="12"/>
        </w:numPr>
        <w:spacing w:line="240" w:lineRule="auto"/>
        <w:ind w:left="1134" w:firstLine="0"/>
        <w:rPr>
          <w:lang w:val="fr-FR"/>
        </w:rPr>
      </w:pPr>
      <w:r w:rsidRPr="00C91DB8">
        <w:rPr>
          <w:lang w:val="fr-FR"/>
        </w:rPr>
        <w:t>Cet impact a été notamment observé à plusieurs niveaux</w:t>
      </w:r>
      <w:r w:rsidR="002036DA" w:rsidRPr="00C91DB8">
        <w:rPr>
          <w:lang w:val="fr-FR"/>
        </w:rPr>
        <w:t xml:space="preserve">: </w:t>
      </w:r>
      <w:r w:rsidRPr="00C91DB8">
        <w:rPr>
          <w:lang w:val="fr-FR"/>
        </w:rPr>
        <w:t>l’acquisition de nouvelles connaissances sur le</w:t>
      </w:r>
      <w:r w:rsidRPr="000D38FC">
        <w:rPr>
          <w:lang w:val="fr-FR"/>
        </w:rPr>
        <w:t>s droits humains</w:t>
      </w:r>
      <w:r w:rsidR="002036DA" w:rsidRPr="000D38FC">
        <w:rPr>
          <w:lang w:val="fr-FR"/>
        </w:rPr>
        <w:t xml:space="preserve">; </w:t>
      </w:r>
      <w:r w:rsidRPr="000D38FC">
        <w:rPr>
          <w:lang w:val="fr-FR"/>
        </w:rPr>
        <w:t>la</w:t>
      </w:r>
      <w:r w:rsidRPr="00C91DB8">
        <w:rPr>
          <w:lang w:val="fr-FR"/>
        </w:rPr>
        <w:t xml:space="preserve"> liberté d’expression et la prise de parole des femmes dans les foyers, les classes d’apprentissage ou lors de la tenue de réunions et rencontres</w:t>
      </w:r>
      <w:r w:rsidR="002036DA" w:rsidRPr="00C91DB8">
        <w:rPr>
          <w:lang w:val="fr-FR"/>
        </w:rPr>
        <w:t>;</w:t>
      </w:r>
      <w:r w:rsidRPr="00C91DB8">
        <w:rPr>
          <w:lang w:val="fr-FR"/>
        </w:rPr>
        <w:t xml:space="preserve"> la prise de conscience des effets négatifs de la violence au sein des familles ou </w:t>
      </w:r>
      <w:r w:rsidR="00617EDF">
        <w:rPr>
          <w:lang w:val="fr-FR"/>
        </w:rPr>
        <w:t>d</w:t>
      </w:r>
      <w:r w:rsidRPr="00C91DB8">
        <w:rPr>
          <w:lang w:val="fr-FR"/>
        </w:rPr>
        <w:t>es querelles entre membres d’une</w:t>
      </w:r>
      <w:r w:rsidR="002036DA" w:rsidRPr="00C91DB8">
        <w:rPr>
          <w:lang w:val="fr-FR"/>
        </w:rPr>
        <w:t xml:space="preserve"> </w:t>
      </w:r>
      <w:r w:rsidRPr="00C91DB8">
        <w:rPr>
          <w:lang w:val="fr-FR"/>
        </w:rPr>
        <w:t>communauté</w:t>
      </w:r>
      <w:r w:rsidR="002036DA" w:rsidRPr="00C91DB8">
        <w:rPr>
          <w:lang w:val="fr-FR"/>
        </w:rPr>
        <w:t>;</w:t>
      </w:r>
      <w:r w:rsidRPr="00C91DB8">
        <w:rPr>
          <w:lang w:val="fr-FR"/>
        </w:rPr>
        <w:t xml:space="preserve"> la dénonciation des violences faites aux femmes et aux enfants</w:t>
      </w:r>
      <w:r w:rsidR="002036DA" w:rsidRPr="00C91DB8">
        <w:rPr>
          <w:lang w:val="fr-FR"/>
        </w:rPr>
        <w:t>;</w:t>
      </w:r>
      <w:r w:rsidRPr="00C91DB8">
        <w:rPr>
          <w:lang w:val="fr-FR"/>
        </w:rPr>
        <w:t xml:space="preserve"> l’importance de l’éducation à tous les niveaux et sans exclusion surtout des jeunes filles</w:t>
      </w:r>
      <w:r w:rsidR="002036DA" w:rsidRPr="00C91DB8">
        <w:rPr>
          <w:lang w:val="fr-FR"/>
        </w:rPr>
        <w:t>;</w:t>
      </w:r>
      <w:r w:rsidRPr="00C91DB8">
        <w:rPr>
          <w:lang w:val="fr-FR"/>
        </w:rPr>
        <w:t xml:space="preserve"> l’apparition d’un esprit de solidarité au sein de la communauté</w:t>
      </w:r>
      <w:r w:rsidR="002036DA" w:rsidRPr="00C91DB8">
        <w:rPr>
          <w:lang w:val="fr-FR"/>
        </w:rPr>
        <w:t>;</w:t>
      </w:r>
      <w:r w:rsidRPr="00C91DB8">
        <w:rPr>
          <w:lang w:val="fr-FR"/>
        </w:rPr>
        <w:t xml:space="preserve"> la participation active des femmes aux activités de la communauté</w:t>
      </w:r>
      <w:r w:rsidR="002036DA" w:rsidRPr="00C91DB8">
        <w:rPr>
          <w:lang w:val="fr-FR"/>
        </w:rPr>
        <w:t>;</w:t>
      </w:r>
      <w:r w:rsidRPr="00C91DB8">
        <w:rPr>
          <w:lang w:val="fr-FR"/>
        </w:rPr>
        <w:t xml:space="preserve"> l’acquisition de nouvelles connaissances en matière d’hygiène de base et de soins de santé primaire</w:t>
      </w:r>
      <w:r w:rsidR="002036DA" w:rsidRPr="00C91DB8">
        <w:rPr>
          <w:lang w:val="fr-FR"/>
        </w:rPr>
        <w:t>;</w:t>
      </w:r>
      <w:r w:rsidRPr="00C91DB8">
        <w:rPr>
          <w:lang w:val="fr-FR"/>
        </w:rPr>
        <w:t xml:space="preserve"> le renoncement aux mariages précoces ou forcés</w:t>
      </w:r>
      <w:r w:rsidR="002036DA" w:rsidRPr="00C91DB8">
        <w:rPr>
          <w:lang w:val="fr-FR"/>
        </w:rPr>
        <w:t>;</w:t>
      </w:r>
      <w:r w:rsidRPr="00C91DB8">
        <w:rPr>
          <w:lang w:val="fr-FR"/>
        </w:rPr>
        <w:t xml:space="preserve"> l’espacement des naissances</w:t>
      </w:r>
      <w:r w:rsidR="002036DA" w:rsidRPr="00C91DB8">
        <w:rPr>
          <w:lang w:val="fr-FR"/>
        </w:rPr>
        <w:t xml:space="preserve"> </w:t>
      </w:r>
      <w:r w:rsidRPr="00C91DB8">
        <w:rPr>
          <w:lang w:val="fr-FR"/>
        </w:rPr>
        <w:t>et le planning familial.</w:t>
      </w:r>
    </w:p>
    <w:p w:rsidR="008E1AE6" w:rsidRPr="00C91DB8" w:rsidRDefault="008E1AE6" w:rsidP="009A28EC">
      <w:pPr>
        <w:pStyle w:val="SingleTxtG"/>
        <w:numPr>
          <w:ilvl w:val="0"/>
          <w:numId w:val="12"/>
        </w:numPr>
        <w:spacing w:line="240" w:lineRule="auto"/>
        <w:ind w:left="1134" w:firstLine="0"/>
        <w:rPr>
          <w:lang w:val="fr-FR"/>
        </w:rPr>
      </w:pPr>
      <w:r w:rsidRPr="00C91DB8">
        <w:rPr>
          <w:lang w:val="fr-FR"/>
        </w:rPr>
        <w:t xml:space="preserve">Deux nouveaux programmes mis en œuvre par une </w:t>
      </w:r>
      <w:r w:rsidR="009A28EC">
        <w:rPr>
          <w:lang w:val="fr-FR"/>
        </w:rPr>
        <w:t xml:space="preserve">organisation non gouvernementale </w:t>
      </w:r>
      <w:r w:rsidRPr="00C91DB8">
        <w:rPr>
          <w:lang w:val="fr-FR"/>
        </w:rPr>
        <w:t xml:space="preserve">internationale et </w:t>
      </w:r>
      <w:r w:rsidRPr="000D38FC">
        <w:rPr>
          <w:lang w:val="fr-FR"/>
        </w:rPr>
        <w:t>la coopération italienne vi</w:t>
      </w:r>
      <w:r w:rsidRPr="00C91DB8">
        <w:rPr>
          <w:lang w:val="fr-FR"/>
        </w:rPr>
        <w:t>ennent renforcer les réalisations en cours.</w:t>
      </w:r>
    </w:p>
    <w:p w:rsidR="008E1AE6" w:rsidRPr="00C91DB8" w:rsidRDefault="008E1AE6" w:rsidP="00C23320">
      <w:pPr>
        <w:pStyle w:val="SingleTxtG"/>
        <w:numPr>
          <w:ilvl w:val="0"/>
          <w:numId w:val="12"/>
        </w:numPr>
        <w:spacing w:line="240" w:lineRule="auto"/>
        <w:ind w:left="1134" w:firstLine="0"/>
        <w:rPr>
          <w:lang w:val="fr-FR"/>
        </w:rPr>
      </w:pPr>
      <w:r w:rsidRPr="00C91DB8">
        <w:rPr>
          <w:lang w:val="fr-FR"/>
        </w:rPr>
        <w:t>Le viol conjugal ou</w:t>
      </w:r>
      <w:r w:rsidR="002036DA" w:rsidRPr="00C91DB8">
        <w:rPr>
          <w:lang w:val="fr-FR"/>
        </w:rPr>
        <w:t xml:space="preserve"> </w:t>
      </w:r>
      <w:r w:rsidRPr="00C91DB8">
        <w:rPr>
          <w:lang w:val="fr-FR"/>
        </w:rPr>
        <w:t>le viol entre époux n’est pas reconnu par la législation djiboutienne</w:t>
      </w:r>
      <w:r w:rsidR="002036DA" w:rsidRPr="00C91DB8">
        <w:rPr>
          <w:lang w:val="fr-FR"/>
        </w:rPr>
        <w:t xml:space="preserve"> </w:t>
      </w:r>
      <w:r w:rsidRPr="00C91DB8">
        <w:rPr>
          <w:lang w:val="fr-FR"/>
        </w:rPr>
        <w:t xml:space="preserve">et de ce fait ne constitue </w:t>
      </w:r>
      <w:r w:rsidR="00617EDF">
        <w:rPr>
          <w:lang w:val="fr-FR"/>
        </w:rPr>
        <w:t xml:space="preserve">pas </w:t>
      </w:r>
      <w:r w:rsidRPr="00C91DB8">
        <w:rPr>
          <w:lang w:val="fr-FR"/>
        </w:rPr>
        <w:t>une infraction.</w:t>
      </w:r>
    </w:p>
    <w:p w:rsidR="008E1AE6" w:rsidRPr="00C91DB8" w:rsidRDefault="008E1AE6" w:rsidP="00617EDF">
      <w:pPr>
        <w:pStyle w:val="SingleTxtG"/>
        <w:numPr>
          <w:ilvl w:val="0"/>
          <w:numId w:val="12"/>
        </w:numPr>
        <w:spacing w:line="240" w:lineRule="auto"/>
        <w:ind w:left="1134" w:firstLine="0"/>
        <w:rPr>
          <w:lang w:val="fr-FR"/>
        </w:rPr>
      </w:pPr>
      <w:r w:rsidRPr="00C91DB8">
        <w:rPr>
          <w:lang w:val="fr-FR"/>
        </w:rPr>
        <w:t>Toutefois pour combattre le crime de viol dont les femmes</w:t>
      </w:r>
      <w:r w:rsidR="002036DA" w:rsidRPr="00C91DB8">
        <w:rPr>
          <w:lang w:val="fr-FR"/>
        </w:rPr>
        <w:t xml:space="preserve"> </w:t>
      </w:r>
      <w:r w:rsidRPr="00C91DB8">
        <w:rPr>
          <w:lang w:val="fr-FR"/>
        </w:rPr>
        <w:t xml:space="preserve">sont généralement victimes, le </w:t>
      </w:r>
      <w:r w:rsidR="004253CA">
        <w:rPr>
          <w:lang w:val="fr-FR"/>
        </w:rPr>
        <w:t>G</w:t>
      </w:r>
      <w:r w:rsidRPr="00C91DB8">
        <w:rPr>
          <w:lang w:val="fr-FR"/>
        </w:rPr>
        <w:t>ouvernement a entrepris quelques actions avec le développement des centres</w:t>
      </w:r>
      <w:r w:rsidR="002036DA" w:rsidRPr="00C91DB8">
        <w:rPr>
          <w:lang w:val="fr-FR"/>
        </w:rPr>
        <w:t xml:space="preserve"> </w:t>
      </w:r>
      <w:r w:rsidRPr="00C91DB8">
        <w:rPr>
          <w:lang w:val="fr-FR"/>
        </w:rPr>
        <w:t xml:space="preserve">d’écoute, de soutien et d’orientation au </w:t>
      </w:r>
      <w:r w:rsidR="00DD36A5" w:rsidRPr="00C91DB8">
        <w:rPr>
          <w:lang w:val="fr-FR"/>
        </w:rPr>
        <w:t>M</w:t>
      </w:r>
      <w:r w:rsidRPr="00C91DB8">
        <w:rPr>
          <w:lang w:val="fr-FR"/>
        </w:rPr>
        <w:t xml:space="preserve">inistère de la santé et à l’UNFD (Union </w:t>
      </w:r>
      <w:r w:rsidR="00DD36A5" w:rsidRPr="00C91DB8">
        <w:rPr>
          <w:lang w:val="fr-FR"/>
        </w:rPr>
        <w:t>n</w:t>
      </w:r>
      <w:r w:rsidRPr="00C91DB8">
        <w:rPr>
          <w:lang w:val="fr-FR"/>
        </w:rPr>
        <w:t xml:space="preserve">ationale des </w:t>
      </w:r>
      <w:r w:rsidR="00DD36A5" w:rsidRPr="00C91DB8">
        <w:rPr>
          <w:lang w:val="fr-FR"/>
        </w:rPr>
        <w:t>f</w:t>
      </w:r>
      <w:r w:rsidRPr="00C91DB8">
        <w:rPr>
          <w:lang w:val="fr-FR"/>
        </w:rPr>
        <w:t xml:space="preserve">emmes </w:t>
      </w:r>
      <w:r w:rsidR="00DD36A5" w:rsidRPr="00C91DB8">
        <w:rPr>
          <w:lang w:val="fr-FR"/>
        </w:rPr>
        <w:t>d</w:t>
      </w:r>
      <w:r w:rsidRPr="00C91DB8">
        <w:rPr>
          <w:lang w:val="fr-FR"/>
        </w:rPr>
        <w:t xml:space="preserve">jiboutiennes). On peut encore signaler l’élaboration en 2011 d’un guide pour les femmes violées ou abusées sexuellement. </w:t>
      </w:r>
    </w:p>
    <w:p w:rsidR="008E1AE6" w:rsidRPr="000D38FC" w:rsidRDefault="008E1AE6" w:rsidP="00C23320">
      <w:pPr>
        <w:pStyle w:val="SingleTxtG"/>
        <w:numPr>
          <w:ilvl w:val="0"/>
          <w:numId w:val="12"/>
        </w:numPr>
        <w:spacing w:line="240" w:lineRule="auto"/>
        <w:ind w:left="1134" w:firstLine="0"/>
        <w:rPr>
          <w:lang w:val="fr-FR"/>
        </w:rPr>
      </w:pPr>
      <w:r w:rsidRPr="00C91DB8">
        <w:rPr>
          <w:lang w:val="fr-FR"/>
        </w:rPr>
        <w:t>Le guide fournit par ailleurs des recommandations assez pertinente</w:t>
      </w:r>
      <w:r w:rsidRPr="000D38FC">
        <w:rPr>
          <w:lang w:val="fr-FR"/>
        </w:rPr>
        <w:t>s à</w:t>
      </w:r>
      <w:r w:rsidR="002036DA" w:rsidRPr="000D38FC">
        <w:rPr>
          <w:lang w:val="fr-FR"/>
        </w:rPr>
        <w:t xml:space="preserve"> </w:t>
      </w:r>
      <w:r w:rsidRPr="000D38FC">
        <w:rPr>
          <w:lang w:val="fr-FR"/>
        </w:rPr>
        <w:t>savoir</w:t>
      </w:r>
      <w:r w:rsidR="002036DA" w:rsidRPr="000D38FC">
        <w:rPr>
          <w:lang w:val="fr-FR"/>
        </w:rPr>
        <w:t>:</w:t>
      </w:r>
    </w:p>
    <w:p w:rsidR="008E1AE6" w:rsidRPr="00C91DB8" w:rsidRDefault="008E1AE6" w:rsidP="00DD36A5">
      <w:pPr>
        <w:pStyle w:val="SingleTxtG"/>
        <w:numPr>
          <w:ilvl w:val="0"/>
          <w:numId w:val="12"/>
        </w:numPr>
        <w:spacing w:line="240" w:lineRule="auto"/>
        <w:ind w:left="1134" w:firstLine="0"/>
        <w:rPr>
          <w:lang w:val="fr-FR"/>
        </w:rPr>
      </w:pPr>
      <w:r w:rsidRPr="00C91DB8">
        <w:rPr>
          <w:lang w:val="fr-FR"/>
        </w:rPr>
        <w:t>La prise en charge holistique de la victime par l’</w:t>
      </w:r>
      <w:r w:rsidR="002036DA" w:rsidRPr="00C91DB8">
        <w:rPr>
          <w:lang w:val="fr-FR"/>
        </w:rPr>
        <w:t>État</w:t>
      </w:r>
      <w:r w:rsidRPr="00C91DB8">
        <w:rPr>
          <w:lang w:val="fr-FR"/>
        </w:rPr>
        <w:t xml:space="preserve"> à toutes les étapes de la procédure et jusqu’à la guérison totale</w:t>
      </w:r>
      <w:r w:rsidR="00DD36A5" w:rsidRPr="00C91DB8">
        <w:rPr>
          <w:lang w:val="fr-FR"/>
        </w:rPr>
        <w:t>.</w:t>
      </w:r>
    </w:p>
    <w:p w:rsidR="008E1AE6" w:rsidRPr="00C91DB8" w:rsidRDefault="008E1AE6" w:rsidP="00B57692">
      <w:pPr>
        <w:pStyle w:val="SingleTxtG"/>
        <w:numPr>
          <w:ilvl w:val="0"/>
          <w:numId w:val="12"/>
        </w:numPr>
        <w:spacing w:line="240" w:lineRule="auto"/>
        <w:ind w:left="1134" w:firstLine="0"/>
        <w:rPr>
          <w:lang w:val="fr-FR"/>
        </w:rPr>
      </w:pPr>
      <w:r w:rsidRPr="00C91DB8">
        <w:rPr>
          <w:lang w:val="fr-FR"/>
        </w:rPr>
        <w:t>La féminisation des OPJ (policiers et gendarmes chargés de mener les enquêtes préliminaires)</w:t>
      </w:r>
      <w:r w:rsidR="00B57692">
        <w:rPr>
          <w:lang w:val="fr-FR"/>
        </w:rPr>
        <w:t>. I</w:t>
      </w:r>
      <w:r w:rsidRPr="00C91DB8">
        <w:rPr>
          <w:lang w:val="fr-FR"/>
        </w:rPr>
        <w:t xml:space="preserve">l a été constaté au fil du temps que les femmes victimes de viol se confient davantage quand l’enquête est conduite par une femme. </w:t>
      </w:r>
    </w:p>
    <w:p w:rsidR="002A17AD" w:rsidRPr="00C91DB8" w:rsidRDefault="008E1AE6" w:rsidP="00FB41FB">
      <w:pPr>
        <w:pStyle w:val="SingleTxtG"/>
        <w:numPr>
          <w:ilvl w:val="0"/>
          <w:numId w:val="12"/>
        </w:numPr>
        <w:spacing w:line="240" w:lineRule="auto"/>
        <w:ind w:left="1134" w:firstLine="0"/>
        <w:rPr>
          <w:lang w:val="fr-FR"/>
        </w:rPr>
      </w:pPr>
      <w:r w:rsidRPr="00C91DB8">
        <w:rPr>
          <w:lang w:val="fr-FR"/>
        </w:rPr>
        <w:t xml:space="preserve">Pour ce qui de l’avortement, </w:t>
      </w:r>
      <w:r w:rsidR="00B57692">
        <w:rPr>
          <w:lang w:val="fr-FR"/>
        </w:rPr>
        <w:t>l</w:t>
      </w:r>
      <w:r w:rsidRPr="00C91DB8">
        <w:rPr>
          <w:lang w:val="fr-FR"/>
        </w:rPr>
        <w:t>e seul cas de figure</w:t>
      </w:r>
      <w:r w:rsidR="002036DA" w:rsidRPr="00C91DB8">
        <w:rPr>
          <w:lang w:val="fr-FR"/>
        </w:rPr>
        <w:t xml:space="preserve"> </w:t>
      </w:r>
      <w:r w:rsidRPr="00C91DB8">
        <w:rPr>
          <w:lang w:val="fr-FR"/>
        </w:rPr>
        <w:t xml:space="preserve">autorisé est </w:t>
      </w:r>
      <w:r w:rsidR="00FB41FB">
        <w:rPr>
          <w:lang w:val="fr-FR"/>
        </w:rPr>
        <w:t xml:space="preserve">celui de l’avortement </w:t>
      </w:r>
      <w:r w:rsidRPr="00C91DB8">
        <w:rPr>
          <w:lang w:val="fr-FR"/>
        </w:rPr>
        <w:t>effectué à des fins thérapeutiques</w:t>
      </w:r>
      <w:r w:rsidR="00DD36A5" w:rsidRPr="00C91DB8">
        <w:rPr>
          <w:lang w:val="fr-FR"/>
        </w:rPr>
        <w:t>.</w:t>
      </w:r>
    </w:p>
    <w:p w:rsidR="008E1AE6" w:rsidRPr="00C91DB8" w:rsidRDefault="008E1AE6" w:rsidP="00EA6374">
      <w:pPr>
        <w:pStyle w:val="SingleTxtG"/>
        <w:numPr>
          <w:ilvl w:val="0"/>
          <w:numId w:val="12"/>
        </w:numPr>
        <w:spacing w:line="240" w:lineRule="auto"/>
        <w:ind w:left="1134" w:firstLine="0"/>
        <w:rPr>
          <w:lang w:val="fr-FR"/>
        </w:rPr>
      </w:pPr>
      <w:r w:rsidRPr="00C91DB8">
        <w:rPr>
          <w:lang w:val="fr-FR"/>
        </w:rPr>
        <w:t xml:space="preserve">Pour ce qui est de l’information des femmes et adolescentes sur les méthodes de contraception et pour éviter les grossesses non désirées, le planning familial a été ajouté </w:t>
      </w:r>
      <w:r w:rsidR="00EA6374">
        <w:rPr>
          <w:lang w:val="fr-FR"/>
        </w:rPr>
        <w:t xml:space="preserve">aux </w:t>
      </w:r>
      <w:r w:rsidRPr="00C91DB8">
        <w:rPr>
          <w:lang w:val="fr-FR"/>
        </w:rPr>
        <w:t xml:space="preserve">attributions du Ministère de la </w:t>
      </w:r>
      <w:r w:rsidR="00DD36A5" w:rsidRPr="00C91DB8">
        <w:rPr>
          <w:lang w:val="fr-FR"/>
        </w:rPr>
        <w:t>p</w:t>
      </w:r>
      <w:r w:rsidRPr="00C91DB8">
        <w:rPr>
          <w:lang w:val="fr-FR"/>
        </w:rPr>
        <w:t xml:space="preserve">romotion de la </w:t>
      </w:r>
      <w:r w:rsidR="00DD36A5" w:rsidRPr="00C91DB8">
        <w:rPr>
          <w:lang w:val="fr-FR"/>
        </w:rPr>
        <w:t>f</w:t>
      </w:r>
      <w:r w:rsidRPr="00C91DB8">
        <w:rPr>
          <w:lang w:val="fr-FR"/>
        </w:rPr>
        <w:t xml:space="preserve">emme, du </w:t>
      </w:r>
      <w:r w:rsidR="00DD36A5" w:rsidRPr="00C91DB8">
        <w:rPr>
          <w:lang w:val="fr-FR"/>
        </w:rPr>
        <w:t>b</w:t>
      </w:r>
      <w:r w:rsidRPr="00C91DB8">
        <w:rPr>
          <w:lang w:val="fr-FR"/>
        </w:rPr>
        <w:t>ien</w:t>
      </w:r>
      <w:r w:rsidR="00DD36A5" w:rsidRPr="00C91DB8">
        <w:rPr>
          <w:lang w:val="fr-FR"/>
        </w:rPr>
        <w:t>-ê</w:t>
      </w:r>
      <w:r w:rsidRPr="00C91DB8">
        <w:rPr>
          <w:lang w:val="fr-FR"/>
        </w:rPr>
        <w:t xml:space="preserve">tre </w:t>
      </w:r>
      <w:r w:rsidR="00DD36A5" w:rsidRPr="00C91DB8">
        <w:rPr>
          <w:lang w:val="fr-FR"/>
        </w:rPr>
        <w:t>f</w:t>
      </w:r>
      <w:r w:rsidRPr="00C91DB8">
        <w:rPr>
          <w:lang w:val="fr-FR"/>
        </w:rPr>
        <w:t xml:space="preserve">amilial et des </w:t>
      </w:r>
      <w:r w:rsidR="00DD36A5" w:rsidRPr="00C91DB8">
        <w:rPr>
          <w:lang w:val="fr-FR"/>
        </w:rPr>
        <w:t>a</w:t>
      </w:r>
      <w:r w:rsidRPr="00C91DB8">
        <w:rPr>
          <w:lang w:val="fr-FR"/>
        </w:rPr>
        <w:t xml:space="preserve">ffaires </w:t>
      </w:r>
      <w:r w:rsidR="00DD36A5" w:rsidRPr="00C91DB8">
        <w:rPr>
          <w:lang w:val="fr-FR"/>
        </w:rPr>
        <w:t>s</w:t>
      </w:r>
      <w:r w:rsidRPr="00C91DB8">
        <w:rPr>
          <w:lang w:val="fr-FR"/>
        </w:rPr>
        <w:t>ociales</w:t>
      </w:r>
      <w:r w:rsidR="00EA6374">
        <w:rPr>
          <w:lang w:val="fr-FR"/>
        </w:rPr>
        <w:t>. Il est devenu en 2011</w:t>
      </w:r>
      <w:r w:rsidR="002036DA" w:rsidRPr="00C91DB8">
        <w:rPr>
          <w:lang w:val="fr-FR"/>
        </w:rPr>
        <w:t xml:space="preserve"> </w:t>
      </w:r>
      <w:r w:rsidR="00DD36A5" w:rsidRPr="00C91DB8">
        <w:rPr>
          <w:lang w:val="fr-FR"/>
        </w:rPr>
        <w:t xml:space="preserve">le </w:t>
      </w:r>
      <w:r w:rsidRPr="00C91DB8">
        <w:rPr>
          <w:lang w:val="fr-FR"/>
        </w:rPr>
        <w:t xml:space="preserve">Ministère de la </w:t>
      </w:r>
      <w:r w:rsidR="00DD36A5" w:rsidRPr="00C91DB8">
        <w:rPr>
          <w:lang w:val="fr-FR"/>
        </w:rPr>
        <w:t>p</w:t>
      </w:r>
      <w:r w:rsidRPr="00C91DB8">
        <w:rPr>
          <w:lang w:val="fr-FR"/>
        </w:rPr>
        <w:t xml:space="preserve">romotion de la </w:t>
      </w:r>
      <w:r w:rsidR="00DD36A5" w:rsidRPr="00C91DB8">
        <w:rPr>
          <w:lang w:val="fr-FR"/>
        </w:rPr>
        <w:t>f</w:t>
      </w:r>
      <w:r w:rsidRPr="00C91DB8">
        <w:rPr>
          <w:lang w:val="fr-FR"/>
        </w:rPr>
        <w:t xml:space="preserve">emme et du </w:t>
      </w:r>
      <w:r w:rsidR="00DD36A5" w:rsidRPr="00C91DB8">
        <w:rPr>
          <w:lang w:val="fr-FR"/>
        </w:rPr>
        <w:t>p</w:t>
      </w:r>
      <w:r w:rsidRPr="00C91DB8">
        <w:rPr>
          <w:lang w:val="fr-FR"/>
        </w:rPr>
        <w:t xml:space="preserve">lanning </w:t>
      </w:r>
      <w:r w:rsidR="00DD36A5" w:rsidRPr="00C91DB8">
        <w:rPr>
          <w:lang w:val="fr-FR"/>
        </w:rPr>
        <w:t>f</w:t>
      </w:r>
      <w:r w:rsidRPr="00C91DB8">
        <w:rPr>
          <w:lang w:val="fr-FR"/>
        </w:rPr>
        <w:t xml:space="preserve">amilial </w:t>
      </w:r>
      <w:r w:rsidR="00DD36A5" w:rsidRPr="00C91DB8">
        <w:rPr>
          <w:lang w:val="fr-FR"/>
        </w:rPr>
        <w:t>c</w:t>
      </w:r>
      <w:r w:rsidRPr="00C91DB8">
        <w:rPr>
          <w:lang w:val="fr-FR"/>
        </w:rPr>
        <w:t xml:space="preserve">hargé des </w:t>
      </w:r>
      <w:r w:rsidR="00DD36A5" w:rsidRPr="00C91DB8">
        <w:rPr>
          <w:lang w:val="fr-FR"/>
        </w:rPr>
        <w:t>r</w:t>
      </w:r>
      <w:r w:rsidRPr="00C91DB8">
        <w:rPr>
          <w:lang w:val="fr-FR"/>
        </w:rPr>
        <w:t xml:space="preserve">elations avec le Parlement. </w:t>
      </w:r>
      <w:r w:rsidR="00EA6374">
        <w:rPr>
          <w:lang w:val="fr-FR"/>
        </w:rPr>
        <w:t>S</w:t>
      </w:r>
      <w:r w:rsidRPr="00C91DB8">
        <w:rPr>
          <w:lang w:val="fr-FR"/>
        </w:rPr>
        <w:t xml:space="preserve">elon le décret fixant les attributions des </w:t>
      </w:r>
      <w:r w:rsidR="00DD36A5" w:rsidRPr="00C91DB8">
        <w:rPr>
          <w:lang w:val="fr-FR"/>
        </w:rPr>
        <w:t>m</w:t>
      </w:r>
      <w:r w:rsidRPr="00C91DB8">
        <w:rPr>
          <w:lang w:val="fr-FR"/>
        </w:rPr>
        <w:t>inistères de 2013</w:t>
      </w:r>
      <w:r w:rsidR="00EA6374">
        <w:rPr>
          <w:lang w:val="fr-FR"/>
        </w:rPr>
        <w:t>, ce ministère</w:t>
      </w:r>
      <w:r w:rsidRPr="00C91DB8">
        <w:rPr>
          <w:lang w:val="fr-FR"/>
        </w:rPr>
        <w:t xml:space="preserve"> «conduit, conjointement avec le Ministère de la </w:t>
      </w:r>
      <w:r w:rsidR="00DD36A5" w:rsidRPr="00C91DB8">
        <w:rPr>
          <w:lang w:val="fr-FR"/>
        </w:rPr>
        <w:t>s</w:t>
      </w:r>
      <w:r w:rsidRPr="00C91DB8">
        <w:rPr>
          <w:lang w:val="fr-FR"/>
        </w:rPr>
        <w:t>anté, la politique du Gouvernement en matière de planification familiale, de prévention</w:t>
      </w:r>
      <w:r w:rsidR="002036DA" w:rsidRPr="00C91DB8">
        <w:rPr>
          <w:lang w:val="fr-FR"/>
        </w:rPr>
        <w:t xml:space="preserve"> </w:t>
      </w:r>
      <w:r w:rsidRPr="00C91DB8">
        <w:rPr>
          <w:lang w:val="fr-FR"/>
        </w:rPr>
        <w:t>des risques liés à la santé maternelle et infantile, la sensibilisation aux bonnes pratiques lié</w:t>
      </w:r>
      <w:r w:rsidR="00EA6374">
        <w:rPr>
          <w:lang w:val="fr-FR"/>
        </w:rPr>
        <w:t>e</w:t>
      </w:r>
      <w:r w:rsidRPr="00C91DB8">
        <w:rPr>
          <w:lang w:val="fr-FR"/>
        </w:rPr>
        <w:t>s à la petite enfance».</w:t>
      </w:r>
    </w:p>
    <w:p w:rsidR="002A17AD" w:rsidRPr="00C91DB8" w:rsidRDefault="008E1AE6" w:rsidP="00C23320">
      <w:pPr>
        <w:pStyle w:val="SingleTxtG"/>
        <w:numPr>
          <w:ilvl w:val="0"/>
          <w:numId w:val="12"/>
        </w:numPr>
        <w:spacing w:line="240" w:lineRule="auto"/>
        <w:ind w:left="1134" w:firstLine="0"/>
        <w:rPr>
          <w:lang w:val="fr-FR"/>
        </w:rPr>
      </w:pPr>
      <w:r w:rsidRPr="00C91DB8">
        <w:rPr>
          <w:lang w:val="fr-FR"/>
        </w:rPr>
        <w:t>Une stratégie de communication sur le planning familial a été élaborée et des campagnes de sensibilisation régulières sont menées à l’échelle nationale.</w:t>
      </w:r>
    </w:p>
    <w:p w:rsidR="002A17AD" w:rsidRPr="00C91DB8" w:rsidRDefault="0060071B" w:rsidP="0060071B">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13 de la liste </w:t>
      </w:r>
    </w:p>
    <w:p w:rsidR="008E1AE6" w:rsidRPr="00C91DB8" w:rsidRDefault="001F7A27" w:rsidP="001F7A27">
      <w:pPr>
        <w:pStyle w:val="SingleTxtG"/>
        <w:numPr>
          <w:ilvl w:val="0"/>
          <w:numId w:val="12"/>
        </w:numPr>
        <w:spacing w:line="240" w:lineRule="auto"/>
        <w:ind w:left="1134" w:firstLine="0"/>
        <w:rPr>
          <w:lang w:val="fr-FR"/>
        </w:rPr>
      </w:pPr>
      <w:r>
        <w:rPr>
          <w:lang w:val="fr-FR"/>
        </w:rPr>
        <w:t>P</w:t>
      </w:r>
      <w:r w:rsidR="008E1AE6" w:rsidRPr="00C91DB8">
        <w:rPr>
          <w:lang w:val="fr-FR"/>
        </w:rPr>
        <w:t xml:space="preserve">lusieurs articles du Code </w:t>
      </w:r>
      <w:r w:rsidR="002036DA" w:rsidRPr="00C91DB8">
        <w:rPr>
          <w:lang w:val="fr-FR"/>
        </w:rPr>
        <w:t>p</w:t>
      </w:r>
      <w:r w:rsidR="008E1AE6" w:rsidRPr="00C91DB8">
        <w:rPr>
          <w:lang w:val="fr-FR"/>
        </w:rPr>
        <w:t>énal de 1995 interdisent toutes les formes de violence en général (</w:t>
      </w:r>
      <w:r w:rsidR="002036DA" w:rsidRPr="00C91DB8">
        <w:rPr>
          <w:lang w:val="fr-FR"/>
        </w:rPr>
        <w:t>articles </w:t>
      </w:r>
      <w:r w:rsidR="008E1AE6" w:rsidRPr="00C91DB8">
        <w:rPr>
          <w:lang w:val="fr-FR"/>
        </w:rPr>
        <w:t>328, 329 et 330) mais il n’</w:t>
      </w:r>
      <w:r>
        <w:rPr>
          <w:lang w:val="fr-FR"/>
        </w:rPr>
        <w:t xml:space="preserve">existe </w:t>
      </w:r>
      <w:r w:rsidR="008E1AE6" w:rsidRPr="00C91DB8">
        <w:rPr>
          <w:lang w:val="fr-FR"/>
        </w:rPr>
        <w:t xml:space="preserve">pas de loi spécifique interdisant la violence à l’égard des enfants, ni de loi garantissant la protection contre les châtiments corporels en milieu scolaire ou familial. </w:t>
      </w:r>
    </w:p>
    <w:p w:rsidR="008E1AE6" w:rsidRPr="00C91DB8" w:rsidRDefault="008E1AE6" w:rsidP="001F7A27">
      <w:pPr>
        <w:pStyle w:val="SingleTxtG"/>
        <w:numPr>
          <w:ilvl w:val="0"/>
          <w:numId w:val="12"/>
        </w:numPr>
        <w:spacing w:line="240" w:lineRule="auto"/>
        <w:ind w:left="1134" w:firstLine="0"/>
        <w:rPr>
          <w:lang w:val="fr-FR"/>
        </w:rPr>
      </w:pPr>
      <w:r w:rsidRPr="00C91DB8">
        <w:rPr>
          <w:lang w:val="fr-FR"/>
        </w:rPr>
        <w:t xml:space="preserve">Toutefois de larges campagnes de sensibilisation </w:t>
      </w:r>
      <w:r w:rsidR="001F7A27">
        <w:rPr>
          <w:lang w:val="fr-FR"/>
        </w:rPr>
        <w:t xml:space="preserve">aux </w:t>
      </w:r>
      <w:r w:rsidRPr="00C91DB8">
        <w:rPr>
          <w:lang w:val="fr-FR"/>
        </w:rPr>
        <w:t>droits de l’enfant ont été menées dans les écoles et le milieu associatif. Elles ont permis de discuter des différentes atteintes aux droits de l’enfant parmi lesquel</w:t>
      </w:r>
      <w:r w:rsidR="00753DC8">
        <w:rPr>
          <w:lang w:val="fr-FR"/>
        </w:rPr>
        <w:t>le</w:t>
      </w:r>
      <w:r w:rsidRPr="00C91DB8">
        <w:rPr>
          <w:lang w:val="fr-FR"/>
        </w:rPr>
        <w:t xml:space="preserve">s les châtiments corporels. </w:t>
      </w:r>
    </w:p>
    <w:p w:rsidR="008E1AE6" w:rsidRPr="00C91DB8" w:rsidRDefault="00C23320" w:rsidP="00C23320">
      <w:pPr>
        <w:pStyle w:val="H1G"/>
        <w:rPr>
          <w:lang w:val="fr-FR"/>
        </w:rPr>
      </w:pPr>
      <w:r w:rsidRPr="00C91DB8">
        <w:rPr>
          <w:lang w:val="fr-FR"/>
        </w:rPr>
        <w:tab/>
      </w:r>
      <w:r w:rsidRPr="00C91DB8">
        <w:rPr>
          <w:lang w:val="fr-FR"/>
        </w:rPr>
        <w:tab/>
      </w:r>
      <w:r w:rsidR="008E1AE6" w:rsidRPr="00C91DB8">
        <w:rPr>
          <w:lang w:val="fr-FR"/>
        </w:rPr>
        <w:t>Élimination de l’esclavage et de la servitude (</w:t>
      </w:r>
      <w:r w:rsidR="002036DA" w:rsidRPr="00C91DB8">
        <w:rPr>
          <w:lang w:val="fr-FR"/>
        </w:rPr>
        <w:t>art. </w:t>
      </w:r>
      <w:r w:rsidR="008E1AE6" w:rsidRPr="00C91DB8">
        <w:rPr>
          <w:lang w:val="fr-FR"/>
        </w:rPr>
        <w:t>8 et 24)</w:t>
      </w:r>
    </w:p>
    <w:p w:rsidR="002A17AD" w:rsidRPr="00C91DB8" w:rsidRDefault="00FC5A4E" w:rsidP="00FC5A4E">
      <w:pPr>
        <w:pStyle w:val="H23G"/>
        <w:rPr>
          <w:lang w:val="fr-FR"/>
        </w:rPr>
      </w:pPr>
      <w:r w:rsidRPr="00C91DB8">
        <w:rPr>
          <w:rFonts w:eastAsia="Arial Unicode MS"/>
          <w:lang w:val="fr-FR"/>
        </w:rPr>
        <w:tab/>
      </w:r>
      <w:r w:rsidRPr="00C91DB8">
        <w:rPr>
          <w:rFonts w:eastAsia="Arial Unicode MS"/>
          <w:lang w:val="fr-FR"/>
        </w:rPr>
        <w:tab/>
      </w:r>
      <w:r w:rsidR="0060071B" w:rsidRPr="00C91DB8">
        <w:rPr>
          <w:rFonts w:eastAsia="Arial Unicode MS"/>
          <w:lang w:val="fr-FR"/>
        </w:rPr>
        <w:t xml:space="preserve">Réponse aux questions posées au paragraphe 14 de la liste </w:t>
      </w:r>
    </w:p>
    <w:p w:rsidR="002A17AD" w:rsidRPr="00C91DB8" w:rsidRDefault="008E1AE6" w:rsidP="00A25534">
      <w:pPr>
        <w:pStyle w:val="SingleTxtG"/>
        <w:numPr>
          <w:ilvl w:val="0"/>
          <w:numId w:val="12"/>
        </w:numPr>
        <w:spacing w:line="240" w:lineRule="auto"/>
        <w:ind w:left="1134" w:firstLine="0"/>
        <w:rPr>
          <w:lang w:val="fr-FR"/>
        </w:rPr>
      </w:pPr>
      <w:r w:rsidRPr="00C91DB8">
        <w:rPr>
          <w:lang w:val="fr-FR"/>
        </w:rPr>
        <w:t>Confrontée à la problématique de la migration depuis son</w:t>
      </w:r>
      <w:r w:rsidR="002036DA" w:rsidRPr="00C91DB8">
        <w:rPr>
          <w:lang w:val="fr-FR"/>
        </w:rPr>
        <w:t xml:space="preserve"> </w:t>
      </w:r>
      <w:r w:rsidRPr="00C91DB8">
        <w:rPr>
          <w:lang w:val="fr-FR"/>
        </w:rPr>
        <w:t>accès à l’indépendance en 1977, l’</w:t>
      </w:r>
      <w:r w:rsidR="002036DA" w:rsidRPr="00C91DB8">
        <w:rPr>
          <w:lang w:val="fr-FR"/>
        </w:rPr>
        <w:t>État</w:t>
      </w:r>
      <w:r w:rsidRPr="00C91DB8">
        <w:rPr>
          <w:lang w:val="fr-FR"/>
        </w:rPr>
        <w:t xml:space="preserve"> partie a organisé et organise régulièrement des actions autour de la question. Comme déjà indiqué dans nos différents rapports et autres documents aux organes </w:t>
      </w:r>
      <w:r w:rsidR="00A25534" w:rsidRPr="00C91DB8">
        <w:rPr>
          <w:lang w:val="fr-FR"/>
        </w:rPr>
        <w:t>conventionnels</w:t>
      </w:r>
      <w:r w:rsidRPr="00C91DB8">
        <w:rPr>
          <w:lang w:val="fr-FR"/>
        </w:rPr>
        <w:t>, le pays a adopté en 2007 une loi organique qui réprime assez sévèrement la traite des êtres humains.</w:t>
      </w:r>
    </w:p>
    <w:p w:rsidR="002A17AD" w:rsidRPr="00C91DB8" w:rsidRDefault="008E1AE6" w:rsidP="009F5022">
      <w:pPr>
        <w:pStyle w:val="SingleTxtG"/>
        <w:numPr>
          <w:ilvl w:val="0"/>
          <w:numId w:val="12"/>
        </w:numPr>
        <w:spacing w:line="240" w:lineRule="auto"/>
        <w:ind w:left="1134" w:firstLine="0"/>
        <w:rPr>
          <w:lang w:val="fr-FR"/>
        </w:rPr>
      </w:pPr>
      <w:r w:rsidRPr="00C91DB8">
        <w:rPr>
          <w:lang w:val="fr-FR"/>
        </w:rPr>
        <w:t>Afin d’assurer la m</w:t>
      </w:r>
      <w:r w:rsidRPr="000D38FC">
        <w:rPr>
          <w:lang w:val="fr-FR"/>
        </w:rPr>
        <w:t xml:space="preserve">ise en œuvre </w:t>
      </w:r>
      <w:r w:rsidR="009F5022" w:rsidRPr="000D38FC">
        <w:rPr>
          <w:lang w:val="fr-FR"/>
        </w:rPr>
        <w:t xml:space="preserve">effective du </w:t>
      </w:r>
      <w:r w:rsidRPr="000D38FC">
        <w:rPr>
          <w:lang w:val="fr-FR"/>
        </w:rPr>
        <w:t>texte, l’</w:t>
      </w:r>
      <w:r w:rsidR="002036DA" w:rsidRPr="000D38FC">
        <w:rPr>
          <w:lang w:val="fr-FR"/>
        </w:rPr>
        <w:t>État</w:t>
      </w:r>
      <w:r w:rsidRPr="000D38FC">
        <w:rPr>
          <w:lang w:val="fr-FR"/>
        </w:rPr>
        <w:t xml:space="preserve"> partie tantôt appuyé par </w:t>
      </w:r>
      <w:r w:rsidR="009F5022" w:rsidRPr="000D38FC">
        <w:rPr>
          <w:lang w:val="fr-FR"/>
        </w:rPr>
        <w:t>d</w:t>
      </w:r>
      <w:r w:rsidRPr="000D38FC">
        <w:rPr>
          <w:lang w:val="fr-FR"/>
        </w:rPr>
        <w:t>es partenaires</w:t>
      </w:r>
      <w:r w:rsidR="002036DA" w:rsidRPr="000D38FC">
        <w:rPr>
          <w:lang w:val="fr-FR"/>
        </w:rPr>
        <w:t xml:space="preserve"> </w:t>
      </w:r>
      <w:r w:rsidRPr="000D38FC">
        <w:rPr>
          <w:lang w:val="fr-FR"/>
        </w:rPr>
        <w:t>bilatéraux (</w:t>
      </w:r>
      <w:r w:rsidR="009F5022" w:rsidRPr="000D38FC">
        <w:rPr>
          <w:lang w:val="fr-FR"/>
        </w:rPr>
        <w:t>É</w:t>
      </w:r>
      <w:r w:rsidR="009F5022">
        <w:rPr>
          <w:lang w:val="fr-FR"/>
        </w:rPr>
        <w:t>tats-Unis d’Amérique</w:t>
      </w:r>
      <w:r w:rsidRPr="00C91DB8">
        <w:rPr>
          <w:lang w:val="fr-FR"/>
        </w:rPr>
        <w:t xml:space="preserve">, Suisse, Japon) tantôt par </w:t>
      </w:r>
      <w:r w:rsidR="009F5022">
        <w:rPr>
          <w:lang w:val="fr-FR"/>
        </w:rPr>
        <w:t>d</w:t>
      </w:r>
      <w:r w:rsidRPr="00C91DB8">
        <w:rPr>
          <w:lang w:val="fr-FR"/>
        </w:rPr>
        <w:t>es partenaires multilatéraux</w:t>
      </w:r>
      <w:r w:rsidR="009F5022">
        <w:rPr>
          <w:lang w:val="fr-FR"/>
        </w:rPr>
        <w:t xml:space="preserve"> </w:t>
      </w:r>
      <w:r w:rsidRPr="00C91DB8">
        <w:rPr>
          <w:lang w:val="fr-FR"/>
        </w:rPr>
        <w:t>(O</w:t>
      </w:r>
      <w:r w:rsidR="009F5022">
        <w:rPr>
          <w:lang w:val="fr-FR"/>
        </w:rPr>
        <w:t>rganisation internationale pour les migrations (OIM)</w:t>
      </w:r>
      <w:r w:rsidRPr="00C91DB8">
        <w:rPr>
          <w:lang w:val="fr-FR"/>
        </w:rPr>
        <w:t xml:space="preserve">, </w:t>
      </w:r>
      <w:r w:rsidR="009F5022">
        <w:rPr>
          <w:lang w:val="fr-FR"/>
        </w:rPr>
        <w:t>Autorité intergouvernementale pour le développement (</w:t>
      </w:r>
      <w:r w:rsidRPr="00C91DB8">
        <w:rPr>
          <w:lang w:val="fr-FR"/>
        </w:rPr>
        <w:t>IGAD</w:t>
      </w:r>
      <w:r w:rsidR="009F5022" w:rsidRPr="0045151C">
        <w:rPr>
          <w:lang w:val="fr-FR"/>
        </w:rPr>
        <w:t>)</w:t>
      </w:r>
      <w:r w:rsidRPr="0045151C">
        <w:rPr>
          <w:lang w:val="fr-FR"/>
        </w:rPr>
        <w:t xml:space="preserve">, </w:t>
      </w:r>
      <w:r w:rsidR="009F5022" w:rsidRPr="0045151C">
        <w:rPr>
          <w:lang w:val="fr-FR"/>
        </w:rPr>
        <w:t>Union africaine (</w:t>
      </w:r>
      <w:r w:rsidRPr="0045151C">
        <w:rPr>
          <w:lang w:val="fr-FR"/>
        </w:rPr>
        <w:t>UA</w:t>
      </w:r>
      <w:r w:rsidR="009F5022" w:rsidRPr="0045151C">
        <w:rPr>
          <w:lang w:val="fr-FR"/>
        </w:rPr>
        <w:t>)</w:t>
      </w:r>
      <w:r w:rsidRPr="0045151C">
        <w:rPr>
          <w:lang w:val="fr-FR"/>
        </w:rPr>
        <w:t>)</w:t>
      </w:r>
      <w:r w:rsidRPr="00C91DB8">
        <w:rPr>
          <w:lang w:val="fr-FR"/>
        </w:rPr>
        <w:t xml:space="preserve"> a développé une activité </w:t>
      </w:r>
      <w:r w:rsidR="009F5022" w:rsidRPr="00C91DB8">
        <w:rPr>
          <w:lang w:val="fr-FR"/>
        </w:rPr>
        <w:t xml:space="preserve">interne </w:t>
      </w:r>
      <w:r w:rsidRPr="00C91DB8">
        <w:rPr>
          <w:lang w:val="fr-FR"/>
        </w:rPr>
        <w:t xml:space="preserve">de sensibilisation et de formation </w:t>
      </w:r>
      <w:r w:rsidR="009F5022">
        <w:rPr>
          <w:lang w:val="fr-FR"/>
        </w:rPr>
        <w:t xml:space="preserve">destinée </w:t>
      </w:r>
      <w:r w:rsidRPr="00C91DB8">
        <w:rPr>
          <w:lang w:val="fr-FR"/>
        </w:rPr>
        <w:t>en priorité</w:t>
      </w:r>
      <w:r w:rsidR="009F5022">
        <w:rPr>
          <w:lang w:val="fr-FR"/>
        </w:rPr>
        <w:t xml:space="preserve"> aux </w:t>
      </w:r>
      <w:r w:rsidRPr="00C91DB8">
        <w:rPr>
          <w:lang w:val="fr-FR"/>
        </w:rPr>
        <w:t>acteurs étatiques chargés de prévenir et combattre la traite des êtres humains. Ces formations accordent également une place importante à la prise en charge des personnes victimes de la traite.</w:t>
      </w:r>
    </w:p>
    <w:p w:rsidR="002A17AD" w:rsidRPr="00C91DB8" w:rsidRDefault="008E1AE6" w:rsidP="009F5022">
      <w:pPr>
        <w:pStyle w:val="SingleTxtG"/>
        <w:numPr>
          <w:ilvl w:val="0"/>
          <w:numId w:val="12"/>
        </w:numPr>
        <w:spacing w:line="240" w:lineRule="auto"/>
        <w:ind w:left="1134" w:firstLine="0"/>
        <w:rPr>
          <w:lang w:val="fr-FR"/>
        </w:rPr>
      </w:pPr>
      <w:r w:rsidRPr="00C91DB8">
        <w:rPr>
          <w:lang w:val="fr-FR"/>
        </w:rPr>
        <w:t>Ainsi magistrats, policiers, garde-côtes</w:t>
      </w:r>
      <w:r w:rsidR="009F5022">
        <w:rPr>
          <w:lang w:val="fr-FR"/>
        </w:rPr>
        <w:t xml:space="preserve"> et</w:t>
      </w:r>
      <w:r w:rsidRPr="00C91DB8">
        <w:rPr>
          <w:lang w:val="fr-FR"/>
        </w:rPr>
        <w:t xml:space="preserve"> gendarmes ont suivi de nombreuses formations dont l</w:t>
      </w:r>
      <w:r w:rsidR="009F5022">
        <w:rPr>
          <w:lang w:val="fr-FR"/>
        </w:rPr>
        <w:t xml:space="preserve">a </w:t>
      </w:r>
      <w:r w:rsidRPr="00C91DB8">
        <w:rPr>
          <w:lang w:val="fr-FR"/>
        </w:rPr>
        <w:t>plus récent</w:t>
      </w:r>
      <w:r w:rsidR="009F5022">
        <w:rPr>
          <w:lang w:val="fr-FR"/>
        </w:rPr>
        <w:t>e</w:t>
      </w:r>
      <w:r w:rsidRPr="00C91DB8">
        <w:rPr>
          <w:lang w:val="fr-FR"/>
        </w:rPr>
        <w:t xml:space="preserve"> a lieu en mars 2013</w:t>
      </w:r>
      <w:r w:rsidR="009F5022">
        <w:rPr>
          <w:lang w:val="fr-FR"/>
        </w:rPr>
        <w:t xml:space="preserve"> au cours de laquelle d</w:t>
      </w:r>
      <w:r w:rsidRPr="00C91DB8">
        <w:rPr>
          <w:lang w:val="fr-FR"/>
        </w:rPr>
        <w:t>es experts de l’OIM et un substitut du procureur, spécialiste de la question, ont dispensé</w:t>
      </w:r>
      <w:r w:rsidR="002036DA" w:rsidRPr="00C91DB8">
        <w:rPr>
          <w:lang w:val="fr-FR"/>
        </w:rPr>
        <w:t xml:space="preserve"> </w:t>
      </w:r>
      <w:r w:rsidRPr="00C91DB8">
        <w:rPr>
          <w:lang w:val="fr-FR"/>
        </w:rPr>
        <w:t>une formation de deux jours sur la trait</w:t>
      </w:r>
      <w:r w:rsidR="00A25534" w:rsidRPr="00C91DB8">
        <w:rPr>
          <w:lang w:val="fr-FR"/>
        </w:rPr>
        <w:t>e</w:t>
      </w:r>
      <w:r w:rsidRPr="00C91DB8">
        <w:rPr>
          <w:lang w:val="fr-FR"/>
        </w:rPr>
        <w:t xml:space="preserve"> des êtres humains</w:t>
      </w:r>
      <w:r w:rsidR="002036DA" w:rsidRPr="00C91DB8">
        <w:rPr>
          <w:lang w:val="fr-FR"/>
        </w:rPr>
        <w:t xml:space="preserve"> </w:t>
      </w:r>
      <w:r w:rsidRPr="00C91DB8">
        <w:rPr>
          <w:lang w:val="fr-FR"/>
        </w:rPr>
        <w:t xml:space="preserve">à 75 </w:t>
      </w:r>
      <w:r w:rsidR="009F5022">
        <w:rPr>
          <w:lang w:val="fr-FR"/>
        </w:rPr>
        <w:t>personnes (</w:t>
      </w:r>
      <w:r w:rsidRPr="00C91DB8">
        <w:rPr>
          <w:lang w:val="fr-FR"/>
        </w:rPr>
        <w:t xml:space="preserve">officiers de police </w:t>
      </w:r>
      <w:r w:rsidR="009F5022">
        <w:rPr>
          <w:lang w:val="fr-FR"/>
        </w:rPr>
        <w:t xml:space="preserve">et </w:t>
      </w:r>
      <w:r w:rsidRPr="00C91DB8">
        <w:rPr>
          <w:lang w:val="fr-FR"/>
        </w:rPr>
        <w:t>de la gendarmerie et garde-côtes</w:t>
      </w:r>
      <w:r w:rsidR="009F5022">
        <w:rPr>
          <w:lang w:val="fr-FR"/>
        </w:rPr>
        <w:t>)</w:t>
      </w:r>
      <w:r w:rsidRPr="00C91DB8">
        <w:rPr>
          <w:lang w:val="fr-FR"/>
        </w:rPr>
        <w:t xml:space="preserve">. Comme </w:t>
      </w:r>
      <w:r w:rsidR="009F5022">
        <w:rPr>
          <w:lang w:val="fr-FR"/>
        </w:rPr>
        <w:t>lors d</w:t>
      </w:r>
      <w:r w:rsidRPr="00C91DB8">
        <w:rPr>
          <w:lang w:val="fr-FR"/>
        </w:rPr>
        <w:t>es précédentes formations, tous les aspects de la question à savoir</w:t>
      </w:r>
      <w:r w:rsidR="00D42EF2">
        <w:rPr>
          <w:lang w:val="fr-FR"/>
        </w:rPr>
        <w:t xml:space="preserve"> </w:t>
      </w:r>
      <w:r w:rsidRPr="00C91DB8">
        <w:rPr>
          <w:lang w:val="fr-FR"/>
        </w:rPr>
        <w:t xml:space="preserve">la poursuite et surtout la prise en charge des victimes ont été analysés et étudiés. </w:t>
      </w:r>
    </w:p>
    <w:p w:rsidR="002A17AD" w:rsidRPr="00C91DB8" w:rsidRDefault="008E1AE6" w:rsidP="009F5022">
      <w:pPr>
        <w:pStyle w:val="SingleTxtG"/>
        <w:numPr>
          <w:ilvl w:val="0"/>
          <w:numId w:val="12"/>
        </w:numPr>
        <w:spacing w:line="240" w:lineRule="auto"/>
        <w:ind w:left="1134" w:firstLine="0"/>
        <w:rPr>
          <w:lang w:val="fr-FR"/>
        </w:rPr>
      </w:pPr>
      <w:r w:rsidRPr="00C91DB8">
        <w:rPr>
          <w:lang w:val="fr-FR"/>
        </w:rPr>
        <w:t>Pour ce qui est de la détection des victimes, l’</w:t>
      </w:r>
      <w:r w:rsidR="002036DA" w:rsidRPr="00C91DB8">
        <w:rPr>
          <w:lang w:val="fr-FR"/>
        </w:rPr>
        <w:t>État</w:t>
      </w:r>
      <w:r w:rsidRPr="00C91DB8">
        <w:rPr>
          <w:lang w:val="fr-FR"/>
        </w:rPr>
        <w:t xml:space="preserve"> partie a </w:t>
      </w:r>
      <w:r w:rsidR="009F5022">
        <w:rPr>
          <w:lang w:val="fr-FR"/>
        </w:rPr>
        <w:t xml:space="preserve">pu, </w:t>
      </w:r>
      <w:r w:rsidRPr="00C91DB8">
        <w:rPr>
          <w:lang w:val="fr-FR"/>
        </w:rPr>
        <w:t>grâce à la coopération internationale</w:t>
      </w:r>
      <w:r w:rsidR="009F5022">
        <w:rPr>
          <w:lang w:val="fr-FR"/>
        </w:rPr>
        <w:t>,</w:t>
      </w:r>
      <w:r w:rsidRPr="00C91DB8">
        <w:rPr>
          <w:lang w:val="fr-FR"/>
        </w:rPr>
        <w:t xml:space="preserve"> crée</w:t>
      </w:r>
      <w:r w:rsidR="009F5022">
        <w:rPr>
          <w:lang w:val="fr-FR"/>
        </w:rPr>
        <w:t>r</w:t>
      </w:r>
      <w:r w:rsidRPr="00C91DB8">
        <w:rPr>
          <w:lang w:val="fr-FR"/>
        </w:rPr>
        <w:t xml:space="preserve"> en 2011 à Obock, ville</w:t>
      </w:r>
      <w:r w:rsidR="002036DA" w:rsidRPr="00C91DB8">
        <w:rPr>
          <w:lang w:val="fr-FR"/>
        </w:rPr>
        <w:t xml:space="preserve"> </w:t>
      </w:r>
      <w:r w:rsidRPr="00C91DB8">
        <w:rPr>
          <w:lang w:val="fr-FR"/>
        </w:rPr>
        <w:t>où se rassemblent les candidats à la migration, un centre d’aide et d’assistance</w:t>
      </w:r>
      <w:r w:rsidR="002036DA" w:rsidRPr="00C91DB8">
        <w:rPr>
          <w:lang w:val="fr-FR"/>
        </w:rPr>
        <w:t xml:space="preserve"> </w:t>
      </w:r>
      <w:r w:rsidRPr="00C91DB8">
        <w:rPr>
          <w:lang w:val="fr-FR"/>
        </w:rPr>
        <w:t>aux migrants qui leur</w:t>
      </w:r>
      <w:r w:rsidR="002036DA" w:rsidRPr="00C91DB8">
        <w:rPr>
          <w:lang w:val="fr-FR"/>
        </w:rPr>
        <w:t xml:space="preserve"> </w:t>
      </w:r>
      <w:r w:rsidRPr="00C91DB8">
        <w:rPr>
          <w:lang w:val="fr-FR"/>
        </w:rPr>
        <w:t>fournit un soutien moral et médical.</w:t>
      </w:r>
    </w:p>
    <w:p w:rsidR="002A17AD" w:rsidRPr="00C91DB8" w:rsidRDefault="008E1AE6" w:rsidP="008E7ADF">
      <w:pPr>
        <w:pStyle w:val="SingleTxtG"/>
        <w:numPr>
          <w:ilvl w:val="0"/>
          <w:numId w:val="12"/>
        </w:numPr>
        <w:spacing w:line="240" w:lineRule="auto"/>
        <w:ind w:left="1134" w:firstLine="0"/>
        <w:rPr>
          <w:lang w:val="fr-FR"/>
        </w:rPr>
      </w:pPr>
      <w:r w:rsidRPr="00C91DB8">
        <w:rPr>
          <w:lang w:val="fr-FR"/>
        </w:rPr>
        <w:t>Compte tenu de la transversalité de la question, le</w:t>
      </w:r>
      <w:r w:rsidR="008E7ADF">
        <w:rPr>
          <w:lang w:val="fr-FR"/>
        </w:rPr>
        <w:t>s</w:t>
      </w:r>
      <w:r w:rsidRPr="00C91DB8">
        <w:rPr>
          <w:lang w:val="fr-FR"/>
        </w:rPr>
        <w:t xml:space="preserve"> pouvoir</w:t>
      </w:r>
      <w:r w:rsidR="008E7ADF">
        <w:rPr>
          <w:lang w:val="fr-FR"/>
        </w:rPr>
        <w:t>s</w:t>
      </w:r>
      <w:r w:rsidRPr="00C91DB8">
        <w:rPr>
          <w:lang w:val="fr-FR"/>
        </w:rPr>
        <w:t xml:space="preserve"> public</w:t>
      </w:r>
      <w:r w:rsidR="008E7ADF">
        <w:rPr>
          <w:lang w:val="fr-FR"/>
        </w:rPr>
        <w:t>s</w:t>
      </w:r>
      <w:r w:rsidR="002036DA" w:rsidRPr="00C91DB8">
        <w:rPr>
          <w:lang w:val="fr-FR"/>
        </w:rPr>
        <w:t xml:space="preserve"> </w:t>
      </w:r>
      <w:r w:rsidR="008E7ADF">
        <w:rPr>
          <w:lang w:val="fr-FR"/>
        </w:rPr>
        <w:t xml:space="preserve">sont </w:t>
      </w:r>
      <w:r w:rsidRPr="00C91DB8">
        <w:rPr>
          <w:lang w:val="fr-FR"/>
        </w:rPr>
        <w:t>en train de mettre sur pied une coordination intitulée secrétariat exécutif chargé de prévenir et combattre la traite des êtres humains.</w:t>
      </w:r>
    </w:p>
    <w:p w:rsidR="002A17AD" w:rsidRPr="00C91DB8" w:rsidRDefault="008E1AE6" w:rsidP="0012035A">
      <w:pPr>
        <w:pStyle w:val="SingleTxtG"/>
        <w:numPr>
          <w:ilvl w:val="0"/>
          <w:numId w:val="12"/>
        </w:numPr>
        <w:spacing w:line="240" w:lineRule="auto"/>
        <w:ind w:left="1134" w:firstLine="0"/>
        <w:rPr>
          <w:lang w:val="fr-FR"/>
        </w:rPr>
      </w:pPr>
      <w:r w:rsidRPr="00C91DB8">
        <w:rPr>
          <w:lang w:val="fr-FR"/>
        </w:rPr>
        <w:t>Le projet sera formalisé par un décret qui a d</w:t>
      </w:r>
      <w:r w:rsidR="0012035A">
        <w:rPr>
          <w:lang w:val="fr-FR"/>
        </w:rPr>
        <w:t>’</w:t>
      </w:r>
      <w:r w:rsidRPr="00C91DB8">
        <w:rPr>
          <w:lang w:val="fr-FR"/>
        </w:rPr>
        <w:t>ores et déjà été examiné en conseil interministériel, conseil réunissant sous l’égide du Premier Ministre, une fois par semaine</w:t>
      </w:r>
      <w:r w:rsidR="0012035A">
        <w:rPr>
          <w:lang w:val="fr-FR"/>
        </w:rPr>
        <w:t>,</w:t>
      </w:r>
      <w:r w:rsidRPr="00C91DB8">
        <w:rPr>
          <w:lang w:val="fr-FR"/>
        </w:rPr>
        <w:t xml:space="preserve"> tous les membres du </w:t>
      </w:r>
      <w:r w:rsidR="004253CA">
        <w:rPr>
          <w:lang w:val="fr-FR"/>
        </w:rPr>
        <w:t>G</w:t>
      </w:r>
      <w:r w:rsidRPr="00C91DB8">
        <w:rPr>
          <w:lang w:val="fr-FR"/>
        </w:rPr>
        <w:t>ouvernement.</w:t>
      </w:r>
    </w:p>
    <w:p w:rsidR="002A17AD" w:rsidRPr="00C91DB8" w:rsidRDefault="00C23320" w:rsidP="00C23320">
      <w:pPr>
        <w:pStyle w:val="H1G"/>
        <w:rPr>
          <w:lang w:val="fr-FR"/>
        </w:rPr>
      </w:pPr>
      <w:r w:rsidRPr="00C91DB8">
        <w:rPr>
          <w:lang w:val="fr-FR"/>
        </w:rPr>
        <w:tab/>
      </w:r>
      <w:r w:rsidRPr="00C91DB8">
        <w:rPr>
          <w:lang w:val="fr-FR"/>
        </w:rPr>
        <w:tab/>
      </w:r>
      <w:r w:rsidR="008E1AE6" w:rsidRPr="00C91DB8">
        <w:rPr>
          <w:lang w:val="fr-FR"/>
        </w:rPr>
        <w:t>Droit à un jugement équitable (</w:t>
      </w:r>
      <w:r w:rsidR="002036DA" w:rsidRPr="00C91DB8">
        <w:rPr>
          <w:lang w:val="fr-FR"/>
        </w:rPr>
        <w:t>art. </w:t>
      </w:r>
      <w:r w:rsidR="008E1AE6" w:rsidRPr="00C91DB8">
        <w:rPr>
          <w:lang w:val="fr-FR"/>
        </w:rPr>
        <w:t>14)</w:t>
      </w:r>
    </w:p>
    <w:p w:rsidR="002A17AD" w:rsidRPr="00C91DB8" w:rsidRDefault="0060071B" w:rsidP="0060071B">
      <w:pPr>
        <w:pStyle w:val="H23G"/>
        <w:rPr>
          <w:lang w:val="fr-FR"/>
        </w:rPr>
      </w:pPr>
      <w:r w:rsidRPr="00C91DB8">
        <w:rPr>
          <w:rFonts w:eastAsia="Arial Unicode MS"/>
          <w:lang w:val="fr-FR"/>
        </w:rPr>
        <w:tab/>
      </w:r>
      <w:r w:rsidRPr="00C91DB8">
        <w:rPr>
          <w:rFonts w:eastAsia="Arial Unicode MS"/>
          <w:lang w:val="fr-FR"/>
        </w:rPr>
        <w:tab/>
        <w:t>Réponse aux questions posées au paragraphe 15 de la liste</w:t>
      </w:r>
      <w:r w:rsidR="008E1AE6" w:rsidRPr="0045151C">
        <w:rPr>
          <w:lang w:val="fr-FR"/>
        </w:rPr>
        <w:t xml:space="preserve"> </w:t>
      </w:r>
      <w:r w:rsidRPr="0045151C">
        <w:rPr>
          <w:lang w:val="fr-FR"/>
        </w:rPr>
        <w:t>(</w:t>
      </w:r>
      <w:r w:rsidR="008E1AE6" w:rsidRPr="0045151C">
        <w:rPr>
          <w:lang w:val="fr-FR"/>
        </w:rPr>
        <w:t xml:space="preserve">Voir réponse </w:t>
      </w:r>
      <w:r w:rsidRPr="0045151C">
        <w:rPr>
          <w:lang w:val="fr-FR"/>
        </w:rPr>
        <w:t>aux questions posées au paragraphe 1)</w:t>
      </w:r>
    </w:p>
    <w:p w:rsidR="002A17AD" w:rsidRPr="00C91DB8" w:rsidRDefault="008E1AE6" w:rsidP="00015270">
      <w:pPr>
        <w:pStyle w:val="SingleTxtG"/>
        <w:numPr>
          <w:ilvl w:val="0"/>
          <w:numId w:val="12"/>
        </w:numPr>
        <w:spacing w:line="240" w:lineRule="auto"/>
        <w:ind w:left="1134" w:firstLine="0"/>
        <w:rPr>
          <w:lang w:val="fr-FR"/>
        </w:rPr>
      </w:pPr>
      <w:r w:rsidRPr="00C91DB8">
        <w:rPr>
          <w:lang w:val="fr-FR"/>
        </w:rPr>
        <w:t>Pour plus de précision</w:t>
      </w:r>
      <w:r w:rsidR="00F0292E">
        <w:rPr>
          <w:lang w:val="fr-FR"/>
        </w:rPr>
        <w:t>,</w:t>
      </w:r>
      <w:r w:rsidRPr="00C91DB8">
        <w:rPr>
          <w:lang w:val="fr-FR"/>
        </w:rPr>
        <w:t xml:space="preserve"> et comme déjà souligné, le droit à une justice équitable et plus particulièrement le droit à un avocat est garanti par la </w:t>
      </w:r>
      <w:r w:rsidR="00015270">
        <w:rPr>
          <w:lang w:val="fr-FR"/>
        </w:rPr>
        <w:t>C</w:t>
      </w:r>
      <w:r w:rsidRPr="00C91DB8">
        <w:rPr>
          <w:lang w:val="fr-FR"/>
        </w:rPr>
        <w:t>onstitution à tous les stades de la procédure judiciaire.</w:t>
      </w:r>
    </w:p>
    <w:p w:rsidR="002A17AD" w:rsidRPr="00C91DB8" w:rsidRDefault="008E1AE6" w:rsidP="00F0292E">
      <w:pPr>
        <w:pStyle w:val="SingleTxtG"/>
        <w:numPr>
          <w:ilvl w:val="0"/>
          <w:numId w:val="12"/>
        </w:numPr>
        <w:spacing w:line="240" w:lineRule="auto"/>
        <w:ind w:left="1134" w:firstLine="0"/>
        <w:rPr>
          <w:lang w:val="fr-FR"/>
        </w:rPr>
      </w:pPr>
      <w:r w:rsidRPr="0045151C">
        <w:rPr>
          <w:lang w:val="fr-FR"/>
        </w:rPr>
        <w:t>Le sieur</w:t>
      </w:r>
      <w:r w:rsidRPr="00C91DB8">
        <w:rPr>
          <w:lang w:val="fr-FR"/>
        </w:rPr>
        <w:t xml:space="preserve"> B</w:t>
      </w:r>
      <w:r w:rsidR="00F0292E">
        <w:rPr>
          <w:lang w:val="fr-FR"/>
        </w:rPr>
        <w:t>oreh</w:t>
      </w:r>
      <w:r w:rsidRPr="00C91DB8">
        <w:rPr>
          <w:lang w:val="fr-FR"/>
        </w:rPr>
        <w:t>, poursuivi et condamné par contumace (absent du pays au moment de son procès), entre autre</w:t>
      </w:r>
      <w:r w:rsidR="00F0292E">
        <w:rPr>
          <w:lang w:val="fr-FR"/>
        </w:rPr>
        <w:t>s</w:t>
      </w:r>
      <w:r w:rsidRPr="00C91DB8">
        <w:rPr>
          <w:lang w:val="fr-FR"/>
        </w:rPr>
        <w:t xml:space="preserve"> </w:t>
      </w:r>
      <w:r w:rsidR="00F0292E">
        <w:rPr>
          <w:lang w:val="fr-FR"/>
        </w:rPr>
        <w:t xml:space="preserve">pour </w:t>
      </w:r>
      <w:r w:rsidRPr="00C91DB8">
        <w:rPr>
          <w:lang w:val="fr-FR"/>
        </w:rPr>
        <w:t>acte de terrorisme</w:t>
      </w:r>
      <w:r w:rsidR="00F0292E">
        <w:rPr>
          <w:lang w:val="fr-FR"/>
        </w:rPr>
        <w:t>,</w:t>
      </w:r>
      <w:r w:rsidRPr="00C91DB8">
        <w:rPr>
          <w:lang w:val="fr-FR"/>
        </w:rPr>
        <w:t xml:space="preserve"> a toujours eu un avocat djiboutien et a été de ce fait représenté et défendu. </w:t>
      </w:r>
    </w:p>
    <w:p w:rsidR="002A17AD" w:rsidRPr="00C91DB8" w:rsidRDefault="008E1AE6" w:rsidP="00F0292E">
      <w:pPr>
        <w:pStyle w:val="SingleTxtG"/>
        <w:numPr>
          <w:ilvl w:val="0"/>
          <w:numId w:val="12"/>
        </w:numPr>
        <w:spacing w:line="240" w:lineRule="auto"/>
        <w:ind w:left="1134" w:firstLine="0"/>
        <w:rPr>
          <w:lang w:val="fr-FR"/>
        </w:rPr>
      </w:pPr>
      <w:r w:rsidRPr="00C91DB8">
        <w:rPr>
          <w:lang w:val="fr-FR"/>
        </w:rPr>
        <w:t>D’ailleurs toutes les personnes nommées</w:t>
      </w:r>
      <w:r w:rsidR="002036DA" w:rsidRPr="00C91DB8">
        <w:rPr>
          <w:lang w:val="fr-FR"/>
        </w:rPr>
        <w:t xml:space="preserve"> </w:t>
      </w:r>
      <w:r w:rsidRPr="00C91DB8">
        <w:rPr>
          <w:lang w:val="fr-FR"/>
        </w:rPr>
        <w:t xml:space="preserve">dans la </w:t>
      </w:r>
      <w:r w:rsidRPr="00F0292E">
        <w:rPr>
          <w:bCs/>
          <w:lang w:val="fr-FR"/>
        </w:rPr>
        <w:t>liste des points</w:t>
      </w:r>
      <w:r w:rsidRPr="00C91DB8">
        <w:rPr>
          <w:lang w:val="fr-FR"/>
        </w:rPr>
        <w:t xml:space="preserve"> ont toutes eu et ont à ce jour des avocats qui les défendent.</w:t>
      </w:r>
    </w:p>
    <w:p w:rsidR="002A17AD" w:rsidRPr="00C91DB8" w:rsidRDefault="008E1AE6" w:rsidP="00C23320">
      <w:pPr>
        <w:pStyle w:val="SingleTxtG"/>
        <w:numPr>
          <w:ilvl w:val="0"/>
          <w:numId w:val="12"/>
        </w:numPr>
        <w:spacing w:line="240" w:lineRule="auto"/>
        <w:ind w:left="1134" w:firstLine="0"/>
        <w:rPr>
          <w:lang w:val="fr-FR"/>
        </w:rPr>
      </w:pPr>
      <w:r w:rsidRPr="00C91DB8">
        <w:rPr>
          <w:lang w:val="fr-FR"/>
        </w:rPr>
        <w:t>Pour ce qui est des avocats étrangers refusés d’entrer</w:t>
      </w:r>
      <w:r w:rsidR="002036DA" w:rsidRPr="00C91DB8">
        <w:rPr>
          <w:lang w:val="fr-FR"/>
        </w:rPr>
        <w:t xml:space="preserve"> </w:t>
      </w:r>
      <w:r w:rsidRPr="00C91DB8">
        <w:rPr>
          <w:lang w:val="fr-FR"/>
        </w:rPr>
        <w:t xml:space="preserve">à Djibouti, chaque </w:t>
      </w:r>
      <w:r w:rsidR="002036DA" w:rsidRPr="00C91DB8">
        <w:rPr>
          <w:lang w:val="fr-FR"/>
        </w:rPr>
        <w:t>État</w:t>
      </w:r>
      <w:r w:rsidRPr="00C91DB8">
        <w:rPr>
          <w:lang w:val="fr-FR"/>
        </w:rPr>
        <w:t xml:space="preserve"> a le droit d’apprécier souverainement qui a le droit d’entrer ou de ne pas entrer dans son pays.</w:t>
      </w:r>
    </w:p>
    <w:p w:rsidR="002A17AD" w:rsidRPr="00C91DB8" w:rsidRDefault="00C23320" w:rsidP="002036DA">
      <w:pPr>
        <w:pStyle w:val="H1G"/>
        <w:rPr>
          <w:lang w:val="fr-FR"/>
        </w:rPr>
      </w:pPr>
      <w:r w:rsidRPr="00C91DB8">
        <w:rPr>
          <w:lang w:val="fr-FR"/>
        </w:rPr>
        <w:tab/>
      </w:r>
      <w:r w:rsidRPr="00C91DB8">
        <w:rPr>
          <w:lang w:val="fr-FR"/>
        </w:rPr>
        <w:tab/>
      </w:r>
      <w:r w:rsidR="008E1AE6" w:rsidRPr="00C91DB8">
        <w:rPr>
          <w:lang w:val="fr-FR"/>
        </w:rPr>
        <w:t>Liberté d’expression, liberté de réunion et liberté d’association (art.</w:t>
      </w:r>
      <w:r w:rsidR="002036DA" w:rsidRPr="00C91DB8">
        <w:rPr>
          <w:lang w:val="fr-FR"/>
        </w:rPr>
        <w:t> </w:t>
      </w:r>
      <w:r w:rsidR="008E1AE6" w:rsidRPr="00C91DB8">
        <w:rPr>
          <w:lang w:val="fr-FR"/>
        </w:rPr>
        <w:t>19, 21 et 22)</w:t>
      </w:r>
    </w:p>
    <w:p w:rsidR="002A17AD" w:rsidRPr="00C91DB8" w:rsidRDefault="00046B98" w:rsidP="00046B98">
      <w:pPr>
        <w:pStyle w:val="H23G"/>
        <w:rPr>
          <w:lang w:val="fr-FR"/>
        </w:rPr>
      </w:pPr>
      <w:r w:rsidRPr="00C91DB8">
        <w:rPr>
          <w:rFonts w:eastAsia="Arial Unicode MS"/>
          <w:lang w:val="fr-FR"/>
        </w:rPr>
        <w:tab/>
      </w:r>
      <w:r w:rsidRPr="00C91DB8">
        <w:rPr>
          <w:rFonts w:eastAsia="Arial Unicode MS"/>
          <w:lang w:val="fr-FR"/>
        </w:rPr>
        <w:tab/>
        <w:t xml:space="preserve">Réponse aux questions posées aux paragraphes 16 et 17 de la liste </w:t>
      </w:r>
    </w:p>
    <w:p w:rsidR="002A17AD" w:rsidRPr="00C91DB8" w:rsidRDefault="008E1AE6" w:rsidP="00C23320">
      <w:pPr>
        <w:pStyle w:val="SingleTxtG"/>
        <w:numPr>
          <w:ilvl w:val="0"/>
          <w:numId w:val="12"/>
        </w:numPr>
        <w:spacing w:line="240" w:lineRule="auto"/>
        <w:ind w:left="1134" w:firstLine="0"/>
        <w:rPr>
          <w:lang w:val="fr-FR"/>
        </w:rPr>
      </w:pPr>
      <w:r w:rsidRPr="00C91DB8">
        <w:rPr>
          <w:lang w:val="fr-FR"/>
        </w:rPr>
        <w:t>Les allégations selon lesquelles l’</w:t>
      </w:r>
      <w:r w:rsidR="002036DA" w:rsidRPr="00C91DB8">
        <w:rPr>
          <w:lang w:val="fr-FR"/>
        </w:rPr>
        <w:t>État</w:t>
      </w:r>
      <w:r w:rsidRPr="00C91DB8">
        <w:rPr>
          <w:lang w:val="fr-FR"/>
        </w:rPr>
        <w:t xml:space="preserve"> entrave l’exercice de la liberté d’expression sont</w:t>
      </w:r>
      <w:r w:rsidR="000C388A">
        <w:rPr>
          <w:lang w:val="fr-FR"/>
        </w:rPr>
        <w:t>,</w:t>
      </w:r>
      <w:r w:rsidRPr="00C91DB8">
        <w:rPr>
          <w:lang w:val="fr-FR"/>
        </w:rPr>
        <w:t xml:space="preserve"> comme beaucoup d’autres allégations mentionnées dans la liste</w:t>
      </w:r>
      <w:r w:rsidR="002036DA" w:rsidRPr="00C91DB8">
        <w:rPr>
          <w:lang w:val="fr-FR"/>
        </w:rPr>
        <w:t xml:space="preserve"> </w:t>
      </w:r>
      <w:r w:rsidRPr="00C91DB8">
        <w:rPr>
          <w:lang w:val="fr-FR"/>
        </w:rPr>
        <w:t>des points,</w:t>
      </w:r>
      <w:r w:rsidR="002036DA" w:rsidRPr="00C91DB8">
        <w:rPr>
          <w:lang w:val="fr-FR"/>
        </w:rPr>
        <w:t xml:space="preserve"> </w:t>
      </w:r>
      <w:r w:rsidRPr="00C91DB8">
        <w:rPr>
          <w:lang w:val="fr-FR"/>
        </w:rPr>
        <w:t>fausses et infondées.</w:t>
      </w:r>
    </w:p>
    <w:p w:rsidR="008E1AE6" w:rsidRPr="00C91DB8" w:rsidRDefault="008E1AE6" w:rsidP="00015270">
      <w:pPr>
        <w:pStyle w:val="SingleTxtG"/>
        <w:numPr>
          <w:ilvl w:val="0"/>
          <w:numId w:val="12"/>
        </w:numPr>
        <w:spacing w:line="240" w:lineRule="auto"/>
        <w:ind w:left="1134" w:firstLine="0"/>
        <w:rPr>
          <w:color w:val="000000"/>
          <w:lang w:val="fr-FR"/>
        </w:rPr>
      </w:pPr>
      <w:r w:rsidRPr="00C91DB8">
        <w:rPr>
          <w:color w:val="000000"/>
          <w:lang w:val="fr-FR"/>
        </w:rPr>
        <w:t xml:space="preserve">La liberté de presse garantie par la </w:t>
      </w:r>
      <w:r w:rsidR="00015270">
        <w:rPr>
          <w:color w:val="000000"/>
          <w:lang w:val="fr-FR"/>
        </w:rPr>
        <w:t>C</w:t>
      </w:r>
      <w:r w:rsidRPr="00C91DB8">
        <w:rPr>
          <w:color w:val="000000"/>
          <w:lang w:val="fr-FR"/>
        </w:rPr>
        <w:t>onstitution s</w:t>
      </w:r>
      <w:r w:rsidR="002036DA" w:rsidRPr="00C91DB8">
        <w:rPr>
          <w:color w:val="000000"/>
          <w:lang w:val="fr-FR"/>
        </w:rPr>
        <w:t>’</w:t>
      </w:r>
      <w:r w:rsidRPr="00C91DB8">
        <w:rPr>
          <w:color w:val="000000"/>
          <w:lang w:val="fr-FR"/>
        </w:rPr>
        <w:t xml:space="preserve">exerce dans le cadre des dispositions de la </w:t>
      </w:r>
      <w:r w:rsidR="000762B2" w:rsidRPr="00C91DB8">
        <w:rPr>
          <w:color w:val="000000"/>
          <w:lang w:val="fr-FR"/>
        </w:rPr>
        <w:t>l</w:t>
      </w:r>
      <w:r w:rsidRPr="00C91DB8">
        <w:rPr>
          <w:color w:val="000000"/>
          <w:lang w:val="fr-FR"/>
        </w:rPr>
        <w:t>oi n</w:t>
      </w:r>
      <w:r w:rsidR="000762B2" w:rsidRPr="00C91DB8">
        <w:rPr>
          <w:color w:val="000000"/>
          <w:vertAlign w:val="superscript"/>
          <w:lang w:val="fr-FR"/>
        </w:rPr>
        <w:t>o</w:t>
      </w:r>
      <w:r w:rsidR="000762B2" w:rsidRPr="00C91DB8">
        <w:rPr>
          <w:color w:val="000000"/>
          <w:lang w:val="fr-FR"/>
        </w:rPr>
        <w:t> </w:t>
      </w:r>
      <w:r w:rsidRPr="0045151C">
        <w:rPr>
          <w:color w:val="000000"/>
          <w:lang w:val="fr-FR"/>
        </w:rPr>
        <w:t>2/AN/92/2eL</w:t>
      </w:r>
      <w:r w:rsidRPr="00C91DB8">
        <w:rPr>
          <w:color w:val="000000"/>
          <w:lang w:val="fr-FR"/>
        </w:rPr>
        <w:t xml:space="preserve"> relative à la liberté de communication, celle-ci s</w:t>
      </w:r>
      <w:r w:rsidR="002036DA" w:rsidRPr="00C91DB8">
        <w:rPr>
          <w:color w:val="000000"/>
          <w:lang w:val="fr-FR"/>
        </w:rPr>
        <w:t>’</w:t>
      </w:r>
      <w:r w:rsidRPr="00C91DB8">
        <w:rPr>
          <w:color w:val="000000"/>
          <w:lang w:val="fr-FR"/>
        </w:rPr>
        <w:t>applique à toutes les formes et à tous les modes de communication sociale, notamment à l</w:t>
      </w:r>
      <w:r w:rsidR="002036DA" w:rsidRPr="00C91DB8">
        <w:rPr>
          <w:color w:val="000000"/>
          <w:lang w:val="fr-FR"/>
        </w:rPr>
        <w:t>’</w:t>
      </w:r>
      <w:r w:rsidRPr="00C91DB8">
        <w:rPr>
          <w:color w:val="000000"/>
          <w:lang w:val="fr-FR"/>
        </w:rPr>
        <w:t>imprimerie, à la librairie, aux organes de presse, aux entreprises éditrices, aux entreprises de distribution, à l</w:t>
      </w:r>
      <w:r w:rsidR="002036DA" w:rsidRPr="00C91DB8">
        <w:rPr>
          <w:color w:val="000000"/>
          <w:lang w:val="fr-FR"/>
        </w:rPr>
        <w:t>’</w:t>
      </w:r>
      <w:r w:rsidRPr="00C91DB8">
        <w:rPr>
          <w:color w:val="000000"/>
          <w:lang w:val="fr-FR"/>
        </w:rPr>
        <w:t>affichage et aux entreprises de communication audiovisuelle.</w:t>
      </w:r>
    </w:p>
    <w:p w:rsidR="008E1AE6" w:rsidRPr="00C91DB8" w:rsidRDefault="008E1AE6" w:rsidP="002254BB">
      <w:pPr>
        <w:pStyle w:val="SingleTxtG"/>
        <w:numPr>
          <w:ilvl w:val="0"/>
          <w:numId w:val="12"/>
        </w:numPr>
        <w:spacing w:line="240" w:lineRule="auto"/>
        <w:ind w:left="1134" w:firstLine="0"/>
        <w:rPr>
          <w:color w:val="000000"/>
          <w:lang w:val="fr-FR"/>
        </w:rPr>
      </w:pPr>
      <w:r w:rsidRPr="00C91DB8">
        <w:rPr>
          <w:color w:val="000000"/>
          <w:lang w:val="fr-FR"/>
        </w:rPr>
        <w:t>Le paysage média</w:t>
      </w:r>
      <w:r w:rsidRPr="00424463">
        <w:rPr>
          <w:color w:val="000000"/>
          <w:lang w:val="fr-FR"/>
        </w:rPr>
        <w:t xml:space="preserve">tique de </w:t>
      </w:r>
      <w:r w:rsidR="002254BB" w:rsidRPr="00424463">
        <w:rPr>
          <w:color w:val="000000"/>
          <w:lang w:val="fr-FR"/>
        </w:rPr>
        <w:t>D</w:t>
      </w:r>
      <w:r w:rsidRPr="00424463">
        <w:rPr>
          <w:color w:val="000000"/>
          <w:lang w:val="fr-FR"/>
        </w:rPr>
        <w:t>jibouti comprend des médias imprimés et électroniques et en parfait accord avec</w:t>
      </w:r>
      <w:r w:rsidRPr="00C91DB8">
        <w:rPr>
          <w:color w:val="000000"/>
          <w:lang w:val="fr-FR"/>
        </w:rPr>
        <w:t xml:space="preserve"> les orientations politiques du </w:t>
      </w:r>
      <w:r w:rsidR="004253CA">
        <w:rPr>
          <w:color w:val="000000"/>
          <w:lang w:val="fr-FR"/>
        </w:rPr>
        <w:t>G</w:t>
      </w:r>
      <w:r w:rsidRPr="00C91DB8">
        <w:rPr>
          <w:color w:val="000000"/>
          <w:lang w:val="fr-FR"/>
        </w:rPr>
        <w:t xml:space="preserve">ouvernement, le Ministère de la </w:t>
      </w:r>
      <w:r w:rsidR="00DD36A5" w:rsidRPr="00C91DB8">
        <w:rPr>
          <w:lang w:val="fr-FR"/>
        </w:rPr>
        <w:t>c</w:t>
      </w:r>
      <w:r w:rsidRPr="00C91DB8">
        <w:rPr>
          <w:lang w:val="fr-FR"/>
        </w:rPr>
        <w:t>ommunication</w:t>
      </w:r>
      <w:r w:rsidRPr="00C91DB8">
        <w:rPr>
          <w:color w:val="000000"/>
          <w:lang w:val="fr-FR"/>
        </w:rPr>
        <w:t xml:space="preserve">, chargé des </w:t>
      </w:r>
      <w:r w:rsidR="00DD36A5" w:rsidRPr="00C91DB8">
        <w:rPr>
          <w:color w:val="000000"/>
          <w:lang w:val="fr-FR"/>
        </w:rPr>
        <w:t>p</w:t>
      </w:r>
      <w:r w:rsidRPr="00C91DB8">
        <w:rPr>
          <w:color w:val="000000"/>
          <w:lang w:val="fr-FR"/>
        </w:rPr>
        <w:t xml:space="preserve">ostes et des </w:t>
      </w:r>
      <w:r w:rsidR="00DD36A5" w:rsidRPr="00C91DB8">
        <w:rPr>
          <w:color w:val="000000"/>
          <w:lang w:val="fr-FR"/>
        </w:rPr>
        <w:t>t</w:t>
      </w:r>
      <w:r w:rsidRPr="00C91DB8">
        <w:rPr>
          <w:color w:val="000000"/>
          <w:lang w:val="fr-FR"/>
        </w:rPr>
        <w:t>élécommunications a exécuté</w:t>
      </w:r>
      <w:r w:rsidR="002036DA" w:rsidRPr="00C91DB8">
        <w:rPr>
          <w:color w:val="000000"/>
          <w:lang w:val="fr-FR"/>
        </w:rPr>
        <w:t xml:space="preserve"> </w:t>
      </w:r>
      <w:r w:rsidRPr="00C91DB8">
        <w:rPr>
          <w:color w:val="000000"/>
          <w:lang w:val="fr-FR"/>
        </w:rPr>
        <w:t>au cours de ces dernières années de</w:t>
      </w:r>
      <w:r w:rsidR="002254BB">
        <w:rPr>
          <w:color w:val="000000"/>
          <w:lang w:val="fr-FR"/>
        </w:rPr>
        <w:t>s</w:t>
      </w:r>
      <w:r w:rsidRPr="00C91DB8">
        <w:rPr>
          <w:color w:val="000000"/>
          <w:lang w:val="fr-FR"/>
        </w:rPr>
        <w:t xml:space="preserve"> projets s’inscrivant dans ses prérogatives et touchant en particulier</w:t>
      </w:r>
      <w:r w:rsidR="002036DA" w:rsidRPr="00C91DB8">
        <w:rPr>
          <w:color w:val="000000"/>
          <w:lang w:val="fr-FR"/>
        </w:rPr>
        <w:t xml:space="preserve"> </w:t>
      </w:r>
      <w:r w:rsidRPr="00C91DB8">
        <w:rPr>
          <w:color w:val="000000"/>
          <w:lang w:val="fr-FR"/>
        </w:rPr>
        <w:t xml:space="preserve">le domaine de la </w:t>
      </w:r>
      <w:r w:rsidR="00DD36A5" w:rsidRPr="00C91DB8">
        <w:rPr>
          <w:color w:val="000000"/>
          <w:lang w:val="fr-FR"/>
        </w:rPr>
        <w:t>c</w:t>
      </w:r>
      <w:r w:rsidRPr="00C91DB8">
        <w:rPr>
          <w:color w:val="000000"/>
          <w:lang w:val="fr-FR"/>
        </w:rPr>
        <w:t>ommunication.</w:t>
      </w:r>
    </w:p>
    <w:p w:rsidR="002A17AD" w:rsidRPr="00C91DB8" w:rsidRDefault="008E1AE6" w:rsidP="002254BB">
      <w:pPr>
        <w:pStyle w:val="SingleTxtG"/>
        <w:numPr>
          <w:ilvl w:val="0"/>
          <w:numId w:val="12"/>
        </w:numPr>
        <w:spacing w:line="240" w:lineRule="auto"/>
        <w:ind w:left="1134" w:firstLine="0"/>
        <w:rPr>
          <w:color w:val="000000"/>
          <w:lang w:val="fr-FR"/>
        </w:rPr>
      </w:pPr>
      <w:r w:rsidRPr="00C91DB8">
        <w:rPr>
          <w:color w:val="000000"/>
          <w:lang w:val="fr-FR"/>
        </w:rPr>
        <w:t xml:space="preserve">D’importantes transformations et avancées ont ainsi été enregistrées dans le secteur de la communication </w:t>
      </w:r>
      <w:r w:rsidR="002254BB">
        <w:rPr>
          <w:color w:val="000000"/>
          <w:lang w:val="fr-FR"/>
        </w:rPr>
        <w:t xml:space="preserve">comme le </w:t>
      </w:r>
      <w:r w:rsidRPr="00C91DB8">
        <w:rPr>
          <w:color w:val="000000"/>
          <w:lang w:val="fr-FR"/>
        </w:rPr>
        <w:t>nouveau statut des journalistes de la presse écrite et de l’audiovisuel</w:t>
      </w:r>
      <w:r w:rsidR="002254BB">
        <w:rPr>
          <w:color w:val="000000"/>
          <w:lang w:val="fr-FR"/>
        </w:rPr>
        <w:t>. L</w:t>
      </w:r>
      <w:r w:rsidRPr="00C91DB8">
        <w:rPr>
          <w:color w:val="000000"/>
          <w:lang w:val="fr-FR"/>
        </w:rPr>
        <w:t xml:space="preserve">a </w:t>
      </w:r>
      <w:r w:rsidR="000762B2" w:rsidRPr="00C91DB8">
        <w:rPr>
          <w:color w:val="000000"/>
          <w:lang w:val="fr-FR"/>
        </w:rPr>
        <w:t>l</w:t>
      </w:r>
      <w:r w:rsidRPr="00C91DB8">
        <w:rPr>
          <w:color w:val="000000"/>
          <w:lang w:val="fr-FR"/>
        </w:rPr>
        <w:t xml:space="preserve">oi </w:t>
      </w:r>
      <w:r w:rsidR="000762B2" w:rsidRPr="00424463">
        <w:rPr>
          <w:color w:val="000000"/>
          <w:lang w:val="fr-FR"/>
        </w:rPr>
        <w:t>n</w:t>
      </w:r>
      <w:r w:rsidR="000762B2" w:rsidRPr="00424463">
        <w:rPr>
          <w:color w:val="000000"/>
          <w:vertAlign w:val="superscript"/>
          <w:lang w:val="fr-FR"/>
        </w:rPr>
        <w:t>o</w:t>
      </w:r>
      <w:r w:rsidR="000762B2" w:rsidRPr="00424463">
        <w:rPr>
          <w:color w:val="000000"/>
          <w:lang w:val="fr-FR"/>
        </w:rPr>
        <w:t> </w:t>
      </w:r>
      <w:r w:rsidRPr="00424463">
        <w:rPr>
          <w:color w:val="000000"/>
          <w:lang w:val="fr-FR"/>
        </w:rPr>
        <w:t>187/AN/o7/5, po</w:t>
      </w:r>
      <w:r w:rsidRPr="00C91DB8">
        <w:rPr>
          <w:color w:val="000000"/>
          <w:lang w:val="fr-FR"/>
        </w:rPr>
        <w:t xml:space="preserve">rtant statut du </w:t>
      </w:r>
      <w:r w:rsidR="002254BB">
        <w:rPr>
          <w:color w:val="000000"/>
          <w:lang w:val="fr-FR"/>
        </w:rPr>
        <w:t>p</w:t>
      </w:r>
      <w:r w:rsidRPr="00C91DB8">
        <w:rPr>
          <w:color w:val="000000"/>
          <w:lang w:val="fr-FR"/>
        </w:rPr>
        <w:t xml:space="preserve">ersonnel de la </w:t>
      </w:r>
      <w:r w:rsidR="002254BB">
        <w:rPr>
          <w:color w:val="000000"/>
          <w:lang w:val="fr-FR"/>
        </w:rPr>
        <w:t>p</w:t>
      </w:r>
      <w:r w:rsidRPr="00C91DB8">
        <w:rPr>
          <w:color w:val="000000"/>
          <w:lang w:val="fr-FR"/>
        </w:rPr>
        <w:t>resse et de l’</w:t>
      </w:r>
      <w:r w:rsidR="002254BB">
        <w:rPr>
          <w:color w:val="000000"/>
          <w:lang w:val="fr-FR"/>
        </w:rPr>
        <w:t>a</w:t>
      </w:r>
      <w:r w:rsidRPr="00C91DB8">
        <w:rPr>
          <w:color w:val="000000"/>
          <w:lang w:val="fr-FR"/>
        </w:rPr>
        <w:t>udiovisuel (</w:t>
      </w:r>
      <w:r w:rsidR="002036DA" w:rsidRPr="00C91DB8">
        <w:rPr>
          <w:color w:val="000000"/>
          <w:lang w:val="fr-FR"/>
        </w:rPr>
        <w:t>m</w:t>
      </w:r>
      <w:r w:rsidRPr="00C91DB8">
        <w:rPr>
          <w:color w:val="000000"/>
          <w:lang w:val="fr-FR"/>
        </w:rPr>
        <w:t>ars 2007)</w:t>
      </w:r>
      <w:r w:rsidR="002254BB">
        <w:rPr>
          <w:color w:val="000000"/>
          <w:lang w:val="fr-FR"/>
        </w:rPr>
        <w:t>,</w:t>
      </w:r>
      <w:r w:rsidRPr="00C91DB8">
        <w:rPr>
          <w:color w:val="000000"/>
          <w:lang w:val="fr-FR"/>
        </w:rPr>
        <w:t xml:space="preserve"> a été promulgué par le chef de l’</w:t>
      </w:r>
      <w:r w:rsidR="002036DA" w:rsidRPr="00C91DB8">
        <w:rPr>
          <w:color w:val="000000"/>
          <w:lang w:val="fr-FR"/>
        </w:rPr>
        <w:t>État</w:t>
      </w:r>
      <w:r w:rsidRPr="00C91DB8">
        <w:rPr>
          <w:color w:val="000000"/>
          <w:lang w:val="fr-FR"/>
        </w:rPr>
        <w:t xml:space="preserve"> en mai 2007. </w:t>
      </w:r>
    </w:p>
    <w:p w:rsidR="008E1AE6" w:rsidRPr="00C91DB8" w:rsidRDefault="008E1AE6" w:rsidP="00BF1D47">
      <w:pPr>
        <w:pStyle w:val="SingleTxtG"/>
        <w:numPr>
          <w:ilvl w:val="0"/>
          <w:numId w:val="12"/>
        </w:numPr>
        <w:spacing w:line="240" w:lineRule="auto"/>
        <w:ind w:left="1134" w:firstLine="0"/>
        <w:rPr>
          <w:color w:val="000000"/>
          <w:lang w:val="fr-FR"/>
        </w:rPr>
      </w:pPr>
      <w:r w:rsidRPr="00C91DB8">
        <w:rPr>
          <w:color w:val="000000"/>
          <w:lang w:val="fr-FR"/>
        </w:rPr>
        <w:t xml:space="preserve">Le paysage médiatique </w:t>
      </w:r>
      <w:r w:rsidR="00BF1D47">
        <w:rPr>
          <w:color w:val="000000"/>
          <w:lang w:val="fr-FR"/>
        </w:rPr>
        <w:t>d</w:t>
      </w:r>
      <w:r w:rsidRPr="00C91DB8">
        <w:rPr>
          <w:color w:val="000000"/>
          <w:lang w:val="fr-FR"/>
        </w:rPr>
        <w:t>jiboutien</w:t>
      </w:r>
      <w:r w:rsidR="002036DA" w:rsidRPr="00C91DB8">
        <w:rPr>
          <w:color w:val="000000"/>
          <w:lang w:val="fr-FR"/>
        </w:rPr>
        <w:t xml:space="preserve"> </w:t>
      </w:r>
      <w:r w:rsidRPr="00C91DB8">
        <w:rPr>
          <w:color w:val="000000"/>
          <w:lang w:val="fr-FR"/>
        </w:rPr>
        <w:t>a connu des changements spectaculaires au cours de la dernière décennie</w:t>
      </w:r>
      <w:r w:rsidR="00BF1D47">
        <w:rPr>
          <w:color w:val="000000"/>
          <w:lang w:val="fr-FR"/>
        </w:rPr>
        <w:t xml:space="preserve">. Il </w:t>
      </w:r>
      <w:r w:rsidRPr="00C91DB8">
        <w:rPr>
          <w:color w:val="000000"/>
          <w:lang w:val="fr-FR"/>
        </w:rPr>
        <w:t>s</w:t>
      </w:r>
      <w:r w:rsidR="002036DA" w:rsidRPr="00C91DB8">
        <w:rPr>
          <w:color w:val="000000"/>
          <w:lang w:val="fr-FR"/>
        </w:rPr>
        <w:t>’</w:t>
      </w:r>
      <w:r w:rsidRPr="00C91DB8">
        <w:rPr>
          <w:color w:val="000000"/>
          <w:lang w:val="fr-FR"/>
        </w:rPr>
        <w:t>est diversifié et densifié avec une dizaine de parutions dans la presse écrite</w:t>
      </w:r>
      <w:r w:rsidR="002036DA" w:rsidRPr="00C91DB8">
        <w:rPr>
          <w:color w:val="000000"/>
          <w:lang w:val="fr-FR"/>
        </w:rPr>
        <w:t xml:space="preserve"> </w:t>
      </w:r>
      <w:r w:rsidRPr="00C91DB8">
        <w:rPr>
          <w:color w:val="000000"/>
          <w:lang w:val="fr-FR"/>
        </w:rPr>
        <w:t>en dehors de la presse d</w:t>
      </w:r>
      <w:r w:rsidR="002036DA" w:rsidRPr="00C91DB8">
        <w:rPr>
          <w:color w:val="000000"/>
          <w:lang w:val="fr-FR"/>
        </w:rPr>
        <w:t>’État</w:t>
      </w:r>
      <w:r w:rsidRPr="00C91DB8">
        <w:rPr>
          <w:color w:val="000000"/>
          <w:lang w:val="fr-FR"/>
        </w:rPr>
        <w:t xml:space="preserve">. </w:t>
      </w:r>
    </w:p>
    <w:p w:rsidR="002A17AD" w:rsidRPr="00C91DB8" w:rsidRDefault="008E1AE6" w:rsidP="00C23320">
      <w:pPr>
        <w:pStyle w:val="SingleTxtG"/>
        <w:numPr>
          <w:ilvl w:val="0"/>
          <w:numId w:val="12"/>
        </w:numPr>
        <w:spacing w:line="240" w:lineRule="auto"/>
        <w:ind w:left="1134" w:firstLine="0"/>
        <w:rPr>
          <w:color w:val="000000"/>
          <w:lang w:val="fr-FR"/>
        </w:rPr>
      </w:pPr>
      <w:r w:rsidRPr="00C91DB8">
        <w:rPr>
          <w:color w:val="000000"/>
          <w:lang w:val="fr-FR"/>
        </w:rPr>
        <w:t>La radio et la télévision s</w:t>
      </w:r>
      <w:r w:rsidR="002036DA" w:rsidRPr="00C91DB8">
        <w:rPr>
          <w:color w:val="000000"/>
          <w:lang w:val="fr-FR"/>
        </w:rPr>
        <w:t>’</w:t>
      </w:r>
      <w:r w:rsidRPr="00C91DB8">
        <w:rPr>
          <w:color w:val="000000"/>
          <w:lang w:val="fr-FR"/>
        </w:rPr>
        <w:t xml:space="preserve">améliorent et deviennent progressivement des outils puissants </w:t>
      </w:r>
      <w:r w:rsidRPr="00C91DB8">
        <w:rPr>
          <w:lang w:val="fr-FR"/>
        </w:rPr>
        <w:t>d</w:t>
      </w:r>
      <w:r w:rsidR="002036DA" w:rsidRPr="00C91DB8">
        <w:rPr>
          <w:lang w:val="fr-FR"/>
        </w:rPr>
        <w:t>’</w:t>
      </w:r>
      <w:r w:rsidRPr="00C91DB8">
        <w:rPr>
          <w:lang w:val="fr-FR"/>
        </w:rPr>
        <w:t>éducation</w:t>
      </w:r>
      <w:r w:rsidRPr="00C91DB8">
        <w:rPr>
          <w:color w:val="000000"/>
          <w:lang w:val="fr-FR"/>
        </w:rPr>
        <w:t xml:space="preserve"> et d</w:t>
      </w:r>
      <w:r w:rsidR="002036DA" w:rsidRPr="00C91DB8">
        <w:rPr>
          <w:color w:val="000000"/>
          <w:lang w:val="fr-FR"/>
        </w:rPr>
        <w:t>’</w:t>
      </w:r>
      <w:r w:rsidRPr="00C91DB8">
        <w:rPr>
          <w:color w:val="000000"/>
          <w:lang w:val="fr-FR"/>
        </w:rPr>
        <w:t>information publique. Malgré ces progrès, le développement des médias à Djibouti est freiné par de sérieux obstacles, notamment un manque de ressources humaines, financières et matérielles.</w:t>
      </w:r>
    </w:p>
    <w:p w:rsidR="008E1AE6" w:rsidRPr="00C91DB8" w:rsidRDefault="008E1AE6" w:rsidP="00C23320">
      <w:pPr>
        <w:pStyle w:val="SingleTxtG"/>
        <w:numPr>
          <w:ilvl w:val="0"/>
          <w:numId w:val="12"/>
        </w:numPr>
        <w:spacing w:line="240" w:lineRule="auto"/>
        <w:ind w:left="1134" w:firstLine="0"/>
        <w:rPr>
          <w:color w:val="000000"/>
          <w:lang w:val="fr-FR"/>
        </w:rPr>
      </w:pPr>
      <w:r w:rsidRPr="00C91DB8">
        <w:rPr>
          <w:color w:val="000000"/>
          <w:lang w:val="fr-FR"/>
        </w:rPr>
        <w:t>Aujourd’hui, prenant conscience d</w:t>
      </w:r>
      <w:r w:rsidRPr="00424463">
        <w:rPr>
          <w:color w:val="000000"/>
          <w:lang w:val="fr-FR"/>
        </w:rPr>
        <w:t>e l’ouverture déjà existante de la liberté d</w:t>
      </w:r>
      <w:r w:rsidRPr="00C91DB8">
        <w:rPr>
          <w:color w:val="000000"/>
          <w:lang w:val="fr-FR"/>
        </w:rPr>
        <w:t xml:space="preserve">e la presse, une opinion </w:t>
      </w:r>
      <w:r w:rsidRPr="00C91DB8">
        <w:rPr>
          <w:lang w:val="fr-FR"/>
        </w:rPr>
        <w:t>publique</w:t>
      </w:r>
      <w:r w:rsidRPr="00C91DB8">
        <w:rPr>
          <w:color w:val="000000"/>
          <w:lang w:val="fr-FR"/>
        </w:rPr>
        <w:t xml:space="preserve"> nationale est en train de se former dans le pays.</w:t>
      </w:r>
    </w:p>
    <w:p w:rsidR="002A17AD" w:rsidRPr="00C91DB8" w:rsidRDefault="008E1AE6" w:rsidP="00BF1D47">
      <w:pPr>
        <w:pStyle w:val="SingleTxtG"/>
        <w:numPr>
          <w:ilvl w:val="0"/>
          <w:numId w:val="12"/>
        </w:numPr>
        <w:spacing w:line="240" w:lineRule="auto"/>
        <w:ind w:left="1134" w:firstLine="0"/>
        <w:rPr>
          <w:color w:val="000000"/>
          <w:lang w:val="fr-FR"/>
        </w:rPr>
      </w:pPr>
      <w:r w:rsidRPr="00C91DB8">
        <w:rPr>
          <w:color w:val="000000"/>
          <w:lang w:val="fr-FR"/>
        </w:rPr>
        <w:t xml:space="preserve">Les médias privés </w:t>
      </w:r>
      <w:r w:rsidR="00BF1D47">
        <w:rPr>
          <w:color w:val="000000"/>
          <w:lang w:val="fr-FR"/>
        </w:rPr>
        <w:t>d</w:t>
      </w:r>
      <w:r w:rsidRPr="00C91DB8">
        <w:rPr>
          <w:color w:val="000000"/>
          <w:lang w:val="fr-FR"/>
        </w:rPr>
        <w:t xml:space="preserve">jiboutiens, et en particulier la presse de l’opposition, se sont orientés vers un </w:t>
      </w:r>
      <w:r w:rsidRPr="00C91DB8">
        <w:rPr>
          <w:lang w:val="fr-FR"/>
        </w:rPr>
        <w:t>traitement</w:t>
      </w:r>
      <w:r w:rsidRPr="00C91DB8">
        <w:rPr>
          <w:color w:val="000000"/>
          <w:lang w:val="fr-FR"/>
        </w:rPr>
        <w:t xml:space="preserve"> de plus en plus partisan de l’information. Et pour le public, les élites en particulier, la pratique se développe aujourd’hui de consulter d’abord le journal de son bord politique, pour ensuite tempérer son contenu par l’écoute du journal sur la chaîne de télévision d’État, réputée crédible.</w:t>
      </w:r>
    </w:p>
    <w:p w:rsidR="002A17AD" w:rsidRPr="00C91DB8" w:rsidRDefault="008E1AE6" w:rsidP="00F83B23">
      <w:pPr>
        <w:pStyle w:val="SingleTxtG"/>
        <w:numPr>
          <w:ilvl w:val="0"/>
          <w:numId w:val="12"/>
        </w:numPr>
        <w:spacing w:line="240" w:lineRule="auto"/>
        <w:ind w:left="1134" w:firstLine="0"/>
        <w:rPr>
          <w:color w:val="000000"/>
          <w:lang w:val="fr-FR"/>
        </w:rPr>
      </w:pPr>
      <w:r w:rsidRPr="00C91DB8">
        <w:rPr>
          <w:color w:val="000000"/>
          <w:lang w:val="fr-FR"/>
        </w:rPr>
        <w:t>L’</w:t>
      </w:r>
      <w:r w:rsidR="002036DA" w:rsidRPr="00C91DB8">
        <w:rPr>
          <w:color w:val="000000"/>
          <w:lang w:val="fr-FR"/>
        </w:rPr>
        <w:t>État</w:t>
      </w:r>
      <w:r w:rsidRPr="00C91DB8">
        <w:rPr>
          <w:color w:val="000000"/>
          <w:lang w:val="fr-FR"/>
        </w:rPr>
        <w:t xml:space="preserve"> s’emploie également à mieux ancrer l’état de droit en chargeant l’autorité chargée de la</w:t>
      </w:r>
      <w:r w:rsidR="002036DA" w:rsidRPr="00C91DB8">
        <w:rPr>
          <w:color w:val="000000"/>
          <w:lang w:val="fr-FR"/>
        </w:rPr>
        <w:t xml:space="preserve"> </w:t>
      </w:r>
      <w:r w:rsidR="00F83B23">
        <w:rPr>
          <w:lang w:val="fr-FR"/>
        </w:rPr>
        <w:t>c</w:t>
      </w:r>
      <w:r w:rsidRPr="00C91DB8">
        <w:rPr>
          <w:lang w:val="fr-FR"/>
        </w:rPr>
        <w:t>ommunication</w:t>
      </w:r>
      <w:r w:rsidR="00F83B23">
        <w:rPr>
          <w:lang w:val="fr-FR"/>
        </w:rPr>
        <w:t xml:space="preserve"> d’</w:t>
      </w:r>
      <w:r w:rsidRPr="00C91DB8">
        <w:rPr>
          <w:color w:val="000000"/>
          <w:lang w:val="fr-FR"/>
        </w:rPr>
        <w:t>entam</w:t>
      </w:r>
      <w:r w:rsidR="00F83B23">
        <w:rPr>
          <w:color w:val="000000"/>
          <w:lang w:val="fr-FR"/>
        </w:rPr>
        <w:t>er</w:t>
      </w:r>
      <w:r w:rsidRPr="00C91DB8">
        <w:rPr>
          <w:color w:val="000000"/>
          <w:lang w:val="fr-FR"/>
        </w:rPr>
        <w:t xml:space="preserve"> des programmes de formation et d’information sur les libertés d’expression et </w:t>
      </w:r>
      <w:r w:rsidR="00F83B23">
        <w:rPr>
          <w:color w:val="000000"/>
          <w:lang w:val="fr-FR"/>
        </w:rPr>
        <w:t xml:space="preserve">de </w:t>
      </w:r>
      <w:r w:rsidRPr="00C91DB8">
        <w:rPr>
          <w:color w:val="000000"/>
          <w:lang w:val="fr-FR"/>
        </w:rPr>
        <w:t xml:space="preserve">communication tout en sollicitant l’appui du système des Nations Unies. </w:t>
      </w:r>
    </w:p>
    <w:p w:rsidR="002A17AD" w:rsidRPr="00C91DB8" w:rsidRDefault="00046B98" w:rsidP="00046B98">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18 de la liste </w:t>
      </w:r>
    </w:p>
    <w:p w:rsidR="008E1AE6" w:rsidRPr="00C91DB8" w:rsidRDefault="008E1AE6" w:rsidP="00961113">
      <w:pPr>
        <w:pStyle w:val="SingleTxtG"/>
        <w:numPr>
          <w:ilvl w:val="0"/>
          <w:numId w:val="12"/>
        </w:numPr>
        <w:spacing w:line="240" w:lineRule="auto"/>
        <w:ind w:left="1134" w:firstLine="0"/>
        <w:rPr>
          <w:lang w:val="fr-FR"/>
        </w:rPr>
      </w:pPr>
      <w:r w:rsidRPr="00C91DB8">
        <w:rPr>
          <w:lang w:val="fr-FR"/>
        </w:rPr>
        <w:t xml:space="preserve">Le droit syndical est garanti par la </w:t>
      </w:r>
      <w:r w:rsidR="00015270">
        <w:rPr>
          <w:lang w:val="fr-FR"/>
        </w:rPr>
        <w:t>C</w:t>
      </w:r>
      <w:r w:rsidRPr="00C91DB8">
        <w:rPr>
          <w:lang w:val="fr-FR"/>
        </w:rPr>
        <w:t>onstitution et les autres textes pertinents sur</w:t>
      </w:r>
      <w:r w:rsidR="002036DA" w:rsidRPr="00C91DB8">
        <w:rPr>
          <w:lang w:val="fr-FR"/>
        </w:rPr>
        <w:t xml:space="preserve"> </w:t>
      </w:r>
      <w:r w:rsidRPr="00C91DB8">
        <w:rPr>
          <w:lang w:val="fr-FR"/>
        </w:rPr>
        <w:t xml:space="preserve">la législation du travail. La procédure de </w:t>
      </w:r>
      <w:r w:rsidR="00015270">
        <w:rPr>
          <w:lang w:val="fr-FR"/>
        </w:rPr>
        <w:t>C</w:t>
      </w:r>
      <w:r w:rsidRPr="00C91DB8">
        <w:rPr>
          <w:lang w:val="fr-FR"/>
        </w:rPr>
        <w:t>onstitution d’un syndicat</w:t>
      </w:r>
      <w:r w:rsidR="002036DA" w:rsidRPr="00C91DB8">
        <w:rPr>
          <w:lang w:val="fr-FR"/>
        </w:rPr>
        <w:t xml:space="preserve"> </w:t>
      </w:r>
      <w:r w:rsidRPr="00C91DB8">
        <w:rPr>
          <w:lang w:val="fr-FR"/>
        </w:rPr>
        <w:t>est assez simple, ce qui a favorisé la création de très nombreux syndicats qui à leur tour se sont</w:t>
      </w:r>
      <w:r w:rsidR="002036DA" w:rsidRPr="00C91DB8">
        <w:rPr>
          <w:lang w:val="fr-FR"/>
        </w:rPr>
        <w:t xml:space="preserve"> </w:t>
      </w:r>
      <w:r w:rsidRPr="00C91DB8">
        <w:rPr>
          <w:lang w:val="fr-FR"/>
        </w:rPr>
        <w:t xml:space="preserve">regroupés sous la forme de fédération. Il existe actuellement deux grandes fédérations, l’Union </w:t>
      </w:r>
      <w:r w:rsidR="00961113">
        <w:rPr>
          <w:lang w:val="fr-FR"/>
        </w:rPr>
        <w:t>g</w:t>
      </w:r>
      <w:r w:rsidRPr="00C91DB8">
        <w:rPr>
          <w:lang w:val="fr-FR"/>
        </w:rPr>
        <w:t xml:space="preserve">énérale des </w:t>
      </w:r>
      <w:r w:rsidR="00961113">
        <w:rPr>
          <w:lang w:val="fr-FR"/>
        </w:rPr>
        <w:t>t</w:t>
      </w:r>
      <w:r w:rsidRPr="00C91DB8">
        <w:rPr>
          <w:lang w:val="fr-FR"/>
        </w:rPr>
        <w:t xml:space="preserve">ravailleurs </w:t>
      </w:r>
      <w:r w:rsidR="00961113">
        <w:rPr>
          <w:lang w:val="fr-FR"/>
        </w:rPr>
        <w:t>d</w:t>
      </w:r>
      <w:r w:rsidRPr="00C91DB8">
        <w:rPr>
          <w:lang w:val="fr-FR"/>
        </w:rPr>
        <w:t>jiboutiens</w:t>
      </w:r>
      <w:r w:rsidR="00961113">
        <w:rPr>
          <w:lang w:val="fr-FR"/>
        </w:rPr>
        <w:t xml:space="preserve"> (</w:t>
      </w:r>
      <w:r w:rsidR="00961113" w:rsidRPr="00C91DB8">
        <w:rPr>
          <w:lang w:val="fr-FR"/>
        </w:rPr>
        <w:t>UGTD</w:t>
      </w:r>
      <w:r w:rsidRPr="00C91DB8">
        <w:rPr>
          <w:lang w:val="fr-FR"/>
        </w:rPr>
        <w:t xml:space="preserve">) et l’Union des </w:t>
      </w:r>
      <w:r w:rsidR="00961113">
        <w:rPr>
          <w:lang w:val="fr-FR"/>
        </w:rPr>
        <w:t>t</w:t>
      </w:r>
      <w:r w:rsidRPr="00C91DB8">
        <w:rPr>
          <w:lang w:val="fr-FR"/>
        </w:rPr>
        <w:t xml:space="preserve">ravailleurs </w:t>
      </w:r>
      <w:r w:rsidR="00961113">
        <w:rPr>
          <w:lang w:val="fr-FR"/>
        </w:rPr>
        <w:t>d</w:t>
      </w:r>
      <w:r w:rsidRPr="00C91DB8">
        <w:rPr>
          <w:lang w:val="fr-FR"/>
        </w:rPr>
        <w:t>jiboutiens</w:t>
      </w:r>
      <w:r w:rsidR="00961113">
        <w:rPr>
          <w:lang w:val="fr-FR"/>
        </w:rPr>
        <w:t xml:space="preserve"> (</w:t>
      </w:r>
      <w:r w:rsidR="00961113" w:rsidRPr="00C91DB8">
        <w:rPr>
          <w:lang w:val="fr-FR"/>
        </w:rPr>
        <w:t>UTD</w:t>
      </w:r>
      <w:r w:rsidRPr="00C91DB8">
        <w:rPr>
          <w:lang w:val="fr-FR"/>
        </w:rPr>
        <w:t>). Cette dernière fortement politisée connaît de sérieuses difficultés notamment une baisse significative des adhérents, qui ne sont toujours pas d’accord avec les comportements des dirigeants</w:t>
      </w:r>
      <w:r w:rsidR="002036DA" w:rsidRPr="00C91DB8">
        <w:rPr>
          <w:lang w:val="fr-FR"/>
        </w:rPr>
        <w:t xml:space="preserve"> </w:t>
      </w:r>
      <w:r w:rsidRPr="00C91DB8">
        <w:rPr>
          <w:lang w:val="fr-FR"/>
        </w:rPr>
        <w:t>et la ligne suivie.</w:t>
      </w:r>
    </w:p>
    <w:p w:rsidR="002A17AD" w:rsidRPr="00C91DB8" w:rsidRDefault="008E1AE6" w:rsidP="00C23320">
      <w:pPr>
        <w:pStyle w:val="SingleTxtG"/>
        <w:numPr>
          <w:ilvl w:val="0"/>
          <w:numId w:val="12"/>
        </w:numPr>
        <w:spacing w:line="240" w:lineRule="auto"/>
        <w:ind w:left="1134" w:firstLine="0"/>
        <w:rPr>
          <w:lang w:val="fr-FR"/>
        </w:rPr>
      </w:pPr>
      <w:r w:rsidRPr="00C91DB8">
        <w:rPr>
          <w:lang w:val="fr-FR"/>
        </w:rPr>
        <w:t>Les syndicalistes bénéficient d’une protection accrue, ils ne peuvent être</w:t>
      </w:r>
      <w:r w:rsidR="002036DA" w:rsidRPr="00C91DB8">
        <w:rPr>
          <w:lang w:val="fr-FR"/>
        </w:rPr>
        <w:t xml:space="preserve"> </w:t>
      </w:r>
      <w:r w:rsidRPr="00C91DB8">
        <w:rPr>
          <w:lang w:val="fr-FR"/>
        </w:rPr>
        <w:t>licenciés que pour faute lourde, d’ailleurs leurs licenciements ne peuvent s’effectuer qu’avec l’autorisation de l’inspecteur du travail.</w:t>
      </w:r>
    </w:p>
    <w:p w:rsidR="002A17AD" w:rsidRPr="00C91DB8" w:rsidRDefault="008E1AE6" w:rsidP="00961113">
      <w:pPr>
        <w:pStyle w:val="SingleTxtG"/>
        <w:numPr>
          <w:ilvl w:val="0"/>
          <w:numId w:val="12"/>
        </w:numPr>
        <w:spacing w:line="240" w:lineRule="auto"/>
        <w:ind w:left="1134" w:firstLine="0"/>
        <w:rPr>
          <w:lang w:val="fr-FR"/>
        </w:rPr>
      </w:pPr>
      <w:r w:rsidRPr="00C91DB8">
        <w:rPr>
          <w:lang w:val="fr-FR"/>
        </w:rPr>
        <w:t>Pour ce qui est de la recommandation formulée lors du 1</w:t>
      </w:r>
      <w:r w:rsidRPr="00961113">
        <w:rPr>
          <w:vertAlign w:val="superscript"/>
          <w:lang w:val="fr-FR"/>
        </w:rPr>
        <w:t>er</w:t>
      </w:r>
      <w:r w:rsidRPr="00C91DB8">
        <w:rPr>
          <w:lang w:val="fr-FR"/>
        </w:rPr>
        <w:t xml:space="preserve"> cycle de l’EPU, l’</w:t>
      </w:r>
      <w:r w:rsidR="002036DA" w:rsidRPr="00C91DB8">
        <w:rPr>
          <w:lang w:val="fr-FR"/>
        </w:rPr>
        <w:t>État</w:t>
      </w:r>
      <w:r w:rsidRPr="00C91DB8">
        <w:rPr>
          <w:lang w:val="fr-FR"/>
        </w:rPr>
        <w:t xml:space="preserve"> partie a rejeté cette recommandation qu’il </w:t>
      </w:r>
      <w:r w:rsidR="00961113">
        <w:rPr>
          <w:lang w:val="fr-FR"/>
        </w:rPr>
        <w:t xml:space="preserve">considère </w:t>
      </w:r>
      <w:r w:rsidRPr="00C91DB8">
        <w:rPr>
          <w:lang w:val="fr-FR"/>
        </w:rPr>
        <w:t>légiti</w:t>
      </w:r>
      <w:r w:rsidR="00961113">
        <w:rPr>
          <w:lang w:val="fr-FR"/>
        </w:rPr>
        <w:t>me</w:t>
      </w:r>
      <w:r w:rsidRPr="00C91DB8">
        <w:rPr>
          <w:lang w:val="fr-FR"/>
        </w:rPr>
        <w:t>ment comme une recommandation politisée ne tena</w:t>
      </w:r>
      <w:r w:rsidR="00961113">
        <w:rPr>
          <w:lang w:val="fr-FR"/>
        </w:rPr>
        <w:t>n</w:t>
      </w:r>
      <w:r w:rsidRPr="00C91DB8">
        <w:rPr>
          <w:lang w:val="fr-FR"/>
        </w:rPr>
        <w:t xml:space="preserve">t pas compte des efforts déployés par le </w:t>
      </w:r>
      <w:r w:rsidR="004253CA">
        <w:rPr>
          <w:lang w:val="fr-FR"/>
        </w:rPr>
        <w:t>G</w:t>
      </w:r>
      <w:r w:rsidRPr="00C91DB8">
        <w:rPr>
          <w:lang w:val="fr-FR"/>
        </w:rPr>
        <w:t>ouvernement pour faire revenir certains syndicalistes</w:t>
      </w:r>
      <w:r w:rsidR="002036DA" w:rsidRPr="00C91DB8">
        <w:rPr>
          <w:lang w:val="fr-FR"/>
        </w:rPr>
        <w:t xml:space="preserve"> </w:t>
      </w:r>
      <w:r w:rsidRPr="00C91DB8">
        <w:rPr>
          <w:lang w:val="fr-FR"/>
        </w:rPr>
        <w:t>à la table</w:t>
      </w:r>
      <w:r w:rsidR="002036DA" w:rsidRPr="00C91DB8">
        <w:rPr>
          <w:lang w:val="fr-FR"/>
        </w:rPr>
        <w:t xml:space="preserve"> </w:t>
      </w:r>
      <w:r w:rsidRPr="00C91DB8">
        <w:rPr>
          <w:lang w:val="fr-FR"/>
        </w:rPr>
        <w:t>de</w:t>
      </w:r>
      <w:r w:rsidR="00961113">
        <w:rPr>
          <w:lang w:val="fr-FR"/>
        </w:rPr>
        <w:t>s</w:t>
      </w:r>
      <w:r w:rsidRPr="00C91DB8">
        <w:rPr>
          <w:lang w:val="fr-FR"/>
        </w:rPr>
        <w:t xml:space="preserve"> négociation</w:t>
      </w:r>
      <w:r w:rsidR="00961113">
        <w:rPr>
          <w:lang w:val="fr-FR"/>
        </w:rPr>
        <w:t>s</w:t>
      </w:r>
      <w:r w:rsidRPr="00C91DB8">
        <w:rPr>
          <w:lang w:val="fr-FR"/>
        </w:rPr>
        <w:t>.</w:t>
      </w:r>
    </w:p>
    <w:p w:rsidR="002A17AD" w:rsidRPr="00C91DB8" w:rsidRDefault="00961113" w:rsidP="00961113">
      <w:pPr>
        <w:pStyle w:val="SingleTxtG"/>
        <w:numPr>
          <w:ilvl w:val="0"/>
          <w:numId w:val="12"/>
        </w:numPr>
        <w:spacing w:line="240" w:lineRule="auto"/>
        <w:ind w:left="1134" w:firstLine="0"/>
        <w:rPr>
          <w:lang w:val="fr-FR"/>
        </w:rPr>
      </w:pPr>
      <w:r>
        <w:rPr>
          <w:lang w:val="fr-FR"/>
        </w:rPr>
        <w:t>C</w:t>
      </w:r>
      <w:r w:rsidR="008E1AE6" w:rsidRPr="00C91DB8">
        <w:rPr>
          <w:lang w:val="fr-FR"/>
        </w:rPr>
        <w:t xml:space="preserve">omme </w:t>
      </w:r>
      <w:r>
        <w:rPr>
          <w:lang w:val="fr-FR"/>
        </w:rPr>
        <w:t xml:space="preserve">l’a </w:t>
      </w:r>
      <w:r w:rsidR="008E1AE6" w:rsidRPr="00C91DB8">
        <w:rPr>
          <w:lang w:val="fr-FR"/>
        </w:rPr>
        <w:t>déjà expliqué notre</w:t>
      </w:r>
      <w:r w:rsidR="002036DA" w:rsidRPr="00C91DB8">
        <w:rPr>
          <w:lang w:val="fr-FR"/>
        </w:rPr>
        <w:t xml:space="preserve"> </w:t>
      </w:r>
      <w:r w:rsidR="008E1AE6" w:rsidRPr="00C91DB8">
        <w:rPr>
          <w:lang w:val="fr-FR"/>
        </w:rPr>
        <w:t xml:space="preserve">Ambassadeur à Genève, </w:t>
      </w:r>
      <w:r>
        <w:rPr>
          <w:lang w:val="fr-FR"/>
        </w:rPr>
        <w:t>S. E. </w:t>
      </w:r>
      <w:r w:rsidR="008E1AE6" w:rsidRPr="00C91DB8">
        <w:rPr>
          <w:lang w:val="fr-FR"/>
        </w:rPr>
        <w:t>M</w:t>
      </w:r>
      <w:r>
        <w:rPr>
          <w:lang w:val="fr-FR"/>
        </w:rPr>
        <w:t>. </w:t>
      </w:r>
      <w:r w:rsidR="008E1AE6" w:rsidRPr="00C91DB8">
        <w:rPr>
          <w:lang w:val="fr-FR"/>
        </w:rPr>
        <w:t>D</w:t>
      </w:r>
      <w:r>
        <w:rPr>
          <w:lang w:val="fr-FR"/>
        </w:rPr>
        <w:t>oualeh,</w:t>
      </w:r>
      <w:r w:rsidR="008E1AE6" w:rsidRPr="00C91DB8">
        <w:rPr>
          <w:lang w:val="fr-FR"/>
        </w:rPr>
        <w:t xml:space="preserve"> lors du dialogue avec le </w:t>
      </w:r>
      <w:r>
        <w:rPr>
          <w:lang w:val="fr-FR"/>
        </w:rPr>
        <w:t>C</w:t>
      </w:r>
      <w:r w:rsidR="008E1AE6" w:rsidRPr="00C91DB8">
        <w:rPr>
          <w:lang w:val="fr-FR"/>
        </w:rPr>
        <w:t>omité contre la torture</w:t>
      </w:r>
      <w:r>
        <w:rPr>
          <w:lang w:val="fr-FR"/>
        </w:rPr>
        <w:t xml:space="preserve"> </w:t>
      </w:r>
      <w:r w:rsidRPr="00C91DB8">
        <w:rPr>
          <w:lang w:val="fr-FR"/>
        </w:rPr>
        <w:t>en 2011</w:t>
      </w:r>
      <w:r w:rsidR="008E1AE6" w:rsidRPr="00C91DB8">
        <w:rPr>
          <w:lang w:val="fr-FR"/>
        </w:rPr>
        <w:t xml:space="preserve">, </w:t>
      </w:r>
      <w:r>
        <w:rPr>
          <w:lang w:val="fr-FR"/>
        </w:rPr>
        <w:t>l</w:t>
      </w:r>
      <w:r w:rsidRPr="00C91DB8">
        <w:rPr>
          <w:lang w:val="fr-FR"/>
        </w:rPr>
        <w:t xml:space="preserve">a recommandation </w:t>
      </w:r>
      <w:r w:rsidR="008E1AE6" w:rsidRPr="00C91DB8">
        <w:rPr>
          <w:lang w:val="fr-FR"/>
        </w:rPr>
        <w:t>ne tient</w:t>
      </w:r>
      <w:r w:rsidR="002036DA" w:rsidRPr="00C91DB8">
        <w:rPr>
          <w:lang w:val="fr-FR"/>
        </w:rPr>
        <w:t xml:space="preserve"> </w:t>
      </w:r>
      <w:r w:rsidR="008E1AE6" w:rsidRPr="00C91DB8">
        <w:rPr>
          <w:lang w:val="fr-FR"/>
        </w:rPr>
        <w:t>pas compte non plus de la visite en 2007 d’une délégation de</w:t>
      </w:r>
      <w:r w:rsidR="002036DA" w:rsidRPr="00C91DB8">
        <w:rPr>
          <w:lang w:val="fr-FR"/>
        </w:rPr>
        <w:t xml:space="preserve"> </w:t>
      </w:r>
      <w:r w:rsidR="008E1AE6" w:rsidRPr="00C91DB8">
        <w:rPr>
          <w:lang w:val="fr-FR"/>
        </w:rPr>
        <w:t>l’</w:t>
      </w:r>
      <w:r>
        <w:rPr>
          <w:lang w:val="fr-FR"/>
        </w:rPr>
        <w:t>Organisation internationale du Travail</w:t>
      </w:r>
      <w:r w:rsidR="008E1AE6" w:rsidRPr="00C91DB8">
        <w:rPr>
          <w:lang w:val="fr-FR"/>
        </w:rPr>
        <w:t xml:space="preserve">, qui s’est librement entretenu avec les partenaires sociaux. Le </w:t>
      </w:r>
      <w:r w:rsidR="004253CA">
        <w:rPr>
          <w:lang w:val="fr-FR"/>
        </w:rPr>
        <w:t>G</w:t>
      </w:r>
      <w:r w:rsidR="008E1AE6" w:rsidRPr="00C91DB8">
        <w:rPr>
          <w:lang w:val="fr-FR"/>
        </w:rPr>
        <w:t>ouvernement a accueilli et mis en œuvre</w:t>
      </w:r>
      <w:r w:rsidR="002036DA" w:rsidRPr="00C91DB8">
        <w:rPr>
          <w:lang w:val="fr-FR"/>
        </w:rPr>
        <w:t xml:space="preserve"> </w:t>
      </w:r>
      <w:r w:rsidR="008E1AE6" w:rsidRPr="00C91DB8">
        <w:rPr>
          <w:lang w:val="fr-FR"/>
        </w:rPr>
        <w:t>toutes les recommandations émises par les uns et les autres.</w:t>
      </w:r>
    </w:p>
    <w:p w:rsidR="002A17AD" w:rsidRPr="00C91DB8" w:rsidRDefault="00C23320" w:rsidP="00C23320">
      <w:pPr>
        <w:pStyle w:val="H1G"/>
        <w:rPr>
          <w:lang w:val="fr-FR"/>
        </w:rPr>
      </w:pPr>
      <w:r w:rsidRPr="00C91DB8">
        <w:rPr>
          <w:lang w:val="fr-FR"/>
        </w:rPr>
        <w:tab/>
      </w:r>
      <w:r w:rsidRPr="00C91DB8">
        <w:rPr>
          <w:lang w:val="fr-FR"/>
        </w:rPr>
        <w:tab/>
      </w:r>
      <w:r w:rsidR="008E1AE6" w:rsidRPr="00C91DB8">
        <w:rPr>
          <w:lang w:val="fr-FR"/>
        </w:rPr>
        <w:t>Droits de l’enfant (</w:t>
      </w:r>
      <w:r w:rsidR="002036DA" w:rsidRPr="00C91DB8">
        <w:rPr>
          <w:lang w:val="fr-FR"/>
        </w:rPr>
        <w:t>art. </w:t>
      </w:r>
      <w:r w:rsidR="008E1AE6" w:rsidRPr="00C91DB8">
        <w:rPr>
          <w:lang w:val="fr-FR"/>
        </w:rPr>
        <w:t>24)</w:t>
      </w:r>
    </w:p>
    <w:p w:rsidR="002A17AD" w:rsidRPr="00C91DB8" w:rsidRDefault="00FC5A4E" w:rsidP="00FC5A4E">
      <w:pPr>
        <w:pStyle w:val="H23G"/>
        <w:rPr>
          <w:lang w:val="fr-FR"/>
        </w:rPr>
      </w:pPr>
      <w:r w:rsidRPr="00C91DB8">
        <w:rPr>
          <w:rFonts w:eastAsia="Arial Unicode MS"/>
          <w:lang w:val="fr-FR"/>
        </w:rPr>
        <w:tab/>
      </w:r>
      <w:r w:rsidRPr="00C91DB8">
        <w:rPr>
          <w:rFonts w:eastAsia="Arial Unicode MS"/>
          <w:lang w:val="fr-FR"/>
        </w:rPr>
        <w:tab/>
      </w:r>
      <w:r w:rsidR="00046B98" w:rsidRPr="00C91DB8">
        <w:rPr>
          <w:rFonts w:eastAsia="Arial Unicode MS"/>
          <w:lang w:val="fr-FR"/>
        </w:rPr>
        <w:t xml:space="preserve">Réponse aux questions posées au paragraphe 19 de la liste </w:t>
      </w:r>
    </w:p>
    <w:p w:rsidR="002A17AD" w:rsidRPr="00C91DB8" w:rsidRDefault="008E1AE6" w:rsidP="00936AA2">
      <w:pPr>
        <w:pStyle w:val="SingleTxtG"/>
        <w:numPr>
          <w:ilvl w:val="0"/>
          <w:numId w:val="12"/>
        </w:numPr>
        <w:spacing w:line="240" w:lineRule="auto"/>
        <w:ind w:left="1134" w:firstLine="0"/>
        <w:rPr>
          <w:lang w:val="fr-FR"/>
        </w:rPr>
      </w:pPr>
      <w:r w:rsidRPr="00C91DB8">
        <w:rPr>
          <w:lang w:val="fr-FR"/>
        </w:rPr>
        <w:t>Il existe dans le pays</w:t>
      </w:r>
      <w:r w:rsidR="002036DA" w:rsidRPr="00C91DB8">
        <w:rPr>
          <w:lang w:val="fr-FR"/>
        </w:rPr>
        <w:t xml:space="preserve"> </w:t>
      </w:r>
      <w:r w:rsidRPr="00C91DB8">
        <w:rPr>
          <w:lang w:val="fr-FR"/>
        </w:rPr>
        <w:t>un système de justice pour mineurs assez protecteur</w:t>
      </w:r>
      <w:r w:rsidR="00936AA2">
        <w:rPr>
          <w:lang w:val="fr-FR"/>
        </w:rPr>
        <w:t>;</w:t>
      </w:r>
      <w:r w:rsidRPr="00C91DB8">
        <w:rPr>
          <w:lang w:val="fr-FR"/>
        </w:rPr>
        <w:t xml:space="preserve"> le </w:t>
      </w:r>
      <w:r w:rsidR="002036DA" w:rsidRPr="00C91DB8">
        <w:rPr>
          <w:lang w:val="fr-FR"/>
        </w:rPr>
        <w:t>C</w:t>
      </w:r>
      <w:r w:rsidRPr="00C91DB8">
        <w:rPr>
          <w:lang w:val="fr-FR"/>
        </w:rPr>
        <w:t>ode</w:t>
      </w:r>
      <w:r w:rsidR="00936AA2">
        <w:rPr>
          <w:lang w:val="fr-FR"/>
        </w:rPr>
        <w:t> </w:t>
      </w:r>
      <w:r w:rsidRPr="00C91DB8">
        <w:rPr>
          <w:lang w:val="fr-FR"/>
        </w:rPr>
        <w:t>pénal de 1995 organise les peines applicables aux mineurs en conflit avec la loi. Irresponsabilité</w:t>
      </w:r>
      <w:r w:rsidR="002036DA" w:rsidRPr="00C91DB8">
        <w:rPr>
          <w:lang w:val="fr-FR"/>
        </w:rPr>
        <w:t xml:space="preserve"> </w:t>
      </w:r>
      <w:r w:rsidRPr="00C91DB8">
        <w:rPr>
          <w:lang w:val="fr-FR"/>
        </w:rPr>
        <w:t>pénale en deçà de 13 ans et responsabilité atténuée de 13 à 18</w:t>
      </w:r>
      <w:r w:rsidR="002036DA" w:rsidRPr="00C91DB8">
        <w:rPr>
          <w:lang w:val="fr-FR"/>
        </w:rPr>
        <w:t> </w:t>
      </w:r>
      <w:r w:rsidRPr="00C91DB8">
        <w:rPr>
          <w:lang w:val="fr-FR"/>
        </w:rPr>
        <w:t>ans.</w:t>
      </w:r>
    </w:p>
    <w:p w:rsidR="008E1AE6" w:rsidRPr="00C91DB8" w:rsidRDefault="008E1AE6" w:rsidP="00252F76">
      <w:pPr>
        <w:pStyle w:val="SingleTxtG"/>
        <w:numPr>
          <w:ilvl w:val="0"/>
          <w:numId w:val="12"/>
        </w:numPr>
        <w:spacing w:line="240" w:lineRule="auto"/>
        <w:ind w:left="1134" w:firstLine="0"/>
        <w:rPr>
          <w:lang w:val="fr-FR"/>
        </w:rPr>
      </w:pPr>
      <w:r w:rsidRPr="00C91DB8">
        <w:rPr>
          <w:lang w:val="fr-FR"/>
        </w:rPr>
        <w:t xml:space="preserve">Afin de garantir pleinement cette protection et, dans le cadre </w:t>
      </w:r>
      <w:r w:rsidR="00252F76">
        <w:rPr>
          <w:lang w:val="fr-FR"/>
        </w:rPr>
        <w:t xml:space="preserve">de </w:t>
      </w:r>
      <w:r w:rsidRPr="00C91DB8">
        <w:rPr>
          <w:lang w:val="fr-FR"/>
        </w:rPr>
        <w:t xml:space="preserve">la mise en œuvre des recommandations formulées par le </w:t>
      </w:r>
      <w:r w:rsidR="00252F76">
        <w:rPr>
          <w:lang w:val="fr-FR"/>
        </w:rPr>
        <w:t>C</w:t>
      </w:r>
      <w:r w:rsidRPr="00C91DB8">
        <w:rPr>
          <w:lang w:val="fr-FR"/>
        </w:rPr>
        <w:t>omité des droits de l’enfant, l’</w:t>
      </w:r>
      <w:r w:rsidR="002036DA" w:rsidRPr="00C91DB8">
        <w:rPr>
          <w:lang w:val="fr-FR"/>
        </w:rPr>
        <w:t>État</w:t>
      </w:r>
      <w:r w:rsidRPr="00C91DB8">
        <w:rPr>
          <w:lang w:val="fr-FR"/>
        </w:rPr>
        <w:t xml:space="preserve"> partie a adopté en 2009 une loi portant création des juridictions </w:t>
      </w:r>
      <w:r w:rsidRPr="00424463">
        <w:rPr>
          <w:lang w:val="fr-FR"/>
        </w:rPr>
        <w:t>de mi</w:t>
      </w:r>
      <w:r w:rsidRPr="00C91DB8">
        <w:rPr>
          <w:lang w:val="fr-FR"/>
        </w:rPr>
        <w:t>neurs.</w:t>
      </w:r>
    </w:p>
    <w:p w:rsidR="002A17AD" w:rsidRPr="00C91DB8" w:rsidRDefault="008E1AE6" w:rsidP="00C23320">
      <w:pPr>
        <w:pStyle w:val="SingleTxtG"/>
        <w:numPr>
          <w:ilvl w:val="0"/>
          <w:numId w:val="12"/>
        </w:numPr>
        <w:spacing w:line="240" w:lineRule="auto"/>
        <w:ind w:left="1134" w:firstLine="0"/>
        <w:rPr>
          <w:lang w:val="fr-FR"/>
        </w:rPr>
      </w:pPr>
      <w:r w:rsidRPr="00C91DB8">
        <w:rPr>
          <w:lang w:val="fr-FR"/>
        </w:rPr>
        <w:t>Les magistrats de ces juridictions ainsi que des membres de la police et de la gendarmerie ont bénéficié de plusieurs formations aussi bien à l’intérieur qu’à l’extérieur du pays.</w:t>
      </w:r>
    </w:p>
    <w:p w:rsidR="002A17AD" w:rsidRPr="00C91DB8" w:rsidRDefault="008E1AE6" w:rsidP="00C23320">
      <w:pPr>
        <w:pStyle w:val="SingleTxtG"/>
        <w:numPr>
          <w:ilvl w:val="0"/>
          <w:numId w:val="12"/>
        </w:numPr>
        <w:spacing w:line="240" w:lineRule="auto"/>
        <w:ind w:left="1134" w:firstLine="0"/>
        <w:rPr>
          <w:lang w:val="fr-FR"/>
        </w:rPr>
      </w:pPr>
      <w:r w:rsidRPr="00C91DB8">
        <w:rPr>
          <w:lang w:val="fr-FR"/>
        </w:rPr>
        <w:t>L’aide judiciaire est systématique pour les mineurs quels que soient les revenus des parents. Pour les adultes, l’aide judiciaire n’est accordée qu’aux plus démunis c</w:t>
      </w:r>
      <w:r w:rsidR="002036DA" w:rsidRPr="00C91DB8">
        <w:rPr>
          <w:lang w:val="fr-FR"/>
        </w:rPr>
        <w:t>’</w:t>
      </w:r>
      <w:r w:rsidRPr="00C91DB8">
        <w:rPr>
          <w:lang w:val="fr-FR"/>
        </w:rPr>
        <w:t xml:space="preserve">est-à-dire </w:t>
      </w:r>
      <w:r w:rsidR="00252F76">
        <w:rPr>
          <w:lang w:val="fr-FR"/>
        </w:rPr>
        <w:t xml:space="preserve">à </w:t>
      </w:r>
      <w:r w:rsidRPr="00C91DB8">
        <w:rPr>
          <w:lang w:val="fr-FR"/>
        </w:rPr>
        <w:t>ce</w:t>
      </w:r>
      <w:r w:rsidR="00252F76">
        <w:rPr>
          <w:lang w:val="fr-FR"/>
        </w:rPr>
        <w:t>ux</w:t>
      </w:r>
      <w:r w:rsidRPr="00C91DB8">
        <w:rPr>
          <w:lang w:val="fr-FR"/>
        </w:rPr>
        <w:t xml:space="preserve"> qui ne peu</w:t>
      </w:r>
      <w:r w:rsidR="00252F76">
        <w:rPr>
          <w:lang w:val="fr-FR"/>
        </w:rPr>
        <w:t>ven</w:t>
      </w:r>
      <w:r w:rsidRPr="00C91DB8">
        <w:rPr>
          <w:lang w:val="fr-FR"/>
        </w:rPr>
        <w:t>t pas se payer les services d’un avocat.</w:t>
      </w:r>
    </w:p>
    <w:p w:rsidR="002A17AD" w:rsidRPr="00C91DB8" w:rsidRDefault="00252F76" w:rsidP="00252F76">
      <w:pPr>
        <w:pStyle w:val="SingleTxtG"/>
        <w:numPr>
          <w:ilvl w:val="0"/>
          <w:numId w:val="12"/>
        </w:numPr>
        <w:spacing w:line="240" w:lineRule="auto"/>
        <w:ind w:left="1134" w:firstLine="0"/>
        <w:rPr>
          <w:lang w:val="fr-FR"/>
        </w:rPr>
      </w:pPr>
      <w:r>
        <w:rPr>
          <w:lang w:val="fr-FR"/>
        </w:rPr>
        <w:t>U</w:t>
      </w:r>
      <w:r w:rsidR="008E1AE6" w:rsidRPr="00C91DB8">
        <w:rPr>
          <w:lang w:val="fr-FR"/>
        </w:rPr>
        <w:t>n mineur incarcéré</w:t>
      </w:r>
      <w:r>
        <w:rPr>
          <w:lang w:val="fr-FR"/>
        </w:rPr>
        <w:t xml:space="preserve"> </w:t>
      </w:r>
      <w:r w:rsidR="008E1AE6" w:rsidRPr="00C91DB8">
        <w:rPr>
          <w:lang w:val="fr-FR"/>
        </w:rPr>
        <w:t>est séparé des adultes</w:t>
      </w:r>
      <w:r>
        <w:rPr>
          <w:lang w:val="fr-FR"/>
        </w:rPr>
        <w:t>. À</w:t>
      </w:r>
      <w:r w:rsidR="008E1AE6" w:rsidRPr="00C91DB8">
        <w:rPr>
          <w:lang w:val="fr-FR"/>
        </w:rPr>
        <w:t xml:space="preserve"> la prison centrale de Djibouti, les mineurs ont leur propre quartier </w:t>
      </w:r>
      <w:r w:rsidR="00D42EF2" w:rsidRPr="00C91DB8">
        <w:rPr>
          <w:lang w:val="fr-FR"/>
        </w:rPr>
        <w:t>complètement</w:t>
      </w:r>
      <w:r w:rsidR="002036DA" w:rsidRPr="00C91DB8">
        <w:rPr>
          <w:lang w:val="fr-FR"/>
        </w:rPr>
        <w:t xml:space="preserve"> </w:t>
      </w:r>
      <w:r w:rsidR="008E1AE6" w:rsidRPr="00C91DB8">
        <w:rPr>
          <w:lang w:val="fr-FR"/>
        </w:rPr>
        <w:t>séparé de celui des</w:t>
      </w:r>
      <w:r w:rsidR="002036DA" w:rsidRPr="00C91DB8">
        <w:rPr>
          <w:lang w:val="fr-FR"/>
        </w:rPr>
        <w:t xml:space="preserve"> </w:t>
      </w:r>
      <w:r w:rsidR="008E1AE6" w:rsidRPr="00C91DB8">
        <w:rPr>
          <w:lang w:val="fr-FR"/>
        </w:rPr>
        <w:t>adultes.</w:t>
      </w:r>
    </w:p>
    <w:p w:rsidR="002A17AD" w:rsidRPr="00C91DB8" w:rsidRDefault="00FC5A4E" w:rsidP="00FC5A4E">
      <w:pPr>
        <w:pStyle w:val="H23G"/>
        <w:rPr>
          <w:lang w:val="fr-FR"/>
        </w:rPr>
      </w:pPr>
      <w:r w:rsidRPr="00C91DB8">
        <w:rPr>
          <w:rFonts w:eastAsia="Arial Unicode MS"/>
          <w:lang w:val="fr-FR"/>
        </w:rPr>
        <w:tab/>
      </w:r>
      <w:r w:rsidRPr="00C91DB8">
        <w:rPr>
          <w:rFonts w:eastAsia="Arial Unicode MS"/>
          <w:lang w:val="fr-FR"/>
        </w:rPr>
        <w:tab/>
      </w:r>
      <w:r w:rsidR="00046B98" w:rsidRPr="00C91DB8">
        <w:rPr>
          <w:rFonts w:eastAsia="Arial Unicode MS"/>
          <w:lang w:val="fr-FR"/>
        </w:rPr>
        <w:t xml:space="preserve">Réponse aux questions posées au paragraphe 20 de la liste </w:t>
      </w:r>
    </w:p>
    <w:p w:rsidR="002A17AD" w:rsidRPr="00C91DB8" w:rsidRDefault="008E1AE6" w:rsidP="008923D6">
      <w:pPr>
        <w:pStyle w:val="SingleTxtG"/>
        <w:numPr>
          <w:ilvl w:val="0"/>
          <w:numId w:val="12"/>
        </w:numPr>
        <w:spacing w:line="240" w:lineRule="auto"/>
        <w:ind w:left="1134" w:firstLine="0"/>
        <w:rPr>
          <w:lang w:val="fr-FR"/>
        </w:rPr>
      </w:pPr>
      <w:r w:rsidRPr="00C91DB8">
        <w:rPr>
          <w:lang w:val="fr-FR"/>
        </w:rPr>
        <w:t>Les mesures pour prévenir l’exp</w:t>
      </w:r>
      <w:r w:rsidRPr="00424463">
        <w:rPr>
          <w:lang w:val="fr-FR"/>
        </w:rPr>
        <w:t>loitation des enfants sont d’abord d’ordre légal</w:t>
      </w:r>
      <w:r w:rsidR="008923D6" w:rsidRPr="00424463">
        <w:rPr>
          <w:lang w:val="fr-FR"/>
        </w:rPr>
        <w:t>.</w:t>
      </w:r>
      <w:r w:rsidRPr="00424463">
        <w:rPr>
          <w:lang w:val="fr-FR"/>
        </w:rPr>
        <w:t xml:space="preserve"> </w:t>
      </w:r>
      <w:r w:rsidR="008923D6" w:rsidRPr="00424463">
        <w:rPr>
          <w:lang w:val="fr-FR"/>
        </w:rPr>
        <w:t>L</w:t>
      </w:r>
      <w:r w:rsidRPr="00424463">
        <w:rPr>
          <w:lang w:val="fr-FR"/>
        </w:rPr>
        <w:t xml:space="preserve">e </w:t>
      </w:r>
      <w:r w:rsidR="002036DA" w:rsidRPr="00424463">
        <w:rPr>
          <w:lang w:val="fr-FR"/>
        </w:rPr>
        <w:t>C</w:t>
      </w:r>
      <w:r w:rsidRPr="00424463">
        <w:rPr>
          <w:lang w:val="fr-FR"/>
        </w:rPr>
        <w:t>ode de travail interdit formellement le t</w:t>
      </w:r>
      <w:r w:rsidRPr="00C91DB8">
        <w:rPr>
          <w:lang w:val="fr-FR"/>
        </w:rPr>
        <w:t>ravail des enfants de moins de 16 ans.</w:t>
      </w:r>
    </w:p>
    <w:p w:rsidR="008E1AE6" w:rsidRPr="00C91DB8" w:rsidRDefault="008E1AE6" w:rsidP="008923D6">
      <w:pPr>
        <w:pStyle w:val="SingleTxtG"/>
        <w:numPr>
          <w:ilvl w:val="0"/>
          <w:numId w:val="12"/>
        </w:numPr>
        <w:spacing w:line="240" w:lineRule="auto"/>
        <w:ind w:left="1134" w:firstLine="0"/>
        <w:rPr>
          <w:lang w:val="fr-FR"/>
        </w:rPr>
      </w:pPr>
      <w:r w:rsidRPr="00C91DB8">
        <w:rPr>
          <w:lang w:val="fr-FR"/>
        </w:rPr>
        <w:t>Ce même code réglemente strictement le travail des jeunes (</w:t>
      </w:r>
      <w:r w:rsidR="008923D6">
        <w:rPr>
          <w:lang w:val="fr-FR"/>
        </w:rPr>
        <w:t xml:space="preserve">de </w:t>
      </w:r>
      <w:r w:rsidRPr="00C91DB8">
        <w:rPr>
          <w:lang w:val="fr-FR"/>
        </w:rPr>
        <w:t>16 à 18 ans)</w:t>
      </w:r>
      <w:r w:rsidR="008923D6">
        <w:rPr>
          <w:lang w:val="fr-FR"/>
        </w:rPr>
        <w:t xml:space="preserve">: ils </w:t>
      </w:r>
      <w:r w:rsidRPr="00C91DB8">
        <w:rPr>
          <w:lang w:val="fr-FR"/>
        </w:rPr>
        <w:t>ne doivent pas être</w:t>
      </w:r>
      <w:r w:rsidR="002036DA" w:rsidRPr="00C91DB8">
        <w:rPr>
          <w:lang w:val="fr-FR"/>
        </w:rPr>
        <w:t xml:space="preserve"> </w:t>
      </w:r>
      <w:r w:rsidRPr="00C91DB8">
        <w:rPr>
          <w:lang w:val="fr-FR"/>
        </w:rPr>
        <w:t>utilisés pour des tâches au</w:t>
      </w:r>
      <w:r w:rsidR="008923D6">
        <w:rPr>
          <w:lang w:val="fr-FR"/>
        </w:rPr>
        <w:t>-</w:t>
      </w:r>
      <w:r w:rsidRPr="00C91DB8">
        <w:rPr>
          <w:lang w:val="fr-FR"/>
        </w:rPr>
        <w:t>dessus de leur force.</w:t>
      </w:r>
    </w:p>
    <w:p w:rsidR="008E1AE6" w:rsidRPr="00C91DB8" w:rsidRDefault="008E1AE6" w:rsidP="008923D6">
      <w:pPr>
        <w:pStyle w:val="SingleTxtG"/>
        <w:numPr>
          <w:ilvl w:val="0"/>
          <w:numId w:val="12"/>
        </w:numPr>
        <w:spacing w:line="240" w:lineRule="auto"/>
        <w:ind w:left="1134" w:firstLine="0"/>
        <w:rPr>
          <w:lang w:val="fr-FR"/>
        </w:rPr>
      </w:pPr>
      <w:r w:rsidRPr="00C91DB8">
        <w:rPr>
          <w:lang w:val="fr-FR"/>
        </w:rPr>
        <w:t>La législation sur la traite des personnes</w:t>
      </w:r>
      <w:r w:rsidR="002036DA" w:rsidRPr="00C91DB8">
        <w:rPr>
          <w:lang w:val="fr-FR"/>
        </w:rPr>
        <w:t xml:space="preserve"> </w:t>
      </w:r>
      <w:r w:rsidRPr="00424463">
        <w:rPr>
          <w:lang w:val="fr-FR"/>
        </w:rPr>
        <w:t>édicte de</w:t>
      </w:r>
      <w:r w:rsidRPr="00C91DB8">
        <w:rPr>
          <w:lang w:val="fr-FR"/>
        </w:rPr>
        <w:t>s dispositions pour prévenir l’exploitation des mineurs</w:t>
      </w:r>
      <w:r w:rsidR="008923D6">
        <w:rPr>
          <w:lang w:val="fr-FR"/>
        </w:rPr>
        <w:t>. L</w:t>
      </w:r>
      <w:r w:rsidRPr="00C91DB8">
        <w:rPr>
          <w:lang w:val="fr-FR"/>
        </w:rPr>
        <w:t xml:space="preserve">es enfants mineurs ne peuvent pas quitter le territoire national sans l’autorisation </w:t>
      </w:r>
      <w:r w:rsidRPr="00424463">
        <w:rPr>
          <w:lang w:val="fr-FR"/>
        </w:rPr>
        <w:t>de deux par</w:t>
      </w:r>
      <w:r w:rsidRPr="00C91DB8">
        <w:rPr>
          <w:lang w:val="fr-FR"/>
        </w:rPr>
        <w:t>ents.</w:t>
      </w:r>
    </w:p>
    <w:p w:rsidR="002A17AD" w:rsidRPr="00C91DB8" w:rsidRDefault="008E1AE6" w:rsidP="008923D6">
      <w:pPr>
        <w:pStyle w:val="SingleTxtG"/>
        <w:numPr>
          <w:ilvl w:val="0"/>
          <w:numId w:val="12"/>
        </w:numPr>
        <w:spacing w:line="240" w:lineRule="auto"/>
        <w:ind w:left="1134" w:firstLine="0"/>
        <w:rPr>
          <w:lang w:val="fr-FR"/>
        </w:rPr>
      </w:pPr>
      <w:r w:rsidRPr="00C91DB8">
        <w:rPr>
          <w:lang w:val="fr-FR"/>
        </w:rPr>
        <w:t>L’</w:t>
      </w:r>
      <w:r w:rsidR="002036DA" w:rsidRPr="00C91DB8">
        <w:rPr>
          <w:lang w:val="fr-FR"/>
        </w:rPr>
        <w:t>État</w:t>
      </w:r>
      <w:r w:rsidRPr="00C91DB8">
        <w:rPr>
          <w:lang w:val="fr-FR"/>
        </w:rPr>
        <w:t xml:space="preserve"> partie a parallèlement développé de nombreux programmes d’assistance pour venir en</w:t>
      </w:r>
      <w:r w:rsidR="002036DA" w:rsidRPr="00C91DB8">
        <w:rPr>
          <w:lang w:val="fr-FR"/>
        </w:rPr>
        <w:t xml:space="preserve"> </w:t>
      </w:r>
      <w:r w:rsidRPr="00C91DB8">
        <w:rPr>
          <w:lang w:val="fr-FR"/>
        </w:rPr>
        <w:t xml:space="preserve">aide aux orphelins et </w:t>
      </w:r>
      <w:r w:rsidR="008923D6">
        <w:rPr>
          <w:lang w:val="fr-FR"/>
        </w:rPr>
        <w:t xml:space="preserve">aux </w:t>
      </w:r>
      <w:r w:rsidRPr="00C91DB8">
        <w:rPr>
          <w:lang w:val="fr-FR"/>
        </w:rPr>
        <w:t>enfants vulnérables.</w:t>
      </w:r>
    </w:p>
    <w:p w:rsidR="002A17AD" w:rsidRPr="00C91DB8" w:rsidRDefault="008E1AE6" w:rsidP="008923D6">
      <w:pPr>
        <w:pStyle w:val="SingleTxtG"/>
        <w:numPr>
          <w:ilvl w:val="0"/>
          <w:numId w:val="12"/>
        </w:numPr>
        <w:spacing w:line="240" w:lineRule="auto"/>
        <w:ind w:left="1134" w:firstLine="0"/>
        <w:rPr>
          <w:lang w:val="fr-FR"/>
        </w:rPr>
      </w:pPr>
      <w:r w:rsidRPr="00C91DB8">
        <w:rPr>
          <w:lang w:val="fr-FR"/>
        </w:rPr>
        <w:t xml:space="preserve">Le </w:t>
      </w:r>
      <w:r w:rsidR="004253CA">
        <w:rPr>
          <w:lang w:val="fr-FR"/>
        </w:rPr>
        <w:t>G</w:t>
      </w:r>
      <w:r w:rsidRPr="00C91DB8">
        <w:rPr>
          <w:lang w:val="fr-FR"/>
        </w:rPr>
        <w:t>ouvernement a également créé ou autorisé la création de nombreuses institutions venant en aide aux enfants en situation difficile.</w:t>
      </w:r>
    </w:p>
    <w:p w:rsidR="002A17AD" w:rsidRPr="00C91DB8" w:rsidRDefault="002036DA" w:rsidP="008717D8">
      <w:pPr>
        <w:pStyle w:val="SingleTxtG"/>
        <w:numPr>
          <w:ilvl w:val="0"/>
          <w:numId w:val="12"/>
        </w:numPr>
        <w:spacing w:line="240" w:lineRule="auto"/>
        <w:ind w:left="1134" w:firstLine="0"/>
        <w:rPr>
          <w:lang w:val="fr-FR"/>
        </w:rPr>
      </w:pPr>
      <w:r w:rsidRPr="00C91DB8">
        <w:rPr>
          <w:lang w:val="fr-FR"/>
        </w:rPr>
        <w:t>À</w:t>
      </w:r>
      <w:r w:rsidR="008E1AE6" w:rsidRPr="00C91DB8">
        <w:rPr>
          <w:lang w:val="fr-FR"/>
        </w:rPr>
        <w:t xml:space="preserve"> titre d’illustration, </w:t>
      </w:r>
      <w:r w:rsidR="008717D8" w:rsidRPr="00C91DB8">
        <w:rPr>
          <w:lang w:val="fr-FR"/>
        </w:rPr>
        <w:t xml:space="preserve">en </w:t>
      </w:r>
      <w:r w:rsidR="008E1AE6" w:rsidRPr="00C91DB8">
        <w:rPr>
          <w:lang w:val="fr-FR"/>
        </w:rPr>
        <w:t>voici quelques</w:t>
      </w:r>
      <w:r w:rsidR="008717D8" w:rsidRPr="00C91DB8">
        <w:rPr>
          <w:lang w:val="fr-FR"/>
        </w:rPr>
        <w:t>-</w:t>
      </w:r>
      <w:r w:rsidR="008E1AE6" w:rsidRPr="00C91DB8">
        <w:rPr>
          <w:lang w:val="fr-FR"/>
        </w:rPr>
        <w:t>unes</w:t>
      </w:r>
      <w:r w:rsidRPr="00C91DB8">
        <w:rPr>
          <w:lang w:val="fr-FR"/>
        </w:rPr>
        <w:t>:</w:t>
      </w:r>
    </w:p>
    <w:p w:rsidR="008E1AE6" w:rsidRPr="00C91DB8" w:rsidRDefault="00C23320" w:rsidP="00C23320">
      <w:pPr>
        <w:pStyle w:val="Bullet1G"/>
        <w:rPr>
          <w:lang w:val="fr-FR"/>
        </w:rPr>
      </w:pPr>
      <w:r w:rsidRPr="00C91DB8">
        <w:rPr>
          <w:lang w:val="fr-FR"/>
        </w:rPr>
        <w:t>Diwan al zakat</w:t>
      </w:r>
    </w:p>
    <w:p w:rsidR="008E1AE6" w:rsidRPr="00C91DB8" w:rsidRDefault="00C23320" w:rsidP="008717D8">
      <w:pPr>
        <w:pStyle w:val="Bullet1G"/>
        <w:rPr>
          <w:lang w:val="fr-FR"/>
        </w:rPr>
      </w:pPr>
      <w:r w:rsidRPr="00C91DB8">
        <w:rPr>
          <w:lang w:val="fr-FR"/>
        </w:rPr>
        <w:t>Centre m</w:t>
      </w:r>
      <w:r w:rsidR="008717D8" w:rsidRPr="00C91DB8">
        <w:rPr>
          <w:lang w:val="fr-FR"/>
        </w:rPr>
        <w:t>è</w:t>
      </w:r>
      <w:r w:rsidRPr="00C91DB8">
        <w:rPr>
          <w:lang w:val="fr-FR"/>
        </w:rPr>
        <w:t>re et enfant</w:t>
      </w:r>
    </w:p>
    <w:p w:rsidR="008E1AE6" w:rsidRPr="00C91DB8" w:rsidRDefault="008717D8" w:rsidP="00C23320">
      <w:pPr>
        <w:pStyle w:val="Bullet1G"/>
        <w:rPr>
          <w:lang w:val="fr-FR"/>
        </w:rPr>
      </w:pPr>
      <w:r w:rsidRPr="00C91DB8">
        <w:rPr>
          <w:lang w:val="fr-FR"/>
        </w:rPr>
        <w:t>Pouponnière</w:t>
      </w:r>
      <w:r w:rsidR="00C23320" w:rsidRPr="00C91DB8">
        <w:rPr>
          <w:lang w:val="fr-FR"/>
        </w:rPr>
        <w:t xml:space="preserve"> daryel</w:t>
      </w:r>
    </w:p>
    <w:p w:rsidR="008E1AE6" w:rsidRPr="00C91DB8" w:rsidRDefault="00C23320" w:rsidP="00C23320">
      <w:pPr>
        <w:pStyle w:val="Bullet1G"/>
        <w:rPr>
          <w:lang w:val="fr-FR"/>
        </w:rPr>
      </w:pPr>
      <w:r w:rsidRPr="00C91DB8">
        <w:rPr>
          <w:lang w:val="fr-FR"/>
        </w:rPr>
        <w:t>Centre al rahma</w:t>
      </w:r>
    </w:p>
    <w:p w:rsidR="002A17AD" w:rsidRPr="00C91DB8" w:rsidRDefault="00C23320" w:rsidP="002036DA">
      <w:pPr>
        <w:pStyle w:val="Bullet1G"/>
        <w:rPr>
          <w:lang w:val="fr-FR"/>
        </w:rPr>
      </w:pPr>
      <w:r w:rsidRPr="00C91DB8">
        <w:rPr>
          <w:lang w:val="fr-FR"/>
        </w:rPr>
        <w:t>Caritas</w:t>
      </w:r>
      <w:r w:rsidR="002036DA" w:rsidRPr="00C91DB8">
        <w:rPr>
          <w:lang w:val="fr-FR"/>
        </w:rPr>
        <w:t xml:space="preserve">, </w:t>
      </w:r>
      <w:r w:rsidRPr="00C91DB8">
        <w:rPr>
          <w:lang w:val="fr-FR"/>
        </w:rPr>
        <w:t>etc.</w:t>
      </w:r>
    </w:p>
    <w:p w:rsidR="002A17AD" w:rsidRPr="00C91DB8" w:rsidRDefault="008E1AE6" w:rsidP="008923D6">
      <w:pPr>
        <w:pStyle w:val="SingleTxtG"/>
        <w:numPr>
          <w:ilvl w:val="0"/>
          <w:numId w:val="12"/>
        </w:numPr>
        <w:spacing w:line="240" w:lineRule="auto"/>
        <w:ind w:left="1134" w:firstLine="0"/>
        <w:rPr>
          <w:lang w:val="fr-FR"/>
        </w:rPr>
      </w:pPr>
      <w:r w:rsidRPr="00C91DB8">
        <w:rPr>
          <w:lang w:val="fr-FR"/>
        </w:rPr>
        <w:t xml:space="preserve">Le </w:t>
      </w:r>
      <w:r w:rsidR="004253CA">
        <w:rPr>
          <w:lang w:val="fr-FR"/>
        </w:rPr>
        <w:t>G</w:t>
      </w:r>
      <w:r w:rsidRPr="00C91DB8">
        <w:rPr>
          <w:lang w:val="fr-FR"/>
        </w:rPr>
        <w:t xml:space="preserve">ouvernement orchestre aussi souvent que possible des campagnes de sensibilisation </w:t>
      </w:r>
      <w:r w:rsidR="008923D6">
        <w:rPr>
          <w:lang w:val="fr-FR"/>
        </w:rPr>
        <w:t xml:space="preserve">à </w:t>
      </w:r>
      <w:r w:rsidRPr="00C91DB8">
        <w:rPr>
          <w:lang w:val="fr-FR"/>
        </w:rPr>
        <w:t xml:space="preserve">la promotion et </w:t>
      </w:r>
      <w:r w:rsidR="008923D6">
        <w:rPr>
          <w:lang w:val="fr-FR"/>
        </w:rPr>
        <w:t xml:space="preserve">à </w:t>
      </w:r>
      <w:r w:rsidRPr="00C91DB8">
        <w:rPr>
          <w:lang w:val="fr-FR"/>
        </w:rPr>
        <w:t>la protection des droits de l’enfant pour informer et éduquer la population</w:t>
      </w:r>
      <w:r w:rsidR="002036DA" w:rsidRPr="00C91DB8">
        <w:rPr>
          <w:lang w:val="fr-FR"/>
        </w:rPr>
        <w:t>.</w:t>
      </w:r>
    </w:p>
    <w:p w:rsidR="002A17AD" w:rsidRPr="00C91DB8" w:rsidRDefault="0094370C" w:rsidP="0094370C">
      <w:pPr>
        <w:pStyle w:val="H1G"/>
        <w:rPr>
          <w:lang w:val="fr-FR"/>
        </w:rPr>
      </w:pPr>
      <w:r w:rsidRPr="00C91DB8">
        <w:rPr>
          <w:lang w:val="fr-FR"/>
        </w:rPr>
        <w:tab/>
      </w:r>
      <w:r w:rsidRPr="00C91DB8">
        <w:rPr>
          <w:lang w:val="fr-FR"/>
        </w:rPr>
        <w:tab/>
      </w:r>
      <w:r w:rsidR="008E1AE6" w:rsidRPr="00C91DB8">
        <w:rPr>
          <w:lang w:val="fr-FR"/>
        </w:rPr>
        <w:t>Droit de prendre part à la conduite des affaires publiques (</w:t>
      </w:r>
      <w:r w:rsidR="002036DA" w:rsidRPr="00C91DB8">
        <w:rPr>
          <w:lang w:val="fr-FR"/>
        </w:rPr>
        <w:t>art. </w:t>
      </w:r>
      <w:r w:rsidR="008E1AE6" w:rsidRPr="00C91DB8">
        <w:rPr>
          <w:lang w:val="fr-FR"/>
        </w:rPr>
        <w:t>25)</w:t>
      </w:r>
    </w:p>
    <w:p w:rsidR="002A17AD" w:rsidRPr="00C91DB8" w:rsidRDefault="00FC5A4E" w:rsidP="00FC5A4E">
      <w:pPr>
        <w:pStyle w:val="H23G"/>
        <w:rPr>
          <w:lang w:val="fr-FR"/>
        </w:rPr>
      </w:pPr>
      <w:r w:rsidRPr="00C91DB8">
        <w:rPr>
          <w:rFonts w:eastAsia="Arial Unicode MS"/>
          <w:lang w:val="fr-FR"/>
        </w:rPr>
        <w:tab/>
      </w:r>
      <w:r w:rsidRPr="00C91DB8">
        <w:rPr>
          <w:rFonts w:eastAsia="Arial Unicode MS"/>
          <w:lang w:val="fr-FR"/>
        </w:rPr>
        <w:tab/>
      </w:r>
      <w:r w:rsidR="00046B98" w:rsidRPr="00C91DB8">
        <w:rPr>
          <w:rFonts w:eastAsia="Arial Unicode MS"/>
          <w:lang w:val="fr-FR"/>
        </w:rPr>
        <w:t xml:space="preserve">Réponse aux questions posées au paragraphe 21 de la liste </w:t>
      </w:r>
    </w:p>
    <w:p w:rsidR="008E1AE6" w:rsidRPr="00C91DB8" w:rsidRDefault="008E1AE6" w:rsidP="00015270">
      <w:pPr>
        <w:pStyle w:val="SingleTxtG"/>
        <w:numPr>
          <w:ilvl w:val="0"/>
          <w:numId w:val="12"/>
        </w:numPr>
        <w:spacing w:line="240" w:lineRule="auto"/>
        <w:ind w:left="1134" w:firstLine="0"/>
        <w:rPr>
          <w:lang w:val="fr-FR"/>
        </w:rPr>
      </w:pPr>
      <w:r w:rsidRPr="00C91DB8">
        <w:rPr>
          <w:lang w:val="fr-FR"/>
        </w:rPr>
        <w:t xml:space="preserve">Ces allégations, comme nous l’avons répétées tout au long de ce document sont simplement calomnieuses et loin de la réalité. Le droit de former un parti politique et de concourir aux différentes élections est à Djibouti un droit fondamental garanti par la </w:t>
      </w:r>
      <w:r w:rsidR="00015270">
        <w:rPr>
          <w:lang w:val="fr-FR"/>
        </w:rPr>
        <w:t>C</w:t>
      </w:r>
      <w:r w:rsidRPr="00C91DB8">
        <w:rPr>
          <w:lang w:val="fr-FR"/>
        </w:rPr>
        <w:t>onstitution à tout individu ou groupe d’individus.</w:t>
      </w:r>
    </w:p>
    <w:p w:rsidR="008E1AE6" w:rsidRPr="00C91DB8" w:rsidRDefault="008E1AE6" w:rsidP="00C23320">
      <w:pPr>
        <w:pStyle w:val="SingleTxtG"/>
        <w:numPr>
          <w:ilvl w:val="0"/>
          <w:numId w:val="12"/>
        </w:numPr>
        <w:spacing w:line="240" w:lineRule="auto"/>
        <w:ind w:left="1134" w:firstLine="0"/>
        <w:rPr>
          <w:lang w:val="fr-FR"/>
        </w:rPr>
      </w:pPr>
      <w:r w:rsidRPr="00C91DB8">
        <w:rPr>
          <w:lang w:val="fr-FR"/>
        </w:rPr>
        <w:t>D’ailleurs il existe actuellement pas moins de 10 partis politiques légales c</w:t>
      </w:r>
      <w:r w:rsidR="002036DA" w:rsidRPr="00C91DB8">
        <w:rPr>
          <w:lang w:val="fr-FR"/>
        </w:rPr>
        <w:t>’</w:t>
      </w:r>
      <w:r w:rsidRPr="00C91DB8">
        <w:rPr>
          <w:lang w:val="fr-FR"/>
        </w:rPr>
        <w:t>est-à-dire ayant remplis les conditions énoncées par la législation sur les partis politiques.</w:t>
      </w:r>
    </w:p>
    <w:p w:rsidR="008E1AE6" w:rsidRPr="00C91DB8" w:rsidRDefault="008E1AE6" w:rsidP="00C23320">
      <w:pPr>
        <w:pStyle w:val="SingleTxtG"/>
        <w:numPr>
          <w:ilvl w:val="0"/>
          <w:numId w:val="12"/>
        </w:numPr>
        <w:spacing w:line="240" w:lineRule="auto"/>
        <w:ind w:left="1134" w:firstLine="0"/>
        <w:rPr>
          <w:lang w:val="fr-FR"/>
        </w:rPr>
      </w:pPr>
      <w:r w:rsidRPr="00C91DB8">
        <w:rPr>
          <w:lang w:val="fr-FR"/>
        </w:rPr>
        <w:t>D’autres groupements se réclamant de partis politiques opèrent dans le pays sans être inquiétés.</w:t>
      </w:r>
    </w:p>
    <w:p w:rsidR="008E1AE6" w:rsidRPr="00C91DB8" w:rsidRDefault="008E1AE6" w:rsidP="004253CA">
      <w:pPr>
        <w:pStyle w:val="SingleTxtG"/>
        <w:numPr>
          <w:ilvl w:val="0"/>
          <w:numId w:val="12"/>
        </w:numPr>
        <w:spacing w:line="240" w:lineRule="auto"/>
        <w:ind w:left="1134" w:firstLine="0"/>
        <w:rPr>
          <w:lang w:val="fr-FR"/>
        </w:rPr>
      </w:pPr>
      <w:r w:rsidRPr="00C91DB8">
        <w:rPr>
          <w:lang w:val="fr-FR"/>
        </w:rPr>
        <w:t>Depuis l’adoption en 1992 d’une constitution garantissant le pluralisme démocratique et l’</w:t>
      </w:r>
      <w:r w:rsidR="002036DA" w:rsidRPr="00C91DB8">
        <w:rPr>
          <w:lang w:val="fr-FR"/>
        </w:rPr>
        <w:t>État</w:t>
      </w:r>
      <w:r w:rsidRPr="00C91DB8">
        <w:rPr>
          <w:lang w:val="fr-FR"/>
        </w:rPr>
        <w:t xml:space="preserve"> de droit, le </w:t>
      </w:r>
      <w:r w:rsidR="004253CA">
        <w:rPr>
          <w:lang w:val="fr-FR"/>
        </w:rPr>
        <w:t>G</w:t>
      </w:r>
      <w:r w:rsidRPr="00C91DB8">
        <w:rPr>
          <w:lang w:val="fr-FR"/>
        </w:rPr>
        <w:t>ouvernement organise périodiquement des élections auxquelles participent les partis d’opposition.</w:t>
      </w:r>
    </w:p>
    <w:p w:rsidR="008E1AE6" w:rsidRPr="00C91DB8" w:rsidRDefault="008E1AE6" w:rsidP="00C23320">
      <w:pPr>
        <w:pStyle w:val="SingleTxtG"/>
        <w:numPr>
          <w:ilvl w:val="0"/>
          <w:numId w:val="12"/>
        </w:numPr>
        <w:spacing w:line="240" w:lineRule="auto"/>
        <w:ind w:left="1134" w:firstLine="0"/>
        <w:rPr>
          <w:lang w:val="fr-FR"/>
        </w:rPr>
      </w:pPr>
      <w:r w:rsidRPr="00C91DB8">
        <w:rPr>
          <w:lang w:val="fr-FR"/>
        </w:rPr>
        <w:t>Malgré les contestations des perdants, la commission indépendante chargée des élections et les observateurs internationaux s’accordent à dire que les élections régulièrement organisées répondent au standard international.</w:t>
      </w:r>
    </w:p>
    <w:p w:rsidR="008E1AE6" w:rsidRPr="00C91DB8" w:rsidRDefault="008E1AE6" w:rsidP="00230409">
      <w:pPr>
        <w:pStyle w:val="SingleTxtG"/>
        <w:numPr>
          <w:ilvl w:val="0"/>
          <w:numId w:val="12"/>
        </w:numPr>
        <w:spacing w:line="240" w:lineRule="auto"/>
        <w:ind w:left="1134" w:firstLine="0"/>
        <w:rPr>
          <w:lang w:val="fr-FR"/>
        </w:rPr>
      </w:pPr>
      <w:r w:rsidRPr="00C91DB8">
        <w:rPr>
          <w:lang w:val="fr-FR"/>
        </w:rPr>
        <w:t>En 2013, le pays a connu une ouverture politique majeure avec l’introduction de la proportionnelle dans les élections législatives. Ce qui a permis à l’opposition d’obtenir 20</w:t>
      </w:r>
      <w:r w:rsidR="009A28EC">
        <w:rPr>
          <w:lang w:val="fr-FR"/>
        </w:rPr>
        <w:t> %</w:t>
      </w:r>
      <w:r w:rsidRPr="00C91DB8">
        <w:rPr>
          <w:lang w:val="fr-FR"/>
        </w:rPr>
        <w:t xml:space="preserve"> des sièges à l’Assemblée </w:t>
      </w:r>
      <w:r w:rsidR="00230409">
        <w:rPr>
          <w:lang w:val="fr-FR"/>
        </w:rPr>
        <w:t>n</w:t>
      </w:r>
      <w:r w:rsidRPr="00C91DB8">
        <w:rPr>
          <w:lang w:val="fr-FR"/>
        </w:rPr>
        <w:t>ationale. Résultat qui a, comme toujours été dénoncé par l’opposition.</w:t>
      </w:r>
    </w:p>
    <w:p w:rsidR="002A17AD" w:rsidRPr="00C91DB8" w:rsidRDefault="008E1AE6" w:rsidP="00C23320">
      <w:pPr>
        <w:pStyle w:val="SingleTxtG"/>
        <w:numPr>
          <w:ilvl w:val="0"/>
          <w:numId w:val="12"/>
        </w:numPr>
        <w:spacing w:line="240" w:lineRule="auto"/>
        <w:ind w:left="1134" w:firstLine="0"/>
        <w:rPr>
          <w:lang w:val="fr-FR"/>
        </w:rPr>
      </w:pPr>
      <w:r w:rsidRPr="00C91DB8">
        <w:rPr>
          <w:lang w:val="fr-FR"/>
        </w:rPr>
        <w:t>Afin de trouver une issue politique à ce refus de l’apposition, le Président de la République</w:t>
      </w:r>
      <w:r w:rsidR="002036DA" w:rsidRPr="00C91DB8">
        <w:rPr>
          <w:lang w:val="fr-FR"/>
        </w:rPr>
        <w:t xml:space="preserve"> </w:t>
      </w:r>
      <w:r w:rsidRPr="00C91DB8">
        <w:rPr>
          <w:lang w:val="fr-FR"/>
        </w:rPr>
        <w:t xml:space="preserve">a appelé à plusieurs </w:t>
      </w:r>
      <w:r w:rsidR="00D42EF2" w:rsidRPr="00C91DB8">
        <w:rPr>
          <w:lang w:val="fr-FR"/>
        </w:rPr>
        <w:t>reprises</w:t>
      </w:r>
      <w:r w:rsidRPr="00C91DB8">
        <w:rPr>
          <w:lang w:val="fr-FR"/>
        </w:rPr>
        <w:t xml:space="preserve"> à un dialogue national. Appel entendu et, les deux partis sont actuellement en discussion pour mettre un terme aux différends nés des dernières élections. </w:t>
      </w:r>
    </w:p>
    <w:p w:rsidR="002A17AD" w:rsidRPr="00C91DB8" w:rsidRDefault="00046B98" w:rsidP="00046B98">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22 de la liste </w:t>
      </w:r>
    </w:p>
    <w:p w:rsidR="008E1AE6" w:rsidRPr="00C91DB8" w:rsidRDefault="008E1AE6" w:rsidP="00C23320">
      <w:pPr>
        <w:pStyle w:val="SingleTxtG"/>
        <w:numPr>
          <w:ilvl w:val="0"/>
          <w:numId w:val="12"/>
        </w:numPr>
        <w:spacing w:line="240" w:lineRule="auto"/>
        <w:ind w:left="1134" w:firstLine="0"/>
        <w:rPr>
          <w:lang w:val="fr-FR"/>
        </w:rPr>
      </w:pPr>
      <w:r w:rsidRPr="00C91DB8">
        <w:rPr>
          <w:lang w:val="fr-FR"/>
        </w:rPr>
        <w:t>La décentralisation a été introduite dans le pays au début des années 2000 avec l’adoption de plusieurs mesures. On peut entre autre</w:t>
      </w:r>
      <w:r w:rsidR="002036DA" w:rsidRPr="00C91DB8">
        <w:rPr>
          <w:lang w:val="fr-FR"/>
        </w:rPr>
        <w:t xml:space="preserve"> </w:t>
      </w:r>
      <w:r w:rsidRPr="00C91DB8">
        <w:rPr>
          <w:lang w:val="fr-FR"/>
        </w:rPr>
        <w:t>citer le transfert des compétences du pouvoir central</w:t>
      </w:r>
      <w:r w:rsidR="002036DA" w:rsidRPr="00C91DB8">
        <w:rPr>
          <w:lang w:val="fr-FR"/>
        </w:rPr>
        <w:t xml:space="preserve"> </w:t>
      </w:r>
      <w:r w:rsidRPr="00C91DB8">
        <w:rPr>
          <w:lang w:val="fr-FR"/>
        </w:rPr>
        <w:t>vers les entités décentralisées.</w:t>
      </w:r>
    </w:p>
    <w:p w:rsidR="008E1AE6" w:rsidRPr="00C91DB8" w:rsidRDefault="008E1AE6" w:rsidP="004253CA">
      <w:pPr>
        <w:pStyle w:val="SingleTxtG"/>
        <w:numPr>
          <w:ilvl w:val="0"/>
          <w:numId w:val="12"/>
        </w:numPr>
        <w:spacing w:line="240" w:lineRule="auto"/>
        <w:ind w:left="1134" w:firstLine="0"/>
        <w:rPr>
          <w:lang w:val="fr-FR"/>
        </w:rPr>
      </w:pPr>
      <w:r w:rsidRPr="00C91DB8">
        <w:rPr>
          <w:lang w:val="fr-FR"/>
        </w:rPr>
        <w:t>L’</w:t>
      </w:r>
      <w:r w:rsidR="002036DA" w:rsidRPr="00C91DB8">
        <w:rPr>
          <w:lang w:val="fr-FR"/>
        </w:rPr>
        <w:t>État</w:t>
      </w:r>
      <w:r w:rsidRPr="00C91DB8">
        <w:rPr>
          <w:lang w:val="fr-FR"/>
        </w:rPr>
        <w:t xml:space="preserve"> partie ne cesse depuis cette période, de soutenir le processus de décentralisation.</w:t>
      </w:r>
      <w:r w:rsidR="002036DA" w:rsidRPr="00C91DB8">
        <w:rPr>
          <w:lang w:val="fr-FR"/>
        </w:rPr>
        <w:t xml:space="preserve"> </w:t>
      </w:r>
      <w:r w:rsidRPr="00C91DB8">
        <w:rPr>
          <w:lang w:val="fr-FR"/>
        </w:rPr>
        <w:t xml:space="preserve">Le </w:t>
      </w:r>
      <w:r w:rsidR="004253CA">
        <w:rPr>
          <w:lang w:val="fr-FR"/>
        </w:rPr>
        <w:t>G</w:t>
      </w:r>
      <w:r w:rsidRPr="00C91DB8">
        <w:rPr>
          <w:lang w:val="fr-FR"/>
        </w:rPr>
        <w:t>ouvernement a, à ce titre doté chaque région</w:t>
      </w:r>
      <w:r w:rsidR="002036DA" w:rsidRPr="00C91DB8">
        <w:rPr>
          <w:lang w:val="fr-FR"/>
        </w:rPr>
        <w:t xml:space="preserve"> </w:t>
      </w:r>
      <w:r w:rsidRPr="00C91DB8">
        <w:rPr>
          <w:lang w:val="fr-FR"/>
        </w:rPr>
        <w:t>les infrastructures et ressources humaines</w:t>
      </w:r>
      <w:r w:rsidR="002036DA" w:rsidRPr="00C91DB8">
        <w:rPr>
          <w:lang w:val="fr-FR"/>
        </w:rPr>
        <w:t xml:space="preserve"> nécessaires</w:t>
      </w:r>
      <w:r w:rsidRPr="00C91DB8">
        <w:rPr>
          <w:lang w:val="fr-FR"/>
        </w:rPr>
        <w:t xml:space="preserve"> pour s’acquitter au mieux leur mission.</w:t>
      </w:r>
    </w:p>
    <w:p w:rsidR="008E1AE6" w:rsidRPr="00C91DB8" w:rsidRDefault="008E1AE6" w:rsidP="004253CA">
      <w:pPr>
        <w:pStyle w:val="SingleTxtG"/>
        <w:numPr>
          <w:ilvl w:val="0"/>
          <w:numId w:val="12"/>
        </w:numPr>
        <w:spacing w:line="240" w:lineRule="auto"/>
        <w:ind w:left="1134" w:firstLine="0"/>
        <w:rPr>
          <w:lang w:val="fr-FR"/>
        </w:rPr>
      </w:pPr>
      <w:r w:rsidRPr="00C91DB8">
        <w:rPr>
          <w:lang w:val="fr-FR"/>
        </w:rPr>
        <w:t xml:space="preserve">Le </w:t>
      </w:r>
      <w:r w:rsidR="004253CA">
        <w:rPr>
          <w:lang w:val="fr-FR"/>
        </w:rPr>
        <w:t>G</w:t>
      </w:r>
      <w:r w:rsidRPr="00C91DB8">
        <w:rPr>
          <w:lang w:val="fr-FR"/>
        </w:rPr>
        <w:t>ouvernement a, dans cette même optique</w:t>
      </w:r>
      <w:r w:rsidR="004253CA">
        <w:rPr>
          <w:lang w:val="fr-FR"/>
        </w:rPr>
        <w:t>,</w:t>
      </w:r>
      <w:r w:rsidRPr="00C91DB8">
        <w:rPr>
          <w:lang w:val="fr-FR"/>
        </w:rPr>
        <w:t xml:space="preserve"> organisé des nombreuses élections qui a permis à chaque communauté d’élire leurs propres gouvernants.</w:t>
      </w:r>
    </w:p>
    <w:p w:rsidR="002A17AD" w:rsidRPr="00C91DB8" w:rsidRDefault="008E1AE6" w:rsidP="004253CA">
      <w:pPr>
        <w:pStyle w:val="SingleTxtG"/>
        <w:numPr>
          <w:ilvl w:val="0"/>
          <w:numId w:val="12"/>
        </w:numPr>
        <w:spacing w:line="240" w:lineRule="auto"/>
        <w:ind w:left="1134" w:firstLine="0"/>
        <w:rPr>
          <w:lang w:val="fr-FR"/>
        </w:rPr>
      </w:pPr>
      <w:r w:rsidRPr="00C91DB8">
        <w:rPr>
          <w:lang w:val="fr-FR"/>
        </w:rPr>
        <w:t xml:space="preserve">Le </w:t>
      </w:r>
      <w:r w:rsidR="004253CA">
        <w:rPr>
          <w:lang w:val="fr-FR"/>
        </w:rPr>
        <w:t>G</w:t>
      </w:r>
      <w:r w:rsidRPr="00C91DB8">
        <w:rPr>
          <w:lang w:val="fr-FR"/>
        </w:rPr>
        <w:t>ouvernement s’est par ailleurs appuyé sur la coopération internationale pour pleinement mettre en œuvre la décentralisation. Dans ce cadre les élus ont bénéficié des formations aussi bien à l’intérieur du pays qu’à l’extérieur.</w:t>
      </w:r>
    </w:p>
    <w:p w:rsidR="002A17AD" w:rsidRPr="00C91DB8" w:rsidRDefault="002036DA" w:rsidP="00C23320">
      <w:pPr>
        <w:pStyle w:val="SingleTxtG"/>
        <w:numPr>
          <w:ilvl w:val="0"/>
          <w:numId w:val="12"/>
        </w:numPr>
        <w:spacing w:line="240" w:lineRule="auto"/>
        <w:ind w:left="1134" w:firstLine="0"/>
        <w:rPr>
          <w:lang w:val="fr-FR"/>
        </w:rPr>
      </w:pPr>
      <w:r w:rsidRPr="00C91DB8">
        <w:rPr>
          <w:lang w:val="fr-FR"/>
        </w:rPr>
        <w:t>À</w:t>
      </w:r>
      <w:r w:rsidR="008E1AE6" w:rsidRPr="00C91DB8">
        <w:rPr>
          <w:lang w:val="fr-FR"/>
        </w:rPr>
        <w:t xml:space="preserve"> ce jour, les collectivités locales sont toutes opérationnelles et sont associées aussi bien au développement local que national. </w:t>
      </w:r>
    </w:p>
    <w:p w:rsidR="002A17AD" w:rsidRPr="00C91DB8" w:rsidRDefault="00C23320" w:rsidP="00C23320">
      <w:pPr>
        <w:pStyle w:val="H1G"/>
        <w:rPr>
          <w:lang w:val="fr-FR"/>
        </w:rPr>
      </w:pPr>
      <w:r w:rsidRPr="00C91DB8">
        <w:rPr>
          <w:lang w:val="fr-FR"/>
        </w:rPr>
        <w:tab/>
      </w:r>
      <w:r w:rsidRPr="00C91DB8">
        <w:rPr>
          <w:lang w:val="fr-FR"/>
        </w:rPr>
        <w:tab/>
      </w:r>
      <w:r w:rsidR="008E1AE6" w:rsidRPr="00C91DB8">
        <w:rPr>
          <w:lang w:val="fr-FR"/>
        </w:rPr>
        <w:t>Droits des personnes appartenant à des minorités (</w:t>
      </w:r>
      <w:r w:rsidR="002036DA" w:rsidRPr="00C91DB8">
        <w:rPr>
          <w:lang w:val="fr-FR"/>
        </w:rPr>
        <w:t>art. </w:t>
      </w:r>
      <w:r w:rsidR="008E1AE6" w:rsidRPr="00C91DB8">
        <w:rPr>
          <w:lang w:val="fr-FR"/>
        </w:rPr>
        <w:t>27)</w:t>
      </w:r>
    </w:p>
    <w:p w:rsidR="002A17AD" w:rsidRPr="00C91DB8" w:rsidRDefault="00046B98" w:rsidP="00046B98">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23 de la liste </w:t>
      </w:r>
    </w:p>
    <w:p w:rsidR="002A17AD" w:rsidRPr="00C91DB8" w:rsidRDefault="008E1AE6" w:rsidP="002036DA">
      <w:pPr>
        <w:pStyle w:val="SingleTxtG"/>
        <w:numPr>
          <w:ilvl w:val="0"/>
          <w:numId w:val="12"/>
        </w:numPr>
        <w:spacing w:line="240" w:lineRule="auto"/>
        <w:ind w:left="1134" w:firstLine="0"/>
        <w:rPr>
          <w:color w:val="000000"/>
          <w:lang w:val="fr-FR"/>
        </w:rPr>
      </w:pPr>
      <w:r w:rsidRPr="00C91DB8">
        <w:rPr>
          <w:color w:val="000000"/>
          <w:lang w:val="fr-FR"/>
        </w:rPr>
        <w:t xml:space="preserve">Nous ne </w:t>
      </w:r>
      <w:r w:rsidRPr="00C91DB8">
        <w:rPr>
          <w:lang w:val="fr-FR"/>
        </w:rPr>
        <w:t>connaissons</w:t>
      </w:r>
      <w:r w:rsidRPr="00C91DB8">
        <w:rPr>
          <w:color w:val="000000"/>
          <w:lang w:val="fr-FR"/>
        </w:rPr>
        <w:t xml:space="preserve"> pas de populations appartenant à des minorités. Nous rappelons que ne peuvent être admis que des </w:t>
      </w:r>
      <w:r w:rsidR="00D42EF2" w:rsidRPr="00424463">
        <w:rPr>
          <w:color w:val="000000"/>
          <w:lang w:val="fr-FR"/>
        </w:rPr>
        <w:t>Djiboutiens</w:t>
      </w:r>
      <w:r w:rsidRPr="00424463">
        <w:rPr>
          <w:color w:val="000000"/>
          <w:lang w:val="fr-FR"/>
        </w:rPr>
        <w:t xml:space="preserve"> fass</w:t>
      </w:r>
      <w:r w:rsidRPr="00C91DB8">
        <w:rPr>
          <w:color w:val="000000"/>
          <w:lang w:val="fr-FR"/>
        </w:rPr>
        <w:t xml:space="preserve">ent l’objet d’exactions d’ordre discriminatoire comme indiqué dans le rapport. Comme les sanctions sont d’ordre public et que le </w:t>
      </w:r>
      <w:r w:rsidR="002036DA" w:rsidRPr="00C91DB8">
        <w:rPr>
          <w:color w:val="000000"/>
          <w:lang w:val="fr-FR"/>
        </w:rPr>
        <w:t>C</w:t>
      </w:r>
      <w:r w:rsidRPr="00C91DB8">
        <w:rPr>
          <w:color w:val="000000"/>
          <w:lang w:val="fr-FR"/>
        </w:rPr>
        <w:t>ode pénal met en relief expressément les peines encourues (art 390), toutes personnes se sentant discriminées peuvent saisir les autorités judiciaires aux fins d’une réparation adéquate.</w:t>
      </w:r>
    </w:p>
    <w:p w:rsidR="002A17AD" w:rsidRPr="00C91DB8" w:rsidRDefault="00C23320" w:rsidP="0094370C">
      <w:pPr>
        <w:pStyle w:val="H1G"/>
        <w:rPr>
          <w:lang w:val="fr-FR"/>
        </w:rPr>
      </w:pPr>
      <w:r w:rsidRPr="00C91DB8">
        <w:rPr>
          <w:lang w:val="fr-FR"/>
        </w:rPr>
        <w:tab/>
      </w:r>
      <w:r w:rsidRPr="00C91DB8">
        <w:rPr>
          <w:lang w:val="fr-FR"/>
        </w:rPr>
        <w:tab/>
      </w:r>
      <w:r w:rsidR="008E1AE6" w:rsidRPr="00C91DB8">
        <w:rPr>
          <w:lang w:val="fr-FR"/>
        </w:rPr>
        <w:t>Diffusion d’une information sur le Pacte et le Protocole facultatif (art.</w:t>
      </w:r>
      <w:r w:rsidR="0094370C" w:rsidRPr="00C91DB8">
        <w:rPr>
          <w:lang w:val="fr-FR"/>
        </w:rPr>
        <w:t> </w:t>
      </w:r>
      <w:r w:rsidR="008E1AE6" w:rsidRPr="00C91DB8">
        <w:rPr>
          <w:lang w:val="fr-FR"/>
        </w:rPr>
        <w:t>2)</w:t>
      </w:r>
    </w:p>
    <w:p w:rsidR="002A17AD" w:rsidRPr="00C91DB8" w:rsidRDefault="00046B98" w:rsidP="00046B98">
      <w:pPr>
        <w:pStyle w:val="H23G"/>
        <w:rPr>
          <w:lang w:val="fr-FR"/>
        </w:rPr>
      </w:pPr>
      <w:r w:rsidRPr="00C91DB8">
        <w:rPr>
          <w:rFonts w:eastAsia="Arial Unicode MS"/>
          <w:lang w:val="fr-FR"/>
        </w:rPr>
        <w:tab/>
      </w:r>
      <w:r w:rsidRPr="00C91DB8">
        <w:rPr>
          <w:rFonts w:eastAsia="Arial Unicode MS"/>
          <w:lang w:val="fr-FR"/>
        </w:rPr>
        <w:tab/>
        <w:t xml:space="preserve">Réponse aux questions posées au paragraphe 24 de la liste </w:t>
      </w:r>
    </w:p>
    <w:p w:rsidR="008E1AE6" w:rsidRPr="00C91DB8" w:rsidRDefault="008E1AE6" w:rsidP="00A25534">
      <w:pPr>
        <w:pStyle w:val="SingleTxtG"/>
        <w:numPr>
          <w:ilvl w:val="0"/>
          <w:numId w:val="12"/>
        </w:numPr>
        <w:spacing w:line="240" w:lineRule="auto"/>
        <w:ind w:left="1134" w:firstLine="0"/>
        <w:rPr>
          <w:color w:val="000000"/>
          <w:lang w:val="fr-FR"/>
        </w:rPr>
      </w:pPr>
      <w:r w:rsidRPr="00C91DB8">
        <w:rPr>
          <w:color w:val="000000"/>
          <w:lang w:val="fr-FR"/>
        </w:rPr>
        <w:t xml:space="preserve">La République de Djibouti a ratifié en 2002 le </w:t>
      </w:r>
      <w:r w:rsidR="00A25534" w:rsidRPr="00C91DB8">
        <w:rPr>
          <w:color w:val="000000"/>
          <w:lang w:val="fr-FR"/>
        </w:rPr>
        <w:t>P</w:t>
      </w:r>
      <w:r w:rsidRPr="00C91DB8">
        <w:rPr>
          <w:color w:val="000000"/>
          <w:lang w:val="fr-FR"/>
        </w:rPr>
        <w:t xml:space="preserve">acte et </w:t>
      </w:r>
      <w:r w:rsidR="00A25534" w:rsidRPr="00C91DB8">
        <w:rPr>
          <w:color w:val="000000"/>
          <w:lang w:val="fr-FR"/>
        </w:rPr>
        <w:t>s</w:t>
      </w:r>
      <w:r w:rsidRPr="00C91DB8">
        <w:rPr>
          <w:color w:val="000000"/>
          <w:lang w:val="fr-FR"/>
        </w:rPr>
        <w:t xml:space="preserve">es deux </w:t>
      </w:r>
      <w:r w:rsidRPr="00C91DB8">
        <w:rPr>
          <w:lang w:val="fr-FR"/>
        </w:rPr>
        <w:t>protocoles</w:t>
      </w:r>
      <w:r w:rsidRPr="00C91DB8">
        <w:rPr>
          <w:color w:val="000000"/>
          <w:lang w:val="fr-FR"/>
        </w:rPr>
        <w:t xml:space="preserve"> s</w:t>
      </w:r>
      <w:r w:rsidR="00A25534" w:rsidRPr="00C91DB8">
        <w:rPr>
          <w:color w:val="000000"/>
          <w:lang w:val="fr-FR"/>
        </w:rPr>
        <w:t>e</w:t>
      </w:r>
      <w:r w:rsidRPr="00C91DB8">
        <w:rPr>
          <w:color w:val="000000"/>
          <w:lang w:val="fr-FR"/>
        </w:rPr>
        <w:t xml:space="preserve"> rapportant</w:t>
      </w:r>
      <w:r w:rsidR="002036DA" w:rsidRPr="00C91DB8">
        <w:rPr>
          <w:color w:val="000000"/>
          <w:lang w:val="fr-FR"/>
        </w:rPr>
        <w:t xml:space="preserve"> </w:t>
      </w:r>
      <w:r w:rsidRPr="00C91DB8">
        <w:rPr>
          <w:color w:val="000000"/>
          <w:lang w:val="fr-FR"/>
        </w:rPr>
        <w:t>respectiveme</w:t>
      </w:r>
      <w:r w:rsidRPr="00072855">
        <w:rPr>
          <w:color w:val="000000"/>
          <w:lang w:val="fr-FR"/>
        </w:rPr>
        <w:t>nt à la communication des plaintes individuelles e</w:t>
      </w:r>
      <w:r w:rsidRPr="00C91DB8">
        <w:rPr>
          <w:color w:val="000000"/>
          <w:lang w:val="fr-FR"/>
        </w:rPr>
        <w:t xml:space="preserve">t à </w:t>
      </w:r>
      <w:r w:rsidR="00A25534" w:rsidRPr="00C91DB8">
        <w:rPr>
          <w:color w:val="000000"/>
          <w:lang w:val="fr-FR"/>
        </w:rPr>
        <w:t xml:space="preserve">l’abolition de </w:t>
      </w:r>
      <w:r w:rsidRPr="00C91DB8">
        <w:rPr>
          <w:color w:val="000000"/>
          <w:lang w:val="fr-FR"/>
        </w:rPr>
        <w:t>la peine de mort.</w:t>
      </w:r>
    </w:p>
    <w:p w:rsidR="008E1AE6" w:rsidRPr="00C91DB8" w:rsidRDefault="002036DA" w:rsidP="00A25534">
      <w:pPr>
        <w:pStyle w:val="SingleTxtG"/>
        <w:numPr>
          <w:ilvl w:val="0"/>
          <w:numId w:val="12"/>
        </w:numPr>
        <w:spacing w:line="240" w:lineRule="auto"/>
        <w:ind w:left="1134" w:firstLine="0"/>
        <w:rPr>
          <w:color w:val="000000"/>
          <w:lang w:val="fr-FR"/>
        </w:rPr>
      </w:pPr>
      <w:r w:rsidRPr="00C91DB8">
        <w:rPr>
          <w:color w:val="000000"/>
          <w:lang w:val="fr-FR"/>
        </w:rPr>
        <w:t>À</w:t>
      </w:r>
      <w:r w:rsidR="008E1AE6" w:rsidRPr="00C91DB8">
        <w:rPr>
          <w:color w:val="000000"/>
          <w:lang w:val="fr-FR"/>
        </w:rPr>
        <w:t xml:space="preserve"> l’instar du </w:t>
      </w:r>
      <w:r w:rsidR="00A25534" w:rsidRPr="00C91DB8">
        <w:rPr>
          <w:color w:val="000000"/>
          <w:lang w:val="fr-FR"/>
        </w:rPr>
        <w:t>P</w:t>
      </w:r>
      <w:r w:rsidR="008E1AE6" w:rsidRPr="00C91DB8">
        <w:rPr>
          <w:color w:val="000000"/>
          <w:lang w:val="fr-FR"/>
        </w:rPr>
        <w:t>acte, ces deux instruments ont fait l’objet de publicité au niveau de toutes les sphères de la société, agents de l’</w:t>
      </w:r>
      <w:r w:rsidRPr="00C91DB8">
        <w:rPr>
          <w:color w:val="000000"/>
          <w:lang w:val="fr-FR"/>
        </w:rPr>
        <w:t>État</w:t>
      </w:r>
      <w:r w:rsidR="008E1AE6" w:rsidRPr="00C91DB8">
        <w:rPr>
          <w:color w:val="000000"/>
          <w:lang w:val="fr-FR"/>
        </w:rPr>
        <w:t>, société civile et communautés.</w:t>
      </w:r>
    </w:p>
    <w:p w:rsidR="002A17AD" w:rsidRPr="00C91DB8" w:rsidRDefault="008E1AE6" w:rsidP="00C23320">
      <w:pPr>
        <w:pStyle w:val="SingleTxtG"/>
        <w:numPr>
          <w:ilvl w:val="0"/>
          <w:numId w:val="12"/>
        </w:numPr>
        <w:spacing w:line="240" w:lineRule="auto"/>
        <w:ind w:left="1134" w:firstLine="0"/>
        <w:rPr>
          <w:color w:val="000000"/>
          <w:lang w:val="fr-FR"/>
        </w:rPr>
      </w:pPr>
      <w:r w:rsidRPr="00C91DB8">
        <w:rPr>
          <w:lang w:val="fr-FR"/>
        </w:rPr>
        <w:t>L’élaboration</w:t>
      </w:r>
      <w:r w:rsidRPr="00C91DB8">
        <w:rPr>
          <w:color w:val="000000"/>
          <w:lang w:val="fr-FR"/>
        </w:rPr>
        <w:t xml:space="preserve"> du présent rapport, comme tout autre rapport aux organes onusiens ou régionaux, s’est faite de manière participative. Les représentants et représentantes des </w:t>
      </w:r>
      <w:r w:rsidR="00D42EF2" w:rsidRPr="00C91DB8">
        <w:rPr>
          <w:color w:val="000000"/>
          <w:lang w:val="fr-FR"/>
        </w:rPr>
        <w:t>différentes</w:t>
      </w:r>
      <w:r w:rsidRPr="00C91DB8">
        <w:rPr>
          <w:color w:val="000000"/>
          <w:lang w:val="fr-FR"/>
        </w:rPr>
        <w:t xml:space="preserve"> couches sont consultés aussi bien au niveau des travaux préparatoires, qu’au niveau rédactionnel. Le projet final fait à son tour l’objet d’une validation nationale.</w:t>
      </w:r>
      <w:r w:rsidR="002036DA" w:rsidRPr="00C91DB8">
        <w:rPr>
          <w:color w:val="000000"/>
          <w:lang w:val="fr-FR"/>
        </w:rPr>
        <w:t xml:space="preserve"> </w:t>
      </w:r>
    </w:p>
    <w:p w:rsidR="00C23320" w:rsidRPr="00C91DB8" w:rsidRDefault="00C23320" w:rsidP="00C23320">
      <w:pPr>
        <w:pStyle w:val="SingleTxtG"/>
        <w:spacing w:before="240" w:after="0"/>
        <w:jc w:val="center"/>
        <w:rPr>
          <w:color w:val="000000"/>
          <w:u w:val="single"/>
          <w:lang w:val="fr-FR"/>
        </w:rPr>
      </w:pPr>
      <w:r w:rsidRPr="00C91DB8">
        <w:rPr>
          <w:color w:val="000000"/>
          <w:u w:val="single"/>
          <w:lang w:val="fr-FR"/>
        </w:rPr>
        <w:tab/>
      </w:r>
      <w:r w:rsidRPr="00C91DB8">
        <w:rPr>
          <w:color w:val="000000"/>
          <w:u w:val="single"/>
          <w:lang w:val="fr-FR"/>
        </w:rPr>
        <w:tab/>
      </w:r>
      <w:r w:rsidRPr="00C91DB8">
        <w:rPr>
          <w:color w:val="000000"/>
          <w:u w:val="single"/>
          <w:lang w:val="fr-FR"/>
        </w:rPr>
        <w:tab/>
      </w:r>
    </w:p>
    <w:sectPr w:rsidR="00C23320" w:rsidRPr="00C91DB8" w:rsidSect="00C3216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43" w:rsidRDefault="000C7443"/>
  </w:endnote>
  <w:endnote w:type="continuationSeparator" w:id="0">
    <w:p w:rsidR="000C7443" w:rsidRDefault="000C7443"/>
  </w:endnote>
  <w:endnote w:type="continuationNotice" w:id="1">
    <w:p w:rsidR="000C7443" w:rsidRDefault="000C7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3" w:rsidRPr="00C32166" w:rsidRDefault="00D47143" w:rsidP="00C32166">
    <w:pPr>
      <w:pStyle w:val="Footer"/>
      <w:tabs>
        <w:tab w:val="right" w:pos="9638"/>
      </w:tabs>
    </w:pPr>
    <w:r w:rsidRPr="00C32166">
      <w:rPr>
        <w:b/>
        <w:sz w:val="18"/>
      </w:rPr>
      <w:fldChar w:fldCharType="begin"/>
    </w:r>
    <w:r w:rsidRPr="00C32166">
      <w:rPr>
        <w:b/>
        <w:sz w:val="18"/>
      </w:rPr>
      <w:instrText xml:space="preserve"> PAGE  \* MERGEFORMAT </w:instrText>
    </w:r>
    <w:r w:rsidRPr="00C32166">
      <w:rPr>
        <w:b/>
        <w:sz w:val="18"/>
      </w:rPr>
      <w:fldChar w:fldCharType="separate"/>
    </w:r>
    <w:r w:rsidR="00B129C3">
      <w:rPr>
        <w:b/>
        <w:noProof/>
        <w:sz w:val="18"/>
      </w:rPr>
      <w:t>2</w:t>
    </w:r>
    <w:r w:rsidRPr="00C3216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3" w:rsidRPr="00C32166" w:rsidRDefault="00D47143" w:rsidP="00C32166">
    <w:pPr>
      <w:pStyle w:val="Footer"/>
      <w:tabs>
        <w:tab w:val="right" w:pos="9638"/>
      </w:tabs>
      <w:rPr>
        <w:b/>
        <w:sz w:val="18"/>
      </w:rPr>
    </w:pPr>
    <w:r>
      <w:tab/>
    </w:r>
    <w:r w:rsidRPr="00C32166">
      <w:rPr>
        <w:b/>
        <w:sz w:val="18"/>
      </w:rPr>
      <w:fldChar w:fldCharType="begin"/>
    </w:r>
    <w:r w:rsidRPr="00C32166">
      <w:rPr>
        <w:b/>
        <w:sz w:val="18"/>
      </w:rPr>
      <w:instrText xml:space="preserve"> PAGE  \* MERGEFORMAT </w:instrText>
    </w:r>
    <w:r w:rsidRPr="00C32166">
      <w:rPr>
        <w:b/>
        <w:sz w:val="18"/>
      </w:rPr>
      <w:fldChar w:fldCharType="separate"/>
    </w:r>
    <w:r w:rsidR="00B129C3">
      <w:rPr>
        <w:b/>
        <w:noProof/>
        <w:sz w:val="18"/>
      </w:rPr>
      <w:t>13</w:t>
    </w:r>
    <w:r w:rsidRPr="00C321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3" w:rsidRPr="00C32166" w:rsidRDefault="00D47143">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B129C3">
      <w:rPr>
        <w:sz w:val="20"/>
      </w:rPr>
      <w:t>47383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43" w:rsidRPr="00D27D5E" w:rsidRDefault="000C7443" w:rsidP="00D27D5E">
      <w:pPr>
        <w:tabs>
          <w:tab w:val="right" w:pos="2155"/>
        </w:tabs>
        <w:spacing w:after="80"/>
        <w:ind w:left="680"/>
        <w:rPr>
          <w:u w:val="single"/>
        </w:rPr>
      </w:pPr>
      <w:r>
        <w:rPr>
          <w:u w:val="single"/>
        </w:rPr>
        <w:tab/>
      </w:r>
    </w:p>
  </w:footnote>
  <w:footnote w:type="continuationSeparator" w:id="0">
    <w:p w:rsidR="000C7443" w:rsidRPr="00091505" w:rsidRDefault="000C7443" w:rsidP="00091505">
      <w:pPr>
        <w:tabs>
          <w:tab w:val="right" w:pos="2155"/>
        </w:tabs>
        <w:spacing w:after="80"/>
        <w:ind w:left="680"/>
        <w:rPr>
          <w:u w:val="single"/>
        </w:rPr>
      </w:pPr>
      <w:r w:rsidRPr="00091505">
        <w:rPr>
          <w:u w:val="single"/>
        </w:rPr>
        <w:tab/>
      </w:r>
    </w:p>
  </w:footnote>
  <w:footnote w:type="continuationNotice" w:id="1">
    <w:p w:rsidR="000C7443" w:rsidRDefault="000C7443"/>
  </w:footnote>
  <w:footnote w:id="2">
    <w:p w:rsidR="00D47143" w:rsidRDefault="00D47143" w:rsidP="00E25CB3">
      <w:pPr>
        <w:pStyle w:val="FootnoteText"/>
      </w:pPr>
      <w:r>
        <w:tab/>
      </w:r>
      <w:r>
        <w:rPr>
          <w:rStyle w:val="FootnoteReference"/>
        </w:rPr>
        <w:t>*</w:t>
      </w:r>
      <w:r>
        <w:rPr>
          <w:sz w:val="20"/>
        </w:rPr>
        <w:tab/>
      </w:r>
      <w:r w:rsidRPr="00C32166">
        <w:rPr>
          <w:lang w:val="fr-FR"/>
        </w:rPr>
        <w:t xml:space="preserve">Conformément aux informations communiquées aux États parties concernant le traitement de leurs rapports, </w:t>
      </w:r>
      <w:r>
        <w:rPr>
          <w:lang w:val="fr-FR"/>
        </w:rPr>
        <w:t xml:space="preserve">seule la </w:t>
      </w:r>
      <w:r w:rsidRPr="00C32166">
        <w:rPr>
          <w:lang w:val="fr-FR"/>
        </w:rPr>
        <w:t>présent</w:t>
      </w:r>
      <w:r>
        <w:rPr>
          <w:lang w:val="fr-FR"/>
        </w:rPr>
        <w:t>ation du</w:t>
      </w:r>
      <w:r w:rsidRPr="00C32166">
        <w:rPr>
          <w:lang w:val="fr-FR"/>
        </w:rPr>
        <w:t xml:space="preserve"> document a été revu</w:t>
      </w:r>
      <w:r>
        <w:rPr>
          <w:lang w:val="fr-FR"/>
        </w:rPr>
        <w:t>e</w:t>
      </w:r>
      <w:r w:rsidRPr="00C32166">
        <w:rPr>
          <w:lang w:val="fr-FR"/>
        </w:rPr>
        <w:t xml:space="preserve">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3" w:rsidRPr="00C32166" w:rsidRDefault="00D47143">
    <w:pPr>
      <w:pStyle w:val="Header"/>
    </w:pPr>
    <w:r>
      <w:t>CCPR/C/DJI/Q/1/Add.1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3" w:rsidRPr="00C32166" w:rsidRDefault="00D47143" w:rsidP="00C32166">
    <w:pPr>
      <w:pStyle w:val="Header"/>
      <w:jc w:val="right"/>
    </w:pPr>
    <w:r>
      <w:t>CCPR/C/DJI/Q/1/Add.1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3" w:rsidRDefault="00B12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7713A80"/>
    <w:multiLevelType w:val="hybridMultilevel"/>
    <w:tmpl w:val="FE246F3C"/>
    <w:lvl w:ilvl="0" w:tplc="AB7667F8">
      <w:numFmt w:val="bullet"/>
      <w:lvlText w:val="-"/>
      <w:lvlJc w:val="left"/>
      <w:pPr>
        <w:tabs>
          <w:tab w:val="num" w:pos="1410"/>
        </w:tabs>
        <w:ind w:left="1410" w:hanging="705"/>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20DE2A4F"/>
    <w:multiLevelType w:val="hybridMultilevel"/>
    <w:tmpl w:val="E66C7B78"/>
    <w:lvl w:ilvl="0" w:tplc="D0504066">
      <w:start w:val="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6B07DE"/>
    <w:multiLevelType w:val="hybridMultilevel"/>
    <w:tmpl w:val="4DA06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71662B"/>
    <w:multiLevelType w:val="hybridMultilevel"/>
    <w:tmpl w:val="A4EA3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6F04EB"/>
    <w:multiLevelType w:val="hybridMultilevel"/>
    <w:tmpl w:val="CB785C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450C26B6"/>
    <w:multiLevelType w:val="hybridMultilevel"/>
    <w:tmpl w:val="75A018DC"/>
    <w:lvl w:ilvl="0" w:tplc="0809000F">
      <w:start w:val="1"/>
      <w:numFmt w:val="decimal"/>
      <w:lvlText w:val="%1."/>
      <w:lvlJc w:val="left"/>
      <w:pPr>
        <w:ind w:left="1854" w:hanging="360"/>
      </w:pPr>
    </w:lvl>
    <w:lvl w:ilvl="1" w:tplc="EF786A26">
      <w:numFmt w:val="bullet"/>
      <w:lvlText w:val="-"/>
      <w:lvlJc w:val="left"/>
      <w:pPr>
        <w:ind w:left="2574" w:hanging="360"/>
      </w:pPr>
      <w:rPr>
        <w:rFonts w:ascii="Times New Roman" w:eastAsia="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591240DF"/>
    <w:multiLevelType w:val="hybridMultilevel"/>
    <w:tmpl w:val="77C40A46"/>
    <w:lvl w:ilvl="0" w:tplc="8A3CADC2">
      <w:numFmt w:val="bullet"/>
      <w:lvlText w:val="-"/>
      <w:lvlJc w:val="left"/>
      <w:pPr>
        <w:tabs>
          <w:tab w:val="num" w:pos="1410"/>
        </w:tabs>
        <w:ind w:left="1410" w:hanging="705"/>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70245457"/>
    <w:multiLevelType w:val="hybridMultilevel"/>
    <w:tmpl w:val="AC1A0F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7D1F7184"/>
    <w:multiLevelType w:val="hybridMultilevel"/>
    <w:tmpl w:val="5918493E"/>
    <w:lvl w:ilvl="0" w:tplc="7FF2FACE">
      <w:start w:val="1"/>
      <w:numFmt w:val="decimal"/>
      <w:lvlText w:val="%1)"/>
      <w:lvlJc w:val="left"/>
      <w:pPr>
        <w:tabs>
          <w:tab w:val="num" w:pos="1065"/>
        </w:tabs>
        <w:ind w:left="1065" w:hanging="705"/>
      </w:pPr>
      <w:rPr>
        <w:rFonts w:hint="default"/>
      </w:rPr>
    </w:lvl>
    <w:lvl w:ilvl="1" w:tplc="208CF684">
      <w:start w:val="1"/>
      <w:numFmt w:val="bullet"/>
      <w:lvlText w:val="-"/>
      <w:lvlJc w:val="left"/>
      <w:pPr>
        <w:tabs>
          <w:tab w:val="num" w:pos="1785"/>
        </w:tabs>
        <w:ind w:left="1785" w:hanging="705"/>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0"/>
  </w:num>
  <w:num w:numId="5">
    <w:abstractNumId w:val="12"/>
  </w:num>
  <w:num w:numId="6">
    <w:abstractNumId w:val="9"/>
  </w:num>
  <w:num w:numId="7">
    <w:abstractNumId w:val="4"/>
  </w:num>
  <w:num w:numId="8">
    <w:abstractNumId w:val="5"/>
  </w:num>
  <w:num w:numId="9">
    <w:abstractNumId w:val="6"/>
  </w:num>
  <w:num w:numId="10">
    <w:abstractNumId w:val="3"/>
  </w:num>
  <w:num w:numId="11">
    <w:abstractNumId w:val="2"/>
  </w:num>
  <w:num w:numId="12">
    <w:abstractNumId w:val="8"/>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166"/>
    <w:rsid w:val="00003F40"/>
    <w:rsid w:val="00015270"/>
    <w:rsid w:val="00016AC5"/>
    <w:rsid w:val="00024B3B"/>
    <w:rsid w:val="00041619"/>
    <w:rsid w:val="0004454B"/>
    <w:rsid w:val="00046B98"/>
    <w:rsid w:val="00052A4D"/>
    <w:rsid w:val="00072855"/>
    <w:rsid w:val="00075612"/>
    <w:rsid w:val="000762B2"/>
    <w:rsid w:val="000805CC"/>
    <w:rsid w:val="00085432"/>
    <w:rsid w:val="00091505"/>
    <w:rsid w:val="000A147A"/>
    <w:rsid w:val="000C388A"/>
    <w:rsid w:val="000C5693"/>
    <w:rsid w:val="000C7443"/>
    <w:rsid w:val="000D38FC"/>
    <w:rsid w:val="000F41F2"/>
    <w:rsid w:val="0010105E"/>
    <w:rsid w:val="0012035A"/>
    <w:rsid w:val="0015661F"/>
    <w:rsid w:val="00160540"/>
    <w:rsid w:val="00185D58"/>
    <w:rsid w:val="00192EEB"/>
    <w:rsid w:val="001A20FB"/>
    <w:rsid w:val="001A7CBB"/>
    <w:rsid w:val="001B102E"/>
    <w:rsid w:val="001B7908"/>
    <w:rsid w:val="001C0FCE"/>
    <w:rsid w:val="001C3080"/>
    <w:rsid w:val="001C41F0"/>
    <w:rsid w:val="001D7F8A"/>
    <w:rsid w:val="001E3FEB"/>
    <w:rsid w:val="001E4A02"/>
    <w:rsid w:val="001F25C4"/>
    <w:rsid w:val="001F50B5"/>
    <w:rsid w:val="001F7A27"/>
    <w:rsid w:val="002036DA"/>
    <w:rsid w:val="002254BB"/>
    <w:rsid w:val="00225A8C"/>
    <w:rsid w:val="00230409"/>
    <w:rsid w:val="00252F76"/>
    <w:rsid w:val="002659F1"/>
    <w:rsid w:val="00270D0E"/>
    <w:rsid w:val="00287E79"/>
    <w:rsid w:val="002928F9"/>
    <w:rsid w:val="002A17AD"/>
    <w:rsid w:val="002A5656"/>
    <w:rsid w:val="002A5D07"/>
    <w:rsid w:val="002C68EF"/>
    <w:rsid w:val="002E0222"/>
    <w:rsid w:val="002E1A7F"/>
    <w:rsid w:val="003016B7"/>
    <w:rsid w:val="003151C8"/>
    <w:rsid w:val="003515AA"/>
    <w:rsid w:val="00366F5B"/>
    <w:rsid w:val="00372B55"/>
    <w:rsid w:val="00374106"/>
    <w:rsid w:val="003830CD"/>
    <w:rsid w:val="00392C53"/>
    <w:rsid w:val="003934E1"/>
    <w:rsid w:val="003976D5"/>
    <w:rsid w:val="003B0103"/>
    <w:rsid w:val="003B3FB0"/>
    <w:rsid w:val="003D5E87"/>
    <w:rsid w:val="003D6C68"/>
    <w:rsid w:val="00402AF3"/>
    <w:rsid w:val="00402C9C"/>
    <w:rsid w:val="00413931"/>
    <w:rsid w:val="004159D0"/>
    <w:rsid w:val="00424463"/>
    <w:rsid w:val="004253CA"/>
    <w:rsid w:val="0045151C"/>
    <w:rsid w:val="00464EEE"/>
    <w:rsid w:val="0049585E"/>
    <w:rsid w:val="004D4E45"/>
    <w:rsid w:val="00526EA0"/>
    <w:rsid w:val="00543D5E"/>
    <w:rsid w:val="00571F41"/>
    <w:rsid w:val="005E36BA"/>
    <w:rsid w:val="005E5D1F"/>
    <w:rsid w:val="0060071B"/>
    <w:rsid w:val="00611D43"/>
    <w:rsid w:val="00612D48"/>
    <w:rsid w:val="00616B45"/>
    <w:rsid w:val="00617EDF"/>
    <w:rsid w:val="00627C5B"/>
    <w:rsid w:val="00630200"/>
    <w:rsid w:val="00630D9B"/>
    <w:rsid w:val="00631953"/>
    <w:rsid w:val="006439EC"/>
    <w:rsid w:val="006850AE"/>
    <w:rsid w:val="00697ACA"/>
    <w:rsid w:val="006B4590"/>
    <w:rsid w:val="006C340C"/>
    <w:rsid w:val="006D5140"/>
    <w:rsid w:val="006D57F3"/>
    <w:rsid w:val="0070347C"/>
    <w:rsid w:val="00713C4C"/>
    <w:rsid w:val="0071451B"/>
    <w:rsid w:val="007176C1"/>
    <w:rsid w:val="00725DC9"/>
    <w:rsid w:val="00737DEE"/>
    <w:rsid w:val="00753DC8"/>
    <w:rsid w:val="00775D99"/>
    <w:rsid w:val="0078034B"/>
    <w:rsid w:val="00796940"/>
    <w:rsid w:val="007A4BEC"/>
    <w:rsid w:val="007C57FF"/>
    <w:rsid w:val="007C7846"/>
    <w:rsid w:val="007D561F"/>
    <w:rsid w:val="007F55CB"/>
    <w:rsid w:val="00844750"/>
    <w:rsid w:val="00863BFF"/>
    <w:rsid w:val="008717D8"/>
    <w:rsid w:val="00873B3C"/>
    <w:rsid w:val="00892241"/>
    <w:rsid w:val="008923D6"/>
    <w:rsid w:val="008A39ED"/>
    <w:rsid w:val="008B44C4"/>
    <w:rsid w:val="008B465A"/>
    <w:rsid w:val="008E1AE6"/>
    <w:rsid w:val="008E7ADF"/>
    <w:rsid w:val="008E7FAE"/>
    <w:rsid w:val="008F53ED"/>
    <w:rsid w:val="00911BF7"/>
    <w:rsid w:val="00936AA2"/>
    <w:rsid w:val="0094370C"/>
    <w:rsid w:val="00943FFD"/>
    <w:rsid w:val="00961113"/>
    <w:rsid w:val="00977EC8"/>
    <w:rsid w:val="00993DE6"/>
    <w:rsid w:val="00996A7C"/>
    <w:rsid w:val="009A28EC"/>
    <w:rsid w:val="009C79A5"/>
    <w:rsid w:val="009D3A8C"/>
    <w:rsid w:val="009D6A30"/>
    <w:rsid w:val="009E7956"/>
    <w:rsid w:val="009F5022"/>
    <w:rsid w:val="00A125D1"/>
    <w:rsid w:val="00A228B4"/>
    <w:rsid w:val="00A2492E"/>
    <w:rsid w:val="00A25534"/>
    <w:rsid w:val="00A605F8"/>
    <w:rsid w:val="00A720C2"/>
    <w:rsid w:val="00A87F23"/>
    <w:rsid w:val="00A91D00"/>
    <w:rsid w:val="00A9531E"/>
    <w:rsid w:val="00AA3390"/>
    <w:rsid w:val="00AA3B96"/>
    <w:rsid w:val="00AB51C8"/>
    <w:rsid w:val="00AB5FF0"/>
    <w:rsid w:val="00AC67A1"/>
    <w:rsid w:val="00AC7977"/>
    <w:rsid w:val="00AE1382"/>
    <w:rsid w:val="00AE2A54"/>
    <w:rsid w:val="00AE352C"/>
    <w:rsid w:val="00AF1CE8"/>
    <w:rsid w:val="00AF2AA8"/>
    <w:rsid w:val="00B129C3"/>
    <w:rsid w:val="00B14AB1"/>
    <w:rsid w:val="00B23DCF"/>
    <w:rsid w:val="00B32E2D"/>
    <w:rsid w:val="00B57692"/>
    <w:rsid w:val="00B61990"/>
    <w:rsid w:val="00B6620B"/>
    <w:rsid w:val="00B80AB3"/>
    <w:rsid w:val="00B878D1"/>
    <w:rsid w:val="00B93051"/>
    <w:rsid w:val="00BC1DA8"/>
    <w:rsid w:val="00BE6141"/>
    <w:rsid w:val="00BF0556"/>
    <w:rsid w:val="00BF1D47"/>
    <w:rsid w:val="00C01FD2"/>
    <w:rsid w:val="00C23320"/>
    <w:rsid w:val="00C261F8"/>
    <w:rsid w:val="00C32166"/>
    <w:rsid w:val="00C33100"/>
    <w:rsid w:val="00C4083C"/>
    <w:rsid w:val="00C57A0A"/>
    <w:rsid w:val="00C91DB8"/>
    <w:rsid w:val="00CA6A02"/>
    <w:rsid w:val="00CB4892"/>
    <w:rsid w:val="00CB5A09"/>
    <w:rsid w:val="00CB7679"/>
    <w:rsid w:val="00CC3212"/>
    <w:rsid w:val="00CC51CB"/>
    <w:rsid w:val="00CD1A71"/>
    <w:rsid w:val="00CD1FBB"/>
    <w:rsid w:val="00CE1B54"/>
    <w:rsid w:val="00CF5128"/>
    <w:rsid w:val="00D016B5"/>
    <w:rsid w:val="00D034F1"/>
    <w:rsid w:val="00D11EB0"/>
    <w:rsid w:val="00D27D5E"/>
    <w:rsid w:val="00D31835"/>
    <w:rsid w:val="00D35B2D"/>
    <w:rsid w:val="00D42EF2"/>
    <w:rsid w:val="00D47143"/>
    <w:rsid w:val="00D526C1"/>
    <w:rsid w:val="00DD1CD5"/>
    <w:rsid w:val="00DD3674"/>
    <w:rsid w:val="00DD36A5"/>
    <w:rsid w:val="00DE6D90"/>
    <w:rsid w:val="00DF002F"/>
    <w:rsid w:val="00DF3BF1"/>
    <w:rsid w:val="00DF613C"/>
    <w:rsid w:val="00E0244D"/>
    <w:rsid w:val="00E144C5"/>
    <w:rsid w:val="00E25CB3"/>
    <w:rsid w:val="00E368FF"/>
    <w:rsid w:val="00E7018C"/>
    <w:rsid w:val="00E81E94"/>
    <w:rsid w:val="00E82607"/>
    <w:rsid w:val="00E928CF"/>
    <w:rsid w:val="00EA6374"/>
    <w:rsid w:val="00F0292E"/>
    <w:rsid w:val="00F1573F"/>
    <w:rsid w:val="00F169AC"/>
    <w:rsid w:val="00F33865"/>
    <w:rsid w:val="00F623E9"/>
    <w:rsid w:val="00F83B23"/>
    <w:rsid w:val="00F97628"/>
    <w:rsid w:val="00FA5A79"/>
    <w:rsid w:val="00FB0BFE"/>
    <w:rsid w:val="00FB41FB"/>
    <w:rsid w:val="00FB4C51"/>
    <w:rsid w:val="00FC5A4E"/>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ftref,BVI fnr,16 Point,Superscript 6 Point,Footnote,Footnote symbol,Footnote Refernece,Texto de nota al pie,Fußnotenzeichen_Raxen,callout,Footnotes refss"/>
    <w:rsid w:val="008F53ED"/>
    <w:rPr>
      <w:rFonts w:ascii="Times New Roman" w:hAnsi="Times New Roman"/>
      <w:sz w:val="18"/>
      <w:vertAlign w:val="superscript"/>
      <w:lang w:val="fr-CH"/>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Text Char1"/>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uiPriority w:val="99"/>
    <w:rsid w:val="00C32166"/>
    <w:rPr>
      <w:sz w:val="18"/>
      <w:lang w:val="fr-CH" w:eastAsia="en-US"/>
    </w:rPr>
  </w:style>
  <w:style w:type="character" w:customStyle="1" w:styleId="HChGChar">
    <w:name w:val="_ H _Ch_G Char"/>
    <w:link w:val="HChG"/>
    <w:locked/>
    <w:rsid w:val="00C32166"/>
    <w:rPr>
      <w:b/>
      <w:sz w:val="28"/>
      <w:lang w:val="fr-CH" w:eastAsia="en-US"/>
    </w:rPr>
  </w:style>
  <w:style w:type="character" w:customStyle="1" w:styleId="H23GChar">
    <w:name w:val="_ H_2/3_G Char"/>
    <w:link w:val="H23G"/>
    <w:locked/>
    <w:rsid w:val="00C32166"/>
    <w:rPr>
      <w:b/>
      <w:lang w:val="fr-CH" w:eastAsia="en-US"/>
    </w:rPr>
  </w:style>
  <w:style w:type="paragraph" w:styleId="NormalWeb">
    <w:name w:val="Normal (Web)"/>
    <w:basedOn w:val="Normal"/>
    <w:uiPriority w:val="99"/>
    <w:unhideWhenUsed/>
    <w:rsid w:val="008E1AE6"/>
    <w:pPr>
      <w:suppressAutoHyphens w:val="0"/>
      <w:spacing w:before="100" w:beforeAutospacing="1" w:after="100" w:afterAutospacing="1" w:line="240" w:lineRule="auto"/>
    </w:pPr>
    <w:rPr>
      <w:sz w:val="24"/>
      <w:szCs w:val="24"/>
      <w:lang w:val="fr-FR" w:eastAsia="fr-FR"/>
    </w:rPr>
  </w:style>
  <w:style w:type="paragraph" w:styleId="ListParagraph">
    <w:name w:val="List Paragraph"/>
    <w:basedOn w:val="Normal"/>
    <w:uiPriority w:val="34"/>
    <w:qFormat/>
    <w:rsid w:val="008E1AE6"/>
    <w:pPr>
      <w:suppressAutoHyphens w:val="0"/>
      <w:spacing w:after="200" w:line="276" w:lineRule="auto"/>
      <w:ind w:left="720"/>
      <w:contextualSpacing/>
    </w:pPr>
    <w:rPr>
      <w:rFonts w:ascii="Calibri" w:eastAsia="Calibri" w:hAnsi="Calibri"/>
      <w:sz w:val="22"/>
      <w:szCs w:val="22"/>
      <w:lang w:val="fr-FR"/>
    </w:rPr>
  </w:style>
  <w:style w:type="paragraph" w:styleId="BodyText3">
    <w:name w:val="Body Text 3"/>
    <w:link w:val="BodyText3Char"/>
    <w:rsid w:val="008E1AE6"/>
    <w:pPr>
      <w:spacing w:after="120" w:line="307" w:lineRule="auto"/>
    </w:pPr>
    <w:rPr>
      <w:rFonts w:ascii="Gill Sans MT" w:hAnsi="Gill Sans MT"/>
      <w:color w:val="000080"/>
      <w:kern w:val="28"/>
      <w:sz w:val="18"/>
      <w:szCs w:val="18"/>
      <w:lang w:val="fr-FR" w:eastAsia="fr-FR"/>
    </w:rPr>
  </w:style>
  <w:style w:type="character" w:customStyle="1" w:styleId="BodyText3Char">
    <w:name w:val="Body Text 3 Char"/>
    <w:link w:val="BodyText3"/>
    <w:rsid w:val="008E1AE6"/>
    <w:rPr>
      <w:rFonts w:ascii="Gill Sans MT" w:hAnsi="Gill Sans MT"/>
      <w:color w:val="000080"/>
      <w:kern w:val="28"/>
      <w:sz w:val="18"/>
      <w:szCs w:val="18"/>
      <w:lang w:val="fr-FR" w:eastAsia="fr-FR"/>
    </w:rPr>
  </w:style>
  <w:style w:type="paragraph" w:styleId="BalloonText">
    <w:name w:val="Balloon Text"/>
    <w:basedOn w:val="Normal"/>
    <w:semiHidden/>
    <w:rsid w:val="00E25CB3"/>
    <w:rPr>
      <w:rFonts w:ascii="Tahoma" w:hAnsi="Tahoma" w:cs="Tahoma"/>
      <w:sz w:val="16"/>
      <w:szCs w:val="16"/>
    </w:rPr>
  </w:style>
  <w:style w:type="character" w:customStyle="1" w:styleId="H1GChar">
    <w:name w:val="_ H_1_G Char"/>
    <w:link w:val="H1G"/>
    <w:rsid w:val="0094370C"/>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Template>
  <TotalTime>1</TotalTime>
  <Pages>1</Pages>
  <Words>5756</Words>
  <Characters>32815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Thodiyil Sindu</dc:creator>
  <cp:keywords/>
  <cp:lastModifiedBy>DCM</cp:lastModifiedBy>
  <cp:revision>2</cp:revision>
  <cp:lastPrinted>2013-10-07T08:33:00Z</cp:lastPrinted>
  <dcterms:created xsi:type="dcterms:W3CDTF">2013-10-09T12:59:00Z</dcterms:created>
  <dcterms:modified xsi:type="dcterms:W3CDTF">2013-10-09T12:59:00Z</dcterms:modified>
</cp:coreProperties>
</file>