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627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62789" w:rsidP="00F62789">
            <w:pPr>
              <w:jc w:val="right"/>
            </w:pPr>
            <w:r w:rsidRPr="00F62789">
              <w:rPr>
                <w:sz w:val="40"/>
              </w:rPr>
              <w:t>CCPR</w:t>
            </w:r>
            <w:r>
              <w:t>/C/LIE/CO/2</w:t>
            </w:r>
          </w:p>
        </w:tc>
      </w:tr>
      <w:tr w:rsidR="002D5AAC" w:rsidRPr="00015C14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FF662F" wp14:editId="72FFDE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62789" w:rsidRDefault="00F62789" w:rsidP="00BC3629">
            <w:pPr>
              <w:spacing w:before="240"/>
              <w:rPr>
                <w:lang w:val="en-US"/>
              </w:rPr>
            </w:pPr>
            <w:r w:rsidRPr="00F62789">
              <w:rPr>
                <w:lang w:val="en-US"/>
              </w:rPr>
              <w:t>Distr.: General</w:t>
            </w:r>
          </w:p>
          <w:p w:rsidR="00F62789" w:rsidRPr="00F62789" w:rsidRDefault="00F62789" w:rsidP="00F62789">
            <w:pPr>
              <w:spacing w:line="240" w:lineRule="exact"/>
              <w:rPr>
                <w:lang w:val="en-US"/>
              </w:rPr>
            </w:pPr>
            <w:r w:rsidRPr="00F62789">
              <w:rPr>
                <w:lang w:val="en-US"/>
              </w:rPr>
              <w:t>21 August 2017</w:t>
            </w:r>
          </w:p>
          <w:p w:rsidR="00F62789" w:rsidRPr="00F62789" w:rsidRDefault="00F62789" w:rsidP="00F62789">
            <w:pPr>
              <w:spacing w:line="240" w:lineRule="exact"/>
              <w:rPr>
                <w:lang w:val="en-US"/>
              </w:rPr>
            </w:pPr>
            <w:r w:rsidRPr="00F62789">
              <w:rPr>
                <w:lang w:val="en-US"/>
              </w:rPr>
              <w:t>Russian</w:t>
            </w:r>
          </w:p>
          <w:p w:rsidR="00F62789" w:rsidRPr="00F62789" w:rsidRDefault="00F62789" w:rsidP="00F62789">
            <w:pPr>
              <w:spacing w:line="240" w:lineRule="exact"/>
              <w:rPr>
                <w:lang w:val="en-US"/>
              </w:rPr>
            </w:pPr>
            <w:r w:rsidRPr="00F62789">
              <w:rPr>
                <w:lang w:val="en-US"/>
              </w:rPr>
              <w:t>Original: English</w:t>
            </w:r>
          </w:p>
        </w:tc>
      </w:tr>
    </w:tbl>
    <w:p w:rsidR="00F62789" w:rsidRPr="00F62789" w:rsidRDefault="00F62789" w:rsidP="00F62789">
      <w:pPr>
        <w:spacing w:before="120"/>
        <w:rPr>
          <w:sz w:val="24"/>
          <w:szCs w:val="24"/>
        </w:rPr>
      </w:pPr>
      <w:r w:rsidRPr="00F62789">
        <w:rPr>
          <w:b/>
          <w:bCs/>
          <w:sz w:val="24"/>
          <w:szCs w:val="24"/>
        </w:rPr>
        <w:t>Комитет по правам человека</w:t>
      </w:r>
    </w:p>
    <w:p w:rsidR="00381C24" w:rsidRPr="00F62789" w:rsidRDefault="00F62789" w:rsidP="00F62789">
      <w:pPr>
        <w:pStyle w:val="HChGR"/>
      </w:pPr>
      <w:r w:rsidRPr="00015C14">
        <w:tab/>
      </w:r>
      <w:r w:rsidRPr="00015C14">
        <w:tab/>
      </w:r>
      <w:r w:rsidRPr="00F62789">
        <w:t>Заключительные замечания по второму периодическому докладу Лихтенштейна</w:t>
      </w:r>
      <w:r w:rsidRPr="00F6278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F62789" w:rsidRPr="00F62789" w:rsidRDefault="00F62789" w:rsidP="00F62789">
      <w:pPr>
        <w:pStyle w:val="SingleTxtGR"/>
      </w:pPr>
      <w:r w:rsidRPr="00F62789">
        <w:t>1.</w:t>
      </w:r>
      <w:r w:rsidRPr="00F62789">
        <w:tab/>
        <w:t>Комитет рассмотрел второй периодический доклад Лихтенштейна</w:t>
      </w:r>
      <w:r w:rsidR="00637754">
        <w:t xml:space="preserve"> </w:t>
      </w:r>
      <w:r w:rsidRPr="00F62789">
        <w:t>(CCPR/C/LIE/2) на своих 3376-м и 3377-м за</w:t>
      </w:r>
      <w:r>
        <w:t>седаниях (см. CCPR/C/SR. 3376 и</w:t>
      </w:r>
      <w:r>
        <w:rPr>
          <w:lang w:val="en-US"/>
        </w:rPr>
        <w:t> </w:t>
      </w:r>
      <w:r w:rsidRPr="00F62789">
        <w:t>3377), состоявшихся 4 и 5 июля 2017 года. На своем 3403-м заседании, сост</w:t>
      </w:r>
      <w:r w:rsidRPr="00F62789">
        <w:t>о</w:t>
      </w:r>
      <w:r w:rsidRPr="00F62789">
        <w:t>явшемся 24 июля 2017 года, он принял настоящие заключительные замечания.</w:t>
      </w:r>
    </w:p>
    <w:p w:rsidR="00F62789" w:rsidRPr="00F62789" w:rsidRDefault="00F62789" w:rsidP="00E6738A">
      <w:pPr>
        <w:pStyle w:val="H1GR"/>
        <w:spacing w:before="300" w:after="200"/>
      </w:pPr>
      <w:r w:rsidRPr="00015C14">
        <w:tab/>
      </w:r>
      <w:r w:rsidRPr="00F62789">
        <w:t>A.</w:t>
      </w:r>
      <w:r w:rsidRPr="00F62789">
        <w:tab/>
        <w:t>Введение</w:t>
      </w:r>
    </w:p>
    <w:p w:rsidR="00F62789" w:rsidRPr="00F62789" w:rsidRDefault="00F62789" w:rsidP="00F62789">
      <w:pPr>
        <w:pStyle w:val="SingleTxtGR"/>
      </w:pPr>
      <w:r w:rsidRPr="00F62789">
        <w:t>2.</w:t>
      </w:r>
      <w:r w:rsidRPr="00F62789">
        <w:tab/>
        <w:t>Комитет приветствует представление второго периодического доклад</w:t>
      </w:r>
      <w:r w:rsidR="00E6738A">
        <w:t>а</w:t>
      </w:r>
      <w:r w:rsidRPr="00F62789">
        <w:t xml:space="preserve"> Лихтенштейна, несмотря на то, что он был представлен более чем с семиле</w:t>
      </w:r>
      <w:r w:rsidRPr="00F62789">
        <w:t>т</w:t>
      </w:r>
      <w:r w:rsidRPr="00F62789">
        <w:t>ним опозданием, а также содержащуюся в нем информацию. Он выражает уд</w:t>
      </w:r>
      <w:r w:rsidRPr="00F62789">
        <w:t>о</w:t>
      </w:r>
      <w:r w:rsidRPr="00F62789">
        <w:t>влетворение в связи с возможностью возобновить конструктивный диалог с д</w:t>
      </w:r>
      <w:r w:rsidRPr="00F62789">
        <w:t>е</w:t>
      </w:r>
      <w:r w:rsidRPr="00F62789">
        <w:t>легацией государства-участника по вопросу о мерах, принятых за отчетный п</w:t>
      </w:r>
      <w:r w:rsidRPr="00F62789">
        <w:t>е</w:t>
      </w:r>
      <w:r w:rsidRPr="00F62789">
        <w:t>риод с целью осуществления положений Пакта. Комитет благодарит госуда</w:t>
      </w:r>
      <w:r w:rsidRPr="00F62789">
        <w:t>р</w:t>
      </w:r>
      <w:r w:rsidRPr="00F62789">
        <w:t>ство-участник за письменные ответы (CCPR/C/LIE/Q/2/Add.1) на перечень в</w:t>
      </w:r>
      <w:r w:rsidRPr="00F62789">
        <w:t>о</w:t>
      </w:r>
      <w:r w:rsidRPr="00F62789">
        <w:t>просов (CCPR/C/LIE/Q/2), дополненные устными ответами делегации.</w:t>
      </w:r>
    </w:p>
    <w:p w:rsidR="00F62789" w:rsidRPr="00F62789" w:rsidRDefault="00F62789" w:rsidP="00E6738A">
      <w:pPr>
        <w:pStyle w:val="H1GR"/>
        <w:spacing w:before="300" w:after="200"/>
      </w:pPr>
      <w:r w:rsidRPr="00015C14">
        <w:tab/>
      </w:r>
      <w:r w:rsidRPr="00F62789">
        <w:t>B.</w:t>
      </w:r>
      <w:r w:rsidRPr="00F62789">
        <w:tab/>
        <w:t>Позитивные аспекты</w:t>
      </w:r>
    </w:p>
    <w:p w:rsidR="00F62789" w:rsidRPr="00F62789" w:rsidRDefault="00F62789" w:rsidP="00E6738A">
      <w:pPr>
        <w:pStyle w:val="SingleTxtGR"/>
        <w:spacing w:after="100"/>
      </w:pPr>
      <w:r w:rsidRPr="00F62789">
        <w:t>3.</w:t>
      </w:r>
      <w:r w:rsidRPr="00F62789">
        <w:tab/>
        <w:t>Комитет приветствует следующие законодательные меры, принятые гос</w:t>
      </w:r>
      <w:r w:rsidRPr="00F62789">
        <w:t>у</w:t>
      </w:r>
      <w:r w:rsidRPr="00F62789">
        <w:t>дарством-участником:</w:t>
      </w:r>
    </w:p>
    <w:p w:rsidR="00F62789" w:rsidRPr="00F62789" w:rsidRDefault="00F62789" w:rsidP="00E6738A">
      <w:pPr>
        <w:pStyle w:val="SingleTxtGR"/>
        <w:spacing w:after="100"/>
      </w:pPr>
      <w:r w:rsidRPr="00F62789">
        <w:tab/>
        <w:t>а)</w:t>
      </w:r>
      <w:r w:rsidRPr="00F62789">
        <w:tab/>
        <w:t>принятие в апреле 2016 года поправки к статье 283 Уголовного к</w:t>
      </w:r>
      <w:r w:rsidRPr="00F62789">
        <w:t>о</w:t>
      </w:r>
      <w:r w:rsidRPr="00F62789">
        <w:t>декса, вводящей всеобъемлющее запрещение дискриминации;</w:t>
      </w:r>
    </w:p>
    <w:p w:rsidR="00F62789" w:rsidRPr="00F62789" w:rsidRDefault="00F62789" w:rsidP="00E6738A">
      <w:pPr>
        <w:pStyle w:val="SingleTxtGR"/>
        <w:spacing w:after="100"/>
      </w:pPr>
      <w:r w:rsidRPr="00F62789">
        <w:tab/>
        <w:t>b)</w:t>
      </w:r>
      <w:r w:rsidRPr="00F62789">
        <w:tab/>
        <w:t xml:space="preserve">принятие в ноябре 2016 года Закона о </w:t>
      </w:r>
      <w:proofErr w:type="spellStart"/>
      <w:r w:rsidRPr="00F62789">
        <w:t>Лихтенштейнской</w:t>
      </w:r>
      <w:proofErr w:type="spellEnd"/>
      <w:r w:rsidRPr="00F62789">
        <w:t xml:space="preserve"> правоз</w:t>
      </w:r>
      <w:r w:rsidRPr="00F62789">
        <w:t>а</w:t>
      </w:r>
      <w:r w:rsidRPr="00F62789">
        <w:t>щитной ассоциации, позволившего учредить независимое национальное прав</w:t>
      </w:r>
      <w:r w:rsidRPr="00F62789">
        <w:t>о</w:t>
      </w:r>
      <w:r w:rsidRPr="00F62789">
        <w:t>защитное учреждение в соответствии с принципами, касающимися статуса национальных учреждений, занимающихся поощрением и защитой прав чел</w:t>
      </w:r>
      <w:r w:rsidRPr="00F62789">
        <w:t>о</w:t>
      </w:r>
      <w:r w:rsidRPr="00F62789">
        <w:t>века (Парижские принципы)</w:t>
      </w:r>
      <w:r w:rsidR="00E6738A">
        <w:t>;</w:t>
      </w:r>
      <w:r w:rsidRPr="00F62789">
        <w:t xml:space="preserve"> </w:t>
      </w:r>
    </w:p>
    <w:p w:rsidR="00F62789" w:rsidRPr="00F62789" w:rsidRDefault="00F62789" w:rsidP="00E6738A">
      <w:pPr>
        <w:pStyle w:val="SingleTxtGR"/>
        <w:spacing w:after="100"/>
      </w:pPr>
      <w:r w:rsidRPr="00F62789">
        <w:tab/>
        <w:t>с)</w:t>
      </w:r>
      <w:r w:rsidRPr="00F62789">
        <w:tab/>
        <w:t>вступление в силу в 2011 году Закона о зарегистрированном пар</w:t>
      </w:r>
      <w:r w:rsidRPr="00F62789">
        <w:t>т</w:t>
      </w:r>
      <w:r w:rsidRPr="00F62789">
        <w:t xml:space="preserve">нерстве однополых пар. </w:t>
      </w:r>
    </w:p>
    <w:p w:rsidR="00F62789" w:rsidRPr="00F62789" w:rsidRDefault="00F62789" w:rsidP="00E6738A">
      <w:pPr>
        <w:pStyle w:val="SingleTxtGR"/>
        <w:spacing w:after="100"/>
      </w:pPr>
      <w:r w:rsidRPr="00F62789">
        <w:t>4.</w:t>
      </w:r>
      <w:r w:rsidRPr="00F62789">
        <w:tab/>
        <w:t>Комитет также приветствует ратификацию государством-участником сл</w:t>
      </w:r>
      <w:r w:rsidRPr="00F62789">
        <w:t>е</w:t>
      </w:r>
      <w:r w:rsidRPr="00F62789">
        <w:t>дующих международных договоров:</w:t>
      </w:r>
    </w:p>
    <w:p w:rsidR="00F62789" w:rsidRPr="00F62789" w:rsidRDefault="00F62789" w:rsidP="00E6738A">
      <w:pPr>
        <w:pStyle w:val="SingleTxtGR"/>
        <w:spacing w:after="100"/>
      </w:pPr>
      <w:r w:rsidRPr="00F62789">
        <w:tab/>
        <w:t>а)</w:t>
      </w:r>
      <w:r w:rsidRPr="00F62789">
        <w:tab/>
        <w:t>Факультативного протокола к Конвенции о правах ребенка, каса</w:t>
      </w:r>
      <w:r w:rsidRPr="00F62789">
        <w:t>ю</w:t>
      </w:r>
      <w:r w:rsidRPr="00F62789">
        <w:t>щегося процедуры сообщений – 25 января 2017 года;</w:t>
      </w:r>
    </w:p>
    <w:p w:rsidR="00F62789" w:rsidRPr="00F62789" w:rsidRDefault="00F62789" w:rsidP="00E6738A">
      <w:pPr>
        <w:pStyle w:val="SingleTxtGR"/>
        <w:spacing w:after="100"/>
      </w:pPr>
      <w:r w:rsidRPr="00F62789">
        <w:tab/>
        <w:t>b)</w:t>
      </w:r>
      <w:r w:rsidRPr="00F62789">
        <w:tab/>
        <w:t xml:space="preserve">Конвенции о сокращении </w:t>
      </w:r>
      <w:proofErr w:type="spellStart"/>
      <w:r w:rsidRPr="00F62789">
        <w:t>безгражданства</w:t>
      </w:r>
      <w:proofErr w:type="spellEnd"/>
      <w:r w:rsidRPr="00F62789">
        <w:t xml:space="preserve"> – в 2009 году;</w:t>
      </w:r>
    </w:p>
    <w:p w:rsidR="00F62789" w:rsidRPr="00F62789" w:rsidRDefault="00F62789" w:rsidP="00E6738A">
      <w:pPr>
        <w:pStyle w:val="SingleTxtGR"/>
        <w:spacing w:after="100"/>
      </w:pPr>
      <w:r w:rsidRPr="00F62789">
        <w:tab/>
        <w:t>с)</w:t>
      </w:r>
      <w:r w:rsidRPr="00F62789">
        <w:tab/>
        <w:t>Конвенци</w:t>
      </w:r>
      <w:r w:rsidR="00015C14">
        <w:t>и</w:t>
      </w:r>
      <w:r w:rsidRPr="00F62789">
        <w:t xml:space="preserve"> о статусе апатридов </w:t>
      </w:r>
      <w:r w:rsidR="00E6738A">
        <w:t>–</w:t>
      </w:r>
      <w:r w:rsidRPr="00F62789">
        <w:t xml:space="preserve"> в 2009 году</w:t>
      </w:r>
      <w:r w:rsidR="00E6738A">
        <w:t>.</w:t>
      </w:r>
    </w:p>
    <w:p w:rsidR="00F62789" w:rsidRPr="00F62789" w:rsidRDefault="00F62789" w:rsidP="00F62789">
      <w:pPr>
        <w:pStyle w:val="H1GR"/>
      </w:pPr>
      <w:r w:rsidRPr="00E6738A">
        <w:lastRenderedPageBreak/>
        <w:tab/>
      </w:r>
      <w:r w:rsidRPr="00F62789">
        <w:t>C.</w:t>
      </w:r>
      <w:r w:rsidRPr="00F62789">
        <w:tab/>
        <w:t>Основные вопросы</w:t>
      </w:r>
      <w:r>
        <w:t>, вызывающие обеспокоенность, и</w:t>
      </w:r>
      <w:r>
        <w:rPr>
          <w:lang w:val="en-US"/>
        </w:rPr>
        <w:t> </w:t>
      </w:r>
      <w:r w:rsidRPr="00F62789">
        <w:t>рекомендации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Подготовка по положениям Пакт</w:t>
      </w:r>
      <w:r w:rsidR="00E6738A">
        <w:t>а</w:t>
      </w:r>
    </w:p>
    <w:p w:rsidR="00F62789" w:rsidRPr="00F62789" w:rsidRDefault="00F62789" w:rsidP="00F62789">
      <w:pPr>
        <w:pStyle w:val="SingleTxtGR"/>
      </w:pPr>
      <w:r w:rsidRPr="00F62789">
        <w:t>5.</w:t>
      </w:r>
      <w:r w:rsidRPr="00F62789">
        <w:tab/>
        <w:t>Комитет отмечает, что судьи и работники прокуратуры проходят подг</w:t>
      </w:r>
      <w:r w:rsidRPr="00F62789">
        <w:t>о</w:t>
      </w:r>
      <w:r w:rsidRPr="00F62789">
        <w:t>товку по положениям Пакта, в то время как для адвокатов такие информацио</w:t>
      </w:r>
      <w:r w:rsidRPr="00F62789">
        <w:t>н</w:t>
      </w:r>
      <w:r w:rsidRPr="00F62789">
        <w:t>но-просветительские меры не проводятся (статья 2).</w:t>
      </w:r>
    </w:p>
    <w:p w:rsidR="00F62789" w:rsidRPr="00F62789" w:rsidRDefault="00F62789" w:rsidP="00F62789">
      <w:pPr>
        <w:pStyle w:val="SingleTxtGR"/>
        <w:rPr>
          <w:b/>
        </w:rPr>
      </w:pPr>
      <w:r w:rsidRPr="00F62789">
        <w:t>6.</w:t>
      </w:r>
      <w:r w:rsidRPr="00F62789">
        <w:tab/>
      </w:r>
      <w:r w:rsidRPr="006B6CB1">
        <w:rPr>
          <w:b/>
        </w:rPr>
        <w:t>Государству-участнику следует продолжить свои усилия по повыш</w:t>
      </w:r>
      <w:r w:rsidRPr="006B6CB1">
        <w:rPr>
          <w:b/>
        </w:rPr>
        <w:t>е</w:t>
      </w:r>
      <w:r w:rsidRPr="006B6CB1">
        <w:rPr>
          <w:b/>
        </w:rPr>
        <w:t>нию осведомленности о Пакте среди адвокатов для обеспечения того, чт</w:t>
      </w:r>
      <w:r w:rsidRPr="006B6CB1">
        <w:rPr>
          <w:b/>
        </w:rPr>
        <w:t>о</w:t>
      </w:r>
      <w:r w:rsidRPr="006B6CB1">
        <w:rPr>
          <w:b/>
        </w:rPr>
        <w:t xml:space="preserve">бы на его положения можно было ссылаться и применять их во внутренних судах. 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Национальное правозащитное учреждение</w:t>
      </w:r>
    </w:p>
    <w:p w:rsidR="00F62789" w:rsidRPr="008C0425" w:rsidRDefault="00F62789" w:rsidP="00F62789">
      <w:pPr>
        <w:pStyle w:val="SingleTxtGR"/>
      </w:pPr>
      <w:r w:rsidRPr="00F62789">
        <w:t>7.</w:t>
      </w:r>
      <w:r w:rsidRPr="00F62789">
        <w:tab/>
        <w:t>Комитет с удовлетворением отмечает принятие законодательства о созд</w:t>
      </w:r>
      <w:r w:rsidRPr="00F62789">
        <w:t>а</w:t>
      </w:r>
      <w:r w:rsidRPr="00F62789">
        <w:t xml:space="preserve">нии </w:t>
      </w:r>
      <w:proofErr w:type="spellStart"/>
      <w:r w:rsidRPr="00F62789">
        <w:t>Лихтенштейнской</w:t>
      </w:r>
      <w:proofErr w:type="spellEnd"/>
      <w:r>
        <w:t xml:space="preserve"> </w:t>
      </w:r>
      <w:r w:rsidRPr="00F62789">
        <w:t>правозащитной ассоциации, но выражает обеспокое</w:t>
      </w:r>
      <w:r w:rsidRPr="00F62789">
        <w:t>н</w:t>
      </w:r>
      <w:r w:rsidRPr="00F62789">
        <w:t>ность по поводу того, что объем финансовых ресурсов, выделяемых ей госуда</w:t>
      </w:r>
      <w:r w:rsidRPr="00F62789">
        <w:t>р</w:t>
      </w:r>
      <w:r w:rsidRPr="00F62789">
        <w:t>ством-участником, может оказаться недостаточным для успешного выполнения ею сво</w:t>
      </w:r>
      <w:r w:rsidR="00E6738A">
        <w:t>е</w:t>
      </w:r>
      <w:r w:rsidRPr="00F62789">
        <w:t>го широкого мандата. При том, что Ассоциация может беспрепятстве</w:t>
      </w:r>
      <w:r w:rsidRPr="00F62789">
        <w:t>н</w:t>
      </w:r>
      <w:r w:rsidRPr="00F62789">
        <w:t>но заниматься мобилизацией дополнительных средств, ее способность выпо</w:t>
      </w:r>
      <w:r w:rsidRPr="00F62789">
        <w:t>л</w:t>
      </w:r>
      <w:r w:rsidRPr="00F62789">
        <w:t>нять все возложенные на нее функции не должна ставиться в зависимость от текущих усилий по мобилизации средств (статья 2)</w:t>
      </w:r>
      <w:r w:rsidR="008C0425" w:rsidRPr="008C0425">
        <w:t>.</w:t>
      </w:r>
    </w:p>
    <w:p w:rsidR="00F62789" w:rsidRPr="006B6CB1" w:rsidRDefault="00F62789" w:rsidP="00F62789">
      <w:pPr>
        <w:pStyle w:val="SingleTxtGR"/>
        <w:rPr>
          <w:b/>
        </w:rPr>
      </w:pPr>
      <w:r w:rsidRPr="00F62789">
        <w:t>8.</w:t>
      </w:r>
      <w:r w:rsidRPr="00F62789">
        <w:tab/>
      </w:r>
      <w:r w:rsidRPr="006B6CB1">
        <w:rPr>
          <w:b/>
        </w:rPr>
        <w:t xml:space="preserve">Государству-участнику следует: 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а)</w:t>
      </w:r>
      <w:r w:rsidRPr="006B6CB1">
        <w:rPr>
          <w:b/>
        </w:rPr>
        <w:tab/>
        <w:t>выделять достаточные финансовые средства для ассоциац</w:t>
      </w:r>
      <w:r w:rsidR="00EB694B">
        <w:rPr>
          <w:b/>
        </w:rPr>
        <w:t>ии, с </w:t>
      </w:r>
      <w:proofErr w:type="gramStart"/>
      <w:r w:rsidRPr="006B6CB1">
        <w:rPr>
          <w:b/>
        </w:rPr>
        <w:t>тем</w:t>
      </w:r>
      <w:proofErr w:type="gramEnd"/>
      <w:r w:rsidRPr="006B6CB1">
        <w:rPr>
          <w:b/>
        </w:rPr>
        <w:t xml:space="preserve"> чтобы охватить все элементы своего всеобъемлющего мандата по з</w:t>
      </w:r>
      <w:r w:rsidRPr="006B6CB1">
        <w:rPr>
          <w:b/>
        </w:rPr>
        <w:t>а</w:t>
      </w:r>
      <w:r w:rsidRPr="006B6CB1">
        <w:rPr>
          <w:b/>
        </w:rPr>
        <w:t>щите и поощрению прав человека, включая содействие обеспечению р</w:t>
      </w:r>
      <w:r w:rsidRPr="006B6CB1">
        <w:rPr>
          <w:b/>
        </w:rPr>
        <w:t>а</w:t>
      </w:r>
      <w:r w:rsidRPr="006B6CB1">
        <w:rPr>
          <w:b/>
        </w:rPr>
        <w:t xml:space="preserve">венства мужчин и женщин; 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b)</w:t>
      </w:r>
      <w:r w:rsidRPr="006B6CB1">
        <w:rPr>
          <w:b/>
        </w:rPr>
        <w:tab/>
        <w:t>обеспечить, чтобы законодательство, на основании которого была создана Ассоциация, обеспечивало, чтобы ее членский состав явля</w:t>
      </w:r>
      <w:r w:rsidRPr="006B6CB1">
        <w:rPr>
          <w:b/>
        </w:rPr>
        <w:t>л</w:t>
      </w:r>
      <w:r w:rsidRPr="006B6CB1">
        <w:rPr>
          <w:b/>
        </w:rPr>
        <w:t>ся отражением социального плюрализма и многообразия, а не просто дел</w:t>
      </w:r>
      <w:r w:rsidRPr="006B6CB1">
        <w:rPr>
          <w:b/>
        </w:rPr>
        <w:t>а</w:t>
      </w:r>
      <w:r w:rsidRPr="006B6CB1">
        <w:rPr>
          <w:b/>
        </w:rPr>
        <w:t xml:space="preserve">ло это возможным. 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Оговорки к Пакту</w:t>
      </w:r>
    </w:p>
    <w:p w:rsidR="00F62789" w:rsidRPr="00F62789" w:rsidRDefault="00F62789" w:rsidP="00F62789">
      <w:pPr>
        <w:pStyle w:val="SingleTxtGR"/>
      </w:pPr>
      <w:r w:rsidRPr="00F62789">
        <w:t>9.</w:t>
      </w:r>
      <w:r w:rsidRPr="00F62789">
        <w:tab/>
        <w:t>Приветствуя информацию о том, что о</w:t>
      </w:r>
      <w:r w:rsidR="008C0425">
        <w:t>говорка государства-участника к</w:t>
      </w:r>
      <w:r w:rsidR="008C0425">
        <w:rPr>
          <w:lang w:val="en-US"/>
        </w:rPr>
        <w:t> </w:t>
      </w:r>
      <w:r w:rsidRPr="00F62789">
        <w:t>статье 24 Пакта (3) была снята в 2009 году, Комитет в тоже время отмечает, что госу</w:t>
      </w:r>
      <w:bookmarkStart w:id="0" w:name="_GoBack"/>
      <w:bookmarkEnd w:id="0"/>
      <w:r w:rsidRPr="00F62789">
        <w:t>дарство-участник сохраняет оговорки в отношении важных аспектов статей 14, 17 и 26 Пакта. По мнению Комитета, эти оговорки не являются нео</w:t>
      </w:r>
      <w:r w:rsidRPr="00F62789">
        <w:t>б</w:t>
      </w:r>
      <w:r w:rsidRPr="00F62789">
        <w:t>ходимыми</w:t>
      </w:r>
      <w:r w:rsidR="00015C14">
        <w:t xml:space="preserve"> (статья 2)</w:t>
      </w:r>
      <w:r w:rsidRPr="00F62789">
        <w:t>.</w:t>
      </w:r>
    </w:p>
    <w:p w:rsidR="00F62789" w:rsidRPr="00F62789" w:rsidRDefault="00F62789" w:rsidP="00F62789">
      <w:pPr>
        <w:pStyle w:val="SingleTxtGR"/>
        <w:rPr>
          <w:b/>
        </w:rPr>
      </w:pPr>
      <w:r w:rsidRPr="00F62789">
        <w:t>10.</w:t>
      </w:r>
      <w:r w:rsidRPr="00F62789">
        <w:tab/>
      </w:r>
      <w:r w:rsidRPr="006B6CB1">
        <w:rPr>
          <w:b/>
        </w:rPr>
        <w:t>Государству-участнику следует рассмотреть вопрос о снятии оста</w:t>
      </w:r>
      <w:r w:rsidRPr="006B6CB1">
        <w:rPr>
          <w:b/>
        </w:rPr>
        <w:t>в</w:t>
      </w:r>
      <w:r w:rsidRPr="006B6CB1">
        <w:rPr>
          <w:b/>
        </w:rPr>
        <w:t>шихся оговорок к статьям 14, 17 и 26 Пакта.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Законодательство о борьбе с дискриминацией</w:t>
      </w:r>
    </w:p>
    <w:p w:rsidR="00F62789" w:rsidRPr="00F62789" w:rsidRDefault="00F62789" w:rsidP="00F62789">
      <w:pPr>
        <w:pStyle w:val="SingleTxtGR"/>
      </w:pPr>
      <w:r w:rsidRPr="00F62789">
        <w:t>11.</w:t>
      </w:r>
      <w:r w:rsidRPr="00F62789">
        <w:tab/>
        <w:t>Комитет отмечает, что принцип равного обращения провозглашен в Ко</w:t>
      </w:r>
      <w:r w:rsidRPr="00F62789">
        <w:t>н</w:t>
      </w:r>
      <w:r w:rsidRPr="00F62789">
        <w:t>ституции и находит свое отражение в ряде законодательных актов, включая а</w:t>
      </w:r>
      <w:r w:rsidRPr="00F62789">
        <w:t>н</w:t>
      </w:r>
      <w:r w:rsidRPr="00F62789">
        <w:t>тидискриминационные положения в трудовом законодательстве государства-участника, поправку к статье 283 Уголовного кодекса, Закон о гендерном раве</w:t>
      </w:r>
      <w:r w:rsidRPr="00F62789">
        <w:t>н</w:t>
      </w:r>
      <w:r w:rsidRPr="00F62789">
        <w:t>стве и Закон о равенстве инвалидов. При этом</w:t>
      </w:r>
      <w:r>
        <w:t xml:space="preserve"> </w:t>
      </w:r>
      <w:r w:rsidRPr="00F62789">
        <w:t>Комитет по-прежнему обеспок</w:t>
      </w:r>
      <w:r w:rsidRPr="00F62789">
        <w:t>о</w:t>
      </w:r>
      <w:r w:rsidRPr="00F62789">
        <w:t>ен тем, что всеобъемлющий запрет на дискриминацию предусмотрен вне пол</w:t>
      </w:r>
      <w:r w:rsidRPr="00F62789">
        <w:t>о</w:t>
      </w:r>
      <w:r w:rsidRPr="00F62789">
        <w:t>жений уголовного права</w:t>
      </w:r>
      <w:r>
        <w:t xml:space="preserve"> </w:t>
      </w:r>
      <w:r w:rsidRPr="00F62789">
        <w:t>и что запрещение множественной дискриминации не предусмотрено ни в одном из действующих антидискриминационных полож</w:t>
      </w:r>
      <w:r w:rsidRPr="00F62789">
        <w:t>е</w:t>
      </w:r>
      <w:r w:rsidRPr="00F62789">
        <w:t>ний внутреннего права (статьи 2 и 26).</w:t>
      </w:r>
    </w:p>
    <w:p w:rsidR="00F62789" w:rsidRPr="00F62789" w:rsidRDefault="00F62789" w:rsidP="00F62789">
      <w:pPr>
        <w:pStyle w:val="SingleTxtGR"/>
        <w:rPr>
          <w:b/>
        </w:rPr>
      </w:pPr>
      <w:r w:rsidRPr="00F62789">
        <w:t>12.</w:t>
      </w:r>
      <w:r w:rsidRPr="00F62789">
        <w:tab/>
      </w:r>
      <w:r w:rsidRPr="006B6CB1">
        <w:rPr>
          <w:b/>
        </w:rPr>
        <w:t>Государству-участнику следует принять все необходимые мер</w:t>
      </w:r>
      <w:r w:rsidR="00EB694B">
        <w:rPr>
          <w:b/>
        </w:rPr>
        <w:t>ы для </w:t>
      </w:r>
      <w:r w:rsidRPr="006B6CB1">
        <w:rPr>
          <w:b/>
        </w:rPr>
        <w:t>обеспечения того, чтобы в его правовой базе: a) была полностью з</w:t>
      </w:r>
      <w:r w:rsidRPr="006B6CB1">
        <w:rPr>
          <w:b/>
        </w:rPr>
        <w:t>а</w:t>
      </w:r>
      <w:r w:rsidRPr="006B6CB1">
        <w:rPr>
          <w:b/>
        </w:rPr>
        <w:t>прещена любая дискриминацию, включая множественную дискримин</w:t>
      </w:r>
      <w:r w:rsidRPr="006B6CB1">
        <w:rPr>
          <w:b/>
        </w:rPr>
        <w:t>а</w:t>
      </w:r>
      <w:r w:rsidRPr="006B6CB1">
        <w:rPr>
          <w:b/>
        </w:rPr>
        <w:t>цию; и b) предусматривала эффективные средства защиты в случае нар</w:t>
      </w:r>
      <w:r w:rsidRPr="006B6CB1">
        <w:rPr>
          <w:b/>
        </w:rPr>
        <w:t>у</w:t>
      </w:r>
      <w:r w:rsidRPr="006B6CB1">
        <w:rPr>
          <w:b/>
        </w:rPr>
        <w:lastRenderedPageBreak/>
        <w:t>шений. Государству-участнику следует также обеспечить подготовку судей, прокуроров и адвокатов по положениям статей 33 (5) и 283 Уголовного к</w:t>
      </w:r>
      <w:r w:rsidRPr="006B6CB1">
        <w:rPr>
          <w:b/>
        </w:rPr>
        <w:t>о</w:t>
      </w:r>
      <w:r w:rsidRPr="006B6CB1">
        <w:rPr>
          <w:b/>
        </w:rPr>
        <w:t>декса и повысить осведомленности общественности об этих положениях.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Гендерное равенство</w:t>
      </w:r>
    </w:p>
    <w:p w:rsidR="00F62789" w:rsidRPr="00F62789" w:rsidRDefault="00F62789" w:rsidP="00F62789">
      <w:pPr>
        <w:pStyle w:val="SingleTxtGR"/>
      </w:pPr>
      <w:r w:rsidRPr="00F62789">
        <w:t>13.</w:t>
      </w:r>
      <w:r w:rsidRPr="00F62789">
        <w:tab/>
        <w:t>Отмечая меры, принятые государством-участником для укрепления ге</w:t>
      </w:r>
      <w:r w:rsidRPr="00F62789">
        <w:t>н</w:t>
      </w:r>
      <w:r w:rsidRPr="00F62789">
        <w:t>дерного равенства, Комитет с обеспокоенностью отмечает, что государство-участник сделало заявление о том, что он</w:t>
      </w:r>
      <w:r w:rsidR="00E6738A">
        <w:t>о</w:t>
      </w:r>
      <w:r w:rsidRPr="00F62789">
        <w:t xml:space="preserve"> не толкует положения статьи 3 Па</w:t>
      </w:r>
      <w:r w:rsidRPr="00F62789">
        <w:t>к</w:t>
      </w:r>
      <w:r w:rsidRPr="00F62789">
        <w:t>та как представляющие собой препятствие для реализации конституционных норм, касающихся наследования трона Правящего князя, которое регулируется особым автономным правом. Комитет разделяет обеспокоенность Комитета по ликвидации дискриминации в отношении женщин (см. CEDAW/C/LIE/CO/4, пункт 12) тем, что это заявление может иметь потенциально негативные п</w:t>
      </w:r>
      <w:r w:rsidRPr="00F62789">
        <w:t>о</w:t>
      </w:r>
      <w:r w:rsidRPr="00F62789">
        <w:t>следствия для очевидной приверженности государства-участника общим ра</w:t>
      </w:r>
      <w:r w:rsidRPr="00F62789">
        <w:t>м</w:t>
      </w:r>
      <w:r w:rsidRPr="00F62789">
        <w:t>кам обеспечения равенства (статьи 2, 3 и 26).</w:t>
      </w:r>
    </w:p>
    <w:p w:rsidR="00F62789" w:rsidRPr="00F62789" w:rsidRDefault="00F62789" w:rsidP="00F62789">
      <w:pPr>
        <w:pStyle w:val="SingleTxtGR"/>
        <w:rPr>
          <w:b/>
        </w:rPr>
      </w:pPr>
      <w:r w:rsidRPr="00F62789">
        <w:t>14.</w:t>
      </w:r>
      <w:r w:rsidRPr="00F62789">
        <w:tab/>
      </w:r>
      <w:r w:rsidRPr="006B6CB1">
        <w:rPr>
          <w:b/>
        </w:rPr>
        <w:t>Государству-участнику следует рассмотреть возможность отзыва з</w:t>
      </w:r>
      <w:r w:rsidRPr="006B6CB1">
        <w:rPr>
          <w:b/>
        </w:rPr>
        <w:t>а</w:t>
      </w:r>
      <w:r w:rsidRPr="006B6CB1">
        <w:rPr>
          <w:b/>
        </w:rPr>
        <w:t>явления по статье 3 Пакта относительно конституционной нормы, каса</w:t>
      </w:r>
      <w:r w:rsidRPr="006B6CB1">
        <w:rPr>
          <w:b/>
        </w:rPr>
        <w:t>ю</w:t>
      </w:r>
      <w:r w:rsidRPr="006B6CB1">
        <w:rPr>
          <w:b/>
        </w:rPr>
        <w:t>щейся наследования трона.</w:t>
      </w:r>
    </w:p>
    <w:p w:rsidR="00F62789" w:rsidRPr="00F62789" w:rsidRDefault="00F62789" w:rsidP="00F62789">
      <w:pPr>
        <w:pStyle w:val="SingleTxtGR"/>
      </w:pPr>
      <w:r w:rsidRPr="00F62789">
        <w:t>15.</w:t>
      </w:r>
      <w:r w:rsidRPr="00F62789">
        <w:tab/>
        <w:t>Комитет с обеспокоенностью отмечает тенденцию к сокращению числа женщин, участвующих в политической жизни, в национальных и муниципал</w:t>
      </w:r>
      <w:r w:rsidRPr="00F62789">
        <w:t>ь</w:t>
      </w:r>
      <w:r w:rsidRPr="00F62789">
        <w:t>ных выборах с 2009 года (статья 25)</w:t>
      </w:r>
      <w:r w:rsidR="00E6738A">
        <w:t>.</w:t>
      </w:r>
    </w:p>
    <w:p w:rsidR="00F62789" w:rsidRPr="006B6CB1" w:rsidRDefault="00F62789" w:rsidP="00F62789">
      <w:pPr>
        <w:pStyle w:val="SingleTxtGR"/>
        <w:rPr>
          <w:b/>
        </w:rPr>
      </w:pPr>
      <w:r w:rsidRPr="00F62789">
        <w:t>16.</w:t>
      </w:r>
      <w:r w:rsidRPr="00F62789">
        <w:tab/>
      </w:r>
      <w:r w:rsidRPr="006B6CB1">
        <w:rPr>
          <w:b/>
        </w:rPr>
        <w:t>Государству-участнику следует: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а)</w:t>
      </w:r>
      <w:r w:rsidRPr="006B6CB1">
        <w:rPr>
          <w:b/>
        </w:rPr>
        <w:tab/>
        <w:t>в</w:t>
      </w:r>
      <w:r w:rsidR="008C0425" w:rsidRPr="006B6CB1">
        <w:rPr>
          <w:b/>
        </w:rPr>
        <w:t>ы</w:t>
      </w:r>
      <w:r w:rsidRPr="006B6CB1">
        <w:rPr>
          <w:b/>
        </w:rPr>
        <w:t>делять достаточные средства для обеспечения того, чтобы Комиссия по вопросам гендерного равенства, Руководящий комитет по в</w:t>
      </w:r>
      <w:r w:rsidRPr="006B6CB1">
        <w:rPr>
          <w:b/>
        </w:rPr>
        <w:t>о</w:t>
      </w:r>
      <w:r w:rsidRPr="006B6CB1">
        <w:rPr>
          <w:b/>
        </w:rPr>
        <w:t>просам учета гендерной проблематики, Рабочая группа по вопросам ге</w:t>
      </w:r>
      <w:r w:rsidRPr="006B6CB1">
        <w:rPr>
          <w:b/>
        </w:rPr>
        <w:t>н</w:t>
      </w:r>
      <w:r w:rsidRPr="006B6CB1">
        <w:rPr>
          <w:b/>
        </w:rPr>
        <w:t>дерного равенства при назначении на национальные административные должности и Группа по равным возможностям полностью укомплектов</w:t>
      </w:r>
      <w:r w:rsidRPr="006B6CB1">
        <w:rPr>
          <w:b/>
        </w:rPr>
        <w:t>ы</w:t>
      </w:r>
      <w:r w:rsidRPr="006B6CB1">
        <w:rPr>
          <w:b/>
        </w:rPr>
        <w:t xml:space="preserve">вались кадрами в первоочередном порядке, с </w:t>
      </w:r>
      <w:proofErr w:type="gramStart"/>
      <w:r w:rsidRPr="006B6CB1">
        <w:rPr>
          <w:b/>
        </w:rPr>
        <w:t>тем</w:t>
      </w:r>
      <w:proofErr w:type="gramEnd"/>
      <w:r w:rsidRPr="006B6CB1">
        <w:rPr>
          <w:b/>
        </w:rPr>
        <w:t xml:space="preserve"> чтобы они могли выпо</w:t>
      </w:r>
      <w:r w:rsidRPr="006B6CB1">
        <w:rPr>
          <w:b/>
        </w:rPr>
        <w:t>л</w:t>
      </w:r>
      <w:r w:rsidRPr="006B6CB1">
        <w:rPr>
          <w:b/>
        </w:rPr>
        <w:t xml:space="preserve">нять свой мандат на проведение более широкой информационно-пропагандистской работы в целях увеличения представленности женщин; 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b)</w:t>
      </w:r>
      <w:r w:rsidRPr="006B6CB1">
        <w:rPr>
          <w:b/>
        </w:rPr>
        <w:tab/>
        <w:t>акт</w:t>
      </w:r>
      <w:r w:rsidR="008C0425" w:rsidRPr="006B6CB1">
        <w:rPr>
          <w:b/>
        </w:rPr>
        <w:t>и</w:t>
      </w:r>
      <w:r w:rsidRPr="006B6CB1">
        <w:rPr>
          <w:b/>
        </w:rPr>
        <w:t>визировать свои усилия по расширению участия женщин в государственном и частном секторах, особенно на руководящих должн</w:t>
      </w:r>
      <w:r w:rsidRPr="006B6CB1">
        <w:rPr>
          <w:b/>
        </w:rPr>
        <w:t>о</w:t>
      </w:r>
      <w:r w:rsidRPr="006B6CB1">
        <w:rPr>
          <w:b/>
        </w:rPr>
        <w:t xml:space="preserve">стях, в том числе путем принятия, в случае необходимости, временных специальных мер. 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Инвалиды</w:t>
      </w:r>
    </w:p>
    <w:p w:rsidR="00F62789" w:rsidRPr="00F62789" w:rsidRDefault="00F62789" w:rsidP="00F62789">
      <w:pPr>
        <w:pStyle w:val="SingleTxtGR"/>
      </w:pPr>
      <w:r w:rsidRPr="00F62789">
        <w:t>17.</w:t>
      </w:r>
      <w:r w:rsidRPr="00F62789">
        <w:tab/>
      </w:r>
      <w:proofErr w:type="gramStart"/>
      <w:r w:rsidRPr="00F62789">
        <w:t>Комитет отмечает, что государство-участник добилось прогресса в деле поощрения прав инвалидов, но в то же время испытывает обеспокоенность в связи с тем, что инвалиды по-прежнему сталкиваются с проблемами в получ</w:t>
      </w:r>
      <w:r w:rsidRPr="00F62789">
        <w:t>е</w:t>
      </w:r>
      <w:r w:rsidRPr="00F62789">
        <w:t>нии доступа к правосудию, образованию, занятости и участию в политической жизни, а также в связи с допустимыми различиями в оплате труда в соотве</w:t>
      </w:r>
      <w:r w:rsidRPr="00F62789">
        <w:t>т</w:t>
      </w:r>
      <w:r w:rsidRPr="00F62789">
        <w:t>ствии с действующим законодательством (статьи 2 и 26).</w:t>
      </w:r>
      <w:proofErr w:type="gramEnd"/>
    </w:p>
    <w:p w:rsidR="00F62789" w:rsidRPr="006B6CB1" w:rsidRDefault="00F62789" w:rsidP="00F62789">
      <w:pPr>
        <w:pStyle w:val="SingleTxtGR"/>
        <w:rPr>
          <w:b/>
        </w:rPr>
      </w:pPr>
      <w:r w:rsidRPr="00F62789">
        <w:t>18.</w:t>
      </w:r>
      <w:r w:rsidRPr="00F62789">
        <w:tab/>
      </w:r>
      <w:r w:rsidRPr="006B6CB1">
        <w:rPr>
          <w:b/>
        </w:rPr>
        <w:t xml:space="preserve">Государству-участнику следует: 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а)</w:t>
      </w:r>
      <w:r w:rsidRPr="006B6CB1">
        <w:rPr>
          <w:b/>
        </w:rPr>
        <w:tab/>
        <w:t>принять надлежащие меры для обеспечения того, чтобы инв</w:t>
      </w:r>
      <w:r w:rsidRPr="006B6CB1">
        <w:rPr>
          <w:b/>
        </w:rPr>
        <w:t>а</w:t>
      </w:r>
      <w:r w:rsidRPr="006B6CB1">
        <w:rPr>
          <w:b/>
        </w:rPr>
        <w:t xml:space="preserve">лиды не подвергались дискриминации при осуществлении своих прав; 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b)</w:t>
      </w:r>
      <w:r w:rsidRPr="006B6CB1">
        <w:rPr>
          <w:b/>
        </w:rPr>
        <w:tab/>
        <w:t>обеспечить, чтобы работодатели выполняли свои позитивные обязательства по обеспечению доступа инвалидов на рынок труда посре</w:t>
      </w:r>
      <w:r w:rsidRPr="006B6CB1">
        <w:rPr>
          <w:b/>
        </w:rPr>
        <w:t>д</w:t>
      </w:r>
      <w:r w:rsidRPr="006B6CB1">
        <w:rPr>
          <w:b/>
        </w:rPr>
        <w:t xml:space="preserve">ством предоставления разумных приспособлений; 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с)</w:t>
      </w:r>
      <w:r w:rsidRPr="006B6CB1">
        <w:rPr>
          <w:b/>
        </w:rPr>
        <w:tab/>
        <w:t xml:space="preserve">считать отказ в предоставлении разумных приспособлений для инвалидов одной из форм </w:t>
      </w:r>
      <w:proofErr w:type="gramStart"/>
      <w:r w:rsidRPr="006B6CB1">
        <w:rPr>
          <w:b/>
        </w:rPr>
        <w:t>дискриминации</w:t>
      </w:r>
      <w:proofErr w:type="gramEnd"/>
      <w:r w:rsidRPr="006B6CB1">
        <w:rPr>
          <w:b/>
        </w:rPr>
        <w:t xml:space="preserve"> в рамках действующих в стране положений, касающихся косвенной дискриминации; 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d)</w:t>
      </w:r>
      <w:r w:rsidRPr="006B6CB1">
        <w:rPr>
          <w:b/>
        </w:rPr>
        <w:tab/>
        <w:t>обеспеч</w:t>
      </w:r>
      <w:r w:rsidR="008C0425" w:rsidRPr="006B6CB1">
        <w:rPr>
          <w:b/>
        </w:rPr>
        <w:t>ить, чтобы определение понятия «</w:t>
      </w:r>
      <w:r w:rsidRPr="006B6CB1">
        <w:rPr>
          <w:b/>
        </w:rPr>
        <w:t>несоразмерное бремя</w:t>
      </w:r>
      <w:r w:rsidR="008C0425" w:rsidRPr="006B6CB1">
        <w:rPr>
          <w:b/>
        </w:rPr>
        <w:t>»</w:t>
      </w:r>
      <w:r w:rsidRPr="006B6CB1">
        <w:rPr>
          <w:b/>
        </w:rPr>
        <w:t xml:space="preserve"> в отношении обязательств работодателей толковалось и применялось ограничительно; </w:t>
      </w:r>
    </w:p>
    <w:p w:rsidR="00F62789" w:rsidRPr="00F62789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e)</w:t>
      </w:r>
      <w:r w:rsidRPr="006B6CB1">
        <w:rPr>
          <w:b/>
        </w:rPr>
        <w:tab/>
        <w:t xml:space="preserve">активизировать усилия по ратификации Конвенции о правах инвалидов. 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Домашнее насилие</w:t>
      </w:r>
    </w:p>
    <w:p w:rsidR="00F62789" w:rsidRPr="00F62789" w:rsidRDefault="00F62789" w:rsidP="00F62789">
      <w:pPr>
        <w:pStyle w:val="SingleTxtGR"/>
      </w:pPr>
      <w:r w:rsidRPr="00F62789">
        <w:t>19.</w:t>
      </w:r>
      <w:r w:rsidRPr="00F62789">
        <w:tab/>
      </w:r>
      <w:proofErr w:type="gramStart"/>
      <w:r w:rsidRPr="00F62789">
        <w:t>Комитет высоко оценивает работу, проделанную государством-участником на пути к обеспечению полномасштабного применения Руководства по эффективному расследованию и документированию пыток и других жест</w:t>
      </w:r>
      <w:r w:rsidRPr="00F62789">
        <w:t>о</w:t>
      </w:r>
      <w:r w:rsidRPr="00F62789">
        <w:t>ких, бесчеловечных или унижающих достоинство видов обращения и наказания (Стамбульский протокол), и отмечает, что до начала его применения необход</w:t>
      </w:r>
      <w:r w:rsidRPr="00F62789">
        <w:t>и</w:t>
      </w:r>
      <w:r w:rsidRPr="00F62789">
        <w:t>мо внести незначительные изменения во внутреннее законодательство</w:t>
      </w:r>
      <w:r>
        <w:t xml:space="preserve"> </w:t>
      </w:r>
      <w:r w:rsidRPr="00F62789">
        <w:t>(ст</w:t>
      </w:r>
      <w:r w:rsidRPr="00F62789">
        <w:t>а</w:t>
      </w:r>
      <w:r w:rsidRPr="00F62789">
        <w:t>тьи</w:t>
      </w:r>
      <w:r w:rsidR="008C0425">
        <w:t> </w:t>
      </w:r>
      <w:r w:rsidRPr="00F62789">
        <w:t>3, 6 и 7)</w:t>
      </w:r>
      <w:r w:rsidR="00EB694B">
        <w:t>.</w:t>
      </w:r>
      <w:proofErr w:type="gramEnd"/>
    </w:p>
    <w:p w:rsidR="00F62789" w:rsidRPr="006B6CB1" w:rsidRDefault="00F62789" w:rsidP="00F62789">
      <w:pPr>
        <w:pStyle w:val="SingleTxtGR"/>
        <w:rPr>
          <w:b/>
        </w:rPr>
      </w:pPr>
      <w:r w:rsidRPr="00F62789">
        <w:t>20.</w:t>
      </w:r>
      <w:r w:rsidRPr="00F62789">
        <w:tab/>
      </w:r>
      <w:r w:rsidRPr="006B6CB1">
        <w:rPr>
          <w:b/>
        </w:rPr>
        <w:t>Государству-участнику следует обеспечить: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а)</w:t>
      </w:r>
      <w:r w:rsidRPr="006B6CB1">
        <w:rPr>
          <w:b/>
        </w:rPr>
        <w:tab/>
        <w:t>скорейшее начало применения Стамбульского протокола и п</w:t>
      </w:r>
      <w:r w:rsidRPr="006B6CB1">
        <w:rPr>
          <w:b/>
        </w:rPr>
        <w:t>о</w:t>
      </w:r>
      <w:r w:rsidRPr="006B6CB1">
        <w:rPr>
          <w:b/>
        </w:rPr>
        <w:t>правок к соответствующим положениям Уголовного кодекса;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b)</w:t>
      </w:r>
      <w:r w:rsidRPr="006B6CB1">
        <w:rPr>
          <w:b/>
        </w:rPr>
        <w:tab/>
        <w:t>прохождение сотрудниками правоохранительных органов, с</w:t>
      </w:r>
      <w:r w:rsidRPr="006B6CB1">
        <w:rPr>
          <w:b/>
        </w:rPr>
        <w:t>у</w:t>
      </w:r>
      <w:r w:rsidRPr="006B6CB1">
        <w:rPr>
          <w:b/>
        </w:rPr>
        <w:t>дьями, адвокатами и прокурорами подготовки по расследованию случаев применения пыток и неправомерного обращения за счет включения пол</w:t>
      </w:r>
      <w:r w:rsidRPr="006B6CB1">
        <w:rPr>
          <w:b/>
        </w:rPr>
        <w:t>о</w:t>
      </w:r>
      <w:r w:rsidRPr="006B6CB1">
        <w:rPr>
          <w:b/>
        </w:rPr>
        <w:t xml:space="preserve">жений Стамбульского протокола во все программы подготовки кадров; </w:t>
      </w:r>
    </w:p>
    <w:p w:rsidR="00F62789" w:rsidRPr="006B6CB1" w:rsidRDefault="00F62789" w:rsidP="00F62789">
      <w:pPr>
        <w:pStyle w:val="SingleTxtGR"/>
        <w:rPr>
          <w:b/>
        </w:rPr>
      </w:pPr>
      <w:r w:rsidRPr="006B6CB1">
        <w:rPr>
          <w:b/>
        </w:rPr>
        <w:tab/>
        <w:t>с)</w:t>
      </w:r>
      <w:r w:rsidRPr="006B6CB1">
        <w:rPr>
          <w:b/>
        </w:rPr>
        <w:tab/>
        <w:t>дальнейшую работу по составлению статистических данных об уголовных расследованиях и результатах рассмотрения в рамках уголовн</w:t>
      </w:r>
      <w:r w:rsidRPr="006B6CB1">
        <w:rPr>
          <w:b/>
        </w:rPr>
        <w:t>о</w:t>
      </w:r>
      <w:r w:rsidRPr="006B6CB1">
        <w:rPr>
          <w:b/>
        </w:rPr>
        <w:t xml:space="preserve">го судопроизводства </w:t>
      </w:r>
      <w:r w:rsidR="00E6738A">
        <w:rPr>
          <w:b/>
        </w:rPr>
        <w:t>дел о насилии</w:t>
      </w:r>
      <w:r w:rsidRPr="006B6CB1">
        <w:rPr>
          <w:b/>
        </w:rPr>
        <w:t xml:space="preserve"> в семье.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Права на сексуальное и репродуктивное здоровье</w:t>
      </w:r>
    </w:p>
    <w:p w:rsidR="00F62789" w:rsidRPr="00F62789" w:rsidRDefault="00F62789" w:rsidP="00F62789">
      <w:pPr>
        <w:pStyle w:val="SingleTxtGR"/>
      </w:pPr>
      <w:r w:rsidRPr="00F62789">
        <w:t>21.</w:t>
      </w:r>
      <w:r w:rsidRPr="00F62789">
        <w:tab/>
        <w:t>Комитет приветствует заявление государства-участника о том, что пол</w:t>
      </w:r>
      <w:r w:rsidRPr="00F62789">
        <w:t>о</w:t>
      </w:r>
      <w:r w:rsidRPr="00F62789">
        <w:t xml:space="preserve">жения уголовного законодательства в отношении абортов не применяются на практике, и с удовлетворением отмечает внесение в Уголовный кодекс поправок о </w:t>
      </w:r>
      <w:proofErr w:type="spellStart"/>
      <w:r w:rsidRPr="00F62789">
        <w:t>непривлечении</w:t>
      </w:r>
      <w:proofErr w:type="spellEnd"/>
      <w:r w:rsidRPr="00F62789">
        <w:t xml:space="preserve"> к ответственности</w:t>
      </w:r>
      <w:r>
        <w:t xml:space="preserve"> </w:t>
      </w:r>
      <w:r w:rsidRPr="00F62789">
        <w:t>женщин, стремящихся сделать аборт. Одн</w:t>
      </w:r>
      <w:r w:rsidRPr="00F62789">
        <w:t>а</w:t>
      </w:r>
      <w:r w:rsidRPr="00F62789">
        <w:t>ко Комитет по-прежнему испытывает обеспокоенность в связи с ограниченным кругом обстоятельств, при которых по закону допускается прерывание бер</w:t>
      </w:r>
      <w:r w:rsidRPr="00F62789">
        <w:t>е</w:t>
      </w:r>
      <w:r w:rsidRPr="00F62789">
        <w:t>менности</w:t>
      </w:r>
      <w:r>
        <w:t xml:space="preserve"> </w:t>
      </w:r>
      <w:r w:rsidRPr="00F62789">
        <w:t>в государстве-участнике, и в частности тот факт, что не существует никаких исключений в случаях фатальной аномалии плода (статьи 3, 6, 7 и 17)</w:t>
      </w:r>
      <w:r w:rsidR="008C0425">
        <w:t>.</w:t>
      </w:r>
    </w:p>
    <w:p w:rsidR="00F62789" w:rsidRPr="00EB694B" w:rsidRDefault="00F62789" w:rsidP="00F62789">
      <w:pPr>
        <w:pStyle w:val="SingleTxtGR"/>
        <w:rPr>
          <w:b/>
        </w:rPr>
      </w:pPr>
      <w:r w:rsidRPr="00F62789">
        <w:t>22.</w:t>
      </w:r>
      <w:r w:rsidRPr="00F62789">
        <w:tab/>
      </w:r>
      <w:r w:rsidRPr="00EB694B">
        <w:rPr>
          <w:b/>
        </w:rPr>
        <w:t xml:space="preserve">Государству-участнику следует: </w:t>
      </w:r>
    </w:p>
    <w:p w:rsidR="00F62789" w:rsidRPr="00EB694B" w:rsidRDefault="00F62789" w:rsidP="00F62789">
      <w:pPr>
        <w:pStyle w:val="SingleTxtGR"/>
        <w:rPr>
          <w:b/>
        </w:rPr>
      </w:pPr>
      <w:r w:rsidRPr="00EB694B">
        <w:rPr>
          <w:b/>
        </w:rPr>
        <w:tab/>
        <w:t>а)</w:t>
      </w:r>
      <w:r w:rsidRPr="00EB694B">
        <w:rPr>
          <w:b/>
        </w:rPr>
        <w:tab/>
        <w:t xml:space="preserve">внести изменения в свое законодательство об абортах, с </w:t>
      </w:r>
      <w:proofErr w:type="gramStart"/>
      <w:r w:rsidRPr="00EB694B">
        <w:rPr>
          <w:b/>
        </w:rPr>
        <w:t>тем</w:t>
      </w:r>
      <w:proofErr w:type="gramEnd"/>
      <w:r w:rsidRPr="00EB694B">
        <w:rPr>
          <w:b/>
        </w:rPr>
        <w:t xml:space="preserve"> чтобы предусмотреть дополнительные иск</w:t>
      </w:r>
      <w:r w:rsidR="00E6738A">
        <w:rPr>
          <w:b/>
        </w:rPr>
        <w:t>лючения из запрета на аборты, в </w:t>
      </w:r>
      <w:r w:rsidRPr="00EB694B">
        <w:rPr>
          <w:b/>
        </w:rPr>
        <w:t>том числе в случаях фатальной аномалии плода, для обеспечения надл</w:t>
      </w:r>
      <w:r w:rsidRPr="00EB694B">
        <w:rPr>
          <w:b/>
        </w:rPr>
        <w:t>е</w:t>
      </w:r>
      <w:r w:rsidRPr="00EB694B">
        <w:rPr>
          <w:b/>
        </w:rPr>
        <w:t xml:space="preserve">жащей защиты жизни и здоровья женщин; </w:t>
      </w:r>
    </w:p>
    <w:p w:rsidR="00F62789" w:rsidRPr="00F62789" w:rsidRDefault="00F62789" w:rsidP="00F62789">
      <w:pPr>
        <w:pStyle w:val="SingleTxtGR"/>
        <w:rPr>
          <w:b/>
        </w:rPr>
      </w:pPr>
      <w:r w:rsidRPr="00EB694B">
        <w:rPr>
          <w:b/>
        </w:rPr>
        <w:tab/>
        <w:t>b)</w:t>
      </w:r>
      <w:r w:rsidRPr="00EB694B">
        <w:rPr>
          <w:b/>
        </w:rPr>
        <w:tab/>
        <w:t>обеспечить доступ к четкой информации об имеющихся во</w:t>
      </w:r>
      <w:r w:rsidRPr="00EB694B">
        <w:rPr>
          <w:b/>
        </w:rPr>
        <w:t>з</w:t>
      </w:r>
      <w:r w:rsidRPr="00EB694B">
        <w:rPr>
          <w:b/>
        </w:rPr>
        <w:t>можностях для добровольного прерывания беременности.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Лица, лишенные свободы</w:t>
      </w:r>
    </w:p>
    <w:p w:rsidR="00F62789" w:rsidRPr="00F62789" w:rsidRDefault="00F62789" w:rsidP="00F62789">
      <w:pPr>
        <w:pStyle w:val="SingleTxtGR"/>
      </w:pPr>
      <w:r w:rsidRPr="00F62789">
        <w:t>23.</w:t>
      </w:r>
      <w:r w:rsidRPr="00F62789">
        <w:tab/>
        <w:t>Комитет приветствует новую оценку пенитенциарной системы, пров</w:t>
      </w:r>
      <w:r w:rsidRPr="00F62789">
        <w:t>е</w:t>
      </w:r>
      <w:r w:rsidRPr="00F62789">
        <w:t>денную государством-участником, и признает особые условия, с которыми сталкивается государство-участник, учитывая</w:t>
      </w:r>
      <w:r>
        <w:t xml:space="preserve"> </w:t>
      </w:r>
      <w:r w:rsidRPr="00F62789">
        <w:t>размеры национальной тюрьм</w:t>
      </w:r>
      <w:r w:rsidR="00E6738A">
        <w:t>ы</w:t>
      </w:r>
      <w:r w:rsidRPr="00F62789">
        <w:t xml:space="preserve"> в Вадуце и необходимость достижения соглашения с соседними странами для размещения заключенных, отбывающих длительный срок наказания. Вместе с тем Комитет с обеспокоенностью отмечает, что использование пенитенциарной системы другого государства на практике означает, что государство-участник не располагает средствами для наблюдения за условиями жизни своих заключе</w:t>
      </w:r>
      <w:r w:rsidRPr="00F62789">
        <w:t>н</w:t>
      </w:r>
      <w:r w:rsidRPr="00F62789">
        <w:t>ных, отбывающих длительные сроки лишения свободы. В частности, Комитет принимает к сведению замечания Комитета против пыток (см.</w:t>
      </w:r>
      <w:r>
        <w:t xml:space="preserve"> </w:t>
      </w:r>
      <w:r w:rsidRPr="00F62789">
        <w:t>CAT/C/AUT/</w:t>
      </w:r>
      <w:r w:rsidR="008C0425">
        <w:t xml:space="preserve"> </w:t>
      </w:r>
      <w:r w:rsidRPr="00F62789">
        <w:t>CO/6, пункты 26 и 27), в которых тот выразил озабоченность по поводу условий сод</w:t>
      </w:r>
      <w:r w:rsidR="008C0425">
        <w:t>ержания под стражей в Австрии (</w:t>
      </w:r>
      <w:r w:rsidRPr="00F62789">
        <w:t xml:space="preserve">статьи 9, 10 </w:t>
      </w:r>
      <w:r w:rsidR="008C0425">
        <w:t>и</w:t>
      </w:r>
      <w:r w:rsidRPr="00F62789">
        <w:t xml:space="preserve"> 14).</w:t>
      </w:r>
    </w:p>
    <w:p w:rsidR="00F62789" w:rsidRPr="00F62789" w:rsidRDefault="00F62789" w:rsidP="00F62789">
      <w:pPr>
        <w:pStyle w:val="SingleTxtGR"/>
        <w:rPr>
          <w:b/>
        </w:rPr>
      </w:pPr>
      <w:r w:rsidRPr="00F62789">
        <w:t>24.</w:t>
      </w:r>
      <w:r w:rsidRPr="00F62789">
        <w:tab/>
      </w:r>
      <w:r w:rsidRPr="00EB694B">
        <w:rPr>
          <w:b/>
        </w:rPr>
        <w:t>Государству-участнику следует изучить возможность пересмотра де</w:t>
      </w:r>
      <w:r w:rsidRPr="00EB694B">
        <w:rPr>
          <w:b/>
        </w:rPr>
        <w:t>й</w:t>
      </w:r>
      <w:r w:rsidRPr="00EB694B">
        <w:rPr>
          <w:b/>
        </w:rPr>
        <w:t>ствующего законодательства, регулирующего содержание под стражей за рубежом, для включения в него положения, позволяющего властям гос</w:t>
      </w:r>
      <w:r w:rsidRPr="00EB694B">
        <w:rPr>
          <w:b/>
        </w:rPr>
        <w:t>у</w:t>
      </w:r>
      <w:r w:rsidRPr="00EB694B">
        <w:rPr>
          <w:b/>
        </w:rPr>
        <w:t>дарства-участника и национальному превентивному механизму в соотве</w:t>
      </w:r>
      <w:r w:rsidRPr="00EB694B">
        <w:rPr>
          <w:b/>
        </w:rPr>
        <w:t>т</w:t>
      </w:r>
      <w:r w:rsidRPr="00EB694B">
        <w:rPr>
          <w:b/>
        </w:rPr>
        <w:t>ствии с Факультативным протоколом к Конвенции против пыток и других жестоких, бесчеловечных или унижающих достоинство видах обращения и наказания посещать заключенных, содержащихся за границей.</w:t>
      </w:r>
    </w:p>
    <w:p w:rsidR="00F62789" w:rsidRPr="00F62789" w:rsidRDefault="00F62789" w:rsidP="00F62789">
      <w:pPr>
        <w:pStyle w:val="SingleTxtGR"/>
      </w:pPr>
      <w:r w:rsidRPr="00F62789">
        <w:t>25.</w:t>
      </w:r>
      <w:r w:rsidRPr="00F62789">
        <w:tab/>
        <w:t>Комитет обеспокоен тем, что ауд</w:t>
      </w:r>
      <w:proofErr w:type="gramStart"/>
      <w:r w:rsidRPr="00F62789">
        <w:t>и-</w:t>
      </w:r>
      <w:proofErr w:type="gramEnd"/>
      <w:r w:rsidRPr="00F62789">
        <w:t xml:space="preserve"> и видеозапись допросов в полиции после ареста подозреваемого производится не автоматически, а только в особых случаях, оговоренных законом (стать</w:t>
      </w:r>
      <w:r w:rsidR="00E6738A">
        <w:t>и</w:t>
      </w:r>
      <w:r w:rsidRPr="00F62789">
        <w:t xml:space="preserve"> 7 и 9)</w:t>
      </w:r>
      <w:r w:rsidR="008C0425">
        <w:t>.</w:t>
      </w:r>
    </w:p>
    <w:p w:rsidR="00F62789" w:rsidRPr="00F62789" w:rsidRDefault="00F62789" w:rsidP="00F62789">
      <w:pPr>
        <w:pStyle w:val="SingleTxtGR"/>
        <w:rPr>
          <w:b/>
        </w:rPr>
      </w:pPr>
      <w:r w:rsidRPr="00F62789">
        <w:t>26.</w:t>
      </w:r>
      <w:r w:rsidRPr="00F62789">
        <w:tab/>
      </w:r>
      <w:r w:rsidRPr="00EB694B">
        <w:rPr>
          <w:b/>
        </w:rPr>
        <w:t>Государству-участнику следует рассмотреть возможность изменения Уголовно-процессуального кодекса, с тем чтобы включить в него требов</w:t>
      </w:r>
      <w:r w:rsidRPr="00EB694B">
        <w:rPr>
          <w:b/>
        </w:rPr>
        <w:t>а</w:t>
      </w:r>
      <w:r w:rsidRPr="00EB694B">
        <w:rPr>
          <w:b/>
        </w:rPr>
        <w:t>ние об обязательном веден</w:t>
      </w:r>
      <w:proofErr w:type="gramStart"/>
      <w:r w:rsidRPr="00EB694B">
        <w:rPr>
          <w:b/>
        </w:rPr>
        <w:t>ии ау</w:t>
      </w:r>
      <w:proofErr w:type="gramEnd"/>
      <w:r w:rsidRPr="00EB694B">
        <w:rPr>
          <w:b/>
        </w:rPr>
        <w:t>дио- и видеозаписи во время всех допросов, проводимых сотрудниками полиции, в рамках его усилий по недопущению пыток и неправомерного обращения.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Дискриминация по признаку религии</w:t>
      </w:r>
    </w:p>
    <w:p w:rsidR="00F62789" w:rsidRPr="00F62789" w:rsidRDefault="00F62789" w:rsidP="00F62789">
      <w:pPr>
        <w:pStyle w:val="SingleTxtGR"/>
      </w:pPr>
      <w:r w:rsidRPr="00F62789">
        <w:t>27.</w:t>
      </w:r>
      <w:r w:rsidRPr="00F62789">
        <w:tab/>
        <w:t xml:space="preserve">Комитет приветствует значительные усилия, прилагаемые государством-участником по реорганизации отношений между государством и религиозными общинами, с </w:t>
      </w:r>
      <w:proofErr w:type="gramStart"/>
      <w:r w:rsidRPr="00F62789">
        <w:t>тем</w:t>
      </w:r>
      <w:proofErr w:type="gramEnd"/>
      <w:r w:rsidRPr="00F62789">
        <w:t xml:space="preserve"> чтобы обеспечить равное обращение государства для всех р</w:t>
      </w:r>
      <w:r w:rsidRPr="00F62789">
        <w:t>е</w:t>
      </w:r>
      <w:r w:rsidRPr="00F62789">
        <w:t>лигиозных конфессий. Вместе с тем Комитет по-прежнему обеспокоен несп</w:t>
      </w:r>
      <w:r w:rsidRPr="00F62789">
        <w:t>о</w:t>
      </w:r>
      <w:r w:rsidRPr="00F62789">
        <w:t xml:space="preserve">собностью </w:t>
      </w:r>
      <w:proofErr w:type="gramStart"/>
      <w:r w:rsidRPr="00F62789">
        <w:t>достичь</w:t>
      </w:r>
      <w:proofErr w:type="gramEnd"/>
      <w:r w:rsidRPr="00F62789">
        <w:t xml:space="preserve"> договоренности в двух остающихся</w:t>
      </w:r>
      <w:r>
        <w:t xml:space="preserve"> </w:t>
      </w:r>
      <w:r w:rsidRPr="00F62789">
        <w:t>муниципалитетах с ц</w:t>
      </w:r>
      <w:r w:rsidRPr="00F62789">
        <w:t>е</w:t>
      </w:r>
      <w:r w:rsidRPr="00F62789">
        <w:t>лью внесения поправок в Конституцию и последствиями, которые этот тупик по-прежнему имеет для религиозных общин, за исключением римско-католической церкви (статьи 2, 18 и 27).</w:t>
      </w:r>
    </w:p>
    <w:p w:rsidR="00F62789" w:rsidRPr="00EB694B" w:rsidRDefault="00F62789" w:rsidP="00F62789">
      <w:pPr>
        <w:pStyle w:val="SingleTxtGR"/>
        <w:rPr>
          <w:b/>
        </w:rPr>
      </w:pPr>
      <w:r w:rsidRPr="00F62789">
        <w:t>28.</w:t>
      </w:r>
      <w:r w:rsidRPr="00F62789">
        <w:tab/>
      </w:r>
      <w:r w:rsidRPr="00EB694B">
        <w:rPr>
          <w:b/>
        </w:rPr>
        <w:t xml:space="preserve">Государству-участнику следует обеспечить, чтобы: </w:t>
      </w:r>
    </w:p>
    <w:p w:rsidR="00F62789" w:rsidRPr="00EB694B" w:rsidRDefault="00F62789" w:rsidP="00F62789">
      <w:pPr>
        <w:pStyle w:val="SingleTxtGR"/>
        <w:rPr>
          <w:b/>
        </w:rPr>
      </w:pPr>
      <w:r w:rsidRPr="00EB694B">
        <w:rPr>
          <w:b/>
        </w:rPr>
        <w:tab/>
        <w:t>а)</w:t>
      </w:r>
      <w:r w:rsidRPr="00EB694B">
        <w:rPr>
          <w:b/>
        </w:rPr>
        <w:tab/>
        <w:t>удвоенные усилия были приложены для достижения соглаш</w:t>
      </w:r>
      <w:r w:rsidRPr="00EB694B">
        <w:rPr>
          <w:b/>
        </w:rPr>
        <w:t>е</w:t>
      </w:r>
      <w:r w:rsidRPr="00EB694B">
        <w:rPr>
          <w:b/>
        </w:rPr>
        <w:t>ния в остающихся муниципалитетах с целью внесения поправок в Конст</w:t>
      </w:r>
      <w:r w:rsidRPr="00EB694B">
        <w:rPr>
          <w:b/>
        </w:rPr>
        <w:t>и</w:t>
      </w:r>
      <w:r w:rsidRPr="00EB694B">
        <w:rPr>
          <w:b/>
        </w:rPr>
        <w:t>туцию;</w:t>
      </w:r>
    </w:p>
    <w:p w:rsidR="00F62789" w:rsidRPr="00EB694B" w:rsidRDefault="00F62789" w:rsidP="00F62789">
      <w:pPr>
        <w:pStyle w:val="SingleTxtGR"/>
        <w:rPr>
          <w:b/>
        </w:rPr>
      </w:pPr>
      <w:r w:rsidRPr="00EB694B">
        <w:rPr>
          <w:b/>
        </w:rPr>
        <w:tab/>
        <w:t>b)</w:t>
      </w:r>
      <w:r w:rsidRPr="00EB694B">
        <w:rPr>
          <w:b/>
        </w:rPr>
        <w:tab/>
        <w:t>финансовые средства для религиозных организаций всех рел</w:t>
      </w:r>
      <w:r w:rsidRPr="00EB694B">
        <w:rPr>
          <w:b/>
        </w:rPr>
        <w:t>и</w:t>
      </w:r>
      <w:r w:rsidRPr="00EB694B">
        <w:rPr>
          <w:b/>
        </w:rPr>
        <w:t xml:space="preserve">гиозных общин </w:t>
      </w:r>
      <w:proofErr w:type="gramStart"/>
      <w:r w:rsidRPr="00EB694B">
        <w:rPr>
          <w:b/>
        </w:rPr>
        <w:t>выделялись на равной основе и чтобы такое финансиров</w:t>
      </w:r>
      <w:r w:rsidRPr="00EB694B">
        <w:rPr>
          <w:b/>
        </w:rPr>
        <w:t>а</w:t>
      </w:r>
      <w:r w:rsidRPr="00EB694B">
        <w:rPr>
          <w:b/>
        </w:rPr>
        <w:t>ние не ограничивалось</w:t>
      </w:r>
      <w:proofErr w:type="gramEnd"/>
      <w:r w:rsidRPr="00EB694B">
        <w:rPr>
          <w:b/>
        </w:rPr>
        <w:t xml:space="preserve"> только усилиями по интеграции общин мен</w:t>
      </w:r>
      <w:r w:rsidRPr="00EB694B">
        <w:rPr>
          <w:b/>
        </w:rPr>
        <w:t>ь</w:t>
      </w:r>
      <w:r w:rsidRPr="00EB694B">
        <w:rPr>
          <w:b/>
        </w:rPr>
        <w:t xml:space="preserve">шинств; </w:t>
      </w:r>
    </w:p>
    <w:p w:rsidR="00F62789" w:rsidRPr="00EB694B" w:rsidRDefault="00F62789" w:rsidP="00F62789">
      <w:pPr>
        <w:pStyle w:val="SingleTxtGR"/>
        <w:rPr>
          <w:b/>
        </w:rPr>
      </w:pPr>
      <w:r w:rsidRPr="00EB694B">
        <w:rPr>
          <w:b/>
        </w:rPr>
        <w:tab/>
        <w:t>c)</w:t>
      </w:r>
      <w:r w:rsidRPr="00EB694B">
        <w:rPr>
          <w:b/>
        </w:rPr>
        <w:tab/>
      </w:r>
      <w:r w:rsidR="00E6738A" w:rsidRPr="00EB694B">
        <w:rPr>
          <w:b/>
        </w:rPr>
        <w:t xml:space="preserve">критерии </w:t>
      </w:r>
      <w:r w:rsidRPr="00EB694B">
        <w:rPr>
          <w:b/>
        </w:rPr>
        <w:t>признания религий гарантируют свободу религии и убеждений и свободу исповедовать свою религию и убеждения как един</w:t>
      </w:r>
      <w:r w:rsidRPr="00EB694B">
        <w:rPr>
          <w:b/>
        </w:rPr>
        <w:t>о</w:t>
      </w:r>
      <w:r w:rsidRPr="00EB694B">
        <w:rPr>
          <w:b/>
        </w:rPr>
        <w:t>лично, так и сообща с другими, публичным или частным порядком, в о</w:t>
      </w:r>
      <w:r w:rsidRPr="00EB694B">
        <w:rPr>
          <w:b/>
        </w:rPr>
        <w:t>т</w:t>
      </w:r>
      <w:r w:rsidRPr="00EB694B">
        <w:rPr>
          <w:b/>
        </w:rPr>
        <w:t>правлении культа, выполнении религиозных и ритуальных обрядов и уч</w:t>
      </w:r>
      <w:r w:rsidRPr="00EB694B">
        <w:rPr>
          <w:b/>
        </w:rPr>
        <w:t>е</w:t>
      </w:r>
      <w:r w:rsidRPr="00EB694B">
        <w:rPr>
          <w:b/>
        </w:rPr>
        <w:t>нии.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Запрещение пыток</w:t>
      </w:r>
    </w:p>
    <w:p w:rsidR="00F62789" w:rsidRPr="00F62789" w:rsidRDefault="00F62789" w:rsidP="00F62789">
      <w:pPr>
        <w:pStyle w:val="SingleTxtGR"/>
      </w:pPr>
      <w:r w:rsidRPr="00F62789">
        <w:t>29.</w:t>
      </w:r>
      <w:r w:rsidRPr="00F62789">
        <w:tab/>
      </w:r>
      <w:proofErr w:type="gramStart"/>
      <w:r w:rsidRPr="00F62789">
        <w:t>Комитет приветствует создание Комиссии по исполнению наказаний Лихтенштейна, которая также выступает в качестве национального превенти</w:t>
      </w:r>
      <w:r w:rsidRPr="00F62789">
        <w:t>в</w:t>
      </w:r>
      <w:r w:rsidRPr="00F62789">
        <w:t>ного механизма в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наказания, а также приветствует работу, проделанную к настоящему времени Министерством внутренних дел, юстиции и экономики по пересмотру Уголовного кодекса с целью включения в него определения</w:t>
      </w:r>
      <w:proofErr w:type="gramEnd"/>
      <w:r w:rsidRPr="00F62789">
        <w:t xml:space="preserve"> пытки, </w:t>
      </w:r>
      <w:proofErr w:type="gramStart"/>
      <w:r w:rsidRPr="00F62789">
        <w:t>соответствующего</w:t>
      </w:r>
      <w:proofErr w:type="gramEnd"/>
      <w:r w:rsidRPr="00F62789">
        <w:t xml:space="preserve"> международным стандартам (статья 7)</w:t>
      </w:r>
      <w:r w:rsidR="008C0425">
        <w:t>.</w:t>
      </w:r>
    </w:p>
    <w:p w:rsidR="00F62789" w:rsidRPr="00EB694B" w:rsidRDefault="00F62789" w:rsidP="00EB694B">
      <w:pPr>
        <w:pStyle w:val="SingleTxtGR"/>
        <w:keepNext/>
        <w:keepLines/>
        <w:rPr>
          <w:b/>
        </w:rPr>
      </w:pPr>
      <w:r w:rsidRPr="00F62789">
        <w:t>30.</w:t>
      </w:r>
      <w:r w:rsidRPr="00F62789">
        <w:tab/>
      </w:r>
      <w:r w:rsidRPr="00EB694B">
        <w:rPr>
          <w:b/>
        </w:rPr>
        <w:t xml:space="preserve">Государству-участнику следует: </w:t>
      </w:r>
    </w:p>
    <w:p w:rsidR="00F62789" w:rsidRPr="00EB694B" w:rsidRDefault="00F62789" w:rsidP="00F62789">
      <w:pPr>
        <w:pStyle w:val="SingleTxtGR"/>
        <w:rPr>
          <w:b/>
        </w:rPr>
      </w:pPr>
      <w:r w:rsidRPr="00EB694B">
        <w:rPr>
          <w:b/>
        </w:rPr>
        <w:tab/>
        <w:t>а)</w:t>
      </w:r>
      <w:r w:rsidRPr="00EB694B">
        <w:rPr>
          <w:b/>
        </w:rPr>
        <w:tab/>
        <w:t>начать консультации и процессы принятия решений по пер</w:t>
      </w:r>
      <w:r w:rsidRPr="00EB694B">
        <w:rPr>
          <w:b/>
        </w:rPr>
        <w:t>е</w:t>
      </w:r>
      <w:r w:rsidRPr="00EB694B">
        <w:rPr>
          <w:b/>
        </w:rPr>
        <w:t>смотру Уголовного кодекса;</w:t>
      </w:r>
    </w:p>
    <w:p w:rsidR="00F62789" w:rsidRPr="00EB694B" w:rsidRDefault="00F62789" w:rsidP="00F62789">
      <w:pPr>
        <w:pStyle w:val="SingleTxtGR"/>
        <w:rPr>
          <w:b/>
        </w:rPr>
      </w:pPr>
      <w:r w:rsidRPr="00EB694B">
        <w:rPr>
          <w:b/>
        </w:rPr>
        <w:tab/>
        <w:t>b)</w:t>
      </w:r>
      <w:r w:rsidRPr="00EB694B">
        <w:rPr>
          <w:b/>
        </w:rPr>
        <w:tab/>
        <w:t xml:space="preserve">ввести запрет на применение </w:t>
      </w:r>
      <w:r w:rsidR="00EB694B">
        <w:rPr>
          <w:b/>
        </w:rPr>
        <w:t xml:space="preserve">пыток в соответствии со </w:t>
      </w:r>
      <w:proofErr w:type="gramStart"/>
      <w:r w:rsidR="00EB694B">
        <w:rPr>
          <w:b/>
        </w:rPr>
        <w:t>ста-</w:t>
      </w:r>
      <w:proofErr w:type="spellStart"/>
      <w:r w:rsidR="00EB694B">
        <w:rPr>
          <w:b/>
        </w:rPr>
        <w:t>тьей</w:t>
      </w:r>
      <w:proofErr w:type="spellEnd"/>
      <w:proofErr w:type="gramEnd"/>
      <w:r w:rsidR="00EB694B">
        <w:rPr>
          <w:b/>
        </w:rPr>
        <w:t> </w:t>
      </w:r>
      <w:r w:rsidRPr="00EB694B">
        <w:rPr>
          <w:b/>
        </w:rPr>
        <w:t xml:space="preserve">7 Пакта и </w:t>
      </w:r>
      <w:proofErr w:type="spellStart"/>
      <w:r w:rsidRPr="00EB694B">
        <w:rPr>
          <w:b/>
        </w:rPr>
        <w:t>международно</w:t>
      </w:r>
      <w:proofErr w:type="spellEnd"/>
      <w:r w:rsidRPr="00EB694B">
        <w:rPr>
          <w:b/>
        </w:rPr>
        <w:t xml:space="preserve"> признанными стандартами, включая отмену срока давности в отношении уголовного преследования за такие престу</w:t>
      </w:r>
      <w:r w:rsidRPr="00EB694B">
        <w:rPr>
          <w:b/>
        </w:rPr>
        <w:t>п</w:t>
      </w:r>
      <w:r w:rsidRPr="00EB694B">
        <w:rPr>
          <w:b/>
        </w:rPr>
        <w:t>ления;</w:t>
      </w:r>
    </w:p>
    <w:p w:rsidR="00F62789" w:rsidRPr="00EB694B" w:rsidRDefault="00F62789" w:rsidP="00F62789">
      <w:pPr>
        <w:pStyle w:val="SingleTxtGR"/>
        <w:rPr>
          <w:b/>
        </w:rPr>
      </w:pPr>
      <w:r w:rsidRPr="00EB694B">
        <w:rPr>
          <w:b/>
        </w:rPr>
        <w:tab/>
        <w:t>с)</w:t>
      </w:r>
      <w:r w:rsidRPr="00EB694B">
        <w:rPr>
          <w:b/>
        </w:rPr>
        <w:tab/>
        <w:t>обеспечить, чтобы в рамках обычной правовой системы, но о</w:t>
      </w:r>
      <w:r w:rsidRPr="00EB694B">
        <w:rPr>
          <w:b/>
        </w:rPr>
        <w:t>т</w:t>
      </w:r>
      <w:r w:rsidRPr="00EB694B">
        <w:rPr>
          <w:b/>
        </w:rPr>
        <w:t>дельно от полиции существовал независимый механизм для расследования утверждений о применении пыток и неправомер</w:t>
      </w:r>
      <w:r w:rsidR="008C0425" w:rsidRPr="00EB694B">
        <w:rPr>
          <w:b/>
        </w:rPr>
        <w:t>ном обращении;</w:t>
      </w:r>
      <w:r w:rsidRPr="00EB694B">
        <w:rPr>
          <w:b/>
        </w:rPr>
        <w:t xml:space="preserve"> </w:t>
      </w:r>
    </w:p>
    <w:p w:rsidR="00F62789" w:rsidRPr="00EB694B" w:rsidRDefault="00F62789" w:rsidP="00F62789">
      <w:pPr>
        <w:pStyle w:val="SingleTxtGR"/>
        <w:rPr>
          <w:b/>
        </w:rPr>
      </w:pPr>
      <w:r w:rsidRPr="00EB694B">
        <w:rPr>
          <w:b/>
        </w:rPr>
        <w:tab/>
        <w:t>d)</w:t>
      </w:r>
      <w:r w:rsidRPr="00EB694B">
        <w:rPr>
          <w:b/>
        </w:rPr>
        <w:tab/>
        <w:t>обеспечить, чтобы законодательство надлежащим образом предусматривало судебное преследование и осуждение виновных в таких деяниях и их сообщников с учетом тяжести совершенных преступлений в обычных уголовных судах и чтобы жертвы и их семьи имели доступ к средствам правовой защиты, включая реабилитацию и компенсацию.</w:t>
      </w:r>
    </w:p>
    <w:p w:rsidR="00F62789" w:rsidRPr="00F62789" w:rsidRDefault="00F62789" w:rsidP="008C0425">
      <w:pPr>
        <w:pStyle w:val="H23GR"/>
      </w:pPr>
      <w:r w:rsidRPr="00F62789">
        <w:tab/>
      </w:r>
      <w:r w:rsidRPr="00F62789">
        <w:tab/>
        <w:t>Защита от произвольной высылки</w:t>
      </w:r>
    </w:p>
    <w:p w:rsidR="00F62789" w:rsidRPr="00F62789" w:rsidRDefault="00F62789" w:rsidP="00F62789">
      <w:pPr>
        <w:pStyle w:val="SingleTxtGR"/>
      </w:pPr>
      <w:r w:rsidRPr="00F62789">
        <w:t>31.</w:t>
      </w:r>
      <w:r w:rsidRPr="00F62789">
        <w:tab/>
      </w:r>
      <w:proofErr w:type="gramStart"/>
      <w:r w:rsidRPr="00F62789">
        <w:t>Хотя Комитет сознает трудности, с которыми сталкивается государство-участник в связи со значительной иммиграцией с учетом размеров его террит</w:t>
      </w:r>
      <w:r w:rsidRPr="00F62789">
        <w:t>о</w:t>
      </w:r>
      <w:r w:rsidRPr="00F62789">
        <w:t>рии,</w:t>
      </w:r>
      <w:r>
        <w:t xml:space="preserve"> </w:t>
      </w:r>
      <w:r w:rsidRPr="00F62789">
        <w:t>и приветствует включение мер, направленных на поощрение интеграции иностранцев, он по-прежнему озабочен проблемой аннулирования видов на ж</w:t>
      </w:r>
      <w:r w:rsidRPr="00F62789">
        <w:t>и</w:t>
      </w:r>
      <w:r w:rsidRPr="00F62789">
        <w:t>тельство в случае тех лиц, которые зависят от социальных пособий сверх опр</w:t>
      </w:r>
      <w:r w:rsidRPr="00F62789">
        <w:t>е</w:t>
      </w:r>
      <w:r w:rsidRPr="00F62789">
        <w:t>деленного порогового уровня, если только они постоянно не</w:t>
      </w:r>
      <w:r>
        <w:t xml:space="preserve"> </w:t>
      </w:r>
      <w:r w:rsidRPr="00F62789">
        <w:t>проживали в гос</w:t>
      </w:r>
      <w:r w:rsidRPr="00F62789">
        <w:t>у</w:t>
      </w:r>
      <w:r w:rsidRPr="00F62789">
        <w:t>дарстве-участнике в течение 15 или</w:t>
      </w:r>
      <w:proofErr w:type="gramEnd"/>
      <w:r w:rsidRPr="00F62789">
        <w:t xml:space="preserve"> более лет (статьи 13 и 26).</w:t>
      </w:r>
    </w:p>
    <w:p w:rsidR="00F62789" w:rsidRPr="00EB694B" w:rsidRDefault="00F62789" w:rsidP="00F62789">
      <w:pPr>
        <w:pStyle w:val="SingleTxtGR"/>
        <w:rPr>
          <w:b/>
        </w:rPr>
      </w:pPr>
      <w:r w:rsidRPr="00F62789">
        <w:t>32.</w:t>
      </w:r>
      <w:r w:rsidRPr="00F62789">
        <w:tab/>
      </w:r>
      <w:r w:rsidRPr="00EB694B">
        <w:rPr>
          <w:b/>
        </w:rPr>
        <w:t>Государству-участнику следует принять необходимые меры для обе</w:t>
      </w:r>
      <w:r w:rsidRPr="00EB694B">
        <w:rPr>
          <w:b/>
        </w:rPr>
        <w:t>с</w:t>
      </w:r>
      <w:r w:rsidRPr="00EB694B">
        <w:rPr>
          <w:b/>
        </w:rPr>
        <w:t>печения того, чтобы положения, касающиеся отзыва вида на жительство у зависящих от социальных пособий лиц, которые прожили в государстве-участнике менее 15 лет, не имели необоснованных последствий для пол</w:t>
      </w:r>
      <w:r w:rsidRPr="00EB694B">
        <w:rPr>
          <w:b/>
        </w:rPr>
        <w:t>о</w:t>
      </w:r>
      <w:r w:rsidRPr="00EB694B">
        <w:rPr>
          <w:b/>
        </w:rPr>
        <w:t>жения действительно нуждающихся в помощи и не подвергали тех, кто находится в уязвимом положении, еще большей опасности.</w:t>
      </w:r>
    </w:p>
    <w:p w:rsidR="00F62789" w:rsidRPr="00F62789" w:rsidRDefault="008C0425" w:rsidP="008C0425">
      <w:pPr>
        <w:pStyle w:val="H1GR"/>
      </w:pPr>
      <w:r>
        <w:tab/>
      </w:r>
      <w:r w:rsidR="00F62789" w:rsidRPr="00F62789">
        <w:t>D.</w:t>
      </w:r>
      <w:r w:rsidR="00F62789" w:rsidRPr="00F62789">
        <w:tab/>
        <w:t>Распространение информации и последующая деятельность</w:t>
      </w:r>
    </w:p>
    <w:p w:rsidR="00F62789" w:rsidRPr="00F62789" w:rsidRDefault="00F62789" w:rsidP="00F62789">
      <w:pPr>
        <w:pStyle w:val="SingleTxtGR"/>
      </w:pPr>
      <w:r w:rsidRPr="00F62789">
        <w:t>33.</w:t>
      </w:r>
      <w:r w:rsidRPr="00F62789">
        <w:tab/>
      </w:r>
      <w:proofErr w:type="gramStart"/>
      <w:r w:rsidRPr="00F62789">
        <w:t>Государству-участнику следует обеспечить широкое распространение Пакта, двух Факультативных протоколов к нему, своего второго периодического доклада, письменных ответов на перечень вопросов Комитета и настоящих з</w:t>
      </w:r>
      <w:r w:rsidRPr="00F62789">
        <w:t>а</w:t>
      </w:r>
      <w:r w:rsidRPr="00F62789">
        <w:t>ключительных замечаний в целях повышения уровня осведомленности о з</w:t>
      </w:r>
      <w:r w:rsidRPr="00F62789">
        <w:t>а</w:t>
      </w:r>
      <w:r w:rsidRPr="00F62789">
        <w:t>крепленных в Пакте правах среди судебных, законодательных и администр</w:t>
      </w:r>
      <w:r w:rsidRPr="00F62789">
        <w:t>а</w:t>
      </w:r>
      <w:r w:rsidRPr="00F62789">
        <w:t>тивных органов, гражданского общества и действующих в стране неправител</w:t>
      </w:r>
      <w:r w:rsidRPr="00F62789">
        <w:t>ь</w:t>
      </w:r>
      <w:r w:rsidRPr="00F62789">
        <w:t>ственных организаций, а также широкой общественности.</w:t>
      </w:r>
      <w:proofErr w:type="gramEnd"/>
      <w:r w:rsidRPr="00F62789">
        <w:t xml:space="preserve"> Государству-участнику следует обеспечить перевод текста доклада и настоящих заключ</w:t>
      </w:r>
      <w:r w:rsidRPr="00F62789">
        <w:t>и</w:t>
      </w:r>
      <w:r w:rsidRPr="00F62789">
        <w:t xml:space="preserve">тельных замечаний на официальный язык государства-участника. </w:t>
      </w:r>
    </w:p>
    <w:p w:rsidR="00F62789" w:rsidRPr="00F62789" w:rsidRDefault="00F62789" w:rsidP="00F62789">
      <w:pPr>
        <w:pStyle w:val="SingleTxtGR"/>
      </w:pPr>
      <w:r w:rsidRPr="00F62789">
        <w:t>34.</w:t>
      </w:r>
      <w:r w:rsidRPr="00F62789">
        <w:tab/>
        <w:t xml:space="preserve">В соответствии с пунктом 5 правила 71 правил процедуры Комитета </w:t>
      </w:r>
      <w:r w:rsidR="00D3533A">
        <w:br/>
      </w:r>
      <w:r w:rsidRPr="00F62789">
        <w:t>государству-участнику предлагается представить в течение одного года с м</w:t>
      </w:r>
      <w:r w:rsidRPr="00F62789">
        <w:t>о</w:t>
      </w:r>
      <w:r w:rsidRPr="00F62789">
        <w:t>мента принятия настоящих заключительных замечаний информацию о выпо</w:t>
      </w:r>
      <w:r w:rsidRPr="00F62789">
        <w:t>л</w:t>
      </w:r>
      <w:r w:rsidRPr="00F62789">
        <w:t>нении им рекомендаций Комитета, изложенных в пунктах 12 (антидискримин</w:t>
      </w:r>
      <w:r w:rsidRPr="00F62789">
        <w:t>а</w:t>
      </w:r>
      <w:r w:rsidRPr="00F62789">
        <w:t>ционное законодательство), 22 (сексуальные и репродуктивные права) и 30 (з</w:t>
      </w:r>
      <w:r w:rsidRPr="00F62789">
        <w:t>а</w:t>
      </w:r>
      <w:r w:rsidRPr="00F62789">
        <w:t>прещение пыток) выше.</w:t>
      </w:r>
    </w:p>
    <w:p w:rsidR="00F62789" w:rsidRPr="00F62789" w:rsidRDefault="00F62789" w:rsidP="00F62789">
      <w:pPr>
        <w:pStyle w:val="SingleTxtGR"/>
      </w:pPr>
      <w:r w:rsidRPr="00F62789">
        <w:t>35.</w:t>
      </w:r>
      <w:r w:rsidRPr="00F62789">
        <w:tab/>
        <w:t>Комитет просит государство-участник представить свой следующий п</w:t>
      </w:r>
      <w:r w:rsidRPr="00F62789">
        <w:t>е</w:t>
      </w:r>
      <w:r w:rsidRPr="00F62789">
        <w:t>риодический доклад к 28 июля 2023 года и включить в него информацию об осуществлении настоящих заключительных замечаний. Комитет также просит государство-участник при подготовке своего доклада провести широкие ко</w:t>
      </w:r>
      <w:r w:rsidRPr="00F62789">
        <w:t>н</w:t>
      </w:r>
      <w:r w:rsidRPr="00F62789">
        <w:t>сультации с представителями гражданского общества и действующих в стране неправительственных организаций, а также меньшинств и маргинальных групп. В соответствии с резолюцией 68/268 Генеральной Ассамблеи объем доклада не должен превышать 21 200 слов. В качестве альтернативы и в соответствии</w:t>
      </w:r>
      <w:r w:rsidR="00D3533A">
        <w:t xml:space="preserve"> с</w:t>
      </w:r>
      <w:r w:rsidRPr="00F62789">
        <w:t xml:space="preserve"> з</w:t>
      </w:r>
      <w:r w:rsidRPr="00F62789">
        <w:t>а</w:t>
      </w:r>
      <w:r w:rsidRPr="00F62789">
        <w:t xml:space="preserve">мечанием государства-участника о его поддержке упрощенной процедуры представления докладов Комитет предлагает государству-участнику в течение года дать согласие на использование его упрощенной процедуры представления докладов, в соответствии с которой Комитет препровождает государству-участнику перечень вопросов до представления им периодического доклада. Ответ государства-участника на этот перечень вопросов и будут представлять собой следующий периодический доклад, представляемый </w:t>
      </w:r>
      <w:r w:rsidR="00D3533A">
        <w:t>в соответствии со статьей </w:t>
      </w:r>
      <w:r w:rsidRPr="00F62789">
        <w:t>40 Пакта.</w:t>
      </w:r>
    </w:p>
    <w:p w:rsidR="00F62789" w:rsidRPr="00F62789" w:rsidRDefault="00F62789" w:rsidP="00F6278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2789" w:rsidRPr="00F62789" w:rsidSect="00F6278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9C" w:rsidRPr="00A312BC" w:rsidRDefault="006B2B9C" w:rsidP="00A312BC"/>
  </w:endnote>
  <w:endnote w:type="continuationSeparator" w:id="0">
    <w:p w:rsidR="006B2B9C" w:rsidRPr="00A312BC" w:rsidRDefault="006B2B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89" w:rsidRPr="00F62789" w:rsidRDefault="00F62789">
    <w:pPr>
      <w:pStyle w:val="a8"/>
    </w:pPr>
    <w:r w:rsidRPr="00F62789">
      <w:rPr>
        <w:b/>
        <w:sz w:val="18"/>
      </w:rPr>
      <w:fldChar w:fldCharType="begin"/>
    </w:r>
    <w:r w:rsidRPr="00F62789">
      <w:rPr>
        <w:b/>
        <w:sz w:val="18"/>
      </w:rPr>
      <w:instrText xml:space="preserve"> PAGE  \* MERGEFORMAT </w:instrText>
    </w:r>
    <w:r w:rsidRPr="00F62789">
      <w:rPr>
        <w:b/>
        <w:sz w:val="18"/>
      </w:rPr>
      <w:fldChar w:fldCharType="separate"/>
    </w:r>
    <w:r w:rsidR="002C38BD">
      <w:rPr>
        <w:b/>
        <w:noProof/>
        <w:sz w:val="18"/>
      </w:rPr>
      <w:t>2</w:t>
    </w:r>
    <w:r w:rsidRPr="00F62789">
      <w:rPr>
        <w:b/>
        <w:sz w:val="18"/>
      </w:rPr>
      <w:fldChar w:fldCharType="end"/>
    </w:r>
    <w:r>
      <w:rPr>
        <w:b/>
        <w:sz w:val="18"/>
      </w:rPr>
      <w:tab/>
    </w:r>
    <w:r>
      <w:t>GE.17-14352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89" w:rsidRPr="00F62789" w:rsidRDefault="00F62789" w:rsidP="00F62789">
    <w:pPr>
      <w:pStyle w:val="a8"/>
      <w:tabs>
        <w:tab w:val="clear" w:pos="9639"/>
        <w:tab w:val="right" w:pos="9638"/>
      </w:tabs>
      <w:rPr>
        <w:b/>
        <w:sz w:val="18"/>
      </w:rPr>
    </w:pPr>
    <w:r>
      <w:t>GE.17-14352</w:t>
    </w:r>
    <w:r>
      <w:tab/>
    </w:r>
    <w:r w:rsidRPr="00F62789">
      <w:rPr>
        <w:b/>
        <w:sz w:val="18"/>
      </w:rPr>
      <w:fldChar w:fldCharType="begin"/>
    </w:r>
    <w:r w:rsidRPr="00F62789">
      <w:rPr>
        <w:b/>
        <w:sz w:val="18"/>
      </w:rPr>
      <w:instrText xml:space="preserve"> PAGE  \* MERGEFORMAT </w:instrText>
    </w:r>
    <w:r w:rsidRPr="00F62789">
      <w:rPr>
        <w:b/>
        <w:sz w:val="18"/>
      </w:rPr>
      <w:fldChar w:fldCharType="separate"/>
    </w:r>
    <w:r w:rsidR="002C38BD">
      <w:rPr>
        <w:b/>
        <w:noProof/>
        <w:sz w:val="18"/>
      </w:rPr>
      <w:t>7</w:t>
    </w:r>
    <w:r w:rsidRPr="00F627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62789" w:rsidRDefault="00F62789" w:rsidP="00F6278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B8BC17E" wp14:editId="7B8AD22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17-14352  (R)</w:t>
    </w:r>
    <w:r>
      <w:rPr>
        <w:lang w:val="en-US"/>
      </w:rPr>
      <w:t xml:space="preserve">  191017  191017</w:t>
    </w:r>
    <w:r>
      <w:br/>
    </w:r>
    <w:r w:rsidRPr="00F62789">
      <w:rPr>
        <w:rFonts w:ascii="C39T30Lfz" w:hAnsi="C39T30Lfz"/>
        <w:spacing w:val="0"/>
        <w:w w:val="100"/>
        <w:sz w:val="56"/>
      </w:rPr>
      <w:t></w:t>
    </w:r>
    <w:r w:rsidRPr="00F62789">
      <w:rPr>
        <w:rFonts w:ascii="C39T30Lfz" w:hAnsi="C39T30Lfz"/>
        <w:spacing w:val="0"/>
        <w:w w:val="100"/>
        <w:sz w:val="56"/>
      </w:rPr>
      <w:t></w:t>
    </w:r>
    <w:r w:rsidRPr="00F62789">
      <w:rPr>
        <w:rFonts w:ascii="C39T30Lfz" w:hAnsi="C39T30Lfz"/>
        <w:spacing w:val="0"/>
        <w:w w:val="100"/>
        <w:sz w:val="56"/>
      </w:rPr>
      <w:t></w:t>
    </w:r>
    <w:r w:rsidRPr="00F62789">
      <w:rPr>
        <w:rFonts w:ascii="C39T30Lfz" w:hAnsi="C39T30Lfz"/>
        <w:spacing w:val="0"/>
        <w:w w:val="100"/>
        <w:sz w:val="56"/>
      </w:rPr>
      <w:t></w:t>
    </w:r>
    <w:r w:rsidRPr="00F62789">
      <w:rPr>
        <w:rFonts w:ascii="C39T30Lfz" w:hAnsi="C39T30Lfz"/>
        <w:spacing w:val="0"/>
        <w:w w:val="100"/>
        <w:sz w:val="56"/>
      </w:rPr>
      <w:t></w:t>
    </w:r>
    <w:r w:rsidRPr="00F62789">
      <w:rPr>
        <w:rFonts w:ascii="C39T30Lfz" w:hAnsi="C39T30Lfz"/>
        <w:spacing w:val="0"/>
        <w:w w:val="100"/>
        <w:sz w:val="56"/>
      </w:rPr>
      <w:t></w:t>
    </w:r>
    <w:r w:rsidRPr="00F62789">
      <w:rPr>
        <w:rFonts w:ascii="C39T30Lfz" w:hAnsi="C39T30Lfz"/>
        <w:spacing w:val="0"/>
        <w:w w:val="100"/>
        <w:sz w:val="56"/>
      </w:rPr>
      <w:t></w:t>
    </w:r>
    <w:r w:rsidRPr="00F62789">
      <w:rPr>
        <w:rFonts w:ascii="C39T30Lfz" w:hAnsi="C39T30Lfz"/>
        <w:spacing w:val="0"/>
        <w:w w:val="100"/>
        <w:sz w:val="56"/>
      </w:rPr>
      <w:t></w:t>
    </w:r>
    <w:r w:rsidRPr="00F6278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CPR/C/LIE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LIE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9C" w:rsidRPr="001075E9" w:rsidRDefault="006B2B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2B9C" w:rsidRDefault="006B2B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62789" w:rsidRPr="00F62789" w:rsidRDefault="00F62789">
      <w:pPr>
        <w:pStyle w:val="ad"/>
        <w:rPr>
          <w:sz w:val="20"/>
          <w:lang w:val="ru-RU"/>
        </w:rPr>
      </w:pPr>
      <w:r>
        <w:tab/>
      </w:r>
      <w:r w:rsidRPr="00F62789">
        <w:rPr>
          <w:rStyle w:val="aa"/>
          <w:sz w:val="20"/>
          <w:vertAlign w:val="baseline"/>
          <w:lang w:val="ru-RU"/>
        </w:rPr>
        <w:t>*</w:t>
      </w:r>
      <w:r w:rsidRPr="00F62789">
        <w:rPr>
          <w:rStyle w:val="aa"/>
          <w:vertAlign w:val="baseline"/>
          <w:lang w:val="ru-RU"/>
        </w:rPr>
        <w:tab/>
      </w:r>
      <w:r w:rsidRPr="00F62789">
        <w:rPr>
          <w:lang w:val="ru-RU"/>
        </w:rPr>
        <w:t>Принято Комитетом на его 120-й сессии (3–28 июля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89" w:rsidRPr="00F62789" w:rsidRDefault="002C38B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CCPR/C/LIE/CO/2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89" w:rsidRPr="00F62789" w:rsidRDefault="002C38BD" w:rsidP="00F6278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CCPR/C/LIE/CO/2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C"/>
    <w:rsid w:val="00015C14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C38B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2765B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E5CB1"/>
    <w:rsid w:val="005F0B42"/>
    <w:rsid w:val="00637754"/>
    <w:rsid w:val="00666B97"/>
    <w:rsid w:val="006746BD"/>
    <w:rsid w:val="00681A10"/>
    <w:rsid w:val="006A1ED8"/>
    <w:rsid w:val="006B2B9C"/>
    <w:rsid w:val="006B6CB1"/>
    <w:rsid w:val="006C2031"/>
    <w:rsid w:val="006D461A"/>
    <w:rsid w:val="006F35EE"/>
    <w:rsid w:val="007021FF"/>
    <w:rsid w:val="00712895"/>
    <w:rsid w:val="00757357"/>
    <w:rsid w:val="00791B9D"/>
    <w:rsid w:val="00825F8D"/>
    <w:rsid w:val="00834B71"/>
    <w:rsid w:val="0086445C"/>
    <w:rsid w:val="00894693"/>
    <w:rsid w:val="008A08D7"/>
    <w:rsid w:val="008B6909"/>
    <w:rsid w:val="008C0425"/>
    <w:rsid w:val="00906890"/>
    <w:rsid w:val="00911BE4"/>
    <w:rsid w:val="00951972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3533A"/>
    <w:rsid w:val="00D90028"/>
    <w:rsid w:val="00D90138"/>
    <w:rsid w:val="00DD78D1"/>
    <w:rsid w:val="00DE32CD"/>
    <w:rsid w:val="00DF71B9"/>
    <w:rsid w:val="00E06BEE"/>
    <w:rsid w:val="00E46656"/>
    <w:rsid w:val="00E6738A"/>
    <w:rsid w:val="00E73F76"/>
    <w:rsid w:val="00EA2C9F"/>
    <w:rsid w:val="00EA420E"/>
    <w:rsid w:val="00EB694B"/>
    <w:rsid w:val="00ED0BDA"/>
    <w:rsid w:val="00EF1360"/>
    <w:rsid w:val="00EF3220"/>
    <w:rsid w:val="00F43903"/>
    <w:rsid w:val="00F62789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7</Pages>
  <Words>2207</Words>
  <Characters>15630</Characters>
  <Application>Microsoft Office Word</Application>
  <DocSecurity>0</DocSecurity>
  <Lines>306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CCPR/C/LIE/CO/2</vt:lpstr>
      <vt:lpstr>A/</vt:lpstr>
    </vt:vector>
  </TitlesOfParts>
  <Company>DCM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CCPR/C/LIE/CO/2</dc:title>
  <dc:subject/>
  <dc:creator>Marina Korotkova</dc:creator>
  <cp:keywords/>
  <cp:lastModifiedBy>Marina Korotkova</cp:lastModifiedBy>
  <cp:revision>3</cp:revision>
  <cp:lastPrinted>2017-10-19T14:49:00Z</cp:lastPrinted>
  <dcterms:created xsi:type="dcterms:W3CDTF">2017-10-19T14:49:00Z</dcterms:created>
  <dcterms:modified xsi:type="dcterms:W3CDTF">2017-10-19T14:50:00Z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