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B6734B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44A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44ABC" w:rsidRDefault="00544ABC" w:rsidP="00544ABC">
            <w:pPr>
              <w:jc w:val="right"/>
              <w:rPr>
                <w:lang w:val="en-US"/>
              </w:rPr>
            </w:pPr>
            <w:r w:rsidRPr="00544ABC">
              <w:rPr>
                <w:sz w:val="40"/>
                <w:lang w:val="en-US"/>
              </w:rPr>
              <w:t>CRPD</w:t>
            </w:r>
            <w:r w:rsidRPr="00544ABC">
              <w:rPr>
                <w:lang w:val="en-US"/>
              </w:rPr>
              <w:t>/C/JOR/CO/1/Add.1</w:t>
            </w:r>
          </w:p>
        </w:tc>
      </w:tr>
      <w:tr w:rsidR="002D5AAC" w:rsidRPr="00B6734B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44ABC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44ABC" w:rsidRDefault="00544ABC" w:rsidP="00544A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December 2018</w:t>
            </w:r>
          </w:p>
          <w:p w:rsidR="00544ABC" w:rsidRDefault="00544ABC" w:rsidP="00544A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44ABC" w:rsidRPr="00544ABC" w:rsidRDefault="00544ABC" w:rsidP="00544A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Arabic</w:t>
            </w:r>
            <w:r>
              <w:rPr>
                <w:lang w:val="en-US"/>
              </w:rPr>
              <w:br/>
            </w:r>
            <w:r w:rsidRPr="00544ABC">
              <w:rPr>
                <w:lang w:val="en-US"/>
              </w:rPr>
              <w:t>Arabic, English, Russian and Spanish only</w:t>
            </w:r>
          </w:p>
        </w:tc>
      </w:tr>
    </w:tbl>
    <w:p w:rsidR="00544ABC" w:rsidRPr="00B6734B" w:rsidRDefault="00544ABC" w:rsidP="00544ABC">
      <w:pPr>
        <w:spacing w:before="120"/>
      </w:pPr>
      <w:r w:rsidRPr="00544ABC">
        <w:rPr>
          <w:rFonts w:eastAsia="Times New Roman" w:cs="Times New Roman"/>
          <w:b/>
          <w:bCs/>
          <w:sz w:val="24"/>
          <w:szCs w:val="20"/>
        </w:rPr>
        <w:t>Комитет по правам инвалидов</w:t>
      </w:r>
    </w:p>
    <w:p w:rsidR="00544ABC" w:rsidRPr="00544ABC" w:rsidRDefault="00544ABC" w:rsidP="00544ABC">
      <w:pPr>
        <w:pStyle w:val="HChG"/>
      </w:pPr>
      <w:r w:rsidRPr="00544ABC">
        <w:tab/>
      </w:r>
      <w:r w:rsidRPr="00544ABC">
        <w:tab/>
        <w:t>Заключительные замечания по первоначальному докладу Иордании</w:t>
      </w:r>
    </w:p>
    <w:p w:rsidR="00544ABC" w:rsidRPr="00544ABC" w:rsidRDefault="00544ABC" w:rsidP="00544ABC">
      <w:pPr>
        <w:pStyle w:val="H23G"/>
      </w:pPr>
      <w:r w:rsidRPr="00544ABC">
        <w:tab/>
      </w:r>
      <w:r w:rsidRPr="00544ABC">
        <w:tab/>
        <w:t>Добавление</w:t>
      </w:r>
    </w:p>
    <w:p w:rsidR="00544ABC" w:rsidRPr="00544ABC" w:rsidRDefault="00544ABC" w:rsidP="00544ABC">
      <w:pPr>
        <w:pStyle w:val="HChG"/>
      </w:pPr>
      <w:r w:rsidRPr="00544ABC">
        <w:tab/>
      </w:r>
      <w:r w:rsidRPr="00544ABC">
        <w:tab/>
        <w:t>Информация, полученная от Иордании о последующей деятельности в связи с заключительными замечаниями</w:t>
      </w:r>
      <w:r w:rsidRPr="00544ABC">
        <w:rPr>
          <w:b w:val="0"/>
          <w:sz w:val="20"/>
        </w:rPr>
        <w:footnoteReference w:customMarkFollows="1" w:id="1"/>
        <w:t>*</w:t>
      </w:r>
    </w:p>
    <w:p w:rsidR="00544ABC" w:rsidRPr="00544ABC" w:rsidRDefault="00544ABC" w:rsidP="00544ABC">
      <w:pPr>
        <w:pStyle w:val="SingleTxtG"/>
        <w:jc w:val="right"/>
      </w:pPr>
      <w:r w:rsidRPr="00544ABC">
        <w:t>[Дата получения: 14 апреля 2018 года]</w:t>
      </w:r>
    </w:p>
    <w:p w:rsidR="00544ABC" w:rsidRDefault="00544ABC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544ABC" w:rsidRPr="00544ABC" w:rsidRDefault="00544ABC" w:rsidP="00544ABC">
      <w:pPr>
        <w:pStyle w:val="HChG"/>
      </w:pPr>
      <w:r w:rsidRPr="00544ABC">
        <w:lastRenderedPageBreak/>
        <w:t xml:space="preserve"> </w:t>
      </w:r>
      <w:r w:rsidRPr="00544ABC">
        <w:tab/>
      </w:r>
      <w:r w:rsidRPr="00544ABC">
        <w:tab/>
        <w:t xml:space="preserve">Ответ Иорданского Хашимитского Королевства </w:t>
      </w:r>
      <w:r>
        <w:br/>
      </w:r>
      <w:r w:rsidRPr="00544ABC">
        <w:t xml:space="preserve">на заключительные замечания и рекомендации Комитета Организации Объединенных Наций </w:t>
      </w:r>
      <w:r>
        <w:br/>
      </w:r>
      <w:r w:rsidRPr="00544ABC">
        <w:t>по правам инвалидов</w:t>
      </w:r>
    </w:p>
    <w:p w:rsidR="00544ABC" w:rsidRPr="00544ABC" w:rsidRDefault="00544ABC" w:rsidP="00544ABC">
      <w:pPr>
        <w:pStyle w:val="HChG"/>
      </w:pPr>
      <w:r w:rsidRPr="00544ABC">
        <w:tab/>
      </w:r>
      <w:r w:rsidRPr="00544ABC">
        <w:tab/>
        <w:t>Введение</w:t>
      </w:r>
    </w:p>
    <w:p w:rsidR="00544ABC" w:rsidRPr="00544ABC" w:rsidRDefault="00544ABC" w:rsidP="00544ABC">
      <w:pPr>
        <w:pStyle w:val="SingleTxtG"/>
      </w:pPr>
      <w:r w:rsidRPr="00544ABC">
        <w:t>1.</w:t>
      </w:r>
      <w:r w:rsidRPr="00544ABC">
        <w:tab/>
        <w:t>Иордания имеет честь представить свой ответ на пункт 65 заключительных замечаний и рекомендаций Комитета по правам инвалидов, связанный с распространением и представлением информации о мерах, принятых для осуществления рекомендаций Комитета, которы</w:t>
      </w:r>
      <w:r w:rsidR="00B6734B">
        <w:t>е</w:t>
      </w:r>
      <w:r w:rsidRPr="00544ABC">
        <w:t xml:space="preserve"> содержатся в пункте 18, касающемся детей-инвалидов, и пункте 35, касающемся защиты личной неприкосновенности.</w:t>
      </w:r>
    </w:p>
    <w:p w:rsidR="00544ABC" w:rsidRPr="00544ABC" w:rsidRDefault="00544ABC" w:rsidP="00544ABC">
      <w:pPr>
        <w:pStyle w:val="SingleTxtG"/>
      </w:pPr>
      <w:r w:rsidRPr="00544ABC">
        <w:t>2.</w:t>
      </w:r>
      <w:r w:rsidRPr="00544ABC">
        <w:tab/>
        <w:t>Иордания обсудила свой первоначальный доклад с Комитетом по Конвенции о правах инвалидов в Женеве 28 и 29 марта 2017 года. Комитет приветствовал первоначальный доклад Иордании, подготовленный в соответствии с руководящими принципами подготовки докладов Комитета, и поблагодарил Иорданию за ее письменные ответы на подготовленный Комитетом перечень вопросов. Комитет также выразил признательность за плодотворный диалог с официальной делегацией Иордании в ходе рассмотрения доклада и высоко оценил работу иорданской делегации высокого уровня, уполномоченной обсудить первоначальный доклад.</w:t>
      </w:r>
    </w:p>
    <w:p w:rsidR="00544ABC" w:rsidRPr="00544ABC" w:rsidRDefault="00544ABC" w:rsidP="00544ABC">
      <w:pPr>
        <w:pStyle w:val="SingleTxtG"/>
        <w:rPr>
          <w:b/>
          <w:bCs/>
        </w:rPr>
      </w:pPr>
      <w:r w:rsidRPr="00544ABC">
        <w:t>3.</w:t>
      </w:r>
      <w:r w:rsidRPr="00544ABC">
        <w:tab/>
      </w:r>
      <w:r w:rsidRPr="00544ABC">
        <w:rPr>
          <w:b/>
          <w:bCs/>
        </w:rPr>
        <w:t>Со времени проведения диалога по вышеупомянутому докладу в Иордании произошли определенные подвижки в области инвалидности:</w:t>
      </w:r>
    </w:p>
    <w:p w:rsidR="00544ABC" w:rsidRPr="00544ABC" w:rsidRDefault="00544ABC" w:rsidP="00544ABC">
      <w:pPr>
        <w:pStyle w:val="Bullet1G"/>
      </w:pPr>
      <w:r>
        <w:t>В</w:t>
      </w:r>
      <w:r w:rsidRPr="00544ABC">
        <w:t xml:space="preserve"> Официальном вестнике № 5464 от 1 июня 2017 года был опубликован принятый в 2017 году Закон № 20 о правах инвалидов. Он был признан современным и прогрессивным законодательным актом, который соответствует положениям международных договоров по правам человека, ратифицированных Иорданией, включая </w:t>
      </w:r>
      <w:r>
        <w:t>Конвенцию о правах инвалидов. В </w:t>
      </w:r>
      <w:r w:rsidRPr="00544ABC">
        <w:t>Законе содержится ряд положений, продиктованных международными нормами и передовой практикой и отражающих тенденцию отказа от подхода, основанного на уходе, в пользу правозащитного подхода и недопущения дискриминации по признаку или в результате инвалидности. В нем также содержится всеобъемлющее определение инвалидов, в котором учитываются как физические, так и поведенческие барьеры. Один из критериев, лежащих в основе этого определения, опирается на оценку того, в какой степени люди могут пользоваться своими правами и свободами и осуществлять их наравне с другими.</w:t>
      </w:r>
    </w:p>
    <w:p w:rsidR="00544ABC" w:rsidRPr="00544ABC" w:rsidRDefault="00544ABC" w:rsidP="00544ABC">
      <w:pPr>
        <w:pStyle w:val="Bullet1G"/>
      </w:pPr>
      <w:r w:rsidRPr="00544ABC">
        <w:t>В Официальном вестнике № 5479 от 30 августа 2017 года был опубликован принятый в 2017 году Закон № 27 о внесении изменений в Уголовный кодекс. Согласно ряду новых положений критерий инвалидности рассматривается в качестве отягчающего обстоятельства в случае преступлений, состоящих в физическом и психологическом надругательстве, сексуальном насилии, мошенничестве, пренебрежительном отношении или оставлении. Эти поправки, безусловно, содействуют поощрению прав инвалидов и расширению сферы их правовой защиты.</w:t>
      </w:r>
    </w:p>
    <w:p w:rsidR="00544ABC" w:rsidRPr="00544ABC" w:rsidRDefault="00544ABC" w:rsidP="00544ABC">
      <w:pPr>
        <w:pStyle w:val="Bullet1G"/>
      </w:pPr>
      <w:r w:rsidRPr="00544ABC">
        <w:tab/>
        <w:t>Иордания ратифицировала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опубликовала его в Официальном вестнике № 5503 от 1 марта 2018 года.</w:t>
      </w:r>
    </w:p>
    <w:p w:rsidR="00544ABC" w:rsidRPr="00544ABC" w:rsidRDefault="00544ABC" w:rsidP="00544ABC">
      <w:pPr>
        <w:pStyle w:val="Bullet1G"/>
      </w:pPr>
      <w:r w:rsidRPr="00544ABC">
        <w:tab/>
        <w:t xml:space="preserve">В целях широкого распространения заключительных замечаний и рекомендаций и поддержки роли, возложенной на Высший совет по делам инвалидов на основании принятого в 2017 году Закона № 20 о правах инвалидов, заключительные замечания и рекомендации были включены в циркуляр № 21/12/1/48236 от 18 октября 2017 года и через канцелярию Премьер-министра распространены среди всех соответствующих официальных </w:t>
      </w:r>
      <w:r w:rsidRPr="00544ABC">
        <w:lastRenderedPageBreak/>
        <w:t>органов в соответствии со сферами их компетенции. Кроме того, они были преобразованы в доступные форматы для облегчения доступа инвалидов, пользующихся жестовым языком и шрифтом Брайля. Помимо этого, они были опубликованы на веб-сайте Совета и распространены среди организаций инвалидов, ассоциаций, работающих в области инвалидности, активистов-инвалидов, родственников и ученых на консультативных совещаниях, проведенных в различных частях Королевства, с тем чтобы обеспечить разработку основанного на широком участии подхода к последующей деятельности по осуществлению замечаний и рекомендаций.</w:t>
      </w:r>
    </w:p>
    <w:p w:rsidR="00544ABC" w:rsidRDefault="00544ABC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544ABC" w:rsidRPr="00544ABC" w:rsidRDefault="00544ABC" w:rsidP="00544ABC">
      <w:pPr>
        <w:pStyle w:val="HChG"/>
      </w:pPr>
      <w:r w:rsidRPr="00544ABC">
        <w:lastRenderedPageBreak/>
        <w:t xml:space="preserve"> </w:t>
      </w:r>
      <w:r w:rsidRPr="00544ABC">
        <w:tab/>
      </w:r>
      <w:r w:rsidRPr="00544ABC">
        <w:tab/>
        <w:t>Комитет по правам инвалидов</w:t>
      </w:r>
    </w:p>
    <w:p w:rsidR="00544ABC" w:rsidRPr="00544ABC" w:rsidRDefault="00544ABC" w:rsidP="00544ABC">
      <w:pPr>
        <w:pStyle w:val="HChG"/>
      </w:pPr>
      <w:r w:rsidRPr="00544ABC">
        <w:tab/>
      </w:r>
      <w:r w:rsidRPr="00544ABC">
        <w:tab/>
        <w:t xml:space="preserve">Ответ на заключительные замечания Комитета </w:t>
      </w:r>
      <w:r>
        <w:br/>
      </w:r>
      <w:r w:rsidRPr="00544ABC">
        <w:t xml:space="preserve">по правам инвалидов в отношении осуществления рекомендаций, содержащихся в пункте 18 </w:t>
      </w:r>
      <w:r>
        <w:br/>
      </w:r>
      <w:r w:rsidRPr="00544ABC">
        <w:t>(дети-инвалиды) и пункте 35 (защита личной целостности)</w:t>
      </w:r>
    </w:p>
    <w:p w:rsidR="00544ABC" w:rsidRPr="00544ABC" w:rsidRDefault="00544ABC" w:rsidP="00544ABC">
      <w:pPr>
        <w:pStyle w:val="H1G"/>
      </w:pPr>
      <w:r w:rsidRPr="00544ABC">
        <w:tab/>
        <w:t>A.</w:t>
      </w:r>
      <w:r w:rsidRPr="00544ABC">
        <w:tab/>
        <w:t>Конкретные права (статьи 7 и 17)</w:t>
      </w:r>
    </w:p>
    <w:p w:rsidR="00544ABC" w:rsidRPr="00544ABC" w:rsidRDefault="00544ABC" w:rsidP="00544ABC">
      <w:pPr>
        <w:pStyle w:val="H1G"/>
      </w:pPr>
      <w:r w:rsidRPr="00544ABC">
        <w:tab/>
      </w:r>
      <w:r w:rsidRPr="00544ABC">
        <w:tab/>
        <w:t>Дети-инвалиды (статья 7)</w:t>
      </w:r>
    </w:p>
    <w:p w:rsidR="00544ABC" w:rsidRPr="00544ABC" w:rsidRDefault="00544ABC" w:rsidP="00544ABC">
      <w:pPr>
        <w:pStyle w:val="H23G"/>
      </w:pPr>
      <w:r>
        <w:tab/>
      </w:r>
      <w:r>
        <w:tab/>
      </w:r>
      <w:r w:rsidRPr="00544ABC">
        <w:t>18.</w:t>
      </w:r>
      <w:r w:rsidRPr="00544ABC">
        <w:tab/>
        <w:t>Комитет рекомендует государству-участнику:</w:t>
      </w:r>
    </w:p>
    <w:p w:rsidR="00544ABC" w:rsidRPr="00544ABC" w:rsidRDefault="00544ABC" w:rsidP="00B6734B">
      <w:pPr>
        <w:pStyle w:val="H23G"/>
        <w:jc w:val="both"/>
      </w:pPr>
      <w:r w:rsidRPr="00544ABC">
        <w:tab/>
      </w:r>
      <w:r>
        <w:tab/>
      </w:r>
      <w:r>
        <w:tab/>
      </w:r>
      <w:r>
        <w:tab/>
      </w:r>
      <w:r w:rsidRPr="00544ABC">
        <w:t>а)</w:t>
      </w:r>
      <w:r w:rsidRPr="00544ABC">
        <w:tab/>
        <w:t>принять проект поправок к Уголовному кодексу, предусматривающих ужесточение наказания за пренебрежительное отношение к детям-инвалидам и причинение им вреда.</w:t>
      </w:r>
    </w:p>
    <w:p w:rsidR="00544ABC" w:rsidRPr="00544ABC" w:rsidRDefault="00544ABC" w:rsidP="00544ABC">
      <w:pPr>
        <w:pStyle w:val="SingleTxtG"/>
      </w:pPr>
      <w:r w:rsidRPr="00544ABC">
        <w:t>1.</w:t>
      </w:r>
      <w:r w:rsidRPr="00544ABC">
        <w:tab/>
        <w:t>Был обнародован принятый в 2017 году Закон № 27 о внесении поправок в Уголовный кодекс. Согласно ему инвалидность рассматривается как отягчающее обстоятельство при совершении определенных преступлений в отношении инвалидов, таких как надругательства, сексуальное насилие, похищение, мошенничество, пренебрежительное отношение и оставление.</w:t>
      </w:r>
    </w:p>
    <w:p w:rsidR="00544ABC" w:rsidRPr="00544ABC" w:rsidRDefault="00544ABC" w:rsidP="00B6734B">
      <w:pPr>
        <w:pStyle w:val="H23G"/>
        <w:jc w:val="both"/>
      </w:pPr>
      <w:r w:rsidRPr="00544ABC">
        <w:tab/>
      </w:r>
      <w:r>
        <w:tab/>
      </w:r>
      <w:r>
        <w:tab/>
      </w:r>
      <w:r>
        <w:tab/>
      </w:r>
      <w:r w:rsidRPr="00544ABC">
        <w:t>b)</w:t>
      </w:r>
      <w:r w:rsidRPr="00544ABC">
        <w:tab/>
        <w:t>Обеспечить регистрацию и расследование в полном объеме всех случаев насилия в отношении детей-инвалидов, привлечение к ответственности и надлежащее наказание виновных, а также оказание необходимой поддержки жертвам и восстановление нарушенных прав, включая компенсацию и реабилитацию.</w:t>
      </w:r>
    </w:p>
    <w:p w:rsidR="00544ABC" w:rsidRPr="00544ABC" w:rsidRDefault="00544ABC" w:rsidP="00544ABC">
      <w:pPr>
        <w:pStyle w:val="SingleTxtG"/>
      </w:pPr>
      <w:r w:rsidRPr="00544ABC">
        <w:t>2.</w:t>
      </w:r>
      <w:r w:rsidRPr="00544ABC">
        <w:tab/>
        <w:t>Определение насилия содержится в статье 30 принятого в 2017 году Закона о правах инвалидов № 20. Насилие определяется как любое действие или бездействие, совершенное на основании наличия инвалидности, в результате которого ущемляются права или свободы инвалида, а также права на их осуществление, или же инвалиду причиняется физический, психический или психоло</w:t>
      </w:r>
      <w:r>
        <w:t>гический ущерб. Согласно пункту </w:t>
      </w:r>
      <w:r w:rsidRPr="00544ABC">
        <w:t>b) любое лицо, располагающее информацией о применении насилия в отношении инвалидов, обязано сообщить об этом в компетентные органы. Кроме того, как предусмотрено в пункте с) этой статьи, компетентные судебные органы должны обеспечивать необходимую защиту осведомителям, свидетелям и другим лицам, которые выявляют случаи насилия в отношении инвалидов или сообщают о них или же работают над отчетами или расследованиями, в которых они воздерживаются от раскрытия информации об их личности и местонахождении, а также позволять им делать заявления и давать показания с использованием современных технологий, обеспечивающих их безопасность. Кроме того, соответствующие лица не должны подвергаться дискриминации или жестокому обращению на рабочем месте, и для гарантии их безопасности должны приниматься все необходимые меры.</w:t>
      </w:r>
    </w:p>
    <w:p w:rsidR="00544ABC" w:rsidRPr="00544ABC" w:rsidRDefault="00544ABC" w:rsidP="00544ABC">
      <w:pPr>
        <w:pStyle w:val="SingleTxtG"/>
      </w:pPr>
      <w:r w:rsidRPr="00544ABC">
        <w:t>3.</w:t>
      </w:r>
      <w:r w:rsidRPr="00544ABC">
        <w:tab/>
        <w:t>Согласно подпунктам 1 и 2 пункта а) статьи 48</w:t>
      </w:r>
      <w:r>
        <w:t xml:space="preserve"> принятого в 2017 году Закона № </w:t>
      </w:r>
      <w:r w:rsidRPr="00544ABC">
        <w:t>20 о правах инвалидов любое лицо, совершающее акт насилия в отношении инвалидов, в отношении которого Уголовный кодекс не содержит более жесткого положения, определения или наказания, подлежит максимальному тюремному заключению сроком на один год и/или максимальному штрафу в размере 1</w:t>
      </w:r>
      <w:r>
        <w:rPr>
          <w:lang w:val="en-US"/>
        </w:rPr>
        <w:t> </w:t>
      </w:r>
      <w:r>
        <w:t>000 </w:t>
      </w:r>
      <w:r w:rsidRPr="00544ABC">
        <w:t xml:space="preserve">иорданских динаров (ИД). В случае повторного нарушения мера наказания удваивается. </w:t>
      </w:r>
    </w:p>
    <w:p w:rsidR="00544ABC" w:rsidRPr="00544ABC" w:rsidRDefault="00544ABC" w:rsidP="00544ABC">
      <w:pPr>
        <w:pStyle w:val="SingleTxtG"/>
      </w:pPr>
      <w:r w:rsidRPr="00544ABC">
        <w:t>4.</w:t>
      </w:r>
      <w:r w:rsidRPr="00544ABC">
        <w:tab/>
        <w:t xml:space="preserve">С учетом важности обеспечения реабилитации детей-инвалидов, ставших жертвами насилия, в соответствии с пунктами h), i), j) </w:t>
      </w:r>
      <w:r>
        <w:t>и k) статьи 29 принятого в 2017 </w:t>
      </w:r>
      <w:r w:rsidRPr="00544ABC">
        <w:t xml:space="preserve">году Закона № 20 о правах инвалидов Министерству социального развития и </w:t>
      </w:r>
      <w:r w:rsidRPr="00544ABC">
        <w:lastRenderedPageBreak/>
        <w:t xml:space="preserve">Министерству здравоохранения в соответствии с их сферами компетенции и в координации с Советом поручены следующие задачи и полномочия: разработка и осуществление всеобъемлющей программы альтернативного ухода для жертв насилия; оказание психосоциальной и медицинской поддержки, включая реабилитацию, и предоставление всех форм медицинского обслуживания инвалидам, ставшим жертвами насилия и эксплуатации. В статье также предусматривается разработка программ по предупреждению и выявлению насилия, уточняется порядок обработки подобных жалоб и говорится о проведении курсов подготовки для инвалидов, в том числе детей, женщин, пожилых людей, лиц с психическими и психологическими расстройствами и членов их семей. Кроме того, в статье предусмотрено обучение персонала, специализирующегося на процедурах выявления случаев насилия и принятия мер в этой связи на различных этапах. </w:t>
      </w:r>
    </w:p>
    <w:p w:rsidR="00544ABC" w:rsidRPr="00544ABC" w:rsidRDefault="00544ABC" w:rsidP="00B6734B">
      <w:pPr>
        <w:pStyle w:val="H23G"/>
        <w:jc w:val="both"/>
      </w:pPr>
      <w:r w:rsidRPr="00544ABC">
        <w:tab/>
      </w:r>
      <w:r>
        <w:tab/>
      </w:r>
      <w:r>
        <w:tab/>
      </w:r>
      <w:r>
        <w:tab/>
      </w:r>
      <w:r w:rsidRPr="00544ABC">
        <w:t>c)</w:t>
      </w:r>
      <w:r w:rsidRPr="00544ABC">
        <w:tab/>
        <w:t>Учитывать права инвалидов в национальных стратегиях и планах действий в интересах детей.</w:t>
      </w:r>
    </w:p>
    <w:p w:rsidR="00544ABC" w:rsidRPr="00544ABC" w:rsidRDefault="00544ABC" w:rsidP="00544ABC">
      <w:pPr>
        <w:pStyle w:val="SingleTxtG"/>
      </w:pPr>
      <w:r w:rsidRPr="00544ABC">
        <w:t>5.</w:t>
      </w:r>
      <w:r w:rsidRPr="00544ABC">
        <w:tab/>
        <w:t>В принятом в 2017 году Законе № 20 о правах инвалидов предусматривается разработка мер политики, стратегий, программ и планов от имени всех сторон, которым поручено осуществление положений этого Закона.</w:t>
      </w:r>
    </w:p>
    <w:p w:rsidR="00544ABC" w:rsidRPr="00544ABC" w:rsidRDefault="00544ABC" w:rsidP="00544ABC">
      <w:pPr>
        <w:pStyle w:val="SingleTxtG"/>
      </w:pPr>
      <w:r w:rsidRPr="00544ABC">
        <w:t>6.</w:t>
      </w:r>
      <w:r w:rsidRPr="00544ABC">
        <w:tab/>
        <w:t>С этой целью Высший совет учредил в своей организационной структуре Директорат по мониторингу и координации для поддержки принципа разработки стратегий и программ от имени органов, занимающихся поощрением прав инвалидов, мониторинга соответствующих органов и координирования деятельности между сотрудниками по взаимодействию.</w:t>
      </w:r>
    </w:p>
    <w:p w:rsidR="00544ABC" w:rsidRPr="00544ABC" w:rsidRDefault="00544ABC" w:rsidP="00544ABC">
      <w:pPr>
        <w:pStyle w:val="SingleTxtG"/>
      </w:pPr>
      <w:r w:rsidRPr="00544ABC">
        <w:t>7.</w:t>
      </w:r>
      <w:r w:rsidRPr="00544ABC">
        <w:tab/>
        <w:t xml:space="preserve">В рамках партнерства, учрежденного в соответствии с принятым в 2017 году Законом № 20 о правах инвалидов между Высшим советом и различными компетентными органами, и в духе взаимодействия и сотрудничества, предусмотренного для целей осуществления данного Закона, Совет подписал меморандумы о взаимопонимании с группой министерств, участвующих в его осуществлении, что привело к созданию совместных целевых групп с Министерством образования, Министерством здравоохранения, Министерством социального развития, Министерством связи и информационных и коммуникационных технологий, Министерством труда и муниципалитетом Большого Аммана, которым будет поручено подготовить необходимые национальные планы действий. </w:t>
      </w:r>
      <w:bookmarkStart w:id="0" w:name="_Hlk535247201"/>
      <w:bookmarkEnd w:id="0"/>
    </w:p>
    <w:p w:rsidR="00544ABC" w:rsidRPr="00544ABC" w:rsidRDefault="00544ABC" w:rsidP="00544ABC">
      <w:pPr>
        <w:pStyle w:val="H1G"/>
      </w:pPr>
      <w:r w:rsidRPr="00544ABC">
        <w:tab/>
      </w:r>
      <w:r w:rsidRPr="00544ABC">
        <w:tab/>
        <w:t>Защита личной целостности (статья 17)</w:t>
      </w:r>
    </w:p>
    <w:p w:rsidR="00544ABC" w:rsidRPr="00544ABC" w:rsidRDefault="00544ABC" w:rsidP="00B6734B">
      <w:pPr>
        <w:pStyle w:val="H23G"/>
        <w:jc w:val="both"/>
      </w:pPr>
      <w:r>
        <w:tab/>
      </w:r>
      <w:r>
        <w:tab/>
      </w:r>
      <w:r w:rsidRPr="00544ABC">
        <w:t>36.</w:t>
      </w:r>
      <w:r w:rsidRPr="00544ABC">
        <w:tab/>
        <w:t>Комитет обращается к государству-участнику с настоятельным призывом:</w:t>
      </w:r>
    </w:p>
    <w:p w:rsidR="00544ABC" w:rsidRPr="00544ABC" w:rsidRDefault="00544ABC" w:rsidP="00B6734B">
      <w:pPr>
        <w:pStyle w:val="H23G"/>
        <w:jc w:val="both"/>
      </w:pPr>
      <w:r w:rsidRPr="00544ABC">
        <w:tab/>
      </w:r>
      <w:r>
        <w:tab/>
      </w:r>
      <w:r>
        <w:tab/>
      </w:r>
      <w:r>
        <w:tab/>
      </w:r>
      <w:r w:rsidRPr="00544ABC">
        <w:t>а)</w:t>
      </w:r>
      <w:r w:rsidRPr="00544ABC">
        <w:tab/>
        <w:t>прекратить практику стерилизации лиц, не давших на такую процедуру свободного и осознанного согласия.</w:t>
      </w:r>
    </w:p>
    <w:p w:rsidR="00544ABC" w:rsidRPr="00544ABC" w:rsidRDefault="00544ABC" w:rsidP="00544ABC">
      <w:pPr>
        <w:pStyle w:val="SingleTxtG"/>
      </w:pPr>
      <w:r w:rsidRPr="00544ABC">
        <w:t>8.</w:t>
      </w:r>
      <w:r w:rsidRPr="00544ABC">
        <w:tab/>
        <w:t xml:space="preserve">В статье 2 принятого в 2017 году Закона № 20 о правах инвалидов закрепляется принцип свободного и осознанного согласия. В ней говорится, что </w:t>
      </w:r>
      <w:r w:rsidR="00615A6B">
        <w:t>«</w:t>
      </w:r>
      <w:r w:rsidRPr="00544ABC">
        <w:t>для любого действия, акта или правовой процедуры, возникающих в связи с любым из прав или свобод инвалидов, требуется получить согласие инвалидов или их законных представителей после того, как им было в доходчивой форме сообщено о сфере охвата, последствиях и воздействии таковых</w:t>
      </w:r>
      <w:r w:rsidR="00615A6B">
        <w:t>»</w:t>
      </w:r>
      <w:r w:rsidRPr="00544ABC">
        <w:t>.</w:t>
      </w:r>
    </w:p>
    <w:p w:rsidR="00544ABC" w:rsidRPr="00544ABC" w:rsidRDefault="00544ABC" w:rsidP="00544ABC">
      <w:pPr>
        <w:pStyle w:val="SingleTxtG"/>
      </w:pPr>
      <w:r w:rsidRPr="00544ABC">
        <w:t>9.</w:t>
      </w:r>
      <w:r w:rsidRPr="00544ABC">
        <w:tab/>
        <w:t>Кроме того, в пункте с) статьи 5 говорится, что никакое терапевтическое или профилактическое медицинское вмешательство не должно осуществляться без свободного и осознанного согласия инвалидов.</w:t>
      </w:r>
    </w:p>
    <w:p w:rsidR="00544ABC" w:rsidRPr="00544ABC" w:rsidRDefault="00544ABC" w:rsidP="00B6734B">
      <w:pPr>
        <w:pStyle w:val="H23G"/>
        <w:jc w:val="both"/>
      </w:pPr>
      <w:r w:rsidRPr="00544ABC">
        <w:lastRenderedPageBreak/>
        <w:tab/>
      </w:r>
      <w:r>
        <w:tab/>
      </w:r>
      <w:r>
        <w:tab/>
      </w:r>
      <w:r>
        <w:tab/>
      </w:r>
      <w:r w:rsidRPr="00544ABC">
        <w:t>b)</w:t>
      </w:r>
      <w:r w:rsidRPr="00544ABC">
        <w:tab/>
        <w:t>Принять предлагаемые поправки к Уголовному кодексу, запрещающие принудительную стерилизацию, обеспечить, чтобы виновные привлекались к ответственности и подвергались, при необходимости, наказанию, и предоставлять лицам, подвергшимся принудительной стерилизации, средства правовой защиты, включая адекватную компенсацию и реабилитацию.</w:t>
      </w:r>
    </w:p>
    <w:p w:rsidR="00544ABC" w:rsidRPr="00544ABC" w:rsidRDefault="00544ABC" w:rsidP="00544ABC">
      <w:pPr>
        <w:pStyle w:val="SingleTxtG"/>
      </w:pPr>
      <w:r w:rsidRPr="00544ABC">
        <w:t>10.</w:t>
      </w:r>
      <w:r w:rsidRPr="00544ABC">
        <w:tab/>
        <w:t xml:space="preserve">Принудительная стерилизация, проводимая в немедицинских целях и без согласия соответствующего лица, представляет собой преступление, состоящее в </w:t>
      </w:r>
      <w:r w:rsidR="00615A6B">
        <w:t>«</w:t>
      </w:r>
      <w:r w:rsidRPr="00544ABC">
        <w:t>причинении инвалидности</w:t>
      </w:r>
      <w:r w:rsidR="00615A6B">
        <w:t>»</w:t>
      </w:r>
      <w:r w:rsidRPr="00544ABC">
        <w:t xml:space="preserve"> и наказуемое в соответствии с положениями Уголовного кодекса. В силу того, что принудительная стерилизация, осуществляемая по причине инвалидности, посяг</w:t>
      </w:r>
      <w:bookmarkStart w:id="1" w:name="_GoBack"/>
      <w:bookmarkEnd w:id="1"/>
      <w:r w:rsidRPr="00544ABC">
        <w:t>ает на физическую целостность лица и сопряжена с нанесением вреда одному или нескольким жизненно важным органам, подобные акты неизбежно относятся к категории преследуемых на основании Уголовного кодекса актов насилия, влекущих за собой инвалидность, паралич или лишение органа.</w:t>
      </w:r>
    </w:p>
    <w:p w:rsidR="00381C24" w:rsidRPr="00544ABC" w:rsidRDefault="00544ABC" w:rsidP="00544AB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544ABC" w:rsidSect="00544AB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38" w:rsidRPr="00A312BC" w:rsidRDefault="000F2038" w:rsidP="00A312BC"/>
  </w:endnote>
  <w:endnote w:type="continuationSeparator" w:id="0">
    <w:p w:rsidR="000F2038" w:rsidRPr="00A312BC" w:rsidRDefault="000F20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BC" w:rsidRPr="00544ABC" w:rsidRDefault="00544ABC">
    <w:pPr>
      <w:pStyle w:val="a8"/>
    </w:pPr>
    <w:r w:rsidRPr="00544ABC">
      <w:rPr>
        <w:b/>
        <w:sz w:val="18"/>
      </w:rPr>
      <w:fldChar w:fldCharType="begin"/>
    </w:r>
    <w:r w:rsidRPr="00544ABC">
      <w:rPr>
        <w:b/>
        <w:sz w:val="18"/>
      </w:rPr>
      <w:instrText xml:space="preserve"> PAGE  \* MERGEFORMAT </w:instrText>
    </w:r>
    <w:r w:rsidRPr="00544ABC">
      <w:rPr>
        <w:b/>
        <w:sz w:val="18"/>
      </w:rPr>
      <w:fldChar w:fldCharType="separate"/>
    </w:r>
    <w:r w:rsidR="00AE7BDA">
      <w:rPr>
        <w:b/>
        <w:noProof/>
        <w:sz w:val="18"/>
      </w:rPr>
      <w:t>6</w:t>
    </w:r>
    <w:r w:rsidRPr="00544ABC">
      <w:rPr>
        <w:b/>
        <w:sz w:val="18"/>
      </w:rPr>
      <w:fldChar w:fldCharType="end"/>
    </w:r>
    <w:r>
      <w:rPr>
        <w:b/>
        <w:sz w:val="18"/>
      </w:rPr>
      <w:tab/>
    </w:r>
    <w:r>
      <w:t>GE.18-22585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BC" w:rsidRPr="00544ABC" w:rsidRDefault="00544ABC" w:rsidP="00544ABC">
    <w:pPr>
      <w:pStyle w:val="a8"/>
      <w:tabs>
        <w:tab w:val="clear" w:pos="9639"/>
        <w:tab w:val="right" w:pos="9638"/>
      </w:tabs>
      <w:rPr>
        <w:b/>
        <w:sz w:val="18"/>
      </w:rPr>
    </w:pPr>
    <w:r>
      <w:t>GE.18-22585</w:t>
    </w:r>
    <w:r>
      <w:tab/>
    </w:r>
    <w:r w:rsidRPr="00544ABC">
      <w:rPr>
        <w:b/>
        <w:sz w:val="18"/>
      </w:rPr>
      <w:fldChar w:fldCharType="begin"/>
    </w:r>
    <w:r w:rsidRPr="00544ABC">
      <w:rPr>
        <w:b/>
        <w:sz w:val="18"/>
      </w:rPr>
      <w:instrText xml:space="preserve"> PAGE  \* MERGEFORMAT </w:instrText>
    </w:r>
    <w:r w:rsidRPr="00544ABC">
      <w:rPr>
        <w:b/>
        <w:sz w:val="18"/>
      </w:rPr>
      <w:fldChar w:fldCharType="separate"/>
    </w:r>
    <w:r w:rsidR="00AE7BDA">
      <w:rPr>
        <w:b/>
        <w:noProof/>
        <w:sz w:val="18"/>
      </w:rPr>
      <w:t>5</w:t>
    </w:r>
    <w:r w:rsidRPr="00544A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44ABC" w:rsidRDefault="00544ABC" w:rsidP="00544AB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18-22585  (R)</w:t>
    </w:r>
    <w:r>
      <w:rPr>
        <w:lang w:val="en-US"/>
      </w:rPr>
      <w:t xml:space="preserve">   280119  280119</w:t>
    </w:r>
    <w:r>
      <w:br/>
    </w:r>
    <w:r w:rsidRPr="00544ABC">
      <w:rPr>
        <w:rFonts w:ascii="C39T30Lfz" w:hAnsi="C39T30Lfz"/>
        <w:kern w:val="14"/>
        <w:sz w:val="56"/>
      </w:rPr>
      <w:t></w:t>
    </w:r>
    <w:r w:rsidRPr="00544ABC">
      <w:rPr>
        <w:rFonts w:ascii="C39T30Lfz" w:hAnsi="C39T30Lfz"/>
        <w:kern w:val="14"/>
        <w:sz w:val="56"/>
      </w:rPr>
      <w:t></w:t>
    </w:r>
    <w:r w:rsidRPr="00544ABC">
      <w:rPr>
        <w:rFonts w:ascii="C39T30Lfz" w:hAnsi="C39T30Lfz"/>
        <w:kern w:val="14"/>
        <w:sz w:val="56"/>
      </w:rPr>
      <w:t></w:t>
    </w:r>
    <w:r w:rsidRPr="00544ABC">
      <w:rPr>
        <w:rFonts w:ascii="C39T30Lfz" w:hAnsi="C39T30Lfz"/>
        <w:kern w:val="14"/>
        <w:sz w:val="56"/>
      </w:rPr>
      <w:t></w:t>
    </w:r>
    <w:r w:rsidRPr="00544ABC">
      <w:rPr>
        <w:rFonts w:ascii="C39T30Lfz" w:hAnsi="C39T30Lfz"/>
        <w:kern w:val="14"/>
        <w:sz w:val="56"/>
      </w:rPr>
      <w:t></w:t>
    </w:r>
    <w:r w:rsidRPr="00544ABC">
      <w:rPr>
        <w:rFonts w:ascii="C39T30Lfz" w:hAnsi="C39T30Lfz"/>
        <w:kern w:val="14"/>
        <w:sz w:val="56"/>
      </w:rPr>
      <w:t></w:t>
    </w:r>
    <w:r w:rsidRPr="00544ABC">
      <w:rPr>
        <w:rFonts w:ascii="C39T30Lfz" w:hAnsi="C39T30Lfz"/>
        <w:kern w:val="14"/>
        <w:sz w:val="56"/>
      </w:rPr>
      <w:t></w:t>
    </w:r>
    <w:r w:rsidRPr="00544ABC">
      <w:rPr>
        <w:rFonts w:ascii="C39T30Lfz" w:hAnsi="C39T30Lfz"/>
        <w:kern w:val="14"/>
        <w:sz w:val="56"/>
      </w:rPr>
      <w:t></w:t>
    </w:r>
    <w:r w:rsidRPr="00544AB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JOR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JOR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38" w:rsidRPr="001075E9" w:rsidRDefault="000F20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2038" w:rsidRDefault="000F20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44ABC" w:rsidRPr="0083531C" w:rsidRDefault="00544ABC" w:rsidP="00544ABC">
      <w:pPr>
        <w:pStyle w:val="ad"/>
      </w:pPr>
      <w:r>
        <w:tab/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BC" w:rsidRPr="00544ABC" w:rsidRDefault="00AE7BD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CRPD/C/JOR/CO/1/Add.1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BC" w:rsidRPr="00544ABC" w:rsidRDefault="00AE7BDA" w:rsidP="00544AB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CRPD/C/JOR/CO/1/Add.1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8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2038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44ABC"/>
    <w:rsid w:val="005709E0"/>
    <w:rsid w:val="00572E19"/>
    <w:rsid w:val="005961C8"/>
    <w:rsid w:val="005966F1"/>
    <w:rsid w:val="005D7914"/>
    <w:rsid w:val="005E2B41"/>
    <w:rsid w:val="005F0B42"/>
    <w:rsid w:val="00615A6B"/>
    <w:rsid w:val="00681A10"/>
    <w:rsid w:val="006876D7"/>
    <w:rsid w:val="006A1ED8"/>
    <w:rsid w:val="006B5625"/>
    <w:rsid w:val="006C2031"/>
    <w:rsid w:val="006D461A"/>
    <w:rsid w:val="006E5A29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AE7BDA"/>
    <w:rsid w:val="00B10CC7"/>
    <w:rsid w:val="00B36DF7"/>
    <w:rsid w:val="00B539E7"/>
    <w:rsid w:val="00B62458"/>
    <w:rsid w:val="00B6734B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79942"/>
  <w15:docId w15:val="{CBEF30E9-2413-4032-BBF6-00A49ACC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  <w:tab w:val="num" w:pos="360"/>
      </w:tabs>
      <w:spacing w:after="120"/>
      <w:ind w:left="0"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FF4F-A52C-47E6-884C-1049D13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6</Pages>
  <Words>1465</Words>
  <Characters>9954</Characters>
  <Application>Microsoft Office Word</Application>
  <DocSecurity>0</DocSecurity>
  <Lines>191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CRPD/C/JOR/CO/1/Add.1</vt:lpstr>
      <vt:lpstr>A/</vt:lpstr>
      <vt:lpstr>A/</vt:lpstr>
    </vt:vector>
  </TitlesOfParts>
  <Company>DCM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CRPD/C/JOR/CO/1/Add.1</dc:title>
  <dc:subject/>
  <dc:creator>Anna BLAGODATSKIKH</dc:creator>
  <cp:keywords/>
  <cp:lastModifiedBy>Anna Blagodatskikh</cp:lastModifiedBy>
  <cp:revision>3</cp:revision>
  <cp:lastPrinted>2019-01-28T09:32:00Z</cp:lastPrinted>
  <dcterms:created xsi:type="dcterms:W3CDTF">2019-01-28T09:32:00Z</dcterms:created>
  <dcterms:modified xsi:type="dcterms:W3CDTF">2019-01-28T09:33:00Z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